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6AF" w:rsidRPr="002F4964" w:rsidRDefault="001646AF" w:rsidP="00C90734">
      <w:pPr>
        <w:widowControl/>
        <w:jc w:val="center"/>
        <w:rPr>
          <w:b/>
          <w:szCs w:val="22"/>
        </w:rPr>
      </w:pPr>
      <w:bookmarkStart w:id="0" w:name="_GoBack"/>
      <w:bookmarkEnd w:id="0"/>
      <w:r w:rsidRPr="002F4964">
        <w:rPr>
          <w:b/>
          <w:kern w:val="0"/>
          <w:szCs w:val="22"/>
        </w:rPr>
        <w:t>Before</w:t>
      </w:r>
      <w:r w:rsidRPr="002F4964">
        <w:rPr>
          <w:b/>
          <w:szCs w:val="22"/>
        </w:rPr>
        <w:t xml:space="preserve"> the</w:t>
      </w:r>
    </w:p>
    <w:p w:rsidR="001646AF" w:rsidRPr="002F4964" w:rsidRDefault="001646AF" w:rsidP="001646AF">
      <w:pPr>
        <w:pStyle w:val="StyleBoldCentered"/>
        <w:widowControl/>
        <w:rPr>
          <w:rFonts w:ascii="Times New Roman" w:hAnsi="Times New Roman"/>
        </w:rPr>
      </w:pPr>
      <w:r w:rsidRPr="002F4964">
        <w:rPr>
          <w:rFonts w:ascii="Times New Roman" w:hAnsi="Times New Roman"/>
        </w:rPr>
        <w:t>F</w:t>
      </w:r>
      <w:r w:rsidRPr="002F4964">
        <w:rPr>
          <w:rFonts w:ascii="Times New Roman" w:hAnsi="Times New Roman"/>
          <w:caps w:val="0"/>
        </w:rPr>
        <w:t>ederal Communications Commission</w:t>
      </w:r>
    </w:p>
    <w:p w:rsidR="001646AF" w:rsidRPr="002F4964" w:rsidRDefault="001646AF" w:rsidP="001646AF">
      <w:pPr>
        <w:pStyle w:val="StyleBoldCentered"/>
        <w:widowControl/>
        <w:rPr>
          <w:rFonts w:ascii="Times New Roman" w:hAnsi="Times New Roman"/>
        </w:rPr>
      </w:pPr>
      <w:r w:rsidRPr="002F4964">
        <w:rPr>
          <w:rFonts w:ascii="Times New Roman" w:hAnsi="Times New Roman"/>
          <w:caps w:val="0"/>
        </w:rPr>
        <w:t>Washington</w:t>
      </w:r>
      <w:r w:rsidRPr="002F4964">
        <w:rPr>
          <w:rFonts w:ascii="Times New Roman" w:hAnsi="Times New Roman"/>
        </w:rPr>
        <w:t>, DC 20554</w:t>
      </w:r>
    </w:p>
    <w:p w:rsidR="001646AF" w:rsidRPr="002F4964" w:rsidRDefault="001646AF" w:rsidP="001646AF">
      <w:pPr>
        <w:widowControl/>
        <w:rPr>
          <w:szCs w:val="22"/>
        </w:rPr>
      </w:pPr>
    </w:p>
    <w:tbl>
      <w:tblPr>
        <w:tblW w:w="0" w:type="auto"/>
        <w:tblLayout w:type="fixed"/>
        <w:tblLook w:val="0000" w:firstRow="0" w:lastRow="0" w:firstColumn="0" w:lastColumn="0" w:noHBand="0" w:noVBand="0"/>
      </w:tblPr>
      <w:tblGrid>
        <w:gridCol w:w="4698"/>
        <w:gridCol w:w="630"/>
        <w:gridCol w:w="4248"/>
      </w:tblGrid>
      <w:tr w:rsidR="001646AF" w:rsidRPr="002F4964" w:rsidTr="00E152BF">
        <w:tc>
          <w:tcPr>
            <w:tcW w:w="4698" w:type="dxa"/>
          </w:tcPr>
          <w:p w:rsidR="001646AF" w:rsidRPr="002F4964" w:rsidRDefault="001646AF" w:rsidP="00E152BF">
            <w:pPr>
              <w:widowControl/>
              <w:suppressAutoHyphens/>
              <w:rPr>
                <w:spacing w:val="-2"/>
                <w:szCs w:val="22"/>
              </w:rPr>
            </w:pPr>
            <w:r w:rsidRPr="002F4964">
              <w:rPr>
                <w:spacing w:val="-2"/>
                <w:szCs w:val="22"/>
              </w:rPr>
              <w:t>In the Matter of</w:t>
            </w:r>
          </w:p>
          <w:p w:rsidR="001646AF" w:rsidRPr="002F4964" w:rsidRDefault="001646AF" w:rsidP="00E152BF">
            <w:pPr>
              <w:widowControl/>
              <w:suppressAutoHyphens/>
              <w:rPr>
                <w:spacing w:val="-2"/>
                <w:szCs w:val="22"/>
              </w:rPr>
            </w:pPr>
          </w:p>
          <w:p w:rsidR="001646AF" w:rsidRPr="002F4964" w:rsidRDefault="001646AF" w:rsidP="00E152BF">
            <w:pPr>
              <w:widowControl/>
              <w:suppressAutoHyphens/>
              <w:rPr>
                <w:spacing w:val="-2"/>
                <w:szCs w:val="22"/>
              </w:rPr>
            </w:pPr>
            <w:r w:rsidRPr="002F4964">
              <w:rPr>
                <w:spacing w:val="-2"/>
                <w:szCs w:val="22"/>
              </w:rPr>
              <w:t>People’s Broadcast Network, LLC</w:t>
            </w:r>
          </w:p>
          <w:p w:rsidR="001646AF" w:rsidRPr="002F4964" w:rsidRDefault="001646AF" w:rsidP="00E152BF">
            <w:pPr>
              <w:widowControl/>
              <w:suppressAutoHyphens/>
              <w:rPr>
                <w:spacing w:val="-2"/>
                <w:szCs w:val="22"/>
              </w:rPr>
            </w:pPr>
          </w:p>
          <w:p w:rsidR="001646AF" w:rsidRPr="002F4964" w:rsidRDefault="001646AF" w:rsidP="00E152BF">
            <w:pPr>
              <w:widowControl/>
              <w:suppressAutoHyphens/>
              <w:rPr>
                <w:spacing w:val="-2"/>
                <w:szCs w:val="22"/>
              </w:rPr>
            </w:pPr>
            <w:r w:rsidRPr="002F4964">
              <w:rPr>
                <w:spacing w:val="-2"/>
                <w:szCs w:val="22"/>
              </w:rPr>
              <w:t xml:space="preserve">Licensee of AM Station WDJZ </w:t>
            </w:r>
          </w:p>
          <w:p w:rsidR="001646AF" w:rsidRPr="002F4964" w:rsidRDefault="001646AF" w:rsidP="00E152BF">
            <w:pPr>
              <w:widowControl/>
              <w:suppressAutoHyphens/>
              <w:rPr>
                <w:spacing w:val="-2"/>
                <w:szCs w:val="22"/>
              </w:rPr>
            </w:pPr>
            <w:r w:rsidRPr="002F4964">
              <w:rPr>
                <w:spacing w:val="-2"/>
                <w:szCs w:val="22"/>
              </w:rPr>
              <w:t xml:space="preserve">Bridgeport, Connecticut </w:t>
            </w:r>
          </w:p>
        </w:tc>
        <w:tc>
          <w:tcPr>
            <w:tcW w:w="630" w:type="dxa"/>
          </w:tcPr>
          <w:p w:rsidR="001646AF" w:rsidRPr="002F4964" w:rsidRDefault="001646AF" w:rsidP="00E152BF">
            <w:pPr>
              <w:widowControl/>
              <w:suppressAutoHyphens/>
              <w:rPr>
                <w:spacing w:val="-2"/>
                <w:szCs w:val="22"/>
              </w:rPr>
            </w:pPr>
            <w:r w:rsidRPr="002F4964">
              <w:rPr>
                <w:spacing w:val="-2"/>
                <w:szCs w:val="22"/>
              </w:rPr>
              <w:t>)</w:t>
            </w:r>
          </w:p>
          <w:p w:rsidR="001646AF" w:rsidRPr="002F4964" w:rsidRDefault="001646AF" w:rsidP="00E152BF">
            <w:pPr>
              <w:widowControl/>
              <w:suppressAutoHyphens/>
              <w:rPr>
                <w:spacing w:val="-2"/>
                <w:szCs w:val="22"/>
              </w:rPr>
            </w:pPr>
            <w:r w:rsidRPr="002F4964">
              <w:rPr>
                <w:spacing w:val="-2"/>
                <w:szCs w:val="22"/>
              </w:rPr>
              <w:t>)</w:t>
            </w:r>
          </w:p>
          <w:p w:rsidR="001646AF" w:rsidRPr="002F4964" w:rsidRDefault="001646AF" w:rsidP="00E152BF">
            <w:pPr>
              <w:widowControl/>
              <w:suppressAutoHyphens/>
              <w:rPr>
                <w:spacing w:val="-2"/>
                <w:szCs w:val="22"/>
              </w:rPr>
            </w:pPr>
            <w:r w:rsidRPr="002F4964">
              <w:rPr>
                <w:spacing w:val="-2"/>
                <w:szCs w:val="22"/>
              </w:rPr>
              <w:t>)</w:t>
            </w:r>
          </w:p>
          <w:p w:rsidR="001646AF" w:rsidRPr="002F4964" w:rsidRDefault="001646AF" w:rsidP="00E152BF">
            <w:pPr>
              <w:widowControl/>
              <w:suppressAutoHyphens/>
              <w:rPr>
                <w:spacing w:val="-2"/>
                <w:szCs w:val="22"/>
              </w:rPr>
            </w:pPr>
            <w:r w:rsidRPr="002F4964">
              <w:rPr>
                <w:spacing w:val="-2"/>
                <w:szCs w:val="22"/>
              </w:rPr>
              <w:t>)</w:t>
            </w:r>
          </w:p>
          <w:p w:rsidR="001646AF" w:rsidRPr="002F4964" w:rsidRDefault="001646AF" w:rsidP="00E152BF">
            <w:pPr>
              <w:widowControl/>
              <w:suppressAutoHyphens/>
              <w:rPr>
                <w:spacing w:val="-2"/>
                <w:szCs w:val="22"/>
              </w:rPr>
            </w:pPr>
            <w:r w:rsidRPr="002F4964">
              <w:rPr>
                <w:spacing w:val="-2"/>
                <w:szCs w:val="22"/>
              </w:rPr>
              <w:t>)</w:t>
            </w:r>
          </w:p>
          <w:p w:rsidR="001646AF" w:rsidRPr="002F4964" w:rsidRDefault="001646AF" w:rsidP="00E152BF">
            <w:pPr>
              <w:widowControl/>
              <w:suppressAutoHyphens/>
              <w:rPr>
                <w:spacing w:val="-2"/>
                <w:szCs w:val="22"/>
              </w:rPr>
            </w:pPr>
            <w:r w:rsidRPr="002F4964">
              <w:rPr>
                <w:spacing w:val="-2"/>
                <w:szCs w:val="22"/>
              </w:rPr>
              <w:t>)</w:t>
            </w:r>
          </w:p>
        </w:tc>
        <w:tc>
          <w:tcPr>
            <w:tcW w:w="4248" w:type="dxa"/>
          </w:tcPr>
          <w:p w:rsidR="001646AF" w:rsidRPr="002F4964" w:rsidRDefault="001646AF" w:rsidP="00E152BF">
            <w:pPr>
              <w:widowControl/>
              <w:suppressAutoHyphens/>
              <w:rPr>
                <w:spacing w:val="-2"/>
                <w:szCs w:val="22"/>
              </w:rPr>
            </w:pPr>
          </w:p>
          <w:p w:rsidR="001646AF" w:rsidRPr="002F4964" w:rsidRDefault="001646AF" w:rsidP="00E152BF">
            <w:pPr>
              <w:widowControl/>
              <w:suppressAutoHyphens/>
              <w:rPr>
                <w:spacing w:val="-2"/>
                <w:szCs w:val="22"/>
              </w:rPr>
            </w:pPr>
          </w:p>
          <w:p w:rsidR="001646AF" w:rsidRPr="002F4964" w:rsidRDefault="00D62B43" w:rsidP="00E152BF">
            <w:pPr>
              <w:widowControl/>
              <w:suppressAutoHyphens/>
              <w:ind w:left="432"/>
              <w:rPr>
                <w:spacing w:val="-2"/>
                <w:szCs w:val="22"/>
              </w:rPr>
            </w:pPr>
            <w:r w:rsidRPr="002F4964">
              <w:rPr>
                <w:spacing w:val="-2"/>
                <w:szCs w:val="22"/>
              </w:rPr>
              <w:t xml:space="preserve">File No.: </w:t>
            </w:r>
            <w:r w:rsidR="009023C2">
              <w:rPr>
                <w:spacing w:val="-2"/>
                <w:szCs w:val="22"/>
              </w:rPr>
              <w:t xml:space="preserve"> </w:t>
            </w:r>
            <w:r w:rsidR="001646AF" w:rsidRPr="002F4964">
              <w:rPr>
                <w:spacing w:val="-2"/>
                <w:szCs w:val="22"/>
              </w:rPr>
              <w:t>EB-FIELDNER-13-00006508</w:t>
            </w:r>
          </w:p>
          <w:p w:rsidR="001646AF" w:rsidRPr="002F4964" w:rsidRDefault="00D62B43" w:rsidP="00E152BF">
            <w:pPr>
              <w:widowControl/>
              <w:suppressAutoHyphens/>
              <w:ind w:left="432"/>
              <w:rPr>
                <w:spacing w:val="-2"/>
                <w:szCs w:val="22"/>
              </w:rPr>
            </w:pPr>
            <w:r w:rsidRPr="002F4964">
              <w:rPr>
                <w:spacing w:val="-2"/>
                <w:szCs w:val="22"/>
              </w:rPr>
              <w:t xml:space="preserve">NAL/Acct. No.: </w:t>
            </w:r>
            <w:r w:rsidR="009023C2">
              <w:rPr>
                <w:spacing w:val="-2"/>
                <w:szCs w:val="22"/>
              </w:rPr>
              <w:t xml:space="preserve"> </w:t>
            </w:r>
            <w:r w:rsidR="001646AF" w:rsidRPr="002F4964">
              <w:rPr>
                <w:spacing w:val="-2"/>
                <w:szCs w:val="22"/>
              </w:rPr>
              <w:t>201432260001</w:t>
            </w:r>
          </w:p>
          <w:p w:rsidR="001646AF" w:rsidRPr="002F4964" w:rsidRDefault="00D62B43" w:rsidP="00E152BF">
            <w:pPr>
              <w:widowControl/>
              <w:suppressAutoHyphens/>
              <w:ind w:left="432"/>
              <w:rPr>
                <w:spacing w:val="-2"/>
                <w:szCs w:val="22"/>
              </w:rPr>
            </w:pPr>
            <w:r w:rsidRPr="002F4964">
              <w:rPr>
                <w:spacing w:val="-2"/>
                <w:szCs w:val="22"/>
              </w:rPr>
              <w:t xml:space="preserve">FRN: </w:t>
            </w:r>
            <w:r w:rsidR="009023C2">
              <w:rPr>
                <w:spacing w:val="-2"/>
                <w:szCs w:val="22"/>
              </w:rPr>
              <w:t xml:space="preserve"> </w:t>
            </w:r>
            <w:r w:rsidR="001646AF" w:rsidRPr="002F4964">
              <w:rPr>
                <w:spacing w:val="-2"/>
                <w:szCs w:val="22"/>
              </w:rPr>
              <w:t>0007650369</w:t>
            </w:r>
          </w:p>
          <w:p w:rsidR="001646AF" w:rsidRPr="002F4964" w:rsidRDefault="001646AF" w:rsidP="002132E1">
            <w:pPr>
              <w:widowControl/>
              <w:suppressAutoHyphens/>
              <w:ind w:left="432"/>
              <w:rPr>
                <w:spacing w:val="-2"/>
                <w:szCs w:val="22"/>
              </w:rPr>
            </w:pPr>
            <w:r w:rsidRPr="002F4964">
              <w:rPr>
                <w:spacing w:val="-2"/>
                <w:szCs w:val="22"/>
              </w:rPr>
              <w:t xml:space="preserve">Facility ID No.: </w:t>
            </w:r>
            <w:r w:rsidR="009023C2">
              <w:rPr>
                <w:spacing w:val="-2"/>
                <w:szCs w:val="22"/>
              </w:rPr>
              <w:t xml:space="preserve"> </w:t>
            </w:r>
            <w:r w:rsidRPr="002F4964">
              <w:rPr>
                <w:spacing w:val="-2"/>
                <w:szCs w:val="22"/>
              </w:rPr>
              <w:t>8516</w:t>
            </w:r>
          </w:p>
        </w:tc>
      </w:tr>
    </w:tbl>
    <w:p w:rsidR="001646AF" w:rsidRPr="002F4964" w:rsidRDefault="001646AF" w:rsidP="001646AF">
      <w:pPr>
        <w:widowControl/>
        <w:rPr>
          <w:szCs w:val="22"/>
        </w:rPr>
      </w:pPr>
    </w:p>
    <w:p w:rsidR="001646AF" w:rsidRPr="002F4964" w:rsidRDefault="001646AF" w:rsidP="001646AF">
      <w:pPr>
        <w:pStyle w:val="StyleBoldCentered"/>
        <w:widowControl/>
        <w:spacing w:after="220"/>
        <w:rPr>
          <w:rFonts w:ascii="Times New Roman" w:hAnsi="Times New Roman"/>
        </w:rPr>
      </w:pPr>
      <w:r w:rsidRPr="002F4964">
        <w:rPr>
          <w:rFonts w:ascii="Times New Roman" w:hAnsi="Times New Roman"/>
        </w:rPr>
        <w:t>forfeiture ORDER</w:t>
      </w:r>
    </w:p>
    <w:p w:rsidR="001646AF" w:rsidRPr="002F4964" w:rsidRDefault="001B3E6C" w:rsidP="00B15A09">
      <w:pPr>
        <w:widowControl/>
        <w:tabs>
          <w:tab w:val="left" w:pos="1365"/>
          <w:tab w:val="right" w:pos="9360"/>
        </w:tabs>
        <w:suppressAutoHyphens/>
        <w:rPr>
          <w:spacing w:val="-2"/>
          <w:szCs w:val="22"/>
        </w:rPr>
      </w:pPr>
      <w:r>
        <w:rPr>
          <w:b/>
          <w:spacing w:val="-2"/>
          <w:szCs w:val="22"/>
        </w:rPr>
        <w:t xml:space="preserve">Adopted:  </w:t>
      </w:r>
      <w:r w:rsidR="00B15A09">
        <w:rPr>
          <w:b/>
          <w:spacing w:val="-2"/>
          <w:szCs w:val="22"/>
        </w:rPr>
        <w:t>November 25, 2015</w:t>
      </w:r>
      <w:r w:rsidR="00B15A09">
        <w:rPr>
          <w:b/>
          <w:spacing w:val="-2"/>
          <w:szCs w:val="22"/>
        </w:rPr>
        <w:tab/>
      </w:r>
      <w:r w:rsidR="001646AF" w:rsidRPr="002F4964">
        <w:rPr>
          <w:b/>
          <w:spacing w:val="-2"/>
          <w:szCs w:val="22"/>
        </w:rPr>
        <w:t>Released:</w:t>
      </w:r>
      <w:r w:rsidR="00B15A09">
        <w:rPr>
          <w:b/>
          <w:spacing w:val="-2"/>
          <w:szCs w:val="22"/>
        </w:rPr>
        <w:t xml:space="preserve"> November 25, 2015</w:t>
      </w:r>
      <w:r w:rsidR="001646AF" w:rsidRPr="002F4964">
        <w:rPr>
          <w:b/>
          <w:spacing w:val="-2"/>
          <w:szCs w:val="22"/>
        </w:rPr>
        <w:t xml:space="preserve">  </w:t>
      </w:r>
    </w:p>
    <w:p w:rsidR="001646AF" w:rsidRPr="002F4964" w:rsidRDefault="001646AF" w:rsidP="001646AF">
      <w:pPr>
        <w:widowControl/>
        <w:jc w:val="center"/>
        <w:rPr>
          <w:szCs w:val="22"/>
        </w:rPr>
      </w:pPr>
    </w:p>
    <w:p w:rsidR="001646AF" w:rsidRPr="002F4964" w:rsidRDefault="001646AF" w:rsidP="001646AF">
      <w:pPr>
        <w:widowControl/>
        <w:rPr>
          <w:spacing w:val="-2"/>
          <w:szCs w:val="22"/>
        </w:rPr>
      </w:pPr>
      <w:r w:rsidRPr="002F4964">
        <w:rPr>
          <w:szCs w:val="22"/>
        </w:rPr>
        <w:t xml:space="preserve">By the </w:t>
      </w:r>
      <w:r w:rsidR="009255B5">
        <w:rPr>
          <w:szCs w:val="22"/>
        </w:rPr>
        <w:t>Regional</w:t>
      </w:r>
      <w:r w:rsidR="00BE7254" w:rsidRPr="002F4964">
        <w:rPr>
          <w:szCs w:val="22"/>
        </w:rPr>
        <w:t xml:space="preserve"> Director, Northeast Region</w:t>
      </w:r>
      <w:r w:rsidRPr="002F4964">
        <w:rPr>
          <w:szCs w:val="22"/>
        </w:rPr>
        <w:t>, Enforcement Bureau</w:t>
      </w:r>
      <w:r w:rsidRPr="002F4964">
        <w:rPr>
          <w:spacing w:val="-2"/>
          <w:szCs w:val="22"/>
        </w:rPr>
        <w:t>:</w:t>
      </w:r>
    </w:p>
    <w:p w:rsidR="001646AF" w:rsidRPr="002F4964" w:rsidRDefault="001646AF" w:rsidP="001646AF">
      <w:pPr>
        <w:widowControl/>
        <w:rPr>
          <w:spacing w:val="-2"/>
          <w:szCs w:val="22"/>
        </w:rPr>
      </w:pPr>
    </w:p>
    <w:p w:rsidR="001646AF" w:rsidRPr="002F4964" w:rsidRDefault="001646AF" w:rsidP="00073A04">
      <w:pPr>
        <w:pStyle w:val="Heading1"/>
      </w:pPr>
      <w:bookmarkStart w:id="1" w:name="_Toc379288998"/>
      <w:bookmarkStart w:id="2" w:name="_Toc379365499"/>
      <w:r w:rsidRPr="002F4964">
        <w:t>INTRODUCTION</w:t>
      </w:r>
      <w:bookmarkEnd w:id="1"/>
      <w:bookmarkEnd w:id="2"/>
    </w:p>
    <w:p w:rsidR="00DB08B4" w:rsidRPr="004E0DF7" w:rsidRDefault="00FC4663" w:rsidP="004E0DF7">
      <w:pPr>
        <w:spacing w:after="120"/>
        <w:ind w:firstLine="720"/>
        <w:rPr>
          <w:spacing w:val="-2"/>
          <w:szCs w:val="22"/>
        </w:rPr>
      </w:pPr>
      <w:r w:rsidRPr="002F4964">
        <w:rPr>
          <w:szCs w:val="22"/>
        </w:rPr>
        <w:t xml:space="preserve">1. </w:t>
      </w:r>
      <w:r w:rsidR="00324593" w:rsidRPr="001D067B">
        <w:rPr>
          <w:szCs w:val="22"/>
        </w:rPr>
        <w:tab/>
      </w:r>
      <w:r w:rsidR="00F44411" w:rsidRPr="001D067B">
        <w:rPr>
          <w:szCs w:val="22"/>
        </w:rPr>
        <w:t xml:space="preserve">We impose a penalty of $10,000 against People’s Broadcast Network, LLC (People’s Broadcast) for failing to enclose the antenna structures in </w:t>
      </w:r>
      <w:r w:rsidR="009023C2" w:rsidRPr="001D067B">
        <w:rPr>
          <w:szCs w:val="22"/>
        </w:rPr>
        <w:t xml:space="preserve">AM </w:t>
      </w:r>
      <w:r w:rsidR="00F44411" w:rsidRPr="001D067B">
        <w:rPr>
          <w:szCs w:val="22"/>
        </w:rPr>
        <w:t xml:space="preserve">Station WDJZ’s three-tower array within effective locked fences or other enclosures. </w:t>
      </w:r>
      <w:r w:rsidR="009023C2" w:rsidRPr="001D067B">
        <w:rPr>
          <w:szCs w:val="22"/>
        </w:rPr>
        <w:t xml:space="preserve"> </w:t>
      </w:r>
      <w:r w:rsidR="001D067B" w:rsidRPr="001D067B">
        <w:rPr>
          <w:rFonts w:eastAsiaTheme="minorHAnsi"/>
          <w:snapToGrid/>
          <w:kern w:val="0"/>
          <w:szCs w:val="22"/>
        </w:rPr>
        <w:t>The Commission’s antenna structure fencing rules protect the</w:t>
      </w:r>
      <w:r w:rsidR="001D067B" w:rsidRPr="001D067B">
        <w:rPr>
          <w:szCs w:val="22"/>
        </w:rPr>
        <w:t xml:space="preserve"> </w:t>
      </w:r>
      <w:r w:rsidR="001D067B" w:rsidRPr="001D067B">
        <w:rPr>
          <w:rFonts w:eastAsiaTheme="minorHAnsi"/>
          <w:snapToGrid/>
          <w:kern w:val="0"/>
          <w:szCs w:val="22"/>
        </w:rPr>
        <w:t>public by limiting access to areas with a high potential for radiofrequency exposure.</w:t>
      </w:r>
      <w:r w:rsidR="001D067B">
        <w:rPr>
          <w:rFonts w:eastAsiaTheme="minorHAnsi"/>
          <w:snapToGrid/>
          <w:kern w:val="0"/>
          <w:szCs w:val="22"/>
        </w:rPr>
        <w:t xml:space="preserve">  People’s Broadca</w:t>
      </w:r>
      <w:r w:rsidR="00D763E1">
        <w:rPr>
          <w:rFonts w:eastAsiaTheme="minorHAnsi"/>
          <w:snapToGrid/>
          <w:kern w:val="0"/>
          <w:szCs w:val="22"/>
        </w:rPr>
        <w:t xml:space="preserve">st does not deny the violations, but requests forfeiture </w:t>
      </w:r>
      <w:r w:rsidR="00C00F41">
        <w:rPr>
          <w:rFonts w:eastAsiaTheme="minorHAnsi"/>
          <w:snapToGrid/>
          <w:kern w:val="0"/>
          <w:szCs w:val="22"/>
        </w:rPr>
        <w:t xml:space="preserve">cancellation or </w:t>
      </w:r>
      <w:r w:rsidR="00D763E1">
        <w:rPr>
          <w:rFonts w:eastAsiaTheme="minorHAnsi"/>
          <w:snapToGrid/>
          <w:kern w:val="0"/>
          <w:szCs w:val="22"/>
        </w:rPr>
        <w:t xml:space="preserve">reduction based on its efforts </w:t>
      </w:r>
      <w:r w:rsidR="004E0DF7">
        <w:rPr>
          <w:rFonts w:eastAsiaTheme="minorHAnsi"/>
          <w:snapToGrid/>
          <w:kern w:val="0"/>
          <w:szCs w:val="22"/>
        </w:rPr>
        <w:t xml:space="preserve">after receiving notice of the violations </w:t>
      </w:r>
      <w:r w:rsidR="00D763E1">
        <w:rPr>
          <w:rFonts w:eastAsiaTheme="minorHAnsi"/>
          <w:snapToGrid/>
          <w:kern w:val="0"/>
          <w:szCs w:val="22"/>
        </w:rPr>
        <w:t xml:space="preserve">to repair the </w:t>
      </w:r>
      <w:r w:rsidR="00324593" w:rsidRPr="002F4964">
        <w:rPr>
          <w:spacing w:val="-2"/>
          <w:szCs w:val="22"/>
        </w:rPr>
        <w:t>fence</w:t>
      </w:r>
      <w:r w:rsidR="00F75828" w:rsidRPr="002F4964">
        <w:rPr>
          <w:spacing w:val="-2"/>
          <w:szCs w:val="22"/>
        </w:rPr>
        <w:t>s</w:t>
      </w:r>
      <w:r w:rsidR="00324593" w:rsidRPr="002F4964">
        <w:rPr>
          <w:spacing w:val="-2"/>
          <w:szCs w:val="22"/>
        </w:rPr>
        <w:t xml:space="preserve"> surrounding its antenna structures</w:t>
      </w:r>
      <w:r w:rsidRPr="002F4964">
        <w:rPr>
          <w:spacing w:val="-2"/>
          <w:szCs w:val="22"/>
        </w:rPr>
        <w:t xml:space="preserve"> and</w:t>
      </w:r>
      <w:r w:rsidR="00324593" w:rsidRPr="002F4964">
        <w:rPr>
          <w:spacing w:val="-2"/>
          <w:szCs w:val="22"/>
        </w:rPr>
        <w:t xml:space="preserve"> </w:t>
      </w:r>
      <w:r w:rsidR="00D763E1">
        <w:rPr>
          <w:spacing w:val="-2"/>
          <w:szCs w:val="22"/>
        </w:rPr>
        <w:t>its purported inability to pay the penalty.</w:t>
      </w:r>
      <w:r w:rsidR="00016392">
        <w:rPr>
          <w:spacing w:val="-2"/>
          <w:szCs w:val="22"/>
        </w:rPr>
        <w:t xml:space="preserve">  </w:t>
      </w:r>
      <w:r w:rsidR="00BB0A54">
        <w:rPr>
          <w:spacing w:val="-2"/>
          <w:szCs w:val="22"/>
        </w:rPr>
        <w:t xml:space="preserve">As explained below, </w:t>
      </w:r>
      <w:r w:rsidR="00C00F41">
        <w:rPr>
          <w:spacing w:val="-2"/>
          <w:szCs w:val="22"/>
        </w:rPr>
        <w:t>post-investigation remedial efforts do not warrant a forfe</w:t>
      </w:r>
      <w:r w:rsidR="004E0DF7">
        <w:rPr>
          <w:spacing w:val="-2"/>
          <w:szCs w:val="22"/>
        </w:rPr>
        <w:t>iture reduction</w:t>
      </w:r>
      <w:r w:rsidR="00BB0A54">
        <w:rPr>
          <w:spacing w:val="-2"/>
          <w:szCs w:val="22"/>
        </w:rPr>
        <w:t xml:space="preserve"> or cancellation and People’s Broadcast</w:t>
      </w:r>
      <w:r w:rsidR="004E0DF7">
        <w:rPr>
          <w:spacing w:val="-2"/>
          <w:szCs w:val="22"/>
        </w:rPr>
        <w:t xml:space="preserve"> failed to provide sufficient documentation supporting its inability to pay claim.  </w:t>
      </w:r>
      <w:r w:rsidR="00BB0A54">
        <w:rPr>
          <w:szCs w:val="22"/>
        </w:rPr>
        <w:t>Consequently</w:t>
      </w:r>
      <w:r w:rsidR="00DB08B4" w:rsidRPr="002F4964">
        <w:rPr>
          <w:szCs w:val="22"/>
        </w:rPr>
        <w:t xml:space="preserve">, we </w:t>
      </w:r>
      <w:r w:rsidR="00F44411" w:rsidRPr="002F4964">
        <w:rPr>
          <w:szCs w:val="22"/>
        </w:rPr>
        <w:t xml:space="preserve">find no reason to cancel, withdraw, or reduce the </w:t>
      </w:r>
      <w:r w:rsidR="00AF40E1" w:rsidRPr="002F4964">
        <w:rPr>
          <w:szCs w:val="22"/>
        </w:rPr>
        <w:t>forfeiture.</w:t>
      </w:r>
    </w:p>
    <w:p w:rsidR="00324593" w:rsidRPr="002F4964" w:rsidRDefault="00324593" w:rsidP="002132E1">
      <w:pPr>
        <w:pStyle w:val="Heading1"/>
        <w:rPr>
          <w:rFonts w:ascii="Times New Roman" w:hAnsi="Times New Roman"/>
          <w:szCs w:val="22"/>
        </w:rPr>
      </w:pPr>
      <w:r w:rsidRPr="002F4964">
        <w:rPr>
          <w:rFonts w:ascii="Times New Roman" w:hAnsi="Times New Roman"/>
          <w:szCs w:val="22"/>
        </w:rPr>
        <w:t>BACKGROUND</w:t>
      </w:r>
    </w:p>
    <w:p w:rsidR="00B466B2" w:rsidRDefault="00D83BFD" w:rsidP="00B32236">
      <w:pPr>
        <w:spacing w:after="120"/>
        <w:ind w:firstLine="720"/>
        <w:rPr>
          <w:szCs w:val="22"/>
        </w:rPr>
      </w:pPr>
      <w:r>
        <w:rPr>
          <w:szCs w:val="22"/>
        </w:rPr>
        <w:t>2</w:t>
      </w:r>
      <w:r w:rsidR="001B6C22" w:rsidRPr="002F4964">
        <w:rPr>
          <w:szCs w:val="22"/>
        </w:rPr>
        <w:t xml:space="preserve">.  </w:t>
      </w:r>
      <w:r w:rsidR="00C35E9A" w:rsidRPr="002F4964">
        <w:rPr>
          <w:szCs w:val="22"/>
        </w:rPr>
        <w:tab/>
      </w:r>
      <w:r w:rsidR="001B6C22" w:rsidRPr="002F4964">
        <w:rPr>
          <w:szCs w:val="22"/>
        </w:rPr>
        <w:t>On July 20, 2012, agents from the Enforcement Bureau’s Boston Office</w:t>
      </w:r>
      <w:r w:rsidR="00BB0A54">
        <w:rPr>
          <w:szCs w:val="22"/>
        </w:rPr>
        <w:t xml:space="preserve"> </w:t>
      </w:r>
      <w:r w:rsidR="00B11EBB" w:rsidRPr="002F4964">
        <w:rPr>
          <w:szCs w:val="22"/>
        </w:rPr>
        <w:t>inspect</w:t>
      </w:r>
      <w:r w:rsidR="00BB0A54">
        <w:rPr>
          <w:szCs w:val="22"/>
        </w:rPr>
        <w:t>ed</w:t>
      </w:r>
      <w:r w:rsidR="001B6C22" w:rsidRPr="002F4964">
        <w:rPr>
          <w:szCs w:val="22"/>
        </w:rPr>
        <w:t xml:space="preserve"> AM Station WDJZ’s three-tower array.</w:t>
      </w:r>
      <w:r w:rsidR="00F430EF" w:rsidRPr="002F4964">
        <w:rPr>
          <w:rStyle w:val="FootnoteReference"/>
          <w:sz w:val="22"/>
          <w:szCs w:val="22"/>
        </w:rPr>
        <w:footnoteReference w:id="1"/>
      </w:r>
      <w:r w:rsidR="001B6C22" w:rsidRPr="002F4964">
        <w:rPr>
          <w:szCs w:val="22"/>
        </w:rPr>
        <w:t xml:space="preserve"> </w:t>
      </w:r>
      <w:r w:rsidR="00BB0A54">
        <w:rPr>
          <w:szCs w:val="22"/>
        </w:rPr>
        <w:t xml:space="preserve"> </w:t>
      </w:r>
      <w:r w:rsidR="00405767">
        <w:rPr>
          <w:szCs w:val="22"/>
        </w:rPr>
        <w:t>The agents observed</w:t>
      </w:r>
      <w:r w:rsidR="001B6C22" w:rsidRPr="002F4964">
        <w:rPr>
          <w:szCs w:val="22"/>
        </w:rPr>
        <w:t xml:space="preserve"> that</w:t>
      </w:r>
      <w:r w:rsidR="00C35E9A" w:rsidRPr="002F4964">
        <w:rPr>
          <w:szCs w:val="22"/>
        </w:rPr>
        <w:t xml:space="preserve"> the</w:t>
      </w:r>
      <w:r w:rsidR="00AC131E">
        <w:rPr>
          <w:szCs w:val="22"/>
        </w:rPr>
        <w:t xml:space="preserve"> </w:t>
      </w:r>
      <w:r w:rsidR="00B466B2">
        <w:rPr>
          <w:szCs w:val="22"/>
        </w:rPr>
        <w:t xml:space="preserve">wooden </w:t>
      </w:r>
      <w:r w:rsidR="001B6C22" w:rsidRPr="002F4964">
        <w:rPr>
          <w:szCs w:val="22"/>
        </w:rPr>
        <w:t>fences surrounding the antenna structures were m</w:t>
      </w:r>
      <w:r w:rsidR="00AB27C0">
        <w:rPr>
          <w:szCs w:val="22"/>
        </w:rPr>
        <w:t xml:space="preserve">issing entire sections and </w:t>
      </w:r>
      <w:r w:rsidR="001B6C22" w:rsidRPr="002F4964">
        <w:rPr>
          <w:szCs w:val="22"/>
        </w:rPr>
        <w:t>there was no fence surrounding the perimeter of the property</w:t>
      </w:r>
      <w:r w:rsidR="00AB27C0">
        <w:rPr>
          <w:szCs w:val="22"/>
        </w:rPr>
        <w:t>, allowing unrestricted access to the antenna structures</w:t>
      </w:r>
      <w:r w:rsidR="001B6C22" w:rsidRPr="002F4964">
        <w:rPr>
          <w:szCs w:val="22"/>
        </w:rPr>
        <w:t>.</w:t>
      </w:r>
      <w:r w:rsidR="00B11EBB" w:rsidRPr="002F4964">
        <w:rPr>
          <w:rStyle w:val="FootnoteReference"/>
          <w:sz w:val="22"/>
          <w:szCs w:val="22"/>
        </w:rPr>
        <w:footnoteReference w:id="2"/>
      </w:r>
      <w:r w:rsidR="001B6C22" w:rsidRPr="002F4964">
        <w:rPr>
          <w:szCs w:val="22"/>
        </w:rPr>
        <w:t xml:space="preserve"> </w:t>
      </w:r>
      <w:r w:rsidR="00405767">
        <w:rPr>
          <w:szCs w:val="22"/>
        </w:rPr>
        <w:t xml:space="preserve"> </w:t>
      </w:r>
      <w:r w:rsidR="00274465">
        <w:rPr>
          <w:szCs w:val="22"/>
        </w:rPr>
        <w:t xml:space="preserve">Later that day, one of the </w:t>
      </w:r>
      <w:r w:rsidR="00A55000" w:rsidRPr="002F4964">
        <w:rPr>
          <w:szCs w:val="22"/>
        </w:rPr>
        <w:t>agents informed People’s Broadcast’s General Manager about t</w:t>
      </w:r>
      <w:r w:rsidR="00AB27C0">
        <w:rPr>
          <w:szCs w:val="22"/>
        </w:rPr>
        <w:t>he missing fencing</w:t>
      </w:r>
      <w:r w:rsidR="00A55000" w:rsidRPr="002F4964">
        <w:rPr>
          <w:szCs w:val="22"/>
        </w:rPr>
        <w:t xml:space="preserve"> and advised </w:t>
      </w:r>
      <w:r w:rsidR="00405767">
        <w:rPr>
          <w:szCs w:val="22"/>
        </w:rPr>
        <w:t>the compa</w:t>
      </w:r>
      <w:r w:rsidR="00274465">
        <w:rPr>
          <w:szCs w:val="22"/>
        </w:rPr>
        <w:t>ny to make repairs.</w:t>
      </w:r>
      <w:r w:rsidR="00274465">
        <w:rPr>
          <w:rStyle w:val="FootnoteReference"/>
          <w:szCs w:val="22"/>
        </w:rPr>
        <w:footnoteReference w:id="3"/>
      </w:r>
      <w:r w:rsidR="00B466B2">
        <w:rPr>
          <w:szCs w:val="22"/>
        </w:rPr>
        <w:t xml:space="preserve">  O</w:t>
      </w:r>
      <w:r w:rsidR="00274465">
        <w:rPr>
          <w:szCs w:val="22"/>
        </w:rPr>
        <w:t>ver a month later,</w:t>
      </w:r>
      <w:r w:rsidR="00B466B2">
        <w:rPr>
          <w:szCs w:val="22"/>
        </w:rPr>
        <w:t xml:space="preserve"> however,</w:t>
      </w:r>
      <w:r w:rsidR="00274465">
        <w:rPr>
          <w:szCs w:val="22"/>
        </w:rPr>
        <w:t xml:space="preserve"> agents </w:t>
      </w:r>
      <w:r w:rsidR="00F7730F">
        <w:rPr>
          <w:szCs w:val="22"/>
        </w:rPr>
        <w:t xml:space="preserve">re-inspected the </w:t>
      </w:r>
      <w:r w:rsidR="00F7730F" w:rsidRPr="002F4964">
        <w:rPr>
          <w:szCs w:val="22"/>
        </w:rPr>
        <w:t>tower array</w:t>
      </w:r>
      <w:r w:rsidR="00F7730F">
        <w:rPr>
          <w:szCs w:val="22"/>
        </w:rPr>
        <w:t xml:space="preserve"> and </w:t>
      </w:r>
      <w:r w:rsidR="00274465">
        <w:rPr>
          <w:szCs w:val="22"/>
        </w:rPr>
        <w:t>observed that not only did People’</w:t>
      </w:r>
      <w:r w:rsidR="00B466B2">
        <w:rPr>
          <w:szCs w:val="22"/>
        </w:rPr>
        <w:t>s Broadcast fail</w:t>
      </w:r>
      <w:r w:rsidR="00274465">
        <w:rPr>
          <w:szCs w:val="22"/>
        </w:rPr>
        <w:t xml:space="preserve"> to</w:t>
      </w:r>
      <w:r w:rsidR="00F7730F">
        <w:rPr>
          <w:szCs w:val="22"/>
        </w:rPr>
        <w:t xml:space="preserve"> repair the fencing</w:t>
      </w:r>
      <w:r w:rsidR="00B466B2">
        <w:rPr>
          <w:szCs w:val="22"/>
        </w:rPr>
        <w:t xml:space="preserve">, but </w:t>
      </w:r>
      <w:r w:rsidR="00F7730F">
        <w:rPr>
          <w:szCs w:val="22"/>
        </w:rPr>
        <w:t>the fencing had deteriorated further with additional missing sections</w:t>
      </w:r>
      <w:r w:rsidR="00B466B2">
        <w:rPr>
          <w:szCs w:val="22"/>
        </w:rPr>
        <w:t>.</w:t>
      </w:r>
      <w:r w:rsidR="00B466B2">
        <w:rPr>
          <w:rStyle w:val="FootnoteReference"/>
          <w:szCs w:val="22"/>
        </w:rPr>
        <w:footnoteReference w:id="4"/>
      </w:r>
      <w:r w:rsidR="00B466B2">
        <w:rPr>
          <w:szCs w:val="22"/>
        </w:rPr>
        <w:t xml:space="preserve"> </w:t>
      </w:r>
    </w:p>
    <w:p w:rsidR="00463C67" w:rsidRPr="002F4964" w:rsidRDefault="00D83BFD" w:rsidP="00CE3EBA">
      <w:pPr>
        <w:spacing w:after="120"/>
        <w:ind w:firstLine="720"/>
        <w:rPr>
          <w:szCs w:val="22"/>
        </w:rPr>
      </w:pPr>
      <w:r>
        <w:rPr>
          <w:szCs w:val="22"/>
        </w:rPr>
        <w:t>3</w:t>
      </w:r>
      <w:r w:rsidR="00373FB0" w:rsidRPr="002F4964">
        <w:rPr>
          <w:szCs w:val="22"/>
        </w:rPr>
        <w:t xml:space="preserve">.  </w:t>
      </w:r>
      <w:r w:rsidR="00003D69" w:rsidRPr="002F4964">
        <w:rPr>
          <w:szCs w:val="22"/>
        </w:rPr>
        <w:tab/>
      </w:r>
      <w:r w:rsidR="00373FB0" w:rsidRPr="002F4964">
        <w:rPr>
          <w:szCs w:val="22"/>
        </w:rPr>
        <w:t xml:space="preserve">On March 20, 2014, the Enforcement Bureau issued the </w:t>
      </w:r>
      <w:r w:rsidR="002D3815" w:rsidRPr="002F4964">
        <w:rPr>
          <w:i/>
          <w:szCs w:val="22"/>
        </w:rPr>
        <w:t>NAL</w:t>
      </w:r>
      <w:r w:rsidR="002D3815" w:rsidRPr="002F4964">
        <w:rPr>
          <w:szCs w:val="22"/>
        </w:rPr>
        <w:t xml:space="preserve"> proposing a $10,000 forfeiture aga</w:t>
      </w:r>
      <w:r w:rsidR="00096FAB">
        <w:rPr>
          <w:szCs w:val="22"/>
        </w:rPr>
        <w:t xml:space="preserve">inst People’s Broadcast for </w:t>
      </w:r>
      <w:r w:rsidR="002D3815" w:rsidRPr="002F4964">
        <w:rPr>
          <w:szCs w:val="22"/>
        </w:rPr>
        <w:t>apparent</w:t>
      </w:r>
      <w:r w:rsidR="00096FAB">
        <w:rPr>
          <w:szCs w:val="22"/>
        </w:rPr>
        <w:t>ly</w:t>
      </w:r>
      <w:r w:rsidR="002D3815" w:rsidRPr="002F4964">
        <w:rPr>
          <w:szCs w:val="22"/>
        </w:rPr>
        <w:t xml:space="preserve"> willful</w:t>
      </w:r>
      <w:r w:rsidR="00096FAB">
        <w:rPr>
          <w:szCs w:val="22"/>
        </w:rPr>
        <w:t>ly</w:t>
      </w:r>
      <w:r w:rsidR="002D3815" w:rsidRPr="002F4964">
        <w:rPr>
          <w:szCs w:val="22"/>
        </w:rPr>
        <w:t xml:space="preserve"> and repeated</w:t>
      </w:r>
      <w:r w:rsidR="00096FAB">
        <w:rPr>
          <w:szCs w:val="22"/>
        </w:rPr>
        <w:t xml:space="preserve">ly violating </w:t>
      </w:r>
      <w:r w:rsidR="002D3815" w:rsidRPr="002F4964">
        <w:rPr>
          <w:szCs w:val="22"/>
        </w:rPr>
        <w:t xml:space="preserve">Section </w:t>
      </w:r>
      <w:r w:rsidR="002076AA" w:rsidRPr="002F4964">
        <w:rPr>
          <w:szCs w:val="22"/>
        </w:rPr>
        <w:t>73.49 of the Commission’s rules</w:t>
      </w:r>
      <w:r w:rsidR="00096FAB">
        <w:rPr>
          <w:szCs w:val="22"/>
        </w:rPr>
        <w:t xml:space="preserve"> (Rules) for failing to enclose Station WDJZ’s three-tower array</w:t>
      </w:r>
      <w:r w:rsidR="002D3815" w:rsidRPr="002F4964">
        <w:rPr>
          <w:szCs w:val="22"/>
        </w:rPr>
        <w:t xml:space="preserve"> within effective </w:t>
      </w:r>
      <w:r w:rsidR="002D3815" w:rsidRPr="002F4964">
        <w:rPr>
          <w:szCs w:val="22"/>
        </w:rPr>
        <w:lastRenderedPageBreak/>
        <w:t>locked fences or other enclosures.</w:t>
      </w:r>
      <w:r w:rsidR="00EB6AC1" w:rsidRPr="002F4964">
        <w:rPr>
          <w:rStyle w:val="FootnoteReference"/>
          <w:sz w:val="22"/>
          <w:szCs w:val="22"/>
        </w:rPr>
        <w:footnoteReference w:id="5"/>
      </w:r>
      <w:r w:rsidR="00CE3EBA">
        <w:rPr>
          <w:szCs w:val="22"/>
        </w:rPr>
        <w:t xml:space="preserve">  </w:t>
      </w:r>
      <w:r w:rsidR="00CB4A49" w:rsidRPr="002F4964">
        <w:rPr>
          <w:szCs w:val="22"/>
        </w:rPr>
        <w:t xml:space="preserve">On April 15, 2014, People’s Broadcast filed a response to the </w:t>
      </w:r>
      <w:r w:rsidR="00CB4A49" w:rsidRPr="002F4964">
        <w:rPr>
          <w:i/>
          <w:szCs w:val="22"/>
        </w:rPr>
        <w:t>NAL</w:t>
      </w:r>
      <w:r w:rsidR="00CB4A49" w:rsidRPr="002F4964">
        <w:rPr>
          <w:szCs w:val="22"/>
        </w:rPr>
        <w:t>.</w:t>
      </w:r>
      <w:r w:rsidR="001C716B" w:rsidRPr="002F4964">
        <w:rPr>
          <w:rStyle w:val="FootnoteReference"/>
          <w:sz w:val="22"/>
          <w:szCs w:val="22"/>
        </w:rPr>
        <w:footnoteReference w:id="6"/>
      </w:r>
      <w:r w:rsidR="00CE3EBA">
        <w:rPr>
          <w:szCs w:val="22"/>
        </w:rPr>
        <w:t xml:space="preserve">  In its </w:t>
      </w:r>
      <w:r w:rsidR="00CE3EBA" w:rsidRPr="00CE3EBA">
        <w:rPr>
          <w:i/>
          <w:szCs w:val="22"/>
        </w:rPr>
        <w:t>NAL Response</w:t>
      </w:r>
      <w:r w:rsidR="00CE3EBA">
        <w:rPr>
          <w:szCs w:val="22"/>
        </w:rPr>
        <w:t xml:space="preserve">, </w:t>
      </w:r>
      <w:r w:rsidR="00CB4A49" w:rsidRPr="002F4964">
        <w:rPr>
          <w:szCs w:val="22"/>
        </w:rPr>
        <w:t xml:space="preserve">People’s Broadcast </w:t>
      </w:r>
      <w:r w:rsidR="00826E36" w:rsidRPr="002F4964">
        <w:rPr>
          <w:szCs w:val="22"/>
        </w:rPr>
        <w:t>makes</w:t>
      </w:r>
      <w:r w:rsidR="00CB4A49" w:rsidRPr="002F4964">
        <w:rPr>
          <w:szCs w:val="22"/>
        </w:rPr>
        <w:t xml:space="preserve"> two arguments as to why the </w:t>
      </w:r>
      <w:r w:rsidR="00CB4A49" w:rsidRPr="002F4964">
        <w:rPr>
          <w:i/>
          <w:szCs w:val="22"/>
        </w:rPr>
        <w:t>NAL</w:t>
      </w:r>
      <w:r w:rsidR="00CB4A49" w:rsidRPr="002F4964">
        <w:rPr>
          <w:szCs w:val="22"/>
        </w:rPr>
        <w:t xml:space="preserve"> should be </w:t>
      </w:r>
      <w:r w:rsidR="00CE3EBA">
        <w:rPr>
          <w:szCs w:val="22"/>
        </w:rPr>
        <w:t xml:space="preserve">cancelled or </w:t>
      </w:r>
      <w:r w:rsidR="00CB4A49" w:rsidRPr="002F4964">
        <w:rPr>
          <w:szCs w:val="22"/>
        </w:rPr>
        <w:t>reduced.</w:t>
      </w:r>
      <w:r w:rsidR="007F7D59" w:rsidRPr="002F4964">
        <w:rPr>
          <w:szCs w:val="22"/>
        </w:rPr>
        <w:t xml:space="preserve"> </w:t>
      </w:r>
      <w:r w:rsidR="00CE3EBA">
        <w:rPr>
          <w:szCs w:val="22"/>
        </w:rPr>
        <w:t xml:space="preserve"> </w:t>
      </w:r>
      <w:r w:rsidR="007F7D59" w:rsidRPr="002F4964">
        <w:rPr>
          <w:szCs w:val="22"/>
        </w:rPr>
        <w:t>First, People’</w:t>
      </w:r>
      <w:r w:rsidR="00826E36" w:rsidRPr="002F4964">
        <w:rPr>
          <w:szCs w:val="22"/>
        </w:rPr>
        <w:t>s Broadcast argues</w:t>
      </w:r>
      <w:r w:rsidR="007F7D59" w:rsidRPr="002F4964">
        <w:rPr>
          <w:szCs w:val="22"/>
        </w:rPr>
        <w:t xml:space="preserve"> that it </w:t>
      </w:r>
      <w:r w:rsidR="00892C40" w:rsidRPr="002F4964">
        <w:rPr>
          <w:szCs w:val="22"/>
        </w:rPr>
        <w:t xml:space="preserve">fully </w:t>
      </w:r>
      <w:r w:rsidR="00826E36" w:rsidRPr="002F4964">
        <w:rPr>
          <w:szCs w:val="22"/>
        </w:rPr>
        <w:t xml:space="preserve">repaired the deteriorated fences after receiving the </w:t>
      </w:r>
      <w:r w:rsidR="00826E36" w:rsidRPr="002F4964">
        <w:rPr>
          <w:i/>
          <w:szCs w:val="22"/>
        </w:rPr>
        <w:t>NAL</w:t>
      </w:r>
      <w:r w:rsidR="002E662D">
        <w:rPr>
          <w:szCs w:val="22"/>
        </w:rPr>
        <w:t xml:space="preserve"> and is </w:t>
      </w:r>
      <w:r w:rsidR="00826E36" w:rsidRPr="002F4964">
        <w:rPr>
          <w:szCs w:val="22"/>
        </w:rPr>
        <w:t xml:space="preserve">in </w:t>
      </w:r>
      <w:r w:rsidR="002E662D">
        <w:rPr>
          <w:szCs w:val="22"/>
        </w:rPr>
        <w:t xml:space="preserve">full </w:t>
      </w:r>
      <w:r w:rsidR="00826E36" w:rsidRPr="002F4964">
        <w:rPr>
          <w:szCs w:val="22"/>
        </w:rPr>
        <w:t>compliance with Sec</w:t>
      </w:r>
      <w:r w:rsidR="002E662D">
        <w:rPr>
          <w:szCs w:val="22"/>
        </w:rPr>
        <w:t>tion 73.49 of the R</w:t>
      </w:r>
      <w:r w:rsidR="00826E36" w:rsidRPr="002F4964">
        <w:rPr>
          <w:szCs w:val="22"/>
        </w:rPr>
        <w:t>ules.</w:t>
      </w:r>
      <w:r w:rsidR="00A41934" w:rsidRPr="002F4964">
        <w:rPr>
          <w:rStyle w:val="FootnoteReference"/>
          <w:sz w:val="22"/>
          <w:szCs w:val="22"/>
        </w:rPr>
        <w:footnoteReference w:id="7"/>
      </w:r>
      <w:r w:rsidR="00826E36" w:rsidRPr="002F4964">
        <w:rPr>
          <w:szCs w:val="22"/>
        </w:rPr>
        <w:t xml:space="preserve"> </w:t>
      </w:r>
      <w:r w:rsidR="002E662D">
        <w:rPr>
          <w:szCs w:val="22"/>
        </w:rPr>
        <w:t xml:space="preserve"> Second</w:t>
      </w:r>
      <w:r w:rsidR="00826E36" w:rsidRPr="002F4964">
        <w:rPr>
          <w:szCs w:val="22"/>
        </w:rPr>
        <w:t>, People’s Broadcast conten</w:t>
      </w:r>
      <w:r w:rsidR="002076AA" w:rsidRPr="002F4964">
        <w:rPr>
          <w:szCs w:val="22"/>
        </w:rPr>
        <w:t>ds that it is experiencing fin</w:t>
      </w:r>
      <w:r w:rsidR="00991F09">
        <w:rPr>
          <w:szCs w:val="22"/>
        </w:rPr>
        <w:t>a</w:t>
      </w:r>
      <w:r w:rsidR="002076AA" w:rsidRPr="002F4964">
        <w:rPr>
          <w:szCs w:val="22"/>
        </w:rPr>
        <w:t>ncial hardship and is unable to pay the proposed forfeiture amount</w:t>
      </w:r>
      <w:r w:rsidR="00826E36" w:rsidRPr="002F4964">
        <w:rPr>
          <w:szCs w:val="22"/>
        </w:rPr>
        <w:t>.</w:t>
      </w:r>
      <w:r w:rsidR="00A41934" w:rsidRPr="002F4964">
        <w:rPr>
          <w:rStyle w:val="FootnoteReference"/>
          <w:sz w:val="22"/>
          <w:szCs w:val="22"/>
        </w:rPr>
        <w:footnoteReference w:id="8"/>
      </w:r>
      <w:r w:rsidR="00826E36" w:rsidRPr="002F4964">
        <w:rPr>
          <w:szCs w:val="22"/>
        </w:rPr>
        <w:t xml:space="preserve">   </w:t>
      </w:r>
    </w:p>
    <w:p w:rsidR="00373FB0" w:rsidRPr="002F4964" w:rsidRDefault="00463C67" w:rsidP="002132E1">
      <w:pPr>
        <w:pStyle w:val="Heading1"/>
        <w:rPr>
          <w:rFonts w:ascii="Times New Roman" w:hAnsi="Times New Roman"/>
          <w:szCs w:val="22"/>
        </w:rPr>
      </w:pPr>
      <w:r w:rsidRPr="002F4964">
        <w:rPr>
          <w:rFonts w:ascii="Times New Roman" w:hAnsi="Times New Roman"/>
          <w:szCs w:val="22"/>
        </w:rPr>
        <w:t xml:space="preserve">DiscuSSion </w:t>
      </w:r>
    </w:p>
    <w:p w:rsidR="00701EA2" w:rsidRPr="002F4964" w:rsidRDefault="00D83BFD" w:rsidP="002132E1">
      <w:pPr>
        <w:spacing w:after="120"/>
        <w:ind w:firstLine="720"/>
        <w:rPr>
          <w:szCs w:val="22"/>
        </w:rPr>
      </w:pPr>
      <w:r>
        <w:rPr>
          <w:szCs w:val="22"/>
        </w:rPr>
        <w:t>4</w:t>
      </w:r>
      <w:r w:rsidR="00463C67" w:rsidRPr="002F4964">
        <w:rPr>
          <w:szCs w:val="22"/>
        </w:rPr>
        <w:t xml:space="preserve">. </w:t>
      </w:r>
      <w:r w:rsidR="00463C67" w:rsidRPr="002F4964">
        <w:rPr>
          <w:szCs w:val="22"/>
        </w:rPr>
        <w:tab/>
        <w:t xml:space="preserve">The </w:t>
      </w:r>
      <w:r w:rsidR="000550CD" w:rsidRPr="002F4964">
        <w:rPr>
          <w:szCs w:val="22"/>
        </w:rPr>
        <w:t xml:space="preserve">Enforcement </w:t>
      </w:r>
      <w:r w:rsidR="00463C67" w:rsidRPr="002F4964">
        <w:rPr>
          <w:szCs w:val="22"/>
        </w:rPr>
        <w:t>Bureau proposed a forfeiture in this case in accordance with Section 503(b) of the Communications Act of 1934, as amended (Act),</w:t>
      </w:r>
      <w:r w:rsidR="00463C67" w:rsidRPr="002F4964">
        <w:rPr>
          <w:rStyle w:val="FootnoteReference"/>
          <w:sz w:val="22"/>
          <w:szCs w:val="22"/>
        </w:rPr>
        <w:footnoteReference w:id="9"/>
      </w:r>
      <w:r w:rsidR="00463C67" w:rsidRPr="002F4964">
        <w:rPr>
          <w:szCs w:val="22"/>
        </w:rPr>
        <w:t xml:space="preserve"> Sectio</w:t>
      </w:r>
      <w:r w:rsidR="003F3FB0" w:rsidRPr="002F4964">
        <w:rPr>
          <w:szCs w:val="22"/>
        </w:rPr>
        <w:t xml:space="preserve">n 1.80 of the </w:t>
      </w:r>
      <w:r w:rsidR="00D93AE1">
        <w:rPr>
          <w:szCs w:val="22"/>
        </w:rPr>
        <w:t>R</w:t>
      </w:r>
      <w:r w:rsidR="003F3FB0" w:rsidRPr="002F4964">
        <w:rPr>
          <w:szCs w:val="22"/>
        </w:rPr>
        <w:t>ules</w:t>
      </w:r>
      <w:r w:rsidR="00463C67" w:rsidRPr="002F4964">
        <w:rPr>
          <w:szCs w:val="22"/>
        </w:rPr>
        <w:t>,</w:t>
      </w:r>
      <w:r w:rsidR="00463C67" w:rsidRPr="002F4964">
        <w:rPr>
          <w:szCs w:val="22"/>
          <w:vertAlign w:val="superscript"/>
        </w:rPr>
        <w:footnoteReference w:id="10"/>
      </w:r>
      <w:r w:rsidR="00463C67" w:rsidRPr="002F4964">
        <w:rPr>
          <w:szCs w:val="22"/>
        </w:rPr>
        <w:t xml:space="preserve"> and the Commission’s </w:t>
      </w:r>
      <w:r w:rsidR="00463C67" w:rsidRPr="002F4964">
        <w:rPr>
          <w:i/>
          <w:szCs w:val="22"/>
        </w:rPr>
        <w:t xml:space="preserve">Forfeiture Policy </w:t>
      </w:r>
      <w:r w:rsidR="00463C67" w:rsidRPr="002F4964">
        <w:rPr>
          <w:rFonts w:eastAsia="MS Mincho"/>
          <w:i/>
          <w:szCs w:val="22"/>
        </w:rPr>
        <w:t>Statement</w:t>
      </w:r>
      <w:r w:rsidR="00463C67" w:rsidRPr="002F4964">
        <w:rPr>
          <w:szCs w:val="22"/>
        </w:rPr>
        <w:t>.</w:t>
      </w:r>
      <w:r w:rsidR="00463C67" w:rsidRPr="002F4964">
        <w:rPr>
          <w:rStyle w:val="FootnoteReference"/>
          <w:sz w:val="22"/>
          <w:szCs w:val="22"/>
        </w:rPr>
        <w:footnoteReference w:id="11"/>
      </w:r>
      <w:r w:rsidR="00463C67" w:rsidRPr="002F4964">
        <w:rPr>
          <w:szCs w:val="22"/>
        </w:rPr>
        <w:t xml:space="preserve">  When we assess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sidR="00463C67" w:rsidRPr="002F4964">
        <w:rPr>
          <w:szCs w:val="22"/>
          <w:vertAlign w:val="superscript"/>
        </w:rPr>
        <w:footnoteReference w:id="12"/>
      </w:r>
      <w:r w:rsidR="00463C67" w:rsidRPr="002F4964">
        <w:rPr>
          <w:szCs w:val="22"/>
        </w:rPr>
        <w:t xml:space="preserve">  As discussed below, we have fully considered People’s Broadcast’s </w:t>
      </w:r>
      <w:r w:rsidR="00007A04">
        <w:rPr>
          <w:i/>
          <w:szCs w:val="22"/>
        </w:rPr>
        <w:t>NAL Response</w:t>
      </w:r>
      <w:r w:rsidR="00007A04">
        <w:rPr>
          <w:szCs w:val="22"/>
        </w:rPr>
        <w:t>, but</w:t>
      </w:r>
      <w:r w:rsidR="000550CD" w:rsidRPr="002F4964">
        <w:rPr>
          <w:szCs w:val="22"/>
        </w:rPr>
        <w:t xml:space="preserve"> find </w:t>
      </w:r>
      <w:r w:rsidR="00007A04">
        <w:rPr>
          <w:szCs w:val="22"/>
        </w:rPr>
        <w:t xml:space="preserve">none of its arguments </w:t>
      </w:r>
      <w:r w:rsidR="000550CD" w:rsidRPr="002F4964">
        <w:rPr>
          <w:szCs w:val="22"/>
        </w:rPr>
        <w:t xml:space="preserve">persuasive and </w:t>
      </w:r>
      <w:r w:rsidR="00007A04">
        <w:rPr>
          <w:szCs w:val="22"/>
        </w:rPr>
        <w:t xml:space="preserve">affirm the </w:t>
      </w:r>
      <w:r w:rsidR="00D12049" w:rsidRPr="002F4964">
        <w:rPr>
          <w:szCs w:val="22"/>
        </w:rPr>
        <w:t>$10,000 forfeiture</w:t>
      </w:r>
      <w:r w:rsidR="00007A04">
        <w:rPr>
          <w:szCs w:val="22"/>
        </w:rPr>
        <w:t xml:space="preserve"> proposed in the </w:t>
      </w:r>
      <w:r w:rsidR="00007A04">
        <w:rPr>
          <w:i/>
          <w:szCs w:val="22"/>
        </w:rPr>
        <w:t>NAL</w:t>
      </w:r>
      <w:r w:rsidR="00D12049" w:rsidRPr="002F4964">
        <w:rPr>
          <w:szCs w:val="22"/>
        </w:rPr>
        <w:t>.</w:t>
      </w:r>
    </w:p>
    <w:p w:rsidR="00F40357" w:rsidRPr="002F4964" w:rsidRDefault="009D713E" w:rsidP="002132E1">
      <w:pPr>
        <w:pStyle w:val="Heading2"/>
        <w:rPr>
          <w:szCs w:val="22"/>
        </w:rPr>
      </w:pPr>
      <w:r w:rsidRPr="002F4964">
        <w:rPr>
          <w:szCs w:val="22"/>
        </w:rPr>
        <w:t xml:space="preserve">People’s Broadcast’s </w:t>
      </w:r>
      <w:r w:rsidR="00F40357" w:rsidRPr="002F4964">
        <w:rPr>
          <w:szCs w:val="22"/>
        </w:rPr>
        <w:t>Post-</w:t>
      </w:r>
      <w:r w:rsidR="00007A04">
        <w:rPr>
          <w:szCs w:val="22"/>
        </w:rPr>
        <w:t>Investigation</w:t>
      </w:r>
      <w:r w:rsidR="00315848" w:rsidRPr="002F4964">
        <w:rPr>
          <w:szCs w:val="22"/>
        </w:rPr>
        <w:t xml:space="preserve"> R</w:t>
      </w:r>
      <w:r w:rsidR="00032069">
        <w:rPr>
          <w:szCs w:val="22"/>
        </w:rPr>
        <w:t>emedial Efforts Do Not Warrant</w:t>
      </w:r>
      <w:r w:rsidR="00315848" w:rsidRPr="002F4964">
        <w:rPr>
          <w:szCs w:val="22"/>
        </w:rPr>
        <w:t xml:space="preserve"> </w:t>
      </w:r>
      <w:r w:rsidR="001E6F22" w:rsidRPr="002F4964">
        <w:rPr>
          <w:szCs w:val="22"/>
        </w:rPr>
        <w:t xml:space="preserve">Forfeiture </w:t>
      </w:r>
      <w:r w:rsidR="00315848" w:rsidRPr="002F4964">
        <w:rPr>
          <w:szCs w:val="22"/>
        </w:rPr>
        <w:t>Reduction</w:t>
      </w:r>
      <w:r w:rsidR="001E6F22" w:rsidRPr="002F4964">
        <w:rPr>
          <w:szCs w:val="22"/>
        </w:rPr>
        <w:t xml:space="preserve"> or Cancellation</w:t>
      </w:r>
      <w:r w:rsidR="00315848" w:rsidRPr="002F4964">
        <w:rPr>
          <w:szCs w:val="22"/>
        </w:rPr>
        <w:t xml:space="preserve"> </w:t>
      </w:r>
    </w:p>
    <w:p w:rsidR="006855F5" w:rsidRPr="002F4964" w:rsidRDefault="00D83BFD" w:rsidP="002132E1">
      <w:pPr>
        <w:spacing w:after="120"/>
        <w:ind w:firstLine="720"/>
        <w:rPr>
          <w:szCs w:val="22"/>
        </w:rPr>
      </w:pPr>
      <w:r>
        <w:rPr>
          <w:szCs w:val="22"/>
        </w:rPr>
        <w:t>5</w:t>
      </w:r>
      <w:r w:rsidR="00027739" w:rsidRPr="002F4964">
        <w:rPr>
          <w:szCs w:val="22"/>
        </w:rPr>
        <w:t xml:space="preserve">. </w:t>
      </w:r>
      <w:r w:rsidR="00027739" w:rsidRPr="002F4964">
        <w:rPr>
          <w:szCs w:val="22"/>
        </w:rPr>
        <w:tab/>
      </w:r>
      <w:r w:rsidR="00F40357" w:rsidRPr="002F4964">
        <w:rPr>
          <w:szCs w:val="22"/>
        </w:rPr>
        <w:t xml:space="preserve">People’s Broadcast does not </w:t>
      </w:r>
      <w:r w:rsidR="00007A04">
        <w:rPr>
          <w:szCs w:val="22"/>
        </w:rPr>
        <w:t xml:space="preserve">deny that it </w:t>
      </w:r>
      <w:r w:rsidR="00F40357" w:rsidRPr="002F4964">
        <w:rPr>
          <w:szCs w:val="22"/>
        </w:rPr>
        <w:t xml:space="preserve">failed </w:t>
      </w:r>
      <w:r w:rsidR="00315848" w:rsidRPr="002F4964">
        <w:rPr>
          <w:szCs w:val="22"/>
        </w:rPr>
        <w:t>to enclose Station WDJZ’s three-tower array within</w:t>
      </w:r>
      <w:r w:rsidR="00C03162" w:rsidRPr="002F4964">
        <w:rPr>
          <w:szCs w:val="22"/>
        </w:rPr>
        <w:t xml:space="preserve"> </w:t>
      </w:r>
      <w:r w:rsidR="00315848" w:rsidRPr="002F4964">
        <w:rPr>
          <w:szCs w:val="22"/>
        </w:rPr>
        <w:t>effective locked fences or other enclosures</w:t>
      </w:r>
      <w:r w:rsidR="0045678C" w:rsidRPr="002F4964">
        <w:rPr>
          <w:szCs w:val="22"/>
        </w:rPr>
        <w:t>.</w:t>
      </w:r>
      <w:r w:rsidR="00F40357" w:rsidRPr="002F4964">
        <w:rPr>
          <w:rStyle w:val="FootnoteReference"/>
          <w:sz w:val="22"/>
          <w:szCs w:val="22"/>
        </w:rPr>
        <w:footnoteReference w:id="13"/>
      </w:r>
      <w:r w:rsidR="0045678C" w:rsidRPr="002F4964">
        <w:rPr>
          <w:szCs w:val="22"/>
        </w:rPr>
        <w:t xml:space="preserve"> </w:t>
      </w:r>
      <w:r w:rsidR="002B42AE">
        <w:rPr>
          <w:szCs w:val="22"/>
        </w:rPr>
        <w:t xml:space="preserve"> </w:t>
      </w:r>
      <w:r w:rsidR="0045678C" w:rsidRPr="002F4964">
        <w:rPr>
          <w:szCs w:val="22"/>
        </w:rPr>
        <w:t xml:space="preserve">However, People’s Broadcast states that it repaired the fences after receiving the </w:t>
      </w:r>
      <w:r w:rsidR="0045678C" w:rsidRPr="002F4964">
        <w:rPr>
          <w:i/>
          <w:szCs w:val="22"/>
        </w:rPr>
        <w:t>NAL</w:t>
      </w:r>
      <w:r w:rsidR="002B42AE">
        <w:rPr>
          <w:szCs w:val="22"/>
        </w:rPr>
        <w:t xml:space="preserve"> and currently complies</w:t>
      </w:r>
      <w:r w:rsidR="00197A7F" w:rsidRPr="002F4964">
        <w:rPr>
          <w:szCs w:val="22"/>
        </w:rPr>
        <w:t xml:space="preserve"> with S</w:t>
      </w:r>
      <w:r w:rsidR="002B42AE">
        <w:rPr>
          <w:szCs w:val="22"/>
        </w:rPr>
        <w:t>ection 73.49 of the R</w:t>
      </w:r>
      <w:r w:rsidR="00197A7F" w:rsidRPr="002F4964">
        <w:rPr>
          <w:szCs w:val="22"/>
        </w:rPr>
        <w:t>ules.</w:t>
      </w:r>
      <w:r w:rsidR="00197A7F" w:rsidRPr="002F4964">
        <w:rPr>
          <w:rStyle w:val="FootnoteReference"/>
          <w:sz w:val="22"/>
          <w:szCs w:val="22"/>
        </w:rPr>
        <w:footnoteReference w:id="14"/>
      </w:r>
      <w:r w:rsidR="006710D8" w:rsidRPr="002F4964">
        <w:rPr>
          <w:szCs w:val="22"/>
        </w:rPr>
        <w:t xml:space="preserve"> </w:t>
      </w:r>
      <w:r w:rsidR="002B42AE">
        <w:rPr>
          <w:szCs w:val="22"/>
        </w:rPr>
        <w:t xml:space="preserve"> </w:t>
      </w:r>
      <w:r w:rsidR="006F7EC3" w:rsidRPr="001B5FE6">
        <w:t xml:space="preserve">While the Commission will generally reduce an assessed forfeiture based on the good faith corrective efforts of a </w:t>
      </w:r>
      <w:r w:rsidR="006F7EC3" w:rsidRPr="001B5FE6">
        <w:rPr>
          <w:szCs w:val="22"/>
        </w:rPr>
        <w:t xml:space="preserve">violator, those corrective efforts must be taken </w:t>
      </w:r>
      <w:r w:rsidR="006F7EC3" w:rsidRPr="001B5FE6">
        <w:rPr>
          <w:i/>
          <w:szCs w:val="22"/>
        </w:rPr>
        <w:t xml:space="preserve">prior </w:t>
      </w:r>
      <w:r w:rsidR="006F7EC3" w:rsidRPr="001B5FE6">
        <w:rPr>
          <w:szCs w:val="22"/>
        </w:rPr>
        <w:t>to notification of the violation.</w:t>
      </w:r>
      <w:r w:rsidR="006F7EC3" w:rsidRPr="001B5FE6">
        <w:rPr>
          <w:rStyle w:val="FootnoteReference"/>
          <w:szCs w:val="22"/>
        </w:rPr>
        <w:footnoteReference w:id="15"/>
      </w:r>
      <w:r w:rsidR="006F7EC3" w:rsidRPr="001B5FE6">
        <w:rPr>
          <w:szCs w:val="22"/>
        </w:rPr>
        <w:t xml:space="preserve">  As the Commission has repeatedly stated, “corrective action taken to come into compliance with Commission </w:t>
      </w:r>
      <w:r w:rsidR="006F7EC3" w:rsidRPr="001B5FE6">
        <w:rPr>
          <w:szCs w:val="22"/>
        </w:rPr>
        <w:lastRenderedPageBreak/>
        <w:t>rules or policy is expected, and does not nullify or mitigate any prior forfeitures or violations</w:t>
      </w:r>
      <w:r w:rsidR="006F7EC3">
        <w:t>.”</w:t>
      </w:r>
      <w:r w:rsidR="006F7EC3">
        <w:rPr>
          <w:rStyle w:val="FootnoteReference"/>
        </w:rPr>
        <w:footnoteReference w:id="16"/>
      </w:r>
      <w:r w:rsidR="006F7EC3">
        <w:t xml:space="preserve">  </w:t>
      </w:r>
      <w:r w:rsidR="00A2305F" w:rsidRPr="002F4964">
        <w:rPr>
          <w:szCs w:val="22"/>
        </w:rPr>
        <w:t xml:space="preserve">Here, People’s </w:t>
      </w:r>
      <w:r w:rsidR="006710D8" w:rsidRPr="002F4964">
        <w:rPr>
          <w:szCs w:val="22"/>
        </w:rPr>
        <w:t xml:space="preserve">Broadcast </w:t>
      </w:r>
      <w:r w:rsidR="00A2305F" w:rsidRPr="002F4964">
        <w:rPr>
          <w:szCs w:val="22"/>
        </w:rPr>
        <w:t xml:space="preserve">only repaired the fences after the Enforcement Bureau </w:t>
      </w:r>
      <w:r w:rsidR="006710D8" w:rsidRPr="002F4964">
        <w:rPr>
          <w:szCs w:val="22"/>
        </w:rPr>
        <w:t xml:space="preserve">notified </w:t>
      </w:r>
      <w:r w:rsidR="006F7EC3">
        <w:rPr>
          <w:szCs w:val="22"/>
        </w:rPr>
        <w:t>it that it violated Section 73.49 of the R</w:t>
      </w:r>
      <w:r w:rsidR="006710D8" w:rsidRPr="002F4964">
        <w:rPr>
          <w:szCs w:val="22"/>
        </w:rPr>
        <w:t>ules.</w:t>
      </w:r>
      <w:r w:rsidR="00BC38B4" w:rsidRPr="002F4964">
        <w:rPr>
          <w:rStyle w:val="FootnoteReference"/>
          <w:sz w:val="22"/>
          <w:szCs w:val="22"/>
        </w:rPr>
        <w:footnoteReference w:id="17"/>
      </w:r>
      <w:r w:rsidR="006710D8" w:rsidRPr="002F4964">
        <w:rPr>
          <w:szCs w:val="22"/>
        </w:rPr>
        <w:t xml:space="preserve"> </w:t>
      </w:r>
      <w:r w:rsidR="00032069">
        <w:rPr>
          <w:szCs w:val="22"/>
        </w:rPr>
        <w:t>Such post-investigation remedial efforts do not warrant forfeiture cancellation or reduction.</w:t>
      </w:r>
    </w:p>
    <w:p w:rsidR="00BC38B4" w:rsidRPr="002F4964" w:rsidRDefault="006E52A3" w:rsidP="002132E1">
      <w:pPr>
        <w:pStyle w:val="Heading2"/>
        <w:rPr>
          <w:szCs w:val="22"/>
        </w:rPr>
      </w:pPr>
      <w:r w:rsidRPr="002F4964">
        <w:rPr>
          <w:szCs w:val="22"/>
        </w:rPr>
        <w:t>People’s Broadcast</w:t>
      </w:r>
      <w:r w:rsidR="00687643">
        <w:rPr>
          <w:szCs w:val="22"/>
        </w:rPr>
        <w:t xml:space="preserve"> Did Not Demonstrate an Inability to Pay the Forfeiture</w:t>
      </w:r>
    </w:p>
    <w:p w:rsidR="00D83BFD" w:rsidRDefault="00D83BFD" w:rsidP="00D83BFD">
      <w:pPr>
        <w:pStyle w:val="ParaNum"/>
        <w:keepNext/>
        <w:numPr>
          <w:ilvl w:val="0"/>
          <w:numId w:val="0"/>
        </w:numPr>
        <w:ind w:firstLine="720"/>
        <w:rPr>
          <w:szCs w:val="22"/>
        </w:rPr>
      </w:pPr>
      <w:r>
        <w:rPr>
          <w:spacing w:val="-2"/>
          <w:szCs w:val="22"/>
        </w:rPr>
        <w:t>6</w:t>
      </w:r>
      <w:r w:rsidR="006855F5" w:rsidRPr="002F4964">
        <w:rPr>
          <w:spacing w:val="-2"/>
          <w:szCs w:val="22"/>
        </w:rPr>
        <w:t xml:space="preserve">. </w:t>
      </w:r>
      <w:r w:rsidR="006855F5" w:rsidRPr="002F4964">
        <w:rPr>
          <w:spacing w:val="-2"/>
          <w:szCs w:val="22"/>
        </w:rPr>
        <w:tab/>
        <w:t xml:space="preserve">People’s Broadcast </w:t>
      </w:r>
      <w:r w:rsidR="00167701" w:rsidRPr="002F4964">
        <w:rPr>
          <w:spacing w:val="-2"/>
          <w:szCs w:val="22"/>
        </w:rPr>
        <w:t>asserts</w:t>
      </w:r>
      <w:r w:rsidR="006855F5" w:rsidRPr="002F4964">
        <w:rPr>
          <w:spacing w:val="-2"/>
          <w:szCs w:val="22"/>
        </w:rPr>
        <w:t xml:space="preserve"> that it is unable to pay the</w:t>
      </w:r>
      <w:r w:rsidR="00601180" w:rsidRPr="002F4964">
        <w:rPr>
          <w:spacing w:val="-2"/>
          <w:szCs w:val="22"/>
        </w:rPr>
        <w:t xml:space="preserve"> proposed forfeiture</w:t>
      </w:r>
      <w:r w:rsidR="005B6CFA" w:rsidRPr="002F4964">
        <w:rPr>
          <w:spacing w:val="-2"/>
          <w:szCs w:val="22"/>
        </w:rPr>
        <w:t xml:space="preserve"> because </w:t>
      </w:r>
      <w:r w:rsidR="006507A6" w:rsidRPr="002F4964">
        <w:rPr>
          <w:spacing w:val="-2"/>
          <w:szCs w:val="22"/>
        </w:rPr>
        <w:t>“</w:t>
      </w:r>
      <w:r w:rsidR="005B6CFA" w:rsidRPr="002F4964">
        <w:rPr>
          <w:spacing w:val="-2"/>
          <w:szCs w:val="22"/>
        </w:rPr>
        <w:t>WDJZ</w:t>
      </w:r>
      <w:r w:rsidR="00471401" w:rsidRPr="002F4964">
        <w:rPr>
          <w:spacing w:val="-2"/>
          <w:szCs w:val="22"/>
        </w:rPr>
        <w:t>’s</w:t>
      </w:r>
      <w:r w:rsidR="005B6CFA" w:rsidRPr="002F4964">
        <w:rPr>
          <w:spacing w:val="-2"/>
          <w:szCs w:val="22"/>
        </w:rPr>
        <w:t xml:space="preserve"> revenue</w:t>
      </w:r>
      <w:r w:rsidR="00471401" w:rsidRPr="002F4964">
        <w:rPr>
          <w:spacing w:val="-2"/>
          <w:szCs w:val="22"/>
        </w:rPr>
        <w:t>s have been quite small and the station has not been a financial success.”</w:t>
      </w:r>
      <w:r w:rsidR="00471401" w:rsidRPr="002F4964">
        <w:rPr>
          <w:rStyle w:val="FootnoteReference"/>
          <w:spacing w:val="-2"/>
          <w:sz w:val="22"/>
          <w:szCs w:val="22"/>
        </w:rPr>
        <w:footnoteReference w:id="18"/>
      </w:r>
      <w:r w:rsidR="003F4D8D">
        <w:rPr>
          <w:spacing w:val="-2"/>
          <w:szCs w:val="22"/>
        </w:rPr>
        <w:t xml:space="preserve">  </w:t>
      </w:r>
      <w:r w:rsidR="003D651F" w:rsidRPr="000C287D">
        <w:t>W</w:t>
      </w:r>
      <w:r>
        <w:t>ith regard to an</w:t>
      </w:r>
      <w:r w:rsidR="003D651F" w:rsidRPr="000C287D">
        <w:t xml:space="preserve"> entity’s inability to pay claim, the Commission has determined that, in general, gross income or revenues are the best indicator of an ability to pay a forfeiture.</w:t>
      </w:r>
      <w:bookmarkStart w:id="3" w:name="_Ref350932452"/>
      <w:r w:rsidR="003D651F" w:rsidRPr="000C287D">
        <w:rPr>
          <w:rStyle w:val="FootnoteCharacters"/>
        </w:rPr>
        <w:footnoteReference w:id="19"/>
      </w:r>
      <w:bookmarkEnd w:id="3"/>
      <w:r w:rsidR="003D651F" w:rsidRPr="000C287D">
        <w:t xml:space="preserve">  </w:t>
      </w:r>
      <w:r w:rsidR="00BA4C07" w:rsidRPr="002F4964">
        <w:rPr>
          <w:spacing w:val="-2"/>
          <w:szCs w:val="22"/>
        </w:rPr>
        <w:t xml:space="preserve">When an </w:t>
      </w:r>
      <w:r w:rsidR="00BA4C07" w:rsidRPr="002F4964">
        <w:rPr>
          <w:szCs w:val="22"/>
        </w:rPr>
        <w:t xml:space="preserve">entity </w:t>
      </w:r>
      <w:r w:rsidR="00167701" w:rsidRPr="002F4964">
        <w:rPr>
          <w:szCs w:val="22"/>
        </w:rPr>
        <w:t>declares</w:t>
      </w:r>
      <w:r w:rsidR="003F4D8D">
        <w:rPr>
          <w:szCs w:val="22"/>
        </w:rPr>
        <w:t xml:space="preserve"> that it is unable to pay a</w:t>
      </w:r>
      <w:r w:rsidR="00BA4C07" w:rsidRPr="002F4964">
        <w:rPr>
          <w:szCs w:val="22"/>
        </w:rPr>
        <w:t xml:space="preserve"> proposed forfeiture, the Commission requires </w:t>
      </w:r>
      <w:r>
        <w:rPr>
          <w:szCs w:val="22"/>
        </w:rPr>
        <w:t>it</w:t>
      </w:r>
      <w:r w:rsidR="00BA4C07" w:rsidRPr="002F4964">
        <w:rPr>
          <w:szCs w:val="22"/>
        </w:rPr>
        <w:t xml:space="preserve"> to provide</w:t>
      </w:r>
      <w:r w:rsidR="00BA4C07" w:rsidRPr="00AC5429">
        <w:rPr>
          <w:szCs w:val="22"/>
        </w:rPr>
        <w:t xml:space="preserve"> tax returns </w:t>
      </w:r>
      <w:r w:rsidR="003F4D8D">
        <w:rPr>
          <w:szCs w:val="22"/>
        </w:rPr>
        <w:t>or</w:t>
      </w:r>
      <w:r w:rsidR="00BA4C07" w:rsidRPr="00AC5429">
        <w:rPr>
          <w:szCs w:val="22"/>
        </w:rPr>
        <w:t xml:space="preserve"> other </w:t>
      </w:r>
      <w:r w:rsidR="00883B8E">
        <w:rPr>
          <w:szCs w:val="22"/>
        </w:rPr>
        <w:t xml:space="preserve">reliable </w:t>
      </w:r>
      <w:r w:rsidR="00BA4C07" w:rsidRPr="00AC5429">
        <w:rPr>
          <w:szCs w:val="22"/>
        </w:rPr>
        <w:t xml:space="preserve">financial </w:t>
      </w:r>
      <w:r w:rsidR="00883B8E">
        <w:rPr>
          <w:szCs w:val="22"/>
        </w:rPr>
        <w:t xml:space="preserve">documentation </w:t>
      </w:r>
      <w:r w:rsidR="00883B8E">
        <w:rPr>
          <w:spacing w:val="-2"/>
          <w:szCs w:val="22"/>
        </w:rPr>
        <w:t>that accurately reflects the entity’s current financial status</w:t>
      </w:r>
      <w:r w:rsidR="00BA4C07" w:rsidRPr="002F4964">
        <w:rPr>
          <w:szCs w:val="22"/>
        </w:rPr>
        <w:t>.</w:t>
      </w:r>
      <w:r w:rsidR="00167701" w:rsidRPr="002F4964">
        <w:rPr>
          <w:rStyle w:val="FootnoteReference"/>
          <w:sz w:val="22"/>
          <w:szCs w:val="22"/>
        </w:rPr>
        <w:footnoteReference w:id="20"/>
      </w:r>
      <w:r w:rsidR="00883B8E">
        <w:rPr>
          <w:szCs w:val="22"/>
        </w:rPr>
        <w:t xml:space="preserve">  </w:t>
      </w:r>
      <w:r w:rsidR="00883B8E" w:rsidRPr="002F4964">
        <w:rPr>
          <w:szCs w:val="22"/>
        </w:rPr>
        <w:t>Without these documents,</w:t>
      </w:r>
      <w:r w:rsidR="00883B8E" w:rsidRPr="00594C6F">
        <w:rPr>
          <w:szCs w:val="22"/>
        </w:rPr>
        <w:t xml:space="preserve"> </w:t>
      </w:r>
      <w:r w:rsidR="00883B8E" w:rsidRPr="002F4964">
        <w:rPr>
          <w:szCs w:val="22"/>
        </w:rPr>
        <w:t>the entity fails to make the required showing of financial hardship.</w:t>
      </w:r>
      <w:r w:rsidR="00883B8E" w:rsidRPr="002F4964">
        <w:rPr>
          <w:rStyle w:val="FootnoteReference"/>
          <w:sz w:val="22"/>
          <w:szCs w:val="22"/>
        </w:rPr>
        <w:footnoteReference w:id="21"/>
      </w:r>
    </w:p>
    <w:p w:rsidR="00244A0A" w:rsidRDefault="00D83BFD" w:rsidP="00D83BFD">
      <w:pPr>
        <w:pStyle w:val="ParaNum"/>
        <w:keepNext/>
        <w:numPr>
          <w:ilvl w:val="0"/>
          <w:numId w:val="0"/>
        </w:numPr>
        <w:ind w:firstLine="720"/>
        <w:rPr>
          <w:spacing w:val="-2"/>
          <w:szCs w:val="22"/>
        </w:rPr>
      </w:pPr>
      <w:r>
        <w:rPr>
          <w:szCs w:val="22"/>
        </w:rPr>
        <w:t>7</w:t>
      </w:r>
      <w:r w:rsidRPr="002F4964">
        <w:rPr>
          <w:szCs w:val="22"/>
        </w:rPr>
        <w:t xml:space="preserve">. </w:t>
      </w:r>
      <w:r w:rsidRPr="002F4964">
        <w:rPr>
          <w:szCs w:val="22"/>
        </w:rPr>
        <w:tab/>
      </w:r>
      <w:r w:rsidR="003D651F">
        <w:rPr>
          <w:szCs w:val="22"/>
        </w:rPr>
        <w:t>T</w:t>
      </w:r>
      <w:r w:rsidR="00D22AAE">
        <w:rPr>
          <w:szCs w:val="22"/>
        </w:rPr>
        <w:t xml:space="preserve">he </w:t>
      </w:r>
      <w:r w:rsidR="00D22AAE">
        <w:rPr>
          <w:i/>
          <w:szCs w:val="22"/>
        </w:rPr>
        <w:t xml:space="preserve">NAL </w:t>
      </w:r>
      <w:r w:rsidR="00D22AAE">
        <w:rPr>
          <w:szCs w:val="22"/>
        </w:rPr>
        <w:t xml:space="preserve">required People’s Broadcast to support </w:t>
      </w:r>
      <w:r w:rsidR="00883B8E">
        <w:rPr>
          <w:szCs w:val="22"/>
        </w:rPr>
        <w:t>any inability to pay claim with</w:t>
      </w:r>
      <w:r w:rsidR="00883B8E">
        <w:rPr>
          <w:spacing w:val="-2"/>
          <w:szCs w:val="22"/>
        </w:rPr>
        <w:t xml:space="preserve">: (1) federal tax returns for the most recent three-year period; (2) financial statements prepared according to generally accepted accounting practices; or (3) some other reliable and objective documentation that </w:t>
      </w:r>
      <w:r w:rsidR="00003042">
        <w:rPr>
          <w:spacing w:val="-2"/>
          <w:szCs w:val="22"/>
        </w:rPr>
        <w:t>accurately reflected</w:t>
      </w:r>
      <w:r w:rsidR="003D651F">
        <w:rPr>
          <w:spacing w:val="-2"/>
          <w:szCs w:val="22"/>
        </w:rPr>
        <w:t xml:space="preserve"> its</w:t>
      </w:r>
      <w:r w:rsidR="00883B8E">
        <w:rPr>
          <w:spacing w:val="-2"/>
          <w:szCs w:val="22"/>
        </w:rPr>
        <w:t xml:space="preserve"> current financial status.</w:t>
      </w:r>
      <w:r w:rsidR="00003042">
        <w:rPr>
          <w:rStyle w:val="FootnoteReference"/>
          <w:spacing w:val="-2"/>
          <w:szCs w:val="22"/>
        </w:rPr>
        <w:footnoteReference w:id="22"/>
      </w:r>
      <w:r w:rsidR="00883B8E">
        <w:rPr>
          <w:spacing w:val="-2"/>
          <w:szCs w:val="22"/>
        </w:rPr>
        <w:t xml:space="preserve">  </w:t>
      </w:r>
      <w:r w:rsidR="00840E68">
        <w:rPr>
          <w:szCs w:val="22"/>
        </w:rPr>
        <w:t>Here</w:t>
      </w:r>
      <w:r w:rsidR="00444BA8" w:rsidRPr="002F4964">
        <w:rPr>
          <w:szCs w:val="22"/>
        </w:rPr>
        <w:t xml:space="preserve">, </w:t>
      </w:r>
      <w:r w:rsidR="00444BA8" w:rsidRPr="002F4964">
        <w:rPr>
          <w:spacing w:val="-2"/>
          <w:szCs w:val="22"/>
        </w:rPr>
        <w:t>P</w:t>
      </w:r>
      <w:r w:rsidR="005B6CFA" w:rsidRPr="002F4964">
        <w:rPr>
          <w:spacing w:val="-2"/>
          <w:szCs w:val="22"/>
        </w:rPr>
        <w:t xml:space="preserve">eople’s Broadcast provided </w:t>
      </w:r>
      <w:r w:rsidR="00840E68">
        <w:rPr>
          <w:spacing w:val="-2"/>
          <w:szCs w:val="22"/>
        </w:rPr>
        <w:t xml:space="preserve">the Enforcement Bureau with </w:t>
      </w:r>
      <w:r w:rsidR="005B6CFA" w:rsidRPr="002F4964">
        <w:rPr>
          <w:spacing w:val="-2"/>
          <w:szCs w:val="22"/>
        </w:rPr>
        <w:t>documentation of its cash receipts and disbursements</w:t>
      </w:r>
      <w:r w:rsidR="00444BA8" w:rsidRPr="002F4964">
        <w:rPr>
          <w:spacing w:val="-2"/>
          <w:szCs w:val="22"/>
        </w:rPr>
        <w:t xml:space="preserve"> from 2013</w:t>
      </w:r>
      <w:r w:rsidR="003370E5">
        <w:rPr>
          <w:spacing w:val="-2"/>
          <w:szCs w:val="22"/>
        </w:rPr>
        <w:t>, which demonstrated sufficient gross income</w:t>
      </w:r>
      <w:r w:rsidR="00003042">
        <w:rPr>
          <w:spacing w:val="-2"/>
          <w:szCs w:val="22"/>
        </w:rPr>
        <w:t xml:space="preserve"> to pay the forfeiture</w:t>
      </w:r>
      <w:r w:rsidR="00444BA8" w:rsidRPr="002F4964">
        <w:rPr>
          <w:spacing w:val="-2"/>
          <w:szCs w:val="22"/>
        </w:rPr>
        <w:t>.</w:t>
      </w:r>
      <w:r w:rsidR="00840E68">
        <w:rPr>
          <w:rStyle w:val="FootnoteReference"/>
          <w:spacing w:val="-2"/>
          <w:szCs w:val="22"/>
        </w:rPr>
        <w:footnoteReference w:id="23"/>
      </w:r>
      <w:r w:rsidR="00003042">
        <w:rPr>
          <w:spacing w:val="-2"/>
          <w:szCs w:val="22"/>
        </w:rPr>
        <w:t xml:space="preserve">  Despite repeated requests </w:t>
      </w:r>
      <w:r w:rsidR="00CB2BE9">
        <w:rPr>
          <w:spacing w:val="-2"/>
          <w:szCs w:val="22"/>
        </w:rPr>
        <w:t>from the Enforcement Bureau</w:t>
      </w:r>
      <w:r w:rsidR="00003042">
        <w:rPr>
          <w:spacing w:val="-2"/>
          <w:szCs w:val="22"/>
        </w:rPr>
        <w:t xml:space="preserve">, People’s Broadcast did not provide </w:t>
      </w:r>
      <w:r w:rsidR="00CB2BE9">
        <w:rPr>
          <w:spacing w:val="-2"/>
          <w:szCs w:val="22"/>
        </w:rPr>
        <w:t xml:space="preserve">any supplemental financial documentation regarding its current financial status.  </w:t>
      </w:r>
      <w:r w:rsidR="005B6CFA" w:rsidRPr="002F4964">
        <w:rPr>
          <w:szCs w:val="22"/>
        </w:rPr>
        <w:t xml:space="preserve">Consequently, People’s Broadcast </w:t>
      </w:r>
      <w:r w:rsidR="00073A04">
        <w:rPr>
          <w:szCs w:val="22"/>
        </w:rPr>
        <w:t>did not demonstrate an</w:t>
      </w:r>
      <w:r w:rsidR="005B6CFA" w:rsidRPr="002F4964">
        <w:rPr>
          <w:szCs w:val="22"/>
        </w:rPr>
        <w:t xml:space="preserve"> inability to pay the </w:t>
      </w:r>
      <w:r w:rsidR="00444BA8" w:rsidRPr="002F4964">
        <w:rPr>
          <w:szCs w:val="22"/>
        </w:rPr>
        <w:t>forfeiture</w:t>
      </w:r>
      <w:r w:rsidR="00073A04">
        <w:rPr>
          <w:spacing w:val="-2"/>
          <w:szCs w:val="22"/>
        </w:rPr>
        <w:t xml:space="preserve"> and</w:t>
      </w:r>
      <w:r w:rsidR="006855F5" w:rsidRPr="002F4964">
        <w:rPr>
          <w:spacing w:val="-2"/>
          <w:szCs w:val="22"/>
        </w:rPr>
        <w:t xml:space="preserve"> we </w:t>
      </w:r>
      <w:r w:rsidR="001532A2" w:rsidRPr="002F4964">
        <w:rPr>
          <w:spacing w:val="-2"/>
          <w:szCs w:val="22"/>
        </w:rPr>
        <w:t>find no basis</w:t>
      </w:r>
      <w:r w:rsidR="006855F5" w:rsidRPr="002F4964">
        <w:rPr>
          <w:spacing w:val="-2"/>
          <w:szCs w:val="22"/>
        </w:rPr>
        <w:t xml:space="preserve"> </w:t>
      </w:r>
      <w:r>
        <w:rPr>
          <w:spacing w:val="-2"/>
          <w:szCs w:val="22"/>
        </w:rPr>
        <w:t>to</w:t>
      </w:r>
      <w:r w:rsidR="006855F5" w:rsidRPr="002F4964">
        <w:rPr>
          <w:spacing w:val="-2"/>
          <w:szCs w:val="22"/>
        </w:rPr>
        <w:t xml:space="preserve"> cancel or </w:t>
      </w:r>
      <w:r>
        <w:rPr>
          <w:spacing w:val="-2"/>
          <w:szCs w:val="22"/>
        </w:rPr>
        <w:t>reduce</w:t>
      </w:r>
      <w:r w:rsidR="001532A2" w:rsidRPr="002F4964">
        <w:rPr>
          <w:spacing w:val="-2"/>
          <w:szCs w:val="22"/>
        </w:rPr>
        <w:t xml:space="preserve"> </w:t>
      </w:r>
      <w:r>
        <w:rPr>
          <w:spacing w:val="-2"/>
          <w:szCs w:val="22"/>
        </w:rPr>
        <w:t xml:space="preserve">the $10,000 penalty proposed in the </w:t>
      </w:r>
      <w:r>
        <w:rPr>
          <w:i/>
          <w:spacing w:val="-2"/>
          <w:szCs w:val="22"/>
        </w:rPr>
        <w:t>NAL</w:t>
      </w:r>
      <w:r w:rsidR="006855F5" w:rsidRPr="002F4964">
        <w:rPr>
          <w:spacing w:val="-2"/>
          <w:szCs w:val="22"/>
        </w:rPr>
        <w:t>.</w:t>
      </w:r>
    </w:p>
    <w:p w:rsidR="00244A0A" w:rsidRDefault="00244A0A" w:rsidP="00244A0A">
      <w:r>
        <w:br w:type="page"/>
      </w:r>
    </w:p>
    <w:p w:rsidR="002800A3" w:rsidRPr="002F4964" w:rsidRDefault="006D6634" w:rsidP="00073A04">
      <w:pPr>
        <w:pStyle w:val="Heading1"/>
        <w:numPr>
          <w:ilvl w:val="0"/>
          <w:numId w:val="11"/>
        </w:numPr>
      </w:pPr>
      <w:r w:rsidRPr="002F4964">
        <w:t xml:space="preserve">ORdering clauses </w:t>
      </w:r>
    </w:p>
    <w:p w:rsidR="00A00CB2" w:rsidRPr="002F4964" w:rsidRDefault="000F39CE" w:rsidP="002132E1">
      <w:pPr>
        <w:pStyle w:val="ParaNum"/>
        <w:numPr>
          <w:ilvl w:val="0"/>
          <w:numId w:val="0"/>
        </w:numPr>
        <w:ind w:firstLine="720"/>
        <w:rPr>
          <w:szCs w:val="22"/>
        </w:rPr>
      </w:pPr>
      <w:r>
        <w:rPr>
          <w:szCs w:val="22"/>
        </w:rPr>
        <w:t>8</w:t>
      </w:r>
      <w:r w:rsidR="002800A3" w:rsidRPr="002F4964">
        <w:rPr>
          <w:szCs w:val="22"/>
        </w:rPr>
        <w:t xml:space="preserve">. </w:t>
      </w:r>
      <w:r w:rsidR="002800A3" w:rsidRPr="002F4964">
        <w:rPr>
          <w:szCs w:val="22"/>
        </w:rPr>
        <w:tab/>
      </w:r>
      <w:r w:rsidR="00C435C4" w:rsidRPr="002F4964">
        <w:rPr>
          <w:szCs w:val="22"/>
        </w:rPr>
        <w:t xml:space="preserve">Accordingly, </w:t>
      </w:r>
      <w:r w:rsidR="00C435C4" w:rsidRPr="002F4964">
        <w:rPr>
          <w:b/>
          <w:szCs w:val="22"/>
        </w:rPr>
        <w:t xml:space="preserve">IT IS ORDERED </w:t>
      </w:r>
      <w:r w:rsidR="00C435C4" w:rsidRPr="002F4964">
        <w:rPr>
          <w:szCs w:val="22"/>
        </w:rPr>
        <w:t>that, pursua</w:t>
      </w:r>
      <w:r w:rsidR="00244A0A">
        <w:rPr>
          <w:szCs w:val="22"/>
        </w:rPr>
        <w:t>nt to Section 503(b) of the Act</w:t>
      </w:r>
      <w:r w:rsidR="00C435C4" w:rsidRPr="002F4964">
        <w:rPr>
          <w:rStyle w:val="FootnoteReference"/>
          <w:sz w:val="22"/>
          <w:szCs w:val="22"/>
        </w:rPr>
        <w:footnoteReference w:id="24"/>
      </w:r>
      <w:r w:rsidR="00C435C4" w:rsidRPr="002F4964">
        <w:rPr>
          <w:szCs w:val="22"/>
        </w:rPr>
        <w:t xml:space="preserve"> and Section 1.80 of the Rules,</w:t>
      </w:r>
      <w:r w:rsidR="00C435C4" w:rsidRPr="002F4964">
        <w:rPr>
          <w:rStyle w:val="FootnoteReference"/>
          <w:sz w:val="22"/>
          <w:szCs w:val="22"/>
        </w:rPr>
        <w:footnoteReference w:id="25"/>
      </w:r>
      <w:r w:rsidR="00C435C4" w:rsidRPr="002F4964">
        <w:rPr>
          <w:szCs w:val="22"/>
        </w:rPr>
        <w:t xml:space="preserve"> People’s Broadcast Network, LLC </w:t>
      </w:r>
      <w:r w:rsidR="00C435C4" w:rsidRPr="002F4964">
        <w:rPr>
          <w:b/>
          <w:szCs w:val="22"/>
        </w:rPr>
        <w:t>IS LIABLE FOR A MONETARY FORFEITURE</w:t>
      </w:r>
      <w:r w:rsidR="00244A0A">
        <w:rPr>
          <w:szCs w:val="22"/>
        </w:rPr>
        <w:t xml:space="preserve"> in the amount of ten t</w:t>
      </w:r>
      <w:r w:rsidR="00C435C4" w:rsidRPr="002F4964">
        <w:rPr>
          <w:szCs w:val="22"/>
        </w:rPr>
        <w:t>housand dollars ($10,000) for willfully and repeatedly violating Section 73.49 of the Rules.</w:t>
      </w:r>
    </w:p>
    <w:p w:rsidR="00C435C4" w:rsidRPr="002F4964" w:rsidRDefault="000F39CE" w:rsidP="002132E1">
      <w:pPr>
        <w:pStyle w:val="ParaNum"/>
        <w:numPr>
          <w:ilvl w:val="0"/>
          <w:numId w:val="0"/>
        </w:numPr>
        <w:ind w:firstLine="720"/>
        <w:rPr>
          <w:szCs w:val="22"/>
        </w:rPr>
      </w:pPr>
      <w:r>
        <w:rPr>
          <w:szCs w:val="22"/>
        </w:rPr>
        <w:t>9</w:t>
      </w:r>
      <w:r w:rsidR="00A00CB2" w:rsidRPr="002F4964">
        <w:rPr>
          <w:szCs w:val="22"/>
        </w:rPr>
        <w:t xml:space="preserve">. </w:t>
      </w:r>
      <w:r w:rsidR="00A00CB2" w:rsidRPr="002F4964">
        <w:rPr>
          <w:szCs w:val="22"/>
        </w:rPr>
        <w:tab/>
      </w:r>
      <w:r w:rsidR="00C435C4" w:rsidRPr="002F4964">
        <w:rPr>
          <w:szCs w:val="22"/>
        </w:rPr>
        <w:t>Payment of the forfeiture shall be made in the manner prov</w:t>
      </w:r>
      <w:r w:rsidR="00A00CB2" w:rsidRPr="002F4964">
        <w:rPr>
          <w:szCs w:val="22"/>
        </w:rPr>
        <w:t xml:space="preserve">ided for in Section 1.80 of the </w:t>
      </w:r>
      <w:r w:rsidR="00C435C4" w:rsidRPr="002F4964">
        <w:rPr>
          <w:szCs w:val="22"/>
        </w:rPr>
        <w:t>Rules within thirty (30) calendar days after the release of this Forfeiture Order.</w:t>
      </w:r>
      <w:r w:rsidR="00C435C4" w:rsidRPr="002F4964">
        <w:rPr>
          <w:rStyle w:val="FootnoteReference"/>
          <w:sz w:val="22"/>
          <w:szCs w:val="22"/>
        </w:rPr>
        <w:footnoteReference w:id="26"/>
      </w:r>
      <w:r w:rsidR="004F7FDA" w:rsidRPr="002F4964">
        <w:rPr>
          <w:szCs w:val="22"/>
        </w:rPr>
        <w:t xml:space="preserve"> </w:t>
      </w:r>
      <w:r w:rsidR="00244A0A">
        <w:rPr>
          <w:szCs w:val="22"/>
        </w:rPr>
        <w:t xml:space="preserve"> </w:t>
      </w:r>
      <w:r w:rsidR="00C435C4" w:rsidRPr="002F4964">
        <w:rPr>
          <w:szCs w:val="22"/>
        </w:rPr>
        <w:t>If the forfeiture is not paid within the period specified, the case may be referred to the U.S. Department of Justice for enforcement of the forfeiture pursuant to Section 504(a) of the Act.</w:t>
      </w:r>
      <w:r w:rsidR="00C435C4" w:rsidRPr="002F4964">
        <w:rPr>
          <w:rStyle w:val="FootnoteReference"/>
          <w:sz w:val="22"/>
          <w:szCs w:val="22"/>
        </w:rPr>
        <w:footnoteReference w:id="27"/>
      </w:r>
      <w:r w:rsidR="00C435C4" w:rsidRPr="002F4964">
        <w:rPr>
          <w:szCs w:val="22"/>
        </w:rPr>
        <w:t xml:space="preserve">  </w:t>
      </w:r>
    </w:p>
    <w:p w:rsidR="00C435C4" w:rsidRPr="002F4964" w:rsidRDefault="000F39CE" w:rsidP="002132E1">
      <w:pPr>
        <w:pStyle w:val="ParaNum"/>
        <w:numPr>
          <w:ilvl w:val="0"/>
          <w:numId w:val="0"/>
        </w:numPr>
        <w:ind w:firstLine="720"/>
        <w:rPr>
          <w:szCs w:val="22"/>
        </w:rPr>
      </w:pPr>
      <w:r>
        <w:rPr>
          <w:szCs w:val="22"/>
        </w:rPr>
        <w:t>10</w:t>
      </w:r>
      <w:r w:rsidR="00A00CB2" w:rsidRPr="002F4964">
        <w:rPr>
          <w:szCs w:val="22"/>
        </w:rPr>
        <w:t>.</w:t>
      </w:r>
      <w:r w:rsidR="00A00CB2" w:rsidRPr="002F4964">
        <w:rPr>
          <w:szCs w:val="22"/>
        </w:rPr>
        <w:tab/>
        <w:t xml:space="preserve"> </w:t>
      </w:r>
      <w:r w:rsidR="00C435C4" w:rsidRPr="002F4964">
        <w:rPr>
          <w:szCs w:val="22"/>
        </w:rPr>
        <w:t>Payment of the forfeiture must be made by check or similar instrument, wire transfer, or credit card, and must include the NAL/Account Number and FRN referenced above</w:t>
      </w:r>
      <w:r w:rsidR="00115B64" w:rsidRPr="002F4964">
        <w:rPr>
          <w:szCs w:val="22"/>
        </w:rPr>
        <w:t xml:space="preserve">. </w:t>
      </w:r>
      <w:r w:rsidR="00244A0A">
        <w:rPr>
          <w:szCs w:val="22"/>
        </w:rPr>
        <w:t xml:space="preserve"> </w:t>
      </w:r>
      <w:r w:rsidR="00115B64" w:rsidRPr="002F4964">
        <w:rPr>
          <w:szCs w:val="22"/>
        </w:rPr>
        <w:t xml:space="preserve">People’s Broadcast Network, LLC </w:t>
      </w:r>
      <w:r w:rsidR="00C435C4" w:rsidRPr="002F4964">
        <w:rPr>
          <w:szCs w:val="22"/>
        </w:rPr>
        <w:t xml:space="preserve">shall send electronic notification of payment to </w:t>
      </w:r>
      <w:r w:rsidR="00244A0A" w:rsidRPr="00244A0A">
        <w:rPr>
          <w:szCs w:val="22"/>
        </w:rPr>
        <w:t>NER-Response@fcc.gov</w:t>
      </w:r>
      <w:r w:rsidR="00244A0A">
        <w:rPr>
          <w:szCs w:val="22"/>
        </w:rPr>
        <w:t xml:space="preserve"> </w:t>
      </w:r>
      <w:r w:rsidR="00C435C4" w:rsidRPr="002F4964">
        <w:rPr>
          <w:szCs w:val="22"/>
        </w:rPr>
        <w:t>on the date said payment is made.  Regardless of the form of payment, a completed FCC Form 159 (Remittance Advice) must be submitted.</w:t>
      </w:r>
      <w:r w:rsidR="00C435C4" w:rsidRPr="002F4964">
        <w:rPr>
          <w:rStyle w:val="FootnoteReference"/>
          <w:sz w:val="22"/>
          <w:szCs w:val="22"/>
        </w:rPr>
        <w:footnoteReference w:id="28"/>
      </w:r>
      <w:r w:rsidR="00C435C4" w:rsidRPr="002F4964">
        <w:rPr>
          <w:szCs w:val="22"/>
        </w:rPr>
        <w:t xml:space="preserve">  When completing the Form 159, enter the Account Number in block number 23A (call sign/other ID) and enter the letters “FORF” in block number 24A (payment type code).  Below are additional instructions that should be followed based on the form of payment selected:</w:t>
      </w:r>
    </w:p>
    <w:p w:rsidR="00C435C4" w:rsidRPr="002F4964" w:rsidRDefault="00C435C4" w:rsidP="002132E1">
      <w:pPr>
        <w:pStyle w:val="par1"/>
        <w:numPr>
          <w:ilvl w:val="0"/>
          <w:numId w:val="10"/>
        </w:numPr>
        <w:tabs>
          <w:tab w:val="clear" w:pos="1440"/>
        </w:tabs>
        <w:spacing w:after="120"/>
        <w:rPr>
          <w:sz w:val="22"/>
          <w:szCs w:val="22"/>
        </w:rPr>
      </w:pPr>
      <w:r w:rsidRPr="002F4964">
        <w:rPr>
          <w:sz w:val="22"/>
          <w:szCs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2F4964">
        <w:rPr>
          <w:sz w:val="22"/>
          <w:szCs w:val="22"/>
        </w:rPr>
        <w:noBreakHyphen/>
        <w:t>MO-C2-GL, 1005 Convention Plaza, St. Louis, MO 63101.</w:t>
      </w:r>
    </w:p>
    <w:p w:rsidR="00C435C4" w:rsidRPr="002F4964" w:rsidRDefault="00C435C4" w:rsidP="002132E1">
      <w:pPr>
        <w:pStyle w:val="par1"/>
        <w:numPr>
          <w:ilvl w:val="0"/>
          <w:numId w:val="10"/>
        </w:numPr>
        <w:tabs>
          <w:tab w:val="clear" w:pos="1440"/>
        </w:tabs>
        <w:spacing w:after="120"/>
        <w:rPr>
          <w:sz w:val="22"/>
          <w:szCs w:val="22"/>
        </w:rPr>
      </w:pPr>
      <w:r w:rsidRPr="002F4964">
        <w:rPr>
          <w:sz w:val="22"/>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730B74" w:rsidRPr="002F4964" w:rsidRDefault="00C435C4" w:rsidP="002132E1">
      <w:pPr>
        <w:pStyle w:val="par1"/>
        <w:widowControl/>
        <w:numPr>
          <w:ilvl w:val="0"/>
          <w:numId w:val="10"/>
        </w:numPr>
        <w:tabs>
          <w:tab w:val="clear" w:pos="1440"/>
        </w:tabs>
        <w:spacing w:after="120"/>
        <w:ind w:left="1267"/>
        <w:rPr>
          <w:sz w:val="22"/>
          <w:szCs w:val="22"/>
        </w:rPr>
      </w:pPr>
      <w:r w:rsidRPr="002F4964">
        <w:rPr>
          <w:sz w:val="22"/>
          <w:szCs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56720A" w:rsidRPr="002F4964" w:rsidRDefault="00730B74" w:rsidP="002132E1">
      <w:pPr>
        <w:pStyle w:val="ParaNum"/>
        <w:numPr>
          <w:ilvl w:val="0"/>
          <w:numId w:val="0"/>
        </w:numPr>
        <w:ind w:firstLine="720"/>
        <w:rPr>
          <w:szCs w:val="22"/>
        </w:rPr>
      </w:pPr>
      <w:r w:rsidRPr="002F4964">
        <w:rPr>
          <w:szCs w:val="22"/>
        </w:rPr>
        <w:t>1</w:t>
      </w:r>
      <w:r w:rsidR="000F39CE">
        <w:rPr>
          <w:szCs w:val="22"/>
        </w:rPr>
        <w:t>1</w:t>
      </w:r>
      <w:r w:rsidRPr="002F4964">
        <w:rPr>
          <w:szCs w:val="22"/>
        </w:rPr>
        <w:t xml:space="preserve">. </w:t>
      </w:r>
      <w:r w:rsidRPr="002F4964">
        <w:rPr>
          <w:szCs w:val="22"/>
        </w:rPr>
        <w:tab/>
      </w:r>
      <w:r w:rsidR="00C435C4" w:rsidRPr="002F4964">
        <w:rPr>
          <w:szCs w:val="22"/>
        </w:rPr>
        <w:t>Any request for making full payment over time under an installment plan should be sent to:  Chief Financial Officer – Financial Operations, Federal Communications Commission, 445 12th Street, SW, Room 1</w:t>
      </w:r>
      <w:r w:rsidR="00C435C4" w:rsidRPr="002F4964">
        <w:rPr>
          <w:szCs w:val="22"/>
        </w:rPr>
        <w:noBreakHyphen/>
        <w:t>A625, Washington, DC 20554.</w:t>
      </w:r>
      <w:r w:rsidR="00C435C4" w:rsidRPr="002F4964">
        <w:rPr>
          <w:rStyle w:val="FootnoteReference"/>
          <w:sz w:val="22"/>
          <w:szCs w:val="22"/>
        </w:rPr>
        <w:footnoteReference w:id="29"/>
      </w:r>
      <w:r w:rsidR="00C435C4" w:rsidRPr="002F4964">
        <w:rPr>
          <w:szCs w:val="22"/>
        </w:rPr>
        <w:t xml:space="preserve">  Questions regarding payment procedures should be directed to the Financial Operations Group Help Desk by telephone, 1-877-480-3201, or by e-mail, </w:t>
      </w:r>
      <w:r w:rsidR="004F7FDA" w:rsidRPr="002F4964">
        <w:rPr>
          <w:szCs w:val="22"/>
        </w:rPr>
        <w:t>ARINQUIRIES@fcc.gov</w:t>
      </w:r>
      <w:r w:rsidR="00C435C4" w:rsidRPr="002F4964">
        <w:rPr>
          <w:szCs w:val="22"/>
        </w:rPr>
        <w:t>.</w:t>
      </w:r>
    </w:p>
    <w:p w:rsidR="004F7FDA" w:rsidRPr="002F4964" w:rsidRDefault="00D83BFD" w:rsidP="000F4500">
      <w:pPr>
        <w:pStyle w:val="ParaNum"/>
        <w:widowControl/>
        <w:numPr>
          <w:ilvl w:val="0"/>
          <w:numId w:val="0"/>
        </w:numPr>
        <w:ind w:firstLine="720"/>
        <w:rPr>
          <w:szCs w:val="22"/>
        </w:rPr>
      </w:pPr>
      <w:r>
        <w:rPr>
          <w:szCs w:val="22"/>
        </w:rPr>
        <w:t>1</w:t>
      </w:r>
      <w:r w:rsidR="000F39CE">
        <w:rPr>
          <w:szCs w:val="22"/>
        </w:rPr>
        <w:t>2</w:t>
      </w:r>
      <w:r w:rsidR="0056720A" w:rsidRPr="002F4964">
        <w:rPr>
          <w:szCs w:val="22"/>
        </w:rPr>
        <w:t>.</w:t>
      </w:r>
      <w:r w:rsidR="0056720A" w:rsidRPr="002F4964">
        <w:rPr>
          <w:b/>
          <w:szCs w:val="22"/>
        </w:rPr>
        <w:t xml:space="preserve"> </w:t>
      </w:r>
      <w:r w:rsidR="0056720A" w:rsidRPr="002F4964">
        <w:rPr>
          <w:b/>
          <w:szCs w:val="22"/>
        </w:rPr>
        <w:tab/>
      </w:r>
      <w:r w:rsidR="004F7FDA" w:rsidRPr="002F4964">
        <w:rPr>
          <w:b/>
          <w:szCs w:val="22"/>
        </w:rPr>
        <w:t>IT IS FURTHER ORDERED</w:t>
      </w:r>
      <w:r w:rsidR="004F7FDA" w:rsidRPr="002F4964">
        <w:rPr>
          <w:szCs w:val="22"/>
        </w:rPr>
        <w:t xml:space="preserve"> that a copy of this Forfeiture Order shall be sent by first class mail and certified mail</w:t>
      </w:r>
      <w:r w:rsidR="00C424DD" w:rsidRPr="002F4964">
        <w:rPr>
          <w:szCs w:val="22"/>
        </w:rPr>
        <w:t>, return receipt requested, to People’s Broadcast Network, LLC</w:t>
      </w:r>
      <w:r w:rsidR="004F7FDA" w:rsidRPr="002F4964">
        <w:rPr>
          <w:szCs w:val="22"/>
        </w:rPr>
        <w:t xml:space="preserve">, </w:t>
      </w:r>
      <w:r w:rsidR="003E68A6" w:rsidRPr="002F4964">
        <w:rPr>
          <w:szCs w:val="22"/>
        </w:rPr>
        <w:t>211</w:t>
      </w:r>
      <w:r w:rsidR="00E07504" w:rsidRPr="002F4964">
        <w:rPr>
          <w:szCs w:val="22"/>
        </w:rPr>
        <w:t xml:space="preserve"> </w:t>
      </w:r>
      <w:r w:rsidR="003E68A6" w:rsidRPr="002F4964">
        <w:rPr>
          <w:szCs w:val="22"/>
        </w:rPr>
        <w:t xml:space="preserve">State </w:t>
      </w:r>
      <w:r w:rsidR="00C300C4" w:rsidRPr="002F4964">
        <w:rPr>
          <w:szCs w:val="22"/>
        </w:rPr>
        <w:t>Street</w:t>
      </w:r>
      <w:r w:rsidR="004F7FDA" w:rsidRPr="002F4964">
        <w:rPr>
          <w:szCs w:val="22"/>
        </w:rPr>
        <w:t>,</w:t>
      </w:r>
      <w:r w:rsidR="00E07504" w:rsidRPr="002F4964">
        <w:rPr>
          <w:szCs w:val="22"/>
        </w:rPr>
        <w:t xml:space="preserve"> </w:t>
      </w:r>
      <w:r w:rsidR="00C300C4" w:rsidRPr="002F4964">
        <w:rPr>
          <w:szCs w:val="22"/>
        </w:rPr>
        <w:t>Bridgeport</w:t>
      </w:r>
      <w:r w:rsidR="00E07504" w:rsidRPr="002F4964">
        <w:rPr>
          <w:szCs w:val="22"/>
        </w:rPr>
        <w:t xml:space="preserve">, Connecticut </w:t>
      </w:r>
      <w:r w:rsidR="003E68A6" w:rsidRPr="002F4964">
        <w:rPr>
          <w:szCs w:val="22"/>
        </w:rPr>
        <w:t>06606</w:t>
      </w:r>
      <w:r w:rsidR="000F4500">
        <w:rPr>
          <w:szCs w:val="22"/>
        </w:rPr>
        <w:t>,</w:t>
      </w:r>
      <w:r w:rsidR="00C300C4" w:rsidRPr="002F4964">
        <w:rPr>
          <w:szCs w:val="22"/>
        </w:rPr>
        <w:t xml:space="preserve"> </w:t>
      </w:r>
      <w:r w:rsidR="004F7FDA" w:rsidRPr="002F4964">
        <w:rPr>
          <w:szCs w:val="22"/>
        </w:rPr>
        <w:t>a</w:t>
      </w:r>
      <w:r w:rsidR="004A35EB" w:rsidRPr="002F4964">
        <w:rPr>
          <w:szCs w:val="22"/>
        </w:rPr>
        <w:t>nd to Jerrold Miller, Esq., Miller and Neely, P.C., Suite 203, 3750 University Boulevard West, Kensington, Maryland, 20895</w:t>
      </w:r>
      <w:r w:rsidR="004F7FDA" w:rsidRPr="002F4964">
        <w:rPr>
          <w:szCs w:val="22"/>
        </w:rPr>
        <w:t>.</w:t>
      </w:r>
    </w:p>
    <w:p w:rsidR="004F7FDA" w:rsidRPr="002F4964" w:rsidRDefault="004F7FDA" w:rsidP="004F7FDA">
      <w:pPr>
        <w:rPr>
          <w:szCs w:val="22"/>
        </w:rPr>
      </w:pPr>
    </w:p>
    <w:p w:rsidR="004F7FDA" w:rsidRPr="002F4964" w:rsidRDefault="004F7FDA" w:rsidP="004F7FDA">
      <w:pPr>
        <w:rPr>
          <w:szCs w:val="22"/>
        </w:rPr>
      </w:pPr>
    </w:p>
    <w:p w:rsidR="004F7FDA" w:rsidRPr="002F4964" w:rsidRDefault="004F7FDA" w:rsidP="004F7FDA">
      <w:pPr>
        <w:ind w:left="4410"/>
        <w:rPr>
          <w:szCs w:val="22"/>
        </w:rPr>
      </w:pPr>
      <w:r w:rsidRPr="002F4964">
        <w:rPr>
          <w:szCs w:val="22"/>
        </w:rPr>
        <w:t>FEDERAL COMMUNICATIONS COMMISSION</w:t>
      </w:r>
    </w:p>
    <w:p w:rsidR="004F7FDA" w:rsidRPr="002F4964" w:rsidRDefault="004F7FDA" w:rsidP="004F7FDA">
      <w:pPr>
        <w:ind w:left="4410"/>
        <w:rPr>
          <w:szCs w:val="22"/>
        </w:rPr>
      </w:pPr>
    </w:p>
    <w:p w:rsidR="004F7FDA" w:rsidRPr="002F4964" w:rsidRDefault="004F7FDA" w:rsidP="004F7FDA">
      <w:pPr>
        <w:ind w:left="4410"/>
        <w:rPr>
          <w:szCs w:val="22"/>
        </w:rPr>
      </w:pPr>
    </w:p>
    <w:p w:rsidR="004F7FDA" w:rsidRPr="002F4964" w:rsidRDefault="004F7FDA" w:rsidP="004F7FDA">
      <w:pPr>
        <w:pStyle w:val="ParaNum"/>
        <w:numPr>
          <w:ilvl w:val="0"/>
          <w:numId w:val="0"/>
        </w:numPr>
        <w:ind w:left="720"/>
        <w:rPr>
          <w:szCs w:val="22"/>
        </w:rPr>
      </w:pPr>
      <w:r w:rsidRPr="002F4964">
        <w:rPr>
          <w:szCs w:val="22"/>
        </w:rPr>
        <w:tab/>
      </w:r>
      <w:r w:rsidRPr="002F4964">
        <w:rPr>
          <w:szCs w:val="22"/>
        </w:rPr>
        <w:tab/>
      </w:r>
      <w:r w:rsidRPr="002F4964">
        <w:rPr>
          <w:szCs w:val="22"/>
        </w:rPr>
        <w:tab/>
      </w:r>
      <w:r w:rsidRPr="002F4964">
        <w:rPr>
          <w:szCs w:val="22"/>
        </w:rPr>
        <w:tab/>
      </w:r>
      <w:r w:rsidRPr="002F4964">
        <w:rPr>
          <w:szCs w:val="22"/>
        </w:rPr>
        <w:tab/>
      </w:r>
    </w:p>
    <w:p w:rsidR="004F7FDA" w:rsidRPr="002F4964" w:rsidRDefault="004F7FDA" w:rsidP="004F7FDA">
      <w:pPr>
        <w:pStyle w:val="ParaNum"/>
        <w:numPr>
          <w:ilvl w:val="0"/>
          <w:numId w:val="0"/>
        </w:numPr>
        <w:ind w:left="720"/>
        <w:rPr>
          <w:szCs w:val="22"/>
        </w:rPr>
      </w:pPr>
    </w:p>
    <w:p w:rsidR="004F7FDA" w:rsidRPr="002F4964" w:rsidRDefault="0054240C" w:rsidP="004F7FDA">
      <w:pPr>
        <w:tabs>
          <w:tab w:val="left" w:pos="0"/>
          <w:tab w:val="left" w:pos="720"/>
          <w:tab w:val="left" w:pos="1440"/>
        </w:tabs>
        <w:suppressAutoHyphens/>
        <w:spacing w:line="240" w:lineRule="atLeast"/>
        <w:ind w:left="4410"/>
        <w:rPr>
          <w:szCs w:val="22"/>
        </w:rPr>
      </w:pPr>
      <w:r>
        <w:rPr>
          <w:szCs w:val="22"/>
        </w:rPr>
        <w:t>G. Michael Moffitt</w:t>
      </w:r>
      <w:r w:rsidR="004F7FDA" w:rsidRPr="002F4964">
        <w:rPr>
          <w:szCs w:val="22"/>
        </w:rPr>
        <w:t xml:space="preserve"> </w:t>
      </w:r>
    </w:p>
    <w:p w:rsidR="004F7FDA" w:rsidRPr="002F4964" w:rsidRDefault="0054240C" w:rsidP="004F7FDA">
      <w:pPr>
        <w:ind w:left="4410"/>
        <w:rPr>
          <w:szCs w:val="22"/>
        </w:rPr>
      </w:pPr>
      <w:r>
        <w:rPr>
          <w:szCs w:val="22"/>
        </w:rPr>
        <w:t>Regional</w:t>
      </w:r>
      <w:r w:rsidR="004F7FDA" w:rsidRPr="002F4964">
        <w:rPr>
          <w:szCs w:val="22"/>
        </w:rPr>
        <w:t xml:space="preserve"> Director</w:t>
      </w:r>
    </w:p>
    <w:p w:rsidR="004F7FDA" w:rsidRPr="002F4964" w:rsidRDefault="004F7FDA" w:rsidP="004F7FDA">
      <w:pPr>
        <w:ind w:left="4410"/>
        <w:rPr>
          <w:szCs w:val="22"/>
        </w:rPr>
      </w:pPr>
      <w:r w:rsidRPr="002F4964">
        <w:rPr>
          <w:szCs w:val="22"/>
        </w:rPr>
        <w:t>Northeast Region</w:t>
      </w:r>
    </w:p>
    <w:p w:rsidR="00BC38B4" w:rsidRPr="002F4964" w:rsidRDefault="004F7FDA" w:rsidP="000F4500">
      <w:pPr>
        <w:ind w:left="4410"/>
        <w:rPr>
          <w:szCs w:val="22"/>
        </w:rPr>
      </w:pPr>
      <w:r w:rsidRPr="002F4964">
        <w:rPr>
          <w:szCs w:val="22"/>
        </w:rPr>
        <w:t>Enforcement Bureau</w:t>
      </w:r>
    </w:p>
    <w:sectPr w:rsidR="00BC38B4" w:rsidRPr="002F49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75D" w:rsidRDefault="00D6075D" w:rsidP="001646AF">
      <w:r>
        <w:separator/>
      </w:r>
    </w:p>
  </w:endnote>
  <w:endnote w:type="continuationSeparator" w:id="0">
    <w:p w:rsidR="00D6075D" w:rsidRDefault="00D6075D" w:rsidP="0016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22" w:rsidRDefault="00330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22" w:rsidRDefault="003303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22" w:rsidRDefault="00330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75D" w:rsidRDefault="00D6075D" w:rsidP="001646AF">
      <w:r>
        <w:separator/>
      </w:r>
    </w:p>
  </w:footnote>
  <w:footnote w:type="continuationSeparator" w:id="0">
    <w:p w:rsidR="00D6075D" w:rsidRDefault="00D6075D" w:rsidP="001646AF">
      <w:r>
        <w:continuationSeparator/>
      </w:r>
    </w:p>
  </w:footnote>
  <w:footnote w:id="1">
    <w:p w:rsidR="00F430EF" w:rsidRPr="002B42AE" w:rsidRDefault="00F430EF" w:rsidP="00883B8E">
      <w:pPr>
        <w:pStyle w:val="FootnoteText"/>
      </w:pPr>
      <w:r w:rsidRPr="002B42AE">
        <w:rPr>
          <w:rStyle w:val="FootnoteReference"/>
        </w:rPr>
        <w:footnoteRef/>
      </w:r>
      <w:r w:rsidRPr="002B42AE">
        <w:t xml:space="preserve"> </w:t>
      </w:r>
      <w:r w:rsidR="00BB0A54" w:rsidRPr="002B42AE">
        <w:rPr>
          <w:i/>
        </w:rPr>
        <w:t>See People’s Broad.</w:t>
      </w:r>
      <w:r w:rsidRPr="002B42AE">
        <w:rPr>
          <w:i/>
        </w:rPr>
        <w:t xml:space="preserve"> Network, LLC</w:t>
      </w:r>
      <w:r w:rsidRPr="002B42AE">
        <w:t>,</w:t>
      </w:r>
      <w:r w:rsidRPr="002B42AE">
        <w:rPr>
          <w:i/>
        </w:rPr>
        <w:t xml:space="preserve"> </w:t>
      </w:r>
      <w:r w:rsidRPr="002B42AE">
        <w:t>Notice of Apparen</w:t>
      </w:r>
      <w:r w:rsidR="00EE12B8" w:rsidRPr="002B42AE">
        <w:t>t Liability for Forfeiture</w:t>
      </w:r>
      <w:r w:rsidR="00BB0A54" w:rsidRPr="002B42AE">
        <w:t xml:space="preserve"> and Order</w:t>
      </w:r>
      <w:r w:rsidR="00EE12B8" w:rsidRPr="002B42AE">
        <w:t>, 29</w:t>
      </w:r>
      <w:r w:rsidR="00B11EBB" w:rsidRPr="002B42AE">
        <w:t xml:space="preserve"> FCC Rcd </w:t>
      </w:r>
      <w:r w:rsidR="00EE12B8" w:rsidRPr="002B42AE">
        <w:t>2937</w:t>
      </w:r>
      <w:r w:rsidRPr="002B42AE">
        <w:t>,</w:t>
      </w:r>
      <w:r w:rsidR="00B11EBB" w:rsidRPr="002B42AE">
        <w:t xml:space="preserve"> </w:t>
      </w:r>
      <w:r w:rsidR="00EE12B8" w:rsidRPr="002B42AE">
        <w:t>2937</w:t>
      </w:r>
      <w:r w:rsidR="00B11EBB" w:rsidRPr="002B42AE">
        <w:t>, para</w:t>
      </w:r>
      <w:r w:rsidRPr="002B42AE">
        <w:t xml:space="preserve">. </w:t>
      </w:r>
      <w:r w:rsidR="00B11EBB" w:rsidRPr="002B42AE">
        <w:t>2 (2014</w:t>
      </w:r>
      <w:r w:rsidRPr="002B42AE">
        <w:t>)</w:t>
      </w:r>
      <w:r w:rsidR="00C90734" w:rsidRPr="002B42AE">
        <w:t xml:space="preserve"> (</w:t>
      </w:r>
      <w:r w:rsidR="005C42E7" w:rsidRPr="002B42AE">
        <w:rPr>
          <w:i/>
        </w:rPr>
        <w:t>NAL</w:t>
      </w:r>
      <w:r w:rsidR="005C42E7" w:rsidRPr="002B42AE">
        <w:t>)</w:t>
      </w:r>
      <w:r w:rsidR="00B11EBB" w:rsidRPr="002B42AE">
        <w:t>.</w:t>
      </w:r>
      <w:r w:rsidR="00BB0A54" w:rsidRPr="002B42AE">
        <w:t xml:space="preserve">  </w:t>
      </w:r>
      <w:r w:rsidR="00BB0A54" w:rsidRPr="002B42AE">
        <w:rPr>
          <w:iCs/>
          <w:color w:val="000000"/>
        </w:rPr>
        <w:t xml:space="preserve">The </w:t>
      </w:r>
      <w:r w:rsidR="00BB0A54" w:rsidRPr="002B42AE">
        <w:rPr>
          <w:i/>
          <w:iCs/>
          <w:color w:val="000000"/>
        </w:rPr>
        <w:t>NAL</w:t>
      </w:r>
      <w:r w:rsidR="00BB0A54" w:rsidRPr="002B42AE">
        <w:rPr>
          <w:iCs/>
          <w:color w:val="000000"/>
        </w:rPr>
        <w:t xml:space="preserve"> includes a more complete discussion of the facts and history of this case and is incorporated herein by reference.</w:t>
      </w:r>
      <w:r w:rsidR="00BB0A54" w:rsidRPr="002B42AE">
        <w:t xml:space="preserve">  </w:t>
      </w:r>
    </w:p>
  </w:footnote>
  <w:footnote w:id="2">
    <w:p w:rsidR="00B11EBB" w:rsidRPr="002B42AE" w:rsidRDefault="00B11EBB" w:rsidP="00883B8E">
      <w:pPr>
        <w:pStyle w:val="FootnoteText"/>
      </w:pPr>
      <w:r w:rsidRPr="002B42AE">
        <w:rPr>
          <w:rStyle w:val="FootnoteReference"/>
        </w:rPr>
        <w:footnoteRef/>
      </w:r>
      <w:r w:rsidRPr="002B42AE">
        <w:t xml:space="preserve"> </w:t>
      </w:r>
      <w:r w:rsidR="00B466B2" w:rsidRPr="002B42AE">
        <w:rPr>
          <w:i/>
        </w:rPr>
        <w:t>I</w:t>
      </w:r>
      <w:r w:rsidRPr="002B42AE">
        <w:rPr>
          <w:i/>
        </w:rPr>
        <w:t>d.</w:t>
      </w:r>
      <w:r w:rsidRPr="002B42AE">
        <w:t xml:space="preserve"> </w:t>
      </w:r>
    </w:p>
  </w:footnote>
  <w:footnote w:id="3">
    <w:p w:rsidR="00274465" w:rsidRPr="002B42AE" w:rsidRDefault="00274465" w:rsidP="00883B8E">
      <w:pPr>
        <w:pStyle w:val="FootnoteText"/>
        <w:rPr>
          <w:i/>
        </w:rPr>
      </w:pPr>
      <w:r w:rsidRPr="002B42AE">
        <w:rPr>
          <w:rStyle w:val="FootnoteReference"/>
        </w:rPr>
        <w:footnoteRef/>
      </w:r>
      <w:r w:rsidRPr="002B42AE">
        <w:t xml:space="preserve"> </w:t>
      </w:r>
      <w:r w:rsidR="00B466B2" w:rsidRPr="002B42AE">
        <w:rPr>
          <w:i/>
        </w:rPr>
        <w:t>I</w:t>
      </w:r>
      <w:r w:rsidRPr="002B42AE">
        <w:rPr>
          <w:i/>
        </w:rPr>
        <w:t>d.</w:t>
      </w:r>
    </w:p>
  </w:footnote>
  <w:footnote w:id="4">
    <w:p w:rsidR="00B466B2" w:rsidRPr="002B42AE" w:rsidRDefault="00B466B2" w:rsidP="00883B8E">
      <w:pPr>
        <w:pStyle w:val="FootnoteText"/>
        <w:rPr>
          <w:i/>
        </w:rPr>
      </w:pPr>
      <w:r w:rsidRPr="002B42AE">
        <w:rPr>
          <w:rStyle w:val="FootnoteReference"/>
        </w:rPr>
        <w:footnoteRef/>
      </w:r>
      <w:r w:rsidRPr="002B42AE">
        <w:t xml:space="preserve"> </w:t>
      </w:r>
      <w:r w:rsidRPr="002B42AE">
        <w:rPr>
          <w:i/>
        </w:rPr>
        <w:t xml:space="preserve">Id. </w:t>
      </w:r>
      <w:r w:rsidRPr="002B42AE">
        <w:t>at 2937, para. 3.</w:t>
      </w:r>
    </w:p>
  </w:footnote>
  <w:footnote w:id="5">
    <w:p w:rsidR="00EB6AC1" w:rsidRPr="002B42AE" w:rsidRDefault="00EB6AC1" w:rsidP="00883B8E">
      <w:pPr>
        <w:pStyle w:val="FootnoteText"/>
      </w:pPr>
      <w:r w:rsidRPr="002B42AE">
        <w:rPr>
          <w:rStyle w:val="FootnoteReference"/>
        </w:rPr>
        <w:footnoteRef/>
      </w:r>
      <w:r w:rsidRPr="002B42AE">
        <w:t xml:space="preserve"> </w:t>
      </w:r>
      <w:r w:rsidRPr="002B42AE">
        <w:rPr>
          <w:i/>
        </w:rPr>
        <w:t>See id.</w:t>
      </w:r>
      <w:r w:rsidRPr="002B42AE">
        <w:t xml:space="preserve"> at </w:t>
      </w:r>
      <w:r w:rsidR="00096FAB" w:rsidRPr="002B42AE">
        <w:t xml:space="preserve">2939, </w:t>
      </w:r>
      <w:r w:rsidRPr="002B42AE">
        <w:t>para</w:t>
      </w:r>
      <w:r w:rsidR="00096FAB" w:rsidRPr="002B42AE">
        <w:t>. 8</w:t>
      </w:r>
      <w:r w:rsidRPr="002B42AE">
        <w:t>; 47 C.F.R. §</w:t>
      </w:r>
      <w:r w:rsidR="001C716B" w:rsidRPr="002B42AE">
        <w:t xml:space="preserve"> 73.49 (“Antenna structures having radio frequency potential at the base . . . must be enclosed within effective locked fences or other enclosures.”).</w:t>
      </w:r>
    </w:p>
  </w:footnote>
  <w:footnote w:id="6">
    <w:p w:rsidR="001C716B" w:rsidRPr="002B42AE" w:rsidRDefault="001C716B" w:rsidP="00883B8E">
      <w:pPr>
        <w:pStyle w:val="FootnoteText"/>
      </w:pPr>
      <w:r w:rsidRPr="002B42AE">
        <w:rPr>
          <w:rStyle w:val="FootnoteReference"/>
        </w:rPr>
        <w:footnoteRef/>
      </w:r>
      <w:r w:rsidRPr="002B42AE">
        <w:t xml:space="preserve"> </w:t>
      </w:r>
      <w:r w:rsidR="00CE3EBA" w:rsidRPr="002B42AE">
        <w:rPr>
          <w:i/>
        </w:rPr>
        <w:t>People’s Broad.</w:t>
      </w:r>
      <w:r w:rsidRPr="002B42AE">
        <w:rPr>
          <w:i/>
        </w:rPr>
        <w:t xml:space="preserve"> Network, LLC</w:t>
      </w:r>
      <w:r w:rsidRPr="002B42AE">
        <w:t>, Response to Notice of Apparent Liability</w:t>
      </w:r>
      <w:r w:rsidR="00CE3EBA" w:rsidRPr="002B42AE">
        <w:t xml:space="preserve"> and Order</w:t>
      </w:r>
      <w:r w:rsidRPr="002B42AE">
        <w:t xml:space="preserve"> (Apr. 15, 2014) (on file in </w:t>
      </w:r>
      <w:r w:rsidRPr="002B42AE">
        <w:rPr>
          <w:spacing w:val="-2"/>
        </w:rPr>
        <w:t>EB-FIELDNER-13-00006508</w:t>
      </w:r>
      <w:r w:rsidR="00CE3EBA" w:rsidRPr="002B42AE">
        <w:t>) (</w:t>
      </w:r>
      <w:r w:rsidRPr="002B42AE">
        <w:rPr>
          <w:i/>
        </w:rPr>
        <w:t>NAL Response</w:t>
      </w:r>
      <w:r w:rsidRPr="002B42AE">
        <w:t xml:space="preserve">).    </w:t>
      </w:r>
    </w:p>
  </w:footnote>
  <w:footnote w:id="7">
    <w:p w:rsidR="00A41934" w:rsidRPr="002B42AE" w:rsidRDefault="00A41934" w:rsidP="00883B8E">
      <w:pPr>
        <w:pStyle w:val="FootnoteText"/>
      </w:pPr>
      <w:r w:rsidRPr="002B42AE">
        <w:rPr>
          <w:rStyle w:val="FootnoteReference"/>
        </w:rPr>
        <w:footnoteRef/>
      </w:r>
      <w:r w:rsidRPr="002B42AE">
        <w:t xml:space="preserve"> </w:t>
      </w:r>
      <w:r w:rsidR="002E662D" w:rsidRPr="002B42AE">
        <w:rPr>
          <w:i/>
        </w:rPr>
        <w:t xml:space="preserve">Id. </w:t>
      </w:r>
      <w:r w:rsidR="002E662D" w:rsidRPr="002B42AE">
        <w:t>at 1.</w:t>
      </w:r>
    </w:p>
  </w:footnote>
  <w:footnote w:id="8">
    <w:p w:rsidR="00A41934" w:rsidRPr="002B42AE" w:rsidRDefault="00A41934" w:rsidP="00883B8E">
      <w:pPr>
        <w:pStyle w:val="FootnoteText"/>
      </w:pPr>
      <w:r w:rsidRPr="00991F09">
        <w:rPr>
          <w:rStyle w:val="FootnoteReference"/>
        </w:rPr>
        <w:footnoteRef/>
      </w:r>
      <w:r w:rsidR="005D6D72" w:rsidRPr="00991F09">
        <w:t xml:space="preserve"> </w:t>
      </w:r>
      <w:r w:rsidR="002E662D" w:rsidRPr="002B42AE">
        <w:rPr>
          <w:i/>
        </w:rPr>
        <w:t xml:space="preserve">Id. </w:t>
      </w:r>
      <w:r w:rsidR="002E662D" w:rsidRPr="002B42AE">
        <w:t>at 2.</w:t>
      </w:r>
    </w:p>
  </w:footnote>
  <w:footnote w:id="9">
    <w:p w:rsidR="00463C67" w:rsidRPr="002B42AE" w:rsidRDefault="00463C67" w:rsidP="00883B8E">
      <w:pPr>
        <w:pStyle w:val="FootnoteText"/>
      </w:pPr>
      <w:r w:rsidRPr="002B42AE">
        <w:rPr>
          <w:rStyle w:val="FootnoteReference"/>
        </w:rPr>
        <w:footnoteRef/>
      </w:r>
      <w:r w:rsidRPr="002B42AE">
        <w:t xml:space="preserve"> </w:t>
      </w:r>
      <w:r w:rsidRPr="002B42AE">
        <w:rPr>
          <w:color w:val="000000"/>
        </w:rPr>
        <w:t>47 U.S.C. § 503(b).</w:t>
      </w:r>
    </w:p>
  </w:footnote>
  <w:footnote w:id="10">
    <w:p w:rsidR="00463C67" w:rsidRPr="002B42AE" w:rsidRDefault="00463C67" w:rsidP="00883B8E">
      <w:pPr>
        <w:pStyle w:val="FootnoteText"/>
      </w:pPr>
      <w:r w:rsidRPr="002B42AE">
        <w:rPr>
          <w:rStyle w:val="FootnoteReference"/>
        </w:rPr>
        <w:footnoteRef/>
      </w:r>
      <w:r w:rsidRPr="002B42AE">
        <w:t xml:space="preserve"> 47 C.F.R. § 1.80.</w:t>
      </w:r>
    </w:p>
  </w:footnote>
  <w:footnote w:id="11">
    <w:p w:rsidR="00463C67" w:rsidRPr="002B42AE" w:rsidRDefault="00463C67" w:rsidP="00883B8E">
      <w:pPr>
        <w:pStyle w:val="FootnoteText"/>
      </w:pPr>
      <w:r w:rsidRPr="002B42AE">
        <w:rPr>
          <w:rStyle w:val="FootnoteReference"/>
        </w:rPr>
        <w:footnoteRef/>
      </w:r>
      <w:r w:rsidRPr="002B42AE">
        <w:rPr>
          <w:i/>
        </w:rPr>
        <w:t xml:space="preserve"> The Commission’s Forfeiture Policy Statement and Amendment of Section 1.80 of the Rules to Incorporate the Forfeiture Guidelines</w:t>
      </w:r>
      <w:r w:rsidRPr="002B42AE">
        <w:t>, Report and Order, 12 FCC Rcd 17087 (1997) (</w:t>
      </w:r>
      <w:r w:rsidRPr="002B42AE">
        <w:rPr>
          <w:i/>
        </w:rPr>
        <w:t>Forfeiture Policy Statement</w:t>
      </w:r>
      <w:r w:rsidRPr="002B42AE">
        <w:t xml:space="preserve">), </w:t>
      </w:r>
      <w:r w:rsidRPr="002B42AE">
        <w:rPr>
          <w:i/>
        </w:rPr>
        <w:t>recons. denied</w:t>
      </w:r>
      <w:r w:rsidRPr="002B42AE">
        <w:t xml:space="preserve">, Memorandum Opinion and Order, 15 FCC Rcd 303 (1999). </w:t>
      </w:r>
    </w:p>
  </w:footnote>
  <w:footnote w:id="12">
    <w:p w:rsidR="00463C67" w:rsidRPr="002B42AE" w:rsidRDefault="00463C67" w:rsidP="00883B8E">
      <w:pPr>
        <w:pStyle w:val="FootnoteText"/>
      </w:pPr>
      <w:r w:rsidRPr="002B42AE">
        <w:rPr>
          <w:rStyle w:val="FootnoteReference"/>
        </w:rPr>
        <w:footnoteRef/>
      </w:r>
      <w:r w:rsidRPr="002B42AE">
        <w:t xml:space="preserve"> 47 U.S.C. § 503(b)(2)(E).</w:t>
      </w:r>
    </w:p>
  </w:footnote>
  <w:footnote w:id="13">
    <w:p w:rsidR="00F40357" w:rsidRPr="002B42AE" w:rsidRDefault="00F40357" w:rsidP="00883B8E">
      <w:pPr>
        <w:pStyle w:val="FootnoteText"/>
      </w:pPr>
      <w:r w:rsidRPr="002B42AE">
        <w:rPr>
          <w:rStyle w:val="FootnoteReference"/>
        </w:rPr>
        <w:footnoteRef/>
      </w:r>
      <w:r w:rsidR="003F3FB0" w:rsidRPr="002B42AE">
        <w:t xml:space="preserve"> </w:t>
      </w:r>
      <w:r w:rsidR="003F3FB0" w:rsidRPr="002B42AE">
        <w:rPr>
          <w:i/>
        </w:rPr>
        <w:t>See</w:t>
      </w:r>
      <w:r w:rsidR="003F3FB0" w:rsidRPr="002B42AE">
        <w:t xml:space="preserve"> </w:t>
      </w:r>
      <w:r w:rsidR="002B42AE" w:rsidRPr="002B42AE">
        <w:rPr>
          <w:i/>
        </w:rPr>
        <w:t xml:space="preserve">NAL Response </w:t>
      </w:r>
      <w:r w:rsidR="002B42AE" w:rsidRPr="002B42AE">
        <w:t xml:space="preserve">at 1 </w:t>
      </w:r>
      <w:r w:rsidRPr="002B42AE">
        <w:t>(</w:t>
      </w:r>
      <w:r w:rsidR="00315848" w:rsidRPr="002B42AE">
        <w:t>recognizing</w:t>
      </w:r>
      <w:r w:rsidRPr="002B42AE">
        <w:t xml:space="preserve"> that “Commission agents found that portions of the fences around the towers were missing sections, thus allowing unrestricted access to the base of each tower”).</w:t>
      </w:r>
    </w:p>
  </w:footnote>
  <w:footnote w:id="14">
    <w:p w:rsidR="00197A7F" w:rsidRPr="002B42AE" w:rsidRDefault="00197A7F" w:rsidP="00883B8E">
      <w:pPr>
        <w:pStyle w:val="FootnoteText"/>
      </w:pPr>
      <w:r w:rsidRPr="002B42AE">
        <w:rPr>
          <w:rStyle w:val="FootnoteReference"/>
        </w:rPr>
        <w:footnoteRef/>
      </w:r>
      <w:r w:rsidRPr="002B42AE">
        <w:t xml:space="preserve"> </w:t>
      </w:r>
      <w:r w:rsidRPr="002B42AE">
        <w:rPr>
          <w:i/>
        </w:rPr>
        <w:t>See id.</w:t>
      </w:r>
    </w:p>
  </w:footnote>
  <w:footnote w:id="15">
    <w:p w:rsidR="006F7EC3" w:rsidRPr="005A6D93" w:rsidRDefault="006F7EC3" w:rsidP="00883B8E">
      <w:pPr>
        <w:pStyle w:val="FootnoteText"/>
      </w:pPr>
      <w:r w:rsidRPr="005A6D93">
        <w:rPr>
          <w:rStyle w:val="FootnoteReference"/>
        </w:rPr>
        <w:footnoteRef/>
      </w:r>
      <w:r w:rsidRPr="005A6D93">
        <w:t xml:space="preserve"> </w:t>
      </w:r>
      <w:r w:rsidRPr="005A6D93">
        <w:rPr>
          <w:i/>
        </w:rPr>
        <w:t>See, e.g.</w:t>
      </w:r>
      <w:r w:rsidRPr="005A6D93">
        <w:t xml:space="preserve">, </w:t>
      </w:r>
      <w:r w:rsidRPr="005A6D93">
        <w:rPr>
          <w:rStyle w:val="Emphasis"/>
        </w:rPr>
        <w:t>Sutro Corp.</w:t>
      </w:r>
      <w:r w:rsidRPr="005A6D93">
        <w:t xml:space="preserve">, Memorandum Opinion and Order, 19 FCC Rcd 15274, 15277, para. 10 (2004) (stating that the Commission will generally reduce a forfeiture “based on the good faith corrective efforts of a violator when those corrective efforts were taken prior to Commission notification of the violation”); </w:t>
      </w:r>
      <w:r w:rsidRPr="005A6D93">
        <w:rPr>
          <w:i/>
        </w:rPr>
        <w:t>Catholic Radio Network of Loveland, Inc.</w:t>
      </w:r>
      <w:r w:rsidRPr="005A6D93">
        <w:t xml:space="preserve">, Forfeiture Order, 29 FCC Rcd 121, 122–23, para. 5 (Enf. Bur. 2014) (“The Commission will generally reduce an assessed forfeiture based on the good faith corrective efforts of a violator when those corrective efforts were taken </w:t>
      </w:r>
      <w:r w:rsidRPr="005A6D93">
        <w:rPr>
          <w:rStyle w:val="Emphasis"/>
        </w:rPr>
        <w:t>prior</w:t>
      </w:r>
      <w:r w:rsidRPr="005A6D93">
        <w:t xml:space="preserve"> to Commission notification of the violation</w:t>
      </w:r>
      <w:r>
        <w:t>.</w:t>
      </w:r>
      <w:r w:rsidRPr="005A6D93">
        <w:t xml:space="preserve">”) (emphasis in original); </w:t>
      </w:r>
      <w:r w:rsidRPr="005A6D93">
        <w:rPr>
          <w:i/>
        </w:rPr>
        <w:t>Argos Net, Inc.</w:t>
      </w:r>
      <w:r w:rsidRPr="005A6D93">
        <w:t>, Forfeiture Order, 28 FCC Rcd 1126</w:t>
      </w:r>
      <w:r>
        <w:t>,</w:t>
      </w:r>
      <w:r w:rsidRPr="005A6D93">
        <w:t xml:space="preserve"> 1127, para. 4 (Enf. Bur. 2013) (“[C[orrective action taken after notification or inspection by the Commission does not mitigate the violation . . . .”).  </w:t>
      </w:r>
    </w:p>
  </w:footnote>
  <w:footnote w:id="16">
    <w:p w:rsidR="006F7EC3" w:rsidRPr="005A6D93" w:rsidRDefault="006F7EC3" w:rsidP="00883B8E">
      <w:pPr>
        <w:pStyle w:val="FootnoteText"/>
      </w:pPr>
      <w:r w:rsidRPr="005A6D93">
        <w:rPr>
          <w:rStyle w:val="FootnoteReference"/>
        </w:rPr>
        <w:footnoteRef/>
      </w:r>
      <w:r w:rsidRPr="005A6D93">
        <w:t xml:space="preserve"> </w:t>
      </w:r>
      <w:r w:rsidRPr="005A6D93">
        <w:rPr>
          <w:i/>
          <w:iCs/>
        </w:rPr>
        <w:t>See, e.g.</w:t>
      </w:r>
      <w:r w:rsidRPr="005A6D93">
        <w:t>,</w:t>
      </w:r>
      <w:r w:rsidRPr="005A6D93">
        <w:rPr>
          <w:i/>
          <w:iCs/>
        </w:rPr>
        <w:t xml:space="preserve"> </w:t>
      </w:r>
      <w:r w:rsidRPr="006F7EC3">
        <w:rPr>
          <w:i/>
          <w:iCs/>
        </w:rPr>
        <w:t>Seawest Yacht Brokers</w:t>
      </w:r>
      <w:r w:rsidRPr="006F7EC3">
        <w:rPr>
          <w:iCs/>
        </w:rPr>
        <w:t xml:space="preserve">, </w:t>
      </w:r>
      <w:r w:rsidRPr="006F7EC3">
        <w:t>Notice of Forfeiture</w:t>
      </w:r>
      <w:r w:rsidRPr="006F7EC3">
        <w:rPr>
          <w:iCs/>
        </w:rPr>
        <w:t>, 9 FCC Rcd 6099, 6099, para. 7 (1994)</w:t>
      </w:r>
      <w:r w:rsidRPr="005A6D93">
        <w:rPr>
          <w:iCs/>
        </w:rPr>
        <w:t xml:space="preserve"> </w:t>
      </w:r>
      <w:r w:rsidRPr="005A6D93">
        <w:t>(</w:t>
      </w:r>
      <w:r w:rsidRPr="005A6D93">
        <w:rPr>
          <w:iCs/>
        </w:rPr>
        <w:t>citations omitted)</w:t>
      </w:r>
      <w:r w:rsidRPr="005A6D93">
        <w:t xml:space="preserve">; </w:t>
      </w:r>
      <w:r w:rsidRPr="006F7EC3">
        <w:rPr>
          <w:i/>
          <w:iCs/>
        </w:rPr>
        <w:t>Exec. Broad. Corp.</w:t>
      </w:r>
      <w:r w:rsidRPr="006F7EC3">
        <w:t>, 3 FCC 2d 699, 700, para. 6 (1966)</w:t>
      </w:r>
      <w:r w:rsidRPr="005A6D93">
        <w:t xml:space="preserve"> (“The fact that prompt corrective action was taken . . . does not excuse the prior violations.”).</w:t>
      </w:r>
    </w:p>
  </w:footnote>
  <w:footnote w:id="17">
    <w:p w:rsidR="00BC38B4" w:rsidRPr="002B42AE" w:rsidRDefault="00BC38B4" w:rsidP="00883B8E">
      <w:pPr>
        <w:pStyle w:val="FootnoteText"/>
      </w:pPr>
      <w:r w:rsidRPr="002B42AE">
        <w:rPr>
          <w:rStyle w:val="FootnoteReference"/>
        </w:rPr>
        <w:footnoteRef/>
      </w:r>
      <w:r w:rsidRPr="002B42AE">
        <w:t xml:space="preserve"> </w:t>
      </w:r>
      <w:r w:rsidR="00E574CD" w:rsidRPr="002B42AE">
        <w:rPr>
          <w:i/>
        </w:rPr>
        <w:t>NAL Response</w:t>
      </w:r>
      <w:r w:rsidR="00032069">
        <w:rPr>
          <w:i/>
        </w:rPr>
        <w:t xml:space="preserve"> </w:t>
      </w:r>
      <w:r w:rsidR="00032069">
        <w:t>at 1</w:t>
      </w:r>
      <w:r w:rsidRPr="002B42AE">
        <w:t>.</w:t>
      </w:r>
    </w:p>
  </w:footnote>
  <w:footnote w:id="18">
    <w:p w:rsidR="00471401" w:rsidRPr="002B42AE" w:rsidRDefault="00471401" w:rsidP="00883B8E">
      <w:pPr>
        <w:pStyle w:val="FootnoteText"/>
      </w:pPr>
      <w:r w:rsidRPr="002B42AE">
        <w:rPr>
          <w:rStyle w:val="FootnoteReference"/>
        </w:rPr>
        <w:footnoteRef/>
      </w:r>
      <w:r w:rsidRPr="002B42AE">
        <w:t xml:space="preserve"> </w:t>
      </w:r>
      <w:r w:rsidR="003F4D8D">
        <w:rPr>
          <w:i/>
        </w:rPr>
        <w:t>Id</w:t>
      </w:r>
      <w:r w:rsidR="00644690" w:rsidRPr="002B42AE">
        <w:rPr>
          <w:i/>
        </w:rPr>
        <w:t>.</w:t>
      </w:r>
    </w:p>
  </w:footnote>
  <w:footnote w:id="19">
    <w:p w:rsidR="003D651F" w:rsidRPr="00C72405" w:rsidRDefault="003D651F" w:rsidP="003D651F">
      <w:pPr>
        <w:pStyle w:val="FootnoteText"/>
      </w:pPr>
      <w:r w:rsidRPr="00C72405">
        <w:rPr>
          <w:rStyle w:val="FootnoteCharacters"/>
        </w:rPr>
        <w:footnoteRef/>
      </w:r>
      <w:r>
        <w:rPr>
          <w:i/>
        </w:rPr>
        <w:t xml:space="preserve"> See Local Long Distance, Inc.</w:t>
      </w:r>
      <w:r w:rsidRPr="00D87986">
        <w:t>,</w:t>
      </w:r>
      <w:r w:rsidRPr="00C72405">
        <w:rPr>
          <w:i/>
        </w:rPr>
        <w:t xml:space="preserve"> </w:t>
      </w:r>
      <w:r>
        <w:t>Order of Forfeiture, 15</w:t>
      </w:r>
      <w:r w:rsidRPr="00C72405">
        <w:t xml:space="preserve"> FCC Rcd 24385 (2000) (forfeiture not deemed excessive where it represented approximately 7.9 percent of</w:t>
      </w:r>
      <w:r>
        <w:t xml:space="preserve"> the violator’s gross revenues)</w:t>
      </w:r>
      <w:r w:rsidRPr="00C72405">
        <w:t xml:space="preserve">.  </w:t>
      </w:r>
    </w:p>
  </w:footnote>
  <w:footnote w:id="20">
    <w:p w:rsidR="005840A6" w:rsidRPr="00883B8E" w:rsidRDefault="00167701" w:rsidP="00883B8E">
      <w:pPr>
        <w:spacing w:after="120"/>
        <w:rPr>
          <w:sz w:val="20"/>
        </w:rPr>
      </w:pPr>
      <w:r w:rsidRPr="002B42AE">
        <w:rPr>
          <w:rStyle w:val="FootnoteReference"/>
        </w:rPr>
        <w:footnoteRef/>
      </w:r>
      <w:r w:rsidRPr="002B42AE">
        <w:t xml:space="preserve"> </w:t>
      </w:r>
      <w:r w:rsidR="007F2C07" w:rsidRPr="002B42AE">
        <w:rPr>
          <w:i/>
          <w:sz w:val="20"/>
        </w:rPr>
        <w:t>See</w:t>
      </w:r>
      <w:r w:rsidR="003F4D8D">
        <w:rPr>
          <w:i/>
          <w:sz w:val="20"/>
        </w:rPr>
        <w:t>, e.g.</w:t>
      </w:r>
      <w:r w:rsidR="003F4D8D">
        <w:rPr>
          <w:sz w:val="20"/>
        </w:rPr>
        <w:t>,</w:t>
      </w:r>
      <w:r w:rsidR="007F2C07" w:rsidRPr="002B42AE">
        <w:rPr>
          <w:sz w:val="20"/>
        </w:rPr>
        <w:t xml:space="preserve"> </w:t>
      </w:r>
      <w:r w:rsidR="007F2C07" w:rsidRPr="002B42AE">
        <w:rPr>
          <w:i/>
          <w:snapToGrid/>
          <w:kern w:val="0"/>
          <w:sz w:val="20"/>
        </w:rPr>
        <w:t>James Lee Gaskey</w:t>
      </w:r>
      <w:r w:rsidR="007F2C07" w:rsidRPr="002B42AE">
        <w:rPr>
          <w:snapToGrid/>
          <w:kern w:val="0"/>
          <w:sz w:val="20"/>
        </w:rPr>
        <w:t xml:space="preserve">, </w:t>
      </w:r>
      <w:r w:rsidR="00317B7D" w:rsidRPr="002B42AE">
        <w:rPr>
          <w:snapToGrid/>
          <w:kern w:val="0"/>
          <w:sz w:val="20"/>
        </w:rPr>
        <w:t>Forfeiture Order, 15 FCC Rcd</w:t>
      </w:r>
      <w:r w:rsidR="007F2C07" w:rsidRPr="002B42AE">
        <w:rPr>
          <w:snapToGrid/>
          <w:kern w:val="0"/>
          <w:sz w:val="20"/>
        </w:rPr>
        <w:t xml:space="preserve"> 25309, 25311</w:t>
      </w:r>
      <w:r w:rsidR="003F4D8D">
        <w:rPr>
          <w:snapToGrid/>
          <w:kern w:val="0"/>
          <w:sz w:val="20"/>
        </w:rPr>
        <w:t>, para. 12</w:t>
      </w:r>
      <w:r w:rsidR="007F2C07" w:rsidRPr="002B42AE">
        <w:rPr>
          <w:snapToGrid/>
          <w:kern w:val="0"/>
          <w:sz w:val="20"/>
        </w:rPr>
        <w:t xml:space="preserve"> (</w:t>
      </w:r>
      <w:r w:rsidR="003F4D8D">
        <w:rPr>
          <w:snapToGrid/>
          <w:kern w:val="0"/>
          <w:sz w:val="20"/>
        </w:rPr>
        <w:t xml:space="preserve">Enf. Bur. </w:t>
      </w:r>
      <w:r w:rsidR="007F2C07" w:rsidRPr="002B42AE">
        <w:rPr>
          <w:snapToGrid/>
          <w:kern w:val="0"/>
          <w:sz w:val="20"/>
        </w:rPr>
        <w:t>1999)</w:t>
      </w:r>
      <w:r w:rsidR="00763C6E">
        <w:rPr>
          <w:snapToGrid/>
          <w:kern w:val="0"/>
          <w:sz w:val="20"/>
        </w:rPr>
        <w:t xml:space="preserve"> (“[A</w:t>
      </w:r>
      <w:r w:rsidR="00763C6E">
        <w:t>] claim of inability to pay should be supported by tax returns or other financial statements prepared under generally acceptable accounting procedures for the most recent three-year period.”)</w:t>
      </w:r>
      <w:r w:rsidR="007F2C07" w:rsidRPr="002B42AE">
        <w:rPr>
          <w:snapToGrid/>
          <w:kern w:val="0"/>
          <w:sz w:val="20"/>
        </w:rPr>
        <w:t xml:space="preserve">; </w:t>
      </w:r>
      <w:r w:rsidR="004C5A94" w:rsidRPr="002B42AE">
        <w:rPr>
          <w:i/>
          <w:iCs/>
          <w:sz w:val="20"/>
        </w:rPr>
        <w:t>Barry A. Stevenson</w:t>
      </w:r>
      <w:r w:rsidR="004C5A94" w:rsidRPr="002B42AE">
        <w:rPr>
          <w:sz w:val="20"/>
        </w:rPr>
        <w:t>, Order, 12 FCC Rcd 1976, 1977</w:t>
      </w:r>
      <w:r w:rsidR="00763C6E">
        <w:rPr>
          <w:sz w:val="20"/>
        </w:rPr>
        <w:t>, para. 5</w:t>
      </w:r>
      <w:r w:rsidR="004C5A94" w:rsidRPr="002B42AE">
        <w:rPr>
          <w:sz w:val="20"/>
        </w:rPr>
        <w:t xml:space="preserve"> (</w:t>
      </w:r>
      <w:r w:rsidR="00D22AAE">
        <w:rPr>
          <w:sz w:val="20"/>
        </w:rPr>
        <w:t xml:space="preserve">Comp. &amp; Inf. </w:t>
      </w:r>
      <w:r w:rsidR="00763C6E">
        <w:rPr>
          <w:sz w:val="20"/>
        </w:rPr>
        <w:t xml:space="preserve">Bur. </w:t>
      </w:r>
      <w:r w:rsidR="004C5A94" w:rsidRPr="002B42AE">
        <w:rPr>
          <w:sz w:val="20"/>
        </w:rPr>
        <w:t>1997) (three</w:t>
      </w:r>
      <w:r w:rsidR="00317B7D" w:rsidRPr="002B42AE">
        <w:rPr>
          <w:sz w:val="20"/>
        </w:rPr>
        <w:t xml:space="preserve"> years of </w:t>
      </w:r>
      <w:r w:rsidR="004C5A94" w:rsidRPr="002B42AE">
        <w:rPr>
          <w:sz w:val="20"/>
        </w:rPr>
        <w:t xml:space="preserve">reliable </w:t>
      </w:r>
      <w:r w:rsidR="007A3AE3" w:rsidRPr="002B42AE">
        <w:rPr>
          <w:sz w:val="20"/>
        </w:rPr>
        <w:t xml:space="preserve">financial </w:t>
      </w:r>
      <w:r w:rsidR="004C5A94" w:rsidRPr="002B42AE">
        <w:rPr>
          <w:sz w:val="20"/>
        </w:rPr>
        <w:t xml:space="preserve">documentation </w:t>
      </w:r>
      <w:r w:rsidR="00317B7D" w:rsidRPr="002B42AE">
        <w:rPr>
          <w:sz w:val="20"/>
        </w:rPr>
        <w:t>is</w:t>
      </w:r>
      <w:r w:rsidR="004C5A94" w:rsidRPr="002B42AE">
        <w:rPr>
          <w:sz w:val="20"/>
        </w:rPr>
        <w:t xml:space="preserve"> required to demonstrate inability to pay); </w:t>
      </w:r>
      <w:r w:rsidR="004C5A94" w:rsidRPr="002B42AE">
        <w:rPr>
          <w:i/>
          <w:iCs/>
          <w:sz w:val="20"/>
        </w:rPr>
        <w:t>Timothy Harold Hoffman</w:t>
      </w:r>
      <w:r w:rsidR="004C5A94" w:rsidRPr="002B42AE">
        <w:rPr>
          <w:sz w:val="20"/>
        </w:rPr>
        <w:t>, Forfeiture Order, 11 FCC Rcd 17463, 17464</w:t>
      </w:r>
      <w:r w:rsidR="00D22AAE">
        <w:rPr>
          <w:sz w:val="20"/>
        </w:rPr>
        <w:t xml:space="preserve">, para. 6 </w:t>
      </w:r>
      <w:r w:rsidR="004C5A94" w:rsidRPr="002B42AE">
        <w:rPr>
          <w:sz w:val="20"/>
        </w:rPr>
        <w:t>(</w:t>
      </w:r>
      <w:r w:rsidR="00D22AAE">
        <w:rPr>
          <w:sz w:val="20"/>
        </w:rPr>
        <w:t xml:space="preserve">Comp. &amp; Inf. Bur. </w:t>
      </w:r>
      <w:r w:rsidR="004C5A94" w:rsidRPr="002B42AE">
        <w:rPr>
          <w:sz w:val="20"/>
        </w:rPr>
        <w:t>1996) (</w:t>
      </w:r>
      <w:r w:rsidR="00317B7D" w:rsidRPr="002B42AE">
        <w:rPr>
          <w:sz w:val="20"/>
        </w:rPr>
        <w:t xml:space="preserve">an inability to pay claim </w:t>
      </w:r>
      <w:r w:rsidR="007A3AE3" w:rsidRPr="002B42AE">
        <w:rPr>
          <w:sz w:val="20"/>
        </w:rPr>
        <w:t>fails</w:t>
      </w:r>
      <w:r w:rsidR="00317B7D" w:rsidRPr="002B42AE">
        <w:rPr>
          <w:sz w:val="20"/>
        </w:rPr>
        <w:t xml:space="preserve"> when the Commission only receives information pertaining to</w:t>
      </w:r>
      <w:r w:rsidR="00DF073D" w:rsidRPr="002B42AE">
        <w:rPr>
          <w:sz w:val="20"/>
        </w:rPr>
        <w:t xml:space="preserve"> garnishment </w:t>
      </w:r>
      <w:r w:rsidR="00317B7D" w:rsidRPr="002B42AE">
        <w:rPr>
          <w:sz w:val="20"/>
        </w:rPr>
        <w:t>of wages).</w:t>
      </w:r>
    </w:p>
  </w:footnote>
  <w:footnote w:id="21">
    <w:p w:rsidR="00883B8E" w:rsidRPr="002B42AE" w:rsidRDefault="00883B8E" w:rsidP="00883B8E">
      <w:pPr>
        <w:spacing w:after="120"/>
        <w:rPr>
          <w:snapToGrid/>
          <w:kern w:val="0"/>
          <w:sz w:val="20"/>
        </w:rPr>
      </w:pPr>
      <w:r w:rsidRPr="002B42AE">
        <w:rPr>
          <w:rStyle w:val="FootnoteReference"/>
        </w:rPr>
        <w:footnoteRef/>
      </w:r>
      <w:r w:rsidRPr="002B42AE">
        <w:rPr>
          <w:sz w:val="20"/>
        </w:rPr>
        <w:t xml:space="preserve"> </w:t>
      </w:r>
      <w:r w:rsidRPr="002B42AE">
        <w:rPr>
          <w:i/>
          <w:sz w:val="20"/>
        </w:rPr>
        <w:t>See, e.g.</w:t>
      </w:r>
      <w:r w:rsidRPr="002B42AE">
        <w:rPr>
          <w:sz w:val="20"/>
        </w:rPr>
        <w:t xml:space="preserve">, </w:t>
      </w:r>
      <w:r w:rsidRPr="002B42AE">
        <w:rPr>
          <w:i/>
          <w:iCs/>
          <w:snapToGrid/>
          <w:kern w:val="0"/>
          <w:sz w:val="20"/>
        </w:rPr>
        <w:t>Macau Traders, Inc.</w:t>
      </w:r>
      <w:r w:rsidRPr="002B42AE">
        <w:rPr>
          <w:snapToGrid/>
          <w:kern w:val="0"/>
          <w:sz w:val="20"/>
        </w:rPr>
        <w:t xml:space="preserve">, </w:t>
      </w:r>
      <w:r>
        <w:rPr>
          <w:snapToGrid/>
          <w:kern w:val="0"/>
          <w:sz w:val="20"/>
        </w:rPr>
        <w:t xml:space="preserve">Memorandum Opinion and Order and </w:t>
      </w:r>
      <w:r w:rsidRPr="002B42AE">
        <w:rPr>
          <w:snapToGrid/>
          <w:kern w:val="0"/>
          <w:sz w:val="20"/>
        </w:rPr>
        <w:t>Forfeiture Order,</w:t>
      </w:r>
      <w:r w:rsidR="00840E68">
        <w:rPr>
          <w:snapToGrid/>
          <w:kern w:val="0"/>
          <w:sz w:val="20"/>
        </w:rPr>
        <w:t xml:space="preserve"> 13 FCC Rcd 228, 233, para. 11 </w:t>
      </w:r>
      <w:r w:rsidRPr="002B42AE">
        <w:rPr>
          <w:snapToGrid/>
          <w:kern w:val="0"/>
          <w:sz w:val="20"/>
        </w:rPr>
        <w:t>(</w:t>
      </w:r>
      <w:r>
        <w:rPr>
          <w:snapToGrid/>
          <w:kern w:val="0"/>
          <w:sz w:val="20"/>
        </w:rPr>
        <w:t xml:space="preserve">Mass Med. Bur. </w:t>
      </w:r>
      <w:r w:rsidRPr="002B42AE">
        <w:rPr>
          <w:snapToGrid/>
          <w:kern w:val="0"/>
          <w:sz w:val="20"/>
        </w:rPr>
        <w:t xml:space="preserve">1998) (finding that a violator was not entitled to a forfeiture reduction </w:t>
      </w:r>
      <w:r w:rsidR="00840E68">
        <w:rPr>
          <w:snapToGrid/>
          <w:kern w:val="0"/>
          <w:sz w:val="20"/>
        </w:rPr>
        <w:t>when it</w:t>
      </w:r>
      <w:r w:rsidRPr="002B42AE">
        <w:rPr>
          <w:snapToGrid/>
          <w:kern w:val="0"/>
          <w:sz w:val="20"/>
        </w:rPr>
        <w:t xml:space="preserve"> failed to provide the necessary evidence for evaluating its financial condition or ability to pay).</w:t>
      </w:r>
    </w:p>
  </w:footnote>
  <w:footnote w:id="22">
    <w:p w:rsidR="00003042" w:rsidRPr="00003042" w:rsidRDefault="00003042">
      <w:pPr>
        <w:pStyle w:val="FootnoteText"/>
      </w:pPr>
      <w:r>
        <w:rPr>
          <w:rStyle w:val="FootnoteReference"/>
        </w:rPr>
        <w:footnoteRef/>
      </w:r>
      <w:r>
        <w:t xml:space="preserve"> </w:t>
      </w:r>
      <w:r>
        <w:rPr>
          <w:i/>
        </w:rPr>
        <w:t>NAL</w:t>
      </w:r>
      <w:r>
        <w:t>, 29 FCC Rcd at 2940–41, para. 14.</w:t>
      </w:r>
    </w:p>
  </w:footnote>
  <w:footnote w:id="23">
    <w:p w:rsidR="00840E68" w:rsidRPr="00840E68" w:rsidRDefault="00840E68">
      <w:pPr>
        <w:pStyle w:val="FootnoteText"/>
      </w:pPr>
      <w:r>
        <w:rPr>
          <w:rStyle w:val="FootnoteReference"/>
        </w:rPr>
        <w:footnoteRef/>
      </w:r>
      <w:r>
        <w:t xml:space="preserve"> </w:t>
      </w:r>
      <w:r>
        <w:rPr>
          <w:i/>
        </w:rPr>
        <w:t>See</w:t>
      </w:r>
      <w:r w:rsidR="003370E5">
        <w:rPr>
          <w:i/>
        </w:rPr>
        <w:t xml:space="preserve"> supra </w:t>
      </w:r>
      <w:r w:rsidR="003370E5">
        <w:t>note 19;</w:t>
      </w:r>
      <w:r>
        <w:rPr>
          <w:i/>
        </w:rPr>
        <w:t xml:space="preserve"> </w:t>
      </w:r>
      <w:r>
        <w:t xml:space="preserve">Independent Accountants’ Compilation Report </w:t>
      </w:r>
      <w:r w:rsidR="00502065">
        <w:t xml:space="preserve">(May 15, 2014) </w:t>
      </w:r>
      <w:r w:rsidR="00502065" w:rsidRPr="002B42AE">
        <w:t xml:space="preserve">(on file in </w:t>
      </w:r>
      <w:r w:rsidR="00502065" w:rsidRPr="002B42AE">
        <w:rPr>
          <w:spacing w:val="-2"/>
        </w:rPr>
        <w:t>EB-FIELDNER-13-00006508</w:t>
      </w:r>
      <w:r w:rsidR="003370E5">
        <w:t>).</w:t>
      </w:r>
    </w:p>
  </w:footnote>
  <w:footnote w:id="24">
    <w:p w:rsidR="00C435C4" w:rsidRPr="002B42AE" w:rsidRDefault="00C435C4" w:rsidP="00883B8E">
      <w:pPr>
        <w:pStyle w:val="FootnoteText"/>
      </w:pPr>
      <w:r w:rsidRPr="002B42AE">
        <w:rPr>
          <w:rStyle w:val="FootnoteReference"/>
        </w:rPr>
        <w:footnoteRef/>
      </w:r>
      <w:r w:rsidRPr="002B42AE">
        <w:t xml:space="preserve"> 47 U.S.C. § 503(b).</w:t>
      </w:r>
    </w:p>
  </w:footnote>
  <w:footnote w:id="25">
    <w:p w:rsidR="00C435C4" w:rsidRPr="002B42AE" w:rsidRDefault="00C435C4" w:rsidP="00883B8E">
      <w:pPr>
        <w:pStyle w:val="FootnoteText"/>
      </w:pPr>
      <w:r w:rsidRPr="002B42AE">
        <w:rPr>
          <w:rStyle w:val="FootnoteReference"/>
        </w:rPr>
        <w:footnoteRef/>
      </w:r>
      <w:r w:rsidRPr="002B42AE">
        <w:t xml:space="preserve"> 47 C.F.R. § 1.80.</w:t>
      </w:r>
    </w:p>
  </w:footnote>
  <w:footnote w:id="26">
    <w:p w:rsidR="00C435C4" w:rsidRPr="002B42AE" w:rsidRDefault="00C435C4" w:rsidP="00883B8E">
      <w:pPr>
        <w:pStyle w:val="FootnoteText"/>
      </w:pPr>
      <w:r w:rsidRPr="002B42AE">
        <w:rPr>
          <w:rStyle w:val="FootnoteReference"/>
        </w:rPr>
        <w:footnoteRef/>
      </w:r>
      <w:r w:rsidRPr="002B42AE">
        <w:t xml:space="preserve"> </w:t>
      </w:r>
      <w:r w:rsidRPr="002B42AE">
        <w:rPr>
          <w:i/>
        </w:rPr>
        <w:t>Id.</w:t>
      </w:r>
    </w:p>
  </w:footnote>
  <w:footnote w:id="27">
    <w:p w:rsidR="00C435C4" w:rsidRPr="002B42AE" w:rsidRDefault="00C435C4" w:rsidP="00883B8E">
      <w:pPr>
        <w:pStyle w:val="FootnoteText"/>
      </w:pPr>
      <w:r w:rsidRPr="002B42AE">
        <w:rPr>
          <w:rStyle w:val="FootnoteReference"/>
        </w:rPr>
        <w:footnoteRef/>
      </w:r>
      <w:r w:rsidRPr="002B42AE">
        <w:t xml:space="preserve"> 47 U.S.C. § 504(a).</w:t>
      </w:r>
    </w:p>
  </w:footnote>
  <w:footnote w:id="28">
    <w:p w:rsidR="00C435C4" w:rsidRPr="002B42AE" w:rsidRDefault="00C435C4" w:rsidP="00883B8E">
      <w:pPr>
        <w:pStyle w:val="FootnoteText"/>
      </w:pPr>
      <w:r w:rsidRPr="002B42AE">
        <w:rPr>
          <w:rStyle w:val="FootnoteReference"/>
        </w:rPr>
        <w:footnoteRef/>
      </w:r>
      <w:r w:rsidRPr="002B42AE">
        <w:t xml:space="preserve"> </w:t>
      </w:r>
      <w:r w:rsidRPr="002B42AE">
        <w:rPr>
          <w:rStyle w:val="FootnoteTextChar2"/>
        </w:rPr>
        <w:t xml:space="preserve">An FCC Form 159 and detailed instructions for completing the form may be obtained at </w:t>
      </w:r>
      <w:r w:rsidRPr="002B42AE">
        <w:t>http://www.fcc.gov/Forms/Form159/159.pdf</w:t>
      </w:r>
      <w:r w:rsidRPr="002B42AE">
        <w:rPr>
          <w:rStyle w:val="FootnoteTextChar2"/>
        </w:rPr>
        <w:t>.</w:t>
      </w:r>
    </w:p>
  </w:footnote>
  <w:footnote w:id="29">
    <w:p w:rsidR="00C435C4" w:rsidRPr="002B42AE" w:rsidRDefault="00C435C4" w:rsidP="00883B8E">
      <w:pPr>
        <w:pStyle w:val="FootnoteText"/>
      </w:pPr>
      <w:r w:rsidRPr="002B42AE">
        <w:rPr>
          <w:rStyle w:val="FootnoteReference"/>
        </w:rPr>
        <w:footnoteRef/>
      </w:r>
      <w:r w:rsidRPr="002B42AE">
        <w:t xml:space="preserve"> </w:t>
      </w:r>
      <w:r w:rsidRPr="002B42AE">
        <w:rPr>
          <w:i/>
        </w:rPr>
        <w:t>See</w:t>
      </w:r>
      <w:r w:rsidRPr="002B42AE">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22" w:rsidRDefault="00330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34" w:rsidRDefault="00C90734" w:rsidP="00C90734">
    <w:pPr>
      <w:pStyle w:val="Header"/>
      <w:rPr>
        <w:b/>
      </w:rPr>
    </w:pPr>
    <w:r>
      <w:rPr>
        <w:b/>
      </w:rPr>
      <w:tab/>
      <w:t>Federal Com</w:t>
    </w:r>
    <w:r w:rsidR="00B15A09">
      <w:rPr>
        <w:b/>
      </w:rPr>
      <w:t>munications Commission</w:t>
    </w:r>
    <w:r w:rsidR="00B15A09">
      <w:rPr>
        <w:b/>
      </w:rPr>
      <w:tab/>
      <w:t>DA 15-1355</w:t>
    </w:r>
    <w:r>
      <w:rPr>
        <w:b/>
      </w:rPr>
      <w:t xml:space="preserve"> </w:t>
    </w:r>
  </w:p>
  <w:p w:rsidR="00C90734" w:rsidRDefault="00C90734" w:rsidP="00C90734">
    <w:pPr>
      <w:pStyle w:val="Header"/>
    </w:pPr>
    <w:r>
      <w:rPr>
        <w:noProof/>
      </w:rPr>
      <mc:AlternateContent>
        <mc:Choice Requires="wps">
          <w:drawing>
            <wp:anchor distT="0" distB="0" distL="114300" distR="114300" simplePos="0" relativeHeight="251659264" behindDoc="0" locked="0" layoutInCell="0" allowOverlap="1" wp14:anchorId="75FE3EA9" wp14:editId="35B6D374">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FEDCD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22" w:rsidRDefault="00330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7E06CBB"/>
    <w:multiLevelType w:val="multilevel"/>
    <w:tmpl w:val="4E04443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5B03427E"/>
    <w:multiLevelType w:val="hybridMultilevel"/>
    <w:tmpl w:val="DDE07102"/>
    <w:lvl w:ilvl="0" w:tplc="0B66A83E">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4C4AC2"/>
    <w:multiLevelType w:val="hybridMultilevel"/>
    <w:tmpl w:val="3350F35E"/>
    <w:lvl w:ilvl="0" w:tplc="ED8A47C8">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5F819E7"/>
    <w:multiLevelType w:val="hybridMultilevel"/>
    <w:tmpl w:val="BFD4B694"/>
    <w:lvl w:ilvl="0" w:tplc="015C63E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2"/>
  </w:num>
  <w:num w:numId="5">
    <w:abstractNumId w:val="7"/>
  </w:num>
  <w:num w:numId="6">
    <w:abstractNumId w:val="4"/>
  </w:num>
  <w:num w:numId="7">
    <w:abstractNumId w:val="5"/>
  </w:num>
  <w:num w:numId="8">
    <w:abstractNumId w:val="2"/>
    <w:lvlOverride w:ilvl="0">
      <w:startOverride w:val="5"/>
    </w:lvlOverride>
  </w:num>
  <w:num w:numId="9">
    <w:abstractNumId w:val="0"/>
    <w:lvlOverride w:ilvl="0">
      <w:lvl w:ilvl="0">
        <w:numFmt w:val="bullet"/>
        <w:pStyle w:val="par1"/>
        <w:lvlText w:val=""/>
        <w:legacy w:legacy="1" w:legacySpace="0" w:legacyIndent="360"/>
        <w:lvlJc w:val="left"/>
        <w:rPr>
          <w:rFonts w:ascii="Symbol" w:hAnsi="Symbol" w:hint="default"/>
        </w:rPr>
      </w:lvl>
    </w:lvlOverride>
  </w:num>
  <w:num w:numId="10">
    <w:abstractNumId w:val="3"/>
  </w:num>
  <w:num w:numId="1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AF"/>
    <w:rsid w:val="00003042"/>
    <w:rsid w:val="00003D69"/>
    <w:rsid w:val="00007A04"/>
    <w:rsid w:val="00016392"/>
    <w:rsid w:val="00027739"/>
    <w:rsid w:val="00032069"/>
    <w:rsid w:val="00036A91"/>
    <w:rsid w:val="00041766"/>
    <w:rsid w:val="00044B97"/>
    <w:rsid w:val="000550CD"/>
    <w:rsid w:val="00073A04"/>
    <w:rsid w:val="00073D6D"/>
    <w:rsid w:val="0009616A"/>
    <w:rsid w:val="00096FAB"/>
    <w:rsid w:val="000B404F"/>
    <w:rsid w:val="000F39CE"/>
    <w:rsid w:val="000F4500"/>
    <w:rsid w:val="00115B64"/>
    <w:rsid w:val="001532A2"/>
    <w:rsid w:val="00155280"/>
    <w:rsid w:val="00160956"/>
    <w:rsid w:val="00162273"/>
    <w:rsid w:val="001646AF"/>
    <w:rsid w:val="001657F3"/>
    <w:rsid w:val="00167701"/>
    <w:rsid w:val="00185167"/>
    <w:rsid w:val="00197A7F"/>
    <w:rsid w:val="001B3E6C"/>
    <w:rsid w:val="001B6C22"/>
    <w:rsid w:val="001C716B"/>
    <w:rsid w:val="001D067B"/>
    <w:rsid w:val="001E6F22"/>
    <w:rsid w:val="001F2A41"/>
    <w:rsid w:val="002076AA"/>
    <w:rsid w:val="002116D4"/>
    <w:rsid w:val="002132E1"/>
    <w:rsid w:val="002203C8"/>
    <w:rsid w:val="0022411F"/>
    <w:rsid w:val="00244A0A"/>
    <w:rsid w:val="0025170E"/>
    <w:rsid w:val="00256E93"/>
    <w:rsid w:val="0026664B"/>
    <w:rsid w:val="00274465"/>
    <w:rsid w:val="002800A3"/>
    <w:rsid w:val="002B42AE"/>
    <w:rsid w:val="002D3815"/>
    <w:rsid w:val="002E0771"/>
    <w:rsid w:val="002E1BE7"/>
    <w:rsid w:val="002E662D"/>
    <w:rsid w:val="002F4964"/>
    <w:rsid w:val="00315848"/>
    <w:rsid w:val="00317B7D"/>
    <w:rsid w:val="00324593"/>
    <w:rsid w:val="003301D7"/>
    <w:rsid w:val="00330322"/>
    <w:rsid w:val="003370E5"/>
    <w:rsid w:val="00365CC6"/>
    <w:rsid w:val="00373FB0"/>
    <w:rsid w:val="003A3602"/>
    <w:rsid w:val="003C33A4"/>
    <w:rsid w:val="003D651F"/>
    <w:rsid w:val="003E68A6"/>
    <w:rsid w:val="003F3FB0"/>
    <w:rsid w:val="003F4D8D"/>
    <w:rsid w:val="00405767"/>
    <w:rsid w:val="00413BEE"/>
    <w:rsid w:val="00414868"/>
    <w:rsid w:val="00424A84"/>
    <w:rsid w:val="00444BA8"/>
    <w:rsid w:val="0045678C"/>
    <w:rsid w:val="00456EAC"/>
    <w:rsid w:val="00463C67"/>
    <w:rsid w:val="00471401"/>
    <w:rsid w:val="004A35EB"/>
    <w:rsid w:val="004C2760"/>
    <w:rsid w:val="004C5A94"/>
    <w:rsid w:val="004E0DF7"/>
    <w:rsid w:val="004F7FDA"/>
    <w:rsid w:val="00502065"/>
    <w:rsid w:val="0054240C"/>
    <w:rsid w:val="0056720A"/>
    <w:rsid w:val="005840A6"/>
    <w:rsid w:val="005B1AB5"/>
    <w:rsid w:val="005B6CFA"/>
    <w:rsid w:val="005C42E7"/>
    <w:rsid w:val="005D6D72"/>
    <w:rsid w:val="005E4318"/>
    <w:rsid w:val="005E70F4"/>
    <w:rsid w:val="00601180"/>
    <w:rsid w:val="00644690"/>
    <w:rsid w:val="006507A6"/>
    <w:rsid w:val="006710D8"/>
    <w:rsid w:val="00676C7B"/>
    <w:rsid w:val="006855F5"/>
    <w:rsid w:val="00687643"/>
    <w:rsid w:val="006A38E6"/>
    <w:rsid w:val="006B231C"/>
    <w:rsid w:val="006D6634"/>
    <w:rsid w:val="006E52A3"/>
    <w:rsid w:val="006F7EC3"/>
    <w:rsid w:val="00701EA2"/>
    <w:rsid w:val="00730B74"/>
    <w:rsid w:val="00747495"/>
    <w:rsid w:val="00763C6E"/>
    <w:rsid w:val="007A3AE3"/>
    <w:rsid w:val="007C3AD2"/>
    <w:rsid w:val="007D28E2"/>
    <w:rsid w:val="007D5EA0"/>
    <w:rsid w:val="007F2C07"/>
    <w:rsid w:val="007F7D59"/>
    <w:rsid w:val="00826E36"/>
    <w:rsid w:val="00840E68"/>
    <w:rsid w:val="00883B8E"/>
    <w:rsid w:val="00892C40"/>
    <w:rsid w:val="008A3E46"/>
    <w:rsid w:val="009023C2"/>
    <w:rsid w:val="00914B09"/>
    <w:rsid w:val="009255B5"/>
    <w:rsid w:val="00991F09"/>
    <w:rsid w:val="009C1842"/>
    <w:rsid w:val="009C6A95"/>
    <w:rsid w:val="009D713E"/>
    <w:rsid w:val="00A00CB2"/>
    <w:rsid w:val="00A2305F"/>
    <w:rsid w:val="00A41934"/>
    <w:rsid w:val="00A55000"/>
    <w:rsid w:val="00A65862"/>
    <w:rsid w:val="00A94885"/>
    <w:rsid w:val="00AB27C0"/>
    <w:rsid w:val="00AC131E"/>
    <w:rsid w:val="00AF40E1"/>
    <w:rsid w:val="00B11EBB"/>
    <w:rsid w:val="00B1286E"/>
    <w:rsid w:val="00B15A09"/>
    <w:rsid w:val="00B32236"/>
    <w:rsid w:val="00B466B2"/>
    <w:rsid w:val="00B47A34"/>
    <w:rsid w:val="00B61113"/>
    <w:rsid w:val="00B614E4"/>
    <w:rsid w:val="00B92A17"/>
    <w:rsid w:val="00BA4C07"/>
    <w:rsid w:val="00BB0A54"/>
    <w:rsid w:val="00BC38B4"/>
    <w:rsid w:val="00BE7254"/>
    <w:rsid w:val="00C00F41"/>
    <w:rsid w:val="00C03162"/>
    <w:rsid w:val="00C201A7"/>
    <w:rsid w:val="00C300C4"/>
    <w:rsid w:val="00C35E9A"/>
    <w:rsid w:val="00C37C27"/>
    <w:rsid w:val="00C424DD"/>
    <w:rsid w:val="00C435C4"/>
    <w:rsid w:val="00C642C0"/>
    <w:rsid w:val="00C77E67"/>
    <w:rsid w:val="00C90734"/>
    <w:rsid w:val="00C92E3F"/>
    <w:rsid w:val="00C95B28"/>
    <w:rsid w:val="00CB2BE9"/>
    <w:rsid w:val="00CB4A49"/>
    <w:rsid w:val="00CC4FE4"/>
    <w:rsid w:val="00CE3EBA"/>
    <w:rsid w:val="00D12049"/>
    <w:rsid w:val="00D22AAE"/>
    <w:rsid w:val="00D6075D"/>
    <w:rsid w:val="00D62B43"/>
    <w:rsid w:val="00D763E1"/>
    <w:rsid w:val="00D83BFD"/>
    <w:rsid w:val="00D93AE1"/>
    <w:rsid w:val="00DB08B4"/>
    <w:rsid w:val="00DF073D"/>
    <w:rsid w:val="00DF7235"/>
    <w:rsid w:val="00E06113"/>
    <w:rsid w:val="00E07504"/>
    <w:rsid w:val="00E574CD"/>
    <w:rsid w:val="00EB029B"/>
    <w:rsid w:val="00EB37C6"/>
    <w:rsid w:val="00EB6AC1"/>
    <w:rsid w:val="00EC0499"/>
    <w:rsid w:val="00EC5926"/>
    <w:rsid w:val="00EE12B8"/>
    <w:rsid w:val="00EE56EF"/>
    <w:rsid w:val="00F15EDE"/>
    <w:rsid w:val="00F40357"/>
    <w:rsid w:val="00F430EF"/>
    <w:rsid w:val="00F44411"/>
    <w:rsid w:val="00F75828"/>
    <w:rsid w:val="00F7730F"/>
    <w:rsid w:val="00FA428B"/>
    <w:rsid w:val="00FC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AF"/>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Normal"/>
    <w:link w:val="Heading1Char"/>
    <w:qFormat/>
    <w:rsid w:val="001646AF"/>
    <w:pPr>
      <w:keepNext/>
      <w:numPr>
        <w:numId w:val="4"/>
      </w:numPr>
      <w:suppressAutoHyphens/>
      <w:spacing w:after="120"/>
      <w:outlineLvl w:val="0"/>
    </w:pPr>
    <w:rPr>
      <w:rFonts w:ascii="Times New Roman Bold" w:hAnsi="Times New Roman Bold"/>
      <w:b/>
      <w:caps/>
    </w:rPr>
  </w:style>
  <w:style w:type="paragraph" w:styleId="Heading2">
    <w:name w:val="heading 2"/>
    <w:basedOn w:val="Normal"/>
    <w:next w:val="Normal"/>
    <w:link w:val="Heading2Char"/>
    <w:autoRedefine/>
    <w:qFormat/>
    <w:rsid w:val="001646AF"/>
    <w:pPr>
      <w:keepNext/>
      <w:numPr>
        <w:ilvl w:val="1"/>
        <w:numId w:val="4"/>
      </w:numPr>
      <w:spacing w:after="120"/>
      <w:outlineLvl w:val="1"/>
    </w:pPr>
    <w:rPr>
      <w:b/>
    </w:rPr>
  </w:style>
  <w:style w:type="paragraph" w:styleId="Heading3">
    <w:name w:val="heading 3"/>
    <w:basedOn w:val="Normal"/>
    <w:next w:val="Normal"/>
    <w:link w:val="Heading3Char"/>
    <w:qFormat/>
    <w:rsid w:val="001646AF"/>
    <w:pPr>
      <w:keepNext/>
      <w:numPr>
        <w:ilvl w:val="2"/>
        <w:numId w:val="4"/>
      </w:numPr>
      <w:tabs>
        <w:tab w:val="left" w:pos="2160"/>
      </w:tabs>
      <w:spacing w:after="120"/>
      <w:outlineLvl w:val="2"/>
    </w:pPr>
    <w:rPr>
      <w:b/>
    </w:rPr>
  </w:style>
  <w:style w:type="paragraph" w:styleId="Heading4">
    <w:name w:val="heading 4"/>
    <w:basedOn w:val="Normal"/>
    <w:next w:val="Normal"/>
    <w:link w:val="Heading4Char"/>
    <w:qFormat/>
    <w:rsid w:val="001646AF"/>
    <w:pPr>
      <w:keepNext/>
      <w:numPr>
        <w:ilvl w:val="3"/>
        <w:numId w:val="4"/>
      </w:numPr>
      <w:tabs>
        <w:tab w:val="left" w:pos="2880"/>
      </w:tabs>
      <w:spacing w:after="120"/>
      <w:outlineLvl w:val="3"/>
    </w:pPr>
    <w:rPr>
      <w:b/>
    </w:rPr>
  </w:style>
  <w:style w:type="paragraph" w:styleId="Heading5">
    <w:name w:val="heading 5"/>
    <w:basedOn w:val="Normal"/>
    <w:next w:val="Normal"/>
    <w:link w:val="Heading5Char"/>
    <w:qFormat/>
    <w:rsid w:val="001646AF"/>
    <w:pPr>
      <w:keepNext/>
      <w:numPr>
        <w:ilvl w:val="4"/>
        <w:numId w:val="4"/>
      </w:numPr>
      <w:tabs>
        <w:tab w:val="left" w:pos="3600"/>
      </w:tabs>
      <w:suppressAutoHyphens/>
      <w:spacing w:after="120"/>
      <w:outlineLvl w:val="4"/>
    </w:pPr>
    <w:rPr>
      <w:b/>
    </w:rPr>
  </w:style>
  <w:style w:type="paragraph" w:styleId="Heading6">
    <w:name w:val="heading 6"/>
    <w:basedOn w:val="Normal"/>
    <w:next w:val="Normal"/>
    <w:link w:val="Heading6Char"/>
    <w:qFormat/>
    <w:rsid w:val="001646AF"/>
    <w:pPr>
      <w:numPr>
        <w:ilvl w:val="5"/>
        <w:numId w:val="4"/>
      </w:numPr>
      <w:tabs>
        <w:tab w:val="left" w:pos="4320"/>
      </w:tabs>
      <w:spacing w:after="120"/>
      <w:outlineLvl w:val="5"/>
    </w:pPr>
    <w:rPr>
      <w:b/>
    </w:rPr>
  </w:style>
  <w:style w:type="paragraph" w:styleId="Heading7">
    <w:name w:val="heading 7"/>
    <w:basedOn w:val="Normal"/>
    <w:next w:val="Normal"/>
    <w:link w:val="Heading7Char"/>
    <w:qFormat/>
    <w:rsid w:val="001646AF"/>
    <w:pPr>
      <w:numPr>
        <w:ilvl w:val="6"/>
        <w:numId w:val="4"/>
      </w:numPr>
      <w:tabs>
        <w:tab w:val="left" w:pos="5040"/>
      </w:tabs>
      <w:spacing w:after="120"/>
      <w:outlineLvl w:val="6"/>
    </w:pPr>
    <w:rPr>
      <w:b/>
    </w:rPr>
  </w:style>
  <w:style w:type="paragraph" w:styleId="Heading8">
    <w:name w:val="heading 8"/>
    <w:basedOn w:val="Normal"/>
    <w:next w:val="Normal"/>
    <w:link w:val="Heading8Char"/>
    <w:qFormat/>
    <w:rsid w:val="001646AF"/>
    <w:pPr>
      <w:numPr>
        <w:ilvl w:val="7"/>
        <w:numId w:val="4"/>
      </w:numPr>
      <w:tabs>
        <w:tab w:val="left" w:pos="5760"/>
      </w:tabs>
      <w:spacing w:after="120"/>
      <w:outlineLvl w:val="7"/>
    </w:pPr>
    <w:rPr>
      <w:b/>
    </w:rPr>
  </w:style>
  <w:style w:type="paragraph" w:styleId="Heading9">
    <w:name w:val="heading 9"/>
    <w:basedOn w:val="Normal"/>
    <w:next w:val="Normal"/>
    <w:link w:val="Heading9Char"/>
    <w:qFormat/>
    <w:rsid w:val="001646AF"/>
    <w:pPr>
      <w:numPr>
        <w:ilvl w:val="8"/>
        <w:numId w:val="4"/>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AF"/>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1646AF"/>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1646AF"/>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1646AF"/>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1646AF"/>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1646AF"/>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1646AF"/>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1646AF"/>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1646AF"/>
    <w:rPr>
      <w:rFonts w:ascii="Times New Roman" w:eastAsia="Times New Roman" w:hAnsi="Times New Roman" w:cs="Times New Roman"/>
      <w:b/>
      <w:snapToGrid w:val="0"/>
      <w:kern w:val="28"/>
      <w:szCs w:val="20"/>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rrfootnote"/>
    <w:link w:val="FootnoteTextChar2"/>
    <w:rsid w:val="001646A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rrfootnote Char Char Char Char,rrfootnote Char2,rrfootnote Char"/>
    <w:basedOn w:val="DefaultParagraphFont"/>
    <w:rsid w:val="001646AF"/>
    <w:rPr>
      <w:rFonts w:ascii="Times New Roman" w:eastAsia="Times New Roman" w:hAnsi="Times New Roman" w:cs="Times New Roman"/>
      <w:snapToGrid w:val="0"/>
      <w:kern w:val="28"/>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1646AF"/>
    <w:rPr>
      <w:rFonts w:ascii="Times New Roman" w:eastAsia="Times New Roman" w:hAnsi="Times New Roman" w:cs="Times New Roman"/>
      <w:sz w:val="20"/>
      <w:szCs w:val="20"/>
    </w:rPr>
  </w:style>
  <w:style w:type="character" w:styleId="FootnoteReference">
    <w:name w:val="footnote reference"/>
    <w:aliases w:val="Style 4,Appel note de bas de p,Style 12,(NECG) Footnote Reference,Style 124,Style 13,o,fr,Style 3,FR,Style 17,Style 6,Footnote Reference/"/>
    <w:rsid w:val="001646AF"/>
    <w:rPr>
      <w:rFonts w:ascii="Times New Roman" w:hAnsi="Times New Roman"/>
      <w:dstrike w:val="0"/>
      <w:color w:val="auto"/>
      <w:sz w:val="20"/>
      <w:vertAlign w:val="superscript"/>
    </w:rPr>
  </w:style>
  <w:style w:type="paragraph" w:customStyle="1" w:styleId="StyleBoldCentered">
    <w:name w:val="Style Bold Centered"/>
    <w:basedOn w:val="Normal"/>
    <w:rsid w:val="001646AF"/>
    <w:pPr>
      <w:jc w:val="center"/>
    </w:pPr>
    <w:rPr>
      <w:rFonts w:ascii="Times New Roman Bold" w:hAnsi="Times New Roman Bold"/>
      <w:b/>
      <w:bCs/>
      <w:caps/>
      <w:szCs w:val="22"/>
    </w:rPr>
  </w:style>
  <w:style w:type="paragraph" w:customStyle="1" w:styleId="ParaNum">
    <w:name w:val="ParaNum"/>
    <w:basedOn w:val="Normal"/>
    <w:link w:val="ParaNumChar"/>
    <w:rsid w:val="00DB08B4"/>
    <w:pPr>
      <w:numPr>
        <w:numId w:val="2"/>
      </w:numPr>
      <w:tabs>
        <w:tab w:val="clear" w:pos="1080"/>
        <w:tab w:val="num" w:pos="1440"/>
      </w:tabs>
      <w:spacing w:after="120"/>
    </w:pPr>
  </w:style>
  <w:style w:type="character" w:customStyle="1" w:styleId="ParaNumChar">
    <w:name w:val="ParaNum Char"/>
    <w:link w:val="ParaNum"/>
    <w:locked/>
    <w:rsid w:val="00DB08B4"/>
    <w:rPr>
      <w:rFonts w:ascii="Times New Roman" w:eastAsia="Times New Roman" w:hAnsi="Times New Roman" w:cs="Times New Roman"/>
      <w:snapToGrid w:val="0"/>
      <w:kern w:val="28"/>
      <w:szCs w:val="20"/>
    </w:rPr>
  </w:style>
  <w:style w:type="character" w:styleId="Emphasis">
    <w:name w:val="Emphasis"/>
    <w:basedOn w:val="DefaultParagraphFont"/>
    <w:uiPriority w:val="20"/>
    <w:qFormat/>
    <w:rsid w:val="005B1AB5"/>
    <w:rPr>
      <w:i/>
      <w:iCs/>
    </w:rPr>
  </w:style>
  <w:style w:type="character" w:customStyle="1" w:styleId="FootnoteCharacters">
    <w:name w:val="Footnote Characters"/>
    <w:uiPriority w:val="99"/>
    <w:rsid w:val="006855F5"/>
    <w:rPr>
      <w:rFonts w:ascii="Times New Roman" w:hAnsi="Times New Roman"/>
      <w:color w:val="auto"/>
      <w:sz w:val="20"/>
      <w:vertAlign w:val="superscript"/>
    </w:rPr>
  </w:style>
  <w:style w:type="paragraph" w:customStyle="1" w:styleId="par1">
    <w:name w:val="par1"/>
    <w:basedOn w:val="Normal"/>
    <w:link w:val="par1Char"/>
    <w:uiPriority w:val="99"/>
    <w:rsid w:val="00C435C4"/>
    <w:pPr>
      <w:numPr>
        <w:numId w:val="9"/>
      </w:numPr>
      <w:tabs>
        <w:tab w:val="num" w:pos="900"/>
        <w:tab w:val="left" w:pos="1440"/>
      </w:tabs>
      <w:ind w:left="-180" w:firstLine="720"/>
    </w:pPr>
    <w:rPr>
      <w:snapToGrid/>
      <w:sz w:val="20"/>
    </w:rPr>
  </w:style>
  <w:style w:type="character" w:customStyle="1" w:styleId="par1Char">
    <w:name w:val="par1 Char"/>
    <w:link w:val="par1"/>
    <w:uiPriority w:val="99"/>
    <w:locked/>
    <w:rsid w:val="00C435C4"/>
    <w:rPr>
      <w:rFonts w:ascii="Times New Roman" w:eastAsia="Times New Roman" w:hAnsi="Times New Roman" w:cs="Times New Roman"/>
      <w:kern w:val="28"/>
      <w:sz w:val="20"/>
      <w:szCs w:val="20"/>
    </w:rPr>
  </w:style>
  <w:style w:type="character" w:styleId="Hyperlink">
    <w:name w:val="Hyperlink"/>
    <w:basedOn w:val="DefaultParagraphFont"/>
    <w:uiPriority w:val="99"/>
    <w:unhideWhenUsed/>
    <w:rsid w:val="004F7FDA"/>
    <w:rPr>
      <w:color w:val="0563C1" w:themeColor="hyperlink"/>
      <w:u w:val="single"/>
    </w:rPr>
  </w:style>
  <w:style w:type="paragraph" w:styleId="BalloonText">
    <w:name w:val="Balloon Text"/>
    <w:basedOn w:val="Normal"/>
    <w:link w:val="BalloonTextChar"/>
    <w:uiPriority w:val="99"/>
    <w:semiHidden/>
    <w:unhideWhenUsed/>
    <w:rsid w:val="00D62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B43"/>
    <w:rPr>
      <w:rFonts w:ascii="Segoe UI" w:eastAsia="Times New Roman" w:hAnsi="Segoe UI" w:cs="Segoe UI"/>
      <w:snapToGrid w:val="0"/>
      <w:kern w:val="28"/>
      <w:sz w:val="18"/>
      <w:szCs w:val="18"/>
    </w:rPr>
  </w:style>
  <w:style w:type="paragraph" w:styleId="Header">
    <w:name w:val="header"/>
    <w:basedOn w:val="Normal"/>
    <w:link w:val="HeaderChar"/>
    <w:unhideWhenUsed/>
    <w:rsid w:val="00C90734"/>
    <w:pPr>
      <w:tabs>
        <w:tab w:val="center" w:pos="4680"/>
        <w:tab w:val="right" w:pos="9360"/>
      </w:tabs>
    </w:pPr>
  </w:style>
  <w:style w:type="character" w:customStyle="1" w:styleId="HeaderChar">
    <w:name w:val="Header Char"/>
    <w:basedOn w:val="DefaultParagraphFont"/>
    <w:link w:val="Header"/>
    <w:uiPriority w:val="99"/>
    <w:rsid w:val="00C9073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C90734"/>
    <w:pPr>
      <w:tabs>
        <w:tab w:val="center" w:pos="4680"/>
        <w:tab w:val="right" w:pos="9360"/>
      </w:tabs>
    </w:pPr>
  </w:style>
  <w:style w:type="character" w:customStyle="1" w:styleId="FooterChar">
    <w:name w:val="Footer Char"/>
    <w:basedOn w:val="DefaultParagraphFont"/>
    <w:link w:val="Footer"/>
    <w:uiPriority w:val="99"/>
    <w:rsid w:val="00C90734"/>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AF"/>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Normal"/>
    <w:link w:val="Heading1Char"/>
    <w:qFormat/>
    <w:rsid w:val="001646AF"/>
    <w:pPr>
      <w:keepNext/>
      <w:numPr>
        <w:numId w:val="4"/>
      </w:numPr>
      <w:suppressAutoHyphens/>
      <w:spacing w:after="120"/>
      <w:outlineLvl w:val="0"/>
    </w:pPr>
    <w:rPr>
      <w:rFonts w:ascii="Times New Roman Bold" w:hAnsi="Times New Roman Bold"/>
      <w:b/>
      <w:caps/>
    </w:rPr>
  </w:style>
  <w:style w:type="paragraph" w:styleId="Heading2">
    <w:name w:val="heading 2"/>
    <w:basedOn w:val="Normal"/>
    <w:next w:val="Normal"/>
    <w:link w:val="Heading2Char"/>
    <w:autoRedefine/>
    <w:qFormat/>
    <w:rsid w:val="001646AF"/>
    <w:pPr>
      <w:keepNext/>
      <w:numPr>
        <w:ilvl w:val="1"/>
        <w:numId w:val="4"/>
      </w:numPr>
      <w:spacing w:after="120"/>
      <w:outlineLvl w:val="1"/>
    </w:pPr>
    <w:rPr>
      <w:b/>
    </w:rPr>
  </w:style>
  <w:style w:type="paragraph" w:styleId="Heading3">
    <w:name w:val="heading 3"/>
    <w:basedOn w:val="Normal"/>
    <w:next w:val="Normal"/>
    <w:link w:val="Heading3Char"/>
    <w:qFormat/>
    <w:rsid w:val="001646AF"/>
    <w:pPr>
      <w:keepNext/>
      <w:numPr>
        <w:ilvl w:val="2"/>
        <w:numId w:val="4"/>
      </w:numPr>
      <w:tabs>
        <w:tab w:val="left" w:pos="2160"/>
      </w:tabs>
      <w:spacing w:after="120"/>
      <w:outlineLvl w:val="2"/>
    </w:pPr>
    <w:rPr>
      <w:b/>
    </w:rPr>
  </w:style>
  <w:style w:type="paragraph" w:styleId="Heading4">
    <w:name w:val="heading 4"/>
    <w:basedOn w:val="Normal"/>
    <w:next w:val="Normal"/>
    <w:link w:val="Heading4Char"/>
    <w:qFormat/>
    <w:rsid w:val="001646AF"/>
    <w:pPr>
      <w:keepNext/>
      <w:numPr>
        <w:ilvl w:val="3"/>
        <w:numId w:val="4"/>
      </w:numPr>
      <w:tabs>
        <w:tab w:val="left" w:pos="2880"/>
      </w:tabs>
      <w:spacing w:after="120"/>
      <w:outlineLvl w:val="3"/>
    </w:pPr>
    <w:rPr>
      <w:b/>
    </w:rPr>
  </w:style>
  <w:style w:type="paragraph" w:styleId="Heading5">
    <w:name w:val="heading 5"/>
    <w:basedOn w:val="Normal"/>
    <w:next w:val="Normal"/>
    <w:link w:val="Heading5Char"/>
    <w:qFormat/>
    <w:rsid w:val="001646AF"/>
    <w:pPr>
      <w:keepNext/>
      <w:numPr>
        <w:ilvl w:val="4"/>
        <w:numId w:val="4"/>
      </w:numPr>
      <w:tabs>
        <w:tab w:val="left" w:pos="3600"/>
      </w:tabs>
      <w:suppressAutoHyphens/>
      <w:spacing w:after="120"/>
      <w:outlineLvl w:val="4"/>
    </w:pPr>
    <w:rPr>
      <w:b/>
    </w:rPr>
  </w:style>
  <w:style w:type="paragraph" w:styleId="Heading6">
    <w:name w:val="heading 6"/>
    <w:basedOn w:val="Normal"/>
    <w:next w:val="Normal"/>
    <w:link w:val="Heading6Char"/>
    <w:qFormat/>
    <w:rsid w:val="001646AF"/>
    <w:pPr>
      <w:numPr>
        <w:ilvl w:val="5"/>
        <w:numId w:val="4"/>
      </w:numPr>
      <w:tabs>
        <w:tab w:val="left" w:pos="4320"/>
      </w:tabs>
      <w:spacing w:after="120"/>
      <w:outlineLvl w:val="5"/>
    </w:pPr>
    <w:rPr>
      <w:b/>
    </w:rPr>
  </w:style>
  <w:style w:type="paragraph" w:styleId="Heading7">
    <w:name w:val="heading 7"/>
    <w:basedOn w:val="Normal"/>
    <w:next w:val="Normal"/>
    <w:link w:val="Heading7Char"/>
    <w:qFormat/>
    <w:rsid w:val="001646AF"/>
    <w:pPr>
      <w:numPr>
        <w:ilvl w:val="6"/>
        <w:numId w:val="4"/>
      </w:numPr>
      <w:tabs>
        <w:tab w:val="left" w:pos="5040"/>
      </w:tabs>
      <w:spacing w:after="120"/>
      <w:outlineLvl w:val="6"/>
    </w:pPr>
    <w:rPr>
      <w:b/>
    </w:rPr>
  </w:style>
  <w:style w:type="paragraph" w:styleId="Heading8">
    <w:name w:val="heading 8"/>
    <w:basedOn w:val="Normal"/>
    <w:next w:val="Normal"/>
    <w:link w:val="Heading8Char"/>
    <w:qFormat/>
    <w:rsid w:val="001646AF"/>
    <w:pPr>
      <w:numPr>
        <w:ilvl w:val="7"/>
        <w:numId w:val="4"/>
      </w:numPr>
      <w:tabs>
        <w:tab w:val="left" w:pos="5760"/>
      </w:tabs>
      <w:spacing w:after="120"/>
      <w:outlineLvl w:val="7"/>
    </w:pPr>
    <w:rPr>
      <w:b/>
    </w:rPr>
  </w:style>
  <w:style w:type="paragraph" w:styleId="Heading9">
    <w:name w:val="heading 9"/>
    <w:basedOn w:val="Normal"/>
    <w:next w:val="Normal"/>
    <w:link w:val="Heading9Char"/>
    <w:qFormat/>
    <w:rsid w:val="001646AF"/>
    <w:pPr>
      <w:numPr>
        <w:ilvl w:val="8"/>
        <w:numId w:val="4"/>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AF"/>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1646AF"/>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1646AF"/>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1646AF"/>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1646AF"/>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1646AF"/>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1646AF"/>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1646AF"/>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1646AF"/>
    <w:rPr>
      <w:rFonts w:ascii="Times New Roman" w:eastAsia="Times New Roman" w:hAnsi="Times New Roman" w:cs="Times New Roman"/>
      <w:b/>
      <w:snapToGrid w:val="0"/>
      <w:kern w:val="28"/>
      <w:szCs w:val="20"/>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rrfootnote"/>
    <w:link w:val="FootnoteTextChar2"/>
    <w:rsid w:val="001646A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rrfootnote Char Char Char Char,rrfootnote Char2,rrfootnote Char"/>
    <w:basedOn w:val="DefaultParagraphFont"/>
    <w:rsid w:val="001646AF"/>
    <w:rPr>
      <w:rFonts w:ascii="Times New Roman" w:eastAsia="Times New Roman" w:hAnsi="Times New Roman" w:cs="Times New Roman"/>
      <w:snapToGrid w:val="0"/>
      <w:kern w:val="28"/>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1646AF"/>
    <w:rPr>
      <w:rFonts w:ascii="Times New Roman" w:eastAsia="Times New Roman" w:hAnsi="Times New Roman" w:cs="Times New Roman"/>
      <w:sz w:val="20"/>
      <w:szCs w:val="20"/>
    </w:rPr>
  </w:style>
  <w:style w:type="character" w:styleId="FootnoteReference">
    <w:name w:val="footnote reference"/>
    <w:aliases w:val="Style 4,Appel note de bas de p,Style 12,(NECG) Footnote Reference,Style 124,Style 13,o,fr,Style 3,FR,Style 17,Style 6,Footnote Reference/"/>
    <w:rsid w:val="001646AF"/>
    <w:rPr>
      <w:rFonts w:ascii="Times New Roman" w:hAnsi="Times New Roman"/>
      <w:dstrike w:val="0"/>
      <w:color w:val="auto"/>
      <w:sz w:val="20"/>
      <w:vertAlign w:val="superscript"/>
    </w:rPr>
  </w:style>
  <w:style w:type="paragraph" w:customStyle="1" w:styleId="StyleBoldCentered">
    <w:name w:val="Style Bold Centered"/>
    <w:basedOn w:val="Normal"/>
    <w:rsid w:val="001646AF"/>
    <w:pPr>
      <w:jc w:val="center"/>
    </w:pPr>
    <w:rPr>
      <w:rFonts w:ascii="Times New Roman Bold" w:hAnsi="Times New Roman Bold"/>
      <w:b/>
      <w:bCs/>
      <w:caps/>
      <w:szCs w:val="22"/>
    </w:rPr>
  </w:style>
  <w:style w:type="paragraph" w:customStyle="1" w:styleId="ParaNum">
    <w:name w:val="ParaNum"/>
    <w:basedOn w:val="Normal"/>
    <w:link w:val="ParaNumChar"/>
    <w:rsid w:val="00DB08B4"/>
    <w:pPr>
      <w:numPr>
        <w:numId w:val="2"/>
      </w:numPr>
      <w:tabs>
        <w:tab w:val="clear" w:pos="1080"/>
        <w:tab w:val="num" w:pos="1440"/>
      </w:tabs>
      <w:spacing w:after="120"/>
    </w:pPr>
  </w:style>
  <w:style w:type="character" w:customStyle="1" w:styleId="ParaNumChar">
    <w:name w:val="ParaNum Char"/>
    <w:link w:val="ParaNum"/>
    <w:locked/>
    <w:rsid w:val="00DB08B4"/>
    <w:rPr>
      <w:rFonts w:ascii="Times New Roman" w:eastAsia="Times New Roman" w:hAnsi="Times New Roman" w:cs="Times New Roman"/>
      <w:snapToGrid w:val="0"/>
      <w:kern w:val="28"/>
      <w:szCs w:val="20"/>
    </w:rPr>
  </w:style>
  <w:style w:type="character" w:styleId="Emphasis">
    <w:name w:val="Emphasis"/>
    <w:basedOn w:val="DefaultParagraphFont"/>
    <w:uiPriority w:val="20"/>
    <w:qFormat/>
    <w:rsid w:val="005B1AB5"/>
    <w:rPr>
      <w:i/>
      <w:iCs/>
    </w:rPr>
  </w:style>
  <w:style w:type="character" w:customStyle="1" w:styleId="FootnoteCharacters">
    <w:name w:val="Footnote Characters"/>
    <w:uiPriority w:val="99"/>
    <w:rsid w:val="006855F5"/>
    <w:rPr>
      <w:rFonts w:ascii="Times New Roman" w:hAnsi="Times New Roman"/>
      <w:color w:val="auto"/>
      <w:sz w:val="20"/>
      <w:vertAlign w:val="superscript"/>
    </w:rPr>
  </w:style>
  <w:style w:type="paragraph" w:customStyle="1" w:styleId="par1">
    <w:name w:val="par1"/>
    <w:basedOn w:val="Normal"/>
    <w:link w:val="par1Char"/>
    <w:uiPriority w:val="99"/>
    <w:rsid w:val="00C435C4"/>
    <w:pPr>
      <w:numPr>
        <w:numId w:val="9"/>
      </w:numPr>
      <w:tabs>
        <w:tab w:val="num" w:pos="900"/>
        <w:tab w:val="left" w:pos="1440"/>
      </w:tabs>
      <w:ind w:left="-180" w:firstLine="720"/>
    </w:pPr>
    <w:rPr>
      <w:snapToGrid/>
      <w:sz w:val="20"/>
    </w:rPr>
  </w:style>
  <w:style w:type="character" w:customStyle="1" w:styleId="par1Char">
    <w:name w:val="par1 Char"/>
    <w:link w:val="par1"/>
    <w:uiPriority w:val="99"/>
    <w:locked/>
    <w:rsid w:val="00C435C4"/>
    <w:rPr>
      <w:rFonts w:ascii="Times New Roman" w:eastAsia="Times New Roman" w:hAnsi="Times New Roman" w:cs="Times New Roman"/>
      <w:kern w:val="28"/>
      <w:sz w:val="20"/>
      <w:szCs w:val="20"/>
    </w:rPr>
  </w:style>
  <w:style w:type="character" w:styleId="Hyperlink">
    <w:name w:val="Hyperlink"/>
    <w:basedOn w:val="DefaultParagraphFont"/>
    <w:uiPriority w:val="99"/>
    <w:unhideWhenUsed/>
    <w:rsid w:val="004F7FDA"/>
    <w:rPr>
      <w:color w:val="0563C1" w:themeColor="hyperlink"/>
      <w:u w:val="single"/>
    </w:rPr>
  </w:style>
  <w:style w:type="paragraph" w:styleId="BalloonText">
    <w:name w:val="Balloon Text"/>
    <w:basedOn w:val="Normal"/>
    <w:link w:val="BalloonTextChar"/>
    <w:uiPriority w:val="99"/>
    <w:semiHidden/>
    <w:unhideWhenUsed/>
    <w:rsid w:val="00D62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B43"/>
    <w:rPr>
      <w:rFonts w:ascii="Segoe UI" w:eastAsia="Times New Roman" w:hAnsi="Segoe UI" w:cs="Segoe UI"/>
      <w:snapToGrid w:val="0"/>
      <w:kern w:val="28"/>
      <w:sz w:val="18"/>
      <w:szCs w:val="18"/>
    </w:rPr>
  </w:style>
  <w:style w:type="paragraph" w:styleId="Header">
    <w:name w:val="header"/>
    <w:basedOn w:val="Normal"/>
    <w:link w:val="HeaderChar"/>
    <w:unhideWhenUsed/>
    <w:rsid w:val="00C90734"/>
    <w:pPr>
      <w:tabs>
        <w:tab w:val="center" w:pos="4680"/>
        <w:tab w:val="right" w:pos="9360"/>
      </w:tabs>
    </w:pPr>
  </w:style>
  <w:style w:type="character" w:customStyle="1" w:styleId="HeaderChar">
    <w:name w:val="Header Char"/>
    <w:basedOn w:val="DefaultParagraphFont"/>
    <w:link w:val="Header"/>
    <w:uiPriority w:val="99"/>
    <w:rsid w:val="00C9073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C90734"/>
    <w:pPr>
      <w:tabs>
        <w:tab w:val="center" w:pos="4680"/>
        <w:tab w:val="right" w:pos="9360"/>
      </w:tabs>
    </w:pPr>
  </w:style>
  <w:style w:type="character" w:customStyle="1" w:styleId="FooterChar">
    <w:name w:val="Footer Char"/>
    <w:basedOn w:val="DefaultParagraphFont"/>
    <w:link w:val="Footer"/>
    <w:uiPriority w:val="99"/>
    <w:rsid w:val="00C90734"/>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8207</Characters>
  <Application>Microsoft Office Word</Application>
  <DocSecurity>0</DocSecurity>
  <Lines>146</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2015-11-20T18:06:00Z</cp:lastPrinted>
  <dcterms:created xsi:type="dcterms:W3CDTF">2015-11-25T14:18:00Z</dcterms:created>
  <dcterms:modified xsi:type="dcterms:W3CDTF">2015-11-25T14:18:00Z</dcterms:modified>
  <cp:category> </cp:category>
  <cp:contentStatus> </cp:contentStatus>
</cp:coreProperties>
</file>