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B0318" w14:textId="77777777" w:rsidR="00F476BC" w:rsidRPr="00EE6797" w:rsidRDefault="00F476BC" w:rsidP="00DD4796">
      <w:pPr>
        <w:pStyle w:val="Header"/>
        <w:tabs>
          <w:tab w:val="clear" w:pos="4320"/>
          <w:tab w:val="clear" w:pos="8640"/>
        </w:tabs>
        <w:rPr>
          <w:sz w:val="22"/>
          <w:szCs w:val="22"/>
        </w:rPr>
      </w:pPr>
      <w:bookmarkStart w:id="0" w:name="_GoBack"/>
      <w:bookmarkEnd w:id="0"/>
    </w:p>
    <w:p w14:paraId="20A283B7" w14:textId="0151C000" w:rsidR="00F476BC" w:rsidRPr="00DD4796" w:rsidRDefault="00F476BC" w:rsidP="00DD4796">
      <w:pPr>
        <w:jc w:val="right"/>
        <w:rPr>
          <w:b/>
          <w:sz w:val="22"/>
          <w:szCs w:val="22"/>
        </w:rPr>
      </w:pPr>
      <w:r w:rsidRPr="00DD4796">
        <w:rPr>
          <w:b/>
          <w:sz w:val="22"/>
          <w:szCs w:val="22"/>
        </w:rPr>
        <w:t xml:space="preserve">DA </w:t>
      </w:r>
      <w:r w:rsidR="006C7C1D">
        <w:rPr>
          <w:b/>
          <w:sz w:val="22"/>
          <w:szCs w:val="22"/>
        </w:rPr>
        <w:t>1</w:t>
      </w:r>
      <w:r w:rsidR="009E66F6">
        <w:rPr>
          <w:b/>
          <w:sz w:val="22"/>
          <w:szCs w:val="22"/>
        </w:rPr>
        <w:t>5-</w:t>
      </w:r>
      <w:r w:rsidR="00ED1964">
        <w:rPr>
          <w:b/>
          <w:sz w:val="22"/>
          <w:szCs w:val="22"/>
        </w:rPr>
        <w:t>1366</w:t>
      </w:r>
    </w:p>
    <w:p w14:paraId="15A3CEB6" w14:textId="06FEB89D" w:rsidR="00F476BC" w:rsidRPr="00DD4796" w:rsidRDefault="00F476BC" w:rsidP="00EE6797">
      <w:pPr>
        <w:jc w:val="right"/>
        <w:rPr>
          <w:b/>
          <w:sz w:val="22"/>
          <w:szCs w:val="22"/>
        </w:rPr>
      </w:pPr>
      <w:r w:rsidRPr="00DD4796">
        <w:rPr>
          <w:b/>
          <w:sz w:val="22"/>
          <w:szCs w:val="22"/>
        </w:rPr>
        <w:t xml:space="preserve">Released: </w:t>
      </w:r>
      <w:r w:rsidR="00DD4796">
        <w:rPr>
          <w:b/>
          <w:sz w:val="22"/>
          <w:szCs w:val="22"/>
        </w:rPr>
        <w:t xml:space="preserve"> </w:t>
      </w:r>
      <w:r w:rsidR="009E66F6">
        <w:rPr>
          <w:b/>
          <w:sz w:val="22"/>
          <w:szCs w:val="22"/>
        </w:rPr>
        <w:t>November</w:t>
      </w:r>
      <w:r w:rsidR="00597F68" w:rsidRPr="00DD4796">
        <w:rPr>
          <w:b/>
          <w:sz w:val="22"/>
          <w:szCs w:val="22"/>
        </w:rPr>
        <w:t xml:space="preserve"> </w:t>
      </w:r>
      <w:r w:rsidR="004A2871">
        <w:rPr>
          <w:b/>
          <w:sz w:val="22"/>
          <w:szCs w:val="22"/>
        </w:rPr>
        <w:t>25</w:t>
      </w:r>
      <w:r w:rsidR="009E66F6">
        <w:rPr>
          <w:b/>
          <w:sz w:val="22"/>
          <w:szCs w:val="22"/>
        </w:rPr>
        <w:t>, 2015</w:t>
      </w:r>
    </w:p>
    <w:p w14:paraId="483DDDAE" w14:textId="77777777" w:rsidR="00666DF5" w:rsidRPr="00DD4796" w:rsidRDefault="00666DF5" w:rsidP="00DD4796">
      <w:pPr>
        <w:jc w:val="center"/>
        <w:rPr>
          <w:b/>
          <w:sz w:val="22"/>
          <w:szCs w:val="22"/>
        </w:rPr>
      </w:pPr>
    </w:p>
    <w:p w14:paraId="2112FCB1" w14:textId="5ACF504B" w:rsidR="00E7366C" w:rsidRDefault="002A12C5" w:rsidP="00E7366C">
      <w:pPr>
        <w:pStyle w:val="paragraph0"/>
        <w:jc w:val="center"/>
        <w:textAlignment w:val="baseline"/>
        <w:rPr>
          <w:rFonts w:ascii="Segoe UI" w:hAnsi="Segoe UI" w:cs="Segoe UI"/>
          <w:sz w:val="12"/>
          <w:szCs w:val="12"/>
        </w:rPr>
      </w:pPr>
      <w:r>
        <w:rPr>
          <w:rStyle w:val="normaltextrun"/>
          <w:b/>
          <w:bCs/>
          <w:sz w:val="22"/>
          <w:szCs w:val="22"/>
        </w:rPr>
        <w:t>REMINDER OF VIDEO</w:t>
      </w:r>
      <w:r w:rsidR="00E7366C">
        <w:rPr>
          <w:rStyle w:val="normaltextrun"/>
          <w:b/>
          <w:bCs/>
          <w:sz w:val="22"/>
          <w:szCs w:val="22"/>
        </w:rPr>
        <w:t xml:space="preserve"> PROGRAMMING DISTRIBUTORS’ OBLIGATION</w:t>
      </w:r>
      <w:r>
        <w:rPr>
          <w:rStyle w:val="normaltextrun"/>
          <w:b/>
          <w:bCs/>
          <w:sz w:val="22"/>
          <w:szCs w:val="22"/>
        </w:rPr>
        <w:t>S</w:t>
      </w:r>
      <w:r w:rsidR="00E7366C">
        <w:rPr>
          <w:rStyle w:val="normaltextrun"/>
          <w:b/>
          <w:bCs/>
          <w:sz w:val="22"/>
          <w:szCs w:val="22"/>
        </w:rPr>
        <w:t xml:space="preserve"> TO MAKE</w:t>
      </w:r>
      <w:r>
        <w:rPr>
          <w:rStyle w:val="normaltextrun"/>
          <w:b/>
          <w:bCs/>
          <w:sz w:val="22"/>
          <w:szCs w:val="22"/>
        </w:rPr>
        <w:t xml:space="preserve"> TELEVISED</w:t>
      </w:r>
      <w:r w:rsidR="00E7366C">
        <w:rPr>
          <w:rStyle w:val="normaltextrun"/>
          <w:b/>
          <w:bCs/>
          <w:sz w:val="22"/>
          <w:szCs w:val="22"/>
        </w:rPr>
        <w:t xml:space="preserve"> EMERGENCY INFORMATION ACCESSIBLE </w:t>
      </w:r>
      <w:r>
        <w:rPr>
          <w:rStyle w:val="normaltextrun"/>
          <w:b/>
          <w:bCs/>
          <w:sz w:val="22"/>
          <w:szCs w:val="22"/>
        </w:rPr>
        <w:t>FOR PEOPLE WITH DISABILITIES; COMPLIANCE DEADLINE ANNOUNCED FOR NEW PROVISIONS</w:t>
      </w:r>
      <w:r w:rsidR="00E7366C">
        <w:rPr>
          <w:rStyle w:val="eop"/>
          <w:sz w:val="22"/>
          <w:szCs w:val="22"/>
        </w:rPr>
        <w:t> </w:t>
      </w:r>
    </w:p>
    <w:p w14:paraId="5E863EC4" w14:textId="706CF130" w:rsidR="00E72169" w:rsidRDefault="00F1180D" w:rsidP="00941765">
      <w:pPr>
        <w:pStyle w:val="paragraph0"/>
        <w:spacing w:before="0" w:beforeAutospacing="0" w:after="120" w:afterAutospacing="0"/>
        <w:ind w:firstLine="720"/>
        <w:textAlignment w:val="baseline"/>
        <w:rPr>
          <w:rStyle w:val="normaltextrun"/>
          <w:sz w:val="22"/>
          <w:szCs w:val="22"/>
        </w:rPr>
      </w:pPr>
      <w:r>
        <w:rPr>
          <w:rStyle w:val="normaltextrun"/>
          <w:sz w:val="22"/>
          <w:szCs w:val="22"/>
        </w:rPr>
        <w:t xml:space="preserve">By this </w:t>
      </w:r>
      <w:r w:rsidR="00EB2359">
        <w:rPr>
          <w:rStyle w:val="normaltextrun"/>
          <w:sz w:val="22"/>
          <w:szCs w:val="22"/>
        </w:rPr>
        <w:t>N</w:t>
      </w:r>
      <w:r>
        <w:rPr>
          <w:rStyle w:val="normaltextrun"/>
          <w:sz w:val="22"/>
          <w:szCs w:val="22"/>
        </w:rPr>
        <w:t xml:space="preserve">otice, the Federal Communications Commission (FCC or Commission) </w:t>
      </w:r>
      <w:r w:rsidR="00D9455F">
        <w:rPr>
          <w:rStyle w:val="normaltextrun"/>
          <w:sz w:val="22"/>
          <w:szCs w:val="22"/>
        </w:rPr>
        <w:t>announce</w:t>
      </w:r>
      <w:r>
        <w:rPr>
          <w:rStyle w:val="normaltextrun"/>
          <w:sz w:val="22"/>
          <w:szCs w:val="22"/>
        </w:rPr>
        <w:t>s that, b</w:t>
      </w:r>
      <w:r w:rsidR="00E7366C">
        <w:rPr>
          <w:rStyle w:val="normaltextrun"/>
          <w:sz w:val="22"/>
          <w:szCs w:val="22"/>
        </w:rPr>
        <w:t xml:space="preserve">eginning on November </w:t>
      </w:r>
      <w:r w:rsidR="00DF662D">
        <w:rPr>
          <w:rStyle w:val="normaltextrun"/>
          <w:sz w:val="22"/>
          <w:szCs w:val="22"/>
        </w:rPr>
        <w:t>30</w:t>
      </w:r>
      <w:r w:rsidR="00E7366C">
        <w:rPr>
          <w:rStyle w:val="normaltextrun"/>
          <w:sz w:val="22"/>
          <w:szCs w:val="22"/>
        </w:rPr>
        <w:t>, 2015,</w:t>
      </w:r>
      <w:r w:rsidR="00960FFE">
        <w:rPr>
          <w:rStyle w:val="normaltextrun"/>
          <w:sz w:val="22"/>
          <w:szCs w:val="22"/>
        </w:rPr>
        <w:t xml:space="preserve"> in accordance with section 79.2(b)(2)(ii) of the Commission’s rules,</w:t>
      </w:r>
      <w:r w:rsidR="00960FFE">
        <w:rPr>
          <w:rStyle w:val="FootnoteReference"/>
          <w:sz w:val="22"/>
          <w:szCs w:val="22"/>
        </w:rPr>
        <w:footnoteReference w:id="2"/>
      </w:r>
      <w:r w:rsidR="00E7366C">
        <w:rPr>
          <w:rStyle w:val="normaltextrun"/>
          <w:sz w:val="22"/>
          <w:szCs w:val="22"/>
        </w:rPr>
        <w:t xml:space="preserve"> video programming distributors (VPDs)</w:t>
      </w:r>
      <w:r w:rsidR="00A608F4">
        <w:rPr>
          <w:rStyle w:val="FootnoteReference"/>
          <w:sz w:val="22"/>
          <w:szCs w:val="22"/>
        </w:rPr>
        <w:footnoteReference w:id="3"/>
      </w:r>
      <w:r w:rsidR="00E7366C">
        <w:rPr>
          <w:rStyle w:val="normaltextrun"/>
          <w:sz w:val="22"/>
          <w:szCs w:val="22"/>
        </w:rPr>
        <w:t xml:space="preserve"> must ensure that their televised emergency information is conveyed aurally through the use of a secondary audio stream,</w:t>
      </w:r>
      <w:r w:rsidR="00B47B84" w:rsidRPr="0077493E">
        <w:rPr>
          <w:sz w:val="22"/>
          <w:szCs w:val="22"/>
          <w:vertAlign w:val="superscript"/>
        </w:rPr>
        <w:footnoteReference w:id="4"/>
      </w:r>
      <w:r w:rsidR="00E7366C">
        <w:rPr>
          <w:rStyle w:val="normaltextrun"/>
          <w:sz w:val="22"/>
          <w:szCs w:val="22"/>
        </w:rPr>
        <w:t xml:space="preserve"> when such information is conveyed visually during programming other than newscasts.</w:t>
      </w:r>
      <w:r w:rsidR="00D64769">
        <w:rPr>
          <w:rStyle w:val="normaltextrun"/>
          <w:color w:val="000000"/>
          <w:sz w:val="22"/>
          <w:szCs w:val="22"/>
        </w:rPr>
        <w:t>  </w:t>
      </w:r>
      <w:r w:rsidR="00D64769">
        <w:rPr>
          <w:rStyle w:val="normaltextrun"/>
          <w:sz w:val="22"/>
          <w:szCs w:val="22"/>
        </w:rPr>
        <w:t> </w:t>
      </w:r>
      <w:r w:rsidR="00D64769">
        <w:rPr>
          <w:rStyle w:val="eop"/>
          <w:sz w:val="22"/>
          <w:szCs w:val="22"/>
        </w:rPr>
        <w:t> </w:t>
      </w:r>
      <w:r w:rsidR="00E7366C">
        <w:rPr>
          <w:rStyle w:val="normaltextrun"/>
          <w:sz w:val="22"/>
          <w:szCs w:val="22"/>
        </w:rPr>
        <w:t xml:space="preserve"> </w:t>
      </w:r>
      <w:r>
        <w:rPr>
          <w:rStyle w:val="normaltextrun"/>
          <w:sz w:val="22"/>
          <w:szCs w:val="22"/>
        </w:rPr>
        <w:t xml:space="preserve"> </w:t>
      </w:r>
    </w:p>
    <w:p w14:paraId="2A49C66D" w14:textId="46DC5D3D" w:rsidR="00B61409" w:rsidRDefault="00E72169" w:rsidP="00941765">
      <w:pPr>
        <w:pStyle w:val="paragraph0"/>
        <w:spacing w:before="0" w:beforeAutospacing="0" w:after="120" w:afterAutospacing="0"/>
        <w:ind w:firstLine="720"/>
        <w:textAlignment w:val="baseline"/>
        <w:rPr>
          <w:sz w:val="22"/>
          <w:szCs w:val="22"/>
        </w:rPr>
      </w:pPr>
      <w:r>
        <w:rPr>
          <w:sz w:val="22"/>
          <w:szCs w:val="22"/>
        </w:rPr>
        <w:t xml:space="preserve">Section 202 of the </w:t>
      </w:r>
      <w:r w:rsidRPr="00DB2413">
        <w:rPr>
          <w:sz w:val="22"/>
          <w:szCs w:val="22"/>
        </w:rPr>
        <w:t xml:space="preserve">Twenty-First Century Communications and Video Accessibility Act of 2010 </w:t>
      </w:r>
      <w:r>
        <w:rPr>
          <w:sz w:val="22"/>
          <w:szCs w:val="22"/>
        </w:rPr>
        <w:t xml:space="preserve">(CVAA) directed the Commission to promulgate rules requiring video programming providers, video programming distributors, and program owners to convey emergency information in a manner accessible </w:t>
      </w:r>
      <w:r>
        <w:rPr>
          <w:sz w:val="22"/>
          <w:szCs w:val="22"/>
        </w:rPr>
        <w:lastRenderedPageBreak/>
        <w:t>to individuals who are blind or visually impaired.</w:t>
      </w:r>
      <w:r>
        <w:rPr>
          <w:rStyle w:val="FootnoteReference"/>
          <w:sz w:val="22"/>
          <w:szCs w:val="22"/>
        </w:rPr>
        <w:footnoteReference w:id="5"/>
      </w:r>
      <w:r>
        <w:rPr>
          <w:sz w:val="22"/>
          <w:szCs w:val="22"/>
        </w:rPr>
        <w:t xml:space="preserve">  </w:t>
      </w:r>
      <w:r w:rsidR="00B61409">
        <w:rPr>
          <w:sz w:val="22"/>
          <w:szCs w:val="22"/>
        </w:rPr>
        <w:t xml:space="preserve">On April 9, 2013, the Commission released the </w:t>
      </w:r>
      <w:r w:rsidR="00B61409" w:rsidRPr="00DB2413">
        <w:rPr>
          <w:i/>
          <w:sz w:val="22"/>
          <w:szCs w:val="22"/>
        </w:rPr>
        <w:t>Accessible Emergency Information Order</w:t>
      </w:r>
      <w:r w:rsidR="00B61409" w:rsidRPr="0077493E">
        <w:rPr>
          <w:sz w:val="22"/>
          <w:szCs w:val="22"/>
        </w:rPr>
        <w:t xml:space="preserve"> implement</w:t>
      </w:r>
      <w:r>
        <w:rPr>
          <w:sz w:val="22"/>
          <w:szCs w:val="22"/>
        </w:rPr>
        <w:t>ing</w:t>
      </w:r>
      <w:r w:rsidR="00B61409" w:rsidRPr="0077493E">
        <w:rPr>
          <w:sz w:val="22"/>
          <w:szCs w:val="22"/>
        </w:rPr>
        <w:t xml:space="preserve"> this mandate.</w:t>
      </w:r>
      <w:r>
        <w:rPr>
          <w:rStyle w:val="FootnoteReference"/>
          <w:sz w:val="22"/>
          <w:szCs w:val="22"/>
        </w:rPr>
        <w:footnoteReference w:id="6"/>
      </w:r>
    </w:p>
    <w:p w14:paraId="276AAE77" w14:textId="5E34A9E7" w:rsidR="00DB2413" w:rsidRDefault="00E7366C" w:rsidP="00941765">
      <w:pPr>
        <w:pStyle w:val="paragraph0"/>
        <w:spacing w:before="0" w:beforeAutospacing="0" w:after="120" w:afterAutospacing="0"/>
        <w:ind w:firstLine="720"/>
        <w:textAlignment w:val="baseline"/>
        <w:rPr>
          <w:rStyle w:val="eop"/>
          <w:sz w:val="22"/>
          <w:szCs w:val="22"/>
        </w:rPr>
      </w:pPr>
      <w:r>
        <w:rPr>
          <w:rStyle w:val="normaltextrun"/>
          <w:sz w:val="22"/>
          <w:szCs w:val="22"/>
        </w:rPr>
        <w:t>Specifically, when emergency information</w:t>
      </w:r>
      <w:r w:rsidR="00D65FD0" w:rsidRPr="0077493E">
        <w:rPr>
          <w:sz w:val="22"/>
          <w:szCs w:val="22"/>
          <w:vertAlign w:val="superscript"/>
        </w:rPr>
        <w:footnoteReference w:id="7"/>
      </w:r>
      <w:r>
        <w:rPr>
          <w:rStyle w:val="normaltextrun"/>
          <w:sz w:val="22"/>
          <w:szCs w:val="22"/>
        </w:rPr>
        <w:t xml:space="preserve"> is being provided in the video portion of programming that is not a regularly scheduled newscast or a newscast that interrupts regular programming (</w:t>
      </w:r>
      <w:r>
        <w:rPr>
          <w:rStyle w:val="normaltextrun"/>
          <w:i/>
          <w:iCs/>
          <w:sz w:val="22"/>
          <w:szCs w:val="22"/>
        </w:rPr>
        <w:t>e.g</w:t>
      </w:r>
      <w:r>
        <w:rPr>
          <w:rStyle w:val="normaltextrun"/>
          <w:sz w:val="22"/>
          <w:szCs w:val="22"/>
        </w:rPr>
        <w:t>., the programmer provides the emergency information through “crawling” or “scrolling” text during regular programming), the information must be accompanied by an aural tone</w:t>
      </w:r>
      <w:r w:rsidR="00EF1D1D">
        <w:rPr>
          <w:rStyle w:val="normaltextrun"/>
          <w:sz w:val="22"/>
          <w:szCs w:val="22"/>
        </w:rPr>
        <w:t xml:space="preserve"> and provided aurally on </w:t>
      </w:r>
      <w:r w:rsidR="00FD0DDC">
        <w:rPr>
          <w:rStyle w:val="normaltextrun"/>
          <w:sz w:val="22"/>
          <w:szCs w:val="22"/>
        </w:rPr>
        <w:t xml:space="preserve">the </w:t>
      </w:r>
      <w:r w:rsidR="00EF1D1D">
        <w:rPr>
          <w:rStyle w:val="normaltextrun"/>
          <w:sz w:val="22"/>
          <w:szCs w:val="22"/>
        </w:rPr>
        <w:t>secondary audio stream</w:t>
      </w:r>
      <w:r>
        <w:rPr>
          <w:rStyle w:val="normaltextrun"/>
          <w:sz w:val="22"/>
          <w:szCs w:val="22"/>
        </w:rPr>
        <w:t>.</w:t>
      </w:r>
      <w:r w:rsidR="001A166D">
        <w:rPr>
          <w:rStyle w:val="FootnoteReference"/>
          <w:sz w:val="22"/>
          <w:szCs w:val="22"/>
        </w:rPr>
        <w:footnoteReference w:id="8"/>
      </w:r>
      <w:r>
        <w:rPr>
          <w:rStyle w:val="normaltextrun"/>
          <w:sz w:val="22"/>
          <w:szCs w:val="22"/>
        </w:rPr>
        <w:t>  The aural tone</w:t>
      </w:r>
      <w:r w:rsidR="00F85D03">
        <w:rPr>
          <w:rStyle w:val="normaltextrun"/>
          <w:sz w:val="22"/>
          <w:szCs w:val="22"/>
        </w:rPr>
        <w:t xml:space="preserve"> will</w:t>
      </w:r>
      <w:r>
        <w:rPr>
          <w:rStyle w:val="normaltextrun"/>
          <w:sz w:val="22"/>
          <w:szCs w:val="22"/>
        </w:rPr>
        <w:t xml:space="preserve"> alert consumers who are blind or visually impaired to the presence of an emergency situation, and give them an opportunity to switch to </w:t>
      </w:r>
      <w:r w:rsidR="00F85D03">
        <w:rPr>
          <w:rStyle w:val="normaltextrun"/>
          <w:sz w:val="22"/>
          <w:szCs w:val="22"/>
        </w:rPr>
        <w:t>the secondary</w:t>
      </w:r>
      <w:r>
        <w:rPr>
          <w:rStyle w:val="normaltextrun"/>
          <w:sz w:val="22"/>
          <w:szCs w:val="22"/>
        </w:rPr>
        <w:t xml:space="preserve"> audio stream.</w:t>
      </w:r>
      <w:r w:rsidR="001A166D">
        <w:rPr>
          <w:rStyle w:val="FootnoteReference"/>
          <w:sz w:val="22"/>
          <w:szCs w:val="22"/>
        </w:rPr>
        <w:footnoteReference w:id="9"/>
      </w:r>
      <w:r w:rsidR="00F85D03" w:rsidRPr="00F85D03">
        <w:rPr>
          <w:rStyle w:val="normaltextrun"/>
          <w:sz w:val="22"/>
          <w:szCs w:val="22"/>
        </w:rPr>
        <w:t xml:space="preserve"> </w:t>
      </w:r>
      <w:r w:rsidR="00273CDF">
        <w:rPr>
          <w:rStyle w:val="normaltextrun"/>
          <w:sz w:val="22"/>
          <w:szCs w:val="22"/>
        </w:rPr>
        <w:t xml:space="preserve"> </w:t>
      </w:r>
      <w:r w:rsidR="00F85D03">
        <w:rPr>
          <w:rStyle w:val="normaltextrun"/>
          <w:sz w:val="22"/>
          <w:szCs w:val="22"/>
        </w:rPr>
        <w:t xml:space="preserve">The information imparted over the secondary audio channel must </w:t>
      </w:r>
      <w:r w:rsidR="007D6462">
        <w:rPr>
          <w:rStyle w:val="normaltextrun"/>
          <w:sz w:val="22"/>
          <w:szCs w:val="22"/>
        </w:rPr>
        <w:t>be preceded by</w:t>
      </w:r>
      <w:r w:rsidR="00F85D03">
        <w:rPr>
          <w:rStyle w:val="normaltextrun"/>
          <w:sz w:val="22"/>
          <w:szCs w:val="22"/>
        </w:rPr>
        <w:t xml:space="preserve"> the aural tone,</w:t>
      </w:r>
      <w:r w:rsidR="007D6462">
        <w:rPr>
          <w:rStyle w:val="normaltextrun"/>
          <w:sz w:val="22"/>
          <w:szCs w:val="22"/>
        </w:rPr>
        <w:t xml:space="preserve"> and must be conveyed in full at least twice.</w:t>
      </w:r>
      <w:r w:rsidR="007D6462">
        <w:rPr>
          <w:rStyle w:val="FootnoteReference"/>
          <w:sz w:val="22"/>
          <w:szCs w:val="22"/>
        </w:rPr>
        <w:footnoteReference w:id="10"/>
      </w:r>
      <w:r w:rsidR="00F85D03">
        <w:rPr>
          <w:rStyle w:val="normaltextrun"/>
          <w:sz w:val="22"/>
          <w:szCs w:val="22"/>
        </w:rPr>
        <w:t xml:space="preserve"> </w:t>
      </w:r>
      <w:r w:rsidR="00F85D03" w:rsidRPr="00F85D03">
        <w:rPr>
          <w:rStyle w:val="normaltextrun"/>
          <w:sz w:val="22"/>
          <w:szCs w:val="22"/>
        </w:rPr>
        <w:t xml:space="preserve"> </w:t>
      </w:r>
      <w:r w:rsidR="00AF7FDC">
        <w:rPr>
          <w:rStyle w:val="normaltextrun"/>
          <w:sz w:val="22"/>
          <w:szCs w:val="22"/>
        </w:rPr>
        <w:t>V</w:t>
      </w:r>
      <w:r w:rsidR="00F85D03">
        <w:rPr>
          <w:rStyle w:val="normaltextrun"/>
          <w:sz w:val="22"/>
          <w:szCs w:val="22"/>
        </w:rPr>
        <w:t xml:space="preserve">PDs </w:t>
      </w:r>
      <w:r w:rsidR="007D6462">
        <w:rPr>
          <w:rStyle w:val="normaltextrun"/>
          <w:sz w:val="22"/>
          <w:szCs w:val="22"/>
        </w:rPr>
        <w:t>must</w:t>
      </w:r>
      <w:r w:rsidR="00AF7FDC">
        <w:rPr>
          <w:rStyle w:val="normaltextrun"/>
          <w:sz w:val="22"/>
          <w:szCs w:val="22"/>
        </w:rPr>
        <w:t xml:space="preserve"> also</w:t>
      </w:r>
      <w:r w:rsidR="007D6462">
        <w:rPr>
          <w:rStyle w:val="normaltextrun"/>
          <w:sz w:val="22"/>
          <w:szCs w:val="22"/>
        </w:rPr>
        <w:t xml:space="preserve"> ensure</w:t>
      </w:r>
      <w:r w:rsidR="00F85D03">
        <w:rPr>
          <w:rStyle w:val="normaltextrun"/>
          <w:sz w:val="22"/>
          <w:szCs w:val="22"/>
        </w:rPr>
        <w:t xml:space="preserve"> that that their video programming apparatus be capable of delivering such emergency information in an accessible manner to individuals</w:t>
      </w:r>
      <w:r w:rsidR="007D6462">
        <w:rPr>
          <w:rStyle w:val="normaltextrun"/>
          <w:sz w:val="22"/>
          <w:szCs w:val="22"/>
        </w:rPr>
        <w:t xml:space="preserve"> who are blind or visually impaired</w:t>
      </w:r>
      <w:r w:rsidR="00F85D03">
        <w:rPr>
          <w:rStyle w:val="normaltextrun"/>
          <w:sz w:val="22"/>
          <w:szCs w:val="22"/>
        </w:rPr>
        <w:t>.</w:t>
      </w:r>
      <w:r w:rsidR="00F85D03">
        <w:rPr>
          <w:rStyle w:val="FootnoteReference"/>
          <w:sz w:val="22"/>
          <w:szCs w:val="22"/>
        </w:rPr>
        <w:footnoteReference w:id="11"/>
      </w:r>
      <w:r>
        <w:rPr>
          <w:rStyle w:val="normaltextrun"/>
          <w:sz w:val="22"/>
          <w:szCs w:val="22"/>
        </w:rPr>
        <w:t>  </w:t>
      </w:r>
      <w:r>
        <w:rPr>
          <w:rStyle w:val="eop"/>
          <w:sz w:val="22"/>
          <w:szCs w:val="22"/>
        </w:rPr>
        <w:t> </w:t>
      </w:r>
      <w:r w:rsidR="0077493E" w:rsidRPr="0077493E">
        <w:rPr>
          <w:sz w:val="22"/>
          <w:szCs w:val="22"/>
        </w:rPr>
        <w:t xml:space="preserve">  </w:t>
      </w:r>
    </w:p>
    <w:p w14:paraId="4A2CB6E8" w14:textId="4CC6F7D7" w:rsidR="00FC7966" w:rsidRDefault="00FC7966" w:rsidP="00941765">
      <w:pPr>
        <w:pStyle w:val="paragraph0"/>
        <w:spacing w:before="0" w:beforeAutospacing="0" w:after="120" w:afterAutospacing="0"/>
        <w:ind w:firstLine="720"/>
        <w:textAlignment w:val="baseline"/>
        <w:rPr>
          <w:rStyle w:val="normaltextrun"/>
          <w:sz w:val="22"/>
          <w:szCs w:val="22"/>
        </w:rPr>
      </w:pPr>
      <w:r>
        <w:rPr>
          <w:rStyle w:val="normaltextrun"/>
          <w:sz w:val="22"/>
          <w:szCs w:val="22"/>
        </w:rPr>
        <w:t>In addition, on May 28, 2015, the Commission released a Report and Order requiring multichannel video programming distributors (MVPDs) to pass through the secondary audio stream containing audible emergency information when it is provided on linear programming accessed on second screen devices (</w:t>
      </w:r>
      <w:r>
        <w:rPr>
          <w:rStyle w:val="normaltextrun"/>
          <w:i/>
          <w:iCs/>
          <w:sz w:val="22"/>
          <w:szCs w:val="22"/>
        </w:rPr>
        <w:t>e.g.</w:t>
      </w:r>
      <w:r>
        <w:rPr>
          <w:rStyle w:val="normaltextrun"/>
          <w:sz w:val="22"/>
          <w:szCs w:val="22"/>
        </w:rPr>
        <w:t>, tablets, smartphones, laptops and similar devices) over the MVPD’s network</w:t>
      </w:r>
      <w:r w:rsidR="00FC7104">
        <w:rPr>
          <w:rStyle w:val="normaltextrun"/>
          <w:sz w:val="22"/>
          <w:szCs w:val="22"/>
        </w:rPr>
        <w:t xml:space="preserve"> as part of their MVPD services</w:t>
      </w:r>
      <w:r>
        <w:rPr>
          <w:rStyle w:val="normaltextrun"/>
          <w:sz w:val="22"/>
          <w:szCs w:val="22"/>
        </w:rPr>
        <w:t>.</w:t>
      </w:r>
      <w:r>
        <w:rPr>
          <w:rStyle w:val="FootnoteReference"/>
          <w:sz w:val="22"/>
          <w:szCs w:val="22"/>
        </w:rPr>
        <w:footnoteReference w:id="12"/>
      </w:r>
      <w:r>
        <w:rPr>
          <w:rStyle w:val="normaltextrun"/>
          <w:sz w:val="22"/>
          <w:szCs w:val="22"/>
        </w:rPr>
        <w:t>  Linear programming is generally video programming that is prescheduled by the video programming provider.  This requirement must be implemented no later than July 10, 2017.</w:t>
      </w:r>
      <w:r>
        <w:rPr>
          <w:rStyle w:val="FootnoteReference"/>
          <w:sz w:val="22"/>
          <w:szCs w:val="22"/>
        </w:rPr>
        <w:footnoteReference w:id="13"/>
      </w:r>
      <w:r>
        <w:rPr>
          <w:rStyle w:val="normaltextrun"/>
          <w:sz w:val="22"/>
          <w:szCs w:val="22"/>
        </w:rPr>
        <w:t xml:space="preserve">  In this order, the Commission also required apparatus manufacturers to provide a mechanism that </w:t>
      </w:r>
      <w:r>
        <w:rPr>
          <w:rStyle w:val="normaltextrun"/>
          <w:sz w:val="22"/>
          <w:szCs w:val="22"/>
        </w:rPr>
        <w:lastRenderedPageBreak/>
        <w:t>is simple and easy to use, such as one that is reasonably comparable to a button, key, or icon, for activating the secondary audio stream to access audible emergency information by December 20, 2016.</w:t>
      </w:r>
      <w:r>
        <w:rPr>
          <w:rStyle w:val="FootnoteReference"/>
          <w:sz w:val="22"/>
          <w:szCs w:val="22"/>
        </w:rPr>
        <w:footnoteReference w:id="14"/>
      </w:r>
    </w:p>
    <w:p w14:paraId="1415D207" w14:textId="70EF91EB" w:rsidR="00B440A2" w:rsidRDefault="00FC7966" w:rsidP="00941765">
      <w:pPr>
        <w:pStyle w:val="paragraph0"/>
        <w:spacing w:before="0" w:beforeAutospacing="0" w:after="120" w:afterAutospacing="0"/>
        <w:ind w:firstLine="720"/>
        <w:textAlignment w:val="baseline"/>
        <w:rPr>
          <w:rStyle w:val="normaltextrun"/>
          <w:sz w:val="22"/>
          <w:szCs w:val="22"/>
        </w:rPr>
      </w:pPr>
      <w:r>
        <w:rPr>
          <w:rStyle w:val="eop"/>
          <w:sz w:val="22"/>
          <w:szCs w:val="22"/>
        </w:rPr>
        <w:t>W</w:t>
      </w:r>
      <w:r w:rsidR="000D2596">
        <w:rPr>
          <w:rStyle w:val="normaltextrun"/>
          <w:sz w:val="22"/>
          <w:szCs w:val="22"/>
        </w:rPr>
        <w:t xml:space="preserve">e </w:t>
      </w:r>
      <w:r>
        <w:rPr>
          <w:rStyle w:val="normaltextrun"/>
          <w:sz w:val="22"/>
          <w:szCs w:val="22"/>
        </w:rPr>
        <w:t xml:space="preserve">also </w:t>
      </w:r>
      <w:r w:rsidR="000D2596">
        <w:rPr>
          <w:rStyle w:val="normaltextrun"/>
          <w:sz w:val="22"/>
          <w:szCs w:val="22"/>
        </w:rPr>
        <w:t xml:space="preserve">remind VPDs of their </w:t>
      </w:r>
      <w:r w:rsidR="00A61974">
        <w:rPr>
          <w:rStyle w:val="normaltextrun"/>
          <w:sz w:val="22"/>
          <w:szCs w:val="22"/>
        </w:rPr>
        <w:t xml:space="preserve">existing </w:t>
      </w:r>
      <w:r w:rsidR="000D2596">
        <w:rPr>
          <w:rStyle w:val="normaltextrun"/>
          <w:sz w:val="22"/>
          <w:szCs w:val="22"/>
        </w:rPr>
        <w:t>obligation to ensure that</w:t>
      </w:r>
      <w:r w:rsidR="006237AF">
        <w:rPr>
          <w:rStyle w:val="normaltextrun"/>
          <w:sz w:val="22"/>
          <w:szCs w:val="22"/>
        </w:rPr>
        <w:t xml:space="preserve"> </w:t>
      </w:r>
      <w:r w:rsidR="001A166D">
        <w:rPr>
          <w:rStyle w:val="normaltextrun"/>
          <w:sz w:val="22"/>
          <w:szCs w:val="22"/>
        </w:rPr>
        <w:t>e</w:t>
      </w:r>
      <w:r w:rsidR="00B440A2" w:rsidRPr="00B440A2">
        <w:rPr>
          <w:rStyle w:val="normaltextrun"/>
          <w:sz w:val="22"/>
          <w:szCs w:val="22"/>
        </w:rPr>
        <w:t>mergency information be provided in a manner that is accessible to persons who are deaf or hard of hearing.  Commission rules require that emergency information provided in the audio portion of the programming be made accessible using closed captioning or other methods of visual presentation, including open captioning, crawls or scr</w:t>
      </w:r>
      <w:r w:rsidR="006237AF">
        <w:rPr>
          <w:rStyle w:val="normaltextrun"/>
          <w:sz w:val="22"/>
          <w:szCs w:val="22"/>
        </w:rPr>
        <w:t>olls that appear on the screen.</w:t>
      </w:r>
      <w:r w:rsidR="006237AF">
        <w:rPr>
          <w:rStyle w:val="FootnoteReference"/>
          <w:sz w:val="22"/>
          <w:szCs w:val="22"/>
        </w:rPr>
        <w:footnoteReference w:id="15"/>
      </w:r>
      <w:r w:rsidR="00B440A2" w:rsidRPr="00B440A2">
        <w:rPr>
          <w:rStyle w:val="normaltextrun"/>
          <w:sz w:val="22"/>
          <w:szCs w:val="22"/>
        </w:rPr>
        <w:t xml:space="preserve">  Emergency information provided by these means may not block any closed captioning, and closed captioning may not block any emergency information provided by crawls, s</w:t>
      </w:r>
      <w:r w:rsidR="006237AF">
        <w:rPr>
          <w:rStyle w:val="normaltextrun"/>
          <w:sz w:val="22"/>
          <w:szCs w:val="22"/>
        </w:rPr>
        <w:t>crolls, or other visual means.</w:t>
      </w:r>
      <w:r w:rsidR="006237AF">
        <w:rPr>
          <w:rStyle w:val="FootnoteReference"/>
          <w:sz w:val="22"/>
          <w:szCs w:val="22"/>
        </w:rPr>
        <w:footnoteReference w:id="16"/>
      </w:r>
      <w:r w:rsidR="00B440A2" w:rsidRPr="00B440A2">
        <w:rPr>
          <w:rStyle w:val="normaltextrun"/>
          <w:sz w:val="22"/>
          <w:szCs w:val="22"/>
        </w:rPr>
        <w:t xml:space="preserve"> </w:t>
      </w:r>
      <w:r w:rsidR="00626B67">
        <w:rPr>
          <w:rStyle w:val="normaltextrun"/>
          <w:sz w:val="22"/>
          <w:szCs w:val="22"/>
        </w:rPr>
        <w:t xml:space="preserve"> </w:t>
      </w:r>
      <w:r w:rsidR="00B440A2" w:rsidRPr="00B440A2">
        <w:rPr>
          <w:rStyle w:val="normaltextrun"/>
          <w:sz w:val="22"/>
          <w:szCs w:val="22"/>
        </w:rPr>
        <w:t>The “pass through” obligation, generally requiring VPDs to ensure that viewers receive closed captions intact under section 79.1,</w:t>
      </w:r>
      <w:r w:rsidR="009517F7">
        <w:rPr>
          <w:rStyle w:val="FootnoteReference"/>
          <w:sz w:val="22"/>
          <w:szCs w:val="22"/>
        </w:rPr>
        <w:footnoteReference w:id="17"/>
      </w:r>
      <w:r w:rsidR="00B440A2" w:rsidRPr="00B440A2">
        <w:rPr>
          <w:rStyle w:val="normaltextrun"/>
          <w:sz w:val="22"/>
          <w:szCs w:val="22"/>
        </w:rPr>
        <w:t xml:space="preserve"> also applies to emergency informatio</w:t>
      </w:r>
      <w:r w:rsidR="006237AF">
        <w:rPr>
          <w:rStyle w:val="normaltextrun"/>
          <w:sz w:val="22"/>
          <w:szCs w:val="22"/>
        </w:rPr>
        <w:t>n encompassed by section 79.2.</w:t>
      </w:r>
      <w:r w:rsidR="006237AF">
        <w:rPr>
          <w:rStyle w:val="FootnoteReference"/>
          <w:sz w:val="22"/>
          <w:szCs w:val="22"/>
        </w:rPr>
        <w:footnoteReference w:id="18"/>
      </w:r>
    </w:p>
    <w:p w14:paraId="4A22A731" w14:textId="3E67477A" w:rsidR="00E7366C" w:rsidRDefault="00FC7966" w:rsidP="00941765">
      <w:pPr>
        <w:pStyle w:val="paragraph0"/>
        <w:spacing w:before="0" w:beforeAutospacing="0" w:after="120" w:afterAutospacing="0"/>
        <w:ind w:firstLine="720"/>
        <w:textAlignment w:val="baseline"/>
        <w:rPr>
          <w:rFonts w:ascii="Segoe UI" w:hAnsi="Segoe UI" w:cs="Segoe UI"/>
          <w:sz w:val="12"/>
          <w:szCs w:val="12"/>
        </w:rPr>
      </w:pPr>
      <w:r>
        <w:rPr>
          <w:rStyle w:val="normaltextrun"/>
          <w:sz w:val="22"/>
          <w:szCs w:val="22"/>
        </w:rPr>
        <w:t>As we have</w:t>
      </w:r>
      <w:r w:rsidR="00FB43EE">
        <w:rPr>
          <w:rStyle w:val="normaltextrun"/>
          <w:sz w:val="22"/>
          <w:szCs w:val="22"/>
        </w:rPr>
        <w:t xml:space="preserve"> previously </w:t>
      </w:r>
      <w:r>
        <w:rPr>
          <w:rStyle w:val="normaltextrun"/>
          <w:sz w:val="22"/>
          <w:szCs w:val="22"/>
        </w:rPr>
        <w:t>noted,</w:t>
      </w:r>
      <w:r>
        <w:rPr>
          <w:rStyle w:val="FootnoteReference"/>
          <w:sz w:val="22"/>
          <w:szCs w:val="22"/>
        </w:rPr>
        <w:footnoteReference w:id="19"/>
      </w:r>
      <w:r>
        <w:rPr>
          <w:rStyle w:val="normaltextrun"/>
          <w:sz w:val="22"/>
          <w:szCs w:val="22"/>
        </w:rPr>
        <w:t xml:space="preserve"> t</w:t>
      </w:r>
      <w:r w:rsidR="00507E86" w:rsidRPr="00507E86">
        <w:rPr>
          <w:rStyle w:val="normaltextrun"/>
          <w:sz w:val="22"/>
          <w:szCs w:val="22"/>
        </w:rPr>
        <w:t>he need to comply with section 79.2 is not always limited to the immediate geographic areas affected by the emergency because critical details about the emergency and how to respond – for example, relocation information – may need to reach individuals outside that immediate geographic area, and therefore fall within the rule’s mandate.</w:t>
      </w:r>
      <w:r w:rsidR="006237AF">
        <w:rPr>
          <w:rStyle w:val="FootnoteReference"/>
          <w:sz w:val="22"/>
          <w:szCs w:val="22"/>
        </w:rPr>
        <w:footnoteReference w:id="20"/>
      </w:r>
      <w:r w:rsidR="00507E86" w:rsidRPr="00507E86">
        <w:rPr>
          <w:rStyle w:val="normaltextrun"/>
          <w:sz w:val="22"/>
          <w:szCs w:val="22"/>
        </w:rPr>
        <w:t xml:space="preserve"> </w:t>
      </w:r>
      <w:r w:rsidR="00A61974">
        <w:rPr>
          <w:rStyle w:val="normaltextrun"/>
          <w:sz w:val="22"/>
          <w:szCs w:val="22"/>
        </w:rPr>
        <w:t xml:space="preserve"> </w:t>
      </w:r>
      <w:r w:rsidR="00507E86" w:rsidRPr="00507E86">
        <w:rPr>
          <w:rStyle w:val="normaltextrun"/>
          <w:sz w:val="22"/>
          <w:szCs w:val="22"/>
        </w:rPr>
        <w:t xml:space="preserve">Accordingly, compliance with section 79.2 may include providing information to areas outlying an area immediately impacted by a large-scale disaster, such as that which occurred in February 2014, when a severe winter storm in the Midwest and eastern parts of the United States caused electrical outages for nearly 1 million customers across a wide region. </w:t>
      </w:r>
      <w:r w:rsidR="005E02E2">
        <w:rPr>
          <w:rStyle w:val="normaltextrun"/>
          <w:sz w:val="22"/>
          <w:szCs w:val="22"/>
        </w:rPr>
        <w:t xml:space="preserve"> </w:t>
      </w:r>
      <w:r w:rsidR="00507E86" w:rsidRPr="00507E86">
        <w:rPr>
          <w:rStyle w:val="normaltextrun"/>
          <w:sz w:val="22"/>
          <w:szCs w:val="22"/>
        </w:rPr>
        <w:t>In addition, we note that there are times when the airing of emergency information pertaining to a matter of national importance will also be of local concern, and therefore should be made accessible.</w:t>
      </w:r>
      <w:r w:rsidR="005E02E2" w:rsidRPr="005E02E2">
        <w:rPr>
          <w:sz w:val="22"/>
          <w:szCs w:val="22"/>
        </w:rPr>
        <w:t xml:space="preserve"> </w:t>
      </w:r>
      <w:r w:rsidR="005E02E2">
        <w:rPr>
          <w:rStyle w:val="normaltextrun"/>
          <w:sz w:val="22"/>
          <w:szCs w:val="22"/>
        </w:rPr>
        <w:t> Various emergencies over the past year, ranging from the January 2015 North American blizzard (unofficially known as “Winter Storm Juno”), the October 2015 North American Storm Complex, the July 2015 Alaskan earthquakes, wildfires in the western states, and a spate of destructive tornadoes in the Midwest und</w:t>
      </w:r>
      <w:r w:rsidR="005E02E2">
        <w:rPr>
          <w:rStyle w:val="normaltextrun"/>
          <w:color w:val="000000"/>
          <w:sz w:val="22"/>
          <w:szCs w:val="22"/>
        </w:rPr>
        <w:t>erscore the vital nature of compliance with this rule.</w:t>
      </w:r>
    </w:p>
    <w:p w14:paraId="12B598F8" w14:textId="204207C2" w:rsidR="00E7366C" w:rsidRDefault="00E7366C" w:rsidP="00941765">
      <w:pPr>
        <w:pStyle w:val="paragraph0"/>
        <w:spacing w:before="0" w:beforeAutospacing="0" w:after="120" w:afterAutospacing="0"/>
        <w:ind w:firstLine="720"/>
        <w:textAlignment w:val="baseline"/>
        <w:rPr>
          <w:rFonts w:ascii="Segoe UI" w:hAnsi="Segoe UI" w:cs="Segoe UI"/>
          <w:sz w:val="12"/>
          <w:szCs w:val="12"/>
        </w:rPr>
      </w:pPr>
      <w:r>
        <w:rPr>
          <w:rStyle w:val="normaltextrun"/>
          <w:sz w:val="22"/>
          <w:szCs w:val="22"/>
        </w:rPr>
        <w:t>Fact sheets summarizing the closed captioning and access to emergency information rules are available at the FCC’s Web site at</w:t>
      </w:r>
      <w:hyperlink r:id="rId8" w:history="1">
        <w:r>
          <w:rPr>
            <w:rStyle w:val="normaltextrun"/>
            <w:sz w:val="22"/>
            <w:szCs w:val="22"/>
          </w:rPr>
          <w:t xml:space="preserve"> http://www.fcc.gov/guides/closed-captioning</w:t>
        </w:r>
      </w:hyperlink>
      <w:r>
        <w:rPr>
          <w:rStyle w:val="normaltextrun"/>
          <w:sz w:val="22"/>
          <w:szCs w:val="22"/>
        </w:rPr>
        <w:t xml:space="preserve">, and </w:t>
      </w:r>
      <w:hyperlink r:id="rId9" w:history="1">
        <w:r>
          <w:rPr>
            <w:rStyle w:val="normaltextrun"/>
            <w:sz w:val="22"/>
            <w:szCs w:val="22"/>
          </w:rPr>
          <w:t>http://www.fcc.gov/guides/emergency-video-programming-accessibility-persons-hearing-and-visual-disabilities</w:t>
        </w:r>
      </w:hyperlink>
      <w:r>
        <w:rPr>
          <w:rStyle w:val="normaltextrun"/>
          <w:sz w:val="22"/>
          <w:szCs w:val="22"/>
        </w:rPr>
        <w:t>.</w:t>
      </w:r>
      <w:r>
        <w:rPr>
          <w:rStyle w:val="eop"/>
          <w:sz w:val="22"/>
          <w:szCs w:val="22"/>
        </w:rPr>
        <w:t> </w:t>
      </w:r>
    </w:p>
    <w:p w14:paraId="5BBA2ED2" w14:textId="49C1FE76" w:rsidR="00E7366C" w:rsidRDefault="00E7366C" w:rsidP="00941765">
      <w:pPr>
        <w:pStyle w:val="paragraph0"/>
        <w:spacing w:before="0" w:beforeAutospacing="0" w:after="120" w:afterAutospacing="0"/>
        <w:ind w:firstLine="720"/>
        <w:textAlignment w:val="baseline"/>
        <w:rPr>
          <w:rFonts w:ascii="Segoe UI" w:hAnsi="Segoe UI" w:cs="Segoe UI"/>
          <w:sz w:val="12"/>
          <w:szCs w:val="12"/>
        </w:rPr>
      </w:pPr>
      <w:r>
        <w:rPr>
          <w:rStyle w:val="normaltextrun"/>
          <w:sz w:val="22"/>
          <w:szCs w:val="22"/>
        </w:rPr>
        <w:t>To request this Public Notice</w:t>
      </w:r>
      <w:r>
        <w:rPr>
          <w:rStyle w:val="normaltextrun"/>
          <w:i/>
          <w:iCs/>
          <w:sz w:val="22"/>
          <w:szCs w:val="22"/>
        </w:rPr>
        <w:t xml:space="preserve"> </w:t>
      </w:r>
      <w:r>
        <w:rPr>
          <w:rStyle w:val="normaltextrun"/>
          <w:sz w:val="22"/>
          <w:szCs w:val="22"/>
        </w:rPr>
        <w:t xml:space="preserve">or any other materials in accessible formats for people with disabilities (Braille, large print, electronic files, audio format), send an e-mail to </w:t>
      </w:r>
      <w:hyperlink r:id="rId10" w:history="1">
        <w:r>
          <w:rPr>
            <w:rStyle w:val="normaltextrun"/>
            <w:sz w:val="22"/>
            <w:szCs w:val="22"/>
          </w:rPr>
          <w:t>fcc504@fcc.gov</w:t>
        </w:r>
      </w:hyperlink>
      <w:r>
        <w:rPr>
          <w:rStyle w:val="normaltextrun"/>
          <w:sz w:val="22"/>
          <w:szCs w:val="22"/>
        </w:rPr>
        <w:t xml:space="preserve"> or call the Consumer and Governmental Affairs Bureau at 202-418-0530 (voice) or 202-418-0432 (TTY).</w:t>
      </w:r>
    </w:p>
    <w:p w14:paraId="10A30822" w14:textId="54C2DB1A" w:rsidR="00E7366C" w:rsidRDefault="00E7366C" w:rsidP="00941765">
      <w:pPr>
        <w:pStyle w:val="paragraph0"/>
        <w:spacing w:before="0" w:beforeAutospacing="0" w:after="120" w:afterAutospacing="0"/>
        <w:ind w:firstLine="720"/>
        <w:textAlignment w:val="baseline"/>
        <w:rPr>
          <w:rFonts w:ascii="Segoe UI" w:hAnsi="Segoe UI" w:cs="Segoe UI"/>
          <w:sz w:val="12"/>
          <w:szCs w:val="12"/>
        </w:rPr>
      </w:pPr>
      <w:r>
        <w:rPr>
          <w:rStyle w:val="normaltextrun"/>
          <w:sz w:val="22"/>
          <w:szCs w:val="22"/>
        </w:rPr>
        <w:t xml:space="preserve">Consumer and Governmental Affairs Bureau Contact:  </w:t>
      </w:r>
      <w:r w:rsidR="005B65B4">
        <w:rPr>
          <w:rStyle w:val="normaltextrun"/>
          <w:sz w:val="22"/>
          <w:szCs w:val="22"/>
        </w:rPr>
        <w:t>Eliot Greenwald</w:t>
      </w:r>
      <w:r>
        <w:rPr>
          <w:rStyle w:val="normaltextrun"/>
          <w:sz w:val="22"/>
          <w:szCs w:val="22"/>
        </w:rPr>
        <w:t>, 202-</w:t>
      </w:r>
      <w:r w:rsidR="005B65B4">
        <w:rPr>
          <w:rStyle w:val="normaltextrun"/>
          <w:sz w:val="22"/>
          <w:szCs w:val="22"/>
        </w:rPr>
        <w:t>418-2235</w:t>
      </w:r>
      <w:r>
        <w:rPr>
          <w:rStyle w:val="normaltextrun"/>
          <w:sz w:val="22"/>
          <w:szCs w:val="22"/>
        </w:rPr>
        <w:t xml:space="preserve">, e-mail </w:t>
      </w:r>
      <w:hyperlink r:id="rId11" w:history="1">
        <w:r w:rsidR="005B65B4" w:rsidRPr="004641D7">
          <w:rPr>
            <w:rStyle w:val="Hyperlink"/>
            <w:sz w:val="22"/>
            <w:szCs w:val="22"/>
          </w:rPr>
          <w:t>eliot.greenwald@fcc.gov</w:t>
        </w:r>
      </w:hyperlink>
      <w:r w:rsidR="005B65B4">
        <w:rPr>
          <w:rStyle w:val="normaltextrun"/>
          <w:sz w:val="22"/>
          <w:szCs w:val="22"/>
        </w:rPr>
        <w:t xml:space="preserve">.  </w:t>
      </w:r>
    </w:p>
    <w:p w14:paraId="15992A5F" w14:textId="77777777" w:rsidR="00F476BC" w:rsidRPr="00EE6797" w:rsidRDefault="00F476BC" w:rsidP="00DD4796">
      <w:pPr>
        <w:ind w:left="3600" w:firstLine="720"/>
        <w:rPr>
          <w:sz w:val="22"/>
          <w:szCs w:val="22"/>
        </w:rPr>
      </w:pPr>
      <w:r w:rsidRPr="00EE6797">
        <w:rPr>
          <w:sz w:val="22"/>
          <w:szCs w:val="22"/>
        </w:rPr>
        <w:t>-FCC-</w:t>
      </w:r>
    </w:p>
    <w:sectPr w:rsidR="00F476BC" w:rsidRPr="00EE6797" w:rsidSect="00EE6797">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26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81232" w14:textId="77777777" w:rsidR="00320D5F" w:rsidRDefault="00320D5F">
      <w:r>
        <w:separator/>
      </w:r>
    </w:p>
  </w:endnote>
  <w:endnote w:type="continuationSeparator" w:id="0">
    <w:p w14:paraId="6BFF2AEB" w14:textId="77777777" w:rsidR="00320D5F" w:rsidRDefault="00320D5F">
      <w:r>
        <w:continuationSeparator/>
      </w:r>
    </w:p>
  </w:endnote>
  <w:endnote w:type="continuationNotice" w:id="1">
    <w:p w14:paraId="27A0A8C6" w14:textId="77777777" w:rsidR="00320D5F" w:rsidRDefault="00320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FF4C8" w14:textId="77777777" w:rsidR="00D17603" w:rsidRDefault="00D176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7E65F0" w14:textId="77777777" w:rsidR="00D17603" w:rsidRDefault="00D17603">
    <w:pPr>
      <w:pStyle w:val="Footer"/>
    </w:pPr>
  </w:p>
  <w:p w14:paraId="7D197463" w14:textId="77777777" w:rsidR="00D17603" w:rsidRDefault="00D176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48745" w14:textId="77777777" w:rsidR="00D17603" w:rsidRPr="005B2FB8" w:rsidRDefault="00D17603" w:rsidP="00EE6797">
    <w:pPr>
      <w:pStyle w:val="Footer"/>
      <w:framePr w:h="720" w:hRule="exact" w:wrap="around" w:vAnchor="text" w:hAnchor="margin" w:xAlign="center" w:y="1"/>
      <w:rPr>
        <w:rStyle w:val="PageNumber"/>
        <w:sz w:val="22"/>
        <w:szCs w:val="22"/>
      </w:rPr>
    </w:pPr>
    <w:r w:rsidRPr="005B2FB8">
      <w:rPr>
        <w:rStyle w:val="PageNumber"/>
        <w:sz w:val="22"/>
        <w:szCs w:val="22"/>
      </w:rPr>
      <w:fldChar w:fldCharType="begin"/>
    </w:r>
    <w:r w:rsidRPr="005B2FB8">
      <w:rPr>
        <w:rStyle w:val="PageNumber"/>
        <w:sz w:val="22"/>
        <w:szCs w:val="22"/>
      </w:rPr>
      <w:instrText xml:space="preserve">PAGE  </w:instrText>
    </w:r>
    <w:r w:rsidRPr="005B2FB8">
      <w:rPr>
        <w:rStyle w:val="PageNumber"/>
        <w:sz w:val="22"/>
        <w:szCs w:val="22"/>
      </w:rPr>
      <w:fldChar w:fldCharType="separate"/>
    </w:r>
    <w:r w:rsidR="00F555B9">
      <w:rPr>
        <w:rStyle w:val="PageNumber"/>
        <w:noProof/>
        <w:sz w:val="22"/>
        <w:szCs w:val="22"/>
      </w:rPr>
      <w:t>2</w:t>
    </w:r>
    <w:r w:rsidRPr="005B2FB8">
      <w:rPr>
        <w:rStyle w:val="PageNumber"/>
        <w:sz w:val="22"/>
        <w:szCs w:val="22"/>
      </w:rPr>
      <w:fldChar w:fldCharType="end"/>
    </w:r>
  </w:p>
  <w:p w14:paraId="5CC638D5" w14:textId="77777777" w:rsidR="00D17603" w:rsidRDefault="00D17603">
    <w:pPr>
      <w:pStyle w:val="Footer"/>
    </w:pPr>
  </w:p>
  <w:p w14:paraId="3B7F2A42" w14:textId="77777777" w:rsidR="00D17603" w:rsidRDefault="00D1760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2D3A1" w14:textId="77777777" w:rsidR="000F0ED2" w:rsidRDefault="000F0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78272" w14:textId="77777777" w:rsidR="00320D5F" w:rsidRDefault="00320D5F">
      <w:r>
        <w:separator/>
      </w:r>
    </w:p>
  </w:footnote>
  <w:footnote w:type="continuationSeparator" w:id="0">
    <w:p w14:paraId="038C077C" w14:textId="77777777" w:rsidR="00320D5F" w:rsidRDefault="00320D5F">
      <w:r>
        <w:continuationSeparator/>
      </w:r>
    </w:p>
  </w:footnote>
  <w:footnote w:type="continuationNotice" w:id="1">
    <w:p w14:paraId="7F55B5D0" w14:textId="77777777" w:rsidR="00320D5F" w:rsidRDefault="00320D5F"/>
  </w:footnote>
  <w:footnote w:id="2">
    <w:p w14:paraId="4B50BC70" w14:textId="204537A1" w:rsidR="00960FFE" w:rsidRPr="00FA4496" w:rsidRDefault="00960FFE" w:rsidP="00960FFE">
      <w:pPr>
        <w:pStyle w:val="FootnoteText"/>
        <w:spacing w:after="120"/>
        <w:rPr>
          <w:sz w:val="20"/>
        </w:rPr>
      </w:pPr>
      <w:r w:rsidRPr="00960FFE">
        <w:rPr>
          <w:rStyle w:val="FootnoteReference"/>
          <w:sz w:val="20"/>
        </w:rPr>
        <w:footnoteRef/>
      </w:r>
      <w:r w:rsidRPr="00960FFE">
        <w:rPr>
          <w:sz w:val="20"/>
        </w:rPr>
        <w:t xml:space="preserve"> </w:t>
      </w:r>
      <w:r w:rsidRPr="00F1180D">
        <w:rPr>
          <w:sz w:val="20"/>
        </w:rPr>
        <w:t>47 C.F.R. § 79.2</w:t>
      </w:r>
      <w:r>
        <w:rPr>
          <w:sz w:val="20"/>
        </w:rPr>
        <w:t>(b)(2)(ii)</w:t>
      </w:r>
      <w:r w:rsidRPr="00F1180D">
        <w:rPr>
          <w:sz w:val="20"/>
        </w:rPr>
        <w:t xml:space="preserve">.  </w:t>
      </w:r>
      <w:r w:rsidRPr="00F1180D">
        <w:rPr>
          <w:i/>
          <w:sz w:val="20"/>
        </w:rPr>
        <w:t>See</w:t>
      </w:r>
      <w:r w:rsidRPr="00507E86">
        <w:rPr>
          <w:sz w:val="20"/>
        </w:rPr>
        <w:t xml:space="preserve"> </w:t>
      </w:r>
      <w:r w:rsidRPr="00507E86">
        <w:rPr>
          <w:i/>
          <w:sz w:val="20"/>
        </w:rPr>
        <w:t>Accessible Emergency Information, and Apparatus Requirements for Emergency Information and Video Description</w:t>
      </w:r>
      <w:r w:rsidR="008106B6">
        <w:rPr>
          <w:i/>
          <w:sz w:val="20"/>
        </w:rPr>
        <w:t>:</w:t>
      </w:r>
      <w:r w:rsidRPr="00507E86">
        <w:rPr>
          <w:i/>
          <w:sz w:val="20"/>
        </w:rPr>
        <w:t xml:space="preserve"> </w:t>
      </w:r>
      <w:r w:rsidR="008106B6">
        <w:rPr>
          <w:i/>
          <w:sz w:val="20"/>
        </w:rPr>
        <w:t xml:space="preserve"> </w:t>
      </w:r>
      <w:r w:rsidRPr="00507E86">
        <w:rPr>
          <w:i/>
          <w:sz w:val="20"/>
        </w:rPr>
        <w:t>Implementation of the Twenty-First Century Communications and Video Accessibility Act of 2010</w:t>
      </w:r>
      <w:r w:rsidR="008106B6">
        <w:rPr>
          <w:i/>
          <w:sz w:val="20"/>
        </w:rPr>
        <w:t xml:space="preserve">; </w:t>
      </w:r>
      <w:r w:rsidR="008106B6" w:rsidRPr="00507E86">
        <w:rPr>
          <w:i/>
          <w:sz w:val="20"/>
        </w:rPr>
        <w:t>Video Description</w:t>
      </w:r>
      <w:r w:rsidR="008106B6">
        <w:rPr>
          <w:i/>
          <w:sz w:val="20"/>
        </w:rPr>
        <w:t>:</w:t>
      </w:r>
      <w:r w:rsidR="008106B6" w:rsidRPr="00507E86">
        <w:rPr>
          <w:i/>
          <w:sz w:val="20"/>
        </w:rPr>
        <w:t xml:space="preserve"> </w:t>
      </w:r>
      <w:r w:rsidR="008106B6">
        <w:rPr>
          <w:i/>
          <w:sz w:val="20"/>
        </w:rPr>
        <w:t xml:space="preserve"> </w:t>
      </w:r>
      <w:r w:rsidR="008106B6" w:rsidRPr="00507E86">
        <w:rPr>
          <w:i/>
          <w:sz w:val="20"/>
        </w:rPr>
        <w:t>Implementation of the Twenty-First Century Communications and Video Accessibility Act of 2010</w:t>
      </w:r>
      <w:r w:rsidRPr="00507E86">
        <w:rPr>
          <w:sz w:val="20"/>
        </w:rPr>
        <w:t>,</w:t>
      </w:r>
      <w:r w:rsidR="008106B6">
        <w:rPr>
          <w:sz w:val="20"/>
        </w:rPr>
        <w:t xml:space="preserve"> MB Docket Nos. 12-107 &amp; 11-43,</w:t>
      </w:r>
      <w:r w:rsidRPr="00507E86">
        <w:rPr>
          <w:sz w:val="20"/>
        </w:rPr>
        <w:t xml:space="preserve"> Report and Order and Further Notice of Proposed Rulemaking, 28 FCC Rcd 4871 (2013)</w:t>
      </w:r>
      <w:r w:rsidR="008106B6" w:rsidRPr="008106B6">
        <w:rPr>
          <w:sz w:val="20"/>
        </w:rPr>
        <w:t xml:space="preserve"> (</w:t>
      </w:r>
      <w:r w:rsidR="008106B6" w:rsidRPr="00507E86">
        <w:rPr>
          <w:i/>
          <w:sz w:val="20"/>
        </w:rPr>
        <w:t>Accessible Emergency Information Order</w:t>
      </w:r>
      <w:r w:rsidR="008106B6" w:rsidRPr="008106B6">
        <w:rPr>
          <w:sz w:val="20"/>
        </w:rPr>
        <w:t>)</w:t>
      </w:r>
      <w:r w:rsidRPr="00507E86">
        <w:rPr>
          <w:sz w:val="20"/>
        </w:rPr>
        <w:t>.  Compliance with the Commission’s new rules was required beginning on May 26</w:t>
      </w:r>
      <w:r w:rsidR="008106B6">
        <w:rPr>
          <w:sz w:val="20"/>
        </w:rPr>
        <w:t>, 2015</w:t>
      </w:r>
      <w:r w:rsidRPr="00507E86">
        <w:rPr>
          <w:sz w:val="20"/>
        </w:rPr>
        <w:t xml:space="preserve">. </w:t>
      </w:r>
      <w:r w:rsidR="00EF1D1D">
        <w:rPr>
          <w:sz w:val="20"/>
        </w:rPr>
        <w:t xml:space="preserve"> </w:t>
      </w:r>
      <w:r w:rsidRPr="00507E86">
        <w:rPr>
          <w:sz w:val="20"/>
        </w:rPr>
        <w:t>47 C.F.R. §§ 79.2(b)(2)(ii), 79.105(a), 79.106(a).  However, on May 26, 2015, the Commission’s Media Bureau granted waivers of the emergency information rule</w:t>
      </w:r>
      <w:r w:rsidR="00FA4496">
        <w:rPr>
          <w:sz w:val="20"/>
        </w:rPr>
        <w:t xml:space="preserve">: </w:t>
      </w:r>
      <w:r w:rsidRPr="00507E86">
        <w:rPr>
          <w:sz w:val="20"/>
        </w:rPr>
        <w:t xml:space="preserve"> </w:t>
      </w:r>
      <w:r w:rsidR="00117248">
        <w:rPr>
          <w:sz w:val="20"/>
        </w:rPr>
        <w:t xml:space="preserve">(1) </w:t>
      </w:r>
      <w:r w:rsidRPr="00507E86">
        <w:rPr>
          <w:sz w:val="20"/>
        </w:rPr>
        <w:t>for certain hybrid (digital/analog) cable systems,</w:t>
      </w:r>
      <w:r w:rsidR="00117248">
        <w:rPr>
          <w:sz w:val="20"/>
        </w:rPr>
        <w:t xml:space="preserve"> conditioned on </w:t>
      </w:r>
      <w:r w:rsidR="00117248" w:rsidRPr="00FA4496">
        <w:rPr>
          <w:sz w:val="20"/>
        </w:rPr>
        <w:t>providing free equipment to analog customers who are blind or visually impaired to enable access to the digital secondary audio stream</w:t>
      </w:r>
      <w:r w:rsidR="00117248">
        <w:rPr>
          <w:sz w:val="20"/>
        </w:rPr>
        <w:t>; (2)</w:t>
      </w:r>
      <w:r w:rsidRPr="00507E86">
        <w:rPr>
          <w:sz w:val="20"/>
        </w:rPr>
        <w:t xml:space="preserve"> for</w:t>
      </w:r>
      <w:r w:rsidR="00117248">
        <w:rPr>
          <w:sz w:val="20"/>
        </w:rPr>
        <w:t xml:space="preserve"> certain</w:t>
      </w:r>
      <w:r w:rsidRPr="00507E86">
        <w:rPr>
          <w:sz w:val="20"/>
        </w:rPr>
        <w:t xml:space="preserve"> analog-only cable systems until June 12, 2018</w:t>
      </w:r>
      <w:r w:rsidR="00117248">
        <w:rPr>
          <w:sz w:val="20"/>
        </w:rPr>
        <w:t>; (3)</w:t>
      </w:r>
      <w:r w:rsidRPr="00507E86">
        <w:rPr>
          <w:sz w:val="20"/>
        </w:rPr>
        <w:t xml:space="preserve"> for broadcasters until November </w:t>
      </w:r>
      <w:r w:rsidR="00DF662D">
        <w:rPr>
          <w:sz w:val="20"/>
        </w:rPr>
        <w:t>30</w:t>
      </w:r>
      <w:r w:rsidRPr="00507E86">
        <w:rPr>
          <w:sz w:val="20"/>
        </w:rPr>
        <w:t>, 2015</w:t>
      </w:r>
      <w:r w:rsidR="00117248">
        <w:rPr>
          <w:sz w:val="20"/>
        </w:rPr>
        <w:t>; (4)</w:t>
      </w:r>
      <w:r w:rsidRPr="00507E86">
        <w:rPr>
          <w:sz w:val="20"/>
        </w:rPr>
        <w:t xml:space="preserve"> for </w:t>
      </w:r>
      <w:r w:rsidR="00EF1D1D">
        <w:rPr>
          <w:sz w:val="20"/>
        </w:rPr>
        <w:t xml:space="preserve">visual but </w:t>
      </w:r>
      <w:r w:rsidRPr="00507E86">
        <w:rPr>
          <w:sz w:val="20"/>
        </w:rPr>
        <w:t>non-textual emergency information</w:t>
      </w:r>
      <w:r w:rsidR="00117248" w:rsidRPr="00FA4496">
        <w:rPr>
          <w:sz w:val="20"/>
        </w:rPr>
        <w:t>, such as maps or other graphic displays</w:t>
      </w:r>
      <w:r w:rsidR="00117248">
        <w:rPr>
          <w:sz w:val="20"/>
        </w:rPr>
        <w:t>, for a period of 18 months;</w:t>
      </w:r>
      <w:r w:rsidRPr="00507E86">
        <w:rPr>
          <w:sz w:val="20"/>
        </w:rPr>
        <w:t xml:space="preserve"> and</w:t>
      </w:r>
      <w:r w:rsidR="00117248">
        <w:rPr>
          <w:sz w:val="20"/>
        </w:rPr>
        <w:t xml:space="preserve"> (5)</w:t>
      </w:r>
      <w:r w:rsidRPr="00507E86">
        <w:rPr>
          <w:sz w:val="20"/>
        </w:rPr>
        <w:t xml:space="preserve"> for school closing information</w:t>
      </w:r>
      <w:r w:rsidR="00EF1D1D">
        <w:rPr>
          <w:sz w:val="20"/>
        </w:rPr>
        <w:t>, while the Commission reconsiders this requirement</w:t>
      </w:r>
      <w:r w:rsidRPr="00507E86">
        <w:rPr>
          <w:sz w:val="20"/>
        </w:rPr>
        <w:t xml:space="preserve">.   </w:t>
      </w:r>
      <w:r w:rsidRPr="00507E86">
        <w:rPr>
          <w:i/>
          <w:sz w:val="20"/>
        </w:rPr>
        <w:t>See</w:t>
      </w:r>
      <w:r w:rsidRPr="00507E86">
        <w:rPr>
          <w:sz w:val="20"/>
        </w:rPr>
        <w:t xml:space="preserve"> </w:t>
      </w:r>
      <w:r w:rsidRPr="00507E86">
        <w:rPr>
          <w:i/>
          <w:sz w:val="20"/>
        </w:rPr>
        <w:t>Accessible Emergency Information, and Apparatus Requirements for Emergency Information and Video Description</w:t>
      </w:r>
      <w:r w:rsidR="00FA4496">
        <w:rPr>
          <w:i/>
          <w:sz w:val="20"/>
        </w:rPr>
        <w:t xml:space="preserve">: </w:t>
      </w:r>
      <w:r w:rsidRPr="00507E86">
        <w:rPr>
          <w:i/>
          <w:sz w:val="20"/>
        </w:rPr>
        <w:t xml:space="preserve"> Implementation of the Twenty-First Century Communications and Video Accessibility Act of 2010</w:t>
      </w:r>
      <w:r w:rsidR="00FA4496">
        <w:rPr>
          <w:i/>
          <w:sz w:val="20"/>
        </w:rPr>
        <w:t>;</w:t>
      </w:r>
      <w:r w:rsidR="00FA4496" w:rsidRPr="00FA4496">
        <w:rPr>
          <w:i/>
          <w:sz w:val="20"/>
        </w:rPr>
        <w:t xml:space="preserve"> </w:t>
      </w:r>
      <w:r w:rsidR="00FA4496" w:rsidRPr="00507E86">
        <w:rPr>
          <w:i/>
          <w:sz w:val="20"/>
        </w:rPr>
        <w:t>Video Description</w:t>
      </w:r>
      <w:r w:rsidR="00FA4496">
        <w:rPr>
          <w:i/>
          <w:sz w:val="20"/>
        </w:rPr>
        <w:t>:</w:t>
      </w:r>
      <w:r w:rsidR="00FA4496" w:rsidRPr="00507E86">
        <w:rPr>
          <w:i/>
          <w:sz w:val="20"/>
        </w:rPr>
        <w:t xml:space="preserve"> </w:t>
      </w:r>
      <w:r w:rsidR="00FA4496">
        <w:rPr>
          <w:i/>
          <w:sz w:val="20"/>
        </w:rPr>
        <w:t xml:space="preserve"> </w:t>
      </w:r>
      <w:r w:rsidR="00FA4496" w:rsidRPr="00507E86">
        <w:rPr>
          <w:i/>
          <w:sz w:val="20"/>
        </w:rPr>
        <w:t>Implementation of the Twenty-First Century Communications and Video Accessibility Act of 2010</w:t>
      </w:r>
      <w:r w:rsidRPr="00507E86">
        <w:rPr>
          <w:sz w:val="20"/>
        </w:rPr>
        <w:t>,</w:t>
      </w:r>
      <w:r w:rsidR="00FA4496">
        <w:rPr>
          <w:sz w:val="20"/>
        </w:rPr>
        <w:t xml:space="preserve"> MB Docket Nos. 12-107 &amp; 11-43,</w:t>
      </w:r>
      <w:r w:rsidRPr="00507E86">
        <w:rPr>
          <w:sz w:val="20"/>
        </w:rPr>
        <w:t xml:space="preserve"> Memorandum Opinion and Order, 30 FCC Rcd 5012</w:t>
      </w:r>
      <w:r w:rsidR="00475D04">
        <w:rPr>
          <w:sz w:val="20"/>
        </w:rPr>
        <w:t xml:space="preserve"> ¶ 1, 5021 ¶ 16</w:t>
      </w:r>
      <w:r w:rsidRPr="00507E86">
        <w:rPr>
          <w:sz w:val="20"/>
        </w:rPr>
        <w:t xml:space="preserve"> (MB 2015).  </w:t>
      </w:r>
      <w:r w:rsidRPr="00FA4496">
        <w:rPr>
          <w:sz w:val="20"/>
        </w:rPr>
        <w:t xml:space="preserve">  </w:t>
      </w:r>
    </w:p>
  </w:footnote>
  <w:footnote w:id="3">
    <w:p w14:paraId="2574124C" w14:textId="157E05E7" w:rsidR="001A166D" w:rsidRPr="00960FFE" w:rsidRDefault="00A608F4" w:rsidP="00941765">
      <w:pPr>
        <w:pStyle w:val="FootnoteText"/>
        <w:spacing w:after="120"/>
        <w:rPr>
          <w:sz w:val="20"/>
        </w:rPr>
      </w:pPr>
      <w:r w:rsidRPr="00960FFE">
        <w:rPr>
          <w:rStyle w:val="FootnoteReference"/>
          <w:sz w:val="20"/>
        </w:rPr>
        <w:footnoteRef/>
      </w:r>
      <w:r w:rsidRPr="00960FFE">
        <w:rPr>
          <w:sz w:val="20"/>
        </w:rPr>
        <w:t xml:space="preserve"> </w:t>
      </w:r>
      <w:r w:rsidR="0079375A" w:rsidRPr="00960FFE">
        <w:rPr>
          <w:i/>
          <w:sz w:val="20"/>
        </w:rPr>
        <w:t>See</w:t>
      </w:r>
      <w:r w:rsidR="0079375A" w:rsidRPr="00960FFE">
        <w:rPr>
          <w:sz w:val="20"/>
        </w:rPr>
        <w:t xml:space="preserve"> </w:t>
      </w:r>
      <w:r w:rsidRPr="00960FFE">
        <w:rPr>
          <w:sz w:val="20"/>
        </w:rPr>
        <w:t>47 C.F.R. § 79.1(a)(</w:t>
      </w:r>
      <w:r w:rsidR="0079375A" w:rsidRPr="00960FFE">
        <w:rPr>
          <w:sz w:val="20"/>
        </w:rPr>
        <w:t>11</w:t>
      </w:r>
      <w:r w:rsidRPr="00960FFE">
        <w:rPr>
          <w:sz w:val="20"/>
        </w:rPr>
        <w:t>) (defining “video programming distributor”).</w:t>
      </w:r>
    </w:p>
  </w:footnote>
  <w:footnote w:id="4">
    <w:p w14:paraId="69A0A211" w14:textId="214D9D7B" w:rsidR="00B47B84" w:rsidRPr="00960FFE" w:rsidRDefault="00B47B84" w:rsidP="00B47B84">
      <w:pPr>
        <w:pStyle w:val="FootnoteText"/>
        <w:spacing w:after="120"/>
        <w:rPr>
          <w:sz w:val="20"/>
        </w:rPr>
      </w:pPr>
      <w:r w:rsidRPr="00960FFE">
        <w:rPr>
          <w:rStyle w:val="FootnoteReference"/>
          <w:sz w:val="20"/>
        </w:rPr>
        <w:footnoteRef/>
      </w:r>
      <w:r w:rsidRPr="00960FFE">
        <w:rPr>
          <w:sz w:val="20"/>
        </w:rPr>
        <w:t xml:space="preserve"> A secondary audio stream is an audio channel, other than the main program audio channel, that is typically used for foreign language audio and video description.</w:t>
      </w:r>
      <w:r>
        <w:rPr>
          <w:sz w:val="20"/>
        </w:rPr>
        <w:t xml:space="preserve">  </w:t>
      </w:r>
      <w:r w:rsidRPr="00960FFE">
        <w:rPr>
          <w:sz w:val="20"/>
        </w:rPr>
        <w:t>Video description, which is also referred to as audio description, is defined as “[t]he insertion of audio narrated descriptions of a television program’s key visual elements into natural pauses between the program’s dialogue.”  47 C.F.R. § 79.3(a)(3).</w:t>
      </w:r>
    </w:p>
  </w:footnote>
  <w:footnote w:id="5">
    <w:p w14:paraId="3565DCDC" w14:textId="5259BB86" w:rsidR="00E72169" w:rsidRPr="00960FFE" w:rsidRDefault="00E72169" w:rsidP="00E72169">
      <w:pPr>
        <w:pStyle w:val="FootnoteText"/>
        <w:spacing w:after="120"/>
        <w:rPr>
          <w:sz w:val="20"/>
        </w:rPr>
      </w:pPr>
      <w:r w:rsidRPr="00960FFE">
        <w:rPr>
          <w:rStyle w:val="FootnoteReference"/>
          <w:sz w:val="20"/>
        </w:rPr>
        <w:footnoteRef/>
      </w:r>
      <w:r w:rsidRPr="00960FFE">
        <w:rPr>
          <w:sz w:val="20"/>
        </w:rPr>
        <w:t xml:space="preserve"> Pub. L. No. 111-260, 124 Stat. 2751 (2010) (as codified in various sections of 47 U.S.C.).  </w:t>
      </w:r>
      <w:r w:rsidRPr="00960FFE">
        <w:rPr>
          <w:i/>
          <w:sz w:val="20"/>
        </w:rPr>
        <w:t xml:space="preserve">See also </w:t>
      </w:r>
      <w:r w:rsidRPr="00960FFE">
        <w:rPr>
          <w:sz w:val="20"/>
        </w:rPr>
        <w:t xml:space="preserve">Amendment of Twenty-First Century Communications and Video Accessibility Act of 2010, Pub. L. No. 111-265, 124 Stat. 2795 (2010) (making technical corrections to the CVAA). </w:t>
      </w:r>
    </w:p>
  </w:footnote>
  <w:footnote w:id="6">
    <w:p w14:paraId="0BFB07D5" w14:textId="2D9303D8" w:rsidR="00E72169" w:rsidRPr="00960FFE" w:rsidRDefault="00E72169" w:rsidP="00E72169">
      <w:pPr>
        <w:pStyle w:val="FootnoteText"/>
        <w:spacing w:after="120"/>
        <w:rPr>
          <w:sz w:val="20"/>
        </w:rPr>
      </w:pPr>
      <w:r w:rsidRPr="00960FFE">
        <w:rPr>
          <w:rStyle w:val="FootnoteReference"/>
          <w:sz w:val="20"/>
        </w:rPr>
        <w:footnoteRef/>
      </w:r>
      <w:r w:rsidRPr="00960FFE">
        <w:rPr>
          <w:sz w:val="20"/>
        </w:rPr>
        <w:t xml:space="preserve"> </w:t>
      </w:r>
      <w:r w:rsidRPr="00960FFE">
        <w:rPr>
          <w:i/>
          <w:sz w:val="20"/>
        </w:rPr>
        <w:t xml:space="preserve">Accessible Emergency Information Order, </w:t>
      </w:r>
      <w:r w:rsidRPr="00960FFE">
        <w:rPr>
          <w:sz w:val="20"/>
        </w:rPr>
        <w:t>28 FCC Rcd</w:t>
      </w:r>
      <w:r>
        <w:rPr>
          <w:sz w:val="20"/>
        </w:rPr>
        <w:t xml:space="preserve"> at</w:t>
      </w:r>
      <w:r w:rsidRPr="00960FFE">
        <w:rPr>
          <w:sz w:val="20"/>
        </w:rPr>
        <w:t xml:space="preserve"> 487</w:t>
      </w:r>
      <w:r>
        <w:rPr>
          <w:sz w:val="20"/>
        </w:rPr>
        <w:t xml:space="preserve">2 ¶ 1; </w:t>
      </w:r>
      <w:r w:rsidR="00711827">
        <w:rPr>
          <w:i/>
          <w:sz w:val="20"/>
        </w:rPr>
        <w:t>see also</w:t>
      </w:r>
      <w:r w:rsidR="00711827">
        <w:rPr>
          <w:sz w:val="20"/>
        </w:rPr>
        <w:t xml:space="preserve"> </w:t>
      </w:r>
      <w:r w:rsidR="00711827" w:rsidRPr="00960FFE">
        <w:rPr>
          <w:sz w:val="20"/>
        </w:rPr>
        <w:t>47 U.S.C. § 613(g)(2)</w:t>
      </w:r>
      <w:r w:rsidR="00711827">
        <w:rPr>
          <w:sz w:val="20"/>
        </w:rPr>
        <w:t>.</w:t>
      </w:r>
    </w:p>
  </w:footnote>
  <w:footnote w:id="7">
    <w:p w14:paraId="62B2EF31" w14:textId="2A358C3D" w:rsidR="00D65FD0" w:rsidRPr="00960FFE" w:rsidRDefault="00D65FD0" w:rsidP="00D65FD0">
      <w:pPr>
        <w:pStyle w:val="FootnoteText"/>
        <w:spacing w:after="120"/>
        <w:rPr>
          <w:sz w:val="20"/>
        </w:rPr>
      </w:pPr>
      <w:r w:rsidRPr="00960FFE">
        <w:rPr>
          <w:rStyle w:val="FootnoteReference"/>
          <w:sz w:val="20"/>
        </w:rPr>
        <w:footnoteRef/>
      </w:r>
      <w:r w:rsidRPr="00960FFE">
        <w:rPr>
          <w:sz w:val="20"/>
        </w:rPr>
        <w:t xml:space="preserve"> </w:t>
      </w:r>
      <w:r w:rsidRPr="0077493E">
        <w:rPr>
          <w:sz w:val="20"/>
        </w:rPr>
        <w:t>The CVAA directed the Commission to apply</w:t>
      </w:r>
      <w:r w:rsidR="002C4196">
        <w:rPr>
          <w:sz w:val="20"/>
        </w:rPr>
        <w:t xml:space="preserve"> </w:t>
      </w:r>
      <w:r>
        <w:rPr>
          <w:sz w:val="20"/>
        </w:rPr>
        <w:t>t</w:t>
      </w:r>
      <w:r w:rsidRPr="0077493E">
        <w:rPr>
          <w:sz w:val="20"/>
        </w:rPr>
        <w:t xml:space="preserve">he definition of “emergency information” found in the Commission’s rules.  47 U.S.C. § 613(g)(1).  </w:t>
      </w:r>
      <w:r w:rsidRPr="00960FFE">
        <w:rPr>
          <w:sz w:val="20"/>
        </w:rPr>
        <w:t>“Emergency information” is defined in the</w:t>
      </w:r>
      <w:r w:rsidR="00BF2A21">
        <w:rPr>
          <w:sz w:val="20"/>
        </w:rPr>
        <w:t>se</w:t>
      </w:r>
      <w:r w:rsidRPr="00960FFE">
        <w:rPr>
          <w:sz w:val="20"/>
        </w:rPr>
        <w:t xml:space="preserve"> rules as “[i]nformation, about a current emergency, that is intended to further the protection of life, health, safety, and property, </w:t>
      </w:r>
      <w:r w:rsidRPr="00960FFE">
        <w:rPr>
          <w:i/>
          <w:sz w:val="20"/>
        </w:rPr>
        <w:t>i.e.</w:t>
      </w:r>
      <w:r w:rsidRPr="00960FFE">
        <w:rPr>
          <w:sz w:val="20"/>
        </w:rPr>
        <w:t>, critical details regarding the emergency and how to respond to the emergency.  Examples of the types of emergencies covered include tornadoes, hurricanes, floods, tidal waves, earthquakes, icing conditions, heavy snows, widespread fires, discharge of toxic gases, widespread power failures, industrial explosions, civil disorders, school closings and changes in school bus schedules resulting from such conditions, and warnings and watches of impending changes in weather.”  47 C.F.R. § 79.2(a)(2).  “Critical details include, but are not limited to, specific details regarding the areas that will be affected by the emergency, evacuation orders, detailed descriptions of areas to be evacuated, specific evacuation routes, approved shelters or the way to take shelter in one’s home, instructions on how to secure personal property, road closures, and how to obtain relief assistance.”  Note to 47 C.F.R. § 79.2(a)(2).</w:t>
      </w:r>
    </w:p>
  </w:footnote>
  <w:footnote w:id="8">
    <w:p w14:paraId="3F35A548" w14:textId="0C6675E1" w:rsidR="001A166D" w:rsidRPr="00960FFE" w:rsidRDefault="001A166D" w:rsidP="00941765">
      <w:pPr>
        <w:pStyle w:val="FootnoteText"/>
        <w:spacing w:after="120"/>
        <w:rPr>
          <w:sz w:val="20"/>
        </w:rPr>
      </w:pPr>
      <w:r w:rsidRPr="00B61409">
        <w:rPr>
          <w:rStyle w:val="FootnoteReference"/>
          <w:sz w:val="20"/>
        </w:rPr>
        <w:footnoteRef/>
      </w:r>
      <w:r w:rsidRPr="00B61409">
        <w:rPr>
          <w:sz w:val="20"/>
        </w:rPr>
        <w:t xml:space="preserve"> </w:t>
      </w:r>
      <w:r w:rsidRPr="00960FFE">
        <w:rPr>
          <w:i/>
          <w:sz w:val="20"/>
        </w:rPr>
        <w:t>See</w:t>
      </w:r>
      <w:r w:rsidRPr="00960FFE">
        <w:rPr>
          <w:sz w:val="20"/>
        </w:rPr>
        <w:t xml:space="preserve"> 47 C.F.R. § 79.2(b)(2)(ii).  </w:t>
      </w:r>
    </w:p>
  </w:footnote>
  <w:footnote w:id="9">
    <w:p w14:paraId="1BDC9F9D" w14:textId="5FA89993" w:rsidR="001A166D" w:rsidRPr="00960FFE" w:rsidRDefault="001A166D" w:rsidP="00941765">
      <w:pPr>
        <w:pStyle w:val="FootnoteText"/>
        <w:spacing w:after="120"/>
        <w:rPr>
          <w:sz w:val="20"/>
        </w:rPr>
      </w:pPr>
      <w:r w:rsidRPr="00960FFE">
        <w:rPr>
          <w:rStyle w:val="FootnoteReference"/>
          <w:sz w:val="20"/>
        </w:rPr>
        <w:footnoteRef/>
      </w:r>
      <w:r w:rsidRPr="00960FFE">
        <w:rPr>
          <w:sz w:val="20"/>
        </w:rPr>
        <w:t xml:space="preserve"> </w:t>
      </w:r>
      <w:r w:rsidRPr="00960FFE">
        <w:rPr>
          <w:i/>
          <w:sz w:val="20"/>
        </w:rPr>
        <w:t>Accessible Emergency Information Order</w:t>
      </w:r>
      <w:r w:rsidRPr="00960FFE">
        <w:rPr>
          <w:sz w:val="20"/>
        </w:rPr>
        <w:t>, 28 FCC Rcd at 4881 ¶ 12</w:t>
      </w:r>
      <w:r w:rsidR="007D6462">
        <w:rPr>
          <w:sz w:val="20"/>
        </w:rPr>
        <w:t>, 4892 ¶ 25</w:t>
      </w:r>
      <w:r w:rsidRPr="00960FFE">
        <w:rPr>
          <w:sz w:val="20"/>
        </w:rPr>
        <w:t xml:space="preserve">.  </w:t>
      </w:r>
    </w:p>
  </w:footnote>
  <w:footnote w:id="10">
    <w:p w14:paraId="3677D5F7" w14:textId="793ABCEF" w:rsidR="007D6462" w:rsidRPr="007D6462" w:rsidRDefault="007D6462" w:rsidP="007D6462">
      <w:pPr>
        <w:pStyle w:val="FootnoteText"/>
        <w:spacing w:after="120"/>
        <w:rPr>
          <w:sz w:val="20"/>
        </w:rPr>
      </w:pPr>
      <w:r w:rsidRPr="007D6462">
        <w:rPr>
          <w:rStyle w:val="FootnoteReference"/>
          <w:sz w:val="20"/>
        </w:rPr>
        <w:footnoteRef/>
      </w:r>
      <w:r w:rsidRPr="007D6462">
        <w:rPr>
          <w:sz w:val="20"/>
        </w:rPr>
        <w:t xml:space="preserve"> </w:t>
      </w:r>
      <w:r>
        <w:rPr>
          <w:sz w:val="20"/>
        </w:rPr>
        <w:t xml:space="preserve">47 C.F.R. § 79.2(b)(2)(ii); </w:t>
      </w:r>
      <w:r w:rsidRPr="00960FFE">
        <w:rPr>
          <w:i/>
          <w:sz w:val="20"/>
        </w:rPr>
        <w:t>Accessible Emergency Information Order</w:t>
      </w:r>
      <w:r w:rsidRPr="00960FFE">
        <w:rPr>
          <w:sz w:val="20"/>
        </w:rPr>
        <w:t>, 28 FCC Rcd at 4881 ¶ 12.</w:t>
      </w:r>
    </w:p>
  </w:footnote>
  <w:footnote w:id="11">
    <w:p w14:paraId="3B4939FE" w14:textId="71663636" w:rsidR="00F85D03" w:rsidRDefault="00F85D03" w:rsidP="00F85D03">
      <w:pPr>
        <w:pStyle w:val="FootnoteText"/>
        <w:spacing w:after="120"/>
      </w:pPr>
      <w:r w:rsidRPr="00960FFE">
        <w:rPr>
          <w:rStyle w:val="FootnoteReference"/>
          <w:sz w:val="20"/>
        </w:rPr>
        <w:footnoteRef/>
      </w:r>
      <w:r w:rsidRPr="00960FFE">
        <w:rPr>
          <w:sz w:val="20"/>
        </w:rPr>
        <w:t xml:space="preserve"> </w:t>
      </w:r>
      <w:r w:rsidR="007D6462" w:rsidRPr="00960FFE">
        <w:rPr>
          <w:i/>
          <w:sz w:val="20"/>
        </w:rPr>
        <w:t>Accessible Emergency Information Order</w:t>
      </w:r>
      <w:r w:rsidR="007D6462" w:rsidRPr="00960FFE">
        <w:rPr>
          <w:sz w:val="20"/>
        </w:rPr>
        <w:t>,</w:t>
      </w:r>
      <w:r w:rsidRPr="00960FFE">
        <w:rPr>
          <w:sz w:val="20"/>
        </w:rPr>
        <w:t xml:space="preserve"> 28 FCC</w:t>
      </w:r>
      <w:r w:rsidRPr="006E40E2">
        <w:rPr>
          <w:sz w:val="20"/>
        </w:rPr>
        <w:t xml:space="preserve"> Rcd at 4913-16 ¶¶ 60-62.  </w:t>
      </w:r>
      <w:r w:rsidRPr="006E40E2">
        <w:rPr>
          <w:i/>
          <w:sz w:val="20"/>
        </w:rPr>
        <w:t>See also</w:t>
      </w:r>
      <w:r w:rsidRPr="006E40E2">
        <w:rPr>
          <w:sz w:val="20"/>
        </w:rPr>
        <w:t xml:space="preserve"> 47 U.S.C. § 303(u); 47 C.F.R. §§ 79.105, 79.106.</w:t>
      </w:r>
      <w:r w:rsidRPr="006E40E2">
        <w:t xml:space="preserve">  </w:t>
      </w:r>
    </w:p>
  </w:footnote>
  <w:footnote w:id="12">
    <w:p w14:paraId="535F444A" w14:textId="77777777" w:rsidR="00FC7966" w:rsidRPr="00A61974" w:rsidRDefault="00FC7966" w:rsidP="00FC7966">
      <w:pPr>
        <w:pStyle w:val="FootnoteText"/>
        <w:spacing w:after="120"/>
        <w:rPr>
          <w:sz w:val="20"/>
        </w:rPr>
      </w:pPr>
      <w:r w:rsidRPr="00960FFE">
        <w:rPr>
          <w:rStyle w:val="FootnoteReference"/>
          <w:sz w:val="20"/>
        </w:rPr>
        <w:footnoteRef/>
      </w:r>
      <w:r w:rsidRPr="00960FFE">
        <w:rPr>
          <w:sz w:val="20"/>
        </w:rPr>
        <w:t xml:space="preserve"> </w:t>
      </w:r>
      <w:r w:rsidRPr="00960FFE">
        <w:rPr>
          <w:i/>
          <w:iCs/>
          <w:sz w:val="20"/>
        </w:rPr>
        <w:t>See Accessible Emergency Information, and Apparatus Requirements for Emergency Information and Video Description:  Implementation of the Twenty-First Century Communications and Video Accessibility Act of 2010</w:t>
      </w:r>
      <w:r w:rsidRPr="0081273F">
        <w:rPr>
          <w:sz w:val="20"/>
        </w:rPr>
        <w:t>,</w:t>
      </w:r>
      <w:r>
        <w:rPr>
          <w:sz w:val="20"/>
        </w:rPr>
        <w:t xml:space="preserve"> MB Docket No. 12-107,</w:t>
      </w:r>
      <w:r w:rsidRPr="00960FFE">
        <w:rPr>
          <w:sz w:val="20"/>
        </w:rPr>
        <w:t xml:space="preserve"> Second</w:t>
      </w:r>
      <w:r w:rsidRPr="00A61974">
        <w:rPr>
          <w:sz w:val="20"/>
        </w:rPr>
        <w:t xml:space="preserve"> Report and Order and Second Further Notice of Proposed Rulemaking, 30 FCC Rcd 5186</w:t>
      </w:r>
      <w:r>
        <w:rPr>
          <w:sz w:val="20"/>
        </w:rPr>
        <w:t>, 5191-95 ¶¶ 9-15</w:t>
      </w:r>
      <w:r w:rsidRPr="00A61974">
        <w:rPr>
          <w:sz w:val="20"/>
        </w:rPr>
        <w:t xml:space="preserve"> (2015)</w:t>
      </w:r>
      <w:r>
        <w:rPr>
          <w:sz w:val="20"/>
        </w:rPr>
        <w:t xml:space="preserve"> (</w:t>
      </w:r>
      <w:r>
        <w:rPr>
          <w:i/>
          <w:sz w:val="20"/>
        </w:rPr>
        <w:t>Accessible Emergency Information Second Report and Order</w:t>
      </w:r>
      <w:r>
        <w:rPr>
          <w:sz w:val="20"/>
        </w:rPr>
        <w:t xml:space="preserve">); </w:t>
      </w:r>
      <w:r>
        <w:rPr>
          <w:i/>
          <w:sz w:val="20"/>
        </w:rPr>
        <w:t>see also</w:t>
      </w:r>
      <w:r>
        <w:rPr>
          <w:sz w:val="20"/>
        </w:rPr>
        <w:t xml:space="preserve"> 47 C.F.R. § 79.2(b)(6)</w:t>
      </w:r>
      <w:r w:rsidRPr="00A61974">
        <w:rPr>
          <w:sz w:val="20"/>
        </w:rPr>
        <w:t>.</w:t>
      </w:r>
    </w:p>
  </w:footnote>
  <w:footnote w:id="13">
    <w:p w14:paraId="08CBAAF2" w14:textId="77777777" w:rsidR="00FC7966" w:rsidRPr="00F207EB" w:rsidRDefault="00FC7966" w:rsidP="00FC7966">
      <w:pPr>
        <w:pStyle w:val="FootnoteText"/>
        <w:spacing w:after="120"/>
        <w:rPr>
          <w:sz w:val="20"/>
        </w:rPr>
      </w:pPr>
      <w:r w:rsidRPr="00F207EB">
        <w:rPr>
          <w:rStyle w:val="FootnoteReference"/>
          <w:sz w:val="20"/>
        </w:rPr>
        <w:footnoteRef/>
      </w:r>
      <w:r w:rsidRPr="00F207EB">
        <w:rPr>
          <w:sz w:val="20"/>
        </w:rPr>
        <w:t xml:space="preserve"> </w:t>
      </w:r>
      <w:r>
        <w:rPr>
          <w:sz w:val="20"/>
        </w:rPr>
        <w:t xml:space="preserve">47 C.F.R. § 79.2(b)(6); </w:t>
      </w:r>
      <w:r>
        <w:rPr>
          <w:i/>
          <w:sz w:val="20"/>
        </w:rPr>
        <w:t>Accessible Emergency Information Second Report and Order</w:t>
      </w:r>
      <w:r>
        <w:rPr>
          <w:sz w:val="20"/>
        </w:rPr>
        <w:t>, 30 FCC Rcd at 5197-98 ¶¶ 19-21.</w:t>
      </w:r>
    </w:p>
  </w:footnote>
  <w:footnote w:id="14">
    <w:p w14:paraId="0869B426" w14:textId="77777777" w:rsidR="00FC7966" w:rsidRPr="00F80097" w:rsidRDefault="00FC7966" w:rsidP="00FC7966">
      <w:pPr>
        <w:pStyle w:val="FootnoteText"/>
        <w:spacing w:after="120"/>
        <w:rPr>
          <w:sz w:val="20"/>
        </w:rPr>
      </w:pPr>
      <w:r w:rsidRPr="00760810">
        <w:rPr>
          <w:rStyle w:val="FootnoteReference"/>
          <w:sz w:val="20"/>
        </w:rPr>
        <w:footnoteRef/>
      </w:r>
      <w:r w:rsidRPr="00760810">
        <w:rPr>
          <w:sz w:val="20"/>
        </w:rPr>
        <w:t xml:space="preserve"> </w:t>
      </w:r>
      <w:r>
        <w:rPr>
          <w:i/>
          <w:sz w:val="20"/>
        </w:rPr>
        <w:t>Accessible Emergency Information Second Report and Order</w:t>
      </w:r>
      <w:r>
        <w:rPr>
          <w:sz w:val="20"/>
        </w:rPr>
        <w:t xml:space="preserve">, 30 FCC Rcd at 5198-206 ¶¶ 22-36; </w:t>
      </w:r>
      <w:r>
        <w:rPr>
          <w:i/>
          <w:sz w:val="20"/>
        </w:rPr>
        <w:t>see also</w:t>
      </w:r>
      <w:r>
        <w:rPr>
          <w:sz w:val="20"/>
        </w:rPr>
        <w:t xml:space="preserve"> 47 C.F.R. § 79.105(d).</w:t>
      </w:r>
      <w:r>
        <w:rPr>
          <w:iCs/>
          <w:sz w:val="20"/>
        </w:rPr>
        <w:t xml:space="preserve"> </w:t>
      </w:r>
    </w:p>
  </w:footnote>
  <w:footnote w:id="15">
    <w:p w14:paraId="5DB995F6" w14:textId="3475B6CA" w:rsidR="006237AF" w:rsidRDefault="006237AF" w:rsidP="00941765">
      <w:pPr>
        <w:pStyle w:val="FootnoteText"/>
        <w:spacing w:after="120"/>
      </w:pPr>
      <w:r w:rsidRPr="00960FFE">
        <w:rPr>
          <w:rStyle w:val="FootnoteReference"/>
          <w:sz w:val="20"/>
        </w:rPr>
        <w:footnoteRef/>
      </w:r>
      <w:r>
        <w:t xml:space="preserve"> </w:t>
      </w:r>
      <w:r w:rsidRPr="000C533F">
        <w:rPr>
          <w:i/>
          <w:sz w:val="20"/>
        </w:rPr>
        <w:t>See</w:t>
      </w:r>
      <w:r w:rsidRPr="000C533F">
        <w:rPr>
          <w:sz w:val="20"/>
        </w:rPr>
        <w:t xml:space="preserve"> 47 C.F.R. § 79.2(b)(</w:t>
      </w:r>
      <w:r w:rsidRPr="008F2C1C">
        <w:rPr>
          <w:sz w:val="20"/>
        </w:rPr>
        <w:t xml:space="preserve">1); </w:t>
      </w:r>
      <w:r w:rsidR="008F2C1C" w:rsidRPr="008F2C1C">
        <w:rPr>
          <w:i/>
          <w:sz w:val="20"/>
        </w:rPr>
        <w:t>Clarification of Obligation of Video Programming Distributors to Make Emergency Information Accessible to Persons With Hearing Disabilities Using Closed Captioning</w:t>
      </w:r>
      <w:r w:rsidR="00DA53FF" w:rsidRPr="008F2C1C">
        <w:rPr>
          <w:sz w:val="20"/>
        </w:rPr>
        <w:t>, Public</w:t>
      </w:r>
      <w:r w:rsidR="00DA53FF" w:rsidRPr="00DD4796">
        <w:rPr>
          <w:sz w:val="20"/>
        </w:rPr>
        <w:t xml:space="preserve"> Notice, 21 FCC Rcd 15084</w:t>
      </w:r>
      <w:r w:rsidR="008F2C1C">
        <w:rPr>
          <w:sz w:val="20"/>
        </w:rPr>
        <w:t>, 15086</w:t>
      </w:r>
      <w:r w:rsidR="00DA53FF" w:rsidRPr="00DD4796">
        <w:rPr>
          <w:sz w:val="20"/>
        </w:rPr>
        <w:t xml:space="preserve"> (2006)</w:t>
      </w:r>
      <w:r w:rsidR="008F2C1C">
        <w:rPr>
          <w:sz w:val="20"/>
        </w:rPr>
        <w:t xml:space="preserve"> (</w:t>
      </w:r>
      <w:r w:rsidRPr="000C533F">
        <w:rPr>
          <w:i/>
          <w:sz w:val="20"/>
        </w:rPr>
        <w:t>December 2006 PN</w:t>
      </w:r>
      <w:r w:rsidR="008F2C1C">
        <w:rPr>
          <w:sz w:val="20"/>
        </w:rPr>
        <w:t>)</w:t>
      </w:r>
      <w:r w:rsidRPr="000C533F">
        <w:rPr>
          <w:sz w:val="20"/>
        </w:rPr>
        <w:t>.</w:t>
      </w:r>
    </w:p>
  </w:footnote>
  <w:footnote w:id="16">
    <w:p w14:paraId="3181DAF4" w14:textId="793763F3" w:rsidR="006237AF" w:rsidRPr="00960FFE" w:rsidRDefault="006237AF" w:rsidP="00941765">
      <w:pPr>
        <w:pStyle w:val="FootnoteText"/>
        <w:spacing w:after="120"/>
        <w:rPr>
          <w:sz w:val="20"/>
        </w:rPr>
      </w:pPr>
      <w:r w:rsidRPr="00960FFE">
        <w:rPr>
          <w:rStyle w:val="FootnoteReference"/>
          <w:sz w:val="20"/>
        </w:rPr>
        <w:footnoteRef/>
      </w:r>
      <w:r w:rsidRPr="00960FFE">
        <w:rPr>
          <w:sz w:val="20"/>
        </w:rPr>
        <w:t xml:space="preserve"> </w:t>
      </w:r>
      <w:r w:rsidRPr="00960FFE">
        <w:rPr>
          <w:i/>
          <w:sz w:val="20"/>
        </w:rPr>
        <w:t>See</w:t>
      </w:r>
      <w:r w:rsidRPr="00960FFE">
        <w:rPr>
          <w:sz w:val="20"/>
        </w:rPr>
        <w:t xml:space="preserve"> 47 C.F.R. § 79.2(b)(4).  </w:t>
      </w:r>
    </w:p>
  </w:footnote>
  <w:footnote w:id="17">
    <w:p w14:paraId="576D705A" w14:textId="33D6EF3B" w:rsidR="009517F7" w:rsidRPr="009517F7" w:rsidRDefault="009517F7" w:rsidP="009517F7">
      <w:pPr>
        <w:pStyle w:val="FootnoteText"/>
        <w:spacing w:after="120"/>
        <w:rPr>
          <w:sz w:val="20"/>
        </w:rPr>
      </w:pPr>
      <w:r w:rsidRPr="009517F7">
        <w:rPr>
          <w:rStyle w:val="FootnoteReference"/>
          <w:sz w:val="20"/>
        </w:rPr>
        <w:footnoteRef/>
      </w:r>
      <w:r w:rsidRPr="009517F7">
        <w:rPr>
          <w:sz w:val="20"/>
        </w:rPr>
        <w:t xml:space="preserve"> 47 C.F.R. § 79.1(c).</w:t>
      </w:r>
    </w:p>
  </w:footnote>
  <w:footnote w:id="18">
    <w:p w14:paraId="0EEE7DD9" w14:textId="5CDBCC60" w:rsidR="00A61974" w:rsidRPr="00960FFE" w:rsidRDefault="006237AF" w:rsidP="00941765">
      <w:pPr>
        <w:pStyle w:val="FootnoteText"/>
        <w:spacing w:after="120"/>
        <w:rPr>
          <w:sz w:val="20"/>
        </w:rPr>
      </w:pPr>
      <w:r w:rsidRPr="00960FFE">
        <w:rPr>
          <w:rStyle w:val="FootnoteReference"/>
          <w:sz w:val="20"/>
        </w:rPr>
        <w:footnoteRef/>
      </w:r>
      <w:r w:rsidRPr="00960FFE">
        <w:rPr>
          <w:sz w:val="20"/>
        </w:rPr>
        <w:t xml:space="preserve"> </w:t>
      </w:r>
      <w:r w:rsidRPr="00960FFE">
        <w:rPr>
          <w:i/>
          <w:sz w:val="20"/>
        </w:rPr>
        <w:t>See Closed Captioning and Video Description of Video Programming; Implementation of Section 305 of the Telecommunications Act of 1996; Accessibility of Emergency Programming</w:t>
      </w:r>
      <w:r w:rsidRPr="00960FFE">
        <w:rPr>
          <w:sz w:val="20"/>
        </w:rPr>
        <w:t>, Second Report and Order, 15 FCC Rcd 6615, 6622, ¶ 13, n.48 (2000) (</w:t>
      </w:r>
      <w:r w:rsidRPr="00960FFE">
        <w:rPr>
          <w:i/>
          <w:sz w:val="20"/>
        </w:rPr>
        <w:t>2000 Order</w:t>
      </w:r>
      <w:r w:rsidRPr="00960FFE">
        <w:rPr>
          <w:sz w:val="20"/>
        </w:rPr>
        <w:t>).</w:t>
      </w:r>
      <w:r w:rsidR="009517F7">
        <w:rPr>
          <w:sz w:val="20"/>
        </w:rPr>
        <w:t xml:space="preserve">  VPDs</w:t>
      </w:r>
      <w:r w:rsidR="009517F7" w:rsidRPr="00960FFE">
        <w:rPr>
          <w:sz w:val="20"/>
        </w:rPr>
        <w:t xml:space="preserve"> are required to pass through any captions that they receive from the originating source and are responsible for maintaining their equipment in working order to ensure the accurate transmission of the closed captions.</w:t>
      </w:r>
      <w:r w:rsidR="009517F7">
        <w:rPr>
          <w:sz w:val="20"/>
        </w:rPr>
        <w:t xml:space="preserve">  </w:t>
      </w:r>
      <w:r w:rsidR="009517F7">
        <w:rPr>
          <w:i/>
          <w:sz w:val="20"/>
        </w:rPr>
        <w:t>Id</w:t>
      </w:r>
      <w:r w:rsidR="009517F7">
        <w:rPr>
          <w:sz w:val="20"/>
        </w:rPr>
        <w:t>.</w:t>
      </w:r>
      <w:r w:rsidR="009517F7" w:rsidRPr="00960FFE">
        <w:rPr>
          <w:sz w:val="20"/>
        </w:rPr>
        <w:t xml:space="preserve">  </w:t>
      </w:r>
    </w:p>
  </w:footnote>
  <w:footnote w:id="19">
    <w:p w14:paraId="07B61FB4" w14:textId="3D3B753D" w:rsidR="00FB43EE" w:rsidRPr="00D64769" w:rsidRDefault="00FC7966" w:rsidP="00D64769">
      <w:pPr>
        <w:pStyle w:val="FootnoteText"/>
        <w:spacing w:after="120"/>
        <w:rPr>
          <w:sz w:val="20"/>
        </w:rPr>
      </w:pPr>
      <w:r w:rsidRPr="00D64769">
        <w:rPr>
          <w:rStyle w:val="FootnoteReference"/>
          <w:sz w:val="20"/>
        </w:rPr>
        <w:footnoteRef/>
      </w:r>
      <w:r w:rsidRPr="00D64769">
        <w:rPr>
          <w:sz w:val="20"/>
        </w:rPr>
        <w:t xml:space="preserve"> </w:t>
      </w:r>
      <w:r w:rsidRPr="00D64769">
        <w:rPr>
          <w:i/>
          <w:sz w:val="20"/>
        </w:rPr>
        <w:t>See e.g.</w:t>
      </w:r>
      <w:r w:rsidRPr="0055769F">
        <w:rPr>
          <w:sz w:val="20"/>
        </w:rPr>
        <w:t>,</w:t>
      </w:r>
      <w:r w:rsidR="006710A7">
        <w:rPr>
          <w:sz w:val="20"/>
        </w:rPr>
        <w:t xml:space="preserve"> </w:t>
      </w:r>
      <w:r w:rsidR="006710A7">
        <w:rPr>
          <w:i/>
          <w:sz w:val="20"/>
        </w:rPr>
        <w:t>Reminder Regarding</w:t>
      </w:r>
      <w:r w:rsidR="006710A7" w:rsidRPr="008F2C1C">
        <w:rPr>
          <w:i/>
          <w:sz w:val="20"/>
        </w:rPr>
        <w:t xml:space="preserve"> Video Programming Distributors</w:t>
      </w:r>
      <w:r w:rsidR="006710A7">
        <w:rPr>
          <w:i/>
          <w:sz w:val="20"/>
        </w:rPr>
        <w:t>’ Obligation</w:t>
      </w:r>
      <w:r w:rsidR="006710A7" w:rsidRPr="008F2C1C">
        <w:rPr>
          <w:i/>
          <w:sz w:val="20"/>
        </w:rPr>
        <w:t xml:space="preserve"> to Make Emergency Information Accessible to Persons </w:t>
      </w:r>
      <w:r w:rsidR="006710A7">
        <w:rPr>
          <w:i/>
          <w:sz w:val="20"/>
        </w:rPr>
        <w:t>Who are Deaf, Hard of Hearing, Blind, or Visually Impaired</w:t>
      </w:r>
      <w:r w:rsidR="006710A7" w:rsidRPr="008F2C1C">
        <w:rPr>
          <w:sz w:val="20"/>
        </w:rPr>
        <w:t>, Public</w:t>
      </w:r>
      <w:r w:rsidR="006710A7" w:rsidRPr="00DD4796">
        <w:rPr>
          <w:sz w:val="20"/>
        </w:rPr>
        <w:t xml:space="preserve"> Notice, 2</w:t>
      </w:r>
      <w:r w:rsidR="006710A7">
        <w:rPr>
          <w:sz w:val="20"/>
        </w:rPr>
        <w:t>9</w:t>
      </w:r>
      <w:r w:rsidR="006710A7" w:rsidRPr="00DD4796">
        <w:rPr>
          <w:sz w:val="20"/>
        </w:rPr>
        <w:t xml:space="preserve"> FCC Rcd 150</w:t>
      </w:r>
      <w:r w:rsidR="006710A7">
        <w:rPr>
          <w:sz w:val="20"/>
        </w:rPr>
        <w:t>96</w:t>
      </w:r>
      <w:r w:rsidR="006710A7" w:rsidRPr="00DD4796">
        <w:rPr>
          <w:sz w:val="20"/>
        </w:rPr>
        <w:t xml:space="preserve"> (20</w:t>
      </w:r>
      <w:r w:rsidR="006710A7">
        <w:rPr>
          <w:sz w:val="20"/>
        </w:rPr>
        <w:t>14</w:t>
      </w:r>
      <w:r w:rsidR="006710A7" w:rsidRPr="00DD4796">
        <w:rPr>
          <w:sz w:val="20"/>
        </w:rPr>
        <w:t>)</w:t>
      </w:r>
      <w:r w:rsidRPr="00D64769">
        <w:rPr>
          <w:sz w:val="20"/>
        </w:rPr>
        <w:t>.</w:t>
      </w:r>
    </w:p>
  </w:footnote>
  <w:footnote w:id="20">
    <w:p w14:paraId="6E5EB72F" w14:textId="3D65B465" w:rsidR="00A61974" w:rsidRPr="00960FFE" w:rsidRDefault="006237AF" w:rsidP="00941765">
      <w:pPr>
        <w:pStyle w:val="FootnoteText"/>
        <w:spacing w:after="120"/>
        <w:rPr>
          <w:sz w:val="20"/>
        </w:rPr>
      </w:pPr>
      <w:r w:rsidRPr="00960FFE">
        <w:rPr>
          <w:rStyle w:val="FootnoteReference"/>
          <w:sz w:val="20"/>
        </w:rPr>
        <w:footnoteRef/>
      </w:r>
      <w:r w:rsidRPr="00960FFE">
        <w:rPr>
          <w:sz w:val="20"/>
        </w:rPr>
        <w:t xml:space="preserve"> </w:t>
      </w:r>
      <w:r w:rsidRPr="00960FFE">
        <w:rPr>
          <w:i/>
          <w:sz w:val="20"/>
        </w:rPr>
        <w:t>See</w:t>
      </w:r>
      <w:r w:rsidRPr="00960FFE">
        <w:rPr>
          <w:sz w:val="20"/>
        </w:rPr>
        <w:t xml:space="preserve"> 47 C.F.R. § 79.2 Note to paragraph (a)(2):  “Critical details include, but are not limited to, specific details regarding the areas that will be affected by the emergency, evacuation orders, detailed descriptions of areas to be evacuated, specific evacuation routes, approved shelters or the way to take shelter in one’s home, instructions on how to secure personal property, road closures, and how to obtain relief assistance.”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53036" w14:textId="77777777" w:rsidR="000F0ED2" w:rsidRDefault="000F0E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237A8" w14:textId="77777777" w:rsidR="000F0ED2" w:rsidRDefault="000F0E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8CED2" w14:textId="77777777" w:rsidR="00D17603" w:rsidRDefault="00D1767A">
    <w:pPr>
      <w:pStyle w:val="Header"/>
      <w:tabs>
        <w:tab w:val="clear" w:pos="4320"/>
        <w:tab w:val="clear" w:pos="8640"/>
        <w:tab w:val="left" w:pos="1080"/>
      </w:tabs>
      <w:spacing w:line="1120" w:lineRule="exact"/>
      <w:ind w:left="720"/>
      <w:rPr>
        <w:rFonts w:ascii="Arial" w:hAnsi="Arial"/>
        <w:b/>
        <w:sz w:val="96"/>
      </w:rPr>
    </w:pPr>
    <w:r>
      <w:rPr>
        <w:rFonts w:ascii="Arial" w:hAnsi="Arial"/>
        <w:b/>
        <w:noProof/>
      </w:rPr>
      <w:drawing>
        <wp:anchor distT="0" distB="0" distL="114300" distR="114300" simplePos="0" relativeHeight="251659264" behindDoc="0" locked="0" layoutInCell="0" allowOverlap="1" wp14:anchorId="3755D3BE" wp14:editId="72A8EDDF">
          <wp:simplePos x="0" y="0"/>
          <wp:positionH relativeFrom="column">
            <wp:posOffset>50165</wp:posOffset>
          </wp:positionH>
          <wp:positionV relativeFrom="paragraph">
            <wp:posOffset>91440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17603">
      <w:tab/>
    </w:r>
    <w:r w:rsidR="00D17603">
      <w:rPr>
        <w:rFonts w:ascii="Arial" w:hAnsi="Arial"/>
        <w:b/>
        <w:sz w:val="96"/>
      </w:rPr>
      <w:t>PUBLIC NOTICE</w:t>
    </w:r>
  </w:p>
  <w:p w14:paraId="418310FA" w14:textId="77777777" w:rsidR="00D17603" w:rsidRDefault="00D1767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6192" behindDoc="0" locked="0" layoutInCell="0" allowOverlap="1" wp14:anchorId="55BA79A6" wp14:editId="6DD9B609">
              <wp:simplePos x="0" y="0"/>
              <wp:positionH relativeFrom="column">
                <wp:posOffset>342900</wp:posOffset>
              </wp:positionH>
              <wp:positionV relativeFrom="paragraph">
                <wp:posOffset>20320</wp:posOffset>
              </wp:positionV>
              <wp:extent cx="3370580" cy="640080"/>
              <wp:effectExtent l="0" t="1270" r="127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6D908" w14:textId="77777777" w:rsidR="00D17603" w:rsidRDefault="00D17603">
                          <w:pPr>
                            <w:rPr>
                              <w:rFonts w:ascii="Arial" w:hAnsi="Arial"/>
                              <w:b/>
                            </w:rPr>
                          </w:pPr>
                          <w:r>
                            <w:rPr>
                              <w:rFonts w:ascii="Arial" w:hAnsi="Arial"/>
                              <w:b/>
                            </w:rPr>
                            <w:t>Federal Communications Commission</w:t>
                          </w:r>
                        </w:p>
                        <w:p w14:paraId="7AB0ED0E" w14:textId="77777777" w:rsidR="00D17603" w:rsidRDefault="00D17603">
                          <w:pPr>
                            <w:rPr>
                              <w:rFonts w:ascii="Arial" w:hAnsi="Arial"/>
                              <w:b/>
                            </w:rPr>
                          </w:pPr>
                          <w:r>
                            <w:rPr>
                              <w:rFonts w:ascii="Arial" w:hAnsi="Arial"/>
                              <w:b/>
                            </w:rPr>
                            <w:t>445 12th St., S.W.</w:t>
                          </w:r>
                        </w:p>
                        <w:p w14:paraId="70833A87" w14:textId="77777777" w:rsidR="00D17603" w:rsidRDefault="00D17603">
                          <w:pPr>
                            <w:rPr>
                              <w:rFonts w:ascii="Arial" w:hAnsi="Arial"/>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5BA79A6" id="_x0000_t202" coordsize="21600,21600" o:spt="202" path="m,l,21600r21600,l21600,xe">
              <v:stroke joinstyle="miter"/>
              <v:path gradientshapeok="t" o:connecttype="rect"/>
            </v:shapetype>
            <v:shape id="Text Box 1" o:spid="_x0000_s1026" type="#_x0000_t202" style="position:absolute;left:0;text-align:left;margin-left:27pt;margin-top:1.6pt;width:265.4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8fAggIAAA8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" o:allowincell="f" stroked="f">
              <v:textbox>
                <w:txbxContent>
                  <w:p w14:paraId="4DB6D908" w14:textId="77777777" w:rsidR="00D17603" w:rsidRDefault="00D17603">
                    <w:pPr>
                      <w:rPr>
                        <w:rFonts w:ascii="Arial" w:hAnsi="Arial"/>
                        <w:b/>
                      </w:rPr>
                    </w:pPr>
                    <w:r>
                      <w:rPr>
                        <w:rFonts w:ascii="Arial" w:hAnsi="Arial"/>
                        <w:b/>
                      </w:rPr>
                      <w:t>Federal Communications Commission</w:t>
                    </w:r>
                  </w:p>
                  <w:p w14:paraId="7AB0ED0E" w14:textId="77777777" w:rsidR="00D17603" w:rsidRDefault="00D17603">
                    <w:pPr>
                      <w:rPr>
                        <w:rFonts w:ascii="Arial" w:hAnsi="Arial"/>
                        <w:b/>
                      </w:rPr>
                    </w:pPr>
                    <w:r>
                      <w:rPr>
                        <w:rFonts w:ascii="Arial" w:hAnsi="Arial"/>
                        <w:b/>
                      </w:rPr>
                      <w:t>445 12th St., S.W.</w:t>
                    </w:r>
                  </w:p>
                  <w:p w14:paraId="70833A87" w14:textId="77777777" w:rsidR="00D17603" w:rsidRDefault="00D17603">
                    <w:pPr>
                      <w:rPr>
                        <w:rFonts w:ascii="Arial" w:hAnsi="Arial"/>
                      </w:rPr>
                    </w:pPr>
                    <w:r>
                      <w:rPr>
                        <w:rFonts w:ascii="Arial" w:hAnsi="Arial"/>
                        <w:b/>
                      </w:rPr>
                      <w:t>Washington, D.C. 20554</w:t>
                    </w:r>
                  </w:p>
                </w:txbxContent>
              </v:textbox>
            </v:shape>
          </w:pict>
        </mc:Fallback>
      </mc:AlternateContent>
    </w:r>
    <w:r>
      <w:rPr>
        <w:rFonts w:ascii="Arial" w:hAnsi="Arial"/>
        <w:b/>
        <w:noProof/>
      </w:rPr>
      <mc:AlternateContent>
        <mc:Choice Requires="wps">
          <w:drawing>
            <wp:anchor distT="0" distB="0" distL="114300" distR="114300" simplePos="0" relativeHeight="251658240" behindDoc="0" locked="0" layoutInCell="1" allowOverlap="1" wp14:anchorId="54296437" wp14:editId="52F67004">
              <wp:simplePos x="0" y="0"/>
              <wp:positionH relativeFrom="column">
                <wp:posOffset>3251835</wp:posOffset>
              </wp:positionH>
              <wp:positionV relativeFrom="paragraph">
                <wp:posOffset>91440</wp:posOffset>
              </wp:positionV>
              <wp:extent cx="2743200" cy="668020"/>
              <wp:effectExtent l="381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6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20AE4" w14:textId="77777777" w:rsidR="00D17603" w:rsidRDefault="00D17603">
                          <w:pPr>
                            <w:spacing w:before="40"/>
                            <w:jc w:val="right"/>
                            <w:rPr>
                              <w:rFonts w:ascii="Arial" w:hAnsi="Arial"/>
                              <w:sz w:val="16"/>
                            </w:rPr>
                          </w:pPr>
                          <w:r>
                            <w:rPr>
                              <w:rFonts w:ascii="Arial" w:hAnsi="Arial"/>
                              <w:sz w:val="16"/>
                            </w:rPr>
                            <w:tab/>
                          </w:r>
                        </w:p>
                        <w:p w14:paraId="4C18C730" w14:textId="77777777" w:rsidR="00D17603" w:rsidRDefault="00D17603">
                          <w:pPr>
                            <w:spacing w:before="40"/>
                            <w:jc w:val="right"/>
                            <w:rPr>
                              <w:rFonts w:ascii="Arial" w:hAnsi="Arial"/>
                              <w:b/>
                              <w:sz w:val="16"/>
                            </w:rPr>
                          </w:pPr>
                          <w:r>
                            <w:rPr>
                              <w:rFonts w:ascii="Arial" w:hAnsi="Arial"/>
                              <w:b/>
                              <w:sz w:val="16"/>
                            </w:rPr>
                            <w:t>News Media Information 202 / 418-0500</w:t>
                          </w:r>
                        </w:p>
                        <w:p w14:paraId="6D9E47AA" w14:textId="77777777" w:rsidR="00D17603" w:rsidRDefault="00D17603">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6C302CAE" w14:textId="77777777" w:rsidR="00D17603" w:rsidRDefault="00D17603">
                          <w:pPr>
                            <w:jc w:val="right"/>
                            <w:rPr>
                              <w:rFonts w:ascii="Arial" w:hAnsi="Arial"/>
                              <w:b/>
                              <w:sz w:val="16"/>
                            </w:rPr>
                          </w:pPr>
                          <w:r>
                            <w:rPr>
                              <w:rFonts w:ascii="Arial" w:hAnsi="Arial"/>
                              <w:b/>
                              <w:sz w:val="16"/>
                            </w:rPr>
                            <w:t>TTY: 1-888-835-5322</w:t>
                          </w:r>
                        </w:p>
                        <w:p w14:paraId="0F2F0D05" w14:textId="77777777" w:rsidR="00D17603" w:rsidRDefault="00D17603">
                          <w:pPr>
                            <w:jc w:val="right"/>
                          </w:pPr>
                        </w:p>
                        <w:p w14:paraId="1B132B65" w14:textId="77777777" w:rsidR="00D17603" w:rsidRDefault="00D17603">
                          <w:pPr>
                            <w:jc w:val="right"/>
                            <w:rPr>
                              <w:rFonts w:ascii="Arial" w:hAnsi="Arial"/>
                              <w:sz w:val="16"/>
                            </w:rPr>
                          </w:pPr>
                        </w:p>
                        <w:p w14:paraId="49748C78" w14:textId="77777777" w:rsidR="00D17603" w:rsidRDefault="00D17603">
                          <w:pPr>
                            <w:jc w:val="right"/>
                            <w:rPr>
                              <w:rFonts w:ascii="Arial" w:hAnsi="Arial"/>
                              <w:sz w:val="16"/>
                            </w:rPr>
                          </w:pPr>
                          <w:r>
                            <w:rPr>
                              <w:rFonts w:ascii="Arial" w:hAnsi="Arial"/>
                              <w:sz w:val="16"/>
                            </w:rPr>
                            <w:tab/>
                          </w:r>
                        </w:p>
                        <w:p w14:paraId="173DBC13" w14:textId="77777777" w:rsidR="00D17603" w:rsidRDefault="00D17603">
                          <w:pPr>
                            <w:jc w:val="right"/>
                            <w:rPr>
                              <w:rFonts w:ascii="Arial" w:hAnsi="Arial"/>
                              <w:sz w:val="16"/>
                            </w:rPr>
                          </w:pPr>
                          <w:r>
                            <w:rPr>
                              <w:rFonts w:ascii="Arial" w:hAnsi="Arial"/>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296437" id="Text Box 3" o:spid="_x0000_s1027" type="#_x0000_t202" style="position:absolute;left:0;text-align:left;margin-left:256.05pt;margin-top:7.2pt;width:3in;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RrhQ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" stroked="f">
              <v:textbox>
                <w:txbxContent>
                  <w:p w14:paraId="62720AE4" w14:textId="77777777" w:rsidR="00D17603" w:rsidRDefault="00D17603">
                    <w:pPr>
                      <w:spacing w:before="40"/>
                      <w:jc w:val="right"/>
                      <w:rPr>
                        <w:rFonts w:ascii="Arial" w:hAnsi="Arial"/>
                        <w:sz w:val="16"/>
                      </w:rPr>
                    </w:pPr>
                    <w:r>
                      <w:rPr>
                        <w:rFonts w:ascii="Arial" w:hAnsi="Arial"/>
                        <w:sz w:val="16"/>
                      </w:rPr>
                      <w:tab/>
                    </w:r>
                  </w:p>
                  <w:p w14:paraId="4C18C730" w14:textId="77777777" w:rsidR="00D17603" w:rsidRDefault="00D17603">
                    <w:pPr>
                      <w:spacing w:before="40"/>
                      <w:jc w:val="right"/>
                      <w:rPr>
                        <w:rFonts w:ascii="Arial" w:hAnsi="Arial"/>
                        <w:b/>
                        <w:sz w:val="16"/>
                      </w:rPr>
                    </w:pPr>
                    <w:r>
                      <w:rPr>
                        <w:rFonts w:ascii="Arial" w:hAnsi="Arial"/>
                        <w:b/>
                        <w:sz w:val="16"/>
                      </w:rPr>
                      <w:t>News Media Information 202 / 418-0500</w:t>
                    </w:r>
                  </w:p>
                  <w:p w14:paraId="6D9E47AA" w14:textId="77777777" w:rsidR="00D17603" w:rsidRDefault="00D17603">
                    <w:pPr>
                      <w:jc w:val="right"/>
                      <w:rPr>
                        <w:rFonts w:ascii="Arial" w:hAnsi="Arial"/>
                        <w:b/>
                        <w:sz w:val="16"/>
                      </w:rPr>
                    </w:pPr>
                    <w:r>
                      <w:rPr>
                        <w:rFonts w:ascii="Arial" w:hAnsi="Arial"/>
                        <w:b/>
                        <w:sz w:val="16"/>
                      </w:rPr>
                      <w:tab/>
                      <w:t xml:space="preserve">Internet: </w:t>
                    </w:r>
                    <w:bookmarkStart w:id="188" w:name="_Hlt233824"/>
                    <w:r>
                      <w:rPr>
                        <w:rFonts w:ascii="Arial" w:hAnsi="Arial"/>
                        <w:b/>
                        <w:sz w:val="16"/>
                      </w:rPr>
                      <w:t>h</w:t>
                    </w:r>
                    <w:bookmarkEnd w:id="188"/>
                    <w:r>
                      <w:rPr>
                        <w:rFonts w:ascii="Arial" w:hAnsi="Arial"/>
                        <w:b/>
                        <w:sz w:val="16"/>
                      </w:rPr>
                      <w:t>ttp://www.fcc.gov</w:t>
                    </w:r>
                  </w:p>
                  <w:p w14:paraId="6C302CAE" w14:textId="77777777" w:rsidR="00D17603" w:rsidRDefault="00D17603">
                    <w:pPr>
                      <w:jc w:val="right"/>
                      <w:rPr>
                        <w:rFonts w:ascii="Arial" w:hAnsi="Arial"/>
                        <w:b/>
                        <w:sz w:val="16"/>
                      </w:rPr>
                    </w:pPr>
                    <w:r>
                      <w:rPr>
                        <w:rFonts w:ascii="Arial" w:hAnsi="Arial"/>
                        <w:b/>
                        <w:sz w:val="16"/>
                      </w:rPr>
                      <w:t>TTY: 1-888-835-5322</w:t>
                    </w:r>
                  </w:p>
                  <w:p w14:paraId="0F2F0D05" w14:textId="77777777" w:rsidR="00D17603" w:rsidRDefault="00D17603">
                    <w:pPr>
                      <w:jc w:val="right"/>
                    </w:pPr>
                  </w:p>
                  <w:p w14:paraId="1B132B65" w14:textId="77777777" w:rsidR="00D17603" w:rsidRDefault="00D17603">
                    <w:pPr>
                      <w:jc w:val="right"/>
                      <w:rPr>
                        <w:rFonts w:ascii="Arial" w:hAnsi="Arial"/>
                        <w:sz w:val="16"/>
                      </w:rPr>
                    </w:pPr>
                  </w:p>
                  <w:p w14:paraId="49748C78" w14:textId="77777777" w:rsidR="00D17603" w:rsidRDefault="00D17603">
                    <w:pPr>
                      <w:jc w:val="right"/>
                      <w:rPr>
                        <w:rFonts w:ascii="Arial" w:hAnsi="Arial"/>
                        <w:sz w:val="16"/>
                      </w:rPr>
                    </w:pPr>
                    <w:r>
                      <w:rPr>
                        <w:rFonts w:ascii="Arial" w:hAnsi="Arial"/>
                        <w:sz w:val="16"/>
                      </w:rPr>
                      <w:tab/>
                    </w:r>
                  </w:p>
                  <w:p w14:paraId="173DBC13" w14:textId="77777777" w:rsidR="00D17603" w:rsidRDefault="00D17603">
                    <w:pPr>
                      <w:jc w:val="right"/>
                      <w:rPr>
                        <w:rFonts w:ascii="Arial" w:hAnsi="Arial"/>
                        <w:sz w:val="16"/>
                      </w:rPr>
                    </w:pPr>
                    <w:r>
                      <w:rPr>
                        <w:rFonts w:ascii="Arial" w:hAnsi="Arial"/>
                        <w:sz w:val="16"/>
                      </w:rPr>
                      <w:tab/>
                    </w:r>
                  </w:p>
                </w:txbxContent>
              </v:textbox>
            </v:shape>
          </w:pict>
        </mc:Fallback>
      </mc:AlternateContent>
    </w:r>
  </w:p>
  <w:p w14:paraId="5C2F139F" w14:textId="77777777" w:rsidR="00D17603" w:rsidRDefault="00D1767A">
    <w:pPr>
      <w:pStyle w:val="Header"/>
      <w:tabs>
        <w:tab w:val="clear" w:pos="4320"/>
        <w:tab w:val="clear" w:pos="8640"/>
        <w:tab w:val="left" w:pos="1080"/>
      </w:tabs>
      <w:ind w:left="720"/>
      <w:rPr>
        <w:rFonts w:ascii="Arial" w:hAnsi="Arial"/>
        <w:b/>
      </w:rPr>
    </w:pPr>
    <w:r>
      <w:rPr>
        <w:rFonts w:ascii="Arial" w:hAnsi="Arial"/>
        <w:b/>
        <w:noProof/>
        <w:sz w:val="22"/>
      </w:rPr>
      <mc:AlternateContent>
        <mc:Choice Requires="wps">
          <w:drawing>
            <wp:anchor distT="0" distB="0" distL="114300" distR="114300" simplePos="0" relativeHeight="251657216" behindDoc="0" locked="0" layoutInCell="0" allowOverlap="1" wp14:anchorId="533421B8" wp14:editId="11FE68A3">
              <wp:simplePos x="0" y="0"/>
              <wp:positionH relativeFrom="column">
                <wp:posOffset>0</wp:posOffset>
              </wp:positionH>
              <wp:positionV relativeFrom="paragraph">
                <wp:posOffset>105410</wp:posOffset>
              </wp:positionV>
              <wp:extent cx="8229600" cy="0"/>
              <wp:effectExtent l="9525" t="10160" r="9525" b="184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C13A1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9in,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WaEgIAACk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422F"/>
    <w:multiLevelType w:val="multilevel"/>
    <w:tmpl w:val="78FCC88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467C514A"/>
    <w:multiLevelType w:val="multilevel"/>
    <w:tmpl w:val="B760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182925"/>
    <w:multiLevelType w:val="singleLevel"/>
    <w:tmpl w:val="D180CED0"/>
    <w:lvl w:ilvl="0">
      <w:start w:val="1"/>
      <w:numFmt w:val="decimal"/>
      <w:pStyle w:val="ParaNum"/>
      <w:lvlText w:val="%1."/>
      <w:lvlJc w:val="left"/>
      <w:pPr>
        <w:tabs>
          <w:tab w:val="num" w:pos="1440"/>
        </w:tabs>
        <w:ind w:left="360" w:firstLine="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C95"/>
    <w:rsid w:val="00013110"/>
    <w:rsid w:val="00026263"/>
    <w:rsid w:val="000334ED"/>
    <w:rsid w:val="00033C2F"/>
    <w:rsid w:val="00050E10"/>
    <w:rsid w:val="00054374"/>
    <w:rsid w:val="000706CF"/>
    <w:rsid w:val="000C4F01"/>
    <w:rsid w:val="000C533F"/>
    <w:rsid w:val="000D2596"/>
    <w:rsid w:val="000E653D"/>
    <w:rsid w:val="000F0ED2"/>
    <w:rsid w:val="00113346"/>
    <w:rsid w:val="00117248"/>
    <w:rsid w:val="00154D01"/>
    <w:rsid w:val="001655DB"/>
    <w:rsid w:val="001662B9"/>
    <w:rsid w:val="0017322C"/>
    <w:rsid w:val="00174145"/>
    <w:rsid w:val="001A166D"/>
    <w:rsid w:val="001E0B9D"/>
    <w:rsid w:val="001E6DE3"/>
    <w:rsid w:val="00204DF8"/>
    <w:rsid w:val="00221ABA"/>
    <w:rsid w:val="00242094"/>
    <w:rsid w:val="00273CDF"/>
    <w:rsid w:val="0027649E"/>
    <w:rsid w:val="00284690"/>
    <w:rsid w:val="002969B1"/>
    <w:rsid w:val="002A12C5"/>
    <w:rsid w:val="002A30E1"/>
    <w:rsid w:val="002C3A34"/>
    <w:rsid w:val="002C4196"/>
    <w:rsid w:val="002C5398"/>
    <w:rsid w:val="002D3EE8"/>
    <w:rsid w:val="002F3B3C"/>
    <w:rsid w:val="00305824"/>
    <w:rsid w:val="003176E9"/>
    <w:rsid w:val="00320D5F"/>
    <w:rsid w:val="0032577B"/>
    <w:rsid w:val="0033258D"/>
    <w:rsid w:val="00345E82"/>
    <w:rsid w:val="003523D6"/>
    <w:rsid w:val="0037005E"/>
    <w:rsid w:val="003854AF"/>
    <w:rsid w:val="003B24C7"/>
    <w:rsid w:val="003E22C6"/>
    <w:rsid w:val="00405374"/>
    <w:rsid w:val="00441FD7"/>
    <w:rsid w:val="004439D0"/>
    <w:rsid w:val="004561F7"/>
    <w:rsid w:val="00456F01"/>
    <w:rsid w:val="004616BC"/>
    <w:rsid w:val="004714F1"/>
    <w:rsid w:val="00473AC1"/>
    <w:rsid w:val="00475D04"/>
    <w:rsid w:val="00490C69"/>
    <w:rsid w:val="004A2871"/>
    <w:rsid w:val="004A6DB8"/>
    <w:rsid w:val="004B0388"/>
    <w:rsid w:val="004B32C1"/>
    <w:rsid w:val="004F423F"/>
    <w:rsid w:val="00507E86"/>
    <w:rsid w:val="00530CEE"/>
    <w:rsid w:val="00531B38"/>
    <w:rsid w:val="00535478"/>
    <w:rsid w:val="00540ABA"/>
    <w:rsid w:val="00545A97"/>
    <w:rsid w:val="00550D36"/>
    <w:rsid w:val="0055769F"/>
    <w:rsid w:val="00566EA9"/>
    <w:rsid w:val="00570899"/>
    <w:rsid w:val="00572266"/>
    <w:rsid w:val="00573720"/>
    <w:rsid w:val="00576196"/>
    <w:rsid w:val="00584681"/>
    <w:rsid w:val="0059569F"/>
    <w:rsid w:val="00597F68"/>
    <w:rsid w:val="005A0384"/>
    <w:rsid w:val="005B2FB8"/>
    <w:rsid w:val="005B47AB"/>
    <w:rsid w:val="005B65B4"/>
    <w:rsid w:val="005C495D"/>
    <w:rsid w:val="005D4011"/>
    <w:rsid w:val="005E02E2"/>
    <w:rsid w:val="005E2F53"/>
    <w:rsid w:val="005E7CF0"/>
    <w:rsid w:val="005F14E9"/>
    <w:rsid w:val="005F2EBF"/>
    <w:rsid w:val="00600FE9"/>
    <w:rsid w:val="00603E36"/>
    <w:rsid w:val="006237AF"/>
    <w:rsid w:val="00626B67"/>
    <w:rsid w:val="006337C1"/>
    <w:rsid w:val="00643CE4"/>
    <w:rsid w:val="00666DF5"/>
    <w:rsid w:val="006710A7"/>
    <w:rsid w:val="0068468A"/>
    <w:rsid w:val="00684B75"/>
    <w:rsid w:val="00685325"/>
    <w:rsid w:val="0068594E"/>
    <w:rsid w:val="006A6514"/>
    <w:rsid w:val="006B0670"/>
    <w:rsid w:val="006C1943"/>
    <w:rsid w:val="006C7B38"/>
    <w:rsid w:val="006C7C1D"/>
    <w:rsid w:val="006E1D62"/>
    <w:rsid w:val="006E40E2"/>
    <w:rsid w:val="00701F0D"/>
    <w:rsid w:val="00711827"/>
    <w:rsid w:val="00760810"/>
    <w:rsid w:val="0076085B"/>
    <w:rsid w:val="00760B02"/>
    <w:rsid w:val="0077493E"/>
    <w:rsid w:val="00776965"/>
    <w:rsid w:val="00783D3C"/>
    <w:rsid w:val="00784418"/>
    <w:rsid w:val="0079375A"/>
    <w:rsid w:val="007A006D"/>
    <w:rsid w:val="007B0170"/>
    <w:rsid w:val="007D0331"/>
    <w:rsid w:val="007D6462"/>
    <w:rsid w:val="007E7674"/>
    <w:rsid w:val="007F5502"/>
    <w:rsid w:val="00800861"/>
    <w:rsid w:val="008106B6"/>
    <w:rsid w:val="0081273F"/>
    <w:rsid w:val="00814E25"/>
    <w:rsid w:val="00837066"/>
    <w:rsid w:val="00840953"/>
    <w:rsid w:val="00852EFF"/>
    <w:rsid w:val="00875126"/>
    <w:rsid w:val="00880C57"/>
    <w:rsid w:val="0088556D"/>
    <w:rsid w:val="00886693"/>
    <w:rsid w:val="008D424F"/>
    <w:rsid w:val="008D4D77"/>
    <w:rsid w:val="008F2C1C"/>
    <w:rsid w:val="00900628"/>
    <w:rsid w:val="00907C95"/>
    <w:rsid w:val="009169BB"/>
    <w:rsid w:val="00922432"/>
    <w:rsid w:val="00924BD0"/>
    <w:rsid w:val="00941765"/>
    <w:rsid w:val="009517F7"/>
    <w:rsid w:val="00960FFE"/>
    <w:rsid w:val="009619C3"/>
    <w:rsid w:val="0097197B"/>
    <w:rsid w:val="0097451A"/>
    <w:rsid w:val="009B0A68"/>
    <w:rsid w:val="009C1EEE"/>
    <w:rsid w:val="009C417C"/>
    <w:rsid w:val="009E2BAF"/>
    <w:rsid w:val="009E66F6"/>
    <w:rsid w:val="009F2FEF"/>
    <w:rsid w:val="00A30002"/>
    <w:rsid w:val="00A335C4"/>
    <w:rsid w:val="00A441D3"/>
    <w:rsid w:val="00A46325"/>
    <w:rsid w:val="00A46A49"/>
    <w:rsid w:val="00A47CB7"/>
    <w:rsid w:val="00A50013"/>
    <w:rsid w:val="00A608F4"/>
    <w:rsid w:val="00A61974"/>
    <w:rsid w:val="00A63E0E"/>
    <w:rsid w:val="00A6549D"/>
    <w:rsid w:val="00A65D8D"/>
    <w:rsid w:val="00A66554"/>
    <w:rsid w:val="00A70A77"/>
    <w:rsid w:val="00AC76C5"/>
    <w:rsid w:val="00AF7FDC"/>
    <w:rsid w:val="00B0254E"/>
    <w:rsid w:val="00B269FE"/>
    <w:rsid w:val="00B440A2"/>
    <w:rsid w:val="00B47B84"/>
    <w:rsid w:val="00B55C89"/>
    <w:rsid w:val="00B61409"/>
    <w:rsid w:val="00B74B42"/>
    <w:rsid w:val="00BD24DF"/>
    <w:rsid w:val="00BE5A0B"/>
    <w:rsid w:val="00BF2A21"/>
    <w:rsid w:val="00C020CF"/>
    <w:rsid w:val="00C110DB"/>
    <w:rsid w:val="00C46540"/>
    <w:rsid w:val="00C546DB"/>
    <w:rsid w:val="00C96904"/>
    <w:rsid w:val="00CA4B7A"/>
    <w:rsid w:val="00CF4EA2"/>
    <w:rsid w:val="00CF5CA6"/>
    <w:rsid w:val="00D104D7"/>
    <w:rsid w:val="00D17603"/>
    <w:rsid w:val="00D1767A"/>
    <w:rsid w:val="00D319E3"/>
    <w:rsid w:val="00D35447"/>
    <w:rsid w:val="00D40BD9"/>
    <w:rsid w:val="00D40CEF"/>
    <w:rsid w:val="00D55839"/>
    <w:rsid w:val="00D55A9A"/>
    <w:rsid w:val="00D5649F"/>
    <w:rsid w:val="00D630F5"/>
    <w:rsid w:val="00D64769"/>
    <w:rsid w:val="00D65FD0"/>
    <w:rsid w:val="00D757F3"/>
    <w:rsid w:val="00D8217E"/>
    <w:rsid w:val="00D90E46"/>
    <w:rsid w:val="00D93D54"/>
    <w:rsid w:val="00D9455F"/>
    <w:rsid w:val="00DA53FF"/>
    <w:rsid w:val="00DB09E1"/>
    <w:rsid w:val="00DB2413"/>
    <w:rsid w:val="00DB7C2B"/>
    <w:rsid w:val="00DC17D3"/>
    <w:rsid w:val="00DC31DE"/>
    <w:rsid w:val="00DD4796"/>
    <w:rsid w:val="00DE5EAC"/>
    <w:rsid w:val="00DF662D"/>
    <w:rsid w:val="00DF783F"/>
    <w:rsid w:val="00E0551D"/>
    <w:rsid w:val="00E113DA"/>
    <w:rsid w:val="00E22845"/>
    <w:rsid w:val="00E30098"/>
    <w:rsid w:val="00E4603C"/>
    <w:rsid w:val="00E47121"/>
    <w:rsid w:val="00E604C7"/>
    <w:rsid w:val="00E70A51"/>
    <w:rsid w:val="00E71130"/>
    <w:rsid w:val="00E72169"/>
    <w:rsid w:val="00E7366C"/>
    <w:rsid w:val="00E75314"/>
    <w:rsid w:val="00E84BB5"/>
    <w:rsid w:val="00E957B1"/>
    <w:rsid w:val="00EA0E6F"/>
    <w:rsid w:val="00EB2359"/>
    <w:rsid w:val="00EC164F"/>
    <w:rsid w:val="00ED1964"/>
    <w:rsid w:val="00EE07F3"/>
    <w:rsid w:val="00EE3EC8"/>
    <w:rsid w:val="00EE6797"/>
    <w:rsid w:val="00EF1D1D"/>
    <w:rsid w:val="00EF2098"/>
    <w:rsid w:val="00F1180D"/>
    <w:rsid w:val="00F127D7"/>
    <w:rsid w:val="00F13003"/>
    <w:rsid w:val="00F16395"/>
    <w:rsid w:val="00F207EB"/>
    <w:rsid w:val="00F21E48"/>
    <w:rsid w:val="00F331FF"/>
    <w:rsid w:val="00F42C60"/>
    <w:rsid w:val="00F476BC"/>
    <w:rsid w:val="00F53732"/>
    <w:rsid w:val="00F555B9"/>
    <w:rsid w:val="00F56E9C"/>
    <w:rsid w:val="00F62C0A"/>
    <w:rsid w:val="00F80097"/>
    <w:rsid w:val="00F85D03"/>
    <w:rsid w:val="00F93BC5"/>
    <w:rsid w:val="00F94E70"/>
    <w:rsid w:val="00FA4496"/>
    <w:rsid w:val="00FB43EE"/>
    <w:rsid w:val="00FC7104"/>
    <w:rsid w:val="00FC7966"/>
    <w:rsid w:val="00FD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AD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next w:val="Normal"/>
    <w:qFormat/>
    <w:pPr>
      <w:keepNext/>
      <w:ind w:left="-108"/>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FootnoteText">
    <w:name w:val="footnote text"/>
    <w:aliases w:val="Footnote Text Char,Footnote Text Char2 Char,Footnote Text Char Char Char,Footnote Text Char1 Char Char1 Char,Footnote Text Char Char1 Char Char Char,Footnote Text Char3 Char Char Char Char Char,Footnote Text Char3 Char,Footnote Text Char1"/>
    <w:basedOn w:val="Normal"/>
    <w:link w:val="FootnoteTextChar2"/>
    <w:rsid w:val="0068468A"/>
  </w:style>
  <w:style w:type="character" w:styleId="FootnoteReference">
    <w:name w:val="footnote reference"/>
    <w:aliases w:val="Appel note de bas de p,Style 12,(NECG) Footnote Reference,Style 124,o,fr,Style 3,Style 13,FR,Style 17,Style 6,Footnote Reference/,Style 4,Style 7"/>
    <w:rsid w:val="0068468A"/>
    <w:rPr>
      <w:vertAlign w:val="superscript"/>
    </w:rPr>
  </w:style>
  <w:style w:type="paragraph" w:customStyle="1" w:styleId="Paragraph">
    <w:name w:val="Paragraph"/>
    <w:basedOn w:val="Normal"/>
    <w:pPr>
      <w:widowControl w:val="0"/>
      <w:suppressAutoHyphens/>
      <w:spacing w:after="200"/>
    </w:pPr>
    <w:rPr>
      <w:snapToGrid w:val="0"/>
      <w:kern w:val="28"/>
      <w:sz w:val="22"/>
    </w:rPr>
  </w:style>
  <w:style w:type="character" w:customStyle="1" w:styleId="FootnoteTextChar2">
    <w:name w:val="Footnote Text Char2"/>
    <w:aliases w:val="Footnote Text Char Char,Footnote Text Char2 Char Char,Footnote Text Char Char Char Char,Footnote Text Char1 Char Char1 Char Char,Footnote Text Char Char1 Char Char Char Char,Footnote Text Char3 Char Char Char Char Char Char"/>
    <w:link w:val="FootnoteText"/>
    <w:rPr>
      <w:sz w:val="24"/>
    </w:rPr>
  </w:style>
  <w:style w:type="paragraph" w:styleId="BodyText">
    <w:name w:val="Body Text"/>
    <w:basedOn w:val="Normal"/>
    <w:pPr>
      <w:spacing w:after="120"/>
    </w:pPr>
  </w:style>
  <w:style w:type="paragraph" w:styleId="PlainText">
    <w:name w:val="Plain Text"/>
    <w:basedOn w:val="Normal"/>
    <w:rPr>
      <w:rFonts w:ascii="Courier New" w:hAnsi="Courier New" w:cs="Courier New"/>
      <w:sz w:val="20"/>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1"/>
    <w:pPr>
      <w:widowControl w:val="0"/>
      <w:numPr>
        <w:numId w:val="1"/>
      </w:numPr>
      <w:spacing w:after="120"/>
    </w:pPr>
    <w:rPr>
      <w:snapToGrid w:val="0"/>
      <w:kern w:val="28"/>
      <w:sz w:val="22"/>
    </w:rPr>
  </w:style>
  <w:style w:type="character" w:customStyle="1" w:styleId="ParaNumChar1">
    <w:name w:val="ParaNum Char1"/>
    <w:link w:val="ParaNum"/>
    <w:rPr>
      <w:snapToGrid w:val="0"/>
      <w:kern w:val="28"/>
      <w:sz w:val="22"/>
      <w:lang w:val="en-US" w:eastAsia="en-US" w:bidi="ar-SA"/>
    </w:rPr>
  </w:style>
  <w:style w:type="character" w:customStyle="1" w:styleId="documentbody">
    <w:name w:val="documentbody"/>
    <w:basedOn w:val="DefaultParagraphFont"/>
  </w:style>
  <w:style w:type="character" w:customStyle="1" w:styleId="searchterm">
    <w:name w:val="searchterm"/>
    <w:basedOn w:val="DefaultParagraphFont"/>
  </w:style>
  <w:style w:type="character" w:styleId="PageNumber">
    <w:name w:val="page number"/>
    <w:basedOn w:val="DefaultParagraphFont"/>
  </w:style>
  <w:style w:type="character" w:customStyle="1" w:styleId="FootnoteTextCharChar1Char">
    <w:name w:val="Footnote Text Char Char1 Char"/>
    <w:aliases w:val="Footnote Text Char3 Char Char1 Char,Footnote Text Char2 Char1 Char Char Char,Footnote Text Char3 Char Char1 Char Char Char,Footnote Text Char2 Char Char Char Char Char Char"/>
    <w:rPr>
      <w:lang w:val="en-US" w:eastAsia="en-US" w:bidi="ar-SA"/>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styleId="FollowedHyperlink">
    <w:name w:val="FollowedHyperlink"/>
    <w:basedOn w:val="DefaultParagraphFont"/>
    <w:rsid w:val="00666DF5"/>
    <w:rPr>
      <w:color w:val="800080" w:themeColor="followedHyperlink"/>
      <w:u w:val="single"/>
    </w:rPr>
  </w:style>
  <w:style w:type="paragraph" w:customStyle="1" w:styleId="paragraph0">
    <w:name w:val="paragraph"/>
    <w:basedOn w:val="Normal"/>
    <w:rsid w:val="00E7366C"/>
    <w:pPr>
      <w:spacing w:before="100" w:beforeAutospacing="1" w:after="100" w:afterAutospacing="1"/>
    </w:pPr>
    <w:rPr>
      <w:szCs w:val="24"/>
    </w:rPr>
  </w:style>
  <w:style w:type="character" w:customStyle="1" w:styleId="normaltextrun">
    <w:name w:val="normaltextrun"/>
    <w:basedOn w:val="DefaultParagraphFont"/>
    <w:rsid w:val="00E7366C"/>
  </w:style>
  <w:style w:type="character" w:customStyle="1" w:styleId="eop">
    <w:name w:val="eop"/>
    <w:basedOn w:val="DefaultParagraphFont"/>
    <w:rsid w:val="00E7366C"/>
  </w:style>
  <w:style w:type="character" w:customStyle="1" w:styleId="scx162200607">
    <w:name w:val="scx162200607"/>
    <w:basedOn w:val="DefaultParagraphFont"/>
    <w:rsid w:val="00E7366C"/>
  </w:style>
  <w:style w:type="character" w:customStyle="1" w:styleId="spellingerror">
    <w:name w:val="spellingerror"/>
    <w:basedOn w:val="DefaultParagraphFont"/>
    <w:rsid w:val="00E7366C"/>
  </w:style>
  <w:style w:type="paragraph" w:styleId="Revision">
    <w:name w:val="Revision"/>
    <w:hidden/>
    <w:uiPriority w:val="99"/>
    <w:semiHidden/>
    <w:rsid w:val="000D259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next w:val="Normal"/>
    <w:qFormat/>
    <w:pPr>
      <w:keepNext/>
      <w:ind w:left="-108"/>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FootnoteText">
    <w:name w:val="footnote text"/>
    <w:aliases w:val="Footnote Text Char,Footnote Text Char2 Char,Footnote Text Char Char Char,Footnote Text Char1 Char Char1 Char,Footnote Text Char Char1 Char Char Char,Footnote Text Char3 Char Char Char Char Char,Footnote Text Char3 Char,Footnote Text Char1"/>
    <w:basedOn w:val="Normal"/>
    <w:link w:val="FootnoteTextChar2"/>
    <w:rsid w:val="0068468A"/>
  </w:style>
  <w:style w:type="character" w:styleId="FootnoteReference">
    <w:name w:val="footnote reference"/>
    <w:aliases w:val="Appel note de bas de p,Style 12,(NECG) Footnote Reference,Style 124,o,fr,Style 3,Style 13,FR,Style 17,Style 6,Footnote Reference/,Style 4,Style 7"/>
    <w:rsid w:val="0068468A"/>
    <w:rPr>
      <w:vertAlign w:val="superscript"/>
    </w:rPr>
  </w:style>
  <w:style w:type="paragraph" w:customStyle="1" w:styleId="Paragraph">
    <w:name w:val="Paragraph"/>
    <w:basedOn w:val="Normal"/>
    <w:pPr>
      <w:widowControl w:val="0"/>
      <w:suppressAutoHyphens/>
      <w:spacing w:after="200"/>
    </w:pPr>
    <w:rPr>
      <w:snapToGrid w:val="0"/>
      <w:kern w:val="28"/>
      <w:sz w:val="22"/>
    </w:rPr>
  </w:style>
  <w:style w:type="character" w:customStyle="1" w:styleId="FootnoteTextChar2">
    <w:name w:val="Footnote Text Char2"/>
    <w:aliases w:val="Footnote Text Char Char,Footnote Text Char2 Char Char,Footnote Text Char Char Char Char,Footnote Text Char1 Char Char1 Char Char,Footnote Text Char Char1 Char Char Char Char,Footnote Text Char3 Char Char Char Char Char Char"/>
    <w:link w:val="FootnoteText"/>
    <w:rPr>
      <w:sz w:val="24"/>
    </w:rPr>
  </w:style>
  <w:style w:type="paragraph" w:styleId="BodyText">
    <w:name w:val="Body Text"/>
    <w:basedOn w:val="Normal"/>
    <w:pPr>
      <w:spacing w:after="120"/>
    </w:pPr>
  </w:style>
  <w:style w:type="paragraph" w:styleId="PlainText">
    <w:name w:val="Plain Text"/>
    <w:basedOn w:val="Normal"/>
    <w:rPr>
      <w:rFonts w:ascii="Courier New" w:hAnsi="Courier New" w:cs="Courier New"/>
      <w:sz w:val="20"/>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1"/>
    <w:pPr>
      <w:widowControl w:val="0"/>
      <w:numPr>
        <w:numId w:val="1"/>
      </w:numPr>
      <w:spacing w:after="120"/>
    </w:pPr>
    <w:rPr>
      <w:snapToGrid w:val="0"/>
      <w:kern w:val="28"/>
      <w:sz w:val="22"/>
    </w:rPr>
  </w:style>
  <w:style w:type="character" w:customStyle="1" w:styleId="ParaNumChar1">
    <w:name w:val="ParaNum Char1"/>
    <w:link w:val="ParaNum"/>
    <w:rPr>
      <w:snapToGrid w:val="0"/>
      <w:kern w:val="28"/>
      <w:sz w:val="22"/>
      <w:lang w:val="en-US" w:eastAsia="en-US" w:bidi="ar-SA"/>
    </w:rPr>
  </w:style>
  <w:style w:type="character" w:customStyle="1" w:styleId="documentbody">
    <w:name w:val="documentbody"/>
    <w:basedOn w:val="DefaultParagraphFont"/>
  </w:style>
  <w:style w:type="character" w:customStyle="1" w:styleId="searchterm">
    <w:name w:val="searchterm"/>
    <w:basedOn w:val="DefaultParagraphFont"/>
  </w:style>
  <w:style w:type="character" w:styleId="PageNumber">
    <w:name w:val="page number"/>
    <w:basedOn w:val="DefaultParagraphFont"/>
  </w:style>
  <w:style w:type="character" w:customStyle="1" w:styleId="FootnoteTextCharChar1Char">
    <w:name w:val="Footnote Text Char Char1 Char"/>
    <w:aliases w:val="Footnote Text Char3 Char Char1 Char,Footnote Text Char2 Char1 Char Char Char,Footnote Text Char3 Char Char1 Char Char Char,Footnote Text Char2 Char Char Char Char Char Char"/>
    <w:rPr>
      <w:lang w:val="en-US" w:eastAsia="en-US" w:bidi="ar-SA"/>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styleId="FollowedHyperlink">
    <w:name w:val="FollowedHyperlink"/>
    <w:basedOn w:val="DefaultParagraphFont"/>
    <w:rsid w:val="00666DF5"/>
    <w:rPr>
      <w:color w:val="800080" w:themeColor="followedHyperlink"/>
      <w:u w:val="single"/>
    </w:rPr>
  </w:style>
  <w:style w:type="paragraph" w:customStyle="1" w:styleId="paragraph0">
    <w:name w:val="paragraph"/>
    <w:basedOn w:val="Normal"/>
    <w:rsid w:val="00E7366C"/>
    <w:pPr>
      <w:spacing w:before="100" w:beforeAutospacing="1" w:after="100" w:afterAutospacing="1"/>
    </w:pPr>
    <w:rPr>
      <w:szCs w:val="24"/>
    </w:rPr>
  </w:style>
  <w:style w:type="character" w:customStyle="1" w:styleId="normaltextrun">
    <w:name w:val="normaltextrun"/>
    <w:basedOn w:val="DefaultParagraphFont"/>
    <w:rsid w:val="00E7366C"/>
  </w:style>
  <w:style w:type="character" w:customStyle="1" w:styleId="eop">
    <w:name w:val="eop"/>
    <w:basedOn w:val="DefaultParagraphFont"/>
    <w:rsid w:val="00E7366C"/>
  </w:style>
  <w:style w:type="character" w:customStyle="1" w:styleId="scx162200607">
    <w:name w:val="scx162200607"/>
    <w:basedOn w:val="DefaultParagraphFont"/>
    <w:rsid w:val="00E7366C"/>
  </w:style>
  <w:style w:type="character" w:customStyle="1" w:styleId="spellingerror">
    <w:name w:val="spellingerror"/>
    <w:basedOn w:val="DefaultParagraphFont"/>
    <w:rsid w:val="00E7366C"/>
  </w:style>
  <w:style w:type="paragraph" w:styleId="Revision">
    <w:name w:val="Revision"/>
    <w:hidden/>
    <w:uiPriority w:val="99"/>
    <w:semiHidden/>
    <w:rsid w:val="000D259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93667">
      <w:bodyDiv w:val="1"/>
      <w:marLeft w:val="0"/>
      <w:marRight w:val="0"/>
      <w:marTop w:val="0"/>
      <w:marBottom w:val="0"/>
      <w:divBdr>
        <w:top w:val="none" w:sz="0" w:space="0" w:color="auto"/>
        <w:left w:val="none" w:sz="0" w:space="0" w:color="auto"/>
        <w:bottom w:val="none" w:sz="0" w:space="0" w:color="auto"/>
        <w:right w:val="none" w:sz="0" w:space="0" w:color="auto"/>
      </w:divBdr>
      <w:divsChild>
        <w:div w:id="733939080">
          <w:marLeft w:val="0"/>
          <w:marRight w:val="0"/>
          <w:marTop w:val="0"/>
          <w:marBottom w:val="0"/>
          <w:divBdr>
            <w:top w:val="none" w:sz="0" w:space="0" w:color="auto"/>
            <w:left w:val="none" w:sz="0" w:space="0" w:color="auto"/>
            <w:bottom w:val="none" w:sz="0" w:space="0" w:color="auto"/>
            <w:right w:val="none" w:sz="0" w:space="0" w:color="auto"/>
          </w:divBdr>
        </w:div>
        <w:div w:id="807624137">
          <w:marLeft w:val="0"/>
          <w:marRight w:val="0"/>
          <w:marTop w:val="0"/>
          <w:marBottom w:val="0"/>
          <w:divBdr>
            <w:top w:val="none" w:sz="0" w:space="0" w:color="auto"/>
            <w:left w:val="none" w:sz="0" w:space="0" w:color="auto"/>
            <w:bottom w:val="none" w:sz="0" w:space="0" w:color="auto"/>
            <w:right w:val="none" w:sz="0" w:space="0" w:color="auto"/>
          </w:divBdr>
        </w:div>
        <w:div w:id="2059281625">
          <w:marLeft w:val="0"/>
          <w:marRight w:val="0"/>
          <w:marTop w:val="0"/>
          <w:marBottom w:val="0"/>
          <w:divBdr>
            <w:top w:val="none" w:sz="0" w:space="0" w:color="auto"/>
            <w:left w:val="none" w:sz="0" w:space="0" w:color="auto"/>
            <w:bottom w:val="none" w:sz="0" w:space="0" w:color="auto"/>
            <w:right w:val="none" w:sz="0" w:space="0" w:color="auto"/>
          </w:divBdr>
        </w:div>
        <w:div w:id="941645177">
          <w:marLeft w:val="0"/>
          <w:marRight w:val="0"/>
          <w:marTop w:val="0"/>
          <w:marBottom w:val="0"/>
          <w:divBdr>
            <w:top w:val="none" w:sz="0" w:space="0" w:color="auto"/>
            <w:left w:val="none" w:sz="0" w:space="0" w:color="auto"/>
            <w:bottom w:val="none" w:sz="0" w:space="0" w:color="auto"/>
            <w:right w:val="none" w:sz="0" w:space="0" w:color="auto"/>
          </w:divBdr>
        </w:div>
        <w:div w:id="2117173125">
          <w:marLeft w:val="0"/>
          <w:marRight w:val="0"/>
          <w:marTop w:val="0"/>
          <w:marBottom w:val="0"/>
          <w:divBdr>
            <w:top w:val="none" w:sz="0" w:space="0" w:color="auto"/>
            <w:left w:val="none" w:sz="0" w:space="0" w:color="auto"/>
            <w:bottom w:val="none" w:sz="0" w:space="0" w:color="auto"/>
            <w:right w:val="none" w:sz="0" w:space="0" w:color="auto"/>
          </w:divBdr>
        </w:div>
        <w:div w:id="1323511109">
          <w:marLeft w:val="0"/>
          <w:marRight w:val="0"/>
          <w:marTop w:val="0"/>
          <w:marBottom w:val="0"/>
          <w:divBdr>
            <w:top w:val="none" w:sz="0" w:space="0" w:color="auto"/>
            <w:left w:val="none" w:sz="0" w:space="0" w:color="auto"/>
            <w:bottom w:val="none" w:sz="0" w:space="0" w:color="auto"/>
            <w:right w:val="none" w:sz="0" w:space="0" w:color="auto"/>
          </w:divBdr>
        </w:div>
        <w:div w:id="1249971151">
          <w:marLeft w:val="0"/>
          <w:marRight w:val="0"/>
          <w:marTop w:val="0"/>
          <w:marBottom w:val="0"/>
          <w:divBdr>
            <w:top w:val="none" w:sz="0" w:space="0" w:color="auto"/>
            <w:left w:val="none" w:sz="0" w:space="0" w:color="auto"/>
            <w:bottom w:val="none" w:sz="0" w:space="0" w:color="auto"/>
            <w:right w:val="none" w:sz="0" w:space="0" w:color="auto"/>
          </w:divBdr>
        </w:div>
        <w:div w:id="276110311">
          <w:marLeft w:val="0"/>
          <w:marRight w:val="0"/>
          <w:marTop w:val="0"/>
          <w:marBottom w:val="0"/>
          <w:divBdr>
            <w:top w:val="none" w:sz="0" w:space="0" w:color="auto"/>
            <w:left w:val="none" w:sz="0" w:space="0" w:color="auto"/>
            <w:bottom w:val="none" w:sz="0" w:space="0" w:color="auto"/>
            <w:right w:val="none" w:sz="0" w:space="0" w:color="auto"/>
          </w:divBdr>
        </w:div>
        <w:div w:id="1970235941">
          <w:marLeft w:val="0"/>
          <w:marRight w:val="0"/>
          <w:marTop w:val="0"/>
          <w:marBottom w:val="0"/>
          <w:divBdr>
            <w:top w:val="none" w:sz="0" w:space="0" w:color="auto"/>
            <w:left w:val="none" w:sz="0" w:space="0" w:color="auto"/>
            <w:bottom w:val="none" w:sz="0" w:space="0" w:color="auto"/>
            <w:right w:val="none" w:sz="0" w:space="0" w:color="auto"/>
          </w:divBdr>
        </w:div>
        <w:div w:id="1075976859">
          <w:marLeft w:val="0"/>
          <w:marRight w:val="0"/>
          <w:marTop w:val="0"/>
          <w:marBottom w:val="0"/>
          <w:divBdr>
            <w:top w:val="none" w:sz="0" w:space="0" w:color="auto"/>
            <w:left w:val="none" w:sz="0" w:space="0" w:color="auto"/>
            <w:bottom w:val="none" w:sz="0" w:space="0" w:color="auto"/>
            <w:right w:val="none" w:sz="0" w:space="0" w:color="auto"/>
          </w:divBdr>
        </w:div>
        <w:div w:id="1117023627">
          <w:marLeft w:val="0"/>
          <w:marRight w:val="0"/>
          <w:marTop w:val="0"/>
          <w:marBottom w:val="0"/>
          <w:divBdr>
            <w:top w:val="none" w:sz="0" w:space="0" w:color="auto"/>
            <w:left w:val="none" w:sz="0" w:space="0" w:color="auto"/>
            <w:bottom w:val="none" w:sz="0" w:space="0" w:color="auto"/>
            <w:right w:val="none" w:sz="0" w:space="0" w:color="auto"/>
          </w:divBdr>
        </w:div>
      </w:divsChild>
    </w:div>
    <w:div w:id="11675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cgb/consumerfacts/closedcaption.htm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liot.greenwald@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cc.gov/guides/emergency-video-programming-accessibility-persons-hearing-and-visual-disabilitie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4924</Characters>
  <Application>Microsoft Office Word</Application>
  <DocSecurity>0</DocSecurity>
  <Lines>68</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5765</CharactersWithSpaces>
  <SharedDoc>false</SharedDoc>
  <HyperlinkBase> </HyperlinkBase>
  <HLinks>
    <vt:vector size="36" baseType="variant">
      <vt:variant>
        <vt:i4>3473482</vt:i4>
      </vt:variant>
      <vt:variant>
        <vt:i4>15</vt:i4>
      </vt:variant>
      <vt:variant>
        <vt:i4>0</vt:i4>
      </vt:variant>
      <vt:variant>
        <vt:i4>5</vt:i4>
      </vt:variant>
      <vt:variant>
        <vt:lpwstr>mailto:fcc504@fcc.gov</vt:lpwstr>
      </vt:variant>
      <vt:variant>
        <vt:lpwstr/>
      </vt:variant>
      <vt:variant>
        <vt:i4>2949239</vt:i4>
      </vt:variant>
      <vt:variant>
        <vt:i4>12</vt:i4>
      </vt:variant>
      <vt:variant>
        <vt:i4>0</vt:i4>
      </vt:variant>
      <vt:variant>
        <vt:i4>5</vt:i4>
      </vt:variant>
      <vt:variant>
        <vt:lpwstr>http://www.fcc.gov/cgb/consumerfacts/closedcaption.html</vt:lpwstr>
      </vt:variant>
      <vt:variant>
        <vt:lpwstr/>
      </vt:variant>
      <vt:variant>
        <vt:i4>7798899</vt:i4>
      </vt:variant>
      <vt:variant>
        <vt:i4>9</vt:i4>
      </vt:variant>
      <vt:variant>
        <vt:i4>0</vt:i4>
      </vt:variant>
      <vt:variant>
        <vt:i4>5</vt:i4>
      </vt:variant>
      <vt:variant>
        <vt:lpwstr>http://www.fcc.gov/cgb/complaints.html</vt:lpwstr>
      </vt:variant>
      <vt:variant>
        <vt:lpwstr/>
      </vt:variant>
      <vt:variant>
        <vt:i4>7471172</vt:i4>
      </vt:variant>
      <vt:variant>
        <vt:i4>6</vt:i4>
      </vt:variant>
      <vt:variant>
        <vt:i4>0</vt:i4>
      </vt:variant>
      <vt:variant>
        <vt:i4>5</vt:i4>
      </vt:variant>
      <vt:variant>
        <vt:lpwstr>mailto:fccinfo@fcc.gov</vt:lpwstr>
      </vt:variant>
      <vt:variant>
        <vt:lpwstr/>
      </vt:variant>
      <vt:variant>
        <vt:i4>5111885</vt:i4>
      </vt:variant>
      <vt:variant>
        <vt:i4>3</vt:i4>
      </vt:variant>
      <vt:variant>
        <vt:i4>0</vt:i4>
      </vt:variant>
      <vt:variant>
        <vt:i4>5</vt:i4>
      </vt:variant>
      <vt:variant>
        <vt:lpwstr>http://www.fcc.gov/cgb/form2000c.html</vt:lpwstr>
      </vt:variant>
      <vt:variant>
        <vt:lpwstr/>
      </vt:variant>
      <vt:variant>
        <vt:i4>196684</vt:i4>
      </vt:variant>
      <vt:variant>
        <vt:i4>0</vt:i4>
      </vt:variant>
      <vt:variant>
        <vt:i4>0</vt:i4>
      </vt:variant>
      <vt:variant>
        <vt:i4>5</vt:i4>
      </vt:variant>
      <vt:variant>
        <vt:lpwstr>http://esupport.fcc.gov/vpd-search/search.action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2014-09-10T12:12:00Z</cp:lastPrinted>
  <dcterms:created xsi:type="dcterms:W3CDTF">2015-11-25T19:30:00Z</dcterms:created>
  <dcterms:modified xsi:type="dcterms:W3CDTF">2015-11-25T19:30:00Z</dcterms:modified>
  <cp:category> </cp:category>
  <cp:contentStatus> </cp:contentStatus>
</cp:coreProperties>
</file>