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0DA2" w14:textId="77777777" w:rsidR="005343FD" w:rsidRPr="00843A5F" w:rsidRDefault="005343FD" w:rsidP="005343FD">
      <w:pPr>
        <w:jc w:val="center"/>
        <w:rPr>
          <w:b/>
        </w:rPr>
      </w:pPr>
      <w:bookmarkStart w:id="0" w:name="_GoBack"/>
      <w:bookmarkEnd w:id="0"/>
      <w:r w:rsidRPr="00843A5F">
        <w:rPr>
          <w:rFonts w:ascii="Times New Roman Bold" w:hAnsi="Times New Roman Bold"/>
          <w:b/>
          <w:kern w:val="0"/>
          <w:szCs w:val="22"/>
        </w:rPr>
        <w:t>Before</w:t>
      </w:r>
      <w:r w:rsidRPr="00843A5F">
        <w:rPr>
          <w:b/>
        </w:rPr>
        <w:t xml:space="preserve"> the</w:t>
      </w:r>
    </w:p>
    <w:p w14:paraId="296DC3AA" w14:textId="77777777" w:rsidR="005343FD" w:rsidRPr="00843A5F" w:rsidRDefault="005343FD" w:rsidP="005343FD">
      <w:pPr>
        <w:pStyle w:val="StyleBoldCentered"/>
      </w:pPr>
      <w:r w:rsidRPr="00843A5F">
        <w:t>F</w:t>
      </w:r>
      <w:r w:rsidRPr="00843A5F">
        <w:rPr>
          <w:caps w:val="0"/>
        </w:rPr>
        <w:t>ederal Communications Commission</w:t>
      </w:r>
    </w:p>
    <w:p w14:paraId="72F812FE" w14:textId="77777777" w:rsidR="005343FD" w:rsidRPr="00843A5F" w:rsidRDefault="005343FD" w:rsidP="005343FD">
      <w:pPr>
        <w:pStyle w:val="StyleBoldCentered"/>
      </w:pPr>
      <w:r w:rsidRPr="00843A5F">
        <w:rPr>
          <w:caps w:val="0"/>
        </w:rPr>
        <w:t>Washington, DC 20554</w:t>
      </w:r>
    </w:p>
    <w:p w14:paraId="31FD89FE" w14:textId="77777777" w:rsidR="005343FD" w:rsidRPr="00843A5F" w:rsidRDefault="005343FD" w:rsidP="005343FD"/>
    <w:tbl>
      <w:tblPr>
        <w:tblW w:w="9540" w:type="dxa"/>
        <w:tblInd w:w="108" w:type="dxa"/>
        <w:tblLayout w:type="fixed"/>
        <w:tblLook w:val="0000" w:firstRow="0" w:lastRow="0" w:firstColumn="0" w:lastColumn="0" w:noHBand="0" w:noVBand="0"/>
      </w:tblPr>
      <w:tblGrid>
        <w:gridCol w:w="4590"/>
        <w:gridCol w:w="270"/>
        <w:gridCol w:w="4680"/>
      </w:tblGrid>
      <w:tr w:rsidR="005343FD" w:rsidRPr="00937484" w14:paraId="740954F9" w14:textId="77777777" w:rsidTr="005C377D">
        <w:tc>
          <w:tcPr>
            <w:tcW w:w="4590" w:type="dxa"/>
          </w:tcPr>
          <w:p w14:paraId="66A3A884" w14:textId="77777777" w:rsidR="005343FD" w:rsidRPr="00FB0D07" w:rsidRDefault="005343FD" w:rsidP="00405027">
            <w:pPr>
              <w:rPr>
                <w:szCs w:val="22"/>
              </w:rPr>
            </w:pPr>
            <w:r w:rsidRPr="00FB0D07">
              <w:rPr>
                <w:spacing w:val="-2"/>
                <w:szCs w:val="22"/>
              </w:rPr>
              <w:t>In the Matter of</w:t>
            </w:r>
            <w:r w:rsidRPr="00FB0D07">
              <w:rPr>
                <w:szCs w:val="22"/>
              </w:rPr>
              <w:t xml:space="preserve"> </w:t>
            </w:r>
          </w:p>
          <w:p w14:paraId="2F84C897" w14:textId="77777777" w:rsidR="005343FD" w:rsidRPr="00FB0D07" w:rsidRDefault="005343FD" w:rsidP="00405027">
            <w:pPr>
              <w:rPr>
                <w:szCs w:val="22"/>
              </w:rPr>
            </w:pPr>
          </w:p>
          <w:p w14:paraId="14100D45" w14:textId="77777777" w:rsidR="005343FD" w:rsidRPr="00937484" w:rsidRDefault="005343FD" w:rsidP="00405027">
            <w:pPr>
              <w:rPr>
                <w:szCs w:val="22"/>
              </w:rPr>
            </w:pPr>
            <w:r>
              <w:rPr>
                <w:szCs w:val="22"/>
              </w:rPr>
              <w:t>Tesla Exploration, Inc.</w:t>
            </w:r>
          </w:p>
          <w:p w14:paraId="46D9BD53" w14:textId="77777777" w:rsidR="005343FD" w:rsidRPr="00937484" w:rsidRDefault="005343FD" w:rsidP="00405027">
            <w:pPr>
              <w:rPr>
                <w:szCs w:val="22"/>
              </w:rPr>
            </w:pPr>
          </w:p>
          <w:p w14:paraId="2A40E7E7" w14:textId="77777777" w:rsidR="005343FD" w:rsidRPr="00937484" w:rsidRDefault="005343FD" w:rsidP="00405027">
            <w:pPr>
              <w:rPr>
                <w:szCs w:val="22"/>
              </w:rPr>
            </w:pPr>
            <w:r>
              <w:rPr>
                <w:szCs w:val="22"/>
              </w:rPr>
              <w:t>Licensee of Station KD29596</w:t>
            </w:r>
          </w:p>
          <w:p w14:paraId="170D5F17" w14:textId="77777777" w:rsidR="005343FD" w:rsidRPr="00937484" w:rsidRDefault="005343FD" w:rsidP="00405027">
            <w:pPr>
              <w:rPr>
                <w:szCs w:val="22"/>
              </w:rPr>
            </w:pPr>
            <w:r>
              <w:rPr>
                <w:szCs w:val="22"/>
              </w:rPr>
              <w:t>Greenwood Village, Colorado</w:t>
            </w:r>
          </w:p>
          <w:p w14:paraId="7705A47B" w14:textId="77777777" w:rsidR="005343FD" w:rsidRPr="00937484" w:rsidRDefault="005343FD" w:rsidP="00405027">
            <w:pPr>
              <w:rPr>
                <w:spacing w:val="-2"/>
                <w:szCs w:val="22"/>
              </w:rPr>
            </w:pPr>
          </w:p>
        </w:tc>
        <w:tc>
          <w:tcPr>
            <w:tcW w:w="270" w:type="dxa"/>
          </w:tcPr>
          <w:p w14:paraId="2E840C8E"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1AE25F75"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7974C3FF"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0F900C32"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243085B3"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7485EBF5"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tc>
        <w:tc>
          <w:tcPr>
            <w:tcW w:w="4680" w:type="dxa"/>
          </w:tcPr>
          <w:p w14:paraId="50B9FE3A" w14:textId="77777777" w:rsidR="005343FD" w:rsidRPr="00937484" w:rsidRDefault="005343FD" w:rsidP="00405027">
            <w:pPr>
              <w:rPr>
                <w:spacing w:val="-2"/>
                <w:szCs w:val="22"/>
              </w:rPr>
            </w:pPr>
          </w:p>
          <w:p w14:paraId="0A5AEA63" w14:textId="77777777" w:rsidR="005343FD" w:rsidRPr="00937484" w:rsidRDefault="005343FD" w:rsidP="00405027">
            <w:pPr>
              <w:ind w:left="702"/>
              <w:rPr>
                <w:spacing w:val="-2"/>
                <w:szCs w:val="22"/>
              </w:rPr>
            </w:pPr>
          </w:p>
          <w:p w14:paraId="5CDEA058" w14:textId="77777777" w:rsidR="005343FD" w:rsidRPr="00937484" w:rsidRDefault="005343FD" w:rsidP="00405027">
            <w:pPr>
              <w:ind w:left="702"/>
              <w:rPr>
                <w:szCs w:val="22"/>
              </w:rPr>
            </w:pPr>
            <w:r>
              <w:rPr>
                <w:szCs w:val="22"/>
              </w:rPr>
              <w:t>File No.:  EB-FIELDNER-12-00004489</w:t>
            </w:r>
            <w:r>
              <w:rPr>
                <w:rStyle w:val="FootnoteReference"/>
                <w:szCs w:val="22"/>
              </w:rPr>
              <w:footnoteReference w:id="2"/>
            </w:r>
          </w:p>
          <w:p w14:paraId="63BA3BA4" w14:textId="7D01807D" w:rsidR="005343FD" w:rsidRPr="00937484" w:rsidRDefault="005343FD" w:rsidP="00405027">
            <w:pPr>
              <w:rPr>
                <w:b/>
                <w:szCs w:val="22"/>
              </w:rPr>
            </w:pPr>
            <w:r>
              <w:rPr>
                <w:szCs w:val="22"/>
              </w:rPr>
              <w:t xml:space="preserve">             </w:t>
            </w:r>
            <w:r w:rsidRPr="00B34188">
              <w:rPr>
                <w:szCs w:val="22"/>
              </w:rPr>
              <w:t>NAL/</w:t>
            </w:r>
            <w:r w:rsidRPr="00B02B1C">
              <w:rPr>
                <w:szCs w:val="22"/>
              </w:rPr>
              <w:t xml:space="preserve">Acct. No.:  </w:t>
            </w:r>
            <w:r>
              <w:rPr>
                <w:szCs w:val="22"/>
              </w:rPr>
              <w:t>201232400008</w:t>
            </w:r>
          </w:p>
          <w:p w14:paraId="7A8EDD17" w14:textId="77777777" w:rsidR="005343FD" w:rsidRDefault="005343FD" w:rsidP="00405027">
            <w:pPr>
              <w:ind w:left="702"/>
              <w:rPr>
                <w:color w:val="000000" w:themeColor="text1"/>
                <w:szCs w:val="22"/>
              </w:rPr>
            </w:pPr>
            <w:r w:rsidRPr="00937484">
              <w:rPr>
                <w:szCs w:val="22"/>
              </w:rPr>
              <w:t>FRN</w:t>
            </w:r>
            <w:r>
              <w:rPr>
                <w:color w:val="000000" w:themeColor="text1"/>
                <w:szCs w:val="22"/>
              </w:rPr>
              <w:t>:  0021136999</w:t>
            </w:r>
          </w:p>
          <w:p w14:paraId="55C4A561" w14:textId="77777777" w:rsidR="005343FD" w:rsidRPr="00937484" w:rsidRDefault="005343FD" w:rsidP="00405027">
            <w:pPr>
              <w:rPr>
                <w:szCs w:val="22"/>
              </w:rPr>
            </w:pPr>
            <w:r w:rsidRPr="00937484">
              <w:rPr>
                <w:szCs w:val="22"/>
              </w:rPr>
              <w:t xml:space="preserve">    </w:t>
            </w:r>
          </w:p>
        </w:tc>
      </w:tr>
    </w:tbl>
    <w:p w14:paraId="508C42AF" w14:textId="2EDC9DCC" w:rsidR="005A781B" w:rsidRPr="007C0B39" w:rsidRDefault="005A781B" w:rsidP="005A781B">
      <w:pPr>
        <w:pStyle w:val="StyleBoldCentered"/>
      </w:pPr>
      <w:r>
        <w:t>ORDER</w:t>
      </w:r>
    </w:p>
    <w:p w14:paraId="32F2D529" w14:textId="77777777" w:rsidR="005A781B" w:rsidRDefault="005A781B">
      <w:pPr>
        <w:widowControl/>
        <w:rPr>
          <w:rFonts w:ascii="Times New Roman Bold" w:hAnsi="Times New Roman Bold"/>
          <w:b/>
          <w:kern w:val="0"/>
          <w:szCs w:val="22"/>
        </w:rPr>
      </w:pPr>
    </w:p>
    <w:p w14:paraId="54B47607" w14:textId="14C92FC4" w:rsidR="005A781B" w:rsidRDefault="005A781B" w:rsidP="005A781B">
      <w:pPr>
        <w:tabs>
          <w:tab w:val="left" w:pos="-720"/>
        </w:tabs>
        <w:suppressAutoHyphens/>
        <w:spacing w:after="120" w:line="227" w:lineRule="auto"/>
        <w:rPr>
          <w:szCs w:val="22"/>
        </w:rPr>
      </w:pPr>
      <w:r w:rsidRPr="00C10DC5">
        <w:rPr>
          <w:b/>
          <w:spacing w:val="-2"/>
          <w:szCs w:val="22"/>
        </w:rPr>
        <w:t xml:space="preserve">Adopted:  </w:t>
      </w:r>
      <w:r w:rsidR="00A856EE">
        <w:rPr>
          <w:b/>
          <w:spacing w:val="-2"/>
          <w:szCs w:val="22"/>
        </w:rPr>
        <w:t>December</w:t>
      </w:r>
      <w:r w:rsidR="0070708D">
        <w:rPr>
          <w:b/>
          <w:spacing w:val="-2"/>
          <w:szCs w:val="22"/>
        </w:rPr>
        <w:t xml:space="preserve"> 28</w:t>
      </w:r>
      <w:r w:rsidRPr="00C10DC5">
        <w:rPr>
          <w:b/>
          <w:spacing w:val="-2"/>
          <w:szCs w:val="22"/>
        </w:rPr>
        <w:t>, 2015</w:t>
      </w:r>
      <w:r w:rsidRPr="00C10DC5">
        <w:rPr>
          <w:b/>
          <w:spacing w:val="-2"/>
          <w:szCs w:val="22"/>
        </w:rPr>
        <w:tab/>
        <w:t xml:space="preserve">              </w:t>
      </w:r>
      <w:r w:rsidR="0093744A">
        <w:rPr>
          <w:b/>
          <w:spacing w:val="-2"/>
          <w:szCs w:val="22"/>
        </w:rPr>
        <w:tab/>
      </w:r>
      <w:r w:rsidR="0093744A">
        <w:rPr>
          <w:b/>
          <w:spacing w:val="-2"/>
          <w:szCs w:val="22"/>
        </w:rPr>
        <w:tab/>
      </w:r>
      <w:r>
        <w:rPr>
          <w:b/>
          <w:spacing w:val="-2"/>
          <w:szCs w:val="22"/>
        </w:rPr>
        <w:t xml:space="preserve">                       </w:t>
      </w:r>
      <w:r w:rsidR="005343FD">
        <w:rPr>
          <w:b/>
          <w:spacing w:val="-2"/>
          <w:szCs w:val="22"/>
        </w:rPr>
        <w:t xml:space="preserve">     </w:t>
      </w:r>
      <w:r>
        <w:rPr>
          <w:b/>
          <w:spacing w:val="-2"/>
          <w:szCs w:val="22"/>
        </w:rPr>
        <w:t xml:space="preserve">Released:  </w:t>
      </w:r>
      <w:r w:rsidR="00E9541A">
        <w:rPr>
          <w:b/>
          <w:spacing w:val="-2"/>
          <w:szCs w:val="22"/>
        </w:rPr>
        <w:t>February 10</w:t>
      </w:r>
      <w:r w:rsidRPr="00C10DC5">
        <w:rPr>
          <w:b/>
          <w:spacing w:val="-2"/>
          <w:szCs w:val="22"/>
        </w:rPr>
        <w:t>, 201</w:t>
      </w:r>
      <w:r w:rsidR="00A97585">
        <w:rPr>
          <w:b/>
          <w:spacing w:val="-2"/>
          <w:szCs w:val="22"/>
        </w:rPr>
        <w:t>6</w:t>
      </w:r>
    </w:p>
    <w:p w14:paraId="2A20DE02" w14:textId="77777777" w:rsidR="005A781B" w:rsidRDefault="005A781B" w:rsidP="005A781B">
      <w:pPr>
        <w:spacing w:after="120"/>
        <w:jc w:val="both"/>
        <w:rPr>
          <w:szCs w:val="22"/>
        </w:rPr>
      </w:pPr>
      <w:r>
        <w:rPr>
          <w:szCs w:val="22"/>
        </w:rPr>
        <w:t xml:space="preserve">By the Chief, Enforcement Bureau: </w:t>
      </w:r>
    </w:p>
    <w:p w14:paraId="1EF6C6DD" w14:textId="467792B6" w:rsidR="005A781B" w:rsidRPr="006E32F4" w:rsidRDefault="005A781B" w:rsidP="005C377D">
      <w:pPr>
        <w:pStyle w:val="ParaNum"/>
      </w:pPr>
      <w:r w:rsidRPr="0032726C">
        <w:t xml:space="preserve">The Enforcement Bureau (Bureau) of the Federal Communications Commission has entered into a Consent Decree to resolve its investigation into </w:t>
      </w:r>
      <w:r w:rsidR="005343FD">
        <w:t xml:space="preserve">whether </w:t>
      </w:r>
      <w:r w:rsidR="0024371A">
        <w:t xml:space="preserve">Tesla Exploration, Inc. </w:t>
      </w:r>
      <w:r w:rsidR="0093744A">
        <w:t>(</w:t>
      </w:r>
      <w:r w:rsidR="0024371A">
        <w:t>Tesla</w:t>
      </w:r>
      <w:r w:rsidR="0093744A">
        <w:t xml:space="preserve">) </w:t>
      </w:r>
      <w:r w:rsidR="005343FD">
        <w:t xml:space="preserve">violated the Commission’s rules by </w:t>
      </w:r>
      <w:r w:rsidR="005343FD">
        <w:rPr>
          <w:szCs w:val="22"/>
        </w:rPr>
        <w:t>operating</w:t>
      </w:r>
      <w:r w:rsidR="005C377D">
        <w:rPr>
          <w:szCs w:val="22"/>
        </w:rPr>
        <w:t xml:space="preserve"> radio transmitting equipment </w:t>
      </w:r>
      <w:r w:rsidR="005343FD">
        <w:rPr>
          <w:szCs w:val="22"/>
        </w:rPr>
        <w:t>on eleven unauthorized frequencies</w:t>
      </w:r>
      <w:r w:rsidR="0093744A">
        <w:t>.</w:t>
      </w:r>
      <w:r w:rsidR="005C377D">
        <w:t xml:space="preserve">  </w:t>
      </w:r>
      <w:r w:rsidR="005343FD" w:rsidRPr="009216B9">
        <w:t>The Commission’s</w:t>
      </w:r>
      <w:r w:rsidR="005343FD">
        <w:t xml:space="preserve"> station auth</w:t>
      </w:r>
      <w:r w:rsidR="00717727">
        <w:t>orization rules ensure</w:t>
      </w:r>
      <w:r w:rsidR="005343FD">
        <w:t xml:space="preserve"> that licensees operate their stations within authorized parameters to avoid interference with public safety and other licensed operat</w:t>
      </w:r>
      <w:r w:rsidR="00717727">
        <w:t xml:space="preserve">ions and support </w:t>
      </w:r>
      <w:r w:rsidR="005343FD">
        <w:t xml:space="preserve">the security and available of the nation’s wireless networks.  </w:t>
      </w:r>
      <w:r w:rsidR="00717727">
        <w:t>I</w:t>
      </w:r>
      <w:r w:rsidR="0024371A">
        <w:t xml:space="preserve">n response to a complaint of interference to a police dispatch center, </w:t>
      </w:r>
      <w:r w:rsidR="005343FD">
        <w:t xml:space="preserve">FCC agents </w:t>
      </w:r>
      <w:r w:rsidR="0024371A">
        <w:t>de</w:t>
      </w:r>
      <w:r w:rsidR="005343FD">
        <w:t xml:space="preserve">termined that </w:t>
      </w:r>
      <w:r w:rsidR="00717727">
        <w:t xml:space="preserve">the interference was caused by </w:t>
      </w:r>
      <w:r w:rsidR="0024371A">
        <w:t xml:space="preserve">a multi-site, multi-frequency geo-surveying project </w:t>
      </w:r>
      <w:r w:rsidR="00717727">
        <w:t>conducted by Tesla</w:t>
      </w:r>
      <w:r w:rsidR="0024371A">
        <w:t>.  During the inve</w:t>
      </w:r>
      <w:r w:rsidR="005343FD">
        <w:t xml:space="preserve">stigation, the agents determined that Tesla operated on eleven </w:t>
      </w:r>
      <w:r w:rsidR="0024371A">
        <w:t>unauthorized frequencies</w:t>
      </w:r>
      <w:r w:rsidR="0093744A">
        <w:t xml:space="preserve">.  </w:t>
      </w:r>
      <w:r w:rsidRPr="005C377D">
        <w:rPr>
          <w:szCs w:val="22"/>
        </w:rPr>
        <w:t>To settle this matter,</w:t>
      </w:r>
      <w:r w:rsidR="0093744A" w:rsidRPr="005C377D">
        <w:rPr>
          <w:szCs w:val="22"/>
        </w:rPr>
        <w:t xml:space="preserve"> </w:t>
      </w:r>
      <w:r w:rsidR="0024371A" w:rsidRPr="005C377D">
        <w:rPr>
          <w:szCs w:val="22"/>
        </w:rPr>
        <w:t>Tesla</w:t>
      </w:r>
      <w:r w:rsidRPr="005C377D">
        <w:rPr>
          <w:szCs w:val="22"/>
        </w:rPr>
        <w:t xml:space="preserve"> admits that</w:t>
      </w:r>
      <w:r w:rsidR="0024371A" w:rsidRPr="005C377D">
        <w:rPr>
          <w:szCs w:val="22"/>
        </w:rPr>
        <w:t xml:space="preserve"> it</w:t>
      </w:r>
      <w:r w:rsidR="005343FD" w:rsidRPr="005C377D">
        <w:rPr>
          <w:szCs w:val="22"/>
        </w:rPr>
        <w:t>s unauthorized operations violate</w:t>
      </w:r>
      <w:r w:rsidR="00717727" w:rsidRPr="005C377D">
        <w:rPr>
          <w:szCs w:val="22"/>
        </w:rPr>
        <w:t>d</w:t>
      </w:r>
      <w:r w:rsidR="005343FD" w:rsidRPr="005C377D">
        <w:rPr>
          <w:szCs w:val="22"/>
        </w:rPr>
        <w:t xml:space="preserve"> the Commission’s rules, will </w:t>
      </w:r>
      <w:r w:rsidRPr="005C377D">
        <w:rPr>
          <w:szCs w:val="22"/>
        </w:rPr>
        <w:t xml:space="preserve">implement a </w:t>
      </w:r>
      <w:r w:rsidR="005343FD" w:rsidRPr="005C377D">
        <w:rPr>
          <w:szCs w:val="22"/>
        </w:rPr>
        <w:t xml:space="preserve">comprehensive </w:t>
      </w:r>
      <w:r w:rsidRPr="005C377D">
        <w:rPr>
          <w:szCs w:val="22"/>
        </w:rPr>
        <w:t>compliance plan, and will pay a $</w:t>
      </w:r>
      <w:r w:rsidR="0024371A" w:rsidRPr="005C377D">
        <w:rPr>
          <w:szCs w:val="22"/>
        </w:rPr>
        <w:t>50</w:t>
      </w:r>
      <w:r w:rsidR="00CF08A1" w:rsidRPr="005C377D">
        <w:rPr>
          <w:szCs w:val="22"/>
        </w:rPr>
        <w:t>,</w:t>
      </w:r>
      <w:r w:rsidRPr="005C377D">
        <w:rPr>
          <w:szCs w:val="22"/>
        </w:rPr>
        <w:t>000 civil penalty.</w:t>
      </w:r>
    </w:p>
    <w:p w14:paraId="44AC8C03" w14:textId="7B582571" w:rsidR="00CF08A1" w:rsidRDefault="005A781B" w:rsidP="00CF08A1">
      <w:pPr>
        <w:pStyle w:val="ParaNum"/>
        <w:widowControl/>
      </w:pPr>
      <w:r w:rsidRPr="00C21117">
        <w:t xml:space="preserve">After reviewing the terms of the Consent Decree and evaluating the facts before us, we find that the public interest would be served by adopting the Consent Decree and </w:t>
      </w:r>
      <w:r w:rsidR="005343FD">
        <w:t>resolving the Notice of Apparent Liability for Forfeiture</w:t>
      </w:r>
      <w:r w:rsidR="005343FD">
        <w:rPr>
          <w:rStyle w:val="FootnoteReference"/>
        </w:rPr>
        <w:footnoteReference w:id="3"/>
      </w:r>
      <w:r w:rsidR="005343FD">
        <w:t xml:space="preserve"> against Tesla regarding it</w:t>
      </w:r>
      <w:r w:rsidR="00717727">
        <w:t xml:space="preserve">s </w:t>
      </w:r>
      <w:r w:rsidR="005343FD">
        <w:t xml:space="preserve">compliance with its station operation obligations under </w:t>
      </w:r>
      <w:r w:rsidR="0024371A">
        <w:t>Section 301 of the Communications Act, as amended (Act)</w:t>
      </w:r>
      <w:r w:rsidR="0024371A">
        <w:rPr>
          <w:rStyle w:val="FootnoteReference"/>
        </w:rPr>
        <w:footnoteReference w:id="4"/>
      </w:r>
      <w:r w:rsidR="0024371A">
        <w:t xml:space="preserve"> and </w:t>
      </w:r>
      <w:r w:rsidRPr="005A781B">
        <w:t>Section</w:t>
      </w:r>
      <w:r w:rsidR="00CF08A1">
        <w:t xml:space="preserve"> </w:t>
      </w:r>
      <w:r w:rsidR="0024371A">
        <w:t>1</w:t>
      </w:r>
      <w:r w:rsidR="00CF08A1">
        <w:t>.</w:t>
      </w:r>
      <w:r w:rsidR="0024371A">
        <w:t>903</w:t>
      </w:r>
      <w:r w:rsidR="00CF08A1">
        <w:t>(a)</w:t>
      </w:r>
      <w:r w:rsidRPr="005A781B">
        <w:t xml:space="preserve"> of the Commission’s rules (Rules).</w:t>
      </w:r>
      <w:r w:rsidRPr="005A781B">
        <w:rPr>
          <w:vertAlign w:val="superscript"/>
        </w:rPr>
        <w:footnoteReference w:id="5"/>
      </w:r>
      <w:r w:rsidRPr="005A781B">
        <w:t xml:space="preserve">   </w:t>
      </w:r>
    </w:p>
    <w:p w14:paraId="56B8BCCA" w14:textId="48A718BF" w:rsidR="00CF08A1" w:rsidRDefault="005A781B" w:rsidP="005A781B">
      <w:pPr>
        <w:pStyle w:val="ParaNum"/>
        <w:widowControl/>
      </w:pPr>
      <w:r w:rsidRPr="005A781B">
        <w:t xml:space="preserve">In the absence of material new evidence relating to this matter, we </w:t>
      </w:r>
      <w:r w:rsidR="00BF32EF">
        <w:t xml:space="preserve">do not set for haring the question of Tesla’s </w:t>
      </w:r>
      <w:r w:rsidRPr="005A781B">
        <w:t>qualifications</w:t>
      </w:r>
      <w:r w:rsidR="00BF32EF">
        <w:t xml:space="preserve"> </w:t>
      </w:r>
      <w:r w:rsidRPr="005A781B">
        <w:t>to hold or obtain any Comm</w:t>
      </w:r>
      <w:r w:rsidR="00CF08A1">
        <w:t>ission license or authorization.</w:t>
      </w:r>
      <w:r w:rsidR="00BF32EF">
        <w:rPr>
          <w:rStyle w:val="FootnoteReference"/>
        </w:rPr>
        <w:footnoteReference w:id="6"/>
      </w:r>
    </w:p>
    <w:p w14:paraId="5B0F7CF3" w14:textId="4985845C" w:rsidR="00CF08A1" w:rsidRDefault="005A781B" w:rsidP="005A781B">
      <w:pPr>
        <w:pStyle w:val="ParaNum"/>
        <w:widowControl/>
      </w:pPr>
      <w:r w:rsidRPr="005A781B">
        <w:t xml:space="preserve">Accordingly, </w:t>
      </w:r>
      <w:r w:rsidRPr="005A781B">
        <w:rPr>
          <w:b/>
        </w:rPr>
        <w:t>IT IS ORDERED</w:t>
      </w:r>
      <w:r w:rsidRPr="005A781B">
        <w:t xml:space="preserve"> that, pursuant to Section</w:t>
      </w:r>
      <w:r w:rsidR="005343FD">
        <w:t>s</w:t>
      </w:r>
      <w:r w:rsidRPr="005A781B">
        <w:rPr>
          <w:b/>
        </w:rPr>
        <w:t xml:space="preserve"> </w:t>
      </w:r>
      <w:r w:rsidRPr="005A781B">
        <w:t xml:space="preserve">4(i) </w:t>
      </w:r>
      <w:r w:rsidR="005343FD">
        <w:t xml:space="preserve">and 503(b) </w:t>
      </w:r>
      <w:r w:rsidR="00624A0C">
        <w:t>of the Act</w:t>
      </w:r>
      <w:r w:rsidRPr="005A781B">
        <w:rPr>
          <w:sz w:val="20"/>
          <w:szCs w:val="22"/>
          <w:vertAlign w:val="superscript"/>
        </w:rPr>
        <w:footnoteReference w:id="7"/>
      </w:r>
      <w:r w:rsidRPr="005A781B">
        <w:t xml:space="preserve"> and the authority delegated by Sections 0.111 and 0.311 of the Rules,</w:t>
      </w:r>
      <w:r w:rsidRPr="005A781B">
        <w:rPr>
          <w:szCs w:val="22"/>
          <w:vertAlign w:val="superscript"/>
        </w:rPr>
        <w:footnoteReference w:id="8"/>
      </w:r>
      <w:r w:rsidRPr="005A781B">
        <w:t xml:space="preserve"> the attached Consent Decree </w:t>
      </w:r>
      <w:r w:rsidRPr="005A781B">
        <w:rPr>
          <w:b/>
        </w:rPr>
        <w:t xml:space="preserve">IS ADOPTED </w:t>
      </w:r>
      <w:r w:rsidRPr="005A781B">
        <w:t>and its terms incorporated by reference.</w:t>
      </w:r>
    </w:p>
    <w:p w14:paraId="7D03B8E9" w14:textId="2F46F452" w:rsidR="00CF08A1" w:rsidRPr="005343FD" w:rsidRDefault="005A781B" w:rsidP="00624A0C">
      <w:pPr>
        <w:pStyle w:val="ParaNum"/>
        <w:widowControl/>
        <w:rPr>
          <w:szCs w:val="22"/>
        </w:rPr>
      </w:pPr>
      <w:r w:rsidRPr="005A781B">
        <w:rPr>
          <w:b/>
        </w:rPr>
        <w:t>IT IS FURTHER ORDERED</w:t>
      </w:r>
      <w:r w:rsidRPr="005A781B">
        <w:t xml:space="preserve"> that the above-captioned matter </w:t>
      </w:r>
      <w:r w:rsidRPr="005A781B">
        <w:rPr>
          <w:b/>
        </w:rPr>
        <w:t>IS TERMINATED</w:t>
      </w:r>
      <w:r w:rsidRPr="005A781B">
        <w:t>.</w:t>
      </w:r>
    </w:p>
    <w:p w14:paraId="5A09CB12" w14:textId="6E3B40AB" w:rsidR="005A781B" w:rsidRPr="005A781B" w:rsidRDefault="005A781B" w:rsidP="005A781B">
      <w:pPr>
        <w:pStyle w:val="ParaNum"/>
        <w:widowControl/>
        <w:rPr>
          <w:szCs w:val="22"/>
        </w:rPr>
      </w:pPr>
      <w:r w:rsidRPr="005A781B">
        <w:rPr>
          <w:b/>
          <w:szCs w:val="22"/>
        </w:rPr>
        <w:lastRenderedPageBreak/>
        <w:t xml:space="preserve">IT IS FURTHER ORDERED </w:t>
      </w:r>
      <w:r w:rsidRPr="005A781B">
        <w:rPr>
          <w:szCs w:val="22"/>
        </w:rPr>
        <w:t>that a copy of this Order and Consent Decree shall be sent by first class mail and certified mail, return receipt requested, to</w:t>
      </w:r>
      <w:r w:rsidR="00BF4D5F">
        <w:rPr>
          <w:szCs w:val="22"/>
        </w:rPr>
        <w:t xml:space="preserve"> </w:t>
      </w:r>
      <w:r w:rsidR="0024371A">
        <w:rPr>
          <w:szCs w:val="22"/>
        </w:rPr>
        <w:t>Tesla Exploration, Inc.</w:t>
      </w:r>
      <w:r w:rsidR="00BF4D5F">
        <w:rPr>
          <w:szCs w:val="22"/>
        </w:rPr>
        <w:t xml:space="preserve"> at</w:t>
      </w:r>
      <w:r w:rsidR="0024371A">
        <w:rPr>
          <w:szCs w:val="22"/>
        </w:rPr>
        <w:t xml:space="preserve"> 6430 South Fiddlers Green Circle, Suite 100, Attn: Quinten Bailey, Greenwood Village, Colorado 80111,</w:t>
      </w:r>
      <w:r w:rsidR="00BF4D5F">
        <w:rPr>
          <w:szCs w:val="22"/>
        </w:rPr>
        <w:t xml:space="preserve"> and to</w:t>
      </w:r>
      <w:r w:rsidR="0024371A">
        <w:rPr>
          <w:szCs w:val="22"/>
        </w:rPr>
        <w:t xml:space="preserve"> Andrew C. Iverson,</w:t>
      </w:r>
      <w:r w:rsidR="00BF4D5F">
        <w:rPr>
          <w:szCs w:val="22"/>
        </w:rPr>
        <w:t xml:space="preserve"> Counsel for </w:t>
      </w:r>
      <w:r w:rsidR="0024371A">
        <w:rPr>
          <w:szCs w:val="22"/>
        </w:rPr>
        <w:t>Tesla Exploration, Inc.</w:t>
      </w:r>
      <w:r w:rsidR="00717727">
        <w:rPr>
          <w:szCs w:val="22"/>
        </w:rPr>
        <w:t>,</w:t>
      </w:r>
      <w:r w:rsidR="00BF4D5F">
        <w:rPr>
          <w:szCs w:val="22"/>
        </w:rPr>
        <w:t xml:space="preserve"> at</w:t>
      </w:r>
      <w:r w:rsidR="0024371A">
        <w:rPr>
          <w:szCs w:val="22"/>
        </w:rPr>
        <w:t xml:space="preserve"> Hamilton Faatz and Waller, PC</w:t>
      </w:r>
      <w:r w:rsidR="00BF4D5F">
        <w:rPr>
          <w:szCs w:val="22"/>
        </w:rPr>
        <w:t xml:space="preserve">, </w:t>
      </w:r>
      <w:r w:rsidR="0024371A">
        <w:rPr>
          <w:szCs w:val="22"/>
        </w:rPr>
        <w:t>5105 DTC Parkway, Suite 475, Greenwood Village, Colorado 80111</w:t>
      </w:r>
      <w:r w:rsidR="00BF4D5F">
        <w:rPr>
          <w:szCs w:val="22"/>
        </w:rPr>
        <w:t xml:space="preserve">.  </w:t>
      </w:r>
      <w:r w:rsidRPr="005A781B">
        <w:rPr>
          <w:szCs w:val="22"/>
        </w:rPr>
        <w:t xml:space="preserve"> </w:t>
      </w:r>
    </w:p>
    <w:p w14:paraId="44C06514" w14:textId="77777777" w:rsidR="005A781B" w:rsidRPr="005A781B" w:rsidRDefault="005A781B" w:rsidP="005A781B">
      <w:pPr>
        <w:widowControl/>
        <w:spacing w:after="240"/>
        <w:rPr>
          <w:snapToGrid/>
          <w:kern w:val="0"/>
          <w:szCs w:val="22"/>
        </w:rPr>
      </w:pPr>
    </w:p>
    <w:p w14:paraId="23F28D8E" w14:textId="77777777" w:rsidR="005A781B" w:rsidRPr="005A781B" w:rsidRDefault="005A781B" w:rsidP="005A781B">
      <w:pPr>
        <w:tabs>
          <w:tab w:val="left" w:pos="0"/>
        </w:tabs>
        <w:suppressAutoHyphens/>
        <w:spacing w:line="240" w:lineRule="atLeast"/>
        <w:jc w:val="both"/>
        <w:rPr>
          <w:spacing w:val="-2"/>
          <w:szCs w:val="22"/>
        </w:rPr>
      </w:pPr>
      <w:r w:rsidRPr="005A781B">
        <w:rPr>
          <w:szCs w:val="22"/>
        </w:rPr>
        <w:tab/>
      </w:r>
      <w:r w:rsidRPr="005A781B">
        <w:rPr>
          <w:szCs w:val="22"/>
        </w:rPr>
        <w:tab/>
      </w:r>
      <w:r w:rsidRPr="005A781B">
        <w:rPr>
          <w:szCs w:val="22"/>
        </w:rPr>
        <w:tab/>
      </w:r>
      <w:r w:rsidRPr="005A781B">
        <w:rPr>
          <w:szCs w:val="22"/>
        </w:rPr>
        <w:tab/>
      </w:r>
      <w:r w:rsidRPr="005A781B">
        <w:rPr>
          <w:szCs w:val="22"/>
        </w:rPr>
        <w:tab/>
      </w:r>
      <w:r w:rsidRPr="005A781B">
        <w:rPr>
          <w:spacing w:val="-2"/>
          <w:szCs w:val="22"/>
        </w:rPr>
        <w:t>FEDERAL COMMUNICATIONS COMMISSION</w:t>
      </w:r>
    </w:p>
    <w:p w14:paraId="2B2D3988" w14:textId="77777777" w:rsidR="005A781B" w:rsidRPr="005A781B" w:rsidRDefault="005A781B" w:rsidP="005A781B">
      <w:pPr>
        <w:tabs>
          <w:tab w:val="left" w:pos="0"/>
        </w:tabs>
        <w:suppressAutoHyphens/>
        <w:spacing w:line="240" w:lineRule="atLeast"/>
        <w:jc w:val="both"/>
        <w:rPr>
          <w:spacing w:val="-2"/>
          <w:szCs w:val="22"/>
        </w:rPr>
      </w:pPr>
    </w:p>
    <w:p w14:paraId="0104F20C" w14:textId="77777777" w:rsidR="005A781B" w:rsidRPr="005A781B" w:rsidRDefault="005A781B" w:rsidP="005A781B">
      <w:pPr>
        <w:tabs>
          <w:tab w:val="left" w:pos="0"/>
        </w:tabs>
        <w:suppressAutoHyphens/>
        <w:spacing w:line="240" w:lineRule="atLeast"/>
        <w:jc w:val="both"/>
        <w:rPr>
          <w:spacing w:val="-2"/>
          <w:szCs w:val="22"/>
        </w:rPr>
      </w:pPr>
    </w:p>
    <w:p w14:paraId="35C66F75" w14:textId="77777777" w:rsidR="005A781B" w:rsidRPr="005A781B" w:rsidRDefault="005A781B" w:rsidP="005A781B">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14:paraId="18AE9EB8" w14:textId="77777777" w:rsidR="005A781B" w:rsidRPr="005A781B" w:rsidRDefault="005A781B" w:rsidP="005A781B">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14:paraId="7E0BB528" w14:textId="77777777" w:rsidR="005A781B" w:rsidRPr="005A781B" w:rsidRDefault="005A781B" w:rsidP="005A781B">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t>Travis LeBlanc</w:t>
      </w:r>
    </w:p>
    <w:p w14:paraId="0FA533FD" w14:textId="722CDAA0" w:rsidR="005343FD" w:rsidRDefault="005343FD" w:rsidP="005A781B">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t>Chief</w:t>
      </w:r>
    </w:p>
    <w:p w14:paraId="2231C834" w14:textId="596D5853" w:rsidR="005A781B" w:rsidRDefault="005343FD" w:rsidP="005C377D">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5A781B" w:rsidRPr="005A781B">
        <w:rPr>
          <w:spacing w:val="-2"/>
          <w:szCs w:val="22"/>
        </w:rPr>
        <w:t>Enforcement Bureau</w:t>
      </w:r>
    </w:p>
    <w:p w14:paraId="212636C2" w14:textId="77777777" w:rsidR="00B66800" w:rsidRDefault="00B66800" w:rsidP="005C377D">
      <w:pPr>
        <w:tabs>
          <w:tab w:val="left" w:pos="0"/>
        </w:tabs>
        <w:suppressAutoHyphens/>
        <w:spacing w:line="240" w:lineRule="atLeast"/>
        <w:rPr>
          <w:spacing w:val="-2"/>
          <w:szCs w:val="22"/>
        </w:rPr>
        <w:sectPr w:rsidR="00B66800" w:rsidSect="00721D0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397" w:right="1440" w:bottom="720" w:left="1440" w:header="720" w:footer="720" w:gutter="0"/>
          <w:pgNumType w:start="1"/>
          <w:cols w:space="720"/>
          <w:noEndnote/>
          <w:titlePg/>
          <w:docGrid w:linePitch="299"/>
        </w:sectPr>
      </w:pPr>
    </w:p>
    <w:p w14:paraId="41A96C53" w14:textId="3934296E" w:rsidR="00721D0B" w:rsidRDefault="00721D0B" w:rsidP="005C377D">
      <w:pPr>
        <w:tabs>
          <w:tab w:val="left" w:pos="0"/>
        </w:tabs>
        <w:suppressAutoHyphens/>
        <w:spacing w:line="240" w:lineRule="atLeast"/>
        <w:rPr>
          <w:spacing w:val="-2"/>
          <w:szCs w:val="22"/>
        </w:rPr>
      </w:pPr>
    </w:p>
    <w:p w14:paraId="293E5F98" w14:textId="77777777" w:rsidR="00721D0B" w:rsidRPr="00843A5F" w:rsidRDefault="00721D0B" w:rsidP="00721D0B">
      <w:pPr>
        <w:jc w:val="center"/>
        <w:rPr>
          <w:b/>
        </w:rPr>
      </w:pPr>
      <w:r w:rsidRPr="00843A5F">
        <w:rPr>
          <w:rFonts w:ascii="Times New Roman Bold" w:hAnsi="Times New Roman Bold"/>
          <w:b/>
          <w:kern w:val="0"/>
          <w:szCs w:val="22"/>
        </w:rPr>
        <w:t>Before</w:t>
      </w:r>
      <w:r w:rsidRPr="00843A5F">
        <w:rPr>
          <w:b/>
        </w:rPr>
        <w:t xml:space="preserve"> the</w:t>
      </w:r>
    </w:p>
    <w:p w14:paraId="58E60A82" w14:textId="77777777" w:rsidR="00721D0B" w:rsidRPr="00843A5F" w:rsidRDefault="00721D0B" w:rsidP="00721D0B">
      <w:pPr>
        <w:pStyle w:val="StyleBoldCentered"/>
      </w:pPr>
      <w:r w:rsidRPr="00843A5F">
        <w:t>F</w:t>
      </w:r>
      <w:r w:rsidRPr="00843A5F">
        <w:rPr>
          <w:caps w:val="0"/>
        </w:rPr>
        <w:t>ederal Communications Commission</w:t>
      </w:r>
    </w:p>
    <w:p w14:paraId="0C2DF13A" w14:textId="77777777" w:rsidR="00721D0B" w:rsidRPr="00843A5F" w:rsidRDefault="00721D0B" w:rsidP="00721D0B">
      <w:pPr>
        <w:pStyle w:val="StyleBoldCentered"/>
      </w:pPr>
      <w:r w:rsidRPr="00843A5F">
        <w:rPr>
          <w:caps w:val="0"/>
        </w:rPr>
        <w:t>Washington, DC 20554</w:t>
      </w:r>
    </w:p>
    <w:p w14:paraId="598BE2EF" w14:textId="77777777" w:rsidR="00721D0B" w:rsidRPr="00843A5F" w:rsidRDefault="00721D0B" w:rsidP="00721D0B"/>
    <w:tbl>
      <w:tblPr>
        <w:tblW w:w="9540" w:type="dxa"/>
        <w:tblInd w:w="108" w:type="dxa"/>
        <w:tblLayout w:type="fixed"/>
        <w:tblLook w:val="0000" w:firstRow="0" w:lastRow="0" w:firstColumn="0" w:lastColumn="0" w:noHBand="0" w:noVBand="0"/>
      </w:tblPr>
      <w:tblGrid>
        <w:gridCol w:w="4590"/>
        <w:gridCol w:w="270"/>
        <w:gridCol w:w="4680"/>
      </w:tblGrid>
      <w:tr w:rsidR="00721D0B" w:rsidRPr="00937484" w14:paraId="1C86FF78" w14:textId="77777777" w:rsidTr="000C2FF9">
        <w:tc>
          <w:tcPr>
            <w:tcW w:w="4590" w:type="dxa"/>
          </w:tcPr>
          <w:p w14:paraId="668DD2BF" w14:textId="77777777" w:rsidR="00721D0B" w:rsidRPr="00FB0D07" w:rsidRDefault="00721D0B" w:rsidP="000C2FF9">
            <w:pPr>
              <w:rPr>
                <w:szCs w:val="22"/>
              </w:rPr>
            </w:pPr>
            <w:r w:rsidRPr="00FB0D07">
              <w:rPr>
                <w:spacing w:val="-2"/>
                <w:szCs w:val="22"/>
              </w:rPr>
              <w:t>In the Matter of</w:t>
            </w:r>
            <w:r w:rsidRPr="00FB0D07">
              <w:rPr>
                <w:szCs w:val="22"/>
              </w:rPr>
              <w:t xml:space="preserve"> </w:t>
            </w:r>
          </w:p>
          <w:p w14:paraId="69DAE71D" w14:textId="77777777" w:rsidR="00721D0B" w:rsidRPr="00FB0D07" w:rsidRDefault="00721D0B" w:rsidP="000C2FF9">
            <w:pPr>
              <w:rPr>
                <w:szCs w:val="22"/>
              </w:rPr>
            </w:pPr>
          </w:p>
          <w:p w14:paraId="0DE13BCC" w14:textId="77777777" w:rsidR="00721D0B" w:rsidRPr="00937484" w:rsidRDefault="00721D0B" w:rsidP="000C2FF9">
            <w:pPr>
              <w:rPr>
                <w:szCs w:val="22"/>
              </w:rPr>
            </w:pPr>
            <w:r>
              <w:rPr>
                <w:szCs w:val="22"/>
              </w:rPr>
              <w:t>Tesla Exploration, Inc.</w:t>
            </w:r>
          </w:p>
          <w:p w14:paraId="14BFC90B" w14:textId="77777777" w:rsidR="00721D0B" w:rsidRPr="00937484" w:rsidRDefault="00721D0B" w:rsidP="000C2FF9">
            <w:pPr>
              <w:rPr>
                <w:szCs w:val="22"/>
              </w:rPr>
            </w:pPr>
          </w:p>
          <w:p w14:paraId="1C906CDC" w14:textId="77777777" w:rsidR="00721D0B" w:rsidRPr="00937484" w:rsidRDefault="00721D0B" w:rsidP="000C2FF9">
            <w:pPr>
              <w:rPr>
                <w:szCs w:val="22"/>
              </w:rPr>
            </w:pPr>
            <w:r>
              <w:rPr>
                <w:szCs w:val="22"/>
              </w:rPr>
              <w:t>Licensee of Station KD29596</w:t>
            </w:r>
          </w:p>
          <w:p w14:paraId="6BAD00CC" w14:textId="77777777" w:rsidR="00721D0B" w:rsidRPr="00937484" w:rsidRDefault="00721D0B" w:rsidP="000C2FF9">
            <w:pPr>
              <w:rPr>
                <w:szCs w:val="22"/>
              </w:rPr>
            </w:pPr>
            <w:r>
              <w:rPr>
                <w:szCs w:val="22"/>
              </w:rPr>
              <w:t>Greenwood Village, Colorado</w:t>
            </w:r>
          </w:p>
          <w:p w14:paraId="670479E2" w14:textId="77777777" w:rsidR="00721D0B" w:rsidRPr="00937484" w:rsidRDefault="00721D0B" w:rsidP="000C2FF9">
            <w:pPr>
              <w:rPr>
                <w:spacing w:val="-2"/>
                <w:szCs w:val="22"/>
              </w:rPr>
            </w:pPr>
          </w:p>
        </w:tc>
        <w:tc>
          <w:tcPr>
            <w:tcW w:w="270" w:type="dxa"/>
          </w:tcPr>
          <w:p w14:paraId="31C4C2F8" w14:textId="77777777" w:rsidR="00721D0B" w:rsidRPr="00937484" w:rsidRDefault="00721D0B" w:rsidP="000C2FF9">
            <w:pPr>
              <w:tabs>
                <w:tab w:val="center" w:pos="4680"/>
              </w:tabs>
              <w:suppressAutoHyphens/>
              <w:spacing w:line="240" w:lineRule="atLeast"/>
              <w:jc w:val="both"/>
              <w:outlineLvl w:val="0"/>
              <w:rPr>
                <w:szCs w:val="22"/>
              </w:rPr>
            </w:pPr>
            <w:r w:rsidRPr="00937484">
              <w:rPr>
                <w:szCs w:val="22"/>
              </w:rPr>
              <w:t>)</w:t>
            </w:r>
          </w:p>
          <w:p w14:paraId="64788533" w14:textId="77777777" w:rsidR="00721D0B" w:rsidRPr="00937484" w:rsidRDefault="00721D0B" w:rsidP="000C2FF9">
            <w:pPr>
              <w:tabs>
                <w:tab w:val="center" w:pos="4680"/>
              </w:tabs>
              <w:suppressAutoHyphens/>
              <w:spacing w:line="240" w:lineRule="atLeast"/>
              <w:jc w:val="both"/>
              <w:outlineLvl w:val="0"/>
              <w:rPr>
                <w:szCs w:val="22"/>
              </w:rPr>
            </w:pPr>
            <w:r w:rsidRPr="00937484">
              <w:rPr>
                <w:szCs w:val="22"/>
              </w:rPr>
              <w:t>)</w:t>
            </w:r>
          </w:p>
          <w:p w14:paraId="7E9ADEF3" w14:textId="77777777" w:rsidR="00721D0B" w:rsidRPr="00937484" w:rsidRDefault="00721D0B" w:rsidP="000C2FF9">
            <w:pPr>
              <w:tabs>
                <w:tab w:val="center" w:pos="4680"/>
              </w:tabs>
              <w:suppressAutoHyphens/>
              <w:spacing w:line="240" w:lineRule="atLeast"/>
              <w:jc w:val="both"/>
              <w:outlineLvl w:val="0"/>
              <w:rPr>
                <w:szCs w:val="22"/>
              </w:rPr>
            </w:pPr>
            <w:r w:rsidRPr="00937484">
              <w:rPr>
                <w:szCs w:val="22"/>
              </w:rPr>
              <w:t>)</w:t>
            </w:r>
          </w:p>
          <w:p w14:paraId="1667FFEC" w14:textId="77777777" w:rsidR="00721D0B" w:rsidRPr="00937484" w:rsidRDefault="00721D0B" w:rsidP="000C2FF9">
            <w:pPr>
              <w:tabs>
                <w:tab w:val="center" w:pos="4680"/>
              </w:tabs>
              <w:suppressAutoHyphens/>
              <w:spacing w:line="240" w:lineRule="atLeast"/>
              <w:jc w:val="both"/>
              <w:outlineLvl w:val="0"/>
              <w:rPr>
                <w:szCs w:val="22"/>
              </w:rPr>
            </w:pPr>
            <w:r w:rsidRPr="00937484">
              <w:rPr>
                <w:szCs w:val="22"/>
              </w:rPr>
              <w:t>)</w:t>
            </w:r>
          </w:p>
          <w:p w14:paraId="2ED1CD16" w14:textId="77777777" w:rsidR="00721D0B" w:rsidRPr="00937484" w:rsidRDefault="00721D0B" w:rsidP="000C2FF9">
            <w:pPr>
              <w:tabs>
                <w:tab w:val="center" w:pos="4680"/>
              </w:tabs>
              <w:suppressAutoHyphens/>
              <w:spacing w:line="240" w:lineRule="atLeast"/>
              <w:jc w:val="both"/>
              <w:outlineLvl w:val="0"/>
              <w:rPr>
                <w:szCs w:val="22"/>
              </w:rPr>
            </w:pPr>
            <w:r w:rsidRPr="00937484">
              <w:rPr>
                <w:szCs w:val="22"/>
              </w:rPr>
              <w:t>)</w:t>
            </w:r>
          </w:p>
          <w:p w14:paraId="41B5A25A" w14:textId="77777777" w:rsidR="00721D0B" w:rsidRPr="00937484" w:rsidRDefault="00721D0B" w:rsidP="000C2FF9">
            <w:pPr>
              <w:tabs>
                <w:tab w:val="center" w:pos="4680"/>
              </w:tabs>
              <w:suppressAutoHyphens/>
              <w:spacing w:line="240" w:lineRule="atLeast"/>
              <w:jc w:val="both"/>
              <w:outlineLvl w:val="0"/>
              <w:rPr>
                <w:szCs w:val="22"/>
              </w:rPr>
            </w:pPr>
            <w:r w:rsidRPr="00937484">
              <w:rPr>
                <w:szCs w:val="22"/>
              </w:rPr>
              <w:t>)</w:t>
            </w:r>
          </w:p>
        </w:tc>
        <w:tc>
          <w:tcPr>
            <w:tcW w:w="4680" w:type="dxa"/>
          </w:tcPr>
          <w:p w14:paraId="70223CF8" w14:textId="77777777" w:rsidR="00721D0B" w:rsidRPr="00937484" w:rsidRDefault="00721D0B" w:rsidP="000C2FF9">
            <w:pPr>
              <w:rPr>
                <w:spacing w:val="-2"/>
                <w:szCs w:val="22"/>
              </w:rPr>
            </w:pPr>
          </w:p>
          <w:p w14:paraId="6C89F3F9" w14:textId="77777777" w:rsidR="00721D0B" w:rsidRPr="00937484" w:rsidRDefault="00721D0B" w:rsidP="000C2FF9">
            <w:pPr>
              <w:ind w:left="702"/>
              <w:rPr>
                <w:spacing w:val="-2"/>
                <w:szCs w:val="22"/>
              </w:rPr>
            </w:pPr>
          </w:p>
          <w:p w14:paraId="0361774B" w14:textId="77777777" w:rsidR="00721D0B" w:rsidRPr="00937484" w:rsidRDefault="00721D0B" w:rsidP="000C2FF9">
            <w:pPr>
              <w:ind w:left="702"/>
              <w:rPr>
                <w:szCs w:val="22"/>
              </w:rPr>
            </w:pPr>
            <w:r>
              <w:rPr>
                <w:szCs w:val="22"/>
              </w:rPr>
              <w:t>File No.:  EB-FIELDNER-12-00004489</w:t>
            </w:r>
            <w:r>
              <w:rPr>
                <w:rStyle w:val="FootnoteReference"/>
                <w:szCs w:val="22"/>
              </w:rPr>
              <w:footnoteReference w:id="9"/>
            </w:r>
          </w:p>
          <w:p w14:paraId="4D2A3802" w14:textId="77777777" w:rsidR="00721D0B" w:rsidRPr="00937484" w:rsidRDefault="00721D0B" w:rsidP="000C2FF9">
            <w:pPr>
              <w:rPr>
                <w:b/>
                <w:szCs w:val="22"/>
              </w:rPr>
            </w:pPr>
            <w:r>
              <w:rPr>
                <w:szCs w:val="22"/>
              </w:rPr>
              <w:t xml:space="preserve">             </w:t>
            </w:r>
            <w:r w:rsidRPr="00B34188">
              <w:rPr>
                <w:szCs w:val="22"/>
              </w:rPr>
              <w:t>NAL/</w:t>
            </w:r>
            <w:r w:rsidRPr="00B02B1C">
              <w:rPr>
                <w:szCs w:val="22"/>
              </w:rPr>
              <w:t xml:space="preserve">Acct. No.:  </w:t>
            </w:r>
            <w:r>
              <w:rPr>
                <w:szCs w:val="22"/>
              </w:rPr>
              <w:t>201232400008</w:t>
            </w:r>
          </w:p>
          <w:p w14:paraId="67B394AB" w14:textId="77777777" w:rsidR="00721D0B" w:rsidRDefault="00721D0B" w:rsidP="000C2FF9">
            <w:pPr>
              <w:ind w:left="702"/>
              <w:rPr>
                <w:color w:val="000000" w:themeColor="text1"/>
                <w:szCs w:val="22"/>
              </w:rPr>
            </w:pPr>
            <w:r w:rsidRPr="00937484">
              <w:rPr>
                <w:szCs w:val="22"/>
              </w:rPr>
              <w:t>FRN</w:t>
            </w:r>
            <w:r>
              <w:rPr>
                <w:color w:val="000000" w:themeColor="text1"/>
                <w:szCs w:val="22"/>
              </w:rPr>
              <w:t>:  0021136999</w:t>
            </w:r>
          </w:p>
          <w:p w14:paraId="6F5B4C32" w14:textId="77777777" w:rsidR="00721D0B" w:rsidRPr="00937484" w:rsidRDefault="00721D0B" w:rsidP="000C2FF9">
            <w:pPr>
              <w:rPr>
                <w:szCs w:val="22"/>
              </w:rPr>
            </w:pPr>
            <w:r w:rsidRPr="00937484">
              <w:rPr>
                <w:szCs w:val="22"/>
              </w:rPr>
              <w:t xml:space="preserve">    </w:t>
            </w:r>
          </w:p>
        </w:tc>
      </w:tr>
    </w:tbl>
    <w:p w14:paraId="02036841" w14:textId="77777777" w:rsidR="00721D0B" w:rsidRPr="007C0B39" w:rsidRDefault="00721D0B" w:rsidP="00721D0B">
      <w:pPr>
        <w:pStyle w:val="StyleBoldCentered"/>
      </w:pPr>
      <w:r>
        <w:t>C</w:t>
      </w:r>
      <w:r w:rsidRPr="007C0B39">
        <w:t>ONSENT DECREE</w:t>
      </w:r>
    </w:p>
    <w:p w14:paraId="57C327EE" w14:textId="77777777" w:rsidR="00721D0B" w:rsidRPr="007C0B39" w:rsidRDefault="00721D0B" w:rsidP="00721D0B">
      <w:pPr>
        <w:pStyle w:val="StyleBoldCentered"/>
      </w:pPr>
    </w:p>
    <w:p w14:paraId="74DFB6A4" w14:textId="77777777" w:rsidR="00721D0B" w:rsidRPr="007C0B39" w:rsidRDefault="00721D0B" w:rsidP="00721D0B">
      <w:pPr>
        <w:pStyle w:val="ParaNum"/>
        <w:numPr>
          <w:ilvl w:val="0"/>
          <w:numId w:val="8"/>
        </w:numPr>
      </w:pPr>
      <w:r>
        <w:t xml:space="preserve"> </w:t>
      </w:r>
      <w:r>
        <w:tab/>
      </w:r>
      <w:r w:rsidRPr="007C0B39">
        <w:t>The Enforcement Bureau of the Feder</w:t>
      </w:r>
      <w:r>
        <w:t>al Communications Commission and Tesla Exploration, Inc. (Tesla),</w:t>
      </w:r>
      <w:r w:rsidRPr="007C0B39">
        <w:t xml:space="preserve"> by their authorized representatives, hereby enter into this Consent Decree for the purpose of terminating the Enforcement Bureau’s investigation into whether </w:t>
      </w:r>
      <w:r>
        <w:t>Tesla</w:t>
      </w:r>
      <w:r w:rsidRPr="007C0B39">
        <w:t xml:space="preserve"> violated </w:t>
      </w:r>
      <w:r>
        <w:t xml:space="preserve">Section 301 of the </w:t>
      </w:r>
      <w:r w:rsidRPr="007C0B39">
        <w:rPr>
          <w:szCs w:val="22"/>
        </w:rPr>
        <w:t>Communications Act of 1934, as amended</w:t>
      </w:r>
      <w:r>
        <w:t>,</w:t>
      </w:r>
      <w:r>
        <w:rPr>
          <w:rStyle w:val="FootnoteReference"/>
        </w:rPr>
        <w:footnoteReference w:id="10"/>
      </w:r>
      <w:r>
        <w:t xml:space="preserve"> and Section 1.903(a) of the Commission’s rules</w:t>
      </w:r>
      <w:r w:rsidRPr="00E34AAE">
        <w:rPr>
          <w:rStyle w:val="FootnoteReference"/>
          <w:spacing w:val="-2"/>
          <w:szCs w:val="22"/>
        </w:rPr>
        <w:footnoteReference w:id="11"/>
      </w:r>
      <w:r w:rsidRPr="00C40527">
        <w:rPr>
          <w:szCs w:val="22"/>
        </w:rPr>
        <w:t xml:space="preserve"> </w:t>
      </w:r>
      <w:r>
        <w:rPr>
          <w:szCs w:val="22"/>
        </w:rPr>
        <w:t>by operating radio transmitting equipment on eleven unauthorized frequencies</w:t>
      </w:r>
      <w:r w:rsidRPr="007C0B39">
        <w:t>.</w:t>
      </w:r>
    </w:p>
    <w:p w14:paraId="456EB8F9" w14:textId="77777777" w:rsidR="00721D0B" w:rsidRPr="007C0B39" w:rsidRDefault="00721D0B" w:rsidP="00721D0B">
      <w:pPr>
        <w:pStyle w:val="Heading1"/>
      </w:pPr>
      <w:r w:rsidRPr="007C0B39">
        <w:t>DEFINITIONS</w:t>
      </w:r>
    </w:p>
    <w:p w14:paraId="43BB0AFD" w14:textId="77777777" w:rsidR="00721D0B" w:rsidRPr="007C0B39" w:rsidRDefault="00721D0B" w:rsidP="00721D0B">
      <w:pPr>
        <w:pStyle w:val="ParaNum"/>
      </w:pPr>
      <w:r w:rsidRPr="007C0B39">
        <w:t>For the purposes of this Consent Decree, the following definitions shall apply:</w:t>
      </w:r>
    </w:p>
    <w:p w14:paraId="79A16047" w14:textId="77777777" w:rsidR="00721D0B" w:rsidRPr="007C0B39" w:rsidRDefault="00721D0B" w:rsidP="00721D0B">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2"/>
      </w:r>
    </w:p>
    <w:p w14:paraId="3EF771DD" w14:textId="77777777" w:rsidR="00721D0B" w:rsidRDefault="00721D0B" w:rsidP="00721D0B">
      <w:pPr>
        <w:numPr>
          <w:ilvl w:val="0"/>
          <w:numId w:val="5"/>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35D7FEAE" w14:textId="77777777" w:rsidR="00721D0B" w:rsidRPr="007C0B39" w:rsidRDefault="00721D0B" w:rsidP="00721D0B">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3A52396B" w14:textId="77777777" w:rsidR="00721D0B" w:rsidRPr="007C0B39" w:rsidRDefault="00721D0B" w:rsidP="00721D0B">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7F71A066" w14:textId="77777777" w:rsidR="00721D0B" w:rsidRPr="007C0B39" w:rsidRDefault="00721D0B" w:rsidP="00721D0B">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Tesla</w:t>
      </w:r>
      <w:r w:rsidRPr="007C0B39">
        <w:rPr>
          <w:szCs w:val="22"/>
        </w:rPr>
        <w:t xml:space="preserve"> is subject by virtue of its business activities, including but not limited to the</w:t>
      </w:r>
      <w:r>
        <w:rPr>
          <w:szCs w:val="22"/>
        </w:rPr>
        <w:t xml:space="preserve"> Station Authorization Rules</w:t>
      </w:r>
      <w:r w:rsidRPr="007C0B39">
        <w:rPr>
          <w:szCs w:val="22"/>
        </w:rPr>
        <w:t>.</w:t>
      </w:r>
    </w:p>
    <w:p w14:paraId="452363CA" w14:textId="77777777" w:rsidR="00721D0B" w:rsidRPr="007C0B39" w:rsidRDefault="00721D0B" w:rsidP="00721D0B">
      <w:pPr>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 </w:t>
      </w:r>
      <w:r>
        <w:rPr>
          <w:szCs w:val="22"/>
        </w:rPr>
        <w:t>11</w:t>
      </w:r>
      <w:r w:rsidRPr="007C0B39">
        <w:rPr>
          <w:szCs w:val="22"/>
        </w:rPr>
        <w:t>.</w:t>
      </w:r>
    </w:p>
    <w:p w14:paraId="79B8043C" w14:textId="77777777" w:rsidR="00721D0B" w:rsidRPr="007C0B39" w:rsidRDefault="00721D0B" w:rsidP="00721D0B">
      <w:pPr>
        <w:widowControl/>
        <w:numPr>
          <w:ilvl w:val="0"/>
          <w:numId w:val="5"/>
        </w:numPr>
        <w:tabs>
          <w:tab w:val="clear" w:pos="1224"/>
        </w:tabs>
        <w:spacing w:after="120"/>
        <w:ind w:left="1886"/>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Tesla</w:t>
      </w:r>
      <w:r w:rsidRPr="007C0B39">
        <w:rPr>
          <w:szCs w:val="22"/>
        </w:rPr>
        <w:t xml:space="preserve"> who perform, or supervise, oversee, or manage the performance of, duties that relate to </w:t>
      </w:r>
      <w:r>
        <w:rPr>
          <w:szCs w:val="22"/>
        </w:rPr>
        <w:t>Tesla</w:t>
      </w:r>
      <w:r w:rsidRPr="007C0B39">
        <w:rPr>
          <w:szCs w:val="22"/>
        </w:rPr>
        <w:t xml:space="preserve">’s responsibilities under the Communications Laws, including the </w:t>
      </w:r>
      <w:r>
        <w:rPr>
          <w:szCs w:val="22"/>
        </w:rPr>
        <w:t>Station Authorization Rules</w:t>
      </w:r>
      <w:r w:rsidRPr="007C0B39">
        <w:rPr>
          <w:szCs w:val="22"/>
        </w:rPr>
        <w:t>.</w:t>
      </w:r>
    </w:p>
    <w:p w14:paraId="2387796B" w14:textId="77777777" w:rsidR="00721D0B" w:rsidRDefault="00721D0B" w:rsidP="00721D0B">
      <w:pPr>
        <w:numPr>
          <w:ilvl w:val="0"/>
          <w:numId w:val="5"/>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w:t>
      </w:r>
      <w:r>
        <w:rPr>
          <w:szCs w:val="22"/>
        </w:rPr>
        <w:t>and Tesla</w:t>
      </w:r>
      <w:r w:rsidRPr="007C0B39">
        <w:rPr>
          <w:szCs w:val="22"/>
        </w:rPr>
        <w:t xml:space="preserve"> have signed the Consent Decree.</w:t>
      </w:r>
    </w:p>
    <w:p w14:paraId="1F49CF05" w14:textId="77777777" w:rsidR="00721D0B" w:rsidRDefault="00721D0B" w:rsidP="00721D0B">
      <w:pPr>
        <w:numPr>
          <w:ilvl w:val="0"/>
          <w:numId w:val="5"/>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commenced by the Bureau in </w:t>
      </w:r>
      <w:r>
        <w:rPr>
          <w:szCs w:val="22"/>
        </w:rPr>
        <w:t>File No. EB-11-PA-0153</w:t>
      </w:r>
      <w:r w:rsidRPr="002755D1">
        <w:rPr>
          <w:szCs w:val="22"/>
        </w:rPr>
        <w:t xml:space="preserve"> </w:t>
      </w:r>
      <w:r w:rsidRPr="007C0B39">
        <w:rPr>
          <w:szCs w:val="22"/>
        </w:rPr>
        <w:t xml:space="preserve">regarding whether </w:t>
      </w:r>
      <w:r>
        <w:rPr>
          <w:szCs w:val="22"/>
        </w:rPr>
        <w:t>Tesla</w:t>
      </w:r>
      <w:r w:rsidRPr="007C0B39">
        <w:rPr>
          <w:szCs w:val="22"/>
        </w:rPr>
        <w:t xml:space="preserve"> violated the </w:t>
      </w:r>
      <w:r>
        <w:rPr>
          <w:szCs w:val="22"/>
        </w:rPr>
        <w:t>Station Authorization Rules by operating radio transmitting equipment on eleven unauthorized frequencies, which culminated in the issuance of the NAL</w:t>
      </w:r>
      <w:r w:rsidRPr="007C0B39">
        <w:rPr>
          <w:szCs w:val="22"/>
        </w:rPr>
        <w:t>.</w:t>
      </w:r>
    </w:p>
    <w:p w14:paraId="6D97C1CA" w14:textId="77777777" w:rsidR="00721D0B" w:rsidRPr="006C761E" w:rsidRDefault="00721D0B" w:rsidP="00721D0B">
      <w:pPr>
        <w:numPr>
          <w:ilvl w:val="0"/>
          <w:numId w:val="5"/>
        </w:numPr>
        <w:tabs>
          <w:tab w:val="clear" w:pos="1224"/>
        </w:tabs>
        <w:spacing w:after="120"/>
        <w:ind w:left="1890"/>
        <w:rPr>
          <w:szCs w:val="22"/>
        </w:rPr>
      </w:pPr>
      <w:r w:rsidRPr="006C761E">
        <w:rPr>
          <w:szCs w:val="22"/>
        </w:rPr>
        <w:t xml:space="preserve">“NAL” means the Notice of Apparent Liability for Forfeiture issued </w:t>
      </w:r>
      <w:r>
        <w:rPr>
          <w:szCs w:val="22"/>
        </w:rPr>
        <w:t>to Tesla</w:t>
      </w:r>
      <w:r w:rsidRPr="006C761E">
        <w:rPr>
          <w:szCs w:val="22"/>
        </w:rPr>
        <w:t xml:space="preserve"> on </w:t>
      </w:r>
      <w:r>
        <w:rPr>
          <w:szCs w:val="22"/>
        </w:rPr>
        <w:t>August 3, 2012,</w:t>
      </w:r>
      <w:r w:rsidRPr="006C761E">
        <w:rPr>
          <w:szCs w:val="22"/>
        </w:rPr>
        <w:t xml:space="preserve"> proposing </w:t>
      </w:r>
      <w:r>
        <w:rPr>
          <w:szCs w:val="22"/>
        </w:rPr>
        <w:t>a $66,000</w:t>
      </w:r>
      <w:r w:rsidRPr="006C761E">
        <w:rPr>
          <w:szCs w:val="22"/>
        </w:rPr>
        <w:t xml:space="preserve"> forfeiture for apparent violations of the </w:t>
      </w:r>
      <w:r>
        <w:rPr>
          <w:szCs w:val="22"/>
        </w:rPr>
        <w:t>Station Authorization Rules</w:t>
      </w:r>
      <w:r w:rsidRPr="006C761E">
        <w:rPr>
          <w:szCs w:val="22"/>
        </w:rPr>
        <w:t>.</w:t>
      </w:r>
      <w:r>
        <w:rPr>
          <w:rStyle w:val="FootnoteReference"/>
          <w:szCs w:val="22"/>
        </w:rPr>
        <w:footnoteReference w:id="13"/>
      </w:r>
    </w:p>
    <w:p w14:paraId="71F24D74" w14:textId="77777777" w:rsidR="00721D0B" w:rsidRPr="007C0B39" w:rsidRDefault="00721D0B" w:rsidP="00721D0B">
      <w:pPr>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Tesla</w:t>
      </w:r>
      <w:r w:rsidRPr="007C0B39">
        <w:rPr>
          <w:szCs w:val="22"/>
        </w:rPr>
        <w:t xml:space="preserve"> to implement the Compliance Plan.</w:t>
      </w:r>
    </w:p>
    <w:p w14:paraId="77924AB5" w14:textId="77777777" w:rsidR="00721D0B" w:rsidRPr="007C0B39" w:rsidRDefault="00721D0B" w:rsidP="00721D0B">
      <w:pPr>
        <w:numPr>
          <w:ilvl w:val="0"/>
          <w:numId w:val="5"/>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Tesla</w:t>
      </w:r>
      <w:r w:rsidRPr="007C0B39">
        <w:rPr>
          <w:szCs w:val="22"/>
        </w:rPr>
        <w:t xml:space="preserve"> and the Bureau, each of which is a “Party.”</w:t>
      </w:r>
    </w:p>
    <w:p w14:paraId="4248ED6D" w14:textId="77777777" w:rsidR="00721D0B" w:rsidRDefault="00721D0B" w:rsidP="00721D0B">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02C94931" w14:textId="77777777" w:rsidR="00721D0B" w:rsidRPr="00274246" w:rsidRDefault="00721D0B" w:rsidP="00721D0B">
      <w:pPr>
        <w:numPr>
          <w:ilvl w:val="0"/>
          <w:numId w:val="5"/>
        </w:numPr>
        <w:tabs>
          <w:tab w:val="clear" w:pos="1224"/>
        </w:tabs>
        <w:spacing w:after="120"/>
        <w:ind w:left="1890"/>
        <w:rPr>
          <w:szCs w:val="22"/>
        </w:rPr>
      </w:pPr>
      <w:r>
        <w:rPr>
          <w:szCs w:val="22"/>
        </w:rPr>
        <w:t>“Station Authorization Rules” mean Section 301 of the Act, Section 1.903(a) of the Rules, and other provisions of the Act, the Rules, and Commission orders related to the operation of stations in the Wireless Radio Services with a valid Commission authorization and on an authorized frequency.</w:t>
      </w:r>
    </w:p>
    <w:p w14:paraId="7F098110" w14:textId="77777777" w:rsidR="00721D0B" w:rsidRPr="007C0B39" w:rsidRDefault="00721D0B" w:rsidP="00721D0B">
      <w:pPr>
        <w:numPr>
          <w:ilvl w:val="0"/>
          <w:numId w:val="5"/>
        </w:numPr>
        <w:tabs>
          <w:tab w:val="clear" w:pos="1224"/>
        </w:tabs>
        <w:spacing w:after="120"/>
        <w:ind w:left="1890"/>
        <w:rPr>
          <w:szCs w:val="22"/>
        </w:rPr>
      </w:pPr>
      <w:r>
        <w:rPr>
          <w:szCs w:val="22"/>
        </w:rPr>
        <w:t>“Tesla</w:t>
      </w:r>
      <w:r w:rsidRPr="007C0B39">
        <w:rPr>
          <w:szCs w:val="22"/>
        </w:rPr>
        <w:t>” means</w:t>
      </w:r>
      <w:r>
        <w:rPr>
          <w:szCs w:val="22"/>
        </w:rPr>
        <w:t xml:space="preserve"> Tesla Exploration, Inc. </w:t>
      </w:r>
      <w:r w:rsidRPr="007C0B39">
        <w:rPr>
          <w:szCs w:val="22"/>
        </w:rPr>
        <w:t>and its affiliates, subsidiaries, predecessors-in-interest, and successors-in-interest.</w:t>
      </w:r>
    </w:p>
    <w:p w14:paraId="2AA93FB9" w14:textId="77777777" w:rsidR="00721D0B" w:rsidRPr="007C0B39" w:rsidRDefault="00721D0B" w:rsidP="00721D0B">
      <w:pPr>
        <w:pStyle w:val="Heading1"/>
        <w:rPr>
          <w:szCs w:val="22"/>
        </w:rPr>
      </w:pPr>
      <w:r w:rsidRPr="007C0B39">
        <w:t>BACKGROUND</w:t>
      </w:r>
    </w:p>
    <w:p w14:paraId="39FE5ED2" w14:textId="77777777" w:rsidR="00721D0B" w:rsidRPr="007C0B39" w:rsidRDefault="00721D0B" w:rsidP="00721D0B">
      <w:pPr>
        <w:pStyle w:val="ParaNum"/>
      </w:pPr>
      <w:r w:rsidRPr="009216B9">
        <w:t>The Commission’s</w:t>
      </w:r>
      <w:r>
        <w:t xml:space="preserve"> station authorization rules ensure that licensees operate their stations within authorized parameters to avoid interference with public safety and other licensed operations and support the security and available of the nation’s wireless networks.  Section 301 </w:t>
      </w:r>
      <w:r w:rsidRPr="004318C1">
        <w:rPr>
          <w:snapToGrid/>
          <w:color w:val="000000"/>
          <w:spacing w:val="-2"/>
          <w:kern w:val="0"/>
          <w:szCs w:val="22"/>
        </w:rPr>
        <w:t>of the Act states that no person shall use or operate any apparatus for the transmission of energy or communications or signals by radio within the United States, except under and in accordance with the Act and with a license issued by the Commission.</w:t>
      </w:r>
      <w:r w:rsidRPr="004318C1">
        <w:rPr>
          <w:snapToGrid/>
          <w:color w:val="000000"/>
          <w:spacing w:val="-2"/>
          <w:kern w:val="0"/>
          <w:szCs w:val="22"/>
          <w:vertAlign w:val="superscript"/>
        </w:rPr>
        <w:footnoteReference w:id="14"/>
      </w:r>
      <w:r w:rsidRPr="004318C1">
        <w:rPr>
          <w:snapToGrid/>
          <w:color w:val="000000"/>
          <w:spacing w:val="-2"/>
          <w:kern w:val="0"/>
          <w:szCs w:val="22"/>
        </w:rPr>
        <w:t xml:space="preserve">  </w:t>
      </w:r>
      <w:r>
        <w:rPr>
          <w:snapToGrid/>
          <w:color w:val="000000"/>
          <w:spacing w:val="-2"/>
          <w:kern w:val="0"/>
          <w:szCs w:val="22"/>
        </w:rPr>
        <w:t xml:space="preserve">Similarly, </w:t>
      </w:r>
      <w:r w:rsidRPr="004318C1">
        <w:rPr>
          <w:snapToGrid/>
          <w:color w:val="000000"/>
          <w:spacing w:val="-2"/>
          <w:kern w:val="0"/>
          <w:szCs w:val="22"/>
        </w:rPr>
        <w:t>Section 1.903(a) of the Rules provides that stations in the Wireless Radio Services must be used and operated only in accordance with the rules applicable to their particular service and with a valid authorization granted by the Commission</w:t>
      </w:r>
      <w:r w:rsidRPr="004318C1">
        <w:rPr>
          <w:snapToGrid/>
          <w:color w:val="000000"/>
          <w:spacing w:val="-3"/>
          <w:kern w:val="0"/>
          <w:szCs w:val="22"/>
        </w:rPr>
        <w:t>.</w:t>
      </w:r>
      <w:r>
        <w:rPr>
          <w:rStyle w:val="FootnoteReference"/>
          <w:snapToGrid/>
          <w:spacing w:val="-3"/>
          <w:kern w:val="0"/>
          <w:szCs w:val="22"/>
        </w:rPr>
        <w:footnoteReference w:id="15"/>
      </w:r>
      <w:r w:rsidRPr="004318C1">
        <w:rPr>
          <w:snapToGrid/>
          <w:color w:val="000000"/>
          <w:spacing w:val="-2"/>
          <w:kern w:val="0"/>
          <w:szCs w:val="22"/>
        </w:rPr>
        <w:t xml:space="preserve">  Section 1.903(b) further provides that the “holding of an authorization does not create any rights beyond the terms, conditions, and period specified in the authorization.”</w:t>
      </w:r>
      <w:r w:rsidRPr="004318C1">
        <w:rPr>
          <w:snapToGrid/>
          <w:color w:val="000000"/>
          <w:spacing w:val="-2"/>
          <w:kern w:val="0"/>
          <w:szCs w:val="22"/>
          <w:vertAlign w:val="superscript"/>
        </w:rPr>
        <w:footnoteReference w:id="16"/>
      </w:r>
      <w:r w:rsidRPr="004318C1">
        <w:rPr>
          <w:snapToGrid/>
          <w:color w:val="000000"/>
          <w:spacing w:val="-2"/>
          <w:kern w:val="0"/>
          <w:szCs w:val="22"/>
        </w:rPr>
        <w:t xml:space="preserve"> </w:t>
      </w:r>
    </w:p>
    <w:p w14:paraId="6E88641F" w14:textId="77777777" w:rsidR="00721D0B" w:rsidRDefault="00721D0B" w:rsidP="00721D0B">
      <w:pPr>
        <w:pStyle w:val="ParaNum"/>
        <w:widowControl/>
      </w:pPr>
      <w:r>
        <w:rPr>
          <w:spacing w:val="-2"/>
        </w:rPr>
        <w:t>Tesla</w:t>
      </w:r>
      <w:r w:rsidRPr="00F8779B">
        <w:rPr>
          <w:spacing w:val="-2"/>
        </w:rPr>
        <w:t xml:space="preserve"> is the licensee of Station </w:t>
      </w:r>
      <w:r>
        <w:rPr>
          <w:spacing w:val="-2"/>
        </w:rPr>
        <w:t>KD29596</w:t>
      </w:r>
      <w:r w:rsidRPr="00F8779B">
        <w:rPr>
          <w:spacing w:val="-2"/>
        </w:rPr>
        <w:t xml:space="preserve"> in</w:t>
      </w:r>
      <w:r>
        <w:rPr>
          <w:spacing w:val="-2"/>
        </w:rPr>
        <w:t xml:space="preserve"> Greenwood Village</w:t>
      </w:r>
      <w:r w:rsidRPr="00F8779B">
        <w:rPr>
          <w:spacing w:val="-2"/>
        </w:rPr>
        <w:t xml:space="preserve">, </w:t>
      </w:r>
      <w:r>
        <w:rPr>
          <w:spacing w:val="-2"/>
        </w:rPr>
        <w:t>Colorado</w:t>
      </w:r>
      <w:r w:rsidRPr="00F8779B">
        <w:rPr>
          <w:spacing w:val="-2"/>
        </w:rPr>
        <w:t xml:space="preserve">.  On </w:t>
      </w:r>
      <w:r>
        <w:rPr>
          <w:spacing w:val="-2"/>
        </w:rPr>
        <w:t>August 3, 2012,</w:t>
      </w:r>
      <w:r w:rsidRPr="00F8779B">
        <w:rPr>
          <w:spacing w:val="-2"/>
        </w:rPr>
        <w:t xml:space="preserve"> the Commission issued the NAL </w:t>
      </w:r>
      <w:r>
        <w:rPr>
          <w:spacing w:val="-2"/>
        </w:rPr>
        <w:t xml:space="preserve">against Tesla </w:t>
      </w:r>
      <w:r w:rsidRPr="00F8779B">
        <w:rPr>
          <w:spacing w:val="-2"/>
        </w:rPr>
        <w:t>for</w:t>
      </w:r>
      <w:r>
        <w:rPr>
          <w:spacing w:val="-2"/>
        </w:rPr>
        <w:t xml:space="preserve"> apparently violating the Station Authorization Rules by operating radio transmitting equipment on eleven unauthorized frequencies</w:t>
      </w:r>
      <w:r w:rsidRPr="00F8779B">
        <w:rPr>
          <w:spacing w:val="-2"/>
        </w:rPr>
        <w:t>.</w:t>
      </w:r>
      <w:r>
        <w:rPr>
          <w:rStyle w:val="FootnoteReference"/>
          <w:spacing w:val="-2"/>
        </w:rPr>
        <w:footnoteReference w:id="17"/>
      </w:r>
      <w:r>
        <w:rPr>
          <w:spacing w:val="-2"/>
        </w:rPr>
        <w:t xml:space="preserve">  The</w:t>
      </w:r>
      <w:r w:rsidRPr="004D18DF">
        <w:rPr>
          <w:spacing w:val="-2"/>
        </w:rPr>
        <w:t xml:space="preserve"> unauthorized </w:t>
      </w:r>
      <w:r>
        <w:rPr>
          <w:spacing w:val="-2"/>
        </w:rPr>
        <w:t xml:space="preserve">operations </w:t>
      </w:r>
      <w:r w:rsidRPr="004D18DF">
        <w:rPr>
          <w:spacing w:val="-2"/>
        </w:rPr>
        <w:t xml:space="preserve">caused </w:t>
      </w:r>
      <w:r>
        <w:rPr>
          <w:spacing w:val="-2"/>
        </w:rPr>
        <w:t>harmful interference to licensed communications, including public safety operations.</w:t>
      </w:r>
      <w:r>
        <w:rPr>
          <w:rStyle w:val="FootnoteReference"/>
          <w:spacing w:val="-2"/>
        </w:rPr>
        <w:footnoteReference w:id="18"/>
      </w:r>
      <w:r w:rsidRPr="004D18DF">
        <w:rPr>
          <w:spacing w:val="-2"/>
        </w:rPr>
        <w:t xml:space="preserve">  </w:t>
      </w:r>
      <w:r>
        <w:t>Upon notification of its apparent violations, Tesla ceased operations on the unauthorized frequencies and dismantled its radio transmitting equipment.</w:t>
      </w:r>
      <w:r>
        <w:rPr>
          <w:rStyle w:val="FootnoteReference"/>
        </w:rPr>
        <w:footnoteReference w:id="19"/>
      </w:r>
      <w:r>
        <w:t xml:space="preserve">  </w:t>
      </w:r>
      <w:bookmarkStart w:id="1" w:name="FN[FN18]"/>
      <w:bookmarkEnd w:id="1"/>
    </w:p>
    <w:p w14:paraId="0175DE32" w14:textId="77777777" w:rsidR="00721D0B" w:rsidRPr="007C0B39" w:rsidRDefault="00721D0B" w:rsidP="00721D0B">
      <w:pPr>
        <w:pStyle w:val="Heading1"/>
      </w:pPr>
      <w:r>
        <w:t>T</w:t>
      </w:r>
      <w:r w:rsidRPr="007C0B39">
        <w:t>ERMS OF AGREEMENT</w:t>
      </w:r>
    </w:p>
    <w:p w14:paraId="21D9CB0E" w14:textId="77777777" w:rsidR="00721D0B" w:rsidRPr="007C0B39" w:rsidRDefault="00721D0B" w:rsidP="00721D0B">
      <w:pPr>
        <w:pStyle w:val="ParaNum"/>
        <w:rPr>
          <w:szCs w:val="22"/>
        </w:rPr>
      </w:pPr>
      <w:r w:rsidRPr="007C0B39">
        <w:rPr>
          <w:b/>
          <w:szCs w:val="22"/>
          <w:u w:val="single"/>
        </w:rPr>
        <w:t>Adopting Order</w:t>
      </w:r>
      <w:r w:rsidRPr="007C0B39">
        <w:rPr>
          <w:szCs w:val="22"/>
        </w:rPr>
        <w:t>.  The provisions of this Consent Decree shall be incorporated by the Bureau in an Adopting Order.</w:t>
      </w:r>
    </w:p>
    <w:p w14:paraId="3B4F95FA" w14:textId="77777777" w:rsidR="00721D0B" w:rsidRPr="007C0B39" w:rsidRDefault="00721D0B" w:rsidP="00721D0B">
      <w:pPr>
        <w:pStyle w:val="ParaNum"/>
        <w:rPr>
          <w:szCs w:val="22"/>
        </w:rPr>
      </w:pPr>
      <w:r w:rsidRPr="007C0B39">
        <w:rPr>
          <w:b/>
          <w:szCs w:val="22"/>
          <w:u w:val="single"/>
        </w:rPr>
        <w:t>Jurisdiction</w:t>
      </w:r>
      <w:r>
        <w:rPr>
          <w:szCs w:val="22"/>
        </w:rPr>
        <w:t>.  Tesla</w:t>
      </w:r>
      <w:r w:rsidRPr="007C0B39">
        <w:rPr>
          <w:szCs w:val="22"/>
        </w:rPr>
        <w:t xml:space="preserve"> agrees that the Bureau has jurisdiction over it and the matters contained in this Consent Decree and has the </w:t>
      </w:r>
      <w:r w:rsidRPr="00ED419F">
        <w:t>authority</w:t>
      </w:r>
      <w:r w:rsidRPr="007C0B39">
        <w:rPr>
          <w:szCs w:val="22"/>
        </w:rPr>
        <w:t xml:space="preserve"> to enter into and adopt this Consent Decree.</w:t>
      </w:r>
    </w:p>
    <w:p w14:paraId="77397E82" w14:textId="77777777" w:rsidR="00721D0B" w:rsidRPr="007C0B39" w:rsidRDefault="00721D0B" w:rsidP="00721D0B">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73B72BEC" w14:textId="77777777" w:rsidR="00721D0B" w:rsidRPr="00274246" w:rsidRDefault="00721D0B" w:rsidP="00721D0B">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 xml:space="preserve">Tesla </w:t>
      </w:r>
      <w:r w:rsidRPr="007C0B39">
        <w:rPr>
          <w:szCs w:val="22"/>
        </w:rPr>
        <w:t>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w:t>
      </w:r>
      <w:r>
        <w:rPr>
          <w:szCs w:val="22"/>
        </w:rPr>
        <w:t xml:space="preserve"> Tesla</w:t>
      </w:r>
      <w:r w:rsidRPr="007C0B39">
        <w:rPr>
          <w:szCs w:val="22"/>
        </w:rPr>
        <w:t xml:space="preserve"> concerning the matters that were the subject of the Investigation.</w:t>
      </w:r>
      <w:r>
        <w:rPr>
          <w:szCs w:val="22"/>
        </w:rPr>
        <w:t xml:space="preserve">  </w:t>
      </w:r>
      <w:r w:rsidRPr="008A1C19">
        <w:rPr>
          <w:szCs w:val="22"/>
        </w:rPr>
        <w:t>The Bureau also agrees that, in the absence of new material evidence, it will not use the facts developed in the Investigation through the Effective Date, or the existence of this Consent Decree, to institute</w:t>
      </w:r>
      <w:r>
        <w:rPr>
          <w:szCs w:val="22"/>
        </w:rPr>
        <w:t>,</w:t>
      </w:r>
      <w:r w:rsidRPr="008A1C19">
        <w:rPr>
          <w:szCs w:val="22"/>
        </w:rPr>
        <w:t xml:space="preserve"> on its own motion</w:t>
      </w:r>
      <w:r>
        <w:rPr>
          <w:szCs w:val="22"/>
        </w:rPr>
        <w:t>,</w:t>
      </w:r>
      <w:r w:rsidRPr="008A1C19">
        <w:rPr>
          <w:szCs w:val="22"/>
        </w:rPr>
        <w:t xml:space="preserve"> any </w:t>
      </w:r>
      <w:r>
        <w:rPr>
          <w:szCs w:val="22"/>
        </w:rPr>
        <w:t xml:space="preserve">new </w:t>
      </w:r>
      <w:r w:rsidRPr="008A1C19">
        <w:rPr>
          <w:szCs w:val="22"/>
        </w:rPr>
        <w:t xml:space="preserve">proceeding, formal or informal, or take any action on its own motion against </w:t>
      </w:r>
      <w:r>
        <w:rPr>
          <w:szCs w:val="22"/>
        </w:rPr>
        <w:t>Tesla</w:t>
      </w:r>
      <w:r w:rsidRPr="008A1C19">
        <w:rPr>
          <w:szCs w:val="22"/>
        </w:rPr>
        <w:t xml:space="preserve"> with respect to its basic qualifications, including its character qualifications, to be a Commission licensee or hold Commission licenses or authorizations.</w:t>
      </w:r>
    </w:p>
    <w:p w14:paraId="551CEFC0" w14:textId="77777777" w:rsidR="00721D0B" w:rsidRPr="00E86022" w:rsidRDefault="00721D0B" w:rsidP="00721D0B">
      <w:pPr>
        <w:pStyle w:val="ParaNum"/>
        <w:rPr>
          <w:szCs w:val="22"/>
        </w:rPr>
      </w:pPr>
      <w:r w:rsidRPr="00E86022">
        <w:rPr>
          <w:b/>
          <w:u w:val="single"/>
        </w:rPr>
        <w:t>Admission of Liability</w:t>
      </w:r>
      <w:r w:rsidRPr="00E86022">
        <w:t xml:space="preserve">.  </w:t>
      </w:r>
      <w:r>
        <w:t>Tesla</w:t>
      </w:r>
      <w:r w:rsidRPr="00E86022">
        <w:t xml:space="preserve"> admits for the purpose of this Consent Decree and for Commission civil</w:t>
      </w:r>
      <w:r w:rsidRPr="007C0B39">
        <w:t xml:space="preserve"> enforcement purposes, and in express reliance on the provisions of paragraph </w:t>
      </w:r>
      <w:r>
        <w:t>8</w:t>
      </w:r>
      <w:r w:rsidRPr="007C0B39">
        <w:t xml:space="preserve"> herein,</w:t>
      </w:r>
      <w:r w:rsidRPr="00E86022">
        <w:rPr>
          <w:szCs w:val="22"/>
        </w:rPr>
        <w:t xml:space="preserve"> that its actions referenced in paragraph 4</w:t>
      </w:r>
      <w:r>
        <w:rPr>
          <w:szCs w:val="22"/>
        </w:rPr>
        <w:t xml:space="preserve"> herein and the NAL violated the Station Authorization Rules</w:t>
      </w:r>
      <w:r w:rsidRPr="00E86022">
        <w:rPr>
          <w:szCs w:val="22"/>
        </w:rPr>
        <w:t>.</w:t>
      </w:r>
    </w:p>
    <w:p w14:paraId="52266BB2" w14:textId="77777777" w:rsidR="00721D0B" w:rsidRPr="007C0B39" w:rsidRDefault="00721D0B" w:rsidP="00721D0B">
      <w:pPr>
        <w:pStyle w:val="ParaNum"/>
        <w:rPr>
          <w:szCs w:val="22"/>
        </w:rPr>
      </w:pPr>
      <w:bookmarkStart w:id="2"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Tesla</w:t>
      </w:r>
      <w:r w:rsidRPr="007C0B39">
        <w:rPr>
          <w:szCs w:val="22"/>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zCs w:val="22"/>
        </w:rPr>
        <w:t xml:space="preserve">Tesla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rPr>
          <w:szCs w:val="22"/>
        </w:rPr>
        <w:t>Station Authorization Rules</w:t>
      </w:r>
      <w:r w:rsidRPr="007C0B39">
        <w:rPr>
          <w:szCs w:val="22"/>
        </w:rPr>
        <w:t xml:space="preserve"> prior to assuming his/her duties.</w:t>
      </w:r>
      <w:bookmarkEnd w:id="2"/>
    </w:p>
    <w:p w14:paraId="26FE686D" w14:textId="77777777" w:rsidR="00721D0B" w:rsidRPr="007C0B39" w:rsidRDefault="00721D0B" w:rsidP="00721D0B">
      <w:pPr>
        <w:pStyle w:val="ParaNum"/>
        <w:rPr>
          <w:szCs w:val="22"/>
        </w:rPr>
      </w:pPr>
      <w:bookmarkStart w:id="3" w:name="_Ref357521857"/>
      <w:r w:rsidRPr="007C0B39">
        <w:rPr>
          <w:b/>
          <w:szCs w:val="22"/>
          <w:u w:val="single"/>
        </w:rPr>
        <w:t>Compliance Plan</w:t>
      </w:r>
      <w:r w:rsidRPr="007C0B39">
        <w:rPr>
          <w:szCs w:val="22"/>
        </w:rPr>
        <w:t xml:space="preserve">.  For purposes of settling the matters set forth herein, </w:t>
      </w:r>
      <w:r>
        <w:rPr>
          <w:szCs w:val="22"/>
        </w:rPr>
        <w:t>Tesla</w:t>
      </w:r>
      <w:r w:rsidRPr="007C0B39">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w:t>
      </w:r>
      <w:r>
        <w:rPr>
          <w:szCs w:val="22"/>
        </w:rPr>
        <w:t>Station Authorization Rules</w:t>
      </w:r>
      <w:r w:rsidRPr="007C0B39">
        <w:rPr>
          <w:szCs w:val="22"/>
        </w:rPr>
        <w:t xml:space="preserve">, </w:t>
      </w:r>
      <w:r>
        <w:rPr>
          <w:szCs w:val="22"/>
        </w:rPr>
        <w:t>Tesla</w:t>
      </w:r>
      <w:r w:rsidRPr="007C0B39">
        <w:rPr>
          <w:szCs w:val="22"/>
        </w:rPr>
        <w:t xml:space="preserve"> will implement, at a minimum, the following procedures:</w:t>
      </w:r>
      <w:bookmarkEnd w:id="3"/>
    </w:p>
    <w:p w14:paraId="08F8F27F" w14:textId="77777777" w:rsidR="00721D0B" w:rsidRPr="007C0B39" w:rsidRDefault="00721D0B" w:rsidP="00721D0B">
      <w:pPr>
        <w:widowControl/>
        <w:numPr>
          <w:ilvl w:val="0"/>
          <w:numId w:val="6"/>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 xml:space="preserve">Tesla </w:t>
      </w:r>
      <w:r w:rsidRPr="007C0B39">
        <w:rPr>
          <w:szCs w:val="22"/>
        </w:rPr>
        <w:t xml:space="preserve">shall establish Operating Procedures that all Covered Employees must follow to help ensure </w:t>
      </w:r>
      <w:r>
        <w:rPr>
          <w:szCs w:val="22"/>
        </w:rPr>
        <w:t>Tesla</w:t>
      </w:r>
      <w:r w:rsidRPr="007C0B39">
        <w:rPr>
          <w:szCs w:val="22"/>
        </w:rPr>
        <w:t>’s c</w:t>
      </w:r>
      <w:r>
        <w:rPr>
          <w:szCs w:val="22"/>
        </w:rPr>
        <w:t>ompliance with the Station Authorization Rules</w:t>
      </w:r>
      <w:r w:rsidRPr="007C0B39">
        <w:rPr>
          <w:szCs w:val="22"/>
        </w:rPr>
        <w:t xml:space="preserve">. </w:t>
      </w:r>
      <w:r>
        <w:rPr>
          <w:szCs w:val="22"/>
        </w:rPr>
        <w:t>Tesla’</w:t>
      </w:r>
      <w:r w:rsidRPr="007C0B39">
        <w:rPr>
          <w:szCs w:val="22"/>
        </w:rPr>
        <w:t xml:space="preserve">s Operating Procedures shall include internal procedures and policies specifically designed to ensure that </w:t>
      </w:r>
      <w:r>
        <w:rPr>
          <w:szCs w:val="22"/>
        </w:rPr>
        <w:t xml:space="preserve">it operates its radio stations in accordance with its Commission authorization and on authorized frequencies.  Tesla </w:t>
      </w:r>
      <w:r w:rsidRPr="007C0B39">
        <w:rPr>
          <w:szCs w:val="22"/>
        </w:rPr>
        <w:t xml:space="preserve">shall also develop a Compliance Checklist that describes the steps that a Covered Employee must follow to ensure compliance </w:t>
      </w:r>
      <w:r>
        <w:rPr>
          <w:szCs w:val="22"/>
        </w:rPr>
        <w:t>with the Station Authorization Rules</w:t>
      </w:r>
      <w:r w:rsidRPr="007C0B39">
        <w:rPr>
          <w:szCs w:val="22"/>
        </w:rPr>
        <w:t>.</w:t>
      </w:r>
    </w:p>
    <w:p w14:paraId="517B9DE5" w14:textId="77777777" w:rsidR="00721D0B" w:rsidRPr="007C0B39" w:rsidRDefault="00721D0B" w:rsidP="00721D0B">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rPr>
          <w:szCs w:val="22"/>
        </w:rPr>
        <w:t>Station Authorization Rules</w:t>
      </w:r>
      <w:r w:rsidRPr="007C0B39">
        <w:rPr>
          <w:szCs w:val="22"/>
        </w:rPr>
        <w:t xml:space="preserve"> and set forth the Operating Procedures that Covered Employees shall follow to help ensure </w:t>
      </w:r>
      <w:r>
        <w:rPr>
          <w:szCs w:val="22"/>
        </w:rPr>
        <w:t>Tesla</w:t>
      </w:r>
      <w:r w:rsidRPr="007C0B39">
        <w:rPr>
          <w:szCs w:val="22"/>
        </w:rPr>
        <w:t xml:space="preserve">’s compliance with the </w:t>
      </w:r>
      <w:r>
        <w:rPr>
          <w:szCs w:val="22"/>
        </w:rPr>
        <w:t>Station Authorization Rules</w:t>
      </w:r>
      <w:r w:rsidRPr="007C0B39">
        <w:rPr>
          <w:szCs w:val="22"/>
        </w:rPr>
        <w:t xml:space="preserve">.  </w:t>
      </w:r>
      <w:r>
        <w:rPr>
          <w:szCs w:val="22"/>
        </w:rPr>
        <w:t>Tesla</w:t>
      </w:r>
      <w:r w:rsidRPr="007C0B39">
        <w:rPr>
          <w:szCs w:val="22"/>
        </w:rPr>
        <w:t xml:space="preserve"> shall periodically review and revise the Compliance Manual as necessary to ensure that the information set forth therein remains current and accurate.  </w:t>
      </w:r>
      <w:r>
        <w:rPr>
          <w:szCs w:val="22"/>
        </w:rPr>
        <w:t>Tesla</w:t>
      </w:r>
      <w:r w:rsidRPr="007C0B39">
        <w:rPr>
          <w:szCs w:val="22"/>
        </w:rPr>
        <w:t xml:space="preserve"> shall distribute any revisions to the Compliance Manual promptly to all Covered Employees.</w:t>
      </w:r>
    </w:p>
    <w:p w14:paraId="0E653708" w14:textId="77777777" w:rsidR="00721D0B" w:rsidRPr="007C0B39" w:rsidRDefault="00721D0B" w:rsidP="00721D0B">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Pr>
          <w:szCs w:val="22"/>
        </w:rPr>
        <w:t>Tesla</w:t>
      </w:r>
      <w:r w:rsidRPr="007C0B39">
        <w:rPr>
          <w:szCs w:val="22"/>
        </w:rPr>
        <w:t xml:space="preserve"> shall establish and implement a Compliance Training Program on compliance with the </w:t>
      </w:r>
      <w:r>
        <w:rPr>
          <w:szCs w:val="22"/>
        </w:rPr>
        <w:t>Station Authorization Rules</w:t>
      </w:r>
      <w:r w:rsidRPr="007C0B39">
        <w:rPr>
          <w:szCs w:val="22"/>
        </w:rPr>
        <w:t xml:space="preserve"> and the Operating Procedures.  As part of the Compliance Training Program, Covered Employees shall be advised of </w:t>
      </w:r>
      <w:r>
        <w:rPr>
          <w:szCs w:val="22"/>
        </w:rPr>
        <w:t>Tesla</w:t>
      </w:r>
      <w:r w:rsidRPr="007C0B39">
        <w:rPr>
          <w:szCs w:val="22"/>
        </w:rPr>
        <w:t xml:space="preserve">’s obligation to report any noncompliance with the </w:t>
      </w:r>
      <w:r>
        <w:rPr>
          <w:szCs w:val="22"/>
        </w:rPr>
        <w:t xml:space="preserve">Station Authorization Rules </w:t>
      </w:r>
      <w:r w:rsidRPr="007C0B39">
        <w:rPr>
          <w:szCs w:val="22"/>
        </w:rPr>
        <w:t xml:space="preserve">under paragraph </w:t>
      </w:r>
      <w:r>
        <w:rPr>
          <w:szCs w:val="22"/>
        </w:rPr>
        <w:t xml:space="preserve">12 </w:t>
      </w:r>
      <w:r w:rsidRPr="007C0B39">
        <w:rPr>
          <w:szCs w:val="22"/>
        </w:rPr>
        <w:t xml:space="preserve">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Pr>
          <w:szCs w:val="22"/>
        </w:rPr>
        <w:t xml:space="preserve"> Tesla</w:t>
      </w:r>
      <w:r w:rsidRPr="007C0B39">
        <w:rPr>
          <w:szCs w:val="22"/>
        </w:rPr>
        <w:t xml:space="preserve"> shall repeat compliance training on an annual basis, and shall periodically review and revise the Compliance Training Program as necessary to ensure that it remains current and complete and to enhance its effectiveness.</w:t>
      </w:r>
    </w:p>
    <w:p w14:paraId="5BFCE367" w14:textId="77777777" w:rsidR="00721D0B" w:rsidRPr="007C0B39" w:rsidRDefault="00721D0B" w:rsidP="00721D0B">
      <w:pPr>
        <w:pStyle w:val="ParaNum"/>
      </w:pPr>
      <w:bookmarkStart w:id="4" w:name="_Ref321323028"/>
      <w:r w:rsidRPr="007C0B39">
        <w:rPr>
          <w:b/>
          <w:u w:val="single"/>
        </w:rPr>
        <w:t>Reporting Noncompliance</w:t>
      </w:r>
      <w:r w:rsidRPr="007C0B39">
        <w:t xml:space="preserve">.  </w:t>
      </w:r>
      <w:r>
        <w:t>Tesla</w:t>
      </w:r>
      <w:r w:rsidRPr="007C0B39">
        <w:t xml:space="preserve"> shall re</w:t>
      </w:r>
      <w:r>
        <w:t xml:space="preserve">port any noncompliance with the </w:t>
      </w:r>
      <w:r>
        <w:rPr>
          <w:szCs w:val="22"/>
        </w:rPr>
        <w:t>Station Authorization Rules</w:t>
      </w:r>
      <w:r w:rsidRPr="007C0B39">
        <w:t xml:space="preserve"> and with the terms and conditions of this Consent Decree within fifteen (15) calendar days after discovery of such noncompliance.  Such reports shall include a detailed explanation of:  (i) each instance of noncompliance; (ii) the steps that </w:t>
      </w:r>
      <w:r>
        <w:t>Tesla</w:t>
      </w:r>
      <w:r w:rsidRPr="007C0B39">
        <w:t xml:space="preserve"> has taken or will take to remedy such noncompliance; (iii) the schedule on which such remedial actions will be</w:t>
      </w:r>
      <w:r>
        <w:t xml:space="preserve"> taken; and (iv) the steps that Tesla</w:t>
      </w:r>
      <w:r w:rsidRPr="007C0B39">
        <w:t xml:space="preserve"> has taken or will take to prevent the recurrence of any such noncompliance.  All reports of noncompliance shall be submitted to </w:t>
      </w:r>
      <w:r>
        <w:t>Federal Communications Commission, Enforcement Bureau, Northeast Region</w:t>
      </w:r>
      <w:r w:rsidRPr="007C0B39">
        <w:t>,</w:t>
      </w:r>
      <w:r>
        <w:t xml:space="preserve"> Philadelphia Office, One Oxford Valley Building, Suite 404, 2300 East Lincoln Highway, Langhorne, Pennsylvania 19047, </w:t>
      </w:r>
      <w:r w:rsidRPr="007C0B39">
        <w:t xml:space="preserve">with a copy submitted electronically to </w:t>
      </w:r>
      <w:r>
        <w:t>NER-Response@fcc.gov</w:t>
      </w:r>
      <w:r w:rsidRPr="007C0B39">
        <w:t>.</w:t>
      </w:r>
      <w:bookmarkEnd w:id="4"/>
    </w:p>
    <w:p w14:paraId="0FACDAC9" w14:textId="77777777" w:rsidR="00721D0B" w:rsidRPr="007C0B39" w:rsidRDefault="00721D0B" w:rsidP="00721D0B">
      <w:pPr>
        <w:pStyle w:val="ParaNum"/>
        <w:rPr>
          <w:caps/>
        </w:rPr>
      </w:pPr>
      <w:bookmarkStart w:id="5" w:name="_Ref379202892"/>
      <w:r w:rsidRPr="007C0B39">
        <w:rPr>
          <w:b/>
          <w:u w:val="single"/>
        </w:rPr>
        <w:t>Compliance Reports</w:t>
      </w:r>
      <w:r>
        <w:t>.  Tesla</w:t>
      </w:r>
      <w:r w:rsidRPr="007C0B39">
        <w:t xml:space="preserve"> shall file compliance reports with the Commission ninety (90) calendar days after the Effective Date, twelve (12) months after the Effective Date, twenty-four (24) months after the Effective Date, and thirty-six (36) months after the Effective Date.</w:t>
      </w:r>
      <w:bookmarkEnd w:id="5"/>
      <w:r w:rsidRPr="007C0B39">
        <w:t xml:space="preserve"> </w:t>
      </w:r>
    </w:p>
    <w:p w14:paraId="755207DD" w14:textId="77777777" w:rsidR="00721D0B" w:rsidRPr="007C0B39" w:rsidRDefault="00721D0B" w:rsidP="00721D0B">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Pr>
          <w:szCs w:val="22"/>
        </w:rPr>
        <w:t>Tesla</w:t>
      </w:r>
      <w:r w:rsidRPr="007C0B39">
        <w:rPr>
          <w:szCs w:val="22"/>
        </w:rPr>
        <w:t xml:space="preserve">’s efforts during the relevant period to comply with the terms and conditions of this Consent Decree and the </w:t>
      </w:r>
      <w:r>
        <w:rPr>
          <w:szCs w:val="22"/>
        </w:rPr>
        <w:t>Station Authorization Rules</w:t>
      </w:r>
      <w:r w:rsidRPr="007C0B39">
        <w:rPr>
          <w:szCs w:val="22"/>
        </w:rPr>
        <w:t xml:space="preserve">.  In addition, each Compliance Report shall include a certification by the Compliance Officer, as an agent of and on behalf of </w:t>
      </w:r>
      <w:r>
        <w:rPr>
          <w:szCs w:val="22"/>
        </w:rPr>
        <w:t>Tesla</w:t>
      </w:r>
      <w:r w:rsidRPr="007C0B39">
        <w:rPr>
          <w:szCs w:val="22"/>
        </w:rPr>
        <w:t>, stating that the Compliance Officer has personal knowledge that</w:t>
      </w:r>
      <w:r>
        <w:rPr>
          <w:szCs w:val="22"/>
        </w:rPr>
        <w:t xml:space="preserve"> Tesla</w:t>
      </w:r>
      <w:r w:rsidRPr="007C0B39">
        <w:t>:</w:t>
      </w:r>
      <w:r w:rsidRPr="007C0B39">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t>12</w:t>
      </w:r>
      <w:r w:rsidRPr="007C0B39">
        <w:rPr>
          <w:b/>
          <w:szCs w:val="22"/>
        </w:rPr>
        <w:t xml:space="preserve"> </w:t>
      </w:r>
      <w:r w:rsidRPr="007C0B39">
        <w:rPr>
          <w:szCs w:val="22"/>
        </w:rPr>
        <w:t>of this Consent Decree.</w:t>
      </w:r>
    </w:p>
    <w:p w14:paraId="6704A7FD" w14:textId="77777777" w:rsidR="00721D0B" w:rsidRPr="007C0B39" w:rsidRDefault="00721D0B" w:rsidP="00721D0B">
      <w:pPr>
        <w:widowControl/>
        <w:numPr>
          <w:ilvl w:val="0"/>
          <w:numId w:val="7"/>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20"/>
      </w:r>
    </w:p>
    <w:p w14:paraId="38AD74BF" w14:textId="77777777" w:rsidR="00721D0B" w:rsidRPr="007C0B39" w:rsidRDefault="00721D0B" w:rsidP="00721D0B">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Pr>
          <w:szCs w:val="22"/>
        </w:rPr>
        <w:t>Tesla</w:t>
      </w:r>
      <w:r w:rsidRPr="007C0B39">
        <w:rPr>
          <w:szCs w:val="22"/>
        </w:rPr>
        <w:t xml:space="preserve">, shall provide the Commission with a detailed explanation of the reason(s) why and describe fully:  (i) each instance of noncompliance; (ii) the steps that </w:t>
      </w:r>
      <w:r>
        <w:t>Tesla</w:t>
      </w:r>
      <w:r w:rsidRPr="007C0B39">
        <w:rPr>
          <w:szCs w:val="22"/>
        </w:rPr>
        <w:t xml:space="preserve"> has taken or will take to remedy such noncompliance, including the schedule on which proposed remedial actions will be </w:t>
      </w:r>
      <w:r>
        <w:rPr>
          <w:szCs w:val="22"/>
        </w:rPr>
        <w:t>taken; and (iii) the steps that Tesla</w:t>
      </w:r>
      <w:r w:rsidRPr="007C0B39">
        <w:rPr>
          <w:szCs w:val="22"/>
        </w:rPr>
        <w:t xml:space="preserve"> has taken or will take to prevent the recurrence of any such noncompliance, including the schedule on which such preventive action will be taken.</w:t>
      </w:r>
    </w:p>
    <w:p w14:paraId="71648313" w14:textId="77777777" w:rsidR="00721D0B" w:rsidRPr="007C0B39" w:rsidRDefault="00721D0B" w:rsidP="00721D0B">
      <w:pPr>
        <w:widowControl/>
        <w:numPr>
          <w:ilvl w:val="0"/>
          <w:numId w:val="7"/>
        </w:numPr>
        <w:tabs>
          <w:tab w:val="clear" w:pos="1782"/>
        </w:tabs>
        <w:spacing w:after="120"/>
        <w:ind w:left="1886" w:hanging="450"/>
        <w:rPr>
          <w:szCs w:val="22"/>
        </w:rPr>
      </w:pPr>
      <w:r w:rsidRPr="007C0B39">
        <w:rPr>
          <w:szCs w:val="22"/>
        </w:rPr>
        <w:t xml:space="preserve">All Compliance Reports shall be </w:t>
      </w:r>
      <w:r w:rsidRPr="007C0B39">
        <w:t xml:space="preserve">submitted to </w:t>
      </w:r>
      <w:r>
        <w:t>Federal Communications Commission, Enforcement Bureau, Northeast Region</w:t>
      </w:r>
      <w:r w:rsidRPr="007C0B39">
        <w:t>,</w:t>
      </w:r>
      <w:r>
        <w:t xml:space="preserve"> Philadelphia Office, One Oxford Valley Building, Suite 404, 2300 East Lincoln Highway, Langhorne, Pennsylvania 19047, </w:t>
      </w:r>
      <w:r w:rsidRPr="007C0B39">
        <w:t xml:space="preserve">with a copy submitted electronically to </w:t>
      </w:r>
      <w:r>
        <w:t>NER-Response@fcc.gov</w:t>
      </w:r>
      <w:r w:rsidRPr="007C0B39">
        <w:rPr>
          <w:szCs w:val="22"/>
        </w:rPr>
        <w:t>.</w:t>
      </w:r>
    </w:p>
    <w:p w14:paraId="380558E1" w14:textId="77777777" w:rsidR="00721D0B" w:rsidRDefault="00721D0B" w:rsidP="00721D0B">
      <w:pPr>
        <w:pStyle w:val="ParaNum"/>
      </w:pPr>
      <w:r w:rsidRPr="006B14DD">
        <w:rPr>
          <w:b/>
          <w:szCs w:val="22"/>
          <w:u w:val="single"/>
        </w:rPr>
        <w:t>Termination Date</w:t>
      </w:r>
      <w:r w:rsidRPr="006B14DD">
        <w:rPr>
          <w:szCs w:val="22"/>
        </w:rPr>
        <w:t xml:space="preserve">. </w:t>
      </w:r>
      <w:r w:rsidRPr="006B14DD">
        <w:rPr>
          <w:b/>
          <w:szCs w:val="22"/>
        </w:rPr>
        <w:t xml:space="preserve"> </w:t>
      </w:r>
      <w:r w:rsidRPr="006B14DD">
        <w:rPr>
          <w:szCs w:val="22"/>
        </w:rPr>
        <w:t xml:space="preserve">Unless stated otherwise, the </w:t>
      </w:r>
      <w:r w:rsidRPr="007C0B39">
        <w:t>requirements</w:t>
      </w:r>
      <w:r w:rsidRPr="006B14DD">
        <w:rPr>
          <w:szCs w:val="22"/>
        </w:rPr>
        <w:t xml:space="preserve"> set forth in paragraphs </w:t>
      </w:r>
      <w:r>
        <w:rPr>
          <w:szCs w:val="22"/>
        </w:rPr>
        <w:t>10</w:t>
      </w:r>
      <w:r w:rsidRPr="006B14DD">
        <w:rPr>
          <w:szCs w:val="22"/>
        </w:rPr>
        <w:t xml:space="preserve"> through </w:t>
      </w:r>
      <w:r>
        <w:rPr>
          <w:szCs w:val="22"/>
        </w:rPr>
        <w:t>13</w:t>
      </w:r>
      <w:r w:rsidRPr="006B14DD">
        <w:rPr>
          <w:szCs w:val="22"/>
        </w:rPr>
        <w:t xml:space="preserve"> of this Consent Decree shall expire thirty-six (36) months after the Effective Date.  </w:t>
      </w:r>
      <w:bookmarkStart w:id="6" w:name="_Ref357521957"/>
    </w:p>
    <w:p w14:paraId="402F75A6" w14:textId="77777777" w:rsidR="00721D0B" w:rsidRPr="007C0B39" w:rsidRDefault="00721D0B" w:rsidP="00721D0B">
      <w:pPr>
        <w:pStyle w:val="ParaNum"/>
      </w:pPr>
      <w:r w:rsidRPr="00B14DF6">
        <w:rPr>
          <w:b/>
          <w:u w:val="single"/>
        </w:rPr>
        <w:t>Civil Penalty</w:t>
      </w:r>
      <w:r w:rsidRPr="007C0B39">
        <w:t xml:space="preserve">.  </w:t>
      </w:r>
      <w:r>
        <w:t>Tesla</w:t>
      </w:r>
      <w:r w:rsidRPr="00D528BF">
        <w:t xml:space="preserve"> will pay a civil penalty to the United States Treasury in the amount of </w:t>
      </w:r>
      <w:r>
        <w:t xml:space="preserve">fifty thousand </w:t>
      </w:r>
      <w:r w:rsidRPr="00D528BF">
        <w:t>dollars ($</w:t>
      </w:r>
      <w:r>
        <w:t>50</w:t>
      </w:r>
      <w:r w:rsidRPr="00D528BF">
        <w:t>,</w:t>
      </w:r>
      <w:r>
        <w:t>000</w:t>
      </w:r>
      <w:r w:rsidRPr="00D528BF">
        <w:t xml:space="preserve">) within thirty (30) calendar days of the Effective Date (the Civil Penalty).  </w:t>
      </w:r>
      <w:r>
        <w:t>Tesla</w:t>
      </w:r>
      <w:r w:rsidRPr="00294E09">
        <w:rPr>
          <w:szCs w:val="22"/>
        </w:rPr>
        <w:t xml:space="preserve"> </w:t>
      </w:r>
      <w:r w:rsidRPr="007C0B39">
        <w:t xml:space="preserve">shall send electronic notification of </w:t>
      </w:r>
      <w:r>
        <w:t xml:space="preserve">the Civil Penalty </w:t>
      </w:r>
      <w:r w:rsidRPr="007C0B39">
        <w:t xml:space="preserve">payment to </w:t>
      </w:r>
      <w:r>
        <w:t>NER-Response@fcc.gov</w:t>
      </w:r>
      <w:r w:rsidRPr="007C0B39">
        <w:t xml:space="preserve"> </w:t>
      </w:r>
      <w:r>
        <w:t xml:space="preserve">on the date </w:t>
      </w:r>
      <w:r w:rsidRPr="007C0B39">
        <w:t>payment is made.</w:t>
      </w:r>
      <w:bookmarkEnd w:id="6"/>
      <w:r w:rsidRPr="007C0B39">
        <w:t xml:space="preserve">  </w:t>
      </w:r>
      <w:r w:rsidRPr="00294E09">
        <w:rPr>
          <w:szCs w:val="22"/>
        </w:rPr>
        <w:t xml:space="preserve">The </w:t>
      </w:r>
      <w:r w:rsidRPr="007C0B39">
        <w:t xml:space="preserve">payment </w:t>
      </w:r>
      <w:r w:rsidRPr="00294E09">
        <w:rPr>
          <w:szCs w:val="22"/>
        </w:rPr>
        <w:t>must be made by check or similar instrument, wire transfer, or credit card, and must include the NAL/Account Number and FRN referenced above</w:t>
      </w:r>
      <w:r w:rsidRPr="008B082A">
        <w:t>.</w:t>
      </w:r>
      <w:r w:rsidRPr="00294E09">
        <w:rPr>
          <w:szCs w:val="22"/>
        </w:rPr>
        <w:t xml:space="preserve">  Regardless of the form of payment, a completed FCC Form 159 (Remittance Advice) must be submitted.</w:t>
      </w:r>
      <w:r w:rsidRPr="007C0B39">
        <w:rPr>
          <w:rStyle w:val="FootnoteReference"/>
          <w:szCs w:val="22"/>
        </w:rPr>
        <w:footnoteReference w:id="21"/>
      </w:r>
      <w:r w:rsidRPr="00294E09">
        <w:rPr>
          <w:szCs w:val="22"/>
        </w:rPr>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w:t>
      </w:r>
    </w:p>
    <w:p w14:paraId="77C126D6" w14:textId="77777777" w:rsidR="00721D0B" w:rsidRPr="007C0B39" w:rsidRDefault="00721D0B" w:rsidP="00721D0B">
      <w:pPr>
        <w:pStyle w:val="ParaNum"/>
        <w:widowControl/>
        <w:numPr>
          <w:ilvl w:val="0"/>
          <w:numId w:val="9"/>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47FBCF29" w14:textId="77777777" w:rsidR="00721D0B" w:rsidRPr="007C0B39" w:rsidRDefault="00721D0B" w:rsidP="00721D0B">
      <w:pPr>
        <w:pStyle w:val="ParaNum"/>
        <w:numPr>
          <w:ilvl w:val="0"/>
          <w:numId w:val="9"/>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24735A2" w14:textId="77777777" w:rsidR="00721D0B" w:rsidRPr="007C0B39" w:rsidRDefault="00721D0B" w:rsidP="00721D0B">
      <w:pPr>
        <w:pStyle w:val="ParaNum"/>
        <w:widowControl/>
        <w:numPr>
          <w:ilvl w:val="0"/>
          <w:numId w:val="9"/>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0E1443F" w14:textId="77777777" w:rsidR="00721D0B" w:rsidRDefault="00721D0B" w:rsidP="00721D0B">
      <w:pPr>
        <w:spacing w:after="120"/>
        <w:rPr>
          <w:rFonts w:eastAsia="MS Mincho"/>
        </w:rPr>
      </w:pPr>
      <w:r w:rsidRPr="007C0B39">
        <w:rPr>
          <w:rFonts w:eastAsia="MS Mincho"/>
        </w:rPr>
        <w:t xml:space="preserve">Questions regarding payment procedures should be addressed to the Financial Operations Group Help Desk by phone, 1-877-480-3201, or by e-mail, </w:t>
      </w:r>
      <w:r w:rsidRPr="005D5EBB">
        <w:rPr>
          <w:rFonts w:eastAsia="MS Mincho"/>
        </w:rPr>
        <w:t>ARINQUIRIES@fcc.gov</w:t>
      </w:r>
      <w:r w:rsidRPr="007C0B39">
        <w:rPr>
          <w:rFonts w:eastAsia="MS Mincho"/>
        </w:rPr>
        <w:t>.</w:t>
      </w:r>
    </w:p>
    <w:p w14:paraId="7D03E7CB" w14:textId="77777777" w:rsidR="00721D0B" w:rsidRPr="007C0B39" w:rsidRDefault="00721D0B" w:rsidP="00721D0B">
      <w:pPr>
        <w:pStyle w:val="ParaNum"/>
      </w:pPr>
      <w:r w:rsidRPr="007C0B39">
        <w:rPr>
          <w:b/>
          <w:u w:val="single"/>
        </w:rPr>
        <w:t>Waivers</w:t>
      </w:r>
      <w:r w:rsidRPr="007C0B39">
        <w:t xml:space="preserve">.  As of the Effective Date, </w:t>
      </w:r>
      <w:r>
        <w:t>Tesla</w:t>
      </w:r>
      <w:r w:rsidRPr="007C0B39">
        <w:t xml:space="preserve"> waives any and all rights it may have to seek administrative or judicial reconsideration, review, appeal or stay, or to otherwise challenge or contest the validity of this Consent Decree and the Adopting Order.  </w:t>
      </w:r>
      <w:r>
        <w:t>Tesla</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w:t>
      </w:r>
      <w:r>
        <w:t xml:space="preserve"> Tesla</w:t>
      </w:r>
      <w:r w:rsidRPr="007C0B39">
        <w:t xml:space="preserve"> nor the Commission shall contest the validity of the Consent Decree or the Adopting Order, and </w:t>
      </w:r>
      <w:r>
        <w:t>Tesla</w:t>
      </w:r>
      <w:r w:rsidRPr="007C0B39">
        <w:t xml:space="preserve"> shall waive any statutory right to a trial </w:t>
      </w:r>
      <w:r w:rsidRPr="007C0B39">
        <w:rPr>
          <w:i/>
        </w:rPr>
        <w:t>de novo</w:t>
      </w:r>
      <w:r w:rsidRPr="007C0B39">
        <w:t xml:space="preserve">.  </w:t>
      </w:r>
      <w:r>
        <w:t>Tesla</w:t>
      </w:r>
      <w:r w:rsidRPr="007C0B39">
        <w:t xml:space="preserve"> hereby agrees to waive any claims it may otherwise have under the Equal Access to Justice Act</w:t>
      </w:r>
      <w:r w:rsidRPr="007C0B39">
        <w:rPr>
          <w:rStyle w:val="FootnoteReference"/>
          <w:szCs w:val="22"/>
        </w:rPr>
        <w:footnoteReference w:id="22"/>
      </w:r>
      <w:r w:rsidRPr="007C0B39">
        <w:t xml:space="preserve"> relating to the matters addressed in this Consent Decree.</w:t>
      </w:r>
    </w:p>
    <w:p w14:paraId="19E05ED2" w14:textId="77777777" w:rsidR="00721D0B" w:rsidRPr="007C0B39" w:rsidRDefault="00721D0B" w:rsidP="00721D0B">
      <w:pPr>
        <w:pStyle w:val="ParaNum"/>
        <w:widowControl/>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4FA24C5F" w14:textId="77777777" w:rsidR="00721D0B" w:rsidRPr="007C0B39" w:rsidRDefault="00721D0B" w:rsidP="00721D0B">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2058A730" w14:textId="77777777" w:rsidR="00721D0B" w:rsidRPr="007C0B39" w:rsidRDefault="00721D0B" w:rsidP="00721D0B">
      <w:pPr>
        <w:pStyle w:val="ParaNum"/>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Tesla</w:t>
      </w:r>
      <w:r w:rsidRPr="007C0B39">
        <w:rPr>
          <w:szCs w:val="22"/>
        </w:rPr>
        <w:t xml:space="preserve"> </w:t>
      </w:r>
      <w:r w:rsidRPr="007C0B39">
        <w:t>does not expressly consent) that provision will be superseded by such Rule or Order.</w:t>
      </w:r>
    </w:p>
    <w:p w14:paraId="0412ABA4" w14:textId="77777777" w:rsidR="00721D0B" w:rsidRPr="007C0B39" w:rsidRDefault="00721D0B" w:rsidP="00721D0B">
      <w:pPr>
        <w:pStyle w:val="ParaNum"/>
      </w:pPr>
      <w:r w:rsidRPr="007C0B39">
        <w:rPr>
          <w:b/>
          <w:u w:val="single"/>
        </w:rPr>
        <w:t>Successors and Assigns</w:t>
      </w:r>
      <w:r w:rsidRPr="007C0B39">
        <w:t xml:space="preserve">.  </w:t>
      </w:r>
      <w:r>
        <w:t>Tesla</w:t>
      </w:r>
      <w:r w:rsidRPr="007C0B39">
        <w:rPr>
          <w:szCs w:val="22"/>
        </w:rPr>
        <w:t xml:space="preserve"> </w:t>
      </w:r>
      <w:r w:rsidRPr="007C0B39">
        <w:t>agrees that the provisions of this Consent Decree shall be binding on its successors, assigns, and transferees.</w:t>
      </w:r>
    </w:p>
    <w:p w14:paraId="5B4F65D4" w14:textId="77777777" w:rsidR="00721D0B" w:rsidRPr="007C0B39" w:rsidRDefault="00721D0B" w:rsidP="00721D0B">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Pr="0004267E">
        <w:rPr>
          <w:szCs w:val="22"/>
        </w:rPr>
        <w:t> </w:t>
      </w:r>
    </w:p>
    <w:p w14:paraId="10025926" w14:textId="77777777" w:rsidR="00721D0B" w:rsidRPr="007C0B39" w:rsidRDefault="00721D0B" w:rsidP="00721D0B">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4522C632" w14:textId="77777777" w:rsidR="00721D0B" w:rsidRPr="007C0B39" w:rsidRDefault="00721D0B" w:rsidP="00721D0B">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621A3943" w14:textId="77777777" w:rsidR="00721D0B" w:rsidRPr="007C0B39" w:rsidRDefault="00721D0B" w:rsidP="00721D0B">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2313BC06" w14:textId="77777777" w:rsidR="00721D0B" w:rsidRDefault="00721D0B" w:rsidP="00721D0B">
      <w:pPr>
        <w:widowControl/>
        <w:rPr>
          <w:b/>
          <w:u w:val="single"/>
        </w:rPr>
      </w:pPr>
      <w:r>
        <w:rPr>
          <w:b/>
          <w:u w:val="single"/>
        </w:rPr>
        <w:br w:type="page"/>
      </w:r>
    </w:p>
    <w:p w14:paraId="4720EF3F" w14:textId="77777777" w:rsidR="00721D0B" w:rsidRPr="007C0B39" w:rsidRDefault="00721D0B" w:rsidP="00721D0B">
      <w:pPr>
        <w:pStyle w:val="ParaNum"/>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55871F26" w14:textId="77777777" w:rsidR="00721D0B" w:rsidRPr="007C0B39" w:rsidRDefault="00721D0B" w:rsidP="00721D0B">
      <w:pPr>
        <w:keepNext/>
        <w:keepLines/>
      </w:pPr>
    </w:p>
    <w:p w14:paraId="3BC2D7C9" w14:textId="77777777" w:rsidR="00721D0B" w:rsidRPr="007C0B39" w:rsidRDefault="00721D0B" w:rsidP="00721D0B">
      <w:pPr>
        <w:keepNext/>
        <w:keepLines/>
      </w:pPr>
    </w:p>
    <w:p w14:paraId="3CDD11D6" w14:textId="77777777" w:rsidR="00721D0B" w:rsidRPr="007C0B39" w:rsidRDefault="00721D0B" w:rsidP="00721D0B">
      <w:pPr>
        <w:keepNext/>
        <w:keepLines/>
      </w:pPr>
      <w:r w:rsidRPr="007C0B39">
        <w:t>________________________________</w:t>
      </w:r>
    </w:p>
    <w:p w14:paraId="08021417" w14:textId="77777777" w:rsidR="00721D0B" w:rsidRDefault="00721D0B" w:rsidP="00721D0B">
      <w:pPr>
        <w:outlineLvl w:val="0"/>
        <w:rPr>
          <w:szCs w:val="22"/>
          <w:lang w:val="fr-FR"/>
        </w:rPr>
      </w:pPr>
      <w:r>
        <w:rPr>
          <w:szCs w:val="22"/>
          <w:lang w:val="fr-FR"/>
        </w:rPr>
        <w:t>Travis LeBlanc</w:t>
      </w:r>
    </w:p>
    <w:p w14:paraId="52C9658F" w14:textId="77777777" w:rsidR="00721D0B" w:rsidRDefault="00721D0B" w:rsidP="00721D0B">
      <w:pPr>
        <w:outlineLvl w:val="0"/>
        <w:rPr>
          <w:szCs w:val="22"/>
        </w:rPr>
      </w:pPr>
      <w:r w:rsidRPr="00A15CBD">
        <w:rPr>
          <w:szCs w:val="22"/>
        </w:rPr>
        <w:t>C</w:t>
      </w:r>
      <w:r>
        <w:rPr>
          <w:szCs w:val="22"/>
        </w:rPr>
        <w:t>hief</w:t>
      </w:r>
    </w:p>
    <w:p w14:paraId="134A096D" w14:textId="77777777" w:rsidR="00721D0B" w:rsidRDefault="00721D0B" w:rsidP="00721D0B">
      <w:pPr>
        <w:outlineLvl w:val="0"/>
        <w:rPr>
          <w:szCs w:val="22"/>
        </w:rPr>
      </w:pPr>
      <w:r>
        <w:rPr>
          <w:szCs w:val="22"/>
        </w:rPr>
        <w:t>Enforcement Bureau</w:t>
      </w:r>
    </w:p>
    <w:p w14:paraId="1A585259" w14:textId="77777777" w:rsidR="00721D0B" w:rsidRPr="007C0B39" w:rsidRDefault="00721D0B" w:rsidP="00721D0B">
      <w:pPr>
        <w:keepNext/>
        <w:keepLines/>
      </w:pPr>
    </w:p>
    <w:p w14:paraId="495BD934" w14:textId="77777777" w:rsidR="00721D0B" w:rsidRPr="007C0B39" w:rsidRDefault="00721D0B" w:rsidP="00721D0B">
      <w:pPr>
        <w:keepNext/>
        <w:keepLines/>
      </w:pPr>
    </w:p>
    <w:p w14:paraId="63A8748F" w14:textId="77777777" w:rsidR="00721D0B" w:rsidRPr="007C0B39" w:rsidRDefault="00721D0B" w:rsidP="00721D0B">
      <w:pPr>
        <w:keepNext/>
        <w:keepLines/>
      </w:pPr>
      <w:r w:rsidRPr="007C0B39">
        <w:t>________________________________</w:t>
      </w:r>
    </w:p>
    <w:p w14:paraId="508C7587" w14:textId="77777777" w:rsidR="00721D0B" w:rsidRPr="007C0B39" w:rsidRDefault="00721D0B" w:rsidP="00721D0B">
      <w:pPr>
        <w:keepNext/>
        <w:keepLines/>
      </w:pPr>
      <w:r w:rsidRPr="007C0B39">
        <w:t>Date</w:t>
      </w:r>
    </w:p>
    <w:p w14:paraId="3785A53E" w14:textId="77777777" w:rsidR="00721D0B" w:rsidRPr="007C0B39" w:rsidRDefault="00721D0B" w:rsidP="00721D0B">
      <w:pPr>
        <w:keepNext/>
        <w:keepLines/>
      </w:pPr>
    </w:p>
    <w:p w14:paraId="1D211644" w14:textId="77777777" w:rsidR="00721D0B" w:rsidRPr="007C0B39" w:rsidRDefault="00721D0B" w:rsidP="00721D0B">
      <w:pPr>
        <w:keepLines/>
      </w:pPr>
    </w:p>
    <w:p w14:paraId="195FE0E8" w14:textId="77777777" w:rsidR="00721D0B" w:rsidRPr="007C0B39" w:rsidRDefault="00721D0B" w:rsidP="00721D0B">
      <w:pPr>
        <w:keepLines/>
      </w:pPr>
    </w:p>
    <w:p w14:paraId="0E43F296" w14:textId="77777777" w:rsidR="00721D0B" w:rsidRPr="007C0B39" w:rsidRDefault="00721D0B" w:rsidP="00721D0B">
      <w:pPr>
        <w:keepLines/>
      </w:pPr>
      <w:r w:rsidRPr="007C0B39">
        <w:t>________________________________</w:t>
      </w:r>
    </w:p>
    <w:p w14:paraId="5FBE10D9" w14:textId="77777777" w:rsidR="00721D0B" w:rsidRPr="007C0B39" w:rsidRDefault="00721D0B" w:rsidP="00721D0B">
      <w:pPr>
        <w:keepLines/>
      </w:pPr>
      <w:r>
        <w:t>David Buttle</w:t>
      </w:r>
    </w:p>
    <w:p w14:paraId="1999430E" w14:textId="77777777" w:rsidR="00721D0B" w:rsidRDefault="00721D0B" w:rsidP="00721D0B">
      <w:pPr>
        <w:keepLines/>
      </w:pPr>
      <w:r>
        <w:t>President</w:t>
      </w:r>
    </w:p>
    <w:p w14:paraId="27AE2AFB" w14:textId="77777777" w:rsidR="00721D0B" w:rsidRPr="007C0B39" w:rsidRDefault="00721D0B" w:rsidP="00721D0B">
      <w:pPr>
        <w:keepLines/>
      </w:pPr>
      <w:r>
        <w:t>Tesla Exploration, Inc.</w:t>
      </w:r>
    </w:p>
    <w:p w14:paraId="5FB3B02E" w14:textId="77777777" w:rsidR="00721D0B" w:rsidRPr="007C0B39" w:rsidRDefault="00721D0B" w:rsidP="00721D0B">
      <w:pPr>
        <w:keepLines/>
      </w:pPr>
    </w:p>
    <w:p w14:paraId="0B7ABC1E" w14:textId="77777777" w:rsidR="00721D0B" w:rsidRPr="007C0B39" w:rsidRDefault="00721D0B" w:rsidP="00721D0B">
      <w:pPr>
        <w:keepLines/>
      </w:pPr>
      <w:r w:rsidRPr="007C0B39">
        <w:t>________________________________</w:t>
      </w:r>
    </w:p>
    <w:p w14:paraId="7E8F717C" w14:textId="77777777" w:rsidR="00721D0B" w:rsidRPr="002C00E8" w:rsidRDefault="00721D0B" w:rsidP="00721D0B">
      <w:pPr>
        <w:keepLines/>
      </w:pPr>
      <w:r w:rsidRPr="007C0B39">
        <w:t>Date</w:t>
      </w:r>
    </w:p>
    <w:p w14:paraId="197B4623" w14:textId="77777777" w:rsidR="00721D0B" w:rsidRPr="005C377D" w:rsidRDefault="00721D0B" w:rsidP="005C377D">
      <w:pPr>
        <w:tabs>
          <w:tab w:val="left" w:pos="0"/>
        </w:tabs>
        <w:suppressAutoHyphens/>
        <w:spacing w:line="240" w:lineRule="atLeast"/>
        <w:rPr>
          <w:spacing w:val="-2"/>
        </w:rPr>
      </w:pPr>
    </w:p>
    <w:sectPr w:rsidR="00721D0B" w:rsidRPr="005C377D" w:rsidSect="00721D0B">
      <w:footnotePr>
        <w:numRestart w:val="eachSect"/>
      </w:footnotePr>
      <w:endnotePr>
        <w:numFmt w:val="decimal"/>
      </w:endnotePr>
      <w:pgSz w:w="12240" w:h="15840"/>
      <w:pgMar w:top="139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782F" w14:textId="77777777" w:rsidR="00BA7C66" w:rsidRDefault="00BA7C66">
      <w:pPr>
        <w:spacing w:line="20" w:lineRule="exact"/>
      </w:pPr>
    </w:p>
  </w:endnote>
  <w:endnote w:type="continuationSeparator" w:id="0">
    <w:p w14:paraId="646C044B" w14:textId="77777777" w:rsidR="00BA7C66" w:rsidRDefault="00BA7C66">
      <w:r>
        <w:t xml:space="preserve"> </w:t>
      </w:r>
    </w:p>
  </w:endnote>
  <w:endnote w:type="continuationNotice" w:id="1">
    <w:p w14:paraId="1A9315F1" w14:textId="77777777" w:rsidR="00BA7C66" w:rsidRDefault="00BA7C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759C" w14:textId="77777777" w:rsidR="00B5131E" w:rsidRDefault="00B51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704"/>
      <w:docPartObj>
        <w:docPartGallery w:val="Page Numbers (Bottom of Page)"/>
        <w:docPartUnique/>
      </w:docPartObj>
    </w:sdtPr>
    <w:sdtEndPr>
      <w:rPr>
        <w:noProof/>
      </w:rPr>
    </w:sdtEndPr>
    <w:sdtContent>
      <w:p w14:paraId="76EED3A4" w14:textId="1ED0F876" w:rsidR="00153AAA" w:rsidRDefault="00453A9E" w:rsidP="00BA1172">
        <w:pPr>
          <w:pStyle w:val="Footer"/>
          <w:jc w:val="center"/>
          <w:rPr>
            <w:noProof/>
          </w:rPr>
        </w:pPr>
        <w:r>
          <w:fldChar w:fldCharType="begin"/>
        </w:r>
        <w:r>
          <w:instrText xml:space="preserve"> PAGE   \* MERGEFORMAT </w:instrText>
        </w:r>
        <w:r>
          <w:fldChar w:fldCharType="separate"/>
        </w:r>
        <w:r w:rsidR="00E4515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8F9F" w14:textId="77777777"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A5F4" w14:textId="77777777" w:rsidR="00BA7C66" w:rsidRDefault="00BA7C66">
      <w:r>
        <w:separator/>
      </w:r>
    </w:p>
  </w:footnote>
  <w:footnote w:type="continuationSeparator" w:id="0">
    <w:p w14:paraId="56C2F30C" w14:textId="77777777" w:rsidR="00BA7C66" w:rsidRDefault="00BA7C66" w:rsidP="00C721AC">
      <w:pPr>
        <w:spacing w:before="120"/>
        <w:rPr>
          <w:sz w:val="20"/>
        </w:rPr>
      </w:pPr>
      <w:r>
        <w:rPr>
          <w:sz w:val="20"/>
        </w:rPr>
        <w:t xml:space="preserve">(Continued from previous page)  </w:t>
      </w:r>
      <w:r>
        <w:rPr>
          <w:sz w:val="20"/>
        </w:rPr>
        <w:separator/>
      </w:r>
    </w:p>
  </w:footnote>
  <w:footnote w:type="continuationNotice" w:id="1">
    <w:p w14:paraId="793164C7" w14:textId="77777777" w:rsidR="00BA7C66" w:rsidRDefault="00BA7C66" w:rsidP="00C721AC">
      <w:pPr>
        <w:jc w:val="right"/>
        <w:rPr>
          <w:sz w:val="20"/>
        </w:rPr>
      </w:pPr>
      <w:r>
        <w:rPr>
          <w:sz w:val="20"/>
        </w:rPr>
        <w:t>(continued….)</w:t>
      </w:r>
    </w:p>
  </w:footnote>
  <w:footnote w:id="2">
    <w:p w14:paraId="250DD363" w14:textId="77777777" w:rsidR="005343FD" w:rsidRDefault="005343FD" w:rsidP="005343FD">
      <w:pPr>
        <w:pStyle w:val="FootnoteText"/>
      </w:pPr>
      <w:r>
        <w:rPr>
          <w:rStyle w:val="FootnoteReference"/>
        </w:rPr>
        <w:footnoteRef/>
      </w:r>
      <w:r>
        <w:t xml:space="preserve"> The investigation</w:t>
      </w:r>
      <w:r w:rsidRPr="002E1542">
        <w:t xml:space="preserve"> initiated under </w:t>
      </w:r>
      <w:r>
        <w:t xml:space="preserve">EB-11-PA-0153 was </w:t>
      </w:r>
      <w:r w:rsidRPr="002E1542">
        <w:t>su</w:t>
      </w:r>
      <w:r>
        <w:t xml:space="preserve">bsequently assigned File No. </w:t>
      </w:r>
      <w:r>
        <w:rPr>
          <w:szCs w:val="22"/>
        </w:rPr>
        <w:t>EB-FIELDNER-12-00004489</w:t>
      </w:r>
      <w:r w:rsidRPr="002E1542">
        <w:rPr>
          <w:bCs/>
        </w:rPr>
        <w:t>.  All further correspondence related to this matter should reflect the new case number.</w:t>
      </w:r>
    </w:p>
  </w:footnote>
  <w:footnote w:id="3">
    <w:p w14:paraId="4AE00D69" w14:textId="75ECE00C" w:rsidR="005343FD" w:rsidRPr="005343FD" w:rsidRDefault="005343FD">
      <w:pPr>
        <w:pStyle w:val="FootnoteText"/>
      </w:pPr>
      <w:r>
        <w:rPr>
          <w:rStyle w:val="FootnoteReference"/>
        </w:rPr>
        <w:footnoteRef/>
      </w:r>
      <w:r>
        <w:t xml:space="preserve"> </w:t>
      </w:r>
      <w:r w:rsidRPr="00C72896">
        <w:rPr>
          <w:i/>
        </w:rPr>
        <w:t>Tesla Exploration, Inc.</w:t>
      </w:r>
      <w:r w:rsidR="00B56A93">
        <w:t>,</w:t>
      </w:r>
      <w:r>
        <w:t xml:space="preserve"> Notice of Apparent Liability for Forfeiture, 27 FCC Rcd 9808 (2012).</w:t>
      </w:r>
    </w:p>
  </w:footnote>
  <w:footnote w:id="4">
    <w:p w14:paraId="19C59779" w14:textId="0840EE61" w:rsidR="0024371A" w:rsidRDefault="0024371A">
      <w:pPr>
        <w:pStyle w:val="FootnoteText"/>
      </w:pPr>
      <w:r>
        <w:rPr>
          <w:rStyle w:val="FootnoteReference"/>
        </w:rPr>
        <w:footnoteRef/>
      </w:r>
      <w:r>
        <w:t xml:space="preserve">  47 U.S.C. § 301.</w:t>
      </w:r>
    </w:p>
  </w:footnote>
  <w:footnote w:id="5">
    <w:p w14:paraId="4FCAA121" w14:textId="3C756EE3" w:rsidR="005A781B" w:rsidRPr="00DE0B1A" w:rsidRDefault="005A781B" w:rsidP="005A781B">
      <w:pPr>
        <w:pStyle w:val="FootnoteText"/>
      </w:pPr>
      <w:r w:rsidRPr="00DE0B1A">
        <w:rPr>
          <w:rStyle w:val="FootnoteReference"/>
        </w:rPr>
        <w:footnoteRef/>
      </w:r>
      <w:r w:rsidRPr="00DE0B1A">
        <w:t xml:space="preserve"> </w:t>
      </w:r>
      <w:r w:rsidR="005343FD">
        <w:t xml:space="preserve">47 C.F.R. </w:t>
      </w:r>
      <w:r w:rsidR="00CF08A1">
        <w:t xml:space="preserve">§ </w:t>
      </w:r>
      <w:r w:rsidR="0024371A">
        <w:t>1</w:t>
      </w:r>
      <w:r>
        <w:t>.</w:t>
      </w:r>
      <w:r w:rsidR="0024371A">
        <w:t>903</w:t>
      </w:r>
      <w:r w:rsidR="00CF08A1">
        <w:t>(a)</w:t>
      </w:r>
      <w:r w:rsidR="0024371A">
        <w:t>.</w:t>
      </w:r>
    </w:p>
  </w:footnote>
  <w:footnote w:id="6">
    <w:p w14:paraId="4D6D3B1E" w14:textId="2E08E91D" w:rsidR="00BF32EF" w:rsidRDefault="00BF32EF">
      <w:pPr>
        <w:pStyle w:val="FootnoteText"/>
      </w:pPr>
      <w:r>
        <w:rPr>
          <w:rStyle w:val="FootnoteReference"/>
        </w:rPr>
        <w:footnoteRef/>
      </w:r>
      <w:r>
        <w:t xml:space="preserve"> 47 C.F.R. § 1.93(b).</w:t>
      </w:r>
    </w:p>
  </w:footnote>
  <w:footnote w:id="7">
    <w:p w14:paraId="2B944156" w14:textId="084F99E8" w:rsidR="005A781B" w:rsidRPr="00DE0B1A" w:rsidRDefault="005A781B" w:rsidP="005A781B">
      <w:pPr>
        <w:pStyle w:val="FootnoteText"/>
        <w:rPr>
          <w:rStyle w:val="FootnoteReference"/>
        </w:rPr>
      </w:pPr>
      <w:r w:rsidRPr="00DE0B1A">
        <w:rPr>
          <w:rStyle w:val="FootnoteReference"/>
        </w:rPr>
        <w:footnoteRef/>
      </w:r>
      <w:r w:rsidRPr="00DE0B1A">
        <w:rPr>
          <w:rStyle w:val="FootnoteReference"/>
        </w:rPr>
        <w:t xml:space="preserve"> </w:t>
      </w:r>
      <w:r>
        <w:t>47 U.S.C. § 154(i)</w:t>
      </w:r>
      <w:r w:rsidR="005343FD">
        <w:t>, 503(b)</w:t>
      </w:r>
      <w:r>
        <w:t>.</w:t>
      </w:r>
    </w:p>
  </w:footnote>
  <w:footnote w:id="8">
    <w:p w14:paraId="719B4B9E" w14:textId="77777777" w:rsidR="005A781B" w:rsidRDefault="005A781B" w:rsidP="005A781B">
      <w:pPr>
        <w:pStyle w:val="FootnoteText"/>
      </w:pPr>
      <w:r>
        <w:rPr>
          <w:rStyle w:val="FootnoteReference"/>
        </w:rPr>
        <w:footnoteRef/>
      </w:r>
      <w:r>
        <w:t xml:space="preserve"> 47 C.F.R. §§ 0.111, 0.311.</w:t>
      </w:r>
    </w:p>
  </w:footnote>
  <w:footnote w:id="9">
    <w:p w14:paraId="600190CA" w14:textId="77777777" w:rsidR="00721D0B" w:rsidRDefault="00721D0B" w:rsidP="00721D0B">
      <w:pPr>
        <w:pStyle w:val="FootnoteText"/>
      </w:pPr>
      <w:r>
        <w:rPr>
          <w:rStyle w:val="FootnoteReference"/>
        </w:rPr>
        <w:footnoteRef/>
      </w:r>
      <w:r>
        <w:t xml:space="preserve"> The investigation</w:t>
      </w:r>
      <w:r w:rsidRPr="002E1542">
        <w:t xml:space="preserve"> initiated under </w:t>
      </w:r>
      <w:r>
        <w:t xml:space="preserve">EB-11-PA-0153 was </w:t>
      </w:r>
      <w:r w:rsidRPr="002E1542">
        <w:t>su</w:t>
      </w:r>
      <w:r>
        <w:t xml:space="preserve">bsequently assigned File No. </w:t>
      </w:r>
      <w:r>
        <w:rPr>
          <w:szCs w:val="22"/>
        </w:rPr>
        <w:t>EB-FIELDNER-12-00004489</w:t>
      </w:r>
      <w:r w:rsidRPr="002E1542">
        <w:rPr>
          <w:bCs/>
        </w:rPr>
        <w:t>.  All further correspondence related to this matter should reflect the new case number.</w:t>
      </w:r>
    </w:p>
  </w:footnote>
  <w:footnote w:id="10">
    <w:p w14:paraId="371C8135" w14:textId="77777777" w:rsidR="00721D0B" w:rsidRDefault="00721D0B" w:rsidP="00721D0B">
      <w:pPr>
        <w:pStyle w:val="FootnoteText"/>
      </w:pPr>
      <w:r>
        <w:rPr>
          <w:rStyle w:val="FootnoteReference"/>
        </w:rPr>
        <w:footnoteRef/>
      </w:r>
      <w:r>
        <w:t xml:space="preserve">  47 U.S.C. § 301.</w:t>
      </w:r>
    </w:p>
  </w:footnote>
  <w:footnote w:id="11">
    <w:p w14:paraId="5B959057" w14:textId="77777777" w:rsidR="00721D0B" w:rsidRPr="00ED4E5F" w:rsidRDefault="00721D0B" w:rsidP="00721D0B">
      <w:pPr>
        <w:pStyle w:val="FootnoteText"/>
      </w:pPr>
      <w:r w:rsidRPr="00ED4E5F">
        <w:rPr>
          <w:rStyle w:val="FootnoteReference"/>
        </w:rPr>
        <w:footnoteRef/>
      </w:r>
      <w:r w:rsidRPr="00ED4E5F">
        <w:t xml:space="preserve"> 47 </w:t>
      </w:r>
      <w:r>
        <w:t>C.F.R.</w:t>
      </w:r>
      <w:r w:rsidRPr="00ED4E5F">
        <w:t xml:space="preserve"> § </w:t>
      </w:r>
      <w:r>
        <w:t>1.903(a)</w:t>
      </w:r>
      <w:r w:rsidRPr="00ED4E5F">
        <w:t>.</w:t>
      </w:r>
    </w:p>
  </w:footnote>
  <w:footnote w:id="12">
    <w:p w14:paraId="13CF3B64" w14:textId="77777777" w:rsidR="00721D0B" w:rsidRDefault="00721D0B" w:rsidP="00721D0B">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3">
    <w:p w14:paraId="10262061" w14:textId="77777777" w:rsidR="00721D0B" w:rsidRPr="00E17CC3" w:rsidRDefault="00721D0B" w:rsidP="00721D0B">
      <w:pPr>
        <w:pStyle w:val="FootnoteText"/>
      </w:pPr>
      <w:r>
        <w:rPr>
          <w:rStyle w:val="FootnoteReference"/>
        </w:rPr>
        <w:footnoteRef/>
      </w:r>
      <w:r>
        <w:t xml:space="preserve"> </w:t>
      </w:r>
      <w:r w:rsidRPr="004D18DF">
        <w:rPr>
          <w:i/>
        </w:rPr>
        <w:t>Tesla Exploration, Inc.</w:t>
      </w:r>
      <w:r>
        <w:t>, Notice of Apparent Liability for Forfeiture, 27 FCC Rcd 9808 (2012) (NAL).</w:t>
      </w:r>
    </w:p>
  </w:footnote>
  <w:footnote w:id="14">
    <w:p w14:paraId="21B4F3CB" w14:textId="77777777" w:rsidR="00721D0B" w:rsidRDefault="00721D0B" w:rsidP="00721D0B">
      <w:pPr>
        <w:pStyle w:val="FootnoteText"/>
      </w:pPr>
      <w:r>
        <w:rPr>
          <w:rStyle w:val="FootnoteReference"/>
        </w:rPr>
        <w:footnoteRef/>
      </w:r>
      <w:r>
        <w:t xml:space="preserve"> 47 U.S.C. § 301.</w:t>
      </w:r>
    </w:p>
  </w:footnote>
  <w:footnote w:id="15">
    <w:p w14:paraId="35F98252" w14:textId="77777777" w:rsidR="00721D0B" w:rsidRDefault="00721D0B" w:rsidP="00721D0B">
      <w:pPr>
        <w:pStyle w:val="FootnoteText"/>
      </w:pPr>
      <w:r>
        <w:rPr>
          <w:rStyle w:val="FootnoteReference"/>
        </w:rPr>
        <w:footnoteRef/>
      </w:r>
      <w:r>
        <w:t xml:space="preserve"> 47 C.F.R. §1.903(a).</w:t>
      </w:r>
    </w:p>
  </w:footnote>
  <w:footnote w:id="16">
    <w:p w14:paraId="400959E2" w14:textId="77777777" w:rsidR="00721D0B" w:rsidRDefault="00721D0B" w:rsidP="00721D0B">
      <w:pPr>
        <w:pStyle w:val="FootnoteText"/>
      </w:pPr>
      <w:r>
        <w:rPr>
          <w:rStyle w:val="FootnoteReference"/>
        </w:rPr>
        <w:footnoteRef/>
      </w:r>
      <w:r>
        <w:t xml:space="preserve"> 47 C.F.R. § 1.903(b).</w:t>
      </w:r>
    </w:p>
  </w:footnote>
  <w:footnote w:id="17">
    <w:p w14:paraId="41CA01A0" w14:textId="77777777" w:rsidR="00721D0B" w:rsidRPr="00A168BC" w:rsidRDefault="00721D0B" w:rsidP="00721D0B">
      <w:pPr>
        <w:pStyle w:val="FootnoteText"/>
      </w:pPr>
      <w:r>
        <w:rPr>
          <w:rStyle w:val="FootnoteReference"/>
        </w:rPr>
        <w:footnoteRef/>
      </w:r>
      <w:r>
        <w:t xml:space="preserve"> NAL, 27 FCC Rcd</w:t>
      </w:r>
      <w:r w:rsidRPr="004D18DF">
        <w:t xml:space="preserve"> </w:t>
      </w:r>
      <w:r>
        <w:t xml:space="preserve">at 9808–09, paras. 2–5.  </w:t>
      </w:r>
      <w:r>
        <w:rPr>
          <w:iCs/>
          <w:color w:val="000000"/>
        </w:rPr>
        <w:t>T</w:t>
      </w:r>
      <w:r w:rsidRPr="00BF0CB5">
        <w:rPr>
          <w:iCs/>
          <w:color w:val="000000"/>
        </w:rPr>
        <w:t xml:space="preserve">he </w:t>
      </w:r>
      <w:r w:rsidRPr="00A168BC">
        <w:rPr>
          <w:iCs/>
          <w:color w:val="000000"/>
        </w:rPr>
        <w:t>NAL</w:t>
      </w:r>
      <w:r>
        <w:rPr>
          <w:iCs/>
          <w:color w:val="000000"/>
        </w:rPr>
        <w:t xml:space="preserve"> includes a</w:t>
      </w:r>
      <w:r w:rsidRPr="00BF0CB5">
        <w:rPr>
          <w:iCs/>
          <w:color w:val="000000"/>
        </w:rPr>
        <w:t xml:space="preserve"> more complete recitation of the facts and history of this case and is incorporated herein by reference.    </w:t>
      </w:r>
    </w:p>
  </w:footnote>
  <w:footnote w:id="18">
    <w:p w14:paraId="7DAD3EBF" w14:textId="77777777" w:rsidR="00721D0B" w:rsidRPr="00977768" w:rsidRDefault="00721D0B" w:rsidP="00721D0B">
      <w:pPr>
        <w:pStyle w:val="FootnoteText"/>
      </w:pPr>
      <w:r>
        <w:rPr>
          <w:rStyle w:val="FootnoteReference"/>
        </w:rPr>
        <w:footnoteRef/>
      </w:r>
      <w:r>
        <w:t xml:space="preserve"> </w:t>
      </w:r>
      <w:r>
        <w:rPr>
          <w:i/>
        </w:rPr>
        <w:t xml:space="preserve">Id. </w:t>
      </w:r>
      <w:r>
        <w:t>at 9808, para. 2.</w:t>
      </w:r>
    </w:p>
  </w:footnote>
  <w:footnote w:id="19">
    <w:p w14:paraId="7A4D2D9A" w14:textId="77777777" w:rsidR="00721D0B" w:rsidRDefault="00721D0B" w:rsidP="00721D0B">
      <w:pPr>
        <w:pStyle w:val="FootnoteText"/>
      </w:pPr>
      <w:r>
        <w:rPr>
          <w:rStyle w:val="FootnoteReference"/>
        </w:rPr>
        <w:footnoteRef/>
      </w:r>
      <w:r>
        <w:t xml:space="preserve"> NAL, 27 FCC Rcd at 9809, para. 5.  </w:t>
      </w:r>
      <w:r>
        <w:rPr>
          <w:i/>
        </w:rPr>
        <w:t>See</w:t>
      </w:r>
      <w:r w:rsidRPr="004D18DF">
        <w:rPr>
          <w:i/>
        </w:rPr>
        <w:t xml:space="preserve"> </w:t>
      </w:r>
      <w:r>
        <w:t xml:space="preserve">Letter from Andrew Iverson, Esq., Hamilton Faatz and Waller, PC, Counsel for Tesla Exploration, Inc., to Philadelphia Office, Northeast Region, Enforcement Bureau at 1–2 (received Aug. 31, 2012) (on file in </w:t>
      </w:r>
      <w:r w:rsidRPr="00937484">
        <w:rPr>
          <w:szCs w:val="22"/>
        </w:rPr>
        <w:t>EB-</w:t>
      </w:r>
      <w:r>
        <w:rPr>
          <w:szCs w:val="22"/>
        </w:rPr>
        <w:t>FIELDNER</w:t>
      </w:r>
      <w:r w:rsidRPr="00937484">
        <w:rPr>
          <w:szCs w:val="22"/>
        </w:rPr>
        <w:t>-</w:t>
      </w:r>
      <w:r>
        <w:rPr>
          <w:szCs w:val="22"/>
        </w:rPr>
        <w:t>12</w:t>
      </w:r>
      <w:r w:rsidRPr="00937484">
        <w:rPr>
          <w:szCs w:val="22"/>
        </w:rPr>
        <w:t>-00</w:t>
      </w:r>
      <w:r>
        <w:rPr>
          <w:szCs w:val="22"/>
        </w:rPr>
        <w:t>004489</w:t>
      </w:r>
      <w:r>
        <w:t>).</w:t>
      </w:r>
    </w:p>
  </w:footnote>
  <w:footnote w:id="20">
    <w:p w14:paraId="7DDB75D6" w14:textId="77777777" w:rsidR="00721D0B" w:rsidRDefault="00721D0B" w:rsidP="00721D0B">
      <w:pPr>
        <w:pStyle w:val="FootnoteText"/>
      </w:pPr>
      <w:r w:rsidRPr="00A07FCB">
        <w:rPr>
          <w:rStyle w:val="FootnoteReference"/>
        </w:rPr>
        <w:footnoteRef/>
      </w:r>
      <w:r w:rsidRPr="00A07FCB">
        <w:t xml:space="preserve"> 47 C.F.R. § 1.16.</w:t>
      </w:r>
    </w:p>
  </w:footnote>
  <w:footnote w:id="21">
    <w:p w14:paraId="67448D8C" w14:textId="77777777" w:rsidR="00721D0B" w:rsidRPr="00042447" w:rsidRDefault="00721D0B" w:rsidP="00721D0B">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2">
    <w:p w14:paraId="4BF728F9" w14:textId="77777777" w:rsidR="00721D0B" w:rsidRDefault="00721D0B" w:rsidP="00721D0B">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67BC" w14:textId="77777777" w:rsidR="00B5131E" w:rsidRDefault="00B51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799" w14:textId="2B4835DC" w:rsidR="005343FD" w:rsidRDefault="005343FD" w:rsidP="005343FD">
    <w:pPr>
      <w:pStyle w:val="Header"/>
    </w:pPr>
  </w:p>
  <w:p w14:paraId="17AC5137" w14:textId="4052E28F" w:rsidR="005343FD" w:rsidRDefault="005343FD" w:rsidP="005343FD">
    <w:pPr>
      <w:pStyle w:val="Header"/>
      <w:rPr>
        <w:spacing w:val="-2"/>
      </w:rPr>
    </w:pPr>
    <w:r>
      <w:t xml:space="preserve"> </w:t>
    </w:r>
    <w:r w:rsidRPr="00843A5F">
      <w:rPr>
        <w:b w:val="0"/>
        <w:noProof/>
        <w:snapToGrid/>
      </w:rPr>
      <mc:AlternateContent>
        <mc:Choice Requires="wps">
          <w:drawing>
            <wp:anchor distT="0" distB="0" distL="114300" distR="114300" simplePos="0" relativeHeight="251662336" behindDoc="1" locked="0" layoutInCell="0" allowOverlap="1" wp14:anchorId="48B45EFB" wp14:editId="4AAC9F45">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E3B96" id="Rectangle 4"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644B92">
      <w:rPr>
        <w:spacing w:val="-2"/>
      </w:rPr>
      <w:t>15</w:t>
    </w:r>
    <w:r w:rsidRPr="002755D1">
      <w:rPr>
        <w:spacing w:val="-2"/>
      </w:rPr>
      <w:t>-</w:t>
    </w:r>
    <w:r w:rsidR="00644B92">
      <w:rPr>
        <w:spacing w:val="-2"/>
      </w:rPr>
      <w:t>1377</w:t>
    </w:r>
  </w:p>
  <w:p w14:paraId="641F1EEC" w14:textId="77777777" w:rsidR="00624A0C" w:rsidRPr="005C377D" w:rsidRDefault="00624A0C" w:rsidP="005343FD">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A0C3" w14:textId="79713CE6" w:rsidR="005343FD" w:rsidRDefault="005343FD" w:rsidP="005343FD">
    <w:pPr>
      <w:pStyle w:val="Header"/>
      <w:rPr>
        <w:spacing w:val="-2"/>
      </w:rPr>
    </w:pPr>
    <w:r w:rsidRPr="00843A5F">
      <w:rPr>
        <w:noProof/>
        <w:snapToGrid/>
      </w:rPr>
      <mc:AlternateContent>
        <mc:Choice Requires="wps">
          <w:drawing>
            <wp:anchor distT="0" distB="0" distL="114300" distR="114300" simplePos="0" relativeHeight="251657216" behindDoc="1" locked="0" layoutInCell="0" allowOverlap="1" wp14:anchorId="72D2118F" wp14:editId="7FF8880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E857F2"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644B92">
      <w:rPr>
        <w:spacing w:val="-2"/>
      </w:rPr>
      <w:t>15</w:t>
    </w:r>
    <w:r w:rsidRPr="002755D1">
      <w:rPr>
        <w:spacing w:val="-2"/>
      </w:rPr>
      <w:t>-</w:t>
    </w:r>
    <w:r w:rsidR="00644B92">
      <w:rPr>
        <w:spacing w:val="-2"/>
      </w:rPr>
      <w:t>1377</w:t>
    </w:r>
  </w:p>
  <w:p w14:paraId="5D9BF4D3" w14:textId="77777777" w:rsidR="00624A0C" w:rsidRPr="005343FD" w:rsidRDefault="00624A0C" w:rsidP="005343FD">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2">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6"/>
  </w:num>
  <w:num w:numId="3">
    <w:abstractNumId w:val="11"/>
  </w:num>
  <w:num w:numId="4">
    <w:abstractNumId w:val="10"/>
  </w:num>
  <w:num w:numId="5">
    <w:abstractNumId w:val="2"/>
  </w:num>
  <w:num w:numId="6">
    <w:abstractNumId w:val="12"/>
  </w:num>
  <w:num w:numId="7">
    <w:abstractNumId w:val="1"/>
  </w:num>
  <w:num w:numId="8">
    <w:abstractNumId w:val="9"/>
    <w:lvlOverride w:ilvl="0">
      <w:startOverride w:val="1"/>
    </w:lvlOverride>
  </w:num>
  <w:num w:numId="9">
    <w:abstractNumId w:val="7"/>
  </w:num>
  <w:num w:numId="10">
    <w:abstractNumId w:val="4"/>
  </w:num>
  <w:num w:numId="11">
    <w:abstractNumId w:val="8"/>
  </w:num>
  <w:num w:numId="12">
    <w:abstractNumId w:val="5"/>
  </w:num>
  <w:num w:numId="13">
    <w:abstractNumId w:val="0"/>
  </w:num>
  <w:num w:numId="14">
    <w:abstractNumId w:val="3"/>
  </w:num>
  <w:num w:numId="15">
    <w:abstractNumId w:val="9"/>
    <w:lvlOverride w:ilvl="0">
      <w:startOverride w:val="4"/>
    </w:lvlOverride>
  </w:num>
  <w:num w:numId="16">
    <w:abstractNumId w:val="9"/>
    <w:lvlOverride w:ilvl="0">
      <w:startOverride w:val="22"/>
    </w:lvlOverride>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num>
  <w:num w:numId="35">
    <w:abstractNumId w:val="9"/>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4484"/>
    <w:rsid w:val="00021325"/>
    <w:rsid w:val="000216AD"/>
    <w:rsid w:val="00024902"/>
    <w:rsid w:val="000251D3"/>
    <w:rsid w:val="000262C0"/>
    <w:rsid w:val="00026D97"/>
    <w:rsid w:val="00036039"/>
    <w:rsid w:val="00036B37"/>
    <w:rsid w:val="00037F90"/>
    <w:rsid w:val="00040BB5"/>
    <w:rsid w:val="0004154A"/>
    <w:rsid w:val="0004267E"/>
    <w:rsid w:val="000514F1"/>
    <w:rsid w:val="00051558"/>
    <w:rsid w:val="000619E6"/>
    <w:rsid w:val="00061A57"/>
    <w:rsid w:val="00064ADC"/>
    <w:rsid w:val="000668DA"/>
    <w:rsid w:val="0007059D"/>
    <w:rsid w:val="000728FF"/>
    <w:rsid w:val="00073450"/>
    <w:rsid w:val="00073561"/>
    <w:rsid w:val="00075906"/>
    <w:rsid w:val="00076C13"/>
    <w:rsid w:val="0008718F"/>
    <w:rsid w:val="000875BF"/>
    <w:rsid w:val="00090E63"/>
    <w:rsid w:val="00094F3A"/>
    <w:rsid w:val="00096D8C"/>
    <w:rsid w:val="000971AC"/>
    <w:rsid w:val="000A0859"/>
    <w:rsid w:val="000A5F07"/>
    <w:rsid w:val="000B00E8"/>
    <w:rsid w:val="000B17A6"/>
    <w:rsid w:val="000B622D"/>
    <w:rsid w:val="000C0B65"/>
    <w:rsid w:val="000D5798"/>
    <w:rsid w:val="000E05FE"/>
    <w:rsid w:val="000E3D42"/>
    <w:rsid w:val="000E5A94"/>
    <w:rsid w:val="000E655A"/>
    <w:rsid w:val="000E6874"/>
    <w:rsid w:val="0011427B"/>
    <w:rsid w:val="00122296"/>
    <w:rsid w:val="0012234C"/>
    <w:rsid w:val="00122BD5"/>
    <w:rsid w:val="00123E3B"/>
    <w:rsid w:val="00126CA2"/>
    <w:rsid w:val="001278CC"/>
    <w:rsid w:val="001314FC"/>
    <w:rsid w:val="0013249B"/>
    <w:rsid w:val="00133F79"/>
    <w:rsid w:val="001349CC"/>
    <w:rsid w:val="001438DA"/>
    <w:rsid w:val="0015122B"/>
    <w:rsid w:val="0015224A"/>
    <w:rsid w:val="00153AAA"/>
    <w:rsid w:val="00154477"/>
    <w:rsid w:val="0015520A"/>
    <w:rsid w:val="00155C0B"/>
    <w:rsid w:val="0015612B"/>
    <w:rsid w:val="00161D89"/>
    <w:rsid w:val="00176594"/>
    <w:rsid w:val="00182304"/>
    <w:rsid w:val="00186182"/>
    <w:rsid w:val="00190C82"/>
    <w:rsid w:val="0019214A"/>
    <w:rsid w:val="001933D7"/>
    <w:rsid w:val="00194A66"/>
    <w:rsid w:val="00195059"/>
    <w:rsid w:val="001A5288"/>
    <w:rsid w:val="001B2424"/>
    <w:rsid w:val="001B74D4"/>
    <w:rsid w:val="001C0FD1"/>
    <w:rsid w:val="001C1346"/>
    <w:rsid w:val="001C1ADE"/>
    <w:rsid w:val="001C4926"/>
    <w:rsid w:val="001C71E0"/>
    <w:rsid w:val="001C7AB4"/>
    <w:rsid w:val="001D37A4"/>
    <w:rsid w:val="001D41E6"/>
    <w:rsid w:val="001D4CD4"/>
    <w:rsid w:val="001D6BCF"/>
    <w:rsid w:val="001E01CA"/>
    <w:rsid w:val="001E086C"/>
    <w:rsid w:val="0020777D"/>
    <w:rsid w:val="00207E47"/>
    <w:rsid w:val="00220A10"/>
    <w:rsid w:val="002262AA"/>
    <w:rsid w:val="002436B5"/>
    <w:rsid w:val="0024371A"/>
    <w:rsid w:val="00246786"/>
    <w:rsid w:val="0025156B"/>
    <w:rsid w:val="00262C95"/>
    <w:rsid w:val="00263706"/>
    <w:rsid w:val="0027382D"/>
    <w:rsid w:val="002755D1"/>
    <w:rsid w:val="00275CF5"/>
    <w:rsid w:val="00276774"/>
    <w:rsid w:val="00276A71"/>
    <w:rsid w:val="0028301F"/>
    <w:rsid w:val="00285017"/>
    <w:rsid w:val="00286347"/>
    <w:rsid w:val="00291D68"/>
    <w:rsid w:val="00294E09"/>
    <w:rsid w:val="002A2D2E"/>
    <w:rsid w:val="002A7B7F"/>
    <w:rsid w:val="002B1765"/>
    <w:rsid w:val="002B5AA5"/>
    <w:rsid w:val="002C00E8"/>
    <w:rsid w:val="002C0EFF"/>
    <w:rsid w:val="002C14B4"/>
    <w:rsid w:val="002C1AC5"/>
    <w:rsid w:val="002C1DDB"/>
    <w:rsid w:val="002E18B0"/>
    <w:rsid w:val="002E46B8"/>
    <w:rsid w:val="002E4E09"/>
    <w:rsid w:val="002F0A22"/>
    <w:rsid w:val="002F55DF"/>
    <w:rsid w:val="002F7012"/>
    <w:rsid w:val="003010FA"/>
    <w:rsid w:val="003027C5"/>
    <w:rsid w:val="00302835"/>
    <w:rsid w:val="00302AC4"/>
    <w:rsid w:val="00302C38"/>
    <w:rsid w:val="00320A85"/>
    <w:rsid w:val="00327FAD"/>
    <w:rsid w:val="003329C5"/>
    <w:rsid w:val="00340066"/>
    <w:rsid w:val="00343749"/>
    <w:rsid w:val="00344C16"/>
    <w:rsid w:val="00352ED4"/>
    <w:rsid w:val="003533DC"/>
    <w:rsid w:val="00365C4E"/>
    <w:rsid w:val="003660ED"/>
    <w:rsid w:val="00375E8E"/>
    <w:rsid w:val="003909A2"/>
    <w:rsid w:val="00394828"/>
    <w:rsid w:val="003A2B14"/>
    <w:rsid w:val="003B0550"/>
    <w:rsid w:val="003B4047"/>
    <w:rsid w:val="003B59AC"/>
    <w:rsid w:val="003B694F"/>
    <w:rsid w:val="003C4A20"/>
    <w:rsid w:val="003C4B0B"/>
    <w:rsid w:val="003C4BCC"/>
    <w:rsid w:val="003D7A7D"/>
    <w:rsid w:val="003E177F"/>
    <w:rsid w:val="003F171C"/>
    <w:rsid w:val="003F5CF7"/>
    <w:rsid w:val="004011E7"/>
    <w:rsid w:val="00412FC5"/>
    <w:rsid w:val="00422276"/>
    <w:rsid w:val="004242F1"/>
    <w:rsid w:val="00426D94"/>
    <w:rsid w:val="004305E9"/>
    <w:rsid w:val="004318C1"/>
    <w:rsid w:val="00440A39"/>
    <w:rsid w:val="0044203A"/>
    <w:rsid w:val="00442EF9"/>
    <w:rsid w:val="00445A00"/>
    <w:rsid w:val="00451B0F"/>
    <w:rsid w:val="00453A9E"/>
    <w:rsid w:val="004620CB"/>
    <w:rsid w:val="004676BE"/>
    <w:rsid w:val="00474905"/>
    <w:rsid w:val="00485C9F"/>
    <w:rsid w:val="00486AAF"/>
    <w:rsid w:val="00487DA4"/>
    <w:rsid w:val="004A5FBA"/>
    <w:rsid w:val="004A65AD"/>
    <w:rsid w:val="004A7F18"/>
    <w:rsid w:val="004C10C0"/>
    <w:rsid w:val="004C2EE3"/>
    <w:rsid w:val="004C303F"/>
    <w:rsid w:val="004C7A2B"/>
    <w:rsid w:val="004E4A22"/>
    <w:rsid w:val="004E4F32"/>
    <w:rsid w:val="004E5ED4"/>
    <w:rsid w:val="004E7ED4"/>
    <w:rsid w:val="00511968"/>
    <w:rsid w:val="0051761D"/>
    <w:rsid w:val="00520D91"/>
    <w:rsid w:val="0052112B"/>
    <w:rsid w:val="005343FD"/>
    <w:rsid w:val="0055035F"/>
    <w:rsid w:val="00550DB5"/>
    <w:rsid w:val="00552E46"/>
    <w:rsid w:val="00554498"/>
    <w:rsid w:val="00555C8A"/>
    <w:rsid w:val="0055614C"/>
    <w:rsid w:val="00560DA5"/>
    <w:rsid w:val="00562DFF"/>
    <w:rsid w:val="00565042"/>
    <w:rsid w:val="00566E9B"/>
    <w:rsid w:val="005675C2"/>
    <w:rsid w:val="00572F28"/>
    <w:rsid w:val="00582BA0"/>
    <w:rsid w:val="00584001"/>
    <w:rsid w:val="00586080"/>
    <w:rsid w:val="005902EF"/>
    <w:rsid w:val="00593EAD"/>
    <w:rsid w:val="005A5FC7"/>
    <w:rsid w:val="005A781B"/>
    <w:rsid w:val="005B4F0E"/>
    <w:rsid w:val="005C377D"/>
    <w:rsid w:val="005D2C62"/>
    <w:rsid w:val="005D5341"/>
    <w:rsid w:val="005D5EBB"/>
    <w:rsid w:val="005D7EFE"/>
    <w:rsid w:val="005E10F1"/>
    <w:rsid w:val="005E14C2"/>
    <w:rsid w:val="005E6193"/>
    <w:rsid w:val="00605F22"/>
    <w:rsid w:val="0060622A"/>
    <w:rsid w:val="00607BA5"/>
    <w:rsid w:val="00610208"/>
    <w:rsid w:val="0061180A"/>
    <w:rsid w:val="00623967"/>
    <w:rsid w:val="00624A0C"/>
    <w:rsid w:val="00626EB6"/>
    <w:rsid w:val="00637785"/>
    <w:rsid w:val="00644B92"/>
    <w:rsid w:val="006459B1"/>
    <w:rsid w:val="00646C36"/>
    <w:rsid w:val="00652649"/>
    <w:rsid w:val="0065270B"/>
    <w:rsid w:val="006534CA"/>
    <w:rsid w:val="00655733"/>
    <w:rsid w:val="00655D03"/>
    <w:rsid w:val="00665547"/>
    <w:rsid w:val="006816DA"/>
    <w:rsid w:val="00683388"/>
    <w:rsid w:val="00683B2D"/>
    <w:rsid w:val="00683F1F"/>
    <w:rsid w:val="00683F84"/>
    <w:rsid w:val="006918C5"/>
    <w:rsid w:val="0069341E"/>
    <w:rsid w:val="006A0CCD"/>
    <w:rsid w:val="006A16B3"/>
    <w:rsid w:val="006A2897"/>
    <w:rsid w:val="006A551D"/>
    <w:rsid w:val="006A6A81"/>
    <w:rsid w:val="006B14DD"/>
    <w:rsid w:val="006B2A40"/>
    <w:rsid w:val="006C3459"/>
    <w:rsid w:val="006C761E"/>
    <w:rsid w:val="006D133D"/>
    <w:rsid w:val="006E207C"/>
    <w:rsid w:val="006E3C67"/>
    <w:rsid w:val="006E4E12"/>
    <w:rsid w:val="006F7147"/>
    <w:rsid w:val="006F7393"/>
    <w:rsid w:val="0070112A"/>
    <w:rsid w:val="0070224F"/>
    <w:rsid w:val="00703BD1"/>
    <w:rsid w:val="0070708D"/>
    <w:rsid w:val="00710CC1"/>
    <w:rsid w:val="007115F7"/>
    <w:rsid w:val="00712B39"/>
    <w:rsid w:val="00712FE9"/>
    <w:rsid w:val="00717727"/>
    <w:rsid w:val="00721D0B"/>
    <w:rsid w:val="00722BB4"/>
    <w:rsid w:val="007563C6"/>
    <w:rsid w:val="007634E6"/>
    <w:rsid w:val="00770B53"/>
    <w:rsid w:val="0078084A"/>
    <w:rsid w:val="00782F47"/>
    <w:rsid w:val="00785689"/>
    <w:rsid w:val="0078789C"/>
    <w:rsid w:val="0079754B"/>
    <w:rsid w:val="007A1E6D"/>
    <w:rsid w:val="007A541A"/>
    <w:rsid w:val="007B0D37"/>
    <w:rsid w:val="007B0E95"/>
    <w:rsid w:val="007B0EB2"/>
    <w:rsid w:val="007B5620"/>
    <w:rsid w:val="007C0B2B"/>
    <w:rsid w:val="007C0B39"/>
    <w:rsid w:val="007C4242"/>
    <w:rsid w:val="007C473D"/>
    <w:rsid w:val="007C514D"/>
    <w:rsid w:val="007D19A5"/>
    <w:rsid w:val="007D2615"/>
    <w:rsid w:val="007D2A1D"/>
    <w:rsid w:val="007D7BED"/>
    <w:rsid w:val="007E04E4"/>
    <w:rsid w:val="007E2EBD"/>
    <w:rsid w:val="007E79EC"/>
    <w:rsid w:val="007F2132"/>
    <w:rsid w:val="007F2A97"/>
    <w:rsid w:val="007F766D"/>
    <w:rsid w:val="00805BF5"/>
    <w:rsid w:val="00806024"/>
    <w:rsid w:val="008062B4"/>
    <w:rsid w:val="0080718C"/>
    <w:rsid w:val="00810B6F"/>
    <w:rsid w:val="008155A1"/>
    <w:rsid w:val="00820404"/>
    <w:rsid w:val="00822CE0"/>
    <w:rsid w:val="008257A7"/>
    <w:rsid w:val="00830A41"/>
    <w:rsid w:val="00832DE8"/>
    <w:rsid w:val="008335CC"/>
    <w:rsid w:val="0083587E"/>
    <w:rsid w:val="00841AB1"/>
    <w:rsid w:val="00842EF2"/>
    <w:rsid w:val="00843A5F"/>
    <w:rsid w:val="00852593"/>
    <w:rsid w:val="00880D15"/>
    <w:rsid w:val="00883524"/>
    <w:rsid w:val="0089590D"/>
    <w:rsid w:val="008A1C76"/>
    <w:rsid w:val="008A2AD9"/>
    <w:rsid w:val="008A3BFE"/>
    <w:rsid w:val="008A7975"/>
    <w:rsid w:val="008A7AD7"/>
    <w:rsid w:val="008B082A"/>
    <w:rsid w:val="008B36CB"/>
    <w:rsid w:val="008B507E"/>
    <w:rsid w:val="008B628C"/>
    <w:rsid w:val="008C474B"/>
    <w:rsid w:val="008C68F1"/>
    <w:rsid w:val="008D3C3F"/>
    <w:rsid w:val="008D6611"/>
    <w:rsid w:val="008D79FA"/>
    <w:rsid w:val="008E3790"/>
    <w:rsid w:val="008E5A04"/>
    <w:rsid w:val="008F2DBF"/>
    <w:rsid w:val="00901E3F"/>
    <w:rsid w:val="009068C2"/>
    <w:rsid w:val="00907B94"/>
    <w:rsid w:val="00913231"/>
    <w:rsid w:val="009150AB"/>
    <w:rsid w:val="00921803"/>
    <w:rsid w:val="00925078"/>
    <w:rsid w:val="00926503"/>
    <w:rsid w:val="00926FC4"/>
    <w:rsid w:val="009278B1"/>
    <w:rsid w:val="009279FD"/>
    <w:rsid w:val="00927B1B"/>
    <w:rsid w:val="0093006C"/>
    <w:rsid w:val="009341CC"/>
    <w:rsid w:val="00936B23"/>
    <w:rsid w:val="0093744A"/>
    <w:rsid w:val="00941FB8"/>
    <w:rsid w:val="009476B1"/>
    <w:rsid w:val="00950A70"/>
    <w:rsid w:val="0096758E"/>
    <w:rsid w:val="00971733"/>
    <w:rsid w:val="009726D8"/>
    <w:rsid w:val="00980648"/>
    <w:rsid w:val="00982541"/>
    <w:rsid w:val="009850EA"/>
    <w:rsid w:val="009872BE"/>
    <w:rsid w:val="00993743"/>
    <w:rsid w:val="009A17A5"/>
    <w:rsid w:val="009B31C8"/>
    <w:rsid w:val="009C46DE"/>
    <w:rsid w:val="009C6343"/>
    <w:rsid w:val="009D05A0"/>
    <w:rsid w:val="009D071B"/>
    <w:rsid w:val="009D7FB5"/>
    <w:rsid w:val="009E1B60"/>
    <w:rsid w:val="009E1DE8"/>
    <w:rsid w:val="009E2673"/>
    <w:rsid w:val="009E51C5"/>
    <w:rsid w:val="009F76DB"/>
    <w:rsid w:val="00A11A13"/>
    <w:rsid w:val="00A13790"/>
    <w:rsid w:val="00A13EEC"/>
    <w:rsid w:val="00A168BC"/>
    <w:rsid w:val="00A17DF1"/>
    <w:rsid w:val="00A32C3B"/>
    <w:rsid w:val="00A34BAD"/>
    <w:rsid w:val="00A44C9A"/>
    <w:rsid w:val="00A45B71"/>
    <w:rsid w:val="00A45F4F"/>
    <w:rsid w:val="00A475EF"/>
    <w:rsid w:val="00A51F7B"/>
    <w:rsid w:val="00A547F8"/>
    <w:rsid w:val="00A5613E"/>
    <w:rsid w:val="00A600A9"/>
    <w:rsid w:val="00A66B78"/>
    <w:rsid w:val="00A77FDB"/>
    <w:rsid w:val="00A8149F"/>
    <w:rsid w:val="00A856EE"/>
    <w:rsid w:val="00A92628"/>
    <w:rsid w:val="00A97585"/>
    <w:rsid w:val="00AA1A67"/>
    <w:rsid w:val="00AA55B7"/>
    <w:rsid w:val="00AA5B9E"/>
    <w:rsid w:val="00AB2407"/>
    <w:rsid w:val="00AB43B3"/>
    <w:rsid w:val="00AB53DF"/>
    <w:rsid w:val="00AB6ADC"/>
    <w:rsid w:val="00AC67DE"/>
    <w:rsid w:val="00AC7DEE"/>
    <w:rsid w:val="00AD0401"/>
    <w:rsid w:val="00AD552D"/>
    <w:rsid w:val="00AD6D76"/>
    <w:rsid w:val="00AE01C2"/>
    <w:rsid w:val="00AE24D5"/>
    <w:rsid w:val="00B0044E"/>
    <w:rsid w:val="00B023FF"/>
    <w:rsid w:val="00B067FE"/>
    <w:rsid w:val="00B07974"/>
    <w:rsid w:val="00B07E5C"/>
    <w:rsid w:val="00B1444F"/>
    <w:rsid w:val="00B14DF6"/>
    <w:rsid w:val="00B213CA"/>
    <w:rsid w:val="00B2646D"/>
    <w:rsid w:val="00B26748"/>
    <w:rsid w:val="00B43FC1"/>
    <w:rsid w:val="00B4634E"/>
    <w:rsid w:val="00B5131E"/>
    <w:rsid w:val="00B51B28"/>
    <w:rsid w:val="00B554C0"/>
    <w:rsid w:val="00B56A93"/>
    <w:rsid w:val="00B66800"/>
    <w:rsid w:val="00B709FD"/>
    <w:rsid w:val="00B7146B"/>
    <w:rsid w:val="00B73A30"/>
    <w:rsid w:val="00B76F47"/>
    <w:rsid w:val="00B810D1"/>
    <w:rsid w:val="00B811F7"/>
    <w:rsid w:val="00B8387C"/>
    <w:rsid w:val="00B905A7"/>
    <w:rsid w:val="00B94251"/>
    <w:rsid w:val="00BA1172"/>
    <w:rsid w:val="00BA5DC6"/>
    <w:rsid w:val="00BA6196"/>
    <w:rsid w:val="00BA7C66"/>
    <w:rsid w:val="00BB440F"/>
    <w:rsid w:val="00BC67CB"/>
    <w:rsid w:val="00BC6D8C"/>
    <w:rsid w:val="00BC7821"/>
    <w:rsid w:val="00BD08D2"/>
    <w:rsid w:val="00BD4EBC"/>
    <w:rsid w:val="00BD5BEC"/>
    <w:rsid w:val="00BD779B"/>
    <w:rsid w:val="00BE103C"/>
    <w:rsid w:val="00BE7E75"/>
    <w:rsid w:val="00BF32EF"/>
    <w:rsid w:val="00BF4D5F"/>
    <w:rsid w:val="00BF5002"/>
    <w:rsid w:val="00BF684A"/>
    <w:rsid w:val="00C014DA"/>
    <w:rsid w:val="00C01E1F"/>
    <w:rsid w:val="00C03C87"/>
    <w:rsid w:val="00C04651"/>
    <w:rsid w:val="00C236AC"/>
    <w:rsid w:val="00C2508B"/>
    <w:rsid w:val="00C277CC"/>
    <w:rsid w:val="00C27BF9"/>
    <w:rsid w:val="00C34006"/>
    <w:rsid w:val="00C353B8"/>
    <w:rsid w:val="00C3652C"/>
    <w:rsid w:val="00C40527"/>
    <w:rsid w:val="00C426B1"/>
    <w:rsid w:val="00C43E4A"/>
    <w:rsid w:val="00C575BD"/>
    <w:rsid w:val="00C6383F"/>
    <w:rsid w:val="00C638C4"/>
    <w:rsid w:val="00C66160"/>
    <w:rsid w:val="00C67492"/>
    <w:rsid w:val="00C7140C"/>
    <w:rsid w:val="00C721AC"/>
    <w:rsid w:val="00C74119"/>
    <w:rsid w:val="00C754D2"/>
    <w:rsid w:val="00C77CE9"/>
    <w:rsid w:val="00C841D5"/>
    <w:rsid w:val="00C907ED"/>
    <w:rsid w:val="00C90D6A"/>
    <w:rsid w:val="00C936C5"/>
    <w:rsid w:val="00CA247E"/>
    <w:rsid w:val="00CB1583"/>
    <w:rsid w:val="00CC72B6"/>
    <w:rsid w:val="00CD3870"/>
    <w:rsid w:val="00CD6BC4"/>
    <w:rsid w:val="00CE68FE"/>
    <w:rsid w:val="00CE79A0"/>
    <w:rsid w:val="00CE7D37"/>
    <w:rsid w:val="00CF08A1"/>
    <w:rsid w:val="00CF1B2D"/>
    <w:rsid w:val="00D0218D"/>
    <w:rsid w:val="00D24CB0"/>
    <w:rsid w:val="00D257FC"/>
    <w:rsid w:val="00D25FB5"/>
    <w:rsid w:val="00D26D0E"/>
    <w:rsid w:val="00D341FE"/>
    <w:rsid w:val="00D404FB"/>
    <w:rsid w:val="00D44223"/>
    <w:rsid w:val="00D4452F"/>
    <w:rsid w:val="00D45A54"/>
    <w:rsid w:val="00D503BA"/>
    <w:rsid w:val="00D528BF"/>
    <w:rsid w:val="00D55502"/>
    <w:rsid w:val="00D560CD"/>
    <w:rsid w:val="00D56A4B"/>
    <w:rsid w:val="00D607B0"/>
    <w:rsid w:val="00D612FE"/>
    <w:rsid w:val="00D627A6"/>
    <w:rsid w:val="00D65117"/>
    <w:rsid w:val="00D66953"/>
    <w:rsid w:val="00D756ED"/>
    <w:rsid w:val="00D80103"/>
    <w:rsid w:val="00D83696"/>
    <w:rsid w:val="00D83D01"/>
    <w:rsid w:val="00D84F78"/>
    <w:rsid w:val="00D9021A"/>
    <w:rsid w:val="00DA1426"/>
    <w:rsid w:val="00DA176A"/>
    <w:rsid w:val="00DA2529"/>
    <w:rsid w:val="00DB0955"/>
    <w:rsid w:val="00DB0C03"/>
    <w:rsid w:val="00DB130A"/>
    <w:rsid w:val="00DB178E"/>
    <w:rsid w:val="00DB2EBB"/>
    <w:rsid w:val="00DC10A1"/>
    <w:rsid w:val="00DC2111"/>
    <w:rsid w:val="00DC655F"/>
    <w:rsid w:val="00DC7048"/>
    <w:rsid w:val="00DD0B59"/>
    <w:rsid w:val="00DD1F61"/>
    <w:rsid w:val="00DD4456"/>
    <w:rsid w:val="00DD7EBD"/>
    <w:rsid w:val="00DE36CF"/>
    <w:rsid w:val="00DF2595"/>
    <w:rsid w:val="00DF4574"/>
    <w:rsid w:val="00DF62B6"/>
    <w:rsid w:val="00DF747E"/>
    <w:rsid w:val="00E0195B"/>
    <w:rsid w:val="00E01E06"/>
    <w:rsid w:val="00E02214"/>
    <w:rsid w:val="00E02D1D"/>
    <w:rsid w:val="00E03587"/>
    <w:rsid w:val="00E067E9"/>
    <w:rsid w:val="00E06DA9"/>
    <w:rsid w:val="00E07225"/>
    <w:rsid w:val="00E1090A"/>
    <w:rsid w:val="00E1401A"/>
    <w:rsid w:val="00E17CC3"/>
    <w:rsid w:val="00E22653"/>
    <w:rsid w:val="00E24E9F"/>
    <w:rsid w:val="00E3009C"/>
    <w:rsid w:val="00E32B72"/>
    <w:rsid w:val="00E40F40"/>
    <w:rsid w:val="00E43C74"/>
    <w:rsid w:val="00E4501C"/>
    <w:rsid w:val="00E4515E"/>
    <w:rsid w:val="00E5409F"/>
    <w:rsid w:val="00E55D00"/>
    <w:rsid w:val="00E5745E"/>
    <w:rsid w:val="00E66F37"/>
    <w:rsid w:val="00E8027E"/>
    <w:rsid w:val="00E831BB"/>
    <w:rsid w:val="00E86022"/>
    <w:rsid w:val="00E861B3"/>
    <w:rsid w:val="00E8630A"/>
    <w:rsid w:val="00E92B0E"/>
    <w:rsid w:val="00E9541A"/>
    <w:rsid w:val="00E96AD2"/>
    <w:rsid w:val="00EA12C6"/>
    <w:rsid w:val="00EA79E8"/>
    <w:rsid w:val="00EB20A8"/>
    <w:rsid w:val="00EB677E"/>
    <w:rsid w:val="00ED419F"/>
    <w:rsid w:val="00ED6FEF"/>
    <w:rsid w:val="00EE1291"/>
    <w:rsid w:val="00EE6488"/>
    <w:rsid w:val="00EF1B1B"/>
    <w:rsid w:val="00EF2D5B"/>
    <w:rsid w:val="00EF30D3"/>
    <w:rsid w:val="00EF4A86"/>
    <w:rsid w:val="00EF5FE2"/>
    <w:rsid w:val="00F021FA"/>
    <w:rsid w:val="00F02B8E"/>
    <w:rsid w:val="00F071DB"/>
    <w:rsid w:val="00F14CA6"/>
    <w:rsid w:val="00F16CFE"/>
    <w:rsid w:val="00F21F87"/>
    <w:rsid w:val="00F22FBF"/>
    <w:rsid w:val="00F23B6A"/>
    <w:rsid w:val="00F26C20"/>
    <w:rsid w:val="00F30FA7"/>
    <w:rsid w:val="00F32845"/>
    <w:rsid w:val="00F46FBA"/>
    <w:rsid w:val="00F56A65"/>
    <w:rsid w:val="00F60217"/>
    <w:rsid w:val="00F629DB"/>
    <w:rsid w:val="00F62E97"/>
    <w:rsid w:val="00F64209"/>
    <w:rsid w:val="00F65999"/>
    <w:rsid w:val="00F660CB"/>
    <w:rsid w:val="00F67DCE"/>
    <w:rsid w:val="00F7063C"/>
    <w:rsid w:val="00F71C55"/>
    <w:rsid w:val="00F764C3"/>
    <w:rsid w:val="00F8143D"/>
    <w:rsid w:val="00F8503B"/>
    <w:rsid w:val="00F8748A"/>
    <w:rsid w:val="00F8779B"/>
    <w:rsid w:val="00F93BF5"/>
    <w:rsid w:val="00FA5B59"/>
    <w:rsid w:val="00FA68E9"/>
    <w:rsid w:val="00FB3458"/>
    <w:rsid w:val="00FB39CB"/>
    <w:rsid w:val="00FB4615"/>
    <w:rsid w:val="00FD0E89"/>
    <w:rsid w:val="00FD0F9C"/>
    <w:rsid w:val="00FD2695"/>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A9"/>
    <w:pPr>
      <w:widowControl w:val="0"/>
    </w:pPr>
    <w:rPr>
      <w:snapToGrid w:val="0"/>
      <w:kern w:val="28"/>
      <w:sz w:val="22"/>
    </w:rPr>
  </w:style>
  <w:style w:type="paragraph" w:styleId="Heading1">
    <w:name w:val="heading 1"/>
    <w:basedOn w:val="Normal"/>
    <w:next w:val="ParaNum"/>
    <w:link w:val="Heading1Char"/>
    <w:qFormat/>
    <w:rsid w:val="00E06DA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06DA9"/>
    <w:pPr>
      <w:keepNext/>
      <w:numPr>
        <w:ilvl w:val="1"/>
        <w:numId w:val="2"/>
      </w:numPr>
      <w:spacing w:after="120"/>
      <w:outlineLvl w:val="1"/>
    </w:pPr>
    <w:rPr>
      <w:b/>
    </w:rPr>
  </w:style>
  <w:style w:type="paragraph" w:styleId="Heading3">
    <w:name w:val="heading 3"/>
    <w:basedOn w:val="Normal"/>
    <w:next w:val="ParaNum"/>
    <w:qFormat/>
    <w:rsid w:val="00E06DA9"/>
    <w:pPr>
      <w:keepNext/>
      <w:numPr>
        <w:ilvl w:val="2"/>
        <w:numId w:val="2"/>
      </w:numPr>
      <w:tabs>
        <w:tab w:val="left" w:pos="2160"/>
      </w:tabs>
      <w:spacing w:after="120"/>
      <w:outlineLvl w:val="2"/>
    </w:pPr>
    <w:rPr>
      <w:b/>
    </w:rPr>
  </w:style>
  <w:style w:type="paragraph" w:styleId="Heading4">
    <w:name w:val="heading 4"/>
    <w:basedOn w:val="Normal"/>
    <w:next w:val="ParaNum"/>
    <w:qFormat/>
    <w:rsid w:val="00E06DA9"/>
    <w:pPr>
      <w:keepNext/>
      <w:numPr>
        <w:ilvl w:val="3"/>
        <w:numId w:val="2"/>
      </w:numPr>
      <w:tabs>
        <w:tab w:val="left" w:pos="2880"/>
      </w:tabs>
      <w:spacing w:after="120"/>
      <w:outlineLvl w:val="3"/>
    </w:pPr>
    <w:rPr>
      <w:b/>
    </w:rPr>
  </w:style>
  <w:style w:type="paragraph" w:styleId="Heading5">
    <w:name w:val="heading 5"/>
    <w:basedOn w:val="Normal"/>
    <w:next w:val="ParaNum"/>
    <w:qFormat/>
    <w:rsid w:val="00E06DA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06DA9"/>
    <w:pPr>
      <w:numPr>
        <w:ilvl w:val="5"/>
        <w:numId w:val="2"/>
      </w:numPr>
      <w:tabs>
        <w:tab w:val="left" w:pos="4320"/>
      </w:tabs>
      <w:spacing w:after="120"/>
      <w:outlineLvl w:val="5"/>
    </w:pPr>
    <w:rPr>
      <w:b/>
    </w:rPr>
  </w:style>
  <w:style w:type="paragraph" w:styleId="Heading7">
    <w:name w:val="heading 7"/>
    <w:basedOn w:val="Normal"/>
    <w:next w:val="ParaNum"/>
    <w:qFormat/>
    <w:rsid w:val="00E06DA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06DA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06DA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6D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DA9"/>
  </w:style>
  <w:style w:type="paragraph" w:customStyle="1" w:styleId="ParaNum">
    <w:name w:val="ParaNum"/>
    <w:basedOn w:val="Normal"/>
    <w:link w:val="ParaNumChar"/>
    <w:rsid w:val="00E06DA9"/>
    <w:pPr>
      <w:numPr>
        <w:numId w:val="1"/>
      </w:numPr>
      <w:tabs>
        <w:tab w:val="clear" w:pos="1080"/>
        <w:tab w:val="num" w:pos="1440"/>
      </w:tabs>
      <w:spacing w:after="120"/>
    </w:pPr>
  </w:style>
  <w:style w:type="paragraph" w:styleId="EndnoteText">
    <w:name w:val="endnote text"/>
    <w:basedOn w:val="Normal"/>
    <w:semiHidden/>
    <w:rsid w:val="00E06DA9"/>
    <w:rPr>
      <w:sz w:val="20"/>
    </w:rPr>
  </w:style>
  <w:style w:type="character" w:styleId="EndnoteReference">
    <w:name w:val="endnote reference"/>
    <w:semiHidden/>
    <w:rsid w:val="00E06DA9"/>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E06DA9"/>
    <w:pPr>
      <w:spacing w:after="120"/>
    </w:pPr>
  </w:style>
  <w:style w:type="character" w:styleId="FootnoteReference">
    <w:name w:val="footnote reference"/>
    <w:aliases w:val="Style 4,Style 12,(NECG) Footnote Reference,Appel note de bas de p,Style 124,Style 13,o,fr,Style 3,FR,Style 17,Footnote Reference/,Style 6"/>
    <w:rsid w:val="00E06DA9"/>
    <w:rPr>
      <w:rFonts w:ascii="Times New Roman" w:hAnsi="Times New Roman"/>
      <w:dstrike w:val="0"/>
      <w:color w:val="auto"/>
      <w:sz w:val="20"/>
      <w:vertAlign w:val="superscript"/>
    </w:rPr>
  </w:style>
  <w:style w:type="paragraph" w:styleId="TOC1">
    <w:name w:val="toc 1"/>
    <w:basedOn w:val="Normal"/>
    <w:next w:val="Normal"/>
    <w:semiHidden/>
    <w:rsid w:val="00E06D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06DA9"/>
    <w:pPr>
      <w:tabs>
        <w:tab w:val="left" w:pos="720"/>
        <w:tab w:val="right" w:leader="dot" w:pos="9360"/>
      </w:tabs>
      <w:suppressAutoHyphens/>
      <w:ind w:left="720" w:right="720" w:hanging="360"/>
    </w:pPr>
    <w:rPr>
      <w:noProof/>
    </w:rPr>
  </w:style>
  <w:style w:type="paragraph" w:styleId="TOC3">
    <w:name w:val="toc 3"/>
    <w:basedOn w:val="Normal"/>
    <w:next w:val="Normal"/>
    <w:semiHidden/>
    <w:rsid w:val="00E06D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6D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6D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6D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6D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6D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6D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6DA9"/>
    <w:pPr>
      <w:tabs>
        <w:tab w:val="right" w:pos="9360"/>
      </w:tabs>
      <w:suppressAutoHyphens/>
    </w:pPr>
  </w:style>
  <w:style w:type="character" w:customStyle="1" w:styleId="EquationCaption">
    <w:name w:val="_Equation Caption"/>
    <w:rsid w:val="00E06DA9"/>
  </w:style>
  <w:style w:type="paragraph" w:styleId="Header">
    <w:name w:val="header"/>
    <w:basedOn w:val="Normal"/>
    <w:link w:val="HeaderChar"/>
    <w:autoRedefine/>
    <w:rsid w:val="00E06DA9"/>
    <w:pPr>
      <w:tabs>
        <w:tab w:val="center" w:pos="4680"/>
        <w:tab w:val="right" w:pos="9360"/>
      </w:tabs>
    </w:pPr>
    <w:rPr>
      <w:b/>
    </w:rPr>
  </w:style>
  <w:style w:type="paragraph" w:styleId="Footer">
    <w:name w:val="footer"/>
    <w:basedOn w:val="Normal"/>
    <w:link w:val="FooterChar"/>
    <w:rsid w:val="00E06DA9"/>
    <w:pPr>
      <w:tabs>
        <w:tab w:val="center" w:pos="4320"/>
        <w:tab w:val="right" w:pos="8640"/>
      </w:tabs>
    </w:pPr>
  </w:style>
  <w:style w:type="character" w:styleId="PageNumber">
    <w:name w:val="page number"/>
    <w:basedOn w:val="DefaultParagraphFont"/>
    <w:rsid w:val="00E06DA9"/>
  </w:style>
  <w:style w:type="paragraph" w:styleId="BlockText">
    <w:name w:val="Block Text"/>
    <w:basedOn w:val="Normal"/>
    <w:rsid w:val="00E06DA9"/>
    <w:pPr>
      <w:spacing w:after="240"/>
      <w:ind w:left="1440" w:right="1440"/>
    </w:pPr>
  </w:style>
  <w:style w:type="paragraph" w:customStyle="1" w:styleId="Paratitle">
    <w:name w:val="Para title"/>
    <w:basedOn w:val="Normal"/>
    <w:rsid w:val="00E06DA9"/>
    <w:pPr>
      <w:tabs>
        <w:tab w:val="center" w:pos="9270"/>
      </w:tabs>
      <w:spacing w:after="240"/>
    </w:pPr>
    <w:rPr>
      <w:spacing w:val="-2"/>
    </w:rPr>
  </w:style>
  <w:style w:type="paragraph" w:customStyle="1" w:styleId="Bullet">
    <w:name w:val="Bullet"/>
    <w:basedOn w:val="Normal"/>
    <w:rsid w:val="00E06DA9"/>
    <w:pPr>
      <w:tabs>
        <w:tab w:val="left" w:pos="2160"/>
      </w:tabs>
      <w:spacing w:after="220"/>
      <w:ind w:left="2160" w:hanging="720"/>
    </w:pPr>
  </w:style>
  <w:style w:type="paragraph" w:customStyle="1" w:styleId="TableFormat">
    <w:name w:val="TableFormat"/>
    <w:basedOn w:val="Bullet"/>
    <w:rsid w:val="00E06DA9"/>
    <w:pPr>
      <w:tabs>
        <w:tab w:val="clear" w:pos="2160"/>
        <w:tab w:val="left" w:pos="5040"/>
      </w:tabs>
      <w:ind w:left="5040" w:hanging="3600"/>
    </w:pPr>
  </w:style>
  <w:style w:type="paragraph" w:customStyle="1" w:styleId="TOCTitle">
    <w:name w:val="TOC Title"/>
    <w:basedOn w:val="Normal"/>
    <w:rsid w:val="00E06D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6DA9"/>
    <w:pPr>
      <w:jc w:val="center"/>
    </w:pPr>
    <w:rPr>
      <w:rFonts w:ascii="Times New Roman Bold" w:hAnsi="Times New Roman Bold"/>
      <w:b/>
      <w:bCs/>
      <w:caps/>
      <w:szCs w:val="22"/>
    </w:rPr>
  </w:style>
  <w:style w:type="character" w:styleId="Hyperlink">
    <w:name w:val="Hyperlink"/>
    <w:rsid w:val="00E06DA9"/>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A9"/>
    <w:pPr>
      <w:widowControl w:val="0"/>
    </w:pPr>
    <w:rPr>
      <w:snapToGrid w:val="0"/>
      <w:kern w:val="28"/>
      <w:sz w:val="22"/>
    </w:rPr>
  </w:style>
  <w:style w:type="paragraph" w:styleId="Heading1">
    <w:name w:val="heading 1"/>
    <w:basedOn w:val="Normal"/>
    <w:next w:val="ParaNum"/>
    <w:link w:val="Heading1Char"/>
    <w:qFormat/>
    <w:rsid w:val="00E06DA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06DA9"/>
    <w:pPr>
      <w:keepNext/>
      <w:numPr>
        <w:ilvl w:val="1"/>
        <w:numId w:val="2"/>
      </w:numPr>
      <w:spacing w:after="120"/>
      <w:outlineLvl w:val="1"/>
    </w:pPr>
    <w:rPr>
      <w:b/>
    </w:rPr>
  </w:style>
  <w:style w:type="paragraph" w:styleId="Heading3">
    <w:name w:val="heading 3"/>
    <w:basedOn w:val="Normal"/>
    <w:next w:val="ParaNum"/>
    <w:qFormat/>
    <w:rsid w:val="00E06DA9"/>
    <w:pPr>
      <w:keepNext/>
      <w:numPr>
        <w:ilvl w:val="2"/>
        <w:numId w:val="2"/>
      </w:numPr>
      <w:tabs>
        <w:tab w:val="left" w:pos="2160"/>
      </w:tabs>
      <w:spacing w:after="120"/>
      <w:outlineLvl w:val="2"/>
    </w:pPr>
    <w:rPr>
      <w:b/>
    </w:rPr>
  </w:style>
  <w:style w:type="paragraph" w:styleId="Heading4">
    <w:name w:val="heading 4"/>
    <w:basedOn w:val="Normal"/>
    <w:next w:val="ParaNum"/>
    <w:qFormat/>
    <w:rsid w:val="00E06DA9"/>
    <w:pPr>
      <w:keepNext/>
      <w:numPr>
        <w:ilvl w:val="3"/>
        <w:numId w:val="2"/>
      </w:numPr>
      <w:tabs>
        <w:tab w:val="left" w:pos="2880"/>
      </w:tabs>
      <w:spacing w:after="120"/>
      <w:outlineLvl w:val="3"/>
    </w:pPr>
    <w:rPr>
      <w:b/>
    </w:rPr>
  </w:style>
  <w:style w:type="paragraph" w:styleId="Heading5">
    <w:name w:val="heading 5"/>
    <w:basedOn w:val="Normal"/>
    <w:next w:val="ParaNum"/>
    <w:qFormat/>
    <w:rsid w:val="00E06DA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06DA9"/>
    <w:pPr>
      <w:numPr>
        <w:ilvl w:val="5"/>
        <w:numId w:val="2"/>
      </w:numPr>
      <w:tabs>
        <w:tab w:val="left" w:pos="4320"/>
      </w:tabs>
      <w:spacing w:after="120"/>
      <w:outlineLvl w:val="5"/>
    </w:pPr>
    <w:rPr>
      <w:b/>
    </w:rPr>
  </w:style>
  <w:style w:type="paragraph" w:styleId="Heading7">
    <w:name w:val="heading 7"/>
    <w:basedOn w:val="Normal"/>
    <w:next w:val="ParaNum"/>
    <w:qFormat/>
    <w:rsid w:val="00E06DA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06DA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06DA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6D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DA9"/>
  </w:style>
  <w:style w:type="paragraph" w:customStyle="1" w:styleId="ParaNum">
    <w:name w:val="ParaNum"/>
    <w:basedOn w:val="Normal"/>
    <w:link w:val="ParaNumChar"/>
    <w:rsid w:val="00E06DA9"/>
    <w:pPr>
      <w:numPr>
        <w:numId w:val="1"/>
      </w:numPr>
      <w:tabs>
        <w:tab w:val="clear" w:pos="1080"/>
        <w:tab w:val="num" w:pos="1440"/>
      </w:tabs>
      <w:spacing w:after="120"/>
    </w:pPr>
  </w:style>
  <w:style w:type="paragraph" w:styleId="EndnoteText">
    <w:name w:val="endnote text"/>
    <w:basedOn w:val="Normal"/>
    <w:semiHidden/>
    <w:rsid w:val="00E06DA9"/>
    <w:rPr>
      <w:sz w:val="20"/>
    </w:rPr>
  </w:style>
  <w:style w:type="character" w:styleId="EndnoteReference">
    <w:name w:val="endnote reference"/>
    <w:semiHidden/>
    <w:rsid w:val="00E06DA9"/>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E06DA9"/>
    <w:pPr>
      <w:spacing w:after="120"/>
    </w:pPr>
  </w:style>
  <w:style w:type="character" w:styleId="FootnoteReference">
    <w:name w:val="footnote reference"/>
    <w:aliases w:val="Style 4,Style 12,(NECG) Footnote Reference,Appel note de bas de p,Style 124,Style 13,o,fr,Style 3,FR,Style 17,Footnote Reference/,Style 6"/>
    <w:rsid w:val="00E06DA9"/>
    <w:rPr>
      <w:rFonts w:ascii="Times New Roman" w:hAnsi="Times New Roman"/>
      <w:dstrike w:val="0"/>
      <w:color w:val="auto"/>
      <w:sz w:val="20"/>
      <w:vertAlign w:val="superscript"/>
    </w:rPr>
  </w:style>
  <w:style w:type="paragraph" w:styleId="TOC1">
    <w:name w:val="toc 1"/>
    <w:basedOn w:val="Normal"/>
    <w:next w:val="Normal"/>
    <w:semiHidden/>
    <w:rsid w:val="00E06D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06DA9"/>
    <w:pPr>
      <w:tabs>
        <w:tab w:val="left" w:pos="720"/>
        <w:tab w:val="right" w:leader="dot" w:pos="9360"/>
      </w:tabs>
      <w:suppressAutoHyphens/>
      <w:ind w:left="720" w:right="720" w:hanging="360"/>
    </w:pPr>
    <w:rPr>
      <w:noProof/>
    </w:rPr>
  </w:style>
  <w:style w:type="paragraph" w:styleId="TOC3">
    <w:name w:val="toc 3"/>
    <w:basedOn w:val="Normal"/>
    <w:next w:val="Normal"/>
    <w:semiHidden/>
    <w:rsid w:val="00E06D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6D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6D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6D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6D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6D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6D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6DA9"/>
    <w:pPr>
      <w:tabs>
        <w:tab w:val="right" w:pos="9360"/>
      </w:tabs>
      <w:suppressAutoHyphens/>
    </w:pPr>
  </w:style>
  <w:style w:type="character" w:customStyle="1" w:styleId="EquationCaption">
    <w:name w:val="_Equation Caption"/>
    <w:rsid w:val="00E06DA9"/>
  </w:style>
  <w:style w:type="paragraph" w:styleId="Header">
    <w:name w:val="header"/>
    <w:basedOn w:val="Normal"/>
    <w:link w:val="HeaderChar"/>
    <w:autoRedefine/>
    <w:rsid w:val="00E06DA9"/>
    <w:pPr>
      <w:tabs>
        <w:tab w:val="center" w:pos="4680"/>
        <w:tab w:val="right" w:pos="9360"/>
      </w:tabs>
    </w:pPr>
    <w:rPr>
      <w:b/>
    </w:rPr>
  </w:style>
  <w:style w:type="paragraph" w:styleId="Footer">
    <w:name w:val="footer"/>
    <w:basedOn w:val="Normal"/>
    <w:link w:val="FooterChar"/>
    <w:rsid w:val="00E06DA9"/>
    <w:pPr>
      <w:tabs>
        <w:tab w:val="center" w:pos="4320"/>
        <w:tab w:val="right" w:pos="8640"/>
      </w:tabs>
    </w:pPr>
  </w:style>
  <w:style w:type="character" w:styleId="PageNumber">
    <w:name w:val="page number"/>
    <w:basedOn w:val="DefaultParagraphFont"/>
    <w:rsid w:val="00E06DA9"/>
  </w:style>
  <w:style w:type="paragraph" w:styleId="BlockText">
    <w:name w:val="Block Text"/>
    <w:basedOn w:val="Normal"/>
    <w:rsid w:val="00E06DA9"/>
    <w:pPr>
      <w:spacing w:after="240"/>
      <w:ind w:left="1440" w:right="1440"/>
    </w:pPr>
  </w:style>
  <w:style w:type="paragraph" w:customStyle="1" w:styleId="Paratitle">
    <w:name w:val="Para title"/>
    <w:basedOn w:val="Normal"/>
    <w:rsid w:val="00E06DA9"/>
    <w:pPr>
      <w:tabs>
        <w:tab w:val="center" w:pos="9270"/>
      </w:tabs>
      <w:spacing w:after="240"/>
    </w:pPr>
    <w:rPr>
      <w:spacing w:val="-2"/>
    </w:rPr>
  </w:style>
  <w:style w:type="paragraph" w:customStyle="1" w:styleId="Bullet">
    <w:name w:val="Bullet"/>
    <w:basedOn w:val="Normal"/>
    <w:rsid w:val="00E06DA9"/>
    <w:pPr>
      <w:tabs>
        <w:tab w:val="left" w:pos="2160"/>
      </w:tabs>
      <w:spacing w:after="220"/>
      <w:ind w:left="2160" w:hanging="720"/>
    </w:pPr>
  </w:style>
  <w:style w:type="paragraph" w:customStyle="1" w:styleId="TableFormat">
    <w:name w:val="TableFormat"/>
    <w:basedOn w:val="Bullet"/>
    <w:rsid w:val="00E06DA9"/>
    <w:pPr>
      <w:tabs>
        <w:tab w:val="clear" w:pos="2160"/>
        <w:tab w:val="left" w:pos="5040"/>
      </w:tabs>
      <w:ind w:left="5040" w:hanging="3600"/>
    </w:pPr>
  </w:style>
  <w:style w:type="paragraph" w:customStyle="1" w:styleId="TOCTitle">
    <w:name w:val="TOC Title"/>
    <w:basedOn w:val="Normal"/>
    <w:rsid w:val="00E06D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6DA9"/>
    <w:pPr>
      <w:jc w:val="center"/>
    </w:pPr>
    <w:rPr>
      <w:rFonts w:ascii="Times New Roman Bold" w:hAnsi="Times New Roman Bold"/>
      <w:b/>
      <w:bCs/>
      <w:caps/>
      <w:szCs w:val="22"/>
    </w:rPr>
  </w:style>
  <w:style w:type="character" w:styleId="Hyperlink">
    <w:name w:val="Hyperlink"/>
    <w:rsid w:val="00E06DA9"/>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3308</Words>
  <Characters>18723</Characters>
  <Application>Microsoft Office Word</Application>
  <DocSecurity>0</DocSecurity>
  <Lines>344</Lines>
  <Paragraphs>112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2015-06-03T15:35:00Z</cp:lastPrinted>
  <dcterms:created xsi:type="dcterms:W3CDTF">2016-02-09T18:23:00Z</dcterms:created>
  <dcterms:modified xsi:type="dcterms:W3CDTF">2016-02-09T18:23:00Z</dcterms:modified>
  <cp:category> </cp:category>
  <cp:contentStatus> </cp:contentStatus>
</cp:coreProperties>
</file>