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A4C5" w14:textId="77777777" w:rsidR="00E273E3" w:rsidRPr="00790B4B" w:rsidRDefault="00E273E3" w:rsidP="00A16480">
      <w:pPr>
        <w:widowControl/>
        <w:jc w:val="center"/>
        <w:rPr>
          <w:b/>
        </w:rPr>
      </w:pPr>
      <w:bookmarkStart w:id="0" w:name="_GoBack"/>
      <w:bookmarkEnd w:id="0"/>
      <w:r w:rsidRPr="00790B4B">
        <w:rPr>
          <w:b/>
          <w:kern w:val="0"/>
          <w:szCs w:val="22"/>
        </w:rPr>
        <w:t>Before</w:t>
      </w:r>
      <w:r w:rsidRPr="00790B4B">
        <w:rPr>
          <w:b/>
        </w:rPr>
        <w:t xml:space="preserve"> the</w:t>
      </w:r>
    </w:p>
    <w:p w14:paraId="7BFA1160" w14:textId="77777777" w:rsidR="00E273E3" w:rsidRPr="00790B4B" w:rsidRDefault="00E273E3" w:rsidP="00A16480">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43797ACC" w14:textId="77777777" w:rsidR="00E273E3" w:rsidRPr="00790B4B" w:rsidRDefault="00E273E3" w:rsidP="00A16480">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2668C5BE" w14:textId="77777777" w:rsidR="00E273E3" w:rsidRPr="00790B4B" w:rsidRDefault="00E273E3" w:rsidP="00A16480">
      <w:pPr>
        <w:widowControl/>
      </w:pPr>
    </w:p>
    <w:tbl>
      <w:tblPr>
        <w:tblW w:w="0" w:type="auto"/>
        <w:tblLayout w:type="fixed"/>
        <w:tblLook w:val="0000" w:firstRow="0" w:lastRow="0" w:firstColumn="0" w:lastColumn="0" w:noHBand="0" w:noVBand="0"/>
      </w:tblPr>
      <w:tblGrid>
        <w:gridCol w:w="4698"/>
        <w:gridCol w:w="630"/>
        <w:gridCol w:w="4248"/>
      </w:tblGrid>
      <w:tr w:rsidR="00E273E3" w:rsidRPr="00344C0B" w14:paraId="30D1BB00" w14:textId="77777777">
        <w:tc>
          <w:tcPr>
            <w:tcW w:w="4698" w:type="dxa"/>
          </w:tcPr>
          <w:p w14:paraId="1C76D780" w14:textId="77777777" w:rsidR="00E273E3" w:rsidRPr="00790B4B" w:rsidRDefault="00E273E3" w:rsidP="00A16480">
            <w:pPr>
              <w:widowControl/>
              <w:suppressAutoHyphens/>
              <w:rPr>
                <w:spacing w:val="-2"/>
              </w:rPr>
            </w:pPr>
            <w:r w:rsidRPr="00790B4B">
              <w:rPr>
                <w:spacing w:val="-2"/>
              </w:rPr>
              <w:t>In the Matter of</w:t>
            </w:r>
          </w:p>
          <w:p w14:paraId="16361C4C" w14:textId="77777777" w:rsidR="00E273E3" w:rsidRPr="00790B4B" w:rsidRDefault="00E273E3" w:rsidP="00A16480">
            <w:pPr>
              <w:widowControl/>
              <w:suppressAutoHyphens/>
              <w:rPr>
                <w:spacing w:val="-2"/>
              </w:rPr>
            </w:pPr>
          </w:p>
          <w:p w14:paraId="34E85E6F" w14:textId="77777777" w:rsidR="00476459" w:rsidRPr="00476459" w:rsidRDefault="00476459" w:rsidP="00A16480">
            <w:pPr>
              <w:widowControl/>
              <w:suppressAutoHyphens/>
              <w:rPr>
                <w:spacing w:val="-2"/>
              </w:rPr>
            </w:pPr>
            <w:r w:rsidRPr="00476459">
              <w:rPr>
                <w:spacing w:val="-2"/>
              </w:rPr>
              <w:t>Mobile Relay Associates</w:t>
            </w:r>
          </w:p>
          <w:p w14:paraId="517BA576" w14:textId="77777777" w:rsidR="00476459" w:rsidRPr="00476459" w:rsidRDefault="00476459" w:rsidP="00A16480">
            <w:pPr>
              <w:widowControl/>
              <w:suppressAutoHyphens/>
              <w:rPr>
                <w:spacing w:val="-2"/>
              </w:rPr>
            </w:pPr>
          </w:p>
          <w:p w14:paraId="0F87713E" w14:textId="77777777" w:rsidR="00476459" w:rsidRPr="00476459" w:rsidRDefault="00476459" w:rsidP="00A16480">
            <w:pPr>
              <w:widowControl/>
              <w:suppressAutoHyphens/>
              <w:rPr>
                <w:spacing w:val="-2"/>
              </w:rPr>
            </w:pPr>
            <w:r w:rsidRPr="00476459">
              <w:rPr>
                <w:spacing w:val="-2"/>
              </w:rPr>
              <w:t>Licensee of WPPF234</w:t>
            </w:r>
          </w:p>
          <w:p w14:paraId="5A10150A" w14:textId="77777777" w:rsidR="00E273E3" w:rsidRPr="00344C0B" w:rsidRDefault="00476459" w:rsidP="00A16480">
            <w:pPr>
              <w:widowControl/>
              <w:suppressAutoHyphens/>
              <w:rPr>
                <w:spacing w:val="-2"/>
              </w:rPr>
            </w:pPr>
            <w:r w:rsidRPr="00476459">
              <w:rPr>
                <w:spacing w:val="-2"/>
              </w:rPr>
              <w:t xml:space="preserve">Malibu, California </w:t>
            </w:r>
          </w:p>
        </w:tc>
        <w:tc>
          <w:tcPr>
            <w:tcW w:w="630" w:type="dxa"/>
          </w:tcPr>
          <w:p w14:paraId="3603FF58" w14:textId="77777777" w:rsidR="00E273E3" w:rsidRPr="00344C0B" w:rsidRDefault="00E273E3" w:rsidP="00A16480">
            <w:pPr>
              <w:widowControl/>
              <w:suppressAutoHyphens/>
              <w:rPr>
                <w:spacing w:val="-2"/>
              </w:rPr>
            </w:pPr>
            <w:r w:rsidRPr="00344C0B">
              <w:rPr>
                <w:spacing w:val="-2"/>
              </w:rPr>
              <w:t>)</w:t>
            </w:r>
          </w:p>
          <w:p w14:paraId="52679D39" w14:textId="77777777" w:rsidR="00E273E3" w:rsidRPr="00344C0B" w:rsidRDefault="00E273E3" w:rsidP="00A16480">
            <w:pPr>
              <w:widowControl/>
              <w:suppressAutoHyphens/>
              <w:rPr>
                <w:spacing w:val="-2"/>
              </w:rPr>
            </w:pPr>
            <w:r w:rsidRPr="00344C0B">
              <w:rPr>
                <w:spacing w:val="-2"/>
              </w:rPr>
              <w:t>)</w:t>
            </w:r>
          </w:p>
          <w:p w14:paraId="6C076DC5" w14:textId="77777777" w:rsidR="00E273E3" w:rsidRPr="00344C0B" w:rsidRDefault="00E273E3" w:rsidP="00A16480">
            <w:pPr>
              <w:widowControl/>
              <w:suppressAutoHyphens/>
              <w:rPr>
                <w:spacing w:val="-2"/>
              </w:rPr>
            </w:pPr>
            <w:r w:rsidRPr="00344C0B">
              <w:rPr>
                <w:spacing w:val="-2"/>
              </w:rPr>
              <w:t>)</w:t>
            </w:r>
          </w:p>
          <w:p w14:paraId="740B0524" w14:textId="77777777" w:rsidR="00E273E3" w:rsidRPr="00344C0B" w:rsidRDefault="00E273E3" w:rsidP="00A16480">
            <w:pPr>
              <w:widowControl/>
              <w:suppressAutoHyphens/>
              <w:rPr>
                <w:spacing w:val="-2"/>
              </w:rPr>
            </w:pPr>
            <w:r w:rsidRPr="00344C0B">
              <w:rPr>
                <w:spacing w:val="-2"/>
              </w:rPr>
              <w:t>)</w:t>
            </w:r>
          </w:p>
          <w:p w14:paraId="65D1298A" w14:textId="77777777" w:rsidR="00D27E5E" w:rsidRDefault="00D27E5E" w:rsidP="00A16480">
            <w:pPr>
              <w:widowControl/>
              <w:suppressAutoHyphens/>
              <w:rPr>
                <w:spacing w:val="-2"/>
              </w:rPr>
            </w:pPr>
            <w:r>
              <w:rPr>
                <w:spacing w:val="-2"/>
              </w:rPr>
              <w:t>)</w:t>
            </w:r>
          </w:p>
          <w:p w14:paraId="24338FE4" w14:textId="77777777" w:rsidR="00E273E3" w:rsidRPr="00344C0B" w:rsidRDefault="00E273E3" w:rsidP="00A16480">
            <w:pPr>
              <w:widowControl/>
              <w:suppressAutoHyphens/>
              <w:rPr>
                <w:spacing w:val="-2"/>
              </w:rPr>
            </w:pPr>
            <w:r w:rsidRPr="00344C0B">
              <w:rPr>
                <w:spacing w:val="-2"/>
              </w:rPr>
              <w:t>)</w:t>
            </w:r>
          </w:p>
        </w:tc>
        <w:tc>
          <w:tcPr>
            <w:tcW w:w="4248" w:type="dxa"/>
          </w:tcPr>
          <w:p w14:paraId="6923E1DC" w14:textId="77777777" w:rsidR="00E273E3" w:rsidRPr="00344C0B" w:rsidRDefault="00E273E3" w:rsidP="00A16480">
            <w:pPr>
              <w:widowControl/>
              <w:suppressAutoHyphens/>
              <w:rPr>
                <w:spacing w:val="-2"/>
              </w:rPr>
            </w:pPr>
          </w:p>
          <w:p w14:paraId="209CB26E" w14:textId="77777777" w:rsidR="00E273E3" w:rsidRPr="00344C0B" w:rsidRDefault="00E273E3" w:rsidP="00A16480">
            <w:pPr>
              <w:widowControl/>
              <w:suppressAutoHyphens/>
              <w:rPr>
                <w:spacing w:val="-2"/>
              </w:rPr>
            </w:pPr>
          </w:p>
          <w:p w14:paraId="3675E2F4" w14:textId="77777777" w:rsidR="00476459" w:rsidRPr="00476459" w:rsidRDefault="00476459" w:rsidP="00A16480">
            <w:pPr>
              <w:widowControl/>
              <w:suppressAutoHyphens/>
              <w:ind w:left="432"/>
              <w:rPr>
                <w:spacing w:val="-2"/>
              </w:rPr>
            </w:pPr>
            <w:r w:rsidRPr="00476459">
              <w:rPr>
                <w:spacing w:val="-2"/>
              </w:rPr>
              <w:t xml:space="preserve">File No.:  EB-FIELDWR-13-00006950 </w:t>
            </w:r>
          </w:p>
          <w:p w14:paraId="63907EEF" w14:textId="77777777" w:rsidR="00476459" w:rsidRPr="00476459" w:rsidRDefault="00476459" w:rsidP="00A16480">
            <w:pPr>
              <w:widowControl/>
              <w:suppressAutoHyphens/>
              <w:ind w:left="432"/>
              <w:rPr>
                <w:spacing w:val="-2"/>
              </w:rPr>
            </w:pPr>
            <w:r w:rsidRPr="00476459">
              <w:rPr>
                <w:spacing w:val="-2"/>
              </w:rPr>
              <w:t>NAL/Acct. No.:  201532900001</w:t>
            </w:r>
          </w:p>
          <w:p w14:paraId="39627DED" w14:textId="77777777" w:rsidR="00476459" w:rsidRDefault="00476459" w:rsidP="00A16480">
            <w:pPr>
              <w:widowControl/>
              <w:suppressAutoHyphens/>
              <w:ind w:left="432"/>
              <w:rPr>
                <w:spacing w:val="-2"/>
              </w:rPr>
            </w:pPr>
            <w:r w:rsidRPr="00476459">
              <w:rPr>
                <w:spacing w:val="-2"/>
              </w:rPr>
              <w:t>FRN:  0001532027</w:t>
            </w:r>
          </w:p>
          <w:p w14:paraId="1285C48B" w14:textId="77777777" w:rsidR="00E273E3" w:rsidRPr="0007571D" w:rsidRDefault="00D27E5E" w:rsidP="00A16480">
            <w:pPr>
              <w:widowControl/>
              <w:suppressAutoHyphens/>
              <w:ind w:left="432"/>
              <w:rPr>
                <w:spacing w:val="-2"/>
              </w:rPr>
            </w:pPr>
            <w:r w:rsidRPr="00D27E5E">
              <w:rPr>
                <w:spacing w:val="-2"/>
              </w:rPr>
              <w:t xml:space="preserve"> </w:t>
            </w:r>
          </w:p>
        </w:tc>
      </w:tr>
    </w:tbl>
    <w:p w14:paraId="78FFB2CF" w14:textId="77777777" w:rsidR="00E273E3" w:rsidRPr="00344C0B" w:rsidRDefault="00E273E3" w:rsidP="00A16480">
      <w:pPr>
        <w:widowControl/>
      </w:pPr>
    </w:p>
    <w:p w14:paraId="047B97CE" w14:textId="77777777" w:rsidR="00E273E3" w:rsidRPr="00344C0B" w:rsidRDefault="00E273E3" w:rsidP="00A16480">
      <w:pPr>
        <w:pStyle w:val="StyleBoldCentered"/>
        <w:widowControl/>
        <w:spacing w:after="220"/>
      </w:pPr>
      <w:r w:rsidRPr="00344C0B">
        <w:t>forfeiture ORDER</w:t>
      </w:r>
    </w:p>
    <w:p w14:paraId="147B5CD5" w14:textId="0D2B70E2" w:rsidR="00E273E3" w:rsidRPr="0007571D" w:rsidRDefault="00E273E3" w:rsidP="00A16480">
      <w:pPr>
        <w:widowControl/>
        <w:tabs>
          <w:tab w:val="right" w:pos="9360"/>
        </w:tabs>
        <w:suppressAutoHyphens/>
        <w:rPr>
          <w:spacing w:val="-2"/>
        </w:rPr>
      </w:pPr>
      <w:r w:rsidRPr="00344C0B">
        <w:rPr>
          <w:b/>
          <w:spacing w:val="-2"/>
        </w:rPr>
        <w:t xml:space="preserve">Adopted:  </w:t>
      </w:r>
      <w:r w:rsidR="00876ED8">
        <w:rPr>
          <w:b/>
          <w:spacing w:val="-2"/>
        </w:rPr>
        <w:t>December 2, 2015</w:t>
      </w:r>
      <w:r w:rsidR="006D2212" w:rsidRPr="0007571D">
        <w:rPr>
          <w:b/>
          <w:spacing w:val="-2"/>
        </w:rPr>
        <w:tab/>
        <w:t xml:space="preserve">Released:  </w:t>
      </w:r>
      <w:r w:rsidR="00876ED8">
        <w:rPr>
          <w:b/>
          <w:spacing w:val="-2"/>
        </w:rPr>
        <w:t>December 3, 2015</w:t>
      </w:r>
    </w:p>
    <w:p w14:paraId="5BA5042F" w14:textId="77777777" w:rsidR="00E273E3" w:rsidRPr="00344C0B" w:rsidRDefault="00E273E3" w:rsidP="00A16480">
      <w:pPr>
        <w:widowControl/>
        <w:jc w:val="center"/>
      </w:pPr>
    </w:p>
    <w:p w14:paraId="649E70BD" w14:textId="77777777" w:rsidR="00E273E3" w:rsidRPr="00344C0B" w:rsidRDefault="00E273E3" w:rsidP="00A16480">
      <w:pPr>
        <w:widowControl/>
        <w:rPr>
          <w:spacing w:val="-2"/>
        </w:rPr>
      </w:pPr>
      <w:r w:rsidRPr="00344C0B">
        <w:t xml:space="preserve">By the </w:t>
      </w:r>
      <w:r w:rsidR="00D27E5E">
        <w:t>Regional Director, Western Region,</w:t>
      </w:r>
      <w:r w:rsidRPr="00344C0B">
        <w:t xml:space="preserve"> Enforcement Bureau</w:t>
      </w:r>
      <w:r w:rsidRPr="0007571D">
        <w:rPr>
          <w:spacing w:val="-2"/>
        </w:rPr>
        <w:t>:</w:t>
      </w:r>
    </w:p>
    <w:p w14:paraId="2D57F18E" w14:textId="77777777" w:rsidR="00E273E3" w:rsidRPr="00344C0B" w:rsidRDefault="00E273E3" w:rsidP="00A16480">
      <w:pPr>
        <w:widowControl/>
        <w:rPr>
          <w:spacing w:val="-2"/>
        </w:rPr>
      </w:pPr>
    </w:p>
    <w:p w14:paraId="21DAA7D5" w14:textId="77777777" w:rsidR="00E273E3" w:rsidRPr="00344C0B" w:rsidRDefault="00E273E3" w:rsidP="00A16480">
      <w:pPr>
        <w:pStyle w:val="Heading1"/>
        <w:widowControl/>
      </w:pPr>
      <w:bookmarkStart w:id="1" w:name="_Toc379288998"/>
      <w:bookmarkStart w:id="2" w:name="_Toc379365499"/>
      <w:r w:rsidRPr="00344C0B">
        <w:t>INTRODUCTION</w:t>
      </w:r>
      <w:bookmarkEnd w:id="1"/>
      <w:bookmarkEnd w:id="2"/>
    </w:p>
    <w:p w14:paraId="5C6568A6" w14:textId="77777777" w:rsidR="00E273E3" w:rsidRPr="00344C0B" w:rsidRDefault="00E273E3" w:rsidP="00A16480">
      <w:pPr>
        <w:pStyle w:val="ListParagraph"/>
        <w:widowControl/>
        <w:numPr>
          <w:ilvl w:val="0"/>
          <w:numId w:val="6"/>
        </w:numPr>
        <w:spacing w:after="120"/>
        <w:ind w:left="0" w:firstLine="720"/>
      </w:pPr>
      <w:r w:rsidRPr="00344C0B">
        <w:t>We impose a penalty of $</w:t>
      </w:r>
      <w:r w:rsidR="00476459">
        <w:t>25</w:t>
      </w:r>
      <w:r w:rsidR="00D27E5E">
        <w:t>,000</w:t>
      </w:r>
      <w:r w:rsidRPr="0007571D">
        <w:t xml:space="preserve"> against </w:t>
      </w:r>
      <w:r w:rsidR="00476459" w:rsidRPr="00476459">
        <w:t xml:space="preserve">Mobile Relay Associates (MRA), licensee of private land mobile radio (PLMR) station WPPF234, Malibu, California, for failing to monitor and take other precautions to avoid causing harmful interference to another licensed station operating on a shared frequency in the Los Angeles area.  </w:t>
      </w:r>
      <w:r w:rsidR="00476459">
        <w:t xml:space="preserve">MRA argues that its actions did not violate any of the </w:t>
      </w:r>
      <w:r w:rsidR="00500C36">
        <w:t>Commission’s rules (Rules)</w:t>
      </w:r>
      <w:r w:rsidR="00476459">
        <w:t xml:space="preserve"> and that </w:t>
      </w:r>
      <w:r w:rsidR="00922758">
        <w:t xml:space="preserve">imposition of a penalty would be unduly discriminatory.  </w:t>
      </w:r>
      <w:r w:rsidR="00500C36">
        <w:t xml:space="preserve">We find that </w:t>
      </w:r>
      <w:r w:rsidR="00E27086">
        <w:t>MRA’s actions did result in Rule violations and that it is not the subject of disparate treatment</w:t>
      </w:r>
      <w:r w:rsidR="00500C36">
        <w:t xml:space="preserve">.  Therefore, </w:t>
      </w:r>
      <w:r w:rsidR="007B5698" w:rsidRPr="007B5698">
        <w:t xml:space="preserve">after reviewing </w:t>
      </w:r>
      <w:r w:rsidR="00E27086">
        <w:t>MRA</w:t>
      </w:r>
      <w:r w:rsidR="00500C36">
        <w:t xml:space="preserve">’s </w:t>
      </w:r>
      <w:r w:rsidR="007B5698" w:rsidRPr="007B5698">
        <w:t xml:space="preserve">response to the </w:t>
      </w:r>
      <w:r w:rsidR="007B5698" w:rsidRPr="008C7EFB">
        <w:rPr>
          <w:i/>
        </w:rPr>
        <w:t>NAL</w:t>
      </w:r>
      <w:r w:rsidR="007B5698" w:rsidRPr="007B5698">
        <w:t>, we find no reason to cancel, withdraw, or reduce the proposed penalty, and we therefore assess the full $</w:t>
      </w:r>
      <w:r w:rsidR="00E27086">
        <w:t>25</w:t>
      </w:r>
      <w:r w:rsidR="007B5698" w:rsidRPr="007B5698">
        <w:t xml:space="preserve">,000 forfeiture </w:t>
      </w:r>
      <w:r w:rsidR="00500C36">
        <w:t xml:space="preserve">the Bureau </w:t>
      </w:r>
      <w:r w:rsidR="007B5698" w:rsidRPr="007B5698">
        <w:t>proposed</w:t>
      </w:r>
      <w:r w:rsidR="00500C36">
        <w:t>.</w:t>
      </w:r>
      <w:r w:rsidRPr="0007571D">
        <w:t xml:space="preserve">  </w:t>
      </w:r>
      <w:r w:rsidRPr="00344C0B">
        <w:t xml:space="preserve">     </w:t>
      </w:r>
    </w:p>
    <w:p w14:paraId="396C9314" w14:textId="77777777" w:rsidR="00E273E3" w:rsidRPr="00344C0B" w:rsidRDefault="00E273E3" w:rsidP="00A16480">
      <w:pPr>
        <w:pStyle w:val="Heading1"/>
        <w:widowControl/>
      </w:pPr>
      <w:bookmarkStart w:id="3" w:name="_Toc379288999"/>
      <w:bookmarkStart w:id="4" w:name="_Toc379365500"/>
      <w:r w:rsidRPr="00344C0B">
        <w:t>BACKGROUND</w:t>
      </w:r>
      <w:bookmarkEnd w:id="3"/>
      <w:bookmarkEnd w:id="4"/>
    </w:p>
    <w:p w14:paraId="155339E3" w14:textId="77777777" w:rsidR="00E27086" w:rsidRPr="00E27086" w:rsidRDefault="00EB484E" w:rsidP="00A16480">
      <w:pPr>
        <w:pStyle w:val="ParaNum"/>
        <w:widowControl/>
        <w:numPr>
          <w:ilvl w:val="0"/>
          <w:numId w:val="6"/>
        </w:numPr>
        <w:ind w:left="0" w:firstLine="720"/>
      </w:pPr>
      <w:r w:rsidRPr="00EB484E">
        <w:rPr>
          <w:color w:val="000000"/>
          <w:szCs w:val="22"/>
        </w:rPr>
        <w:t>MRA is the licensee of multiple PLMR stations in the Los Angeles area.</w:t>
      </w:r>
      <w:r w:rsidRPr="00EB484E">
        <w:rPr>
          <w:color w:val="000000"/>
          <w:szCs w:val="22"/>
          <w:vertAlign w:val="superscript"/>
        </w:rPr>
        <w:footnoteReference w:id="2"/>
      </w:r>
      <w:r w:rsidRPr="00EB484E">
        <w:rPr>
          <w:color w:val="000000"/>
          <w:szCs w:val="22"/>
        </w:rPr>
        <w:t xml:space="preserve">  Frequencies assigned to PLMR stations are available on a shared basis, unless specified otherwise.</w:t>
      </w:r>
      <w:r w:rsidRPr="00EB484E">
        <w:rPr>
          <w:color w:val="000000"/>
          <w:szCs w:val="22"/>
          <w:vertAlign w:val="superscript"/>
        </w:rPr>
        <w:footnoteReference w:id="3"/>
      </w:r>
      <w:r w:rsidRPr="00EB484E">
        <w:rPr>
          <w:color w:val="000000"/>
          <w:szCs w:val="22"/>
        </w:rPr>
        <w:t xml:space="preserve"> </w:t>
      </w:r>
      <w:r>
        <w:rPr>
          <w:color w:val="000000"/>
          <w:szCs w:val="22"/>
        </w:rPr>
        <w:t xml:space="preserve"> </w:t>
      </w:r>
      <w:r w:rsidR="00E27086" w:rsidRPr="00E27086">
        <w:rPr>
          <w:color w:val="000000"/>
          <w:szCs w:val="22"/>
        </w:rPr>
        <w:t>On March 20, 2013, after investigating complaints of interference against the Station,</w:t>
      </w:r>
      <w:r w:rsidR="00E27086">
        <w:rPr>
          <w:rStyle w:val="FootnoteReference"/>
          <w:color w:val="000000"/>
          <w:szCs w:val="22"/>
        </w:rPr>
        <w:footnoteReference w:id="4"/>
      </w:r>
      <w:r w:rsidR="00E27086" w:rsidRPr="00E27086">
        <w:rPr>
          <w:color w:val="000000"/>
          <w:szCs w:val="22"/>
        </w:rPr>
        <w:t xml:space="preserve"> the Enforcement Bureau’s Los Angeles Office issued a Notice of Violation to MRA for violating the Commission’s rules (Rules).</w:t>
      </w:r>
      <w:r w:rsidR="00E27086" w:rsidRPr="00F94D44">
        <w:rPr>
          <w:vertAlign w:val="superscript"/>
        </w:rPr>
        <w:footnoteReference w:id="5"/>
      </w:r>
      <w:r w:rsidR="00E27086" w:rsidRPr="00E27086">
        <w:rPr>
          <w:color w:val="000000"/>
          <w:szCs w:val="22"/>
        </w:rPr>
        <w:t xml:space="preserve">  The Los Angeles Office found that the Station was operating nearly continuously on the shared frequencies 151.7825 MHz and 152.2925 MHz, and therefore failing to restrict its transmissions to the minimum practical transmission time;</w:t>
      </w:r>
      <w:r w:rsidR="00E27086">
        <w:rPr>
          <w:rStyle w:val="FootnoteReference"/>
          <w:color w:val="000000"/>
          <w:szCs w:val="22"/>
        </w:rPr>
        <w:footnoteReference w:id="6"/>
      </w:r>
      <w:r w:rsidR="00E27086" w:rsidRPr="00E27086">
        <w:rPr>
          <w:color w:val="000000"/>
          <w:szCs w:val="22"/>
        </w:rPr>
        <w:t xml:space="preserve"> was not monitoring the transmitting frequencies of other licensees or taking </w:t>
      </w:r>
      <w:r w:rsidR="00E27086" w:rsidRPr="00E27086">
        <w:rPr>
          <w:color w:val="000000"/>
          <w:szCs w:val="22"/>
        </w:rPr>
        <w:lastRenderedPageBreak/>
        <w:t>any other reasonable precautions to avoid causing harmful interference;</w:t>
      </w:r>
      <w:r w:rsidR="00E27086">
        <w:rPr>
          <w:rStyle w:val="FootnoteReference"/>
          <w:color w:val="000000"/>
          <w:szCs w:val="22"/>
        </w:rPr>
        <w:footnoteReference w:id="7"/>
      </w:r>
      <w:r w:rsidR="00E27086" w:rsidRPr="00E27086">
        <w:rPr>
          <w:color w:val="000000"/>
          <w:szCs w:val="22"/>
        </w:rPr>
        <w:t xml:space="preserve"> and was not operating its station in accordance with the Rules and the Station’s authorization, specifically, failing to operate using trunked technology.</w:t>
      </w:r>
      <w:r w:rsidR="00E27086">
        <w:rPr>
          <w:rStyle w:val="FootnoteReference"/>
          <w:color w:val="000000"/>
          <w:szCs w:val="22"/>
        </w:rPr>
        <w:footnoteReference w:id="8"/>
      </w:r>
      <w:r w:rsidR="00E27086" w:rsidRPr="00E27086">
        <w:rPr>
          <w:color w:val="000000"/>
          <w:szCs w:val="22"/>
        </w:rPr>
        <w:t xml:space="preserve">  In response to the NOV, MRA stated that it </w:t>
      </w:r>
      <w:r w:rsidR="00E27086">
        <w:rPr>
          <w:color w:val="000000"/>
          <w:szCs w:val="22"/>
        </w:rPr>
        <w:t>was</w:t>
      </w:r>
      <w:r w:rsidR="00E27086" w:rsidRPr="00E27086">
        <w:rPr>
          <w:color w:val="000000"/>
          <w:szCs w:val="22"/>
        </w:rPr>
        <w:t xml:space="preserve"> not operating continuously, but that it was simply engaged in “heavy usage” of the shared frequencies.</w:t>
      </w:r>
      <w:r w:rsidR="00E27086" w:rsidRPr="00F94D44">
        <w:rPr>
          <w:vertAlign w:val="superscript"/>
        </w:rPr>
        <w:footnoteReference w:id="9"/>
      </w:r>
      <w:r w:rsidR="00E27086" w:rsidRPr="00E27086">
        <w:rPr>
          <w:color w:val="000000"/>
          <w:szCs w:val="22"/>
        </w:rPr>
        <w:t xml:space="preserve">  MRA stated that it had programmed the shared channels to allow for a pause of five seconds once every five minutes and that if a transmission begins during that five-second interval the system is programmed to prevent the transmitter from resuming.</w:t>
      </w:r>
      <w:r w:rsidR="00E27086">
        <w:rPr>
          <w:rStyle w:val="FootnoteReference"/>
          <w:color w:val="000000"/>
          <w:szCs w:val="22"/>
        </w:rPr>
        <w:footnoteReference w:id="10"/>
      </w:r>
      <w:r w:rsidR="00E27086" w:rsidRPr="00E27086">
        <w:rPr>
          <w:color w:val="000000"/>
          <w:szCs w:val="22"/>
        </w:rPr>
        <w:t xml:space="preserve">  MRA argued that its “voluntary” efforts were consistent with Section 90.403(e) and that there is no Commission “rule” that requires it to do more.</w:t>
      </w:r>
      <w:r w:rsidR="00E27086">
        <w:rPr>
          <w:rStyle w:val="FootnoteReference"/>
          <w:color w:val="000000"/>
          <w:szCs w:val="22"/>
        </w:rPr>
        <w:footnoteReference w:id="11"/>
      </w:r>
      <w:r w:rsidR="00E27086" w:rsidRPr="00E27086">
        <w:rPr>
          <w:color w:val="000000"/>
          <w:szCs w:val="22"/>
        </w:rPr>
        <w:t xml:space="preserve">  </w:t>
      </w:r>
      <w:r w:rsidR="00773E62">
        <w:rPr>
          <w:color w:val="000000"/>
          <w:szCs w:val="22"/>
        </w:rPr>
        <w:t>Consequently, MRA’s “heavy usage” of the shared frequencies continued.</w:t>
      </w:r>
      <w:r w:rsidR="00773E62">
        <w:rPr>
          <w:rStyle w:val="FootnoteReference"/>
          <w:szCs w:val="22"/>
        </w:rPr>
        <w:footnoteReference w:id="12"/>
      </w:r>
    </w:p>
    <w:p w14:paraId="34E08837" w14:textId="77777777" w:rsidR="00922758" w:rsidRPr="00922758" w:rsidRDefault="00E27086" w:rsidP="00A16480">
      <w:pPr>
        <w:pStyle w:val="ParaNum"/>
        <w:widowControl/>
        <w:numPr>
          <w:ilvl w:val="0"/>
          <w:numId w:val="6"/>
        </w:numPr>
        <w:ind w:left="0" w:firstLine="720"/>
      </w:pPr>
      <w:r w:rsidRPr="00EB484E">
        <w:rPr>
          <w:color w:val="000000"/>
          <w:szCs w:val="22"/>
        </w:rPr>
        <w:t>On May 8, 2015,</w:t>
      </w:r>
      <w:r w:rsidR="00EB484E" w:rsidRPr="00EB484E">
        <w:rPr>
          <w:color w:val="000000"/>
          <w:szCs w:val="22"/>
        </w:rPr>
        <w:t xml:space="preserve"> Los Angeles agents conducted an inspection of the Station and</w:t>
      </w:r>
      <w:r w:rsidR="00EB484E">
        <w:rPr>
          <w:color w:val="000000"/>
          <w:szCs w:val="22"/>
        </w:rPr>
        <w:t xml:space="preserve"> </w:t>
      </w:r>
      <w:r w:rsidRPr="00EB484E">
        <w:rPr>
          <w:color w:val="000000"/>
          <w:szCs w:val="22"/>
        </w:rPr>
        <w:t xml:space="preserve">observed that the Station was operating on shared frequencies 151.7825 MHz and 152.2925 MHz using the non-voice digital communications Digital Dispatch System (DDS).  The agents observed that the system transmits a synchronizing signal on the repeater output frequency nearly continuously to keep mobile units registered with the system.  The agents also observed the synchronizing signal only occasionally punctuated with data addressed to mobile units.  On June 4, 2015, Eden Memorial Park (Eden), licensee </w:t>
      </w:r>
      <w:r w:rsidRPr="00EB484E">
        <w:rPr>
          <w:color w:val="000000"/>
          <w:szCs w:val="22"/>
        </w:rPr>
        <w:lastRenderedPageBreak/>
        <w:t>of PLMR station WPWA436, Mission Hills, California, reported to the Los Angeles Office that it continued to receive harmful interference on frequency 152.2925 MHz, a frequency it shares with MRA’s Station.</w:t>
      </w:r>
      <w:r>
        <w:rPr>
          <w:rStyle w:val="FootnoteReference"/>
          <w:color w:val="000000"/>
          <w:szCs w:val="22"/>
        </w:rPr>
        <w:footnoteReference w:id="13"/>
      </w:r>
      <w:r w:rsidRPr="00EB484E">
        <w:rPr>
          <w:color w:val="000000"/>
          <w:szCs w:val="22"/>
        </w:rPr>
        <w:t xml:space="preserve">  Subsequently, on June 4, 2015, and June 8, 2015, Los Angeles agents monitored 152.2925 MHz near the Station WPWA436 fixed transmitter site</w:t>
      </w:r>
      <w:r>
        <w:rPr>
          <w:rStyle w:val="FootnoteReference"/>
          <w:color w:val="000000"/>
          <w:szCs w:val="22"/>
        </w:rPr>
        <w:footnoteReference w:id="14"/>
      </w:r>
      <w:r w:rsidRPr="00EB484E">
        <w:rPr>
          <w:color w:val="000000"/>
          <w:szCs w:val="22"/>
        </w:rPr>
        <w:t xml:space="preserve"> and, using directing finding techniques, located co-channel transmissions to MRA’s Station on Saddle Peak in Malibu, California.  The agents determined that, on both days, MRA continued to operate its Station in a nearly continuous mode, utilizing a 95% duty cycle, and that its transmissions were seriously degrading Eden’s co-channel operations on frequency 152.2925 MHz.  This included MRA’s near continual transmission of synchronizing signals, generally not containing data, on the shared frequency, even when Eden attempted to utilize the channel.</w:t>
      </w:r>
    </w:p>
    <w:p w14:paraId="24D67C26" w14:textId="77777777" w:rsidR="00773E62" w:rsidRPr="00922758" w:rsidRDefault="00E273E3" w:rsidP="00A16480">
      <w:pPr>
        <w:pStyle w:val="ParaNum"/>
        <w:widowControl/>
        <w:numPr>
          <w:ilvl w:val="0"/>
          <w:numId w:val="6"/>
        </w:numPr>
        <w:ind w:left="0" w:firstLine="720"/>
      </w:pPr>
      <w:r w:rsidRPr="0007571D">
        <w:t xml:space="preserve">On </w:t>
      </w:r>
      <w:r w:rsidR="00EB484E">
        <w:t>July 6,</w:t>
      </w:r>
      <w:r w:rsidR="0048127F">
        <w:t xml:space="preserve"> 201</w:t>
      </w:r>
      <w:r w:rsidR="00EB484E">
        <w:t>5</w:t>
      </w:r>
      <w:r w:rsidR="0048127F">
        <w:t xml:space="preserve">, </w:t>
      </w:r>
      <w:r w:rsidRPr="0007571D">
        <w:t xml:space="preserve">the </w:t>
      </w:r>
      <w:r w:rsidRPr="00344C0B">
        <w:t>Enforcement Bureau (Bureau)</w:t>
      </w:r>
      <w:r w:rsidR="00CB6E37" w:rsidRPr="0007571D">
        <w:t xml:space="preserve"> </w:t>
      </w:r>
      <w:r w:rsidRPr="0007571D">
        <w:t xml:space="preserve">issued </w:t>
      </w:r>
      <w:r w:rsidR="00CB6E37" w:rsidRPr="00344C0B">
        <w:t xml:space="preserve">the </w:t>
      </w:r>
      <w:r w:rsidR="00EB484E">
        <w:t>MRA</w:t>
      </w:r>
      <w:r w:rsidR="00CB6E37" w:rsidRPr="0007571D">
        <w:t xml:space="preserve"> </w:t>
      </w:r>
      <w:r w:rsidRPr="00922758">
        <w:rPr>
          <w:i/>
        </w:rPr>
        <w:t xml:space="preserve">NAL </w:t>
      </w:r>
      <w:r w:rsidR="00CB6E37" w:rsidRPr="0007571D">
        <w:t xml:space="preserve">proposing a </w:t>
      </w:r>
      <w:r w:rsidRPr="00344C0B">
        <w:t>$</w:t>
      </w:r>
      <w:r w:rsidR="00EB484E">
        <w:t>25</w:t>
      </w:r>
      <w:r w:rsidR="0048127F">
        <w:t>,000</w:t>
      </w:r>
      <w:r w:rsidRPr="0007571D">
        <w:t xml:space="preserve"> </w:t>
      </w:r>
      <w:r w:rsidR="00CB6E37" w:rsidRPr="00344C0B">
        <w:t xml:space="preserve">forfeiture </w:t>
      </w:r>
      <w:r w:rsidR="00154A5C" w:rsidRPr="00344C0B">
        <w:t xml:space="preserve">against </w:t>
      </w:r>
      <w:r w:rsidR="00EB484E">
        <w:t>M</w:t>
      </w:r>
      <w:r w:rsidR="00773E62">
        <w:t>RA</w:t>
      </w:r>
      <w:r w:rsidR="00154A5C" w:rsidRPr="0007571D">
        <w:t xml:space="preserve"> </w:t>
      </w:r>
      <w:r w:rsidRPr="0007571D">
        <w:t>for its apparent willful and</w:t>
      </w:r>
      <w:r w:rsidRPr="00344C0B">
        <w:t xml:space="preserve"> repeated violation of </w:t>
      </w:r>
      <w:r w:rsidR="00773E62" w:rsidRPr="00922758">
        <w:rPr>
          <w:snapToGrid/>
          <w:kern w:val="0"/>
          <w:szCs w:val="22"/>
        </w:rPr>
        <w:t xml:space="preserve">Sections 90.403(e) and 90.187(b) </w:t>
      </w:r>
      <w:r w:rsidR="00773E62" w:rsidRPr="00922758">
        <w:rPr>
          <w:snapToGrid/>
          <w:spacing w:val="-2"/>
          <w:kern w:val="0"/>
          <w:szCs w:val="22"/>
        </w:rPr>
        <w:t>o</w:t>
      </w:r>
      <w:r w:rsidR="00773E62" w:rsidRPr="00922758">
        <w:rPr>
          <w:snapToGrid/>
          <w:kern w:val="0"/>
          <w:szCs w:val="22"/>
        </w:rPr>
        <w:t>f the Rules</w:t>
      </w:r>
      <w:r w:rsidR="00922758" w:rsidRPr="00922758">
        <w:rPr>
          <w:snapToGrid/>
          <w:kern w:val="0"/>
          <w:szCs w:val="22"/>
        </w:rPr>
        <w:t>,</w:t>
      </w:r>
      <w:r w:rsidR="00773E62" w:rsidRPr="00773E62">
        <w:rPr>
          <w:snapToGrid/>
          <w:kern w:val="0"/>
          <w:szCs w:val="22"/>
          <w:vertAlign w:val="superscript"/>
        </w:rPr>
        <w:footnoteReference w:id="15"/>
      </w:r>
      <w:r w:rsidR="00922758" w:rsidRPr="00922758">
        <w:t xml:space="preserve"> </w:t>
      </w:r>
      <w:r w:rsidR="00922758" w:rsidRPr="00922758">
        <w:rPr>
          <w:snapToGrid/>
          <w:kern w:val="0"/>
          <w:szCs w:val="22"/>
        </w:rPr>
        <w:t xml:space="preserve">for failing to monitor and take other precautions to avoid causing harmful interference to another licensed station operating on a shared frequency in the Los Angeles area.  </w:t>
      </w:r>
    </w:p>
    <w:p w14:paraId="5365934C" w14:textId="77777777" w:rsidR="00D41A82" w:rsidRPr="00D41A82" w:rsidRDefault="00E273E3" w:rsidP="00A16480">
      <w:pPr>
        <w:pStyle w:val="ParaNum"/>
        <w:widowControl/>
        <w:numPr>
          <w:ilvl w:val="0"/>
          <w:numId w:val="6"/>
        </w:numPr>
        <w:ind w:left="0" w:firstLine="720"/>
        <w:rPr>
          <w:i/>
          <w:szCs w:val="22"/>
        </w:rPr>
      </w:pPr>
      <w:r w:rsidRPr="00014067">
        <w:rPr>
          <w:szCs w:val="22"/>
        </w:rPr>
        <w:t xml:space="preserve">On </w:t>
      </w:r>
      <w:r w:rsidR="00922758">
        <w:rPr>
          <w:szCs w:val="22"/>
        </w:rPr>
        <w:t xml:space="preserve">August 13, </w:t>
      </w:r>
      <w:r w:rsidR="00A85686" w:rsidRPr="00014067">
        <w:rPr>
          <w:szCs w:val="22"/>
        </w:rPr>
        <w:t>201</w:t>
      </w:r>
      <w:r w:rsidR="00922758">
        <w:rPr>
          <w:szCs w:val="22"/>
        </w:rPr>
        <w:t>5</w:t>
      </w:r>
      <w:r w:rsidR="000B29ED" w:rsidRPr="00014067">
        <w:rPr>
          <w:szCs w:val="22"/>
        </w:rPr>
        <w:t xml:space="preserve">, </w:t>
      </w:r>
      <w:r w:rsidR="00922758">
        <w:rPr>
          <w:szCs w:val="22"/>
        </w:rPr>
        <w:t>MRA</w:t>
      </w:r>
      <w:r w:rsidR="000B29ED" w:rsidRPr="00014067">
        <w:rPr>
          <w:szCs w:val="22"/>
        </w:rPr>
        <w:t xml:space="preserve"> </w:t>
      </w:r>
      <w:r w:rsidRPr="00014067">
        <w:rPr>
          <w:szCs w:val="22"/>
        </w:rPr>
        <w:t xml:space="preserve">filed a response to the </w:t>
      </w:r>
      <w:r w:rsidRPr="00014067">
        <w:rPr>
          <w:i/>
          <w:szCs w:val="22"/>
        </w:rPr>
        <w:t>NAL</w:t>
      </w:r>
      <w:r w:rsidRPr="00014067">
        <w:rPr>
          <w:szCs w:val="22"/>
        </w:rPr>
        <w:t>.</w:t>
      </w:r>
      <w:r w:rsidRPr="00014067">
        <w:rPr>
          <w:rStyle w:val="FootnoteReference"/>
          <w:sz w:val="22"/>
          <w:szCs w:val="22"/>
        </w:rPr>
        <w:footnoteReference w:id="16"/>
      </w:r>
      <w:r w:rsidRPr="00014067">
        <w:rPr>
          <w:szCs w:val="22"/>
        </w:rPr>
        <w:t xml:space="preserve">  </w:t>
      </w:r>
      <w:r w:rsidR="00922758">
        <w:rPr>
          <w:szCs w:val="22"/>
        </w:rPr>
        <w:t>MRA argues that its operations did not result in rule violations,</w:t>
      </w:r>
      <w:r w:rsidR="00922758">
        <w:rPr>
          <w:rStyle w:val="FootnoteReference"/>
          <w:szCs w:val="22"/>
        </w:rPr>
        <w:footnoteReference w:id="17"/>
      </w:r>
      <w:r w:rsidR="00922758">
        <w:rPr>
          <w:szCs w:val="22"/>
        </w:rPr>
        <w:t xml:space="preserve"> and that imposition of a penalty would be unduly discriminatory to MRA.</w:t>
      </w:r>
      <w:r w:rsidR="00014067" w:rsidRPr="00014067">
        <w:rPr>
          <w:rStyle w:val="FootnoteReference"/>
          <w:sz w:val="22"/>
          <w:szCs w:val="22"/>
        </w:rPr>
        <w:footnoteReference w:id="18"/>
      </w:r>
      <w:r w:rsidR="00014067" w:rsidRPr="00014067">
        <w:rPr>
          <w:szCs w:val="22"/>
        </w:rPr>
        <w:t xml:space="preserve"> </w:t>
      </w:r>
    </w:p>
    <w:p w14:paraId="7AD0AE1C" w14:textId="77777777" w:rsidR="00D41A82" w:rsidRPr="00344C0B" w:rsidRDefault="00D41A82" w:rsidP="00A16480">
      <w:pPr>
        <w:pStyle w:val="Heading1"/>
        <w:widowControl/>
      </w:pPr>
      <w:bookmarkStart w:id="5" w:name="_Toc379289000"/>
      <w:bookmarkStart w:id="6" w:name="_Toc379365501"/>
      <w:r w:rsidRPr="00344C0B">
        <w:t>DISCUSSION</w:t>
      </w:r>
      <w:bookmarkEnd w:id="5"/>
      <w:bookmarkEnd w:id="6"/>
    </w:p>
    <w:p w14:paraId="32B470C4" w14:textId="77777777" w:rsidR="00E6009E" w:rsidRDefault="00E6009E" w:rsidP="00A16480">
      <w:pPr>
        <w:pStyle w:val="ParaNum"/>
        <w:widowControl/>
        <w:numPr>
          <w:ilvl w:val="0"/>
          <w:numId w:val="6"/>
        </w:numPr>
        <w:ind w:left="0" w:firstLine="720"/>
        <w:rPr>
          <w:i/>
          <w:szCs w:val="22"/>
        </w:rPr>
      </w:pPr>
      <w:r w:rsidRPr="00344C0B">
        <w:t xml:space="preserve">The </w:t>
      </w:r>
      <w:r w:rsidR="008D1BE7" w:rsidRPr="00344C0B">
        <w:t>Bureau</w:t>
      </w:r>
      <w:r w:rsidRPr="00344C0B">
        <w:t xml:space="preserve"> </w:t>
      </w:r>
      <w:r w:rsidR="00E273E3" w:rsidRPr="00344C0B">
        <w:t xml:space="preserve">proposed </w:t>
      </w:r>
      <w:r w:rsidRPr="00344C0B">
        <w:t xml:space="preserve">a </w:t>
      </w:r>
      <w:r w:rsidR="00E273E3" w:rsidRPr="00344C0B">
        <w:t>forfeiture in this case in accordance with Section 503(b) of the</w:t>
      </w:r>
      <w:r w:rsidR="00014067">
        <w:t xml:space="preserve"> </w:t>
      </w:r>
      <w:r w:rsidR="00946F46">
        <w:t xml:space="preserve">Communications </w:t>
      </w:r>
      <w:r w:rsidR="00E273E3" w:rsidRPr="00344C0B">
        <w:t>Act</w:t>
      </w:r>
      <w:r w:rsidR="00946F46">
        <w:t xml:space="preserve"> of 1934, as amended (Act)</w:t>
      </w:r>
      <w:r w:rsidR="00E273E3" w:rsidRPr="00344C0B">
        <w:t>,</w:t>
      </w:r>
      <w:r w:rsidR="00E273E3" w:rsidRPr="0007571D">
        <w:rPr>
          <w:rStyle w:val="FootnoteReference"/>
        </w:rPr>
        <w:footnoteReference w:id="19"/>
      </w:r>
      <w:r w:rsidR="00E273E3" w:rsidRPr="0007571D">
        <w:t xml:space="preserve"> Section 1.80 of the </w:t>
      </w:r>
      <w:r w:rsidR="00C339C4">
        <w:t>Rules</w:t>
      </w:r>
      <w:r w:rsidR="00E273E3" w:rsidRPr="0007571D">
        <w:t>,</w:t>
      </w:r>
      <w:r w:rsidR="00E273E3" w:rsidRPr="0007571D">
        <w:rPr>
          <w:vertAlign w:val="superscript"/>
        </w:rPr>
        <w:footnoteReference w:id="20"/>
      </w:r>
      <w:r w:rsidR="00E273E3" w:rsidRPr="0007571D">
        <w:t xml:space="preserve"> and the Commissi</w:t>
      </w:r>
      <w:r w:rsidR="00E273E3" w:rsidRPr="00344C0B">
        <w:t xml:space="preserve">on’s </w:t>
      </w:r>
      <w:r w:rsidR="00E273E3" w:rsidRPr="00D41A82">
        <w:rPr>
          <w:i/>
        </w:rPr>
        <w:t xml:space="preserve">Forfeiture Policy </w:t>
      </w:r>
      <w:r w:rsidR="00E273E3" w:rsidRPr="00D41A82">
        <w:rPr>
          <w:rFonts w:eastAsia="MS Mincho"/>
          <w:i/>
          <w:szCs w:val="22"/>
        </w:rPr>
        <w:t>Statement</w:t>
      </w:r>
      <w:r w:rsidR="00E273E3" w:rsidRPr="00344C0B">
        <w:t>.</w:t>
      </w:r>
      <w:r w:rsidR="00E273E3" w:rsidRPr="0007571D">
        <w:rPr>
          <w:rStyle w:val="FootnoteReference"/>
          <w:szCs w:val="22"/>
        </w:rPr>
        <w:footnoteReference w:id="21"/>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22"/>
      </w:r>
      <w:r w:rsidR="00E273E3" w:rsidRPr="0007571D">
        <w:t xml:space="preserve">  </w:t>
      </w:r>
      <w:r w:rsidR="006B685D" w:rsidRPr="00D41A82">
        <w:rPr>
          <w:szCs w:val="22"/>
        </w:rPr>
        <w:t>As discussed below, we</w:t>
      </w:r>
      <w:r w:rsidRPr="00D41A82">
        <w:rPr>
          <w:szCs w:val="22"/>
        </w:rPr>
        <w:t xml:space="preserve"> have </w:t>
      </w:r>
      <w:r w:rsidR="006B685D" w:rsidRPr="00D41A82">
        <w:rPr>
          <w:szCs w:val="22"/>
        </w:rPr>
        <w:t xml:space="preserve">fully </w:t>
      </w:r>
      <w:r w:rsidRPr="00D41A82">
        <w:rPr>
          <w:szCs w:val="22"/>
        </w:rPr>
        <w:t xml:space="preserve">considered </w:t>
      </w:r>
      <w:r w:rsidR="00922758">
        <w:rPr>
          <w:szCs w:val="22"/>
        </w:rPr>
        <w:t>MRA</w:t>
      </w:r>
      <w:r w:rsidR="00D41A82">
        <w:t>’s</w:t>
      </w:r>
      <w:r w:rsidRPr="0007571D">
        <w:t xml:space="preserve"> </w:t>
      </w:r>
      <w:r w:rsidRPr="00D41A82">
        <w:rPr>
          <w:szCs w:val="22"/>
        </w:rPr>
        <w:t xml:space="preserve">response to the </w:t>
      </w:r>
      <w:r w:rsidRPr="00D41A82">
        <w:rPr>
          <w:i/>
          <w:szCs w:val="22"/>
        </w:rPr>
        <w:t>NAL</w:t>
      </w:r>
      <w:r w:rsidRPr="00D41A82">
        <w:rPr>
          <w:szCs w:val="22"/>
        </w:rPr>
        <w:t xml:space="preserve">, which includes </w:t>
      </w:r>
      <w:r w:rsidR="00D41A82" w:rsidRPr="00D41A82">
        <w:rPr>
          <w:szCs w:val="22"/>
        </w:rPr>
        <w:t>two</w:t>
      </w:r>
      <w:r w:rsidRPr="00D41A82">
        <w:rPr>
          <w:szCs w:val="22"/>
        </w:rPr>
        <w:t xml:space="preserve"> arguments, but we find n</w:t>
      </w:r>
      <w:r w:rsidR="00D41A82" w:rsidRPr="00D41A82">
        <w:rPr>
          <w:szCs w:val="22"/>
        </w:rPr>
        <w:t>either</w:t>
      </w:r>
      <w:r w:rsidRPr="00D41A82">
        <w:rPr>
          <w:szCs w:val="22"/>
        </w:rPr>
        <w:t xml:space="preserve"> of them persuasive.  We therefore affirm the $</w:t>
      </w:r>
      <w:r w:rsidR="00922758">
        <w:rPr>
          <w:szCs w:val="22"/>
        </w:rPr>
        <w:t>25</w:t>
      </w:r>
      <w:r w:rsidR="00D41A82" w:rsidRPr="00D41A82">
        <w:rPr>
          <w:szCs w:val="22"/>
        </w:rPr>
        <w:t>,000</w:t>
      </w:r>
      <w:r w:rsidRPr="00D41A82">
        <w:rPr>
          <w:szCs w:val="22"/>
        </w:rPr>
        <w:t xml:space="preserve"> forfeiture proposed in the </w:t>
      </w:r>
      <w:r w:rsidRPr="00D41A82">
        <w:rPr>
          <w:i/>
          <w:szCs w:val="22"/>
        </w:rPr>
        <w:t>NAL.</w:t>
      </w:r>
    </w:p>
    <w:p w14:paraId="4F56EE23" w14:textId="77777777" w:rsidR="0069722D" w:rsidRPr="0007571D" w:rsidRDefault="00595B95" w:rsidP="00A16480">
      <w:pPr>
        <w:pStyle w:val="Heading2"/>
        <w:widowControl/>
      </w:pPr>
      <w:r>
        <w:t xml:space="preserve">MRA’s </w:t>
      </w:r>
      <w:r w:rsidR="0069722D">
        <w:t>Operation</w:t>
      </w:r>
      <w:r>
        <w:t>s Violated the Commission’s Rules</w:t>
      </w:r>
    </w:p>
    <w:p w14:paraId="54FA93DF" w14:textId="60227C35" w:rsidR="00503655" w:rsidRPr="00503655" w:rsidRDefault="006B03FD" w:rsidP="00A16480">
      <w:pPr>
        <w:pStyle w:val="ParaNum"/>
        <w:widowControl/>
        <w:numPr>
          <w:ilvl w:val="0"/>
          <w:numId w:val="6"/>
        </w:numPr>
        <w:ind w:left="0" w:firstLine="720"/>
        <w:rPr>
          <w:i/>
          <w:szCs w:val="22"/>
        </w:rPr>
      </w:pPr>
      <w:r w:rsidRPr="006B03FD">
        <w:rPr>
          <w:spacing w:val="-3"/>
          <w:szCs w:val="22"/>
        </w:rPr>
        <w:t>Section 90.403(e) of the Rules states that “[l]icensees shall take reasonable precautions to avoid causing harmful interference.  This includes monitoring the transmitting frequency for communications in progress and such other measures as may be necessary to minimize the potential for causing interference.”</w:t>
      </w:r>
      <w:r>
        <w:rPr>
          <w:rStyle w:val="FootnoteReference"/>
          <w:spacing w:val="-3"/>
          <w:szCs w:val="22"/>
        </w:rPr>
        <w:footnoteReference w:id="23"/>
      </w:r>
      <w:r w:rsidRPr="006B03FD">
        <w:rPr>
          <w:spacing w:val="-3"/>
          <w:szCs w:val="22"/>
        </w:rPr>
        <w:t xml:space="preserve">  </w:t>
      </w:r>
      <w:r w:rsidR="00503655" w:rsidRPr="00503655">
        <w:rPr>
          <w:spacing w:val="-3"/>
          <w:szCs w:val="22"/>
        </w:rPr>
        <w:t>Section 90.187(b) of the Rules states that “[e]xcept as provided in paragraphs (c) and (d) of this section, trunked systems operating under this section must employ equipment that prevents transmission on a trunked frequency if a signal from another system is present on that frequency.  The level of monitoring must be sufficient to avoid harmful interference to other systems.”</w:t>
      </w:r>
      <w:r w:rsidR="00503655" w:rsidRPr="00503655">
        <w:rPr>
          <w:spacing w:val="-3"/>
          <w:szCs w:val="22"/>
          <w:vertAlign w:val="superscript"/>
        </w:rPr>
        <w:footnoteReference w:id="24"/>
      </w:r>
      <w:r w:rsidR="00503655" w:rsidRPr="00503655">
        <w:rPr>
          <w:spacing w:val="-3"/>
          <w:szCs w:val="22"/>
        </w:rPr>
        <w:t xml:space="preserve">  </w:t>
      </w:r>
      <w:r w:rsidRPr="006B03FD">
        <w:rPr>
          <w:color w:val="000000"/>
          <w:spacing w:val="-2"/>
          <w:szCs w:val="22"/>
        </w:rPr>
        <w:t>Agents from the Los Angeles Office determined that MRA operated the Station</w:t>
      </w:r>
      <w:r w:rsidR="00FB0DBA">
        <w:rPr>
          <w:color w:val="000000"/>
          <w:spacing w:val="-2"/>
          <w:szCs w:val="22"/>
        </w:rPr>
        <w:t>, o</w:t>
      </w:r>
      <w:r w:rsidR="00946F46">
        <w:rPr>
          <w:color w:val="000000"/>
          <w:spacing w:val="-2"/>
          <w:szCs w:val="22"/>
        </w:rPr>
        <w:t>n</w:t>
      </w:r>
      <w:r w:rsidR="00FB0DBA">
        <w:rPr>
          <w:color w:val="000000"/>
          <w:spacing w:val="-2"/>
          <w:szCs w:val="22"/>
        </w:rPr>
        <w:t xml:space="preserve"> June 4 and June 8, 2015,</w:t>
      </w:r>
      <w:r w:rsidRPr="006B03FD">
        <w:rPr>
          <w:color w:val="000000"/>
          <w:spacing w:val="-2"/>
          <w:szCs w:val="22"/>
        </w:rPr>
        <w:t xml:space="preserve"> on a nearly continual basis, giving co-channel users the opportunity to operate on the shared frequency of 152.2925 MHz only 5% of any given interval. </w:t>
      </w:r>
      <w:r w:rsidR="00503655" w:rsidRPr="00503655">
        <w:rPr>
          <w:color w:val="000000"/>
          <w:spacing w:val="-2"/>
          <w:szCs w:val="22"/>
        </w:rPr>
        <w:t>The agents also determined that MRA’s synchronizing signal continued unabated even when the co-channel licensee, Eden, attempted to utilize the channel for voice communications.</w:t>
      </w:r>
    </w:p>
    <w:p w14:paraId="4CA63722" w14:textId="7393B52F" w:rsidR="00067B02" w:rsidRDefault="00067B02" w:rsidP="00A16480">
      <w:pPr>
        <w:pStyle w:val="ParaNum"/>
        <w:widowControl/>
        <w:numPr>
          <w:ilvl w:val="0"/>
          <w:numId w:val="6"/>
        </w:numPr>
        <w:ind w:left="0" w:firstLine="720"/>
        <w:rPr>
          <w:szCs w:val="22"/>
        </w:rPr>
      </w:pPr>
      <w:r w:rsidRPr="00067B02">
        <w:rPr>
          <w:color w:val="000000"/>
          <w:spacing w:val="-2"/>
          <w:szCs w:val="22"/>
        </w:rPr>
        <w:t xml:space="preserve">In its NAL Response, MRA does not deny that it operated its Station in the manner described in the </w:t>
      </w:r>
      <w:r w:rsidRPr="00A16480">
        <w:rPr>
          <w:i/>
          <w:color w:val="000000"/>
          <w:spacing w:val="-2"/>
          <w:szCs w:val="22"/>
        </w:rPr>
        <w:t>NAL</w:t>
      </w:r>
      <w:r w:rsidRPr="00067B02">
        <w:rPr>
          <w:color w:val="000000"/>
          <w:spacing w:val="-2"/>
          <w:szCs w:val="22"/>
        </w:rPr>
        <w:t xml:space="preserve">.  </w:t>
      </w:r>
      <w:r w:rsidRPr="00904713">
        <w:rPr>
          <w:color w:val="000000"/>
          <w:spacing w:val="-2"/>
          <w:szCs w:val="22"/>
        </w:rPr>
        <w:t xml:space="preserve">Indeed, MRA acknowledges that the DDS equipment it employed is designed for operation on exclusive channels, and states that the adjustments it made to ensure a </w:t>
      </w:r>
      <w:r w:rsidR="00600336">
        <w:rPr>
          <w:color w:val="000000"/>
          <w:spacing w:val="-2"/>
          <w:szCs w:val="22"/>
        </w:rPr>
        <w:t>“</w:t>
      </w:r>
      <w:r w:rsidRPr="00904713">
        <w:rPr>
          <w:color w:val="000000"/>
          <w:spacing w:val="-2"/>
          <w:szCs w:val="22"/>
        </w:rPr>
        <w:t>hard stop</w:t>
      </w:r>
      <w:r w:rsidR="00600336">
        <w:rPr>
          <w:color w:val="000000"/>
          <w:spacing w:val="-2"/>
          <w:szCs w:val="22"/>
        </w:rPr>
        <w:t>”</w:t>
      </w:r>
      <w:r w:rsidRPr="00904713">
        <w:rPr>
          <w:color w:val="000000"/>
          <w:spacing w:val="-2"/>
          <w:szCs w:val="22"/>
        </w:rPr>
        <w:t xml:space="preserve"> at a preset regular interval to enable it to monitor, degraded the equipment</w:t>
      </w:r>
      <w:r w:rsidR="00600336">
        <w:rPr>
          <w:color w:val="000000"/>
          <w:spacing w:val="-2"/>
          <w:szCs w:val="22"/>
        </w:rPr>
        <w:t>’s</w:t>
      </w:r>
      <w:r w:rsidRPr="00904713">
        <w:rPr>
          <w:color w:val="000000"/>
          <w:spacing w:val="-2"/>
          <w:szCs w:val="22"/>
        </w:rPr>
        <w:t xml:space="preserve"> performance.</w:t>
      </w:r>
      <w:r>
        <w:rPr>
          <w:rStyle w:val="FootnoteReference"/>
          <w:spacing w:val="-2"/>
          <w:szCs w:val="22"/>
        </w:rPr>
        <w:footnoteReference w:id="25"/>
      </w:r>
      <w:r w:rsidRPr="00904713">
        <w:rPr>
          <w:color w:val="000000"/>
          <w:spacing w:val="-2"/>
          <w:szCs w:val="22"/>
        </w:rPr>
        <w:t xml:space="preserve">  MRA asserts there “is no hard and fast ‘maximum’ channel occupancy for shared channels” and </w:t>
      </w:r>
      <w:r w:rsidRPr="005E36D8">
        <w:rPr>
          <w:color w:val="000000"/>
          <w:spacing w:val="-2"/>
          <w:szCs w:val="22"/>
        </w:rPr>
        <w:t xml:space="preserve">that because other licensees have </w:t>
      </w:r>
      <w:r w:rsidR="008A79AF">
        <w:rPr>
          <w:color w:val="000000"/>
          <w:spacing w:val="-2"/>
          <w:szCs w:val="22"/>
        </w:rPr>
        <w:t xml:space="preserve">allegedly </w:t>
      </w:r>
      <w:r w:rsidR="00726498">
        <w:rPr>
          <w:color w:val="000000"/>
          <w:spacing w:val="-2"/>
          <w:szCs w:val="22"/>
        </w:rPr>
        <w:t xml:space="preserve">engaged in close to </w:t>
      </w:r>
      <w:r w:rsidRPr="005E36D8">
        <w:rPr>
          <w:color w:val="000000"/>
          <w:spacing w:val="-2"/>
          <w:szCs w:val="22"/>
        </w:rPr>
        <w:t xml:space="preserve">100% channel occupancy on shared channels using DDS equipment, </w:t>
      </w:r>
      <w:r w:rsidRPr="00A16480">
        <w:rPr>
          <w:color w:val="000000"/>
          <w:spacing w:val="-2"/>
          <w:szCs w:val="22"/>
        </w:rPr>
        <w:t>its 95% channel occupancy is therefore patently not a failure to share and not a rule violation.</w:t>
      </w:r>
      <w:r>
        <w:rPr>
          <w:rStyle w:val="FootnoteReference"/>
          <w:spacing w:val="-2"/>
          <w:szCs w:val="22"/>
        </w:rPr>
        <w:footnoteReference w:id="26"/>
      </w:r>
      <w:r w:rsidRPr="00904713">
        <w:rPr>
          <w:color w:val="000000"/>
          <w:spacing w:val="-2"/>
          <w:szCs w:val="22"/>
        </w:rPr>
        <w:t xml:space="preserve">  </w:t>
      </w:r>
      <w:r>
        <w:rPr>
          <w:color w:val="000000"/>
          <w:spacing w:val="-2"/>
          <w:szCs w:val="22"/>
        </w:rPr>
        <w:t>We disagree.</w:t>
      </w:r>
      <w:r w:rsidRPr="00904713">
        <w:rPr>
          <w:color w:val="000000"/>
          <w:spacing w:val="-2"/>
          <w:szCs w:val="22"/>
        </w:rPr>
        <w:t xml:space="preserve">  </w:t>
      </w:r>
    </w:p>
    <w:p w14:paraId="257036FD" w14:textId="06B8CF27" w:rsidR="00834F63" w:rsidRPr="00A16480" w:rsidRDefault="00067B02" w:rsidP="00A16480">
      <w:pPr>
        <w:pStyle w:val="ParaNum"/>
        <w:widowControl/>
        <w:numPr>
          <w:ilvl w:val="0"/>
          <w:numId w:val="6"/>
        </w:numPr>
        <w:ind w:left="0" w:firstLine="720"/>
        <w:rPr>
          <w:szCs w:val="22"/>
        </w:rPr>
      </w:pPr>
      <w:r w:rsidRPr="00904713">
        <w:rPr>
          <w:color w:val="000000"/>
          <w:spacing w:val="-2"/>
          <w:szCs w:val="22"/>
        </w:rPr>
        <w:t>The Rules require</w:t>
      </w:r>
      <w:r w:rsidR="00E14F5E" w:rsidRPr="00904713">
        <w:rPr>
          <w:color w:val="000000"/>
          <w:spacing w:val="-2"/>
          <w:szCs w:val="22"/>
        </w:rPr>
        <w:t>,</w:t>
      </w:r>
      <w:r w:rsidRPr="00904713">
        <w:rPr>
          <w:color w:val="000000"/>
          <w:spacing w:val="-2"/>
          <w:szCs w:val="22"/>
        </w:rPr>
        <w:t xml:space="preserve"> and the Commission expects</w:t>
      </w:r>
      <w:r w:rsidR="00E14F5E" w:rsidRPr="00904713">
        <w:rPr>
          <w:color w:val="000000"/>
          <w:spacing w:val="-2"/>
          <w:szCs w:val="22"/>
        </w:rPr>
        <w:t>,</w:t>
      </w:r>
      <w:r w:rsidRPr="00904713">
        <w:rPr>
          <w:color w:val="000000"/>
          <w:spacing w:val="-2"/>
          <w:szCs w:val="22"/>
        </w:rPr>
        <w:t xml:space="preserve"> licensees</w:t>
      </w:r>
      <w:r w:rsidRPr="005E36D8">
        <w:rPr>
          <w:color w:val="000000"/>
          <w:spacing w:val="-2"/>
          <w:szCs w:val="22"/>
        </w:rPr>
        <w:t xml:space="preserve"> to take necessary measures to minimize the potential for causing interference and to take reasonable precautions to avoid causing harmful interference.</w:t>
      </w:r>
      <w:r w:rsidRPr="00A16480">
        <w:rPr>
          <w:rStyle w:val="FootnoteReference"/>
          <w:spacing w:val="-2"/>
          <w:szCs w:val="22"/>
        </w:rPr>
        <w:t xml:space="preserve"> </w:t>
      </w:r>
      <w:r>
        <w:rPr>
          <w:rStyle w:val="FootnoteReference"/>
          <w:spacing w:val="-2"/>
          <w:szCs w:val="22"/>
        </w:rPr>
        <w:footnoteReference w:id="27"/>
      </w:r>
      <w:r w:rsidRPr="00904713">
        <w:rPr>
          <w:color w:val="000000"/>
          <w:spacing w:val="-2"/>
          <w:szCs w:val="22"/>
        </w:rPr>
        <w:t xml:space="preserve">  </w:t>
      </w:r>
      <w:r w:rsidRPr="00904713">
        <w:rPr>
          <w:color w:val="000000"/>
          <w:szCs w:val="22"/>
        </w:rPr>
        <w:t>For land mobile stations, harmful interference is defined as “any emission, radiation, or induction which specifically degrades, obstructs, or interrupts the service provided by such stations</w:t>
      </w:r>
      <w:r w:rsidRPr="00904713">
        <w:rPr>
          <w:color w:val="000000"/>
          <w:sz w:val="20"/>
        </w:rPr>
        <w:t>.”</w:t>
      </w:r>
      <w:r>
        <w:rPr>
          <w:rStyle w:val="FootnoteReference"/>
        </w:rPr>
        <w:footnoteReference w:id="28"/>
      </w:r>
      <w:r w:rsidRPr="00904713">
        <w:rPr>
          <w:szCs w:val="22"/>
        </w:rPr>
        <w:t xml:space="preserve">  </w:t>
      </w:r>
      <w:r w:rsidRPr="005E36D8">
        <w:rPr>
          <w:color w:val="000000"/>
          <w:spacing w:val="-2"/>
          <w:szCs w:val="22"/>
        </w:rPr>
        <w:t xml:space="preserve">The Commission has also given examples </w:t>
      </w:r>
      <w:r w:rsidRPr="00C1451A">
        <w:rPr>
          <w:color w:val="000000"/>
          <w:spacing w:val="-2"/>
          <w:szCs w:val="22"/>
        </w:rPr>
        <w:t xml:space="preserve">in the </w:t>
      </w:r>
      <w:r w:rsidRPr="00A16480">
        <w:rPr>
          <w:color w:val="000000"/>
          <w:spacing w:val="-2"/>
          <w:szCs w:val="22"/>
        </w:rPr>
        <w:t>Rules and in published guidance to land mobile licensees of appropriate and reasonable measures to avoid causing interference, including monitoring and employing appropriate equipment.</w:t>
      </w:r>
      <w:r>
        <w:rPr>
          <w:rStyle w:val="FootnoteReference"/>
          <w:spacing w:val="-2"/>
          <w:szCs w:val="22"/>
        </w:rPr>
        <w:footnoteReference w:id="29"/>
      </w:r>
      <w:r w:rsidRPr="00904713">
        <w:rPr>
          <w:color w:val="000000"/>
          <w:spacing w:val="-2"/>
          <w:szCs w:val="22"/>
        </w:rPr>
        <w:t xml:space="preserve">  </w:t>
      </w:r>
      <w:r w:rsidR="00CD5AEB">
        <w:rPr>
          <w:szCs w:val="22"/>
        </w:rPr>
        <w:t>Utilizing</w:t>
      </w:r>
      <w:r w:rsidR="00CD5AEB" w:rsidRPr="00904713">
        <w:rPr>
          <w:szCs w:val="22"/>
        </w:rPr>
        <w:t xml:space="preserve"> equipment that does</w:t>
      </w:r>
      <w:r w:rsidR="00EA28A3">
        <w:rPr>
          <w:szCs w:val="22"/>
        </w:rPr>
        <w:t xml:space="preserve"> </w:t>
      </w:r>
      <w:r w:rsidR="00CD5AEB" w:rsidRPr="00904713">
        <w:rPr>
          <w:szCs w:val="22"/>
        </w:rPr>
        <w:t>n</w:t>
      </w:r>
      <w:r w:rsidR="00EA28A3">
        <w:rPr>
          <w:szCs w:val="22"/>
        </w:rPr>
        <w:t>o</w:t>
      </w:r>
      <w:r w:rsidR="00CD5AEB" w:rsidRPr="00904713">
        <w:rPr>
          <w:szCs w:val="22"/>
        </w:rPr>
        <w:t xml:space="preserve">t detect when another co-channel licensee is attempting to </w:t>
      </w:r>
      <w:r w:rsidR="00CD5AEB">
        <w:rPr>
          <w:szCs w:val="22"/>
        </w:rPr>
        <w:t>use</w:t>
      </w:r>
      <w:r w:rsidR="00CD5AEB" w:rsidRPr="00904713">
        <w:rPr>
          <w:szCs w:val="22"/>
        </w:rPr>
        <w:t xml:space="preserve"> the shared frequency</w:t>
      </w:r>
      <w:r w:rsidR="00CD5AEB">
        <w:rPr>
          <w:szCs w:val="22"/>
        </w:rPr>
        <w:t xml:space="preserve">, but rather only utilizes a preset short duration </w:t>
      </w:r>
      <w:r w:rsidR="00CD5AEB" w:rsidRPr="00E14F5E">
        <w:t>“hard stop” is not monitoring</w:t>
      </w:r>
      <w:r w:rsidR="00CD5AEB">
        <w:t>.</w:t>
      </w:r>
      <w:r w:rsidR="00CD5AEB" w:rsidRPr="00CD5AEB">
        <w:rPr>
          <w:sz w:val="20"/>
          <w:szCs w:val="22"/>
          <w:vertAlign w:val="superscript"/>
        </w:rPr>
        <w:t xml:space="preserve"> </w:t>
      </w:r>
      <w:r w:rsidR="00CD5AEB" w:rsidRPr="00CD5AEB">
        <w:rPr>
          <w:vertAlign w:val="superscript"/>
        </w:rPr>
        <w:footnoteReference w:id="30"/>
      </w:r>
      <w:r w:rsidR="00CD5AEB">
        <w:t xml:space="preserve">  If co-channel licensee Eden</w:t>
      </w:r>
      <w:r w:rsidR="00CD5AEB" w:rsidRPr="00E14F5E">
        <w:t xml:space="preserve"> attem</w:t>
      </w:r>
      <w:r w:rsidR="00CD5AEB">
        <w:t>pted to operate during any</w:t>
      </w:r>
      <w:r w:rsidR="00CD5AEB" w:rsidRPr="00E14F5E">
        <w:t xml:space="preserve"> time other than the 5</w:t>
      </w:r>
      <w:r w:rsidR="00CD5AEB">
        <w:t>% of the time MRA chose not to transmit</w:t>
      </w:r>
      <w:r w:rsidR="00CD5AEB" w:rsidRPr="00E14F5E">
        <w:t xml:space="preserve">, </w:t>
      </w:r>
      <w:r w:rsidR="00CD5AEB">
        <w:t>Eden’s</w:t>
      </w:r>
      <w:r w:rsidR="00CD5AEB" w:rsidRPr="00E14F5E">
        <w:t xml:space="preserve"> operation degraded to the point of </w:t>
      </w:r>
      <w:r w:rsidR="00CD5AEB">
        <w:t xml:space="preserve">being </w:t>
      </w:r>
      <w:r w:rsidR="00CD5AEB" w:rsidRPr="00E14F5E">
        <w:t xml:space="preserve">unusable.  </w:t>
      </w:r>
      <w:r w:rsidR="00CD5AEB">
        <w:t>Moreover, utilizing equipment</w:t>
      </w:r>
      <w:r w:rsidR="00CD5AEB">
        <w:rPr>
          <w:szCs w:val="22"/>
        </w:rPr>
        <w:t xml:space="preserve"> that emits a near continuous synchronizing signal</w:t>
      </w:r>
      <w:r w:rsidR="00CD5AEB" w:rsidRPr="00904713">
        <w:rPr>
          <w:szCs w:val="22"/>
        </w:rPr>
        <w:t xml:space="preserve"> result</w:t>
      </w:r>
      <w:r w:rsidR="00CD5AEB" w:rsidRPr="005E36D8">
        <w:rPr>
          <w:szCs w:val="22"/>
        </w:rPr>
        <w:t>s in emissions that obstruct the</w:t>
      </w:r>
      <w:r w:rsidR="00CD5AEB">
        <w:rPr>
          <w:szCs w:val="22"/>
        </w:rPr>
        <w:t xml:space="preserve"> provision of services by</w:t>
      </w:r>
      <w:r w:rsidR="00CD5AEB" w:rsidRPr="005E36D8">
        <w:rPr>
          <w:szCs w:val="22"/>
        </w:rPr>
        <w:t xml:space="preserve"> co-channel licensee</w:t>
      </w:r>
      <w:r w:rsidR="00CD5AEB">
        <w:rPr>
          <w:szCs w:val="22"/>
        </w:rPr>
        <w:t>s</w:t>
      </w:r>
      <w:r w:rsidRPr="00A16480">
        <w:rPr>
          <w:szCs w:val="22"/>
        </w:rPr>
        <w:t>.</w:t>
      </w:r>
      <w:r w:rsidR="00E14F5E">
        <w:rPr>
          <w:rStyle w:val="FootnoteReference"/>
          <w:szCs w:val="22"/>
        </w:rPr>
        <w:footnoteReference w:id="31"/>
      </w:r>
      <w:r w:rsidRPr="00904713">
        <w:rPr>
          <w:szCs w:val="22"/>
        </w:rPr>
        <w:t xml:space="preserve">  </w:t>
      </w:r>
      <w:r w:rsidRPr="00904713">
        <w:rPr>
          <w:color w:val="000000"/>
          <w:spacing w:val="-2"/>
          <w:szCs w:val="22"/>
        </w:rPr>
        <w:t xml:space="preserve">Eden was licensed and authorized to use the shared frequency, </w:t>
      </w:r>
      <w:r w:rsidR="00834F63" w:rsidRPr="00904713">
        <w:rPr>
          <w:color w:val="000000"/>
          <w:spacing w:val="-2"/>
          <w:szCs w:val="22"/>
        </w:rPr>
        <w:t xml:space="preserve">however, </w:t>
      </w:r>
      <w:r w:rsidRPr="00904713">
        <w:rPr>
          <w:color w:val="000000"/>
          <w:spacing w:val="-2"/>
          <w:szCs w:val="22"/>
        </w:rPr>
        <w:t xml:space="preserve">MRA’s actions </w:t>
      </w:r>
      <w:r w:rsidR="00DF24AA">
        <w:rPr>
          <w:color w:val="000000"/>
          <w:spacing w:val="-2"/>
          <w:szCs w:val="22"/>
        </w:rPr>
        <w:t xml:space="preserve">degraded and obstructed </w:t>
      </w:r>
      <w:r w:rsidR="007D6452">
        <w:rPr>
          <w:color w:val="000000"/>
          <w:spacing w:val="-2"/>
          <w:szCs w:val="22"/>
        </w:rPr>
        <w:t xml:space="preserve">the service provided by Eden, </w:t>
      </w:r>
      <w:r w:rsidR="007D6452" w:rsidRPr="00EA28A3">
        <w:rPr>
          <w:i/>
          <w:color w:val="000000"/>
          <w:spacing w:val="-2"/>
          <w:szCs w:val="22"/>
        </w:rPr>
        <w:t>i.e.</w:t>
      </w:r>
      <w:r w:rsidR="007D6452">
        <w:rPr>
          <w:color w:val="000000"/>
          <w:spacing w:val="-2"/>
          <w:szCs w:val="22"/>
        </w:rPr>
        <w:t xml:space="preserve">, caused harmful interference, effectively </w:t>
      </w:r>
      <w:r w:rsidRPr="00904713">
        <w:rPr>
          <w:color w:val="000000"/>
          <w:spacing w:val="-2"/>
          <w:szCs w:val="22"/>
        </w:rPr>
        <w:t>preclud</w:t>
      </w:r>
      <w:r w:rsidR="007D6452">
        <w:rPr>
          <w:color w:val="000000"/>
          <w:spacing w:val="-2"/>
          <w:szCs w:val="22"/>
        </w:rPr>
        <w:t>ing</w:t>
      </w:r>
      <w:r w:rsidRPr="00904713">
        <w:rPr>
          <w:color w:val="000000"/>
          <w:spacing w:val="-2"/>
          <w:szCs w:val="22"/>
        </w:rPr>
        <w:t xml:space="preserve"> Eden from use of the shared channel</w:t>
      </w:r>
      <w:r w:rsidR="00834F63" w:rsidRPr="00904713">
        <w:rPr>
          <w:color w:val="000000"/>
          <w:spacing w:val="-2"/>
          <w:szCs w:val="22"/>
        </w:rPr>
        <w:t>.</w:t>
      </w:r>
    </w:p>
    <w:p w14:paraId="2C07C614" w14:textId="2B0587A6" w:rsidR="00D32490" w:rsidRPr="00A16480" w:rsidRDefault="00067B02" w:rsidP="00A16480">
      <w:pPr>
        <w:pStyle w:val="ParaNum"/>
        <w:widowControl/>
        <w:numPr>
          <w:ilvl w:val="0"/>
          <w:numId w:val="6"/>
        </w:numPr>
        <w:spacing w:after="240"/>
        <w:ind w:left="0" w:firstLine="720"/>
        <w:rPr>
          <w:szCs w:val="22"/>
        </w:rPr>
      </w:pPr>
      <w:r w:rsidRPr="00904713">
        <w:rPr>
          <w:color w:val="000000"/>
          <w:spacing w:val="-2"/>
          <w:szCs w:val="22"/>
        </w:rPr>
        <w:t>The Los Angeles Office investigation found that MRA caused harmful interference to a co-channel licensee on June 4 and June 8, 2015.</w:t>
      </w:r>
      <w:r>
        <w:rPr>
          <w:rStyle w:val="FootnoteReference"/>
          <w:spacing w:val="-2"/>
          <w:szCs w:val="22"/>
        </w:rPr>
        <w:footnoteReference w:id="32"/>
      </w:r>
      <w:r w:rsidRPr="00904713">
        <w:rPr>
          <w:color w:val="000000"/>
          <w:spacing w:val="-2"/>
          <w:szCs w:val="22"/>
        </w:rPr>
        <w:t xml:space="preserve">   The evidence establishing that interference included MRA’s </w:t>
      </w:r>
      <w:r w:rsidRPr="005E36D8">
        <w:rPr>
          <w:color w:val="000000"/>
          <w:spacing w:val="-2"/>
          <w:szCs w:val="22"/>
        </w:rPr>
        <w:t xml:space="preserve">acknowledged </w:t>
      </w:r>
      <w:r w:rsidRPr="00C1451A">
        <w:rPr>
          <w:color w:val="000000"/>
          <w:spacing w:val="-2"/>
          <w:szCs w:val="22"/>
        </w:rPr>
        <w:t>95% occupancy of the shared channel</w:t>
      </w:r>
      <w:r w:rsidRPr="00A16480">
        <w:rPr>
          <w:color w:val="000000"/>
          <w:spacing w:val="-2"/>
          <w:szCs w:val="22"/>
        </w:rPr>
        <w:t>, that the transmissions preventing Eden from using the shared channel came from MRA’s Station, and that MRA only stop</w:t>
      </w:r>
      <w:r w:rsidR="00463516">
        <w:rPr>
          <w:color w:val="000000"/>
          <w:spacing w:val="-2"/>
          <w:szCs w:val="22"/>
        </w:rPr>
        <w:t>ped</w:t>
      </w:r>
      <w:r w:rsidRPr="00A16480">
        <w:rPr>
          <w:color w:val="000000"/>
          <w:spacing w:val="-2"/>
          <w:szCs w:val="22"/>
        </w:rPr>
        <w:t xml:space="preserve"> transmitting for other users for </w:t>
      </w:r>
      <w:r w:rsidR="00726498">
        <w:rPr>
          <w:color w:val="000000"/>
          <w:spacing w:val="-2"/>
          <w:szCs w:val="22"/>
        </w:rPr>
        <w:t xml:space="preserve">three to </w:t>
      </w:r>
      <w:r w:rsidR="00EA28A3">
        <w:rPr>
          <w:color w:val="000000"/>
          <w:spacing w:val="-2"/>
          <w:szCs w:val="22"/>
        </w:rPr>
        <w:t xml:space="preserve">five </w:t>
      </w:r>
      <w:r w:rsidRPr="00A16480">
        <w:rPr>
          <w:color w:val="000000"/>
          <w:spacing w:val="-2"/>
          <w:szCs w:val="22"/>
        </w:rPr>
        <w:t>seconds at set intervals so that random attempts by co-channel licensee Eden to use the shared channels were blocked unless they happened to fall within MRA’s pre-set window.  The evidence is unequivocal that MRA’s transmission</w:t>
      </w:r>
      <w:r w:rsidR="00626D63">
        <w:rPr>
          <w:color w:val="000000"/>
          <w:spacing w:val="-2"/>
          <w:szCs w:val="22"/>
        </w:rPr>
        <w:t>s</w:t>
      </w:r>
      <w:r w:rsidRPr="00A16480">
        <w:rPr>
          <w:color w:val="000000"/>
          <w:spacing w:val="-2"/>
          <w:szCs w:val="22"/>
        </w:rPr>
        <w:t xml:space="preserve"> caused harmful interference to Eden’s operations. </w:t>
      </w:r>
      <w:r w:rsidR="00834F63">
        <w:rPr>
          <w:color w:val="000000"/>
          <w:spacing w:val="-2"/>
          <w:szCs w:val="22"/>
        </w:rPr>
        <w:t xml:space="preserve"> </w:t>
      </w:r>
      <w:r w:rsidRPr="00904713">
        <w:rPr>
          <w:szCs w:val="22"/>
        </w:rPr>
        <w:t>Thus, we find that MRA willfully and repeatedly violated Sec</w:t>
      </w:r>
      <w:r w:rsidRPr="005E36D8">
        <w:rPr>
          <w:szCs w:val="22"/>
        </w:rPr>
        <w:t>tions 90.403(e) and 90.187(b) of the Rules by failing to take reasonable precautions</w:t>
      </w:r>
      <w:r w:rsidRPr="00A16480">
        <w:rPr>
          <w:szCs w:val="22"/>
        </w:rPr>
        <w:t xml:space="preserve"> to avoid causing harmful interference, and failing to employ equipment and engage in monitoring that avoids harmful interference to other systems.</w:t>
      </w:r>
    </w:p>
    <w:p w14:paraId="4146AE9A" w14:textId="77777777" w:rsidR="00E829E4" w:rsidRDefault="006F7642" w:rsidP="00A16480">
      <w:pPr>
        <w:pStyle w:val="Heading2"/>
        <w:widowControl/>
        <w:rPr>
          <w:u w:color="000000"/>
        </w:rPr>
      </w:pPr>
      <w:r>
        <w:rPr>
          <w:u w:color="000000"/>
        </w:rPr>
        <w:t>MRA’s Willful and Repeated Violations Caused Harmful Interference and Require a Monetary Forfeiture</w:t>
      </w:r>
    </w:p>
    <w:p w14:paraId="4FA532C5" w14:textId="6E1D485E" w:rsidR="007712C8" w:rsidRPr="007712C8" w:rsidRDefault="006F7642" w:rsidP="00A16480">
      <w:pPr>
        <w:pStyle w:val="ParaNum"/>
        <w:widowControl/>
        <w:numPr>
          <w:ilvl w:val="0"/>
          <w:numId w:val="6"/>
        </w:numPr>
        <w:ind w:left="0" w:firstLine="720"/>
      </w:pPr>
      <w:r>
        <w:rPr>
          <w:snapToGrid/>
          <w:color w:val="000000"/>
          <w:spacing w:val="-2"/>
          <w:kern w:val="0"/>
          <w:szCs w:val="22"/>
          <w:u w:color="000000"/>
        </w:rPr>
        <w:t xml:space="preserve">MRA also argues that even if it did commit a rule violation by failing to adequately share the frequency, imposing a penalty upon MRA would constitute “undue discrimination,” because the Commission has failed to enforce </w:t>
      </w:r>
      <w:r w:rsidR="007453F7">
        <w:rPr>
          <w:snapToGrid/>
          <w:color w:val="000000"/>
          <w:spacing w:val="-2"/>
          <w:kern w:val="0"/>
          <w:szCs w:val="22"/>
          <w:u w:color="000000"/>
        </w:rPr>
        <w:t>“</w:t>
      </w:r>
      <w:r>
        <w:rPr>
          <w:snapToGrid/>
          <w:color w:val="000000"/>
          <w:spacing w:val="-2"/>
          <w:kern w:val="0"/>
          <w:szCs w:val="22"/>
          <w:u w:color="000000"/>
        </w:rPr>
        <w:t>the rule requiring sharing</w:t>
      </w:r>
      <w:r w:rsidR="007453F7">
        <w:rPr>
          <w:snapToGrid/>
          <w:color w:val="000000"/>
          <w:spacing w:val="-2"/>
          <w:kern w:val="0"/>
          <w:szCs w:val="22"/>
          <w:u w:color="000000"/>
        </w:rPr>
        <w:t>”</w:t>
      </w:r>
      <w:r>
        <w:rPr>
          <w:snapToGrid/>
          <w:color w:val="000000"/>
          <w:spacing w:val="-2"/>
          <w:kern w:val="0"/>
          <w:szCs w:val="22"/>
          <w:u w:color="000000"/>
        </w:rPr>
        <w:t xml:space="preserve"> against </w:t>
      </w:r>
      <w:r w:rsidRPr="006F7642">
        <w:rPr>
          <w:snapToGrid/>
          <w:color w:val="000000"/>
          <w:spacing w:val="-2"/>
          <w:kern w:val="0"/>
          <w:szCs w:val="22"/>
          <w:u w:color="000000"/>
        </w:rPr>
        <w:t>an</w:t>
      </w:r>
      <w:r>
        <w:rPr>
          <w:snapToGrid/>
          <w:color w:val="000000"/>
          <w:spacing w:val="-2"/>
          <w:kern w:val="0"/>
          <w:szCs w:val="22"/>
          <w:u w:color="000000"/>
        </w:rPr>
        <w:t>yone that has caused harmful interference to MRA or MRA’s customers.</w:t>
      </w:r>
      <w:r>
        <w:rPr>
          <w:rStyle w:val="FootnoteReference"/>
          <w:snapToGrid/>
          <w:spacing w:val="-2"/>
          <w:kern w:val="0"/>
          <w:szCs w:val="22"/>
          <w:u w:color="000000"/>
        </w:rPr>
        <w:footnoteReference w:id="33"/>
      </w:r>
      <w:r>
        <w:rPr>
          <w:snapToGrid/>
          <w:color w:val="000000"/>
          <w:spacing w:val="-2"/>
          <w:kern w:val="0"/>
          <w:szCs w:val="22"/>
          <w:u w:color="000000"/>
        </w:rPr>
        <w:t xml:space="preserve"> </w:t>
      </w:r>
      <w:r w:rsidR="00A02FBE">
        <w:rPr>
          <w:snapToGrid/>
          <w:color w:val="000000"/>
          <w:spacing w:val="-2"/>
          <w:kern w:val="0"/>
          <w:szCs w:val="22"/>
          <w:u w:color="000000"/>
        </w:rPr>
        <w:t xml:space="preserve"> </w:t>
      </w:r>
      <w:r w:rsidR="008274F4">
        <w:rPr>
          <w:snapToGrid/>
          <w:color w:val="000000"/>
          <w:spacing w:val="-2"/>
          <w:kern w:val="0"/>
          <w:szCs w:val="22"/>
          <w:u w:color="000000"/>
        </w:rPr>
        <w:t xml:space="preserve">We find no merit to this argument.  </w:t>
      </w:r>
      <w:r w:rsidR="00C77712">
        <w:rPr>
          <w:snapToGrid/>
          <w:color w:val="000000"/>
          <w:spacing w:val="-2"/>
          <w:kern w:val="0"/>
          <w:szCs w:val="22"/>
          <w:u w:color="000000"/>
        </w:rPr>
        <w:t>The Commission, in partic</w:t>
      </w:r>
      <w:r w:rsidR="00A169F4">
        <w:rPr>
          <w:snapToGrid/>
          <w:color w:val="000000"/>
          <w:spacing w:val="-2"/>
          <w:kern w:val="0"/>
          <w:szCs w:val="22"/>
          <w:u w:color="000000"/>
        </w:rPr>
        <w:t>ular, the Enforcement Bureau’s Field O</w:t>
      </w:r>
      <w:r w:rsidR="00C77712">
        <w:rPr>
          <w:snapToGrid/>
          <w:color w:val="000000"/>
          <w:spacing w:val="-2"/>
          <w:kern w:val="0"/>
          <w:szCs w:val="22"/>
          <w:u w:color="000000"/>
        </w:rPr>
        <w:t>ffices, have</w:t>
      </w:r>
      <w:r w:rsidR="005A4B5B">
        <w:rPr>
          <w:snapToGrid/>
          <w:color w:val="000000"/>
          <w:spacing w:val="-2"/>
          <w:kern w:val="0"/>
          <w:szCs w:val="22"/>
          <w:u w:color="000000"/>
        </w:rPr>
        <w:t xml:space="preserve"> investigated complaints and </w:t>
      </w:r>
      <w:r w:rsidR="00C77712">
        <w:rPr>
          <w:snapToGrid/>
          <w:color w:val="000000"/>
          <w:spacing w:val="-2"/>
          <w:kern w:val="0"/>
          <w:szCs w:val="22"/>
          <w:u w:color="000000"/>
        </w:rPr>
        <w:t xml:space="preserve">issued </w:t>
      </w:r>
      <w:r w:rsidR="007712C8">
        <w:rPr>
          <w:snapToGrid/>
          <w:color w:val="000000"/>
          <w:spacing w:val="-2"/>
          <w:kern w:val="0"/>
          <w:szCs w:val="22"/>
          <w:u w:color="000000"/>
        </w:rPr>
        <w:t>numerous</w:t>
      </w:r>
      <w:r w:rsidR="00C77712">
        <w:rPr>
          <w:snapToGrid/>
          <w:color w:val="000000"/>
          <w:spacing w:val="-2"/>
          <w:kern w:val="0"/>
          <w:szCs w:val="22"/>
          <w:u w:color="000000"/>
        </w:rPr>
        <w:t xml:space="preserve"> Notices of Apparent L</w:t>
      </w:r>
      <w:r w:rsidR="00CD5994">
        <w:rPr>
          <w:snapToGrid/>
          <w:color w:val="000000"/>
          <w:spacing w:val="-2"/>
          <w:kern w:val="0"/>
          <w:szCs w:val="22"/>
          <w:u w:color="000000"/>
        </w:rPr>
        <w:t>ia</w:t>
      </w:r>
      <w:r w:rsidR="00C77712">
        <w:rPr>
          <w:snapToGrid/>
          <w:color w:val="000000"/>
          <w:spacing w:val="-2"/>
          <w:kern w:val="0"/>
          <w:szCs w:val="22"/>
          <w:u w:color="000000"/>
        </w:rPr>
        <w:t>b</w:t>
      </w:r>
      <w:r w:rsidR="00CD5994">
        <w:rPr>
          <w:snapToGrid/>
          <w:color w:val="000000"/>
          <w:spacing w:val="-2"/>
          <w:kern w:val="0"/>
          <w:szCs w:val="22"/>
          <w:u w:color="000000"/>
        </w:rPr>
        <w:t>ility</w:t>
      </w:r>
      <w:r w:rsidR="00C77712">
        <w:rPr>
          <w:snapToGrid/>
          <w:color w:val="000000"/>
          <w:spacing w:val="-2"/>
          <w:kern w:val="0"/>
          <w:szCs w:val="22"/>
          <w:u w:color="000000"/>
        </w:rPr>
        <w:t xml:space="preserve"> f</w:t>
      </w:r>
      <w:r w:rsidR="00CD5994">
        <w:rPr>
          <w:snapToGrid/>
          <w:color w:val="000000"/>
          <w:spacing w:val="-2"/>
          <w:kern w:val="0"/>
          <w:szCs w:val="22"/>
          <w:u w:color="000000"/>
        </w:rPr>
        <w:t>o</w:t>
      </w:r>
      <w:r w:rsidR="00C77712">
        <w:rPr>
          <w:snapToGrid/>
          <w:color w:val="000000"/>
          <w:spacing w:val="-2"/>
          <w:kern w:val="0"/>
          <w:szCs w:val="22"/>
          <w:u w:color="000000"/>
        </w:rPr>
        <w:t>r Forfe</w:t>
      </w:r>
      <w:r w:rsidR="00CD5994">
        <w:rPr>
          <w:snapToGrid/>
          <w:color w:val="000000"/>
          <w:spacing w:val="-2"/>
          <w:kern w:val="0"/>
          <w:szCs w:val="22"/>
          <w:u w:color="000000"/>
        </w:rPr>
        <w:t>i</w:t>
      </w:r>
      <w:r w:rsidR="00C77712">
        <w:rPr>
          <w:snapToGrid/>
          <w:color w:val="000000"/>
          <w:spacing w:val="-2"/>
          <w:kern w:val="0"/>
          <w:szCs w:val="22"/>
          <w:u w:color="000000"/>
        </w:rPr>
        <w:t>ture</w:t>
      </w:r>
      <w:r w:rsidR="00056DC2">
        <w:rPr>
          <w:snapToGrid/>
          <w:color w:val="000000"/>
          <w:spacing w:val="-2"/>
          <w:kern w:val="0"/>
          <w:szCs w:val="22"/>
          <w:u w:color="000000"/>
        </w:rPr>
        <w:t xml:space="preserve"> (NALs)</w:t>
      </w:r>
      <w:r w:rsidR="00C77712">
        <w:rPr>
          <w:rStyle w:val="FootnoteReference"/>
          <w:snapToGrid/>
          <w:spacing w:val="-2"/>
          <w:kern w:val="0"/>
          <w:szCs w:val="22"/>
          <w:u w:color="000000"/>
        </w:rPr>
        <w:footnoteReference w:id="34"/>
      </w:r>
      <w:r w:rsidR="00C77712">
        <w:rPr>
          <w:snapToGrid/>
          <w:color w:val="000000"/>
          <w:spacing w:val="-2"/>
          <w:kern w:val="0"/>
          <w:szCs w:val="22"/>
          <w:u w:color="000000"/>
        </w:rPr>
        <w:t xml:space="preserve"> and Notices of Violation</w:t>
      </w:r>
      <w:r w:rsidR="00056DC2">
        <w:rPr>
          <w:snapToGrid/>
          <w:color w:val="000000"/>
          <w:spacing w:val="-2"/>
          <w:kern w:val="0"/>
          <w:szCs w:val="22"/>
          <w:u w:color="000000"/>
        </w:rPr>
        <w:t xml:space="preserve"> (NOVs)</w:t>
      </w:r>
      <w:r w:rsidR="00C77712">
        <w:rPr>
          <w:rStyle w:val="FootnoteReference"/>
          <w:snapToGrid/>
          <w:spacing w:val="-2"/>
          <w:kern w:val="0"/>
          <w:szCs w:val="22"/>
          <w:u w:color="000000"/>
        </w:rPr>
        <w:footnoteReference w:id="35"/>
      </w:r>
      <w:r w:rsidR="00C77712">
        <w:rPr>
          <w:snapToGrid/>
          <w:color w:val="000000"/>
          <w:spacing w:val="-2"/>
          <w:kern w:val="0"/>
          <w:szCs w:val="22"/>
          <w:u w:color="000000"/>
        </w:rPr>
        <w:t xml:space="preserve"> to </w:t>
      </w:r>
      <w:r w:rsidR="005A4B5B">
        <w:rPr>
          <w:snapToGrid/>
          <w:color w:val="000000"/>
          <w:spacing w:val="-2"/>
          <w:kern w:val="0"/>
          <w:szCs w:val="22"/>
          <w:u w:color="000000"/>
        </w:rPr>
        <w:t xml:space="preserve">radio station </w:t>
      </w:r>
      <w:r w:rsidR="008274F4">
        <w:rPr>
          <w:snapToGrid/>
          <w:color w:val="000000"/>
          <w:spacing w:val="-2"/>
          <w:kern w:val="0"/>
          <w:szCs w:val="22"/>
          <w:u w:color="000000"/>
        </w:rPr>
        <w:t xml:space="preserve">operators </w:t>
      </w:r>
      <w:r w:rsidR="007453F7">
        <w:rPr>
          <w:snapToGrid/>
          <w:color w:val="000000"/>
          <w:spacing w:val="-2"/>
          <w:kern w:val="0"/>
          <w:szCs w:val="22"/>
          <w:u w:color="000000"/>
        </w:rPr>
        <w:t xml:space="preserve">found to be violating </w:t>
      </w:r>
      <w:r w:rsidR="008274F4">
        <w:rPr>
          <w:snapToGrid/>
          <w:color w:val="000000"/>
          <w:spacing w:val="-2"/>
          <w:kern w:val="0"/>
          <w:szCs w:val="22"/>
          <w:u w:color="000000"/>
        </w:rPr>
        <w:t xml:space="preserve">Section </w:t>
      </w:r>
      <w:r w:rsidR="005A4B5B">
        <w:rPr>
          <w:snapToGrid/>
          <w:color w:val="000000"/>
          <w:spacing w:val="-2"/>
          <w:kern w:val="0"/>
          <w:szCs w:val="22"/>
          <w:u w:color="000000"/>
        </w:rPr>
        <w:t>90.403(e) of the Rules</w:t>
      </w:r>
      <w:r w:rsidR="008274F4">
        <w:rPr>
          <w:snapToGrid/>
          <w:color w:val="000000"/>
          <w:spacing w:val="-2"/>
          <w:kern w:val="0"/>
          <w:szCs w:val="22"/>
          <w:u w:color="000000"/>
        </w:rPr>
        <w:t>.</w:t>
      </w:r>
      <w:r w:rsidR="007712C8">
        <w:rPr>
          <w:snapToGrid/>
          <w:color w:val="000000"/>
          <w:spacing w:val="-2"/>
          <w:kern w:val="0"/>
          <w:szCs w:val="22"/>
          <w:u w:color="000000"/>
        </w:rPr>
        <w:t xml:space="preserve"> </w:t>
      </w:r>
      <w:r w:rsidR="008274F4">
        <w:rPr>
          <w:snapToGrid/>
          <w:color w:val="000000"/>
          <w:spacing w:val="-2"/>
          <w:kern w:val="0"/>
          <w:szCs w:val="22"/>
          <w:u w:color="000000"/>
        </w:rPr>
        <w:t xml:space="preserve"> </w:t>
      </w:r>
    </w:p>
    <w:p w14:paraId="201BF427" w14:textId="11D36696" w:rsidR="00627B40" w:rsidRDefault="007712C8" w:rsidP="00627B40">
      <w:pPr>
        <w:pStyle w:val="ParaNum"/>
        <w:widowControl/>
        <w:numPr>
          <w:ilvl w:val="0"/>
          <w:numId w:val="6"/>
        </w:numPr>
        <w:ind w:left="0" w:firstLine="720"/>
      </w:pPr>
      <w:r w:rsidRPr="00151B9E">
        <w:rPr>
          <w:snapToGrid/>
          <w:color w:val="000000"/>
          <w:spacing w:val="-2"/>
          <w:kern w:val="0"/>
          <w:szCs w:val="22"/>
          <w:u w:color="000000"/>
        </w:rPr>
        <w:t xml:space="preserve">MRA </w:t>
      </w:r>
      <w:r w:rsidR="007453F7" w:rsidRPr="00151B9E">
        <w:rPr>
          <w:snapToGrid/>
          <w:color w:val="000000"/>
          <w:spacing w:val="-2"/>
          <w:kern w:val="0"/>
          <w:szCs w:val="22"/>
          <w:u w:color="000000"/>
        </w:rPr>
        <w:t xml:space="preserve">further </w:t>
      </w:r>
      <w:r w:rsidRPr="00151B9E">
        <w:rPr>
          <w:snapToGrid/>
          <w:color w:val="000000"/>
          <w:spacing w:val="-2"/>
          <w:kern w:val="0"/>
          <w:szCs w:val="22"/>
          <w:u w:color="000000"/>
        </w:rPr>
        <w:t>argues that</w:t>
      </w:r>
      <w:r w:rsidR="007453F7" w:rsidRPr="00151B9E">
        <w:rPr>
          <w:snapToGrid/>
          <w:color w:val="000000"/>
          <w:spacing w:val="-2"/>
          <w:kern w:val="0"/>
          <w:szCs w:val="22"/>
          <w:u w:color="000000"/>
        </w:rPr>
        <w:t xml:space="preserve"> because it is unsatisfied with the results of the Commission’s investigations of its complaints against its competitors, it is arbitr</w:t>
      </w:r>
      <w:r w:rsidR="00322FA5" w:rsidRPr="00151B9E">
        <w:rPr>
          <w:snapToGrid/>
          <w:color w:val="000000"/>
          <w:spacing w:val="-2"/>
          <w:kern w:val="0"/>
          <w:szCs w:val="22"/>
          <w:u w:color="000000"/>
        </w:rPr>
        <w:t>a</w:t>
      </w:r>
      <w:r w:rsidR="007453F7" w:rsidRPr="00151B9E">
        <w:rPr>
          <w:snapToGrid/>
          <w:color w:val="000000"/>
          <w:spacing w:val="-2"/>
          <w:kern w:val="0"/>
          <w:szCs w:val="22"/>
          <w:u w:color="000000"/>
        </w:rPr>
        <w:t>ry and capricious, in violation of Section 706 of the Administrative Pr</w:t>
      </w:r>
      <w:r w:rsidR="0067365E">
        <w:rPr>
          <w:snapToGrid/>
          <w:color w:val="000000"/>
          <w:spacing w:val="-2"/>
          <w:kern w:val="0"/>
          <w:szCs w:val="22"/>
          <w:u w:color="000000"/>
        </w:rPr>
        <w:t>o</w:t>
      </w:r>
      <w:r w:rsidR="007453F7" w:rsidRPr="00151B9E">
        <w:rPr>
          <w:snapToGrid/>
          <w:color w:val="000000"/>
          <w:spacing w:val="-2"/>
          <w:kern w:val="0"/>
          <w:szCs w:val="22"/>
          <w:u w:color="000000"/>
        </w:rPr>
        <w:t>c</w:t>
      </w:r>
      <w:r w:rsidR="0067365E">
        <w:rPr>
          <w:snapToGrid/>
          <w:color w:val="000000"/>
          <w:spacing w:val="-2"/>
          <w:kern w:val="0"/>
          <w:szCs w:val="22"/>
          <w:u w:color="000000"/>
        </w:rPr>
        <w:t>e</w:t>
      </w:r>
      <w:r w:rsidR="007453F7" w:rsidRPr="00151B9E">
        <w:rPr>
          <w:snapToGrid/>
          <w:color w:val="000000"/>
          <w:spacing w:val="-2"/>
          <w:kern w:val="0"/>
          <w:szCs w:val="22"/>
          <w:u w:color="000000"/>
        </w:rPr>
        <w:t>dure Act,</w:t>
      </w:r>
      <w:r w:rsidR="007453F7">
        <w:rPr>
          <w:rStyle w:val="FootnoteReference"/>
          <w:snapToGrid/>
          <w:spacing w:val="-2"/>
          <w:kern w:val="0"/>
          <w:szCs w:val="22"/>
          <w:u w:color="000000"/>
        </w:rPr>
        <w:footnoteReference w:id="36"/>
      </w:r>
      <w:r w:rsidR="007453F7" w:rsidRPr="00151B9E">
        <w:rPr>
          <w:snapToGrid/>
          <w:color w:val="000000"/>
          <w:spacing w:val="-2"/>
          <w:kern w:val="0"/>
          <w:szCs w:val="22"/>
          <w:u w:color="000000"/>
        </w:rPr>
        <w:t xml:space="preserve"> for the Commission to assess a forfeitu</w:t>
      </w:r>
      <w:r w:rsidR="0067365E">
        <w:rPr>
          <w:snapToGrid/>
          <w:color w:val="000000"/>
          <w:spacing w:val="-2"/>
          <w:kern w:val="0"/>
          <w:szCs w:val="22"/>
          <w:u w:color="000000"/>
        </w:rPr>
        <w:t>re</w:t>
      </w:r>
      <w:r w:rsidR="007453F7" w:rsidRPr="00151B9E">
        <w:rPr>
          <w:snapToGrid/>
          <w:color w:val="000000"/>
          <w:spacing w:val="-2"/>
          <w:kern w:val="0"/>
          <w:szCs w:val="22"/>
          <w:u w:color="000000"/>
        </w:rPr>
        <w:t xml:space="preserve"> against MRA for its violations.</w:t>
      </w:r>
      <w:r w:rsidR="007453F7">
        <w:rPr>
          <w:rStyle w:val="FootnoteReference"/>
          <w:snapToGrid/>
          <w:spacing w:val="-2"/>
          <w:kern w:val="0"/>
          <w:szCs w:val="22"/>
          <w:u w:color="000000"/>
        </w:rPr>
        <w:footnoteReference w:id="37"/>
      </w:r>
      <w:r w:rsidRPr="00151B9E">
        <w:rPr>
          <w:snapToGrid/>
          <w:color w:val="000000"/>
          <w:spacing w:val="-2"/>
          <w:kern w:val="0"/>
          <w:szCs w:val="22"/>
          <w:u w:color="000000"/>
        </w:rPr>
        <w:t xml:space="preserve"> </w:t>
      </w:r>
      <w:r w:rsidR="005A4B5B" w:rsidRPr="00151B9E">
        <w:rPr>
          <w:snapToGrid/>
          <w:color w:val="000000"/>
          <w:spacing w:val="-2"/>
          <w:kern w:val="0"/>
          <w:szCs w:val="22"/>
          <w:u w:color="000000"/>
        </w:rPr>
        <w:t xml:space="preserve">  </w:t>
      </w:r>
      <w:r w:rsidR="007453F7" w:rsidRPr="00151B9E">
        <w:rPr>
          <w:snapToGrid/>
          <w:color w:val="000000"/>
          <w:spacing w:val="-2"/>
          <w:kern w:val="0"/>
          <w:szCs w:val="22"/>
          <w:u w:color="000000"/>
        </w:rPr>
        <w:t xml:space="preserve">MRA cites to case law including </w:t>
      </w:r>
      <w:r w:rsidR="00322FA5" w:rsidRPr="00151B9E">
        <w:rPr>
          <w:i/>
          <w:snapToGrid/>
          <w:color w:val="000000"/>
          <w:spacing w:val="-2"/>
          <w:kern w:val="0"/>
          <w:szCs w:val="22"/>
          <w:u w:color="000000"/>
        </w:rPr>
        <w:t>Melody Music, Inc. v. FCC</w:t>
      </w:r>
      <w:r w:rsidR="00322FA5" w:rsidRPr="00151B9E">
        <w:rPr>
          <w:snapToGrid/>
          <w:color w:val="000000"/>
          <w:spacing w:val="-2"/>
          <w:kern w:val="0"/>
          <w:szCs w:val="22"/>
          <w:u w:color="000000"/>
        </w:rPr>
        <w:t xml:space="preserve"> (</w:t>
      </w:r>
      <w:r w:rsidR="00322FA5" w:rsidRPr="00151B9E">
        <w:rPr>
          <w:i/>
          <w:snapToGrid/>
          <w:color w:val="000000"/>
          <w:spacing w:val="-2"/>
          <w:kern w:val="0"/>
          <w:szCs w:val="22"/>
          <w:u w:color="000000"/>
        </w:rPr>
        <w:t>Melody Music</w:t>
      </w:r>
      <w:r w:rsidR="00322FA5" w:rsidRPr="00151B9E">
        <w:rPr>
          <w:snapToGrid/>
          <w:color w:val="000000"/>
          <w:spacing w:val="-2"/>
          <w:kern w:val="0"/>
          <w:szCs w:val="22"/>
          <w:u w:color="000000"/>
        </w:rPr>
        <w:t>),</w:t>
      </w:r>
      <w:r w:rsidR="00322FA5">
        <w:rPr>
          <w:rStyle w:val="FootnoteReference"/>
          <w:snapToGrid/>
          <w:spacing w:val="-2"/>
          <w:kern w:val="0"/>
          <w:szCs w:val="22"/>
          <w:u w:color="000000"/>
        </w:rPr>
        <w:footnoteReference w:id="38"/>
      </w:r>
      <w:r w:rsidR="00322FA5" w:rsidRPr="00151B9E">
        <w:rPr>
          <w:snapToGrid/>
          <w:color w:val="000000"/>
          <w:spacing w:val="-2"/>
          <w:kern w:val="0"/>
          <w:szCs w:val="22"/>
          <w:u w:color="000000"/>
        </w:rPr>
        <w:t xml:space="preserve"> to support this claim and argues that having a “more stringent rule for MRA than for any other licensee in the Los Angeles metropolitan area (or indeed, apparently the entire country) is not permissible.</w:t>
      </w:r>
      <w:r w:rsidR="0067365E">
        <w:rPr>
          <w:snapToGrid/>
          <w:color w:val="000000"/>
          <w:spacing w:val="-2"/>
          <w:kern w:val="0"/>
          <w:szCs w:val="22"/>
          <w:u w:color="000000"/>
        </w:rPr>
        <w:t>”</w:t>
      </w:r>
      <w:r w:rsidR="00322FA5">
        <w:rPr>
          <w:rStyle w:val="FootnoteReference"/>
          <w:snapToGrid/>
          <w:spacing w:val="-2"/>
          <w:kern w:val="0"/>
          <w:szCs w:val="22"/>
          <w:u w:color="000000"/>
        </w:rPr>
        <w:footnoteReference w:id="39"/>
      </w:r>
      <w:r w:rsidR="00035529">
        <w:rPr>
          <w:snapToGrid/>
          <w:color w:val="000000"/>
          <w:spacing w:val="-2"/>
          <w:kern w:val="0"/>
          <w:szCs w:val="22"/>
          <w:u w:color="000000"/>
        </w:rPr>
        <w:t xml:space="preserve"> </w:t>
      </w:r>
      <w:r w:rsidR="00322FA5" w:rsidRPr="00151B9E">
        <w:rPr>
          <w:snapToGrid/>
          <w:color w:val="000000"/>
          <w:spacing w:val="-2"/>
          <w:kern w:val="0"/>
          <w:szCs w:val="22"/>
          <w:u w:color="000000"/>
        </w:rPr>
        <w:t xml:space="preserve"> </w:t>
      </w:r>
      <w:r w:rsidR="00F8159A">
        <w:rPr>
          <w:snapToGrid/>
          <w:color w:val="000000"/>
          <w:spacing w:val="-2"/>
          <w:kern w:val="0"/>
          <w:szCs w:val="22"/>
          <w:u w:color="000000"/>
        </w:rPr>
        <w:t xml:space="preserve">We disagree. </w:t>
      </w:r>
      <w:r w:rsidR="00477DB9">
        <w:rPr>
          <w:snapToGrid/>
          <w:color w:val="000000"/>
          <w:spacing w:val="-2"/>
          <w:kern w:val="0"/>
          <w:szCs w:val="22"/>
          <w:u w:color="000000"/>
        </w:rPr>
        <w:t xml:space="preserve"> </w:t>
      </w:r>
      <w:r w:rsidR="00F8159A">
        <w:rPr>
          <w:snapToGrid/>
          <w:color w:val="000000"/>
          <w:spacing w:val="-2"/>
          <w:kern w:val="0"/>
          <w:szCs w:val="22"/>
          <w:u w:color="000000"/>
        </w:rPr>
        <w:t>As explained above, the Commission’s Field Office</w:t>
      </w:r>
      <w:r w:rsidR="00627B40">
        <w:rPr>
          <w:snapToGrid/>
          <w:color w:val="000000"/>
          <w:spacing w:val="-2"/>
          <w:kern w:val="0"/>
          <w:szCs w:val="22"/>
          <w:u w:color="000000"/>
        </w:rPr>
        <w:t>s</w:t>
      </w:r>
      <w:r w:rsidR="00F8159A">
        <w:rPr>
          <w:snapToGrid/>
          <w:color w:val="000000"/>
          <w:spacing w:val="-2"/>
          <w:kern w:val="0"/>
          <w:szCs w:val="22"/>
          <w:u w:color="000000"/>
        </w:rPr>
        <w:t xml:space="preserve"> have extensive</w:t>
      </w:r>
      <w:r w:rsidR="00067FC2">
        <w:rPr>
          <w:snapToGrid/>
          <w:color w:val="000000"/>
          <w:spacing w:val="-2"/>
          <w:kern w:val="0"/>
          <w:szCs w:val="22"/>
          <w:u w:color="000000"/>
        </w:rPr>
        <w:t>ly</w:t>
      </w:r>
      <w:r w:rsidR="00F8159A">
        <w:rPr>
          <w:snapToGrid/>
          <w:color w:val="000000"/>
          <w:spacing w:val="-2"/>
          <w:kern w:val="0"/>
          <w:szCs w:val="22"/>
          <w:u w:color="000000"/>
        </w:rPr>
        <w:t xml:space="preserve"> enforced Section 90.403(e) of the Rules against land mobile operators</w:t>
      </w:r>
      <w:r w:rsidR="00067FC2">
        <w:rPr>
          <w:snapToGrid/>
          <w:color w:val="000000"/>
          <w:spacing w:val="-2"/>
          <w:kern w:val="0"/>
          <w:szCs w:val="22"/>
          <w:u w:color="000000"/>
        </w:rPr>
        <w:t xml:space="preserve">, issuing </w:t>
      </w:r>
      <w:r w:rsidR="00431E04">
        <w:rPr>
          <w:snapToGrid/>
          <w:color w:val="000000"/>
          <w:spacing w:val="-2"/>
          <w:kern w:val="0"/>
          <w:szCs w:val="22"/>
          <w:u w:color="000000"/>
        </w:rPr>
        <w:t>both NOVs</w:t>
      </w:r>
      <w:r w:rsidR="00F8159A">
        <w:rPr>
          <w:rStyle w:val="FootnoteReference"/>
          <w:snapToGrid/>
          <w:spacing w:val="-2"/>
          <w:kern w:val="0"/>
          <w:szCs w:val="22"/>
          <w:u w:color="000000"/>
        </w:rPr>
        <w:footnoteReference w:id="40"/>
      </w:r>
      <w:r w:rsidR="00F8159A">
        <w:rPr>
          <w:snapToGrid/>
          <w:color w:val="000000"/>
          <w:spacing w:val="-2"/>
          <w:kern w:val="0"/>
          <w:szCs w:val="22"/>
          <w:u w:color="000000"/>
        </w:rPr>
        <w:t xml:space="preserve"> </w:t>
      </w:r>
      <w:r w:rsidR="00431E04">
        <w:rPr>
          <w:snapToGrid/>
          <w:color w:val="000000"/>
          <w:spacing w:val="-2"/>
          <w:kern w:val="0"/>
          <w:szCs w:val="22"/>
          <w:u w:color="000000"/>
        </w:rPr>
        <w:t xml:space="preserve">and </w:t>
      </w:r>
      <w:r w:rsidR="00067FC2">
        <w:rPr>
          <w:snapToGrid/>
          <w:color w:val="000000"/>
          <w:spacing w:val="-2"/>
          <w:kern w:val="0"/>
          <w:szCs w:val="22"/>
          <w:u w:color="000000"/>
        </w:rPr>
        <w:t>NALs.</w:t>
      </w:r>
      <w:r w:rsidR="00067FC2">
        <w:rPr>
          <w:rStyle w:val="FootnoteReference"/>
          <w:snapToGrid/>
          <w:spacing w:val="-2"/>
          <w:kern w:val="0"/>
          <w:szCs w:val="22"/>
          <w:u w:color="000000"/>
        </w:rPr>
        <w:footnoteReference w:id="41"/>
      </w:r>
      <w:r w:rsidR="00067FC2">
        <w:rPr>
          <w:snapToGrid/>
          <w:color w:val="000000"/>
          <w:spacing w:val="-2"/>
          <w:kern w:val="0"/>
          <w:szCs w:val="22"/>
          <w:u w:color="000000"/>
        </w:rPr>
        <w:t xml:space="preserve">  </w:t>
      </w:r>
      <w:r w:rsidR="00431E04">
        <w:rPr>
          <w:snapToGrid/>
          <w:color w:val="000000"/>
          <w:spacing w:val="-2"/>
          <w:kern w:val="0"/>
          <w:szCs w:val="22"/>
          <w:u w:color="000000"/>
        </w:rPr>
        <w:t xml:space="preserve">The </w:t>
      </w:r>
      <w:r w:rsidR="00067FC2">
        <w:rPr>
          <w:snapToGrid/>
          <w:color w:val="000000"/>
          <w:spacing w:val="-2"/>
          <w:kern w:val="0"/>
          <w:szCs w:val="22"/>
          <w:u w:color="000000"/>
        </w:rPr>
        <w:t>Field Offices have</w:t>
      </w:r>
      <w:r w:rsidR="00627B40">
        <w:rPr>
          <w:snapToGrid/>
          <w:color w:val="000000"/>
          <w:spacing w:val="-2"/>
          <w:kern w:val="0"/>
          <w:szCs w:val="22"/>
          <w:u w:color="000000"/>
        </w:rPr>
        <w:t xml:space="preserve"> also</w:t>
      </w:r>
      <w:r w:rsidR="00067FC2">
        <w:rPr>
          <w:snapToGrid/>
          <w:color w:val="000000"/>
          <w:spacing w:val="-2"/>
          <w:kern w:val="0"/>
          <w:szCs w:val="22"/>
          <w:u w:color="000000"/>
        </w:rPr>
        <w:t xml:space="preserve"> issued NOVs,</w:t>
      </w:r>
      <w:r w:rsidR="00431E04">
        <w:rPr>
          <w:snapToGrid/>
          <w:color w:val="000000"/>
          <w:spacing w:val="-2"/>
          <w:kern w:val="0"/>
          <w:szCs w:val="22"/>
          <w:u w:color="000000"/>
        </w:rPr>
        <w:t xml:space="preserve"> and subsequently </w:t>
      </w:r>
      <w:r w:rsidR="00067FC2">
        <w:rPr>
          <w:snapToGrid/>
          <w:color w:val="000000"/>
          <w:spacing w:val="-2"/>
          <w:kern w:val="0"/>
          <w:szCs w:val="22"/>
          <w:u w:color="000000"/>
        </w:rPr>
        <w:t xml:space="preserve">NALs, </w:t>
      </w:r>
      <w:r w:rsidR="00431E04">
        <w:rPr>
          <w:snapToGrid/>
          <w:color w:val="000000"/>
          <w:spacing w:val="-2"/>
          <w:kern w:val="0"/>
          <w:szCs w:val="22"/>
          <w:u w:color="000000"/>
        </w:rPr>
        <w:t xml:space="preserve">in cases </w:t>
      </w:r>
      <w:r w:rsidR="00067FC2">
        <w:rPr>
          <w:snapToGrid/>
          <w:color w:val="000000"/>
          <w:spacing w:val="-2"/>
          <w:kern w:val="0"/>
          <w:szCs w:val="22"/>
          <w:u w:color="000000"/>
        </w:rPr>
        <w:t>when the violator has engaged in egregious conduct,</w:t>
      </w:r>
      <w:r w:rsidR="00067FC2">
        <w:rPr>
          <w:rStyle w:val="FootnoteReference"/>
          <w:snapToGrid/>
          <w:spacing w:val="-2"/>
          <w:kern w:val="0"/>
          <w:szCs w:val="22"/>
          <w:u w:color="000000"/>
        </w:rPr>
        <w:footnoteReference w:id="42"/>
      </w:r>
      <w:r w:rsidR="00067FC2">
        <w:rPr>
          <w:snapToGrid/>
          <w:color w:val="000000"/>
          <w:spacing w:val="-2"/>
          <w:kern w:val="0"/>
          <w:szCs w:val="22"/>
          <w:u w:color="000000"/>
        </w:rPr>
        <w:t xml:space="preserve"> or failed to correct the violation after the issuance of the NOV,</w:t>
      </w:r>
      <w:r w:rsidR="00067FC2">
        <w:rPr>
          <w:rStyle w:val="FootnoteReference"/>
          <w:snapToGrid/>
          <w:spacing w:val="-2"/>
          <w:kern w:val="0"/>
          <w:szCs w:val="22"/>
          <w:u w:color="000000"/>
        </w:rPr>
        <w:footnoteReference w:id="43"/>
      </w:r>
      <w:r w:rsidR="00067FC2">
        <w:rPr>
          <w:snapToGrid/>
          <w:color w:val="000000"/>
          <w:spacing w:val="-2"/>
          <w:kern w:val="0"/>
          <w:szCs w:val="22"/>
          <w:u w:color="000000"/>
        </w:rPr>
        <w:t xml:space="preserve"> or </w:t>
      </w:r>
      <w:r w:rsidR="00655C18">
        <w:rPr>
          <w:snapToGrid/>
          <w:color w:val="000000"/>
          <w:spacing w:val="-2"/>
          <w:kern w:val="0"/>
          <w:szCs w:val="22"/>
          <w:u w:color="000000"/>
        </w:rPr>
        <w:t>when</w:t>
      </w:r>
      <w:r w:rsidR="00067FC2">
        <w:rPr>
          <w:snapToGrid/>
          <w:color w:val="000000"/>
          <w:spacing w:val="-2"/>
          <w:kern w:val="0"/>
          <w:szCs w:val="22"/>
          <w:u w:color="000000"/>
        </w:rPr>
        <w:t xml:space="preserve"> the violation </w:t>
      </w:r>
      <w:r w:rsidR="00627B40">
        <w:rPr>
          <w:snapToGrid/>
          <w:color w:val="000000"/>
          <w:spacing w:val="-2"/>
          <w:kern w:val="0"/>
          <w:szCs w:val="22"/>
          <w:u w:color="000000"/>
        </w:rPr>
        <w:t>endangered the public.</w:t>
      </w:r>
      <w:r w:rsidR="00627B40">
        <w:rPr>
          <w:rStyle w:val="FootnoteReference"/>
          <w:snapToGrid/>
          <w:spacing w:val="-2"/>
          <w:kern w:val="0"/>
          <w:szCs w:val="22"/>
          <w:u w:color="000000"/>
        </w:rPr>
        <w:footnoteReference w:id="44"/>
      </w:r>
      <w:r w:rsidR="00627B40">
        <w:t xml:space="preserve">  </w:t>
      </w:r>
      <w:r w:rsidR="00477DB9">
        <w:t xml:space="preserve">Given the egregious nature of MRA’s violation, including its failure to correct the violation after the issuance of the NOV, </w:t>
      </w:r>
      <w:r w:rsidR="00431E04">
        <w:t xml:space="preserve">in apparent disregard for the Commission’s authority, </w:t>
      </w:r>
      <w:r w:rsidR="00477DB9">
        <w:t>we find that it was not subject to a more stringent rule or process than other violators.</w:t>
      </w:r>
    </w:p>
    <w:p w14:paraId="10E2C4D3" w14:textId="6CE6484D" w:rsidR="007712C8" w:rsidRDefault="00627B40" w:rsidP="00627B40">
      <w:pPr>
        <w:pStyle w:val="ParaNum"/>
        <w:widowControl/>
        <w:numPr>
          <w:ilvl w:val="0"/>
          <w:numId w:val="6"/>
        </w:numPr>
        <w:ind w:left="0" w:firstLine="720"/>
      </w:pPr>
      <w:r w:rsidRPr="00627B40">
        <w:rPr>
          <w:snapToGrid/>
          <w:color w:val="000000"/>
          <w:spacing w:val="-2"/>
          <w:kern w:val="0"/>
          <w:szCs w:val="22"/>
          <w:u w:color="000000"/>
        </w:rPr>
        <w:t>The Commission has prosecutorial discretion to issue sanctions where appropriate</w:t>
      </w:r>
      <w:r w:rsidRPr="005A4B5B">
        <w:rPr>
          <w:iCs/>
          <w:snapToGrid/>
          <w:color w:val="000000"/>
          <w:spacing w:val="-2"/>
          <w:kern w:val="0"/>
          <w:szCs w:val="22"/>
          <w:u w:color="000000"/>
          <w:vertAlign w:val="superscript"/>
        </w:rPr>
        <w:footnoteReference w:id="45"/>
      </w:r>
      <w:r w:rsidRPr="00627B40">
        <w:rPr>
          <w:snapToGrid/>
          <w:color w:val="000000"/>
          <w:spacing w:val="-2"/>
          <w:kern w:val="0"/>
          <w:szCs w:val="22"/>
          <w:u w:color="000000"/>
        </w:rPr>
        <w:t xml:space="preserve"> and has </w:t>
      </w:r>
      <w:r w:rsidR="007712C8">
        <w:t>broad discretion to consider a variety of factors in determining a forfeiture amount, if warranted, when faced with a violation of its rules</w:t>
      </w:r>
      <w:r w:rsidR="000B67E4">
        <w:t>.</w:t>
      </w:r>
      <w:r w:rsidR="000B67E4" w:rsidRPr="000B67E4">
        <w:rPr>
          <w:vertAlign w:val="superscript"/>
        </w:rPr>
        <w:footnoteReference w:id="46"/>
      </w:r>
      <w:r w:rsidR="007712C8">
        <w:t xml:space="preserve">  </w:t>
      </w:r>
      <w:r>
        <w:t>E</w:t>
      </w:r>
      <w:r w:rsidR="007712C8">
        <w:t xml:space="preserve">gregiousness </w:t>
      </w:r>
      <w:r>
        <w:t xml:space="preserve">as well as the duration of the violation are two of the </w:t>
      </w:r>
      <w:r w:rsidR="007712C8">
        <w:t>fac</w:t>
      </w:r>
      <w:r w:rsidR="000B67E4">
        <w:t>tors under Section 1.80 of the R</w:t>
      </w:r>
      <w:r w:rsidR="007712C8">
        <w:t>ules that must be considered when determining the degree of a sanction.</w:t>
      </w:r>
      <w:r w:rsidR="007712C8">
        <w:rPr>
          <w:rStyle w:val="FootnoteReference"/>
        </w:rPr>
        <w:footnoteReference w:id="47"/>
      </w:r>
      <w:r w:rsidR="00F8159A">
        <w:t xml:space="preserve"> </w:t>
      </w:r>
      <w:r>
        <w:t xml:space="preserve"> </w:t>
      </w:r>
      <w:r w:rsidR="007712C8">
        <w:t xml:space="preserve">With respect to </w:t>
      </w:r>
      <w:r w:rsidR="00322FA5">
        <w:t xml:space="preserve">MRA’s violations, as explained above and in the </w:t>
      </w:r>
      <w:r w:rsidR="00322FA5" w:rsidRPr="00627B40">
        <w:rPr>
          <w:i/>
        </w:rPr>
        <w:t>NAL</w:t>
      </w:r>
      <w:r w:rsidR="00322FA5">
        <w:t>,</w:t>
      </w:r>
      <w:r w:rsidR="00322FA5">
        <w:rPr>
          <w:rStyle w:val="FootnoteReference"/>
        </w:rPr>
        <w:footnoteReference w:id="48"/>
      </w:r>
      <w:r w:rsidR="00322FA5">
        <w:t xml:space="preserve"> MRA received a NOV on March 20, 2013, notifying it that its operation of the Station was violating Section 90.403(e) of the Rules</w:t>
      </w:r>
      <w:r w:rsidR="000C620E">
        <w:t xml:space="preserve"> and interfering with a co-channel licensee</w:t>
      </w:r>
      <w:r w:rsidR="00322FA5">
        <w:t xml:space="preserve">.  Throughout the next two years, MRA continued to operate its station </w:t>
      </w:r>
      <w:r w:rsidR="00A47A11">
        <w:t xml:space="preserve">in a manner that continued to cause </w:t>
      </w:r>
      <w:r w:rsidR="00322FA5">
        <w:t xml:space="preserve">interference </w:t>
      </w:r>
      <w:r w:rsidR="00A47A11">
        <w:t>to</w:t>
      </w:r>
      <w:r w:rsidR="00322FA5">
        <w:t xml:space="preserve"> co-channel licensees.  On </w:t>
      </w:r>
      <w:r w:rsidR="00151B9E">
        <w:t>June 4 and</w:t>
      </w:r>
      <w:r w:rsidR="0067365E">
        <w:t xml:space="preserve"> </w:t>
      </w:r>
      <w:r w:rsidR="00151B9E">
        <w:t xml:space="preserve">June 8, 2015, Los </w:t>
      </w:r>
      <w:r w:rsidR="0067365E">
        <w:t>A</w:t>
      </w:r>
      <w:r w:rsidR="00151B9E">
        <w:t xml:space="preserve">ngeles agents monitored </w:t>
      </w:r>
      <w:r w:rsidR="00946F46">
        <w:t xml:space="preserve">and observed </w:t>
      </w:r>
      <w:r w:rsidR="00151B9E">
        <w:t xml:space="preserve">the </w:t>
      </w:r>
      <w:r w:rsidR="00946F46">
        <w:t xml:space="preserve">harmful </w:t>
      </w:r>
      <w:r w:rsidR="00151B9E">
        <w:t xml:space="preserve">interference being caused by MRA to a co-channel licensee.  Given </w:t>
      </w:r>
      <w:r w:rsidR="0067365E">
        <w:t xml:space="preserve">the </w:t>
      </w:r>
      <w:r w:rsidR="00151B9E">
        <w:t>egr</w:t>
      </w:r>
      <w:r w:rsidR="0067365E">
        <w:t>eg</w:t>
      </w:r>
      <w:r w:rsidR="00151B9E">
        <w:t>iousness of MRA’s violation</w:t>
      </w:r>
      <w:r w:rsidR="000C620E">
        <w:t>s</w:t>
      </w:r>
      <w:r w:rsidR="00151B9E">
        <w:t xml:space="preserve">, the forfeiture proposed for its operation of the </w:t>
      </w:r>
      <w:r w:rsidR="000C620E">
        <w:t>S</w:t>
      </w:r>
      <w:r w:rsidR="00151B9E">
        <w:t xml:space="preserve">tation </w:t>
      </w:r>
      <w:r w:rsidR="00946F46">
        <w:t>is</w:t>
      </w:r>
      <w:r w:rsidR="00C87A1D">
        <w:t xml:space="preserve"> appropriate.</w:t>
      </w:r>
      <w:r w:rsidR="00151B9E">
        <w:t xml:space="preserve"> </w:t>
      </w:r>
    </w:p>
    <w:p w14:paraId="66A59F14" w14:textId="77777777" w:rsidR="00CA0B47" w:rsidRPr="00344C0B" w:rsidRDefault="00CA0B47" w:rsidP="00A16480">
      <w:pPr>
        <w:pStyle w:val="Heading1"/>
        <w:widowControl/>
      </w:pPr>
      <w:r w:rsidRPr="00344C0B">
        <w:t>CONCLUSION</w:t>
      </w:r>
    </w:p>
    <w:p w14:paraId="7AD4A697" w14:textId="485F2363" w:rsidR="00CA0B47" w:rsidRPr="00A020A9" w:rsidRDefault="0069722D" w:rsidP="00A16480">
      <w:pPr>
        <w:pStyle w:val="ParaNum"/>
        <w:widowControl/>
        <w:numPr>
          <w:ilvl w:val="0"/>
          <w:numId w:val="6"/>
        </w:numPr>
        <w:ind w:left="0" w:firstLine="720"/>
      </w:pPr>
      <w:r>
        <w:t xml:space="preserve">Having </w:t>
      </w:r>
      <w:r w:rsidRPr="00CA0B47">
        <w:rPr>
          <w:szCs w:val="22"/>
        </w:rPr>
        <w:t xml:space="preserve">considered </w:t>
      </w:r>
      <w:r w:rsidR="000C620E">
        <w:rPr>
          <w:szCs w:val="22"/>
        </w:rPr>
        <w:t>MRA</w:t>
      </w:r>
      <w:r w:rsidR="00CA0B47" w:rsidRPr="00CA0B47">
        <w:rPr>
          <w:szCs w:val="22"/>
        </w:rPr>
        <w:t>’s</w:t>
      </w:r>
      <w:r w:rsidRPr="00CA0B47">
        <w:rPr>
          <w:szCs w:val="22"/>
        </w:rPr>
        <w:t xml:space="preserve"> response to the </w:t>
      </w:r>
      <w:r w:rsidRPr="00CA0B47">
        <w:rPr>
          <w:i/>
          <w:szCs w:val="22"/>
        </w:rPr>
        <w:t>NAL</w:t>
      </w:r>
      <w:r w:rsidRPr="00CA0B47">
        <w:rPr>
          <w:szCs w:val="22"/>
        </w:rPr>
        <w:t xml:space="preserve"> in light of the applicable statutory factors, the Rules, and the </w:t>
      </w:r>
      <w:r w:rsidRPr="00CA0B47">
        <w:rPr>
          <w:i/>
          <w:szCs w:val="22"/>
        </w:rPr>
        <w:t>Forfeiture Policy Statement</w:t>
      </w:r>
      <w:r w:rsidRPr="00CA0B47">
        <w:rPr>
          <w:szCs w:val="22"/>
        </w:rPr>
        <w:t xml:space="preserve">, we find that </w:t>
      </w:r>
      <w:r w:rsidR="0067365E">
        <w:rPr>
          <w:szCs w:val="22"/>
        </w:rPr>
        <w:t xml:space="preserve">MRA </w:t>
      </w:r>
      <w:r w:rsidRPr="00CA0B47">
        <w:rPr>
          <w:szCs w:val="22"/>
        </w:rPr>
        <w:t xml:space="preserve">willfully </w:t>
      </w:r>
      <w:r w:rsidR="00CA0B47" w:rsidRPr="00CA0B47">
        <w:rPr>
          <w:szCs w:val="22"/>
        </w:rPr>
        <w:t xml:space="preserve">and repeatedly </w:t>
      </w:r>
      <w:r w:rsidRPr="00CA0B47">
        <w:rPr>
          <w:szCs w:val="22"/>
        </w:rPr>
        <w:t xml:space="preserve">violated </w:t>
      </w:r>
      <w:r w:rsidR="0067365E">
        <w:rPr>
          <w:szCs w:val="22"/>
        </w:rPr>
        <w:t xml:space="preserve">Sections </w:t>
      </w:r>
      <w:r w:rsidR="00CA0B47" w:rsidRPr="00CA0B47">
        <w:rPr>
          <w:snapToGrid/>
          <w:color w:val="000000"/>
          <w:spacing w:val="-2"/>
          <w:kern w:val="0"/>
          <w:szCs w:val="22"/>
          <w:u w:color="000000"/>
        </w:rPr>
        <w:t xml:space="preserve">90.403(e) </w:t>
      </w:r>
      <w:r w:rsidR="0067365E">
        <w:rPr>
          <w:snapToGrid/>
          <w:color w:val="000000"/>
          <w:spacing w:val="-2"/>
          <w:kern w:val="0"/>
          <w:szCs w:val="22"/>
          <w:u w:color="000000"/>
        </w:rPr>
        <w:t xml:space="preserve">and 90.187(b) </w:t>
      </w:r>
      <w:r w:rsidR="00CA0B47" w:rsidRPr="00CA0B47">
        <w:rPr>
          <w:snapToGrid/>
          <w:color w:val="000000"/>
          <w:spacing w:val="-2"/>
          <w:kern w:val="0"/>
          <w:szCs w:val="22"/>
          <w:u w:color="000000"/>
        </w:rPr>
        <w:t>of the Rules,</w:t>
      </w:r>
      <w:r w:rsidR="00CA0B47" w:rsidRPr="00A85686">
        <w:rPr>
          <w:snapToGrid/>
          <w:color w:val="000000"/>
          <w:spacing w:val="-2"/>
          <w:kern w:val="0"/>
          <w:szCs w:val="22"/>
          <w:u w:color="000000"/>
          <w:vertAlign w:val="superscript"/>
        </w:rPr>
        <w:footnoteReference w:id="49"/>
      </w:r>
      <w:r w:rsidR="00CA0B47" w:rsidRPr="00CA0B47">
        <w:rPr>
          <w:snapToGrid/>
          <w:color w:val="000000"/>
          <w:spacing w:val="-2"/>
          <w:kern w:val="0"/>
          <w:szCs w:val="22"/>
          <w:u w:color="000000"/>
        </w:rPr>
        <w:t xml:space="preserve"> by </w:t>
      </w:r>
      <w:r w:rsidR="0067365E" w:rsidRPr="0067365E">
        <w:rPr>
          <w:snapToGrid/>
          <w:color w:val="000000"/>
          <w:spacing w:val="-2"/>
          <w:kern w:val="0"/>
          <w:szCs w:val="22"/>
          <w:u w:color="000000"/>
        </w:rPr>
        <w:t xml:space="preserve">failing to monitor and take other precautions to avoid causing harmful interference to another licensed station operating on a shared frequency in the Los Angeles area.  </w:t>
      </w:r>
      <w:r w:rsidR="00CA0B47" w:rsidRPr="0007571D">
        <w:t>We decline to cancel or reduce the</w:t>
      </w:r>
      <w:r w:rsidR="00CA0B47">
        <w:t xml:space="preserve"> </w:t>
      </w:r>
      <w:r w:rsidR="00CA0B47" w:rsidRPr="0007571D">
        <w:t>$</w:t>
      </w:r>
      <w:r w:rsidR="0067365E">
        <w:t>25</w:t>
      </w:r>
      <w:r w:rsidR="00CA0B47">
        <w:t>,000</w:t>
      </w:r>
      <w:r w:rsidR="00CA0B47" w:rsidRPr="00A020A9">
        <w:t xml:space="preserve"> </w:t>
      </w:r>
      <w:r w:rsidR="00CA0B47">
        <w:t xml:space="preserve">forfeiture </w:t>
      </w:r>
      <w:r w:rsidR="00CA0B47" w:rsidRPr="00A020A9">
        <w:t xml:space="preserve">proposed in the </w:t>
      </w:r>
      <w:r w:rsidR="00CA0B47" w:rsidRPr="00CA0B47">
        <w:rPr>
          <w:i/>
        </w:rPr>
        <w:t>NAL</w:t>
      </w:r>
      <w:r w:rsidR="00CA0B47" w:rsidRPr="00A020A9">
        <w:t xml:space="preserve">. </w:t>
      </w:r>
    </w:p>
    <w:p w14:paraId="4B07F760" w14:textId="77777777" w:rsidR="0069722D" w:rsidRDefault="0069722D" w:rsidP="00A16480">
      <w:pPr>
        <w:pStyle w:val="Heading1"/>
        <w:widowControl/>
      </w:pPr>
      <w:r>
        <w:t>ORDERING CLAUSES</w:t>
      </w:r>
    </w:p>
    <w:p w14:paraId="0BA9F5EB" w14:textId="15E792BA" w:rsidR="0069722D" w:rsidRPr="00EE0E5D" w:rsidRDefault="0069722D" w:rsidP="00A16480">
      <w:pPr>
        <w:pStyle w:val="ParaNum"/>
        <w:widowControl/>
        <w:numPr>
          <w:ilvl w:val="0"/>
          <w:numId w:val="6"/>
        </w:numPr>
        <w:ind w:left="0" w:firstLine="720"/>
      </w:pPr>
      <w:r>
        <w:rPr>
          <w:szCs w:val="22"/>
        </w:rPr>
        <w:t xml:space="preserve">Accordingly, </w:t>
      </w:r>
      <w:r w:rsidRPr="001F7EE0">
        <w:rPr>
          <w:b/>
          <w:szCs w:val="22"/>
        </w:rPr>
        <w:t>IT IS ORDERED</w:t>
      </w:r>
      <w:r w:rsidRPr="001F7EE0">
        <w:rPr>
          <w:szCs w:val="22"/>
        </w:rPr>
        <w:t xml:space="preserve"> that, pursuant to Section 503(b) of the </w:t>
      </w:r>
      <w:r>
        <w:rPr>
          <w:szCs w:val="22"/>
        </w:rPr>
        <w:t>C</w:t>
      </w:r>
      <w:r w:rsidRPr="001F7EE0">
        <w:rPr>
          <w:szCs w:val="22"/>
        </w:rPr>
        <w:t>ommunications Act of 1934, as amended, and Sections 0.111, 0.311 and 1.80 of the Commission’s rules,</w:t>
      </w:r>
      <w:r w:rsidRPr="001F7EE0">
        <w:rPr>
          <w:rStyle w:val="FootnoteReference"/>
          <w:szCs w:val="22"/>
        </w:rPr>
        <w:footnoteReference w:id="50"/>
      </w:r>
      <w:r w:rsidRPr="001F7EE0">
        <w:rPr>
          <w:szCs w:val="22"/>
        </w:rPr>
        <w:t xml:space="preserve"> </w:t>
      </w:r>
      <w:r w:rsidR="0067365E">
        <w:rPr>
          <w:szCs w:val="22"/>
        </w:rPr>
        <w:t>Mobile Relay Associates</w:t>
      </w:r>
      <w:r w:rsidR="00CA0B47">
        <w:t xml:space="preserve"> </w:t>
      </w:r>
      <w:r w:rsidRPr="001F7EE0">
        <w:rPr>
          <w:b/>
          <w:szCs w:val="22"/>
        </w:rPr>
        <w:t>IS LIABLE FOR A MONETARY FORFEITURE</w:t>
      </w:r>
      <w:r w:rsidRPr="001F7EE0">
        <w:rPr>
          <w:szCs w:val="22"/>
        </w:rPr>
        <w:t xml:space="preserve"> in the amount of </w:t>
      </w:r>
      <w:r w:rsidR="0067365E">
        <w:rPr>
          <w:szCs w:val="22"/>
        </w:rPr>
        <w:t>twenty-five</w:t>
      </w:r>
      <w:r>
        <w:rPr>
          <w:szCs w:val="22"/>
        </w:rPr>
        <w:t xml:space="preserve"> thousand dollars ($</w:t>
      </w:r>
      <w:r w:rsidR="0067365E">
        <w:rPr>
          <w:szCs w:val="22"/>
        </w:rPr>
        <w:t>25</w:t>
      </w:r>
      <w:r w:rsidRPr="001F7EE0">
        <w:rPr>
          <w:szCs w:val="22"/>
        </w:rPr>
        <w:t xml:space="preserve">,000) for willful </w:t>
      </w:r>
      <w:r w:rsidR="006927BF">
        <w:rPr>
          <w:szCs w:val="22"/>
        </w:rPr>
        <w:t xml:space="preserve">and repeated </w:t>
      </w:r>
      <w:r w:rsidRPr="001F7EE0">
        <w:rPr>
          <w:szCs w:val="22"/>
        </w:rPr>
        <w:t>violation of Section</w:t>
      </w:r>
      <w:r w:rsidR="00CA0B47">
        <w:rPr>
          <w:szCs w:val="22"/>
        </w:rPr>
        <w:t>s 90.403(e)</w:t>
      </w:r>
      <w:r w:rsidRPr="001F7EE0">
        <w:rPr>
          <w:szCs w:val="22"/>
        </w:rPr>
        <w:t xml:space="preserve"> </w:t>
      </w:r>
      <w:r w:rsidR="0067365E">
        <w:rPr>
          <w:szCs w:val="22"/>
        </w:rPr>
        <w:t xml:space="preserve">and 90.187(b) </w:t>
      </w:r>
      <w:r w:rsidRPr="001F7EE0">
        <w:rPr>
          <w:szCs w:val="22"/>
        </w:rPr>
        <w:t>of the Commission’s rules</w:t>
      </w:r>
      <w:r>
        <w:rPr>
          <w:szCs w:val="22"/>
        </w:rPr>
        <w:t>.</w:t>
      </w:r>
      <w:r w:rsidRPr="001F7EE0">
        <w:rPr>
          <w:rStyle w:val="FootnoteReference"/>
          <w:szCs w:val="22"/>
        </w:rPr>
        <w:footnoteReference w:id="51"/>
      </w:r>
    </w:p>
    <w:p w14:paraId="124BFC42" w14:textId="77777777" w:rsidR="00CA0B47" w:rsidRPr="00344C0B" w:rsidRDefault="00CA0B47" w:rsidP="00A16480">
      <w:pPr>
        <w:pStyle w:val="ParaNum"/>
        <w:widowControl/>
        <w:numPr>
          <w:ilvl w:val="0"/>
          <w:numId w:val="6"/>
        </w:numPr>
        <w:ind w:left="0" w:firstLine="720"/>
      </w:pPr>
      <w:r w:rsidRPr="00344C0B">
        <w:t xml:space="preserve">Payment of the forfeiture shall be made in the manner provided for in Section 1.80 of the Rules within </w:t>
      </w:r>
      <w:r>
        <w:t>thirty (30</w:t>
      </w:r>
      <w:r w:rsidRPr="00344C0B">
        <w:t>) calendar days after the release of this Forfeiture Order.</w:t>
      </w:r>
      <w:r w:rsidRPr="0007571D">
        <w:rPr>
          <w:rStyle w:val="FootnoteReference"/>
        </w:rPr>
        <w:footnoteReference w:id="52"/>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53"/>
      </w:r>
      <w:r w:rsidRPr="0007571D">
        <w:t xml:space="preserve">  </w:t>
      </w:r>
    </w:p>
    <w:p w14:paraId="0819392F" w14:textId="77777777" w:rsidR="00CA0B47" w:rsidRPr="00344C0B" w:rsidRDefault="00CA0B47" w:rsidP="00A16480">
      <w:pPr>
        <w:pStyle w:val="ParaNum"/>
        <w:widowControl/>
        <w:numPr>
          <w:ilvl w:val="0"/>
          <w:numId w:val="6"/>
        </w:numPr>
        <w:ind w:left="0" w:firstLine="720"/>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67365E">
        <w:rPr>
          <w:szCs w:val="22"/>
        </w:rPr>
        <w:t>Mobile Relay A</w:t>
      </w:r>
      <w:r w:rsidR="00946F46">
        <w:rPr>
          <w:szCs w:val="22"/>
        </w:rPr>
        <w:t>s</w:t>
      </w:r>
      <w:r w:rsidR="0067365E">
        <w:rPr>
          <w:szCs w:val="22"/>
        </w:rPr>
        <w:t>sociates</w:t>
      </w:r>
      <w:r w:rsidRPr="006D73F2">
        <w:rPr>
          <w:szCs w:val="22"/>
        </w:rPr>
        <w:t xml:space="preserve"> shall send electronic notification </w:t>
      </w:r>
      <w:r>
        <w:rPr>
          <w:szCs w:val="22"/>
        </w:rPr>
        <w:t xml:space="preserve">of </w:t>
      </w:r>
      <w:r w:rsidRPr="006D73F2">
        <w:rPr>
          <w:szCs w:val="22"/>
        </w:rPr>
        <w:t>payment to</w:t>
      </w:r>
      <w:r>
        <w:rPr>
          <w:szCs w:val="22"/>
        </w:rPr>
        <w:t xml:space="preserve"> WR-Response@fcc.gov</w:t>
      </w:r>
      <w:r w:rsidRPr="006D73F2">
        <w:rPr>
          <w:szCs w:val="22"/>
        </w:rPr>
        <w:t xml:space="preserve"> on the date said payment is made.</w:t>
      </w:r>
      <w:r>
        <w:rPr>
          <w:szCs w:val="22"/>
        </w:rPr>
        <w:t xml:space="preserve">  </w:t>
      </w:r>
      <w:r w:rsidRPr="00344C0B">
        <w:t>Regardless of the form of payment, a completed FCC Form 159 (Remittance Advice) must be submitted.</w:t>
      </w:r>
      <w:r w:rsidRPr="0007571D">
        <w:rPr>
          <w:rStyle w:val="FootnoteReference"/>
        </w:rPr>
        <w:footnoteReference w:id="54"/>
      </w:r>
      <w:r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4AB3854F" w14:textId="77777777" w:rsidR="00CA0B47" w:rsidRPr="00344C0B" w:rsidRDefault="00CA0B47" w:rsidP="00A16480">
      <w:pPr>
        <w:pStyle w:val="par1"/>
        <w:widowControl/>
        <w:numPr>
          <w:ilvl w:val="0"/>
          <w:numId w:val="4"/>
        </w:numPr>
        <w:tabs>
          <w:tab w:val="clear" w:pos="1440"/>
        </w:tabs>
        <w:spacing w:after="120"/>
        <w:ind w:left="144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640DFB3E" w14:textId="77777777" w:rsidR="00CA0B47" w:rsidRPr="00344C0B" w:rsidRDefault="00CA0B47" w:rsidP="00A16480">
      <w:pPr>
        <w:pStyle w:val="par1"/>
        <w:widowControl/>
        <w:numPr>
          <w:ilvl w:val="0"/>
          <w:numId w:val="4"/>
        </w:numPr>
        <w:tabs>
          <w:tab w:val="clear" w:pos="1440"/>
        </w:tabs>
        <w:spacing w:after="120"/>
        <w:ind w:left="1440"/>
        <w:rPr>
          <w:sz w:val="22"/>
        </w:rPr>
      </w:pPr>
      <w:r w:rsidRPr="00344C0B">
        <w:rPr>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076C67AC" w14:textId="77777777" w:rsidR="00CA0B47" w:rsidRPr="00344C0B" w:rsidRDefault="00CA0B47" w:rsidP="00A16480">
      <w:pPr>
        <w:pStyle w:val="par1"/>
        <w:widowControl/>
        <w:numPr>
          <w:ilvl w:val="0"/>
          <w:numId w:val="4"/>
        </w:numPr>
        <w:tabs>
          <w:tab w:val="clear" w:pos="1440"/>
        </w:tabs>
        <w:spacing w:after="120"/>
        <w:ind w:left="1440"/>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4D1E568" w14:textId="77777777" w:rsidR="005973C9" w:rsidRPr="00816F70" w:rsidRDefault="00CA0B47" w:rsidP="00A16480">
      <w:pPr>
        <w:pStyle w:val="ParaNum"/>
        <w:widowControl/>
        <w:numPr>
          <w:ilvl w:val="0"/>
          <w:numId w:val="6"/>
        </w:numPr>
        <w:ind w:left="0" w:firstLine="720"/>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55"/>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005973C9" w:rsidRPr="004D7C0F">
        <w:t>ARINQUIRIES@fcc.gov</w:t>
      </w:r>
      <w:r w:rsidRPr="00373669">
        <w:t>.</w:t>
      </w:r>
    </w:p>
    <w:p w14:paraId="635AC243" w14:textId="77777777" w:rsidR="00CA0B47" w:rsidRPr="00114734" w:rsidRDefault="00CA0B47" w:rsidP="00A16480">
      <w:pPr>
        <w:pStyle w:val="ParaNum"/>
        <w:widowControl/>
        <w:numPr>
          <w:ilvl w:val="0"/>
          <w:numId w:val="6"/>
        </w:numPr>
        <w:ind w:left="0" w:firstLine="720"/>
      </w:pPr>
      <w:r w:rsidRPr="00565F66">
        <w:rPr>
          <w:b/>
        </w:rPr>
        <w:t>IT IS FURTHER ORDERED</w:t>
      </w:r>
      <w:r w:rsidRPr="00344C0B">
        <w:t xml:space="preserve"> that a copy of this Forfeiture Order </w:t>
      </w:r>
      <w:r w:rsidRPr="004749BE">
        <w:t xml:space="preserve">shall be sent by first class mail and certified mail, return receipt requested, to </w:t>
      </w:r>
      <w:r w:rsidR="00946F46" w:rsidRPr="00946F46">
        <w:t xml:space="preserve">Mobile Relay Associates, P.O. Box 19, Paramount, CA 90723-0019, and to its counsel, David J. Kaufman, Esquire, Rini O’Neil, PC, 1200 New Hampshire Ave. NW, Suite 800, Washington, DC 20036.  </w:t>
      </w:r>
      <w:r w:rsidR="00114734" w:rsidRPr="00565F66">
        <w:rPr>
          <w:b/>
          <w:snapToGrid/>
          <w:color w:val="000000"/>
          <w:spacing w:val="-2"/>
          <w:kern w:val="0"/>
          <w:szCs w:val="22"/>
          <w:u w:color="000000"/>
        </w:rPr>
        <w:t xml:space="preserve"> </w:t>
      </w:r>
    </w:p>
    <w:p w14:paraId="2BDB6B5E" w14:textId="77777777" w:rsidR="00114734" w:rsidRPr="00344C0B" w:rsidRDefault="00114734" w:rsidP="00A16480">
      <w:pPr>
        <w:widowControl/>
        <w:tabs>
          <w:tab w:val="left" w:pos="0"/>
        </w:tabs>
        <w:suppressAutoHyphens/>
        <w:autoSpaceDE w:val="0"/>
        <w:autoSpaceDN w:val="0"/>
        <w:adjustRightInd w:val="0"/>
        <w:spacing w:line="240" w:lineRule="atLeast"/>
        <w:ind w:left="720"/>
      </w:pPr>
    </w:p>
    <w:p w14:paraId="1BB2C5A0" w14:textId="77777777" w:rsidR="00CA0B47" w:rsidRPr="00344C0B" w:rsidRDefault="00CA0B47" w:rsidP="00A16480">
      <w:pPr>
        <w:widowControl/>
      </w:pPr>
    </w:p>
    <w:p w14:paraId="345441C0" w14:textId="77777777" w:rsidR="00CA0B47" w:rsidRPr="00344C0B" w:rsidRDefault="00CA0B47" w:rsidP="00A16480">
      <w:pPr>
        <w:widowControl/>
        <w:ind w:left="4410"/>
      </w:pPr>
      <w:r w:rsidRPr="00344C0B">
        <w:t>FEDERAL COMMUNICATIONS COMMISSION</w:t>
      </w:r>
    </w:p>
    <w:p w14:paraId="1F6B2630" w14:textId="77777777" w:rsidR="00CA0B47" w:rsidRPr="00344C0B" w:rsidRDefault="00CA0B47" w:rsidP="00A16480">
      <w:pPr>
        <w:widowControl/>
        <w:ind w:left="4410"/>
      </w:pPr>
    </w:p>
    <w:p w14:paraId="6CA4C531" w14:textId="77777777" w:rsidR="00CA0B47" w:rsidRPr="00344C0B" w:rsidRDefault="00CA0B47" w:rsidP="00A16480">
      <w:pPr>
        <w:widowControl/>
        <w:ind w:left="4410"/>
      </w:pPr>
    </w:p>
    <w:p w14:paraId="082DED21" w14:textId="77777777" w:rsidR="00CA0B47" w:rsidRPr="00344C0B" w:rsidRDefault="00CA0B47" w:rsidP="00A16480">
      <w:pPr>
        <w:widowControl/>
        <w:ind w:left="4410"/>
      </w:pPr>
    </w:p>
    <w:p w14:paraId="64EEB612" w14:textId="77777777" w:rsidR="00CA0B47" w:rsidRPr="00344C0B" w:rsidRDefault="00CA0B47" w:rsidP="00A16480">
      <w:pPr>
        <w:widowControl/>
        <w:ind w:left="4410"/>
      </w:pPr>
    </w:p>
    <w:p w14:paraId="34CBBB63" w14:textId="77777777" w:rsidR="00CA0B47" w:rsidRDefault="00114734" w:rsidP="00A16480">
      <w:pPr>
        <w:widowControl/>
        <w:ind w:left="4410"/>
        <w:rPr>
          <w:szCs w:val="22"/>
        </w:rPr>
      </w:pPr>
      <w:r>
        <w:rPr>
          <w:szCs w:val="22"/>
        </w:rPr>
        <w:t>Rebecca L. Dorch</w:t>
      </w:r>
    </w:p>
    <w:p w14:paraId="06E09F8F" w14:textId="77777777" w:rsidR="00A151BD" w:rsidRDefault="00114734" w:rsidP="00A16480">
      <w:pPr>
        <w:widowControl/>
        <w:ind w:left="4410"/>
        <w:rPr>
          <w:szCs w:val="22"/>
        </w:rPr>
      </w:pPr>
      <w:r>
        <w:rPr>
          <w:szCs w:val="22"/>
        </w:rPr>
        <w:t>Region</w:t>
      </w:r>
      <w:r w:rsidR="00145D22">
        <w:rPr>
          <w:szCs w:val="22"/>
        </w:rPr>
        <w:t>al</w:t>
      </w:r>
      <w:r>
        <w:rPr>
          <w:szCs w:val="22"/>
        </w:rPr>
        <w:t xml:space="preserve"> Director</w:t>
      </w:r>
    </w:p>
    <w:p w14:paraId="7255D536" w14:textId="77777777" w:rsidR="00114734" w:rsidRDefault="00114734" w:rsidP="00A16480">
      <w:pPr>
        <w:widowControl/>
        <w:ind w:left="4410"/>
        <w:rPr>
          <w:szCs w:val="22"/>
        </w:rPr>
      </w:pPr>
      <w:r>
        <w:rPr>
          <w:szCs w:val="22"/>
        </w:rPr>
        <w:t>Western Region</w:t>
      </w:r>
    </w:p>
    <w:p w14:paraId="61E17585" w14:textId="77777777" w:rsidR="00114734" w:rsidRDefault="00114734" w:rsidP="00A16480">
      <w:pPr>
        <w:widowControl/>
        <w:ind w:left="4410"/>
        <w:rPr>
          <w:szCs w:val="22"/>
        </w:rPr>
      </w:pPr>
      <w:r>
        <w:rPr>
          <w:szCs w:val="22"/>
        </w:rPr>
        <w:t>Enforcement Bureau</w:t>
      </w:r>
    </w:p>
    <w:p w14:paraId="216667BA" w14:textId="77777777" w:rsidR="007B75C8" w:rsidRDefault="007B75C8" w:rsidP="00A16480">
      <w:pPr>
        <w:widowControl/>
        <w:ind w:left="4410"/>
        <w:rPr>
          <w:szCs w:val="22"/>
        </w:rPr>
      </w:pPr>
    </w:p>
    <w:p w14:paraId="70A6206F" w14:textId="77777777" w:rsidR="007B75C8" w:rsidRDefault="007B75C8" w:rsidP="00A16480">
      <w:pPr>
        <w:widowControl/>
        <w:ind w:left="4410"/>
        <w:rPr>
          <w:szCs w:val="22"/>
        </w:rPr>
      </w:pPr>
    </w:p>
    <w:p w14:paraId="303748AC" w14:textId="77777777" w:rsidR="007B75C8" w:rsidRDefault="007B75C8" w:rsidP="00A16480">
      <w:pPr>
        <w:widowControl/>
        <w:ind w:left="4410"/>
        <w:rPr>
          <w:szCs w:val="22"/>
        </w:rPr>
      </w:pPr>
    </w:p>
    <w:p w14:paraId="53EBBC2F" w14:textId="77777777" w:rsidR="007B75C8" w:rsidRDefault="007B75C8" w:rsidP="00A16480">
      <w:pPr>
        <w:widowControl/>
        <w:ind w:left="4410"/>
        <w:rPr>
          <w:szCs w:val="22"/>
        </w:rPr>
      </w:pPr>
    </w:p>
    <w:p w14:paraId="159F3EC7" w14:textId="77777777" w:rsidR="007B75C8" w:rsidRDefault="007B75C8" w:rsidP="00A16480">
      <w:pPr>
        <w:widowControl/>
        <w:ind w:left="4410"/>
        <w:rPr>
          <w:szCs w:val="22"/>
        </w:rPr>
      </w:pPr>
    </w:p>
    <w:p w14:paraId="19381AC2" w14:textId="77777777" w:rsidR="007B75C8" w:rsidRDefault="007B75C8" w:rsidP="00A16480">
      <w:pPr>
        <w:widowControl/>
        <w:ind w:left="4410"/>
        <w:rPr>
          <w:szCs w:val="22"/>
        </w:rPr>
      </w:pPr>
    </w:p>
    <w:p w14:paraId="18673C60" w14:textId="77777777" w:rsidR="007B75C8" w:rsidRDefault="007B75C8" w:rsidP="00A16480">
      <w:pPr>
        <w:widowControl/>
        <w:ind w:left="4410"/>
        <w:rPr>
          <w:szCs w:val="22"/>
        </w:rPr>
      </w:pPr>
    </w:p>
    <w:p w14:paraId="4B83F5AF" w14:textId="77777777" w:rsidR="007B75C8" w:rsidRDefault="007B75C8" w:rsidP="00A16480">
      <w:pPr>
        <w:widowControl/>
        <w:ind w:left="4410"/>
        <w:rPr>
          <w:szCs w:val="22"/>
        </w:rPr>
      </w:pPr>
    </w:p>
    <w:p w14:paraId="20750701" w14:textId="77777777" w:rsidR="007B75C8" w:rsidRDefault="007B75C8" w:rsidP="00A16480">
      <w:pPr>
        <w:widowControl/>
        <w:ind w:left="4410"/>
        <w:rPr>
          <w:szCs w:val="22"/>
        </w:rPr>
      </w:pPr>
    </w:p>
    <w:sectPr w:rsidR="007B75C8"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C4DD" w14:textId="77777777" w:rsidR="00CB6ECE" w:rsidRDefault="00CB6ECE">
      <w:pPr>
        <w:spacing w:line="20" w:lineRule="exact"/>
      </w:pPr>
    </w:p>
  </w:endnote>
  <w:endnote w:type="continuationSeparator" w:id="0">
    <w:p w14:paraId="7DAAD8A8" w14:textId="77777777" w:rsidR="00CB6ECE" w:rsidRDefault="00CB6ECE">
      <w:r>
        <w:t xml:space="preserve"> </w:t>
      </w:r>
    </w:p>
  </w:endnote>
  <w:endnote w:type="continuationNotice" w:id="1">
    <w:p w14:paraId="19404979" w14:textId="77777777" w:rsidR="00CB6ECE" w:rsidRDefault="00CB6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709D"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3E0A196B"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544A"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115981">
      <w:rPr>
        <w:noProof/>
      </w:rPr>
      <w:t>2</w:t>
    </w:r>
    <w:r>
      <w:rPr>
        <w:noProof/>
      </w:rPr>
      <w:fldChar w:fldCharType="end"/>
    </w:r>
  </w:p>
  <w:p w14:paraId="4A2A4717"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0829" w14:textId="77777777" w:rsidR="00910752" w:rsidRDefault="0091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8412D" w14:textId="77777777" w:rsidR="00CB6ECE" w:rsidRDefault="00CB6ECE">
      <w:r>
        <w:separator/>
      </w:r>
    </w:p>
  </w:footnote>
  <w:footnote w:type="continuationSeparator" w:id="0">
    <w:p w14:paraId="3DEE79E9" w14:textId="77777777" w:rsidR="00CB6ECE" w:rsidRDefault="00CB6ECE">
      <w:pPr>
        <w:rPr>
          <w:sz w:val="20"/>
        </w:rPr>
      </w:pPr>
      <w:r>
        <w:rPr>
          <w:sz w:val="20"/>
        </w:rPr>
        <w:t xml:space="preserve">(Continued from previous page)  </w:t>
      </w:r>
      <w:r>
        <w:rPr>
          <w:sz w:val="20"/>
        </w:rPr>
        <w:separator/>
      </w:r>
    </w:p>
  </w:footnote>
  <w:footnote w:type="continuationNotice" w:id="1">
    <w:p w14:paraId="07467131" w14:textId="77777777" w:rsidR="00CB6ECE" w:rsidRDefault="00CB6ECE">
      <w:pPr>
        <w:rPr>
          <w:sz w:val="20"/>
        </w:rPr>
      </w:pPr>
      <w:r>
        <w:rPr>
          <w:sz w:val="20"/>
        </w:rPr>
        <w:t>(continued….)</w:t>
      </w:r>
    </w:p>
  </w:footnote>
  <w:footnote w:id="2">
    <w:p w14:paraId="71568EDC" w14:textId="77777777" w:rsidR="00EB484E" w:rsidRPr="00EB484E" w:rsidRDefault="00EB484E" w:rsidP="00EB484E">
      <w:pPr>
        <w:pStyle w:val="FootnoteText"/>
      </w:pPr>
      <w:r>
        <w:rPr>
          <w:rStyle w:val="FootnoteReference"/>
        </w:rPr>
        <w:footnoteRef/>
      </w:r>
      <w:r>
        <w:t xml:space="preserve"> </w:t>
      </w:r>
      <w:r w:rsidRPr="00EB484E">
        <w:rPr>
          <w:i/>
        </w:rPr>
        <w:t>See, e.g.</w:t>
      </w:r>
      <w:r w:rsidRPr="00EB484E">
        <w:t xml:space="preserve">, WQQA438, Pasadena, California; WQGW503, Chatsworth, California. The </w:t>
      </w:r>
      <w:r w:rsidRPr="00946F46">
        <w:rPr>
          <w:i/>
        </w:rPr>
        <w:t>NAL</w:t>
      </w:r>
      <w:r w:rsidRPr="00EB484E">
        <w:t xml:space="preserve"> includes a more complete discussion of the facts and history of this case and is incorporated herein by reference.  </w:t>
      </w:r>
      <w:r w:rsidRPr="00946F46">
        <w:rPr>
          <w:i/>
        </w:rPr>
        <w:t xml:space="preserve">See </w:t>
      </w:r>
      <w:r w:rsidR="00946F46" w:rsidRPr="00946F46">
        <w:rPr>
          <w:i/>
        </w:rPr>
        <w:t>Mobile Relay Associates</w:t>
      </w:r>
      <w:r w:rsidR="00946F46">
        <w:t>,</w:t>
      </w:r>
      <w:r w:rsidRPr="00EB484E">
        <w:t xml:space="preserve"> Notice of Apparent Liability for Forfeiture, </w:t>
      </w:r>
      <w:r w:rsidR="003732FE">
        <w:t>30</w:t>
      </w:r>
      <w:r w:rsidRPr="00EB484E">
        <w:t xml:space="preserve"> FCC Rcd </w:t>
      </w:r>
      <w:r w:rsidR="003732FE">
        <w:t>7134</w:t>
      </w:r>
      <w:r w:rsidRPr="00EB484E">
        <w:t xml:space="preserve">, at </w:t>
      </w:r>
      <w:r w:rsidR="003732FE">
        <w:t>7135–7137</w:t>
      </w:r>
      <w:r w:rsidRPr="00EB484E">
        <w:t>, paras. 2–</w:t>
      </w:r>
      <w:r w:rsidR="003732FE">
        <w:t>6 (Enf. Bur. 2015</w:t>
      </w:r>
      <w:r w:rsidRPr="00EB484E">
        <w:t>) (</w:t>
      </w:r>
      <w:r w:rsidRPr="00946F46">
        <w:rPr>
          <w:i/>
        </w:rPr>
        <w:t>NAL</w:t>
      </w:r>
      <w:r w:rsidRPr="00EB484E">
        <w:t xml:space="preserve">).  </w:t>
      </w:r>
    </w:p>
  </w:footnote>
  <w:footnote w:id="3">
    <w:p w14:paraId="20B38B0E" w14:textId="7A4CFAC3" w:rsidR="00EB484E" w:rsidRPr="00EB484E" w:rsidRDefault="00EB484E" w:rsidP="00EB484E">
      <w:pPr>
        <w:spacing w:after="120"/>
        <w:rPr>
          <w:sz w:val="20"/>
        </w:rPr>
      </w:pPr>
      <w:r w:rsidRPr="00EB484E">
        <w:rPr>
          <w:rStyle w:val="FootnoteReference"/>
        </w:rPr>
        <w:footnoteRef/>
      </w:r>
      <w:r w:rsidRPr="00EB484E">
        <w:rPr>
          <w:sz w:val="20"/>
        </w:rPr>
        <w:t xml:space="preserve"> </w:t>
      </w:r>
      <w:r w:rsidRPr="00EB484E">
        <w:rPr>
          <w:i/>
          <w:sz w:val="20"/>
        </w:rPr>
        <w:t>See</w:t>
      </w:r>
      <w:r w:rsidRPr="00EB484E">
        <w:rPr>
          <w:sz w:val="20"/>
        </w:rPr>
        <w:t xml:space="preserve"> 47 C.F.R. § 90.173(a) (“Except as otherwise specifically provided in this part, frequencies assigned to land mobile stations are available on a shared basis only and will not be assigned for the exclusive use of any licensee.”).</w:t>
      </w:r>
    </w:p>
  </w:footnote>
  <w:footnote w:id="4">
    <w:p w14:paraId="22EA58C0" w14:textId="77777777" w:rsidR="00E27086" w:rsidRDefault="00E27086" w:rsidP="00E27086">
      <w:pPr>
        <w:pStyle w:val="FootnoteText"/>
      </w:pPr>
      <w:r>
        <w:rPr>
          <w:rStyle w:val="FootnoteReference"/>
        </w:rPr>
        <w:footnoteRef/>
      </w:r>
      <w:r>
        <w:t xml:space="preserve"> The complainants included Eden Memorial Park, licensee of Station WPWA436, Mission Hills, California, operating on frequency 152.2925 MHz, and Knott’s Berry Farm, licensee of KML654, Buena Park, California, operating on 151.775 MHz.</w:t>
      </w:r>
    </w:p>
  </w:footnote>
  <w:footnote w:id="5">
    <w:p w14:paraId="135B8E3A" w14:textId="77777777" w:rsidR="00E27086" w:rsidRDefault="00E27086" w:rsidP="00E27086">
      <w:pPr>
        <w:pStyle w:val="FootnoteText"/>
      </w:pPr>
      <w:r>
        <w:rPr>
          <w:rStyle w:val="FootnoteReference"/>
        </w:rPr>
        <w:footnoteRef/>
      </w:r>
      <w:r>
        <w:t xml:space="preserve"> </w:t>
      </w:r>
      <w:r>
        <w:rPr>
          <w:i/>
        </w:rPr>
        <w:t>See Mobile Relay Associates</w:t>
      </w:r>
      <w:r>
        <w:t>,</w:t>
      </w:r>
      <w:r>
        <w:rPr>
          <w:i/>
        </w:rPr>
        <w:t xml:space="preserve"> </w:t>
      </w:r>
      <w:r w:rsidRPr="00B146EF">
        <w:t>Notice of Violation</w:t>
      </w:r>
      <w:r>
        <w:t>, V201332900014 (Mar. 20, 2013) (</w:t>
      </w:r>
      <w:r w:rsidRPr="00A16480">
        <w:rPr>
          <w:i/>
        </w:rPr>
        <w:t>NOV</w:t>
      </w:r>
      <w:r>
        <w:t>), issued</w:t>
      </w:r>
      <w:r w:rsidRPr="0048127F">
        <w:t xml:space="preserve"> for</w:t>
      </w:r>
      <w:r>
        <w:t xml:space="preserve"> </w:t>
      </w:r>
      <w:r w:rsidRPr="00A41F66">
        <w:t>failing to</w:t>
      </w:r>
      <w:r>
        <w:t xml:space="preserve">: 1) </w:t>
      </w:r>
      <w:r w:rsidRPr="00A41F66">
        <w:t xml:space="preserve">restrict </w:t>
      </w:r>
      <w:r>
        <w:t xml:space="preserve">Station WPPF234’s </w:t>
      </w:r>
      <w:r w:rsidRPr="00A41F66">
        <w:t xml:space="preserve">transmission to the minimum practical transmission time; </w:t>
      </w:r>
      <w:r>
        <w:t xml:space="preserve">2) </w:t>
      </w:r>
      <w:r w:rsidRPr="00A41F66">
        <w:t>monitor the transmitting frequencies of other licensees or tak</w:t>
      </w:r>
      <w:r>
        <w:t>e</w:t>
      </w:r>
      <w:r w:rsidRPr="00A41F66">
        <w:t xml:space="preserve"> any other reasonable precautions to avoid causing harmful interference; </w:t>
      </w:r>
      <w:r>
        <w:t>3) operate Station WPPF234</w:t>
      </w:r>
      <w:r w:rsidRPr="00A41F66">
        <w:t xml:space="preserve">in accordance with the </w:t>
      </w:r>
      <w:r>
        <w:t>Commission’s r</w:t>
      </w:r>
      <w:r w:rsidRPr="00A41F66">
        <w:t xml:space="preserve">ules and the Station’s </w:t>
      </w:r>
      <w:r>
        <w:t>authorization.</w:t>
      </w:r>
    </w:p>
  </w:footnote>
  <w:footnote w:id="6">
    <w:p w14:paraId="3A6BFDB2" w14:textId="77777777" w:rsidR="00E27086" w:rsidRPr="00EB484E" w:rsidRDefault="00E27086" w:rsidP="00E27086">
      <w:pPr>
        <w:spacing w:after="120"/>
        <w:rPr>
          <w:sz w:val="20"/>
        </w:rPr>
      </w:pPr>
      <w:r>
        <w:rPr>
          <w:rStyle w:val="FootnoteReference"/>
        </w:rPr>
        <w:footnoteRef/>
      </w:r>
      <w:r>
        <w:t xml:space="preserve"> </w:t>
      </w:r>
      <w:r w:rsidRPr="00EB484E">
        <w:rPr>
          <w:sz w:val="20"/>
        </w:rPr>
        <w:t xml:space="preserve">Section 90.403(c) of the Rules states that “[e]xcept for stations that have been granted exclusive channels under this part and that are classified as commercial mobile radio service providers pursuant to part 20 of this chapter, each licensee must restrict all transmissions to the minimum practical transmission time and must employ an efficient operating procedure designed to maximize the utilization of the spectrum.”  47 C.F.R. § 90.403(c).  The Los Angeles Office determined that, at the time of the investigation, “Station WPPF234 was transmitting on 151.7825 MHz and 152.2925 MHz nearly continuously.”  </w:t>
      </w:r>
      <w:r w:rsidRPr="00A16480">
        <w:rPr>
          <w:i/>
          <w:sz w:val="20"/>
        </w:rPr>
        <w:t>NOV</w:t>
      </w:r>
      <w:r w:rsidRPr="00EB484E">
        <w:rPr>
          <w:sz w:val="20"/>
        </w:rPr>
        <w:t xml:space="preserve"> at 1.</w:t>
      </w:r>
    </w:p>
  </w:footnote>
  <w:footnote w:id="7">
    <w:p w14:paraId="5BF05919" w14:textId="77777777" w:rsidR="00E27086" w:rsidRDefault="00E27086" w:rsidP="00E27086">
      <w:pPr>
        <w:pStyle w:val="FootnoteText"/>
      </w:pPr>
      <w:r>
        <w:rPr>
          <w:rStyle w:val="FootnoteReference"/>
        </w:rPr>
        <w:footnoteRef/>
      </w:r>
      <w:r>
        <w:t xml:space="preserve"> </w:t>
      </w:r>
      <w:r w:rsidRPr="00440EC2">
        <w:t>Section 90.403(e) of the Rules states that “[l]icensees shall take reasonable precautions to avoid causing harmful interference. This includes monitoring the transmitting frequency for communications in progress and such other measures as may be necessary to minimize the potential for causing interference.”</w:t>
      </w:r>
      <w:r>
        <w:t xml:space="preserve">  </w:t>
      </w:r>
      <w:r w:rsidRPr="00440EC2">
        <w:t>47 C.F.R. §§ 90.403(</w:t>
      </w:r>
      <w:r>
        <w:t>e</w:t>
      </w:r>
      <w:r w:rsidRPr="00440EC2">
        <w:t>).</w:t>
      </w:r>
      <w:r>
        <w:t xml:space="preserve">  The Los Angeles Office stated that, “at</w:t>
      </w:r>
      <w:r w:rsidRPr="00440EC2">
        <w:t xml:space="preserve"> the time of the investigation, agents monitored WPPF234 and observed digitally modulated continuous signals on 151.7825 MHz and on 152.2925 MHz.  Specifically, the continuous transmissions from WPPF234 on 151.7825 MHz with bandwidth of 11.2 KHz interfered with communications of adjacent channel licensees centered on 151.775 MHz, and the continuous transmissions from WPPF234 on 152.2925 MHz interfered with the communications of a co-channel licensee. The agent observed no evidence of monitoring the transmitting frequencies for communications in process or other measures to avoid interference by WPPF234.</w:t>
      </w:r>
      <w:r>
        <w:t>”</w:t>
      </w:r>
      <w:r w:rsidRPr="00440EC2">
        <w:t xml:space="preserve">  </w:t>
      </w:r>
      <w:r w:rsidRPr="00A16480">
        <w:rPr>
          <w:i/>
        </w:rPr>
        <w:t>NOV</w:t>
      </w:r>
      <w:r>
        <w:t xml:space="preserve"> at 2</w:t>
      </w:r>
      <w:r w:rsidRPr="00D54B21">
        <w:t>.</w:t>
      </w:r>
    </w:p>
  </w:footnote>
  <w:footnote w:id="8">
    <w:p w14:paraId="2E970034" w14:textId="77777777" w:rsidR="00E27086" w:rsidRDefault="00E27086" w:rsidP="00E27086">
      <w:pPr>
        <w:pStyle w:val="FootnoteText"/>
      </w:pPr>
      <w:r>
        <w:rPr>
          <w:rStyle w:val="FootnoteReference"/>
        </w:rPr>
        <w:footnoteRef/>
      </w:r>
      <w:r>
        <w:t xml:space="preserve"> </w:t>
      </w:r>
      <w:r w:rsidRPr="00FC013A">
        <w:t>Section 1.903(a) states that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t xml:space="preserve"> </w:t>
      </w:r>
      <w:r w:rsidRPr="00FC013A">
        <w:t>47 C.F.R. §</w:t>
      </w:r>
      <w:r>
        <w:t xml:space="preserve"> 1.90</w:t>
      </w:r>
      <w:r w:rsidRPr="00FC013A">
        <w:t>3(</w:t>
      </w:r>
      <w:r>
        <w:t>a</w:t>
      </w:r>
      <w:r w:rsidRPr="00FC013A">
        <w:t xml:space="preserve">).  </w:t>
      </w:r>
      <w:r>
        <w:t>The Los Angeles Office found that the “</w:t>
      </w:r>
      <w:r w:rsidRPr="00FC013A">
        <w:t>WPPF234 license authorized trunked operations in the Industrial Radio Service. At the time of the inspection the station was not using trunking technology and all communications between the base station on 151.7825 MHz and mobile units on 159.8775 MHz were on a single channel pair.  In addition, all communications between the base station on 152.2925 MHz and mobile units on 157.5525 MHz were not using trunking technology.</w:t>
      </w:r>
      <w:r>
        <w:t xml:space="preserve">”  </w:t>
      </w:r>
      <w:r w:rsidRPr="00A16480">
        <w:rPr>
          <w:i/>
        </w:rPr>
        <w:t>NOV</w:t>
      </w:r>
      <w:r>
        <w:t xml:space="preserve"> at 2.</w:t>
      </w:r>
      <w:r w:rsidRPr="0014204C">
        <w:t xml:space="preserve"> </w:t>
      </w:r>
    </w:p>
  </w:footnote>
  <w:footnote w:id="9">
    <w:p w14:paraId="71EFA8D9" w14:textId="77777777" w:rsidR="00E27086" w:rsidRDefault="00E27086" w:rsidP="00E27086">
      <w:pPr>
        <w:pStyle w:val="FootnoteText"/>
      </w:pPr>
      <w:r>
        <w:rPr>
          <w:rStyle w:val="FootnoteReference"/>
        </w:rPr>
        <w:footnoteRef/>
      </w:r>
      <w:r>
        <w:t xml:space="preserve"> </w:t>
      </w:r>
      <w:r w:rsidRPr="00B146EF">
        <w:rPr>
          <w:i/>
        </w:rPr>
        <w:t>S</w:t>
      </w:r>
      <w:r w:rsidRPr="00B146EF">
        <w:rPr>
          <w:i/>
          <w:iCs/>
        </w:rPr>
        <w:t>ee</w:t>
      </w:r>
      <w:r w:rsidRPr="00B146EF">
        <w:rPr>
          <w:i/>
        </w:rPr>
        <w:t xml:space="preserve"> </w:t>
      </w:r>
      <w:r w:rsidRPr="00B146EF">
        <w:t xml:space="preserve">Response to Notice of Violation of </w:t>
      </w:r>
      <w:r>
        <w:t>Mobile Relay Associates at 2</w:t>
      </w:r>
      <w:r w:rsidRPr="00B146EF">
        <w:t xml:space="preserve"> (</w:t>
      </w:r>
      <w:r>
        <w:t>Apr. 2</w:t>
      </w:r>
      <w:r w:rsidRPr="00B146EF">
        <w:t xml:space="preserve">, 2013) </w:t>
      </w:r>
      <w:r>
        <w:t xml:space="preserve">(NOV Response) </w:t>
      </w:r>
      <w:r w:rsidRPr="00B146EF">
        <w:t>(on file in EB-FIELDWR-1</w:t>
      </w:r>
      <w:r>
        <w:t>2</w:t>
      </w:r>
      <w:r w:rsidRPr="00B146EF">
        <w:t>-00006</w:t>
      </w:r>
      <w:r>
        <w:t>950</w:t>
      </w:r>
      <w:r w:rsidRPr="00B146EF">
        <w:t>).</w:t>
      </w:r>
    </w:p>
  </w:footnote>
  <w:footnote w:id="10">
    <w:p w14:paraId="122D847F" w14:textId="77777777" w:rsidR="00E27086" w:rsidRDefault="00E27086" w:rsidP="00E27086">
      <w:pPr>
        <w:pStyle w:val="FootnoteText"/>
      </w:pPr>
      <w:r w:rsidRPr="00726498">
        <w:rPr>
          <w:rStyle w:val="FootnoteReference"/>
        </w:rPr>
        <w:footnoteRef/>
      </w:r>
      <w:r w:rsidRPr="00726498">
        <w:t xml:space="preserve"> </w:t>
      </w:r>
      <w:r>
        <w:rPr>
          <w:i/>
        </w:rPr>
        <w:t>Id.</w:t>
      </w:r>
      <w:r>
        <w:t xml:space="preserve"> at 2.</w:t>
      </w:r>
    </w:p>
  </w:footnote>
  <w:footnote w:id="11">
    <w:p w14:paraId="7740B2C2" w14:textId="77777777" w:rsidR="00E27086" w:rsidRPr="00E27086" w:rsidRDefault="00E27086" w:rsidP="00E27086">
      <w:pPr>
        <w:pStyle w:val="FootnoteText"/>
        <w:rPr>
          <w:i/>
        </w:rPr>
      </w:pPr>
      <w:r>
        <w:rPr>
          <w:rStyle w:val="FootnoteReference"/>
        </w:rPr>
        <w:footnoteRef/>
      </w:r>
      <w:r>
        <w:t xml:space="preserve"> </w:t>
      </w:r>
      <w:r>
        <w:rPr>
          <w:i/>
        </w:rPr>
        <w:t>Id.</w:t>
      </w:r>
      <w:r>
        <w:t xml:space="preserve"> </w:t>
      </w:r>
      <w:r w:rsidRPr="00E27086">
        <w:t>MRA contended that if the Commission wanted to create a “more precise rule” that “requires a licensee on a shared channel to force a pause in transmission at any particular interval” it is free to do so but must do so prospectively through a rulemaking complying with the Administrative Procedures Act.</w:t>
      </w:r>
      <w:r w:rsidRPr="00E27086">
        <w:rPr>
          <w:vertAlign w:val="superscript"/>
        </w:rPr>
        <w:footnoteRef/>
      </w:r>
      <w:r w:rsidRPr="00E27086">
        <w:t xml:space="preserve">  MRA also stated that, in order to avoid causing interference it has reduced its power and that it is in compliance with the monitoring requirement as specified by the frequency coordinators.</w:t>
      </w:r>
      <w:r w:rsidRPr="00E27086">
        <w:rPr>
          <w:vertAlign w:val="superscript"/>
        </w:rPr>
        <w:footnoteRef/>
      </w:r>
      <w:r w:rsidRPr="00E27086">
        <w:t xml:space="preserve">  Further, MRA asserted that the station “is employing a form of trunking” and that even if its operation was deemed “conventional” it would not be a rule violation.</w:t>
      </w:r>
      <w:r w:rsidRPr="00E27086">
        <w:rPr>
          <w:vertAlign w:val="superscript"/>
        </w:rPr>
        <w:footnoteRef/>
      </w:r>
      <w:r>
        <w:t xml:space="preserve">  </w:t>
      </w:r>
      <w:r>
        <w:rPr>
          <w:i/>
        </w:rPr>
        <w:t>Id</w:t>
      </w:r>
      <w:r w:rsidR="00EB484E">
        <w:rPr>
          <w:i/>
        </w:rPr>
        <w:t>.</w:t>
      </w:r>
      <w:r>
        <w:rPr>
          <w:i/>
        </w:rPr>
        <w:t xml:space="preserve"> </w:t>
      </w:r>
      <w:r w:rsidRPr="00EB484E">
        <w:t xml:space="preserve">at 3 – 6. </w:t>
      </w:r>
    </w:p>
  </w:footnote>
  <w:footnote w:id="12">
    <w:p w14:paraId="0816A647" w14:textId="77777777" w:rsidR="00773E62" w:rsidRDefault="00773E62">
      <w:pPr>
        <w:pStyle w:val="FootnoteText"/>
      </w:pPr>
      <w:r>
        <w:rPr>
          <w:rStyle w:val="FootnoteReference"/>
        </w:rPr>
        <w:footnoteRef/>
      </w:r>
      <w:r>
        <w:t xml:space="preserve"> </w:t>
      </w:r>
      <w:r w:rsidRPr="00773E62">
        <w:t>On September 25, 2014, October 1, 2014, and May 7, 2015, agents from the Los Angeles Office monitored the Station on frequency 152.2925 MHz, and determined that the Station continued to operate in a nearly continuous mode, with a duty cycle of 96 to 98%.</w:t>
      </w:r>
      <w:r>
        <w:t xml:space="preserve"> </w:t>
      </w:r>
      <w:r>
        <w:rPr>
          <w:i/>
        </w:rPr>
        <w:t>See NAL</w:t>
      </w:r>
      <w:r w:rsidR="003732FE">
        <w:t>, 30 FCC Rcd at 7136–7137, para. 5</w:t>
      </w:r>
      <w:r>
        <w:t>.</w:t>
      </w:r>
      <w:r w:rsidRPr="00773E62">
        <w:t xml:space="preserve">  </w:t>
      </w:r>
    </w:p>
  </w:footnote>
  <w:footnote w:id="13">
    <w:p w14:paraId="67F5B78D" w14:textId="77777777" w:rsidR="00E27086" w:rsidRPr="000A3434" w:rsidRDefault="00E27086" w:rsidP="00E27086">
      <w:pPr>
        <w:pStyle w:val="FootnoteText"/>
      </w:pPr>
      <w:r>
        <w:rPr>
          <w:rStyle w:val="FootnoteReference"/>
        </w:rPr>
        <w:footnoteRef/>
      </w:r>
      <w:r>
        <w:t xml:space="preserve"> </w:t>
      </w:r>
      <w:r>
        <w:rPr>
          <w:i/>
        </w:rPr>
        <w:t xml:space="preserve">See supra </w:t>
      </w:r>
      <w:r w:rsidR="003732FE">
        <w:t>note 3</w:t>
      </w:r>
      <w:r>
        <w:t>.</w:t>
      </w:r>
    </w:p>
  </w:footnote>
  <w:footnote w:id="14">
    <w:p w14:paraId="588F7A2E" w14:textId="77777777" w:rsidR="00E27086" w:rsidRDefault="00E27086" w:rsidP="00E27086">
      <w:pPr>
        <w:pStyle w:val="FootnoteText"/>
      </w:pPr>
      <w:r>
        <w:rPr>
          <w:rStyle w:val="FootnoteReference"/>
        </w:rPr>
        <w:footnoteRef/>
      </w:r>
      <w:r>
        <w:t xml:space="preserve"> The agents monitored the signal 0.4 kilometers from Eden’s fixed transmitter site.  Eden is authorized to operate on frequency 152.2925 MHz, service class code FB2 (mobile relay) from its fixed transmitter site located at 11500 Sepulveda Boulevard, Mission Hills, California.  Its operating area includes a 16 kilometer radius around its fixed location.  </w:t>
      </w:r>
      <w:r>
        <w:rPr>
          <w:i/>
        </w:rPr>
        <w:t xml:space="preserve">See </w:t>
      </w:r>
      <w:r>
        <w:t xml:space="preserve">WPWA436 Authorization, granted August 3, 2012. </w:t>
      </w:r>
    </w:p>
  </w:footnote>
  <w:footnote w:id="15">
    <w:p w14:paraId="134F2E60" w14:textId="77777777" w:rsidR="00773E62" w:rsidRPr="00C17F42" w:rsidRDefault="00773E62" w:rsidP="00773E62">
      <w:pPr>
        <w:pStyle w:val="FootnoteText"/>
      </w:pPr>
      <w:r>
        <w:rPr>
          <w:rStyle w:val="FootnoteReference"/>
        </w:rPr>
        <w:footnoteRef/>
      </w:r>
      <w:r>
        <w:t xml:space="preserve"> </w:t>
      </w:r>
      <w:r w:rsidRPr="007C01DD">
        <w:rPr>
          <w:color w:val="000000"/>
        </w:rPr>
        <w:t xml:space="preserve">47 C.F.R. §§ </w:t>
      </w:r>
      <w:r>
        <w:rPr>
          <w:color w:val="000000"/>
        </w:rPr>
        <w:t>90.403(e), 90.187(b).</w:t>
      </w:r>
    </w:p>
  </w:footnote>
  <w:footnote w:id="16">
    <w:p w14:paraId="5FB2CF6C" w14:textId="77777777" w:rsidR="00E273E3" w:rsidRPr="00344C0B" w:rsidRDefault="00E273E3">
      <w:pPr>
        <w:pStyle w:val="FootnoteText"/>
      </w:pPr>
      <w:r w:rsidRPr="00344C0B">
        <w:rPr>
          <w:rStyle w:val="FootnoteReference"/>
        </w:rPr>
        <w:footnoteRef/>
      </w:r>
      <w:r w:rsidRPr="00344C0B">
        <w:t xml:space="preserve"> </w:t>
      </w:r>
      <w:r w:rsidR="00922758">
        <w:rPr>
          <w:i/>
        </w:rPr>
        <w:t>Mobile Relay Associates</w:t>
      </w:r>
      <w:r w:rsidR="000B29ED" w:rsidRPr="0007571D">
        <w:t xml:space="preserve">, </w:t>
      </w:r>
      <w:r w:rsidRPr="0007571D">
        <w:t>Response to Notice of Apparent Liability (</w:t>
      </w:r>
      <w:r w:rsidR="00922758">
        <w:t>Aug. 13, 2015</w:t>
      </w:r>
      <w:r w:rsidRPr="0007571D">
        <w:t xml:space="preserve">) (on file in </w:t>
      </w:r>
      <w:r w:rsidR="00B146EF" w:rsidRPr="00B146EF">
        <w:t>EB- FIELDWR-13-0000</w:t>
      </w:r>
      <w:r w:rsidR="00922758">
        <w:t>6950</w:t>
      </w:r>
      <w:r w:rsidR="00682B40">
        <w:t>)</w:t>
      </w:r>
      <w:r w:rsidRPr="0007571D">
        <w:t xml:space="preserve"> (NAL Response).    </w:t>
      </w:r>
    </w:p>
  </w:footnote>
  <w:footnote w:id="17">
    <w:p w14:paraId="69CC4510" w14:textId="77777777" w:rsidR="00922758" w:rsidRDefault="00922758">
      <w:pPr>
        <w:pStyle w:val="FootnoteText"/>
      </w:pPr>
      <w:r>
        <w:rPr>
          <w:rStyle w:val="FootnoteReference"/>
        </w:rPr>
        <w:footnoteRef/>
      </w:r>
      <w:r>
        <w:t xml:space="preserve"> NAL Response at 4–5. </w:t>
      </w:r>
    </w:p>
  </w:footnote>
  <w:footnote w:id="18">
    <w:p w14:paraId="5C82670E" w14:textId="77777777" w:rsidR="00014067" w:rsidRDefault="00014067">
      <w:pPr>
        <w:pStyle w:val="FootnoteText"/>
      </w:pPr>
      <w:r>
        <w:rPr>
          <w:rStyle w:val="FootnoteReference"/>
        </w:rPr>
        <w:footnoteRef/>
      </w:r>
      <w:r w:rsidR="00682B40">
        <w:t xml:space="preserve"> </w:t>
      </w:r>
      <w:r w:rsidR="005E0A92" w:rsidRPr="008C7EFB">
        <w:rPr>
          <w:i/>
        </w:rPr>
        <w:t>Id.</w:t>
      </w:r>
      <w:r w:rsidR="00682B40">
        <w:t xml:space="preserve"> at </w:t>
      </w:r>
      <w:r w:rsidR="00922758">
        <w:t>5</w:t>
      </w:r>
      <w:r w:rsidR="00682B40">
        <w:t>–</w:t>
      </w:r>
      <w:r w:rsidR="00922758">
        <w:t>8</w:t>
      </w:r>
      <w:r w:rsidR="00682B40">
        <w:t xml:space="preserve">. </w:t>
      </w:r>
    </w:p>
  </w:footnote>
  <w:footnote w:id="19">
    <w:p w14:paraId="11B861AD" w14:textId="77777777"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20">
    <w:p w14:paraId="6987D84D" w14:textId="77777777" w:rsidR="00E273E3" w:rsidRPr="00344C0B" w:rsidRDefault="00E273E3" w:rsidP="006168A4">
      <w:pPr>
        <w:pStyle w:val="FootnoteText"/>
      </w:pPr>
      <w:r w:rsidRPr="00344C0B">
        <w:rPr>
          <w:rStyle w:val="FootnoteReference"/>
        </w:rPr>
        <w:footnoteRef/>
      </w:r>
      <w:r w:rsidRPr="00344C0B">
        <w:t xml:space="preserve"> 47 C.F.R. § 1.80.</w:t>
      </w:r>
    </w:p>
  </w:footnote>
  <w:footnote w:id="21">
    <w:p w14:paraId="1B81F37E" w14:textId="77777777"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22">
    <w:p w14:paraId="6366E35E" w14:textId="77777777" w:rsidR="00E273E3" w:rsidRPr="00344C0B" w:rsidRDefault="00E273E3" w:rsidP="006168A4">
      <w:pPr>
        <w:pStyle w:val="FootnoteText"/>
      </w:pPr>
      <w:r w:rsidRPr="00344C0B">
        <w:rPr>
          <w:rStyle w:val="FootnoteReference"/>
        </w:rPr>
        <w:footnoteRef/>
      </w:r>
      <w:r w:rsidRPr="00344C0B">
        <w:t xml:space="preserve"> 47 U.S.C. § 503(b)(2)(E).</w:t>
      </w:r>
    </w:p>
  </w:footnote>
  <w:footnote w:id="23">
    <w:p w14:paraId="7D2D68A2" w14:textId="77777777" w:rsidR="006B03FD" w:rsidRDefault="006B03FD" w:rsidP="006B03FD">
      <w:pPr>
        <w:pStyle w:val="FootnoteText"/>
      </w:pPr>
      <w:r>
        <w:rPr>
          <w:rStyle w:val="FootnoteReference"/>
        </w:rPr>
        <w:footnoteRef/>
      </w:r>
      <w:r>
        <w:t xml:space="preserve"> 47 C.F.R.</w:t>
      </w:r>
      <w:r w:rsidRPr="00E73990">
        <w:t xml:space="preserve"> § </w:t>
      </w:r>
      <w:r>
        <w:t>90.40</w:t>
      </w:r>
      <w:r w:rsidRPr="00E73990">
        <w:t>3</w:t>
      </w:r>
      <w:r>
        <w:t>(e).</w:t>
      </w:r>
    </w:p>
  </w:footnote>
  <w:footnote w:id="24">
    <w:p w14:paraId="521406BC" w14:textId="77777777" w:rsidR="00503655" w:rsidRPr="00932B70" w:rsidRDefault="00503655" w:rsidP="00503655">
      <w:pPr>
        <w:pStyle w:val="FootnoteText"/>
      </w:pPr>
      <w:r>
        <w:rPr>
          <w:rStyle w:val="FootnoteReference"/>
        </w:rPr>
        <w:footnoteRef/>
      </w:r>
      <w:r>
        <w:t xml:space="preserve"> </w:t>
      </w:r>
      <w:r w:rsidRPr="00E73990">
        <w:t>47 C.F.R. § 90.</w:t>
      </w:r>
      <w:r>
        <w:t xml:space="preserve">187(b).  The exceptions to this rule, which do not apply to MRA in this case, include trunked systems operating in the 470–512 MHz band that meet the loading requirements of 47 C.F.R. § 90.313 and have exclusive use of their frequencies in their service area; or when the licensee has obtained consent from all affected licensees.  </w:t>
      </w:r>
      <w:r>
        <w:rPr>
          <w:i/>
        </w:rPr>
        <w:t xml:space="preserve">See </w:t>
      </w:r>
      <w:r w:rsidRPr="00E73990">
        <w:t>47 C.F.R. § 90.</w:t>
      </w:r>
      <w:r>
        <w:t>187(c)</w:t>
      </w:r>
      <w:r>
        <w:softHyphen/>
      </w:r>
      <w:r>
        <w:softHyphen/>
        <w:t xml:space="preserve">–(d).  </w:t>
      </w:r>
    </w:p>
  </w:footnote>
  <w:footnote w:id="25">
    <w:p w14:paraId="5821981B" w14:textId="3CDA12F4" w:rsidR="00067B02" w:rsidRDefault="00067B02">
      <w:pPr>
        <w:pStyle w:val="FootnoteText"/>
      </w:pPr>
      <w:r>
        <w:rPr>
          <w:rStyle w:val="FootnoteReference"/>
        </w:rPr>
        <w:footnoteRef/>
      </w:r>
      <w:r>
        <w:t xml:space="preserve"> NAL Response</w:t>
      </w:r>
      <w:r w:rsidR="00600336">
        <w:t xml:space="preserve"> at 3–4. </w:t>
      </w:r>
    </w:p>
  </w:footnote>
  <w:footnote w:id="26">
    <w:p w14:paraId="3F61E358" w14:textId="77777777" w:rsidR="00067B02" w:rsidRDefault="00067B02" w:rsidP="00067B02">
      <w:pPr>
        <w:pStyle w:val="FootnoteText"/>
      </w:pPr>
      <w:r>
        <w:rPr>
          <w:rStyle w:val="FootnoteReference"/>
        </w:rPr>
        <w:footnoteRef/>
      </w:r>
      <w:r>
        <w:t xml:space="preserve"> NAL Response at 5.</w:t>
      </w:r>
    </w:p>
  </w:footnote>
  <w:footnote w:id="27">
    <w:p w14:paraId="295B81A2" w14:textId="7AEFCB01" w:rsidR="00067B02" w:rsidRPr="00904713" w:rsidRDefault="00067B02" w:rsidP="00067B02">
      <w:pPr>
        <w:pStyle w:val="FootnoteText"/>
      </w:pPr>
      <w:r>
        <w:rPr>
          <w:rStyle w:val="FootnoteReference"/>
        </w:rPr>
        <w:footnoteRef/>
      </w:r>
      <w:r>
        <w:t xml:space="preserve"> </w:t>
      </w:r>
      <w:r w:rsidRPr="003732FE">
        <w:rPr>
          <w:i/>
        </w:rPr>
        <w:t>See NAL</w:t>
      </w:r>
      <w:r w:rsidRPr="003732FE">
        <w:t>, 30 FCC Rcd at 713</w:t>
      </w:r>
      <w:r>
        <w:t>8</w:t>
      </w:r>
      <w:r w:rsidRPr="003732FE">
        <w:t>–713</w:t>
      </w:r>
      <w:r>
        <w:t>9</w:t>
      </w:r>
      <w:r w:rsidRPr="003732FE">
        <w:t>,</w:t>
      </w:r>
      <w:r>
        <w:t xml:space="preserve"> paras. 8–10</w:t>
      </w:r>
      <w:r w:rsidRPr="003732FE">
        <w:t xml:space="preserve">.  </w:t>
      </w:r>
      <w:r w:rsidR="00834F63">
        <w:rPr>
          <w:i/>
        </w:rPr>
        <w:t>See</w:t>
      </w:r>
      <w:r w:rsidR="00EA28A3">
        <w:rPr>
          <w:i/>
        </w:rPr>
        <w:t xml:space="preserve"> also</w:t>
      </w:r>
      <w:r w:rsidR="00834F63">
        <w:rPr>
          <w:i/>
        </w:rPr>
        <w:t xml:space="preserve"> </w:t>
      </w:r>
      <w:r w:rsidR="00834F63" w:rsidRPr="00A16480">
        <w:t xml:space="preserve">47 C.F.R. </w:t>
      </w:r>
      <w:r w:rsidR="00834F63" w:rsidRPr="00834F63">
        <w:t>§</w:t>
      </w:r>
      <w:r w:rsidR="00834F63" w:rsidRPr="00A16480">
        <w:t>§ 90.187(b), 90.403(e).</w:t>
      </w:r>
    </w:p>
  </w:footnote>
  <w:footnote w:id="28">
    <w:p w14:paraId="3688F573" w14:textId="64527EAF" w:rsidR="00067B02" w:rsidRDefault="00067B02" w:rsidP="00067B02">
      <w:pPr>
        <w:pStyle w:val="FootnoteText"/>
      </w:pPr>
      <w:r>
        <w:rPr>
          <w:rStyle w:val="FootnoteReference"/>
        </w:rPr>
        <w:footnoteRef/>
      </w:r>
      <w:r>
        <w:t xml:space="preserve"> </w:t>
      </w:r>
      <w:r w:rsidR="00E14F5E" w:rsidRPr="00E14F5E">
        <w:rPr>
          <w:i/>
        </w:rPr>
        <w:t xml:space="preserve">See </w:t>
      </w:r>
      <w:r w:rsidR="00E14F5E" w:rsidRPr="00E14F5E">
        <w:t>47 C.F.R. § 90.</w:t>
      </w:r>
      <w:r w:rsidR="00E14F5E">
        <w:t>7</w:t>
      </w:r>
      <w:r>
        <w:t xml:space="preserve"> </w:t>
      </w:r>
      <w:r w:rsidR="00600336">
        <w:t>(</w:t>
      </w:r>
      <w:r>
        <w:t>definition</w:t>
      </w:r>
      <w:r w:rsidR="00600336">
        <w:t xml:space="preserve"> of harmful interference)</w:t>
      </w:r>
      <w:r>
        <w:t>.</w:t>
      </w:r>
    </w:p>
  </w:footnote>
  <w:footnote w:id="29">
    <w:p w14:paraId="3F3D0F33" w14:textId="71E42A3D" w:rsidR="00067B02" w:rsidRDefault="00067B02" w:rsidP="00067B02">
      <w:pPr>
        <w:pStyle w:val="FootnoteText"/>
      </w:pPr>
      <w:r>
        <w:rPr>
          <w:rStyle w:val="FootnoteReference"/>
        </w:rPr>
        <w:footnoteRef/>
      </w:r>
      <w:r>
        <w:t xml:space="preserve"> </w:t>
      </w:r>
      <w:r w:rsidR="00834F63">
        <w:rPr>
          <w:i/>
          <w:color w:val="000000"/>
          <w:spacing w:val="-2"/>
          <w:szCs w:val="22"/>
        </w:rPr>
        <w:t xml:space="preserve">See </w:t>
      </w:r>
      <w:r w:rsidR="00834F63" w:rsidRPr="00834F63">
        <w:rPr>
          <w:color w:val="000000"/>
          <w:spacing w:val="-2"/>
          <w:szCs w:val="22"/>
        </w:rPr>
        <w:t>47 C.F.R. § 90.187(b)</w:t>
      </w:r>
      <w:r w:rsidR="00834F63">
        <w:rPr>
          <w:color w:val="000000"/>
          <w:spacing w:val="-2"/>
          <w:szCs w:val="22"/>
        </w:rPr>
        <w:t xml:space="preserve"> (“</w:t>
      </w:r>
      <w:r w:rsidR="00834F63" w:rsidRPr="00834F63">
        <w:rPr>
          <w:color w:val="000000"/>
          <w:spacing w:val="-2"/>
          <w:szCs w:val="22"/>
        </w:rPr>
        <w:t>trunked systems operating under this section must employ equipment that prevents transmission on a trunked frequency if a signal from another system is present on that frequency</w:t>
      </w:r>
      <w:r w:rsidR="00834F63">
        <w:rPr>
          <w:color w:val="000000"/>
          <w:spacing w:val="-2"/>
          <w:szCs w:val="22"/>
        </w:rPr>
        <w:t>”)</w:t>
      </w:r>
      <w:r w:rsidR="00834F63" w:rsidRPr="00834F63">
        <w:rPr>
          <w:color w:val="000000"/>
          <w:spacing w:val="-2"/>
          <w:szCs w:val="22"/>
        </w:rPr>
        <w:t xml:space="preserve">. Stations operating on shared frequencies must engage in Level 1 Monitoring, which requires the repeater (base station) to monitor the input channel for transmit signals from co-channel mobile and portable units (this level of monitoring requires the corresponding repeater output channel be disabled during the co-channel mobile or portable unit’s transmission). Stations may also be required to engage in Level 2 Monitoring, requiring the additional step of having the repeater (base station) monitor the output channel for transmit signals coming from co-channel base stations (this level of monitoring requires that the corresponding repeater output channel be disabled during the co-channel base station’s transmission). Absent special circumstances, frequency coordinators will recommend Level 1 Monitoring for non-exempt trunked systems. </w:t>
      </w:r>
      <w:r w:rsidR="00834F63" w:rsidRPr="00A16480">
        <w:rPr>
          <w:i/>
          <w:color w:val="000000"/>
          <w:spacing w:val="-2"/>
          <w:szCs w:val="22"/>
        </w:rPr>
        <w:t>See Private Land Mobile Radio — Monitoring Levels for Non-Exempt Trunked Systems on Channels Between 150 - 512 MHz</w:t>
      </w:r>
      <w:r w:rsidR="00834F63" w:rsidRPr="00834F63">
        <w:rPr>
          <w:color w:val="000000"/>
          <w:spacing w:val="-2"/>
          <w:szCs w:val="22"/>
        </w:rPr>
        <w:t>, Public Notice, 16 FCC Rcd 21421, 21423 (WTB 2001).</w:t>
      </w:r>
    </w:p>
  </w:footnote>
  <w:footnote w:id="30">
    <w:p w14:paraId="07DA97B4" w14:textId="5FF1DA9B" w:rsidR="00CD5AEB" w:rsidRDefault="00CD5AEB" w:rsidP="00CD5AEB">
      <w:pPr>
        <w:pStyle w:val="FootnoteText"/>
      </w:pPr>
      <w:r>
        <w:rPr>
          <w:rStyle w:val="FootnoteReference"/>
        </w:rPr>
        <w:footnoteRef/>
      </w:r>
      <w:r w:rsidR="00EA28A3">
        <w:t xml:space="preserve"> </w:t>
      </w:r>
      <w:r w:rsidR="00EA28A3">
        <w:rPr>
          <w:i/>
        </w:rPr>
        <w:t>See</w:t>
      </w:r>
      <w:r>
        <w:t xml:space="preserve"> NAL Response at 3–5. </w:t>
      </w:r>
    </w:p>
  </w:footnote>
  <w:footnote w:id="31">
    <w:p w14:paraId="2B4BC151" w14:textId="15E5DC27" w:rsidR="00E14F5E" w:rsidRDefault="00E14F5E">
      <w:pPr>
        <w:pStyle w:val="FootnoteText"/>
      </w:pPr>
      <w:r>
        <w:rPr>
          <w:rStyle w:val="FootnoteReference"/>
        </w:rPr>
        <w:footnoteRef/>
      </w:r>
      <w:r>
        <w:t xml:space="preserve"> </w:t>
      </w:r>
      <w:r w:rsidRPr="00E14F5E">
        <w:t xml:space="preserve">MRA admits that the DDS equipment it employed on the shared channel works best on exclusive channels, but argues that the performance degrading modifications it programed into the DDS system, including setting a “hard stop” </w:t>
      </w:r>
      <w:r>
        <w:t xml:space="preserve">at regular intervals </w:t>
      </w:r>
      <w:r w:rsidRPr="00E14F5E">
        <w:t>in the transmissions of its digital non-data synchronizing signals at set intervals was acceptable monitoring.</w:t>
      </w:r>
      <w:r>
        <w:t xml:space="preserve"> NAL Response at 3–5.</w:t>
      </w:r>
      <w:r w:rsidRPr="00E14F5E">
        <w:t xml:space="preserve">  </w:t>
      </w:r>
    </w:p>
  </w:footnote>
  <w:footnote w:id="32">
    <w:p w14:paraId="672501C0" w14:textId="341070D2" w:rsidR="00067B02" w:rsidRDefault="00067B02" w:rsidP="00067B02">
      <w:pPr>
        <w:pStyle w:val="FootnoteText"/>
      </w:pPr>
      <w:r>
        <w:rPr>
          <w:rStyle w:val="FootnoteReference"/>
        </w:rPr>
        <w:footnoteRef/>
      </w:r>
      <w:r w:rsidR="000B4FF2">
        <w:t xml:space="preserve"> </w:t>
      </w:r>
      <w:r w:rsidR="000B4FF2" w:rsidRPr="000B4FF2">
        <w:rPr>
          <w:i/>
        </w:rPr>
        <w:t>See NAL</w:t>
      </w:r>
      <w:r w:rsidR="000B4FF2" w:rsidRPr="000B4FF2">
        <w:t>, 30 FCC Rcd at 713</w:t>
      </w:r>
      <w:r w:rsidR="000B4FF2">
        <w:t>7</w:t>
      </w:r>
      <w:r w:rsidR="000B4FF2" w:rsidRPr="000B4FF2">
        <w:t xml:space="preserve">, para. </w:t>
      </w:r>
      <w:r w:rsidR="000B4FF2">
        <w:t>6.</w:t>
      </w:r>
    </w:p>
  </w:footnote>
  <w:footnote w:id="33">
    <w:p w14:paraId="0DC5D92C" w14:textId="77777777" w:rsidR="006F7642" w:rsidRDefault="006F7642">
      <w:pPr>
        <w:pStyle w:val="FootnoteText"/>
      </w:pPr>
      <w:r>
        <w:rPr>
          <w:rStyle w:val="FootnoteReference"/>
        </w:rPr>
        <w:footnoteRef/>
      </w:r>
      <w:r>
        <w:t xml:space="preserve"> NAL Response at 5–8.</w:t>
      </w:r>
    </w:p>
  </w:footnote>
  <w:footnote w:id="34">
    <w:p w14:paraId="7A292A59" w14:textId="1799B108" w:rsidR="00C77712" w:rsidRPr="00FB0DBA" w:rsidRDefault="00C77712">
      <w:pPr>
        <w:pStyle w:val="FootnoteText"/>
      </w:pPr>
      <w:r>
        <w:rPr>
          <w:rStyle w:val="FootnoteReference"/>
        </w:rPr>
        <w:footnoteRef/>
      </w:r>
      <w:r w:rsidR="00FB0DBA">
        <w:t xml:space="preserve"> </w:t>
      </w:r>
      <w:r w:rsidR="00FB0DBA">
        <w:rPr>
          <w:i/>
        </w:rPr>
        <w:t xml:space="preserve">See, e.g., </w:t>
      </w:r>
      <w:r w:rsidR="00EA28A3" w:rsidRPr="00CD5994">
        <w:rPr>
          <w:i/>
        </w:rPr>
        <w:t>Acumen Communications</w:t>
      </w:r>
      <w:r w:rsidR="00EA28A3">
        <w:t xml:space="preserve">, </w:t>
      </w:r>
      <w:r w:rsidR="00056DC2">
        <w:t xml:space="preserve">Notice of Apparent Liability for Forfeiture, 28 FCC Rcd 16349 (Enf Bur. 2013), </w:t>
      </w:r>
      <w:r w:rsidR="00056DC2">
        <w:rPr>
          <w:i/>
        </w:rPr>
        <w:t xml:space="preserve">forfeiture ordered </w:t>
      </w:r>
      <w:r w:rsidR="00EA28A3">
        <w:t xml:space="preserve">Forfeiture Order, 30 FCC Rcd 6472 (Enf. Bur. 2015) </w:t>
      </w:r>
      <w:r w:rsidR="00EA28A3" w:rsidRPr="00FB0DBA">
        <w:t>($1</w:t>
      </w:r>
      <w:r w:rsidR="00EA28A3">
        <w:t>7</w:t>
      </w:r>
      <w:r w:rsidR="00EA28A3" w:rsidRPr="00FB0DBA">
        <w:t xml:space="preserve">,000 forfeiture for various violations, including Section </w:t>
      </w:r>
      <w:r w:rsidR="00EA28A3">
        <w:t>9</w:t>
      </w:r>
      <w:r w:rsidR="00EA28A3" w:rsidRPr="00FB0DBA">
        <w:t>0.403(e) of the Rules, for tran</w:t>
      </w:r>
      <w:r w:rsidR="00EA28A3">
        <w:t>s</w:t>
      </w:r>
      <w:r w:rsidR="00EA28A3" w:rsidRPr="00FB0DBA">
        <w:t>m</w:t>
      </w:r>
      <w:r w:rsidR="00EA28A3">
        <w:t>i</w:t>
      </w:r>
      <w:r w:rsidR="00EA28A3" w:rsidRPr="00FB0DBA">
        <w:t xml:space="preserve">ssion of </w:t>
      </w:r>
      <w:r w:rsidR="00EA28A3">
        <w:t>a signal</w:t>
      </w:r>
      <w:r w:rsidR="00EA28A3" w:rsidRPr="00FB0DBA">
        <w:t xml:space="preserve"> resul</w:t>
      </w:r>
      <w:r w:rsidR="00EA28A3">
        <w:t>t</w:t>
      </w:r>
      <w:r w:rsidR="00EA28A3" w:rsidRPr="00FB0DBA">
        <w:t>ing in harmful int</w:t>
      </w:r>
      <w:r w:rsidR="00EA28A3">
        <w:t>e</w:t>
      </w:r>
      <w:r w:rsidR="00EA28A3" w:rsidRPr="00FB0DBA">
        <w:t>rferenc</w:t>
      </w:r>
      <w:r w:rsidR="00EA28A3">
        <w:t>e</w:t>
      </w:r>
      <w:r w:rsidR="00EA28A3" w:rsidRPr="00FB0DBA">
        <w:t xml:space="preserve"> to </w:t>
      </w:r>
      <w:r w:rsidR="00EA28A3">
        <w:t>U.S. Coast Guard Communications</w:t>
      </w:r>
      <w:r w:rsidR="00EA28A3" w:rsidRPr="00FB0DBA">
        <w:t>)</w:t>
      </w:r>
      <w:r w:rsidR="00645201">
        <w:t xml:space="preserve"> (</w:t>
      </w:r>
      <w:r w:rsidR="00645201" w:rsidRPr="00056DC2">
        <w:rPr>
          <w:i/>
        </w:rPr>
        <w:t>Acumen Forfeiture Order</w:t>
      </w:r>
      <w:r w:rsidR="00645201">
        <w:t>)</w:t>
      </w:r>
      <w:r w:rsidR="00EA28A3">
        <w:t xml:space="preserve">; </w:t>
      </w:r>
      <w:r w:rsidR="00FB0DBA" w:rsidRPr="00CD5994">
        <w:rPr>
          <w:i/>
        </w:rPr>
        <w:t>Portland Taxicab Company</w:t>
      </w:r>
      <w:r w:rsidR="00FB0DBA">
        <w:t xml:space="preserve">, </w:t>
      </w:r>
      <w:r w:rsidR="00B019A2">
        <w:t xml:space="preserve">  </w:t>
      </w:r>
      <w:r w:rsidR="00B019A2" w:rsidRPr="00B019A2">
        <w:t>Notice of Apparent Liability for Forfeiture</w:t>
      </w:r>
      <w:r w:rsidR="00B019A2">
        <w:t>, NAL/Acct. No.  20432920001 (Enf. Bur., Portland Office, rel</w:t>
      </w:r>
      <w:r w:rsidR="00655C18">
        <w:t>.</w:t>
      </w:r>
      <w:r w:rsidR="00B019A2">
        <w:t xml:space="preserve"> </w:t>
      </w:r>
      <w:r w:rsidR="00655C18">
        <w:t>Jan. 30, 2</w:t>
      </w:r>
      <w:r w:rsidR="00B019A2">
        <w:t xml:space="preserve">004), </w:t>
      </w:r>
      <w:r w:rsidR="00B019A2">
        <w:rPr>
          <w:i/>
        </w:rPr>
        <w:t xml:space="preserve">forfeiture ordered </w:t>
      </w:r>
      <w:r w:rsidR="00B019A2">
        <w:t xml:space="preserve">Forfeiture Order, 19 FCC Rcd 22511 (Enf. Bur. 2004), </w:t>
      </w:r>
      <w:r w:rsidR="00B019A2" w:rsidRPr="00655C18">
        <w:rPr>
          <w:i/>
        </w:rPr>
        <w:t>aff</w:t>
      </w:r>
      <w:r w:rsidR="00655C18" w:rsidRPr="00655C18">
        <w:rPr>
          <w:i/>
        </w:rPr>
        <w:t>’d</w:t>
      </w:r>
      <w:r w:rsidR="00B019A2" w:rsidRPr="00B019A2">
        <w:t xml:space="preserve"> </w:t>
      </w:r>
      <w:r w:rsidR="00FB0DBA">
        <w:t>Memorandum Opin</w:t>
      </w:r>
      <w:r w:rsidR="00CD5994">
        <w:t>i</w:t>
      </w:r>
      <w:r w:rsidR="00FB0DBA">
        <w:t xml:space="preserve">on and Order, 22 FCC Rcd 1059 (Enf. Bur. 2007) ($12,000 forfeiture for various violations, including Section </w:t>
      </w:r>
      <w:r w:rsidR="00C87A1D">
        <w:t>9</w:t>
      </w:r>
      <w:r w:rsidR="00FB0DBA">
        <w:t>0.403(e) of the Rules, for tran</w:t>
      </w:r>
      <w:r w:rsidR="00CD5994">
        <w:t>s</w:t>
      </w:r>
      <w:r w:rsidR="00FB0DBA">
        <w:t>m</w:t>
      </w:r>
      <w:r w:rsidR="00CD5994">
        <w:t>i</w:t>
      </w:r>
      <w:r w:rsidR="00FB0DBA">
        <w:t>ssion of spurious emissions resul</w:t>
      </w:r>
      <w:r w:rsidR="00CD5994">
        <w:t>t</w:t>
      </w:r>
      <w:r w:rsidR="00FB0DBA">
        <w:t>ing in harmful int</w:t>
      </w:r>
      <w:r w:rsidR="00CD5994">
        <w:t>e</w:t>
      </w:r>
      <w:r w:rsidR="00FB0DBA">
        <w:t>rferenc</w:t>
      </w:r>
      <w:r w:rsidR="00CD5994">
        <w:t>e</w:t>
      </w:r>
      <w:r w:rsidR="00FB0DBA">
        <w:t xml:space="preserve"> to an am</w:t>
      </w:r>
      <w:r w:rsidR="00CD5994">
        <w:t>a</w:t>
      </w:r>
      <w:r w:rsidR="00FB0DBA">
        <w:t>t</w:t>
      </w:r>
      <w:r w:rsidR="00CD5994">
        <w:t>e</w:t>
      </w:r>
      <w:r w:rsidR="00FB0DBA">
        <w:t>ur station)</w:t>
      </w:r>
      <w:r w:rsidR="00EA28A3">
        <w:t xml:space="preserve">. </w:t>
      </w:r>
      <w:r w:rsidR="000C620E">
        <w:t xml:space="preserve"> </w:t>
      </w:r>
    </w:p>
  </w:footnote>
  <w:footnote w:id="35">
    <w:p w14:paraId="184A8F79" w14:textId="54121840" w:rsidR="00C77712" w:rsidRPr="00AD1B30" w:rsidRDefault="00C77712">
      <w:pPr>
        <w:pStyle w:val="FootnoteText"/>
        <w:rPr>
          <w:i/>
        </w:rPr>
      </w:pPr>
      <w:r>
        <w:rPr>
          <w:rStyle w:val="FootnoteReference"/>
        </w:rPr>
        <w:footnoteRef/>
      </w:r>
      <w:r>
        <w:t xml:space="preserve"> </w:t>
      </w:r>
      <w:r w:rsidR="00AD1B30">
        <w:rPr>
          <w:i/>
        </w:rPr>
        <w:t>See, e.g</w:t>
      </w:r>
      <w:r w:rsidR="00AD1B30" w:rsidRPr="00C01D5D">
        <w:t>.,</w:t>
      </w:r>
      <w:r w:rsidR="00CB37E3" w:rsidRPr="00CB37E3">
        <w:rPr>
          <w:i/>
          <w:snapToGrid w:val="0"/>
          <w:kern w:val="28"/>
          <w:sz w:val="22"/>
        </w:rPr>
        <w:t xml:space="preserve"> </w:t>
      </w:r>
      <w:r w:rsidR="00CB37E3" w:rsidRPr="00CB37E3">
        <w:rPr>
          <w:i/>
        </w:rPr>
        <w:t xml:space="preserve">Apple, Inc. Licensee of Station WPWU695, Cupertino, California, </w:t>
      </w:r>
      <w:r w:rsidR="00CB37E3" w:rsidRPr="00CB37E3">
        <w:t>Notice of Violation, V201532960003 (Jun. 2, 2015) (issued for violations of Sections 1.903(a), 90.403(e) and 90.425(a) of the Rules);</w:t>
      </w:r>
      <w:r w:rsidR="00CD5AEB" w:rsidRPr="00CD5AEB">
        <w:rPr>
          <w:i/>
          <w:snapToGrid w:val="0"/>
          <w:kern w:val="28"/>
          <w:sz w:val="22"/>
        </w:rPr>
        <w:t xml:space="preserve"> </w:t>
      </w:r>
      <w:r w:rsidR="00CD5AEB" w:rsidRPr="00CD5AEB">
        <w:rPr>
          <w:i/>
        </w:rPr>
        <w:t xml:space="preserve">Air Communications Services Inc. Licensee of Station WPTF286, Montrose, California, </w:t>
      </w:r>
      <w:r w:rsidR="00CD5AEB" w:rsidRPr="00CD5AEB">
        <w:t>Notice of Violation, V201532900002 (Apr. 9, 2015) (issued for violations of Sections 90.403(e) and 90.425(a) of the Rules</w:t>
      </w:r>
      <w:r w:rsidR="00CD5AEB" w:rsidRPr="00F343C1">
        <w:t>);</w:t>
      </w:r>
      <w:r w:rsidR="00CB37E3" w:rsidRPr="00CB37E3">
        <w:rPr>
          <w:i/>
          <w:snapToGrid w:val="0"/>
          <w:kern w:val="28"/>
          <w:sz w:val="22"/>
        </w:rPr>
        <w:t xml:space="preserve"> </w:t>
      </w:r>
      <w:r w:rsidR="00CB37E3" w:rsidRPr="00CB37E3">
        <w:rPr>
          <w:i/>
        </w:rPr>
        <w:t xml:space="preserve">American Airlines Group Inc. Licensee of Station WNCA631, San Francisco, California, </w:t>
      </w:r>
      <w:r w:rsidR="00CB37E3" w:rsidRPr="00CB37E3">
        <w:t>Notice of Violation, V201532960001 (Jan. 8, 2015) (issued for violations of Sections 1.903(a), 90.403(e) and 90.403(g) of the Rules);</w:t>
      </w:r>
      <w:r w:rsidR="00CB37E3">
        <w:t xml:space="preserve"> </w:t>
      </w:r>
      <w:r w:rsidR="00CB37E3" w:rsidRPr="00CB37E3">
        <w:rPr>
          <w:i/>
        </w:rPr>
        <w:t xml:space="preserve">SSA Terminals Licensee of Station WQEW384, Seattle, Washington, </w:t>
      </w:r>
      <w:r w:rsidR="00CB37E3" w:rsidRPr="00CB37E3">
        <w:t>Notice of Violation, V201432980015 (Aug. 28, 2014) (issued for violations of Sections 1.903(a) and 90.403(e) of the Rules);</w:t>
      </w:r>
      <w:r w:rsidR="00CB37E3" w:rsidRPr="00CB37E3">
        <w:rPr>
          <w:i/>
        </w:rPr>
        <w:t xml:space="preserve"> </w:t>
      </w:r>
      <w:r w:rsidR="00CB37E3" w:rsidRPr="00CB37E3">
        <w:t xml:space="preserve"> </w:t>
      </w:r>
      <w:r w:rsidR="008E3ADA" w:rsidRPr="00F343C1">
        <w:rPr>
          <w:i/>
        </w:rPr>
        <w:t>Prudential</w:t>
      </w:r>
      <w:r w:rsidR="008E3ADA">
        <w:rPr>
          <w:i/>
        </w:rPr>
        <w:t xml:space="preserve"> Insurance Co. Licensee of Station WPWE425, Newark, New Jersey, </w:t>
      </w:r>
      <w:r w:rsidR="008E3ADA" w:rsidRPr="00B146EF">
        <w:t>Notice of Violation</w:t>
      </w:r>
      <w:r w:rsidR="008E3ADA">
        <w:t>, V201432380008 (Aug. 11, 2014) (issued</w:t>
      </w:r>
      <w:r w:rsidR="008E3ADA" w:rsidRPr="0048127F">
        <w:t xml:space="preserve"> for</w:t>
      </w:r>
      <w:r w:rsidR="008E3ADA">
        <w:t xml:space="preserve"> violations of Sections </w:t>
      </w:r>
      <w:r w:rsidR="00A30D7F">
        <w:t xml:space="preserve">90.403(c), </w:t>
      </w:r>
      <w:r w:rsidR="008E3ADA">
        <w:t>90.403(e) and 90.425(a) of the Rules);</w:t>
      </w:r>
      <w:r w:rsidR="002F47C9">
        <w:t xml:space="preserve"> </w:t>
      </w:r>
      <w:r w:rsidR="002F47C9" w:rsidRPr="002F47C9">
        <w:rPr>
          <w:i/>
        </w:rPr>
        <w:t xml:space="preserve">Auburn School District 408 Licensee of Station KUB430, Auburn, Washington, </w:t>
      </w:r>
      <w:r w:rsidR="002F47C9" w:rsidRPr="002F47C9">
        <w:t>Notice of Violation, V201432980014 (Jun. 19, 2014) (issued for violations of Sections 1.903(a), 90.403(e) and 90.425(a) of the Rules);</w:t>
      </w:r>
      <w:r w:rsidR="002F47C9" w:rsidRPr="002F47C9">
        <w:rPr>
          <w:i/>
          <w:snapToGrid w:val="0"/>
          <w:kern w:val="28"/>
          <w:sz w:val="22"/>
        </w:rPr>
        <w:t xml:space="preserve"> </w:t>
      </w:r>
      <w:r w:rsidR="002F47C9" w:rsidRPr="002F47C9">
        <w:rPr>
          <w:i/>
        </w:rPr>
        <w:t xml:space="preserve">Temco, LLC Licensee of Station KYK712, Tacoma, Washington, </w:t>
      </w:r>
      <w:r w:rsidR="002F47C9" w:rsidRPr="002F47C9">
        <w:t>Notice of Violation, V201432980011 (May 15, 2014) (issued for violations of Sections 90.403(e) and 90.425(a) of the Rules);</w:t>
      </w:r>
      <w:r w:rsidR="002F47C9">
        <w:t xml:space="preserve"> </w:t>
      </w:r>
      <w:r w:rsidR="002F47C9" w:rsidRPr="002F47C9">
        <w:rPr>
          <w:i/>
        </w:rPr>
        <w:t xml:space="preserve">Wireless Advanced Communications Licensee of Station WQAZ441, Fort Collins, Colorado, </w:t>
      </w:r>
      <w:r w:rsidR="002F47C9" w:rsidRPr="002F47C9">
        <w:t>Notice of Violation, V201432800036 (May 9, 2014) (issued for violations of Sections 1.903(a) and 90.403(e) of the Rules);</w:t>
      </w:r>
      <w:r w:rsidR="002F47C9" w:rsidRPr="002F47C9">
        <w:rPr>
          <w:i/>
        </w:rPr>
        <w:t xml:space="preserve"> </w:t>
      </w:r>
      <w:r w:rsidR="002F47C9">
        <w:t xml:space="preserve"> </w:t>
      </w:r>
      <w:r w:rsidR="002F47C9" w:rsidRPr="002F47C9">
        <w:rPr>
          <w:i/>
        </w:rPr>
        <w:t xml:space="preserve">Alliance Communications Group Licensee of Station WQCA755, Mount Wilson, California, </w:t>
      </w:r>
      <w:r w:rsidR="002F47C9" w:rsidRPr="002F47C9">
        <w:t>Notice of Violation, V201432900020 (Apr. 24, 2014) (issued for violations of Sections 1.903(a), 90.403(e) and 90.425(a) of the Rules);</w:t>
      </w:r>
      <w:r w:rsidR="002F47C9">
        <w:t xml:space="preserve"> </w:t>
      </w:r>
      <w:r w:rsidR="008E3ADA">
        <w:t xml:space="preserve"> </w:t>
      </w:r>
      <w:r w:rsidR="002F47C9" w:rsidRPr="002F47C9">
        <w:rPr>
          <w:i/>
        </w:rPr>
        <w:t xml:space="preserve">David M. Adams Licensee of Station WNMX489, Syracuse, New York, </w:t>
      </w:r>
      <w:r w:rsidR="002F47C9" w:rsidRPr="002F47C9">
        <w:t>Notice of Violation, V201432400016 (Mar. 11, 2014) (issued for violations of Sections 1.903(a) and 90.403(e) of the Rules);</w:t>
      </w:r>
      <w:r w:rsidR="002F47C9">
        <w:t xml:space="preserve"> </w:t>
      </w:r>
      <w:r w:rsidR="002F47C9" w:rsidRPr="002F47C9">
        <w:rPr>
          <w:i/>
        </w:rPr>
        <w:t xml:space="preserve">Swedish Hospital Licensee of Station KNAX757, Seattle, Washington, </w:t>
      </w:r>
      <w:r w:rsidR="002F47C9" w:rsidRPr="002F47C9">
        <w:t xml:space="preserve">Notice of Violation, V201432980008 (Feb. 6, 2014) (issued for violations of Sections 90.403(e) and 90.425(a) of the Rules); </w:t>
      </w:r>
      <w:r w:rsidR="002F47C9" w:rsidRPr="002F47C9">
        <w:rPr>
          <w:i/>
        </w:rPr>
        <w:t xml:space="preserve">Kemper Development Licensee of Station WQAM384, Bellevue, Washington, </w:t>
      </w:r>
      <w:r w:rsidR="002F47C9" w:rsidRPr="002F47C9">
        <w:t>Notice of Violation, V201432980007 (Feb. 6, 2014) (issued for violations of Sections 1.903(a). 90.187(b), 90.403(e) and 90.425(a) of the Rules);</w:t>
      </w:r>
      <w:r w:rsidR="002F47C9" w:rsidRPr="002F47C9">
        <w:rPr>
          <w:i/>
        </w:rPr>
        <w:t xml:space="preserve"> </w:t>
      </w:r>
      <w:r w:rsidR="007671AE" w:rsidRPr="007671AE">
        <w:rPr>
          <w:i/>
          <w:snapToGrid w:val="0"/>
          <w:kern w:val="28"/>
        </w:rPr>
        <w:t xml:space="preserve">Doral Resort and Country Club </w:t>
      </w:r>
      <w:r w:rsidR="008E3ADA" w:rsidRPr="007671AE">
        <w:rPr>
          <w:i/>
        </w:rPr>
        <w:t>Licensee of Station WP</w:t>
      </w:r>
      <w:r w:rsidR="007671AE" w:rsidRPr="007671AE">
        <w:rPr>
          <w:i/>
        </w:rPr>
        <w:t>MC578</w:t>
      </w:r>
      <w:r w:rsidR="008E3ADA" w:rsidRPr="007671AE">
        <w:rPr>
          <w:i/>
        </w:rPr>
        <w:t xml:space="preserve">, </w:t>
      </w:r>
      <w:r w:rsidR="007671AE" w:rsidRPr="007671AE">
        <w:rPr>
          <w:i/>
        </w:rPr>
        <w:t>Miami, Florida</w:t>
      </w:r>
      <w:r w:rsidR="008E3ADA" w:rsidRPr="007671AE">
        <w:rPr>
          <w:i/>
        </w:rPr>
        <w:t xml:space="preserve">, </w:t>
      </w:r>
      <w:r w:rsidR="008E3ADA" w:rsidRPr="007671AE">
        <w:t>Notice of Violation, V201432</w:t>
      </w:r>
      <w:r w:rsidR="007671AE" w:rsidRPr="007671AE">
        <w:t>600007</w:t>
      </w:r>
      <w:r w:rsidR="008E3ADA" w:rsidRPr="007671AE">
        <w:t xml:space="preserve"> (</w:t>
      </w:r>
      <w:r w:rsidR="007671AE" w:rsidRPr="007671AE">
        <w:t>Jan. 31</w:t>
      </w:r>
      <w:r w:rsidR="008E3ADA" w:rsidRPr="007671AE">
        <w:t>, 2014) (issued for violations of Sections 90.403(e) and 90.425(a) of the Rules);</w:t>
      </w:r>
      <w:r w:rsidR="008E3ADA" w:rsidRPr="007671AE">
        <w:rPr>
          <w:i/>
          <w:snapToGrid w:val="0"/>
          <w:kern w:val="28"/>
        </w:rPr>
        <w:t xml:space="preserve"> </w:t>
      </w:r>
      <w:r w:rsidR="00924DCA">
        <w:rPr>
          <w:i/>
        </w:rPr>
        <w:t>Allen Alarm Systems, Inc. Licensee of Station WQFC484</w:t>
      </w:r>
      <w:r w:rsidR="007418F0" w:rsidRPr="007418F0">
        <w:rPr>
          <w:i/>
        </w:rPr>
        <w:t xml:space="preserve">, </w:t>
      </w:r>
      <w:r w:rsidR="00924DCA">
        <w:rPr>
          <w:i/>
        </w:rPr>
        <w:t>Los Angeles</w:t>
      </w:r>
      <w:r w:rsidR="007418F0" w:rsidRPr="007418F0">
        <w:rPr>
          <w:i/>
        </w:rPr>
        <w:t xml:space="preserve">, California, </w:t>
      </w:r>
      <w:r w:rsidR="007418F0" w:rsidRPr="007418F0">
        <w:t>Notice of Violation, V201</w:t>
      </w:r>
      <w:r w:rsidR="00924DCA">
        <w:t>4</w:t>
      </w:r>
      <w:r w:rsidR="007418F0" w:rsidRPr="007418F0">
        <w:t>3290000</w:t>
      </w:r>
      <w:r w:rsidR="00924DCA">
        <w:t>9</w:t>
      </w:r>
      <w:r w:rsidR="007418F0" w:rsidRPr="007418F0">
        <w:t xml:space="preserve"> (</w:t>
      </w:r>
      <w:r w:rsidR="00924DCA">
        <w:t>Dec. 5, 2013</w:t>
      </w:r>
      <w:r w:rsidR="007418F0" w:rsidRPr="007418F0">
        <w:t>) (issued for violations of Sections</w:t>
      </w:r>
      <w:r w:rsidR="00924DCA">
        <w:t xml:space="preserve"> 1.903(a) and</w:t>
      </w:r>
      <w:r w:rsidR="007418F0" w:rsidRPr="007418F0">
        <w:t xml:space="preserve"> 90.403(e)</w:t>
      </w:r>
      <w:r w:rsidR="00CD5AEB">
        <w:t xml:space="preserve"> </w:t>
      </w:r>
      <w:r w:rsidR="007418F0" w:rsidRPr="007418F0">
        <w:t>of the Rules)</w:t>
      </w:r>
      <w:r w:rsidR="007418F0">
        <w:t>;</w:t>
      </w:r>
      <w:r w:rsidR="00F240E3">
        <w:t xml:space="preserve"> </w:t>
      </w:r>
      <w:r w:rsidR="00924DCA">
        <w:rPr>
          <w:i/>
        </w:rPr>
        <w:t>Day Management Corp dba Day Wireless Systems</w:t>
      </w:r>
      <w:r w:rsidR="007418F0" w:rsidRPr="007418F0">
        <w:rPr>
          <w:i/>
        </w:rPr>
        <w:t xml:space="preserve"> Licensee of Station W</w:t>
      </w:r>
      <w:r w:rsidR="00924DCA">
        <w:rPr>
          <w:i/>
        </w:rPr>
        <w:t>NXY421</w:t>
      </w:r>
      <w:r w:rsidR="007418F0" w:rsidRPr="007418F0">
        <w:rPr>
          <w:i/>
        </w:rPr>
        <w:t xml:space="preserve">, </w:t>
      </w:r>
      <w:r w:rsidR="00924DCA">
        <w:rPr>
          <w:i/>
        </w:rPr>
        <w:t>Issaquah, Washington</w:t>
      </w:r>
      <w:r w:rsidR="007418F0" w:rsidRPr="007418F0">
        <w:rPr>
          <w:i/>
        </w:rPr>
        <w:t xml:space="preserve">, </w:t>
      </w:r>
      <w:r w:rsidR="007418F0" w:rsidRPr="007418F0">
        <w:t>Notice of Violation, V201</w:t>
      </w:r>
      <w:r w:rsidR="00924DCA">
        <w:t>4</w:t>
      </w:r>
      <w:r w:rsidR="007418F0" w:rsidRPr="007418F0">
        <w:t>329</w:t>
      </w:r>
      <w:r w:rsidR="00924DCA">
        <w:t>8</w:t>
      </w:r>
      <w:r w:rsidR="007418F0" w:rsidRPr="007418F0">
        <w:t>000</w:t>
      </w:r>
      <w:r w:rsidR="00924DCA">
        <w:t>1</w:t>
      </w:r>
      <w:r w:rsidR="007418F0" w:rsidRPr="007418F0">
        <w:t xml:space="preserve"> (</w:t>
      </w:r>
      <w:r w:rsidR="00924DCA">
        <w:t>Oct. 31</w:t>
      </w:r>
      <w:r w:rsidR="007418F0" w:rsidRPr="007418F0">
        <w:t>, 201</w:t>
      </w:r>
      <w:r w:rsidR="00924DCA">
        <w:t>3</w:t>
      </w:r>
      <w:r w:rsidR="007418F0" w:rsidRPr="007418F0">
        <w:t>) (issued for violations of Section 90.403(e) of the Rules)</w:t>
      </w:r>
      <w:r w:rsidR="007418F0">
        <w:t>;</w:t>
      </w:r>
      <w:r w:rsidR="00CB37E3" w:rsidRPr="00CB37E3">
        <w:rPr>
          <w:i/>
          <w:snapToGrid w:val="0"/>
          <w:kern w:val="28"/>
          <w:sz w:val="22"/>
        </w:rPr>
        <w:t xml:space="preserve"> </w:t>
      </w:r>
      <w:r w:rsidR="00CB37E3" w:rsidRPr="00CB37E3">
        <w:rPr>
          <w:i/>
        </w:rPr>
        <w:t xml:space="preserve">Cedar Sinai Health System Licensee of WNZC462, Los Angeles, California, </w:t>
      </w:r>
      <w:r w:rsidR="00CB37E3" w:rsidRPr="00CB37E3">
        <w:t>Notice of Violation, V201332900039 (Sep. 5, 2013) (issued for violations of Sections 90.403(</w:t>
      </w:r>
      <w:r w:rsidR="00A30D7F">
        <w:t>c</w:t>
      </w:r>
      <w:r w:rsidR="00CB37E3" w:rsidRPr="00CB37E3">
        <w:t>) and 90.4</w:t>
      </w:r>
      <w:r w:rsidR="00A30D7F">
        <w:t>03(e)</w:t>
      </w:r>
      <w:r w:rsidR="00CB37E3" w:rsidRPr="00CB37E3">
        <w:t xml:space="preserve"> of the Rules);</w:t>
      </w:r>
      <w:r w:rsidR="00CB37E3">
        <w:t xml:space="preserve"> </w:t>
      </w:r>
      <w:r w:rsidR="00F240E3">
        <w:t xml:space="preserve"> </w:t>
      </w:r>
      <w:r w:rsidR="00924DCA">
        <w:rPr>
          <w:i/>
        </w:rPr>
        <w:t>Fisher Wireless S</w:t>
      </w:r>
      <w:r w:rsidR="00E76B63">
        <w:rPr>
          <w:i/>
        </w:rPr>
        <w:t>e</w:t>
      </w:r>
      <w:r w:rsidR="00924DCA">
        <w:rPr>
          <w:i/>
        </w:rPr>
        <w:t>rvices, Inc.</w:t>
      </w:r>
      <w:r w:rsidR="007418F0" w:rsidRPr="007418F0">
        <w:rPr>
          <w:i/>
        </w:rPr>
        <w:t xml:space="preserve"> Licensee of Station WP</w:t>
      </w:r>
      <w:r w:rsidR="00E76B63">
        <w:rPr>
          <w:i/>
        </w:rPr>
        <w:t>LZ806</w:t>
      </w:r>
      <w:r w:rsidR="007418F0" w:rsidRPr="007418F0">
        <w:rPr>
          <w:i/>
        </w:rPr>
        <w:t xml:space="preserve">, </w:t>
      </w:r>
      <w:r w:rsidR="00E76B63">
        <w:rPr>
          <w:i/>
        </w:rPr>
        <w:t>Los Gatos,</w:t>
      </w:r>
      <w:r w:rsidR="007418F0" w:rsidRPr="007418F0">
        <w:rPr>
          <w:i/>
        </w:rPr>
        <w:t xml:space="preserve"> California, </w:t>
      </w:r>
      <w:r w:rsidR="007418F0" w:rsidRPr="007418F0">
        <w:t>Notice of Violation, V201</w:t>
      </w:r>
      <w:r w:rsidR="00E76B63">
        <w:t>3</w:t>
      </w:r>
      <w:r w:rsidR="007418F0" w:rsidRPr="007418F0">
        <w:t>329</w:t>
      </w:r>
      <w:r w:rsidR="00E76B63">
        <w:t>6</w:t>
      </w:r>
      <w:r w:rsidR="007418F0" w:rsidRPr="007418F0">
        <w:t>00</w:t>
      </w:r>
      <w:r w:rsidR="00E76B63">
        <w:t>2</w:t>
      </w:r>
      <w:r w:rsidR="007418F0" w:rsidRPr="007418F0">
        <w:t>2 (</w:t>
      </w:r>
      <w:r w:rsidR="00E76B63">
        <w:t>Aug. 29, 2013</w:t>
      </w:r>
      <w:r w:rsidR="007418F0" w:rsidRPr="007418F0">
        <w:t>) (issued for violations of Sections 90.403(e) and 90.425(a) of the Rules)</w:t>
      </w:r>
      <w:r w:rsidR="007418F0">
        <w:t>;</w:t>
      </w:r>
      <w:r w:rsidR="00CD5AEB">
        <w:t xml:space="preserve"> </w:t>
      </w:r>
      <w:r w:rsidR="00CD5AEB" w:rsidRPr="00CD5AEB">
        <w:rPr>
          <w:i/>
        </w:rPr>
        <w:t xml:space="preserve">Fisher Wireless Services, Inc. Licensee of Station WPMU872, Walnut Creek, California, </w:t>
      </w:r>
      <w:r w:rsidR="00CD5AEB" w:rsidRPr="00CD5AEB">
        <w:t xml:space="preserve">Notice of Violation, V201332960020 (Aug. 15, 2013) (issued for violations of Sections 90.403(c) and 90.403(e) of the Rules); </w:t>
      </w:r>
      <w:r w:rsidR="00F240E3">
        <w:t xml:space="preserve"> </w:t>
      </w:r>
      <w:r w:rsidR="00E76B63">
        <w:rPr>
          <w:i/>
        </w:rPr>
        <w:t>City of Bellflower</w:t>
      </w:r>
      <w:r w:rsidR="007418F0" w:rsidRPr="007418F0">
        <w:rPr>
          <w:i/>
        </w:rPr>
        <w:t xml:space="preserve"> Licensee of Station </w:t>
      </w:r>
      <w:r w:rsidR="00E76B63">
        <w:rPr>
          <w:i/>
        </w:rPr>
        <w:t>WQKK350</w:t>
      </w:r>
      <w:r w:rsidR="007418F0" w:rsidRPr="007418F0">
        <w:rPr>
          <w:i/>
        </w:rPr>
        <w:t xml:space="preserve">, </w:t>
      </w:r>
      <w:r w:rsidR="00E76B63">
        <w:rPr>
          <w:i/>
        </w:rPr>
        <w:t>Bellflower</w:t>
      </w:r>
      <w:r w:rsidR="007418F0" w:rsidRPr="007418F0">
        <w:rPr>
          <w:i/>
        </w:rPr>
        <w:t xml:space="preserve">, California, </w:t>
      </w:r>
      <w:r w:rsidR="007418F0" w:rsidRPr="007418F0">
        <w:t>Notice of Violation, V201</w:t>
      </w:r>
      <w:r w:rsidR="00E76B63">
        <w:t>3</w:t>
      </w:r>
      <w:r w:rsidR="007418F0" w:rsidRPr="007418F0">
        <w:t>329000</w:t>
      </w:r>
      <w:r w:rsidR="00E76B63">
        <w:t>35</w:t>
      </w:r>
      <w:r w:rsidR="007418F0" w:rsidRPr="007418F0">
        <w:t xml:space="preserve"> (A</w:t>
      </w:r>
      <w:r w:rsidR="00E76B63">
        <w:t>ug. 1</w:t>
      </w:r>
      <w:r w:rsidR="007418F0" w:rsidRPr="007418F0">
        <w:t>, 201</w:t>
      </w:r>
      <w:r w:rsidR="00E76B63">
        <w:t>3</w:t>
      </w:r>
      <w:r w:rsidR="007418F0" w:rsidRPr="007418F0">
        <w:t xml:space="preserve">) (issued for violations of Sections </w:t>
      </w:r>
      <w:r w:rsidR="00E76B63">
        <w:t xml:space="preserve">90.403(c), </w:t>
      </w:r>
      <w:r w:rsidR="007418F0" w:rsidRPr="007418F0">
        <w:t>90.403(e) and 90.425(a) of the Rules)</w:t>
      </w:r>
      <w:r w:rsidR="007418F0">
        <w:t>;</w:t>
      </w:r>
      <w:r w:rsidR="00F240E3">
        <w:t xml:space="preserve"> </w:t>
      </w:r>
      <w:r w:rsidR="00E76B63">
        <w:rPr>
          <w:i/>
        </w:rPr>
        <w:t xml:space="preserve">L.A. Checker Cooperative, Inc. </w:t>
      </w:r>
      <w:r w:rsidR="007418F0" w:rsidRPr="007418F0">
        <w:rPr>
          <w:i/>
        </w:rPr>
        <w:t>Licensee of Station W</w:t>
      </w:r>
      <w:r w:rsidR="00E76B63">
        <w:rPr>
          <w:i/>
        </w:rPr>
        <w:t>CL626</w:t>
      </w:r>
      <w:r w:rsidR="007418F0" w:rsidRPr="007418F0">
        <w:rPr>
          <w:i/>
        </w:rPr>
        <w:t xml:space="preserve">, </w:t>
      </w:r>
      <w:r w:rsidR="00E76B63">
        <w:rPr>
          <w:i/>
        </w:rPr>
        <w:t>Los Angeles</w:t>
      </w:r>
      <w:r w:rsidR="007418F0" w:rsidRPr="007418F0">
        <w:rPr>
          <w:i/>
        </w:rPr>
        <w:t xml:space="preserve">, California, </w:t>
      </w:r>
      <w:r w:rsidR="007418F0" w:rsidRPr="007418F0">
        <w:t>Notice of Violation, V201</w:t>
      </w:r>
      <w:r w:rsidR="00E76B63">
        <w:t>3</w:t>
      </w:r>
      <w:r w:rsidR="007418F0" w:rsidRPr="007418F0">
        <w:t>329000</w:t>
      </w:r>
      <w:r w:rsidR="00E76B63">
        <w:t>34</w:t>
      </w:r>
      <w:r w:rsidR="007418F0" w:rsidRPr="007418F0">
        <w:t xml:space="preserve"> (</w:t>
      </w:r>
      <w:r w:rsidR="00E76B63">
        <w:t>Jul. 25</w:t>
      </w:r>
      <w:r w:rsidR="007418F0" w:rsidRPr="007418F0">
        <w:t>, 201</w:t>
      </w:r>
      <w:r w:rsidR="00E76B63">
        <w:t>3</w:t>
      </w:r>
      <w:r w:rsidR="007418F0" w:rsidRPr="007418F0">
        <w:t xml:space="preserve">) (issued for violations of Sections </w:t>
      </w:r>
      <w:r w:rsidR="00E76B63">
        <w:t xml:space="preserve">90.403(c), </w:t>
      </w:r>
      <w:r w:rsidR="007418F0" w:rsidRPr="007418F0">
        <w:t>90.403(e) and 90.425(a) of the Rules)</w:t>
      </w:r>
      <w:r w:rsidR="007418F0">
        <w:t xml:space="preserve">; </w:t>
      </w:r>
      <w:r w:rsidR="00F240E3">
        <w:rPr>
          <w:i/>
        </w:rPr>
        <w:t xml:space="preserve"> </w:t>
      </w:r>
      <w:r w:rsidR="00E76B63">
        <w:rPr>
          <w:i/>
        </w:rPr>
        <w:t xml:space="preserve">United Independent Taxi Drivers Inc. </w:t>
      </w:r>
      <w:r w:rsidR="007418F0" w:rsidRPr="007418F0">
        <w:rPr>
          <w:i/>
        </w:rPr>
        <w:t xml:space="preserve">Licensee of Station </w:t>
      </w:r>
      <w:r w:rsidR="00E76B63">
        <w:rPr>
          <w:i/>
        </w:rPr>
        <w:t>KIL251,</w:t>
      </w:r>
      <w:r w:rsidR="007418F0" w:rsidRPr="007418F0">
        <w:rPr>
          <w:i/>
        </w:rPr>
        <w:t xml:space="preserve"> </w:t>
      </w:r>
      <w:r w:rsidR="00E76B63">
        <w:rPr>
          <w:i/>
        </w:rPr>
        <w:t>Los Angeles, California</w:t>
      </w:r>
      <w:r w:rsidR="007418F0" w:rsidRPr="007418F0">
        <w:rPr>
          <w:i/>
        </w:rPr>
        <w:t xml:space="preserve">, </w:t>
      </w:r>
      <w:r w:rsidR="007418F0" w:rsidRPr="007418F0">
        <w:t>Notice of Violation, V201</w:t>
      </w:r>
      <w:r w:rsidR="00E76B63">
        <w:t>3</w:t>
      </w:r>
      <w:r w:rsidR="007418F0" w:rsidRPr="007418F0">
        <w:t>329000</w:t>
      </w:r>
      <w:r w:rsidR="00E76B63">
        <w:t>31</w:t>
      </w:r>
      <w:r w:rsidR="007418F0" w:rsidRPr="007418F0">
        <w:t xml:space="preserve"> (</w:t>
      </w:r>
      <w:r w:rsidR="00E76B63">
        <w:t>Jul</w:t>
      </w:r>
      <w:r w:rsidR="007418F0" w:rsidRPr="007418F0">
        <w:t>.</w:t>
      </w:r>
      <w:r w:rsidR="00E76B63">
        <w:t xml:space="preserve"> 2</w:t>
      </w:r>
      <w:r w:rsidR="007418F0" w:rsidRPr="007418F0">
        <w:t>, 201</w:t>
      </w:r>
      <w:r w:rsidR="00E76B63">
        <w:t>3</w:t>
      </w:r>
      <w:r w:rsidR="007418F0" w:rsidRPr="007418F0">
        <w:t xml:space="preserve">) (issued for violations of Sections </w:t>
      </w:r>
      <w:r w:rsidR="00E76B63">
        <w:t xml:space="preserve">90.403(c), </w:t>
      </w:r>
      <w:r w:rsidR="007418F0" w:rsidRPr="007418F0">
        <w:t>90.403(e) and 90.425(a) of the Rules)</w:t>
      </w:r>
      <w:r w:rsidR="007418F0">
        <w:t>;</w:t>
      </w:r>
      <w:r w:rsidR="00F240E3">
        <w:t xml:space="preserve"> </w:t>
      </w:r>
      <w:r w:rsidR="00E76B63">
        <w:rPr>
          <w:i/>
        </w:rPr>
        <w:t>United Independent Taxi Drivers Inc.</w:t>
      </w:r>
      <w:r w:rsidR="007418F0" w:rsidRPr="007418F0">
        <w:rPr>
          <w:i/>
        </w:rPr>
        <w:t xml:space="preserve"> Licensee of Station WPT</w:t>
      </w:r>
      <w:r w:rsidR="00E76B63">
        <w:rPr>
          <w:i/>
        </w:rPr>
        <w:t>G506</w:t>
      </w:r>
      <w:r w:rsidR="007418F0" w:rsidRPr="007418F0">
        <w:rPr>
          <w:i/>
        </w:rPr>
        <w:t xml:space="preserve">, </w:t>
      </w:r>
      <w:r w:rsidR="00E76B63">
        <w:rPr>
          <w:i/>
        </w:rPr>
        <w:t>Palos Verde</w:t>
      </w:r>
      <w:r w:rsidR="007418F0" w:rsidRPr="007418F0">
        <w:rPr>
          <w:i/>
        </w:rPr>
        <w:t xml:space="preserve">, California, </w:t>
      </w:r>
      <w:r w:rsidR="007418F0" w:rsidRPr="007418F0">
        <w:t>Notice of Violation, V201</w:t>
      </w:r>
      <w:r w:rsidR="0071005B">
        <w:t>3</w:t>
      </w:r>
      <w:r w:rsidR="007418F0" w:rsidRPr="007418F0">
        <w:t>329000</w:t>
      </w:r>
      <w:r w:rsidR="0071005B">
        <w:t>23</w:t>
      </w:r>
      <w:r w:rsidR="007418F0" w:rsidRPr="007418F0">
        <w:t xml:space="preserve"> (</w:t>
      </w:r>
      <w:r w:rsidR="0071005B">
        <w:t>May 10</w:t>
      </w:r>
      <w:r w:rsidR="007418F0" w:rsidRPr="007418F0">
        <w:t>, 201</w:t>
      </w:r>
      <w:r w:rsidR="0071005B">
        <w:t>3</w:t>
      </w:r>
      <w:r w:rsidR="007418F0" w:rsidRPr="007418F0">
        <w:t xml:space="preserve">) (issued for violations of Sections </w:t>
      </w:r>
      <w:r w:rsidR="0071005B">
        <w:t>1.903(a)</w:t>
      </w:r>
      <w:r w:rsidR="00583828">
        <w:t>,</w:t>
      </w:r>
      <w:r w:rsidR="0071005B">
        <w:t xml:space="preserve"> 90.403(c), </w:t>
      </w:r>
      <w:r w:rsidR="007418F0" w:rsidRPr="007418F0">
        <w:t>90.403(e) and 90.425(a) of the Rules)</w:t>
      </w:r>
      <w:r w:rsidR="007418F0">
        <w:t>;</w:t>
      </w:r>
      <w:r w:rsidR="00F240E3">
        <w:t xml:space="preserve"> </w:t>
      </w:r>
      <w:r w:rsidR="00CD5AEB" w:rsidRPr="00CD5AEB">
        <w:t xml:space="preserve">ASARCO,LLC Licensee of Station WQHR264, Sahuarita, Arizona, Notice of Violation, V201332940011 (May 9, 2013) (issued for violations of Sections 1.903(a) and 90.403(e) of the Rules); </w:t>
      </w:r>
      <w:r w:rsidR="00F240E3">
        <w:rPr>
          <w:i/>
        </w:rPr>
        <w:t xml:space="preserve">Mobile Relay Associates </w:t>
      </w:r>
      <w:r w:rsidR="00F240E3" w:rsidRPr="00F240E3">
        <w:rPr>
          <w:i/>
        </w:rPr>
        <w:t>Licensee of Station W</w:t>
      </w:r>
      <w:r w:rsidR="00F240E3">
        <w:rPr>
          <w:i/>
        </w:rPr>
        <w:t>QGW503</w:t>
      </w:r>
      <w:r w:rsidR="00F240E3" w:rsidRPr="00F240E3">
        <w:rPr>
          <w:i/>
        </w:rPr>
        <w:t xml:space="preserve">, </w:t>
      </w:r>
      <w:r w:rsidR="00F240E3">
        <w:rPr>
          <w:i/>
        </w:rPr>
        <w:t>Chatsworth</w:t>
      </w:r>
      <w:r w:rsidR="00F240E3" w:rsidRPr="00F240E3">
        <w:rPr>
          <w:i/>
        </w:rPr>
        <w:t xml:space="preserve">, California, </w:t>
      </w:r>
      <w:r w:rsidR="00F240E3" w:rsidRPr="00F240E3">
        <w:t>Notice of Violation, V201</w:t>
      </w:r>
      <w:r w:rsidR="00F240E3">
        <w:t>3</w:t>
      </w:r>
      <w:r w:rsidR="00F240E3" w:rsidRPr="00F240E3">
        <w:t>329000</w:t>
      </w:r>
      <w:r w:rsidR="00F240E3">
        <w:t>19</w:t>
      </w:r>
      <w:r w:rsidR="00F240E3" w:rsidRPr="00F240E3">
        <w:t xml:space="preserve"> (Apr. </w:t>
      </w:r>
      <w:r w:rsidR="00F240E3">
        <w:t>25</w:t>
      </w:r>
      <w:r w:rsidR="00F240E3" w:rsidRPr="00F240E3">
        <w:t>, 201</w:t>
      </w:r>
      <w:r w:rsidR="00F240E3">
        <w:t>3</w:t>
      </w:r>
      <w:r w:rsidR="00F240E3" w:rsidRPr="00F240E3">
        <w:t xml:space="preserve">) (issued for violations of Sections </w:t>
      </w:r>
      <w:r w:rsidR="0046138C">
        <w:t xml:space="preserve">1.903(a), 90.403(c), </w:t>
      </w:r>
      <w:r w:rsidR="00F240E3" w:rsidRPr="00F240E3">
        <w:t>90.403(e) and 90.425(a) of the Rules)</w:t>
      </w:r>
      <w:r w:rsidR="00F240E3">
        <w:t xml:space="preserve">; </w:t>
      </w:r>
      <w:r w:rsidR="00583828">
        <w:rPr>
          <w:i/>
        </w:rPr>
        <w:t>San Gabriel Transit Inc.</w:t>
      </w:r>
      <w:r w:rsidR="00583828" w:rsidRPr="00583828">
        <w:rPr>
          <w:i/>
        </w:rPr>
        <w:t xml:space="preserve"> Licensee of Station WP</w:t>
      </w:r>
      <w:r w:rsidR="00583828">
        <w:rPr>
          <w:i/>
        </w:rPr>
        <w:t>MY670</w:t>
      </w:r>
      <w:r w:rsidR="00583828" w:rsidRPr="00583828">
        <w:rPr>
          <w:i/>
        </w:rPr>
        <w:t xml:space="preserve">, </w:t>
      </w:r>
      <w:r w:rsidR="00F240E3">
        <w:rPr>
          <w:i/>
        </w:rPr>
        <w:t xml:space="preserve">Palos Verde, </w:t>
      </w:r>
      <w:r w:rsidR="00583828" w:rsidRPr="00583828">
        <w:rPr>
          <w:i/>
        </w:rPr>
        <w:t xml:space="preserve">California, </w:t>
      </w:r>
      <w:r w:rsidR="00583828" w:rsidRPr="00583828">
        <w:t>Notice of Violation, V201</w:t>
      </w:r>
      <w:r w:rsidR="00F240E3">
        <w:t>3</w:t>
      </w:r>
      <w:r w:rsidR="00583828" w:rsidRPr="00583828">
        <w:t>329000</w:t>
      </w:r>
      <w:r w:rsidR="00F240E3">
        <w:t>1</w:t>
      </w:r>
      <w:r w:rsidR="00583828" w:rsidRPr="00583828">
        <w:t>2 (</w:t>
      </w:r>
      <w:r w:rsidR="00F240E3">
        <w:t>Mar</w:t>
      </w:r>
      <w:r w:rsidR="00583828" w:rsidRPr="00583828">
        <w:t xml:space="preserve">. </w:t>
      </w:r>
      <w:r w:rsidR="00F240E3">
        <w:t>20</w:t>
      </w:r>
      <w:r w:rsidR="00583828" w:rsidRPr="00583828">
        <w:t>, 201</w:t>
      </w:r>
      <w:r w:rsidR="00F240E3">
        <w:t>3</w:t>
      </w:r>
      <w:r w:rsidR="00583828" w:rsidRPr="00583828">
        <w:t xml:space="preserve">) (issued for violations of Sections </w:t>
      </w:r>
      <w:r w:rsidR="00F240E3">
        <w:t xml:space="preserve">1.903(a), 90.403(c), </w:t>
      </w:r>
      <w:r w:rsidR="00583828" w:rsidRPr="00583828">
        <w:t>90.403(e) and 90.425(a) of the Rules)</w:t>
      </w:r>
      <w:r w:rsidR="00F240E3">
        <w:t xml:space="preserve">; </w:t>
      </w:r>
      <w:r w:rsidR="00F240E3" w:rsidRPr="00A16480">
        <w:rPr>
          <w:i/>
        </w:rPr>
        <w:t>M</w:t>
      </w:r>
      <w:r w:rsidR="00F240E3" w:rsidRPr="00F240E3">
        <w:rPr>
          <w:i/>
        </w:rPr>
        <w:t>obi</w:t>
      </w:r>
      <w:r w:rsidR="00F240E3">
        <w:rPr>
          <w:i/>
        </w:rPr>
        <w:t xml:space="preserve">le Relay Associates </w:t>
      </w:r>
      <w:r w:rsidR="00583828" w:rsidRPr="00583828">
        <w:rPr>
          <w:i/>
        </w:rPr>
        <w:t>Licensee of Station W</w:t>
      </w:r>
      <w:r w:rsidR="00F240E3">
        <w:rPr>
          <w:i/>
        </w:rPr>
        <w:t>QQA438</w:t>
      </w:r>
      <w:r w:rsidR="00583828" w:rsidRPr="00583828">
        <w:rPr>
          <w:i/>
        </w:rPr>
        <w:t xml:space="preserve">, </w:t>
      </w:r>
      <w:r w:rsidR="00F240E3">
        <w:rPr>
          <w:i/>
        </w:rPr>
        <w:t xml:space="preserve">Pasadena, </w:t>
      </w:r>
      <w:r w:rsidR="00583828" w:rsidRPr="00583828">
        <w:rPr>
          <w:i/>
        </w:rPr>
        <w:t xml:space="preserve">California, </w:t>
      </w:r>
      <w:r w:rsidR="00583828" w:rsidRPr="00583828">
        <w:t>Notice of Violation, V201</w:t>
      </w:r>
      <w:r w:rsidR="00F240E3">
        <w:t>3</w:t>
      </w:r>
      <w:r w:rsidR="00583828" w:rsidRPr="00583828">
        <w:t>329000</w:t>
      </w:r>
      <w:r w:rsidR="00F240E3">
        <w:t>13</w:t>
      </w:r>
      <w:r w:rsidR="00583828" w:rsidRPr="00583828">
        <w:t xml:space="preserve"> (</w:t>
      </w:r>
      <w:r w:rsidR="00F240E3">
        <w:t>Mar. 20, 2013</w:t>
      </w:r>
      <w:r w:rsidR="00583828" w:rsidRPr="00583828">
        <w:t xml:space="preserve">) (issued for violations of Sections </w:t>
      </w:r>
      <w:r w:rsidR="00F240E3">
        <w:t xml:space="preserve">1.903(a), 90.403(c), and </w:t>
      </w:r>
      <w:r w:rsidR="00583828" w:rsidRPr="00583828">
        <w:t>90.403(e) of the Rules)</w:t>
      </w:r>
      <w:r w:rsidR="00F240E3">
        <w:t xml:space="preserve">; </w:t>
      </w:r>
      <w:r w:rsidR="00583828">
        <w:rPr>
          <w:i/>
        </w:rPr>
        <w:t>Acumen Communications</w:t>
      </w:r>
      <w:r w:rsidR="007418F0" w:rsidRPr="007418F0">
        <w:rPr>
          <w:i/>
        </w:rPr>
        <w:t xml:space="preserve"> Licensee of Station W</w:t>
      </w:r>
      <w:r w:rsidR="00583828">
        <w:rPr>
          <w:i/>
        </w:rPr>
        <w:t>QHT586</w:t>
      </w:r>
      <w:r w:rsidR="007418F0" w:rsidRPr="007418F0">
        <w:rPr>
          <w:i/>
        </w:rPr>
        <w:t xml:space="preserve">, </w:t>
      </w:r>
      <w:r w:rsidR="00583828">
        <w:rPr>
          <w:i/>
        </w:rPr>
        <w:t>Rancho Palos Verde</w:t>
      </w:r>
      <w:r w:rsidR="007418F0" w:rsidRPr="007418F0">
        <w:rPr>
          <w:i/>
        </w:rPr>
        <w:t xml:space="preserve">, California, </w:t>
      </w:r>
      <w:r w:rsidR="007418F0" w:rsidRPr="007418F0">
        <w:t>Notice of Violation, V201</w:t>
      </w:r>
      <w:r w:rsidR="00583828">
        <w:t>3</w:t>
      </w:r>
      <w:r w:rsidR="007418F0" w:rsidRPr="007418F0">
        <w:t>3290</w:t>
      </w:r>
      <w:r w:rsidR="00583828">
        <w:t>0016</w:t>
      </w:r>
      <w:r w:rsidR="007418F0" w:rsidRPr="007418F0">
        <w:t xml:space="preserve"> (</w:t>
      </w:r>
      <w:r w:rsidR="00583828">
        <w:t>Mar. 20, 2013</w:t>
      </w:r>
      <w:r w:rsidR="007418F0" w:rsidRPr="007418F0">
        <w:t xml:space="preserve">) (issued for violations of Sections </w:t>
      </w:r>
      <w:r w:rsidR="00583828">
        <w:t xml:space="preserve">1.903(a), 90.403(c), </w:t>
      </w:r>
      <w:r w:rsidR="007418F0" w:rsidRPr="007418F0">
        <w:t>90.403(e) and 90.425(a) of the Rules)</w:t>
      </w:r>
      <w:r w:rsidR="00583828">
        <w:t>;</w:t>
      </w:r>
      <w:r w:rsidR="00F240E3">
        <w:t xml:space="preserve"> </w:t>
      </w:r>
      <w:r w:rsidR="00583828" w:rsidRPr="00583828">
        <w:rPr>
          <w:i/>
        </w:rPr>
        <w:t>A</w:t>
      </w:r>
      <w:r w:rsidR="00583828">
        <w:rPr>
          <w:i/>
        </w:rPr>
        <w:t>cumen Communications</w:t>
      </w:r>
      <w:r w:rsidR="00583828" w:rsidRPr="00583828">
        <w:rPr>
          <w:i/>
        </w:rPr>
        <w:t xml:space="preserve"> Licensee of Station W</w:t>
      </w:r>
      <w:r w:rsidR="00583828">
        <w:rPr>
          <w:i/>
        </w:rPr>
        <w:t>QJF635</w:t>
      </w:r>
      <w:r w:rsidR="00583828" w:rsidRPr="00583828">
        <w:rPr>
          <w:i/>
        </w:rPr>
        <w:t xml:space="preserve">, </w:t>
      </w:r>
      <w:r w:rsidR="00583828">
        <w:rPr>
          <w:i/>
        </w:rPr>
        <w:t xml:space="preserve">Los Angeles, </w:t>
      </w:r>
      <w:r w:rsidR="00583828" w:rsidRPr="00583828">
        <w:rPr>
          <w:i/>
        </w:rPr>
        <w:t xml:space="preserve">California, </w:t>
      </w:r>
      <w:r w:rsidR="00583828" w:rsidRPr="00583828">
        <w:t>Notice of Violation, V201</w:t>
      </w:r>
      <w:r w:rsidR="00583828">
        <w:t>3</w:t>
      </w:r>
      <w:r w:rsidR="00583828" w:rsidRPr="00583828">
        <w:t>3290</w:t>
      </w:r>
      <w:r w:rsidR="00583828">
        <w:t>0008</w:t>
      </w:r>
      <w:r w:rsidR="00583828" w:rsidRPr="00583828">
        <w:t xml:space="preserve"> (</w:t>
      </w:r>
      <w:r w:rsidR="00A30D7F">
        <w:t>Jan. 30</w:t>
      </w:r>
      <w:r w:rsidR="00583828">
        <w:t>, 2013</w:t>
      </w:r>
      <w:r w:rsidR="00583828" w:rsidRPr="00583828">
        <w:t xml:space="preserve">) (issued for violations of Sections </w:t>
      </w:r>
      <w:r w:rsidR="00583828">
        <w:t>1.903(a) and 90.</w:t>
      </w:r>
      <w:r w:rsidR="00583828" w:rsidRPr="00583828">
        <w:t>403(e) of the Rules).</w:t>
      </w:r>
    </w:p>
  </w:footnote>
  <w:footnote w:id="36">
    <w:p w14:paraId="56F82869" w14:textId="485BD3AB" w:rsidR="007453F7" w:rsidRDefault="007453F7">
      <w:pPr>
        <w:pStyle w:val="FootnoteText"/>
      </w:pPr>
      <w:r>
        <w:rPr>
          <w:rStyle w:val="FootnoteReference"/>
        </w:rPr>
        <w:footnoteRef/>
      </w:r>
      <w:r>
        <w:t xml:space="preserve"> </w:t>
      </w:r>
      <w:r w:rsidR="00EA28A3">
        <w:t>5</w:t>
      </w:r>
      <w:r w:rsidRPr="007453F7">
        <w:t xml:space="preserve"> </w:t>
      </w:r>
      <w:r>
        <w:t>U.S.C</w:t>
      </w:r>
      <w:r w:rsidRPr="007453F7">
        <w:t xml:space="preserve">. § </w:t>
      </w:r>
      <w:r>
        <w:t>706</w:t>
      </w:r>
      <w:r w:rsidRPr="007453F7">
        <w:t>.</w:t>
      </w:r>
    </w:p>
  </w:footnote>
  <w:footnote w:id="37">
    <w:p w14:paraId="093329AD" w14:textId="77777777" w:rsidR="007453F7" w:rsidRDefault="007453F7">
      <w:pPr>
        <w:pStyle w:val="FootnoteText"/>
      </w:pPr>
      <w:r>
        <w:rPr>
          <w:rStyle w:val="FootnoteReference"/>
        </w:rPr>
        <w:footnoteRef/>
      </w:r>
      <w:r>
        <w:t xml:space="preserve"> NAL Response at 8.</w:t>
      </w:r>
    </w:p>
  </w:footnote>
  <w:footnote w:id="38">
    <w:p w14:paraId="0AD28A0C" w14:textId="31812361" w:rsidR="00322FA5" w:rsidRPr="000C620E" w:rsidRDefault="00322FA5">
      <w:pPr>
        <w:pStyle w:val="FootnoteText"/>
      </w:pPr>
      <w:r>
        <w:rPr>
          <w:rStyle w:val="FootnoteReference"/>
        </w:rPr>
        <w:footnoteRef/>
      </w:r>
      <w:r>
        <w:t xml:space="preserve"> </w:t>
      </w:r>
      <w:r w:rsidR="000C620E">
        <w:rPr>
          <w:i/>
        </w:rPr>
        <w:t xml:space="preserve">Id. See </w:t>
      </w:r>
      <w:r w:rsidR="000C620E" w:rsidRPr="00854495">
        <w:rPr>
          <w:i/>
        </w:rPr>
        <w:t>Melody Music, Inc</w:t>
      </w:r>
      <w:r w:rsidR="00854495" w:rsidRPr="00854495">
        <w:rPr>
          <w:i/>
        </w:rPr>
        <w:t>.</w:t>
      </w:r>
      <w:r w:rsidR="000C620E" w:rsidRPr="00854495">
        <w:rPr>
          <w:i/>
        </w:rPr>
        <w:t>, v. FCC</w:t>
      </w:r>
      <w:r w:rsidR="000C620E">
        <w:t>, 345 F.2d 730 (D.C. Cir., 1965) (</w:t>
      </w:r>
      <w:r w:rsidR="00854495">
        <w:t xml:space="preserve">in a licensing renewal case, the </w:t>
      </w:r>
      <w:r w:rsidR="000C620E" w:rsidRPr="000C620E">
        <w:t>Commission's failure to explain its decision with simplicity and clarity required reversal</w:t>
      </w:r>
      <w:r w:rsidR="000C620E">
        <w:t xml:space="preserve">); </w:t>
      </w:r>
      <w:r w:rsidR="000C620E" w:rsidRPr="000C620E">
        <w:t> </w:t>
      </w:r>
      <w:r w:rsidR="00854495" w:rsidRPr="00854495">
        <w:rPr>
          <w:i/>
        </w:rPr>
        <w:t>Telephone and Data Systems, Inc., v. FCC</w:t>
      </w:r>
      <w:r w:rsidR="00854495">
        <w:t xml:space="preserve">, 19 F.3d 42 (D.C. Cir., 1994) (Commission failed to give an adequate explanation when it departed from precedent determining that a majority owner had not transferred de facto control to a principal minority owner); </w:t>
      </w:r>
      <w:r w:rsidR="00854495" w:rsidRPr="00854495">
        <w:rPr>
          <w:i/>
        </w:rPr>
        <w:t>Telephone and Data Systems, Inc., v. FCC</w:t>
      </w:r>
      <w:r w:rsidR="00854495" w:rsidRPr="00854495">
        <w:t xml:space="preserve">, 19 F.3d </w:t>
      </w:r>
      <w:r w:rsidR="00854495">
        <w:t>655</w:t>
      </w:r>
      <w:r w:rsidR="00854495" w:rsidRPr="00854495">
        <w:t xml:space="preserve"> (D.C. Cir., 1994)</w:t>
      </w:r>
      <w:r w:rsidR="00854495">
        <w:t xml:space="preserve"> (Commission cannot pick and choose relevant control criteria when dismissing application for cellular telephone license). </w:t>
      </w:r>
      <w:r w:rsidR="00627B40">
        <w:t xml:space="preserve"> We note that </w:t>
      </w:r>
      <w:r w:rsidR="00627B40" w:rsidRPr="00627B40">
        <w:rPr>
          <w:i/>
        </w:rPr>
        <w:t>Melody Music</w:t>
      </w:r>
      <w:r w:rsidR="00627B40" w:rsidRPr="00627B40">
        <w:t>, and the other cases cited,</w:t>
      </w:r>
      <w:r w:rsidR="00627B40" w:rsidRPr="00627B40">
        <w:rPr>
          <w:i/>
        </w:rPr>
        <w:t xml:space="preserve"> </w:t>
      </w:r>
      <w:r w:rsidR="00627B40" w:rsidRPr="00627B40">
        <w:t xml:space="preserve">address the particular burdens that the Commission must meet in justifying its licensing decisions, not its enforcement actions. </w:t>
      </w:r>
      <w:r w:rsidR="00627B40">
        <w:t xml:space="preserve"> </w:t>
      </w:r>
      <w:r w:rsidR="00627B40" w:rsidRPr="00627B40">
        <w:rPr>
          <w:i/>
        </w:rPr>
        <w:t>See Greater Boston Radio, Inc.,</w:t>
      </w:r>
      <w:r w:rsidR="00627B40" w:rsidRPr="00627B40">
        <w:t xml:space="preserve"> Forfeiture Order, 28 FCC Rcd 1951, 1956 – 57, para. 12 (Enf. Bur. 2013)</w:t>
      </w:r>
      <w:r w:rsidR="00F963F4">
        <w:t>.</w:t>
      </w:r>
    </w:p>
  </w:footnote>
  <w:footnote w:id="39">
    <w:p w14:paraId="4A06AAAD" w14:textId="77777777" w:rsidR="00322FA5" w:rsidRPr="00322FA5" w:rsidRDefault="00322FA5">
      <w:pPr>
        <w:pStyle w:val="FootnoteText"/>
        <w:rPr>
          <w:i/>
        </w:rPr>
      </w:pPr>
      <w:r>
        <w:rPr>
          <w:rStyle w:val="FootnoteReference"/>
        </w:rPr>
        <w:footnoteRef/>
      </w:r>
      <w:r>
        <w:t xml:space="preserve"> NAL Response at </w:t>
      </w:r>
      <w:r w:rsidR="000C620E">
        <w:t>8</w:t>
      </w:r>
      <w:r>
        <w:t>.</w:t>
      </w:r>
    </w:p>
  </w:footnote>
  <w:footnote w:id="40">
    <w:p w14:paraId="687D0FEE" w14:textId="61FF77F0" w:rsidR="00F8159A" w:rsidRPr="00F8159A" w:rsidRDefault="00F8159A">
      <w:pPr>
        <w:pStyle w:val="FootnoteText"/>
      </w:pPr>
      <w:r>
        <w:rPr>
          <w:rStyle w:val="FootnoteReference"/>
        </w:rPr>
        <w:footnoteRef/>
      </w:r>
      <w:r>
        <w:t xml:space="preserve"> </w:t>
      </w:r>
      <w:r>
        <w:rPr>
          <w:i/>
        </w:rPr>
        <w:t xml:space="preserve">See supra </w:t>
      </w:r>
      <w:r>
        <w:t>n</w:t>
      </w:r>
      <w:r w:rsidR="00F963F4">
        <w:t xml:space="preserve">ote </w:t>
      </w:r>
      <w:r>
        <w:t>34.</w:t>
      </w:r>
    </w:p>
  </w:footnote>
  <w:footnote w:id="41">
    <w:p w14:paraId="7C66DD6B" w14:textId="46AC6F21" w:rsidR="00067FC2" w:rsidRDefault="00067FC2">
      <w:pPr>
        <w:pStyle w:val="FootnoteText"/>
      </w:pPr>
      <w:r>
        <w:rPr>
          <w:rStyle w:val="FootnoteReference"/>
        </w:rPr>
        <w:footnoteRef/>
      </w:r>
      <w:r>
        <w:t xml:space="preserve"> </w:t>
      </w:r>
      <w:r w:rsidRPr="00067FC2">
        <w:rPr>
          <w:i/>
        </w:rPr>
        <w:t xml:space="preserve">See supra </w:t>
      </w:r>
      <w:r w:rsidR="00477DB9">
        <w:t>n</w:t>
      </w:r>
      <w:r w:rsidR="00F963F4">
        <w:t xml:space="preserve">ote </w:t>
      </w:r>
      <w:r w:rsidR="00477DB9">
        <w:t>33</w:t>
      </w:r>
      <w:r w:rsidRPr="00067FC2">
        <w:t>.</w:t>
      </w:r>
    </w:p>
  </w:footnote>
  <w:footnote w:id="42">
    <w:p w14:paraId="0FF2C580" w14:textId="74439953" w:rsidR="00067FC2" w:rsidRDefault="00067FC2">
      <w:pPr>
        <w:pStyle w:val="FootnoteText"/>
      </w:pPr>
      <w:r>
        <w:rPr>
          <w:rStyle w:val="FootnoteReference"/>
        </w:rPr>
        <w:footnoteRef/>
      </w:r>
      <w:r>
        <w:t xml:space="preserve"> </w:t>
      </w:r>
      <w:r w:rsidR="00477DB9" w:rsidRPr="00477DB9">
        <w:rPr>
          <w:i/>
        </w:rPr>
        <w:t>See, e.g</w:t>
      </w:r>
      <w:r w:rsidR="00477DB9" w:rsidRPr="00477DB9">
        <w:t>.,</w:t>
      </w:r>
      <w:r w:rsidR="00477DB9" w:rsidRPr="00477DB9">
        <w:rPr>
          <w:i/>
        </w:rPr>
        <w:t xml:space="preserve"> </w:t>
      </w:r>
      <w:r w:rsidRPr="00B318DD">
        <w:rPr>
          <w:i/>
        </w:rPr>
        <w:t>Coastal</w:t>
      </w:r>
      <w:r w:rsidR="00B318DD" w:rsidRPr="00B318DD">
        <w:rPr>
          <w:i/>
        </w:rPr>
        <w:t xml:space="preserve"> Television Broadcasting Company</w:t>
      </w:r>
      <w:r w:rsidR="00B318DD">
        <w:t xml:space="preserve">, Notice of Apparent Liability for Forfeiture, 28 FCC Rcd 14665 (Enf. Bur. 2013), </w:t>
      </w:r>
      <w:r w:rsidR="00B318DD" w:rsidRPr="00B318DD">
        <w:rPr>
          <w:i/>
        </w:rPr>
        <w:t xml:space="preserve">forfeiture </w:t>
      </w:r>
      <w:r w:rsidR="00956FD6">
        <w:rPr>
          <w:i/>
        </w:rPr>
        <w:t>ordered</w:t>
      </w:r>
      <w:r w:rsidR="00B318DD">
        <w:t xml:space="preserve"> </w:t>
      </w:r>
      <w:r w:rsidR="00645201">
        <w:t xml:space="preserve">Forfeiture Order </w:t>
      </w:r>
      <w:r w:rsidR="00B318DD">
        <w:t xml:space="preserve">29 FCC Rcd 4065 (Enf. Bur. 2014) (failing to update an antenna structure registration for over four and a half years found to be egregious conduct resulting in the issuance of a NOV and </w:t>
      </w:r>
      <w:r w:rsidR="00F963F4">
        <w:t>then a NAL proposing a $4,200 forfeiture)</w:t>
      </w:r>
      <w:r w:rsidR="00645201">
        <w:t>.</w:t>
      </w:r>
    </w:p>
  </w:footnote>
  <w:footnote w:id="43">
    <w:p w14:paraId="3CAD2D9D" w14:textId="4A3940D8" w:rsidR="00067FC2" w:rsidRPr="00956FD6" w:rsidRDefault="00067FC2">
      <w:pPr>
        <w:pStyle w:val="FootnoteText"/>
      </w:pPr>
      <w:r>
        <w:rPr>
          <w:rStyle w:val="FootnoteReference"/>
        </w:rPr>
        <w:footnoteRef/>
      </w:r>
      <w:r>
        <w:t xml:space="preserve"> </w:t>
      </w:r>
      <w:r w:rsidR="00956FD6">
        <w:rPr>
          <w:i/>
        </w:rPr>
        <w:t xml:space="preserve">See, e.g., M.J. Phillips Communications, Inc., </w:t>
      </w:r>
      <w:r w:rsidR="008B75CE">
        <w:t xml:space="preserve">Notice of Apparent Liability for Forfeiture, </w:t>
      </w:r>
      <w:r w:rsidR="00645201">
        <w:t xml:space="preserve">29 FCC Rcd 10138 (Enf. Bur. 2014), </w:t>
      </w:r>
      <w:r w:rsidR="00645201" w:rsidRPr="00645201">
        <w:rPr>
          <w:i/>
        </w:rPr>
        <w:t>forfeiture ordered</w:t>
      </w:r>
      <w:r w:rsidR="00645201">
        <w:t xml:space="preserve"> </w:t>
      </w:r>
      <w:r w:rsidR="00956FD6">
        <w:t xml:space="preserve">Forfeiture Order, </w:t>
      </w:r>
      <w:r w:rsidR="00F963F4">
        <w:t xml:space="preserve">DA 15-1200, </w:t>
      </w:r>
      <w:r w:rsidR="00956FD6">
        <w:t>2015 WL 6439202 (Enf. Bur. Oct. 22, 2015) (continued operation of a studio tr</w:t>
      </w:r>
      <w:r w:rsidR="00645201">
        <w:t>a</w:t>
      </w:r>
      <w:r w:rsidR="00956FD6">
        <w:t>n</w:t>
      </w:r>
      <w:r w:rsidR="00645201">
        <w:t>smitter link from an un</w:t>
      </w:r>
      <w:r w:rsidR="00956FD6">
        <w:t>authorized location</w:t>
      </w:r>
      <w:r w:rsidR="00645201">
        <w:t xml:space="preserve"> for seven months</w:t>
      </w:r>
      <w:r w:rsidR="00956FD6">
        <w:t>, after the issuance of a NOV warning of the violation, resulted in</w:t>
      </w:r>
      <w:r w:rsidR="00645201">
        <w:t xml:space="preserve"> the issuance of a NAL</w:t>
      </w:r>
      <w:r w:rsidR="00655C18">
        <w:t xml:space="preserve"> </w:t>
      </w:r>
      <w:r w:rsidR="00F963F4">
        <w:t>proposing a</w:t>
      </w:r>
      <w:r w:rsidR="00655C18">
        <w:t xml:space="preserve"> $6,400</w:t>
      </w:r>
      <w:r w:rsidR="00F963F4">
        <w:t xml:space="preserve"> forfeiture</w:t>
      </w:r>
      <w:r w:rsidR="00645201">
        <w:t>, noting the violator’s apparent disregard for the Commission’s authority).</w:t>
      </w:r>
      <w:r w:rsidR="00956FD6">
        <w:t xml:space="preserve">  </w:t>
      </w:r>
    </w:p>
  </w:footnote>
  <w:footnote w:id="44">
    <w:p w14:paraId="4E04CCCE" w14:textId="53725604" w:rsidR="00627B40" w:rsidRPr="00056DC2" w:rsidRDefault="00627B40">
      <w:pPr>
        <w:pStyle w:val="FootnoteText"/>
      </w:pPr>
      <w:r>
        <w:rPr>
          <w:rStyle w:val="FootnoteReference"/>
        </w:rPr>
        <w:footnoteRef/>
      </w:r>
      <w:r>
        <w:t xml:space="preserve"> </w:t>
      </w:r>
      <w:r w:rsidR="00056DC2">
        <w:rPr>
          <w:i/>
        </w:rPr>
        <w:t>See, e.g., Sound Communications,</w:t>
      </w:r>
      <w:r w:rsidR="00056DC2" w:rsidRPr="00056DC2">
        <w:t xml:space="preserve"> </w:t>
      </w:r>
      <w:r w:rsidR="00056DC2">
        <w:t xml:space="preserve">Notice of Apparent Liability for Forfeiture, 29 FCC Rcd 5840 (Enf. Bur. 2014), </w:t>
      </w:r>
      <w:r w:rsidR="00056DC2">
        <w:rPr>
          <w:i/>
        </w:rPr>
        <w:t>forfeiture ordered</w:t>
      </w:r>
      <w:r w:rsidR="00056DC2">
        <w:t xml:space="preserve"> Forfeiture Order, 30 FCC Rcd 6252 (Enf. Bur. 2015) (leaving a fence surrounding an AM tower unsecured resulted in the issuance of a NOV and </w:t>
      </w:r>
      <w:r w:rsidR="00E019E8">
        <w:t xml:space="preserve">then a </w:t>
      </w:r>
      <w:r w:rsidR="00056DC2">
        <w:t>NAL</w:t>
      </w:r>
      <w:r w:rsidR="00655C18">
        <w:t xml:space="preserve"> </w:t>
      </w:r>
      <w:r w:rsidR="00E019E8">
        <w:t>proposing a</w:t>
      </w:r>
      <w:r w:rsidR="00655C18">
        <w:t xml:space="preserve"> $7,000</w:t>
      </w:r>
      <w:r w:rsidR="00E019E8">
        <w:t xml:space="preserve"> forfeiture</w:t>
      </w:r>
      <w:r w:rsidR="00056DC2">
        <w:t xml:space="preserve">).  </w:t>
      </w:r>
      <w:r w:rsidR="00056DC2">
        <w:rPr>
          <w:i/>
        </w:rPr>
        <w:t>See also</w:t>
      </w:r>
      <w:r w:rsidR="006F6579">
        <w:rPr>
          <w:i/>
        </w:rPr>
        <w:t>,</w:t>
      </w:r>
      <w:r w:rsidR="00056DC2">
        <w:t xml:space="preserve"> </w:t>
      </w:r>
      <w:r w:rsidR="00056DC2" w:rsidRPr="00F963F4">
        <w:rPr>
          <w:i/>
        </w:rPr>
        <w:t>Acumen Forfeiture Order</w:t>
      </w:r>
      <w:r w:rsidR="006F6579">
        <w:rPr>
          <w:i/>
        </w:rPr>
        <w:t>,</w:t>
      </w:r>
      <w:r w:rsidR="00056DC2">
        <w:t xml:space="preserve"> </w:t>
      </w:r>
      <w:r w:rsidR="00056DC2">
        <w:rPr>
          <w:i/>
        </w:rPr>
        <w:t xml:space="preserve">supra </w:t>
      </w:r>
      <w:r w:rsidR="00F963F4">
        <w:t xml:space="preserve">note </w:t>
      </w:r>
      <w:r w:rsidR="00056DC2">
        <w:t>33.</w:t>
      </w:r>
    </w:p>
  </w:footnote>
  <w:footnote w:id="45">
    <w:p w14:paraId="2AE90100" w14:textId="59C2D9DA" w:rsidR="00627B40" w:rsidRDefault="00627B40" w:rsidP="00627B40">
      <w:pPr>
        <w:pStyle w:val="FootnoteText"/>
      </w:pPr>
      <w:r>
        <w:rPr>
          <w:rStyle w:val="FootnoteReference"/>
        </w:rPr>
        <w:footnoteRef/>
      </w:r>
      <w:r>
        <w:t xml:space="preserve"> </w:t>
      </w:r>
      <w:r w:rsidRPr="00C77712">
        <w:t xml:space="preserve">The Commission is a regulatory agency with broad prosecutorial discretion in enforcement proceedings. The courts have found that, as a general matter, the Commission is best positioned to weigh the benefits of pursuing an adjudication against the costs to the agency and the likelihood of success. </w:t>
      </w:r>
      <w:r w:rsidRPr="00A16480">
        <w:rPr>
          <w:i/>
        </w:rPr>
        <w:t>Radio One Licenses, LLC</w:t>
      </w:r>
      <w:r w:rsidRPr="00C77712">
        <w:t>, Forfeiture Order, 19 FCC Rcd 23922, 23932</w:t>
      </w:r>
      <w:r w:rsidR="00F963F4">
        <w:t xml:space="preserve">, para. 24 </w:t>
      </w:r>
      <w:r w:rsidRPr="00C77712">
        <w:t xml:space="preserve">(2004), citing </w:t>
      </w:r>
      <w:r w:rsidRPr="00A16480">
        <w:rPr>
          <w:i/>
        </w:rPr>
        <w:t>Emery Telephone</w:t>
      </w:r>
      <w:r w:rsidRPr="00C77712">
        <w:t xml:space="preserve">, Memorandum Opinion and Order, 15 FCC Rcd 7181, 7186 (1999) and </w:t>
      </w:r>
      <w:r w:rsidRPr="00A16480">
        <w:rPr>
          <w:i/>
        </w:rPr>
        <w:t>New York State Dept. of Law v. F.C.C.</w:t>
      </w:r>
      <w:r w:rsidRPr="00C77712">
        <w:t>, 984 F.2d 1209, 1213 (D.C. Cir. 1993).</w:t>
      </w:r>
    </w:p>
  </w:footnote>
  <w:footnote w:id="46">
    <w:p w14:paraId="1BA36B00" w14:textId="706571D6" w:rsidR="000B67E4" w:rsidRPr="0067365E" w:rsidRDefault="000B67E4" w:rsidP="000B67E4">
      <w:pPr>
        <w:pStyle w:val="FootnoteText"/>
      </w:pPr>
      <w:r>
        <w:rPr>
          <w:rStyle w:val="FootnoteReference"/>
        </w:rPr>
        <w:footnoteRef/>
      </w:r>
      <w:r>
        <w:t xml:space="preserve"> </w:t>
      </w:r>
      <w:r>
        <w:rPr>
          <w:i/>
        </w:rPr>
        <w:t>See Greater Boston Radio</w:t>
      </w:r>
      <w:r>
        <w:t xml:space="preserve">, 28 FCC Rcd </w:t>
      </w:r>
      <w:r w:rsidR="00484A97">
        <w:t xml:space="preserve">at 1957, para. 12 </w:t>
      </w:r>
      <w:r>
        <w:t>(an egregious violation of the Commission’s broadcast contest rule supports the assessment of a monetary forfeiture).</w:t>
      </w:r>
    </w:p>
  </w:footnote>
  <w:footnote w:id="47">
    <w:p w14:paraId="674C8CC7" w14:textId="64E0A911" w:rsidR="007712C8" w:rsidRDefault="007712C8" w:rsidP="007712C8">
      <w:pPr>
        <w:pStyle w:val="FootnoteText"/>
      </w:pPr>
      <w:r>
        <w:rPr>
          <w:rStyle w:val="FootnoteReference"/>
        </w:rPr>
        <w:footnoteRef/>
      </w:r>
      <w:r>
        <w:t xml:space="preserve"> 47 C.</w:t>
      </w:r>
      <w:r w:rsidR="00627B40">
        <w:t>F.R. § 1.80 (the upward adjustment criteria include “egregious misconduct” and “repeated or continuous violation”).</w:t>
      </w:r>
    </w:p>
  </w:footnote>
  <w:footnote w:id="48">
    <w:p w14:paraId="7EC1ADD1" w14:textId="27B95C78" w:rsidR="00322FA5" w:rsidRPr="000C620E" w:rsidRDefault="00322FA5">
      <w:pPr>
        <w:pStyle w:val="FootnoteText"/>
      </w:pPr>
      <w:r>
        <w:rPr>
          <w:rStyle w:val="FootnoteReference"/>
        </w:rPr>
        <w:footnoteRef/>
      </w:r>
      <w:r>
        <w:t xml:space="preserve"> </w:t>
      </w:r>
      <w:r w:rsidR="000C620E">
        <w:rPr>
          <w:i/>
        </w:rPr>
        <w:t xml:space="preserve">See NAL, </w:t>
      </w:r>
      <w:r w:rsidR="000C620E">
        <w:t>30</w:t>
      </w:r>
      <w:r w:rsidR="000C620E" w:rsidRPr="00EB484E">
        <w:t xml:space="preserve"> FCC Rcd at </w:t>
      </w:r>
      <w:r w:rsidR="000C620E">
        <w:t>7135–7137</w:t>
      </w:r>
      <w:r w:rsidR="000C620E" w:rsidRPr="00EB484E">
        <w:t>, paras. 2–</w:t>
      </w:r>
      <w:r w:rsidR="000C620E">
        <w:t>6</w:t>
      </w:r>
      <w:r w:rsidR="00A47A11">
        <w:t>.</w:t>
      </w:r>
    </w:p>
  </w:footnote>
  <w:footnote w:id="49">
    <w:p w14:paraId="673630F8" w14:textId="77777777" w:rsidR="00CA0B47" w:rsidRPr="004E42FA" w:rsidRDefault="00CA0B47" w:rsidP="00CA0B47">
      <w:pPr>
        <w:pStyle w:val="FootnoteText"/>
        <w:rPr>
          <w:color w:val="000000"/>
        </w:rPr>
      </w:pPr>
      <w:r w:rsidRPr="004E42FA">
        <w:rPr>
          <w:rStyle w:val="FootnoteReference"/>
          <w:color w:val="000000"/>
        </w:rPr>
        <w:footnoteRef/>
      </w:r>
      <w:r w:rsidRPr="004E42FA">
        <w:rPr>
          <w:color w:val="000000"/>
        </w:rPr>
        <w:t xml:space="preserve"> </w:t>
      </w:r>
      <w:r w:rsidRPr="00CA0B47">
        <w:rPr>
          <w:color w:val="000000"/>
        </w:rPr>
        <w:t xml:space="preserve">47 C.F.R. §§ </w:t>
      </w:r>
      <w:r w:rsidR="0067365E">
        <w:rPr>
          <w:color w:val="000000"/>
        </w:rPr>
        <w:t>90.187(b)</w:t>
      </w:r>
      <w:r w:rsidRPr="00CA0B47">
        <w:rPr>
          <w:color w:val="000000"/>
        </w:rPr>
        <w:t>, 90.403(e).</w:t>
      </w:r>
    </w:p>
  </w:footnote>
  <w:footnote w:id="50">
    <w:p w14:paraId="250198A6" w14:textId="77777777" w:rsidR="0069722D" w:rsidRPr="00FF5CB4" w:rsidRDefault="0069722D" w:rsidP="0069722D">
      <w:pPr>
        <w:pStyle w:val="FootnoteText"/>
      </w:pPr>
      <w:r w:rsidRPr="00FF5CB4">
        <w:rPr>
          <w:rStyle w:val="FootnoteReference"/>
        </w:rPr>
        <w:footnoteRef/>
      </w:r>
      <w:r w:rsidRPr="00FF5CB4">
        <w:t xml:space="preserve"> 47 U.S.C. § 503(b); 47 C.F.R. §§ 0.111, 0.311, 1.80.</w:t>
      </w:r>
    </w:p>
  </w:footnote>
  <w:footnote w:id="51">
    <w:p w14:paraId="4949EA20" w14:textId="5B988064" w:rsidR="0069722D" w:rsidRPr="00FF5CB4" w:rsidRDefault="0069722D" w:rsidP="0069722D">
      <w:pPr>
        <w:pStyle w:val="FootnoteText"/>
      </w:pPr>
      <w:r w:rsidRPr="00FF5CB4">
        <w:rPr>
          <w:rStyle w:val="FootnoteReference"/>
        </w:rPr>
        <w:footnoteRef/>
      </w:r>
      <w:r w:rsidRPr="00FF5CB4">
        <w:t xml:space="preserve"> 47 C.F.R. §</w:t>
      </w:r>
      <w:r w:rsidR="00CA0B47" w:rsidRPr="00CA0B47">
        <w:t>§</w:t>
      </w:r>
      <w:r w:rsidR="00CA0B47">
        <w:t xml:space="preserve"> </w:t>
      </w:r>
      <w:r w:rsidR="005B1C0C">
        <w:t xml:space="preserve">90.187(b), </w:t>
      </w:r>
      <w:r w:rsidR="00CA0B47">
        <w:t>90.403(e).</w:t>
      </w:r>
    </w:p>
  </w:footnote>
  <w:footnote w:id="52">
    <w:p w14:paraId="33A7B4F4" w14:textId="77777777" w:rsidR="00CA0B47" w:rsidRPr="00682B40" w:rsidRDefault="00CA0B47" w:rsidP="00CA0B47">
      <w:pPr>
        <w:pStyle w:val="FootnoteText"/>
      </w:pPr>
      <w:r w:rsidRPr="00344C0B">
        <w:rPr>
          <w:rStyle w:val="FootnoteReference"/>
        </w:rPr>
        <w:footnoteRef/>
      </w:r>
      <w:r w:rsidRPr="00344C0B">
        <w:t xml:space="preserve"> </w:t>
      </w:r>
      <w:r w:rsidR="00682B40">
        <w:t>47 C.F.R. §</w:t>
      </w:r>
      <w:r w:rsidR="00682B40" w:rsidRPr="00682B40">
        <w:t xml:space="preserve"> 1.</w:t>
      </w:r>
      <w:r w:rsidR="00682B40">
        <w:t>80.</w:t>
      </w:r>
    </w:p>
  </w:footnote>
  <w:footnote w:id="53">
    <w:p w14:paraId="43D5BAA0" w14:textId="77777777" w:rsidR="00CA0B47" w:rsidRPr="00344C0B" w:rsidRDefault="00CA0B47" w:rsidP="00CA0B47">
      <w:pPr>
        <w:pStyle w:val="FootnoteText"/>
      </w:pPr>
      <w:r w:rsidRPr="00344C0B">
        <w:rPr>
          <w:rStyle w:val="FootnoteReference"/>
        </w:rPr>
        <w:footnoteRef/>
      </w:r>
      <w:r w:rsidRPr="00344C0B">
        <w:t xml:space="preserve"> 47 U.S.C. § 504(a).</w:t>
      </w:r>
    </w:p>
  </w:footnote>
  <w:footnote w:id="54">
    <w:p w14:paraId="796558A0" w14:textId="77777777" w:rsidR="00CA0B47" w:rsidRPr="00344C0B" w:rsidRDefault="00CA0B47" w:rsidP="00CA0B47">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55">
    <w:p w14:paraId="4005DD6C" w14:textId="77777777" w:rsidR="00CA0B47" w:rsidRPr="0030738C" w:rsidRDefault="00CA0B47" w:rsidP="00CA0B47">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B42C" w14:textId="77777777" w:rsidR="00910752" w:rsidRDefault="0091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8592" w14:textId="5B78AC37"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2C945FFE" wp14:editId="53334D3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0663A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2D74C4" w:rsidRPr="00344C0B">
      <w:rPr>
        <w:spacing w:val="-2"/>
      </w:rPr>
      <w:t xml:space="preserve">DA </w:t>
    </w:r>
    <w:r w:rsidR="00D27E5E">
      <w:rPr>
        <w:spacing w:val="-2"/>
      </w:rPr>
      <w:t>15-</w:t>
    </w:r>
    <w:r w:rsidR="00876ED8">
      <w:rPr>
        <w:spacing w:val="-2"/>
      </w:rPr>
      <w:t>1378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DFB7" w14:textId="77777777" w:rsidR="00CC3E7E" w:rsidRDefault="00CC3E7E" w:rsidP="00CC3E7E">
    <w:pPr>
      <w:pStyle w:val="Header"/>
    </w:pPr>
  </w:p>
  <w:p w14:paraId="7C223FBA" w14:textId="75812E51"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72253A4C" wp14:editId="193A6C39">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D7C0CB"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E273E3" w:rsidRPr="00CE57A9">
      <w:rPr>
        <w:spacing w:val="-2"/>
      </w:rPr>
      <w:t xml:space="preserve">DA </w:t>
    </w:r>
    <w:r w:rsidR="00D27E5E">
      <w:rPr>
        <w:spacing w:val="-2"/>
      </w:rPr>
      <w:t>15-</w:t>
    </w:r>
    <w:r w:rsidR="00876ED8">
      <w:rPr>
        <w:spacing w:val="-2"/>
      </w:rPr>
      <w:t>1378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6A64ECBA"/>
    <w:lvl w:ilvl="0">
      <w:start w:val="1"/>
      <w:numFmt w:val="decimal"/>
      <w:lvlText w:val="%1."/>
      <w:lvlJc w:val="left"/>
      <w:pPr>
        <w:tabs>
          <w:tab w:val="num" w:pos="1440"/>
        </w:tabs>
        <w:ind w:firstLine="720"/>
      </w:pPr>
      <w:rPr>
        <w:rFonts w:ascii="Times New Roman" w:hAnsi="Times New Roman" w:cs="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E163B5"/>
    <w:multiLevelType w:val="hybridMultilevel"/>
    <w:tmpl w:val="D7B495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98C655C"/>
    <w:multiLevelType w:val="hybridMultilevel"/>
    <w:tmpl w:val="8FAE9430"/>
    <w:lvl w:ilvl="0" w:tplc="72B2ACC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8"/>
  </w:num>
  <w:num w:numId="5">
    <w:abstractNumId w:val="6"/>
  </w:num>
  <w:num w:numId="6">
    <w:abstractNumId w:val="10"/>
  </w:num>
  <w:num w:numId="7">
    <w:abstractNumId w:val="2"/>
  </w:num>
  <w:num w:numId="8">
    <w:abstractNumId w:val="7"/>
  </w:num>
  <w:num w:numId="9">
    <w:abstractNumId w:val="3"/>
  </w:num>
  <w:num w:numId="10">
    <w:abstractNumId w:val="1"/>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07D6D"/>
    <w:rsid w:val="00014067"/>
    <w:rsid w:val="00014462"/>
    <w:rsid w:val="000145C6"/>
    <w:rsid w:val="000174F9"/>
    <w:rsid w:val="000264B4"/>
    <w:rsid w:val="00030CF5"/>
    <w:rsid w:val="00031AE8"/>
    <w:rsid w:val="00035529"/>
    <w:rsid w:val="00036D58"/>
    <w:rsid w:val="00043C9B"/>
    <w:rsid w:val="00046801"/>
    <w:rsid w:val="00054208"/>
    <w:rsid w:val="00056DC2"/>
    <w:rsid w:val="000604EB"/>
    <w:rsid w:val="00062C44"/>
    <w:rsid w:val="000649FE"/>
    <w:rsid w:val="00067B02"/>
    <w:rsid w:val="00067FC2"/>
    <w:rsid w:val="00071E3F"/>
    <w:rsid w:val="00072D7D"/>
    <w:rsid w:val="00072F7F"/>
    <w:rsid w:val="00074717"/>
    <w:rsid w:val="0007571D"/>
    <w:rsid w:val="000768FE"/>
    <w:rsid w:val="00077DE6"/>
    <w:rsid w:val="00080535"/>
    <w:rsid w:val="000853AD"/>
    <w:rsid w:val="00086824"/>
    <w:rsid w:val="00091AE4"/>
    <w:rsid w:val="000922DB"/>
    <w:rsid w:val="00092506"/>
    <w:rsid w:val="00093518"/>
    <w:rsid w:val="0009380A"/>
    <w:rsid w:val="000962DF"/>
    <w:rsid w:val="00097F82"/>
    <w:rsid w:val="000A3E68"/>
    <w:rsid w:val="000A4776"/>
    <w:rsid w:val="000B0659"/>
    <w:rsid w:val="000B14C3"/>
    <w:rsid w:val="000B1C2B"/>
    <w:rsid w:val="000B29ED"/>
    <w:rsid w:val="000B4FF2"/>
    <w:rsid w:val="000B67E4"/>
    <w:rsid w:val="000B7657"/>
    <w:rsid w:val="000C092B"/>
    <w:rsid w:val="000C6050"/>
    <w:rsid w:val="000C620E"/>
    <w:rsid w:val="000D03AE"/>
    <w:rsid w:val="000D1391"/>
    <w:rsid w:val="000D77E7"/>
    <w:rsid w:val="000E1951"/>
    <w:rsid w:val="000E2707"/>
    <w:rsid w:val="000F1155"/>
    <w:rsid w:val="00100646"/>
    <w:rsid w:val="00104694"/>
    <w:rsid w:val="00105A35"/>
    <w:rsid w:val="001067B6"/>
    <w:rsid w:val="0011337B"/>
    <w:rsid w:val="00114734"/>
    <w:rsid w:val="00115981"/>
    <w:rsid w:val="0011687C"/>
    <w:rsid w:val="001205FE"/>
    <w:rsid w:val="00120963"/>
    <w:rsid w:val="0012427E"/>
    <w:rsid w:val="00126C88"/>
    <w:rsid w:val="00135F7F"/>
    <w:rsid w:val="00136476"/>
    <w:rsid w:val="00140ABB"/>
    <w:rsid w:val="001426F0"/>
    <w:rsid w:val="00145D22"/>
    <w:rsid w:val="00145E08"/>
    <w:rsid w:val="00151B9E"/>
    <w:rsid w:val="001532B1"/>
    <w:rsid w:val="00153904"/>
    <w:rsid w:val="00153CE0"/>
    <w:rsid w:val="00154A5C"/>
    <w:rsid w:val="00162161"/>
    <w:rsid w:val="00164D9B"/>
    <w:rsid w:val="001715BD"/>
    <w:rsid w:val="00172581"/>
    <w:rsid w:val="001740BB"/>
    <w:rsid w:val="00180026"/>
    <w:rsid w:val="001819AF"/>
    <w:rsid w:val="0018357F"/>
    <w:rsid w:val="00196E93"/>
    <w:rsid w:val="001A29EF"/>
    <w:rsid w:val="001A2F40"/>
    <w:rsid w:val="001A3127"/>
    <w:rsid w:val="001A69BA"/>
    <w:rsid w:val="001A79FB"/>
    <w:rsid w:val="001B048F"/>
    <w:rsid w:val="001C3156"/>
    <w:rsid w:val="001C3B35"/>
    <w:rsid w:val="001C42B3"/>
    <w:rsid w:val="001D1CEF"/>
    <w:rsid w:val="001E135C"/>
    <w:rsid w:val="001E1906"/>
    <w:rsid w:val="001E401B"/>
    <w:rsid w:val="001E6CDA"/>
    <w:rsid w:val="001F2B76"/>
    <w:rsid w:val="001F5AA4"/>
    <w:rsid w:val="001F7EE0"/>
    <w:rsid w:val="002037C2"/>
    <w:rsid w:val="00212FB2"/>
    <w:rsid w:val="0021315C"/>
    <w:rsid w:val="00214521"/>
    <w:rsid w:val="002146E2"/>
    <w:rsid w:val="00223173"/>
    <w:rsid w:val="00225854"/>
    <w:rsid w:val="00226191"/>
    <w:rsid w:val="0022665A"/>
    <w:rsid w:val="00231D4E"/>
    <w:rsid w:val="00236820"/>
    <w:rsid w:val="00246222"/>
    <w:rsid w:val="00246937"/>
    <w:rsid w:val="00250EDF"/>
    <w:rsid w:val="002523B2"/>
    <w:rsid w:val="00252799"/>
    <w:rsid w:val="00256904"/>
    <w:rsid w:val="00256B42"/>
    <w:rsid w:val="002659F3"/>
    <w:rsid w:val="00265FC9"/>
    <w:rsid w:val="00270CD1"/>
    <w:rsid w:val="002710C5"/>
    <w:rsid w:val="002718D7"/>
    <w:rsid w:val="00283E59"/>
    <w:rsid w:val="00287564"/>
    <w:rsid w:val="00293ACC"/>
    <w:rsid w:val="002966A1"/>
    <w:rsid w:val="00297424"/>
    <w:rsid w:val="002A1963"/>
    <w:rsid w:val="002B17E2"/>
    <w:rsid w:val="002B7493"/>
    <w:rsid w:val="002C079C"/>
    <w:rsid w:val="002C12AD"/>
    <w:rsid w:val="002C66A2"/>
    <w:rsid w:val="002D3A88"/>
    <w:rsid w:val="002D4CD9"/>
    <w:rsid w:val="002D6A81"/>
    <w:rsid w:val="002D741D"/>
    <w:rsid w:val="002D74C4"/>
    <w:rsid w:val="002E046E"/>
    <w:rsid w:val="002E1671"/>
    <w:rsid w:val="002E43B6"/>
    <w:rsid w:val="002E6027"/>
    <w:rsid w:val="002F2ACB"/>
    <w:rsid w:val="002F47C9"/>
    <w:rsid w:val="00306C34"/>
    <w:rsid w:val="00306C50"/>
    <w:rsid w:val="00310529"/>
    <w:rsid w:val="00310B8E"/>
    <w:rsid w:val="00313B7D"/>
    <w:rsid w:val="0032053D"/>
    <w:rsid w:val="0032244D"/>
    <w:rsid w:val="00322FA5"/>
    <w:rsid w:val="00325463"/>
    <w:rsid w:val="00327A14"/>
    <w:rsid w:val="00331B47"/>
    <w:rsid w:val="00331D4E"/>
    <w:rsid w:val="003343CA"/>
    <w:rsid w:val="00335814"/>
    <w:rsid w:val="003368A3"/>
    <w:rsid w:val="003368E2"/>
    <w:rsid w:val="00337B66"/>
    <w:rsid w:val="003400E9"/>
    <w:rsid w:val="00340246"/>
    <w:rsid w:val="00344871"/>
    <w:rsid w:val="00344C0B"/>
    <w:rsid w:val="00345F40"/>
    <w:rsid w:val="00346DCB"/>
    <w:rsid w:val="003472A7"/>
    <w:rsid w:val="00347397"/>
    <w:rsid w:val="00353E9D"/>
    <w:rsid w:val="003563C1"/>
    <w:rsid w:val="00361B43"/>
    <w:rsid w:val="003623B1"/>
    <w:rsid w:val="003732FE"/>
    <w:rsid w:val="0038136A"/>
    <w:rsid w:val="0039535B"/>
    <w:rsid w:val="0039768C"/>
    <w:rsid w:val="003A07BF"/>
    <w:rsid w:val="003A1D4B"/>
    <w:rsid w:val="003A4346"/>
    <w:rsid w:val="003A4767"/>
    <w:rsid w:val="003A5530"/>
    <w:rsid w:val="003A6F0A"/>
    <w:rsid w:val="003B4544"/>
    <w:rsid w:val="003B5341"/>
    <w:rsid w:val="003B5EF6"/>
    <w:rsid w:val="003B6421"/>
    <w:rsid w:val="003B6F75"/>
    <w:rsid w:val="003C0BCF"/>
    <w:rsid w:val="003C4339"/>
    <w:rsid w:val="003C5EF1"/>
    <w:rsid w:val="003C6559"/>
    <w:rsid w:val="003D5B63"/>
    <w:rsid w:val="003D5BD6"/>
    <w:rsid w:val="003E36EC"/>
    <w:rsid w:val="003E4BA1"/>
    <w:rsid w:val="003E5CB1"/>
    <w:rsid w:val="003E7003"/>
    <w:rsid w:val="003F2F66"/>
    <w:rsid w:val="004016AD"/>
    <w:rsid w:val="00403291"/>
    <w:rsid w:val="00403B86"/>
    <w:rsid w:val="00416F51"/>
    <w:rsid w:val="004200CE"/>
    <w:rsid w:val="0042056B"/>
    <w:rsid w:val="00422A26"/>
    <w:rsid w:val="00425D5F"/>
    <w:rsid w:val="00431572"/>
    <w:rsid w:val="00431E04"/>
    <w:rsid w:val="00436A9E"/>
    <w:rsid w:val="00441CED"/>
    <w:rsid w:val="0044390D"/>
    <w:rsid w:val="00452C14"/>
    <w:rsid w:val="004546CC"/>
    <w:rsid w:val="00454EFD"/>
    <w:rsid w:val="00457AE7"/>
    <w:rsid w:val="0046138C"/>
    <w:rsid w:val="00463516"/>
    <w:rsid w:val="00466CC6"/>
    <w:rsid w:val="0047078D"/>
    <w:rsid w:val="004736A1"/>
    <w:rsid w:val="00476459"/>
    <w:rsid w:val="0047678C"/>
    <w:rsid w:val="00477D26"/>
    <w:rsid w:val="00477DB9"/>
    <w:rsid w:val="0048127F"/>
    <w:rsid w:val="00484016"/>
    <w:rsid w:val="00484A97"/>
    <w:rsid w:val="00493B9B"/>
    <w:rsid w:val="00493EB0"/>
    <w:rsid w:val="004C0831"/>
    <w:rsid w:val="004C1903"/>
    <w:rsid w:val="004C3EDB"/>
    <w:rsid w:val="004C4957"/>
    <w:rsid w:val="004C7D2D"/>
    <w:rsid w:val="004D1078"/>
    <w:rsid w:val="004D4249"/>
    <w:rsid w:val="004D7C0F"/>
    <w:rsid w:val="004E218D"/>
    <w:rsid w:val="004E4FD9"/>
    <w:rsid w:val="004E5D01"/>
    <w:rsid w:val="004F0990"/>
    <w:rsid w:val="00500C36"/>
    <w:rsid w:val="00503655"/>
    <w:rsid w:val="00505616"/>
    <w:rsid w:val="00506F54"/>
    <w:rsid w:val="00512A5C"/>
    <w:rsid w:val="00514466"/>
    <w:rsid w:val="00514B5F"/>
    <w:rsid w:val="005214C9"/>
    <w:rsid w:val="00522727"/>
    <w:rsid w:val="00524310"/>
    <w:rsid w:val="00526086"/>
    <w:rsid w:val="00526174"/>
    <w:rsid w:val="00535D18"/>
    <w:rsid w:val="00537EE6"/>
    <w:rsid w:val="005415C8"/>
    <w:rsid w:val="0054220C"/>
    <w:rsid w:val="005440C1"/>
    <w:rsid w:val="00545EF8"/>
    <w:rsid w:val="00547654"/>
    <w:rsid w:val="00552923"/>
    <w:rsid w:val="00557BF1"/>
    <w:rsid w:val="00560703"/>
    <w:rsid w:val="00565F66"/>
    <w:rsid w:val="0056704D"/>
    <w:rsid w:val="00567C95"/>
    <w:rsid w:val="00567D8D"/>
    <w:rsid w:val="00583828"/>
    <w:rsid w:val="00595B95"/>
    <w:rsid w:val="0059732E"/>
    <w:rsid w:val="005973C9"/>
    <w:rsid w:val="005A2C9C"/>
    <w:rsid w:val="005A4B5B"/>
    <w:rsid w:val="005A6525"/>
    <w:rsid w:val="005A72DD"/>
    <w:rsid w:val="005B1C0C"/>
    <w:rsid w:val="005B3158"/>
    <w:rsid w:val="005B4CEA"/>
    <w:rsid w:val="005B67ED"/>
    <w:rsid w:val="005C2A5A"/>
    <w:rsid w:val="005C30D4"/>
    <w:rsid w:val="005C4CEC"/>
    <w:rsid w:val="005D250F"/>
    <w:rsid w:val="005D364B"/>
    <w:rsid w:val="005D4F7D"/>
    <w:rsid w:val="005E0A92"/>
    <w:rsid w:val="005E20B9"/>
    <w:rsid w:val="005E36D8"/>
    <w:rsid w:val="005E3D9F"/>
    <w:rsid w:val="005E62BE"/>
    <w:rsid w:val="005F5BB7"/>
    <w:rsid w:val="00600186"/>
    <w:rsid w:val="00600336"/>
    <w:rsid w:val="006020E8"/>
    <w:rsid w:val="00603106"/>
    <w:rsid w:val="00610D09"/>
    <w:rsid w:val="00611DF5"/>
    <w:rsid w:val="006168A4"/>
    <w:rsid w:val="0061695D"/>
    <w:rsid w:val="00622396"/>
    <w:rsid w:val="00624EEA"/>
    <w:rsid w:val="00626D63"/>
    <w:rsid w:val="00627B40"/>
    <w:rsid w:val="0063038A"/>
    <w:rsid w:val="00634F84"/>
    <w:rsid w:val="00637D3F"/>
    <w:rsid w:val="00640EAA"/>
    <w:rsid w:val="00641EE1"/>
    <w:rsid w:val="00644983"/>
    <w:rsid w:val="0064498D"/>
    <w:rsid w:val="00645201"/>
    <w:rsid w:val="006472F4"/>
    <w:rsid w:val="00650C92"/>
    <w:rsid w:val="00653DFB"/>
    <w:rsid w:val="006557D7"/>
    <w:rsid w:val="00655B5D"/>
    <w:rsid w:val="00655C18"/>
    <w:rsid w:val="0065677C"/>
    <w:rsid w:val="006606A3"/>
    <w:rsid w:val="00661DE5"/>
    <w:rsid w:val="0066347C"/>
    <w:rsid w:val="0066537F"/>
    <w:rsid w:val="00671666"/>
    <w:rsid w:val="00672014"/>
    <w:rsid w:val="006733A8"/>
    <w:rsid w:val="0067365E"/>
    <w:rsid w:val="00673674"/>
    <w:rsid w:val="00674B18"/>
    <w:rsid w:val="00682B40"/>
    <w:rsid w:val="00683E53"/>
    <w:rsid w:val="00686968"/>
    <w:rsid w:val="006877E7"/>
    <w:rsid w:val="006927BF"/>
    <w:rsid w:val="0069722D"/>
    <w:rsid w:val="006A035D"/>
    <w:rsid w:val="006A23FA"/>
    <w:rsid w:val="006A457C"/>
    <w:rsid w:val="006A6FD0"/>
    <w:rsid w:val="006B03FD"/>
    <w:rsid w:val="006B080E"/>
    <w:rsid w:val="006B685D"/>
    <w:rsid w:val="006D2212"/>
    <w:rsid w:val="006D550A"/>
    <w:rsid w:val="006D5C47"/>
    <w:rsid w:val="006D7FF3"/>
    <w:rsid w:val="006E0E89"/>
    <w:rsid w:val="006E12BA"/>
    <w:rsid w:val="006E3B0D"/>
    <w:rsid w:val="006E6868"/>
    <w:rsid w:val="006E6F5C"/>
    <w:rsid w:val="006E728E"/>
    <w:rsid w:val="006F6579"/>
    <w:rsid w:val="006F7642"/>
    <w:rsid w:val="00704843"/>
    <w:rsid w:val="0071005B"/>
    <w:rsid w:val="007112FE"/>
    <w:rsid w:val="007115F7"/>
    <w:rsid w:val="00714FD7"/>
    <w:rsid w:val="00715666"/>
    <w:rsid w:val="007177D3"/>
    <w:rsid w:val="007231BA"/>
    <w:rsid w:val="00726498"/>
    <w:rsid w:val="0072776E"/>
    <w:rsid w:val="00731211"/>
    <w:rsid w:val="007325C3"/>
    <w:rsid w:val="0073326F"/>
    <w:rsid w:val="007418F0"/>
    <w:rsid w:val="00743885"/>
    <w:rsid w:val="00743CDB"/>
    <w:rsid w:val="007453F7"/>
    <w:rsid w:val="00745AB4"/>
    <w:rsid w:val="007470E1"/>
    <w:rsid w:val="007479D6"/>
    <w:rsid w:val="00752D0E"/>
    <w:rsid w:val="00755564"/>
    <w:rsid w:val="00757E63"/>
    <w:rsid w:val="00765619"/>
    <w:rsid w:val="007671AE"/>
    <w:rsid w:val="0077103F"/>
    <w:rsid w:val="007712C8"/>
    <w:rsid w:val="00773E62"/>
    <w:rsid w:val="00781BFC"/>
    <w:rsid w:val="00782257"/>
    <w:rsid w:val="00785772"/>
    <w:rsid w:val="0078649E"/>
    <w:rsid w:val="00787DBC"/>
    <w:rsid w:val="00790B4B"/>
    <w:rsid w:val="00791577"/>
    <w:rsid w:val="00792AD9"/>
    <w:rsid w:val="00793BC9"/>
    <w:rsid w:val="007A2AF2"/>
    <w:rsid w:val="007A400F"/>
    <w:rsid w:val="007B1368"/>
    <w:rsid w:val="007B1B20"/>
    <w:rsid w:val="007B25BE"/>
    <w:rsid w:val="007B5698"/>
    <w:rsid w:val="007B6478"/>
    <w:rsid w:val="007B75C8"/>
    <w:rsid w:val="007C197B"/>
    <w:rsid w:val="007C3802"/>
    <w:rsid w:val="007C3FB4"/>
    <w:rsid w:val="007C416C"/>
    <w:rsid w:val="007D5BA0"/>
    <w:rsid w:val="007D6452"/>
    <w:rsid w:val="007E10B6"/>
    <w:rsid w:val="007E39BB"/>
    <w:rsid w:val="007E4768"/>
    <w:rsid w:val="007E5259"/>
    <w:rsid w:val="007E6849"/>
    <w:rsid w:val="007F29BF"/>
    <w:rsid w:val="007F3C22"/>
    <w:rsid w:val="007F4039"/>
    <w:rsid w:val="0080144D"/>
    <w:rsid w:val="00804AA7"/>
    <w:rsid w:val="00806AEF"/>
    <w:rsid w:val="0081325E"/>
    <w:rsid w:val="00813F43"/>
    <w:rsid w:val="0081526D"/>
    <w:rsid w:val="00817123"/>
    <w:rsid w:val="008218CC"/>
    <w:rsid w:val="00823395"/>
    <w:rsid w:val="008274F4"/>
    <w:rsid w:val="00834F63"/>
    <w:rsid w:val="00836DF6"/>
    <w:rsid w:val="00854197"/>
    <w:rsid w:val="00854495"/>
    <w:rsid w:val="00862B6D"/>
    <w:rsid w:val="008635E6"/>
    <w:rsid w:val="008666BC"/>
    <w:rsid w:val="00867A33"/>
    <w:rsid w:val="008742A5"/>
    <w:rsid w:val="00874CFC"/>
    <w:rsid w:val="00876ED8"/>
    <w:rsid w:val="00890DC3"/>
    <w:rsid w:val="008A0B16"/>
    <w:rsid w:val="008A1A2C"/>
    <w:rsid w:val="008A2796"/>
    <w:rsid w:val="008A79AF"/>
    <w:rsid w:val="008B1964"/>
    <w:rsid w:val="008B75CE"/>
    <w:rsid w:val="008C057A"/>
    <w:rsid w:val="008C7EFB"/>
    <w:rsid w:val="008D1BE7"/>
    <w:rsid w:val="008D6AFE"/>
    <w:rsid w:val="008E0D87"/>
    <w:rsid w:val="008E3ADA"/>
    <w:rsid w:val="008E5D15"/>
    <w:rsid w:val="008F0F79"/>
    <w:rsid w:val="009012DC"/>
    <w:rsid w:val="00901EA9"/>
    <w:rsid w:val="00904713"/>
    <w:rsid w:val="00910008"/>
    <w:rsid w:val="00910752"/>
    <w:rsid w:val="00913674"/>
    <w:rsid w:val="009150E9"/>
    <w:rsid w:val="00920FB9"/>
    <w:rsid w:val="00922758"/>
    <w:rsid w:val="00922BC7"/>
    <w:rsid w:val="00924198"/>
    <w:rsid w:val="009244F0"/>
    <w:rsid w:val="00924DCA"/>
    <w:rsid w:val="00932FF9"/>
    <w:rsid w:val="0093638C"/>
    <w:rsid w:val="009369C8"/>
    <w:rsid w:val="00937A4E"/>
    <w:rsid w:val="00943061"/>
    <w:rsid w:val="009447BE"/>
    <w:rsid w:val="00945E0A"/>
    <w:rsid w:val="00946F46"/>
    <w:rsid w:val="00954972"/>
    <w:rsid w:val="00954E2C"/>
    <w:rsid w:val="00955661"/>
    <w:rsid w:val="00956FD6"/>
    <w:rsid w:val="00957948"/>
    <w:rsid w:val="00962C79"/>
    <w:rsid w:val="00966093"/>
    <w:rsid w:val="009708B5"/>
    <w:rsid w:val="009714F0"/>
    <w:rsid w:val="00974A8A"/>
    <w:rsid w:val="0097633D"/>
    <w:rsid w:val="00980AA0"/>
    <w:rsid w:val="00981A39"/>
    <w:rsid w:val="009847FB"/>
    <w:rsid w:val="00985084"/>
    <w:rsid w:val="00990196"/>
    <w:rsid w:val="00992A29"/>
    <w:rsid w:val="009A09C6"/>
    <w:rsid w:val="009A2403"/>
    <w:rsid w:val="009A323D"/>
    <w:rsid w:val="009A3AE5"/>
    <w:rsid w:val="009A4C09"/>
    <w:rsid w:val="009B0223"/>
    <w:rsid w:val="009B1061"/>
    <w:rsid w:val="009B2C59"/>
    <w:rsid w:val="009B3E58"/>
    <w:rsid w:val="009B6D0A"/>
    <w:rsid w:val="009B6F55"/>
    <w:rsid w:val="009C2411"/>
    <w:rsid w:val="009C3321"/>
    <w:rsid w:val="009C46AB"/>
    <w:rsid w:val="009C6AD9"/>
    <w:rsid w:val="009D0C63"/>
    <w:rsid w:val="009D5355"/>
    <w:rsid w:val="009E44EE"/>
    <w:rsid w:val="009E708F"/>
    <w:rsid w:val="00A002F4"/>
    <w:rsid w:val="00A00AE0"/>
    <w:rsid w:val="00A01D1A"/>
    <w:rsid w:val="00A020A9"/>
    <w:rsid w:val="00A02148"/>
    <w:rsid w:val="00A02FBE"/>
    <w:rsid w:val="00A03AA3"/>
    <w:rsid w:val="00A047AF"/>
    <w:rsid w:val="00A0567A"/>
    <w:rsid w:val="00A10460"/>
    <w:rsid w:val="00A14E35"/>
    <w:rsid w:val="00A151BD"/>
    <w:rsid w:val="00A16480"/>
    <w:rsid w:val="00A169F4"/>
    <w:rsid w:val="00A174D4"/>
    <w:rsid w:val="00A204BA"/>
    <w:rsid w:val="00A20570"/>
    <w:rsid w:val="00A214DF"/>
    <w:rsid w:val="00A223C9"/>
    <w:rsid w:val="00A22B12"/>
    <w:rsid w:val="00A230E1"/>
    <w:rsid w:val="00A24336"/>
    <w:rsid w:val="00A24CD1"/>
    <w:rsid w:val="00A26C54"/>
    <w:rsid w:val="00A30D7F"/>
    <w:rsid w:val="00A30DF4"/>
    <w:rsid w:val="00A3796D"/>
    <w:rsid w:val="00A41565"/>
    <w:rsid w:val="00A42341"/>
    <w:rsid w:val="00A449C2"/>
    <w:rsid w:val="00A45420"/>
    <w:rsid w:val="00A45E09"/>
    <w:rsid w:val="00A46E5E"/>
    <w:rsid w:val="00A47A11"/>
    <w:rsid w:val="00A52CEE"/>
    <w:rsid w:val="00A62CCF"/>
    <w:rsid w:val="00A85686"/>
    <w:rsid w:val="00A87DD5"/>
    <w:rsid w:val="00A95983"/>
    <w:rsid w:val="00AA19E7"/>
    <w:rsid w:val="00AA1C42"/>
    <w:rsid w:val="00AA614F"/>
    <w:rsid w:val="00AB2A81"/>
    <w:rsid w:val="00AB3A5F"/>
    <w:rsid w:val="00AB3FF0"/>
    <w:rsid w:val="00AC08EF"/>
    <w:rsid w:val="00AC0A30"/>
    <w:rsid w:val="00AC6FF1"/>
    <w:rsid w:val="00AC7682"/>
    <w:rsid w:val="00AC7905"/>
    <w:rsid w:val="00AD1B30"/>
    <w:rsid w:val="00AD35D3"/>
    <w:rsid w:val="00AD525D"/>
    <w:rsid w:val="00AE3844"/>
    <w:rsid w:val="00AE4E71"/>
    <w:rsid w:val="00AE6CDF"/>
    <w:rsid w:val="00AF2483"/>
    <w:rsid w:val="00AF6122"/>
    <w:rsid w:val="00B019A2"/>
    <w:rsid w:val="00B046DF"/>
    <w:rsid w:val="00B0601B"/>
    <w:rsid w:val="00B102D9"/>
    <w:rsid w:val="00B106C6"/>
    <w:rsid w:val="00B146EF"/>
    <w:rsid w:val="00B164B6"/>
    <w:rsid w:val="00B20811"/>
    <w:rsid w:val="00B21753"/>
    <w:rsid w:val="00B246DD"/>
    <w:rsid w:val="00B26603"/>
    <w:rsid w:val="00B307A4"/>
    <w:rsid w:val="00B318DD"/>
    <w:rsid w:val="00B5182F"/>
    <w:rsid w:val="00B52F5E"/>
    <w:rsid w:val="00B631C7"/>
    <w:rsid w:val="00B65C9D"/>
    <w:rsid w:val="00B661C1"/>
    <w:rsid w:val="00B70A0B"/>
    <w:rsid w:val="00B7385F"/>
    <w:rsid w:val="00B74495"/>
    <w:rsid w:val="00B84DAA"/>
    <w:rsid w:val="00B86B94"/>
    <w:rsid w:val="00B94AE6"/>
    <w:rsid w:val="00BA0DEA"/>
    <w:rsid w:val="00BB05D8"/>
    <w:rsid w:val="00BB18C9"/>
    <w:rsid w:val="00BB2B10"/>
    <w:rsid w:val="00BB4888"/>
    <w:rsid w:val="00BB6D6F"/>
    <w:rsid w:val="00BC3C88"/>
    <w:rsid w:val="00BC3FB6"/>
    <w:rsid w:val="00BD5C10"/>
    <w:rsid w:val="00BD747D"/>
    <w:rsid w:val="00BF0CB5"/>
    <w:rsid w:val="00BF689C"/>
    <w:rsid w:val="00C01D5D"/>
    <w:rsid w:val="00C02572"/>
    <w:rsid w:val="00C063BE"/>
    <w:rsid w:val="00C11CF4"/>
    <w:rsid w:val="00C135FF"/>
    <w:rsid w:val="00C138D9"/>
    <w:rsid w:val="00C1451A"/>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18C"/>
    <w:rsid w:val="00C37DEA"/>
    <w:rsid w:val="00C5575E"/>
    <w:rsid w:val="00C67D47"/>
    <w:rsid w:val="00C710A4"/>
    <w:rsid w:val="00C7583B"/>
    <w:rsid w:val="00C7593B"/>
    <w:rsid w:val="00C771F0"/>
    <w:rsid w:val="00C77712"/>
    <w:rsid w:val="00C80AB7"/>
    <w:rsid w:val="00C81248"/>
    <w:rsid w:val="00C81DFC"/>
    <w:rsid w:val="00C82A24"/>
    <w:rsid w:val="00C835A2"/>
    <w:rsid w:val="00C855E5"/>
    <w:rsid w:val="00C87A1D"/>
    <w:rsid w:val="00C90207"/>
    <w:rsid w:val="00C9559E"/>
    <w:rsid w:val="00C9673A"/>
    <w:rsid w:val="00C97F25"/>
    <w:rsid w:val="00CA0654"/>
    <w:rsid w:val="00CA0B47"/>
    <w:rsid w:val="00CA3810"/>
    <w:rsid w:val="00CA60E2"/>
    <w:rsid w:val="00CA74A0"/>
    <w:rsid w:val="00CB37E3"/>
    <w:rsid w:val="00CB6E37"/>
    <w:rsid w:val="00CB6ECE"/>
    <w:rsid w:val="00CC3E7E"/>
    <w:rsid w:val="00CC4559"/>
    <w:rsid w:val="00CC48B6"/>
    <w:rsid w:val="00CC660D"/>
    <w:rsid w:val="00CC6B2D"/>
    <w:rsid w:val="00CD01AA"/>
    <w:rsid w:val="00CD5994"/>
    <w:rsid w:val="00CD5AEB"/>
    <w:rsid w:val="00CD7A1B"/>
    <w:rsid w:val="00CE57A9"/>
    <w:rsid w:val="00CF0BCD"/>
    <w:rsid w:val="00CF2340"/>
    <w:rsid w:val="00CF3876"/>
    <w:rsid w:val="00CF537E"/>
    <w:rsid w:val="00CF6B67"/>
    <w:rsid w:val="00D021C7"/>
    <w:rsid w:val="00D137D5"/>
    <w:rsid w:val="00D15C2F"/>
    <w:rsid w:val="00D15DA8"/>
    <w:rsid w:val="00D23943"/>
    <w:rsid w:val="00D249F3"/>
    <w:rsid w:val="00D26CBB"/>
    <w:rsid w:val="00D27CE7"/>
    <w:rsid w:val="00D27E5E"/>
    <w:rsid w:val="00D32490"/>
    <w:rsid w:val="00D417DA"/>
    <w:rsid w:val="00D41A82"/>
    <w:rsid w:val="00D54BDD"/>
    <w:rsid w:val="00D55192"/>
    <w:rsid w:val="00D70FC6"/>
    <w:rsid w:val="00D74CED"/>
    <w:rsid w:val="00D75D1C"/>
    <w:rsid w:val="00D77881"/>
    <w:rsid w:val="00D93CDF"/>
    <w:rsid w:val="00DA4A80"/>
    <w:rsid w:val="00DA67BE"/>
    <w:rsid w:val="00DB04B0"/>
    <w:rsid w:val="00DB110F"/>
    <w:rsid w:val="00DB209B"/>
    <w:rsid w:val="00DB75C6"/>
    <w:rsid w:val="00DC68F5"/>
    <w:rsid w:val="00DD066D"/>
    <w:rsid w:val="00DD17B4"/>
    <w:rsid w:val="00DD355E"/>
    <w:rsid w:val="00DD7B34"/>
    <w:rsid w:val="00DF24AA"/>
    <w:rsid w:val="00DF2FC3"/>
    <w:rsid w:val="00DF3333"/>
    <w:rsid w:val="00DF49C5"/>
    <w:rsid w:val="00E019E8"/>
    <w:rsid w:val="00E03C5E"/>
    <w:rsid w:val="00E03D76"/>
    <w:rsid w:val="00E0401A"/>
    <w:rsid w:val="00E071D0"/>
    <w:rsid w:val="00E136B4"/>
    <w:rsid w:val="00E14F5E"/>
    <w:rsid w:val="00E20614"/>
    <w:rsid w:val="00E216B3"/>
    <w:rsid w:val="00E27086"/>
    <w:rsid w:val="00E273E3"/>
    <w:rsid w:val="00E32B89"/>
    <w:rsid w:val="00E40344"/>
    <w:rsid w:val="00E41348"/>
    <w:rsid w:val="00E44BA5"/>
    <w:rsid w:val="00E51553"/>
    <w:rsid w:val="00E51F9F"/>
    <w:rsid w:val="00E57ED1"/>
    <w:rsid w:val="00E6009E"/>
    <w:rsid w:val="00E61780"/>
    <w:rsid w:val="00E650AE"/>
    <w:rsid w:val="00E6792A"/>
    <w:rsid w:val="00E74600"/>
    <w:rsid w:val="00E76B63"/>
    <w:rsid w:val="00E829E4"/>
    <w:rsid w:val="00E85E97"/>
    <w:rsid w:val="00E91C2E"/>
    <w:rsid w:val="00E92BDA"/>
    <w:rsid w:val="00E93198"/>
    <w:rsid w:val="00E9402D"/>
    <w:rsid w:val="00E95342"/>
    <w:rsid w:val="00EA28A3"/>
    <w:rsid w:val="00EA7BC5"/>
    <w:rsid w:val="00EB484E"/>
    <w:rsid w:val="00EB5C8E"/>
    <w:rsid w:val="00EC01C8"/>
    <w:rsid w:val="00EC389E"/>
    <w:rsid w:val="00EC59F7"/>
    <w:rsid w:val="00EC6192"/>
    <w:rsid w:val="00ED001A"/>
    <w:rsid w:val="00ED50F4"/>
    <w:rsid w:val="00ED7F11"/>
    <w:rsid w:val="00EE05DB"/>
    <w:rsid w:val="00EE194C"/>
    <w:rsid w:val="00EE67D5"/>
    <w:rsid w:val="00EE7218"/>
    <w:rsid w:val="00EF23E9"/>
    <w:rsid w:val="00EF2D22"/>
    <w:rsid w:val="00EF3412"/>
    <w:rsid w:val="00EF49F0"/>
    <w:rsid w:val="00EF5B91"/>
    <w:rsid w:val="00F0262C"/>
    <w:rsid w:val="00F03DF9"/>
    <w:rsid w:val="00F07C8E"/>
    <w:rsid w:val="00F122FD"/>
    <w:rsid w:val="00F156C3"/>
    <w:rsid w:val="00F15E74"/>
    <w:rsid w:val="00F16485"/>
    <w:rsid w:val="00F210F9"/>
    <w:rsid w:val="00F21DEF"/>
    <w:rsid w:val="00F220DB"/>
    <w:rsid w:val="00F23F1E"/>
    <w:rsid w:val="00F240E3"/>
    <w:rsid w:val="00F25345"/>
    <w:rsid w:val="00F25D8F"/>
    <w:rsid w:val="00F30014"/>
    <w:rsid w:val="00F343C1"/>
    <w:rsid w:val="00F35991"/>
    <w:rsid w:val="00F368C8"/>
    <w:rsid w:val="00F51AF3"/>
    <w:rsid w:val="00F80BCB"/>
    <w:rsid w:val="00F8159A"/>
    <w:rsid w:val="00F83951"/>
    <w:rsid w:val="00F84343"/>
    <w:rsid w:val="00F8613C"/>
    <w:rsid w:val="00F90362"/>
    <w:rsid w:val="00F93126"/>
    <w:rsid w:val="00F9326A"/>
    <w:rsid w:val="00F94931"/>
    <w:rsid w:val="00F963F4"/>
    <w:rsid w:val="00F968BB"/>
    <w:rsid w:val="00FA2BC9"/>
    <w:rsid w:val="00FA3463"/>
    <w:rsid w:val="00FA581C"/>
    <w:rsid w:val="00FB0DBA"/>
    <w:rsid w:val="00FB450C"/>
    <w:rsid w:val="00FB5C54"/>
    <w:rsid w:val="00FC1C58"/>
    <w:rsid w:val="00FD2585"/>
    <w:rsid w:val="00FD3274"/>
    <w:rsid w:val="00FD3431"/>
    <w:rsid w:val="00FE5FA3"/>
    <w:rsid w:val="00FE74AF"/>
    <w:rsid w:val="00FF0626"/>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64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5981"/>
    <w:pPr>
      <w:widowControl w:val="0"/>
    </w:pPr>
    <w:rPr>
      <w:snapToGrid w:val="0"/>
      <w:kern w:val="28"/>
      <w:szCs w:val="20"/>
    </w:rPr>
  </w:style>
  <w:style w:type="paragraph" w:styleId="Heading1">
    <w:name w:val="heading 1"/>
    <w:basedOn w:val="Normal"/>
    <w:next w:val="ParaNum"/>
    <w:link w:val="Heading1Char"/>
    <w:qFormat/>
    <w:rsid w:val="0011598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15981"/>
    <w:pPr>
      <w:keepNext/>
      <w:numPr>
        <w:ilvl w:val="1"/>
        <w:numId w:val="2"/>
      </w:numPr>
      <w:spacing w:after="120"/>
      <w:outlineLvl w:val="1"/>
    </w:pPr>
    <w:rPr>
      <w:b/>
    </w:rPr>
  </w:style>
  <w:style w:type="paragraph" w:styleId="Heading3">
    <w:name w:val="heading 3"/>
    <w:basedOn w:val="Normal"/>
    <w:next w:val="ParaNum"/>
    <w:link w:val="Heading3Char"/>
    <w:qFormat/>
    <w:rsid w:val="0011598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1598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1598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1598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1598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1598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1598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5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981"/>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E829E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115981"/>
    <w:pPr>
      <w:numPr>
        <w:numId w:val="1"/>
      </w:numPr>
      <w:tabs>
        <w:tab w:val="clear" w:pos="1080"/>
        <w:tab w:val="num" w:pos="1440"/>
      </w:tabs>
      <w:spacing w:after="120"/>
    </w:pPr>
  </w:style>
  <w:style w:type="paragraph" w:styleId="EndnoteText">
    <w:name w:val="endnote text"/>
    <w:basedOn w:val="Normal"/>
    <w:link w:val="EndnoteTextChar"/>
    <w:semiHidden/>
    <w:rsid w:val="00115981"/>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115981"/>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115981"/>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Footnote Reference1"/>
    <w:rsid w:val="00115981"/>
    <w:rPr>
      <w:rFonts w:ascii="Times New Roman" w:hAnsi="Times New Roman"/>
      <w:dstrike w:val="0"/>
      <w:color w:val="auto"/>
      <w:sz w:val="20"/>
      <w:vertAlign w:val="superscript"/>
    </w:rPr>
  </w:style>
  <w:style w:type="paragraph" w:styleId="TOC1">
    <w:name w:val="toc 1"/>
    <w:basedOn w:val="Normal"/>
    <w:next w:val="Normal"/>
    <w:rsid w:val="001159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5981"/>
    <w:pPr>
      <w:tabs>
        <w:tab w:val="left" w:pos="720"/>
        <w:tab w:val="right" w:leader="dot" w:pos="9360"/>
      </w:tabs>
      <w:suppressAutoHyphens/>
      <w:ind w:left="720" w:right="720" w:hanging="360"/>
    </w:pPr>
    <w:rPr>
      <w:noProof/>
    </w:rPr>
  </w:style>
  <w:style w:type="paragraph" w:styleId="TOC3">
    <w:name w:val="toc 3"/>
    <w:basedOn w:val="Normal"/>
    <w:next w:val="Normal"/>
    <w:semiHidden/>
    <w:rsid w:val="001159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59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59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59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59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59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59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5981"/>
    <w:pPr>
      <w:tabs>
        <w:tab w:val="right" w:pos="9360"/>
      </w:tabs>
      <w:suppressAutoHyphens/>
    </w:pPr>
  </w:style>
  <w:style w:type="character" w:customStyle="1" w:styleId="EquationCaption">
    <w:name w:val="_Equation Caption"/>
    <w:rsid w:val="00115981"/>
  </w:style>
  <w:style w:type="paragraph" w:styleId="Header">
    <w:name w:val="header"/>
    <w:basedOn w:val="Normal"/>
    <w:link w:val="HeaderChar"/>
    <w:autoRedefine/>
    <w:rsid w:val="00115981"/>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115981"/>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115981"/>
  </w:style>
  <w:style w:type="paragraph" w:styleId="BlockText">
    <w:name w:val="Block Text"/>
    <w:basedOn w:val="Normal"/>
    <w:rsid w:val="00115981"/>
    <w:pPr>
      <w:spacing w:after="240"/>
      <w:ind w:left="1440" w:right="1440"/>
    </w:pPr>
  </w:style>
  <w:style w:type="paragraph" w:customStyle="1" w:styleId="Paratitle">
    <w:name w:val="Para title"/>
    <w:basedOn w:val="Normal"/>
    <w:rsid w:val="00115981"/>
    <w:pPr>
      <w:tabs>
        <w:tab w:val="center" w:pos="9270"/>
      </w:tabs>
      <w:spacing w:after="240"/>
    </w:pPr>
    <w:rPr>
      <w:spacing w:val="-2"/>
    </w:rPr>
  </w:style>
  <w:style w:type="paragraph" w:customStyle="1" w:styleId="Bullet">
    <w:name w:val="Bullet"/>
    <w:basedOn w:val="Normal"/>
    <w:rsid w:val="00115981"/>
    <w:pPr>
      <w:tabs>
        <w:tab w:val="left" w:pos="2160"/>
      </w:tabs>
      <w:spacing w:after="220"/>
      <w:ind w:left="2160" w:hanging="720"/>
    </w:pPr>
  </w:style>
  <w:style w:type="paragraph" w:customStyle="1" w:styleId="TableFormat">
    <w:name w:val="TableFormat"/>
    <w:basedOn w:val="Bullet"/>
    <w:rsid w:val="00115981"/>
    <w:pPr>
      <w:tabs>
        <w:tab w:val="clear" w:pos="2160"/>
        <w:tab w:val="left" w:pos="5040"/>
      </w:tabs>
      <w:ind w:left="5040" w:hanging="3600"/>
    </w:pPr>
  </w:style>
  <w:style w:type="paragraph" w:customStyle="1" w:styleId="TOCTitle">
    <w:name w:val="TOC Title"/>
    <w:basedOn w:val="Normal"/>
    <w:rsid w:val="001159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5981"/>
    <w:pPr>
      <w:jc w:val="center"/>
    </w:pPr>
    <w:rPr>
      <w:rFonts w:ascii="Times New Roman Bold" w:hAnsi="Times New Roman Bold"/>
      <w:b/>
      <w:bCs/>
      <w:caps/>
      <w:szCs w:val="22"/>
    </w:rPr>
  </w:style>
  <w:style w:type="character" w:styleId="Hyperlink">
    <w:name w:val="Hyperlink"/>
    <w:rsid w:val="00115981"/>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5981"/>
    <w:pPr>
      <w:widowControl w:val="0"/>
    </w:pPr>
    <w:rPr>
      <w:snapToGrid w:val="0"/>
      <w:kern w:val="28"/>
      <w:szCs w:val="20"/>
    </w:rPr>
  </w:style>
  <w:style w:type="paragraph" w:styleId="Heading1">
    <w:name w:val="heading 1"/>
    <w:basedOn w:val="Normal"/>
    <w:next w:val="ParaNum"/>
    <w:link w:val="Heading1Char"/>
    <w:qFormat/>
    <w:rsid w:val="0011598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15981"/>
    <w:pPr>
      <w:keepNext/>
      <w:numPr>
        <w:ilvl w:val="1"/>
        <w:numId w:val="2"/>
      </w:numPr>
      <w:spacing w:after="120"/>
      <w:outlineLvl w:val="1"/>
    </w:pPr>
    <w:rPr>
      <w:b/>
    </w:rPr>
  </w:style>
  <w:style w:type="paragraph" w:styleId="Heading3">
    <w:name w:val="heading 3"/>
    <w:basedOn w:val="Normal"/>
    <w:next w:val="ParaNum"/>
    <w:link w:val="Heading3Char"/>
    <w:qFormat/>
    <w:rsid w:val="0011598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1598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1598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1598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1598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1598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1598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59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981"/>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E829E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115981"/>
    <w:pPr>
      <w:numPr>
        <w:numId w:val="1"/>
      </w:numPr>
      <w:tabs>
        <w:tab w:val="clear" w:pos="1080"/>
        <w:tab w:val="num" w:pos="1440"/>
      </w:tabs>
      <w:spacing w:after="120"/>
    </w:pPr>
  </w:style>
  <w:style w:type="paragraph" w:styleId="EndnoteText">
    <w:name w:val="endnote text"/>
    <w:basedOn w:val="Normal"/>
    <w:link w:val="EndnoteTextChar"/>
    <w:semiHidden/>
    <w:rsid w:val="00115981"/>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115981"/>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115981"/>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Footnote Reference1"/>
    <w:rsid w:val="00115981"/>
    <w:rPr>
      <w:rFonts w:ascii="Times New Roman" w:hAnsi="Times New Roman"/>
      <w:dstrike w:val="0"/>
      <w:color w:val="auto"/>
      <w:sz w:val="20"/>
      <w:vertAlign w:val="superscript"/>
    </w:rPr>
  </w:style>
  <w:style w:type="paragraph" w:styleId="TOC1">
    <w:name w:val="toc 1"/>
    <w:basedOn w:val="Normal"/>
    <w:next w:val="Normal"/>
    <w:rsid w:val="001159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5981"/>
    <w:pPr>
      <w:tabs>
        <w:tab w:val="left" w:pos="720"/>
        <w:tab w:val="right" w:leader="dot" w:pos="9360"/>
      </w:tabs>
      <w:suppressAutoHyphens/>
      <w:ind w:left="720" w:right="720" w:hanging="360"/>
    </w:pPr>
    <w:rPr>
      <w:noProof/>
    </w:rPr>
  </w:style>
  <w:style w:type="paragraph" w:styleId="TOC3">
    <w:name w:val="toc 3"/>
    <w:basedOn w:val="Normal"/>
    <w:next w:val="Normal"/>
    <w:semiHidden/>
    <w:rsid w:val="001159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59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59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59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59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59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59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5981"/>
    <w:pPr>
      <w:tabs>
        <w:tab w:val="right" w:pos="9360"/>
      </w:tabs>
      <w:suppressAutoHyphens/>
    </w:pPr>
  </w:style>
  <w:style w:type="character" w:customStyle="1" w:styleId="EquationCaption">
    <w:name w:val="_Equation Caption"/>
    <w:rsid w:val="00115981"/>
  </w:style>
  <w:style w:type="paragraph" w:styleId="Header">
    <w:name w:val="header"/>
    <w:basedOn w:val="Normal"/>
    <w:link w:val="HeaderChar"/>
    <w:autoRedefine/>
    <w:rsid w:val="00115981"/>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115981"/>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115981"/>
  </w:style>
  <w:style w:type="paragraph" w:styleId="BlockText">
    <w:name w:val="Block Text"/>
    <w:basedOn w:val="Normal"/>
    <w:rsid w:val="00115981"/>
    <w:pPr>
      <w:spacing w:after="240"/>
      <w:ind w:left="1440" w:right="1440"/>
    </w:pPr>
  </w:style>
  <w:style w:type="paragraph" w:customStyle="1" w:styleId="Paratitle">
    <w:name w:val="Para title"/>
    <w:basedOn w:val="Normal"/>
    <w:rsid w:val="00115981"/>
    <w:pPr>
      <w:tabs>
        <w:tab w:val="center" w:pos="9270"/>
      </w:tabs>
      <w:spacing w:after="240"/>
    </w:pPr>
    <w:rPr>
      <w:spacing w:val="-2"/>
    </w:rPr>
  </w:style>
  <w:style w:type="paragraph" w:customStyle="1" w:styleId="Bullet">
    <w:name w:val="Bullet"/>
    <w:basedOn w:val="Normal"/>
    <w:rsid w:val="00115981"/>
    <w:pPr>
      <w:tabs>
        <w:tab w:val="left" w:pos="2160"/>
      </w:tabs>
      <w:spacing w:after="220"/>
      <w:ind w:left="2160" w:hanging="720"/>
    </w:pPr>
  </w:style>
  <w:style w:type="paragraph" w:customStyle="1" w:styleId="TableFormat">
    <w:name w:val="TableFormat"/>
    <w:basedOn w:val="Bullet"/>
    <w:rsid w:val="00115981"/>
    <w:pPr>
      <w:tabs>
        <w:tab w:val="clear" w:pos="2160"/>
        <w:tab w:val="left" w:pos="5040"/>
      </w:tabs>
      <w:ind w:left="5040" w:hanging="3600"/>
    </w:pPr>
  </w:style>
  <w:style w:type="paragraph" w:customStyle="1" w:styleId="TOCTitle">
    <w:name w:val="TOC Title"/>
    <w:basedOn w:val="Normal"/>
    <w:rsid w:val="001159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5981"/>
    <w:pPr>
      <w:jc w:val="center"/>
    </w:pPr>
    <w:rPr>
      <w:rFonts w:ascii="Times New Roman Bold" w:hAnsi="Times New Roman Bold"/>
      <w:b/>
      <w:bCs/>
      <w:caps/>
      <w:szCs w:val="22"/>
    </w:rPr>
  </w:style>
  <w:style w:type="character" w:styleId="Hyperlink">
    <w:name w:val="Hyperlink"/>
    <w:rsid w:val="00115981"/>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2598</Words>
  <Characters>14262</Characters>
  <Application>Microsoft Office Word</Application>
  <DocSecurity>0</DocSecurity>
  <Lines>227</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16905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2015-12-03T03:10:00Z</dcterms:created>
  <dcterms:modified xsi:type="dcterms:W3CDTF">2015-12-03T03:10:00Z</dcterms:modified>
  <cp:category> </cp:category>
  <cp:contentStatus> </cp:contentStatus>
</cp:coreProperties>
</file>