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209F2" w14:textId="77777777" w:rsidR="00691AF9" w:rsidRPr="00136477" w:rsidRDefault="0084151D" w:rsidP="00E12B1F">
      <w:pPr>
        <w:jc w:val="center"/>
        <w:rPr>
          <w:sz w:val="22"/>
          <w:szCs w:val="22"/>
        </w:rPr>
      </w:pPr>
      <w:bookmarkStart w:id="0" w:name="_GoBack"/>
      <w:bookmarkEnd w:id="0"/>
      <w:r>
        <w:rPr>
          <w:sz w:val="22"/>
          <w:szCs w:val="22"/>
        </w:rPr>
        <w:t xml:space="preserve">December </w:t>
      </w:r>
      <w:r w:rsidR="00626D6B">
        <w:rPr>
          <w:sz w:val="22"/>
          <w:szCs w:val="22"/>
        </w:rPr>
        <w:t>2</w:t>
      </w:r>
      <w:r w:rsidR="006A35A7">
        <w:rPr>
          <w:sz w:val="22"/>
          <w:szCs w:val="22"/>
        </w:rPr>
        <w:t>, 2015</w:t>
      </w:r>
    </w:p>
    <w:p w14:paraId="7EA46E37" w14:textId="77777777" w:rsidR="00136477" w:rsidRDefault="00E231DB" w:rsidP="00E12B1F">
      <w:r>
        <w:tab/>
      </w:r>
      <w:r>
        <w:tab/>
      </w:r>
      <w:r>
        <w:tab/>
      </w:r>
      <w:r>
        <w:tab/>
      </w:r>
      <w:r>
        <w:tab/>
      </w:r>
      <w:r>
        <w:tab/>
      </w:r>
      <w:r>
        <w:tab/>
      </w:r>
      <w:r>
        <w:tab/>
      </w:r>
    </w:p>
    <w:p w14:paraId="05252401" w14:textId="77777777" w:rsidR="00136477" w:rsidRDefault="00136477" w:rsidP="00E12B1F"/>
    <w:p w14:paraId="7CE2DCC1" w14:textId="5657FA7B" w:rsidR="00E231DB" w:rsidRPr="008D4B53" w:rsidRDefault="006A35A7" w:rsidP="00E12B1F">
      <w:pPr>
        <w:jc w:val="right"/>
        <w:rPr>
          <w:sz w:val="22"/>
          <w:szCs w:val="22"/>
        </w:rPr>
      </w:pPr>
      <w:r>
        <w:rPr>
          <w:sz w:val="22"/>
          <w:szCs w:val="22"/>
        </w:rPr>
        <w:t>DA 15</w:t>
      </w:r>
      <w:r w:rsidR="00777C81" w:rsidRPr="008D4B53">
        <w:rPr>
          <w:sz w:val="22"/>
          <w:szCs w:val="22"/>
        </w:rPr>
        <w:t>-</w:t>
      </w:r>
      <w:r w:rsidR="003F15D8">
        <w:rPr>
          <w:sz w:val="22"/>
          <w:szCs w:val="22"/>
        </w:rPr>
        <w:t>1379</w:t>
      </w:r>
    </w:p>
    <w:p w14:paraId="59EFE6DF" w14:textId="64FCA34C" w:rsidR="00CF1265" w:rsidRPr="00120929" w:rsidRDefault="00296796" w:rsidP="00CF1265">
      <w:pPr>
        <w:rPr>
          <w:sz w:val="22"/>
          <w:szCs w:val="22"/>
          <w:u w:val="double"/>
        </w:rPr>
      </w:pPr>
      <w:r w:rsidRPr="00120929">
        <w:rPr>
          <w:sz w:val="22"/>
          <w:szCs w:val="22"/>
          <w:u w:val="double"/>
        </w:rPr>
        <w:t xml:space="preserve">By Electronic </w:t>
      </w:r>
      <w:r w:rsidR="00E22546" w:rsidRPr="00120929">
        <w:rPr>
          <w:sz w:val="22"/>
          <w:szCs w:val="22"/>
          <w:u w:val="double"/>
        </w:rPr>
        <w:t>Mail to:</w:t>
      </w:r>
      <w:r w:rsidR="00CF1265" w:rsidRPr="00120929">
        <w:rPr>
          <w:u w:val="double"/>
        </w:rPr>
        <w:t xml:space="preserve">  </w:t>
      </w:r>
      <w:hyperlink r:id="rId7" w:history="1">
        <w:r w:rsidR="00CF1265" w:rsidRPr="00120929">
          <w:rPr>
            <w:rStyle w:val="Hyperlink"/>
            <w:sz w:val="22"/>
            <w:szCs w:val="22"/>
            <w:u w:val="double"/>
          </w:rPr>
          <w:t>evans@fhhlaw.com</w:t>
        </w:r>
      </w:hyperlink>
      <w:r w:rsidR="00CF1265" w:rsidRPr="00120929">
        <w:rPr>
          <w:sz w:val="22"/>
          <w:szCs w:val="22"/>
          <w:u w:val="double"/>
        </w:rPr>
        <w:t xml:space="preserve"> </w:t>
      </w:r>
    </w:p>
    <w:p w14:paraId="5D4BB6C2" w14:textId="77777777" w:rsidR="00296796" w:rsidRDefault="00296796" w:rsidP="00E12B1F">
      <w:pPr>
        <w:rPr>
          <w:sz w:val="22"/>
          <w:szCs w:val="22"/>
        </w:rPr>
      </w:pPr>
    </w:p>
    <w:p w14:paraId="3CAF2A4F" w14:textId="77777777" w:rsidR="00833D7C" w:rsidRPr="008D4B53" w:rsidRDefault="006A35A7" w:rsidP="00E12B1F">
      <w:pPr>
        <w:rPr>
          <w:sz w:val="22"/>
          <w:szCs w:val="22"/>
        </w:rPr>
      </w:pPr>
      <w:r>
        <w:rPr>
          <w:sz w:val="22"/>
          <w:szCs w:val="22"/>
        </w:rPr>
        <w:t xml:space="preserve">Donald J. Evans, Esq. </w:t>
      </w:r>
    </w:p>
    <w:p w14:paraId="26F6FFE1" w14:textId="77777777" w:rsidR="00833D7C" w:rsidRDefault="006A35A7" w:rsidP="00E12B1F">
      <w:pPr>
        <w:rPr>
          <w:sz w:val="22"/>
          <w:szCs w:val="22"/>
        </w:rPr>
      </w:pPr>
      <w:r>
        <w:rPr>
          <w:sz w:val="22"/>
          <w:szCs w:val="22"/>
        </w:rPr>
        <w:t>Fletcher</w:t>
      </w:r>
      <w:r w:rsidR="00912336">
        <w:rPr>
          <w:sz w:val="22"/>
          <w:szCs w:val="22"/>
        </w:rPr>
        <w:t>, Heald, and Hildreth, PLC</w:t>
      </w:r>
    </w:p>
    <w:p w14:paraId="6CC312C8" w14:textId="77777777" w:rsidR="00912336" w:rsidRDefault="00912336" w:rsidP="00E12B1F">
      <w:pPr>
        <w:rPr>
          <w:sz w:val="22"/>
          <w:szCs w:val="22"/>
        </w:rPr>
      </w:pPr>
      <w:r>
        <w:rPr>
          <w:sz w:val="22"/>
          <w:szCs w:val="22"/>
        </w:rPr>
        <w:t>1300 North 17</w:t>
      </w:r>
      <w:r w:rsidRPr="00912336">
        <w:rPr>
          <w:sz w:val="22"/>
          <w:szCs w:val="22"/>
          <w:vertAlign w:val="superscript"/>
        </w:rPr>
        <w:t>th</w:t>
      </w:r>
      <w:r>
        <w:rPr>
          <w:sz w:val="22"/>
          <w:szCs w:val="22"/>
        </w:rPr>
        <w:t xml:space="preserve"> Street, 11</w:t>
      </w:r>
      <w:r w:rsidRPr="00912336">
        <w:rPr>
          <w:sz w:val="22"/>
          <w:szCs w:val="22"/>
          <w:vertAlign w:val="superscript"/>
        </w:rPr>
        <w:t>th</w:t>
      </w:r>
      <w:r>
        <w:rPr>
          <w:sz w:val="22"/>
          <w:szCs w:val="22"/>
        </w:rPr>
        <w:t xml:space="preserve"> Floor</w:t>
      </w:r>
    </w:p>
    <w:p w14:paraId="12B47DC4" w14:textId="77777777" w:rsidR="006A35A7" w:rsidRDefault="00912336" w:rsidP="00E12B1F">
      <w:pPr>
        <w:rPr>
          <w:sz w:val="22"/>
          <w:szCs w:val="22"/>
        </w:rPr>
      </w:pPr>
      <w:r>
        <w:rPr>
          <w:sz w:val="22"/>
          <w:szCs w:val="22"/>
        </w:rPr>
        <w:t xml:space="preserve">Arlington, VA </w:t>
      </w:r>
      <w:r w:rsidR="00640326">
        <w:rPr>
          <w:sz w:val="22"/>
          <w:szCs w:val="22"/>
        </w:rPr>
        <w:t xml:space="preserve"> </w:t>
      </w:r>
      <w:r>
        <w:rPr>
          <w:sz w:val="22"/>
          <w:szCs w:val="22"/>
        </w:rPr>
        <w:t>22209</w:t>
      </w:r>
    </w:p>
    <w:p w14:paraId="31498C77" w14:textId="77777777" w:rsidR="00AD4533" w:rsidRDefault="00AD4533" w:rsidP="00E12B1F">
      <w:pPr>
        <w:rPr>
          <w:sz w:val="22"/>
          <w:szCs w:val="22"/>
        </w:rPr>
      </w:pPr>
    </w:p>
    <w:p w14:paraId="6D9E76E9" w14:textId="77777777" w:rsidR="00FF7A5C" w:rsidRDefault="00296796" w:rsidP="00E12B1F">
      <w:pPr>
        <w:rPr>
          <w:sz w:val="22"/>
          <w:szCs w:val="22"/>
        </w:rPr>
      </w:pPr>
      <w:r>
        <w:rPr>
          <w:sz w:val="22"/>
          <w:szCs w:val="22"/>
        </w:rPr>
        <w:t>Counsel for Joseph A. Sofio</w:t>
      </w:r>
    </w:p>
    <w:p w14:paraId="7344C5FF" w14:textId="77777777" w:rsidR="00296796" w:rsidRDefault="00296796" w:rsidP="00E12B1F">
      <w:pPr>
        <w:rPr>
          <w:sz w:val="22"/>
          <w:szCs w:val="22"/>
        </w:rPr>
      </w:pPr>
    </w:p>
    <w:p w14:paraId="306CC37F" w14:textId="77777777" w:rsidR="00691AF9" w:rsidRDefault="00691AF9" w:rsidP="00E12B1F">
      <w:pPr>
        <w:ind w:left="1440" w:right="-90" w:hanging="720"/>
        <w:rPr>
          <w:sz w:val="22"/>
          <w:szCs w:val="22"/>
        </w:rPr>
      </w:pPr>
      <w:r>
        <w:rPr>
          <w:sz w:val="22"/>
          <w:szCs w:val="22"/>
        </w:rPr>
        <w:t>Re</w:t>
      </w:r>
      <w:r w:rsidR="00D71BDA">
        <w:rPr>
          <w:sz w:val="22"/>
          <w:szCs w:val="22"/>
        </w:rPr>
        <w:t>:</w:t>
      </w:r>
      <w:r w:rsidR="008D4B53">
        <w:rPr>
          <w:sz w:val="22"/>
          <w:szCs w:val="22"/>
        </w:rPr>
        <w:t xml:space="preserve"> </w:t>
      </w:r>
      <w:r w:rsidR="00296796">
        <w:rPr>
          <w:sz w:val="22"/>
          <w:szCs w:val="22"/>
        </w:rPr>
        <w:tab/>
        <w:t xml:space="preserve">Request for Confidentiality; </w:t>
      </w:r>
      <w:r w:rsidR="008B40B5">
        <w:rPr>
          <w:sz w:val="22"/>
          <w:szCs w:val="22"/>
        </w:rPr>
        <w:t>Application of Joseph A. Sofio for AWS-3 Licenses in t</w:t>
      </w:r>
      <w:r w:rsidR="00296796">
        <w:rPr>
          <w:sz w:val="22"/>
          <w:szCs w:val="22"/>
        </w:rPr>
        <w:t xml:space="preserve">he 1695-1710 MHz, 1755-1780 MHz </w:t>
      </w:r>
      <w:r w:rsidR="008B40B5">
        <w:rPr>
          <w:sz w:val="22"/>
          <w:szCs w:val="22"/>
        </w:rPr>
        <w:t xml:space="preserve">and 2155-2180 MHz Bands, ULS </w:t>
      </w:r>
      <w:r w:rsidR="007B0F53">
        <w:rPr>
          <w:sz w:val="22"/>
          <w:szCs w:val="22"/>
        </w:rPr>
        <w:t xml:space="preserve">File </w:t>
      </w:r>
      <w:r w:rsidR="008B40B5">
        <w:rPr>
          <w:sz w:val="22"/>
          <w:szCs w:val="22"/>
        </w:rPr>
        <w:t xml:space="preserve">No. </w:t>
      </w:r>
      <w:r w:rsidR="007B0F53" w:rsidRPr="007B0F53">
        <w:rPr>
          <w:sz w:val="22"/>
          <w:szCs w:val="22"/>
        </w:rPr>
        <w:t>0006670108</w:t>
      </w:r>
    </w:p>
    <w:p w14:paraId="57949C5A" w14:textId="77777777" w:rsidR="00691AF9" w:rsidRDefault="00691AF9" w:rsidP="00E12B1F">
      <w:pPr>
        <w:rPr>
          <w:sz w:val="22"/>
          <w:szCs w:val="22"/>
        </w:rPr>
      </w:pPr>
    </w:p>
    <w:p w14:paraId="7B3F11E4" w14:textId="77777777" w:rsidR="00997C18" w:rsidRDefault="006A35A7" w:rsidP="00E12B1F">
      <w:pPr>
        <w:rPr>
          <w:sz w:val="22"/>
          <w:szCs w:val="22"/>
        </w:rPr>
      </w:pPr>
      <w:r>
        <w:rPr>
          <w:sz w:val="22"/>
          <w:szCs w:val="22"/>
        </w:rPr>
        <w:t>Dear Mr. Evans:</w:t>
      </w:r>
    </w:p>
    <w:p w14:paraId="3D9E58EE" w14:textId="77777777" w:rsidR="00C73C1B" w:rsidRDefault="00C73C1B" w:rsidP="00E12B1F">
      <w:pPr>
        <w:rPr>
          <w:sz w:val="22"/>
          <w:szCs w:val="22"/>
        </w:rPr>
      </w:pPr>
    </w:p>
    <w:p w14:paraId="7EC67B19" w14:textId="77777777" w:rsidR="00AA70C5" w:rsidRDefault="006A35A7" w:rsidP="00E12B1F">
      <w:pPr>
        <w:ind w:firstLine="720"/>
        <w:rPr>
          <w:sz w:val="22"/>
          <w:szCs w:val="22"/>
        </w:rPr>
      </w:pPr>
      <w:r>
        <w:rPr>
          <w:sz w:val="22"/>
          <w:szCs w:val="22"/>
        </w:rPr>
        <w:t xml:space="preserve">Joseph A. Sofio </w:t>
      </w:r>
      <w:r w:rsidR="00C73C1B">
        <w:rPr>
          <w:sz w:val="22"/>
          <w:szCs w:val="22"/>
        </w:rPr>
        <w:t>(“</w:t>
      </w:r>
      <w:r w:rsidR="007B0F53">
        <w:rPr>
          <w:sz w:val="22"/>
          <w:szCs w:val="22"/>
        </w:rPr>
        <w:t xml:space="preserve">Mr. </w:t>
      </w:r>
      <w:r>
        <w:rPr>
          <w:sz w:val="22"/>
          <w:szCs w:val="22"/>
        </w:rPr>
        <w:t>Sofio</w:t>
      </w:r>
      <w:r w:rsidR="00575C1E">
        <w:rPr>
          <w:sz w:val="22"/>
          <w:szCs w:val="22"/>
        </w:rPr>
        <w:t>”</w:t>
      </w:r>
      <w:r w:rsidR="004B3D61">
        <w:rPr>
          <w:sz w:val="22"/>
          <w:szCs w:val="22"/>
        </w:rPr>
        <w:t xml:space="preserve"> or “Applicant”)</w:t>
      </w:r>
      <w:r w:rsidR="00443FA9">
        <w:rPr>
          <w:sz w:val="22"/>
          <w:szCs w:val="22"/>
        </w:rPr>
        <w:t xml:space="preserve"> request</w:t>
      </w:r>
      <w:r w:rsidR="00575C1E">
        <w:rPr>
          <w:sz w:val="22"/>
          <w:szCs w:val="22"/>
        </w:rPr>
        <w:t>s</w:t>
      </w:r>
      <w:r w:rsidR="00443FA9">
        <w:rPr>
          <w:sz w:val="22"/>
          <w:szCs w:val="22"/>
        </w:rPr>
        <w:t xml:space="preserve"> </w:t>
      </w:r>
      <w:r w:rsidR="00575C1E">
        <w:rPr>
          <w:sz w:val="22"/>
          <w:szCs w:val="22"/>
        </w:rPr>
        <w:t>confidential treatment</w:t>
      </w:r>
      <w:r w:rsidR="00252942">
        <w:rPr>
          <w:sz w:val="22"/>
          <w:szCs w:val="22"/>
        </w:rPr>
        <w:t xml:space="preserve"> </w:t>
      </w:r>
      <w:r w:rsidR="00001FB8">
        <w:rPr>
          <w:sz w:val="22"/>
          <w:szCs w:val="22"/>
        </w:rPr>
        <w:t>under Section 0.459 of the Commission’s rules,</w:t>
      </w:r>
      <w:r w:rsidR="00001FB8">
        <w:rPr>
          <w:rStyle w:val="FootnoteReference"/>
          <w:sz w:val="22"/>
          <w:szCs w:val="22"/>
        </w:rPr>
        <w:footnoteReference w:id="2"/>
      </w:r>
      <w:r w:rsidR="00001FB8">
        <w:rPr>
          <w:sz w:val="22"/>
          <w:szCs w:val="22"/>
        </w:rPr>
        <w:t xml:space="preserve"> for </w:t>
      </w:r>
      <w:r w:rsidR="008D1BA9">
        <w:rPr>
          <w:sz w:val="22"/>
          <w:szCs w:val="22"/>
        </w:rPr>
        <w:t xml:space="preserve">certain information disclosed to the Commission in </w:t>
      </w:r>
      <w:r w:rsidR="00E1449F">
        <w:rPr>
          <w:sz w:val="22"/>
          <w:szCs w:val="22"/>
        </w:rPr>
        <w:t xml:space="preserve">his </w:t>
      </w:r>
      <w:r w:rsidR="008D1BA9">
        <w:rPr>
          <w:sz w:val="22"/>
          <w:szCs w:val="22"/>
        </w:rPr>
        <w:t>above-referenced application</w:t>
      </w:r>
      <w:r w:rsidR="00667999">
        <w:rPr>
          <w:sz w:val="22"/>
          <w:szCs w:val="22"/>
        </w:rPr>
        <w:t xml:space="preserve"> (“Request”)</w:t>
      </w:r>
      <w:r w:rsidR="008D1BA9">
        <w:rPr>
          <w:sz w:val="22"/>
          <w:szCs w:val="22"/>
        </w:rPr>
        <w:t>.</w:t>
      </w:r>
      <w:r w:rsidR="00001FB8">
        <w:rPr>
          <w:rStyle w:val="FootnoteReference"/>
          <w:sz w:val="22"/>
          <w:szCs w:val="22"/>
        </w:rPr>
        <w:footnoteReference w:id="3"/>
      </w:r>
      <w:r w:rsidR="008D1BA9">
        <w:rPr>
          <w:sz w:val="22"/>
          <w:szCs w:val="22"/>
        </w:rPr>
        <w:t xml:space="preserve">  </w:t>
      </w:r>
      <w:r w:rsidR="00E1449F">
        <w:rPr>
          <w:sz w:val="22"/>
          <w:szCs w:val="22"/>
        </w:rPr>
        <w:t xml:space="preserve">Mr. Sofio was the </w:t>
      </w:r>
      <w:r w:rsidR="0030179B">
        <w:rPr>
          <w:sz w:val="22"/>
          <w:szCs w:val="22"/>
        </w:rPr>
        <w:t xml:space="preserve">winning bidder for </w:t>
      </w:r>
      <w:r w:rsidR="00AA70C5">
        <w:rPr>
          <w:sz w:val="22"/>
          <w:szCs w:val="22"/>
        </w:rPr>
        <w:t>28</w:t>
      </w:r>
      <w:r w:rsidR="0030179B">
        <w:rPr>
          <w:sz w:val="22"/>
          <w:szCs w:val="22"/>
        </w:rPr>
        <w:t xml:space="preserve"> licenses offered in Auction 97 with a total of </w:t>
      </w:r>
      <w:r w:rsidR="00AA70C5" w:rsidRPr="00A9697B">
        <w:rPr>
          <w:sz w:val="22"/>
          <w:szCs w:val="22"/>
        </w:rPr>
        <w:t>$13,483,500</w:t>
      </w:r>
      <w:r w:rsidR="00667999">
        <w:rPr>
          <w:sz w:val="22"/>
          <w:szCs w:val="22"/>
        </w:rPr>
        <w:t xml:space="preserve"> in net provisionally winning bids</w:t>
      </w:r>
      <w:r w:rsidR="00AA70C5" w:rsidRPr="00A9697B">
        <w:rPr>
          <w:sz w:val="22"/>
          <w:szCs w:val="22"/>
        </w:rPr>
        <w:t>.</w:t>
      </w:r>
      <w:r w:rsidR="00AA70C5">
        <w:rPr>
          <w:rStyle w:val="FootnoteReference"/>
          <w:sz w:val="22"/>
          <w:szCs w:val="22"/>
        </w:rPr>
        <w:footnoteReference w:id="4"/>
      </w:r>
      <w:r w:rsidR="00667999">
        <w:rPr>
          <w:sz w:val="22"/>
          <w:szCs w:val="22"/>
        </w:rPr>
        <w:t xml:space="preserve">  </w:t>
      </w:r>
      <w:r w:rsidR="008D1BA9">
        <w:rPr>
          <w:sz w:val="22"/>
          <w:szCs w:val="22"/>
        </w:rPr>
        <w:t xml:space="preserve">This </w:t>
      </w:r>
      <w:r w:rsidR="00667999">
        <w:rPr>
          <w:sz w:val="22"/>
          <w:szCs w:val="22"/>
        </w:rPr>
        <w:t>letter provides n</w:t>
      </w:r>
      <w:r w:rsidR="008D1BA9">
        <w:rPr>
          <w:sz w:val="22"/>
          <w:szCs w:val="22"/>
        </w:rPr>
        <w:t xml:space="preserve">otice of our denial </w:t>
      </w:r>
      <w:r w:rsidR="0064003D">
        <w:rPr>
          <w:sz w:val="22"/>
          <w:szCs w:val="22"/>
        </w:rPr>
        <w:t xml:space="preserve">in part </w:t>
      </w:r>
      <w:r w:rsidR="008D1BA9">
        <w:rPr>
          <w:sz w:val="22"/>
          <w:szCs w:val="22"/>
        </w:rPr>
        <w:t xml:space="preserve">of the </w:t>
      </w:r>
      <w:r w:rsidR="0064003D">
        <w:rPr>
          <w:sz w:val="22"/>
          <w:szCs w:val="22"/>
        </w:rPr>
        <w:t>Request</w:t>
      </w:r>
      <w:r w:rsidR="00053D92">
        <w:rPr>
          <w:sz w:val="22"/>
          <w:szCs w:val="22"/>
        </w:rPr>
        <w:t>, specifically the request</w:t>
      </w:r>
      <w:r w:rsidR="0064003D">
        <w:rPr>
          <w:sz w:val="22"/>
          <w:szCs w:val="22"/>
        </w:rPr>
        <w:t xml:space="preserve"> </w:t>
      </w:r>
      <w:r w:rsidR="00A369DD">
        <w:rPr>
          <w:sz w:val="22"/>
          <w:szCs w:val="22"/>
        </w:rPr>
        <w:t xml:space="preserve">to keep non-public </w:t>
      </w:r>
      <w:r w:rsidR="00E1449F">
        <w:rPr>
          <w:sz w:val="22"/>
          <w:szCs w:val="22"/>
        </w:rPr>
        <w:t xml:space="preserve">the names of </w:t>
      </w:r>
      <w:r w:rsidR="00CD0E50">
        <w:rPr>
          <w:sz w:val="22"/>
          <w:szCs w:val="22"/>
        </w:rPr>
        <w:t xml:space="preserve">nine of 11 individuals, a limited liability company, and two trusts </w:t>
      </w:r>
      <w:r w:rsidR="00E54C45">
        <w:rPr>
          <w:sz w:val="22"/>
          <w:szCs w:val="22"/>
        </w:rPr>
        <w:t xml:space="preserve">that Mr. Sofio reported in his application as parties to </w:t>
      </w:r>
      <w:r w:rsidR="008F1276">
        <w:rPr>
          <w:sz w:val="22"/>
          <w:szCs w:val="22"/>
        </w:rPr>
        <w:t xml:space="preserve">agreements </w:t>
      </w:r>
      <w:r w:rsidR="00E54C45">
        <w:rPr>
          <w:sz w:val="22"/>
          <w:szCs w:val="22"/>
        </w:rPr>
        <w:t xml:space="preserve">or other understandings </w:t>
      </w:r>
      <w:r w:rsidR="008F1276">
        <w:rPr>
          <w:sz w:val="22"/>
          <w:szCs w:val="22"/>
        </w:rPr>
        <w:t>with the Applicant</w:t>
      </w:r>
      <w:r w:rsidR="00E54C45">
        <w:rPr>
          <w:sz w:val="22"/>
          <w:szCs w:val="22"/>
        </w:rPr>
        <w:t xml:space="preserve">.  </w:t>
      </w:r>
      <w:r w:rsidR="00CD0E50">
        <w:rPr>
          <w:sz w:val="22"/>
          <w:szCs w:val="22"/>
        </w:rPr>
        <w:t>In accordance with Section 0.459(</w:t>
      </w:r>
      <w:r w:rsidR="009F2A4E">
        <w:rPr>
          <w:sz w:val="22"/>
          <w:szCs w:val="22"/>
        </w:rPr>
        <w:t>g</w:t>
      </w:r>
      <w:r w:rsidR="00CD0E50">
        <w:rPr>
          <w:sz w:val="22"/>
          <w:szCs w:val="22"/>
        </w:rPr>
        <w:t>)</w:t>
      </w:r>
      <w:r w:rsidR="00E54C45">
        <w:rPr>
          <w:sz w:val="22"/>
          <w:szCs w:val="22"/>
        </w:rPr>
        <w:t>,</w:t>
      </w:r>
      <w:r w:rsidR="00CD0E50">
        <w:rPr>
          <w:rStyle w:val="FootnoteReference"/>
          <w:sz w:val="22"/>
          <w:szCs w:val="22"/>
        </w:rPr>
        <w:footnoteReference w:id="5"/>
      </w:r>
      <w:r w:rsidR="00E54C45">
        <w:rPr>
          <w:sz w:val="22"/>
          <w:szCs w:val="22"/>
        </w:rPr>
        <w:t xml:space="preserve"> </w:t>
      </w:r>
      <w:r w:rsidR="00CD0E50">
        <w:rPr>
          <w:sz w:val="22"/>
          <w:szCs w:val="22"/>
        </w:rPr>
        <w:t xml:space="preserve">Mr. Sofio has </w:t>
      </w:r>
      <w:r w:rsidR="00180079">
        <w:rPr>
          <w:sz w:val="22"/>
          <w:szCs w:val="22"/>
        </w:rPr>
        <w:t>until December 16, 2015—</w:t>
      </w:r>
      <w:r w:rsidR="00CD0E50">
        <w:rPr>
          <w:sz w:val="22"/>
          <w:szCs w:val="22"/>
        </w:rPr>
        <w:t xml:space="preserve">ten </w:t>
      </w:r>
      <w:r w:rsidR="00C9096D">
        <w:rPr>
          <w:sz w:val="22"/>
          <w:szCs w:val="22"/>
        </w:rPr>
        <w:t xml:space="preserve">business </w:t>
      </w:r>
      <w:r w:rsidR="00CD0E50">
        <w:rPr>
          <w:sz w:val="22"/>
          <w:szCs w:val="22"/>
        </w:rPr>
        <w:t>days from the date of this letter</w:t>
      </w:r>
      <w:r w:rsidR="00180079">
        <w:rPr>
          <w:sz w:val="22"/>
          <w:szCs w:val="22"/>
        </w:rPr>
        <w:t>—</w:t>
      </w:r>
      <w:r w:rsidR="00CD0E50">
        <w:rPr>
          <w:sz w:val="22"/>
          <w:szCs w:val="22"/>
        </w:rPr>
        <w:t xml:space="preserve">to file an application for review </w:t>
      </w:r>
      <w:r w:rsidR="00C9096D">
        <w:rPr>
          <w:sz w:val="22"/>
          <w:szCs w:val="22"/>
        </w:rPr>
        <w:t xml:space="preserve">by the Commission </w:t>
      </w:r>
      <w:r w:rsidR="00CD0E50">
        <w:rPr>
          <w:sz w:val="22"/>
          <w:szCs w:val="22"/>
        </w:rPr>
        <w:t xml:space="preserve">of this denial in part.  </w:t>
      </w:r>
      <w:r w:rsidR="00AA70C5">
        <w:rPr>
          <w:sz w:val="22"/>
          <w:szCs w:val="22"/>
        </w:rPr>
        <w:t>We are not herein ruling on any other information covered by the Request</w:t>
      </w:r>
      <w:r w:rsidR="00F120D2">
        <w:rPr>
          <w:sz w:val="22"/>
          <w:szCs w:val="22"/>
        </w:rPr>
        <w:t xml:space="preserve"> (</w:t>
      </w:r>
      <w:r w:rsidR="009F1FF4" w:rsidRPr="001D02DC">
        <w:rPr>
          <w:i/>
          <w:sz w:val="22"/>
          <w:szCs w:val="22"/>
        </w:rPr>
        <w:t>e.g.</w:t>
      </w:r>
      <w:r w:rsidR="00F120D2">
        <w:rPr>
          <w:sz w:val="22"/>
          <w:szCs w:val="22"/>
        </w:rPr>
        <w:t xml:space="preserve">, the amounts, interest rates, and maturity dates of the loans) </w:t>
      </w:r>
      <w:r w:rsidR="00AA70C5">
        <w:rPr>
          <w:sz w:val="22"/>
          <w:szCs w:val="22"/>
        </w:rPr>
        <w:t xml:space="preserve">and will </w:t>
      </w:r>
      <w:r w:rsidR="00F120D2">
        <w:rPr>
          <w:sz w:val="22"/>
          <w:szCs w:val="22"/>
        </w:rPr>
        <w:t xml:space="preserve">defer action with respect to such information pursuant to </w:t>
      </w:r>
      <w:r w:rsidR="00667999">
        <w:rPr>
          <w:sz w:val="22"/>
          <w:szCs w:val="22"/>
        </w:rPr>
        <w:t xml:space="preserve">Section </w:t>
      </w:r>
      <w:r w:rsidR="00AA70C5">
        <w:rPr>
          <w:sz w:val="22"/>
          <w:szCs w:val="22"/>
        </w:rPr>
        <w:t>0.459(</w:t>
      </w:r>
      <w:r w:rsidR="00C9096D">
        <w:rPr>
          <w:sz w:val="22"/>
          <w:szCs w:val="22"/>
        </w:rPr>
        <w:t>d</w:t>
      </w:r>
      <w:r w:rsidR="00D4734C">
        <w:rPr>
          <w:sz w:val="22"/>
          <w:szCs w:val="22"/>
        </w:rPr>
        <w:t>)</w:t>
      </w:r>
      <w:r w:rsidR="00AA70C5">
        <w:rPr>
          <w:sz w:val="22"/>
          <w:szCs w:val="22"/>
        </w:rPr>
        <w:t>(</w:t>
      </w:r>
      <w:r w:rsidR="00C9096D">
        <w:rPr>
          <w:sz w:val="22"/>
          <w:szCs w:val="22"/>
        </w:rPr>
        <w:t>3</w:t>
      </w:r>
      <w:r w:rsidR="009F2A4E">
        <w:rPr>
          <w:sz w:val="22"/>
          <w:szCs w:val="22"/>
        </w:rPr>
        <w:t>)</w:t>
      </w:r>
      <w:r w:rsidR="00AA70C5">
        <w:rPr>
          <w:sz w:val="22"/>
          <w:szCs w:val="22"/>
        </w:rPr>
        <w:t>.</w:t>
      </w:r>
      <w:r w:rsidR="00AA70C5">
        <w:rPr>
          <w:rStyle w:val="FootnoteReference"/>
          <w:sz w:val="22"/>
          <w:szCs w:val="22"/>
        </w:rPr>
        <w:footnoteReference w:id="6"/>
      </w:r>
      <w:r w:rsidR="00AA70C5">
        <w:rPr>
          <w:sz w:val="22"/>
          <w:szCs w:val="22"/>
        </w:rPr>
        <w:t xml:space="preserve">  </w:t>
      </w:r>
    </w:p>
    <w:p w14:paraId="1F6D69B7" w14:textId="77777777" w:rsidR="00AA70C5" w:rsidRDefault="00AA70C5" w:rsidP="00E12B1F">
      <w:pPr>
        <w:ind w:firstLine="720"/>
        <w:rPr>
          <w:sz w:val="22"/>
          <w:szCs w:val="22"/>
        </w:rPr>
      </w:pPr>
    </w:p>
    <w:p w14:paraId="437D603B" w14:textId="77777777" w:rsidR="00C05D94" w:rsidRDefault="00CD0E50" w:rsidP="00E12B1F">
      <w:pPr>
        <w:ind w:firstLine="720"/>
        <w:rPr>
          <w:sz w:val="22"/>
          <w:szCs w:val="22"/>
        </w:rPr>
      </w:pPr>
      <w:r>
        <w:rPr>
          <w:sz w:val="22"/>
          <w:szCs w:val="22"/>
        </w:rPr>
        <w:t>In the above-referenced application</w:t>
      </w:r>
      <w:r w:rsidR="00E54C45">
        <w:rPr>
          <w:sz w:val="22"/>
          <w:szCs w:val="22"/>
        </w:rPr>
        <w:t xml:space="preserve">, as filed on February 13, 2015, </w:t>
      </w:r>
      <w:r w:rsidR="007B0F53">
        <w:rPr>
          <w:sz w:val="22"/>
          <w:szCs w:val="22"/>
        </w:rPr>
        <w:t>Mr. Sofio</w:t>
      </w:r>
      <w:r w:rsidR="00A9697B" w:rsidRPr="00A9697B">
        <w:rPr>
          <w:sz w:val="22"/>
          <w:szCs w:val="22"/>
        </w:rPr>
        <w:t xml:space="preserve"> identified himself as </w:t>
      </w:r>
      <w:r w:rsidR="00E54C45">
        <w:rPr>
          <w:sz w:val="22"/>
          <w:szCs w:val="22"/>
        </w:rPr>
        <w:t>an individual Applicant</w:t>
      </w:r>
      <w:r w:rsidR="00192CFE">
        <w:rPr>
          <w:sz w:val="22"/>
          <w:szCs w:val="22"/>
        </w:rPr>
        <w:t xml:space="preserve"> and certified that he is eligible for a very small business bidding credit </w:t>
      </w:r>
      <w:r w:rsidR="008D0B63">
        <w:rPr>
          <w:sz w:val="22"/>
          <w:szCs w:val="22"/>
        </w:rPr>
        <w:t xml:space="preserve">and had </w:t>
      </w:r>
      <w:r w:rsidR="00E54C45">
        <w:rPr>
          <w:sz w:val="22"/>
          <w:szCs w:val="22"/>
        </w:rPr>
        <w:t xml:space="preserve">no </w:t>
      </w:r>
      <w:r w:rsidR="00A9697B" w:rsidRPr="00A9697B">
        <w:rPr>
          <w:sz w:val="22"/>
          <w:szCs w:val="22"/>
        </w:rPr>
        <w:t>affiliates and no agreements</w:t>
      </w:r>
      <w:r w:rsidR="008D0B63">
        <w:rPr>
          <w:sz w:val="22"/>
          <w:szCs w:val="22"/>
        </w:rPr>
        <w:t xml:space="preserve"> relevant to this claim</w:t>
      </w:r>
      <w:r w:rsidR="00A9697B" w:rsidRPr="00A9697B">
        <w:rPr>
          <w:sz w:val="22"/>
          <w:szCs w:val="22"/>
        </w:rPr>
        <w:t>.</w:t>
      </w:r>
      <w:r w:rsidR="00B24845">
        <w:rPr>
          <w:rStyle w:val="FootnoteReference"/>
          <w:sz w:val="22"/>
          <w:szCs w:val="22"/>
        </w:rPr>
        <w:footnoteReference w:id="7"/>
      </w:r>
      <w:r w:rsidR="00912336">
        <w:rPr>
          <w:sz w:val="22"/>
          <w:szCs w:val="22"/>
        </w:rPr>
        <w:t xml:space="preserve">  </w:t>
      </w:r>
      <w:r w:rsidR="00924D13">
        <w:rPr>
          <w:sz w:val="22"/>
          <w:szCs w:val="22"/>
        </w:rPr>
        <w:t>On</w:t>
      </w:r>
      <w:r w:rsidR="00A45C59">
        <w:rPr>
          <w:sz w:val="22"/>
          <w:szCs w:val="22"/>
        </w:rPr>
        <w:t xml:space="preserve"> April 2, 2015</w:t>
      </w:r>
      <w:r w:rsidR="00924D13">
        <w:rPr>
          <w:sz w:val="22"/>
          <w:szCs w:val="22"/>
        </w:rPr>
        <w:t xml:space="preserve">, </w:t>
      </w:r>
      <w:r w:rsidR="008D0B63">
        <w:rPr>
          <w:sz w:val="22"/>
          <w:szCs w:val="22"/>
        </w:rPr>
        <w:t xml:space="preserve">in response to informal staff </w:t>
      </w:r>
      <w:r w:rsidR="008D0B63">
        <w:rPr>
          <w:sz w:val="22"/>
          <w:szCs w:val="22"/>
        </w:rPr>
        <w:lastRenderedPageBreak/>
        <w:t xml:space="preserve">inquiries, </w:t>
      </w:r>
      <w:r w:rsidR="00924D13">
        <w:rPr>
          <w:sz w:val="22"/>
          <w:szCs w:val="22"/>
        </w:rPr>
        <w:t>Mr. Sofio</w:t>
      </w:r>
      <w:r w:rsidR="00A45C59">
        <w:rPr>
          <w:sz w:val="22"/>
          <w:szCs w:val="22"/>
        </w:rPr>
        <w:t xml:space="preserve"> provided</w:t>
      </w:r>
      <w:r w:rsidR="00B24845">
        <w:rPr>
          <w:sz w:val="22"/>
          <w:szCs w:val="22"/>
        </w:rPr>
        <w:t xml:space="preserve">, as attachments to the FCC Form 601, Exhibit D, </w:t>
      </w:r>
      <w:r w:rsidR="00A45C59">
        <w:rPr>
          <w:sz w:val="22"/>
          <w:szCs w:val="22"/>
        </w:rPr>
        <w:t>thirteen promissory notes,</w:t>
      </w:r>
      <w:r w:rsidR="007A1D48">
        <w:rPr>
          <w:rStyle w:val="FootnoteReference"/>
          <w:sz w:val="22"/>
          <w:szCs w:val="22"/>
        </w:rPr>
        <w:footnoteReference w:id="8"/>
      </w:r>
      <w:r w:rsidR="00A45C59">
        <w:rPr>
          <w:sz w:val="22"/>
          <w:szCs w:val="22"/>
        </w:rPr>
        <w:t xml:space="preserve"> dated April 2, 2015, between </w:t>
      </w:r>
      <w:r w:rsidR="007B0F53">
        <w:rPr>
          <w:sz w:val="22"/>
          <w:szCs w:val="22"/>
        </w:rPr>
        <w:t>Mr. Sofio</w:t>
      </w:r>
      <w:r w:rsidR="00A45C59">
        <w:rPr>
          <w:sz w:val="22"/>
          <w:szCs w:val="22"/>
        </w:rPr>
        <w:t xml:space="preserve"> and 11 individuals, one limited liability company, and two trusts.</w:t>
      </w:r>
      <w:r w:rsidR="00B24845">
        <w:rPr>
          <w:rStyle w:val="FootnoteReference"/>
          <w:sz w:val="22"/>
          <w:szCs w:val="22"/>
        </w:rPr>
        <w:footnoteReference w:id="9"/>
      </w:r>
      <w:r w:rsidR="007A1D48">
        <w:rPr>
          <w:sz w:val="22"/>
          <w:szCs w:val="22"/>
        </w:rPr>
        <w:t xml:space="preserve">  </w:t>
      </w:r>
      <w:r w:rsidR="007B0F53">
        <w:rPr>
          <w:sz w:val="22"/>
          <w:szCs w:val="22"/>
        </w:rPr>
        <w:t>Mr. Sofio</w:t>
      </w:r>
      <w:r w:rsidR="007A1D48">
        <w:rPr>
          <w:sz w:val="22"/>
          <w:szCs w:val="22"/>
        </w:rPr>
        <w:t xml:space="preserve"> sought confidential treatment for the names of nine of the individuals, one limited liability company, and two trusts to redact their identities </w:t>
      </w:r>
      <w:r w:rsidR="00F120D2">
        <w:rPr>
          <w:sz w:val="22"/>
          <w:szCs w:val="22"/>
        </w:rPr>
        <w:t xml:space="preserve">(as well as the </w:t>
      </w:r>
      <w:r w:rsidR="009F1FF4">
        <w:rPr>
          <w:sz w:val="22"/>
          <w:szCs w:val="22"/>
        </w:rPr>
        <w:t xml:space="preserve">above referenced </w:t>
      </w:r>
      <w:r w:rsidR="00F120D2">
        <w:rPr>
          <w:sz w:val="22"/>
          <w:szCs w:val="22"/>
        </w:rPr>
        <w:t xml:space="preserve">information) </w:t>
      </w:r>
      <w:r w:rsidR="007A1D48">
        <w:rPr>
          <w:sz w:val="22"/>
          <w:szCs w:val="22"/>
        </w:rPr>
        <w:t>from public disclosure.</w:t>
      </w:r>
      <w:r w:rsidR="007A1D48">
        <w:rPr>
          <w:rStyle w:val="FootnoteReference"/>
          <w:sz w:val="22"/>
          <w:szCs w:val="22"/>
        </w:rPr>
        <w:footnoteReference w:id="10"/>
      </w:r>
      <w:r w:rsidR="00C05D94">
        <w:rPr>
          <w:sz w:val="22"/>
          <w:szCs w:val="22"/>
        </w:rPr>
        <w:t xml:space="preserve">  The agreements were redacted as attachments to the </w:t>
      </w:r>
      <w:r w:rsidR="00287AD1">
        <w:rPr>
          <w:sz w:val="22"/>
          <w:szCs w:val="22"/>
        </w:rPr>
        <w:t>FCC Form 601</w:t>
      </w:r>
      <w:r w:rsidR="00C05D94">
        <w:rPr>
          <w:sz w:val="22"/>
          <w:szCs w:val="22"/>
        </w:rPr>
        <w:t xml:space="preserve">, and </w:t>
      </w:r>
      <w:r w:rsidR="007B0F53">
        <w:rPr>
          <w:sz w:val="22"/>
          <w:szCs w:val="22"/>
        </w:rPr>
        <w:t>Mr. Sofio</w:t>
      </w:r>
      <w:r w:rsidR="00C05D94">
        <w:rPr>
          <w:sz w:val="22"/>
          <w:szCs w:val="22"/>
        </w:rPr>
        <w:t xml:space="preserve"> did not provide summaries of the agreements</w:t>
      </w:r>
      <w:r w:rsidR="00521E95">
        <w:rPr>
          <w:sz w:val="22"/>
          <w:szCs w:val="22"/>
        </w:rPr>
        <w:t xml:space="preserve"> </w:t>
      </w:r>
      <w:r w:rsidR="00C05D94">
        <w:rPr>
          <w:sz w:val="22"/>
          <w:szCs w:val="22"/>
        </w:rPr>
        <w:t xml:space="preserve">in Exhibit D to the </w:t>
      </w:r>
      <w:r w:rsidR="00287AD1">
        <w:rPr>
          <w:sz w:val="22"/>
          <w:szCs w:val="22"/>
        </w:rPr>
        <w:t>FCC Form 601</w:t>
      </w:r>
      <w:r w:rsidR="00C05D94">
        <w:rPr>
          <w:sz w:val="22"/>
          <w:szCs w:val="22"/>
        </w:rPr>
        <w:t xml:space="preserve"> or include the names of the parties to the agreements on FCC Form 601, Schedule B, as required.</w:t>
      </w:r>
      <w:r w:rsidR="00A64159">
        <w:rPr>
          <w:rStyle w:val="FootnoteReference"/>
          <w:sz w:val="22"/>
          <w:szCs w:val="22"/>
        </w:rPr>
        <w:footnoteReference w:id="11"/>
      </w:r>
      <w:r w:rsidR="00C05D94">
        <w:rPr>
          <w:sz w:val="22"/>
          <w:szCs w:val="22"/>
        </w:rPr>
        <w:t xml:space="preserve">  </w:t>
      </w:r>
    </w:p>
    <w:p w14:paraId="3BE18D9A" w14:textId="77777777" w:rsidR="00C05D94" w:rsidRDefault="00C05D94" w:rsidP="00E12B1F">
      <w:pPr>
        <w:ind w:firstLine="720"/>
        <w:rPr>
          <w:sz w:val="22"/>
          <w:szCs w:val="22"/>
        </w:rPr>
      </w:pPr>
    </w:p>
    <w:p w14:paraId="57022270" w14:textId="0B5C77B9" w:rsidR="00E3752F" w:rsidRDefault="00C05D94" w:rsidP="00E12B1F">
      <w:pPr>
        <w:ind w:firstLine="720"/>
        <w:rPr>
          <w:sz w:val="22"/>
          <w:szCs w:val="22"/>
        </w:rPr>
      </w:pPr>
      <w:r>
        <w:rPr>
          <w:sz w:val="22"/>
          <w:szCs w:val="22"/>
        </w:rPr>
        <w:t xml:space="preserve">On April 21, 2015, </w:t>
      </w:r>
      <w:r w:rsidR="008D0B63">
        <w:rPr>
          <w:sz w:val="22"/>
          <w:szCs w:val="22"/>
        </w:rPr>
        <w:t xml:space="preserve">in response to further staff inquiries, </w:t>
      </w:r>
      <w:r w:rsidR="007B0F53">
        <w:rPr>
          <w:sz w:val="22"/>
          <w:szCs w:val="22"/>
        </w:rPr>
        <w:t>Mr. Sofio</w:t>
      </w:r>
      <w:r>
        <w:rPr>
          <w:sz w:val="22"/>
          <w:szCs w:val="22"/>
        </w:rPr>
        <w:t xml:space="preserve"> </w:t>
      </w:r>
      <w:r w:rsidR="008D0B63">
        <w:rPr>
          <w:sz w:val="22"/>
          <w:szCs w:val="22"/>
        </w:rPr>
        <w:t xml:space="preserve">again </w:t>
      </w:r>
      <w:r>
        <w:rPr>
          <w:sz w:val="22"/>
          <w:szCs w:val="22"/>
        </w:rPr>
        <w:t xml:space="preserve">amended the </w:t>
      </w:r>
      <w:r w:rsidR="001E30C9">
        <w:rPr>
          <w:sz w:val="22"/>
          <w:szCs w:val="22"/>
        </w:rPr>
        <w:t>FCC Form </w:t>
      </w:r>
      <w:r w:rsidR="00287AD1">
        <w:rPr>
          <w:sz w:val="22"/>
          <w:szCs w:val="22"/>
        </w:rPr>
        <w:t>601</w:t>
      </w:r>
      <w:r>
        <w:rPr>
          <w:sz w:val="22"/>
          <w:szCs w:val="22"/>
        </w:rPr>
        <w:t xml:space="preserve"> to provide, as attachments to Exhibit D, agreements that were referenced in or superseded by the April 2</w:t>
      </w:r>
      <w:r w:rsidRPr="00C05D94">
        <w:rPr>
          <w:sz w:val="22"/>
          <w:szCs w:val="22"/>
          <w:vertAlign w:val="superscript"/>
        </w:rPr>
        <w:t>nd</w:t>
      </w:r>
      <w:r>
        <w:rPr>
          <w:sz w:val="22"/>
          <w:szCs w:val="22"/>
        </w:rPr>
        <w:t xml:space="preserve"> agreements.</w:t>
      </w:r>
      <w:r w:rsidR="00B24845">
        <w:rPr>
          <w:rStyle w:val="FootnoteReference"/>
          <w:sz w:val="22"/>
          <w:szCs w:val="22"/>
        </w:rPr>
        <w:footnoteReference w:id="12"/>
      </w:r>
      <w:r>
        <w:rPr>
          <w:sz w:val="22"/>
          <w:szCs w:val="22"/>
        </w:rPr>
        <w:t xml:space="preserve">  Specifically, </w:t>
      </w:r>
      <w:r w:rsidR="007B0F53">
        <w:rPr>
          <w:sz w:val="22"/>
          <w:szCs w:val="22"/>
        </w:rPr>
        <w:t>Mr. Sofio</w:t>
      </w:r>
      <w:r>
        <w:rPr>
          <w:sz w:val="22"/>
          <w:szCs w:val="22"/>
        </w:rPr>
        <w:t xml:space="preserve"> provided one promissory note to a limited liability company, dated October 2, 20</w:t>
      </w:r>
      <w:r w:rsidR="00A978A0">
        <w:rPr>
          <w:sz w:val="22"/>
          <w:szCs w:val="22"/>
        </w:rPr>
        <w:t>14, and twelve promissory notes, dated February 25, 2015, to ten individuals</w:t>
      </w:r>
      <w:r w:rsidR="00A978A0">
        <w:rPr>
          <w:rStyle w:val="FootnoteReference"/>
          <w:sz w:val="22"/>
          <w:szCs w:val="22"/>
        </w:rPr>
        <w:footnoteReference w:id="13"/>
      </w:r>
      <w:r w:rsidR="00A978A0">
        <w:rPr>
          <w:sz w:val="22"/>
          <w:szCs w:val="22"/>
        </w:rPr>
        <w:t xml:space="preserve"> and two trusts, with the promissory note to one of those individuals superseding the October 2</w:t>
      </w:r>
      <w:r w:rsidR="00A978A0" w:rsidRPr="00A978A0">
        <w:rPr>
          <w:sz w:val="22"/>
          <w:szCs w:val="22"/>
          <w:vertAlign w:val="superscript"/>
        </w:rPr>
        <w:t>nd</w:t>
      </w:r>
      <w:r w:rsidR="00A978A0">
        <w:rPr>
          <w:sz w:val="22"/>
          <w:szCs w:val="22"/>
        </w:rPr>
        <w:t xml:space="preserve"> promissory note to the limited liability company.</w:t>
      </w:r>
      <w:r w:rsidR="00EA1666">
        <w:rPr>
          <w:sz w:val="22"/>
          <w:szCs w:val="22"/>
        </w:rPr>
        <w:t xml:space="preserve">  </w:t>
      </w:r>
      <w:r w:rsidR="007B0F53">
        <w:rPr>
          <w:sz w:val="22"/>
          <w:szCs w:val="22"/>
        </w:rPr>
        <w:t>Mr. Sofio</w:t>
      </w:r>
      <w:r w:rsidR="00EA1666">
        <w:rPr>
          <w:sz w:val="22"/>
          <w:szCs w:val="22"/>
        </w:rPr>
        <w:t xml:space="preserve">, in the Supplemental Confidentiality Request, </w:t>
      </w:r>
      <w:r w:rsidR="00F120D2">
        <w:rPr>
          <w:sz w:val="22"/>
          <w:szCs w:val="22"/>
        </w:rPr>
        <w:t xml:space="preserve">again </w:t>
      </w:r>
      <w:r w:rsidR="00EA1666">
        <w:rPr>
          <w:sz w:val="22"/>
          <w:szCs w:val="22"/>
        </w:rPr>
        <w:t>seeks to redact the following from those agreements: the amount of the principal borrowed; names of the lenders; addresses of the lenders; rates of interest; and due dates</w:t>
      </w:r>
      <w:r w:rsidR="006E3EF4">
        <w:rPr>
          <w:sz w:val="22"/>
          <w:szCs w:val="22"/>
        </w:rPr>
        <w:t xml:space="preserve"> for payments related to the loans</w:t>
      </w:r>
      <w:r w:rsidR="00EA1666">
        <w:rPr>
          <w:sz w:val="22"/>
          <w:szCs w:val="22"/>
        </w:rPr>
        <w:t>.</w:t>
      </w:r>
      <w:r w:rsidR="00521E95">
        <w:rPr>
          <w:rStyle w:val="FootnoteReference"/>
          <w:sz w:val="22"/>
          <w:szCs w:val="22"/>
        </w:rPr>
        <w:footnoteReference w:id="14"/>
      </w:r>
      <w:r w:rsidR="00EA1666">
        <w:rPr>
          <w:sz w:val="22"/>
          <w:szCs w:val="22"/>
        </w:rPr>
        <w:t xml:space="preserve">  </w:t>
      </w:r>
      <w:r w:rsidR="007B0F53">
        <w:rPr>
          <w:sz w:val="22"/>
          <w:szCs w:val="22"/>
        </w:rPr>
        <w:t>Mr. Sofio</w:t>
      </w:r>
      <w:r w:rsidR="00EA1666">
        <w:rPr>
          <w:sz w:val="22"/>
          <w:szCs w:val="22"/>
        </w:rPr>
        <w:t xml:space="preserve"> also redacts </w:t>
      </w:r>
      <w:r w:rsidR="00F539C8">
        <w:rPr>
          <w:sz w:val="22"/>
          <w:szCs w:val="22"/>
        </w:rPr>
        <w:t xml:space="preserve">FCC Form 601, </w:t>
      </w:r>
      <w:r w:rsidR="00EA1666">
        <w:rPr>
          <w:sz w:val="22"/>
          <w:szCs w:val="22"/>
        </w:rPr>
        <w:t>Exhibit D itself to remove any references to conversations or understandings reached with other parties during the auction.</w:t>
      </w:r>
      <w:r w:rsidR="00B24845">
        <w:rPr>
          <w:rStyle w:val="FootnoteReference"/>
          <w:sz w:val="22"/>
          <w:szCs w:val="22"/>
        </w:rPr>
        <w:footnoteReference w:id="15"/>
      </w:r>
      <w:r w:rsidR="00EA1666">
        <w:rPr>
          <w:sz w:val="22"/>
          <w:szCs w:val="22"/>
        </w:rPr>
        <w:t xml:space="preserve">  </w:t>
      </w:r>
      <w:r w:rsidR="00521E95">
        <w:rPr>
          <w:sz w:val="22"/>
          <w:szCs w:val="22"/>
        </w:rPr>
        <w:t>The Supplemental Confidentiality Request argues that t</w:t>
      </w:r>
      <w:r w:rsidR="00521E95" w:rsidRPr="00D754F9">
        <w:rPr>
          <w:sz w:val="22"/>
          <w:szCs w:val="22"/>
        </w:rPr>
        <w:t xml:space="preserve">he redacted terms </w:t>
      </w:r>
      <w:r w:rsidR="00521E95">
        <w:rPr>
          <w:sz w:val="22"/>
          <w:szCs w:val="22"/>
        </w:rPr>
        <w:t xml:space="preserve">in </w:t>
      </w:r>
      <w:r w:rsidR="00521E95" w:rsidRPr="00D754F9">
        <w:rPr>
          <w:sz w:val="22"/>
          <w:szCs w:val="22"/>
        </w:rPr>
        <w:t xml:space="preserve">the </w:t>
      </w:r>
      <w:r w:rsidR="00521E95">
        <w:rPr>
          <w:sz w:val="22"/>
          <w:szCs w:val="22"/>
        </w:rPr>
        <w:t>agreements and in the narrative discussion of FCC Form 601, Exhibit D</w:t>
      </w:r>
      <w:r w:rsidR="00521E95" w:rsidRPr="00D754F9">
        <w:rPr>
          <w:sz w:val="22"/>
          <w:szCs w:val="22"/>
        </w:rPr>
        <w:t xml:space="preserve"> </w:t>
      </w:r>
      <w:r w:rsidR="00521E95">
        <w:rPr>
          <w:sz w:val="22"/>
          <w:szCs w:val="22"/>
        </w:rPr>
        <w:t>“</w:t>
      </w:r>
      <w:r w:rsidR="00521E95" w:rsidRPr="00D754F9">
        <w:rPr>
          <w:sz w:val="22"/>
          <w:szCs w:val="22"/>
        </w:rPr>
        <w:t xml:space="preserve">constitute </w:t>
      </w:r>
      <w:r w:rsidR="00521E95">
        <w:rPr>
          <w:sz w:val="22"/>
          <w:szCs w:val="22"/>
        </w:rPr>
        <w:t>‘</w:t>
      </w:r>
      <w:r w:rsidR="00521E95" w:rsidRPr="00D754F9">
        <w:rPr>
          <w:sz w:val="22"/>
          <w:szCs w:val="22"/>
        </w:rPr>
        <w:t>commercial or financial information obtained from any</w:t>
      </w:r>
      <w:r w:rsidR="00521E95">
        <w:rPr>
          <w:sz w:val="22"/>
          <w:szCs w:val="22"/>
        </w:rPr>
        <w:t xml:space="preserve"> </w:t>
      </w:r>
      <w:r w:rsidR="00521E95" w:rsidRPr="00D754F9">
        <w:rPr>
          <w:sz w:val="22"/>
          <w:szCs w:val="22"/>
        </w:rPr>
        <w:t>person</w:t>
      </w:r>
      <w:r w:rsidR="00521E95">
        <w:rPr>
          <w:sz w:val="22"/>
          <w:szCs w:val="22"/>
        </w:rPr>
        <w:t>’</w:t>
      </w:r>
      <w:r w:rsidR="00521E95" w:rsidRPr="00D754F9">
        <w:rPr>
          <w:sz w:val="22"/>
          <w:szCs w:val="22"/>
        </w:rPr>
        <w:t>, which is an exception to the public disclosure rules identified in Section 0.457(d).</w:t>
      </w:r>
      <w:r w:rsidR="00521E95">
        <w:rPr>
          <w:sz w:val="22"/>
          <w:szCs w:val="22"/>
        </w:rPr>
        <w:t>”</w:t>
      </w:r>
      <w:r w:rsidR="00521E95">
        <w:rPr>
          <w:rStyle w:val="FootnoteReference"/>
          <w:sz w:val="22"/>
          <w:szCs w:val="22"/>
        </w:rPr>
        <w:footnoteReference w:id="16"/>
      </w:r>
      <w:r w:rsidR="00521E95">
        <w:rPr>
          <w:sz w:val="22"/>
          <w:szCs w:val="22"/>
        </w:rPr>
        <w:t xml:space="preserve">  </w:t>
      </w:r>
      <w:r w:rsidR="007B0F53">
        <w:rPr>
          <w:sz w:val="22"/>
          <w:szCs w:val="22"/>
        </w:rPr>
        <w:t>Mr. Sofio</w:t>
      </w:r>
      <w:r w:rsidR="00521E95">
        <w:rPr>
          <w:sz w:val="22"/>
          <w:szCs w:val="22"/>
        </w:rPr>
        <w:t xml:space="preserve"> also </w:t>
      </w:r>
      <w:r w:rsidR="00521E95">
        <w:rPr>
          <w:sz w:val="22"/>
          <w:szCs w:val="22"/>
        </w:rPr>
        <w:lastRenderedPageBreak/>
        <w:t xml:space="preserve">raises the privacy interests of the parties to the agreements with </w:t>
      </w:r>
      <w:r w:rsidR="007B0F53">
        <w:rPr>
          <w:sz w:val="22"/>
          <w:szCs w:val="22"/>
        </w:rPr>
        <w:t>Mr. Sofio</w:t>
      </w:r>
      <w:r w:rsidR="00521E95">
        <w:rPr>
          <w:sz w:val="22"/>
          <w:szCs w:val="22"/>
        </w:rPr>
        <w:t xml:space="preserve"> as a separate ground for non-disclosure.</w:t>
      </w:r>
      <w:r w:rsidR="00521E95">
        <w:rPr>
          <w:rStyle w:val="FootnoteReference"/>
          <w:sz w:val="22"/>
          <w:szCs w:val="22"/>
        </w:rPr>
        <w:footnoteReference w:id="17"/>
      </w:r>
      <w:r w:rsidR="00521E95">
        <w:rPr>
          <w:sz w:val="22"/>
          <w:szCs w:val="22"/>
        </w:rPr>
        <w:t xml:space="preserve">  </w:t>
      </w:r>
      <w:r w:rsidR="00EA1666">
        <w:rPr>
          <w:sz w:val="22"/>
          <w:szCs w:val="22"/>
        </w:rPr>
        <w:t xml:space="preserve">Exhibit D, as amended, still omits </w:t>
      </w:r>
      <w:r w:rsidR="006E3EF4">
        <w:rPr>
          <w:sz w:val="22"/>
          <w:szCs w:val="22"/>
        </w:rPr>
        <w:t xml:space="preserve">the summary of each agreement, which is </w:t>
      </w:r>
      <w:r w:rsidR="00EA1666">
        <w:rPr>
          <w:sz w:val="22"/>
          <w:szCs w:val="22"/>
        </w:rPr>
        <w:t>required by the Commission’s rules, including, the names of parties to those agreements.</w:t>
      </w:r>
      <w:r w:rsidR="00F120D2">
        <w:rPr>
          <w:rStyle w:val="FootnoteReference"/>
          <w:sz w:val="22"/>
          <w:szCs w:val="22"/>
        </w:rPr>
        <w:footnoteReference w:id="18"/>
      </w:r>
      <w:r w:rsidR="00F120D2">
        <w:rPr>
          <w:sz w:val="22"/>
          <w:szCs w:val="22"/>
        </w:rPr>
        <w:t xml:space="preserve">  </w:t>
      </w:r>
      <w:r w:rsidR="00EA1666">
        <w:rPr>
          <w:sz w:val="22"/>
          <w:szCs w:val="22"/>
        </w:rPr>
        <w:t xml:space="preserve">Moreover, the names of parties to agreements with </w:t>
      </w:r>
      <w:r w:rsidR="007B0F53">
        <w:rPr>
          <w:sz w:val="22"/>
          <w:szCs w:val="22"/>
        </w:rPr>
        <w:t>Mr. Sofio</w:t>
      </w:r>
      <w:r w:rsidR="00EA1666">
        <w:rPr>
          <w:sz w:val="22"/>
          <w:szCs w:val="22"/>
        </w:rPr>
        <w:t xml:space="preserve"> remain absent from FCC Form </w:t>
      </w:r>
      <w:r w:rsidR="00B24845">
        <w:rPr>
          <w:sz w:val="22"/>
          <w:szCs w:val="22"/>
        </w:rPr>
        <w:t>6</w:t>
      </w:r>
      <w:r w:rsidR="00EA1666">
        <w:rPr>
          <w:sz w:val="22"/>
          <w:szCs w:val="22"/>
        </w:rPr>
        <w:t>01, Schedule B.</w:t>
      </w:r>
      <w:r w:rsidR="004623E4">
        <w:rPr>
          <w:rStyle w:val="FootnoteReference"/>
          <w:sz w:val="22"/>
          <w:szCs w:val="22"/>
        </w:rPr>
        <w:footnoteReference w:id="19"/>
      </w:r>
      <w:r w:rsidR="00EA1666">
        <w:rPr>
          <w:sz w:val="22"/>
          <w:szCs w:val="22"/>
        </w:rPr>
        <w:t xml:space="preserve">        </w:t>
      </w:r>
      <w:r w:rsidR="00A978A0">
        <w:rPr>
          <w:sz w:val="22"/>
          <w:szCs w:val="22"/>
        </w:rPr>
        <w:t xml:space="preserve">  </w:t>
      </w:r>
    </w:p>
    <w:p w14:paraId="07F00632" w14:textId="77777777" w:rsidR="00BE5846" w:rsidRDefault="00BE5846" w:rsidP="00E12B1F">
      <w:pPr>
        <w:ind w:firstLine="720"/>
        <w:rPr>
          <w:sz w:val="22"/>
          <w:szCs w:val="22"/>
        </w:rPr>
      </w:pPr>
    </w:p>
    <w:p w14:paraId="1E2A6809" w14:textId="77777777" w:rsidR="008518E0" w:rsidRDefault="00BE5846" w:rsidP="00E12B1F">
      <w:pPr>
        <w:ind w:firstLine="720"/>
        <w:rPr>
          <w:sz w:val="22"/>
          <w:szCs w:val="22"/>
        </w:rPr>
      </w:pPr>
      <w:r w:rsidRPr="00BE5846">
        <w:rPr>
          <w:sz w:val="22"/>
          <w:szCs w:val="22"/>
        </w:rPr>
        <w:t xml:space="preserve">Section 0.457(d) </w:t>
      </w:r>
      <w:r w:rsidR="00F120D2">
        <w:rPr>
          <w:sz w:val="22"/>
          <w:szCs w:val="22"/>
        </w:rPr>
        <w:t>addresses</w:t>
      </w:r>
      <w:r w:rsidRPr="00BE5846">
        <w:rPr>
          <w:sz w:val="22"/>
          <w:szCs w:val="22"/>
        </w:rPr>
        <w:t xml:space="preserve"> the Commission’s authority</w:t>
      </w:r>
      <w:r>
        <w:rPr>
          <w:sz w:val="22"/>
          <w:szCs w:val="22"/>
        </w:rPr>
        <w:t xml:space="preserve"> </w:t>
      </w:r>
      <w:r w:rsidRPr="00BE5846">
        <w:rPr>
          <w:sz w:val="22"/>
          <w:szCs w:val="22"/>
        </w:rPr>
        <w:t>to withhold materials from public</w:t>
      </w:r>
      <w:r w:rsidR="0060696A">
        <w:rPr>
          <w:sz w:val="22"/>
          <w:szCs w:val="22"/>
        </w:rPr>
        <w:t xml:space="preserve"> </w:t>
      </w:r>
      <w:r w:rsidRPr="00BE5846">
        <w:rPr>
          <w:sz w:val="22"/>
          <w:szCs w:val="22"/>
        </w:rPr>
        <w:t>inspection if they contain trade secrets and commercial or financial information obtained from any person and privileged or confidential.</w:t>
      </w:r>
      <w:r>
        <w:rPr>
          <w:rStyle w:val="FootnoteReference"/>
          <w:sz w:val="22"/>
          <w:szCs w:val="22"/>
        </w:rPr>
        <w:footnoteReference w:id="20"/>
      </w:r>
      <w:r>
        <w:rPr>
          <w:sz w:val="22"/>
          <w:szCs w:val="22"/>
        </w:rPr>
        <w:t xml:space="preserve">  Section 0.457(d) of the Commission’s rules</w:t>
      </w:r>
      <w:r>
        <w:rPr>
          <w:rStyle w:val="FootnoteReference"/>
          <w:sz w:val="22"/>
          <w:szCs w:val="22"/>
        </w:rPr>
        <w:footnoteReference w:id="21"/>
      </w:r>
      <w:r>
        <w:rPr>
          <w:sz w:val="22"/>
          <w:szCs w:val="22"/>
        </w:rPr>
        <w:t xml:space="preserve"> is based on e</w:t>
      </w:r>
      <w:r w:rsidRPr="00BE5846">
        <w:rPr>
          <w:sz w:val="22"/>
          <w:szCs w:val="22"/>
        </w:rPr>
        <w:t xml:space="preserve">xemption 4 of </w:t>
      </w:r>
      <w:r>
        <w:rPr>
          <w:sz w:val="22"/>
          <w:szCs w:val="22"/>
        </w:rPr>
        <w:t>the Freedom of Information Act (</w:t>
      </w:r>
      <w:r w:rsidRPr="00BE5846">
        <w:rPr>
          <w:sz w:val="22"/>
          <w:szCs w:val="22"/>
        </w:rPr>
        <w:t>FOIA</w:t>
      </w:r>
      <w:r>
        <w:rPr>
          <w:sz w:val="22"/>
          <w:szCs w:val="22"/>
        </w:rPr>
        <w:t xml:space="preserve">), which </w:t>
      </w:r>
      <w:r w:rsidRPr="00BE5846">
        <w:rPr>
          <w:sz w:val="22"/>
          <w:szCs w:val="22"/>
        </w:rPr>
        <w:t>provides that an agency need not disclose information that is “trade secrets and commercial or financial information obtained from a person and privileged or confidential.”</w:t>
      </w:r>
      <w:r>
        <w:rPr>
          <w:rStyle w:val="FootnoteReference"/>
          <w:sz w:val="22"/>
          <w:szCs w:val="22"/>
        </w:rPr>
        <w:footnoteReference w:id="22"/>
      </w:r>
      <w:r w:rsidRPr="00BE5846">
        <w:rPr>
          <w:sz w:val="22"/>
          <w:szCs w:val="22"/>
        </w:rPr>
        <w:t xml:space="preserve"> </w:t>
      </w:r>
      <w:r>
        <w:rPr>
          <w:sz w:val="22"/>
          <w:szCs w:val="22"/>
        </w:rPr>
        <w:t xml:space="preserve"> </w:t>
      </w:r>
      <w:r w:rsidRPr="00BE5846">
        <w:rPr>
          <w:sz w:val="22"/>
          <w:szCs w:val="22"/>
        </w:rPr>
        <w:t xml:space="preserve">If the information was </w:t>
      </w:r>
      <w:r>
        <w:rPr>
          <w:sz w:val="22"/>
          <w:szCs w:val="22"/>
        </w:rPr>
        <w:t>required to be disclosed</w:t>
      </w:r>
      <w:r w:rsidRPr="00BE5846">
        <w:rPr>
          <w:sz w:val="22"/>
          <w:szCs w:val="22"/>
        </w:rPr>
        <w:t>,</w:t>
      </w:r>
      <w:r w:rsidR="008518E0">
        <w:rPr>
          <w:sz w:val="22"/>
          <w:szCs w:val="22"/>
        </w:rPr>
        <w:t xml:space="preserve"> as here,</w:t>
      </w:r>
      <w:r w:rsidRPr="00BE5846">
        <w:rPr>
          <w:sz w:val="22"/>
          <w:szCs w:val="22"/>
        </w:rPr>
        <w:t xml:space="preserve"> it will be considered confidential only “if disclosure ... is likely to have either of the following effects: (1) to impair the Government</w:t>
      </w:r>
      <w:r>
        <w:rPr>
          <w:sz w:val="22"/>
          <w:szCs w:val="22"/>
        </w:rPr>
        <w:t>’s</w:t>
      </w:r>
      <w:r w:rsidRPr="00BE5846">
        <w:rPr>
          <w:sz w:val="22"/>
          <w:szCs w:val="22"/>
        </w:rPr>
        <w:t xml:space="preserve"> ability to obtain necessary information in the future; or (2) to cause substantial harm to the competitive position of the person from whom the information was obtained.”</w:t>
      </w:r>
      <w:r>
        <w:rPr>
          <w:rStyle w:val="FootnoteReference"/>
          <w:sz w:val="22"/>
          <w:szCs w:val="22"/>
        </w:rPr>
        <w:footnoteReference w:id="23"/>
      </w:r>
      <w:r w:rsidR="00EA6869">
        <w:rPr>
          <w:sz w:val="22"/>
          <w:szCs w:val="22"/>
        </w:rPr>
        <w:t xml:space="preserve">  A request for confidentiality may be granted </w:t>
      </w:r>
      <w:r w:rsidR="00791E3B">
        <w:rPr>
          <w:sz w:val="22"/>
          <w:szCs w:val="22"/>
        </w:rPr>
        <w:t xml:space="preserve">only </w:t>
      </w:r>
      <w:r w:rsidR="00EA6869" w:rsidRPr="00EA6869">
        <w:rPr>
          <w:sz w:val="22"/>
          <w:szCs w:val="22"/>
        </w:rPr>
        <w:t xml:space="preserve">if it </w:t>
      </w:r>
      <w:r w:rsidR="00EA6869">
        <w:rPr>
          <w:sz w:val="22"/>
          <w:szCs w:val="22"/>
        </w:rPr>
        <w:t xml:space="preserve">is </w:t>
      </w:r>
      <w:r w:rsidR="00EA6869" w:rsidRPr="00EA6869">
        <w:rPr>
          <w:sz w:val="22"/>
          <w:szCs w:val="22"/>
        </w:rPr>
        <w:t>demonstrate</w:t>
      </w:r>
      <w:r w:rsidR="00EA6869">
        <w:rPr>
          <w:sz w:val="22"/>
          <w:szCs w:val="22"/>
        </w:rPr>
        <w:t>d</w:t>
      </w:r>
      <w:r w:rsidR="00EA6869" w:rsidRPr="00EA6869">
        <w:rPr>
          <w:sz w:val="22"/>
          <w:szCs w:val="22"/>
        </w:rPr>
        <w:t xml:space="preserve"> by a preponderance of the evidence that non-disclosure is consistent with the provisions of the </w:t>
      </w:r>
      <w:r w:rsidR="00EA6869">
        <w:rPr>
          <w:sz w:val="22"/>
          <w:szCs w:val="22"/>
        </w:rPr>
        <w:t>FOIA</w:t>
      </w:r>
      <w:r w:rsidR="00EA6869" w:rsidRPr="00EA6869">
        <w:rPr>
          <w:sz w:val="22"/>
          <w:szCs w:val="22"/>
        </w:rPr>
        <w:t>.</w:t>
      </w:r>
      <w:r w:rsidR="00EA6869">
        <w:rPr>
          <w:rStyle w:val="FootnoteReference"/>
          <w:sz w:val="22"/>
          <w:szCs w:val="22"/>
        </w:rPr>
        <w:footnoteReference w:id="24"/>
      </w:r>
      <w:r w:rsidR="008518E0">
        <w:rPr>
          <w:sz w:val="22"/>
          <w:szCs w:val="22"/>
        </w:rPr>
        <w:t xml:space="preserve">  Moreover, a</w:t>
      </w:r>
      <w:r w:rsidR="008518E0" w:rsidRPr="008518E0">
        <w:rPr>
          <w:sz w:val="22"/>
          <w:szCs w:val="22"/>
        </w:rPr>
        <w:t>n agency must point to specific evidence substantiating an assertion that release of a record would cause substantial competitive harm to the person from whom the information was obtained.</w:t>
      </w:r>
      <w:r w:rsidR="008518E0">
        <w:rPr>
          <w:rStyle w:val="FootnoteReference"/>
          <w:sz w:val="22"/>
          <w:szCs w:val="22"/>
        </w:rPr>
        <w:footnoteReference w:id="25"/>
      </w:r>
      <w:r w:rsidR="008518E0">
        <w:rPr>
          <w:sz w:val="22"/>
          <w:szCs w:val="22"/>
        </w:rPr>
        <w:t xml:space="preserve">  T</w:t>
      </w:r>
      <w:r w:rsidR="008518E0" w:rsidRPr="008518E0">
        <w:rPr>
          <w:sz w:val="22"/>
          <w:szCs w:val="22"/>
        </w:rPr>
        <w:t>he agency must provide evidence that if the requested information is disclosed, competitive harm would be “imminent.”</w:t>
      </w:r>
      <w:r w:rsidR="008518E0">
        <w:rPr>
          <w:rStyle w:val="FootnoteReference"/>
          <w:sz w:val="22"/>
          <w:szCs w:val="22"/>
        </w:rPr>
        <w:footnoteReference w:id="26"/>
      </w:r>
      <w:r w:rsidR="008518E0">
        <w:rPr>
          <w:sz w:val="22"/>
          <w:szCs w:val="22"/>
        </w:rPr>
        <w:t xml:space="preserve">  T</w:t>
      </w:r>
      <w:r w:rsidR="008518E0" w:rsidRPr="008518E0">
        <w:rPr>
          <w:sz w:val="22"/>
          <w:szCs w:val="22"/>
        </w:rPr>
        <w:t>he specific evidence must show that the competitive harm will result from the affirmative use of the information by competitors of the person from whom the information was obtained, not merely injuries to that person's competitive position in the marketplace or “embarrassing publicity attendant upon public revelations.”</w:t>
      </w:r>
      <w:r w:rsidR="008518E0">
        <w:rPr>
          <w:rStyle w:val="FootnoteReference"/>
          <w:sz w:val="22"/>
          <w:szCs w:val="22"/>
        </w:rPr>
        <w:footnoteReference w:id="27"/>
      </w:r>
      <w:r w:rsidR="00EA6869">
        <w:rPr>
          <w:sz w:val="22"/>
          <w:szCs w:val="22"/>
        </w:rPr>
        <w:t xml:space="preserve"> </w:t>
      </w:r>
    </w:p>
    <w:p w14:paraId="5BE5D9C4" w14:textId="77777777" w:rsidR="008518E0" w:rsidRDefault="008518E0" w:rsidP="00E12B1F">
      <w:pPr>
        <w:ind w:firstLine="720"/>
        <w:rPr>
          <w:sz w:val="22"/>
          <w:szCs w:val="22"/>
        </w:rPr>
      </w:pPr>
    </w:p>
    <w:p w14:paraId="1BE00C65" w14:textId="77777777" w:rsidR="004C2575" w:rsidRDefault="00EA6869" w:rsidP="00E12B1F">
      <w:pPr>
        <w:ind w:firstLine="720"/>
        <w:rPr>
          <w:sz w:val="22"/>
          <w:szCs w:val="22"/>
        </w:rPr>
      </w:pPr>
      <w:r>
        <w:rPr>
          <w:sz w:val="22"/>
          <w:szCs w:val="22"/>
        </w:rPr>
        <w:t xml:space="preserve">We do not dispute that the agreements contain financial information obtained from a person.  However, we find that </w:t>
      </w:r>
      <w:r w:rsidR="00034248">
        <w:rPr>
          <w:sz w:val="22"/>
          <w:szCs w:val="22"/>
        </w:rPr>
        <w:t xml:space="preserve">(i) </w:t>
      </w:r>
      <w:r w:rsidR="007B0F53">
        <w:rPr>
          <w:sz w:val="22"/>
          <w:szCs w:val="22"/>
        </w:rPr>
        <w:t>Mr. Sofio</w:t>
      </w:r>
      <w:r>
        <w:rPr>
          <w:sz w:val="22"/>
          <w:szCs w:val="22"/>
        </w:rPr>
        <w:t xml:space="preserve"> fails to demonstrate by a preponderance of the evidence that </w:t>
      </w:r>
      <w:r w:rsidR="004A7443">
        <w:rPr>
          <w:sz w:val="22"/>
          <w:szCs w:val="22"/>
        </w:rPr>
        <w:t xml:space="preserve">non-disclosure of the </w:t>
      </w:r>
      <w:r>
        <w:rPr>
          <w:sz w:val="22"/>
          <w:szCs w:val="22"/>
        </w:rPr>
        <w:t xml:space="preserve">names of parties to </w:t>
      </w:r>
      <w:r w:rsidR="00716F67">
        <w:rPr>
          <w:sz w:val="22"/>
          <w:szCs w:val="22"/>
        </w:rPr>
        <w:t xml:space="preserve">the </w:t>
      </w:r>
      <w:r>
        <w:rPr>
          <w:sz w:val="22"/>
          <w:szCs w:val="22"/>
        </w:rPr>
        <w:t xml:space="preserve">agreements </w:t>
      </w:r>
      <w:r w:rsidR="00716F67">
        <w:rPr>
          <w:sz w:val="22"/>
          <w:szCs w:val="22"/>
        </w:rPr>
        <w:t xml:space="preserve">at issue, which involve an auction applicant seeking </w:t>
      </w:r>
      <w:r>
        <w:rPr>
          <w:sz w:val="22"/>
          <w:szCs w:val="22"/>
        </w:rPr>
        <w:t>designated entity credits</w:t>
      </w:r>
      <w:r w:rsidR="00716F67">
        <w:rPr>
          <w:sz w:val="22"/>
          <w:szCs w:val="22"/>
        </w:rPr>
        <w:t>,</w:t>
      </w:r>
      <w:r w:rsidR="004A7443">
        <w:rPr>
          <w:sz w:val="22"/>
          <w:szCs w:val="22"/>
        </w:rPr>
        <w:t xml:space="preserve"> is consist</w:t>
      </w:r>
      <w:r w:rsidR="00CC3AC6">
        <w:rPr>
          <w:sz w:val="22"/>
          <w:szCs w:val="22"/>
        </w:rPr>
        <w:t xml:space="preserve">ent with the provisions of FOIA and </w:t>
      </w:r>
      <w:r w:rsidR="00034248">
        <w:rPr>
          <w:sz w:val="22"/>
          <w:szCs w:val="22"/>
        </w:rPr>
        <w:t xml:space="preserve">(ii) </w:t>
      </w:r>
      <w:r w:rsidR="007B0F53">
        <w:rPr>
          <w:sz w:val="22"/>
          <w:szCs w:val="22"/>
        </w:rPr>
        <w:t>Mr. Sofio</w:t>
      </w:r>
      <w:r w:rsidR="00CC3AC6">
        <w:rPr>
          <w:sz w:val="22"/>
          <w:szCs w:val="22"/>
        </w:rPr>
        <w:t xml:space="preserve"> </w:t>
      </w:r>
      <w:r w:rsidR="00D9324B" w:rsidRPr="00D9324B">
        <w:rPr>
          <w:sz w:val="22"/>
          <w:szCs w:val="22"/>
        </w:rPr>
        <w:t xml:space="preserve">fails to raise a persuasive argument that disclosure of the names of </w:t>
      </w:r>
      <w:r w:rsidR="006E3EF4">
        <w:rPr>
          <w:sz w:val="22"/>
          <w:szCs w:val="22"/>
        </w:rPr>
        <w:t xml:space="preserve">parties to agreements with an applicant </w:t>
      </w:r>
      <w:r w:rsidR="00D9324B" w:rsidRPr="00D9324B">
        <w:rPr>
          <w:sz w:val="22"/>
          <w:szCs w:val="22"/>
        </w:rPr>
        <w:t xml:space="preserve">will cause substantial harm to the competitive position of the person from whom the information was obtained.  </w:t>
      </w:r>
    </w:p>
    <w:p w14:paraId="7D485082" w14:textId="77777777" w:rsidR="004C2575" w:rsidRDefault="004C2575" w:rsidP="00E12B1F">
      <w:pPr>
        <w:ind w:firstLine="720"/>
        <w:rPr>
          <w:sz w:val="22"/>
          <w:szCs w:val="22"/>
        </w:rPr>
      </w:pPr>
    </w:p>
    <w:p w14:paraId="5A4598EA" w14:textId="0D6D4F26" w:rsidR="00872478" w:rsidRDefault="004C2575" w:rsidP="00E12B1F">
      <w:pPr>
        <w:ind w:firstLine="720"/>
        <w:rPr>
          <w:sz w:val="22"/>
          <w:szCs w:val="22"/>
        </w:rPr>
      </w:pPr>
      <w:r>
        <w:rPr>
          <w:sz w:val="22"/>
          <w:szCs w:val="22"/>
        </w:rPr>
        <w:t>Mr. Sofio’s requests for confidential treatment rest on claims of competitive injury that are supported by little if any specific evidentiary support</w:t>
      </w:r>
      <w:r w:rsidR="00B60B1D">
        <w:rPr>
          <w:sz w:val="22"/>
          <w:szCs w:val="22"/>
        </w:rPr>
        <w:t xml:space="preserve"> with respect to the identity of </w:t>
      </w:r>
      <w:r w:rsidR="0040547C">
        <w:rPr>
          <w:sz w:val="22"/>
          <w:szCs w:val="22"/>
        </w:rPr>
        <w:t>parties with which he has agreements</w:t>
      </w:r>
      <w:r>
        <w:rPr>
          <w:sz w:val="22"/>
          <w:szCs w:val="22"/>
        </w:rPr>
        <w:t xml:space="preserve">, and are contrary to the Commission’s </w:t>
      </w:r>
      <w:r w:rsidR="00B60B1D">
        <w:rPr>
          <w:sz w:val="22"/>
          <w:szCs w:val="22"/>
        </w:rPr>
        <w:t xml:space="preserve">consistent </w:t>
      </w:r>
      <w:r>
        <w:rPr>
          <w:sz w:val="22"/>
          <w:szCs w:val="22"/>
        </w:rPr>
        <w:t>experience in con</w:t>
      </w:r>
      <w:r w:rsidR="00B60B1D">
        <w:rPr>
          <w:sz w:val="22"/>
          <w:szCs w:val="22"/>
        </w:rPr>
        <w:t>nection with applicants</w:t>
      </w:r>
      <w:r>
        <w:rPr>
          <w:sz w:val="22"/>
          <w:szCs w:val="22"/>
        </w:rPr>
        <w:t xml:space="preserve"> seeking designated entity benefits that </w:t>
      </w:r>
      <w:r w:rsidR="00B60B1D">
        <w:rPr>
          <w:sz w:val="22"/>
          <w:szCs w:val="22"/>
        </w:rPr>
        <w:t xml:space="preserve">disclose </w:t>
      </w:r>
      <w:r w:rsidR="0040547C">
        <w:rPr>
          <w:sz w:val="22"/>
          <w:szCs w:val="22"/>
        </w:rPr>
        <w:t>the names of parties that have entered into agreements with the applicants</w:t>
      </w:r>
      <w:r>
        <w:rPr>
          <w:sz w:val="22"/>
          <w:szCs w:val="22"/>
        </w:rPr>
        <w:t>.</w:t>
      </w:r>
      <w:r w:rsidR="00B60B1D">
        <w:rPr>
          <w:rStyle w:val="FootnoteReference"/>
          <w:sz w:val="22"/>
          <w:szCs w:val="22"/>
        </w:rPr>
        <w:footnoteReference w:id="28"/>
      </w:r>
      <w:r>
        <w:rPr>
          <w:sz w:val="22"/>
          <w:szCs w:val="22"/>
        </w:rPr>
        <w:t xml:space="preserve">  </w:t>
      </w:r>
      <w:r w:rsidR="00B60B1D">
        <w:rPr>
          <w:sz w:val="22"/>
          <w:szCs w:val="22"/>
        </w:rPr>
        <w:t xml:space="preserve">His argument is based not on competitive considerations but on the speculation that </w:t>
      </w:r>
      <w:r w:rsidR="0040547C">
        <w:rPr>
          <w:sz w:val="22"/>
          <w:szCs w:val="22"/>
        </w:rPr>
        <w:t xml:space="preserve">parties that have entered into financing agreements with Mr. Sofio </w:t>
      </w:r>
      <w:r w:rsidR="00B60B1D">
        <w:rPr>
          <w:sz w:val="22"/>
          <w:szCs w:val="22"/>
        </w:rPr>
        <w:t>“might well be subject to solicitations from others,” but even then only “once they learn</w:t>
      </w:r>
      <w:r w:rsidR="002F02F5">
        <w:rPr>
          <w:sz w:val="22"/>
          <w:szCs w:val="22"/>
        </w:rPr>
        <w:t xml:space="preserve"> the amounts which have been extended.”</w:t>
      </w:r>
      <w:r w:rsidR="002F02F5">
        <w:rPr>
          <w:rStyle w:val="FootnoteReference"/>
          <w:sz w:val="22"/>
          <w:szCs w:val="22"/>
        </w:rPr>
        <w:footnoteReference w:id="29"/>
      </w:r>
      <w:r w:rsidR="002F02F5">
        <w:rPr>
          <w:sz w:val="22"/>
          <w:szCs w:val="22"/>
        </w:rPr>
        <w:t xml:space="preserve"> </w:t>
      </w:r>
      <w:r w:rsidR="000E330A">
        <w:rPr>
          <w:sz w:val="22"/>
          <w:szCs w:val="22"/>
        </w:rPr>
        <w:t xml:space="preserve"> </w:t>
      </w:r>
      <w:r w:rsidR="00D9324B" w:rsidRPr="00D9324B">
        <w:rPr>
          <w:sz w:val="22"/>
          <w:szCs w:val="22"/>
        </w:rPr>
        <w:t>The Court of Appeals for the District of Columbia Circuit has emphasized that the important point for competitive harm in the FOIA context is that it be limited to harm flowing from the affirmative use of proprietary information by competitors.</w:t>
      </w:r>
      <w:r w:rsidR="00D9324B">
        <w:rPr>
          <w:rStyle w:val="FootnoteReference"/>
          <w:sz w:val="22"/>
          <w:szCs w:val="22"/>
        </w:rPr>
        <w:footnoteReference w:id="30"/>
      </w:r>
      <w:r w:rsidR="00D9324B" w:rsidRPr="00D9324B">
        <w:rPr>
          <w:sz w:val="22"/>
          <w:szCs w:val="22"/>
        </w:rPr>
        <w:t xml:space="preserve">  </w:t>
      </w:r>
      <w:r w:rsidR="007B0F53">
        <w:rPr>
          <w:sz w:val="22"/>
          <w:szCs w:val="22"/>
        </w:rPr>
        <w:t>Mr. Sofio</w:t>
      </w:r>
      <w:r w:rsidR="00D9324B" w:rsidRPr="00D9324B">
        <w:rPr>
          <w:sz w:val="22"/>
          <w:szCs w:val="22"/>
        </w:rPr>
        <w:t xml:space="preserve"> has failed to demonstrate how the disclosure of the names of </w:t>
      </w:r>
      <w:r w:rsidR="0040547C">
        <w:rPr>
          <w:sz w:val="22"/>
          <w:szCs w:val="22"/>
        </w:rPr>
        <w:t xml:space="preserve">parties that have entered into agreements with an auction applicant </w:t>
      </w:r>
      <w:r w:rsidR="00D9324B" w:rsidRPr="00D9324B">
        <w:rPr>
          <w:sz w:val="22"/>
          <w:szCs w:val="22"/>
        </w:rPr>
        <w:t>would cause substantial harm to the competit</w:t>
      </w:r>
      <w:r w:rsidR="006729FB">
        <w:rPr>
          <w:sz w:val="22"/>
          <w:szCs w:val="22"/>
        </w:rPr>
        <w:t>ive position</w:t>
      </w:r>
      <w:r w:rsidR="0040547C">
        <w:rPr>
          <w:sz w:val="22"/>
          <w:szCs w:val="22"/>
        </w:rPr>
        <w:t>s</w:t>
      </w:r>
      <w:r w:rsidR="006729FB">
        <w:rPr>
          <w:sz w:val="22"/>
          <w:szCs w:val="22"/>
        </w:rPr>
        <w:t xml:space="preserve"> of </w:t>
      </w:r>
      <w:r w:rsidR="007B0F53">
        <w:rPr>
          <w:sz w:val="22"/>
          <w:szCs w:val="22"/>
        </w:rPr>
        <w:t>Mr. Sofio</w:t>
      </w:r>
      <w:r w:rsidR="0040547C">
        <w:rPr>
          <w:sz w:val="22"/>
          <w:szCs w:val="22"/>
        </w:rPr>
        <w:t xml:space="preserve"> or those parties with which </w:t>
      </w:r>
      <w:r w:rsidR="000E330A">
        <w:rPr>
          <w:sz w:val="22"/>
          <w:szCs w:val="22"/>
        </w:rPr>
        <w:t xml:space="preserve">he </w:t>
      </w:r>
      <w:r w:rsidR="0040547C">
        <w:rPr>
          <w:sz w:val="22"/>
          <w:szCs w:val="22"/>
        </w:rPr>
        <w:t>has entered into agreements</w:t>
      </w:r>
      <w:r w:rsidR="000E330A">
        <w:rPr>
          <w:sz w:val="22"/>
          <w:szCs w:val="22"/>
        </w:rPr>
        <w:t xml:space="preserve"> related to his pending application</w:t>
      </w:r>
      <w:r w:rsidR="006729FB">
        <w:rPr>
          <w:sz w:val="22"/>
          <w:szCs w:val="22"/>
        </w:rPr>
        <w:t>, or more generally</w:t>
      </w:r>
      <w:r w:rsidR="00D9324B" w:rsidRPr="00D9324B">
        <w:rPr>
          <w:sz w:val="22"/>
          <w:szCs w:val="22"/>
        </w:rPr>
        <w:t xml:space="preserve">, how the names of </w:t>
      </w:r>
      <w:r w:rsidR="0040547C">
        <w:rPr>
          <w:sz w:val="22"/>
          <w:szCs w:val="22"/>
        </w:rPr>
        <w:t xml:space="preserve">parties that have entered into agreements with an auction applicant seeking designated entity benefits </w:t>
      </w:r>
      <w:r w:rsidR="00D9324B" w:rsidRPr="00D9324B">
        <w:rPr>
          <w:sz w:val="22"/>
          <w:szCs w:val="22"/>
        </w:rPr>
        <w:t xml:space="preserve">are even proprietary information that a competitor could affirmatively use to harm </w:t>
      </w:r>
      <w:r w:rsidR="007B0F53">
        <w:rPr>
          <w:sz w:val="22"/>
          <w:szCs w:val="22"/>
        </w:rPr>
        <w:t>Mr. Sofio</w:t>
      </w:r>
      <w:r w:rsidR="00D9324B" w:rsidRPr="00D9324B">
        <w:rPr>
          <w:sz w:val="22"/>
          <w:szCs w:val="22"/>
        </w:rPr>
        <w:t xml:space="preserve">.  </w:t>
      </w:r>
      <w:r w:rsidR="00BD593A">
        <w:rPr>
          <w:sz w:val="22"/>
          <w:szCs w:val="22"/>
        </w:rPr>
        <w:t xml:space="preserve">Moreover, the precedent that Mr. Sofio relies on does not support his allegation that </w:t>
      </w:r>
      <w:r w:rsidR="00D9324B" w:rsidRPr="00D9324B">
        <w:rPr>
          <w:sz w:val="22"/>
          <w:szCs w:val="22"/>
        </w:rPr>
        <w:t xml:space="preserve">competitive harm would be caused by the disclosure of the </w:t>
      </w:r>
      <w:r w:rsidR="006E3EF4">
        <w:rPr>
          <w:sz w:val="22"/>
          <w:szCs w:val="22"/>
        </w:rPr>
        <w:t xml:space="preserve">names of parties that have entered into agreements with </w:t>
      </w:r>
      <w:r w:rsidR="00793139">
        <w:rPr>
          <w:sz w:val="22"/>
          <w:szCs w:val="22"/>
        </w:rPr>
        <w:t xml:space="preserve">him.  </w:t>
      </w:r>
      <w:r w:rsidR="00D9324B" w:rsidRPr="00D9324B">
        <w:rPr>
          <w:sz w:val="22"/>
          <w:szCs w:val="22"/>
        </w:rPr>
        <w:t xml:space="preserve">Rather, </w:t>
      </w:r>
      <w:r w:rsidR="007B0F53">
        <w:rPr>
          <w:sz w:val="22"/>
          <w:szCs w:val="22"/>
        </w:rPr>
        <w:t>Mr. Sofio</w:t>
      </w:r>
      <w:r w:rsidR="00D9324B" w:rsidRPr="00D9324B">
        <w:rPr>
          <w:sz w:val="22"/>
          <w:szCs w:val="22"/>
        </w:rPr>
        <w:t xml:space="preserve"> tries to relate to instances where, in very different proceedings, the Commission </w:t>
      </w:r>
      <w:r w:rsidR="00D9324B" w:rsidRPr="000545D0">
        <w:rPr>
          <w:sz w:val="22"/>
          <w:szCs w:val="22"/>
        </w:rPr>
        <w:t>has afforded sensitive financial information confidential treatment</w:t>
      </w:r>
      <w:r w:rsidR="00D9324B" w:rsidRPr="00D9324B">
        <w:rPr>
          <w:sz w:val="22"/>
          <w:szCs w:val="22"/>
        </w:rPr>
        <w:t>, such as the prices for licenses being acquired in a transfer of control application.</w:t>
      </w:r>
      <w:r w:rsidR="00D9324B">
        <w:rPr>
          <w:rStyle w:val="FootnoteReference"/>
          <w:sz w:val="22"/>
          <w:szCs w:val="22"/>
        </w:rPr>
        <w:footnoteReference w:id="31"/>
      </w:r>
      <w:r w:rsidR="00D9324B" w:rsidRPr="00D9324B">
        <w:rPr>
          <w:sz w:val="22"/>
          <w:szCs w:val="22"/>
        </w:rPr>
        <w:t xml:space="preserve">  In contrast, </w:t>
      </w:r>
      <w:r w:rsidR="007B0F53">
        <w:rPr>
          <w:sz w:val="22"/>
          <w:szCs w:val="22"/>
        </w:rPr>
        <w:t>Mr. Sofio</w:t>
      </w:r>
      <w:r w:rsidR="00D9324B" w:rsidRPr="00D9324B">
        <w:rPr>
          <w:sz w:val="22"/>
          <w:szCs w:val="22"/>
        </w:rPr>
        <w:t xml:space="preserve"> </w:t>
      </w:r>
      <w:r w:rsidR="00793139">
        <w:rPr>
          <w:sz w:val="22"/>
          <w:szCs w:val="22"/>
        </w:rPr>
        <w:t xml:space="preserve">is </w:t>
      </w:r>
      <w:r w:rsidR="00D9324B" w:rsidRPr="00D9324B">
        <w:rPr>
          <w:sz w:val="22"/>
          <w:szCs w:val="22"/>
        </w:rPr>
        <w:t xml:space="preserve">the winning bidder in a public auction, Auction 97.  The prices for each license won are public information.  We therefore find the referenced precedent irrelevant.  </w:t>
      </w:r>
    </w:p>
    <w:p w14:paraId="3B08356E" w14:textId="77777777" w:rsidR="00872478" w:rsidRDefault="00872478" w:rsidP="00E12B1F">
      <w:pPr>
        <w:ind w:firstLine="720"/>
        <w:rPr>
          <w:sz w:val="22"/>
          <w:szCs w:val="22"/>
        </w:rPr>
      </w:pPr>
    </w:p>
    <w:p w14:paraId="44F6906E" w14:textId="77777777" w:rsidR="00872478" w:rsidRDefault="0063647B" w:rsidP="00E12B1F">
      <w:pPr>
        <w:ind w:firstLine="720"/>
        <w:rPr>
          <w:sz w:val="22"/>
          <w:szCs w:val="22"/>
        </w:rPr>
      </w:pPr>
      <w:r>
        <w:rPr>
          <w:sz w:val="22"/>
          <w:szCs w:val="22"/>
        </w:rPr>
        <w:t xml:space="preserve">Furthermore, </w:t>
      </w:r>
      <w:r w:rsidR="007B0F53">
        <w:rPr>
          <w:sz w:val="22"/>
          <w:szCs w:val="22"/>
        </w:rPr>
        <w:t>Mr. Sofio</w:t>
      </w:r>
      <w:r w:rsidR="00D9324B" w:rsidRPr="00D9324B">
        <w:rPr>
          <w:sz w:val="22"/>
          <w:szCs w:val="22"/>
        </w:rPr>
        <w:t xml:space="preserve"> is required to demonstrate eligibility for designated entity credits, including the disclosure of agreements from lenders to fund </w:t>
      </w:r>
      <w:r w:rsidR="007B0F53">
        <w:rPr>
          <w:sz w:val="22"/>
          <w:szCs w:val="22"/>
        </w:rPr>
        <w:t>Mr. Sofio</w:t>
      </w:r>
      <w:r w:rsidR="00D9324B" w:rsidRPr="00D9324B">
        <w:rPr>
          <w:sz w:val="22"/>
          <w:szCs w:val="22"/>
        </w:rPr>
        <w:t>’s winning bids, which requires the disclosures of the names of the</w:t>
      </w:r>
      <w:r w:rsidR="00F539C8">
        <w:rPr>
          <w:sz w:val="22"/>
          <w:szCs w:val="22"/>
        </w:rPr>
        <w:t xml:space="preserve"> parties to agreements with the Applicant</w:t>
      </w:r>
      <w:r w:rsidR="00D9324B" w:rsidRPr="00D9324B">
        <w:rPr>
          <w:sz w:val="22"/>
          <w:szCs w:val="22"/>
        </w:rPr>
        <w:t>.</w:t>
      </w:r>
      <w:r w:rsidR="00872478">
        <w:rPr>
          <w:sz w:val="22"/>
          <w:szCs w:val="22"/>
        </w:rPr>
        <w:t xml:space="preserve">  The Commission has explained that </w:t>
      </w:r>
    </w:p>
    <w:p w14:paraId="420FB323" w14:textId="77777777" w:rsidR="00872478" w:rsidRDefault="00872478" w:rsidP="00E12B1F">
      <w:pPr>
        <w:ind w:firstLine="720"/>
        <w:rPr>
          <w:sz w:val="22"/>
          <w:szCs w:val="22"/>
        </w:rPr>
      </w:pPr>
    </w:p>
    <w:p w14:paraId="6F58241F" w14:textId="77777777" w:rsidR="00872478" w:rsidRDefault="00872478" w:rsidP="00E12B1F">
      <w:pPr>
        <w:keepNext/>
        <w:ind w:left="720"/>
        <w:rPr>
          <w:sz w:val="22"/>
          <w:szCs w:val="22"/>
        </w:rPr>
      </w:pPr>
      <w:r>
        <w:rPr>
          <w:sz w:val="22"/>
          <w:szCs w:val="22"/>
        </w:rPr>
        <w:t xml:space="preserve">A </w:t>
      </w:r>
      <w:r w:rsidRPr="00872478">
        <w:rPr>
          <w:sz w:val="22"/>
          <w:szCs w:val="22"/>
        </w:rPr>
        <w:t xml:space="preserve">fundamental necessity in the conduct of spectrum auctions is that the eligibility </w:t>
      </w:r>
    </w:p>
    <w:p w14:paraId="236EB45F" w14:textId="77777777" w:rsidR="00872478" w:rsidRDefault="00872478" w:rsidP="00E12B1F">
      <w:pPr>
        <w:ind w:left="720"/>
        <w:rPr>
          <w:sz w:val="22"/>
          <w:szCs w:val="22"/>
        </w:rPr>
      </w:pPr>
      <w:r w:rsidRPr="00872478">
        <w:rPr>
          <w:sz w:val="22"/>
          <w:szCs w:val="22"/>
        </w:rPr>
        <w:t xml:space="preserve">of applicants for any bidding credits and their suitability as licensees must be fully </w:t>
      </w:r>
    </w:p>
    <w:p w14:paraId="690A64C5" w14:textId="77777777" w:rsidR="00872478" w:rsidRDefault="00872478" w:rsidP="00E12B1F">
      <w:pPr>
        <w:ind w:left="720"/>
        <w:rPr>
          <w:sz w:val="22"/>
          <w:szCs w:val="22"/>
        </w:rPr>
      </w:pPr>
      <w:r w:rsidRPr="00872478">
        <w:rPr>
          <w:sz w:val="22"/>
          <w:szCs w:val="22"/>
        </w:rPr>
        <w:t xml:space="preserve">scrutinized. </w:t>
      </w:r>
      <w:r w:rsidR="000865E0">
        <w:rPr>
          <w:sz w:val="22"/>
          <w:szCs w:val="22"/>
        </w:rPr>
        <w:t xml:space="preserve"> </w:t>
      </w:r>
      <w:r w:rsidRPr="00872478">
        <w:rPr>
          <w:sz w:val="22"/>
          <w:szCs w:val="22"/>
        </w:rPr>
        <w:t>Indeed, fairness to the other participants in the auction requires that this</w:t>
      </w:r>
    </w:p>
    <w:p w14:paraId="4EC8C59D" w14:textId="77777777" w:rsidR="00872478" w:rsidRDefault="00872478" w:rsidP="00E12B1F">
      <w:pPr>
        <w:ind w:left="720"/>
        <w:rPr>
          <w:sz w:val="22"/>
          <w:szCs w:val="22"/>
        </w:rPr>
      </w:pPr>
      <w:r w:rsidRPr="00872478">
        <w:rPr>
          <w:sz w:val="22"/>
          <w:szCs w:val="22"/>
        </w:rPr>
        <w:t xml:space="preserve">financial information be accessible to the public. </w:t>
      </w:r>
      <w:r w:rsidR="000865E0">
        <w:rPr>
          <w:sz w:val="22"/>
          <w:szCs w:val="22"/>
        </w:rPr>
        <w:t xml:space="preserve"> </w:t>
      </w:r>
      <w:r w:rsidRPr="00872478">
        <w:rPr>
          <w:sz w:val="22"/>
          <w:szCs w:val="22"/>
        </w:rPr>
        <w:t xml:space="preserve">Competing bidders and the public </w:t>
      </w:r>
    </w:p>
    <w:p w14:paraId="0751EF08" w14:textId="77777777" w:rsidR="00872478" w:rsidRDefault="00872478" w:rsidP="00E12B1F">
      <w:pPr>
        <w:ind w:left="720"/>
        <w:rPr>
          <w:sz w:val="22"/>
          <w:szCs w:val="22"/>
        </w:rPr>
      </w:pPr>
      <w:r w:rsidRPr="00872478">
        <w:rPr>
          <w:sz w:val="22"/>
          <w:szCs w:val="22"/>
        </w:rPr>
        <w:t xml:space="preserve">in general have a compelling interest in having access to the information that is the </w:t>
      </w:r>
    </w:p>
    <w:p w14:paraId="6D4BB4F5" w14:textId="77777777" w:rsidR="00872478" w:rsidRDefault="00872478" w:rsidP="00E12B1F">
      <w:pPr>
        <w:ind w:left="720"/>
        <w:rPr>
          <w:sz w:val="22"/>
          <w:szCs w:val="22"/>
        </w:rPr>
      </w:pPr>
      <w:r w:rsidRPr="00872478">
        <w:rPr>
          <w:sz w:val="22"/>
          <w:szCs w:val="22"/>
        </w:rPr>
        <w:t xml:space="preserve">subject of the confidentiality request because it bears directly on </w:t>
      </w:r>
      <w:r>
        <w:rPr>
          <w:sz w:val="22"/>
          <w:szCs w:val="22"/>
        </w:rPr>
        <w:t>. . . [an applicant’s]</w:t>
      </w:r>
    </w:p>
    <w:p w14:paraId="0C6A1DE8" w14:textId="77777777" w:rsidR="00872478" w:rsidRDefault="00872478" w:rsidP="00E12B1F">
      <w:pPr>
        <w:ind w:left="720"/>
        <w:rPr>
          <w:sz w:val="22"/>
          <w:szCs w:val="22"/>
        </w:rPr>
      </w:pPr>
      <w:r w:rsidRPr="00872478">
        <w:rPr>
          <w:sz w:val="22"/>
          <w:szCs w:val="22"/>
        </w:rPr>
        <w:t>eligibility for bidding credits</w:t>
      </w:r>
      <w:r>
        <w:rPr>
          <w:sz w:val="22"/>
          <w:szCs w:val="22"/>
        </w:rPr>
        <w:t>.</w:t>
      </w:r>
      <w:r>
        <w:rPr>
          <w:rStyle w:val="FootnoteReference"/>
          <w:sz w:val="22"/>
          <w:szCs w:val="22"/>
        </w:rPr>
        <w:footnoteReference w:id="32"/>
      </w:r>
    </w:p>
    <w:p w14:paraId="5E0A0D58" w14:textId="77777777" w:rsidR="00872478" w:rsidRDefault="00872478" w:rsidP="00E12B1F">
      <w:pPr>
        <w:rPr>
          <w:sz w:val="22"/>
          <w:szCs w:val="22"/>
        </w:rPr>
      </w:pPr>
    </w:p>
    <w:p w14:paraId="42AECE6C" w14:textId="698E6E37" w:rsidR="008518E0" w:rsidRDefault="00D9324B" w:rsidP="00E12B1F">
      <w:pPr>
        <w:rPr>
          <w:sz w:val="22"/>
          <w:szCs w:val="22"/>
        </w:rPr>
      </w:pPr>
      <w:r w:rsidRPr="00D9324B">
        <w:rPr>
          <w:sz w:val="22"/>
          <w:szCs w:val="22"/>
        </w:rPr>
        <w:t xml:space="preserve">We categorically reject </w:t>
      </w:r>
      <w:r w:rsidR="00791E3B">
        <w:rPr>
          <w:sz w:val="22"/>
          <w:szCs w:val="22"/>
        </w:rPr>
        <w:t xml:space="preserve">Mr. Sofio’s </w:t>
      </w:r>
      <w:r w:rsidRPr="00D9324B">
        <w:rPr>
          <w:sz w:val="22"/>
          <w:szCs w:val="22"/>
        </w:rPr>
        <w:t>suggestion that the identities of parties who have agreements with designated entity applicants are “irrelevant to this process.”</w:t>
      </w:r>
      <w:r w:rsidR="00100314">
        <w:rPr>
          <w:rStyle w:val="FootnoteReference"/>
          <w:sz w:val="22"/>
          <w:szCs w:val="22"/>
        </w:rPr>
        <w:footnoteReference w:id="33"/>
      </w:r>
      <w:r w:rsidRPr="00D9324B">
        <w:rPr>
          <w:sz w:val="22"/>
          <w:szCs w:val="22"/>
        </w:rPr>
        <w:t xml:space="preserve">  The Commission’s disclosure rules would apply regardless of whether the lender was a “major financial institution” or an individual.</w:t>
      </w:r>
      <w:r w:rsidR="00100314">
        <w:rPr>
          <w:rStyle w:val="FootnoteReference"/>
          <w:sz w:val="22"/>
          <w:szCs w:val="22"/>
        </w:rPr>
        <w:footnoteReference w:id="34"/>
      </w:r>
      <w:r w:rsidRPr="00D9324B">
        <w:rPr>
          <w:sz w:val="22"/>
          <w:szCs w:val="22"/>
        </w:rPr>
        <w:t xml:space="preserve">  </w:t>
      </w:r>
      <w:r w:rsidR="007B0F53">
        <w:rPr>
          <w:sz w:val="22"/>
          <w:szCs w:val="22"/>
        </w:rPr>
        <w:t>Mr. Sofio</w:t>
      </w:r>
      <w:r w:rsidR="00915702">
        <w:rPr>
          <w:sz w:val="22"/>
          <w:szCs w:val="22"/>
        </w:rPr>
        <w:t>’</w:t>
      </w:r>
      <w:r w:rsidRPr="00D9324B">
        <w:rPr>
          <w:sz w:val="22"/>
          <w:szCs w:val="22"/>
        </w:rPr>
        <w:t xml:space="preserve">s position in favor of anonymity is </w:t>
      </w:r>
      <w:r w:rsidR="00062543">
        <w:rPr>
          <w:sz w:val="22"/>
          <w:szCs w:val="22"/>
        </w:rPr>
        <w:t xml:space="preserve">inconsistent with </w:t>
      </w:r>
      <w:r w:rsidRPr="00D9324B">
        <w:rPr>
          <w:sz w:val="22"/>
          <w:szCs w:val="22"/>
        </w:rPr>
        <w:t xml:space="preserve">the Commission’s rules for designated entities and the </w:t>
      </w:r>
      <w:r w:rsidR="00062543">
        <w:rPr>
          <w:sz w:val="22"/>
          <w:szCs w:val="22"/>
        </w:rPr>
        <w:t xml:space="preserve">policy </w:t>
      </w:r>
      <w:r w:rsidRPr="00D9324B">
        <w:rPr>
          <w:sz w:val="22"/>
          <w:szCs w:val="22"/>
        </w:rPr>
        <w:t>of transparency and openness that permeates the designated entity rules.</w:t>
      </w:r>
      <w:r w:rsidR="004B71A6">
        <w:rPr>
          <w:sz w:val="22"/>
          <w:szCs w:val="22"/>
        </w:rPr>
        <w:t xml:space="preserve">  </w:t>
      </w:r>
    </w:p>
    <w:p w14:paraId="5EF17174" w14:textId="77777777" w:rsidR="005433E1" w:rsidRDefault="005433E1" w:rsidP="00E12B1F">
      <w:pPr>
        <w:ind w:firstLine="720"/>
        <w:rPr>
          <w:sz w:val="22"/>
          <w:szCs w:val="22"/>
        </w:rPr>
      </w:pPr>
      <w:r w:rsidRPr="005433E1">
        <w:rPr>
          <w:sz w:val="22"/>
          <w:szCs w:val="22"/>
        </w:rPr>
        <w:t xml:space="preserve">Public interest in disclosure and transparent, open agency evaluation of an applicant’s eligibility for designated entity benefits outweighs any </w:t>
      </w:r>
      <w:r w:rsidRPr="005433E1">
        <w:rPr>
          <w:i/>
          <w:sz w:val="22"/>
          <w:szCs w:val="22"/>
        </w:rPr>
        <w:t>de minim</w:t>
      </w:r>
      <w:r w:rsidR="00716F67">
        <w:rPr>
          <w:i/>
          <w:sz w:val="22"/>
          <w:szCs w:val="22"/>
        </w:rPr>
        <w:t>i</w:t>
      </w:r>
      <w:r w:rsidRPr="005433E1">
        <w:rPr>
          <w:i/>
          <w:sz w:val="22"/>
          <w:szCs w:val="22"/>
        </w:rPr>
        <w:t>s</w:t>
      </w:r>
      <w:r w:rsidRPr="005433E1">
        <w:rPr>
          <w:sz w:val="22"/>
          <w:szCs w:val="22"/>
        </w:rPr>
        <w:t xml:space="preserve"> privacy concerns</w:t>
      </w:r>
      <w:r w:rsidR="009A3D5E">
        <w:rPr>
          <w:sz w:val="22"/>
          <w:szCs w:val="22"/>
        </w:rPr>
        <w:t xml:space="preserve"> raised by </w:t>
      </w:r>
      <w:r w:rsidR="007B0F53">
        <w:rPr>
          <w:sz w:val="22"/>
          <w:szCs w:val="22"/>
        </w:rPr>
        <w:t>Mr. Sofio</w:t>
      </w:r>
      <w:r w:rsidR="00924D13">
        <w:rPr>
          <w:sz w:val="22"/>
          <w:szCs w:val="22"/>
        </w:rPr>
        <w:t xml:space="preserve">, which </w:t>
      </w:r>
      <w:r w:rsidR="00F52B7E">
        <w:rPr>
          <w:sz w:val="22"/>
          <w:szCs w:val="22"/>
        </w:rPr>
        <w:t xml:space="preserve">in any event </w:t>
      </w:r>
      <w:r w:rsidR="00924D13">
        <w:rPr>
          <w:sz w:val="22"/>
          <w:szCs w:val="22"/>
        </w:rPr>
        <w:t>we fin</w:t>
      </w:r>
      <w:r w:rsidR="00F52B7E">
        <w:rPr>
          <w:sz w:val="22"/>
          <w:szCs w:val="22"/>
        </w:rPr>
        <w:t>d</w:t>
      </w:r>
      <w:r w:rsidR="00924D13">
        <w:rPr>
          <w:sz w:val="22"/>
          <w:szCs w:val="22"/>
        </w:rPr>
        <w:t xml:space="preserve"> unpersuasive</w:t>
      </w:r>
      <w:r w:rsidR="00924D13" w:rsidRPr="001B2704">
        <w:rPr>
          <w:color w:val="000000"/>
          <w:sz w:val="22"/>
          <w:szCs w:val="22"/>
        </w:rPr>
        <w:t xml:space="preserve">.  </w:t>
      </w:r>
      <w:r w:rsidRPr="001B2704">
        <w:rPr>
          <w:color w:val="000000"/>
          <w:sz w:val="22"/>
          <w:szCs w:val="22"/>
        </w:rPr>
        <w:t>F</w:t>
      </w:r>
      <w:r w:rsidRPr="005433E1">
        <w:rPr>
          <w:sz w:val="22"/>
          <w:szCs w:val="22"/>
        </w:rPr>
        <w:t xml:space="preserve">irst, </w:t>
      </w:r>
      <w:r w:rsidR="002F02F5">
        <w:rPr>
          <w:sz w:val="22"/>
          <w:szCs w:val="22"/>
        </w:rPr>
        <w:t xml:space="preserve">as noted above, </w:t>
      </w:r>
      <w:r w:rsidRPr="005433E1">
        <w:rPr>
          <w:sz w:val="22"/>
          <w:szCs w:val="22"/>
        </w:rPr>
        <w:t xml:space="preserve">the disclosure </w:t>
      </w:r>
      <w:r>
        <w:rPr>
          <w:sz w:val="22"/>
          <w:szCs w:val="22"/>
        </w:rPr>
        <w:t xml:space="preserve">of </w:t>
      </w:r>
      <w:r w:rsidRPr="005433E1">
        <w:rPr>
          <w:sz w:val="22"/>
          <w:szCs w:val="22"/>
        </w:rPr>
        <w:t>the names of parties to the agreements is required by the Commission’s rules.</w:t>
      </w:r>
      <w:r w:rsidR="007F4D1D">
        <w:rPr>
          <w:rStyle w:val="FootnoteReference"/>
          <w:sz w:val="22"/>
          <w:szCs w:val="22"/>
        </w:rPr>
        <w:footnoteReference w:id="35"/>
      </w:r>
      <w:r w:rsidRPr="005433E1">
        <w:rPr>
          <w:sz w:val="22"/>
          <w:szCs w:val="22"/>
        </w:rPr>
        <w:t xml:space="preserve">  Second, the privacy interest is </w:t>
      </w:r>
      <w:r w:rsidR="00924D13">
        <w:rPr>
          <w:sz w:val="22"/>
          <w:szCs w:val="22"/>
        </w:rPr>
        <w:t xml:space="preserve">minimal given this </w:t>
      </w:r>
      <w:r w:rsidRPr="005433E1">
        <w:rPr>
          <w:sz w:val="22"/>
          <w:szCs w:val="22"/>
        </w:rPr>
        <w:t xml:space="preserve">being a business investment.  </w:t>
      </w:r>
      <w:r w:rsidR="002F02F5">
        <w:rPr>
          <w:sz w:val="22"/>
          <w:szCs w:val="22"/>
        </w:rPr>
        <w:t>Indeed, Mr. Sofio makes no effort to demonstrate the applicability of FOIA exemption 6, which addresses a “clearly unwarranted invasion of personal privacy.”</w:t>
      </w:r>
      <w:r w:rsidR="002F02F5">
        <w:rPr>
          <w:rStyle w:val="FootnoteReference"/>
          <w:sz w:val="22"/>
          <w:szCs w:val="22"/>
        </w:rPr>
        <w:footnoteReference w:id="36"/>
      </w:r>
      <w:r w:rsidR="002F02F5">
        <w:rPr>
          <w:sz w:val="22"/>
          <w:szCs w:val="22"/>
        </w:rPr>
        <w:t xml:space="preserve">  </w:t>
      </w:r>
      <w:r w:rsidRPr="005433E1">
        <w:rPr>
          <w:sz w:val="22"/>
          <w:szCs w:val="22"/>
        </w:rPr>
        <w:t xml:space="preserve">The disclosure will reveal that the lenders loaned </w:t>
      </w:r>
      <w:r w:rsidR="007B0F53">
        <w:rPr>
          <w:sz w:val="22"/>
          <w:szCs w:val="22"/>
        </w:rPr>
        <w:t>Mr. Sofio</w:t>
      </w:r>
      <w:r w:rsidRPr="005433E1">
        <w:rPr>
          <w:sz w:val="22"/>
          <w:szCs w:val="22"/>
        </w:rPr>
        <w:t xml:space="preserve"> an </w:t>
      </w:r>
      <w:r w:rsidRPr="000545D0">
        <w:rPr>
          <w:sz w:val="22"/>
          <w:szCs w:val="22"/>
        </w:rPr>
        <w:t>unknown amount of money at an undisclosed rate for an unspecified term</w:t>
      </w:r>
      <w:r w:rsidRPr="005433E1">
        <w:rPr>
          <w:sz w:val="22"/>
          <w:szCs w:val="22"/>
        </w:rPr>
        <w:t xml:space="preserve"> for investment in wireless licenses.</w:t>
      </w:r>
      <w:r w:rsidR="006E3EF4">
        <w:rPr>
          <w:rStyle w:val="FootnoteReference"/>
          <w:sz w:val="22"/>
          <w:szCs w:val="22"/>
        </w:rPr>
        <w:footnoteReference w:id="37"/>
      </w:r>
      <w:r w:rsidRPr="005433E1">
        <w:rPr>
          <w:sz w:val="22"/>
          <w:szCs w:val="22"/>
        </w:rPr>
        <w:t xml:space="preserve">  It reveals little of their funding capabilities, which is the prime concern cited by </w:t>
      </w:r>
      <w:r w:rsidR="007B0F53">
        <w:rPr>
          <w:sz w:val="22"/>
          <w:szCs w:val="22"/>
        </w:rPr>
        <w:t>Mr. Sofio</w:t>
      </w:r>
      <w:r w:rsidRPr="005433E1">
        <w:rPr>
          <w:sz w:val="22"/>
          <w:szCs w:val="22"/>
        </w:rPr>
        <w:t>.</w:t>
      </w:r>
      <w:r>
        <w:rPr>
          <w:rStyle w:val="FootnoteReference"/>
          <w:sz w:val="22"/>
          <w:szCs w:val="22"/>
        </w:rPr>
        <w:footnoteReference w:id="38"/>
      </w:r>
      <w:r w:rsidRPr="005433E1">
        <w:rPr>
          <w:sz w:val="22"/>
          <w:szCs w:val="22"/>
        </w:rPr>
        <w:t xml:space="preserve">  In any event, the </w:t>
      </w:r>
      <w:r w:rsidRPr="005433E1">
        <w:rPr>
          <w:i/>
          <w:sz w:val="22"/>
          <w:szCs w:val="22"/>
        </w:rPr>
        <w:t>de minim</w:t>
      </w:r>
      <w:r w:rsidR="00716F67">
        <w:rPr>
          <w:i/>
          <w:sz w:val="22"/>
          <w:szCs w:val="22"/>
        </w:rPr>
        <w:t>i</w:t>
      </w:r>
      <w:r w:rsidRPr="005433E1">
        <w:rPr>
          <w:i/>
          <w:sz w:val="22"/>
          <w:szCs w:val="22"/>
        </w:rPr>
        <w:t>s</w:t>
      </w:r>
      <w:r w:rsidRPr="005433E1">
        <w:rPr>
          <w:sz w:val="22"/>
          <w:szCs w:val="22"/>
        </w:rPr>
        <w:t xml:space="preserve"> privacy concerns raised are insignificant when balanced against the public interest in disclosure of agreements between an applicant for designated entity credits and </w:t>
      </w:r>
      <w:r>
        <w:rPr>
          <w:sz w:val="22"/>
          <w:szCs w:val="22"/>
        </w:rPr>
        <w:t xml:space="preserve">other parties </w:t>
      </w:r>
      <w:r w:rsidRPr="005433E1">
        <w:rPr>
          <w:sz w:val="22"/>
          <w:szCs w:val="22"/>
        </w:rPr>
        <w:t>and in ensuring that the Commission maintain</w:t>
      </w:r>
      <w:r w:rsidR="000865E0">
        <w:rPr>
          <w:sz w:val="22"/>
          <w:szCs w:val="22"/>
        </w:rPr>
        <w:t>s</w:t>
      </w:r>
      <w:r w:rsidRPr="005433E1">
        <w:rPr>
          <w:sz w:val="22"/>
          <w:szCs w:val="22"/>
        </w:rPr>
        <w:t xml:space="preserve"> the integrity of the auction and licensing process by being open and transparent.  </w:t>
      </w:r>
    </w:p>
    <w:p w14:paraId="6F9A5112" w14:textId="77777777" w:rsidR="005433E1" w:rsidRDefault="005433E1" w:rsidP="00E12B1F">
      <w:pPr>
        <w:rPr>
          <w:sz w:val="22"/>
          <w:szCs w:val="22"/>
        </w:rPr>
      </w:pPr>
    </w:p>
    <w:p w14:paraId="0E2508E4" w14:textId="4345FE82" w:rsidR="000865E0" w:rsidRDefault="0046241B" w:rsidP="00E12B1F">
      <w:pPr>
        <w:ind w:firstLine="720"/>
        <w:rPr>
          <w:sz w:val="22"/>
          <w:szCs w:val="22"/>
        </w:rPr>
      </w:pPr>
      <w:r>
        <w:rPr>
          <w:sz w:val="22"/>
          <w:szCs w:val="22"/>
        </w:rPr>
        <w:t xml:space="preserve">We find </w:t>
      </w:r>
      <w:r w:rsidR="007B0F53">
        <w:rPr>
          <w:sz w:val="22"/>
          <w:szCs w:val="22"/>
        </w:rPr>
        <w:t>Mr. Sofio</w:t>
      </w:r>
      <w:r>
        <w:rPr>
          <w:sz w:val="22"/>
          <w:szCs w:val="22"/>
        </w:rPr>
        <w:t xml:space="preserve">’s reliance on </w:t>
      </w:r>
      <w:r w:rsidR="00E3752F" w:rsidRPr="0046241B">
        <w:rPr>
          <w:i/>
          <w:sz w:val="22"/>
          <w:szCs w:val="22"/>
        </w:rPr>
        <w:t>Percy Squire</w:t>
      </w:r>
      <w:r w:rsidRPr="00120CD9">
        <w:rPr>
          <w:rStyle w:val="FootnoteReference"/>
          <w:sz w:val="22"/>
          <w:szCs w:val="22"/>
        </w:rPr>
        <w:footnoteReference w:id="39"/>
      </w:r>
      <w:r>
        <w:rPr>
          <w:sz w:val="22"/>
          <w:szCs w:val="22"/>
        </w:rPr>
        <w:t xml:space="preserve"> to be misplaced.</w:t>
      </w:r>
      <w:r>
        <w:rPr>
          <w:rStyle w:val="FootnoteReference"/>
          <w:sz w:val="22"/>
          <w:szCs w:val="22"/>
        </w:rPr>
        <w:footnoteReference w:id="40"/>
      </w:r>
      <w:r w:rsidR="00703604">
        <w:rPr>
          <w:sz w:val="22"/>
          <w:szCs w:val="22"/>
        </w:rPr>
        <w:t xml:space="preserve">  </w:t>
      </w:r>
      <w:r w:rsidR="00703604" w:rsidRPr="00703604">
        <w:rPr>
          <w:sz w:val="22"/>
          <w:szCs w:val="22"/>
        </w:rPr>
        <w:t>Percy Squire</w:t>
      </w:r>
      <w:r w:rsidR="00703604">
        <w:rPr>
          <w:sz w:val="22"/>
          <w:szCs w:val="22"/>
        </w:rPr>
        <w:t xml:space="preserve"> sought information on file with the Commission, and </w:t>
      </w:r>
      <w:r w:rsidR="00703604" w:rsidRPr="00703604">
        <w:rPr>
          <w:sz w:val="22"/>
          <w:szCs w:val="22"/>
        </w:rPr>
        <w:t xml:space="preserve">D.B. </w:t>
      </w:r>
      <w:r w:rsidR="00896F0B">
        <w:rPr>
          <w:sz w:val="22"/>
          <w:szCs w:val="22"/>
        </w:rPr>
        <w:t>Zwirn</w:t>
      </w:r>
      <w:r w:rsidR="00703604" w:rsidRPr="00703604">
        <w:rPr>
          <w:sz w:val="22"/>
          <w:szCs w:val="22"/>
        </w:rPr>
        <w:t xml:space="preserve"> Special Opportunities Fund, LLC</w:t>
      </w:r>
      <w:r w:rsidR="00703604">
        <w:rPr>
          <w:sz w:val="22"/>
          <w:szCs w:val="22"/>
        </w:rPr>
        <w:t xml:space="preserve"> (“</w:t>
      </w:r>
      <w:r w:rsidR="00896F0B">
        <w:rPr>
          <w:sz w:val="22"/>
          <w:szCs w:val="22"/>
        </w:rPr>
        <w:t>Zwirn</w:t>
      </w:r>
      <w:r w:rsidR="00703604">
        <w:rPr>
          <w:sz w:val="22"/>
          <w:szCs w:val="22"/>
        </w:rPr>
        <w:t>”) sought to protect the information as confidential.</w:t>
      </w:r>
      <w:r w:rsidR="00703604">
        <w:rPr>
          <w:rStyle w:val="FootnoteReference"/>
          <w:sz w:val="22"/>
          <w:szCs w:val="22"/>
        </w:rPr>
        <w:footnoteReference w:id="41"/>
      </w:r>
      <w:r w:rsidR="00703604">
        <w:rPr>
          <w:sz w:val="22"/>
          <w:szCs w:val="22"/>
        </w:rPr>
        <w:t xml:space="preserve">  The information</w:t>
      </w:r>
      <w:r w:rsidR="00120CD9">
        <w:rPr>
          <w:sz w:val="22"/>
          <w:szCs w:val="22"/>
        </w:rPr>
        <w:t xml:space="preserve"> was tens of thousands of pages, and t</w:t>
      </w:r>
      <w:r w:rsidR="00703604">
        <w:rPr>
          <w:sz w:val="22"/>
          <w:szCs w:val="22"/>
        </w:rPr>
        <w:t>he Enforcement Bureau and the Commission issued orders protecting very specific information as confidential</w:t>
      </w:r>
      <w:r w:rsidR="00963495">
        <w:rPr>
          <w:sz w:val="22"/>
          <w:szCs w:val="22"/>
        </w:rPr>
        <w:t xml:space="preserve"> but</w:t>
      </w:r>
      <w:r w:rsidR="002C5B2A">
        <w:rPr>
          <w:sz w:val="22"/>
          <w:szCs w:val="22"/>
        </w:rPr>
        <w:t xml:space="preserve"> </w:t>
      </w:r>
      <w:r w:rsidR="00963495">
        <w:rPr>
          <w:sz w:val="22"/>
          <w:szCs w:val="22"/>
        </w:rPr>
        <w:t>t</w:t>
      </w:r>
      <w:r w:rsidR="002F02F5">
        <w:rPr>
          <w:sz w:val="22"/>
          <w:szCs w:val="22"/>
        </w:rPr>
        <w:t xml:space="preserve">his </w:t>
      </w:r>
      <w:r w:rsidR="006229CA">
        <w:rPr>
          <w:sz w:val="22"/>
          <w:szCs w:val="22"/>
        </w:rPr>
        <w:t xml:space="preserve">protection </w:t>
      </w:r>
      <w:r w:rsidR="002F02F5">
        <w:rPr>
          <w:sz w:val="22"/>
          <w:szCs w:val="22"/>
        </w:rPr>
        <w:t xml:space="preserve">did not </w:t>
      </w:r>
      <w:r w:rsidR="001D2969">
        <w:rPr>
          <w:sz w:val="22"/>
          <w:szCs w:val="22"/>
        </w:rPr>
        <w:t xml:space="preserve">shield </w:t>
      </w:r>
      <w:r w:rsidR="00896F0B">
        <w:rPr>
          <w:sz w:val="22"/>
          <w:szCs w:val="22"/>
        </w:rPr>
        <w:t>Zwirn</w:t>
      </w:r>
      <w:r w:rsidR="002F02F5">
        <w:rPr>
          <w:sz w:val="22"/>
          <w:szCs w:val="22"/>
        </w:rPr>
        <w:t xml:space="preserve">’s identity as </w:t>
      </w:r>
      <w:r w:rsidR="002C5B2A">
        <w:rPr>
          <w:sz w:val="22"/>
          <w:szCs w:val="22"/>
        </w:rPr>
        <w:t>a</w:t>
      </w:r>
      <w:r w:rsidR="002F02F5">
        <w:rPr>
          <w:sz w:val="22"/>
          <w:szCs w:val="22"/>
        </w:rPr>
        <w:t xml:space="preserve"> lender</w:t>
      </w:r>
      <w:r w:rsidR="001D2969">
        <w:rPr>
          <w:sz w:val="22"/>
          <w:szCs w:val="22"/>
        </w:rPr>
        <w:t xml:space="preserve"> to the </w:t>
      </w:r>
      <w:r w:rsidR="002C5B2A">
        <w:rPr>
          <w:sz w:val="22"/>
          <w:szCs w:val="22"/>
        </w:rPr>
        <w:t>licensee</w:t>
      </w:r>
      <w:r w:rsidR="002F02F5">
        <w:rPr>
          <w:sz w:val="22"/>
          <w:szCs w:val="22"/>
        </w:rPr>
        <w:t xml:space="preserve">.  </w:t>
      </w:r>
      <w:r w:rsidR="00107DB4">
        <w:rPr>
          <w:sz w:val="22"/>
          <w:szCs w:val="22"/>
        </w:rPr>
        <w:t>In any event, a</w:t>
      </w:r>
      <w:r w:rsidR="00CC3AC6">
        <w:rPr>
          <w:sz w:val="22"/>
          <w:szCs w:val="22"/>
        </w:rPr>
        <w:t xml:space="preserve">s explained above, the public interest in the disclosure of the identity of parties to agreements with an applicant seeking designated entity credits is even more compelling.  We therefore will not permit </w:t>
      </w:r>
      <w:r w:rsidR="003F15D8">
        <w:rPr>
          <w:sz w:val="22"/>
          <w:szCs w:val="22"/>
        </w:rPr>
        <w:t>Mr. </w:t>
      </w:r>
      <w:r w:rsidR="007B0F53">
        <w:rPr>
          <w:sz w:val="22"/>
          <w:szCs w:val="22"/>
        </w:rPr>
        <w:t>Sofio</w:t>
      </w:r>
      <w:r w:rsidR="00CC3AC6">
        <w:rPr>
          <w:sz w:val="22"/>
          <w:szCs w:val="22"/>
        </w:rPr>
        <w:t xml:space="preserve"> </w:t>
      </w:r>
      <w:r w:rsidR="003F15D8">
        <w:rPr>
          <w:sz w:val="22"/>
          <w:szCs w:val="22"/>
        </w:rPr>
        <w:t xml:space="preserve">to </w:t>
      </w:r>
      <w:r w:rsidR="00107DB4">
        <w:rPr>
          <w:sz w:val="22"/>
          <w:szCs w:val="22"/>
        </w:rPr>
        <w:t xml:space="preserve">withhold from the public </w:t>
      </w:r>
      <w:r w:rsidR="00CC3AC6">
        <w:rPr>
          <w:sz w:val="22"/>
          <w:szCs w:val="22"/>
        </w:rPr>
        <w:t>the names of parties to which he has entered into agreements</w:t>
      </w:r>
      <w:r w:rsidR="00107DB4">
        <w:rPr>
          <w:sz w:val="22"/>
          <w:szCs w:val="22"/>
        </w:rPr>
        <w:t xml:space="preserve"> related to his pending application</w:t>
      </w:r>
      <w:r w:rsidR="00CC3AC6">
        <w:rPr>
          <w:sz w:val="22"/>
          <w:szCs w:val="22"/>
        </w:rPr>
        <w:t xml:space="preserve">. </w:t>
      </w:r>
    </w:p>
    <w:p w14:paraId="3DD2D54A" w14:textId="77777777" w:rsidR="009107D4" w:rsidRDefault="009107D4" w:rsidP="00E12B1F">
      <w:pPr>
        <w:rPr>
          <w:sz w:val="22"/>
          <w:szCs w:val="22"/>
        </w:rPr>
      </w:pPr>
    </w:p>
    <w:p w14:paraId="5C4D5624" w14:textId="77777777" w:rsidR="00643A7B" w:rsidRDefault="000865E0" w:rsidP="00E12B1F">
      <w:pPr>
        <w:ind w:firstLine="720"/>
        <w:rPr>
          <w:sz w:val="22"/>
          <w:szCs w:val="22"/>
        </w:rPr>
      </w:pPr>
      <w:r>
        <w:rPr>
          <w:sz w:val="22"/>
          <w:szCs w:val="22"/>
        </w:rPr>
        <w:t xml:space="preserve">We also note that </w:t>
      </w:r>
      <w:r w:rsidR="007B0F53">
        <w:rPr>
          <w:sz w:val="22"/>
          <w:szCs w:val="22"/>
        </w:rPr>
        <w:t>Mr. Sofio</w:t>
      </w:r>
      <w:r w:rsidR="009107D4">
        <w:rPr>
          <w:sz w:val="22"/>
          <w:szCs w:val="22"/>
        </w:rPr>
        <w:t xml:space="preserve"> generally </w:t>
      </w:r>
      <w:r w:rsidR="00C008D7" w:rsidRPr="00EC2FC3">
        <w:rPr>
          <w:sz w:val="22"/>
          <w:szCs w:val="22"/>
        </w:rPr>
        <w:t>speculates that disclosure of the information may result in abuse of the Commission’s procedures</w:t>
      </w:r>
      <w:r w:rsidR="00C008D7" w:rsidRPr="00EC2FC3">
        <w:rPr>
          <w:rStyle w:val="FootnoteReference"/>
          <w:sz w:val="22"/>
          <w:szCs w:val="22"/>
        </w:rPr>
        <w:footnoteReference w:id="42"/>
      </w:r>
      <w:r w:rsidR="00C008D7" w:rsidRPr="00EC2FC3">
        <w:rPr>
          <w:sz w:val="22"/>
          <w:szCs w:val="22"/>
        </w:rPr>
        <w:t xml:space="preserve"> by unnamed third parties.</w:t>
      </w:r>
      <w:r w:rsidR="0035342A">
        <w:rPr>
          <w:sz w:val="22"/>
          <w:szCs w:val="22"/>
        </w:rPr>
        <w:t xml:space="preserve"> </w:t>
      </w:r>
      <w:r>
        <w:rPr>
          <w:sz w:val="22"/>
          <w:szCs w:val="22"/>
        </w:rPr>
        <w:t xml:space="preserve"> </w:t>
      </w:r>
      <w:r w:rsidR="007B0F53">
        <w:rPr>
          <w:sz w:val="22"/>
          <w:szCs w:val="22"/>
        </w:rPr>
        <w:t>Mr. Sofio</w:t>
      </w:r>
      <w:r w:rsidR="008B3FD1">
        <w:rPr>
          <w:sz w:val="22"/>
          <w:szCs w:val="22"/>
        </w:rPr>
        <w:t xml:space="preserve">’s </w:t>
      </w:r>
      <w:r w:rsidR="00012571">
        <w:rPr>
          <w:sz w:val="22"/>
          <w:szCs w:val="22"/>
        </w:rPr>
        <w:t>expressed concern</w:t>
      </w:r>
      <w:r w:rsidR="00956796">
        <w:rPr>
          <w:sz w:val="22"/>
          <w:szCs w:val="22"/>
        </w:rPr>
        <w:t xml:space="preserve"> that </w:t>
      </w:r>
      <w:r w:rsidR="00630115">
        <w:rPr>
          <w:sz w:val="22"/>
          <w:szCs w:val="22"/>
        </w:rPr>
        <w:t>unnamed third parties may attempt to use ce</w:t>
      </w:r>
      <w:r w:rsidR="00012571">
        <w:rPr>
          <w:sz w:val="22"/>
          <w:szCs w:val="22"/>
        </w:rPr>
        <w:t>rtain</w:t>
      </w:r>
      <w:r w:rsidR="00956796">
        <w:rPr>
          <w:sz w:val="22"/>
          <w:szCs w:val="22"/>
        </w:rPr>
        <w:t xml:space="preserve"> information</w:t>
      </w:r>
      <w:r w:rsidR="00C008D7" w:rsidRPr="00EC2FC3">
        <w:rPr>
          <w:sz w:val="22"/>
          <w:szCs w:val="22"/>
        </w:rPr>
        <w:t xml:space="preserve"> </w:t>
      </w:r>
      <w:r w:rsidR="00F25C75">
        <w:rPr>
          <w:sz w:val="22"/>
          <w:szCs w:val="22"/>
        </w:rPr>
        <w:t xml:space="preserve">to </w:t>
      </w:r>
      <w:r w:rsidR="008B3FD1">
        <w:rPr>
          <w:sz w:val="22"/>
          <w:szCs w:val="22"/>
        </w:rPr>
        <w:t xml:space="preserve">the </w:t>
      </w:r>
      <w:r w:rsidR="0035342A">
        <w:rPr>
          <w:sz w:val="22"/>
          <w:szCs w:val="22"/>
        </w:rPr>
        <w:t>disadvantag</w:t>
      </w:r>
      <w:r w:rsidR="00F25C75">
        <w:rPr>
          <w:sz w:val="22"/>
          <w:szCs w:val="22"/>
        </w:rPr>
        <w:t>e</w:t>
      </w:r>
      <w:r w:rsidR="0035342A">
        <w:rPr>
          <w:sz w:val="22"/>
          <w:szCs w:val="22"/>
        </w:rPr>
        <w:t xml:space="preserve"> </w:t>
      </w:r>
      <w:r w:rsidR="008B3FD1">
        <w:rPr>
          <w:sz w:val="22"/>
          <w:szCs w:val="22"/>
        </w:rPr>
        <w:t xml:space="preserve">of </w:t>
      </w:r>
      <w:r w:rsidR="007B0F53">
        <w:rPr>
          <w:sz w:val="22"/>
          <w:szCs w:val="22"/>
        </w:rPr>
        <w:t>Mr. Sofio</w:t>
      </w:r>
      <w:r w:rsidR="008B3FD1">
        <w:rPr>
          <w:sz w:val="22"/>
          <w:szCs w:val="22"/>
        </w:rPr>
        <w:t xml:space="preserve"> or the lenders </w:t>
      </w:r>
      <w:r w:rsidR="00F25C75">
        <w:rPr>
          <w:sz w:val="22"/>
          <w:szCs w:val="22"/>
        </w:rPr>
        <w:t>is not a sufficient reason</w:t>
      </w:r>
      <w:r>
        <w:rPr>
          <w:sz w:val="22"/>
          <w:szCs w:val="22"/>
        </w:rPr>
        <w:t xml:space="preserve"> for </w:t>
      </w:r>
      <w:r w:rsidR="00F25C75">
        <w:rPr>
          <w:sz w:val="22"/>
          <w:szCs w:val="22"/>
        </w:rPr>
        <w:t>granting confidentiality</w:t>
      </w:r>
      <w:r w:rsidR="00C008D7" w:rsidRPr="00EC2FC3">
        <w:rPr>
          <w:sz w:val="22"/>
          <w:szCs w:val="22"/>
        </w:rPr>
        <w:t>.</w:t>
      </w:r>
      <w:r w:rsidR="00635BFA">
        <w:rPr>
          <w:sz w:val="22"/>
          <w:szCs w:val="22"/>
        </w:rPr>
        <w:t xml:space="preserve">  </w:t>
      </w:r>
      <w:r w:rsidR="007B0F53">
        <w:rPr>
          <w:sz w:val="22"/>
          <w:szCs w:val="22"/>
        </w:rPr>
        <w:t>Mr. Sofio</w:t>
      </w:r>
      <w:r w:rsidR="00322A48">
        <w:rPr>
          <w:sz w:val="22"/>
          <w:szCs w:val="22"/>
        </w:rPr>
        <w:t>’s</w:t>
      </w:r>
      <w:r w:rsidR="00C008D7" w:rsidRPr="00EC2FC3">
        <w:rPr>
          <w:sz w:val="22"/>
          <w:szCs w:val="22"/>
        </w:rPr>
        <w:t xml:space="preserve"> req</w:t>
      </w:r>
      <w:r w:rsidR="00956796">
        <w:rPr>
          <w:sz w:val="22"/>
          <w:szCs w:val="22"/>
        </w:rPr>
        <w:t>uest appears to be</w:t>
      </w:r>
      <w:r w:rsidR="008A6D52">
        <w:rPr>
          <w:sz w:val="22"/>
          <w:szCs w:val="22"/>
        </w:rPr>
        <w:t xml:space="preserve"> premised on the assumption that the</w:t>
      </w:r>
      <w:r w:rsidR="00C008D7" w:rsidRPr="00EC2FC3">
        <w:rPr>
          <w:sz w:val="22"/>
          <w:szCs w:val="22"/>
        </w:rPr>
        <w:t xml:space="preserve"> Commission’s procedures are insufficient to deter abuse of</w:t>
      </w:r>
      <w:r w:rsidR="001664FD">
        <w:rPr>
          <w:sz w:val="22"/>
          <w:szCs w:val="22"/>
        </w:rPr>
        <w:t xml:space="preserve"> the Commission’s process and that the Commission may fail to</w:t>
      </w:r>
      <w:r w:rsidR="00C008D7" w:rsidRPr="00EC2FC3">
        <w:rPr>
          <w:sz w:val="22"/>
          <w:szCs w:val="22"/>
        </w:rPr>
        <w:t xml:space="preserve"> impose appropriate sanctions </w:t>
      </w:r>
      <w:r w:rsidR="008F3696">
        <w:rPr>
          <w:sz w:val="22"/>
          <w:szCs w:val="22"/>
        </w:rPr>
        <w:t xml:space="preserve">for such abuse.  We </w:t>
      </w:r>
      <w:r w:rsidR="00C008D7" w:rsidRPr="00EC2FC3">
        <w:rPr>
          <w:sz w:val="22"/>
          <w:szCs w:val="22"/>
        </w:rPr>
        <w:t>disagree.  The Commission has repeatedly indicated that it is prepa</w:t>
      </w:r>
      <w:r w:rsidR="008F3696">
        <w:rPr>
          <w:sz w:val="22"/>
          <w:szCs w:val="22"/>
        </w:rPr>
        <w:t>red to impose sanctions for abuse of administrative process</w:t>
      </w:r>
      <w:r w:rsidR="00C008D7" w:rsidRPr="00EC2FC3">
        <w:rPr>
          <w:sz w:val="22"/>
          <w:szCs w:val="22"/>
        </w:rPr>
        <w:t>.</w:t>
      </w:r>
      <w:r w:rsidR="00C008D7" w:rsidRPr="00EC2FC3">
        <w:rPr>
          <w:rStyle w:val="FootnoteReference"/>
          <w:sz w:val="22"/>
          <w:szCs w:val="22"/>
        </w:rPr>
        <w:footnoteReference w:id="43"/>
      </w:r>
      <w:r w:rsidR="00C008D7" w:rsidRPr="00EC2FC3">
        <w:rPr>
          <w:sz w:val="22"/>
          <w:szCs w:val="22"/>
        </w:rPr>
        <w:t xml:space="preserve">  </w:t>
      </w:r>
      <w:r w:rsidR="008F3696">
        <w:rPr>
          <w:sz w:val="22"/>
          <w:szCs w:val="22"/>
        </w:rPr>
        <w:t>Finally</w:t>
      </w:r>
      <w:r w:rsidR="001664FD">
        <w:rPr>
          <w:sz w:val="22"/>
          <w:szCs w:val="22"/>
        </w:rPr>
        <w:t>, t</w:t>
      </w:r>
      <w:r w:rsidR="00D7399A">
        <w:rPr>
          <w:sz w:val="22"/>
          <w:szCs w:val="22"/>
        </w:rPr>
        <w:t xml:space="preserve">o the extent </w:t>
      </w:r>
      <w:r w:rsidR="007B0F53">
        <w:rPr>
          <w:sz w:val="22"/>
          <w:szCs w:val="22"/>
        </w:rPr>
        <w:t>Mr. Sofio</w:t>
      </w:r>
      <w:r w:rsidR="00D7399A">
        <w:rPr>
          <w:sz w:val="22"/>
          <w:szCs w:val="22"/>
        </w:rPr>
        <w:t xml:space="preserve"> </w:t>
      </w:r>
      <w:r w:rsidR="008A6D52">
        <w:rPr>
          <w:sz w:val="22"/>
          <w:szCs w:val="22"/>
        </w:rPr>
        <w:t xml:space="preserve">is </w:t>
      </w:r>
      <w:r w:rsidR="00643A7B" w:rsidRPr="00956796">
        <w:rPr>
          <w:sz w:val="22"/>
          <w:szCs w:val="22"/>
        </w:rPr>
        <w:t>concern</w:t>
      </w:r>
      <w:r w:rsidR="008A6D52">
        <w:rPr>
          <w:sz w:val="22"/>
          <w:szCs w:val="22"/>
        </w:rPr>
        <w:t>ed</w:t>
      </w:r>
      <w:r w:rsidR="00643A7B" w:rsidRPr="00956796">
        <w:rPr>
          <w:sz w:val="22"/>
          <w:szCs w:val="22"/>
        </w:rPr>
        <w:t xml:space="preserve"> </w:t>
      </w:r>
      <w:r w:rsidR="008A6D52">
        <w:rPr>
          <w:sz w:val="22"/>
          <w:szCs w:val="22"/>
        </w:rPr>
        <w:t xml:space="preserve">that third parties, acting in good faith, may file pleadings </w:t>
      </w:r>
      <w:r w:rsidR="001664FD">
        <w:rPr>
          <w:sz w:val="22"/>
          <w:szCs w:val="22"/>
        </w:rPr>
        <w:t xml:space="preserve">against it based on </w:t>
      </w:r>
      <w:r w:rsidR="008F3696">
        <w:rPr>
          <w:sz w:val="22"/>
          <w:szCs w:val="22"/>
        </w:rPr>
        <w:t xml:space="preserve">the disclosure at issue, </w:t>
      </w:r>
      <w:r w:rsidR="001664FD">
        <w:rPr>
          <w:sz w:val="22"/>
          <w:szCs w:val="22"/>
        </w:rPr>
        <w:t>our confidentiality</w:t>
      </w:r>
      <w:r w:rsidR="006A4DE8">
        <w:rPr>
          <w:sz w:val="22"/>
          <w:szCs w:val="22"/>
        </w:rPr>
        <w:t xml:space="preserve"> rules</w:t>
      </w:r>
      <w:r w:rsidR="001664FD">
        <w:rPr>
          <w:sz w:val="22"/>
          <w:szCs w:val="22"/>
        </w:rPr>
        <w:t xml:space="preserve"> may not</w:t>
      </w:r>
      <w:r w:rsidR="00643A7B" w:rsidRPr="00956796">
        <w:rPr>
          <w:sz w:val="22"/>
          <w:szCs w:val="22"/>
        </w:rPr>
        <w:t xml:space="preserve"> be used as a shield against </w:t>
      </w:r>
      <w:r w:rsidR="006A4DE8">
        <w:rPr>
          <w:sz w:val="22"/>
          <w:szCs w:val="22"/>
        </w:rPr>
        <w:t>claims that may arise through the discovery of non-confidential information.</w:t>
      </w:r>
    </w:p>
    <w:p w14:paraId="1DEE9040" w14:textId="77777777" w:rsidR="00EA4320" w:rsidRDefault="00EA4320" w:rsidP="00E12B1F">
      <w:pPr>
        <w:ind w:firstLine="720"/>
        <w:rPr>
          <w:sz w:val="22"/>
          <w:szCs w:val="22"/>
        </w:rPr>
      </w:pPr>
    </w:p>
    <w:p w14:paraId="6420B3AD" w14:textId="77777777" w:rsidR="009B7A74" w:rsidRDefault="00EA4320" w:rsidP="00E12B1F">
      <w:pPr>
        <w:ind w:firstLine="720"/>
        <w:rPr>
          <w:sz w:val="22"/>
          <w:szCs w:val="22"/>
        </w:rPr>
      </w:pPr>
      <w:r>
        <w:rPr>
          <w:sz w:val="22"/>
          <w:szCs w:val="22"/>
        </w:rPr>
        <w:t xml:space="preserve">Accordingly, </w:t>
      </w:r>
      <w:r w:rsidR="0018613C">
        <w:rPr>
          <w:sz w:val="22"/>
          <w:szCs w:val="22"/>
        </w:rPr>
        <w:t>Joseph A. Sofio’s</w:t>
      </w:r>
      <w:r w:rsidR="0018613C" w:rsidRPr="00C73002">
        <w:rPr>
          <w:sz w:val="22"/>
          <w:szCs w:val="22"/>
        </w:rPr>
        <w:t xml:space="preserve"> request</w:t>
      </w:r>
      <w:r w:rsidR="001D3CD9">
        <w:rPr>
          <w:sz w:val="22"/>
          <w:szCs w:val="22"/>
        </w:rPr>
        <w:t>s</w:t>
      </w:r>
      <w:r w:rsidR="0018613C" w:rsidRPr="00C73002">
        <w:rPr>
          <w:sz w:val="22"/>
          <w:szCs w:val="22"/>
        </w:rPr>
        <w:t xml:space="preserve"> for </w:t>
      </w:r>
      <w:r w:rsidR="001D3CD9">
        <w:rPr>
          <w:sz w:val="22"/>
          <w:szCs w:val="22"/>
        </w:rPr>
        <w:t xml:space="preserve">the </w:t>
      </w:r>
      <w:r w:rsidR="0018613C" w:rsidRPr="00C73002">
        <w:rPr>
          <w:sz w:val="22"/>
          <w:szCs w:val="22"/>
        </w:rPr>
        <w:t xml:space="preserve">confidential </w:t>
      </w:r>
      <w:r w:rsidR="0018613C">
        <w:rPr>
          <w:sz w:val="22"/>
          <w:szCs w:val="22"/>
        </w:rPr>
        <w:t>t</w:t>
      </w:r>
      <w:r w:rsidR="0018613C" w:rsidRPr="00C73002">
        <w:rPr>
          <w:sz w:val="22"/>
          <w:szCs w:val="22"/>
        </w:rPr>
        <w:t>reatment</w:t>
      </w:r>
      <w:r w:rsidR="0018613C">
        <w:rPr>
          <w:sz w:val="22"/>
          <w:szCs w:val="22"/>
        </w:rPr>
        <w:t xml:space="preserve"> of the names of the parties to agreements with the </w:t>
      </w:r>
      <w:r w:rsidR="001D3CD9">
        <w:rPr>
          <w:sz w:val="22"/>
          <w:szCs w:val="22"/>
        </w:rPr>
        <w:t>A</w:t>
      </w:r>
      <w:r w:rsidR="0018613C">
        <w:rPr>
          <w:sz w:val="22"/>
          <w:szCs w:val="22"/>
        </w:rPr>
        <w:t xml:space="preserve">pplicant </w:t>
      </w:r>
      <w:r w:rsidR="001D3CD9">
        <w:rPr>
          <w:sz w:val="22"/>
          <w:szCs w:val="22"/>
        </w:rPr>
        <w:t xml:space="preserve">and of the names of parties that the Applicant had </w:t>
      </w:r>
      <w:r w:rsidR="001D3CD9" w:rsidRPr="00B30D82">
        <w:rPr>
          <w:sz w:val="22"/>
          <w:szCs w:val="22"/>
        </w:rPr>
        <w:t xml:space="preserve">conversations </w:t>
      </w:r>
      <w:r w:rsidR="001D3CD9">
        <w:rPr>
          <w:sz w:val="22"/>
          <w:szCs w:val="22"/>
        </w:rPr>
        <w:t xml:space="preserve">with or reached oral </w:t>
      </w:r>
      <w:r w:rsidR="001D3CD9" w:rsidRPr="00B30D82">
        <w:rPr>
          <w:sz w:val="22"/>
          <w:szCs w:val="22"/>
        </w:rPr>
        <w:t xml:space="preserve">understandings </w:t>
      </w:r>
      <w:r w:rsidR="001D3CD9">
        <w:rPr>
          <w:sz w:val="22"/>
          <w:szCs w:val="22"/>
        </w:rPr>
        <w:t xml:space="preserve">with prior to and during Auction 97 </w:t>
      </w:r>
      <w:r w:rsidR="00371BB1">
        <w:rPr>
          <w:sz w:val="22"/>
          <w:szCs w:val="22"/>
        </w:rPr>
        <w:t>ARE DENIED</w:t>
      </w:r>
      <w:r w:rsidR="0018613C" w:rsidRPr="00C73002">
        <w:rPr>
          <w:sz w:val="22"/>
          <w:szCs w:val="22"/>
        </w:rPr>
        <w:t xml:space="preserve">.  </w:t>
      </w:r>
      <w:r w:rsidR="009B7A74">
        <w:rPr>
          <w:sz w:val="22"/>
          <w:szCs w:val="22"/>
        </w:rPr>
        <w:t xml:space="preserve">We </w:t>
      </w:r>
      <w:r w:rsidR="005F4FD8">
        <w:rPr>
          <w:sz w:val="22"/>
          <w:szCs w:val="22"/>
        </w:rPr>
        <w:t>defer action</w:t>
      </w:r>
      <w:r w:rsidR="009B7A74">
        <w:rPr>
          <w:sz w:val="22"/>
          <w:szCs w:val="22"/>
        </w:rPr>
        <w:t xml:space="preserve"> on any other information covered by the Request and will continue to keep that information non-public </w:t>
      </w:r>
      <w:r w:rsidR="005F4FD8">
        <w:rPr>
          <w:sz w:val="22"/>
          <w:szCs w:val="22"/>
        </w:rPr>
        <w:t>in accordance with</w:t>
      </w:r>
      <w:r w:rsidR="009B7A74">
        <w:rPr>
          <w:sz w:val="22"/>
          <w:szCs w:val="22"/>
        </w:rPr>
        <w:t xml:space="preserve"> Section 0.459(d</w:t>
      </w:r>
      <w:r w:rsidR="00D24CB8">
        <w:rPr>
          <w:sz w:val="22"/>
          <w:szCs w:val="22"/>
        </w:rPr>
        <w:t>)</w:t>
      </w:r>
      <w:r w:rsidR="009B7A74">
        <w:rPr>
          <w:sz w:val="22"/>
          <w:szCs w:val="22"/>
        </w:rPr>
        <w:t>(3</w:t>
      </w:r>
      <w:r w:rsidR="00D24CB8">
        <w:rPr>
          <w:sz w:val="22"/>
          <w:szCs w:val="22"/>
        </w:rPr>
        <w:t>)</w:t>
      </w:r>
      <w:r w:rsidR="009B7A74">
        <w:rPr>
          <w:sz w:val="22"/>
          <w:szCs w:val="22"/>
        </w:rPr>
        <w:t>.</w:t>
      </w:r>
      <w:r w:rsidR="009B7A74">
        <w:rPr>
          <w:rStyle w:val="FootnoteReference"/>
          <w:sz w:val="22"/>
          <w:szCs w:val="22"/>
        </w:rPr>
        <w:footnoteReference w:id="44"/>
      </w:r>
      <w:r w:rsidR="009B7A74">
        <w:rPr>
          <w:sz w:val="22"/>
          <w:szCs w:val="22"/>
        </w:rPr>
        <w:t xml:space="preserve">  </w:t>
      </w:r>
    </w:p>
    <w:p w14:paraId="5599D82D" w14:textId="77777777" w:rsidR="001C024F" w:rsidRDefault="001C024F" w:rsidP="00E12B1F">
      <w:pPr>
        <w:ind w:firstLine="720"/>
        <w:rPr>
          <w:sz w:val="22"/>
          <w:szCs w:val="22"/>
        </w:rPr>
      </w:pPr>
    </w:p>
    <w:p w14:paraId="0A071882" w14:textId="77777777" w:rsidR="004B3D61" w:rsidRDefault="009B7A74" w:rsidP="00E12B1F">
      <w:pPr>
        <w:ind w:firstLine="720"/>
        <w:rPr>
          <w:sz w:val="22"/>
          <w:szCs w:val="22"/>
        </w:rPr>
      </w:pPr>
      <w:r>
        <w:rPr>
          <w:sz w:val="22"/>
          <w:szCs w:val="22"/>
        </w:rPr>
        <w:t>Mr. Sofio must amend t</w:t>
      </w:r>
      <w:r w:rsidR="00B30D82">
        <w:rPr>
          <w:sz w:val="22"/>
          <w:szCs w:val="22"/>
        </w:rPr>
        <w:t xml:space="preserve">he </w:t>
      </w:r>
      <w:r w:rsidR="00B55F67">
        <w:rPr>
          <w:sz w:val="22"/>
          <w:szCs w:val="22"/>
        </w:rPr>
        <w:t>above-referenced a</w:t>
      </w:r>
      <w:r w:rsidR="00B30D82">
        <w:rPr>
          <w:sz w:val="22"/>
          <w:szCs w:val="22"/>
        </w:rPr>
        <w:t xml:space="preserve">pplication </w:t>
      </w:r>
      <w:r>
        <w:rPr>
          <w:sz w:val="22"/>
          <w:szCs w:val="22"/>
        </w:rPr>
        <w:t xml:space="preserve">to make it acceptable for filing by </w:t>
      </w:r>
      <w:r w:rsidR="00B30D82">
        <w:rPr>
          <w:sz w:val="22"/>
          <w:szCs w:val="22"/>
        </w:rPr>
        <w:t xml:space="preserve">(1) </w:t>
      </w:r>
      <w:r w:rsidR="001C024F">
        <w:rPr>
          <w:sz w:val="22"/>
          <w:szCs w:val="22"/>
        </w:rPr>
        <w:t xml:space="preserve">adding </w:t>
      </w:r>
      <w:r w:rsidR="00B30D82">
        <w:rPr>
          <w:sz w:val="22"/>
          <w:szCs w:val="22"/>
        </w:rPr>
        <w:t xml:space="preserve">the names of parties that have entered into agreements with the Applicant </w:t>
      </w:r>
      <w:r w:rsidR="001C024F">
        <w:rPr>
          <w:sz w:val="22"/>
          <w:szCs w:val="22"/>
        </w:rPr>
        <w:t xml:space="preserve">on </w:t>
      </w:r>
      <w:r w:rsidR="00B30D82">
        <w:rPr>
          <w:sz w:val="22"/>
          <w:szCs w:val="22"/>
        </w:rPr>
        <w:t>Form 601, Schedule B, Question 15 (and complet</w:t>
      </w:r>
      <w:r w:rsidR="001C024F">
        <w:rPr>
          <w:sz w:val="22"/>
          <w:szCs w:val="22"/>
        </w:rPr>
        <w:t>ing</w:t>
      </w:r>
      <w:r w:rsidR="00B30D82">
        <w:rPr>
          <w:sz w:val="22"/>
          <w:szCs w:val="22"/>
        </w:rPr>
        <w:t xml:space="preserve"> any other information required in FCC 601, Schedule B, Question 15); (2) </w:t>
      </w:r>
      <w:r w:rsidR="001D3CD9">
        <w:rPr>
          <w:sz w:val="22"/>
          <w:szCs w:val="22"/>
        </w:rPr>
        <w:t>summariz</w:t>
      </w:r>
      <w:r w:rsidR="001C024F">
        <w:rPr>
          <w:sz w:val="22"/>
          <w:szCs w:val="22"/>
        </w:rPr>
        <w:t>ing</w:t>
      </w:r>
      <w:r w:rsidR="001D3CD9">
        <w:rPr>
          <w:sz w:val="22"/>
          <w:szCs w:val="22"/>
        </w:rPr>
        <w:t xml:space="preserve"> those agreements, including providing the names of the parties thereto, in FCC Form 601, Exhibit D; (3) provid</w:t>
      </w:r>
      <w:r w:rsidR="001C024F">
        <w:rPr>
          <w:sz w:val="22"/>
          <w:szCs w:val="22"/>
        </w:rPr>
        <w:t>ing</w:t>
      </w:r>
      <w:r w:rsidR="001D3CD9">
        <w:rPr>
          <w:sz w:val="22"/>
          <w:szCs w:val="22"/>
        </w:rPr>
        <w:t xml:space="preserve">, as </w:t>
      </w:r>
      <w:r w:rsidR="001C024F">
        <w:rPr>
          <w:sz w:val="22"/>
          <w:szCs w:val="22"/>
        </w:rPr>
        <w:t xml:space="preserve">public </w:t>
      </w:r>
      <w:r w:rsidR="001D3CD9">
        <w:rPr>
          <w:sz w:val="22"/>
          <w:szCs w:val="22"/>
        </w:rPr>
        <w:t>attachments to FCC Form 601, Exhibit D, copies of those agreements without the names of the parties thereto redacted; and (4) provid</w:t>
      </w:r>
      <w:r w:rsidR="001C024F">
        <w:rPr>
          <w:sz w:val="22"/>
          <w:szCs w:val="22"/>
        </w:rPr>
        <w:t>ing</w:t>
      </w:r>
      <w:r w:rsidR="001D3CD9">
        <w:rPr>
          <w:sz w:val="22"/>
          <w:szCs w:val="22"/>
        </w:rPr>
        <w:t xml:space="preserve">, in FCC Form 601, Exhibit D, the names of parties </w:t>
      </w:r>
      <w:r w:rsidR="00B30D82">
        <w:rPr>
          <w:sz w:val="22"/>
          <w:szCs w:val="22"/>
        </w:rPr>
        <w:t>that the Applicant</w:t>
      </w:r>
      <w:r w:rsidR="00B6060F">
        <w:rPr>
          <w:sz w:val="22"/>
          <w:szCs w:val="22"/>
        </w:rPr>
        <w:t>, and any representatives of the Applicant,</w:t>
      </w:r>
      <w:r w:rsidR="00B30D82">
        <w:rPr>
          <w:sz w:val="22"/>
          <w:szCs w:val="22"/>
        </w:rPr>
        <w:t xml:space="preserve"> had </w:t>
      </w:r>
      <w:r w:rsidR="00B30D82" w:rsidRPr="00B30D82">
        <w:rPr>
          <w:sz w:val="22"/>
          <w:szCs w:val="22"/>
        </w:rPr>
        <w:t xml:space="preserve">conversations </w:t>
      </w:r>
      <w:r w:rsidR="00B30D82">
        <w:rPr>
          <w:sz w:val="22"/>
          <w:szCs w:val="22"/>
        </w:rPr>
        <w:t xml:space="preserve">with or reached oral </w:t>
      </w:r>
      <w:r w:rsidR="00B30D82" w:rsidRPr="00B30D82">
        <w:rPr>
          <w:sz w:val="22"/>
          <w:szCs w:val="22"/>
        </w:rPr>
        <w:t xml:space="preserve">understandings </w:t>
      </w:r>
      <w:r w:rsidR="00B30D82">
        <w:rPr>
          <w:sz w:val="22"/>
          <w:szCs w:val="22"/>
        </w:rPr>
        <w:t>with prior to</w:t>
      </w:r>
      <w:r w:rsidR="00EC1A36">
        <w:rPr>
          <w:sz w:val="22"/>
          <w:szCs w:val="22"/>
        </w:rPr>
        <w:t>,</w:t>
      </w:r>
      <w:r w:rsidR="00B30D82">
        <w:rPr>
          <w:sz w:val="22"/>
          <w:szCs w:val="22"/>
        </w:rPr>
        <w:t xml:space="preserve"> during</w:t>
      </w:r>
      <w:r w:rsidR="00EC1A36">
        <w:rPr>
          <w:sz w:val="22"/>
          <w:szCs w:val="22"/>
        </w:rPr>
        <w:t xml:space="preserve">, or after </w:t>
      </w:r>
      <w:r w:rsidR="00B30D82">
        <w:rPr>
          <w:sz w:val="22"/>
          <w:szCs w:val="22"/>
        </w:rPr>
        <w:t>Auction 97</w:t>
      </w:r>
      <w:r w:rsidR="00EC1A36">
        <w:rPr>
          <w:sz w:val="22"/>
          <w:szCs w:val="22"/>
        </w:rPr>
        <w:t>,</w:t>
      </w:r>
      <w:r w:rsidR="00B6060F">
        <w:rPr>
          <w:sz w:val="22"/>
          <w:szCs w:val="22"/>
        </w:rPr>
        <w:t xml:space="preserve"> or during the pendency of </w:t>
      </w:r>
      <w:r w:rsidR="00EC1A36">
        <w:rPr>
          <w:sz w:val="22"/>
          <w:szCs w:val="22"/>
        </w:rPr>
        <w:t xml:space="preserve">his </w:t>
      </w:r>
      <w:r w:rsidR="00B6060F">
        <w:rPr>
          <w:sz w:val="22"/>
          <w:szCs w:val="22"/>
        </w:rPr>
        <w:t>long-form application</w:t>
      </w:r>
      <w:r w:rsidR="000E4269">
        <w:rPr>
          <w:sz w:val="22"/>
          <w:szCs w:val="22"/>
        </w:rPr>
        <w:t xml:space="preserve"> (FCC Form 601)</w:t>
      </w:r>
      <w:r w:rsidR="00B30D82">
        <w:rPr>
          <w:sz w:val="22"/>
          <w:szCs w:val="22"/>
        </w:rPr>
        <w:t xml:space="preserve">. </w:t>
      </w:r>
      <w:r w:rsidR="001D3CD9">
        <w:rPr>
          <w:sz w:val="22"/>
          <w:szCs w:val="22"/>
        </w:rPr>
        <w:t xml:space="preserve"> </w:t>
      </w:r>
    </w:p>
    <w:p w14:paraId="4D43E4C1" w14:textId="77777777" w:rsidR="004B3D61" w:rsidRDefault="004B3D61" w:rsidP="00E12B1F">
      <w:pPr>
        <w:ind w:firstLine="720"/>
        <w:rPr>
          <w:sz w:val="22"/>
          <w:szCs w:val="22"/>
        </w:rPr>
      </w:pPr>
    </w:p>
    <w:p w14:paraId="40AB9C6D" w14:textId="77777777" w:rsidR="004B3D61" w:rsidRDefault="004B3D61" w:rsidP="00E12B1F">
      <w:pPr>
        <w:ind w:firstLine="720"/>
        <w:rPr>
          <w:sz w:val="22"/>
          <w:szCs w:val="22"/>
        </w:rPr>
      </w:pPr>
      <w:r>
        <w:rPr>
          <w:sz w:val="22"/>
          <w:szCs w:val="22"/>
        </w:rPr>
        <w:t>P</w:t>
      </w:r>
      <w:r w:rsidRPr="00C73002">
        <w:rPr>
          <w:sz w:val="22"/>
          <w:szCs w:val="22"/>
        </w:rPr>
        <w:t>ursuant to Section 0.459(g) of the Commission’s rules,</w:t>
      </w:r>
      <w:r>
        <w:rPr>
          <w:rStyle w:val="FootnoteReference"/>
          <w:sz w:val="22"/>
          <w:szCs w:val="22"/>
        </w:rPr>
        <w:footnoteReference w:id="45"/>
      </w:r>
      <w:r w:rsidRPr="00C73002">
        <w:rPr>
          <w:sz w:val="22"/>
          <w:szCs w:val="22"/>
        </w:rPr>
        <w:t xml:space="preserve"> </w:t>
      </w:r>
      <w:r w:rsidR="00371BB1">
        <w:rPr>
          <w:sz w:val="22"/>
          <w:szCs w:val="22"/>
        </w:rPr>
        <w:t xml:space="preserve">Mr. Sofio </w:t>
      </w:r>
      <w:r w:rsidRPr="00C73002">
        <w:rPr>
          <w:sz w:val="22"/>
          <w:szCs w:val="22"/>
        </w:rPr>
        <w:t>may</w:t>
      </w:r>
      <w:r>
        <w:rPr>
          <w:sz w:val="22"/>
          <w:szCs w:val="22"/>
        </w:rPr>
        <w:t xml:space="preserve"> file </w:t>
      </w:r>
      <w:r w:rsidRPr="00C73002">
        <w:rPr>
          <w:sz w:val="22"/>
          <w:szCs w:val="22"/>
        </w:rPr>
        <w:t>an application for review by the Commission</w:t>
      </w:r>
      <w:r>
        <w:rPr>
          <w:sz w:val="22"/>
          <w:szCs w:val="22"/>
        </w:rPr>
        <w:t xml:space="preserve"> </w:t>
      </w:r>
      <w:r w:rsidR="00626D6B">
        <w:rPr>
          <w:sz w:val="22"/>
          <w:szCs w:val="22"/>
        </w:rPr>
        <w:t>no later than December 16, 2015—ten business days from the date of this letter</w:t>
      </w:r>
      <w:r>
        <w:rPr>
          <w:sz w:val="22"/>
          <w:szCs w:val="22"/>
        </w:rPr>
        <w:t>.</w:t>
      </w:r>
      <w:r>
        <w:rPr>
          <w:rStyle w:val="FootnoteReference"/>
          <w:sz w:val="22"/>
          <w:szCs w:val="22"/>
        </w:rPr>
        <w:footnoteReference w:id="46"/>
      </w:r>
      <w:r>
        <w:rPr>
          <w:sz w:val="22"/>
          <w:szCs w:val="22"/>
        </w:rPr>
        <w:t xml:space="preserve">  </w:t>
      </w:r>
      <w:r w:rsidRPr="00C73002">
        <w:rPr>
          <w:sz w:val="22"/>
          <w:szCs w:val="22"/>
        </w:rPr>
        <w:t>If the appli</w:t>
      </w:r>
      <w:r>
        <w:rPr>
          <w:sz w:val="22"/>
          <w:szCs w:val="22"/>
        </w:rPr>
        <w:t xml:space="preserve">cation for review is denied, Mr. Sofio </w:t>
      </w:r>
      <w:r w:rsidRPr="00C73002">
        <w:rPr>
          <w:sz w:val="22"/>
          <w:szCs w:val="22"/>
        </w:rPr>
        <w:t xml:space="preserve">will be afforded </w:t>
      </w:r>
      <w:r>
        <w:rPr>
          <w:sz w:val="22"/>
          <w:szCs w:val="22"/>
        </w:rPr>
        <w:t xml:space="preserve">10 business </w:t>
      </w:r>
      <w:r w:rsidRPr="00C73002">
        <w:rPr>
          <w:sz w:val="22"/>
          <w:szCs w:val="22"/>
        </w:rPr>
        <w:t>days in which to seek a judicial stay of the ruling.</w:t>
      </w:r>
      <w:r>
        <w:rPr>
          <w:rStyle w:val="FootnoteReference"/>
          <w:sz w:val="22"/>
          <w:szCs w:val="22"/>
        </w:rPr>
        <w:footnoteReference w:id="47"/>
      </w:r>
      <w:r w:rsidRPr="00C73002">
        <w:rPr>
          <w:sz w:val="22"/>
          <w:szCs w:val="22"/>
        </w:rPr>
        <w:t xml:space="preserve">  If these periods ex</w:t>
      </w:r>
      <w:r>
        <w:rPr>
          <w:sz w:val="22"/>
          <w:szCs w:val="22"/>
        </w:rPr>
        <w:t>pire without action by Mr. Sofio</w:t>
      </w:r>
      <w:r w:rsidRPr="00C73002">
        <w:rPr>
          <w:sz w:val="22"/>
          <w:szCs w:val="22"/>
        </w:rPr>
        <w:t xml:space="preserve">, </w:t>
      </w:r>
      <w:r w:rsidRPr="00322A48">
        <w:rPr>
          <w:sz w:val="22"/>
          <w:szCs w:val="22"/>
        </w:rPr>
        <w:t xml:space="preserve">the materials will be </w:t>
      </w:r>
      <w:r>
        <w:rPr>
          <w:sz w:val="22"/>
          <w:szCs w:val="22"/>
        </w:rPr>
        <w:t xml:space="preserve">placed in a public file with the names of the parties to agreements with the Applicant and the names of parties that the Applicant had </w:t>
      </w:r>
      <w:r w:rsidRPr="00B30D82">
        <w:rPr>
          <w:sz w:val="22"/>
          <w:szCs w:val="22"/>
        </w:rPr>
        <w:t xml:space="preserve">conversations </w:t>
      </w:r>
      <w:r>
        <w:rPr>
          <w:sz w:val="22"/>
          <w:szCs w:val="22"/>
        </w:rPr>
        <w:t xml:space="preserve">with or reached oral </w:t>
      </w:r>
      <w:r w:rsidRPr="00B30D82">
        <w:rPr>
          <w:sz w:val="22"/>
          <w:szCs w:val="22"/>
        </w:rPr>
        <w:t xml:space="preserve">understandings </w:t>
      </w:r>
      <w:r>
        <w:rPr>
          <w:sz w:val="22"/>
          <w:szCs w:val="22"/>
        </w:rPr>
        <w:t>with prior to and during Auction 97 no longer redacted</w:t>
      </w:r>
      <w:r w:rsidRPr="00322A48">
        <w:rPr>
          <w:sz w:val="22"/>
          <w:szCs w:val="22"/>
        </w:rPr>
        <w:t>.</w:t>
      </w:r>
      <w:r>
        <w:rPr>
          <w:rStyle w:val="FootnoteReference"/>
          <w:sz w:val="22"/>
          <w:szCs w:val="22"/>
        </w:rPr>
        <w:footnoteReference w:id="48"/>
      </w:r>
      <w:r>
        <w:rPr>
          <w:sz w:val="22"/>
          <w:szCs w:val="22"/>
        </w:rPr>
        <w:t xml:space="preserve">  The materials </w:t>
      </w:r>
      <w:r w:rsidRPr="00C73002">
        <w:rPr>
          <w:sz w:val="22"/>
          <w:szCs w:val="22"/>
        </w:rPr>
        <w:t xml:space="preserve">will be accorded confidential </w:t>
      </w:r>
      <w:r>
        <w:rPr>
          <w:sz w:val="22"/>
          <w:szCs w:val="22"/>
        </w:rPr>
        <w:t>treatment, as provided in S</w:t>
      </w:r>
      <w:r w:rsidRPr="00C73002">
        <w:rPr>
          <w:sz w:val="22"/>
          <w:szCs w:val="22"/>
        </w:rPr>
        <w:t>ection</w:t>
      </w:r>
      <w:r>
        <w:rPr>
          <w:sz w:val="22"/>
          <w:szCs w:val="22"/>
        </w:rPr>
        <w:t>s</w:t>
      </w:r>
      <w:r w:rsidRPr="00C73002">
        <w:rPr>
          <w:sz w:val="22"/>
          <w:szCs w:val="22"/>
        </w:rPr>
        <w:t xml:space="preserve"> 0.459(g) and 0.461,</w:t>
      </w:r>
      <w:r>
        <w:rPr>
          <w:rStyle w:val="FootnoteReference"/>
          <w:sz w:val="22"/>
          <w:szCs w:val="22"/>
        </w:rPr>
        <w:footnoteReference w:id="49"/>
      </w:r>
      <w:r w:rsidRPr="00C73002">
        <w:rPr>
          <w:sz w:val="22"/>
          <w:szCs w:val="22"/>
        </w:rPr>
        <w:t xml:space="preserve"> until the Commission acts on any timely applications for review of </w:t>
      </w:r>
      <w:r>
        <w:rPr>
          <w:sz w:val="22"/>
          <w:szCs w:val="22"/>
        </w:rPr>
        <w:t xml:space="preserve">our denial </w:t>
      </w:r>
      <w:r w:rsidR="002E7BCB">
        <w:rPr>
          <w:sz w:val="22"/>
          <w:szCs w:val="22"/>
        </w:rPr>
        <w:t xml:space="preserve">in part </w:t>
      </w:r>
      <w:r>
        <w:rPr>
          <w:sz w:val="22"/>
          <w:szCs w:val="22"/>
        </w:rPr>
        <w:t xml:space="preserve">of Mr. Sofio’s </w:t>
      </w:r>
      <w:r w:rsidRPr="00C73002">
        <w:rPr>
          <w:sz w:val="22"/>
          <w:szCs w:val="22"/>
        </w:rPr>
        <w:t xml:space="preserve">request for confidentiality, and until a court acts on any timely motion for stay of </w:t>
      </w:r>
      <w:r>
        <w:rPr>
          <w:sz w:val="22"/>
          <w:szCs w:val="22"/>
        </w:rPr>
        <w:t xml:space="preserve">the Commission’s denial of </w:t>
      </w:r>
      <w:r w:rsidRPr="00C73002">
        <w:rPr>
          <w:sz w:val="22"/>
          <w:szCs w:val="22"/>
        </w:rPr>
        <w:t xml:space="preserve">confidential treatment.  </w:t>
      </w:r>
    </w:p>
    <w:p w14:paraId="129CD30C" w14:textId="77777777" w:rsidR="004B3D61" w:rsidRDefault="004B3D61" w:rsidP="00E12B1F">
      <w:pPr>
        <w:ind w:firstLine="720"/>
        <w:rPr>
          <w:sz w:val="22"/>
          <w:szCs w:val="22"/>
        </w:rPr>
      </w:pPr>
    </w:p>
    <w:p w14:paraId="255937D9" w14:textId="77777777" w:rsidR="004B3D61" w:rsidRDefault="004B3D61" w:rsidP="00E12B1F">
      <w:pPr>
        <w:ind w:firstLine="720"/>
        <w:rPr>
          <w:sz w:val="22"/>
          <w:szCs w:val="22"/>
        </w:rPr>
      </w:pPr>
      <w:r w:rsidRPr="00C73002">
        <w:rPr>
          <w:sz w:val="22"/>
          <w:szCs w:val="22"/>
        </w:rPr>
        <w:t xml:space="preserve">This action is taken under </w:t>
      </w:r>
      <w:r>
        <w:rPr>
          <w:sz w:val="22"/>
          <w:szCs w:val="22"/>
        </w:rPr>
        <w:t>d</w:t>
      </w:r>
      <w:r w:rsidRPr="00C73002">
        <w:rPr>
          <w:sz w:val="22"/>
          <w:szCs w:val="22"/>
        </w:rPr>
        <w:t>elegated authority pursuant to Section 0.331 of the Commission’s rules.</w:t>
      </w:r>
      <w:r w:rsidRPr="00C73002">
        <w:rPr>
          <w:rStyle w:val="FootnoteReference"/>
          <w:sz w:val="22"/>
          <w:szCs w:val="22"/>
        </w:rPr>
        <w:footnoteReference w:id="50"/>
      </w:r>
    </w:p>
    <w:p w14:paraId="6AC0340E" w14:textId="77777777" w:rsidR="00F34B1D" w:rsidRDefault="00F34B1D" w:rsidP="00E12B1F">
      <w:pPr>
        <w:rPr>
          <w:sz w:val="22"/>
          <w:szCs w:val="22"/>
        </w:rPr>
      </w:pPr>
    </w:p>
    <w:p w14:paraId="6A99EE13" w14:textId="77777777" w:rsidR="00585186" w:rsidRDefault="00585186" w:rsidP="00E12B1F">
      <w:pPr>
        <w:rPr>
          <w:sz w:val="22"/>
          <w:szCs w:val="22"/>
        </w:rPr>
      </w:pPr>
      <w:r>
        <w:rPr>
          <w:sz w:val="22"/>
          <w:szCs w:val="22"/>
        </w:rPr>
        <w:tab/>
      </w:r>
      <w:r>
        <w:rPr>
          <w:sz w:val="22"/>
          <w:szCs w:val="22"/>
        </w:rPr>
        <w:tab/>
      </w:r>
      <w:r w:rsidR="00D36A13">
        <w:rPr>
          <w:sz w:val="22"/>
          <w:szCs w:val="22"/>
        </w:rPr>
        <w:tab/>
      </w:r>
      <w:r w:rsidR="00D36A13">
        <w:rPr>
          <w:sz w:val="22"/>
          <w:szCs w:val="22"/>
        </w:rPr>
        <w:tab/>
      </w:r>
      <w:r w:rsidR="00D36A13">
        <w:rPr>
          <w:sz w:val="22"/>
          <w:szCs w:val="22"/>
        </w:rPr>
        <w:tab/>
      </w:r>
      <w:r w:rsidR="00D36A13">
        <w:rPr>
          <w:sz w:val="22"/>
          <w:szCs w:val="22"/>
        </w:rPr>
        <w:tab/>
      </w:r>
      <w:r w:rsidR="00D36A13">
        <w:rPr>
          <w:sz w:val="22"/>
          <w:szCs w:val="22"/>
        </w:rPr>
        <w:tab/>
      </w:r>
      <w:r>
        <w:rPr>
          <w:sz w:val="22"/>
          <w:szCs w:val="22"/>
        </w:rPr>
        <w:t>Sincerely,</w:t>
      </w:r>
    </w:p>
    <w:p w14:paraId="2E4F4BCF" w14:textId="77777777" w:rsidR="00585186" w:rsidRDefault="00585186" w:rsidP="00E12B1F">
      <w:pPr>
        <w:rPr>
          <w:sz w:val="22"/>
          <w:szCs w:val="22"/>
        </w:rPr>
      </w:pPr>
    </w:p>
    <w:p w14:paraId="331C162C" w14:textId="77777777" w:rsidR="00D74A86" w:rsidRDefault="00D74A86" w:rsidP="00E12B1F">
      <w:pPr>
        <w:rPr>
          <w:sz w:val="22"/>
          <w:szCs w:val="22"/>
        </w:rPr>
      </w:pPr>
    </w:p>
    <w:p w14:paraId="578B64E2" w14:textId="77777777" w:rsidR="00585186" w:rsidRDefault="00585186" w:rsidP="00E12B1F">
      <w:pPr>
        <w:rPr>
          <w:sz w:val="22"/>
          <w:szCs w:val="22"/>
        </w:rPr>
      </w:pPr>
    </w:p>
    <w:p w14:paraId="19AA1635" w14:textId="77777777" w:rsidR="00585186" w:rsidRDefault="00585186" w:rsidP="00E12B1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A35A7">
        <w:rPr>
          <w:sz w:val="22"/>
          <w:szCs w:val="22"/>
        </w:rPr>
        <w:t>Blaise A. Scinto</w:t>
      </w:r>
    </w:p>
    <w:p w14:paraId="2D22BC82" w14:textId="77777777" w:rsidR="00585186" w:rsidRDefault="00585186" w:rsidP="00E12B1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Chief, </w:t>
      </w:r>
      <w:r w:rsidR="006A35A7">
        <w:rPr>
          <w:sz w:val="22"/>
          <w:szCs w:val="22"/>
        </w:rPr>
        <w:t xml:space="preserve">Broadband </w:t>
      </w:r>
      <w:r>
        <w:rPr>
          <w:sz w:val="22"/>
          <w:szCs w:val="22"/>
        </w:rPr>
        <w:t>Division</w:t>
      </w:r>
    </w:p>
    <w:p w14:paraId="28A6851E" w14:textId="77777777" w:rsidR="00585186" w:rsidRPr="00691AF9" w:rsidRDefault="00585186" w:rsidP="00E12B1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Telecommunications Bureau</w:t>
      </w:r>
    </w:p>
    <w:sectPr w:rsidR="00585186" w:rsidRPr="00691AF9">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ADDD" w14:textId="77777777" w:rsidR="00FA54EE" w:rsidRDefault="00FA54EE">
      <w:r>
        <w:separator/>
      </w:r>
    </w:p>
  </w:endnote>
  <w:endnote w:type="continuationSeparator" w:id="0">
    <w:p w14:paraId="669B3355" w14:textId="77777777" w:rsidR="00FA54EE" w:rsidRDefault="00FA54EE">
      <w:r>
        <w:continuationSeparator/>
      </w:r>
    </w:p>
  </w:endnote>
  <w:endnote w:type="continuationNotice" w:id="1">
    <w:p w14:paraId="73257766" w14:textId="77777777" w:rsidR="00FA54EE" w:rsidRDefault="00FA5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9B90" w14:textId="77777777" w:rsidR="007B4830" w:rsidRDefault="007B4830" w:rsidP="007B4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07A">
      <w:rPr>
        <w:rStyle w:val="PageNumber"/>
        <w:noProof/>
      </w:rPr>
      <w:t>1</w:t>
    </w:r>
    <w:r>
      <w:rPr>
        <w:rStyle w:val="PageNumber"/>
      </w:rPr>
      <w:fldChar w:fldCharType="end"/>
    </w:r>
  </w:p>
  <w:p w14:paraId="5B30A09A" w14:textId="77777777" w:rsidR="007B4830" w:rsidRDefault="007B4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0392" w14:textId="77777777" w:rsidR="00481DED" w:rsidRDefault="00481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A208" w14:textId="77777777" w:rsidR="00481DED" w:rsidRDefault="00481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35615" w14:textId="77777777" w:rsidR="00FA54EE" w:rsidRDefault="00FA54EE">
      <w:r>
        <w:separator/>
      </w:r>
    </w:p>
  </w:footnote>
  <w:footnote w:type="continuationSeparator" w:id="0">
    <w:p w14:paraId="54CD74C5" w14:textId="77777777" w:rsidR="00FA54EE" w:rsidRDefault="00FA54EE">
      <w:r>
        <w:continuationSeparator/>
      </w:r>
    </w:p>
  </w:footnote>
  <w:footnote w:type="continuationNotice" w:id="1">
    <w:p w14:paraId="14835377" w14:textId="77777777" w:rsidR="00FA54EE" w:rsidRDefault="00FA54EE"/>
  </w:footnote>
  <w:footnote w:id="2">
    <w:p w14:paraId="5C803CCA" w14:textId="77777777" w:rsidR="00001FB8" w:rsidRDefault="00001FB8" w:rsidP="00001FB8">
      <w:pPr>
        <w:pStyle w:val="FootnoteText"/>
      </w:pPr>
      <w:r>
        <w:rPr>
          <w:rStyle w:val="FootnoteReference"/>
        </w:rPr>
        <w:footnoteRef/>
      </w:r>
      <w:r>
        <w:t xml:space="preserve"> 47 C.F.R. § 0.459.</w:t>
      </w:r>
    </w:p>
    <w:p w14:paraId="3EA90AFE" w14:textId="77777777" w:rsidR="00001FB8" w:rsidRDefault="00001FB8" w:rsidP="00001FB8">
      <w:pPr>
        <w:pStyle w:val="FootnoteText"/>
      </w:pPr>
    </w:p>
  </w:footnote>
  <w:footnote w:id="3">
    <w:p w14:paraId="7617848B" w14:textId="77777777" w:rsidR="00001FB8" w:rsidRDefault="00001FB8" w:rsidP="00001FB8">
      <w:pPr>
        <w:pStyle w:val="FootnoteText"/>
      </w:pPr>
      <w:r>
        <w:rPr>
          <w:rStyle w:val="FootnoteReference"/>
        </w:rPr>
        <w:footnoteRef/>
      </w:r>
      <w:r>
        <w:t xml:space="preserve"> ULS File No. </w:t>
      </w:r>
      <w:r w:rsidRPr="008B3FD1">
        <w:t>0006670108</w:t>
      </w:r>
      <w:r>
        <w:t xml:space="preserve">, Exhibit E: Request for Confidential </w:t>
      </w:r>
      <w:r w:rsidR="00C256B1">
        <w:t xml:space="preserve">Treatment (filed April 2, 2015) </w:t>
      </w:r>
      <w:r>
        <w:t>(“Confidentiality Request”); Exhibit E: Supplemental Request for Confidential Treatment (filed April 21, 2015) (“Supplemental Confidentiality Request”)</w:t>
      </w:r>
      <w:r w:rsidR="00C256B1">
        <w:t xml:space="preserve"> (collectively, the “Request”).  </w:t>
      </w:r>
    </w:p>
    <w:p w14:paraId="7F44B344" w14:textId="77777777" w:rsidR="00001FB8" w:rsidRDefault="00001FB8" w:rsidP="00001FB8">
      <w:pPr>
        <w:pStyle w:val="FootnoteText"/>
      </w:pPr>
    </w:p>
  </w:footnote>
  <w:footnote w:id="4">
    <w:p w14:paraId="099E31C4" w14:textId="77777777" w:rsidR="00AA70C5" w:rsidRDefault="00AA70C5" w:rsidP="00AA70C5">
      <w:pPr>
        <w:pStyle w:val="FootnoteText"/>
      </w:pPr>
      <w:r>
        <w:rPr>
          <w:rStyle w:val="FootnoteReference"/>
        </w:rPr>
        <w:footnoteRef/>
      </w:r>
      <w:r>
        <w:t xml:space="preserve"> </w:t>
      </w:r>
      <w:r>
        <w:rPr>
          <w:i/>
        </w:rPr>
        <w:t xml:space="preserve">See </w:t>
      </w:r>
      <w:r w:rsidRPr="003710A1">
        <w:t xml:space="preserve">Auction </w:t>
      </w:r>
      <w:r>
        <w:t>o</w:t>
      </w:r>
      <w:r w:rsidRPr="003710A1">
        <w:t>f Advanced Wireless Services (A</w:t>
      </w:r>
      <w:r>
        <w:t>WS</w:t>
      </w:r>
      <w:r w:rsidRPr="003710A1">
        <w:t>-3) Licenses Closes</w:t>
      </w:r>
      <w:r>
        <w:t xml:space="preserve">, </w:t>
      </w:r>
      <w:r w:rsidRPr="003710A1">
        <w:t xml:space="preserve">Winning Bidders Announced </w:t>
      </w:r>
      <w:r>
        <w:t>for Auction </w:t>
      </w:r>
      <w:r w:rsidRPr="003710A1">
        <w:t>97</w:t>
      </w:r>
      <w:r>
        <w:t>,</w:t>
      </w:r>
      <w:r>
        <w:rPr>
          <w:i/>
        </w:rPr>
        <w:t xml:space="preserve"> Public Notice, </w:t>
      </w:r>
      <w:r>
        <w:t>30 FCC Rcd 630 (WTB 2015) (“</w:t>
      </w:r>
      <w:r>
        <w:rPr>
          <w:i/>
        </w:rPr>
        <w:t xml:space="preserve">Winning Bidders </w:t>
      </w:r>
      <w:r w:rsidRPr="00870DE0">
        <w:rPr>
          <w:i/>
        </w:rPr>
        <w:t>Public Notice</w:t>
      </w:r>
      <w:r>
        <w:t xml:space="preserve">”). </w:t>
      </w:r>
    </w:p>
    <w:p w14:paraId="14E7DBA3" w14:textId="77777777" w:rsidR="00AA70C5" w:rsidRDefault="00AA70C5" w:rsidP="00AA70C5">
      <w:pPr>
        <w:pStyle w:val="FootnoteText"/>
      </w:pPr>
    </w:p>
  </w:footnote>
  <w:footnote w:id="5">
    <w:p w14:paraId="1DE1AEDE" w14:textId="77777777" w:rsidR="00CD0E50" w:rsidRDefault="00CD0E50" w:rsidP="00CD0E50">
      <w:pPr>
        <w:pStyle w:val="FootnoteText"/>
      </w:pPr>
      <w:r>
        <w:rPr>
          <w:rStyle w:val="FootnoteReference"/>
        </w:rPr>
        <w:footnoteRef/>
      </w:r>
      <w:r>
        <w:t xml:space="preserve"> 47 C.F.R. § 0.459(g).</w:t>
      </w:r>
      <w:r w:rsidR="009F2A4E">
        <w:t xml:space="preserve">  </w:t>
      </w:r>
      <w:r w:rsidR="00180079">
        <w:t xml:space="preserve">Oral notice, by telephone, was also provided on December 2, 2015.  </w:t>
      </w:r>
    </w:p>
    <w:p w14:paraId="75FE4C64" w14:textId="77777777" w:rsidR="00CD0E50" w:rsidRDefault="00CD0E50" w:rsidP="00CD0E50">
      <w:pPr>
        <w:pStyle w:val="FootnoteText"/>
      </w:pPr>
    </w:p>
  </w:footnote>
  <w:footnote w:id="6">
    <w:p w14:paraId="37C59F0D" w14:textId="77777777" w:rsidR="00AA70C5" w:rsidRDefault="00AA70C5" w:rsidP="00AA70C5">
      <w:pPr>
        <w:pStyle w:val="FootnoteText"/>
      </w:pPr>
      <w:r>
        <w:rPr>
          <w:rStyle w:val="FootnoteReference"/>
        </w:rPr>
        <w:footnoteRef/>
      </w:r>
      <w:r>
        <w:t xml:space="preserve"> </w:t>
      </w:r>
      <w:r w:rsidR="00C9096D">
        <w:t>47 C.F.R. § 0.459(d)(3).</w:t>
      </w:r>
    </w:p>
    <w:p w14:paraId="33737FFA" w14:textId="77777777" w:rsidR="00AA70C5" w:rsidRDefault="00AA70C5" w:rsidP="00AA70C5">
      <w:pPr>
        <w:pStyle w:val="FootnoteText"/>
      </w:pPr>
    </w:p>
  </w:footnote>
  <w:footnote w:id="7">
    <w:p w14:paraId="710173E2" w14:textId="77777777" w:rsidR="00B24845" w:rsidRDefault="00B24845">
      <w:pPr>
        <w:pStyle w:val="FootnoteText"/>
      </w:pPr>
      <w:r>
        <w:rPr>
          <w:rStyle w:val="FootnoteReference"/>
        </w:rPr>
        <w:footnoteRef/>
      </w:r>
      <w:r>
        <w:t xml:space="preserve"> </w:t>
      </w:r>
      <w:r w:rsidR="00CD0E50">
        <w:t xml:space="preserve">ULS </w:t>
      </w:r>
      <w:r>
        <w:t xml:space="preserve">File No. </w:t>
      </w:r>
      <w:r w:rsidRPr="008B3FD1">
        <w:t>0006670108</w:t>
      </w:r>
      <w:r>
        <w:t xml:space="preserve"> (filed Feb. 13, 2015).  </w:t>
      </w:r>
    </w:p>
    <w:p w14:paraId="5FC78BAD" w14:textId="77777777" w:rsidR="00B24845" w:rsidRDefault="00B24845">
      <w:pPr>
        <w:pStyle w:val="FootnoteText"/>
      </w:pPr>
    </w:p>
  </w:footnote>
  <w:footnote w:id="8">
    <w:p w14:paraId="05465F51" w14:textId="77777777" w:rsidR="007A1D48" w:rsidRDefault="007A1D48" w:rsidP="007A1D48">
      <w:pPr>
        <w:pStyle w:val="FootnoteText"/>
      </w:pPr>
      <w:r>
        <w:rPr>
          <w:rStyle w:val="FootnoteReference"/>
        </w:rPr>
        <w:footnoteRef/>
      </w:r>
      <w:r>
        <w:t xml:space="preserve"> </w:t>
      </w:r>
      <w:r w:rsidR="006B61B8">
        <w:t xml:space="preserve">FCC File No. </w:t>
      </w:r>
      <w:r w:rsidR="006B61B8" w:rsidRPr="008B3FD1">
        <w:t>0006670108</w:t>
      </w:r>
      <w:r w:rsidR="006B61B8">
        <w:t xml:space="preserve"> (filed Apr. 2, 2015).  </w:t>
      </w:r>
      <w:r>
        <w:t xml:space="preserve">Although we herein refer to the agreements as promissory notes, they extend beyond the mere promise of a payment of funds at a defined percentage of interest for a fixed term.  However for ease of reference, we herein </w:t>
      </w:r>
      <w:r w:rsidR="00B24845">
        <w:t xml:space="preserve">interchangeably use the terms agreements </w:t>
      </w:r>
      <w:r w:rsidR="006E3EF4">
        <w:t xml:space="preserve">and </w:t>
      </w:r>
      <w:r>
        <w:t xml:space="preserve">promissory notes. </w:t>
      </w:r>
    </w:p>
    <w:p w14:paraId="77C35660" w14:textId="77777777" w:rsidR="007A1D48" w:rsidRDefault="007A1D48" w:rsidP="007A1D48">
      <w:pPr>
        <w:pStyle w:val="FootnoteText"/>
      </w:pPr>
      <w:r>
        <w:t xml:space="preserve">       </w:t>
      </w:r>
    </w:p>
  </w:footnote>
  <w:footnote w:id="9">
    <w:p w14:paraId="1BD5AAAC" w14:textId="77777777" w:rsidR="00B24845" w:rsidRDefault="00B24845">
      <w:pPr>
        <w:pStyle w:val="FootnoteText"/>
      </w:pPr>
      <w:r>
        <w:rPr>
          <w:rStyle w:val="FootnoteReference"/>
        </w:rPr>
        <w:footnoteRef/>
      </w:r>
      <w:r>
        <w:t xml:space="preserve"> FCC File No. </w:t>
      </w:r>
      <w:r w:rsidRPr="008B3FD1">
        <w:t>0006670108</w:t>
      </w:r>
      <w:r>
        <w:t xml:space="preserve"> (filed April 2, 2015), Exhibit D.   </w:t>
      </w:r>
    </w:p>
    <w:p w14:paraId="6F013D75" w14:textId="77777777" w:rsidR="00B24845" w:rsidRDefault="00B24845">
      <w:pPr>
        <w:pStyle w:val="FootnoteText"/>
      </w:pPr>
    </w:p>
  </w:footnote>
  <w:footnote w:id="10">
    <w:p w14:paraId="1D9F9B74" w14:textId="77777777" w:rsidR="00C05D94" w:rsidRDefault="007A1D48" w:rsidP="007A1D48">
      <w:pPr>
        <w:pStyle w:val="FootnoteText"/>
      </w:pPr>
      <w:r>
        <w:rPr>
          <w:rStyle w:val="FootnoteReference"/>
        </w:rPr>
        <w:footnoteRef/>
      </w:r>
      <w:r>
        <w:t xml:space="preserve"> Confidentiality Request at 2.  </w:t>
      </w:r>
      <w:r w:rsidR="007B0F53">
        <w:t xml:space="preserve">Mr. </w:t>
      </w:r>
      <w:r>
        <w:t xml:space="preserve">Sofio did not seek confidential treatment for the names of two parties with whom he entered into agreements.  Specifically, </w:t>
      </w:r>
      <w:r w:rsidR="007B0F53">
        <w:t xml:space="preserve">Mr. </w:t>
      </w:r>
      <w:r>
        <w:t>Sofio did not seek c</w:t>
      </w:r>
      <w:r w:rsidR="00C05D94">
        <w:t>onfidential treatment for the i</w:t>
      </w:r>
      <w:r>
        <w:t>dentit</w:t>
      </w:r>
      <w:r w:rsidR="00C05D94">
        <w:t>ies</w:t>
      </w:r>
      <w:r>
        <w:t xml:space="preserve"> of his mother, Mary Sypkens, and his sister, Lisa Sofio, </w:t>
      </w:r>
      <w:r w:rsidR="00C05D94">
        <w:t>“</w:t>
      </w:r>
      <w:r>
        <w:t xml:space="preserve">as lenders because the Commission’s rules presume some kinship affinity based on that level of family relatedness, but for the other lenders there is no reason for their identities to be released.”  Confidentiality Request at 2.  </w:t>
      </w:r>
      <w:r w:rsidR="00B24845">
        <w:t>We note that t</w:t>
      </w:r>
      <w:r>
        <w:t xml:space="preserve">he </w:t>
      </w:r>
      <w:r w:rsidR="00A64159">
        <w:t xml:space="preserve">rules are </w:t>
      </w:r>
      <w:r>
        <w:t>more broad</w:t>
      </w:r>
      <w:r w:rsidR="006E3EF4">
        <w:t>ly applicable</w:t>
      </w:r>
      <w:r>
        <w:t xml:space="preserve"> than </w:t>
      </w:r>
      <w:r w:rsidR="00A64159">
        <w:t xml:space="preserve">as </w:t>
      </w:r>
      <w:r>
        <w:t>stated by</w:t>
      </w:r>
      <w:r w:rsidR="007B0F53">
        <w:t xml:space="preserve"> Mr. </w:t>
      </w:r>
      <w:r>
        <w:t>Sofio, but it is correct the kinship affiliation rule extends to a mother and her children.</w:t>
      </w:r>
      <w:r w:rsidR="00B24845">
        <w:t xml:space="preserve">  </w:t>
      </w:r>
    </w:p>
    <w:p w14:paraId="0F1B84FD" w14:textId="77777777" w:rsidR="007A1D48" w:rsidRDefault="007A1D48" w:rsidP="007A1D48">
      <w:pPr>
        <w:pStyle w:val="FootnoteText"/>
      </w:pPr>
      <w:r>
        <w:t xml:space="preserve"> </w:t>
      </w:r>
    </w:p>
  </w:footnote>
  <w:footnote w:id="11">
    <w:p w14:paraId="2DC99B34" w14:textId="77777777" w:rsidR="00A64159" w:rsidRDefault="00A64159">
      <w:pPr>
        <w:pStyle w:val="FootnoteText"/>
      </w:pPr>
      <w:r>
        <w:rPr>
          <w:rStyle w:val="FootnoteReference"/>
        </w:rPr>
        <w:footnoteRef/>
      </w:r>
      <w:r>
        <w:t xml:space="preserve"> </w:t>
      </w:r>
      <w:r w:rsidRPr="00A64159">
        <w:rPr>
          <w:color w:val="000000"/>
        </w:rPr>
        <w:t>47 C.F.R. § 1.2110(j)</w:t>
      </w:r>
      <w:r w:rsidR="008C15A1">
        <w:rPr>
          <w:color w:val="000000"/>
        </w:rPr>
        <w:t>;</w:t>
      </w:r>
      <w:r w:rsidR="006729FB">
        <w:rPr>
          <w:color w:val="000000"/>
        </w:rPr>
        <w:t xml:space="preserve"> </w:t>
      </w:r>
      <w:r w:rsidR="006729FB" w:rsidRPr="006729FB">
        <w:rPr>
          <w:i/>
          <w:color w:val="000000"/>
        </w:rPr>
        <w:t>Winning Bidders Public Notice</w:t>
      </w:r>
      <w:r w:rsidR="008C15A1">
        <w:rPr>
          <w:i/>
          <w:color w:val="000000"/>
        </w:rPr>
        <w:t xml:space="preserve">, </w:t>
      </w:r>
      <w:r w:rsidR="008C15A1">
        <w:rPr>
          <w:color w:val="000000"/>
        </w:rPr>
        <w:t>Attachment D at 12-13.</w:t>
      </w:r>
      <w:r>
        <w:t xml:space="preserve"> </w:t>
      </w:r>
    </w:p>
    <w:p w14:paraId="2A53E3B2" w14:textId="77777777" w:rsidR="00A64159" w:rsidRDefault="00A64159">
      <w:pPr>
        <w:pStyle w:val="FootnoteText"/>
      </w:pPr>
    </w:p>
  </w:footnote>
  <w:footnote w:id="12">
    <w:p w14:paraId="6F52FA47" w14:textId="77777777" w:rsidR="00B24845" w:rsidRDefault="00B24845">
      <w:pPr>
        <w:pStyle w:val="FootnoteText"/>
      </w:pPr>
      <w:r>
        <w:rPr>
          <w:rStyle w:val="FootnoteReference"/>
        </w:rPr>
        <w:footnoteRef/>
      </w:r>
      <w:r>
        <w:t xml:space="preserve"> FCC File No. </w:t>
      </w:r>
      <w:r w:rsidRPr="008B3FD1">
        <w:t>0006670108</w:t>
      </w:r>
      <w:r>
        <w:t xml:space="preserve"> (filed April 21, 2015), Exhibit D.   </w:t>
      </w:r>
    </w:p>
    <w:p w14:paraId="5D587518" w14:textId="77777777" w:rsidR="00B24845" w:rsidRDefault="00B24845">
      <w:pPr>
        <w:pStyle w:val="FootnoteText"/>
      </w:pPr>
    </w:p>
  </w:footnote>
  <w:footnote w:id="13">
    <w:p w14:paraId="25910AF0" w14:textId="77777777" w:rsidR="00A978A0" w:rsidRDefault="00A978A0">
      <w:pPr>
        <w:pStyle w:val="FootnoteText"/>
      </w:pPr>
      <w:r>
        <w:rPr>
          <w:rStyle w:val="FootnoteReference"/>
        </w:rPr>
        <w:footnoteRef/>
      </w:r>
      <w:r>
        <w:t xml:space="preserve"> As noted above, two of the ten individuals are Mary Sypkens and Lisa Sofio, and no confidentiality is sought for agreements between</w:t>
      </w:r>
      <w:r w:rsidR="007B0F53">
        <w:t xml:space="preserve"> Mr. </w:t>
      </w:r>
      <w:r>
        <w:t xml:space="preserve">Sofio and each of them.  </w:t>
      </w:r>
    </w:p>
    <w:p w14:paraId="485D5E45" w14:textId="77777777" w:rsidR="00A978A0" w:rsidRDefault="00A978A0">
      <w:pPr>
        <w:pStyle w:val="FootnoteText"/>
      </w:pPr>
    </w:p>
  </w:footnote>
  <w:footnote w:id="14">
    <w:p w14:paraId="40F6690A" w14:textId="77777777" w:rsidR="00521E95" w:rsidRDefault="00521E95" w:rsidP="00521E95">
      <w:pPr>
        <w:pStyle w:val="FootnoteText"/>
      </w:pPr>
      <w:r>
        <w:rPr>
          <w:rStyle w:val="FootnoteReference"/>
        </w:rPr>
        <w:footnoteRef/>
      </w:r>
      <w:r>
        <w:t xml:space="preserve"> Supplemental Confidentiality Request at 1.  </w:t>
      </w:r>
    </w:p>
    <w:p w14:paraId="482874A8" w14:textId="77777777" w:rsidR="00521E95" w:rsidRDefault="00521E95" w:rsidP="00521E95">
      <w:pPr>
        <w:pStyle w:val="FootnoteText"/>
      </w:pPr>
    </w:p>
  </w:footnote>
  <w:footnote w:id="15">
    <w:p w14:paraId="53102A92" w14:textId="77777777" w:rsidR="00B24845" w:rsidRDefault="00B24845">
      <w:pPr>
        <w:pStyle w:val="FootnoteText"/>
      </w:pPr>
      <w:r>
        <w:rPr>
          <w:rStyle w:val="FootnoteReference"/>
        </w:rPr>
        <w:footnoteRef/>
      </w:r>
      <w:r>
        <w:t xml:space="preserve"> FCC File No. </w:t>
      </w:r>
      <w:r w:rsidRPr="008B3FD1">
        <w:t>0006670108</w:t>
      </w:r>
      <w:r>
        <w:t xml:space="preserve"> (filed April 21, 2015), Exhibit D (discussion under “Financing Plan”).</w:t>
      </w:r>
      <w:r w:rsidR="004B3D61">
        <w:t xml:space="preserve">  The Applicant provides no basis or explanation for redacting such information.  </w:t>
      </w:r>
      <w:r>
        <w:t xml:space="preserve">  </w:t>
      </w:r>
    </w:p>
    <w:p w14:paraId="2E3DFF34" w14:textId="77777777" w:rsidR="00B24845" w:rsidRDefault="00B24845">
      <w:pPr>
        <w:pStyle w:val="FootnoteText"/>
      </w:pPr>
    </w:p>
  </w:footnote>
  <w:footnote w:id="16">
    <w:p w14:paraId="1B743167" w14:textId="77777777" w:rsidR="00521E95" w:rsidRDefault="00521E95" w:rsidP="00521E95">
      <w:pPr>
        <w:pStyle w:val="FootnoteText"/>
      </w:pPr>
      <w:r>
        <w:rPr>
          <w:rStyle w:val="FootnoteReference"/>
        </w:rPr>
        <w:footnoteRef/>
      </w:r>
      <w:r>
        <w:t xml:space="preserve"> Supplemental Confidentiality Request at 1.  </w:t>
      </w:r>
    </w:p>
    <w:p w14:paraId="53980925" w14:textId="77777777" w:rsidR="00521E95" w:rsidRDefault="00521E95" w:rsidP="00521E95">
      <w:pPr>
        <w:pStyle w:val="FootnoteText"/>
      </w:pPr>
    </w:p>
  </w:footnote>
  <w:footnote w:id="17">
    <w:p w14:paraId="0AA3AA49" w14:textId="77777777" w:rsidR="00521E95" w:rsidRDefault="00521E95" w:rsidP="00521E95">
      <w:pPr>
        <w:pStyle w:val="FootnoteText"/>
      </w:pPr>
      <w:r>
        <w:rPr>
          <w:rStyle w:val="FootnoteReference"/>
        </w:rPr>
        <w:footnoteRef/>
      </w:r>
      <w:r>
        <w:t xml:space="preserve"> Supplemental Confidentiality Request at 1-2.  </w:t>
      </w:r>
      <w:r w:rsidR="007B0F53">
        <w:t xml:space="preserve">Mr. </w:t>
      </w:r>
      <w:r w:rsidRPr="002A2DF8">
        <w:t>Sofio</w:t>
      </w:r>
      <w:r>
        <w:t xml:space="preserve"> suggests </w:t>
      </w:r>
      <w:r w:rsidRPr="002A2DF8">
        <w:t>that mandatory disclosure would betray</w:t>
      </w:r>
      <w:r w:rsidR="007B0F53">
        <w:t xml:space="preserve"> Mr.</w:t>
      </w:r>
      <w:r w:rsidRPr="002A2DF8">
        <w:t xml:space="preserve"> Sofio’s commitment of confidentiality to the lenders.  We note that there is no such provision referenced in any of the </w:t>
      </w:r>
      <w:r>
        <w:t>agreements</w:t>
      </w:r>
      <w:r w:rsidRPr="002A2DF8">
        <w:t>.</w:t>
      </w:r>
      <w:r>
        <w:t xml:space="preserve">  </w:t>
      </w:r>
    </w:p>
    <w:p w14:paraId="43C85DD4" w14:textId="77777777" w:rsidR="00521E95" w:rsidRDefault="00521E95" w:rsidP="00521E95">
      <w:pPr>
        <w:pStyle w:val="FootnoteText"/>
      </w:pPr>
    </w:p>
  </w:footnote>
  <w:footnote w:id="18">
    <w:p w14:paraId="78C46767" w14:textId="77777777" w:rsidR="00F120D2" w:rsidRDefault="00F120D2">
      <w:pPr>
        <w:pStyle w:val="FootnoteText"/>
      </w:pPr>
      <w:r>
        <w:rPr>
          <w:rStyle w:val="FootnoteReference"/>
        </w:rPr>
        <w:footnoteRef/>
      </w:r>
      <w:r>
        <w:t xml:space="preserve"> </w:t>
      </w:r>
      <w:r w:rsidR="00AB0DC3">
        <w:t xml:space="preserve">47 C.F.R. § 1.2110(j); 47 C.F.R. § 1.2112(b)(1)(iii); </w:t>
      </w:r>
      <w:r w:rsidR="00AB0DC3">
        <w:rPr>
          <w:i/>
        </w:rPr>
        <w:t xml:space="preserve">see also Winning Bidders </w:t>
      </w:r>
      <w:r w:rsidR="00AB0DC3" w:rsidRPr="00870DE0">
        <w:rPr>
          <w:i/>
        </w:rPr>
        <w:t>Public Notice</w:t>
      </w:r>
      <w:r w:rsidR="00AB0DC3">
        <w:rPr>
          <w:i/>
        </w:rPr>
        <w:t xml:space="preserve">, </w:t>
      </w:r>
      <w:r w:rsidR="00AB0DC3">
        <w:t xml:space="preserve">Attachment D at 4 (explaining that an applicant must list agreement name, agreement type, and parties to the agreement in the FCC Form 601, Schedule B and must summarize its agreements in Exhibit D and provide copies of each agreement as part of Exhibit D); FCC Form 601, Schedule B, Instructions at 2 (requiring an applicant to provide the name of the agreement, the parties to the agreement, and to identify the type of agreement). </w:t>
      </w:r>
    </w:p>
    <w:p w14:paraId="21BFCF02" w14:textId="77777777" w:rsidR="006B6F0C" w:rsidRDefault="006B6F0C">
      <w:pPr>
        <w:pStyle w:val="FootnoteText"/>
      </w:pPr>
    </w:p>
  </w:footnote>
  <w:footnote w:id="19">
    <w:p w14:paraId="56754B7A" w14:textId="77777777" w:rsidR="004623E4" w:rsidRDefault="004623E4" w:rsidP="0084151D">
      <w:pPr>
        <w:pStyle w:val="FootnoteText"/>
      </w:pPr>
      <w:r>
        <w:rPr>
          <w:rStyle w:val="FootnoteReference"/>
        </w:rPr>
        <w:footnoteRef/>
      </w:r>
      <w:r>
        <w:t xml:space="preserve"> We note that auction </w:t>
      </w:r>
      <w:r w:rsidRPr="004623E4">
        <w:t xml:space="preserve">applicants must familiarize themselves thoroughly with the Commission’s general </w:t>
      </w:r>
      <w:r>
        <w:t>c</w:t>
      </w:r>
      <w:r w:rsidRPr="004623E4">
        <w:t>ompetitive bidding rules, including Commission decisions in proceedings regarding competitive bidding procedures, application requirements, and obligations of Commission licensees.</w:t>
      </w:r>
      <w:r>
        <w:t xml:space="preserve">  </w:t>
      </w:r>
      <w:r w:rsidR="0084151D">
        <w:t xml:space="preserve">Auction of Advanced Wireless Services (AWS-3) Licenses Scheduled for November 13, 2014; Notice and Filing Requirements, Reserve Prices, Minimum Opening Bids, Upfront Payments, and Other Procedures for Auction 97, </w:t>
      </w:r>
      <w:r w:rsidR="0084151D" w:rsidRPr="0084151D">
        <w:rPr>
          <w:i/>
        </w:rPr>
        <w:t>Public Notice</w:t>
      </w:r>
      <w:r w:rsidR="0084151D">
        <w:t>, 29 FCC Rcd 8386, 8391 ¶ 9 (2014) (“</w:t>
      </w:r>
      <w:r w:rsidR="0084151D" w:rsidRPr="0084151D">
        <w:rPr>
          <w:i/>
        </w:rPr>
        <w:t>Auction 97 Procedures Public Notice</w:t>
      </w:r>
      <w:r w:rsidR="0084151D">
        <w:t xml:space="preserve">”).  </w:t>
      </w:r>
      <w:r>
        <w:t xml:space="preserve">The </w:t>
      </w:r>
      <w:r>
        <w:rPr>
          <w:i/>
        </w:rPr>
        <w:t>Auction 97 Procedures P</w:t>
      </w:r>
      <w:r w:rsidR="0084151D">
        <w:rPr>
          <w:i/>
        </w:rPr>
        <w:t xml:space="preserve">ublic Notice </w:t>
      </w:r>
      <w:r>
        <w:t>also put applicants on notice that “[a]</w:t>
      </w:r>
      <w:r w:rsidRPr="004623E4">
        <w:t xml:space="preserve">ll bidders must also be thoroughly familiar with the procedures, terms and </w:t>
      </w:r>
      <w:r w:rsidR="0084151D">
        <w:t>c</w:t>
      </w:r>
      <w:r w:rsidRPr="004623E4">
        <w:t>onditions contained in this Public Notice and any future public notices that may be issued in this proceeding.</w:t>
      </w:r>
      <w:r>
        <w:t xml:space="preserve">”  </w:t>
      </w:r>
      <w:r>
        <w:rPr>
          <w:i/>
        </w:rPr>
        <w:t xml:space="preserve">Id. </w:t>
      </w:r>
      <w:r>
        <w:t xml:space="preserve">   </w:t>
      </w:r>
    </w:p>
    <w:p w14:paraId="6CDD79A9" w14:textId="77777777" w:rsidR="004623E4" w:rsidRDefault="004623E4">
      <w:pPr>
        <w:pStyle w:val="FootnoteText"/>
      </w:pPr>
    </w:p>
  </w:footnote>
  <w:footnote w:id="20">
    <w:p w14:paraId="07912948" w14:textId="77777777" w:rsidR="00BE5846" w:rsidRDefault="00BE5846">
      <w:pPr>
        <w:pStyle w:val="FootnoteText"/>
      </w:pPr>
      <w:r>
        <w:rPr>
          <w:rStyle w:val="FootnoteReference"/>
        </w:rPr>
        <w:footnoteRef/>
      </w:r>
      <w:r>
        <w:t xml:space="preserve"> 47 C.F.R. </w:t>
      </w:r>
      <w:r w:rsidRPr="00BE5846">
        <w:t xml:space="preserve">§ </w:t>
      </w:r>
      <w:r>
        <w:t xml:space="preserve">0.457(d).  47 C.F.R </w:t>
      </w:r>
      <w:r w:rsidRPr="00BE5846">
        <w:t xml:space="preserve">§ </w:t>
      </w:r>
      <w:r>
        <w:t xml:space="preserve">0.457(d) </w:t>
      </w:r>
      <w:r w:rsidRPr="00BE5846">
        <w:t>explains that “[u]nless the materials to be submitted are listed in paragraph (d)(1) of this section and the protection thereby afforded is adequate, any person who submits materials which he or she wishes withheld from public inspection under 5 U.S.C. 552(b)(4) must submit a request for non-disclosure pursuant to § 0.459.”</w:t>
      </w:r>
      <w:r>
        <w:t xml:space="preserve">  47 C.F.R. </w:t>
      </w:r>
      <w:r w:rsidRPr="00BE5846">
        <w:t xml:space="preserve">§ </w:t>
      </w:r>
      <w:r>
        <w:t xml:space="preserve">0.457(d).  </w:t>
      </w:r>
      <w:r w:rsidRPr="00BE5846">
        <w:t xml:space="preserve">The information for which </w:t>
      </w:r>
      <w:r w:rsidR="00A93E33">
        <w:t xml:space="preserve">Mr. </w:t>
      </w:r>
      <w:r w:rsidRPr="00BE5846">
        <w:t>Sofio seeks confidential treatment is not listed in Section 0.457(d)(1).</w:t>
      </w:r>
      <w:r>
        <w:t xml:space="preserve">  </w:t>
      </w:r>
      <w:r w:rsidRPr="00AD3B73">
        <w:t xml:space="preserve">Therefore, </w:t>
      </w:r>
      <w:r>
        <w:t xml:space="preserve">47 C.F.R. </w:t>
      </w:r>
      <w:r w:rsidRPr="00BE5846">
        <w:t xml:space="preserve">§ </w:t>
      </w:r>
      <w:r>
        <w:t xml:space="preserve">0.459(b) </w:t>
      </w:r>
      <w:r w:rsidRPr="00AD3B73">
        <w:t>requires a statement of the reasons for withholding the materials from inspection and of the facts upon which those records are based.</w:t>
      </w:r>
      <w:r w:rsidR="006E3EF4">
        <w:t xml:space="preserve">  47 C.F.R. </w:t>
      </w:r>
      <w:r w:rsidR="006E3EF4" w:rsidRPr="00BE5846">
        <w:t xml:space="preserve">§ </w:t>
      </w:r>
      <w:r w:rsidR="006E3EF4">
        <w:t xml:space="preserve">0.459(b). </w:t>
      </w:r>
      <w:r>
        <w:t xml:space="preserve">    </w:t>
      </w:r>
    </w:p>
    <w:p w14:paraId="66E95D63" w14:textId="77777777" w:rsidR="00BE5846" w:rsidRDefault="00BE5846">
      <w:pPr>
        <w:pStyle w:val="FootnoteText"/>
      </w:pPr>
      <w:r>
        <w:t xml:space="preserve">  </w:t>
      </w:r>
    </w:p>
  </w:footnote>
  <w:footnote w:id="21">
    <w:p w14:paraId="21B07B94" w14:textId="77777777" w:rsidR="00BE5846" w:rsidRDefault="00BE5846">
      <w:pPr>
        <w:pStyle w:val="FootnoteText"/>
      </w:pPr>
      <w:r>
        <w:rPr>
          <w:rStyle w:val="FootnoteReference"/>
        </w:rPr>
        <w:footnoteRef/>
      </w:r>
      <w:r>
        <w:t xml:space="preserve"> </w:t>
      </w:r>
      <w:r w:rsidR="00EA6869">
        <w:t xml:space="preserve">47 C.F.R. </w:t>
      </w:r>
      <w:r w:rsidR="00EA6869" w:rsidRPr="00BE5846">
        <w:t xml:space="preserve">§ </w:t>
      </w:r>
      <w:r w:rsidR="00EA6869">
        <w:t xml:space="preserve">0.459(d).    </w:t>
      </w:r>
    </w:p>
    <w:p w14:paraId="0A81A3BA" w14:textId="77777777" w:rsidR="00BE5846" w:rsidRDefault="00BE5846">
      <w:pPr>
        <w:pStyle w:val="FootnoteText"/>
      </w:pPr>
    </w:p>
  </w:footnote>
  <w:footnote w:id="22">
    <w:p w14:paraId="2A72CA92" w14:textId="77777777" w:rsidR="00BE5846" w:rsidRDefault="00BE5846">
      <w:pPr>
        <w:pStyle w:val="FootnoteText"/>
      </w:pPr>
      <w:r>
        <w:rPr>
          <w:rStyle w:val="FootnoteReference"/>
        </w:rPr>
        <w:footnoteRef/>
      </w:r>
      <w:r>
        <w:t xml:space="preserve"> </w:t>
      </w:r>
      <w:r w:rsidRPr="00BE5846">
        <w:t xml:space="preserve">5 U.S.C. § 552(b)(4). </w:t>
      </w:r>
      <w:r>
        <w:t xml:space="preserve"> </w:t>
      </w:r>
    </w:p>
    <w:p w14:paraId="10D21F21" w14:textId="77777777" w:rsidR="00BE5846" w:rsidRDefault="00BE5846">
      <w:pPr>
        <w:pStyle w:val="FootnoteText"/>
      </w:pPr>
    </w:p>
  </w:footnote>
  <w:footnote w:id="23">
    <w:p w14:paraId="6800F187" w14:textId="77777777" w:rsidR="00BE5846" w:rsidRPr="00BE5846" w:rsidRDefault="00BE5846">
      <w:pPr>
        <w:pStyle w:val="FootnoteText"/>
      </w:pPr>
      <w:r w:rsidRPr="00BE5846">
        <w:rPr>
          <w:rStyle w:val="FootnoteReference"/>
        </w:rPr>
        <w:footnoteRef/>
      </w:r>
      <w:r w:rsidRPr="00BE5846">
        <w:t xml:space="preserve"> </w:t>
      </w:r>
      <w:r w:rsidRPr="00BE5846">
        <w:rPr>
          <w:i/>
        </w:rPr>
        <w:t>National Parks and Conservation Ass</w:t>
      </w:r>
      <w:r>
        <w:rPr>
          <w:i/>
        </w:rPr>
        <w:t>’</w:t>
      </w:r>
      <w:r w:rsidRPr="00BE5846">
        <w:rPr>
          <w:i/>
        </w:rPr>
        <w:t>n v. Morton</w:t>
      </w:r>
      <w:r w:rsidRPr="00BE5846">
        <w:t>, 498 F.2d 765, 770 (D.C.Cir.1974).</w:t>
      </w:r>
      <w:r w:rsidR="008518E0">
        <w:t xml:space="preserve">  Only an agency may raise an “impairment” argument.</w:t>
      </w:r>
      <w:r w:rsidR="00D10937">
        <w:t xml:space="preserve">  </w:t>
      </w:r>
      <w:r w:rsidR="00D10937" w:rsidRPr="00D10937">
        <w:t xml:space="preserve">We </w:t>
      </w:r>
      <w:r w:rsidR="00D10937">
        <w:t xml:space="preserve">therefore </w:t>
      </w:r>
      <w:r w:rsidR="00D10937" w:rsidRPr="00D10937">
        <w:t xml:space="preserve">reject </w:t>
      </w:r>
      <w:r w:rsidR="007B0F53">
        <w:t xml:space="preserve">Mr. </w:t>
      </w:r>
      <w:r w:rsidR="00D10937" w:rsidRPr="00D10937">
        <w:t>Sofio’s arguments concerning the affect such a disclosure may have on the Commission’s process</w:t>
      </w:r>
      <w:r w:rsidR="00D10937">
        <w:t>.</w:t>
      </w:r>
      <w:r w:rsidR="00C301C3">
        <w:t xml:space="preserve">  </w:t>
      </w:r>
      <w:r w:rsidR="00F120D2">
        <w:t>We further note that</w:t>
      </w:r>
      <w:r w:rsidR="007B0F53">
        <w:t xml:space="preserve"> </w:t>
      </w:r>
      <w:r w:rsidR="00C301C3" w:rsidRPr="00C301C3">
        <w:rPr>
          <w:i/>
        </w:rPr>
        <w:t>Probe Research, Inc.</w:t>
      </w:r>
      <w:r w:rsidR="004B71A6">
        <w:t>, 50 RR2d 351 (1981)</w:t>
      </w:r>
      <w:r w:rsidR="007B0F53">
        <w:t>,</w:t>
      </w:r>
      <w:r w:rsidR="004B71A6">
        <w:t xml:space="preserve"> </w:t>
      </w:r>
      <w:r w:rsidR="00F120D2">
        <w:t xml:space="preserve">cited by Mr. Sofio, </w:t>
      </w:r>
      <w:r w:rsidR="004B71A6">
        <w:t xml:space="preserve">involves the </w:t>
      </w:r>
      <w:r w:rsidR="004B71A6" w:rsidRPr="006B6F0C">
        <w:rPr>
          <w:i/>
        </w:rPr>
        <w:t>voluntary</w:t>
      </w:r>
      <w:r w:rsidR="004B71A6">
        <w:t xml:space="preserve"> submission of a pricing </w:t>
      </w:r>
      <w:r w:rsidR="00F120D2">
        <w:t xml:space="preserve">guide, not information </w:t>
      </w:r>
      <w:r w:rsidR="00F120D2">
        <w:rPr>
          <w:i/>
        </w:rPr>
        <w:t xml:space="preserve">required </w:t>
      </w:r>
      <w:r w:rsidR="00F120D2">
        <w:t>to be disclosed under agency rules</w:t>
      </w:r>
      <w:r w:rsidR="004B71A6">
        <w:t xml:space="preserve">.  We find </w:t>
      </w:r>
      <w:r w:rsidR="004B71A6">
        <w:rPr>
          <w:i/>
        </w:rPr>
        <w:t xml:space="preserve">Probe </w:t>
      </w:r>
      <w:r w:rsidR="004B71A6">
        <w:t xml:space="preserve">to be irrelevant to the instant matter.   </w:t>
      </w:r>
      <w:r w:rsidR="00C301C3">
        <w:t xml:space="preserve">  </w:t>
      </w:r>
      <w:r w:rsidR="00D10937">
        <w:t xml:space="preserve">  </w:t>
      </w:r>
      <w:r w:rsidR="00D10937" w:rsidRPr="00D10937">
        <w:t xml:space="preserve">  </w:t>
      </w:r>
      <w:r w:rsidR="008518E0">
        <w:t xml:space="preserve"> </w:t>
      </w:r>
    </w:p>
    <w:p w14:paraId="073EBF42" w14:textId="77777777" w:rsidR="00BE5846" w:rsidRDefault="00BE5846">
      <w:pPr>
        <w:pStyle w:val="FootnoteText"/>
      </w:pPr>
    </w:p>
  </w:footnote>
  <w:footnote w:id="24">
    <w:p w14:paraId="0D3BFA15" w14:textId="77777777" w:rsidR="00EA6869" w:rsidRDefault="00EA6869">
      <w:pPr>
        <w:pStyle w:val="FootnoteText"/>
      </w:pPr>
      <w:r>
        <w:rPr>
          <w:rStyle w:val="FootnoteReference"/>
        </w:rPr>
        <w:footnoteRef/>
      </w:r>
      <w:r>
        <w:t xml:space="preserve"> </w:t>
      </w:r>
      <w:r w:rsidR="00521E95">
        <w:t xml:space="preserve">47 C.F.R. </w:t>
      </w:r>
      <w:r w:rsidR="00521E95" w:rsidRPr="00BE5846">
        <w:t xml:space="preserve">§ </w:t>
      </w:r>
      <w:r w:rsidR="00521E95">
        <w:t xml:space="preserve">0.459(d)(2).    </w:t>
      </w:r>
    </w:p>
    <w:p w14:paraId="50F5A675" w14:textId="77777777" w:rsidR="008518E0" w:rsidRDefault="008518E0">
      <w:pPr>
        <w:pStyle w:val="FootnoteText"/>
      </w:pPr>
    </w:p>
  </w:footnote>
  <w:footnote w:id="25">
    <w:p w14:paraId="7AFFC47F" w14:textId="77777777" w:rsidR="008518E0" w:rsidRDefault="008518E0">
      <w:pPr>
        <w:pStyle w:val="FootnoteText"/>
      </w:pPr>
      <w:r>
        <w:rPr>
          <w:rStyle w:val="FootnoteReference"/>
        </w:rPr>
        <w:footnoteRef/>
      </w:r>
      <w:r>
        <w:t xml:space="preserve"> </w:t>
      </w:r>
      <w:r w:rsidRPr="008518E0">
        <w:rPr>
          <w:i/>
        </w:rPr>
        <w:t>See Public Citizen Health Research Group v. F.D.A.</w:t>
      </w:r>
      <w:r w:rsidRPr="008518E0">
        <w:t xml:space="preserve">, 704 F.2d 1280, 1291 (D.C.Cir.1983) </w:t>
      </w:r>
      <w:r>
        <w:t>(“</w:t>
      </w:r>
      <w:r>
        <w:rPr>
          <w:i/>
        </w:rPr>
        <w:t>Public Citizen</w:t>
      </w:r>
      <w:r>
        <w:t xml:space="preserve">”) </w:t>
      </w:r>
      <w:r w:rsidRPr="008518E0">
        <w:t>(“Conclusory and generalized allegations of substantial competitive harm, of course, are unacceptable and cannot support an agency's decision to withhold requested documents.”).</w:t>
      </w:r>
    </w:p>
    <w:p w14:paraId="41222EDA" w14:textId="77777777" w:rsidR="008518E0" w:rsidRDefault="008518E0">
      <w:pPr>
        <w:pStyle w:val="FootnoteText"/>
      </w:pPr>
    </w:p>
  </w:footnote>
  <w:footnote w:id="26">
    <w:p w14:paraId="576C3EA1" w14:textId="77777777" w:rsidR="008518E0" w:rsidRDefault="008518E0">
      <w:pPr>
        <w:pStyle w:val="FootnoteText"/>
      </w:pPr>
      <w:r>
        <w:rPr>
          <w:rStyle w:val="FootnoteReference"/>
        </w:rPr>
        <w:footnoteRef/>
      </w:r>
      <w:r>
        <w:t xml:space="preserve"> </w:t>
      </w:r>
      <w:r w:rsidRPr="008518E0">
        <w:rPr>
          <w:i/>
        </w:rPr>
        <w:t>Iglesias v. C.I.A.</w:t>
      </w:r>
      <w:r w:rsidRPr="008518E0">
        <w:t>, 525 F.Supp. 547, 559 (D.D.C.1981).</w:t>
      </w:r>
    </w:p>
    <w:p w14:paraId="6EAB93BB" w14:textId="77777777" w:rsidR="008518E0" w:rsidRDefault="008518E0">
      <w:pPr>
        <w:pStyle w:val="FootnoteText"/>
      </w:pPr>
    </w:p>
  </w:footnote>
  <w:footnote w:id="27">
    <w:p w14:paraId="474F66B1" w14:textId="77777777" w:rsidR="008518E0" w:rsidRDefault="008518E0">
      <w:pPr>
        <w:pStyle w:val="FootnoteText"/>
      </w:pPr>
      <w:r>
        <w:rPr>
          <w:rStyle w:val="FootnoteReference"/>
        </w:rPr>
        <w:footnoteRef/>
      </w:r>
      <w:r w:rsidRPr="008518E0">
        <w:t xml:space="preserve"> </w:t>
      </w:r>
      <w:r w:rsidRPr="008518E0">
        <w:rPr>
          <w:i/>
        </w:rPr>
        <w:t>Public Citizen</w:t>
      </w:r>
      <w:r w:rsidRPr="008518E0">
        <w:t>, 704 F.2d at 1291 n. 30.</w:t>
      </w:r>
      <w:r>
        <w:t xml:space="preserve"> </w:t>
      </w:r>
    </w:p>
    <w:p w14:paraId="4C237495" w14:textId="77777777" w:rsidR="00D9324B" w:rsidRDefault="00D9324B">
      <w:pPr>
        <w:pStyle w:val="FootnoteText"/>
      </w:pPr>
    </w:p>
  </w:footnote>
  <w:footnote w:id="28">
    <w:p w14:paraId="073C61A2" w14:textId="77777777" w:rsidR="0040547C" w:rsidRDefault="00B60B1D">
      <w:pPr>
        <w:pStyle w:val="FootnoteText"/>
      </w:pPr>
      <w:r>
        <w:rPr>
          <w:rStyle w:val="FootnoteReference"/>
        </w:rPr>
        <w:footnoteRef/>
      </w:r>
      <w:r>
        <w:t xml:space="preserve"> Much of Mr. Sofio’s showing relates to concerns about disclosure of the terms of his loans, rather than the identity of his lenders.  As noted above, we have deferred consideration of those confidentiality issues in accordance with the Commission’s rules.</w:t>
      </w:r>
    </w:p>
    <w:p w14:paraId="327A2DBD" w14:textId="77777777" w:rsidR="00B60B1D" w:rsidRDefault="00B60B1D">
      <w:pPr>
        <w:pStyle w:val="FootnoteText"/>
      </w:pPr>
      <w:r>
        <w:t xml:space="preserve">  </w:t>
      </w:r>
    </w:p>
  </w:footnote>
  <w:footnote w:id="29">
    <w:p w14:paraId="143973BF" w14:textId="77777777" w:rsidR="002F02F5" w:rsidRDefault="002F02F5">
      <w:pPr>
        <w:pStyle w:val="FootnoteText"/>
      </w:pPr>
      <w:r>
        <w:rPr>
          <w:rStyle w:val="FootnoteReference"/>
        </w:rPr>
        <w:footnoteRef/>
      </w:r>
      <w:r>
        <w:t xml:space="preserve"> Request for Confidential Treatment at 2.</w:t>
      </w:r>
    </w:p>
    <w:p w14:paraId="7B1A0FD2" w14:textId="77777777" w:rsidR="0040547C" w:rsidRDefault="0040547C">
      <w:pPr>
        <w:pStyle w:val="FootnoteText"/>
      </w:pPr>
    </w:p>
  </w:footnote>
  <w:footnote w:id="30">
    <w:p w14:paraId="31DDD64A" w14:textId="77777777" w:rsidR="00D9324B" w:rsidRDefault="00D9324B">
      <w:pPr>
        <w:pStyle w:val="FootnoteText"/>
      </w:pPr>
      <w:r>
        <w:rPr>
          <w:rStyle w:val="FootnoteReference"/>
        </w:rPr>
        <w:footnoteRef/>
      </w:r>
      <w:r>
        <w:t xml:space="preserve"> </w:t>
      </w:r>
      <w:r w:rsidRPr="008518E0">
        <w:rPr>
          <w:i/>
        </w:rPr>
        <w:t>Public Citizen</w:t>
      </w:r>
      <w:r w:rsidRPr="008518E0">
        <w:t>, 704 F.2d at 1291 n. 30.</w:t>
      </w:r>
    </w:p>
    <w:p w14:paraId="2672970C" w14:textId="77777777" w:rsidR="00D9324B" w:rsidRDefault="00D9324B">
      <w:pPr>
        <w:pStyle w:val="FootnoteText"/>
      </w:pPr>
    </w:p>
  </w:footnote>
  <w:footnote w:id="31">
    <w:p w14:paraId="151969C0" w14:textId="77777777" w:rsidR="00872478" w:rsidRDefault="00D9324B">
      <w:pPr>
        <w:pStyle w:val="FootnoteText"/>
      </w:pPr>
      <w:r>
        <w:rPr>
          <w:rStyle w:val="FootnoteReference"/>
        </w:rPr>
        <w:footnoteRef/>
      </w:r>
      <w:r>
        <w:t xml:space="preserve"> Supplemental Confidentiality Request at 1.</w:t>
      </w:r>
      <w:r w:rsidR="007C6306">
        <w:t xml:space="preserve">  The Commission has distinguished the provisions set forth in 47 C.F.R. </w:t>
      </w:r>
      <w:r w:rsidR="007C6306" w:rsidRPr="00BE5846">
        <w:t>§</w:t>
      </w:r>
      <w:r w:rsidR="007C6306">
        <w:t xml:space="preserve"> 1.2110 (designated entities) from 47 C.F.R. </w:t>
      </w:r>
      <w:r w:rsidR="007C6306" w:rsidRPr="00BE5846">
        <w:t>§</w:t>
      </w:r>
      <w:r w:rsidR="007C6306">
        <w:t xml:space="preserve"> 1.2111 (transfer of control).</w:t>
      </w:r>
      <w:r w:rsidR="007C6306" w:rsidRPr="007C6306">
        <w:t xml:space="preserve"> </w:t>
      </w:r>
      <w:r w:rsidR="007C6306">
        <w:t xml:space="preserve"> Whereas the former requires a designate entity applicant to file agreements to demonstrate that it qualifies for </w:t>
      </w:r>
      <w:r w:rsidR="007C6306" w:rsidRPr="007C6306">
        <w:t>certain bidding credits</w:t>
      </w:r>
      <w:r w:rsidR="007C6306">
        <w:t xml:space="preserve">, the latter </w:t>
      </w:r>
      <w:r w:rsidR="007C6306" w:rsidRPr="007C6306">
        <w:t>requires the filing of purchase agreements to assess the Commission</w:t>
      </w:r>
      <w:r w:rsidR="007C6306">
        <w:t>’</w:t>
      </w:r>
      <w:r w:rsidR="007C6306" w:rsidRPr="007C6306">
        <w:t>s competitive bidding processes, not the parties</w:t>
      </w:r>
      <w:r w:rsidR="007C6306">
        <w:t>’</w:t>
      </w:r>
      <w:r w:rsidR="007C6306" w:rsidRPr="007C6306">
        <w:t xml:space="preserve"> qualifications.</w:t>
      </w:r>
      <w:r w:rsidR="007C6306">
        <w:t xml:space="preserve">  </w:t>
      </w:r>
      <w:r w:rsidR="007C6306">
        <w:rPr>
          <w:i/>
        </w:rPr>
        <w:t xml:space="preserve">See </w:t>
      </w:r>
      <w:r w:rsidR="007C6306">
        <w:t xml:space="preserve">AMTS Consortium, LLC, </w:t>
      </w:r>
      <w:r w:rsidR="007C6306" w:rsidRPr="00872478">
        <w:rPr>
          <w:i/>
        </w:rPr>
        <w:t>Memorandum Opinion and Order</w:t>
      </w:r>
      <w:r w:rsidR="007C6306">
        <w:t>,</w:t>
      </w:r>
      <w:r w:rsidR="007C6306" w:rsidRPr="00872478">
        <w:t xml:space="preserve"> 25 FCC Rcd 526</w:t>
      </w:r>
      <w:r w:rsidR="007C6306">
        <w:t xml:space="preserve"> (2010) (“</w:t>
      </w:r>
      <w:r w:rsidR="007C6306">
        <w:rPr>
          <w:i/>
        </w:rPr>
        <w:t>AMTS Consortium</w:t>
      </w:r>
      <w:r w:rsidR="007C6306">
        <w:t>”)</w:t>
      </w:r>
      <w:r w:rsidR="008C25B3">
        <w:t>.</w:t>
      </w:r>
      <w:r w:rsidR="007C6306">
        <w:t xml:space="preserve"> </w:t>
      </w:r>
      <w:r w:rsidR="007C6306">
        <w:rPr>
          <w:i/>
        </w:rPr>
        <w:t xml:space="preserve"> </w:t>
      </w:r>
      <w:r w:rsidR="007C6306" w:rsidRPr="00BE5846">
        <w:t xml:space="preserve"> </w:t>
      </w:r>
      <w:r w:rsidR="007C6306">
        <w:t xml:space="preserve"> </w:t>
      </w:r>
    </w:p>
    <w:p w14:paraId="0AFA9BAF" w14:textId="77777777" w:rsidR="00D9324B" w:rsidRDefault="00D9324B">
      <w:pPr>
        <w:pStyle w:val="FootnoteText"/>
      </w:pPr>
      <w:r>
        <w:t xml:space="preserve">  </w:t>
      </w:r>
    </w:p>
  </w:footnote>
  <w:footnote w:id="32">
    <w:p w14:paraId="4B332D24" w14:textId="77777777" w:rsidR="00872478" w:rsidRDefault="00872478">
      <w:pPr>
        <w:pStyle w:val="FootnoteText"/>
      </w:pPr>
      <w:r>
        <w:rPr>
          <w:rStyle w:val="FootnoteReference"/>
        </w:rPr>
        <w:footnoteRef/>
      </w:r>
      <w:r>
        <w:t xml:space="preserve"> </w:t>
      </w:r>
      <w:r w:rsidRPr="00872478">
        <w:t xml:space="preserve">Northeast Communications of Wisconsin, Inc., </w:t>
      </w:r>
      <w:r w:rsidRPr="00872478">
        <w:rPr>
          <w:i/>
        </w:rPr>
        <w:t>Memorandum Opinion and Order</w:t>
      </w:r>
      <w:r w:rsidRPr="00872478">
        <w:t>, 15 FCC Rcd 3289, 3290 ¶ 3 (2000)</w:t>
      </w:r>
      <w:r>
        <w:t xml:space="preserve"> </w:t>
      </w:r>
      <w:r w:rsidRPr="00872478">
        <w:t>(</w:t>
      </w:r>
      <w:r>
        <w:t>“</w:t>
      </w:r>
      <w:r w:rsidRPr="00872478">
        <w:rPr>
          <w:i/>
        </w:rPr>
        <w:t>Northeast Communications</w:t>
      </w:r>
      <w:r>
        <w:t xml:space="preserve">”); </w:t>
      </w:r>
      <w:r w:rsidRPr="008C25B3">
        <w:rPr>
          <w:i/>
        </w:rPr>
        <w:t>AMTS Consortium</w:t>
      </w:r>
      <w:r>
        <w:t xml:space="preserve">, </w:t>
      </w:r>
      <w:r w:rsidRPr="00872478">
        <w:t xml:space="preserve">25 FCC Rcd </w:t>
      </w:r>
      <w:r w:rsidR="008C25B3">
        <w:t xml:space="preserve">at 530 </w:t>
      </w:r>
      <w:r>
        <w:t xml:space="preserve">(noting that in </w:t>
      </w:r>
      <w:r>
        <w:rPr>
          <w:i/>
        </w:rPr>
        <w:t xml:space="preserve">Northeast Communications, </w:t>
      </w:r>
      <w:r w:rsidR="00D73E0F">
        <w:t>t</w:t>
      </w:r>
      <w:r w:rsidR="00D73E0F" w:rsidRPr="00D73E0F">
        <w:t>he Commission denied confidential treatment because the submitter had, by requesting a bidding credit, placed in issue the very information which it sought to shield from public scrutiny</w:t>
      </w:r>
      <w:r w:rsidR="00D73E0F">
        <w:t>) (internal quotations omitted)</w:t>
      </w:r>
      <w:r w:rsidR="00D73E0F" w:rsidRPr="00D73E0F">
        <w:t>.</w:t>
      </w:r>
    </w:p>
    <w:p w14:paraId="05578A22" w14:textId="77777777" w:rsidR="00100314" w:rsidRPr="00D73E0F" w:rsidRDefault="00100314">
      <w:pPr>
        <w:pStyle w:val="FootnoteText"/>
      </w:pPr>
    </w:p>
  </w:footnote>
  <w:footnote w:id="33">
    <w:p w14:paraId="0A5AFBD8" w14:textId="77777777" w:rsidR="00100314" w:rsidRDefault="00100314">
      <w:pPr>
        <w:pStyle w:val="FootnoteText"/>
      </w:pPr>
      <w:r>
        <w:rPr>
          <w:rStyle w:val="FootnoteReference"/>
        </w:rPr>
        <w:footnoteRef/>
      </w:r>
      <w:r>
        <w:t xml:space="preserve"> Supplemental Confidentiality Request at 1. </w:t>
      </w:r>
    </w:p>
    <w:p w14:paraId="5F7C3780" w14:textId="77777777" w:rsidR="00100314" w:rsidRDefault="00100314">
      <w:pPr>
        <w:pStyle w:val="FootnoteText"/>
      </w:pPr>
      <w:r>
        <w:t xml:space="preserve">   </w:t>
      </w:r>
    </w:p>
  </w:footnote>
  <w:footnote w:id="34">
    <w:p w14:paraId="3B6A25E2" w14:textId="77777777" w:rsidR="00100314" w:rsidRDefault="00100314" w:rsidP="00100314">
      <w:pPr>
        <w:pStyle w:val="FootnoteText"/>
      </w:pPr>
      <w:r>
        <w:rPr>
          <w:rStyle w:val="FootnoteReference"/>
        </w:rPr>
        <w:footnoteRef/>
      </w:r>
      <w:r>
        <w:t xml:space="preserve"> Supplemental Confidentiality Request at 1; Supplemental Confidentiality Request at 2 (“Unlike large companies who can rely on major financial institutions for debt financing, smaller entrepreneurs necessarily have to turn to friends and family for financing.  By compelling disclosure of the names of the lenders and amounts of the loans, the Commission will have effectively closed off the most ready source of financing for such applicants, indirectly removing from the applicant pool the very sort of innovative and independent entrepreneurs whom Congress instructed the Commission to encourage.”).</w:t>
      </w:r>
    </w:p>
    <w:p w14:paraId="723C16A8" w14:textId="77777777" w:rsidR="00100314" w:rsidRDefault="00100314" w:rsidP="00100314">
      <w:pPr>
        <w:pStyle w:val="FootnoteText"/>
      </w:pPr>
    </w:p>
  </w:footnote>
  <w:footnote w:id="35">
    <w:p w14:paraId="063E16C8" w14:textId="77777777" w:rsidR="007F4D1D" w:rsidRDefault="007F4D1D">
      <w:pPr>
        <w:pStyle w:val="FootnoteText"/>
      </w:pPr>
      <w:r>
        <w:rPr>
          <w:rStyle w:val="FootnoteReference"/>
        </w:rPr>
        <w:footnoteRef/>
      </w:r>
      <w:r>
        <w:t xml:space="preserve"> 47 C.F.R. § 1.2110(j); 47 C.F.R. § 1.2112(b)(1)(iii)</w:t>
      </w:r>
      <w:r w:rsidR="00D57869">
        <w:t xml:space="preserve">; </w:t>
      </w:r>
      <w:r w:rsidR="00FF6E04">
        <w:rPr>
          <w:i/>
        </w:rPr>
        <w:t xml:space="preserve">see also </w:t>
      </w:r>
      <w:r w:rsidR="00D57869">
        <w:rPr>
          <w:i/>
        </w:rPr>
        <w:t xml:space="preserve">Winning Bidders </w:t>
      </w:r>
      <w:r w:rsidR="00D57869" w:rsidRPr="00870DE0">
        <w:rPr>
          <w:i/>
        </w:rPr>
        <w:t>Public Notice</w:t>
      </w:r>
      <w:r w:rsidR="00D57869">
        <w:rPr>
          <w:i/>
        </w:rPr>
        <w:t xml:space="preserve">, </w:t>
      </w:r>
      <w:r w:rsidR="00D57869">
        <w:t>Attachment D at 4</w:t>
      </w:r>
      <w:r w:rsidR="00FF6E04">
        <w:t xml:space="preserve"> (explaining that an applicant must list agreement name, agreement type, and parties to the agreement in the FCC Form 601, Schedule B and must summarize its agreements in Exhibit D and provide copies of each agreement as part of Exhibit D);</w:t>
      </w:r>
      <w:r w:rsidR="00D57869">
        <w:t xml:space="preserve"> FCC Form 601, Schedule B, Instructions at 2</w:t>
      </w:r>
      <w:r w:rsidR="006C6E9B">
        <w:t xml:space="preserve"> (</w:t>
      </w:r>
      <w:r w:rsidR="00FF6E04">
        <w:t xml:space="preserve">requiring an applicant to </w:t>
      </w:r>
      <w:r w:rsidR="0084151D">
        <w:t xml:space="preserve">identify </w:t>
      </w:r>
      <w:r w:rsidR="00FF6E04">
        <w:t xml:space="preserve">the name </w:t>
      </w:r>
      <w:r w:rsidR="0084151D">
        <w:t xml:space="preserve">of </w:t>
      </w:r>
      <w:r w:rsidR="00FF6E04">
        <w:t xml:space="preserve">the agreement, the parties to the agreement, and </w:t>
      </w:r>
      <w:r w:rsidR="0084151D">
        <w:t xml:space="preserve">the </w:t>
      </w:r>
      <w:r w:rsidR="00FF6E04">
        <w:t xml:space="preserve">type of agreement); </w:t>
      </w:r>
      <w:r w:rsidR="00F21110">
        <w:t xml:space="preserve">47 C.F.R. § 1.2110(n) </w:t>
      </w:r>
      <w:r w:rsidR="006C6E9B">
        <w:t xml:space="preserve">(imposing a continuing requirement </w:t>
      </w:r>
      <w:r w:rsidR="0084151D">
        <w:t xml:space="preserve">on a </w:t>
      </w:r>
      <w:r w:rsidR="006C6E9B">
        <w:t>designated entit</w:t>
      </w:r>
      <w:r w:rsidR="0084151D">
        <w:t xml:space="preserve">y </w:t>
      </w:r>
      <w:r w:rsidR="006C6E9B">
        <w:t>to file agreement</w:t>
      </w:r>
      <w:r w:rsidR="0084151D">
        <w:t>(</w:t>
      </w:r>
      <w:r w:rsidR="006C6E9B">
        <w:t>s</w:t>
      </w:r>
      <w:r w:rsidR="0084151D">
        <w:t>)</w:t>
      </w:r>
      <w:r w:rsidR="006C6E9B">
        <w:t xml:space="preserve"> as part of an annual report); FCC Form 611-T, Instructions at 2 (</w:t>
      </w:r>
      <w:r w:rsidR="00AB0DC3">
        <w:t>providing instructions for the continuing obligation for a designated entity to file agreements)</w:t>
      </w:r>
      <w:r w:rsidR="00F21110">
        <w:t xml:space="preserve">; </w:t>
      </w:r>
      <w:r w:rsidR="00EA5983">
        <w:rPr>
          <w:color w:val="000000"/>
        </w:rPr>
        <w:t xml:space="preserve">Implementation of the Commercial Spectrum Enhancement Act and Modernization of the Commission’s Competitive Bidding Rules and Procedures, </w:t>
      </w:r>
      <w:r w:rsidR="00EA5983" w:rsidRPr="00AB0DC3">
        <w:rPr>
          <w:i/>
          <w:color w:val="000000"/>
        </w:rPr>
        <w:t>Second Report and Order and Second Further Notice of Proposed Rule Making</w:t>
      </w:r>
      <w:r w:rsidR="00EA5983">
        <w:rPr>
          <w:color w:val="000000"/>
        </w:rPr>
        <w:t>,</w:t>
      </w:r>
      <w:r w:rsidR="00EA5983" w:rsidRPr="00EA5983">
        <w:t xml:space="preserve"> </w:t>
      </w:r>
      <w:r w:rsidR="00EA5983" w:rsidRPr="00EA5983">
        <w:rPr>
          <w:color w:val="000000"/>
        </w:rPr>
        <w:t xml:space="preserve">21 FCC </w:t>
      </w:r>
      <w:r w:rsidR="00180079">
        <w:rPr>
          <w:color w:val="000000"/>
        </w:rPr>
        <w:t>Rcd</w:t>
      </w:r>
      <w:r w:rsidR="00EA5983" w:rsidRPr="00EA5983">
        <w:rPr>
          <w:color w:val="000000"/>
        </w:rPr>
        <w:t xml:space="preserve"> 4753</w:t>
      </w:r>
      <w:r w:rsidR="00EA5983">
        <w:rPr>
          <w:color w:val="000000"/>
        </w:rPr>
        <w:t>, 4768 ¶ 42 (2006) (“</w:t>
      </w:r>
      <w:r w:rsidR="00EA5983">
        <w:rPr>
          <w:i/>
          <w:color w:val="000000"/>
        </w:rPr>
        <w:t>2006 Competitive Bidding Second R&amp;O</w:t>
      </w:r>
      <w:r w:rsidR="00EA5983">
        <w:rPr>
          <w:color w:val="000000"/>
        </w:rPr>
        <w:t>”) (“</w:t>
      </w:r>
      <w:r w:rsidR="00EA5983" w:rsidRPr="00EA5983">
        <w:rPr>
          <w:color w:val="000000"/>
        </w:rPr>
        <w:t>we will review the agreements to which designated entity applicants and licensees are parties</w:t>
      </w:r>
      <w:r w:rsidR="00EA5983">
        <w:rPr>
          <w:color w:val="000000"/>
        </w:rPr>
        <w:t xml:space="preserve">”).  The Commission explained </w:t>
      </w:r>
      <w:r w:rsidR="00F21110">
        <w:rPr>
          <w:color w:val="000000"/>
        </w:rPr>
        <w:t>that “</w:t>
      </w:r>
      <w:r w:rsidR="00EA5983" w:rsidRPr="00EA5983">
        <w:rPr>
          <w:color w:val="000000"/>
        </w:rPr>
        <w:t>we will undertake a thorough review of the long-form application (FCC Form 601) filed by every winning bidder claiming designated entity benefits and will carefully review all relevant contracts, agreements, letters of intent, and other such documents affecting that applicant.</w:t>
      </w:r>
      <w:r w:rsidR="00F21110">
        <w:rPr>
          <w:color w:val="000000"/>
        </w:rPr>
        <w:t xml:space="preserve"> . . .  </w:t>
      </w:r>
      <w:r w:rsidR="00EA5983" w:rsidRPr="00EA5983">
        <w:rPr>
          <w:color w:val="000000"/>
        </w:rPr>
        <w:t>Thus, we will require that all designated entity applicants that are winning bidders at an auction file all relevant contracts, agreements, letters of intent, and other such documents affecting that applicant as part of the long-form application (FCC Form 601).</w:t>
      </w:r>
      <w:r w:rsidR="00F21110">
        <w:rPr>
          <w:color w:val="000000"/>
        </w:rPr>
        <w:t xml:space="preserve">”  </w:t>
      </w:r>
      <w:r w:rsidR="00F21110">
        <w:rPr>
          <w:i/>
          <w:color w:val="000000"/>
        </w:rPr>
        <w:t xml:space="preserve">Id. </w:t>
      </w:r>
      <w:r w:rsidR="00F21110">
        <w:rPr>
          <w:color w:val="000000"/>
        </w:rPr>
        <w:t xml:space="preserve">at 4769 ¶ 44.         </w:t>
      </w:r>
      <w:r w:rsidR="00EA5983">
        <w:rPr>
          <w:color w:val="000000"/>
        </w:rPr>
        <w:t xml:space="preserve">  </w:t>
      </w:r>
    </w:p>
    <w:p w14:paraId="16FCB1ED" w14:textId="77777777" w:rsidR="007F4D1D" w:rsidRDefault="007F4D1D">
      <w:pPr>
        <w:pStyle w:val="FootnoteText"/>
      </w:pPr>
    </w:p>
  </w:footnote>
  <w:footnote w:id="36">
    <w:p w14:paraId="77429E92" w14:textId="77777777" w:rsidR="002F02F5" w:rsidRDefault="002F02F5">
      <w:pPr>
        <w:pStyle w:val="FootnoteText"/>
      </w:pPr>
      <w:r>
        <w:rPr>
          <w:rStyle w:val="FootnoteReference"/>
        </w:rPr>
        <w:footnoteRef/>
      </w:r>
      <w:r>
        <w:t xml:space="preserve"> 5 U.S.C. §</w:t>
      </w:r>
      <w:r w:rsidR="00B3432A">
        <w:t xml:space="preserve"> </w:t>
      </w:r>
      <w:r>
        <w:t>552(b)(6).</w:t>
      </w:r>
    </w:p>
    <w:p w14:paraId="51CA4033" w14:textId="77777777" w:rsidR="006B6F0C" w:rsidRDefault="006B6F0C">
      <w:pPr>
        <w:pStyle w:val="FootnoteText"/>
      </w:pPr>
    </w:p>
  </w:footnote>
  <w:footnote w:id="37">
    <w:p w14:paraId="570DB36D" w14:textId="77777777" w:rsidR="006E3EF4" w:rsidRDefault="006E3EF4">
      <w:pPr>
        <w:pStyle w:val="FootnoteText"/>
      </w:pPr>
      <w:r>
        <w:rPr>
          <w:rStyle w:val="FootnoteReference"/>
        </w:rPr>
        <w:footnoteRef/>
      </w:r>
      <w:r>
        <w:t xml:space="preserve"> As noted above, the disclosure will also reveal that the agreements extend beyond mere promises of payments and terms related thereto.   </w:t>
      </w:r>
    </w:p>
    <w:p w14:paraId="43A940B4" w14:textId="77777777" w:rsidR="006E3EF4" w:rsidRDefault="006E3EF4">
      <w:pPr>
        <w:pStyle w:val="FootnoteText"/>
      </w:pPr>
    </w:p>
  </w:footnote>
  <w:footnote w:id="38">
    <w:p w14:paraId="4F2406A4" w14:textId="77777777" w:rsidR="005433E1" w:rsidRDefault="005433E1">
      <w:pPr>
        <w:pStyle w:val="FootnoteText"/>
      </w:pPr>
      <w:r>
        <w:rPr>
          <w:rStyle w:val="FootnoteReference"/>
        </w:rPr>
        <w:footnoteRef/>
      </w:r>
      <w:r>
        <w:t xml:space="preserve"> </w:t>
      </w:r>
      <w:r>
        <w:rPr>
          <w:i/>
        </w:rPr>
        <w:t xml:space="preserve">See </w:t>
      </w:r>
      <w:r w:rsidRPr="005433E1">
        <w:t>Supplemental</w:t>
      </w:r>
      <w:r w:rsidRPr="005433E1">
        <w:rPr>
          <w:i/>
        </w:rPr>
        <w:t xml:space="preserve"> </w:t>
      </w:r>
      <w:r>
        <w:t>Confidentiality Request at 2 (“</w:t>
      </w:r>
      <w:r w:rsidRPr="005433E1">
        <w:t>Disclosure of their identities and the specifics of each loan would place their personal financial affairs at risk by alerting outside parties with whom they may be dealing to the size and extent of their funding capabilities and funding commitments</w:t>
      </w:r>
      <w:r w:rsidRPr="005433E1">
        <w:rPr>
          <w:i/>
        </w:rPr>
        <w:t>.</w:t>
      </w:r>
      <w:r>
        <w:t>”).</w:t>
      </w:r>
    </w:p>
    <w:p w14:paraId="341FA5D5" w14:textId="77777777" w:rsidR="00100314" w:rsidRPr="005433E1" w:rsidRDefault="00100314">
      <w:pPr>
        <w:pStyle w:val="FootnoteText"/>
      </w:pPr>
    </w:p>
  </w:footnote>
  <w:footnote w:id="39">
    <w:p w14:paraId="3D29B791" w14:textId="77777777" w:rsidR="0046241B" w:rsidRDefault="0046241B">
      <w:pPr>
        <w:pStyle w:val="FootnoteText"/>
      </w:pPr>
      <w:r>
        <w:rPr>
          <w:rStyle w:val="FootnoteReference"/>
        </w:rPr>
        <w:footnoteRef/>
      </w:r>
      <w:r>
        <w:t xml:space="preserve"> Percy Squire, </w:t>
      </w:r>
      <w:r>
        <w:rPr>
          <w:i/>
        </w:rPr>
        <w:t>Memorandum Opinion and Order</w:t>
      </w:r>
      <w:r>
        <w:t xml:space="preserve">, </w:t>
      </w:r>
      <w:r>
        <w:rPr>
          <w:color w:val="000000"/>
        </w:rPr>
        <w:t xml:space="preserve">26 FCC </w:t>
      </w:r>
      <w:r w:rsidR="00180079">
        <w:rPr>
          <w:color w:val="000000"/>
        </w:rPr>
        <w:t>Rcd</w:t>
      </w:r>
      <w:r>
        <w:rPr>
          <w:color w:val="000000"/>
        </w:rPr>
        <w:t xml:space="preserve"> 14930 (2011) (“</w:t>
      </w:r>
      <w:r>
        <w:rPr>
          <w:i/>
          <w:color w:val="000000"/>
        </w:rPr>
        <w:t>Percy Squire</w:t>
      </w:r>
      <w:r>
        <w:rPr>
          <w:color w:val="000000"/>
        </w:rPr>
        <w:t>”).</w:t>
      </w:r>
      <w:r>
        <w:t xml:space="preserve"> </w:t>
      </w:r>
    </w:p>
    <w:p w14:paraId="047411B1" w14:textId="77777777" w:rsidR="0046241B" w:rsidRDefault="0046241B">
      <w:pPr>
        <w:pStyle w:val="FootnoteText"/>
      </w:pPr>
    </w:p>
  </w:footnote>
  <w:footnote w:id="40">
    <w:p w14:paraId="73D768DF" w14:textId="77777777" w:rsidR="0046241B" w:rsidRDefault="0046241B">
      <w:pPr>
        <w:pStyle w:val="FootnoteText"/>
      </w:pPr>
      <w:r>
        <w:rPr>
          <w:rStyle w:val="FootnoteReference"/>
        </w:rPr>
        <w:footnoteRef/>
      </w:r>
      <w:r>
        <w:t xml:space="preserve"> </w:t>
      </w:r>
      <w:r w:rsidR="00120CD9">
        <w:rPr>
          <w:i/>
        </w:rPr>
        <w:t xml:space="preserve">See </w:t>
      </w:r>
      <w:r w:rsidR="00120CD9" w:rsidRPr="005433E1">
        <w:t>Supplemental</w:t>
      </w:r>
      <w:r w:rsidR="00120CD9" w:rsidRPr="005433E1">
        <w:rPr>
          <w:i/>
        </w:rPr>
        <w:t xml:space="preserve"> </w:t>
      </w:r>
      <w:r w:rsidR="00120CD9">
        <w:t xml:space="preserve">Confidentiality Request at 1.  </w:t>
      </w:r>
    </w:p>
    <w:p w14:paraId="29DF2E58" w14:textId="77777777" w:rsidR="0046241B" w:rsidRDefault="0046241B">
      <w:pPr>
        <w:pStyle w:val="FootnoteText"/>
      </w:pPr>
    </w:p>
  </w:footnote>
  <w:footnote w:id="41">
    <w:p w14:paraId="7201BF35" w14:textId="77777777" w:rsidR="00120CD9" w:rsidRDefault="00703604">
      <w:pPr>
        <w:pStyle w:val="FootnoteText"/>
      </w:pPr>
      <w:r>
        <w:rPr>
          <w:rStyle w:val="FootnoteReference"/>
        </w:rPr>
        <w:footnoteRef/>
      </w:r>
      <w:r>
        <w:t xml:space="preserve"> </w:t>
      </w:r>
      <w:r w:rsidR="00120CD9">
        <w:t>Zw</w:t>
      </w:r>
      <w:r w:rsidR="00896F0B">
        <w:t>i</w:t>
      </w:r>
      <w:r w:rsidR="00777107">
        <w:t>rn</w:t>
      </w:r>
      <w:r w:rsidR="00120CD9">
        <w:t xml:space="preserve"> sought to protect all of the information from disclosure due to ongoing litigation and fear that the other party may abuse the information.  The Commission rejected Zwir</w:t>
      </w:r>
      <w:r w:rsidR="00777107">
        <w:t>n</w:t>
      </w:r>
      <w:r w:rsidR="00120CD9">
        <w:t xml:space="preserve">’s contention as being an inappropriate basis for granting confidential treatment.  </w:t>
      </w:r>
      <w:r w:rsidR="00120CD9">
        <w:rPr>
          <w:i/>
          <w:color w:val="000000"/>
        </w:rPr>
        <w:t>Percy Squire</w:t>
      </w:r>
      <w:r w:rsidR="00120CD9">
        <w:rPr>
          <w:color w:val="000000"/>
        </w:rPr>
        <w:t xml:space="preserve">, 26 FCC Rcd at14933 ¶¶ 7-8. </w:t>
      </w:r>
      <w:r w:rsidR="00120CD9">
        <w:t xml:space="preserve">   </w:t>
      </w:r>
    </w:p>
    <w:p w14:paraId="48113AE8" w14:textId="77777777" w:rsidR="00703604" w:rsidRDefault="00120CD9">
      <w:pPr>
        <w:pStyle w:val="FootnoteText"/>
      </w:pPr>
      <w:r>
        <w:t xml:space="preserve"> </w:t>
      </w:r>
    </w:p>
  </w:footnote>
  <w:footnote w:id="42">
    <w:p w14:paraId="580DAA6D" w14:textId="77777777" w:rsidR="00C008D7" w:rsidRPr="00EC2FC3" w:rsidRDefault="00C008D7" w:rsidP="00C008D7">
      <w:r>
        <w:rPr>
          <w:rStyle w:val="FootnoteReference"/>
        </w:rPr>
        <w:footnoteRef/>
      </w:r>
      <w:r w:rsidR="00D36A13">
        <w:t xml:space="preserve"> </w:t>
      </w:r>
      <w:r w:rsidRPr="00EC2FC3">
        <w:t xml:space="preserve">The term “abuse of process” has been defined as “the use of a Commission process, procedure or rule to achieve a result which that process, procedure or rule was not designed or intended to achieve or, alternatively, use of such process, procedure, or rule in a manner which subverts the underlying intended purpose of that process, procedure, or rule.” Formulation of Policies and Rules Relating to Broadcast Renewal Applicants, Competing Applicants, and Other Participants to the Comparative Renewal Process and to the Prevention of Abuse of the Renewal Process, </w:t>
      </w:r>
      <w:r w:rsidRPr="00EC2FC3">
        <w:rPr>
          <w:i/>
        </w:rPr>
        <w:t>First Report and Order</w:t>
      </w:r>
      <w:r w:rsidRPr="00EC2FC3">
        <w:t xml:space="preserve">, 4 FCC </w:t>
      </w:r>
      <w:r w:rsidR="00180079">
        <w:t>Rcd</w:t>
      </w:r>
      <w:r w:rsidRPr="00EC2FC3">
        <w:t xml:space="preserve"> 4780, 4793 n.3 (1989);</w:t>
      </w:r>
      <w:r w:rsidRPr="00EC2FC3">
        <w:rPr>
          <w:i/>
        </w:rPr>
        <w:t xml:space="preserve"> see</w:t>
      </w:r>
      <w:r w:rsidRPr="00EC2FC3">
        <w:t xml:space="preserve"> Silver Star Communications-Albany, Inc., </w:t>
      </w:r>
      <w:r w:rsidRPr="00EC2FC3">
        <w:rPr>
          <w:i/>
        </w:rPr>
        <w:t>Memorandum Opinion and Order</w:t>
      </w:r>
      <w:r w:rsidRPr="00EC2FC3">
        <w:t xml:space="preserve">, 3 FCC </w:t>
      </w:r>
      <w:r w:rsidR="00180079">
        <w:t>Rcd</w:t>
      </w:r>
      <w:r w:rsidRPr="00EC2FC3">
        <w:t xml:space="preserve"> 6342, 6352 ¶ 41 (1988); Amendment of Sections 1.420 and 73.3584 of the Commission's Rules Concerning Abuses of the Commission's Process</w:t>
      </w:r>
      <w:r w:rsidRPr="00EC2FC3">
        <w:rPr>
          <w:i/>
        </w:rPr>
        <w:t>, Notice of Proposed Rulemaking</w:t>
      </w:r>
      <w:r w:rsidRPr="00EC2FC3">
        <w:t xml:space="preserve">, 2 FCC </w:t>
      </w:r>
      <w:r w:rsidR="00180079">
        <w:t>Rcd</w:t>
      </w:r>
      <w:r w:rsidRPr="00EC2FC3">
        <w:t xml:space="preserve"> 5563, 5563 ¶ 2 (1987); </w:t>
      </w:r>
      <w:r w:rsidRPr="00D36A13">
        <w:rPr>
          <w:i/>
        </w:rPr>
        <w:t>see also</w:t>
      </w:r>
      <w:r w:rsidRPr="00EC2FC3">
        <w:t xml:space="preserve"> Policy Regarding Character Qualifications In Broadcast Licensing, Report, Order and Policy Statement, 102 FCC 2d 1179 (1986), </w:t>
      </w:r>
      <w:r w:rsidRPr="00EC2FC3">
        <w:rPr>
          <w:i/>
        </w:rPr>
        <w:t>recon. granted in part and denied in part</w:t>
      </w:r>
      <w:r w:rsidRPr="00EC2FC3">
        <w:t xml:space="preserve">, 1 FCC </w:t>
      </w:r>
      <w:r w:rsidR="00180079">
        <w:t>Rcd</w:t>
      </w:r>
      <w:r w:rsidRPr="00EC2FC3">
        <w:t xml:space="preserve"> 421 (1986), </w:t>
      </w:r>
      <w:r w:rsidRPr="00EC2FC3">
        <w:rPr>
          <w:i/>
        </w:rPr>
        <w:t>appeal dismissed mem. sub nom</w:t>
      </w:r>
      <w:r w:rsidRPr="00EC2FC3">
        <w:t xml:space="preserve"> National Assoc. for Better Broadcasting v. FCC, No. 86-1179 (D.C. Cir. June 11, 1987) (strike pleadings, harassment of opposing parties, and violation of ex parte rules constitute abuse of process).</w:t>
      </w:r>
    </w:p>
    <w:p w14:paraId="1F4FF0C4" w14:textId="77777777" w:rsidR="00C008D7" w:rsidRPr="00EC2FC3" w:rsidRDefault="00C008D7" w:rsidP="00C008D7">
      <w:pPr>
        <w:pStyle w:val="FootnoteText"/>
      </w:pPr>
    </w:p>
  </w:footnote>
  <w:footnote w:id="43">
    <w:p w14:paraId="58D44886" w14:textId="77777777" w:rsidR="00C008D7" w:rsidRPr="00EC2FC3" w:rsidRDefault="00C008D7" w:rsidP="00C008D7">
      <w:r w:rsidRPr="00EC2FC3">
        <w:rPr>
          <w:rStyle w:val="FootnoteReference"/>
        </w:rPr>
        <w:footnoteRef/>
      </w:r>
      <w:r w:rsidRPr="00EC2FC3">
        <w:t xml:space="preserve"> </w:t>
      </w:r>
      <w:r w:rsidRPr="007755E4">
        <w:rPr>
          <w:i/>
        </w:rPr>
        <w:t>See</w:t>
      </w:r>
      <w:r w:rsidRPr="00EC2FC3">
        <w:t xml:space="preserve"> Commission Taking Tough Measures against Frivolous Pleadings, </w:t>
      </w:r>
      <w:r w:rsidRPr="00EC2FC3">
        <w:rPr>
          <w:i/>
        </w:rPr>
        <w:t>Public Notice</w:t>
      </w:r>
      <w:r w:rsidRPr="00EC2FC3">
        <w:t>, FCC No. 96-42, 11 FCC Rcd 3030 (1996) (“the Federal Communications Commission reminds parties to our proceedings and their attorneys that our rules prohibit the filing of frivolous pleadings or pleadings filed for the purpose of delay in proceedings before</w:t>
      </w:r>
      <w:r w:rsidR="008A6D52">
        <w:t xml:space="preserve"> the Commission or its staff.”).</w:t>
      </w:r>
    </w:p>
    <w:p w14:paraId="62EF14CB" w14:textId="77777777" w:rsidR="00C008D7" w:rsidRPr="00EC2FC3" w:rsidRDefault="00C008D7" w:rsidP="00C008D7">
      <w:pPr>
        <w:pStyle w:val="FootnoteText"/>
      </w:pPr>
    </w:p>
  </w:footnote>
  <w:footnote w:id="44">
    <w:p w14:paraId="08FDA0F7" w14:textId="77777777" w:rsidR="009B7A74" w:rsidRDefault="009B7A74" w:rsidP="009B7A74">
      <w:pPr>
        <w:pStyle w:val="FootnoteText"/>
      </w:pPr>
      <w:r>
        <w:rPr>
          <w:rStyle w:val="FootnoteReference"/>
        </w:rPr>
        <w:footnoteRef/>
      </w:r>
      <w:r>
        <w:t xml:space="preserve"> 47 C.F.R. § 0.459(d)(3).</w:t>
      </w:r>
    </w:p>
    <w:p w14:paraId="0514E8D1" w14:textId="77777777" w:rsidR="009B7A74" w:rsidRDefault="009B7A74" w:rsidP="009B7A74">
      <w:pPr>
        <w:pStyle w:val="FootnoteText"/>
      </w:pPr>
    </w:p>
  </w:footnote>
  <w:footnote w:id="45">
    <w:p w14:paraId="0E345F8A" w14:textId="77777777" w:rsidR="004B3D61" w:rsidRDefault="004B3D61" w:rsidP="004B3D61">
      <w:pPr>
        <w:pStyle w:val="FootnoteText"/>
      </w:pPr>
      <w:r>
        <w:rPr>
          <w:rStyle w:val="FootnoteReference"/>
        </w:rPr>
        <w:footnoteRef/>
      </w:r>
      <w:r>
        <w:t xml:space="preserve"> 47 C.F.R. § 0.459</w:t>
      </w:r>
      <w:r w:rsidRPr="00011398">
        <w:t>(g).</w:t>
      </w:r>
    </w:p>
    <w:p w14:paraId="0A41DACC" w14:textId="77777777" w:rsidR="004B3D61" w:rsidRDefault="004B3D61" w:rsidP="004B3D61">
      <w:pPr>
        <w:pStyle w:val="FootnoteText"/>
      </w:pPr>
    </w:p>
  </w:footnote>
  <w:footnote w:id="46">
    <w:p w14:paraId="1B73774A" w14:textId="77777777" w:rsidR="004B3D61" w:rsidRDefault="004B3D61" w:rsidP="004B3D61">
      <w:pPr>
        <w:pStyle w:val="FootnoteText"/>
      </w:pPr>
      <w:r>
        <w:rPr>
          <w:rStyle w:val="FootnoteReference"/>
        </w:rPr>
        <w:footnoteRef/>
      </w:r>
      <w:r>
        <w:t xml:space="preserve"> 47 C.F.R. § 0.459</w:t>
      </w:r>
      <w:r w:rsidRPr="00011398">
        <w:t>(g)</w:t>
      </w:r>
      <w:r>
        <w:t xml:space="preserve">.  </w:t>
      </w:r>
    </w:p>
    <w:p w14:paraId="37B407AF" w14:textId="77777777" w:rsidR="004B3D61" w:rsidRDefault="004B3D61" w:rsidP="004B3D61">
      <w:pPr>
        <w:pStyle w:val="FootnoteText"/>
      </w:pPr>
    </w:p>
  </w:footnote>
  <w:footnote w:id="47">
    <w:p w14:paraId="10978816" w14:textId="77777777" w:rsidR="004B3D61" w:rsidRDefault="004B3D61" w:rsidP="004B3D61">
      <w:pPr>
        <w:pStyle w:val="FootnoteText"/>
      </w:pPr>
      <w:r>
        <w:rPr>
          <w:rStyle w:val="FootnoteReference"/>
        </w:rPr>
        <w:footnoteRef/>
      </w:r>
      <w:r>
        <w:t xml:space="preserve"> 47 C.F.R. § 0.459</w:t>
      </w:r>
      <w:r w:rsidRPr="00011398">
        <w:t>(g)</w:t>
      </w:r>
      <w:r>
        <w:t>.</w:t>
      </w:r>
    </w:p>
    <w:p w14:paraId="204C80B9" w14:textId="77777777" w:rsidR="004B3D61" w:rsidRDefault="004B3D61" w:rsidP="004B3D61">
      <w:pPr>
        <w:pStyle w:val="FootnoteText"/>
      </w:pPr>
    </w:p>
  </w:footnote>
  <w:footnote w:id="48">
    <w:p w14:paraId="31F2ECAF" w14:textId="77777777" w:rsidR="004B3D61" w:rsidRDefault="004B3D61" w:rsidP="004B3D61">
      <w:pPr>
        <w:pStyle w:val="FootnoteText"/>
      </w:pPr>
      <w:r>
        <w:rPr>
          <w:rStyle w:val="FootnoteReference"/>
        </w:rPr>
        <w:footnoteRef/>
      </w:r>
      <w:r>
        <w:t xml:space="preserve"> 47 C.F.R. § 0.459</w:t>
      </w:r>
      <w:r w:rsidRPr="00011398">
        <w:t>(g)</w:t>
      </w:r>
      <w:r>
        <w:t>.</w:t>
      </w:r>
    </w:p>
    <w:p w14:paraId="4F6EC73F" w14:textId="77777777" w:rsidR="004B3D61" w:rsidRDefault="004B3D61" w:rsidP="004B3D61">
      <w:pPr>
        <w:pStyle w:val="FootnoteText"/>
      </w:pPr>
    </w:p>
  </w:footnote>
  <w:footnote w:id="49">
    <w:p w14:paraId="67DE9546" w14:textId="77777777" w:rsidR="004B3D61" w:rsidRPr="00977AFC" w:rsidRDefault="004B3D61" w:rsidP="004B3D61">
      <w:pPr>
        <w:rPr>
          <w:sz w:val="22"/>
          <w:szCs w:val="22"/>
        </w:rPr>
      </w:pPr>
      <w:r>
        <w:rPr>
          <w:rStyle w:val="FootnoteReference"/>
          <w:sz w:val="22"/>
          <w:szCs w:val="22"/>
        </w:rPr>
        <w:footnoteRef/>
      </w:r>
      <w:r>
        <w:t xml:space="preserve">  47 C.F.R. §§ 0.459(g), 0.461.</w:t>
      </w:r>
    </w:p>
    <w:p w14:paraId="61119304" w14:textId="77777777" w:rsidR="004B3D61" w:rsidRDefault="004B3D61" w:rsidP="004B3D61">
      <w:pPr>
        <w:pStyle w:val="FootnoteText"/>
      </w:pPr>
    </w:p>
  </w:footnote>
  <w:footnote w:id="50">
    <w:p w14:paraId="7A41F291" w14:textId="77777777" w:rsidR="004B3D61" w:rsidRDefault="004B3D61" w:rsidP="004B3D61">
      <w:pPr>
        <w:pStyle w:val="FootnoteText"/>
      </w:pPr>
      <w:r>
        <w:rPr>
          <w:rStyle w:val="FootnoteReference"/>
        </w:rPr>
        <w:footnoteRef/>
      </w:r>
      <w:r>
        <w:t xml:space="preserve">  47 C.F.R. § 0.331.</w:t>
      </w:r>
    </w:p>
    <w:p w14:paraId="4F039704" w14:textId="77777777" w:rsidR="004B3D61" w:rsidRDefault="004B3D61" w:rsidP="004B3D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A4C7" w14:textId="77777777" w:rsidR="00481DED" w:rsidRDefault="00481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5E39" w14:textId="4CD08099" w:rsidR="00D327BE" w:rsidRPr="00F52B7E" w:rsidRDefault="00EF61BD" w:rsidP="00D327BE">
    <w:r>
      <w:t>D</w:t>
    </w:r>
    <w:r w:rsidR="006A35A7" w:rsidRPr="00F52B7E">
      <w:t>onald J. Evans, Esq.</w:t>
    </w:r>
    <w:r w:rsidR="006E03D8">
      <w:tab/>
    </w:r>
    <w:r w:rsidR="006E03D8">
      <w:tab/>
    </w:r>
    <w:r w:rsidR="006E03D8">
      <w:tab/>
    </w:r>
    <w:r w:rsidR="006E03D8">
      <w:tab/>
    </w:r>
    <w:r w:rsidR="006E03D8">
      <w:tab/>
    </w:r>
    <w:r w:rsidR="006E03D8">
      <w:tab/>
    </w:r>
    <w:r w:rsidR="006E03D8">
      <w:tab/>
    </w:r>
    <w:r w:rsidR="006E03D8">
      <w:tab/>
      <w:t>DA 15</w:t>
    </w:r>
    <w:r w:rsidR="003F15D8">
      <w:t>-1379</w:t>
    </w:r>
  </w:p>
  <w:p w14:paraId="0D3F654F" w14:textId="77777777" w:rsidR="007B4830" w:rsidRDefault="0084151D" w:rsidP="00575C1E">
    <w:r>
      <w:t xml:space="preserve">December </w:t>
    </w:r>
    <w:r w:rsidR="00626D6B">
      <w:t>2</w:t>
    </w:r>
    <w:r w:rsidR="006A35A7">
      <w:t>, 2015</w:t>
    </w:r>
  </w:p>
  <w:p w14:paraId="541E4ECE" w14:textId="77777777" w:rsidR="006E03D8" w:rsidRPr="00575C1E" w:rsidRDefault="006E03D8" w:rsidP="00575C1E">
    <w:pPr>
      <w:rPr>
        <w:i/>
      </w:rPr>
    </w:pPr>
    <w:r>
      <w:t xml:space="preserve">Page </w:t>
    </w:r>
    <w:r>
      <w:fldChar w:fldCharType="begin"/>
    </w:r>
    <w:r>
      <w:instrText xml:space="preserve"> PAGE   \* MERGEFORMAT </w:instrText>
    </w:r>
    <w:r>
      <w:fldChar w:fldCharType="separate"/>
    </w:r>
    <w:r w:rsidR="00C2362E">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22C1" w14:textId="77777777" w:rsidR="00C356C3" w:rsidRDefault="00C2362E">
    <w:pPr>
      <w:pStyle w:val="Header"/>
      <w:tabs>
        <w:tab w:val="clear" w:pos="4320"/>
        <w:tab w:val="clear" w:pos="8640"/>
      </w:tabs>
      <w:spacing w:before="360" w:line="228" w:lineRule="auto"/>
      <w:jc w:val="center"/>
    </w:pPr>
    <w:r>
      <w:rPr>
        <w:rFonts w:ascii="CG Times (W1)" w:hAnsi="CG Times (W1)"/>
        <w:sz w:val="28"/>
      </w:rPr>
      <w:pict w14:anchorId="706B3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752;visibility:visible;mso-wrap-edited:f" o:allowincell="f" filled="t" fillcolor="#3cc">
          <v:imagedata r:id="rId1" o:title="" gain="69719f"/>
        </v:shape>
        <o:OLEObject Type="Embed" ProgID="Word.Picture.8" ShapeID="_x0000_s2049" DrawAspect="Content" ObjectID="_1510579240" r:id="rId2"/>
      </w:pict>
    </w:r>
    <w:r w:rsidR="00C356C3">
      <w:rPr>
        <w:rFonts w:ascii="CG Times (W1)" w:hAnsi="CG Times (W1)"/>
        <w:sz w:val="28"/>
      </w:rPr>
      <w:t>Federal Communications Commission</w:t>
    </w:r>
  </w:p>
  <w:p w14:paraId="58A63634" w14:textId="77777777" w:rsidR="00C356C3" w:rsidRDefault="00C356C3">
    <w:pPr>
      <w:jc w:val="center"/>
    </w:pPr>
    <w:r>
      <w:rPr>
        <w:rFonts w:ascii="CG Times (W1)" w:hAnsi="CG Times (W1)"/>
        <w:sz w:val="28"/>
      </w:rPr>
      <w:t>Washington, D.C. 20554</w:t>
    </w:r>
  </w:p>
  <w:p w14:paraId="7B7A5EE6" w14:textId="77777777" w:rsidR="00C356C3" w:rsidRDefault="00C356C3">
    <w:pPr>
      <w:pStyle w:val="Header"/>
      <w:tabs>
        <w:tab w:val="clear" w:pos="4320"/>
      </w:tabs>
      <w:jc w:val="center"/>
      <w:rPr>
        <w:sz w:val="22"/>
      </w:rPr>
    </w:pPr>
  </w:p>
  <w:p w14:paraId="2097A0FB" w14:textId="77777777" w:rsidR="00C356C3" w:rsidRDefault="00C356C3">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F9"/>
    <w:rsid w:val="00001FB8"/>
    <w:rsid w:val="00001FF9"/>
    <w:rsid w:val="00003C59"/>
    <w:rsid w:val="00011398"/>
    <w:rsid w:val="00012571"/>
    <w:rsid w:val="00015B35"/>
    <w:rsid w:val="0001695A"/>
    <w:rsid w:val="0002001E"/>
    <w:rsid w:val="00034248"/>
    <w:rsid w:val="00034390"/>
    <w:rsid w:val="00044303"/>
    <w:rsid w:val="00045A01"/>
    <w:rsid w:val="00050232"/>
    <w:rsid w:val="00053D92"/>
    <w:rsid w:val="000545D0"/>
    <w:rsid w:val="00062543"/>
    <w:rsid w:val="00063A33"/>
    <w:rsid w:val="00064563"/>
    <w:rsid w:val="00075AFE"/>
    <w:rsid w:val="000850BC"/>
    <w:rsid w:val="0008525E"/>
    <w:rsid w:val="000865E0"/>
    <w:rsid w:val="00090823"/>
    <w:rsid w:val="000A4644"/>
    <w:rsid w:val="000B3B8A"/>
    <w:rsid w:val="000B529E"/>
    <w:rsid w:val="000C1599"/>
    <w:rsid w:val="000E0469"/>
    <w:rsid w:val="000E330A"/>
    <w:rsid w:val="000E4269"/>
    <w:rsid w:val="000E5A4D"/>
    <w:rsid w:val="000E69AA"/>
    <w:rsid w:val="00100314"/>
    <w:rsid w:val="00107DB4"/>
    <w:rsid w:val="0011072F"/>
    <w:rsid w:val="00120929"/>
    <w:rsid w:val="00120CD9"/>
    <w:rsid w:val="001225E5"/>
    <w:rsid w:val="00131FBB"/>
    <w:rsid w:val="00132F84"/>
    <w:rsid w:val="00136477"/>
    <w:rsid w:val="0014433D"/>
    <w:rsid w:val="001500A8"/>
    <w:rsid w:val="00152F3F"/>
    <w:rsid w:val="00153626"/>
    <w:rsid w:val="001664FD"/>
    <w:rsid w:val="00180079"/>
    <w:rsid w:val="001822FB"/>
    <w:rsid w:val="0018613C"/>
    <w:rsid w:val="00192CFE"/>
    <w:rsid w:val="001A098B"/>
    <w:rsid w:val="001A11F0"/>
    <w:rsid w:val="001A2F0E"/>
    <w:rsid w:val="001A382E"/>
    <w:rsid w:val="001A4B9E"/>
    <w:rsid w:val="001B2704"/>
    <w:rsid w:val="001C024F"/>
    <w:rsid w:val="001C635D"/>
    <w:rsid w:val="001D02DC"/>
    <w:rsid w:val="001D2969"/>
    <w:rsid w:val="001D3CD9"/>
    <w:rsid w:val="001D7550"/>
    <w:rsid w:val="001E1E55"/>
    <w:rsid w:val="001E30C9"/>
    <w:rsid w:val="001E4CF0"/>
    <w:rsid w:val="001F0FAA"/>
    <w:rsid w:val="001F1E46"/>
    <w:rsid w:val="00210E44"/>
    <w:rsid w:val="00212643"/>
    <w:rsid w:val="0022237D"/>
    <w:rsid w:val="002247CB"/>
    <w:rsid w:val="00224842"/>
    <w:rsid w:val="00231D34"/>
    <w:rsid w:val="00233D21"/>
    <w:rsid w:val="00244438"/>
    <w:rsid w:val="00251F41"/>
    <w:rsid w:val="00252942"/>
    <w:rsid w:val="00255F65"/>
    <w:rsid w:val="0026388F"/>
    <w:rsid w:val="00266D3D"/>
    <w:rsid w:val="00271DD1"/>
    <w:rsid w:val="00274897"/>
    <w:rsid w:val="002756F6"/>
    <w:rsid w:val="00287AD1"/>
    <w:rsid w:val="00287C30"/>
    <w:rsid w:val="00296796"/>
    <w:rsid w:val="002A2DF8"/>
    <w:rsid w:val="002B6BF2"/>
    <w:rsid w:val="002C5B2A"/>
    <w:rsid w:val="002D03EB"/>
    <w:rsid w:val="002D114B"/>
    <w:rsid w:val="002D2D86"/>
    <w:rsid w:val="002E19BE"/>
    <w:rsid w:val="002E3699"/>
    <w:rsid w:val="002E4210"/>
    <w:rsid w:val="002E56B6"/>
    <w:rsid w:val="002E7BCB"/>
    <w:rsid w:val="002F02F5"/>
    <w:rsid w:val="0030179B"/>
    <w:rsid w:val="00301D68"/>
    <w:rsid w:val="003048EA"/>
    <w:rsid w:val="0030638B"/>
    <w:rsid w:val="00312E1C"/>
    <w:rsid w:val="00322A48"/>
    <w:rsid w:val="00325735"/>
    <w:rsid w:val="003376E9"/>
    <w:rsid w:val="00341297"/>
    <w:rsid w:val="0034468A"/>
    <w:rsid w:val="0035342A"/>
    <w:rsid w:val="00355563"/>
    <w:rsid w:val="00361913"/>
    <w:rsid w:val="00371BB1"/>
    <w:rsid w:val="00375CC8"/>
    <w:rsid w:val="003846C9"/>
    <w:rsid w:val="003C2BD9"/>
    <w:rsid w:val="003E0812"/>
    <w:rsid w:val="003F15D8"/>
    <w:rsid w:val="003F343D"/>
    <w:rsid w:val="0040547C"/>
    <w:rsid w:val="00410754"/>
    <w:rsid w:val="004114C8"/>
    <w:rsid w:val="00420FBE"/>
    <w:rsid w:val="0043455A"/>
    <w:rsid w:val="00434F3C"/>
    <w:rsid w:val="00436CC8"/>
    <w:rsid w:val="00441BB3"/>
    <w:rsid w:val="0044266E"/>
    <w:rsid w:val="00443FA9"/>
    <w:rsid w:val="00446661"/>
    <w:rsid w:val="004606F3"/>
    <w:rsid w:val="004623E4"/>
    <w:rsid w:val="0046241B"/>
    <w:rsid w:val="004646BC"/>
    <w:rsid w:val="00465101"/>
    <w:rsid w:val="00466935"/>
    <w:rsid w:val="00473DEE"/>
    <w:rsid w:val="00473FC2"/>
    <w:rsid w:val="00475A96"/>
    <w:rsid w:val="00481DED"/>
    <w:rsid w:val="00491B41"/>
    <w:rsid w:val="004A1174"/>
    <w:rsid w:val="004A7443"/>
    <w:rsid w:val="004A74D4"/>
    <w:rsid w:val="004A7E0B"/>
    <w:rsid w:val="004B3D61"/>
    <w:rsid w:val="004B71A6"/>
    <w:rsid w:val="004C2575"/>
    <w:rsid w:val="004D438B"/>
    <w:rsid w:val="004E5E1A"/>
    <w:rsid w:val="005046E9"/>
    <w:rsid w:val="00504B0C"/>
    <w:rsid w:val="00521E95"/>
    <w:rsid w:val="005270F4"/>
    <w:rsid w:val="00527BB2"/>
    <w:rsid w:val="00537896"/>
    <w:rsid w:val="005433E1"/>
    <w:rsid w:val="00560D7F"/>
    <w:rsid w:val="00563877"/>
    <w:rsid w:val="00565A69"/>
    <w:rsid w:val="005708C1"/>
    <w:rsid w:val="00575C1E"/>
    <w:rsid w:val="00585186"/>
    <w:rsid w:val="0058620C"/>
    <w:rsid w:val="00597AE5"/>
    <w:rsid w:val="005A36E2"/>
    <w:rsid w:val="005B1D10"/>
    <w:rsid w:val="005D0A86"/>
    <w:rsid w:val="005E0F31"/>
    <w:rsid w:val="005F4FD8"/>
    <w:rsid w:val="0060696A"/>
    <w:rsid w:val="0061252E"/>
    <w:rsid w:val="006229CA"/>
    <w:rsid w:val="00626D6B"/>
    <w:rsid w:val="00630115"/>
    <w:rsid w:val="00635BFA"/>
    <w:rsid w:val="0063647B"/>
    <w:rsid w:val="0064003D"/>
    <w:rsid w:val="00640326"/>
    <w:rsid w:val="006420AA"/>
    <w:rsid w:val="00643A7B"/>
    <w:rsid w:val="006468C7"/>
    <w:rsid w:val="00654B4C"/>
    <w:rsid w:val="0065780F"/>
    <w:rsid w:val="00667999"/>
    <w:rsid w:val="006729FB"/>
    <w:rsid w:val="00680290"/>
    <w:rsid w:val="00691AF9"/>
    <w:rsid w:val="00695CF6"/>
    <w:rsid w:val="00697B9C"/>
    <w:rsid w:val="006A35A7"/>
    <w:rsid w:val="006A4DE8"/>
    <w:rsid w:val="006B61B8"/>
    <w:rsid w:val="006B6F0C"/>
    <w:rsid w:val="006C6E9B"/>
    <w:rsid w:val="006D3E1A"/>
    <w:rsid w:val="006E03D8"/>
    <w:rsid w:val="006E1C2B"/>
    <w:rsid w:val="006E3EF4"/>
    <w:rsid w:val="00703604"/>
    <w:rsid w:val="0070794E"/>
    <w:rsid w:val="007121D5"/>
    <w:rsid w:val="00716F67"/>
    <w:rsid w:val="0072134B"/>
    <w:rsid w:val="0072381D"/>
    <w:rsid w:val="007418BA"/>
    <w:rsid w:val="007462B4"/>
    <w:rsid w:val="0075421B"/>
    <w:rsid w:val="00761F5F"/>
    <w:rsid w:val="00777107"/>
    <w:rsid w:val="00777C81"/>
    <w:rsid w:val="0078007A"/>
    <w:rsid w:val="0078480B"/>
    <w:rsid w:val="00791E3B"/>
    <w:rsid w:val="00793139"/>
    <w:rsid w:val="007A045B"/>
    <w:rsid w:val="007A1D48"/>
    <w:rsid w:val="007A4A4F"/>
    <w:rsid w:val="007A6425"/>
    <w:rsid w:val="007B0F53"/>
    <w:rsid w:val="007B4830"/>
    <w:rsid w:val="007C6306"/>
    <w:rsid w:val="007D35F5"/>
    <w:rsid w:val="007D38D5"/>
    <w:rsid w:val="007E12C5"/>
    <w:rsid w:val="007F4D1D"/>
    <w:rsid w:val="007F54A5"/>
    <w:rsid w:val="00802748"/>
    <w:rsid w:val="00821733"/>
    <w:rsid w:val="00833D7C"/>
    <w:rsid w:val="0084151D"/>
    <w:rsid w:val="00841F00"/>
    <w:rsid w:val="008518E0"/>
    <w:rsid w:val="00863820"/>
    <w:rsid w:val="00872478"/>
    <w:rsid w:val="00873400"/>
    <w:rsid w:val="00886445"/>
    <w:rsid w:val="00890EB8"/>
    <w:rsid w:val="0089332B"/>
    <w:rsid w:val="00896F0B"/>
    <w:rsid w:val="008975A9"/>
    <w:rsid w:val="008A6D52"/>
    <w:rsid w:val="008B3FD1"/>
    <w:rsid w:val="008B40B5"/>
    <w:rsid w:val="008C0407"/>
    <w:rsid w:val="008C15A1"/>
    <w:rsid w:val="008C25B3"/>
    <w:rsid w:val="008C42E0"/>
    <w:rsid w:val="008C5FF2"/>
    <w:rsid w:val="008D0B63"/>
    <w:rsid w:val="008D0FB5"/>
    <w:rsid w:val="008D1BA9"/>
    <w:rsid w:val="008D4B53"/>
    <w:rsid w:val="008F1276"/>
    <w:rsid w:val="008F3696"/>
    <w:rsid w:val="00900404"/>
    <w:rsid w:val="009107D4"/>
    <w:rsid w:val="0091148A"/>
    <w:rsid w:val="00912336"/>
    <w:rsid w:val="00912C34"/>
    <w:rsid w:val="009146BE"/>
    <w:rsid w:val="00915702"/>
    <w:rsid w:val="00924D13"/>
    <w:rsid w:val="00926C1D"/>
    <w:rsid w:val="009329F1"/>
    <w:rsid w:val="00936042"/>
    <w:rsid w:val="00940730"/>
    <w:rsid w:val="00945F22"/>
    <w:rsid w:val="00947ABB"/>
    <w:rsid w:val="00952361"/>
    <w:rsid w:val="0095442A"/>
    <w:rsid w:val="00956796"/>
    <w:rsid w:val="00963495"/>
    <w:rsid w:val="009770C9"/>
    <w:rsid w:val="00977AFC"/>
    <w:rsid w:val="00981228"/>
    <w:rsid w:val="0098457A"/>
    <w:rsid w:val="00997C18"/>
    <w:rsid w:val="009A0C1D"/>
    <w:rsid w:val="009A22B4"/>
    <w:rsid w:val="009A3D5E"/>
    <w:rsid w:val="009A7CCD"/>
    <w:rsid w:val="009B7144"/>
    <w:rsid w:val="009B7A74"/>
    <w:rsid w:val="009C2C9E"/>
    <w:rsid w:val="009C47F6"/>
    <w:rsid w:val="009F1FF4"/>
    <w:rsid w:val="009F2193"/>
    <w:rsid w:val="009F2A4E"/>
    <w:rsid w:val="00A16FF5"/>
    <w:rsid w:val="00A21A73"/>
    <w:rsid w:val="00A242D5"/>
    <w:rsid w:val="00A317F1"/>
    <w:rsid w:val="00A35494"/>
    <w:rsid w:val="00A369DD"/>
    <w:rsid w:val="00A43E22"/>
    <w:rsid w:val="00A45C59"/>
    <w:rsid w:val="00A50513"/>
    <w:rsid w:val="00A5456E"/>
    <w:rsid w:val="00A64159"/>
    <w:rsid w:val="00A66398"/>
    <w:rsid w:val="00A73E90"/>
    <w:rsid w:val="00A8578F"/>
    <w:rsid w:val="00A904A5"/>
    <w:rsid w:val="00A93E33"/>
    <w:rsid w:val="00A9697B"/>
    <w:rsid w:val="00A978A0"/>
    <w:rsid w:val="00AA68F6"/>
    <w:rsid w:val="00AA70C5"/>
    <w:rsid w:val="00AB0DC3"/>
    <w:rsid w:val="00AB247F"/>
    <w:rsid w:val="00AD4533"/>
    <w:rsid w:val="00AE00A3"/>
    <w:rsid w:val="00AE4042"/>
    <w:rsid w:val="00AE7489"/>
    <w:rsid w:val="00AF3941"/>
    <w:rsid w:val="00B00F0B"/>
    <w:rsid w:val="00B1273C"/>
    <w:rsid w:val="00B131A2"/>
    <w:rsid w:val="00B230DD"/>
    <w:rsid w:val="00B24845"/>
    <w:rsid w:val="00B30D82"/>
    <w:rsid w:val="00B3432A"/>
    <w:rsid w:val="00B35EC1"/>
    <w:rsid w:val="00B36F29"/>
    <w:rsid w:val="00B43FF8"/>
    <w:rsid w:val="00B44D5D"/>
    <w:rsid w:val="00B55F67"/>
    <w:rsid w:val="00B6060F"/>
    <w:rsid w:val="00B60B1D"/>
    <w:rsid w:val="00B6112D"/>
    <w:rsid w:val="00B6578E"/>
    <w:rsid w:val="00B74E13"/>
    <w:rsid w:val="00B80053"/>
    <w:rsid w:val="00B83A75"/>
    <w:rsid w:val="00BA66CE"/>
    <w:rsid w:val="00BB60C2"/>
    <w:rsid w:val="00BB7752"/>
    <w:rsid w:val="00BC03F7"/>
    <w:rsid w:val="00BD593A"/>
    <w:rsid w:val="00BD6134"/>
    <w:rsid w:val="00BE327A"/>
    <w:rsid w:val="00BE5846"/>
    <w:rsid w:val="00BF08E3"/>
    <w:rsid w:val="00BF6F28"/>
    <w:rsid w:val="00C008D7"/>
    <w:rsid w:val="00C05D94"/>
    <w:rsid w:val="00C068CF"/>
    <w:rsid w:val="00C2362E"/>
    <w:rsid w:val="00C256B1"/>
    <w:rsid w:val="00C301C3"/>
    <w:rsid w:val="00C356C3"/>
    <w:rsid w:val="00C45C91"/>
    <w:rsid w:val="00C53141"/>
    <w:rsid w:val="00C53A55"/>
    <w:rsid w:val="00C6419D"/>
    <w:rsid w:val="00C73C1B"/>
    <w:rsid w:val="00C84362"/>
    <w:rsid w:val="00C9096D"/>
    <w:rsid w:val="00C91FEC"/>
    <w:rsid w:val="00C95360"/>
    <w:rsid w:val="00CC3AC6"/>
    <w:rsid w:val="00CD0E50"/>
    <w:rsid w:val="00CF1265"/>
    <w:rsid w:val="00CF6EE1"/>
    <w:rsid w:val="00CF7CF0"/>
    <w:rsid w:val="00D02D93"/>
    <w:rsid w:val="00D05445"/>
    <w:rsid w:val="00D06C7F"/>
    <w:rsid w:val="00D10937"/>
    <w:rsid w:val="00D1190C"/>
    <w:rsid w:val="00D13407"/>
    <w:rsid w:val="00D1515E"/>
    <w:rsid w:val="00D21B69"/>
    <w:rsid w:val="00D222BD"/>
    <w:rsid w:val="00D24CB8"/>
    <w:rsid w:val="00D327BE"/>
    <w:rsid w:val="00D33C72"/>
    <w:rsid w:val="00D364A3"/>
    <w:rsid w:val="00D36A13"/>
    <w:rsid w:val="00D36F81"/>
    <w:rsid w:val="00D37FDF"/>
    <w:rsid w:val="00D45C1F"/>
    <w:rsid w:val="00D4734C"/>
    <w:rsid w:val="00D553B9"/>
    <w:rsid w:val="00D57869"/>
    <w:rsid w:val="00D63FA0"/>
    <w:rsid w:val="00D66D4D"/>
    <w:rsid w:val="00D70EF8"/>
    <w:rsid w:val="00D71BDA"/>
    <w:rsid w:val="00D7399A"/>
    <w:rsid w:val="00D73E0F"/>
    <w:rsid w:val="00D74A86"/>
    <w:rsid w:val="00D754F9"/>
    <w:rsid w:val="00D809C8"/>
    <w:rsid w:val="00D865C3"/>
    <w:rsid w:val="00D9324B"/>
    <w:rsid w:val="00D97FAE"/>
    <w:rsid w:val="00DA13B3"/>
    <w:rsid w:val="00DA1DCC"/>
    <w:rsid w:val="00DC1DC0"/>
    <w:rsid w:val="00DC5E69"/>
    <w:rsid w:val="00DD22C5"/>
    <w:rsid w:val="00DD4BFF"/>
    <w:rsid w:val="00DE4620"/>
    <w:rsid w:val="00E12B1F"/>
    <w:rsid w:val="00E1449F"/>
    <w:rsid w:val="00E22546"/>
    <w:rsid w:val="00E231DB"/>
    <w:rsid w:val="00E3051C"/>
    <w:rsid w:val="00E3741D"/>
    <w:rsid w:val="00E3752F"/>
    <w:rsid w:val="00E52C7F"/>
    <w:rsid w:val="00E54C45"/>
    <w:rsid w:val="00E76762"/>
    <w:rsid w:val="00E87F4A"/>
    <w:rsid w:val="00EA03A9"/>
    <w:rsid w:val="00EA1666"/>
    <w:rsid w:val="00EA2BF1"/>
    <w:rsid w:val="00EA34C2"/>
    <w:rsid w:val="00EA4188"/>
    <w:rsid w:val="00EA4320"/>
    <w:rsid w:val="00EA5983"/>
    <w:rsid w:val="00EA6869"/>
    <w:rsid w:val="00EA6E53"/>
    <w:rsid w:val="00EB1C4C"/>
    <w:rsid w:val="00EB4F90"/>
    <w:rsid w:val="00EC1A36"/>
    <w:rsid w:val="00EC71CA"/>
    <w:rsid w:val="00ED624C"/>
    <w:rsid w:val="00EE011E"/>
    <w:rsid w:val="00EE126B"/>
    <w:rsid w:val="00EF1745"/>
    <w:rsid w:val="00EF61BD"/>
    <w:rsid w:val="00F061EA"/>
    <w:rsid w:val="00F07F83"/>
    <w:rsid w:val="00F120D2"/>
    <w:rsid w:val="00F12DDA"/>
    <w:rsid w:val="00F21110"/>
    <w:rsid w:val="00F21837"/>
    <w:rsid w:val="00F25C75"/>
    <w:rsid w:val="00F34B1D"/>
    <w:rsid w:val="00F37FE8"/>
    <w:rsid w:val="00F52B7E"/>
    <w:rsid w:val="00F539C8"/>
    <w:rsid w:val="00F547E8"/>
    <w:rsid w:val="00F61B2D"/>
    <w:rsid w:val="00F80F83"/>
    <w:rsid w:val="00F9080E"/>
    <w:rsid w:val="00FA54EE"/>
    <w:rsid w:val="00FA56DA"/>
    <w:rsid w:val="00FB27C3"/>
    <w:rsid w:val="00FB774A"/>
    <w:rsid w:val="00FC08C3"/>
    <w:rsid w:val="00FC2736"/>
    <w:rsid w:val="00FE1E51"/>
    <w:rsid w:val="00FF6E04"/>
    <w:rsid w:val="00FF7A5C"/>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A3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E231DB"/>
  </w:style>
  <w:style w:type="character" w:styleId="FootnoteReference">
    <w:name w:val="footnote reference"/>
    <w:semiHidden/>
    <w:rsid w:val="00E231DB"/>
    <w:rPr>
      <w:vertAlign w:val="superscript"/>
    </w:rPr>
  </w:style>
  <w:style w:type="character" w:styleId="PageNumber">
    <w:name w:val="page number"/>
    <w:basedOn w:val="DefaultParagraphFont"/>
    <w:rsid w:val="007B4830"/>
  </w:style>
  <w:style w:type="character" w:styleId="CommentReference">
    <w:name w:val="annotation reference"/>
    <w:uiPriority w:val="99"/>
    <w:semiHidden/>
    <w:unhideWhenUsed/>
    <w:rsid w:val="00EC71CA"/>
    <w:rPr>
      <w:sz w:val="16"/>
      <w:szCs w:val="16"/>
    </w:rPr>
  </w:style>
  <w:style w:type="paragraph" w:styleId="CommentText">
    <w:name w:val="annotation text"/>
    <w:basedOn w:val="Normal"/>
    <w:link w:val="CommentTextChar"/>
    <w:uiPriority w:val="99"/>
    <w:semiHidden/>
    <w:unhideWhenUsed/>
    <w:rsid w:val="00EC71CA"/>
  </w:style>
  <w:style w:type="character" w:customStyle="1" w:styleId="CommentTextChar">
    <w:name w:val="Comment Text Char"/>
    <w:basedOn w:val="DefaultParagraphFont"/>
    <w:link w:val="CommentText"/>
    <w:uiPriority w:val="99"/>
    <w:semiHidden/>
    <w:rsid w:val="00EC71CA"/>
  </w:style>
  <w:style w:type="paragraph" w:styleId="CommentSubject">
    <w:name w:val="annotation subject"/>
    <w:basedOn w:val="CommentText"/>
    <w:next w:val="CommentText"/>
    <w:link w:val="CommentSubjectChar"/>
    <w:uiPriority w:val="99"/>
    <w:semiHidden/>
    <w:unhideWhenUsed/>
    <w:rsid w:val="00EC71CA"/>
    <w:rPr>
      <w:b/>
      <w:bCs/>
    </w:rPr>
  </w:style>
  <w:style w:type="character" w:customStyle="1" w:styleId="CommentSubjectChar">
    <w:name w:val="Comment Subject Char"/>
    <w:link w:val="CommentSubject"/>
    <w:uiPriority w:val="99"/>
    <w:semiHidden/>
    <w:rsid w:val="00EC71CA"/>
    <w:rPr>
      <w:b/>
      <w:bCs/>
    </w:rPr>
  </w:style>
  <w:style w:type="paragraph" w:styleId="BalloonText">
    <w:name w:val="Balloon Text"/>
    <w:basedOn w:val="Normal"/>
    <w:link w:val="BalloonTextChar"/>
    <w:uiPriority w:val="99"/>
    <w:semiHidden/>
    <w:unhideWhenUsed/>
    <w:rsid w:val="00EC71CA"/>
    <w:rPr>
      <w:rFonts w:ascii="Segoe UI" w:hAnsi="Segoe UI" w:cs="Segoe UI"/>
      <w:sz w:val="18"/>
      <w:szCs w:val="18"/>
    </w:rPr>
  </w:style>
  <w:style w:type="character" w:customStyle="1" w:styleId="BalloonTextChar">
    <w:name w:val="Balloon Text Char"/>
    <w:link w:val="BalloonText"/>
    <w:uiPriority w:val="99"/>
    <w:semiHidden/>
    <w:rsid w:val="00EC71CA"/>
    <w:rPr>
      <w:rFonts w:ascii="Segoe UI" w:hAnsi="Segoe UI" w:cs="Segoe UI"/>
      <w:sz w:val="18"/>
      <w:szCs w:val="18"/>
    </w:rPr>
  </w:style>
  <w:style w:type="paragraph" w:styleId="Revision">
    <w:name w:val="Revision"/>
    <w:hidden/>
    <w:uiPriority w:val="99"/>
    <w:semiHidden/>
    <w:rsid w:val="00D24CB8"/>
  </w:style>
  <w:style w:type="character" w:styleId="Hyperlink">
    <w:name w:val="Hyperlink"/>
    <w:basedOn w:val="DefaultParagraphFont"/>
    <w:uiPriority w:val="99"/>
    <w:unhideWhenUsed/>
    <w:rsid w:val="00E225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E231DB"/>
  </w:style>
  <w:style w:type="character" w:styleId="FootnoteReference">
    <w:name w:val="footnote reference"/>
    <w:semiHidden/>
    <w:rsid w:val="00E231DB"/>
    <w:rPr>
      <w:vertAlign w:val="superscript"/>
    </w:rPr>
  </w:style>
  <w:style w:type="character" w:styleId="PageNumber">
    <w:name w:val="page number"/>
    <w:basedOn w:val="DefaultParagraphFont"/>
    <w:rsid w:val="007B4830"/>
  </w:style>
  <w:style w:type="character" w:styleId="CommentReference">
    <w:name w:val="annotation reference"/>
    <w:uiPriority w:val="99"/>
    <w:semiHidden/>
    <w:unhideWhenUsed/>
    <w:rsid w:val="00EC71CA"/>
    <w:rPr>
      <w:sz w:val="16"/>
      <w:szCs w:val="16"/>
    </w:rPr>
  </w:style>
  <w:style w:type="paragraph" w:styleId="CommentText">
    <w:name w:val="annotation text"/>
    <w:basedOn w:val="Normal"/>
    <w:link w:val="CommentTextChar"/>
    <w:uiPriority w:val="99"/>
    <w:semiHidden/>
    <w:unhideWhenUsed/>
    <w:rsid w:val="00EC71CA"/>
  </w:style>
  <w:style w:type="character" w:customStyle="1" w:styleId="CommentTextChar">
    <w:name w:val="Comment Text Char"/>
    <w:basedOn w:val="DefaultParagraphFont"/>
    <w:link w:val="CommentText"/>
    <w:uiPriority w:val="99"/>
    <w:semiHidden/>
    <w:rsid w:val="00EC71CA"/>
  </w:style>
  <w:style w:type="paragraph" w:styleId="CommentSubject">
    <w:name w:val="annotation subject"/>
    <w:basedOn w:val="CommentText"/>
    <w:next w:val="CommentText"/>
    <w:link w:val="CommentSubjectChar"/>
    <w:uiPriority w:val="99"/>
    <w:semiHidden/>
    <w:unhideWhenUsed/>
    <w:rsid w:val="00EC71CA"/>
    <w:rPr>
      <w:b/>
      <w:bCs/>
    </w:rPr>
  </w:style>
  <w:style w:type="character" w:customStyle="1" w:styleId="CommentSubjectChar">
    <w:name w:val="Comment Subject Char"/>
    <w:link w:val="CommentSubject"/>
    <w:uiPriority w:val="99"/>
    <w:semiHidden/>
    <w:rsid w:val="00EC71CA"/>
    <w:rPr>
      <w:b/>
      <w:bCs/>
    </w:rPr>
  </w:style>
  <w:style w:type="paragraph" w:styleId="BalloonText">
    <w:name w:val="Balloon Text"/>
    <w:basedOn w:val="Normal"/>
    <w:link w:val="BalloonTextChar"/>
    <w:uiPriority w:val="99"/>
    <w:semiHidden/>
    <w:unhideWhenUsed/>
    <w:rsid w:val="00EC71CA"/>
    <w:rPr>
      <w:rFonts w:ascii="Segoe UI" w:hAnsi="Segoe UI" w:cs="Segoe UI"/>
      <w:sz w:val="18"/>
      <w:szCs w:val="18"/>
    </w:rPr>
  </w:style>
  <w:style w:type="character" w:customStyle="1" w:styleId="BalloonTextChar">
    <w:name w:val="Balloon Text Char"/>
    <w:link w:val="BalloonText"/>
    <w:uiPriority w:val="99"/>
    <w:semiHidden/>
    <w:rsid w:val="00EC71CA"/>
    <w:rPr>
      <w:rFonts w:ascii="Segoe UI" w:hAnsi="Segoe UI" w:cs="Segoe UI"/>
      <w:sz w:val="18"/>
      <w:szCs w:val="18"/>
    </w:rPr>
  </w:style>
  <w:style w:type="paragraph" w:styleId="Revision">
    <w:name w:val="Revision"/>
    <w:hidden/>
    <w:uiPriority w:val="99"/>
    <w:semiHidden/>
    <w:rsid w:val="00D24CB8"/>
  </w:style>
  <w:style w:type="character" w:styleId="Hyperlink">
    <w:name w:val="Hyperlink"/>
    <w:basedOn w:val="DefaultParagraphFont"/>
    <w:uiPriority w:val="99"/>
    <w:unhideWhenUsed/>
    <w:rsid w:val="00E22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ans@fhhlaw.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2421</Words>
  <Characters>13119</Characters>
  <Application>Microsoft Office Word</Application>
  <DocSecurity>0</DocSecurity>
  <Lines>195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2003-08-14T22:50:00Z</cp:lastPrinted>
  <dcterms:created xsi:type="dcterms:W3CDTF">2015-12-02T21:34:00Z</dcterms:created>
  <dcterms:modified xsi:type="dcterms:W3CDTF">2015-12-02T21:34:00Z</dcterms:modified>
  <cp:category> </cp:category>
  <cp:contentStatus> </cp:contentStatus>
</cp:coreProperties>
</file>