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0A" w:rsidRPr="0096349F" w:rsidRDefault="00834C0A" w:rsidP="00834C0A">
      <w:pPr>
        <w:jc w:val="right"/>
        <w:rPr>
          <w:b/>
          <w:szCs w:val="22"/>
        </w:rPr>
      </w:pPr>
      <w:bookmarkStart w:id="0" w:name="_GoBack"/>
      <w:bookmarkEnd w:id="0"/>
      <w:r w:rsidRPr="0096349F">
        <w:rPr>
          <w:b/>
          <w:szCs w:val="22"/>
        </w:rPr>
        <w:t>DA</w:t>
      </w:r>
      <w:r w:rsidR="005C0E2C">
        <w:rPr>
          <w:b/>
          <w:szCs w:val="22"/>
        </w:rPr>
        <w:t xml:space="preserve"> 15</w:t>
      </w:r>
      <w:r w:rsidRPr="0096349F">
        <w:rPr>
          <w:b/>
          <w:szCs w:val="22"/>
        </w:rPr>
        <w:t>-</w:t>
      </w:r>
      <w:r w:rsidR="005C0E2C">
        <w:rPr>
          <w:b/>
          <w:szCs w:val="22"/>
        </w:rPr>
        <w:t>1391</w:t>
      </w:r>
    </w:p>
    <w:p w:rsidR="00834C0A" w:rsidRPr="0096349F" w:rsidRDefault="00834C0A" w:rsidP="00834C0A">
      <w:pPr>
        <w:jc w:val="right"/>
        <w:rPr>
          <w:b/>
          <w:szCs w:val="22"/>
        </w:rPr>
      </w:pPr>
      <w:r w:rsidRPr="0096349F">
        <w:rPr>
          <w:b/>
          <w:szCs w:val="22"/>
        </w:rPr>
        <w:t xml:space="preserve">Released: December </w:t>
      </w:r>
      <w:r w:rsidR="0092573A">
        <w:rPr>
          <w:b/>
          <w:szCs w:val="22"/>
        </w:rPr>
        <w:t>7</w:t>
      </w:r>
      <w:r w:rsidRPr="0096349F">
        <w:rPr>
          <w:b/>
          <w:szCs w:val="22"/>
        </w:rPr>
        <w:t>, 2015</w:t>
      </w:r>
    </w:p>
    <w:p w:rsidR="00834C0A" w:rsidRPr="0096349F" w:rsidRDefault="00834C0A" w:rsidP="00834C0A">
      <w:pPr>
        <w:jc w:val="center"/>
        <w:rPr>
          <w:b/>
          <w:szCs w:val="22"/>
        </w:rPr>
      </w:pPr>
    </w:p>
    <w:p w:rsidR="00834C0A" w:rsidRPr="0096349F" w:rsidRDefault="00834C0A" w:rsidP="00834C0A">
      <w:pPr>
        <w:jc w:val="center"/>
        <w:rPr>
          <w:b/>
          <w:szCs w:val="22"/>
        </w:rPr>
      </w:pPr>
      <w:r w:rsidRPr="0096349F">
        <w:rPr>
          <w:b/>
          <w:szCs w:val="22"/>
        </w:rPr>
        <w:t>WIRELESS TELECOMMUNICATIONS BUREAU ANNOUNCES NEW FEDERAL AVIATION ADMINISTRATION ANTENNA STRUCTURE MARKING AND LIGHTING REQUIREMENTS</w:t>
      </w:r>
    </w:p>
    <w:p w:rsidR="00834C0A" w:rsidRPr="00CB65E0" w:rsidRDefault="00834C0A" w:rsidP="00834C0A">
      <w:pPr>
        <w:jc w:val="center"/>
        <w:rPr>
          <w:szCs w:val="22"/>
        </w:rPr>
      </w:pPr>
    </w:p>
    <w:p w:rsidR="001D6CE0" w:rsidRDefault="000D55EA" w:rsidP="00834C0A">
      <w:pPr>
        <w:ind w:firstLine="720"/>
        <w:rPr>
          <w:szCs w:val="22"/>
        </w:rPr>
      </w:pPr>
      <w:r>
        <w:rPr>
          <w:szCs w:val="22"/>
        </w:rPr>
        <w:t>On</w:t>
      </w:r>
      <w:r w:rsidR="00834C0A" w:rsidRPr="00CB65E0">
        <w:rPr>
          <w:szCs w:val="22"/>
        </w:rPr>
        <w:t xml:space="preserve"> December 4, 2015</w:t>
      </w:r>
      <w:r>
        <w:rPr>
          <w:szCs w:val="22"/>
        </w:rPr>
        <w:t>,</w:t>
      </w:r>
      <w:r w:rsidR="00834C0A" w:rsidRPr="00CB65E0">
        <w:rPr>
          <w:szCs w:val="22"/>
        </w:rPr>
        <w:t xml:space="preserve"> the Federal Aviation Administration’s (FAA)</w:t>
      </w:r>
      <w:r>
        <w:rPr>
          <w:szCs w:val="22"/>
        </w:rPr>
        <w:t xml:space="preserve"> released</w:t>
      </w:r>
      <w:r w:rsidR="00834C0A" w:rsidRPr="00CB65E0">
        <w:rPr>
          <w:szCs w:val="22"/>
        </w:rPr>
        <w:t xml:space="preserve"> Advisory Circular for Obstruction Marking and Lighting 70/7460-1L (AC 70/7460-1L), which cancels and replaces Advisory Circular 70/7460-1K.</w:t>
      </w:r>
      <w:r w:rsidR="00834C0A">
        <w:rPr>
          <w:rStyle w:val="FootnoteReference"/>
          <w:szCs w:val="22"/>
        </w:rPr>
        <w:footnoteReference w:id="2"/>
      </w:r>
      <w:r w:rsidR="00834C0A" w:rsidRPr="00CB65E0">
        <w:rPr>
          <w:szCs w:val="22"/>
        </w:rPr>
        <w:t xml:space="preserve"> </w:t>
      </w:r>
      <w:r w:rsidR="001D6CE0">
        <w:rPr>
          <w:szCs w:val="22"/>
        </w:rPr>
        <w:t xml:space="preserve">This release effectively amends the lighting requirements applicable to towers that must be registered in the Commission’s Antenna Structure Registration (ASR) system.  </w:t>
      </w:r>
    </w:p>
    <w:p w:rsidR="001D6CE0" w:rsidRDefault="001D6CE0" w:rsidP="00834C0A">
      <w:pPr>
        <w:ind w:firstLine="720"/>
        <w:rPr>
          <w:szCs w:val="22"/>
        </w:rPr>
      </w:pPr>
    </w:p>
    <w:p w:rsidR="00834C0A" w:rsidRDefault="00834C0A" w:rsidP="00834C0A">
      <w:pPr>
        <w:ind w:firstLine="720"/>
        <w:rPr>
          <w:szCs w:val="22"/>
        </w:rPr>
      </w:pPr>
      <w:r w:rsidRPr="00CB65E0">
        <w:rPr>
          <w:szCs w:val="22"/>
        </w:rPr>
        <w:t xml:space="preserve">Under Commission rules, each new or altered antenna structure </w:t>
      </w:r>
      <w:r w:rsidR="001D6CE0">
        <w:rPr>
          <w:szCs w:val="22"/>
        </w:rPr>
        <w:t xml:space="preserve">subject to the </w:t>
      </w:r>
      <w:r w:rsidR="007F13F6">
        <w:rPr>
          <w:szCs w:val="22"/>
        </w:rPr>
        <w:t>antenna structure</w:t>
      </w:r>
      <w:r w:rsidR="001D6CE0">
        <w:rPr>
          <w:szCs w:val="22"/>
        </w:rPr>
        <w:t xml:space="preserve"> registration requirement </w:t>
      </w:r>
      <w:r w:rsidRPr="00CB65E0">
        <w:rPr>
          <w:szCs w:val="22"/>
        </w:rPr>
        <w:t>must conform to the painting and lighting specifications set forth in the FAA</w:t>
      </w:r>
      <w:r w:rsidR="001D6CE0">
        <w:rPr>
          <w:szCs w:val="22"/>
        </w:rPr>
        <w:t>’</w:t>
      </w:r>
      <w:r w:rsidRPr="00CB65E0">
        <w:rPr>
          <w:szCs w:val="22"/>
        </w:rPr>
        <w:t>s final determination of “no hazard” and the associated FAA study for that particular structure.</w:t>
      </w:r>
      <w:r w:rsidRPr="00CB65E0">
        <w:rPr>
          <w:rStyle w:val="FootnoteReference"/>
          <w:szCs w:val="22"/>
        </w:rPr>
        <w:footnoteReference w:id="3"/>
      </w:r>
      <w:r w:rsidRPr="00CB65E0">
        <w:rPr>
          <w:szCs w:val="22"/>
        </w:rPr>
        <w:t xml:space="preserve"> Additionally, the registration of such antenna structures must reflect the lighting specifications set in the No Hazard Determination.</w:t>
      </w:r>
      <w:r w:rsidRPr="00CB65E0">
        <w:rPr>
          <w:rStyle w:val="FootnoteReference"/>
          <w:szCs w:val="22"/>
        </w:rPr>
        <w:footnoteReference w:id="4"/>
      </w:r>
      <w:r w:rsidRPr="00CB65E0">
        <w:rPr>
          <w:szCs w:val="22"/>
        </w:rPr>
        <w:t xml:space="preserve"> </w:t>
      </w:r>
      <w:r w:rsidR="000D55EA">
        <w:rPr>
          <w:szCs w:val="22"/>
        </w:rPr>
        <w:t xml:space="preserve">The FAA specifies marking and lighting for new and altered antenna structures based on the current version of AC 70/7460-1L. </w:t>
      </w:r>
      <w:r w:rsidRPr="00CB65E0">
        <w:rPr>
          <w:szCs w:val="22"/>
        </w:rPr>
        <w:t xml:space="preserve">Therefore, going forward all new or altered antenna structures </w:t>
      </w:r>
      <w:r w:rsidR="000D55EA">
        <w:rPr>
          <w:szCs w:val="22"/>
        </w:rPr>
        <w:t>will</w:t>
      </w:r>
      <w:r w:rsidRPr="00CB65E0">
        <w:rPr>
          <w:szCs w:val="22"/>
        </w:rPr>
        <w:t xml:space="preserve"> follow AC 70/74</w:t>
      </w:r>
      <w:r w:rsidR="00917351">
        <w:rPr>
          <w:szCs w:val="22"/>
        </w:rPr>
        <w:t>60-1L.</w:t>
      </w:r>
    </w:p>
    <w:p w:rsidR="00834C0A" w:rsidRPr="00CB65E0" w:rsidRDefault="00834C0A" w:rsidP="00834C0A">
      <w:pPr>
        <w:ind w:firstLine="720"/>
        <w:rPr>
          <w:szCs w:val="22"/>
        </w:rPr>
      </w:pPr>
    </w:p>
    <w:p w:rsidR="00834C0A" w:rsidRPr="00CB65E0" w:rsidRDefault="00834C0A" w:rsidP="00834C0A">
      <w:pPr>
        <w:ind w:firstLine="720"/>
        <w:rPr>
          <w:szCs w:val="22"/>
        </w:rPr>
      </w:pPr>
      <w:r w:rsidRPr="00CB65E0">
        <w:rPr>
          <w:szCs w:val="22"/>
        </w:rPr>
        <w:t>The new advisory circular makes a number of changes that affect antenna structure</w:t>
      </w:r>
      <w:r w:rsidR="000D55EA">
        <w:rPr>
          <w:szCs w:val="22"/>
        </w:rPr>
        <w:t>s</w:t>
      </w:r>
      <w:r w:rsidRPr="00CB65E0">
        <w:rPr>
          <w:szCs w:val="22"/>
        </w:rPr>
        <w:t xml:space="preserve">. Most notably, Lighting Styles A, E, and F for antenna structures no longer employ L-810 steady-burning side lights for communications towers that are taller than 350 feet above ground level (AGL). As a result of this change, effective immediately all new communications towers taller than 350 feet AGL that use lighting </w:t>
      </w:r>
      <w:r w:rsidR="001D6CE0">
        <w:rPr>
          <w:szCs w:val="22"/>
        </w:rPr>
        <w:t>may</w:t>
      </w:r>
      <w:r w:rsidRPr="00CB65E0">
        <w:rPr>
          <w:szCs w:val="22"/>
        </w:rPr>
        <w:t xml:space="preserve"> use only flashing obstruction lights.  </w:t>
      </w:r>
    </w:p>
    <w:p w:rsidR="00834C0A" w:rsidRPr="00CB65E0" w:rsidRDefault="00834C0A" w:rsidP="00834C0A">
      <w:pPr>
        <w:ind w:firstLine="720"/>
        <w:rPr>
          <w:szCs w:val="22"/>
        </w:rPr>
      </w:pPr>
    </w:p>
    <w:p w:rsidR="00834C0A" w:rsidRPr="00CB65E0" w:rsidRDefault="00834C0A" w:rsidP="00834C0A">
      <w:pPr>
        <w:ind w:firstLine="720"/>
        <w:rPr>
          <w:szCs w:val="22"/>
        </w:rPr>
      </w:pPr>
      <w:r w:rsidRPr="00CB65E0">
        <w:rPr>
          <w:szCs w:val="22"/>
        </w:rPr>
        <w:t>In addition, for towers between 151 and 350 feet</w:t>
      </w:r>
      <w:r w:rsidR="001D6CE0">
        <w:rPr>
          <w:szCs w:val="22"/>
        </w:rPr>
        <w:t xml:space="preserve"> AGL</w:t>
      </w:r>
      <w:r w:rsidRPr="00CB65E0">
        <w:rPr>
          <w:szCs w:val="22"/>
        </w:rPr>
        <w:t xml:space="preserve">, the new advisory circular </w:t>
      </w:r>
      <w:r w:rsidR="001D6CE0">
        <w:rPr>
          <w:szCs w:val="22"/>
        </w:rPr>
        <w:t xml:space="preserve">requires </w:t>
      </w:r>
      <w:r w:rsidRPr="00CB65E0">
        <w:rPr>
          <w:szCs w:val="22"/>
        </w:rPr>
        <w:t>flashing L-810 side lights</w:t>
      </w:r>
      <w:r w:rsidR="001D6CE0">
        <w:rPr>
          <w:szCs w:val="22"/>
        </w:rPr>
        <w:t>, rather than steady L-810 side lights,</w:t>
      </w:r>
      <w:r w:rsidRPr="00CB65E0">
        <w:rPr>
          <w:szCs w:val="22"/>
        </w:rPr>
        <w:t xml:space="preserve"> for Lighting Styles A and E.  </w:t>
      </w:r>
      <w:r w:rsidR="001D6CE0">
        <w:rPr>
          <w:szCs w:val="22"/>
        </w:rPr>
        <w:t xml:space="preserve">This </w:t>
      </w:r>
      <w:r w:rsidRPr="00CB65E0">
        <w:rPr>
          <w:szCs w:val="22"/>
        </w:rPr>
        <w:t xml:space="preserve">requirement will not </w:t>
      </w:r>
      <w:r w:rsidR="001D6CE0">
        <w:rPr>
          <w:szCs w:val="22"/>
        </w:rPr>
        <w:t xml:space="preserve">take effect </w:t>
      </w:r>
      <w:r w:rsidRPr="00CB65E0">
        <w:rPr>
          <w:szCs w:val="22"/>
        </w:rPr>
        <w:t>until September 15, 2016</w:t>
      </w:r>
      <w:r w:rsidR="001D6CE0">
        <w:rPr>
          <w:szCs w:val="22"/>
        </w:rPr>
        <w:t>,</w:t>
      </w:r>
      <w:r w:rsidRPr="00CB65E0">
        <w:rPr>
          <w:rStyle w:val="FootnoteReference"/>
          <w:szCs w:val="22"/>
        </w:rPr>
        <w:footnoteReference w:id="5"/>
      </w:r>
      <w:r w:rsidR="001D6CE0">
        <w:rPr>
          <w:szCs w:val="22"/>
        </w:rPr>
        <w:t xml:space="preserve"> at which point </w:t>
      </w:r>
      <w:r w:rsidRPr="00CB65E0">
        <w:rPr>
          <w:szCs w:val="22"/>
        </w:rPr>
        <w:t xml:space="preserve">all new communications towers taller than 150 feet AGL that use lighting </w:t>
      </w:r>
      <w:r w:rsidR="001D6CE0">
        <w:rPr>
          <w:szCs w:val="22"/>
        </w:rPr>
        <w:t xml:space="preserve">may </w:t>
      </w:r>
      <w:r w:rsidRPr="00CB65E0">
        <w:rPr>
          <w:szCs w:val="22"/>
        </w:rPr>
        <w:t>use only flashing obstruction lights.</w:t>
      </w:r>
    </w:p>
    <w:p w:rsidR="00834C0A" w:rsidRPr="00CB65E0" w:rsidRDefault="00834C0A" w:rsidP="00834C0A">
      <w:pPr>
        <w:ind w:firstLine="720"/>
        <w:rPr>
          <w:szCs w:val="22"/>
        </w:rPr>
      </w:pPr>
    </w:p>
    <w:p w:rsidR="00834C0A" w:rsidRDefault="00834C0A" w:rsidP="00834C0A">
      <w:pPr>
        <w:ind w:firstLine="720"/>
        <w:rPr>
          <w:szCs w:val="22"/>
        </w:rPr>
      </w:pPr>
      <w:r w:rsidRPr="00CB65E0">
        <w:rPr>
          <w:szCs w:val="22"/>
        </w:rPr>
        <w:t xml:space="preserve">This </w:t>
      </w:r>
      <w:r w:rsidR="001D6CE0">
        <w:rPr>
          <w:szCs w:val="22"/>
        </w:rPr>
        <w:t xml:space="preserve">FAA has made this </w:t>
      </w:r>
      <w:r w:rsidRPr="00CB65E0">
        <w:rPr>
          <w:szCs w:val="22"/>
        </w:rPr>
        <w:t>change to lighting configuration</w:t>
      </w:r>
      <w:r w:rsidR="001D6CE0">
        <w:rPr>
          <w:szCs w:val="22"/>
        </w:rPr>
        <w:t xml:space="preserve"> requirement</w:t>
      </w:r>
      <w:r w:rsidRPr="00CB65E0">
        <w:rPr>
          <w:szCs w:val="22"/>
        </w:rPr>
        <w:t>s in order to reduce the effects that antenna structures have on migratory birds.</w:t>
      </w:r>
      <w:r w:rsidRPr="00CB65E0">
        <w:rPr>
          <w:rStyle w:val="FootnoteReference"/>
          <w:szCs w:val="22"/>
        </w:rPr>
        <w:footnoteReference w:id="6"/>
      </w:r>
      <w:r w:rsidRPr="00CB65E0">
        <w:rPr>
          <w:szCs w:val="22"/>
        </w:rPr>
        <w:t xml:space="preserve">  Scientific research suggests that birds are attracted to non-flashing red lights, such as L-810 steady-burning side lights</w:t>
      </w:r>
      <w:r w:rsidR="001D6CE0">
        <w:rPr>
          <w:szCs w:val="22"/>
        </w:rPr>
        <w:t>,</w:t>
      </w:r>
      <w:r w:rsidRPr="00CB65E0">
        <w:rPr>
          <w:szCs w:val="22"/>
        </w:rPr>
        <w:t xml:space="preserve"> and that they are much less attracted to flashing lights, such as flashing L-810, L-864 and L-865 lights.</w:t>
      </w:r>
      <w:r w:rsidRPr="00CB65E0">
        <w:rPr>
          <w:rStyle w:val="FootnoteReference"/>
          <w:szCs w:val="22"/>
        </w:rPr>
        <w:footnoteReference w:id="7"/>
      </w:r>
      <w:r w:rsidRPr="00CB65E0">
        <w:rPr>
          <w:szCs w:val="22"/>
        </w:rPr>
        <w:t xml:space="preserve"> It is estimated that millions </w:t>
      </w:r>
      <w:r w:rsidRPr="00CB65E0">
        <w:rPr>
          <w:szCs w:val="22"/>
        </w:rPr>
        <w:lastRenderedPageBreak/>
        <w:t>of migratory birds collide with communications towers annually in the United States, and that most of the fatalities include species protected by the Migratory Bird Treaty Act of 1918 and potentially the Endangered Species Act of 1973.</w:t>
      </w:r>
      <w:r w:rsidRPr="00CB65E0">
        <w:rPr>
          <w:rStyle w:val="FootnoteReference"/>
          <w:szCs w:val="22"/>
        </w:rPr>
        <w:footnoteReference w:id="8"/>
      </w:r>
      <w:r w:rsidRPr="00CB65E0">
        <w:rPr>
          <w:szCs w:val="22"/>
        </w:rPr>
        <w:t xml:space="preserve"> Eliminating non-flashing lights on towers may reduce migratory bird collisions by as much as 70</w:t>
      </w:r>
      <w:r>
        <w:rPr>
          <w:szCs w:val="22"/>
        </w:rPr>
        <w:t xml:space="preserve"> percent</w:t>
      </w:r>
      <w:r w:rsidRPr="00CB65E0">
        <w:rPr>
          <w:szCs w:val="22"/>
        </w:rPr>
        <w:t>.</w:t>
      </w:r>
      <w:r w:rsidRPr="00CB65E0">
        <w:rPr>
          <w:rStyle w:val="FootnoteReference"/>
          <w:szCs w:val="22"/>
        </w:rPr>
        <w:footnoteReference w:id="9"/>
      </w:r>
      <w:r w:rsidRPr="00CB65E0">
        <w:rPr>
          <w:szCs w:val="22"/>
        </w:rPr>
        <w:t xml:space="preserve"> </w:t>
      </w:r>
    </w:p>
    <w:p w:rsidR="00834C0A" w:rsidRPr="00CB65E0" w:rsidRDefault="00834C0A" w:rsidP="00834C0A">
      <w:pPr>
        <w:ind w:firstLine="720"/>
        <w:rPr>
          <w:szCs w:val="22"/>
        </w:rPr>
      </w:pPr>
    </w:p>
    <w:p w:rsidR="00834C0A" w:rsidRPr="00CB65E0" w:rsidRDefault="00834C0A" w:rsidP="00834C0A">
      <w:pPr>
        <w:ind w:firstLine="720"/>
        <w:rPr>
          <w:szCs w:val="22"/>
        </w:rPr>
      </w:pPr>
      <w:r w:rsidRPr="00CB65E0">
        <w:rPr>
          <w:szCs w:val="22"/>
        </w:rPr>
        <w:t xml:space="preserve">With the implementation of AC 70/7460-1L, the Bureau encourages </w:t>
      </w:r>
      <w:r w:rsidR="000D55EA">
        <w:rPr>
          <w:szCs w:val="22"/>
        </w:rPr>
        <w:t>owners</w:t>
      </w:r>
      <w:r w:rsidRPr="00CB65E0">
        <w:rPr>
          <w:szCs w:val="22"/>
        </w:rPr>
        <w:t xml:space="preserve"> of existing </w:t>
      </w:r>
      <w:r w:rsidR="000D55EA">
        <w:rPr>
          <w:szCs w:val="22"/>
        </w:rPr>
        <w:t>registered antenna structures</w:t>
      </w:r>
      <w:r w:rsidRPr="00CB65E0">
        <w:rPr>
          <w:szCs w:val="22"/>
        </w:rPr>
        <w:t xml:space="preserve"> to eliminate the use of L-810 steady-burning side lights </w:t>
      </w:r>
      <w:r w:rsidR="001D6CE0">
        <w:rPr>
          <w:szCs w:val="22"/>
        </w:rPr>
        <w:t xml:space="preserve">as soon as </w:t>
      </w:r>
      <w:r w:rsidRPr="00CB65E0">
        <w:rPr>
          <w:szCs w:val="22"/>
        </w:rPr>
        <w:t xml:space="preserve">possible.  In addition to reducing migratory bird fatalities, eliminating the use of L-810 steady-burning side lights will reduce maintenance and energy costs for tower owners. For many communications towers, making this change does not require climbing the tower, and can be accomplished simply by </w:t>
      </w:r>
      <w:r>
        <w:rPr>
          <w:szCs w:val="22"/>
        </w:rPr>
        <w:t>extinguishing the steady-</w:t>
      </w:r>
      <w:r w:rsidRPr="007F13F6">
        <w:rPr>
          <w:szCs w:val="22"/>
        </w:rPr>
        <w:t xml:space="preserve">burning lights. </w:t>
      </w:r>
      <w:r w:rsidRPr="007F13F6">
        <w:rPr>
          <w:i/>
          <w:szCs w:val="22"/>
        </w:rPr>
        <w:t xml:space="preserve"> </w:t>
      </w:r>
      <w:r w:rsidR="000D55EA" w:rsidRPr="007F13F6">
        <w:rPr>
          <w:szCs w:val="22"/>
        </w:rPr>
        <w:t>Prior to changing the lighting on an existing antenna structure, the tower owner mu</w:t>
      </w:r>
      <w:r w:rsidR="007F13F6">
        <w:rPr>
          <w:szCs w:val="22"/>
        </w:rPr>
        <w:t>st</w:t>
      </w:r>
      <w:r w:rsidR="000D55EA" w:rsidRPr="007F13F6">
        <w:rPr>
          <w:szCs w:val="22"/>
        </w:rPr>
        <w:t xml:space="preserve"> request a new No Hazard Determination under AC 70/7460-1L</w:t>
      </w:r>
      <w:r w:rsidR="007F13F6">
        <w:rPr>
          <w:szCs w:val="22"/>
        </w:rPr>
        <w:t xml:space="preserve"> from the FAA</w:t>
      </w:r>
      <w:r w:rsidR="000D55EA" w:rsidRPr="007F13F6">
        <w:rPr>
          <w:szCs w:val="22"/>
        </w:rPr>
        <w:t xml:space="preserve">, </w:t>
      </w:r>
      <w:r w:rsidR="001D6CE0" w:rsidRPr="007F13F6">
        <w:rPr>
          <w:szCs w:val="22"/>
        </w:rPr>
        <w:t xml:space="preserve">and </w:t>
      </w:r>
      <w:r w:rsidR="000D55EA" w:rsidRPr="007F13F6">
        <w:rPr>
          <w:szCs w:val="22"/>
        </w:rPr>
        <w:t>then must file Form 854 with the FCC to amend its antenna structure registration to reflect the new lighting.</w:t>
      </w:r>
      <w:r w:rsidRPr="007F13F6">
        <w:rPr>
          <w:szCs w:val="22"/>
        </w:rPr>
        <w:t xml:space="preserve">  </w:t>
      </w:r>
    </w:p>
    <w:p w:rsidR="00834C0A" w:rsidRPr="00CB65E0" w:rsidRDefault="00834C0A" w:rsidP="00834C0A">
      <w:pPr>
        <w:ind w:left="-5"/>
        <w:rPr>
          <w:szCs w:val="22"/>
        </w:rPr>
      </w:pPr>
      <w:r w:rsidRPr="00CB65E0">
        <w:rPr>
          <w:szCs w:val="22"/>
        </w:rPr>
        <w:tab/>
      </w:r>
    </w:p>
    <w:p w:rsidR="00834C0A" w:rsidRPr="00CB65E0" w:rsidRDefault="00834C0A" w:rsidP="0092573A">
      <w:pPr>
        <w:ind w:left="-5" w:firstLine="725"/>
        <w:rPr>
          <w:szCs w:val="22"/>
        </w:rPr>
      </w:pPr>
      <w:r w:rsidRPr="00CB65E0">
        <w:rPr>
          <w:szCs w:val="22"/>
        </w:rPr>
        <w:t>For further information contact Joelle Gehring, (202)</w:t>
      </w:r>
      <w:r w:rsidR="006769E8">
        <w:rPr>
          <w:szCs w:val="22"/>
        </w:rPr>
        <w:t xml:space="preserve"> </w:t>
      </w:r>
      <w:r w:rsidRPr="00CB65E0">
        <w:rPr>
          <w:szCs w:val="22"/>
        </w:rPr>
        <w:t xml:space="preserve">270-4435 (voice), </w:t>
      </w:r>
      <w:hyperlink r:id="rId8" w:history="1">
        <w:r w:rsidRPr="00CB65E0">
          <w:rPr>
            <w:rStyle w:val="Hyperlink"/>
            <w:szCs w:val="22"/>
          </w:rPr>
          <w:t>Joelle.Gehring@FCC.gov</w:t>
        </w:r>
      </w:hyperlink>
      <w:r w:rsidRPr="00CB65E0">
        <w:rPr>
          <w:szCs w:val="22"/>
        </w:rPr>
        <w:t xml:space="preserve">, of the Competition and Infrastructure Policy Division, Wireless Telecommunications Bureau. </w:t>
      </w:r>
    </w:p>
    <w:p w:rsidR="00834C0A" w:rsidRPr="00CB65E0" w:rsidRDefault="00834C0A" w:rsidP="00834C0A">
      <w:pPr>
        <w:ind w:left="-5"/>
        <w:rPr>
          <w:szCs w:val="22"/>
        </w:rPr>
      </w:pPr>
    </w:p>
    <w:p w:rsidR="00834C0A" w:rsidRPr="006769E8" w:rsidRDefault="00834C0A" w:rsidP="00834C0A">
      <w:pPr>
        <w:ind w:left="-5"/>
        <w:jc w:val="center"/>
        <w:rPr>
          <w:b/>
          <w:szCs w:val="22"/>
        </w:rPr>
      </w:pPr>
      <w:r w:rsidRPr="006769E8">
        <w:rPr>
          <w:b/>
          <w:szCs w:val="22"/>
        </w:rPr>
        <w:t>-FCC-</w:t>
      </w:r>
    </w:p>
    <w:p w:rsidR="00834C0A" w:rsidRPr="00CB65E0" w:rsidRDefault="00834C0A" w:rsidP="00834C0A">
      <w:pPr>
        <w:rPr>
          <w:szCs w:val="22"/>
        </w:rPr>
      </w:pPr>
    </w:p>
    <w:p w:rsidR="00834C0A" w:rsidRPr="00CB65E0" w:rsidRDefault="00834C0A" w:rsidP="00834C0A">
      <w:pPr>
        <w:spacing w:before="120"/>
        <w:rPr>
          <w:szCs w:val="22"/>
        </w:rPr>
      </w:pPr>
    </w:p>
    <w:p w:rsidR="00EF7ED8" w:rsidRPr="00834C0A" w:rsidRDefault="00EF7ED8" w:rsidP="00834C0A"/>
    <w:sectPr w:rsidR="00EF7ED8" w:rsidRPr="00834C0A" w:rsidSect="004F6B1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94" w:rsidRDefault="00F95394">
      <w:pPr>
        <w:spacing w:line="20" w:lineRule="exact"/>
      </w:pPr>
    </w:p>
  </w:endnote>
  <w:endnote w:type="continuationSeparator" w:id="0">
    <w:p w:rsidR="00F95394" w:rsidRDefault="00F95394">
      <w:r>
        <w:t xml:space="preserve"> </w:t>
      </w:r>
    </w:p>
  </w:endnote>
  <w:endnote w:type="continuationNotice" w:id="1">
    <w:p w:rsidR="00F95394" w:rsidRDefault="00F953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4DEB">
      <w:rPr>
        <w:noProof/>
      </w:rPr>
      <w:t>3</w:t>
    </w:r>
    <w:r>
      <w:fldChar w:fldCharType="end"/>
    </w:r>
  </w:p>
  <w:p w:rsidR="00D25FB5" w:rsidRDefault="00D25FB5">
    <w:pPr>
      <w:pStyle w:val="Footer"/>
    </w:pPr>
  </w:p>
  <w:p w:rsidR="003660ED" w:rsidRDefault="003660ED"/>
  <w:p w:rsidR="008F0D8E" w:rsidRDefault="008F0D8E"/>
  <w:p w:rsidR="008F0D8E" w:rsidRDefault="008F0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361FA">
      <w:rPr>
        <w:noProof/>
      </w:rPr>
      <w:t>2</w:t>
    </w:r>
    <w:r>
      <w:fldChar w:fldCharType="end"/>
    </w:r>
  </w:p>
  <w:p w:rsidR="003660ED" w:rsidRDefault="003660ED" w:rsidP="000E05FE"/>
  <w:p w:rsidR="008F0D8E" w:rsidRDefault="008F0D8E"/>
  <w:p w:rsidR="008F0D8E" w:rsidRDefault="008F0D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94" w:rsidRDefault="00F95394">
      <w:r>
        <w:separator/>
      </w:r>
    </w:p>
  </w:footnote>
  <w:footnote w:type="continuationSeparator" w:id="0">
    <w:p w:rsidR="00F95394" w:rsidRDefault="00F95394" w:rsidP="00C721AC">
      <w:pPr>
        <w:spacing w:before="120"/>
        <w:rPr>
          <w:sz w:val="20"/>
        </w:rPr>
      </w:pPr>
      <w:r>
        <w:rPr>
          <w:sz w:val="20"/>
        </w:rPr>
        <w:t xml:space="preserve">(Continued from previous page)  </w:t>
      </w:r>
      <w:r>
        <w:rPr>
          <w:sz w:val="20"/>
        </w:rPr>
        <w:separator/>
      </w:r>
    </w:p>
  </w:footnote>
  <w:footnote w:type="continuationNotice" w:id="1">
    <w:p w:rsidR="00F95394" w:rsidRDefault="00F95394" w:rsidP="00C721AC">
      <w:pPr>
        <w:jc w:val="right"/>
        <w:rPr>
          <w:sz w:val="20"/>
        </w:rPr>
      </w:pPr>
      <w:r>
        <w:rPr>
          <w:sz w:val="20"/>
        </w:rPr>
        <w:t>(continued….)</w:t>
      </w:r>
    </w:p>
  </w:footnote>
  <w:footnote w:id="2">
    <w:p w:rsidR="00834C0A" w:rsidRPr="0096349F" w:rsidRDefault="00834C0A" w:rsidP="00834C0A">
      <w:pPr>
        <w:pStyle w:val="FootnoteText"/>
      </w:pPr>
      <w:r>
        <w:rPr>
          <w:rStyle w:val="FootnoteReference"/>
        </w:rPr>
        <w:footnoteRef/>
      </w:r>
      <w:r>
        <w:t xml:space="preserve"> </w:t>
      </w:r>
      <w:r w:rsidR="009865E4" w:rsidRPr="009865E4">
        <w:rPr>
          <w:i/>
        </w:rPr>
        <w:t>See</w:t>
      </w:r>
      <w:r w:rsidR="009865E4">
        <w:t xml:space="preserve"> </w:t>
      </w:r>
      <w:r w:rsidRPr="009865E4">
        <w:t>AC</w:t>
      </w:r>
      <w:r>
        <w:t xml:space="preserve"> 70/7460-1L</w:t>
      </w:r>
      <w:r w:rsidR="009865E4">
        <w:t>, a</w:t>
      </w:r>
      <w:r>
        <w:t xml:space="preserve">vailable at </w:t>
      </w:r>
      <w:hyperlink r:id="rId1" w:history="1">
        <w:r w:rsidRPr="00904A21">
          <w:rPr>
            <w:rStyle w:val="Hyperlink"/>
          </w:rPr>
          <w:t>http://www.faa.gov/documentLibrary/media/Advisory_Circular/AC_70_7460-1L_.pdf</w:t>
        </w:r>
      </w:hyperlink>
      <w:r>
        <w:t xml:space="preserve">. </w:t>
      </w:r>
    </w:p>
  </w:footnote>
  <w:footnote w:id="3">
    <w:p w:rsidR="00834C0A" w:rsidRDefault="00834C0A" w:rsidP="00834C0A">
      <w:pPr>
        <w:pStyle w:val="FootnoteText"/>
      </w:pPr>
      <w:r>
        <w:rPr>
          <w:rStyle w:val="FootnoteReference"/>
        </w:rPr>
        <w:footnoteRef/>
      </w:r>
      <w:r>
        <w:t xml:space="preserve"> 47 C.F.R. § 17.23.</w:t>
      </w:r>
    </w:p>
  </w:footnote>
  <w:footnote w:id="4">
    <w:p w:rsidR="00834C0A" w:rsidRDefault="00834C0A" w:rsidP="00834C0A">
      <w:pPr>
        <w:pStyle w:val="FootnoteText"/>
      </w:pPr>
      <w:r>
        <w:rPr>
          <w:rStyle w:val="FootnoteReference"/>
        </w:rPr>
        <w:footnoteRef/>
      </w:r>
      <w:r>
        <w:t xml:space="preserve"> </w:t>
      </w:r>
      <w:r>
        <w:rPr>
          <w:i/>
        </w:rPr>
        <w:t>Id</w:t>
      </w:r>
      <w:r>
        <w:t>.</w:t>
      </w:r>
    </w:p>
  </w:footnote>
  <w:footnote w:id="5">
    <w:p w:rsidR="00834C0A" w:rsidRPr="0096349F" w:rsidRDefault="00834C0A" w:rsidP="00834C0A">
      <w:pPr>
        <w:pStyle w:val="FootnoteText"/>
      </w:pPr>
      <w:r>
        <w:rPr>
          <w:rStyle w:val="FootnoteReference"/>
        </w:rPr>
        <w:footnoteRef/>
      </w:r>
      <w:r>
        <w:t xml:space="preserve"> </w:t>
      </w:r>
      <w:r>
        <w:rPr>
          <w:i/>
        </w:rPr>
        <w:t>See</w:t>
      </w:r>
      <w:r>
        <w:t xml:space="preserve"> AC 70/7460-1L at i.</w:t>
      </w:r>
    </w:p>
  </w:footnote>
  <w:footnote w:id="6">
    <w:p w:rsidR="00834C0A" w:rsidRPr="00C25FC2" w:rsidRDefault="00834C0A" w:rsidP="00834C0A">
      <w:pPr>
        <w:pStyle w:val="FootnoteText"/>
      </w:pPr>
      <w:r>
        <w:rPr>
          <w:rStyle w:val="FootnoteReference"/>
        </w:rPr>
        <w:footnoteRef/>
      </w:r>
      <w:r>
        <w:t xml:space="preserve"> </w:t>
      </w:r>
      <w:r>
        <w:rPr>
          <w:i/>
        </w:rPr>
        <w:t>See</w:t>
      </w:r>
      <w:r>
        <w:t xml:space="preserve"> AC 70/7460-1L at ii.</w:t>
      </w:r>
    </w:p>
  </w:footnote>
  <w:footnote w:id="7">
    <w:p w:rsidR="00834C0A" w:rsidRPr="00132630" w:rsidRDefault="00834C0A" w:rsidP="00834C0A">
      <w:pPr>
        <w:pStyle w:val="FootnoteText"/>
      </w:pPr>
      <w:r>
        <w:rPr>
          <w:rStyle w:val="FootnoteReference"/>
        </w:rPr>
        <w:footnoteRef/>
      </w:r>
      <w:r>
        <w:t xml:space="preserve"> </w:t>
      </w:r>
      <w:r>
        <w:rPr>
          <w:i/>
        </w:rPr>
        <w:t>See</w:t>
      </w:r>
      <w:r>
        <w:t xml:space="preserve"> </w:t>
      </w:r>
      <w:r w:rsidRPr="00132630">
        <w:t xml:space="preserve">Final Programmatic Environmental Assessment for the Antenna Structure Registration Program, released March 13, 2012, </w:t>
      </w:r>
      <w:r>
        <w:t>at 5-15, available at</w:t>
      </w:r>
      <w:r w:rsidRPr="00132630">
        <w:t xml:space="preserve"> </w:t>
      </w:r>
      <w:hyperlink r:id="rId2" w:tooltip="http://www.fcc.gov/pea" w:history="1">
        <w:r w:rsidRPr="00132630">
          <w:rPr>
            <w:rStyle w:val="Hyperlink"/>
          </w:rPr>
          <w:t>http://www.fcc.gov/pea</w:t>
        </w:r>
      </w:hyperlink>
      <w:r>
        <w:t xml:space="preserve"> (Final PEA)</w:t>
      </w:r>
      <w:r w:rsidRPr="00132630">
        <w:t>.</w:t>
      </w:r>
    </w:p>
  </w:footnote>
  <w:footnote w:id="8">
    <w:p w:rsidR="00834C0A" w:rsidRPr="00C25FC2" w:rsidRDefault="00834C0A" w:rsidP="00834C0A">
      <w:pPr>
        <w:pStyle w:val="FootnoteText"/>
      </w:pPr>
      <w:r>
        <w:rPr>
          <w:rStyle w:val="FootnoteReference"/>
        </w:rPr>
        <w:footnoteRef/>
      </w:r>
      <w:r>
        <w:t xml:space="preserve"> </w:t>
      </w:r>
      <w:r>
        <w:rPr>
          <w:i/>
        </w:rPr>
        <w:t>See</w:t>
      </w:r>
      <w:r>
        <w:t xml:space="preserve"> </w:t>
      </w:r>
      <w:r w:rsidRPr="00A95878">
        <w:rPr>
          <w:i/>
        </w:rPr>
        <w:t>id</w:t>
      </w:r>
      <w:r>
        <w:t>. at Sections 4.6.3 and 5.4.3.3.</w:t>
      </w:r>
    </w:p>
  </w:footnote>
  <w:footnote w:id="9">
    <w:p w:rsidR="00834C0A" w:rsidRPr="00C25FC2" w:rsidRDefault="00834C0A" w:rsidP="00834C0A">
      <w:pPr>
        <w:pStyle w:val="FootnoteText"/>
      </w:pPr>
      <w:r>
        <w:rPr>
          <w:rStyle w:val="FootnoteReference"/>
        </w:rPr>
        <w:footnoteRef/>
      </w:r>
      <w:r>
        <w:t xml:space="preserve"> </w:t>
      </w:r>
      <w:r>
        <w:rPr>
          <w:i/>
        </w:rPr>
        <w:t>See</w:t>
      </w:r>
      <w:r>
        <w:t xml:space="preserve"> </w:t>
      </w:r>
      <w:r w:rsidRPr="00A95878">
        <w:rPr>
          <w:i/>
        </w:rPr>
        <w:t>id</w:t>
      </w:r>
      <w:r>
        <w:t>. at 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EB" w:rsidRDefault="00D54DEB">
    <w:pPr>
      <w:pStyle w:val="Header"/>
    </w:pPr>
  </w:p>
  <w:p w:rsidR="008F0D8E" w:rsidRDefault="008F0D8E"/>
  <w:p w:rsidR="008F0D8E" w:rsidRDefault="008F0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EB" w:rsidRDefault="00D54DEB">
    <w:pPr>
      <w:pStyle w:val="Header"/>
    </w:pPr>
  </w:p>
  <w:p w:rsidR="008F0D8E" w:rsidRDefault="008F0D8E"/>
  <w:p w:rsidR="008F0D8E" w:rsidRDefault="008F0D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AF98F2C" wp14:editId="22F6456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98F2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inline distT="0" distB="0" distL="0" distR="0" wp14:anchorId="5CD25A83" wp14:editId="0CE72D5B">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BC3C6C4" wp14:editId="40AD045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A31C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88CBE8C" wp14:editId="5A76D02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361FA">
                            <w:rPr>
                              <w:rFonts w:ascii="Arial" w:hAnsi="Arial"/>
                              <w:b/>
                              <w:sz w:val="16"/>
                            </w:rPr>
                            <w:instrText>HYPERLINK "https://www.fcc.gov/"</w:instrText>
                          </w:r>
                          <w:r w:rsidR="009361F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361FA">
                      <w:rPr>
                        <w:rFonts w:ascii="Arial" w:hAnsi="Arial"/>
                        <w:b/>
                        <w:sz w:val="16"/>
                      </w:rPr>
                      <w:instrText>HYPERLINK "https://www.fcc.gov/"</w:instrText>
                    </w:r>
                    <w:r w:rsidR="009361F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0169FC"/>
    <w:multiLevelType w:val="hybridMultilevel"/>
    <w:tmpl w:val="91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6E47C3"/>
    <w:multiLevelType w:val="hybridMultilevel"/>
    <w:tmpl w:val="B03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77FF3"/>
    <w:multiLevelType w:val="hybridMultilevel"/>
    <w:tmpl w:val="C87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F96482D"/>
    <w:multiLevelType w:val="hybridMultilevel"/>
    <w:tmpl w:val="405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892801"/>
    <w:multiLevelType w:val="hybridMultilevel"/>
    <w:tmpl w:val="DE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F0779"/>
    <w:multiLevelType w:val="hybridMultilevel"/>
    <w:tmpl w:val="A3E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E04FC"/>
    <w:multiLevelType w:val="hybridMultilevel"/>
    <w:tmpl w:val="EA8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3"/>
  </w:num>
  <w:num w:numId="6">
    <w:abstractNumId w:val="0"/>
  </w:num>
  <w:num w:numId="7">
    <w:abstractNumId w:val="9"/>
  </w:num>
  <w:num w:numId="8">
    <w:abstractNumId w:val="6"/>
  </w:num>
  <w:num w:numId="9">
    <w:abstractNumId w:val="14"/>
  </w:num>
  <w:num w:numId="10">
    <w:abstractNumId w:val="13"/>
  </w:num>
  <w:num w:numId="11">
    <w:abstractNumId w:val="12"/>
  </w:num>
  <w:num w:numId="12">
    <w:abstractNumId w:val="5"/>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89"/>
    <w:rsid w:val="00036039"/>
    <w:rsid w:val="00037F90"/>
    <w:rsid w:val="00081AFB"/>
    <w:rsid w:val="000875BF"/>
    <w:rsid w:val="00096D8C"/>
    <w:rsid w:val="000C0B65"/>
    <w:rsid w:val="000D55EA"/>
    <w:rsid w:val="000E05FE"/>
    <w:rsid w:val="000E3D42"/>
    <w:rsid w:val="001031F0"/>
    <w:rsid w:val="00114B3C"/>
    <w:rsid w:val="00122BD5"/>
    <w:rsid w:val="00133F79"/>
    <w:rsid w:val="0017650E"/>
    <w:rsid w:val="00194A66"/>
    <w:rsid w:val="001B285E"/>
    <w:rsid w:val="001D6BCF"/>
    <w:rsid w:val="001D6CE0"/>
    <w:rsid w:val="001E01CA"/>
    <w:rsid w:val="00275CF5"/>
    <w:rsid w:val="0028301F"/>
    <w:rsid w:val="00285017"/>
    <w:rsid w:val="002A2D2E"/>
    <w:rsid w:val="002C00E8"/>
    <w:rsid w:val="002D3817"/>
    <w:rsid w:val="00343749"/>
    <w:rsid w:val="003660ED"/>
    <w:rsid w:val="003B0550"/>
    <w:rsid w:val="003B694F"/>
    <w:rsid w:val="003F171C"/>
    <w:rsid w:val="00412FC5"/>
    <w:rsid w:val="00422276"/>
    <w:rsid w:val="004242F1"/>
    <w:rsid w:val="00445A00"/>
    <w:rsid w:val="00451B0F"/>
    <w:rsid w:val="004C2EE3"/>
    <w:rsid w:val="004C401B"/>
    <w:rsid w:val="004E2B09"/>
    <w:rsid w:val="004E4A22"/>
    <w:rsid w:val="004F6B1A"/>
    <w:rsid w:val="00511968"/>
    <w:rsid w:val="00536857"/>
    <w:rsid w:val="0055614C"/>
    <w:rsid w:val="005C0E2C"/>
    <w:rsid w:val="005E14C2"/>
    <w:rsid w:val="00607BA5"/>
    <w:rsid w:val="00610889"/>
    <w:rsid w:val="0061180A"/>
    <w:rsid w:val="00626EB6"/>
    <w:rsid w:val="00655D03"/>
    <w:rsid w:val="006769E8"/>
    <w:rsid w:val="00683388"/>
    <w:rsid w:val="00683F84"/>
    <w:rsid w:val="006A1F49"/>
    <w:rsid w:val="006A6A81"/>
    <w:rsid w:val="006B1456"/>
    <w:rsid w:val="006E10E1"/>
    <w:rsid w:val="006F4AFD"/>
    <w:rsid w:val="006F7393"/>
    <w:rsid w:val="0070224F"/>
    <w:rsid w:val="007115F7"/>
    <w:rsid w:val="00772DF3"/>
    <w:rsid w:val="007777E2"/>
    <w:rsid w:val="00785689"/>
    <w:rsid w:val="007876CE"/>
    <w:rsid w:val="0079754B"/>
    <w:rsid w:val="007A1E6D"/>
    <w:rsid w:val="007B0EB2"/>
    <w:rsid w:val="007F13F6"/>
    <w:rsid w:val="007F413A"/>
    <w:rsid w:val="00810B6F"/>
    <w:rsid w:val="00817408"/>
    <w:rsid w:val="00821E0F"/>
    <w:rsid w:val="00822CE0"/>
    <w:rsid w:val="00834C0A"/>
    <w:rsid w:val="00841AB1"/>
    <w:rsid w:val="00857143"/>
    <w:rsid w:val="00886DCA"/>
    <w:rsid w:val="008C68F1"/>
    <w:rsid w:val="008F0D8E"/>
    <w:rsid w:val="009030F4"/>
    <w:rsid w:val="00917351"/>
    <w:rsid w:val="00921803"/>
    <w:rsid w:val="0092573A"/>
    <w:rsid w:val="00926503"/>
    <w:rsid w:val="009361FA"/>
    <w:rsid w:val="0094071E"/>
    <w:rsid w:val="009726D8"/>
    <w:rsid w:val="009865E4"/>
    <w:rsid w:val="009F76DB"/>
    <w:rsid w:val="00A32C3B"/>
    <w:rsid w:val="00A36EDC"/>
    <w:rsid w:val="00A45F4F"/>
    <w:rsid w:val="00A600A9"/>
    <w:rsid w:val="00AA55B7"/>
    <w:rsid w:val="00AA5B9E"/>
    <w:rsid w:val="00AB2407"/>
    <w:rsid w:val="00AB53DF"/>
    <w:rsid w:val="00AC424B"/>
    <w:rsid w:val="00AF46DC"/>
    <w:rsid w:val="00B07CD0"/>
    <w:rsid w:val="00B07E5C"/>
    <w:rsid w:val="00B20363"/>
    <w:rsid w:val="00B252AA"/>
    <w:rsid w:val="00B338A9"/>
    <w:rsid w:val="00B55156"/>
    <w:rsid w:val="00B56978"/>
    <w:rsid w:val="00B679AB"/>
    <w:rsid w:val="00B76DB8"/>
    <w:rsid w:val="00B811F7"/>
    <w:rsid w:val="00B9791B"/>
    <w:rsid w:val="00BA5DC6"/>
    <w:rsid w:val="00BA6196"/>
    <w:rsid w:val="00BB4D8C"/>
    <w:rsid w:val="00BC6D8C"/>
    <w:rsid w:val="00C00771"/>
    <w:rsid w:val="00C30355"/>
    <w:rsid w:val="00C34006"/>
    <w:rsid w:val="00C426B1"/>
    <w:rsid w:val="00C66160"/>
    <w:rsid w:val="00C721AC"/>
    <w:rsid w:val="00C90D6A"/>
    <w:rsid w:val="00CA247E"/>
    <w:rsid w:val="00CC72B6"/>
    <w:rsid w:val="00CC776F"/>
    <w:rsid w:val="00CD5636"/>
    <w:rsid w:val="00CE64D7"/>
    <w:rsid w:val="00D0218D"/>
    <w:rsid w:val="00D25FB5"/>
    <w:rsid w:val="00D44223"/>
    <w:rsid w:val="00D47505"/>
    <w:rsid w:val="00D54DEB"/>
    <w:rsid w:val="00D60D99"/>
    <w:rsid w:val="00DA2529"/>
    <w:rsid w:val="00DB130A"/>
    <w:rsid w:val="00DB2C41"/>
    <w:rsid w:val="00DB2EBB"/>
    <w:rsid w:val="00DC10A1"/>
    <w:rsid w:val="00DC655F"/>
    <w:rsid w:val="00DD0B59"/>
    <w:rsid w:val="00DD7EBD"/>
    <w:rsid w:val="00DE4C8D"/>
    <w:rsid w:val="00DF0810"/>
    <w:rsid w:val="00DF62B6"/>
    <w:rsid w:val="00E07225"/>
    <w:rsid w:val="00E2752B"/>
    <w:rsid w:val="00E51450"/>
    <w:rsid w:val="00E5409F"/>
    <w:rsid w:val="00E607BB"/>
    <w:rsid w:val="00E70CF9"/>
    <w:rsid w:val="00E77ED3"/>
    <w:rsid w:val="00EA2801"/>
    <w:rsid w:val="00EB4ACC"/>
    <w:rsid w:val="00EE6488"/>
    <w:rsid w:val="00EF7ED8"/>
    <w:rsid w:val="00F021FA"/>
    <w:rsid w:val="00F528FA"/>
    <w:rsid w:val="00F623CB"/>
    <w:rsid w:val="00F62E97"/>
    <w:rsid w:val="00F64209"/>
    <w:rsid w:val="00F8591E"/>
    <w:rsid w:val="00F93BF5"/>
    <w:rsid w:val="00F95394"/>
    <w:rsid w:val="00FD4F7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semiHidden/>
    <w:unhideWhenUsed/>
    <w:rsid w:val="001D6CE0"/>
    <w:rPr>
      <w:sz w:val="16"/>
      <w:szCs w:val="16"/>
    </w:rPr>
  </w:style>
  <w:style w:type="paragraph" w:styleId="CommentText">
    <w:name w:val="annotation text"/>
    <w:basedOn w:val="Normal"/>
    <w:link w:val="CommentTextChar"/>
    <w:semiHidden/>
    <w:unhideWhenUsed/>
    <w:rsid w:val="001D6CE0"/>
    <w:rPr>
      <w:sz w:val="20"/>
    </w:rPr>
  </w:style>
  <w:style w:type="character" w:customStyle="1" w:styleId="CommentTextChar">
    <w:name w:val="Comment Text Char"/>
    <w:basedOn w:val="DefaultParagraphFont"/>
    <w:link w:val="CommentText"/>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semiHidden/>
    <w:unhideWhenUsed/>
    <w:rsid w:val="001D6CE0"/>
    <w:rPr>
      <w:sz w:val="16"/>
      <w:szCs w:val="16"/>
    </w:rPr>
  </w:style>
  <w:style w:type="paragraph" w:styleId="CommentText">
    <w:name w:val="annotation text"/>
    <w:basedOn w:val="Normal"/>
    <w:link w:val="CommentTextChar"/>
    <w:semiHidden/>
    <w:unhideWhenUsed/>
    <w:rsid w:val="001D6CE0"/>
    <w:rPr>
      <w:sz w:val="20"/>
    </w:rPr>
  </w:style>
  <w:style w:type="character" w:customStyle="1" w:styleId="CommentTextChar">
    <w:name w:val="Comment Text Char"/>
    <w:basedOn w:val="DefaultParagraphFont"/>
    <w:link w:val="CommentText"/>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le.Gehr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pea" TargetMode="External"/><Relationship Id="rId1" Type="http://schemas.openxmlformats.org/officeDocument/2006/relationships/hyperlink" Target="http://www.faa.gov/documentLibrary/media/Advisory_Circular/AC_70_7460-1L_.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E8F678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E8F67854</Template>
  <TotalTime>0</TotalTime>
  <Pages>2</Pages>
  <Words>553</Words>
  <Characters>3212</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2015-12-07T15:15:00Z</dcterms:created>
  <dcterms:modified xsi:type="dcterms:W3CDTF">2015-12-07T15:15:00Z</dcterms:modified>
  <cp:category> </cp:category>
  <cp:contentStatus> </cp:contentStatus>
</cp:coreProperties>
</file>