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93" w:rsidRDefault="00381F93">
      <w:pPr>
        <w:jc w:val="center"/>
        <w:rPr>
          <w:b/>
        </w:rPr>
      </w:pPr>
      <w:bookmarkStart w:id="0" w:name="_GoBack"/>
      <w:bookmarkEnd w:id="0"/>
      <w:r>
        <w:rPr>
          <w:b/>
        </w:rPr>
        <w:t>Before the</w:t>
      </w:r>
    </w:p>
    <w:p w:rsidR="00381F93" w:rsidRDefault="00381F93">
      <w:pPr>
        <w:jc w:val="center"/>
        <w:rPr>
          <w:b/>
        </w:rPr>
      </w:pPr>
      <w:r>
        <w:rPr>
          <w:b/>
        </w:rPr>
        <w:t>Federal Communications Commission</w:t>
      </w:r>
    </w:p>
    <w:p w:rsidR="00381F93" w:rsidRDefault="00381F93">
      <w:pPr>
        <w:jc w:val="center"/>
        <w:rPr>
          <w:b/>
        </w:rPr>
      </w:pPr>
      <w:r>
        <w:rPr>
          <w:b/>
        </w:rPr>
        <w:t>Washington, D.C. 20554</w:t>
      </w:r>
    </w:p>
    <w:p w:rsidR="00381F93" w:rsidRDefault="00381F93"/>
    <w:p w:rsidR="00381F93" w:rsidRDefault="00381F93"/>
    <w:tbl>
      <w:tblPr>
        <w:tblW w:w="0" w:type="auto"/>
        <w:tblLayout w:type="fixed"/>
        <w:tblLook w:val="0000" w:firstRow="0" w:lastRow="0" w:firstColumn="0" w:lastColumn="0" w:noHBand="0" w:noVBand="0"/>
      </w:tblPr>
      <w:tblGrid>
        <w:gridCol w:w="4698"/>
        <w:gridCol w:w="720"/>
        <w:gridCol w:w="4230"/>
      </w:tblGrid>
      <w:tr w:rsidR="00381F93" w:rsidTr="000479A0">
        <w:trPr>
          <w:trHeight w:val="1341"/>
        </w:trPr>
        <w:tc>
          <w:tcPr>
            <w:tcW w:w="4698" w:type="dxa"/>
          </w:tcPr>
          <w:p w:rsidR="00381F93" w:rsidRDefault="00381F93">
            <w:pPr>
              <w:ind w:right="-18"/>
            </w:pPr>
            <w:r>
              <w:t xml:space="preserve">In the </w:t>
            </w:r>
            <w:r w:rsidR="00151C26">
              <w:t>M</w:t>
            </w:r>
            <w:r>
              <w:t>atter of</w:t>
            </w:r>
          </w:p>
          <w:p w:rsidR="00381F93" w:rsidRDefault="00381F93">
            <w:pPr>
              <w:ind w:right="-18"/>
            </w:pPr>
          </w:p>
          <w:p w:rsidR="00151C26" w:rsidRDefault="00B40AC6">
            <w:pPr>
              <w:ind w:right="-18"/>
            </w:pPr>
            <w:r>
              <w:t>ACR Electronics, Inc.</w:t>
            </w:r>
          </w:p>
          <w:p w:rsidR="00381F93" w:rsidRDefault="00381F93">
            <w:pPr>
              <w:ind w:right="-18"/>
            </w:pPr>
          </w:p>
          <w:p w:rsidR="00381F93" w:rsidRDefault="00381F93">
            <w:pPr>
              <w:ind w:right="-18"/>
            </w:pPr>
            <w:r>
              <w:t xml:space="preserve">Request for Waiver of Section </w:t>
            </w:r>
            <w:r w:rsidR="00B40AC6">
              <w:t>95</w:t>
            </w:r>
            <w:r>
              <w:t>.</w:t>
            </w:r>
            <w:r w:rsidR="00B40AC6">
              <w:t>1402(b)</w:t>
            </w:r>
          </w:p>
          <w:p w:rsidR="00381F93" w:rsidRDefault="00381F93">
            <w:pPr>
              <w:ind w:right="-18"/>
            </w:pPr>
          </w:p>
        </w:tc>
        <w:tc>
          <w:tcPr>
            <w:tcW w:w="720" w:type="dxa"/>
          </w:tcPr>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pPr>
              <w:rPr>
                <w:b/>
              </w:rPr>
            </w:pPr>
            <w:r>
              <w:rPr>
                <w:b/>
              </w:rPr>
              <w:t>)</w:t>
            </w:r>
          </w:p>
          <w:p w:rsidR="00381F93" w:rsidRDefault="00381F93" w:rsidP="00381F93">
            <w:pPr>
              <w:rPr>
                <w:b/>
              </w:rPr>
            </w:pPr>
          </w:p>
        </w:tc>
        <w:tc>
          <w:tcPr>
            <w:tcW w:w="4230" w:type="dxa"/>
          </w:tcPr>
          <w:p w:rsidR="00381F93" w:rsidRDefault="00381F93"/>
          <w:p w:rsidR="00381F93" w:rsidRDefault="00381F93"/>
          <w:p w:rsidR="00381F93" w:rsidRDefault="0035235A">
            <w:r>
              <w:t>WT Docket No. 15-85</w:t>
            </w:r>
          </w:p>
        </w:tc>
      </w:tr>
    </w:tbl>
    <w:p w:rsidR="00381F93" w:rsidRDefault="00381F93" w:rsidP="000479A0">
      <w:pPr>
        <w:spacing w:before="120"/>
        <w:jc w:val="center"/>
        <w:rPr>
          <w:b/>
        </w:rPr>
      </w:pPr>
      <w:r>
        <w:rPr>
          <w:b/>
          <w:spacing w:val="-2"/>
        </w:rPr>
        <w:t>ORDER</w:t>
      </w:r>
    </w:p>
    <w:p w:rsidR="00381F93" w:rsidRDefault="00381F93"/>
    <w:p w:rsidR="00381F93" w:rsidRDefault="00381F93">
      <w:pPr>
        <w:tabs>
          <w:tab w:val="left" w:pos="5760"/>
        </w:tabs>
        <w:rPr>
          <w:b/>
        </w:rPr>
      </w:pPr>
      <w:r>
        <w:rPr>
          <w:b/>
        </w:rPr>
        <w:t xml:space="preserve">Adopted:  </w:t>
      </w:r>
      <w:r w:rsidR="00B23A4A">
        <w:rPr>
          <w:b/>
        </w:rPr>
        <w:t>December 8</w:t>
      </w:r>
      <w:r>
        <w:rPr>
          <w:b/>
          <w:spacing w:val="-2"/>
        </w:rPr>
        <w:t>, 201</w:t>
      </w:r>
      <w:r w:rsidR="00B40AC6">
        <w:rPr>
          <w:b/>
          <w:spacing w:val="-2"/>
        </w:rPr>
        <w:t>5</w:t>
      </w:r>
      <w:r>
        <w:rPr>
          <w:b/>
        </w:rPr>
        <w:tab/>
      </w:r>
      <w:r w:rsidR="00B23A4A">
        <w:rPr>
          <w:b/>
        </w:rPr>
        <w:tab/>
      </w:r>
      <w:r>
        <w:rPr>
          <w:b/>
        </w:rPr>
        <w:t xml:space="preserve">Released:  </w:t>
      </w:r>
      <w:r w:rsidR="00B23A4A">
        <w:rPr>
          <w:b/>
        </w:rPr>
        <w:t>December 8</w:t>
      </w:r>
      <w:r>
        <w:rPr>
          <w:b/>
          <w:spacing w:val="-2"/>
        </w:rPr>
        <w:t>, 201</w:t>
      </w:r>
      <w:r w:rsidR="00B40AC6">
        <w:rPr>
          <w:b/>
          <w:spacing w:val="-2"/>
        </w:rPr>
        <w:t>5</w:t>
      </w:r>
    </w:p>
    <w:p w:rsidR="00381F93" w:rsidRDefault="00381F93">
      <w:pPr>
        <w:tabs>
          <w:tab w:val="left" w:pos="5760"/>
        </w:tabs>
        <w:rPr>
          <w:b/>
        </w:rPr>
      </w:pPr>
    </w:p>
    <w:p w:rsidR="00381F93" w:rsidRDefault="00381F93" w:rsidP="00381F93">
      <w:pPr>
        <w:tabs>
          <w:tab w:val="right" w:pos="9360"/>
        </w:tabs>
      </w:pPr>
      <w:r>
        <w:t xml:space="preserve">By the </w:t>
      </w:r>
      <w:r>
        <w:rPr>
          <w:spacing w:val="-2"/>
        </w:rPr>
        <w:t>Deputy Chief, Mobility Division, Wireless Telecommunications Bureau:</w:t>
      </w:r>
    </w:p>
    <w:p w:rsidR="00381F93" w:rsidRDefault="00381F93">
      <w:pPr>
        <w:tabs>
          <w:tab w:val="left" w:pos="5760"/>
        </w:tabs>
        <w:rPr>
          <w:b/>
        </w:rPr>
      </w:pPr>
    </w:p>
    <w:p w:rsidR="00036005" w:rsidRPr="001B3DA4" w:rsidRDefault="00654822" w:rsidP="00A16746">
      <w:pPr>
        <w:pStyle w:val="ListParagraph"/>
        <w:numPr>
          <w:ilvl w:val="0"/>
          <w:numId w:val="23"/>
        </w:numPr>
        <w:tabs>
          <w:tab w:val="num" w:pos="1440"/>
        </w:tabs>
        <w:autoSpaceDE w:val="0"/>
        <w:autoSpaceDN w:val="0"/>
        <w:adjustRightInd w:val="0"/>
        <w:spacing w:before="120" w:after="120"/>
        <w:ind w:left="0" w:firstLine="720"/>
      </w:pPr>
      <w:r w:rsidRPr="00036005">
        <w:rPr>
          <w:i/>
          <w:szCs w:val="22"/>
        </w:rPr>
        <w:t>Introduction</w:t>
      </w:r>
      <w:r w:rsidRPr="00036005">
        <w:rPr>
          <w:szCs w:val="22"/>
        </w:rPr>
        <w:t xml:space="preserve">.  </w:t>
      </w:r>
      <w:r w:rsidR="00AA0636">
        <w:t>On March 5, 2015, ACR Electronics, Inc. (ACR),</w:t>
      </w:r>
      <w:r w:rsidR="00AA0636" w:rsidRPr="00036005">
        <w:rPr>
          <w:spacing w:val="-2"/>
        </w:rPr>
        <w:t xml:space="preserve"> filed a request for waiver of Section</w:t>
      </w:r>
      <w:r w:rsidR="00AA0636">
        <w:t xml:space="preserve"> 95.1402(b) of the Commission's Rules</w:t>
      </w:r>
      <w:r w:rsidR="00AA0636">
        <w:rPr>
          <w:rStyle w:val="FootnoteReference"/>
        </w:rPr>
        <w:footnoteReference w:id="2"/>
      </w:r>
      <w:r w:rsidR="00AA0636">
        <w:t xml:space="preserve"> to permit equipment authorization and use of</w:t>
      </w:r>
      <w:r w:rsidR="00620B42">
        <w:t xml:space="preserve"> its</w:t>
      </w:r>
      <w:r w:rsidR="00AA0636">
        <w:t xml:space="preserve"> 2-Way Communicator Personal Locator Beacon (SARLink)</w:t>
      </w:r>
      <w:r w:rsidR="00620B42">
        <w:t xml:space="preserve">, an </w:t>
      </w:r>
      <w:r w:rsidR="00620B42" w:rsidRPr="00036005">
        <w:rPr>
          <w:szCs w:val="22"/>
        </w:rPr>
        <w:t xml:space="preserve">emergency alerting device that is intended to provide </w:t>
      </w:r>
      <w:r w:rsidR="007219F6">
        <w:rPr>
          <w:szCs w:val="22"/>
        </w:rPr>
        <w:t xml:space="preserve">a means for </w:t>
      </w:r>
      <w:r w:rsidR="00620B42" w:rsidRPr="00036005">
        <w:rPr>
          <w:szCs w:val="22"/>
        </w:rPr>
        <w:t xml:space="preserve">individuals in remote areas to alert others of an emergency situation and to aid search and rescue </w:t>
      </w:r>
      <w:r w:rsidR="00520D12">
        <w:rPr>
          <w:szCs w:val="22"/>
        </w:rPr>
        <w:t xml:space="preserve">(SAR) </w:t>
      </w:r>
      <w:r w:rsidR="00620B42" w:rsidRPr="00036005">
        <w:rPr>
          <w:szCs w:val="22"/>
        </w:rPr>
        <w:t>personnel to locate those in distress</w:t>
      </w:r>
      <w:r w:rsidR="00AA0636">
        <w:t>.</w:t>
      </w:r>
      <w:r w:rsidR="00AA0636">
        <w:rPr>
          <w:rStyle w:val="FootnoteReference"/>
        </w:rPr>
        <w:footnoteReference w:id="3"/>
      </w:r>
      <w:r w:rsidR="00AA0636" w:rsidRPr="00036005">
        <w:rPr>
          <w:spacing w:val="-2"/>
        </w:rPr>
        <w:t xml:space="preserve">  </w:t>
      </w:r>
      <w:r w:rsidR="00620B42">
        <w:rPr>
          <w:spacing w:val="-2"/>
        </w:rPr>
        <w:t xml:space="preserve">As discussed below, we grant the waiver request subject to the conditions set forth herein.  </w:t>
      </w:r>
    </w:p>
    <w:p w:rsidR="001B3DA4" w:rsidRPr="00036005" w:rsidRDefault="001B3DA4" w:rsidP="001B3DA4">
      <w:pPr>
        <w:pStyle w:val="ListParagraph"/>
        <w:autoSpaceDE w:val="0"/>
        <w:autoSpaceDN w:val="0"/>
        <w:adjustRightInd w:val="0"/>
        <w:spacing w:before="120" w:after="120"/>
      </w:pPr>
    </w:p>
    <w:p w:rsidR="00620B42" w:rsidRDefault="00FC48DD" w:rsidP="001B3DA4">
      <w:pPr>
        <w:pStyle w:val="ListParagraph"/>
        <w:numPr>
          <w:ilvl w:val="0"/>
          <w:numId w:val="23"/>
        </w:numPr>
        <w:tabs>
          <w:tab w:val="num" w:pos="1440"/>
        </w:tabs>
        <w:autoSpaceDE w:val="0"/>
        <w:autoSpaceDN w:val="0"/>
        <w:adjustRightInd w:val="0"/>
        <w:spacing w:before="120" w:after="120"/>
        <w:ind w:left="0" w:firstLine="720"/>
      </w:pPr>
      <w:r w:rsidRPr="00036005">
        <w:rPr>
          <w:i/>
        </w:rPr>
        <w:t>Background</w:t>
      </w:r>
      <w:r>
        <w:t xml:space="preserve">.  </w:t>
      </w:r>
      <w:r w:rsidR="00620B42">
        <w:t xml:space="preserve">The SARLink provides two-way text messaging </w:t>
      </w:r>
      <w:r w:rsidR="00520D12">
        <w:t xml:space="preserve">and tracking </w:t>
      </w:r>
      <w:r w:rsidR="00620B42">
        <w:t>capability through the Iridium satellite system</w:t>
      </w:r>
      <w:r w:rsidR="00520D12">
        <w:t>,</w:t>
      </w:r>
      <w:r w:rsidR="00620B42">
        <w:t xml:space="preserve"> and distress alerting on the 406-406.1 MHz </w:t>
      </w:r>
      <w:r w:rsidR="00520D12">
        <w:t xml:space="preserve">(406 MHz) </w:t>
      </w:r>
      <w:r w:rsidR="00620B42" w:rsidRPr="00036005">
        <w:rPr>
          <w:spacing w:val="-2"/>
        </w:rPr>
        <w:t>COSPAS-SARSAT satellite system</w:t>
      </w:r>
      <w:r w:rsidR="00620B42">
        <w:rPr>
          <w:spacing w:val="-2"/>
        </w:rPr>
        <w:t>.</w:t>
      </w:r>
      <w:r w:rsidR="00620B42">
        <w:rPr>
          <w:rStyle w:val="FootnoteReference"/>
        </w:rPr>
        <w:footnoteReference w:id="4"/>
      </w:r>
      <w:r w:rsidR="00620B42" w:rsidRPr="00036005">
        <w:rPr>
          <w:spacing w:val="-2"/>
        </w:rPr>
        <w:t xml:space="preserve"> </w:t>
      </w:r>
      <w:r w:rsidR="00620B42">
        <w:rPr>
          <w:spacing w:val="-2"/>
        </w:rPr>
        <w:t xml:space="preserve"> In its waiver request, ACR characterize</w:t>
      </w:r>
      <w:r w:rsidR="007219F6">
        <w:rPr>
          <w:spacing w:val="-2"/>
        </w:rPr>
        <w:t>s</w:t>
      </w:r>
      <w:r w:rsidR="00620B42">
        <w:rPr>
          <w:spacing w:val="-2"/>
        </w:rPr>
        <w:t xml:space="preserve"> the device as a Personal Locator Beacon (PLB).</w:t>
      </w:r>
      <w:r w:rsidR="00520D12">
        <w:rPr>
          <w:rStyle w:val="FootnoteReference"/>
          <w:spacing w:val="-2"/>
        </w:rPr>
        <w:footnoteReference w:id="5"/>
      </w:r>
      <w:r w:rsidR="00620B42">
        <w:rPr>
          <w:spacing w:val="-2"/>
        </w:rPr>
        <w:t xml:space="preserve">  PLBs are </w:t>
      </w:r>
      <w:r w:rsidR="00620B42">
        <w:t xml:space="preserve">emergency radiobeacons intended for use by individuals in remote areas, which transmit a distress signal on 406 MHz </w:t>
      </w:r>
      <w:r w:rsidR="00620B42" w:rsidRPr="00036005">
        <w:rPr>
          <w:spacing w:val="-2"/>
        </w:rPr>
        <w:t xml:space="preserve">for communication with the COSPAS-SARSAT satellite system </w:t>
      </w:r>
      <w:r w:rsidR="00620B42">
        <w:t>and a lower-powered signal on frequency 121.5 MHz that is used by SAR personnel as a homing beacon to help locate persons in distress.  PLBs must conform to the Radio Technical Commission for Maritime Services (RTCM) standard that contains minimum requirements for PLBs’ functional and technical performance.</w:t>
      </w:r>
      <w:r w:rsidR="00620B42">
        <w:rPr>
          <w:rStyle w:val="FootnoteReference"/>
        </w:rPr>
        <w:footnoteReference w:id="6"/>
      </w:r>
    </w:p>
    <w:p w:rsidR="00520D12" w:rsidRDefault="00520D12" w:rsidP="00520D12">
      <w:pPr>
        <w:pStyle w:val="ListParagraph"/>
      </w:pPr>
    </w:p>
    <w:p w:rsidR="00520D12" w:rsidRPr="00620B42" w:rsidRDefault="00520D12" w:rsidP="001B3DA4">
      <w:pPr>
        <w:pStyle w:val="ListParagraph"/>
        <w:numPr>
          <w:ilvl w:val="0"/>
          <w:numId w:val="23"/>
        </w:numPr>
        <w:tabs>
          <w:tab w:val="num" w:pos="1440"/>
        </w:tabs>
        <w:autoSpaceDE w:val="0"/>
        <w:autoSpaceDN w:val="0"/>
        <w:adjustRightInd w:val="0"/>
        <w:spacing w:before="120" w:after="120"/>
        <w:ind w:left="0" w:firstLine="720"/>
      </w:pPr>
      <w:r>
        <w:lastRenderedPageBreak/>
        <w:t>ACR requ</w:t>
      </w:r>
      <w:r w:rsidR="007219F6">
        <w:t>est</w:t>
      </w:r>
      <w:r>
        <w:t>s a waiver of Section 95.1402(b) because the SARLink does not include a 121.5 MHz beacon.  ACR asserts that two-way text messaging capability will provide better distress alerting and locating assistance than a 121.5 MHz homing beacon because SARLink users will be able to text SAR personnel directly and provide location such as physical landmarks and obstacles, and provide important details regarding the emergency, such as the number of people involved and the number and nature of any injuries.</w:t>
      </w:r>
      <w:r>
        <w:rPr>
          <w:rStyle w:val="FootnoteReference"/>
        </w:rPr>
        <w:footnoteReference w:id="7"/>
      </w:r>
      <w:r>
        <w:t xml:space="preserve">  ACR argues that certification and use of the SARLink will save lives and reduce the cost of rescues, and is therefore in the public interest.</w:t>
      </w:r>
      <w:r>
        <w:rPr>
          <w:rStyle w:val="FootnoteReference"/>
        </w:rPr>
        <w:footnoteReference w:id="8"/>
      </w:r>
    </w:p>
    <w:p w:rsidR="00620B42" w:rsidRPr="00620B42" w:rsidRDefault="00620B42" w:rsidP="00620B42">
      <w:pPr>
        <w:pStyle w:val="ListParagraph"/>
        <w:rPr>
          <w:spacing w:val="-2"/>
        </w:rPr>
      </w:pPr>
    </w:p>
    <w:p w:rsidR="00036005" w:rsidRDefault="0034258F" w:rsidP="00FE56D1">
      <w:pPr>
        <w:pStyle w:val="ListParagraph"/>
        <w:numPr>
          <w:ilvl w:val="0"/>
          <w:numId w:val="23"/>
        </w:numPr>
        <w:tabs>
          <w:tab w:val="num" w:pos="1440"/>
        </w:tabs>
        <w:autoSpaceDE w:val="0"/>
        <w:autoSpaceDN w:val="0"/>
        <w:adjustRightInd w:val="0"/>
        <w:spacing w:before="120" w:after="120"/>
        <w:ind w:left="0" w:firstLine="720"/>
      </w:pPr>
      <w:r w:rsidRPr="0034258F">
        <w:rPr>
          <w:spacing w:val="-2"/>
        </w:rPr>
        <w:t xml:space="preserve">The U.S. Coast Guard and the U.S. </w:t>
      </w:r>
      <w:r w:rsidR="006E0651" w:rsidRPr="0034258F">
        <w:rPr>
          <w:spacing w:val="-2"/>
        </w:rPr>
        <w:t xml:space="preserve">SARSAT </w:t>
      </w:r>
      <w:r w:rsidRPr="0034258F">
        <w:rPr>
          <w:spacing w:val="-2"/>
        </w:rPr>
        <w:t xml:space="preserve">Program (USCG/SARSAT) submitted joint comments </w:t>
      </w:r>
      <w:r w:rsidR="00A56313">
        <w:rPr>
          <w:spacing w:val="-2"/>
        </w:rPr>
        <w:t xml:space="preserve">expressing concerns about </w:t>
      </w:r>
      <w:r w:rsidRPr="0034258F">
        <w:rPr>
          <w:spacing w:val="-2"/>
        </w:rPr>
        <w:t>the waiver request.</w:t>
      </w:r>
      <w:r>
        <w:rPr>
          <w:rStyle w:val="FootnoteReference"/>
          <w:spacing w:val="-2"/>
        </w:rPr>
        <w:footnoteReference w:id="9"/>
      </w:r>
      <w:r w:rsidRPr="0034258F">
        <w:rPr>
          <w:spacing w:val="-2"/>
        </w:rPr>
        <w:t xml:space="preserve">  </w:t>
      </w:r>
      <w:r w:rsidR="00A56313">
        <w:rPr>
          <w:spacing w:val="-2"/>
        </w:rPr>
        <w:t>They</w:t>
      </w:r>
      <w:r w:rsidR="007068F2">
        <w:rPr>
          <w:spacing w:val="-2"/>
        </w:rPr>
        <w:t xml:space="preserve"> state that the lack of a 121.5 MHz homing signal is </w:t>
      </w:r>
      <w:r w:rsidR="007219F6">
        <w:rPr>
          <w:spacing w:val="-2"/>
        </w:rPr>
        <w:t xml:space="preserve">only </w:t>
      </w:r>
      <w:r w:rsidR="007068F2">
        <w:rPr>
          <w:spacing w:val="-2"/>
        </w:rPr>
        <w:t>mitigated by the text messaging and continuous tracking</w:t>
      </w:r>
      <w:r>
        <w:rPr>
          <w:spacing w:val="-2"/>
        </w:rPr>
        <w:t xml:space="preserve"> </w:t>
      </w:r>
      <w:r w:rsidR="007068F2">
        <w:rPr>
          <w:spacing w:val="-2"/>
        </w:rPr>
        <w:t xml:space="preserve">capability of the Iridium device, and therefore does not increase risk to the safety of the user, when </w:t>
      </w:r>
      <w:r w:rsidR="00A56313">
        <w:rPr>
          <w:spacing w:val="-2"/>
        </w:rPr>
        <w:t xml:space="preserve">users are highly trained and </w:t>
      </w:r>
      <w:r w:rsidR="007068F2">
        <w:rPr>
          <w:spacing w:val="-2"/>
        </w:rPr>
        <w:t>the distress text messages are routed to a command center with full-time staffing.</w:t>
      </w:r>
      <w:r w:rsidR="007068F2">
        <w:rPr>
          <w:rStyle w:val="FootnoteReference"/>
          <w:spacing w:val="-2"/>
        </w:rPr>
        <w:footnoteReference w:id="10"/>
      </w:r>
      <w:r w:rsidR="00A56313">
        <w:rPr>
          <w:spacing w:val="-2"/>
        </w:rPr>
        <w:t xml:space="preserve">  Consequently, </w:t>
      </w:r>
      <w:r w:rsidR="00A56313" w:rsidRPr="0034258F">
        <w:rPr>
          <w:spacing w:val="-2"/>
        </w:rPr>
        <w:t>USCG/SARSAT</w:t>
      </w:r>
      <w:r w:rsidR="00A56313">
        <w:rPr>
          <w:spacing w:val="-2"/>
        </w:rPr>
        <w:t xml:space="preserve"> request that the SARLink be approved for use only by government (Federal, Sta</w:t>
      </w:r>
      <w:r w:rsidR="003967CD">
        <w:rPr>
          <w:spacing w:val="-2"/>
        </w:rPr>
        <w:t>te, or local) agencies and high-</w:t>
      </w:r>
      <w:r w:rsidR="00A56313">
        <w:rPr>
          <w:spacing w:val="-2"/>
        </w:rPr>
        <w:t xml:space="preserve">risk commercial industry </w:t>
      </w:r>
      <w:r w:rsidR="003967CD">
        <w:rPr>
          <w:spacing w:val="-2"/>
        </w:rPr>
        <w:t xml:space="preserve">entities </w:t>
      </w:r>
      <w:r w:rsidR="00A56313">
        <w:rPr>
          <w:spacing w:val="-2"/>
        </w:rPr>
        <w:t xml:space="preserve">where potential users are certified and highly trained with an organized support activity or call center to manage and respond to </w:t>
      </w:r>
      <w:r w:rsidR="007219F6">
        <w:rPr>
          <w:spacing w:val="-2"/>
        </w:rPr>
        <w:t xml:space="preserve">distress </w:t>
      </w:r>
      <w:r w:rsidR="00A56313">
        <w:rPr>
          <w:spacing w:val="-2"/>
        </w:rPr>
        <w:t>calls.</w:t>
      </w:r>
      <w:r w:rsidR="00A56313">
        <w:rPr>
          <w:rStyle w:val="FootnoteReference"/>
          <w:spacing w:val="-2"/>
        </w:rPr>
        <w:footnoteReference w:id="11"/>
      </w:r>
    </w:p>
    <w:p w:rsidR="001B3DA4" w:rsidRDefault="001B3DA4" w:rsidP="001B3DA4">
      <w:pPr>
        <w:pStyle w:val="ListParagraph"/>
        <w:autoSpaceDE w:val="0"/>
        <w:autoSpaceDN w:val="0"/>
        <w:adjustRightInd w:val="0"/>
        <w:spacing w:before="120" w:after="120"/>
      </w:pPr>
    </w:p>
    <w:p w:rsidR="003940A1" w:rsidRPr="003940A1" w:rsidRDefault="00FD543F" w:rsidP="001B3DA4">
      <w:pPr>
        <w:pStyle w:val="ListParagraph"/>
        <w:numPr>
          <w:ilvl w:val="0"/>
          <w:numId w:val="23"/>
        </w:numPr>
        <w:tabs>
          <w:tab w:val="num" w:pos="1440"/>
        </w:tabs>
        <w:autoSpaceDE w:val="0"/>
        <w:autoSpaceDN w:val="0"/>
        <w:adjustRightInd w:val="0"/>
        <w:spacing w:before="120" w:after="120"/>
        <w:ind w:left="0" w:firstLine="720"/>
      </w:pPr>
      <w:r w:rsidRPr="00036005">
        <w:rPr>
          <w:szCs w:val="22"/>
        </w:rPr>
        <w:t xml:space="preserve">In response, ACR </w:t>
      </w:r>
      <w:r w:rsidR="00A56313">
        <w:rPr>
          <w:szCs w:val="22"/>
        </w:rPr>
        <w:t xml:space="preserve">explained that the SARLink was developed in conjunction with Federal agencies </w:t>
      </w:r>
      <w:r w:rsidR="00F1419F">
        <w:rPr>
          <w:szCs w:val="22"/>
        </w:rPr>
        <w:t xml:space="preserve">and high-risk industry representatives </w:t>
      </w:r>
      <w:r w:rsidR="00A56313">
        <w:rPr>
          <w:szCs w:val="22"/>
        </w:rPr>
        <w:t>to meet the requirements of the performance of their duties, in which case SARLink us</w:t>
      </w:r>
      <w:r w:rsidR="003967CD">
        <w:rPr>
          <w:szCs w:val="22"/>
        </w:rPr>
        <w:t>e</w:t>
      </w:r>
      <w:r w:rsidR="00A56313">
        <w:rPr>
          <w:szCs w:val="22"/>
        </w:rPr>
        <w:t>rs w</w:t>
      </w:r>
      <w:r w:rsidR="003967CD">
        <w:rPr>
          <w:szCs w:val="22"/>
        </w:rPr>
        <w:t>ould be highly trained and text</w:t>
      </w:r>
      <w:r w:rsidR="00A56313">
        <w:rPr>
          <w:szCs w:val="22"/>
        </w:rPr>
        <w:t xml:space="preserve"> messages would be routed to a center with full-time staffing.</w:t>
      </w:r>
      <w:r w:rsidR="00A56313">
        <w:rPr>
          <w:rStyle w:val="FootnoteReference"/>
          <w:szCs w:val="22"/>
        </w:rPr>
        <w:footnoteReference w:id="12"/>
      </w:r>
      <w:r w:rsidR="00A56313">
        <w:rPr>
          <w:szCs w:val="22"/>
        </w:rPr>
        <w:t xml:space="preserve">  </w:t>
      </w:r>
      <w:r w:rsidR="008C110D">
        <w:rPr>
          <w:szCs w:val="22"/>
        </w:rPr>
        <w:t xml:space="preserve">The regular day-to-day use of the device consists of tracking and messaging via the Iridium satellite system, which </w:t>
      </w:r>
      <w:r w:rsidR="003940A1">
        <w:rPr>
          <w:szCs w:val="22"/>
        </w:rPr>
        <w:t>are predicated on the use of an enterprise back-end platform that is managed through a command and control center.</w:t>
      </w:r>
      <w:r w:rsidR="003940A1">
        <w:rPr>
          <w:rStyle w:val="FootnoteReference"/>
          <w:szCs w:val="22"/>
        </w:rPr>
        <w:footnoteReference w:id="13"/>
      </w:r>
      <w:r w:rsidR="003940A1">
        <w:rPr>
          <w:szCs w:val="22"/>
        </w:rPr>
        <w:t xml:space="preserve">  The SARLink adds a 406 MHz COSPAS-SARSAT distress beacon to these functions for use in emergencies.</w:t>
      </w:r>
      <w:r w:rsidR="003940A1">
        <w:rPr>
          <w:rStyle w:val="FootnoteReference"/>
          <w:szCs w:val="22"/>
        </w:rPr>
        <w:footnoteReference w:id="14"/>
      </w:r>
    </w:p>
    <w:p w:rsidR="003940A1" w:rsidRPr="003940A1" w:rsidRDefault="003940A1" w:rsidP="003940A1">
      <w:pPr>
        <w:pStyle w:val="ListParagraph"/>
        <w:rPr>
          <w:szCs w:val="22"/>
        </w:rPr>
      </w:pPr>
    </w:p>
    <w:p w:rsidR="001B3DA4" w:rsidRPr="006157F5" w:rsidRDefault="003940A1" w:rsidP="00660635">
      <w:pPr>
        <w:pStyle w:val="ListParagraph"/>
        <w:numPr>
          <w:ilvl w:val="0"/>
          <w:numId w:val="23"/>
        </w:numPr>
        <w:tabs>
          <w:tab w:val="num" w:pos="1440"/>
        </w:tabs>
        <w:autoSpaceDE w:val="0"/>
        <w:autoSpaceDN w:val="0"/>
        <w:adjustRightInd w:val="0"/>
        <w:spacing w:before="120" w:after="120"/>
        <w:ind w:left="0" w:firstLine="720"/>
        <w:rPr>
          <w:rStyle w:val="FootnoteReference"/>
          <w:vertAlign w:val="baseline"/>
        </w:rPr>
      </w:pPr>
      <w:r w:rsidRPr="006157F5">
        <w:rPr>
          <w:szCs w:val="22"/>
        </w:rPr>
        <w:t>ACR</w:t>
      </w:r>
      <w:r w:rsidR="003967CD" w:rsidRPr="006157F5">
        <w:rPr>
          <w:szCs w:val="22"/>
        </w:rPr>
        <w:t xml:space="preserve"> </w:t>
      </w:r>
      <w:r w:rsidR="00E41AC1" w:rsidRPr="006157F5">
        <w:rPr>
          <w:szCs w:val="22"/>
        </w:rPr>
        <w:t xml:space="preserve">concurs with USCG/SARSAT </w:t>
      </w:r>
      <w:r w:rsidR="003967CD" w:rsidRPr="006157F5">
        <w:rPr>
          <w:szCs w:val="22"/>
        </w:rPr>
        <w:t xml:space="preserve">that sale and use of the SARLink should be limited to </w:t>
      </w:r>
      <w:r w:rsidR="003967CD" w:rsidRPr="006157F5">
        <w:rPr>
          <w:spacing w:val="-2"/>
        </w:rPr>
        <w:t xml:space="preserve">government (Federal, State, or local) agencies and high-risk industry entities where potential users are </w:t>
      </w:r>
      <w:r w:rsidR="007219F6">
        <w:rPr>
          <w:spacing w:val="-2"/>
        </w:rPr>
        <w:t xml:space="preserve">properly </w:t>
      </w:r>
      <w:r w:rsidR="003967CD" w:rsidRPr="006157F5">
        <w:rPr>
          <w:spacing w:val="-2"/>
        </w:rPr>
        <w:t>trained and wh</w:t>
      </w:r>
      <w:r w:rsidR="007219F6">
        <w:rPr>
          <w:spacing w:val="-2"/>
        </w:rPr>
        <w:t>ere there is</w:t>
      </w:r>
      <w:r w:rsidR="003967CD" w:rsidRPr="006157F5">
        <w:rPr>
          <w:spacing w:val="-2"/>
        </w:rPr>
        <w:t xml:space="preserve"> an organized support activity or call center to manage and respond to calls, but requests that </w:t>
      </w:r>
      <w:r w:rsidR="003967CD" w:rsidRPr="006157F5">
        <w:rPr>
          <w:szCs w:val="22"/>
        </w:rPr>
        <w:t>non-governmental organizations (NGOs) be included among the permitted users.</w:t>
      </w:r>
      <w:r w:rsidR="003967CD">
        <w:rPr>
          <w:rStyle w:val="FootnoteReference"/>
          <w:szCs w:val="22"/>
        </w:rPr>
        <w:footnoteReference w:id="15"/>
      </w:r>
      <w:r w:rsidR="003967CD" w:rsidRPr="006157F5">
        <w:rPr>
          <w:szCs w:val="22"/>
        </w:rPr>
        <w:t xml:space="preserve">  In addition, to </w:t>
      </w:r>
      <w:r w:rsidR="00F1419F" w:rsidRPr="006157F5">
        <w:rPr>
          <w:szCs w:val="22"/>
        </w:rPr>
        <w:t>ensure that users realize</w:t>
      </w:r>
      <w:r w:rsidR="003967CD" w:rsidRPr="006157F5">
        <w:rPr>
          <w:szCs w:val="22"/>
        </w:rPr>
        <w:t xml:space="preserve"> that the device </w:t>
      </w:r>
      <w:r w:rsidR="00F1419F" w:rsidRPr="006157F5">
        <w:rPr>
          <w:szCs w:val="22"/>
        </w:rPr>
        <w:t>lacks</w:t>
      </w:r>
      <w:r w:rsidR="003967CD" w:rsidRPr="006157F5">
        <w:rPr>
          <w:szCs w:val="22"/>
        </w:rPr>
        <w:t xml:space="preserve"> a 121.5 MHz homing beacon, ACR offers to </w:t>
      </w:r>
      <w:r w:rsidRPr="006157F5">
        <w:rPr>
          <w:szCs w:val="22"/>
        </w:rPr>
        <w:t>label</w:t>
      </w:r>
      <w:r w:rsidR="003967CD" w:rsidRPr="006157F5">
        <w:rPr>
          <w:szCs w:val="22"/>
        </w:rPr>
        <w:t xml:space="preserve"> the device </w:t>
      </w:r>
      <w:r w:rsidR="00F1419F" w:rsidRPr="006157F5">
        <w:rPr>
          <w:szCs w:val="22"/>
        </w:rPr>
        <w:t xml:space="preserve">with, and </w:t>
      </w:r>
      <w:r w:rsidR="003967CD" w:rsidRPr="006157F5">
        <w:rPr>
          <w:szCs w:val="22"/>
        </w:rPr>
        <w:t>include in the packaging and manual</w:t>
      </w:r>
      <w:r w:rsidR="00F1419F" w:rsidRPr="006157F5">
        <w:rPr>
          <w:szCs w:val="22"/>
        </w:rPr>
        <w:t>,</w:t>
      </w:r>
      <w:r w:rsidR="003967CD" w:rsidRPr="006157F5">
        <w:rPr>
          <w:szCs w:val="22"/>
        </w:rPr>
        <w:t xml:space="preserve"> a notice that the device does not include a </w:t>
      </w:r>
      <w:r w:rsidR="003967CD" w:rsidRPr="006157F5">
        <w:rPr>
          <w:szCs w:val="22"/>
        </w:rPr>
        <w:lastRenderedPageBreak/>
        <w:t>121.5 MHz homing beacon.</w:t>
      </w:r>
      <w:r w:rsidR="003967CD">
        <w:rPr>
          <w:rStyle w:val="FootnoteReference"/>
          <w:szCs w:val="22"/>
        </w:rPr>
        <w:footnoteReference w:id="16"/>
      </w:r>
      <w:r w:rsidR="003967CD" w:rsidRPr="006157F5">
        <w:rPr>
          <w:szCs w:val="22"/>
        </w:rPr>
        <w:t xml:space="preserve">  ACR also agrees not to market or otherwise offer the SARLink as a PLB</w:t>
      </w:r>
      <w:r w:rsidR="00F1419F" w:rsidRPr="006157F5">
        <w:rPr>
          <w:szCs w:val="22"/>
        </w:rPr>
        <w:t>,</w:t>
      </w:r>
      <w:r w:rsidR="003967CD">
        <w:rPr>
          <w:rStyle w:val="FootnoteReference"/>
          <w:szCs w:val="22"/>
        </w:rPr>
        <w:footnoteReference w:id="17"/>
      </w:r>
      <w:r w:rsidR="00F1419F" w:rsidRPr="006157F5">
        <w:rPr>
          <w:szCs w:val="22"/>
        </w:rPr>
        <w:t xml:space="preserve"> and </w:t>
      </w:r>
      <w:r w:rsidR="007219F6">
        <w:rPr>
          <w:szCs w:val="22"/>
        </w:rPr>
        <w:t>that it will not</w:t>
      </w:r>
      <w:r w:rsidR="00F1419F" w:rsidRPr="006157F5">
        <w:rPr>
          <w:szCs w:val="22"/>
        </w:rPr>
        <w:t xml:space="preserve"> sell it via any retail outlets.</w:t>
      </w:r>
      <w:r w:rsidR="00F1419F">
        <w:rPr>
          <w:rStyle w:val="FootnoteReference"/>
          <w:szCs w:val="22"/>
        </w:rPr>
        <w:footnoteReference w:id="18"/>
      </w:r>
      <w:r w:rsidR="003D2682" w:rsidRPr="006157F5">
        <w:rPr>
          <w:rStyle w:val="FootnoteReference"/>
          <w:szCs w:val="22"/>
        </w:rPr>
        <w:t xml:space="preserve"> </w:t>
      </w:r>
    </w:p>
    <w:p w:rsidR="00AA0636" w:rsidRDefault="00AA0636" w:rsidP="00AA0636">
      <w:pPr>
        <w:pStyle w:val="ListParagraph"/>
      </w:pPr>
    </w:p>
    <w:p w:rsidR="00AA0636" w:rsidRDefault="00EF564F" w:rsidP="00AA0636">
      <w:pPr>
        <w:pStyle w:val="ListParagraph"/>
        <w:numPr>
          <w:ilvl w:val="0"/>
          <w:numId w:val="23"/>
        </w:numPr>
        <w:tabs>
          <w:tab w:val="num" w:pos="1440"/>
        </w:tabs>
        <w:autoSpaceDE w:val="0"/>
        <w:autoSpaceDN w:val="0"/>
        <w:adjustRightInd w:val="0"/>
        <w:spacing w:before="120" w:after="120"/>
        <w:ind w:left="0" w:firstLine="720"/>
      </w:pPr>
      <w:r w:rsidRPr="00036005">
        <w:rPr>
          <w:i/>
        </w:rPr>
        <w:t>Discussion</w:t>
      </w:r>
      <w:r>
        <w:t xml:space="preserve">.  </w:t>
      </w:r>
      <w:r w:rsidR="007D4C1B">
        <w:t>Section 1.925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007D4C1B">
        <w:rPr>
          <w:rStyle w:val="FootnoteReference"/>
        </w:rPr>
        <w:footnoteReference w:id="19"/>
      </w:r>
      <w:r w:rsidR="007D4C1B">
        <w:t xml:space="preserve">  We conclude that </w:t>
      </w:r>
      <w:r w:rsidR="004F0024">
        <w:t xml:space="preserve">ACR </w:t>
      </w:r>
      <w:r w:rsidR="007D4C1B">
        <w:t xml:space="preserve">has met </w:t>
      </w:r>
      <w:r w:rsidR="004F0024">
        <w:t>th</w:t>
      </w:r>
      <w:r w:rsidR="000E50F9">
        <w:t>e first prong</w:t>
      </w:r>
      <w:r w:rsidR="007D4C1B">
        <w:t>.</w:t>
      </w:r>
    </w:p>
    <w:p w:rsidR="00AA0636" w:rsidRDefault="00AA0636" w:rsidP="00AA0636">
      <w:pPr>
        <w:pStyle w:val="ListParagraph"/>
      </w:pPr>
    </w:p>
    <w:p w:rsidR="00AA0636" w:rsidRPr="006157F5" w:rsidRDefault="007E3D30" w:rsidP="00285167">
      <w:pPr>
        <w:pStyle w:val="ListParagraph"/>
        <w:numPr>
          <w:ilvl w:val="0"/>
          <w:numId w:val="23"/>
        </w:numPr>
        <w:tabs>
          <w:tab w:val="num" w:pos="1440"/>
        </w:tabs>
        <w:autoSpaceDE w:val="0"/>
        <w:autoSpaceDN w:val="0"/>
        <w:adjustRightInd w:val="0"/>
        <w:spacing w:before="120" w:after="120"/>
        <w:ind w:left="0" w:firstLine="720"/>
      </w:pPr>
      <w:r>
        <w:rPr>
          <w:szCs w:val="22"/>
        </w:rPr>
        <w:t>T</w:t>
      </w:r>
      <w:r w:rsidR="00D172F0" w:rsidRPr="00AA0636">
        <w:rPr>
          <w:szCs w:val="22"/>
        </w:rPr>
        <w:t xml:space="preserve">he </w:t>
      </w:r>
      <w:r w:rsidR="009C7344" w:rsidRPr="00AA0636">
        <w:rPr>
          <w:szCs w:val="22"/>
        </w:rPr>
        <w:t>121</w:t>
      </w:r>
      <w:r w:rsidR="00D172F0" w:rsidRPr="00AA0636">
        <w:rPr>
          <w:szCs w:val="22"/>
        </w:rPr>
        <w:t>.</w:t>
      </w:r>
      <w:r w:rsidR="009C7344" w:rsidRPr="00AA0636">
        <w:rPr>
          <w:szCs w:val="22"/>
        </w:rPr>
        <w:t xml:space="preserve">5 MHz homing </w:t>
      </w:r>
      <w:r w:rsidR="00D172F0" w:rsidRPr="00AA0636">
        <w:rPr>
          <w:szCs w:val="22"/>
        </w:rPr>
        <w:t xml:space="preserve">beacon is intended to help locate persons in distress.  While the SARLink does not include the homing beacon, </w:t>
      </w:r>
      <w:r w:rsidR="00847B78" w:rsidRPr="00AA0636">
        <w:rPr>
          <w:szCs w:val="22"/>
        </w:rPr>
        <w:t xml:space="preserve">the </w:t>
      </w:r>
      <w:r w:rsidR="00C912D2" w:rsidRPr="00AA0636">
        <w:rPr>
          <w:szCs w:val="22"/>
        </w:rPr>
        <w:t xml:space="preserve">global communications capabilities of the Iridium transceiver in the </w:t>
      </w:r>
      <w:r w:rsidR="00847B78" w:rsidRPr="00AA0636">
        <w:rPr>
          <w:szCs w:val="22"/>
        </w:rPr>
        <w:t xml:space="preserve">SARLink </w:t>
      </w:r>
      <w:r w:rsidR="00C912D2" w:rsidRPr="00AA0636">
        <w:rPr>
          <w:szCs w:val="22"/>
        </w:rPr>
        <w:t xml:space="preserve">will allow </w:t>
      </w:r>
      <w:r w:rsidR="006A57BE" w:rsidRPr="00AA0636">
        <w:rPr>
          <w:szCs w:val="22"/>
        </w:rPr>
        <w:t>SAR personnel to receive location information</w:t>
      </w:r>
      <w:r>
        <w:rPr>
          <w:szCs w:val="22"/>
        </w:rPr>
        <w:t>,</w:t>
      </w:r>
      <w:r w:rsidR="006A57BE" w:rsidRPr="00AA0636">
        <w:rPr>
          <w:szCs w:val="22"/>
        </w:rPr>
        <w:t xml:space="preserve"> including physical landmarks and obstacles directly</w:t>
      </w:r>
      <w:r>
        <w:rPr>
          <w:szCs w:val="22"/>
        </w:rPr>
        <w:t>,</w:t>
      </w:r>
      <w:r w:rsidR="006A57BE" w:rsidRPr="00AA0636">
        <w:rPr>
          <w:szCs w:val="22"/>
        </w:rPr>
        <w:t xml:space="preserve"> from the user.  </w:t>
      </w:r>
      <w:r w:rsidR="00E10C58" w:rsidRPr="00AA0636">
        <w:rPr>
          <w:szCs w:val="22"/>
        </w:rPr>
        <w:t xml:space="preserve">In addition, </w:t>
      </w:r>
      <w:r w:rsidR="006A57BE" w:rsidRPr="00AA0636">
        <w:rPr>
          <w:szCs w:val="22"/>
        </w:rPr>
        <w:t>the SARLink will be sold directl</w:t>
      </w:r>
      <w:r w:rsidR="007F729B" w:rsidRPr="00AA0636">
        <w:rPr>
          <w:szCs w:val="22"/>
        </w:rPr>
        <w:t>y</w:t>
      </w:r>
      <w:r w:rsidR="006A57BE" w:rsidRPr="00AA0636">
        <w:rPr>
          <w:szCs w:val="22"/>
        </w:rPr>
        <w:t xml:space="preserve"> </w:t>
      </w:r>
      <w:r w:rsidR="00E10C58" w:rsidRPr="00AA0636">
        <w:rPr>
          <w:szCs w:val="22"/>
        </w:rPr>
        <w:t>by</w:t>
      </w:r>
      <w:r w:rsidR="006A57BE" w:rsidRPr="00AA0636">
        <w:rPr>
          <w:szCs w:val="22"/>
        </w:rPr>
        <w:t xml:space="preserve"> ACR </w:t>
      </w:r>
      <w:r w:rsidR="000E50F9">
        <w:rPr>
          <w:szCs w:val="22"/>
        </w:rPr>
        <w:t xml:space="preserve">to government agencies and high-risk entities, </w:t>
      </w:r>
      <w:r w:rsidR="006A57BE" w:rsidRPr="00AA0636">
        <w:rPr>
          <w:szCs w:val="22"/>
        </w:rPr>
        <w:t xml:space="preserve">and will not be sold to the general public </w:t>
      </w:r>
      <w:r w:rsidR="007F729B" w:rsidRPr="00AA0636">
        <w:rPr>
          <w:szCs w:val="22"/>
        </w:rPr>
        <w:t>via retail outlets</w:t>
      </w:r>
      <w:r w:rsidR="00E10C58" w:rsidRPr="00AA0636">
        <w:rPr>
          <w:szCs w:val="22"/>
        </w:rPr>
        <w:t>.  Finally,</w:t>
      </w:r>
      <w:r w:rsidR="007F729B" w:rsidRPr="00AA0636">
        <w:rPr>
          <w:szCs w:val="22"/>
        </w:rPr>
        <w:t xml:space="preserve"> all users will be required to have a trained organized support activity or call center</w:t>
      </w:r>
      <w:r w:rsidR="00E10C58" w:rsidRPr="00AA0636">
        <w:rPr>
          <w:szCs w:val="22"/>
        </w:rPr>
        <w:t>.  W</w:t>
      </w:r>
      <w:r w:rsidR="007F729B" w:rsidRPr="00AA0636">
        <w:rPr>
          <w:szCs w:val="22"/>
        </w:rPr>
        <w:t xml:space="preserve">e believe </w:t>
      </w:r>
      <w:r w:rsidR="006157F5">
        <w:rPr>
          <w:szCs w:val="22"/>
        </w:rPr>
        <w:t xml:space="preserve">that these circumstances </w:t>
      </w:r>
      <w:r w:rsidR="007F729B" w:rsidRPr="00AA0636">
        <w:rPr>
          <w:szCs w:val="22"/>
        </w:rPr>
        <w:t>render the device a safe and reliable alternative to a PLB.</w:t>
      </w:r>
    </w:p>
    <w:p w:rsidR="006157F5" w:rsidRDefault="006157F5" w:rsidP="006157F5">
      <w:pPr>
        <w:pStyle w:val="ListParagraph"/>
      </w:pPr>
    </w:p>
    <w:p w:rsidR="006157F5" w:rsidRDefault="006157F5" w:rsidP="00285167">
      <w:pPr>
        <w:pStyle w:val="ListParagraph"/>
        <w:numPr>
          <w:ilvl w:val="0"/>
          <w:numId w:val="23"/>
        </w:numPr>
        <w:tabs>
          <w:tab w:val="num" w:pos="1440"/>
        </w:tabs>
        <w:autoSpaceDE w:val="0"/>
        <w:autoSpaceDN w:val="0"/>
        <w:adjustRightInd w:val="0"/>
        <w:spacing w:before="120" w:after="120"/>
        <w:ind w:left="0" w:firstLine="720"/>
      </w:pPr>
      <w:r>
        <w:t>We therefore grant the requested waiver to permit use of the SARLink, subject to the following conditions:</w:t>
      </w:r>
    </w:p>
    <w:p w:rsidR="007E3D30" w:rsidRDefault="007E3D30" w:rsidP="007E3D30">
      <w:pPr>
        <w:pStyle w:val="ListParagraph"/>
      </w:pPr>
    </w:p>
    <w:p w:rsidR="007E3D30" w:rsidRDefault="006157F5" w:rsidP="007E3D30">
      <w:pPr>
        <w:pStyle w:val="ListParagraph"/>
        <w:numPr>
          <w:ilvl w:val="0"/>
          <w:numId w:val="31"/>
        </w:numPr>
        <w:autoSpaceDE w:val="0"/>
        <w:autoSpaceDN w:val="0"/>
        <w:adjustRightInd w:val="0"/>
        <w:spacing w:before="120" w:after="120"/>
        <w:rPr>
          <w:szCs w:val="22"/>
        </w:rPr>
      </w:pPr>
      <w:r>
        <w:t xml:space="preserve">Eligibility is limited to </w:t>
      </w:r>
      <w:r w:rsidRPr="007E3D30">
        <w:rPr>
          <w:szCs w:val="22"/>
        </w:rPr>
        <w:t>government (Federal, State and local</w:t>
      </w:r>
      <w:r w:rsidR="007E3D30">
        <w:rPr>
          <w:szCs w:val="22"/>
        </w:rPr>
        <w:t>)</w:t>
      </w:r>
      <w:r w:rsidRPr="007E3D30">
        <w:rPr>
          <w:szCs w:val="22"/>
        </w:rPr>
        <w:t xml:space="preserve"> agencies and high-risk commercial industry (including NGOs) where potential users are certified and trained</w:t>
      </w:r>
      <w:r w:rsidR="00575451">
        <w:rPr>
          <w:szCs w:val="22"/>
        </w:rPr>
        <w:t>,</w:t>
      </w:r>
      <w:r w:rsidRPr="007E3D30">
        <w:rPr>
          <w:szCs w:val="22"/>
        </w:rPr>
        <w:t xml:space="preserve"> </w:t>
      </w:r>
      <w:r w:rsidR="000E50F9">
        <w:rPr>
          <w:szCs w:val="22"/>
        </w:rPr>
        <w:t xml:space="preserve">and </w:t>
      </w:r>
      <w:r w:rsidRPr="007E3D30">
        <w:rPr>
          <w:szCs w:val="22"/>
        </w:rPr>
        <w:t xml:space="preserve">with an organized support activity or call center to manage and respond to </w:t>
      </w:r>
      <w:r w:rsidR="00575451">
        <w:rPr>
          <w:szCs w:val="22"/>
        </w:rPr>
        <w:t>messages</w:t>
      </w:r>
      <w:r w:rsidRPr="007E3D30">
        <w:rPr>
          <w:szCs w:val="22"/>
        </w:rPr>
        <w:t>.  Any offer for sale or lease of the SARLink will state these eligibility limits.</w:t>
      </w:r>
    </w:p>
    <w:p w:rsidR="007E3D30" w:rsidRPr="007E3D30" w:rsidRDefault="007E3D30" w:rsidP="007E3D30">
      <w:pPr>
        <w:pStyle w:val="ListParagraph"/>
        <w:autoSpaceDE w:val="0"/>
        <w:autoSpaceDN w:val="0"/>
        <w:adjustRightInd w:val="0"/>
        <w:spacing w:before="120" w:after="120"/>
        <w:ind w:left="1080"/>
        <w:rPr>
          <w:szCs w:val="22"/>
        </w:rPr>
      </w:pPr>
    </w:p>
    <w:p w:rsidR="007E3D30" w:rsidRPr="007E3D30" w:rsidRDefault="006157F5" w:rsidP="007E3D30">
      <w:pPr>
        <w:pStyle w:val="ListParagraph"/>
        <w:numPr>
          <w:ilvl w:val="0"/>
          <w:numId w:val="31"/>
        </w:numPr>
        <w:autoSpaceDE w:val="0"/>
        <w:autoSpaceDN w:val="0"/>
        <w:adjustRightInd w:val="0"/>
        <w:spacing w:before="120" w:after="120"/>
        <w:rPr>
          <w:szCs w:val="22"/>
        </w:rPr>
      </w:pPr>
      <w:r w:rsidRPr="007E3D30">
        <w:rPr>
          <w:szCs w:val="22"/>
        </w:rPr>
        <w:t>The SARLink will be labeled with a notice that the device does not include a 121.5 MHz homing beacon.  Such a notice also will be included in the packaging and manual.</w:t>
      </w:r>
    </w:p>
    <w:p w:rsidR="007E3D30" w:rsidRPr="007E3D30" w:rsidRDefault="007E3D30" w:rsidP="007E3D30">
      <w:pPr>
        <w:pStyle w:val="ListParagraph"/>
        <w:autoSpaceDE w:val="0"/>
        <w:autoSpaceDN w:val="0"/>
        <w:adjustRightInd w:val="0"/>
        <w:spacing w:before="120" w:after="120"/>
        <w:ind w:left="1080"/>
      </w:pPr>
    </w:p>
    <w:p w:rsidR="007E3D30" w:rsidRDefault="006157F5" w:rsidP="004737D3">
      <w:pPr>
        <w:pStyle w:val="ListParagraph"/>
        <w:numPr>
          <w:ilvl w:val="0"/>
          <w:numId w:val="31"/>
        </w:numPr>
        <w:autoSpaceDE w:val="0"/>
        <w:autoSpaceDN w:val="0"/>
        <w:adjustRightInd w:val="0"/>
        <w:spacing w:before="120" w:after="120"/>
      </w:pPr>
      <w:r w:rsidRPr="007E3D30">
        <w:rPr>
          <w:szCs w:val="22"/>
        </w:rPr>
        <w:t>The SARLink will not be marketed or otherwise offered as a P</w:t>
      </w:r>
      <w:r w:rsidR="007E3D30" w:rsidRPr="007E3D30">
        <w:rPr>
          <w:szCs w:val="22"/>
        </w:rPr>
        <w:t xml:space="preserve">ersonal </w:t>
      </w:r>
      <w:r w:rsidRPr="007E3D30">
        <w:rPr>
          <w:szCs w:val="22"/>
        </w:rPr>
        <w:t>L</w:t>
      </w:r>
      <w:r w:rsidR="007E3D30" w:rsidRPr="007E3D30">
        <w:rPr>
          <w:szCs w:val="22"/>
        </w:rPr>
        <w:t xml:space="preserve">ocator </w:t>
      </w:r>
      <w:r w:rsidRPr="007E3D30">
        <w:rPr>
          <w:szCs w:val="22"/>
        </w:rPr>
        <w:t>B</w:t>
      </w:r>
      <w:r w:rsidR="007E3D30" w:rsidRPr="007E3D30">
        <w:rPr>
          <w:szCs w:val="22"/>
        </w:rPr>
        <w:t>eacon or PLB</w:t>
      </w:r>
      <w:r w:rsidRPr="007E3D30">
        <w:rPr>
          <w:szCs w:val="22"/>
        </w:rPr>
        <w:t xml:space="preserve">, and </w:t>
      </w:r>
      <w:r w:rsidR="007E3D30" w:rsidRPr="007E3D30">
        <w:rPr>
          <w:szCs w:val="22"/>
        </w:rPr>
        <w:t xml:space="preserve">will </w:t>
      </w:r>
      <w:r w:rsidRPr="007E3D30">
        <w:rPr>
          <w:szCs w:val="22"/>
        </w:rPr>
        <w:t>not</w:t>
      </w:r>
      <w:r w:rsidR="007E3D30" w:rsidRPr="007E3D30">
        <w:rPr>
          <w:szCs w:val="22"/>
        </w:rPr>
        <w:t xml:space="preserve"> be </w:t>
      </w:r>
      <w:r w:rsidRPr="007E3D30">
        <w:rPr>
          <w:szCs w:val="22"/>
        </w:rPr>
        <w:t>sold via retail outlets.</w:t>
      </w:r>
    </w:p>
    <w:p w:rsidR="007E3D30" w:rsidRPr="007E3D30" w:rsidRDefault="007E3D30" w:rsidP="007E3D30">
      <w:pPr>
        <w:pStyle w:val="ListParagraph"/>
        <w:autoSpaceDE w:val="0"/>
        <w:autoSpaceDN w:val="0"/>
        <w:adjustRightInd w:val="0"/>
        <w:spacing w:before="120" w:after="120"/>
        <w:ind w:left="1080"/>
      </w:pPr>
    </w:p>
    <w:p w:rsidR="007E3D30" w:rsidRDefault="007E3D30" w:rsidP="00A16746">
      <w:pPr>
        <w:pStyle w:val="ListParagraph"/>
        <w:numPr>
          <w:ilvl w:val="0"/>
          <w:numId w:val="23"/>
        </w:numPr>
        <w:tabs>
          <w:tab w:val="num" w:pos="1440"/>
        </w:tabs>
        <w:autoSpaceDE w:val="0"/>
        <w:autoSpaceDN w:val="0"/>
        <w:adjustRightInd w:val="0"/>
        <w:spacing w:before="120" w:after="120"/>
        <w:ind w:left="0" w:firstLine="720"/>
      </w:pPr>
      <w:r>
        <w:t xml:space="preserve">ACR must obtain equipment authorization for the SARLink.  A copy of this </w:t>
      </w:r>
      <w:r>
        <w:rPr>
          <w:i/>
        </w:rPr>
        <w:t xml:space="preserve">Order </w:t>
      </w:r>
      <w:r>
        <w:t>shall be submitted with the equipment authorization application.</w:t>
      </w:r>
    </w:p>
    <w:p w:rsidR="007E3D30" w:rsidRPr="007E3D30" w:rsidRDefault="007E3D30" w:rsidP="007E3D30">
      <w:pPr>
        <w:pStyle w:val="ListParagraph"/>
        <w:autoSpaceDE w:val="0"/>
        <w:autoSpaceDN w:val="0"/>
        <w:adjustRightInd w:val="0"/>
        <w:spacing w:before="120" w:after="120"/>
      </w:pPr>
    </w:p>
    <w:p w:rsidR="00036005" w:rsidRPr="001B3DA4" w:rsidRDefault="007D4C1B" w:rsidP="00A16746">
      <w:pPr>
        <w:pStyle w:val="ListParagraph"/>
        <w:numPr>
          <w:ilvl w:val="0"/>
          <w:numId w:val="23"/>
        </w:numPr>
        <w:tabs>
          <w:tab w:val="num" w:pos="1440"/>
        </w:tabs>
        <w:autoSpaceDE w:val="0"/>
        <w:autoSpaceDN w:val="0"/>
        <w:adjustRightInd w:val="0"/>
        <w:spacing w:before="120" w:after="120"/>
        <w:ind w:left="0" w:firstLine="720"/>
      </w:pPr>
      <w:r w:rsidRPr="00036005">
        <w:rPr>
          <w:i/>
        </w:rPr>
        <w:t xml:space="preserve">Conclusion.  </w:t>
      </w:r>
      <w:r w:rsidR="00D3349F">
        <w:t xml:space="preserve">We </w:t>
      </w:r>
      <w:r w:rsidR="00110D3E">
        <w:t xml:space="preserve">therefore </w:t>
      </w:r>
      <w:r w:rsidR="00D3349F">
        <w:t xml:space="preserve">grant </w:t>
      </w:r>
      <w:r w:rsidR="00575451">
        <w:t xml:space="preserve">the request of </w:t>
      </w:r>
      <w:r w:rsidR="00D3349F">
        <w:t xml:space="preserve">ACR Electronics, Inc. for waiver of </w:t>
      </w:r>
      <w:r w:rsidR="00575451">
        <w:t xml:space="preserve">Section </w:t>
      </w:r>
      <w:r w:rsidR="00D3349F">
        <w:t xml:space="preserve">95.1402(b) </w:t>
      </w:r>
      <w:r w:rsidR="00575451">
        <w:t>to permit the equipment authorization and</w:t>
      </w:r>
      <w:r w:rsidR="00D3349F">
        <w:t xml:space="preserve"> </w:t>
      </w:r>
      <w:r w:rsidR="00FC661E">
        <w:t>use of its SARLink device</w:t>
      </w:r>
      <w:r w:rsidR="00575451">
        <w:t>, subject to the conditions set forth above.</w:t>
      </w:r>
    </w:p>
    <w:p w:rsidR="001B3DA4" w:rsidRPr="00036005" w:rsidRDefault="001B3DA4" w:rsidP="001B3DA4">
      <w:pPr>
        <w:pStyle w:val="ListParagraph"/>
        <w:autoSpaceDE w:val="0"/>
        <w:autoSpaceDN w:val="0"/>
        <w:adjustRightInd w:val="0"/>
        <w:spacing w:before="120" w:after="120"/>
      </w:pPr>
    </w:p>
    <w:p w:rsidR="001B3DA4" w:rsidRDefault="00036005" w:rsidP="00A16746">
      <w:pPr>
        <w:pStyle w:val="ListParagraph"/>
        <w:numPr>
          <w:ilvl w:val="0"/>
          <w:numId w:val="23"/>
        </w:numPr>
        <w:tabs>
          <w:tab w:val="num" w:pos="1440"/>
        </w:tabs>
        <w:autoSpaceDE w:val="0"/>
        <w:autoSpaceDN w:val="0"/>
        <w:adjustRightInd w:val="0"/>
        <w:spacing w:before="120" w:after="120"/>
        <w:ind w:left="0" w:firstLine="720"/>
      </w:pPr>
      <w:r>
        <w:t>A</w:t>
      </w:r>
      <w:r w:rsidR="007D4C1B">
        <w:t xml:space="preserve">ccordingly, IT IS ORDERED, pursuant to Sections 4(i) and 303(i) of the Communications Act of 1934, as amended, 47 U.S.C. §§ 154(i), 303(i), and Section 1.925 of the Commission's Rules, 47 C.F.R. § 1.925, that the waiver request filed by </w:t>
      </w:r>
      <w:r w:rsidR="00110D3E">
        <w:t>ACR Electronics, Inc.</w:t>
      </w:r>
      <w:r w:rsidR="007D4C1B">
        <w:t xml:space="preserve"> on </w:t>
      </w:r>
      <w:r w:rsidR="00110D3E">
        <w:t>March 5, 2015</w:t>
      </w:r>
      <w:r w:rsidR="007D4C1B">
        <w:t xml:space="preserve"> IS </w:t>
      </w:r>
      <w:r w:rsidR="00110D3E">
        <w:t>GRANTED</w:t>
      </w:r>
      <w:r w:rsidR="006157F5">
        <w:t xml:space="preserve"> SUBJECT TO THE CONDITIONS set forth in paragraph 9</w:t>
      </w:r>
      <w:r w:rsidR="007D4C1B">
        <w:t>.</w:t>
      </w:r>
    </w:p>
    <w:p w:rsidR="00A16746" w:rsidRDefault="007D4C1B" w:rsidP="001B3DA4">
      <w:pPr>
        <w:pStyle w:val="ListParagraph"/>
        <w:autoSpaceDE w:val="0"/>
        <w:autoSpaceDN w:val="0"/>
        <w:adjustRightInd w:val="0"/>
        <w:spacing w:before="120" w:after="120"/>
      </w:pPr>
      <w:r>
        <w:t xml:space="preserve">  </w:t>
      </w:r>
    </w:p>
    <w:p w:rsidR="00575451" w:rsidRDefault="00575451">
      <w:r>
        <w:br w:type="page"/>
      </w:r>
    </w:p>
    <w:p w:rsidR="007D4C1B" w:rsidRDefault="007D4C1B" w:rsidP="00A16746">
      <w:pPr>
        <w:pStyle w:val="ListParagraph"/>
        <w:numPr>
          <w:ilvl w:val="0"/>
          <w:numId w:val="23"/>
        </w:numPr>
        <w:tabs>
          <w:tab w:val="num" w:pos="1440"/>
        </w:tabs>
        <w:autoSpaceDE w:val="0"/>
        <w:autoSpaceDN w:val="0"/>
        <w:adjustRightInd w:val="0"/>
        <w:spacing w:before="120" w:after="120"/>
        <w:ind w:left="0" w:firstLine="720"/>
      </w:pPr>
      <w:r>
        <w:t xml:space="preserve">This action is taken under delegated authority pursuant to Sections 0.131 and 0.331 of the Commission's Rules, 47 C.F.R. §§ 0.131, 0.331.  </w:t>
      </w:r>
    </w:p>
    <w:p w:rsidR="007D4C1B" w:rsidRDefault="007D4C1B" w:rsidP="007D4C1B">
      <w:pPr>
        <w:keepNext/>
        <w:keepLines/>
        <w:tabs>
          <w:tab w:val="left" w:pos="-1440"/>
          <w:tab w:val="left" w:pos="-720"/>
        </w:tabs>
        <w:suppressAutoHyphens/>
        <w:spacing w:line="227" w:lineRule="auto"/>
        <w:outlineLvl w:val="0"/>
        <w:rPr>
          <w:spacing w:val="-2"/>
        </w:rPr>
      </w:pPr>
      <w:r>
        <w:rPr>
          <w:spacing w:val="-2"/>
        </w:rPr>
        <w:tab/>
      </w:r>
      <w:r>
        <w:rPr>
          <w:spacing w:val="-2"/>
        </w:rPr>
        <w:tab/>
      </w:r>
      <w:r>
        <w:rPr>
          <w:spacing w:val="-2"/>
        </w:rPr>
        <w:tab/>
      </w:r>
      <w:r>
        <w:rPr>
          <w:spacing w:val="-2"/>
        </w:rPr>
        <w:tab/>
      </w:r>
      <w:r>
        <w:rPr>
          <w:spacing w:val="-2"/>
        </w:rPr>
        <w:tab/>
      </w:r>
      <w:r>
        <w:rPr>
          <w:spacing w:val="-2"/>
        </w:rPr>
        <w:tab/>
        <w:t>FEDERAL COMMUNICATIONS COMMISSION</w:t>
      </w: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rPr>
          <w:spacing w:val="-2"/>
        </w:rPr>
      </w:pPr>
    </w:p>
    <w:p w:rsidR="007D4C1B" w:rsidRDefault="007D4C1B" w:rsidP="007D4C1B">
      <w:pPr>
        <w:keepNext/>
        <w:keepLines/>
        <w:tabs>
          <w:tab w:val="left" w:pos="-1440"/>
          <w:tab w:val="left" w:pos="-720"/>
        </w:tabs>
        <w:suppressAutoHyphens/>
        <w:spacing w:line="227" w:lineRule="auto"/>
        <w:outlineLvl w:val="0"/>
        <w:rPr>
          <w:caps/>
        </w:rPr>
      </w:pPr>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p w:rsidR="001C09A0" w:rsidRDefault="001C09A0" w:rsidP="001C09A0"/>
    <w:sectPr w:rsidR="001C0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5A" w:rsidRDefault="00987F5A">
      <w:r>
        <w:separator/>
      </w:r>
    </w:p>
  </w:endnote>
  <w:endnote w:type="continuationSeparator" w:id="0">
    <w:p w:rsidR="00987F5A" w:rsidRDefault="0098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7E" w:rsidRDefault="00D73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7E" w:rsidRDefault="00D73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5A" w:rsidRDefault="00987F5A">
      <w:pPr>
        <w:rPr>
          <w:sz w:val="20"/>
        </w:rPr>
      </w:pPr>
      <w:r>
        <w:rPr>
          <w:sz w:val="20"/>
        </w:rPr>
        <w:separator/>
      </w:r>
    </w:p>
  </w:footnote>
  <w:footnote w:type="continuationSeparator" w:id="0">
    <w:p w:rsidR="00987F5A" w:rsidRDefault="00987F5A">
      <w:pPr>
        <w:rPr>
          <w:sz w:val="20"/>
        </w:rPr>
      </w:pPr>
      <w:r>
        <w:rPr>
          <w:sz w:val="20"/>
        </w:rPr>
        <w:separator/>
      </w:r>
    </w:p>
    <w:p w:rsidR="00987F5A" w:rsidRDefault="00987F5A">
      <w:pPr>
        <w:rPr>
          <w:sz w:val="20"/>
        </w:rPr>
      </w:pPr>
      <w:r>
        <w:rPr>
          <w:sz w:val="20"/>
        </w:rPr>
        <w:t>(...continued from previous page)</w:t>
      </w:r>
    </w:p>
  </w:footnote>
  <w:footnote w:type="continuationNotice" w:id="1">
    <w:p w:rsidR="00987F5A" w:rsidRDefault="00987F5A">
      <w:pPr>
        <w:jc w:val="right"/>
        <w:rPr>
          <w:sz w:val="20"/>
        </w:rPr>
      </w:pPr>
      <w:r>
        <w:rPr>
          <w:sz w:val="20"/>
        </w:rPr>
        <w:t>(continued....)</w:t>
      </w:r>
    </w:p>
  </w:footnote>
  <w:footnote w:id="2">
    <w:p w:rsidR="00AA0636" w:rsidRDefault="00AA0636" w:rsidP="006E0651">
      <w:pPr>
        <w:pStyle w:val="FootnoteText"/>
        <w:jc w:val="left"/>
      </w:pPr>
      <w:r>
        <w:rPr>
          <w:rStyle w:val="FootnoteReference"/>
        </w:rPr>
        <w:footnoteRef/>
      </w:r>
      <w:r>
        <w:t xml:space="preserve"> 47 C.F.R. § 95.1402(b).</w:t>
      </w:r>
    </w:p>
  </w:footnote>
  <w:footnote w:id="3">
    <w:p w:rsidR="00AA0636" w:rsidRDefault="00AA0636" w:rsidP="006E0651">
      <w:pPr>
        <w:autoSpaceDE w:val="0"/>
        <w:autoSpaceDN w:val="0"/>
        <w:adjustRightInd w:val="0"/>
        <w:rPr>
          <w:sz w:val="20"/>
        </w:rPr>
      </w:pPr>
      <w:r>
        <w:rPr>
          <w:rStyle w:val="FootnoteReference"/>
        </w:rPr>
        <w:footnoteRef/>
      </w:r>
      <w:r>
        <w:t xml:space="preserve"> </w:t>
      </w:r>
      <w:r w:rsidRPr="001B43C6">
        <w:rPr>
          <w:sz w:val="20"/>
        </w:rPr>
        <w:t>Request for Waiver, filed March 5, 2015, by ACR Electronics</w:t>
      </w:r>
      <w:r>
        <w:rPr>
          <w:sz w:val="20"/>
        </w:rPr>
        <w:t>, Inc.</w:t>
      </w:r>
      <w:r w:rsidR="00520D12">
        <w:rPr>
          <w:sz w:val="20"/>
        </w:rPr>
        <w:t xml:space="preserve"> (Request).</w:t>
      </w:r>
    </w:p>
    <w:p w:rsidR="00AA0636" w:rsidRPr="001B43C6" w:rsidRDefault="00AA0636" w:rsidP="006E0651">
      <w:pPr>
        <w:autoSpaceDE w:val="0"/>
        <w:autoSpaceDN w:val="0"/>
        <w:adjustRightInd w:val="0"/>
        <w:rPr>
          <w:color w:val="010101"/>
          <w:sz w:val="20"/>
        </w:rPr>
      </w:pPr>
    </w:p>
  </w:footnote>
  <w:footnote w:id="4">
    <w:p w:rsidR="00620B42" w:rsidRDefault="00620B42" w:rsidP="006E0651">
      <w:pPr>
        <w:pStyle w:val="FootnoteText"/>
        <w:jc w:val="lef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Search and Rescue Satellite Aided Tracking.</w:t>
      </w:r>
    </w:p>
  </w:footnote>
  <w:footnote w:id="5">
    <w:p w:rsidR="00520D12" w:rsidRPr="00520D12" w:rsidRDefault="00520D12" w:rsidP="006E0651">
      <w:pPr>
        <w:pStyle w:val="FootnoteText"/>
        <w:jc w:val="left"/>
      </w:pPr>
      <w:r>
        <w:rPr>
          <w:rStyle w:val="FootnoteReference"/>
        </w:rPr>
        <w:footnoteRef/>
      </w:r>
      <w:r>
        <w:t xml:space="preserve"> </w:t>
      </w:r>
      <w:r>
        <w:rPr>
          <w:i/>
        </w:rPr>
        <w:t xml:space="preserve">See </w:t>
      </w:r>
      <w:r>
        <w:t>Request at 1.</w:t>
      </w:r>
    </w:p>
  </w:footnote>
  <w:footnote w:id="6">
    <w:p w:rsidR="00620B42" w:rsidRPr="001617F0" w:rsidRDefault="00620B42" w:rsidP="006E0651">
      <w:pPr>
        <w:pStyle w:val="FootnoteText"/>
        <w:jc w:val="left"/>
      </w:pPr>
      <w:r>
        <w:rPr>
          <w:rStyle w:val="FootnoteReference"/>
        </w:rPr>
        <w:footnoteRef/>
      </w:r>
      <w:r>
        <w:t xml:space="preserve"> Section 95.1402 requires PLBs to meet the requirements in </w:t>
      </w:r>
      <w:r w:rsidRPr="00C726EE">
        <w:t>RTCM Recommended Standards for 406 MHz Satellite Personal Locator Beacons (PLBs), Version 1.1, RTCM Paper 76-2002/SC110-STD, dated June 19, 2002</w:t>
      </w:r>
      <w:r>
        <w:t xml:space="preserve">, but RTCM has revised the standard and the Commission has proposed to amend the rule to require PLBs to meet the requirements in </w:t>
      </w:r>
      <w:r w:rsidRPr="00C726EE">
        <w:t>RTCM Standard 11010.2 for 406 MHz Satellite Personal Locator Beacons, with Amendment 1 and Amendment 2</w:t>
      </w:r>
      <w:r>
        <w:t xml:space="preserve">, dated June 8, 2012 (RTCM 11010.2).  </w:t>
      </w:r>
      <w:r>
        <w:rPr>
          <w:i/>
        </w:rPr>
        <w:t xml:space="preserve">See </w:t>
      </w:r>
      <w:r>
        <w:t xml:space="preserve">Amendment of the Commission’s Rules Regarding Maritime Radio Equipment and Related Matters, </w:t>
      </w:r>
      <w:r>
        <w:rPr>
          <w:i/>
        </w:rPr>
        <w:t>Notice of Proposed Rulemaking</w:t>
      </w:r>
      <w:r>
        <w:t>, WT Docket No. 14-36, 29 FCC Rcd 2516, 2521 ¶ 13 (2014).  ACR states that the SARLink complies with the RTCM 11010.2 standard.</w:t>
      </w:r>
    </w:p>
  </w:footnote>
  <w:footnote w:id="7">
    <w:p w:rsidR="00520D12" w:rsidRDefault="00520D12" w:rsidP="006E0651">
      <w:pPr>
        <w:pStyle w:val="FootnoteText"/>
        <w:jc w:val="left"/>
      </w:pPr>
      <w:r>
        <w:rPr>
          <w:rStyle w:val="FootnoteReference"/>
        </w:rPr>
        <w:footnoteRef/>
      </w:r>
      <w:r>
        <w:t xml:space="preserve"> </w:t>
      </w:r>
      <w:r>
        <w:rPr>
          <w:i/>
        </w:rPr>
        <w:t xml:space="preserve">See </w:t>
      </w:r>
      <w:r>
        <w:t>Request at 2-3.</w:t>
      </w:r>
    </w:p>
  </w:footnote>
  <w:footnote w:id="8">
    <w:p w:rsidR="00520D12" w:rsidRDefault="00520D12" w:rsidP="006E0651">
      <w:pPr>
        <w:pStyle w:val="FootnoteText"/>
        <w:jc w:val="left"/>
      </w:pPr>
      <w:r>
        <w:rPr>
          <w:rStyle w:val="FootnoteReference"/>
        </w:rPr>
        <w:footnoteRef/>
      </w:r>
      <w:r>
        <w:t xml:space="preserve"> </w:t>
      </w:r>
      <w:r w:rsidRPr="00E41AC1">
        <w:rPr>
          <w:i/>
        </w:rPr>
        <w:t>Id</w:t>
      </w:r>
      <w:r>
        <w:t xml:space="preserve"> at 2.</w:t>
      </w:r>
    </w:p>
  </w:footnote>
  <w:footnote w:id="9">
    <w:p w:rsidR="0034258F" w:rsidRPr="0034258F" w:rsidRDefault="0034258F" w:rsidP="006E0651">
      <w:pPr>
        <w:pStyle w:val="FootnoteText"/>
        <w:jc w:val="left"/>
      </w:pPr>
      <w:r>
        <w:rPr>
          <w:rStyle w:val="FootnoteReference"/>
        </w:rPr>
        <w:footnoteRef/>
      </w:r>
      <w:r>
        <w:t xml:space="preserve"> </w:t>
      </w:r>
      <w:r w:rsidRPr="009A2E55">
        <w:rPr>
          <w:i/>
        </w:rPr>
        <w:t>See</w:t>
      </w:r>
      <w:r>
        <w:t xml:space="preserve"> Comments of the United States Coast Guard and the United States SARSAT Program, received August 18, 2015 (USCG/SARSAT Comments).  The Wireless Telecommunications Bureau’s Mobility Division sought comment on the ACR waiver request.  </w:t>
      </w:r>
      <w:r>
        <w:rPr>
          <w:i/>
        </w:rPr>
        <w:t xml:space="preserve">See </w:t>
      </w:r>
      <w:r w:rsidRPr="0035235A">
        <w:t>Wireless Telecomm</w:t>
      </w:r>
      <w:r>
        <w:t>unication Bureau Seeks Comment o</w:t>
      </w:r>
      <w:r w:rsidRPr="0035235A">
        <w:t>n A</w:t>
      </w:r>
      <w:r>
        <w:t>CR Electronics, Inc. Request for Waiver to Permit Certification and Use of Personal Locator Beacon with Texting Capability in Lieu of 121.5 MH</w:t>
      </w:r>
      <w:r w:rsidRPr="0035235A">
        <w:t>z Homing Signal</w:t>
      </w:r>
      <w:r>
        <w:t xml:space="preserve">, </w:t>
      </w:r>
      <w:r w:rsidRPr="0035235A">
        <w:rPr>
          <w:i/>
        </w:rPr>
        <w:t>Public Notice</w:t>
      </w:r>
      <w:r w:rsidRPr="0035235A">
        <w:t xml:space="preserve">, </w:t>
      </w:r>
      <w:r>
        <w:t xml:space="preserve">WT Docket No. 15-85, 30 FCC Rcd 2924 (WTB MD 2015).  USCG/SARSAT filed the only comments.  ACR filed reply comments.  </w:t>
      </w:r>
      <w:r w:rsidRPr="00E41AC1">
        <w:rPr>
          <w:i/>
        </w:rPr>
        <w:t>See</w:t>
      </w:r>
      <w:r>
        <w:t xml:space="preserve"> ACR Electronics, Inc.  Reply to Comments dated August 19, 2015</w:t>
      </w:r>
      <w:r w:rsidR="003967CD">
        <w:t xml:space="preserve"> (ACR Reply Comments)</w:t>
      </w:r>
      <w:r>
        <w:t>; and Reply to Comments dated October 16, 2015</w:t>
      </w:r>
      <w:r w:rsidR="003967CD">
        <w:t xml:space="preserve"> (ACR Supplemental Reply Comments)</w:t>
      </w:r>
      <w:r>
        <w:t>.</w:t>
      </w:r>
    </w:p>
  </w:footnote>
  <w:footnote w:id="10">
    <w:p w:rsidR="007068F2" w:rsidRPr="007068F2" w:rsidRDefault="007068F2">
      <w:pPr>
        <w:pStyle w:val="FootnoteText"/>
      </w:pPr>
      <w:r>
        <w:rPr>
          <w:rStyle w:val="FootnoteReference"/>
        </w:rPr>
        <w:footnoteRef/>
      </w:r>
      <w:r>
        <w:t xml:space="preserve"> </w:t>
      </w:r>
      <w:r>
        <w:rPr>
          <w:i/>
        </w:rPr>
        <w:t xml:space="preserve">See </w:t>
      </w:r>
      <w:r>
        <w:t>USCG/SARSAT Comments at 1-2.</w:t>
      </w:r>
    </w:p>
  </w:footnote>
  <w:footnote w:id="11">
    <w:p w:rsidR="00A56313" w:rsidRPr="00A56313" w:rsidRDefault="00A56313">
      <w:pPr>
        <w:pStyle w:val="FootnoteText"/>
      </w:pPr>
      <w:r>
        <w:rPr>
          <w:rStyle w:val="FootnoteReference"/>
        </w:rPr>
        <w:footnoteRef/>
      </w:r>
      <w:r>
        <w:t xml:space="preserve"> </w:t>
      </w:r>
      <w:r>
        <w:rPr>
          <w:i/>
        </w:rPr>
        <w:t>Id.</w:t>
      </w:r>
      <w:r>
        <w:t xml:space="preserve"> at 3.</w:t>
      </w:r>
    </w:p>
  </w:footnote>
  <w:footnote w:id="12">
    <w:p w:rsidR="00A56313" w:rsidRPr="00A56313" w:rsidRDefault="00A56313">
      <w:pPr>
        <w:pStyle w:val="FootnoteText"/>
      </w:pPr>
      <w:r>
        <w:rPr>
          <w:rStyle w:val="FootnoteReference"/>
        </w:rPr>
        <w:footnoteRef/>
      </w:r>
      <w:r>
        <w:t xml:space="preserve"> </w:t>
      </w:r>
      <w:r>
        <w:rPr>
          <w:i/>
        </w:rPr>
        <w:t xml:space="preserve">See </w:t>
      </w:r>
      <w:r>
        <w:t>ACR Reply Comments at 1-2</w:t>
      </w:r>
      <w:r w:rsidR="00F1419F">
        <w:t>; ACR Supplemental Reply Comments at 2</w:t>
      </w:r>
      <w:r>
        <w:t>.</w:t>
      </w:r>
    </w:p>
  </w:footnote>
  <w:footnote w:id="13">
    <w:p w:rsidR="003940A1" w:rsidRPr="003940A1" w:rsidRDefault="003940A1">
      <w:pPr>
        <w:pStyle w:val="FootnoteText"/>
      </w:pPr>
      <w:r>
        <w:rPr>
          <w:rStyle w:val="FootnoteReference"/>
        </w:rPr>
        <w:footnoteRef/>
      </w:r>
      <w:r>
        <w:t xml:space="preserve"> </w:t>
      </w:r>
      <w:r>
        <w:rPr>
          <w:i/>
        </w:rPr>
        <w:t>See</w:t>
      </w:r>
      <w:r>
        <w:t xml:space="preserve"> ACR Supplemental Reply Comments at 2.</w:t>
      </w:r>
    </w:p>
  </w:footnote>
  <w:footnote w:id="14">
    <w:p w:rsidR="003940A1" w:rsidRPr="003940A1" w:rsidRDefault="003940A1">
      <w:pPr>
        <w:pStyle w:val="FootnoteText"/>
        <w:rPr>
          <w:i/>
        </w:rPr>
      </w:pPr>
      <w:r>
        <w:rPr>
          <w:rStyle w:val="FootnoteReference"/>
        </w:rPr>
        <w:footnoteRef/>
      </w:r>
      <w:r>
        <w:t xml:space="preserve"> </w:t>
      </w:r>
      <w:r>
        <w:rPr>
          <w:i/>
        </w:rPr>
        <w:t>Id.</w:t>
      </w:r>
    </w:p>
  </w:footnote>
  <w:footnote w:id="15">
    <w:p w:rsidR="003967CD" w:rsidRDefault="003967CD">
      <w:pPr>
        <w:pStyle w:val="FootnoteText"/>
      </w:pPr>
      <w:r>
        <w:rPr>
          <w:rStyle w:val="FootnoteReference"/>
        </w:rPr>
        <w:footnoteRef/>
      </w:r>
      <w:r>
        <w:t xml:space="preserve"> </w:t>
      </w:r>
      <w:r w:rsidR="003940A1">
        <w:rPr>
          <w:i/>
        </w:rPr>
        <w:t xml:space="preserve">See </w:t>
      </w:r>
      <w:r w:rsidR="003940A1">
        <w:t xml:space="preserve">ACR Reply Comments </w:t>
      </w:r>
      <w:r>
        <w:t>at 2</w:t>
      </w:r>
      <w:r w:rsidR="008C110D">
        <w:t>-3</w:t>
      </w:r>
      <w:r w:rsidR="00F1419F">
        <w:t>; ACR Supplemental Reply Comments at 2</w:t>
      </w:r>
      <w:r>
        <w:t>.</w:t>
      </w:r>
    </w:p>
  </w:footnote>
  <w:footnote w:id="16">
    <w:p w:rsidR="003967CD" w:rsidRDefault="003967CD">
      <w:pPr>
        <w:pStyle w:val="FootnoteText"/>
      </w:pPr>
      <w:r>
        <w:rPr>
          <w:rStyle w:val="FootnoteReference"/>
        </w:rPr>
        <w:footnoteRef/>
      </w:r>
      <w:r>
        <w:t xml:space="preserve"> </w:t>
      </w:r>
      <w:r w:rsidR="006157F5">
        <w:rPr>
          <w:i/>
        </w:rPr>
        <w:t xml:space="preserve">See </w:t>
      </w:r>
      <w:r w:rsidR="006157F5">
        <w:t>ACR Reply Comments</w:t>
      </w:r>
      <w:r w:rsidR="008C110D">
        <w:rPr>
          <w:i/>
        </w:rPr>
        <w:t xml:space="preserve"> </w:t>
      </w:r>
      <w:r w:rsidR="008C110D">
        <w:t>at 2.</w:t>
      </w:r>
    </w:p>
  </w:footnote>
  <w:footnote w:id="17">
    <w:p w:rsidR="003967CD" w:rsidRDefault="003967CD" w:rsidP="003967CD">
      <w:pPr>
        <w:pStyle w:val="FootnoteText"/>
      </w:pPr>
      <w:r>
        <w:rPr>
          <w:rStyle w:val="FootnoteReference"/>
        </w:rPr>
        <w:footnoteRef/>
      </w:r>
      <w:r>
        <w:t xml:space="preserve"> </w:t>
      </w:r>
      <w:r w:rsidR="008C110D">
        <w:rPr>
          <w:i/>
        </w:rPr>
        <w:t>Id.</w:t>
      </w:r>
    </w:p>
  </w:footnote>
  <w:footnote w:id="18">
    <w:p w:rsidR="00F1419F" w:rsidRDefault="00F1419F">
      <w:pPr>
        <w:pStyle w:val="FootnoteText"/>
      </w:pPr>
      <w:r>
        <w:rPr>
          <w:rStyle w:val="FootnoteReference"/>
        </w:rPr>
        <w:footnoteRef/>
      </w:r>
      <w:r>
        <w:t xml:space="preserve"> </w:t>
      </w:r>
      <w:r w:rsidR="006157F5">
        <w:rPr>
          <w:i/>
        </w:rPr>
        <w:t>See</w:t>
      </w:r>
      <w:r w:rsidR="006157F5">
        <w:t xml:space="preserve"> ACR Supplemental Reply Comments at 2.</w:t>
      </w:r>
    </w:p>
  </w:footnote>
  <w:footnote w:id="19">
    <w:p w:rsidR="00B14EF3" w:rsidRDefault="00B14EF3" w:rsidP="006E0651">
      <w:pPr>
        <w:pStyle w:val="FootnoteText"/>
        <w:jc w:val="left"/>
      </w:pPr>
      <w:r>
        <w:rPr>
          <w:rStyle w:val="FootnoteReference"/>
        </w:rPr>
        <w:footnoteRef/>
      </w:r>
      <w:r>
        <w:t xml:space="preserve"> 47 C.F.R. § 1.925(b)(3); </w:t>
      </w:r>
      <w:r>
        <w:rPr>
          <w:i/>
        </w:rPr>
        <w:t xml:space="preserve">see also </w:t>
      </w:r>
      <w:r w:rsidRPr="00B0341D">
        <w:rPr>
          <w:i/>
        </w:rPr>
        <w:t>WAIT Radio v FCC</w:t>
      </w:r>
      <w:r>
        <w:t xml:space="preserve">, 418 F.2d 1153, 1159 (D.C. Cir. 1969).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7E" w:rsidRDefault="00D73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Header"/>
      <w:tabs>
        <w:tab w:val="clear" w:pos="4320"/>
        <w:tab w:val="clear" w:pos="8640"/>
        <w:tab w:val="center" w:pos="4680"/>
        <w:tab w:val="right" w:pos="9360"/>
      </w:tabs>
      <w:rPr>
        <w:b/>
      </w:rPr>
    </w:pPr>
    <w:r>
      <w:rPr>
        <w:b/>
      </w:rPr>
      <w:tab/>
      <w:t>Federal Communications Commission</w:t>
    </w:r>
    <w:r>
      <w:rPr>
        <w:b/>
      </w:rPr>
      <w:tab/>
      <w:t>DA 1</w:t>
    </w:r>
    <w:r w:rsidR="00B23A4A">
      <w:rPr>
        <w:b/>
      </w:rPr>
      <w:t>5</w:t>
    </w:r>
    <w:r>
      <w:rPr>
        <w:b/>
      </w:rPr>
      <w:t>-</w:t>
    </w:r>
    <w:r w:rsidR="0078098A">
      <w:rPr>
        <w:b/>
      </w:rPr>
      <w:t>1395</w:t>
    </w:r>
    <w:r>
      <w:rPr>
        <w:b/>
      </w:rPr>
      <w:t xml:space="preserve"> </w:t>
    </w:r>
  </w:p>
  <w:p w:rsidR="00B14EF3" w:rsidRDefault="00B14EF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AB1B739" wp14:editId="7ECEDBD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01D33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B14EF3" w:rsidRDefault="00B14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3" w:rsidRDefault="00B14EF3">
    <w:pPr>
      <w:pStyle w:val="Header"/>
      <w:tabs>
        <w:tab w:val="clear" w:pos="4320"/>
        <w:tab w:val="clear" w:pos="8640"/>
        <w:tab w:val="center" w:pos="4680"/>
        <w:tab w:val="right" w:pos="9360"/>
      </w:tabs>
      <w:rPr>
        <w:b/>
      </w:rPr>
    </w:pPr>
    <w:r>
      <w:rPr>
        <w:b/>
      </w:rPr>
      <w:tab/>
      <w:t>Federal Communications Commission</w:t>
    </w:r>
    <w:r>
      <w:rPr>
        <w:b/>
      </w:rPr>
      <w:tab/>
      <w:t xml:space="preserve">DA </w:t>
    </w:r>
    <w:r w:rsidR="00B23A4A">
      <w:rPr>
        <w:b/>
      </w:rPr>
      <w:t>15</w:t>
    </w:r>
    <w:r>
      <w:rPr>
        <w:b/>
      </w:rPr>
      <w:t>-</w:t>
    </w:r>
    <w:r w:rsidR="0078098A">
      <w:rPr>
        <w:b/>
      </w:rPr>
      <w:t>1395</w:t>
    </w:r>
    <w:r>
      <w:rPr>
        <w:b/>
      </w:rPr>
      <w:t xml:space="preserve"> </w:t>
    </w:r>
  </w:p>
  <w:p w:rsidR="00B14EF3" w:rsidRPr="00151C26" w:rsidRDefault="00B14EF3">
    <w:pPr>
      <w:pStyle w:val="Header"/>
      <w:tabs>
        <w:tab w:val="clear" w:pos="8640"/>
        <w:tab w:val="right" w:pos="9360"/>
      </w:tabs>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57216" behindDoc="0" locked="0" layoutInCell="0" allowOverlap="1" wp14:anchorId="3BA6890A" wp14:editId="7EE42450">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766F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A4DD68"/>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6723557"/>
    <w:multiLevelType w:val="hybridMultilevel"/>
    <w:tmpl w:val="3E4E9BB0"/>
    <w:lvl w:ilvl="0" w:tplc="A4C8F8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F981663"/>
    <w:multiLevelType w:val="hybridMultilevel"/>
    <w:tmpl w:val="5148C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6C739B6"/>
    <w:multiLevelType w:val="hybridMultilevel"/>
    <w:tmpl w:val="5148C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87E41AE"/>
    <w:multiLevelType w:val="hybridMultilevel"/>
    <w:tmpl w:val="C03C6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61F2058"/>
    <w:multiLevelType w:val="hybridMultilevel"/>
    <w:tmpl w:val="5148C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5">
    <w:nsid w:val="5AF3743F"/>
    <w:multiLevelType w:val="hybridMultilevel"/>
    <w:tmpl w:val="5148C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58F52D1"/>
    <w:multiLevelType w:val="hybridMultilevel"/>
    <w:tmpl w:val="C0527F40"/>
    <w:lvl w:ilvl="0" w:tplc="D5BE866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9"/>
  </w:num>
  <w:num w:numId="3">
    <w:abstractNumId w:val="6"/>
  </w:num>
  <w:num w:numId="4">
    <w:abstractNumId w:val="21"/>
  </w:num>
  <w:num w:numId="5">
    <w:abstractNumId w:val="7"/>
  </w:num>
  <w:num w:numId="6">
    <w:abstractNumId w:val="26"/>
  </w:num>
  <w:num w:numId="7">
    <w:abstractNumId w:val="17"/>
  </w:num>
  <w:num w:numId="8">
    <w:abstractNumId w:val="8"/>
  </w:num>
  <w:num w:numId="9">
    <w:abstractNumId w:val="24"/>
  </w:num>
  <w:num w:numId="10">
    <w:abstractNumId w:val="15"/>
  </w:num>
  <w:num w:numId="11">
    <w:abstractNumId w:val="13"/>
  </w:num>
  <w:num w:numId="12">
    <w:abstractNumId w:val="9"/>
  </w:num>
  <w:num w:numId="13">
    <w:abstractNumId w:val="16"/>
  </w:num>
  <w:num w:numId="14">
    <w:abstractNumId w:val="22"/>
  </w:num>
  <w:num w:numId="15">
    <w:abstractNumId w:val="4"/>
  </w:num>
  <w:num w:numId="16">
    <w:abstractNumId w:val="5"/>
  </w:num>
  <w:num w:numId="17">
    <w:abstractNumId w:val="11"/>
  </w:num>
  <w:num w:numId="18">
    <w:abstractNumId w:val="2"/>
  </w:num>
  <w:num w:numId="19">
    <w:abstractNumId w:val="12"/>
  </w:num>
  <w:num w:numId="20">
    <w:abstractNumId w:val="19"/>
  </w:num>
  <w:num w:numId="21">
    <w:abstractNumId w:val="20"/>
  </w:num>
  <w:num w:numId="22">
    <w:abstractNumId w:val="16"/>
  </w:num>
  <w:num w:numId="23">
    <w:abstractNumId w:val="14"/>
  </w:num>
  <w:num w:numId="24">
    <w:abstractNumId w:val="0"/>
  </w:num>
  <w:num w:numId="25">
    <w:abstractNumId w:val="1"/>
  </w:num>
  <w:num w:numId="26">
    <w:abstractNumId w:val="25"/>
  </w:num>
  <w:num w:numId="27">
    <w:abstractNumId w:val="23"/>
  </w:num>
  <w:num w:numId="28">
    <w:abstractNumId w:val="10"/>
  </w:num>
  <w:num w:numId="29">
    <w:abstractNumId w:val="2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26"/>
    <w:rsid w:val="00036005"/>
    <w:rsid w:val="000479A0"/>
    <w:rsid w:val="000A236C"/>
    <w:rsid w:val="000A30FF"/>
    <w:rsid w:val="000D3F95"/>
    <w:rsid w:val="000E50F9"/>
    <w:rsid w:val="00101B6C"/>
    <w:rsid w:val="00102AAF"/>
    <w:rsid w:val="00110D3E"/>
    <w:rsid w:val="001413C3"/>
    <w:rsid w:val="00144071"/>
    <w:rsid w:val="00151C26"/>
    <w:rsid w:val="0019784D"/>
    <w:rsid w:val="001B3BAD"/>
    <w:rsid w:val="001B3DA4"/>
    <w:rsid w:val="001C09A0"/>
    <w:rsid w:val="002873D1"/>
    <w:rsid w:val="002D5AFF"/>
    <w:rsid w:val="00300C9D"/>
    <w:rsid w:val="0034258F"/>
    <w:rsid w:val="0035235A"/>
    <w:rsid w:val="00355F7A"/>
    <w:rsid w:val="00381F93"/>
    <w:rsid w:val="003940A1"/>
    <w:rsid w:val="003967CD"/>
    <w:rsid w:val="003D2682"/>
    <w:rsid w:val="003D6E92"/>
    <w:rsid w:val="00402319"/>
    <w:rsid w:val="00497403"/>
    <w:rsid w:val="004C1580"/>
    <w:rsid w:val="004D64EC"/>
    <w:rsid w:val="004F0024"/>
    <w:rsid w:val="005018AC"/>
    <w:rsid w:val="00503C37"/>
    <w:rsid w:val="00520D12"/>
    <w:rsid w:val="0052523D"/>
    <w:rsid w:val="00531D7B"/>
    <w:rsid w:val="00550565"/>
    <w:rsid w:val="00575451"/>
    <w:rsid w:val="0058663C"/>
    <w:rsid w:val="005B18BD"/>
    <w:rsid w:val="005B7E3B"/>
    <w:rsid w:val="005D771B"/>
    <w:rsid w:val="005E48EC"/>
    <w:rsid w:val="006157F5"/>
    <w:rsid w:val="00620B42"/>
    <w:rsid w:val="00654822"/>
    <w:rsid w:val="006A57BE"/>
    <w:rsid w:val="006E0651"/>
    <w:rsid w:val="006E367D"/>
    <w:rsid w:val="007068F2"/>
    <w:rsid w:val="007125EB"/>
    <w:rsid w:val="007219F6"/>
    <w:rsid w:val="007348AC"/>
    <w:rsid w:val="0076793C"/>
    <w:rsid w:val="0078098A"/>
    <w:rsid w:val="007B7F02"/>
    <w:rsid w:val="007D4C1B"/>
    <w:rsid w:val="007E3D30"/>
    <w:rsid w:val="007E4FEB"/>
    <w:rsid w:val="007F2EBB"/>
    <w:rsid w:val="007F729B"/>
    <w:rsid w:val="00807780"/>
    <w:rsid w:val="00847B78"/>
    <w:rsid w:val="008A0481"/>
    <w:rsid w:val="008B145F"/>
    <w:rsid w:val="008C110D"/>
    <w:rsid w:val="008C4179"/>
    <w:rsid w:val="008D6DAC"/>
    <w:rsid w:val="008E2E89"/>
    <w:rsid w:val="00961D84"/>
    <w:rsid w:val="00987F5A"/>
    <w:rsid w:val="009A2E55"/>
    <w:rsid w:val="009C7344"/>
    <w:rsid w:val="009D034A"/>
    <w:rsid w:val="00A16746"/>
    <w:rsid w:val="00A41EFE"/>
    <w:rsid w:val="00A56313"/>
    <w:rsid w:val="00AA0636"/>
    <w:rsid w:val="00B0341D"/>
    <w:rsid w:val="00B14EF3"/>
    <w:rsid w:val="00B23A4A"/>
    <w:rsid w:val="00B30719"/>
    <w:rsid w:val="00B40AC6"/>
    <w:rsid w:val="00B64117"/>
    <w:rsid w:val="00BB42C6"/>
    <w:rsid w:val="00BB6DAA"/>
    <w:rsid w:val="00BD6300"/>
    <w:rsid w:val="00C1233C"/>
    <w:rsid w:val="00C2127D"/>
    <w:rsid w:val="00C32144"/>
    <w:rsid w:val="00C912D2"/>
    <w:rsid w:val="00C96F3D"/>
    <w:rsid w:val="00D172F0"/>
    <w:rsid w:val="00D3349F"/>
    <w:rsid w:val="00D50B46"/>
    <w:rsid w:val="00D7377E"/>
    <w:rsid w:val="00DC77B1"/>
    <w:rsid w:val="00DE0931"/>
    <w:rsid w:val="00DE78F7"/>
    <w:rsid w:val="00E10C58"/>
    <w:rsid w:val="00E1762E"/>
    <w:rsid w:val="00E41AC1"/>
    <w:rsid w:val="00E94FA1"/>
    <w:rsid w:val="00EB7884"/>
    <w:rsid w:val="00EC0C32"/>
    <w:rsid w:val="00EF564F"/>
    <w:rsid w:val="00F1419F"/>
    <w:rsid w:val="00F72E10"/>
    <w:rsid w:val="00FC48DD"/>
    <w:rsid w:val="00FC661E"/>
    <w:rsid w:val="00FD543F"/>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Footnote Reference/,Style 17,Style 6"/>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654822"/>
    <w:pPr>
      <w:ind w:left="720"/>
      <w:contextualSpacing/>
    </w:pPr>
  </w:style>
  <w:style w:type="character" w:customStyle="1" w:styleId="ParaNumChar">
    <w:name w:val="ParaNum Char"/>
    <w:basedOn w:val="DefaultParagraphFont"/>
    <w:link w:val="ParaNum"/>
    <w:rsid w:val="007D4C1B"/>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semiHidden/>
    <w:rsid w:val="007D4C1B"/>
  </w:style>
  <w:style w:type="paragraph" w:styleId="BalloonText">
    <w:name w:val="Balloon Text"/>
    <w:basedOn w:val="Normal"/>
    <w:link w:val="BalloonTextChar"/>
    <w:uiPriority w:val="99"/>
    <w:semiHidden/>
    <w:unhideWhenUsed/>
    <w:rsid w:val="00E94FA1"/>
    <w:rPr>
      <w:rFonts w:ascii="Tahoma" w:hAnsi="Tahoma" w:cs="Tahoma"/>
      <w:sz w:val="16"/>
      <w:szCs w:val="16"/>
    </w:rPr>
  </w:style>
  <w:style w:type="character" w:customStyle="1" w:styleId="BalloonTextChar">
    <w:name w:val="Balloon Text Char"/>
    <w:basedOn w:val="DefaultParagraphFont"/>
    <w:link w:val="BalloonText"/>
    <w:uiPriority w:val="99"/>
    <w:semiHidden/>
    <w:rsid w:val="00E94FA1"/>
    <w:rPr>
      <w:rFonts w:ascii="Tahoma" w:hAnsi="Tahoma" w:cs="Tahoma"/>
      <w:sz w:val="16"/>
      <w:szCs w:val="16"/>
    </w:rPr>
  </w:style>
  <w:style w:type="character" w:customStyle="1" w:styleId="FooterChar">
    <w:name w:val="Footer Char"/>
    <w:link w:val="Footer"/>
    <w:uiPriority w:val="99"/>
    <w:rsid w:val="00B40A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Footnote Reference/,Style 17,Style 6"/>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654822"/>
    <w:pPr>
      <w:ind w:left="720"/>
      <w:contextualSpacing/>
    </w:pPr>
  </w:style>
  <w:style w:type="character" w:customStyle="1" w:styleId="ParaNumChar">
    <w:name w:val="ParaNum Char"/>
    <w:basedOn w:val="DefaultParagraphFont"/>
    <w:link w:val="ParaNum"/>
    <w:rsid w:val="007D4C1B"/>
    <w:rPr>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basedOn w:val="DefaultParagraphFont"/>
    <w:link w:val="FootnoteText"/>
    <w:semiHidden/>
    <w:rsid w:val="007D4C1B"/>
  </w:style>
  <w:style w:type="paragraph" w:styleId="BalloonText">
    <w:name w:val="Balloon Text"/>
    <w:basedOn w:val="Normal"/>
    <w:link w:val="BalloonTextChar"/>
    <w:uiPriority w:val="99"/>
    <w:semiHidden/>
    <w:unhideWhenUsed/>
    <w:rsid w:val="00E94FA1"/>
    <w:rPr>
      <w:rFonts w:ascii="Tahoma" w:hAnsi="Tahoma" w:cs="Tahoma"/>
      <w:sz w:val="16"/>
      <w:szCs w:val="16"/>
    </w:rPr>
  </w:style>
  <w:style w:type="character" w:customStyle="1" w:styleId="BalloonTextChar">
    <w:name w:val="Balloon Text Char"/>
    <w:basedOn w:val="DefaultParagraphFont"/>
    <w:link w:val="BalloonText"/>
    <w:uiPriority w:val="99"/>
    <w:semiHidden/>
    <w:rsid w:val="00E94FA1"/>
    <w:rPr>
      <w:rFonts w:ascii="Tahoma" w:hAnsi="Tahoma" w:cs="Tahoma"/>
      <w:sz w:val="16"/>
      <w:szCs w:val="16"/>
    </w:rPr>
  </w:style>
  <w:style w:type="character" w:customStyle="1" w:styleId="FooterChar">
    <w:name w:val="Footer Char"/>
    <w:link w:val="Footer"/>
    <w:uiPriority w:val="99"/>
    <w:rsid w:val="00B40A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6287</Characters>
  <Application>Microsoft Office Word</Application>
  <DocSecurity>0</DocSecurity>
  <Lines>129</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2012-12-10T14:38:00Z</cp:lastPrinted>
  <dcterms:created xsi:type="dcterms:W3CDTF">2015-12-08T17:35:00Z</dcterms:created>
  <dcterms:modified xsi:type="dcterms:W3CDTF">2015-12-08T17:35:00Z</dcterms:modified>
  <cp:category> </cp:category>
  <cp:contentStatus> </cp:contentStatus>
</cp:coreProperties>
</file>