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CA" w:rsidRDefault="00CB07CA">
      <w:pPr>
        <w:jc w:val="center"/>
        <w:rPr>
          <w:b/>
        </w:rPr>
      </w:pPr>
      <w:bookmarkStart w:id="0" w:name="_GoBack"/>
      <w:bookmarkEnd w:id="0"/>
      <w:r>
        <w:rPr>
          <w:b/>
        </w:rPr>
        <w:t>Before the</w:t>
      </w:r>
    </w:p>
    <w:p w:rsidR="00CB07CA" w:rsidRDefault="00CB07CA">
      <w:pPr>
        <w:jc w:val="center"/>
        <w:rPr>
          <w:b/>
        </w:rPr>
      </w:pPr>
      <w:r>
        <w:rPr>
          <w:b/>
        </w:rPr>
        <w:t>Federal Communications Commission</w:t>
      </w:r>
    </w:p>
    <w:p w:rsidR="00CB07CA" w:rsidRDefault="00CB07CA">
      <w:pPr>
        <w:jc w:val="center"/>
        <w:rPr>
          <w:b/>
        </w:rPr>
      </w:pPr>
      <w:r>
        <w:rPr>
          <w:b/>
        </w:rPr>
        <w:t xml:space="preserve">Washington, </w:t>
      </w:r>
      <w:smartTag w:uri="urn:schemas-microsoft-com:office:smarttags" w:element="State">
        <w:r>
          <w:rPr>
            <w:b/>
          </w:rPr>
          <w:t>D.C.</w:t>
        </w:r>
      </w:smartTag>
      <w:r>
        <w:rPr>
          <w:b/>
        </w:rPr>
        <w:t xml:space="preserve"> </w:t>
      </w:r>
      <w:smartTag w:uri="urn:schemas-microsoft-com:office:smarttags" w:element="PostalCode">
        <w:r>
          <w:rPr>
            <w:b/>
          </w:rPr>
          <w:t>20554</w:t>
        </w:r>
      </w:smartTag>
    </w:p>
    <w:p w:rsidR="00CB07CA" w:rsidRDefault="00CB07CA"/>
    <w:p w:rsidR="00CB07CA" w:rsidRDefault="00CB07CA"/>
    <w:tbl>
      <w:tblPr>
        <w:tblW w:w="9450" w:type="dxa"/>
        <w:tblLayout w:type="fixed"/>
        <w:tblLook w:val="0000" w:firstRow="0" w:lastRow="0" w:firstColumn="0" w:lastColumn="0" w:noHBand="0" w:noVBand="0"/>
      </w:tblPr>
      <w:tblGrid>
        <w:gridCol w:w="4698"/>
        <w:gridCol w:w="612"/>
        <w:gridCol w:w="4140"/>
      </w:tblGrid>
      <w:tr w:rsidR="00CB07CA" w:rsidTr="007A6390">
        <w:tc>
          <w:tcPr>
            <w:tcW w:w="4698" w:type="dxa"/>
          </w:tcPr>
          <w:p w:rsidR="00CB07CA" w:rsidRDefault="00CB07CA" w:rsidP="00FF56BF">
            <w:pPr>
              <w:ind w:left="-108" w:right="-18"/>
            </w:pPr>
            <w:r>
              <w:t xml:space="preserve">In the </w:t>
            </w:r>
            <w:r w:rsidR="00CA4A0B">
              <w:t>M</w:t>
            </w:r>
            <w:r>
              <w:t>atter of</w:t>
            </w:r>
          </w:p>
          <w:p w:rsidR="00CB07CA" w:rsidRDefault="00CB07CA" w:rsidP="00FF56BF">
            <w:pPr>
              <w:ind w:left="-108" w:right="-18"/>
            </w:pPr>
          </w:p>
          <w:p w:rsidR="00374BCF" w:rsidRDefault="00CA4A0B" w:rsidP="00FF56BF">
            <w:pPr>
              <w:autoSpaceDE w:val="0"/>
              <w:autoSpaceDN w:val="0"/>
              <w:adjustRightInd w:val="0"/>
              <w:ind w:left="-108"/>
              <w:rPr>
                <w:szCs w:val="22"/>
              </w:rPr>
            </w:pPr>
            <w:r>
              <w:rPr>
                <w:szCs w:val="22"/>
              </w:rPr>
              <w:t>Application</w:t>
            </w:r>
            <w:r w:rsidR="00374BCF">
              <w:rPr>
                <w:szCs w:val="22"/>
              </w:rPr>
              <w:t>s</w:t>
            </w:r>
            <w:r>
              <w:rPr>
                <w:szCs w:val="22"/>
              </w:rPr>
              <w:t xml:space="preserve"> of </w:t>
            </w:r>
            <w:r w:rsidR="00374BCF">
              <w:rPr>
                <w:szCs w:val="22"/>
              </w:rPr>
              <w:t>Cellco Partnership d/b/a</w:t>
            </w:r>
          </w:p>
          <w:p w:rsidR="00CA4A0B" w:rsidRDefault="00374BCF" w:rsidP="00FF56BF">
            <w:pPr>
              <w:autoSpaceDE w:val="0"/>
              <w:autoSpaceDN w:val="0"/>
              <w:adjustRightInd w:val="0"/>
              <w:ind w:left="-108"/>
              <w:rPr>
                <w:b/>
                <w:szCs w:val="22"/>
              </w:rPr>
            </w:pPr>
            <w:r w:rsidRPr="008F53E2">
              <w:rPr>
                <w:szCs w:val="22"/>
              </w:rPr>
              <w:t xml:space="preserve">Verizon Wireless </w:t>
            </w:r>
            <w:r w:rsidR="00CA4A0B">
              <w:rPr>
                <w:szCs w:val="22"/>
              </w:rPr>
              <w:t xml:space="preserve">and </w:t>
            </w:r>
            <w:r w:rsidRPr="008F53E2">
              <w:rPr>
                <w:szCs w:val="22"/>
              </w:rPr>
              <w:t>T-Mobile License LLC</w:t>
            </w:r>
          </w:p>
          <w:p w:rsidR="00CA4A0B" w:rsidRDefault="00CA4A0B" w:rsidP="00FF56BF">
            <w:pPr>
              <w:autoSpaceDE w:val="0"/>
              <w:autoSpaceDN w:val="0"/>
              <w:adjustRightInd w:val="0"/>
              <w:ind w:left="-108"/>
              <w:rPr>
                <w:szCs w:val="22"/>
              </w:rPr>
            </w:pPr>
          </w:p>
          <w:p w:rsidR="00CB07CA" w:rsidRDefault="00CA4A0B" w:rsidP="00FF56BF">
            <w:pPr>
              <w:ind w:left="-108" w:right="-18"/>
            </w:pPr>
            <w:r>
              <w:rPr>
                <w:szCs w:val="22"/>
              </w:rPr>
              <w:t xml:space="preserve">For Consent To Assign </w:t>
            </w:r>
            <w:r w:rsidR="00374BCF" w:rsidRPr="008F53E2">
              <w:rPr>
                <w:szCs w:val="22"/>
              </w:rPr>
              <w:t xml:space="preserve">Advanced Wireless Service </w:t>
            </w:r>
            <w:r w:rsidR="00374BCF">
              <w:rPr>
                <w:szCs w:val="22"/>
              </w:rPr>
              <w:t xml:space="preserve">and </w:t>
            </w:r>
            <w:r w:rsidR="00374BCF" w:rsidRPr="008F53E2">
              <w:rPr>
                <w:szCs w:val="22"/>
              </w:rPr>
              <w:t xml:space="preserve">Personal Communications Service </w:t>
            </w:r>
            <w:r>
              <w:rPr>
                <w:szCs w:val="22"/>
              </w:rPr>
              <w:t>Licenses</w:t>
            </w:r>
          </w:p>
        </w:tc>
        <w:tc>
          <w:tcPr>
            <w:tcW w:w="612" w:type="dxa"/>
          </w:tcPr>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FA122A" w:rsidRDefault="00FA122A">
            <w:pPr>
              <w:rPr>
                <w:b/>
              </w:rPr>
            </w:pPr>
            <w:r>
              <w:rPr>
                <w:b/>
              </w:rPr>
              <w:t>)</w:t>
            </w:r>
          </w:p>
        </w:tc>
        <w:tc>
          <w:tcPr>
            <w:tcW w:w="4140" w:type="dxa"/>
          </w:tcPr>
          <w:p w:rsidR="007423A5" w:rsidRDefault="007423A5" w:rsidP="007A6390"/>
          <w:p w:rsidR="00CB07CA" w:rsidRPr="007A6390" w:rsidRDefault="00CA4A0B" w:rsidP="007A6390">
            <w:r w:rsidRPr="007A6390">
              <w:t>ULS File No</w:t>
            </w:r>
            <w:r w:rsidR="003A37C6">
              <w:t>s</w:t>
            </w:r>
            <w:r w:rsidRPr="007A6390">
              <w:t xml:space="preserve">. </w:t>
            </w:r>
            <w:r w:rsidR="007A6390" w:rsidRPr="007A6390">
              <w:rPr>
                <w:szCs w:val="22"/>
              </w:rPr>
              <w:t>0006867447, 0006867467, 0006867470, 0006867476, 0006867520, 0006867545, 0006867559, 0006868438, 0006868544, 0006868798, 0006869754, 0006869768, 0006869777, 006869790, 0006869871, and 0006869873</w:t>
            </w:r>
          </w:p>
        </w:tc>
      </w:tr>
    </w:tbl>
    <w:p w:rsidR="00FA122A" w:rsidRDefault="00FA122A" w:rsidP="00FA122A">
      <w:pPr>
        <w:tabs>
          <w:tab w:val="left" w:pos="-720"/>
        </w:tabs>
        <w:suppressAutoHyphens/>
        <w:spacing w:line="227" w:lineRule="auto"/>
        <w:rPr>
          <w:spacing w:val="-2"/>
        </w:rPr>
      </w:pPr>
    </w:p>
    <w:p w:rsidR="00FA122A" w:rsidRDefault="00CA4A0B" w:rsidP="00FA122A">
      <w:pPr>
        <w:jc w:val="center"/>
        <w:outlineLvl w:val="0"/>
        <w:rPr>
          <w:b/>
        </w:rPr>
      </w:pPr>
      <w:r w:rsidRPr="00296281">
        <w:rPr>
          <w:b/>
        </w:rPr>
        <w:t>ORDER</w:t>
      </w:r>
    </w:p>
    <w:p w:rsidR="00FA122A" w:rsidRDefault="00FA122A" w:rsidP="00FA122A">
      <w:pPr>
        <w:tabs>
          <w:tab w:val="left" w:pos="-720"/>
        </w:tabs>
        <w:suppressAutoHyphens/>
        <w:spacing w:line="227" w:lineRule="auto"/>
        <w:rPr>
          <w:spacing w:val="-2"/>
        </w:rPr>
      </w:pPr>
    </w:p>
    <w:p w:rsidR="00FA122A" w:rsidRDefault="00FA122A" w:rsidP="00FF56BF">
      <w:pPr>
        <w:tabs>
          <w:tab w:val="left" w:pos="720"/>
          <w:tab w:val="right" w:pos="9360"/>
        </w:tabs>
        <w:suppressAutoHyphens/>
        <w:spacing w:line="227" w:lineRule="auto"/>
        <w:rPr>
          <w:spacing w:val="-2"/>
        </w:rPr>
      </w:pPr>
      <w:r>
        <w:rPr>
          <w:b/>
          <w:spacing w:val="-2"/>
        </w:rPr>
        <w:t xml:space="preserve">Adopted:  </w:t>
      </w:r>
      <w:r w:rsidR="00611335">
        <w:rPr>
          <w:b/>
          <w:spacing w:val="-2"/>
        </w:rPr>
        <w:t xml:space="preserve">December </w:t>
      </w:r>
      <w:r w:rsidR="0015752A">
        <w:rPr>
          <w:b/>
          <w:spacing w:val="-2"/>
        </w:rPr>
        <w:t>10</w:t>
      </w:r>
      <w:r>
        <w:rPr>
          <w:b/>
          <w:spacing w:val="-2"/>
        </w:rPr>
        <w:t>, 201</w:t>
      </w:r>
      <w:r w:rsidR="00FF56BF">
        <w:rPr>
          <w:b/>
          <w:spacing w:val="-2"/>
        </w:rPr>
        <w:t>5</w:t>
      </w:r>
      <w:r>
        <w:rPr>
          <w:b/>
          <w:spacing w:val="-2"/>
        </w:rPr>
        <w:tab/>
        <w:t xml:space="preserve">Released:  </w:t>
      </w:r>
      <w:r w:rsidR="00611335">
        <w:rPr>
          <w:b/>
          <w:spacing w:val="-2"/>
        </w:rPr>
        <w:t xml:space="preserve">December </w:t>
      </w:r>
      <w:r w:rsidR="0015752A">
        <w:rPr>
          <w:b/>
          <w:spacing w:val="-2"/>
        </w:rPr>
        <w:t>10</w:t>
      </w:r>
      <w:r>
        <w:rPr>
          <w:b/>
          <w:spacing w:val="-2"/>
        </w:rPr>
        <w:t>, 201</w:t>
      </w:r>
      <w:r w:rsidR="00FF56BF">
        <w:rPr>
          <w:b/>
          <w:spacing w:val="-2"/>
        </w:rPr>
        <w:t>5</w:t>
      </w:r>
    </w:p>
    <w:p w:rsidR="00FA122A" w:rsidRDefault="00FA122A" w:rsidP="00FA122A"/>
    <w:p w:rsidR="00FA122A" w:rsidRDefault="00FA122A" w:rsidP="00FA122A">
      <w:pPr>
        <w:rPr>
          <w:spacing w:val="-2"/>
        </w:rPr>
      </w:pPr>
      <w:r w:rsidRPr="00611335">
        <w:t>By</w:t>
      </w:r>
      <w:r w:rsidR="00FF56BF">
        <w:t xml:space="preserve"> </w:t>
      </w:r>
      <w:r w:rsidR="00374BCF">
        <w:t>the Chief,</w:t>
      </w:r>
      <w:r w:rsidR="00611335">
        <w:t xml:space="preserve"> Wireless Telecommunications Bureau</w:t>
      </w:r>
      <w:r w:rsidRPr="00611335">
        <w:rPr>
          <w:spacing w:val="-2"/>
        </w:rPr>
        <w:t>:</w:t>
      </w:r>
    </w:p>
    <w:p w:rsidR="00FA122A" w:rsidRDefault="00FA122A" w:rsidP="00FA122A">
      <w:pPr>
        <w:rPr>
          <w:spacing w:val="-2"/>
        </w:rPr>
      </w:pPr>
    </w:p>
    <w:p w:rsidR="006C615E" w:rsidRDefault="00CA4A0B" w:rsidP="00CA7E3E">
      <w:pPr>
        <w:pStyle w:val="ParaNum"/>
        <w:jc w:val="left"/>
      </w:pPr>
      <w:r>
        <w:t>In this Order, we dismiss a</w:t>
      </w:r>
      <w:r w:rsidR="000049FF">
        <w:t>n objection</w:t>
      </w:r>
      <w:r>
        <w:t xml:space="preserve"> by </w:t>
      </w:r>
      <w:r w:rsidR="000049FF" w:rsidRPr="008F53E2">
        <w:rPr>
          <w:szCs w:val="22"/>
        </w:rPr>
        <w:t xml:space="preserve">Sirius </w:t>
      </w:r>
      <w:r>
        <w:t>against the application</w:t>
      </w:r>
      <w:r w:rsidR="000049FF">
        <w:t>s</w:t>
      </w:r>
      <w:r w:rsidR="009B0D16">
        <w:rPr>
          <w:rStyle w:val="FootnoteReference"/>
        </w:rPr>
        <w:footnoteReference w:id="2"/>
      </w:r>
      <w:r>
        <w:t xml:space="preserve"> of </w:t>
      </w:r>
      <w:r w:rsidR="00935E86">
        <w:rPr>
          <w:szCs w:val="22"/>
        </w:rPr>
        <w:t xml:space="preserve">T-Mobile and </w:t>
      </w:r>
      <w:r w:rsidR="007423A5">
        <w:rPr>
          <w:szCs w:val="22"/>
        </w:rPr>
        <w:t>Verizon Wireless</w:t>
      </w:r>
      <w:r w:rsidRPr="00E302C0">
        <w:rPr>
          <w:szCs w:val="22"/>
        </w:rPr>
        <w:t xml:space="preserve"> </w:t>
      </w:r>
      <w:r>
        <w:t xml:space="preserve">to </w:t>
      </w:r>
      <w:r w:rsidR="00F75E91">
        <w:t xml:space="preserve">exchange a number of </w:t>
      </w:r>
      <w:r w:rsidR="002662D7">
        <w:rPr>
          <w:szCs w:val="22"/>
        </w:rPr>
        <w:t xml:space="preserve">AWS </w:t>
      </w:r>
      <w:r w:rsidR="00F75E91" w:rsidRPr="008F53E2">
        <w:rPr>
          <w:szCs w:val="22"/>
        </w:rPr>
        <w:t>and PCS licenses</w:t>
      </w:r>
      <w:r w:rsidR="00D5670F">
        <w:rPr>
          <w:szCs w:val="22"/>
        </w:rPr>
        <w:t xml:space="preserve">, on the grounds that </w:t>
      </w:r>
      <w:r w:rsidR="007F3616">
        <w:rPr>
          <w:szCs w:val="22"/>
        </w:rPr>
        <w:t xml:space="preserve">Sirius’s </w:t>
      </w:r>
      <w:r w:rsidR="00D5670F">
        <w:rPr>
          <w:szCs w:val="22"/>
        </w:rPr>
        <w:t xml:space="preserve">interference allegations </w:t>
      </w:r>
      <w:r w:rsidR="007F3616">
        <w:rPr>
          <w:szCs w:val="22"/>
        </w:rPr>
        <w:t xml:space="preserve">are not specific to the proposed transaction between T-Mobile and Verizon Wireless, and </w:t>
      </w:r>
      <w:r w:rsidR="00D5670F">
        <w:rPr>
          <w:szCs w:val="22"/>
        </w:rPr>
        <w:t xml:space="preserve">are better addressed </w:t>
      </w:r>
      <w:r w:rsidR="007F3616">
        <w:rPr>
          <w:szCs w:val="22"/>
        </w:rPr>
        <w:t xml:space="preserve">in an appropriate proceeding </w:t>
      </w:r>
      <w:r w:rsidR="00DF21AF">
        <w:rPr>
          <w:szCs w:val="22"/>
        </w:rPr>
        <w:t>designed to address</w:t>
      </w:r>
      <w:r w:rsidR="007F3616">
        <w:rPr>
          <w:szCs w:val="22"/>
        </w:rPr>
        <w:t xml:space="preserve"> the interference claims</w:t>
      </w:r>
      <w:r>
        <w:t>.</w:t>
      </w:r>
    </w:p>
    <w:p w:rsidR="003D0F35" w:rsidRDefault="00D5670F" w:rsidP="002B5FF5">
      <w:pPr>
        <w:pStyle w:val="ParaNum"/>
        <w:widowControl/>
        <w:tabs>
          <w:tab w:val="left" w:pos="4320"/>
        </w:tabs>
        <w:jc w:val="left"/>
      </w:pPr>
      <w:r w:rsidRPr="00D5670F">
        <w:rPr>
          <w:i/>
        </w:rPr>
        <w:t>Background</w:t>
      </w:r>
      <w:r>
        <w:t xml:space="preserve">.  </w:t>
      </w:r>
      <w:r w:rsidR="00CA4A0B">
        <w:t xml:space="preserve">On </w:t>
      </w:r>
      <w:r w:rsidR="002622B5">
        <w:t>July 17, 2015</w:t>
      </w:r>
      <w:r w:rsidR="00CA4A0B">
        <w:t xml:space="preserve">, </w:t>
      </w:r>
      <w:r w:rsidR="002662D7">
        <w:rPr>
          <w:szCs w:val="22"/>
        </w:rPr>
        <w:t>Cellco Partnership d/b/a Verizon Wireless</w:t>
      </w:r>
      <w:r w:rsidR="002662D7" w:rsidRPr="00E302C0">
        <w:rPr>
          <w:szCs w:val="22"/>
        </w:rPr>
        <w:t xml:space="preserve"> </w:t>
      </w:r>
      <w:r w:rsidR="002662D7">
        <w:rPr>
          <w:szCs w:val="22"/>
        </w:rPr>
        <w:t xml:space="preserve">and certain of its licensee subsidiaries </w:t>
      </w:r>
      <w:r w:rsidR="002662D7" w:rsidRPr="00E302C0">
        <w:rPr>
          <w:szCs w:val="22"/>
        </w:rPr>
        <w:t>(“</w:t>
      </w:r>
      <w:r w:rsidR="002662D7">
        <w:rPr>
          <w:szCs w:val="22"/>
        </w:rPr>
        <w:t>Verizon Wireless</w:t>
      </w:r>
      <w:r w:rsidR="002662D7" w:rsidRPr="00E302C0">
        <w:rPr>
          <w:szCs w:val="22"/>
        </w:rPr>
        <w:t>”)</w:t>
      </w:r>
      <w:r w:rsidR="002662D7">
        <w:rPr>
          <w:szCs w:val="22"/>
        </w:rPr>
        <w:t xml:space="preserve"> </w:t>
      </w:r>
      <w:r w:rsidR="00CA4A0B">
        <w:t xml:space="preserve">and </w:t>
      </w:r>
      <w:r w:rsidR="002662D7">
        <w:rPr>
          <w:szCs w:val="22"/>
        </w:rPr>
        <w:t xml:space="preserve">T-Mobile License LLC </w:t>
      </w:r>
      <w:r w:rsidR="002662D7" w:rsidRPr="00E302C0">
        <w:rPr>
          <w:szCs w:val="22"/>
        </w:rPr>
        <w:t>(“</w:t>
      </w:r>
      <w:r w:rsidR="002662D7">
        <w:rPr>
          <w:szCs w:val="22"/>
        </w:rPr>
        <w:t xml:space="preserve">T-Mobile” </w:t>
      </w:r>
      <w:r w:rsidR="002662D7">
        <w:t>and together with Verizon Wireless, the “Applicants”)</w:t>
      </w:r>
      <w:r w:rsidR="00C04E06">
        <w:t xml:space="preserve"> filed the Application</w:t>
      </w:r>
      <w:r w:rsidR="002622B5">
        <w:t>s</w:t>
      </w:r>
      <w:r w:rsidR="00CA4A0B">
        <w:t xml:space="preserve"> pursuant to section 310(d) of the Communications Act of 1934, as amended (the “Communications Act”),</w:t>
      </w:r>
      <w:r w:rsidR="00CA4A0B">
        <w:rPr>
          <w:rStyle w:val="FootnoteReference"/>
          <w:szCs w:val="22"/>
        </w:rPr>
        <w:footnoteReference w:id="3"/>
      </w:r>
      <w:r w:rsidR="00CA4A0B">
        <w:t xml:space="preserve"> seeking approval to </w:t>
      </w:r>
      <w:r w:rsidR="002622B5">
        <w:t xml:space="preserve">exchange a number of full and partial </w:t>
      </w:r>
      <w:r w:rsidR="002662D7" w:rsidRPr="008F53E2">
        <w:rPr>
          <w:szCs w:val="22"/>
        </w:rPr>
        <w:t>Advanced Wireless Service (“AWS”)</w:t>
      </w:r>
      <w:r w:rsidR="002662D7">
        <w:rPr>
          <w:szCs w:val="22"/>
        </w:rPr>
        <w:t xml:space="preserve"> </w:t>
      </w:r>
      <w:r w:rsidR="002622B5">
        <w:t xml:space="preserve">and </w:t>
      </w:r>
      <w:r w:rsidR="002662D7" w:rsidRPr="008F53E2">
        <w:rPr>
          <w:szCs w:val="22"/>
        </w:rPr>
        <w:t>Personal Communications Service (“PCS”)</w:t>
      </w:r>
      <w:r w:rsidR="002662D7">
        <w:rPr>
          <w:szCs w:val="22"/>
        </w:rPr>
        <w:t xml:space="preserve"> </w:t>
      </w:r>
      <w:r w:rsidR="002622B5">
        <w:t>spectrum licenses</w:t>
      </w:r>
      <w:r w:rsidR="00CA4A0B">
        <w:t>.</w:t>
      </w:r>
      <w:r w:rsidR="00C04E06">
        <w:t xml:space="preserve">  </w:t>
      </w:r>
      <w:r w:rsidR="002622B5" w:rsidRPr="008F53E2">
        <w:rPr>
          <w:szCs w:val="22"/>
        </w:rPr>
        <w:t xml:space="preserve">On August 11, 2015, Sirius XM Radio Inc. </w:t>
      </w:r>
      <w:r w:rsidR="002662D7">
        <w:rPr>
          <w:szCs w:val="22"/>
        </w:rPr>
        <w:t xml:space="preserve">(“Sirius”) </w:t>
      </w:r>
      <w:r w:rsidR="002622B5" w:rsidRPr="008F53E2">
        <w:rPr>
          <w:szCs w:val="22"/>
        </w:rPr>
        <w:t xml:space="preserve">filed an objection to the license exchange, citing </w:t>
      </w:r>
      <w:r w:rsidR="00C05EA9">
        <w:rPr>
          <w:szCs w:val="22"/>
        </w:rPr>
        <w:t xml:space="preserve">concerns about </w:t>
      </w:r>
      <w:r w:rsidR="002622B5" w:rsidRPr="008F53E2">
        <w:rPr>
          <w:szCs w:val="22"/>
        </w:rPr>
        <w:t>interference</w:t>
      </w:r>
      <w:r w:rsidR="00C05EA9">
        <w:rPr>
          <w:szCs w:val="22"/>
        </w:rPr>
        <w:t xml:space="preserve"> </w:t>
      </w:r>
      <w:r w:rsidR="006B2057">
        <w:rPr>
          <w:szCs w:val="22"/>
        </w:rPr>
        <w:t>from</w:t>
      </w:r>
      <w:r w:rsidR="00C05EA9">
        <w:rPr>
          <w:szCs w:val="22"/>
        </w:rPr>
        <w:t xml:space="preserve"> T-Mobile’s AWS operations</w:t>
      </w:r>
      <w:r w:rsidR="00935E86">
        <w:rPr>
          <w:szCs w:val="22"/>
        </w:rPr>
        <w:t xml:space="preserve"> to its subscribers</w:t>
      </w:r>
      <w:r w:rsidR="002622B5" w:rsidRPr="008F53E2">
        <w:rPr>
          <w:szCs w:val="22"/>
        </w:rPr>
        <w:t>.</w:t>
      </w:r>
      <w:r w:rsidR="002622B5" w:rsidRPr="008F53E2">
        <w:rPr>
          <w:rStyle w:val="FootnoteReference"/>
          <w:szCs w:val="22"/>
        </w:rPr>
        <w:footnoteReference w:id="4"/>
      </w:r>
      <w:r w:rsidR="002622B5">
        <w:rPr>
          <w:szCs w:val="22"/>
        </w:rPr>
        <w:t xml:space="preserve">  </w:t>
      </w:r>
      <w:r w:rsidR="002622B5">
        <w:t xml:space="preserve">The Commission released a Public Notice on </w:t>
      </w:r>
      <w:r w:rsidR="009546FC">
        <w:t>September 23, 2015</w:t>
      </w:r>
      <w:r w:rsidR="002622B5">
        <w:t xml:space="preserve">, </w:t>
      </w:r>
      <w:r w:rsidR="009546FC">
        <w:t>announcing that</w:t>
      </w:r>
      <w:r w:rsidR="002622B5">
        <w:t xml:space="preserve"> the Application</w:t>
      </w:r>
      <w:r w:rsidR="009546FC">
        <w:t xml:space="preserve">s would be governed by “permit-but-disclose” </w:t>
      </w:r>
      <w:r w:rsidR="009546FC" w:rsidRPr="009546FC">
        <w:rPr>
          <w:i/>
        </w:rPr>
        <w:t>ex parte</w:t>
      </w:r>
      <w:r w:rsidR="009546FC">
        <w:t xml:space="preserve"> procedures</w:t>
      </w:r>
      <w:r w:rsidR="002622B5">
        <w:t>.</w:t>
      </w:r>
      <w:r w:rsidR="002622B5">
        <w:rPr>
          <w:rStyle w:val="FootnoteReference"/>
        </w:rPr>
        <w:footnoteReference w:id="5"/>
      </w:r>
      <w:r w:rsidR="00496B59">
        <w:t xml:space="preserve">  T-Mobile and Verizon Wireless b</w:t>
      </w:r>
      <w:r w:rsidR="007B27DC">
        <w:t xml:space="preserve">oth responded to the Objection, arguing among other things that the alleged interference is </w:t>
      </w:r>
      <w:r w:rsidR="00C05EA9">
        <w:t xml:space="preserve">not </w:t>
      </w:r>
      <w:r w:rsidR="00A23B18">
        <w:t xml:space="preserve">located </w:t>
      </w:r>
      <w:r w:rsidR="006B2057">
        <w:t xml:space="preserve">within the service areas of the AWS licenses that are the subject of, and thus has no bearing on, the proposed </w:t>
      </w:r>
      <w:r w:rsidR="006B2057">
        <w:lastRenderedPageBreak/>
        <w:t>transaction</w:t>
      </w:r>
      <w:r w:rsidR="007B27DC">
        <w:t>.</w:t>
      </w:r>
      <w:r w:rsidR="00BD2835">
        <w:rPr>
          <w:rStyle w:val="FootnoteReference"/>
        </w:rPr>
        <w:footnoteReference w:id="6"/>
      </w:r>
      <w:r w:rsidR="00636E48">
        <w:t xml:space="preserve">  The parties submitted a number of replies and counter-replies</w:t>
      </w:r>
      <w:r w:rsidR="00A16942">
        <w:t xml:space="preserve"> raising a number of arguments </w:t>
      </w:r>
      <w:r w:rsidR="00957332">
        <w:t xml:space="preserve">that </w:t>
      </w:r>
      <w:r w:rsidR="00A16942">
        <w:t>essentially relat</w:t>
      </w:r>
      <w:r w:rsidR="00957332">
        <w:t>e</w:t>
      </w:r>
      <w:r w:rsidR="00A16942">
        <w:t xml:space="preserve"> to T-Mobile’s alleged AWS interference</w:t>
      </w:r>
      <w:r w:rsidR="00636E48">
        <w:t>.</w:t>
      </w:r>
      <w:r w:rsidR="00984EA3">
        <w:rPr>
          <w:rStyle w:val="FootnoteReference"/>
        </w:rPr>
        <w:footnoteReference w:id="7"/>
      </w:r>
    </w:p>
    <w:p w:rsidR="003A37C6" w:rsidRDefault="003A37C6" w:rsidP="002B5FF5">
      <w:pPr>
        <w:pStyle w:val="ParaNum"/>
        <w:widowControl/>
        <w:tabs>
          <w:tab w:val="left" w:pos="4320"/>
        </w:tabs>
        <w:jc w:val="left"/>
      </w:pPr>
      <w:r>
        <w:t xml:space="preserve">Sirius asserts in its Objection that some </w:t>
      </w:r>
      <w:r w:rsidR="000066E8">
        <w:t xml:space="preserve">of its </w:t>
      </w:r>
      <w:r>
        <w:t>subscribers in large urban markets recently have begun experiencing harmful interference to their reception of satellite radio signals.</w:t>
      </w:r>
      <w:r w:rsidR="000066E8">
        <w:rPr>
          <w:rStyle w:val="FootnoteReference"/>
        </w:rPr>
        <w:footnoteReference w:id="8"/>
      </w:r>
      <w:r w:rsidR="000066E8">
        <w:t xml:space="preserve">  Sirius alleges that, based upon “initial testing,” AWS base stations operated by T-Mobile</w:t>
      </w:r>
      <w:r w:rsidR="0032150B">
        <w:t xml:space="preserve"> are contributing to “intermodulation” that is resulting in harmful interference.</w:t>
      </w:r>
      <w:r w:rsidR="0032150B">
        <w:rPr>
          <w:rStyle w:val="FootnoteReference"/>
        </w:rPr>
        <w:footnoteReference w:id="9"/>
      </w:r>
      <w:r w:rsidR="0032150B">
        <w:t xml:space="preserve">  Sirius claims that this interference problem will worsen as T-Mobile deploys its AWS network in additional markets</w:t>
      </w:r>
      <w:r w:rsidR="00087369">
        <w:t>.</w:t>
      </w:r>
      <w:r w:rsidR="0032150B">
        <w:rPr>
          <w:rStyle w:val="FootnoteReference"/>
        </w:rPr>
        <w:footnoteReference w:id="10"/>
      </w:r>
      <w:r w:rsidR="00087369">
        <w:t xml:space="preserve">  Sirius concludes that the proposed transaction </w:t>
      </w:r>
      <w:r w:rsidR="00244214">
        <w:t xml:space="preserve">would facilitate T-Mobile’s AWS deployment and that the Applications should not </w:t>
      </w:r>
      <w:r w:rsidR="00826450">
        <w:t xml:space="preserve">be </w:t>
      </w:r>
      <w:r w:rsidR="00244214">
        <w:t>grant</w:t>
      </w:r>
      <w:r w:rsidR="00826450">
        <w:t>ed</w:t>
      </w:r>
      <w:r w:rsidR="00244214">
        <w:t>.</w:t>
      </w:r>
      <w:r w:rsidR="00244214">
        <w:rPr>
          <w:rStyle w:val="FootnoteReference"/>
        </w:rPr>
        <w:footnoteReference w:id="11"/>
      </w:r>
    </w:p>
    <w:p w:rsidR="00DB29C8" w:rsidRDefault="00DB29C8" w:rsidP="002B5FF5">
      <w:pPr>
        <w:pStyle w:val="ParaNum"/>
        <w:widowControl/>
        <w:tabs>
          <w:tab w:val="left" w:pos="4320"/>
        </w:tabs>
        <w:jc w:val="left"/>
      </w:pPr>
      <w:r>
        <w:t>T-Mobile</w:t>
      </w:r>
      <w:r w:rsidR="00FE1DFB">
        <w:t xml:space="preserve"> </w:t>
      </w:r>
      <w:r w:rsidR="005E657B">
        <w:t>responds</w:t>
      </w:r>
      <w:r w:rsidR="00FE1DFB">
        <w:t xml:space="preserve"> that denying grant of the Applications would not remedy the service disruptions claimed by Sirius, as the geographic areas where </w:t>
      </w:r>
      <w:r w:rsidR="005E657B">
        <w:t>interference</w:t>
      </w:r>
      <w:r w:rsidR="00FE1DFB">
        <w:t xml:space="preserve"> allegedly is occurring are not covered by the AWS licenses </w:t>
      </w:r>
      <w:r w:rsidR="007F3616">
        <w:t xml:space="preserve">that </w:t>
      </w:r>
      <w:r w:rsidR="00FE1DFB">
        <w:t>are the subject of the proposed transaction.</w:t>
      </w:r>
      <w:r w:rsidR="00FE1DFB">
        <w:rPr>
          <w:rStyle w:val="FootnoteReference"/>
        </w:rPr>
        <w:footnoteReference w:id="12"/>
      </w:r>
      <w:r w:rsidR="00FE1DFB">
        <w:t xml:space="preserve">  T-Mobile </w:t>
      </w:r>
      <w:r w:rsidR="001A4E39">
        <w:t xml:space="preserve">further </w:t>
      </w:r>
      <w:r w:rsidR="00FE1DFB">
        <w:t xml:space="preserve">claims that the design of the receivers used by Sirius subscribers means that any wireless provider </w:t>
      </w:r>
      <w:r w:rsidR="001A4E39">
        <w:t>or combination of providers</w:t>
      </w:r>
      <w:r w:rsidR="00CA1685">
        <w:t xml:space="preserve"> operating on a particular combination of AWS and other frequencies </w:t>
      </w:r>
      <w:r w:rsidR="00FE1DFB">
        <w:t>could produce the intermodulation that Sirius alleges.</w:t>
      </w:r>
      <w:r w:rsidR="001A4E39">
        <w:rPr>
          <w:rStyle w:val="FootnoteReference"/>
        </w:rPr>
        <w:footnoteReference w:id="13"/>
      </w:r>
      <w:r w:rsidR="00CA1685">
        <w:t xml:space="preserve">  T-Mobile </w:t>
      </w:r>
      <w:r w:rsidR="005E657B">
        <w:t xml:space="preserve">also </w:t>
      </w:r>
      <w:r w:rsidR="00CA1685">
        <w:t>maintains that the Commission</w:t>
      </w:r>
      <w:r w:rsidR="00054E49">
        <w:t xml:space="preserve"> generally</w:t>
      </w:r>
      <w:r w:rsidR="00CA1685">
        <w:t xml:space="preserve"> does not use its application review process to </w:t>
      </w:r>
      <w:r w:rsidR="00054E49">
        <w:t xml:space="preserve">impose conditions to </w:t>
      </w:r>
      <w:r w:rsidR="00CA1685">
        <w:t>“remedy pre-existing harms or harms that a</w:t>
      </w:r>
      <w:r w:rsidR="00DB09DB">
        <w:t>re unrelated to the transaction</w:t>
      </w:r>
      <w:r w:rsidR="00CA1685">
        <w:t>”</w:t>
      </w:r>
      <w:r w:rsidR="001B3CFE">
        <w:rPr>
          <w:rStyle w:val="FootnoteReference"/>
        </w:rPr>
        <w:footnoteReference w:id="14"/>
      </w:r>
      <w:r w:rsidR="00054E49">
        <w:t xml:space="preserve"> </w:t>
      </w:r>
      <w:r w:rsidR="00DB09DB">
        <w:t>and that the Commission already has a separate process for addressing Sirius’ interference claim.</w:t>
      </w:r>
      <w:r w:rsidR="00DB09DB">
        <w:rPr>
          <w:rStyle w:val="FootnoteReference"/>
        </w:rPr>
        <w:footnoteReference w:id="15"/>
      </w:r>
      <w:r w:rsidR="00DB09DB">
        <w:t xml:space="preserve"> </w:t>
      </w:r>
      <w:r w:rsidR="00054E49">
        <w:t xml:space="preserve"> Verizon Wireless asserts that the alleged interference to Sirius subscribers does not result from the proposed transaction nor would </w:t>
      </w:r>
      <w:r w:rsidR="007F3616">
        <w:t xml:space="preserve">it </w:t>
      </w:r>
      <w:r w:rsidR="00054E49">
        <w:t>be addressed by denying the Applications.</w:t>
      </w:r>
      <w:r w:rsidR="009932EC">
        <w:rPr>
          <w:rStyle w:val="FootnoteReference"/>
        </w:rPr>
        <w:footnoteReference w:id="16"/>
      </w:r>
    </w:p>
    <w:p w:rsidR="00735303" w:rsidRDefault="00CE6828" w:rsidP="00376508">
      <w:pPr>
        <w:pStyle w:val="ParaNum"/>
        <w:widowControl/>
        <w:tabs>
          <w:tab w:val="clear" w:pos="1440"/>
        </w:tabs>
        <w:jc w:val="left"/>
        <w:rPr>
          <w:szCs w:val="22"/>
        </w:rPr>
      </w:pPr>
      <w:r w:rsidRPr="00CE6828">
        <w:rPr>
          <w:i/>
        </w:rPr>
        <w:lastRenderedPageBreak/>
        <w:t>Discussion</w:t>
      </w:r>
      <w:r>
        <w:t xml:space="preserve">.  </w:t>
      </w:r>
      <w:r w:rsidR="0018355D">
        <w:t xml:space="preserve">We dismiss the Objection because the interference allegations upon which Sirius relies would be better addressed in a different proceeding.  Although </w:t>
      </w:r>
      <w:r w:rsidR="0018355D" w:rsidRPr="00957332">
        <w:rPr>
          <w:szCs w:val="22"/>
        </w:rPr>
        <w:t>the Commission possesses broad discretion to review a variety of factors in making a public interest determination with respect to assignment applications,</w:t>
      </w:r>
      <w:r w:rsidR="0018355D">
        <w:rPr>
          <w:rStyle w:val="FootnoteReference"/>
          <w:szCs w:val="22"/>
        </w:rPr>
        <w:footnoteReference w:id="17"/>
      </w:r>
      <w:r w:rsidR="0018355D" w:rsidRPr="00957332">
        <w:rPr>
          <w:szCs w:val="22"/>
        </w:rPr>
        <w:t xml:space="preserve"> </w:t>
      </w:r>
      <w:r w:rsidR="000B4373">
        <w:rPr>
          <w:szCs w:val="22"/>
        </w:rPr>
        <w:t xml:space="preserve">section 27.64 of </w:t>
      </w:r>
      <w:r w:rsidR="008818AD" w:rsidRPr="00957332">
        <w:rPr>
          <w:szCs w:val="22"/>
        </w:rPr>
        <w:t>the Commission</w:t>
      </w:r>
      <w:r w:rsidR="00935E86">
        <w:rPr>
          <w:szCs w:val="22"/>
        </w:rPr>
        <w:t>’s rules</w:t>
      </w:r>
      <w:r w:rsidR="000B4373">
        <w:rPr>
          <w:rStyle w:val="FootnoteReference"/>
          <w:szCs w:val="22"/>
        </w:rPr>
        <w:footnoteReference w:id="18"/>
      </w:r>
      <w:r w:rsidR="00935E86">
        <w:rPr>
          <w:szCs w:val="22"/>
        </w:rPr>
        <w:t xml:space="preserve"> provide</w:t>
      </w:r>
      <w:r w:rsidR="007F3616">
        <w:rPr>
          <w:szCs w:val="22"/>
        </w:rPr>
        <w:t>s</w:t>
      </w:r>
      <w:r w:rsidR="00935E86">
        <w:rPr>
          <w:szCs w:val="22"/>
        </w:rPr>
        <w:t xml:space="preserve"> </w:t>
      </w:r>
      <w:r w:rsidR="000B4373">
        <w:rPr>
          <w:szCs w:val="22"/>
        </w:rPr>
        <w:t xml:space="preserve">for </w:t>
      </w:r>
      <w:r w:rsidR="00935E86">
        <w:rPr>
          <w:szCs w:val="22"/>
        </w:rPr>
        <w:t xml:space="preserve">a </w:t>
      </w:r>
      <w:r w:rsidR="000B4373">
        <w:rPr>
          <w:szCs w:val="22"/>
        </w:rPr>
        <w:t>dedicated</w:t>
      </w:r>
      <w:r w:rsidR="00935E86">
        <w:rPr>
          <w:szCs w:val="22"/>
        </w:rPr>
        <w:t xml:space="preserve"> and </w:t>
      </w:r>
      <w:r w:rsidR="008818AD" w:rsidRPr="00957332">
        <w:rPr>
          <w:szCs w:val="22"/>
        </w:rPr>
        <w:t xml:space="preserve">equitable process for addressing interference complaints of the nature raised here, as Sirius </w:t>
      </w:r>
      <w:r w:rsidR="006974AD">
        <w:rPr>
          <w:szCs w:val="22"/>
        </w:rPr>
        <w:t>notes</w:t>
      </w:r>
      <w:r w:rsidR="008818AD" w:rsidRPr="00957332">
        <w:rPr>
          <w:szCs w:val="22"/>
        </w:rPr>
        <w:t>.</w:t>
      </w:r>
      <w:r w:rsidR="008818AD">
        <w:rPr>
          <w:rStyle w:val="FootnoteReference"/>
          <w:szCs w:val="22"/>
        </w:rPr>
        <w:footnoteReference w:id="19"/>
      </w:r>
      <w:r w:rsidR="008818AD" w:rsidRPr="00957332">
        <w:rPr>
          <w:szCs w:val="22"/>
        </w:rPr>
        <w:t xml:space="preserve">  </w:t>
      </w:r>
      <w:r w:rsidR="00372EC9" w:rsidRPr="00957332">
        <w:rPr>
          <w:szCs w:val="22"/>
        </w:rPr>
        <w:t xml:space="preserve">Sirius </w:t>
      </w:r>
      <w:r w:rsidR="00735303">
        <w:rPr>
          <w:szCs w:val="22"/>
        </w:rPr>
        <w:t>has not met its burden, for purposes of our review of the Applications, in demonstrating</w:t>
      </w:r>
      <w:r w:rsidR="00372EC9" w:rsidRPr="00957332">
        <w:rPr>
          <w:szCs w:val="22"/>
        </w:rPr>
        <w:t xml:space="preserve"> that the alleged interference would </w:t>
      </w:r>
      <w:r w:rsidR="00735303">
        <w:rPr>
          <w:szCs w:val="22"/>
        </w:rPr>
        <w:t>result in a transaction-specific harm.  Sirius speculates</w:t>
      </w:r>
      <w:r w:rsidR="00240855">
        <w:rPr>
          <w:szCs w:val="22"/>
        </w:rPr>
        <w:t xml:space="preserve"> that the proposed transaction c</w:t>
      </w:r>
      <w:r w:rsidR="00735303">
        <w:rPr>
          <w:szCs w:val="22"/>
        </w:rPr>
        <w:t>ould exacerbate the alleged interference,</w:t>
      </w:r>
      <w:r w:rsidR="00D5099C">
        <w:rPr>
          <w:rStyle w:val="FootnoteReference"/>
          <w:szCs w:val="22"/>
        </w:rPr>
        <w:footnoteReference w:id="20"/>
      </w:r>
      <w:r w:rsidR="00D5099C" w:rsidRPr="00957332">
        <w:rPr>
          <w:szCs w:val="22"/>
        </w:rPr>
        <w:t xml:space="preserve"> </w:t>
      </w:r>
      <w:r w:rsidR="00240855">
        <w:rPr>
          <w:szCs w:val="22"/>
        </w:rPr>
        <w:t>but such an argument merely reinforces the appropriateness of addressing complaints of this nature in proceedings focused on specific interference allegations.</w:t>
      </w:r>
      <w:r w:rsidR="00782B09">
        <w:rPr>
          <w:szCs w:val="22"/>
        </w:rPr>
        <w:t xml:space="preserve">  Moreover, Sirius cites no instance where we have denied grant of an assignment or transfer of control application due to interference allegations.  </w:t>
      </w:r>
      <w:r w:rsidR="00782B09" w:rsidRPr="00957332">
        <w:rPr>
          <w:szCs w:val="22"/>
        </w:rPr>
        <w:t xml:space="preserve">Furthermore, </w:t>
      </w:r>
      <w:r w:rsidR="00AB39A2">
        <w:rPr>
          <w:szCs w:val="22"/>
        </w:rPr>
        <w:t xml:space="preserve">Sirius has not proposed any conditions that could be imposed </w:t>
      </w:r>
      <w:r w:rsidR="00782B09">
        <w:rPr>
          <w:szCs w:val="22"/>
        </w:rPr>
        <w:t>on grant of the Applications</w:t>
      </w:r>
      <w:r w:rsidR="00CA7E9A">
        <w:rPr>
          <w:szCs w:val="22"/>
        </w:rPr>
        <w:t xml:space="preserve"> to </w:t>
      </w:r>
      <w:r w:rsidR="00782B09" w:rsidRPr="00957332">
        <w:rPr>
          <w:szCs w:val="22"/>
        </w:rPr>
        <w:t xml:space="preserve">remedy </w:t>
      </w:r>
      <w:r w:rsidR="00CA7E9A">
        <w:rPr>
          <w:szCs w:val="22"/>
        </w:rPr>
        <w:t xml:space="preserve">alleged </w:t>
      </w:r>
      <w:r w:rsidR="00782B09" w:rsidRPr="00957332">
        <w:rPr>
          <w:szCs w:val="22"/>
        </w:rPr>
        <w:t xml:space="preserve">harms that arise from </w:t>
      </w:r>
      <w:r w:rsidR="00782B09">
        <w:rPr>
          <w:szCs w:val="22"/>
        </w:rPr>
        <w:t>the</w:t>
      </w:r>
      <w:r w:rsidR="00782B09" w:rsidRPr="00957332">
        <w:rPr>
          <w:szCs w:val="22"/>
        </w:rPr>
        <w:t xml:space="preserve"> transaction</w:t>
      </w:r>
      <w:r w:rsidR="00CA7E9A">
        <w:rPr>
          <w:szCs w:val="22"/>
        </w:rPr>
        <w:t>.</w:t>
      </w:r>
      <w:r w:rsidR="00782B09">
        <w:rPr>
          <w:rStyle w:val="FootnoteReference"/>
          <w:szCs w:val="22"/>
        </w:rPr>
        <w:footnoteReference w:id="21"/>
      </w:r>
      <w:r w:rsidR="00782B09" w:rsidRPr="00957332">
        <w:rPr>
          <w:szCs w:val="22"/>
        </w:rPr>
        <w:t xml:space="preserve">  Accordingly, we dismiss the </w:t>
      </w:r>
      <w:r w:rsidR="00782B09">
        <w:rPr>
          <w:szCs w:val="22"/>
        </w:rPr>
        <w:t>Objection</w:t>
      </w:r>
      <w:r w:rsidR="00782B09" w:rsidRPr="00957332">
        <w:rPr>
          <w:szCs w:val="22"/>
        </w:rPr>
        <w:t xml:space="preserve"> because </w:t>
      </w:r>
      <w:r w:rsidR="00782B09">
        <w:rPr>
          <w:szCs w:val="22"/>
        </w:rPr>
        <w:t>Sirius’</w:t>
      </w:r>
      <w:r w:rsidR="004E3A3D">
        <w:rPr>
          <w:szCs w:val="22"/>
        </w:rPr>
        <w:t>s</w:t>
      </w:r>
      <w:r w:rsidR="00782B09" w:rsidRPr="00957332">
        <w:rPr>
          <w:szCs w:val="22"/>
        </w:rPr>
        <w:t xml:space="preserve"> allegations are better addressed elsewhere.</w:t>
      </w:r>
      <w:r w:rsidR="00782B09">
        <w:rPr>
          <w:rStyle w:val="FootnoteReference"/>
          <w:szCs w:val="22"/>
        </w:rPr>
        <w:footnoteReference w:id="22"/>
      </w:r>
    </w:p>
    <w:p w:rsidR="0018355D" w:rsidRPr="00957332" w:rsidRDefault="00B8150D" w:rsidP="00376508">
      <w:pPr>
        <w:pStyle w:val="ParaNum"/>
        <w:widowControl/>
        <w:tabs>
          <w:tab w:val="clear" w:pos="1440"/>
        </w:tabs>
        <w:jc w:val="left"/>
        <w:rPr>
          <w:szCs w:val="22"/>
        </w:rPr>
      </w:pPr>
      <w:r>
        <w:t xml:space="preserve">Our decision here </w:t>
      </w:r>
      <w:r w:rsidRPr="00957332">
        <w:rPr>
          <w:szCs w:val="22"/>
        </w:rPr>
        <w:t xml:space="preserve">to dismiss </w:t>
      </w:r>
      <w:r>
        <w:rPr>
          <w:szCs w:val="22"/>
        </w:rPr>
        <w:t xml:space="preserve">the Objection </w:t>
      </w:r>
      <w:r>
        <w:t xml:space="preserve">does not foreclose any right of Sirius to </w:t>
      </w:r>
      <w:r w:rsidR="007F3616">
        <w:t xml:space="preserve">seek </w:t>
      </w:r>
      <w:r>
        <w:t>relief on the interference allegations</w:t>
      </w:r>
      <w:r w:rsidR="007F3616">
        <w:t xml:space="preserve"> in the appropriate proceeding</w:t>
      </w:r>
      <w:r>
        <w:t>.  Nor is o</w:t>
      </w:r>
      <w:r w:rsidR="008818AD" w:rsidRPr="00957332">
        <w:rPr>
          <w:szCs w:val="22"/>
        </w:rPr>
        <w:t xml:space="preserve">ur decision </w:t>
      </w:r>
      <w:r w:rsidR="00240855">
        <w:rPr>
          <w:szCs w:val="22"/>
        </w:rPr>
        <w:t xml:space="preserve">intended to pre-judge any outcome of </w:t>
      </w:r>
      <w:r w:rsidR="008818AD" w:rsidRPr="00957332">
        <w:rPr>
          <w:szCs w:val="22"/>
        </w:rPr>
        <w:t>a course</w:t>
      </w:r>
      <w:r w:rsidR="00935E86">
        <w:rPr>
          <w:szCs w:val="22"/>
        </w:rPr>
        <w:t xml:space="preserve"> of action</w:t>
      </w:r>
      <w:r w:rsidR="00136F10">
        <w:rPr>
          <w:szCs w:val="22"/>
        </w:rPr>
        <w:t xml:space="preserve"> under section 27.64 of the Commission’s rules</w:t>
      </w:r>
      <w:r>
        <w:rPr>
          <w:szCs w:val="22"/>
        </w:rPr>
        <w:t>,</w:t>
      </w:r>
      <w:r w:rsidR="007F3616">
        <w:rPr>
          <w:rStyle w:val="FootnoteReference"/>
          <w:szCs w:val="22"/>
        </w:rPr>
        <w:footnoteReference w:id="23"/>
      </w:r>
      <w:r>
        <w:rPr>
          <w:szCs w:val="22"/>
        </w:rPr>
        <w:t xml:space="preserve"> or some similar process,</w:t>
      </w:r>
      <w:r w:rsidR="00240855">
        <w:rPr>
          <w:szCs w:val="22"/>
        </w:rPr>
        <w:t xml:space="preserve"> should that be pursued.  T</w:t>
      </w:r>
      <w:r w:rsidR="008818AD" w:rsidRPr="00957332">
        <w:rPr>
          <w:szCs w:val="22"/>
        </w:rPr>
        <w:t xml:space="preserve">o the extent that the Commission </w:t>
      </w:r>
      <w:r w:rsidR="00935E86">
        <w:rPr>
          <w:szCs w:val="22"/>
        </w:rPr>
        <w:t xml:space="preserve">ultimately </w:t>
      </w:r>
      <w:r w:rsidR="008818AD" w:rsidRPr="00957332">
        <w:rPr>
          <w:szCs w:val="22"/>
        </w:rPr>
        <w:t>concludes that a licensee must take action to address harmful interference</w:t>
      </w:r>
      <w:r w:rsidR="007F3616">
        <w:rPr>
          <w:szCs w:val="22"/>
        </w:rPr>
        <w:t xml:space="preserve"> affecting Sirius’s operations</w:t>
      </w:r>
      <w:r w:rsidR="008818AD" w:rsidRPr="00957332">
        <w:rPr>
          <w:szCs w:val="22"/>
        </w:rPr>
        <w:t xml:space="preserve">, we </w:t>
      </w:r>
      <w:r w:rsidR="007F3616">
        <w:rPr>
          <w:szCs w:val="22"/>
        </w:rPr>
        <w:t xml:space="preserve">anticipate that the involved licensees will take the necessary action in response to </w:t>
      </w:r>
      <w:r w:rsidR="008818AD" w:rsidRPr="00957332">
        <w:rPr>
          <w:szCs w:val="22"/>
        </w:rPr>
        <w:t xml:space="preserve">such a directive.  </w:t>
      </w:r>
    </w:p>
    <w:p w:rsidR="00FD451E" w:rsidRPr="000939DD" w:rsidRDefault="003A37C6" w:rsidP="00CA7E3E">
      <w:pPr>
        <w:pStyle w:val="ParaNum"/>
        <w:jc w:val="left"/>
      </w:pPr>
      <w:r w:rsidRPr="003A37C6">
        <w:rPr>
          <w:i/>
        </w:rPr>
        <w:t>Ordering Clauses</w:t>
      </w:r>
      <w:r>
        <w:t xml:space="preserve">.  </w:t>
      </w:r>
      <w:r w:rsidR="00FD451E" w:rsidRPr="000939DD">
        <w:t>Accordingly, having reviewed the Application</w:t>
      </w:r>
      <w:r w:rsidR="00324106">
        <w:t>s</w:t>
      </w:r>
      <w:r w:rsidR="00FD451E" w:rsidRPr="000939DD">
        <w:t xml:space="preserve"> and the record in this matter, IT IS ORDERED that, pursuant to sections 4(i) and (j), 309, and 310(d) of the Communications Act of 1934, as amended, 47 U.S.C. §§ 154(i), (j), 309, 310(d), </w:t>
      </w:r>
      <w:r>
        <w:t xml:space="preserve">and Section 1.41 of the Commission’s rules, 47 C.F.R. § 1.41, </w:t>
      </w:r>
      <w:r w:rsidR="00FD451E" w:rsidRPr="000939DD">
        <w:t xml:space="preserve">the </w:t>
      </w:r>
      <w:r w:rsidR="00324106">
        <w:t>Objection</w:t>
      </w:r>
      <w:r w:rsidR="00FD451E" w:rsidRPr="000939DD">
        <w:t xml:space="preserve"> filed by </w:t>
      </w:r>
      <w:r w:rsidR="00324106" w:rsidRPr="008F53E2">
        <w:rPr>
          <w:szCs w:val="22"/>
        </w:rPr>
        <w:t xml:space="preserve">Sirius XM Radio Inc. </w:t>
      </w:r>
      <w:r w:rsidR="00324106">
        <w:t>is</w:t>
      </w:r>
      <w:r w:rsidR="00FD451E" w:rsidRPr="000939DD">
        <w:t xml:space="preserve"> hereby DISMISSED for the reasons stated herein.</w:t>
      </w:r>
    </w:p>
    <w:p w:rsidR="000939DD" w:rsidRPr="000939DD" w:rsidRDefault="000939DD" w:rsidP="0028617A">
      <w:pPr>
        <w:pStyle w:val="ParaNum"/>
        <w:widowControl/>
        <w:jc w:val="left"/>
      </w:pPr>
      <w:r w:rsidRPr="000939DD">
        <w:t xml:space="preserve">IT IS FURTHER ORDERED, pursuant to sections 4(i) and 309 of the Communications Act of 1934, as amended, 47 U.S.C. §§ 154(i), 309, that the </w:t>
      </w:r>
      <w:r w:rsidR="0028617A">
        <w:t xml:space="preserve">staff of the </w:t>
      </w:r>
      <w:r w:rsidRPr="0028617A">
        <w:t>Mobility</w:t>
      </w:r>
      <w:r w:rsidRPr="000939DD">
        <w:t xml:space="preserve"> </w:t>
      </w:r>
      <w:r w:rsidR="004E3A3D">
        <w:t xml:space="preserve">and Broadband </w:t>
      </w:r>
      <w:r w:rsidRPr="000939DD">
        <w:t>Division</w:t>
      </w:r>
      <w:r w:rsidR="004E3A3D">
        <w:t>s</w:t>
      </w:r>
      <w:r w:rsidRPr="000939DD">
        <w:t xml:space="preserve"> of the Wireless Telecommunications Bureau SHALL PROCESS the following application</w:t>
      </w:r>
      <w:r w:rsidR="00324106">
        <w:t>s</w:t>
      </w:r>
      <w:r w:rsidRPr="000939DD">
        <w:t xml:space="preserve"> consistent with this </w:t>
      </w:r>
      <w:r w:rsidRPr="0028617A">
        <w:rPr>
          <w:i/>
        </w:rPr>
        <w:t>Order</w:t>
      </w:r>
      <w:r w:rsidR="0028617A">
        <w:t xml:space="preserve"> and the Commission’s r</w:t>
      </w:r>
      <w:r w:rsidRPr="000939DD">
        <w:t xml:space="preserve">ules: </w:t>
      </w:r>
      <w:r w:rsidR="0028617A">
        <w:t xml:space="preserve"> </w:t>
      </w:r>
      <w:r w:rsidRPr="000939DD">
        <w:t>ULS File No</w:t>
      </w:r>
      <w:r w:rsidR="003A37C6">
        <w:t>s</w:t>
      </w:r>
      <w:r w:rsidRPr="000939DD">
        <w:t xml:space="preserve">. </w:t>
      </w:r>
      <w:r w:rsidR="003A37C6" w:rsidRPr="007A6390">
        <w:rPr>
          <w:szCs w:val="22"/>
        </w:rPr>
        <w:t>0006867447, 0006867467, 0006867470, 0006867476, 0006867520, 0006867545, 0006867559, 0006868438, 0006868544, 0006868798, 0006869754, 0006869768, 0006869777, 006869790, 0006869871, and 0006869873</w:t>
      </w:r>
      <w:r w:rsidRPr="000939DD">
        <w:t>.</w:t>
      </w:r>
    </w:p>
    <w:p w:rsidR="00FA29A2" w:rsidRPr="00EA12E6" w:rsidRDefault="00FA29A2" w:rsidP="00611335">
      <w:pPr>
        <w:pStyle w:val="ParaNum"/>
        <w:keepNext/>
        <w:widowControl/>
        <w:jc w:val="left"/>
      </w:pPr>
      <w:r w:rsidRPr="00EA12E6">
        <w:rPr>
          <w:szCs w:val="22"/>
        </w:rPr>
        <w:t xml:space="preserve">This action is taken under delegated authority pursuant to sections 0.131 and 0.331 of the Commission’s </w:t>
      </w:r>
      <w:r w:rsidR="0028617A">
        <w:rPr>
          <w:szCs w:val="22"/>
        </w:rPr>
        <w:t>r</w:t>
      </w:r>
      <w:r w:rsidRPr="00EA12E6">
        <w:rPr>
          <w:szCs w:val="22"/>
        </w:rPr>
        <w:t>ules, 47 C.F.R. §§ 0.131, 0.331.</w:t>
      </w:r>
    </w:p>
    <w:p w:rsidR="00374BCF" w:rsidRDefault="00374BCF" w:rsidP="00374BCF">
      <w:pPr>
        <w:keepNext/>
      </w:pPr>
      <w:r>
        <w:tab/>
      </w:r>
      <w:r>
        <w:tab/>
      </w:r>
      <w:r>
        <w:tab/>
      </w:r>
      <w:r>
        <w:tab/>
      </w:r>
      <w:r>
        <w:tab/>
      </w:r>
      <w:r>
        <w:tab/>
        <w:t>FEDERAL COMMUNICATIONS COMMISSION</w:t>
      </w:r>
    </w:p>
    <w:p w:rsidR="00374BCF" w:rsidRDefault="00374BCF" w:rsidP="00374BCF">
      <w:pPr>
        <w:keepNext/>
      </w:pPr>
    </w:p>
    <w:p w:rsidR="00374BCF" w:rsidRDefault="00374BCF" w:rsidP="00374BCF">
      <w:pPr>
        <w:keepNext/>
      </w:pPr>
    </w:p>
    <w:p w:rsidR="00374BCF" w:rsidRDefault="00374BCF" w:rsidP="00374BCF">
      <w:pPr>
        <w:keepNext/>
      </w:pPr>
    </w:p>
    <w:p w:rsidR="00374BCF" w:rsidRPr="008D4912" w:rsidRDefault="00374BCF" w:rsidP="00374BCF">
      <w:pPr>
        <w:keepNext/>
        <w:snapToGrid w:val="0"/>
        <w:ind w:left="3600" w:firstLine="720"/>
        <w:rPr>
          <w:szCs w:val="22"/>
        </w:rPr>
      </w:pPr>
      <w:r>
        <w:rPr>
          <w:szCs w:val="22"/>
        </w:rPr>
        <w:t>Roger C. Sherman</w:t>
      </w:r>
    </w:p>
    <w:p w:rsidR="00374BCF" w:rsidRDefault="00374BCF" w:rsidP="00374BCF">
      <w:pPr>
        <w:ind w:left="3600" w:firstLine="720"/>
      </w:pPr>
      <w:r w:rsidRPr="008D4912">
        <w:rPr>
          <w:szCs w:val="22"/>
        </w:rPr>
        <w:t xml:space="preserve">Chief, </w:t>
      </w:r>
      <w:r>
        <w:rPr>
          <w:szCs w:val="22"/>
        </w:rPr>
        <w:t xml:space="preserve">Wireless Telecommunications </w:t>
      </w:r>
      <w:r w:rsidRPr="008D4912">
        <w:rPr>
          <w:szCs w:val="22"/>
        </w:rPr>
        <w:t>Bureau</w:t>
      </w:r>
    </w:p>
    <w:sectPr w:rsidR="00374B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E6" w:rsidRDefault="000F7EE6">
      <w:r>
        <w:separator/>
      </w:r>
    </w:p>
  </w:endnote>
  <w:endnote w:type="continuationSeparator" w:id="0">
    <w:p w:rsidR="000F7EE6" w:rsidRDefault="000F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5B" w:rsidRDefault="00951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77" w:rsidRDefault="00935E86">
    <w:pPr>
      <w:pStyle w:val="Footer"/>
      <w:jc w:val="center"/>
    </w:pPr>
    <w:r>
      <w:fldChar w:fldCharType="begin"/>
    </w:r>
    <w:r>
      <w:instrText xml:space="preserve"> PAGE   \* MERGEFORMAT </w:instrText>
    </w:r>
    <w:r>
      <w:fldChar w:fldCharType="separate"/>
    </w:r>
    <w:r w:rsidR="008F4399">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5B" w:rsidRDefault="00951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E6" w:rsidRDefault="000F7EE6">
      <w:pPr>
        <w:rPr>
          <w:sz w:val="20"/>
        </w:rPr>
      </w:pPr>
      <w:r>
        <w:rPr>
          <w:sz w:val="20"/>
        </w:rPr>
        <w:separator/>
      </w:r>
    </w:p>
  </w:footnote>
  <w:footnote w:type="continuationSeparator" w:id="0">
    <w:p w:rsidR="000F7EE6" w:rsidRDefault="000F7EE6">
      <w:pPr>
        <w:rPr>
          <w:sz w:val="20"/>
        </w:rPr>
      </w:pPr>
      <w:r>
        <w:rPr>
          <w:sz w:val="20"/>
        </w:rPr>
        <w:separator/>
      </w:r>
    </w:p>
    <w:p w:rsidR="000F7EE6" w:rsidRDefault="000F7EE6">
      <w:pPr>
        <w:rPr>
          <w:sz w:val="20"/>
        </w:rPr>
      </w:pPr>
      <w:r>
        <w:rPr>
          <w:sz w:val="20"/>
        </w:rPr>
        <w:t>(...continued from previous page)</w:t>
      </w:r>
    </w:p>
  </w:footnote>
  <w:footnote w:type="continuationNotice" w:id="1">
    <w:p w:rsidR="000F7EE6" w:rsidRDefault="000F7EE6">
      <w:pPr>
        <w:jc w:val="right"/>
        <w:rPr>
          <w:sz w:val="20"/>
        </w:rPr>
      </w:pPr>
      <w:r>
        <w:rPr>
          <w:sz w:val="20"/>
        </w:rPr>
        <w:t>(continued....)</w:t>
      </w:r>
    </w:p>
  </w:footnote>
  <w:footnote w:id="2">
    <w:p w:rsidR="002B5D77" w:rsidRDefault="002B5D77">
      <w:pPr>
        <w:pStyle w:val="FootnoteText"/>
      </w:pPr>
      <w:r>
        <w:rPr>
          <w:rStyle w:val="FootnoteReference"/>
        </w:rPr>
        <w:footnoteRef/>
      </w:r>
      <w:r>
        <w:t xml:space="preserve"> ULS File No</w:t>
      </w:r>
      <w:r w:rsidR="007423A5">
        <w:t>s</w:t>
      </w:r>
      <w:r>
        <w:t xml:space="preserve">. </w:t>
      </w:r>
      <w:r w:rsidR="007423A5" w:rsidRPr="007423A5">
        <w:t>0006867447, 0006867467, 0006867470, 0006867476, 0006867520, 0006867545, 0006867559, 0006868438, 0006868544, 0006868798, 0006869754, 0006869768, 0006869777, 006869790, 0006869871, and 0006869873</w:t>
      </w:r>
      <w:r>
        <w:t xml:space="preserve"> (the “Application</w:t>
      </w:r>
      <w:r w:rsidR="007423A5">
        <w:t>s</w:t>
      </w:r>
      <w:r>
        <w:t>”).</w:t>
      </w:r>
      <w:r w:rsidR="007423A5">
        <w:t xml:space="preserve">  Verizon Wireless and T-Mobile have designated ULS File No. </w:t>
      </w:r>
      <w:r w:rsidR="007423A5" w:rsidRPr="007423A5">
        <w:t>0006867447</w:t>
      </w:r>
      <w:r w:rsidR="007423A5">
        <w:t xml:space="preserve"> as the lead application.</w:t>
      </w:r>
    </w:p>
  </w:footnote>
  <w:footnote w:id="3">
    <w:p w:rsidR="002B5D77" w:rsidRDefault="002B5D77" w:rsidP="00CA4A0B">
      <w:pPr>
        <w:pStyle w:val="FootnoteText"/>
      </w:pPr>
      <w:r>
        <w:rPr>
          <w:rStyle w:val="FootnoteReference"/>
        </w:rPr>
        <w:footnoteRef/>
      </w:r>
      <w:r>
        <w:t xml:space="preserve"> 47 U.S.C. § 310(d).  </w:t>
      </w:r>
    </w:p>
  </w:footnote>
  <w:footnote w:id="4">
    <w:p w:rsidR="002622B5" w:rsidRPr="00C05EA9" w:rsidRDefault="002622B5" w:rsidP="002622B5">
      <w:pPr>
        <w:pStyle w:val="FootnoteText"/>
      </w:pPr>
      <w:r w:rsidRPr="008F53E2">
        <w:rPr>
          <w:rStyle w:val="FootnoteReference"/>
        </w:rPr>
        <w:footnoteRef/>
      </w:r>
      <w:r w:rsidRPr="008F53E2">
        <w:t xml:space="preserve"> </w:t>
      </w:r>
      <w:r w:rsidRPr="00C05EA9">
        <w:rPr>
          <w:i/>
        </w:rPr>
        <w:t>See</w:t>
      </w:r>
      <w:r w:rsidRPr="00C05EA9">
        <w:t xml:space="preserve"> Objection of Sirius XM Radio Inc. to Applications of T-Mobile License LLC and Cellco Partnership d/b/a Verizon Wireless, ULS File Nos. 0006867447, etc., filed Aug. 11, 2015 (“Objection”).</w:t>
      </w:r>
      <w:r w:rsidR="00C05EA9" w:rsidRPr="00C05EA9">
        <w:t xml:space="preserve">  Sirius acknowledges that it filed the Objection after the deadline for submitting petitions </w:t>
      </w:r>
      <w:r w:rsidR="007F3616">
        <w:t>to</w:t>
      </w:r>
      <w:r w:rsidR="007F3616" w:rsidRPr="00C05EA9">
        <w:t xml:space="preserve"> </w:t>
      </w:r>
      <w:r w:rsidR="00C05EA9" w:rsidRPr="00C05EA9">
        <w:t>deny</w:t>
      </w:r>
      <w:r w:rsidR="006B2057">
        <w:t xml:space="preserve"> the Applications</w:t>
      </w:r>
      <w:r w:rsidR="00C05EA9" w:rsidRPr="00C05EA9">
        <w:t xml:space="preserve">.  </w:t>
      </w:r>
      <w:r w:rsidR="00C05EA9" w:rsidRPr="00C05EA9">
        <w:rPr>
          <w:i/>
        </w:rPr>
        <w:t>See</w:t>
      </w:r>
      <w:r w:rsidR="00C05EA9" w:rsidRPr="00C05EA9">
        <w:t xml:space="preserve"> Objection at 2 n.2.  We accordingly </w:t>
      </w:r>
      <w:r w:rsidR="00C05EA9">
        <w:t xml:space="preserve">treat the Objection as an informal objection pursuant to </w:t>
      </w:r>
      <w:bookmarkStart w:id="1" w:name="ctx2"/>
      <w:bookmarkStart w:id="2" w:name="ctx3"/>
      <w:bookmarkEnd w:id="1"/>
      <w:bookmarkEnd w:id="2"/>
      <w:r w:rsidR="00326187">
        <w:rPr>
          <w:color w:val="000000"/>
        </w:rPr>
        <w:t>s</w:t>
      </w:r>
      <w:r w:rsidR="00C05EA9" w:rsidRPr="00C05EA9">
        <w:rPr>
          <w:color w:val="000000"/>
        </w:rPr>
        <w:t>ection 1.41 of the Commission's rules</w:t>
      </w:r>
      <w:r w:rsidR="004E3A3D">
        <w:rPr>
          <w:color w:val="000000"/>
        </w:rPr>
        <w:t xml:space="preserve">, </w:t>
      </w:r>
      <w:r w:rsidR="00C05EA9">
        <w:rPr>
          <w:color w:val="000000"/>
        </w:rPr>
        <w:t>47 C.F.R. § 1.41.</w:t>
      </w:r>
    </w:p>
  </w:footnote>
  <w:footnote w:id="5">
    <w:p w:rsidR="002622B5" w:rsidRPr="00B843AA" w:rsidRDefault="002622B5" w:rsidP="002622B5">
      <w:pPr>
        <w:pStyle w:val="FootnoteText"/>
      </w:pPr>
      <w:r>
        <w:rPr>
          <w:rStyle w:val="FootnoteReference"/>
        </w:rPr>
        <w:footnoteRef/>
      </w:r>
      <w:r>
        <w:t xml:space="preserve"> </w:t>
      </w:r>
      <w:r w:rsidR="009546FC">
        <w:rPr>
          <w:i/>
        </w:rPr>
        <w:t xml:space="preserve">See </w:t>
      </w:r>
      <w:r w:rsidR="009546FC">
        <w:t xml:space="preserve">Commission </w:t>
      </w:r>
      <w:r w:rsidR="00BD2835">
        <w:t>M</w:t>
      </w:r>
      <w:r w:rsidR="009546FC">
        <w:t xml:space="preserve">odifies </w:t>
      </w:r>
      <w:r w:rsidR="00BD2835">
        <w:rPr>
          <w:i/>
        </w:rPr>
        <w:t>E</w:t>
      </w:r>
      <w:r w:rsidR="009546FC">
        <w:rPr>
          <w:i/>
        </w:rPr>
        <w:t xml:space="preserve">x </w:t>
      </w:r>
      <w:r w:rsidR="00BD2835">
        <w:rPr>
          <w:i/>
        </w:rPr>
        <w:t>P</w:t>
      </w:r>
      <w:r w:rsidR="009546FC" w:rsidRPr="009546FC">
        <w:rPr>
          <w:i/>
        </w:rPr>
        <w:t>arte</w:t>
      </w:r>
      <w:r w:rsidR="009546FC">
        <w:rPr>
          <w:i/>
        </w:rPr>
        <w:t xml:space="preserve"> </w:t>
      </w:r>
      <w:r w:rsidR="00BD2835">
        <w:t>Status for P</w:t>
      </w:r>
      <w:r w:rsidR="009546FC">
        <w:t>ropo</w:t>
      </w:r>
      <w:r w:rsidR="00BD2835">
        <w:t>sed E</w:t>
      </w:r>
      <w:r w:rsidR="009546FC">
        <w:t>xc</w:t>
      </w:r>
      <w:r w:rsidR="00BD2835">
        <w:t>hange of Licenses B</w:t>
      </w:r>
      <w:r w:rsidR="009546FC">
        <w:t xml:space="preserve">etween Cellco Partnership d/b/a/ Verizon Wireless and </w:t>
      </w:r>
      <w:r w:rsidR="00496B59">
        <w:t>T-Mobile License LLC</w:t>
      </w:r>
      <w:r>
        <w:t>, ULS File No</w:t>
      </w:r>
      <w:r w:rsidR="00496B59">
        <w:t>s. 0006867447</w:t>
      </w:r>
      <w:r>
        <w:t xml:space="preserve">, </w:t>
      </w:r>
      <w:r w:rsidR="002B5FF5">
        <w:t xml:space="preserve">etc., </w:t>
      </w:r>
      <w:r>
        <w:rPr>
          <w:i/>
        </w:rPr>
        <w:t>Public Notice</w:t>
      </w:r>
      <w:r w:rsidR="00496B59">
        <w:t>, DA 15</w:t>
      </w:r>
      <w:r>
        <w:t>-</w:t>
      </w:r>
      <w:r w:rsidR="00496B59">
        <w:t>1066</w:t>
      </w:r>
      <w:r>
        <w:t xml:space="preserve"> (rel. </w:t>
      </w:r>
      <w:r w:rsidR="00496B59">
        <w:t>Sept. 23, 2015</w:t>
      </w:r>
      <w:r>
        <w:t>).</w:t>
      </w:r>
    </w:p>
  </w:footnote>
  <w:footnote w:id="6">
    <w:p w:rsidR="00BD2835" w:rsidRPr="00BD2835" w:rsidRDefault="00BD2835">
      <w:pPr>
        <w:pStyle w:val="FootnoteText"/>
      </w:pPr>
      <w:r>
        <w:rPr>
          <w:rStyle w:val="FootnoteReference"/>
        </w:rPr>
        <w:footnoteRef/>
      </w:r>
      <w:r>
        <w:t xml:space="preserve"> </w:t>
      </w:r>
      <w:r>
        <w:rPr>
          <w:i/>
        </w:rPr>
        <w:t>See</w:t>
      </w:r>
      <w:r>
        <w:t xml:space="preserve"> Response of T-Mobile License LLC to Objection of Sirius XM Radio Inc.</w:t>
      </w:r>
      <w:r w:rsidR="0032150B">
        <w:t xml:space="preserve"> and Motion </w:t>
      </w:r>
      <w:r w:rsidR="007F3616">
        <w:t>T</w:t>
      </w:r>
      <w:r w:rsidR="0032150B">
        <w:t>o Dismiss</w:t>
      </w:r>
      <w:r>
        <w:t xml:space="preserve">, ULS File Nos. </w:t>
      </w:r>
      <w:r w:rsidRPr="008F53E2">
        <w:t>0006867447</w:t>
      </w:r>
      <w:r>
        <w:t xml:space="preserve">, </w:t>
      </w:r>
      <w:r w:rsidR="002B5FF5">
        <w:t xml:space="preserve">etc., </w:t>
      </w:r>
      <w:r>
        <w:t xml:space="preserve">filed Aug. 26, 2015 (“T-Mobile Response”); </w:t>
      </w:r>
      <w:r w:rsidR="002662D7">
        <w:t xml:space="preserve">Response of Cellco Partnership d/b/a/ Verizon Wireless to Objection of Sirius XM Radio Inc., ULS File Nos. </w:t>
      </w:r>
      <w:r w:rsidR="002662D7" w:rsidRPr="008F53E2">
        <w:t>0006867447</w:t>
      </w:r>
      <w:r w:rsidR="002662D7">
        <w:t xml:space="preserve">, </w:t>
      </w:r>
      <w:r w:rsidR="002B5FF5">
        <w:t xml:space="preserve">etc., </w:t>
      </w:r>
      <w:r w:rsidR="002662D7">
        <w:t>filed Aug. 26, 2015 (“Verizon Wireless Response”).</w:t>
      </w:r>
    </w:p>
  </w:footnote>
  <w:footnote w:id="7">
    <w:p w:rsidR="00984EA3" w:rsidRPr="002B5FF5" w:rsidRDefault="00984EA3">
      <w:pPr>
        <w:pStyle w:val="FootnoteText"/>
      </w:pPr>
      <w:r>
        <w:rPr>
          <w:rStyle w:val="FootnoteReference"/>
        </w:rPr>
        <w:footnoteRef/>
      </w:r>
      <w:r>
        <w:t xml:space="preserve"> </w:t>
      </w:r>
      <w:r>
        <w:rPr>
          <w:i/>
        </w:rPr>
        <w:t>See</w:t>
      </w:r>
      <w:r>
        <w:t xml:space="preserve"> Reply of Sirius XM Radio Inc., ULS File Nos. </w:t>
      </w:r>
      <w:r w:rsidRPr="008F53E2">
        <w:t>0006867447</w:t>
      </w:r>
      <w:r>
        <w:t>,</w:t>
      </w:r>
      <w:r w:rsidR="002B5FF5">
        <w:t xml:space="preserve"> etc.,</w:t>
      </w:r>
      <w:r>
        <w:t xml:space="preserve"> filed Sept. 11, 2015; </w:t>
      </w:r>
      <w:r w:rsidR="002B5FF5">
        <w:t xml:space="preserve">Sur-Reply of T-Mobile License LLC, ULS File Nos. </w:t>
      </w:r>
      <w:r w:rsidR="002B5FF5" w:rsidRPr="008F53E2">
        <w:t>0006867447</w:t>
      </w:r>
      <w:r w:rsidR="002B5FF5">
        <w:t>, etc., filed Oct. 2, 2015</w:t>
      </w:r>
      <w:r w:rsidR="00DB09DB">
        <w:t xml:space="preserve"> (“T-Mobile Sur-Reply”)</w:t>
      </w:r>
      <w:r w:rsidR="002B5FF5">
        <w:t xml:space="preserve">; </w:t>
      </w:r>
      <w:r w:rsidR="002B5FF5">
        <w:rPr>
          <w:i/>
        </w:rPr>
        <w:t xml:space="preserve">Ex Parte </w:t>
      </w:r>
      <w:r w:rsidR="002B5FF5">
        <w:t xml:space="preserve">of T-Mobile License LLC, ULS File Nos. </w:t>
      </w:r>
      <w:r w:rsidR="002B5FF5" w:rsidRPr="008F53E2">
        <w:t>0006867447</w:t>
      </w:r>
      <w:r w:rsidR="002B5FF5">
        <w:t xml:space="preserve">, etc., filed Oct. 6, 2015; Submission for the Record of Sirius XM Radio Inc., ULS File Nos. </w:t>
      </w:r>
      <w:r w:rsidR="002B5FF5" w:rsidRPr="008F53E2">
        <w:t>0006867447</w:t>
      </w:r>
      <w:r w:rsidR="002B5FF5">
        <w:t>, etc., filed Oct. 9, 2015.</w:t>
      </w:r>
    </w:p>
  </w:footnote>
  <w:footnote w:id="8">
    <w:p w:rsidR="000066E8" w:rsidRPr="000066E8" w:rsidRDefault="000066E8">
      <w:pPr>
        <w:pStyle w:val="FootnoteText"/>
      </w:pPr>
      <w:r>
        <w:rPr>
          <w:rStyle w:val="FootnoteReference"/>
        </w:rPr>
        <w:footnoteRef/>
      </w:r>
      <w:r>
        <w:t xml:space="preserve"> </w:t>
      </w:r>
      <w:r>
        <w:rPr>
          <w:i/>
        </w:rPr>
        <w:t xml:space="preserve">See </w:t>
      </w:r>
      <w:r>
        <w:t>Objection at 2.</w:t>
      </w:r>
    </w:p>
  </w:footnote>
  <w:footnote w:id="9">
    <w:p w:rsidR="0032150B" w:rsidRDefault="0032150B">
      <w:pPr>
        <w:pStyle w:val="FootnoteText"/>
      </w:pPr>
      <w:r>
        <w:rPr>
          <w:rStyle w:val="FootnoteReference"/>
        </w:rPr>
        <w:footnoteRef/>
      </w:r>
      <w:r>
        <w:t xml:space="preserve"> Objection at 2-3.</w:t>
      </w:r>
    </w:p>
  </w:footnote>
  <w:footnote w:id="10">
    <w:p w:rsidR="0032150B" w:rsidRDefault="0032150B">
      <w:pPr>
        <w:pStyle w:val="FootnoteText"/>
      </w:pPr>
      <w:r>
        <w:rPr>
          <w:rStyle w:val="FootnoteReference"/>
        </w:rPr>
        <w:footnoteRef/>
      </w:r>
      <w:r>
        <w:t xml:space="preserve"> </w:t>
      </w:r>
      <w:r w:rsidR="001B3CFE">
        <w:rPr>
          <w:i/>
        </w:rPr>
        <w:t xml:space="preserve">See </w:t>
      </w:r>
      <w:r>
        <w:t>Objection at 3.</w:t>
      </w:r>
    </w:p>
  </w:footnote>
  <w:footnote w:id="11">
    <w:p w:rsidR="00244214" w:rsidRDefault="00244214">
      <w:pPr>
        <w:pStyle w:val="FootnoteText"/>
      </w:pPr>
      <w:r>
        <w:rPr>
          <w:rStyle w:val="FootnoteReference"/>
        </w:rPr>
        <w:footnoteRef/>
      </w:r>
      <w:r>
        <w:t xml:space="preserve"> </w:t>
      </w:r>
      <w:r w:rsidR="001B3CFE">
        <w:rPr>
          <w:i/>
        </w:rPr>
        <w:t xml:space="preserve">See </w:t>
      </w:r>
      <w:r>
        <w:t xml:space="preserve">Objection at 6.  Sirius raises additional arguments alleging that T-Mobile’s level of cooperation with Sirius in conducting interference tests implicates licensee character qualifications.  </w:t>
      </w:r>
      <w:r w:rsidR="00054E49">
        <w:rPr>
          <w:i/>
        </w:rPr>
        <w:t xml:space="preserve">See </w:t>
      </w:r>
      <w:r>
        <w:t>Objection at 4-8.</w:t>
      </w:r>
    </w:p>
  </w:footnote>
  <w:footnote w:id="12">
    <w:p w:rsidR="00FE1DFB" w:rsidRDefault="00FE1DFB">
      <w:pPr>
        <w:pStyle w:val="FootnoteText"/>
      </w:pPr>
      <w:r>
        <w:rPr>
          <w:rStyle w:val="FootnoteReference"/>
        </w:rPr>
        <w:footnoteRef/>
      </w:r>
      <w:r>
        <w:t xml:space="preserve"> </w:t>
      </w:r>
      <w:r w:rsidR="001B3CFE">
        <w:rPr>
          <w:i/>
        </w:rPr>
        <w:t xml:space="preserve">See </w:t>
      </w:r>
      <w:r>
        <w:t>T-Mobile Response at 6-7.</w:t>
      </w:r>
    </w:p>
  </w:footnote>
  <w:footnote w:id="13">
    <w:p w:rsidR="001A4E39" w:rsidRDefault="001A4E39">
      <w:pPr>
        <w:pStyle w:val="FootnoteText"/>
      </w:pPr>
      <w:r>
        <w:rPr>
          <w:rStyle w:val="FootnoteReference"/>
        </w:rPr>
        <w:footnoteRef/>
      </w:r>
      <w:r>
        <w:t xml:space="preserve"> </w:t>
      </w:r>
      <w:r w:rsidR="001B3CFE">
        <w:rPr>
          <w:i/>
        </w:rPr>
        <w:t xml:space="preserve">See </w:t>
      </w:r>
      <w:r>
        <w:t>T-Mobile Response at 7-8.</w:t>
      </w:r>
    </w:p>
  </w:footnote>
  <w:footnote w:id="14">
    <w:p w:rsidR="001B3CFE" w:rsidRPr="00054E49" w:rsidRDefault="001B3CFE">
      <w:pPr>
        <w:pStyle w:val="FootnoteText"/>
      </w:pPr>
      <w:r>
        <w:rPr>
          <w:rStyle w:val="FootnoteReference"/>
        </w:rPr>
        <w:footnoteRef/>
      </w:r>
      <w:r>
        <w:t xml:space="preserve"> T-Mobile Response at 10, citing Applications of Cellco P’ship d/b/a Verizon Wireless &amp; Atlantis Holdings LLC for Consent </w:t>
      </w:r>
      <w:r w:rsidR="007F3616">
        <w:t>T</w:t>
      </w:r>
      <w:r>
        <w:t xml:space="preserve">o Transfer Control of Licenses, Authorizations, &amp; Spectrum Manager &amp; </w:t>
      </w:r>
      <w:r>
        <w:rPr>
          <w:i/>
        </w:rPr>
        <w:t xml:space="preserve">De Facto </w:t>
      </w:r>
      <w:r>
        <w:t xml:space="preserve">Transfer Leasing Arrangements &amp; Petition for Declaratory Ruling that the Transaction </w:t>
      </w:r>
      <w:r w:rsidR="007F3616">
        <w:t>I</w:t>
      </w:r>
      <w:r>
        <w:t xml:space="preserve">s Consistent with Section 310(b)(4) of the Communications Act, </w:t>
      </w:r>
      <w:r>
        <w:rPr>
          <w:i/>
        </w:rPr>
        <w:t>Memorandum Opinion and Order and Declaratory Ruling</w:t>
      </w:r>
      <w:r>
        <w:t>, 23 FCC Rcd 17444</w:t>
      </w:r>
      <w:r w:rsidR="00054E49">
        <w:t>, 17463</w:t>
      </w:r>
      <w:r>
        <w:t xml:space="preserve"> ¶ 29 (2008)</w:t>
      </w:r>
      <w:r w:rsidR="00054E49">
        <w:t xml:space="preserve">.  T-Mobile additionally argues that the Objection is late-filed and </w:t>
      </w:r>
      <w:r w:rsidR="00935E86">
        <w:t>that Sirius does not have party-in-</w:t>
      </w:r>
      <w:r w:rsidR="00054E49">
        <w:t xml:space="preserve">interest standing.  </w:t>
      </w:r>
      <w:r w:rsidR="00054E49">
        <w:rPr>
          <w:i/>
        </w:rPr>
        <w:t xml:space="preserve">See </w:t>
      </w:r>
      <w:r w:rsidR="00054E49">
        <w:t xml:space="preserve">T-Mobile Response at 2-8.  T-Mobile also claims that the Objection’s description of the interference testing with Sirius is factually inaccurate.  </w:t>
      </w:r>
      <w:r w:rsidR="00054E49">
        <w:rPr>
          <w:i/>
        </w:rPr>
        <w:t xml:space="preserve">See </w:t>
      </w:r>
      <w:r w:rsidR="00054E49">
        <w:t>T-Mobile Response at 11-15.</w:t>
      </w:r>
    </w:p>
  </w:footnote>
  <w:footnote w:id="15">
    <w:p w:rsidR="00DB09DB" w:rsidRPr="00DB09DB" w:rsidRDefault="00DB09DB">
      <w:pPr>
        <w:pStyle w:val="FootnoteText"/>
      </w:pPr>
      <w:r>
        <w:rPr>
          <w:rStyle w:val="FootnoteReference"/>
        </w:rPr>
        <w:footnoteRef/>
      </w:r>
      <w:r>
        <w:t xml:space="preserve"> </w:t>
      </w:r>
      <w:r>
        <w:rPr>
          <w:i/>
        </w:rPr>
        <w:t>See</w:t>
      </w:r>
      <w:r>
        <w:t xml:space="preserve"> T-Mobile Sur-Reply at 4, referencing 47 C.F.R. § 27.64.</w:t>
      </w:r>
    </w:p>
  </w:footnote>
  <w:footnote w:id="16">
    <w:p w:rsidR="009932EC" w:rsidRPr="009932EC" w:rsidRDefault="009932EC">
      <w:pPr>
        <w:pStyle w:val="FootnoteText"/>
      </w:pPr>
      <w:r>
        <w:rPr>
          <w:rStyle w:val="FootnoteReference"/>
        </w:rPr>
        <w:footnoteRef/>
      </w:r>
      <w:r>
        <w:t xml:space="preserve"> </w:t>
      </w:r>
      <w:r>
        <w:rPr>
          <w:i/>
        </w:rPr>
        <w:t>See</w:t>
      </w:r>
      <w:r>
        <w:t xml:space="preserve"> Verizon Wireless Response at 2.</w:t>
      </w:r>
    </w:p>
  </w:footnote>
  <w:footnote w:id="17">
    <w:p w:rsidR="0018355D" w:rsidRPr="00E2072C" w:rsidRDefault="0018355D" w:rsidP="0018355D">
      <w:pPr>
        <w:pStyle w:val="FootnoteText"/>
      </w:pPr>
      <w:r>
        <w:rPr>
          <w:rStyle w:val="FootnoteReference"/>
        </w:rPr>
        <w:footnoteRef/>
      </w:r>
      <w:r>
        <w:t xml:space="preserve"> </w:t>
      </w:r>
      <w:r>
        <w:rPr>
          <w:i/>
        </w:rPr>
        <w:t xml:space="preserve">See </w:t>
      </w:r>
      <w:r>
        <w:t xml:space="preserve">Qwest Communications International, Inc. and US WEST, Inc., Applications for Transfer of Control, </w:t>
      </w:r>
      <w:r>
        <w:rPr>
          <w:i/>
        </w:rPr>
        <w:t>Memorandum Opinion and Order</w:t>
      </w:r>
      <w:r>
        <w:t>, 15 FCC Rcd 5376, 5392-93 ¶ 28 (2000) (“</w:t>
      </w:r>
      <w:r>
        <w:rPr>
          <w:i/>
        </w:rPr>
        <w:t>Qwest-US WEST Order</w:t>
      </w:r>
      <w:r>
        <w:t>”).</w:t>
      </w:r>
      <w:r w:rsidR="00E2072C">
        <w:t xml:space="preserve">  </w:t>
      </w:r>
      <w:r w:rsidR="00E2072C">
        <w:rPr>
          <w:i/>
        </w:rPr>
        <w:t>See also</w:t>
      </w:r>
      <w:r w:rsidR="00E2072C">
        <w:t xml:space="preserve"> Applications of Cellco Partnership d/b/a Verizon Wireless, Coral Wireless, LLC and Coral Wireless Licenses, LLC</w:t>
      </w:r>
      <w:r w:rsidR="00976BDD">
        <w:t xml:space="preserve"> </w:t>
      </w:r>
      <w:r w:rsidR="007F3616">
        <w:t>f</w:t>
      </w:r>
      <w:r w:rsidR="00976BDD">
        <w:t xml:space="preserve">or Consent </w:t>
      </w:r>
      <w:r w:rsidR="007F3616">
        <w:t>T</w:t>
      </w:r>
      <w:r w:rsidR="00976BDD">
        <w:t>o Assign Seven Personal Communications Service Licenses Covering Hawaii</w:t>
      </w:r>
      <w:r w:rsidR="00E2072C">
        <w:t xml:space="preserve">, </w:t>
      </w:r>
      <w:r w:rsidR="00E2072C">
        <w:rPr>
          <w:i/>
        </w:rPr>
        <w:t>Order</w:t>
      </w:r>
      <w:r w:rsidR="00E2072C">
        <w:t>, 29 FCC Rcd 13397, 13400 ¶ 9 (WTB MD 2014)</w:t>
      </w:r>
      <w:r w:rsidR="00976BDD">
        <w:t xml:space="preserve"> (finding that petition to deny assignment application would be dismissed on grounds that misconduct allegations would be better addressed in an enforcement proceeding).</w:t>
      </w:r>
    </w:p>
  </w:footnote>
  <w:footnote w:id="18">
    <w:p w:rsidR="000B4373" w:rsidRDefault="000B4373">
      <w:pPr>
        <w:pStyle w:val="FootnoteText"/>
      </w:pPr>
      <w:r>
        <w:rPr>
          <w:rStyle w:val="FootnoteReference"/>
        </w:rPr>
        <w:footnoteRef/>
      </w:r>
      <w:r>
        <w:t xml:space="preserve"> 47 C.F.R. § 27.64</w:t>
      </w:r>
    </w:p>
  </w:footnote>
  <w:footnote w:id="19">
    <w:p w:rsidR="008818AD" w:rsidRPr="00EF596A" w:rsidRDefault="008818AD" w:rsidP="008818AD">
      <w:pPr>
        <w:pStyle w:val="FootnoteText"/>
      </w:pPr>
      <w:r>
        <w:rPr>
          <w:rStyle w:val="FootnoteReference"/>
        </w:rPr>
        <w:footnoteRef/>
      </w:r>
      <w:r>
        <w:t xml:space="preserve"> </w:t>
      </w:r>
      <w:r>
        <w:rPr>
          <w:i/>
        </w:rPr>
        <w:t>See</w:t>
      </w:r>
      <w:r w:rsidR="000B4373">
        <w:t xml:space="preserve"> Objection at 3</w:t>
      </w:r>
      <w:r>
        <w:t>.</w:t>
      </w:r>
    </w:p>
  </w:footnote>
  <w:footnote w:id="20">
    <w:p w:rsidR="00D5099C" w:rsidRPr="00E67FD1" w:rsidRDefault="00D5099C" w:rsidP="00D5099C">
      <w:pPr>
        <w:pStyle w:val="FootnoteText"/>
      </w:pPr>
      <w:r>
        <w:rPr>
          <w:rStyle w:val="FootnoteReference"/>
        </w:rPr>
        <w:footnoteRef/>
      </w:r>
      <w:r>
        <w:t xml:space="preserve"> </w:t>
      </w:r>
      <w:r>
        <w:rPr>
          <w:i/>
        </w:rPr>
        <w:t>See</w:t>
      </w:r>
      <w:r>
        <w:t xml:space="preserve"> Objection at 6.</w:t>
      </w:r>
    </w:p>
  </w:footnote>
  <w:footnote w:id="21">
    <w:p w:rsidR="00782B09" w:rsidRPr="00C5044F" w:rsidRDefault="00782B09" w:rsidP="00782B09">
      <w:pPr>
        <w:pStyle w:val="FootnoteText"/>
      </w:pPr>
      <w:r>
        <w:rPr>
          <w:rStyle w:val="FootnoteReference"/>
        </w:rPr>
        <w:footnoteRef/>
      </w:r>
      <w:r>
        <w:t xml:space="preserve"> </w:t>
      </w:r>
      <w:r w:rsidRPr="00CD5A18">
        <w:rPr>
          <w:i/>
        </w:rPr>
        <w:t>See</w:t>
      </w:r>
      <w:r>
        <w:t xml:space="preserve">, </w:t>
      </w:r>
      <w:r w:rsidRPr="00CD5A18">
        <w:rPr>
          <w:i/>
        </w:rPr>
        <w:t>e.g</w:t>
      </w:r>
      <w:r>
        <w:t xml:space="preserve">., Applications of AT&amp;T Inc. and Atlantic Tele-Network, Inc. </w:t>
      </w:r>
      <w:r w:rsidR="006B483C">
        <w:t>f</w:t>
      </w:r>
      <w:r>
        <w:t xml:space="preserve">or Consent </w:t>
      </w:r>
      <w:r w:rsidR="006B483C">
        <w:t>T</w:t>
      </w:r>
      <w:r>
        <w:t xml:space="preserve">o Transfer Control of and Assign Licenses and Authorizations, </w:t>
      </w:r>
      <w:r>
        <w:rPr>
          <w:i/>
        </w:rPr>
        <w:t xml:space="preserve">Memorandum Opinion and </w:t>
      </w:r>
      <w:r w:rsidRPr="00D93344">
        <w:rPr>
          <w:i/>
        </w:rPr>
        <w:t>Order</w:t>
      </w:r>
      <w:r>
        <w:t xml:space="preserve">, 28 FCC Rcd 13670, 13719 ¶ 90 (WTB, IB 2013); Applications of AT&amp;T Inc. and Centennial Communications Corp. for Consent </w:t>
      </w:r>
      <w:r w:rsidR="006B483C">
        <w:t>T</w:t>
      </w:r>
      <w:r>
        <w:t xml:space="preserve">o Transfer Control, </w:t>
      </w:r>
      <w:r>
        <w:rPr>
          <w:i/>
        </w:rPr>
        <w:t xml:space="preserve">Memorandum Opinion and </w:t>
      </w:r>
      <w:r w:rsidRPr="00B7121D">
        <w:rPr>
          <w:i/>
        </w:rPr>
        <w:t>Order</w:t>
      </w:r>
      <w:r>
        <w:t>, 24 FCC Rcd 13915, 13969, 13972 ¶¶ 133, 141 (2009).</w:t>
      </w:r>
    </w:p>
  </w:footnote>
  <w:footnote w:id="22">
    <w:p w:rsidR="00782B09" w:rsidRDefault="00782B09" w:rsidP="00782B09">
      <w:pPr>
        <w:pStyle w:val="FootnoteText"/>
      </w:pPr>
      <w:r>
        <w:rPr>
          <w:rStyle w:val="FootnoteReference"/>
        </w:rPr>
        <w:footnoteRef/>
      </w:r>
      <w:r>
        <w:t xml:space="preserve"> </w:t>
      </w:r>
      <w:r w:rsidRPr="00541618">
        <w:t>In this inst</w:t>
      </w:r>
      <w:r>
        <w:t>ance, because we find that the interference allegations are better addressed elsewhere</w:t>
      </w:r>
      <w:r w:rsidRPr="00541618">
        <w:t xml:space="preserve">, we need not </w:t>
      </w:r>
      <w:r>
        <w:t xml:space="preserve">address the merits of the interference allegations or numerous other arguments raised by the parties relating to, </w:t>
      </w:r>
      <w:r>
        <w:rPr>
          <w:i/>
        </w:rPr>
        <w:t>inter alia</w:t>
      </w:r>
      <w:r>
        <w:t>, alleged procedural and character deficiencies</w:t>
      </w:r>
      <w:r w:rsidRPr="00541618">
        <w:t>.</w:t>
      </w:r>
    </w:p>
  </w:footnote>
  <w:footnote w:id="23">
    <w:p w:rsidR="007F3616" w:rsidRDefault="007F3616">
      <w:pPr>
        <w:pStyle w:val="FootnoteText"/>
      </w:pPr>
      <w:r>
        <w:rPr>
          <w:rStyle w:val="FootnoteReference"/>
        </w:rPr>
        <w:footnoteRef/>
      </w:r>
      <w:r>
        <w:t xml:space="preserve"> 47 C.F.R. § 27.64.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5B" w:rsidRDefault="00951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77" w:rsidRPr="009C4E2C" w:rsidRDefault="002B5D77" w:rsidP="009C4E2C">
    <w:pPr>
      <w:pStyle w:val="Header"/>
      <w:pBdr>
        <w:bottom w:val="single" w:sz="12" w:space="1" w:color="auto"/>
      </w:pBdr>
      <w:tabs>
        <w:tab w:val="clear" w:pos="4320"/>
        <w:tab w:val="clear" w:pos="8640"/>
        <w:tab w:val="center" w:pos="4680"/>
        <w:tab w:val="right" w:pos="9360"/>
      </w:tabs>
      <w:rPr>
        <w:b/>
      </w:rPr>
    </w:pPr>
    <w:r w:rsidRPr="007B568D">
      <w:rPr>
        <w:b/>
      </w:rPr>
      <w:tab/>
      <w:t>Federal Communications Commission</w:t>
    </w:r>
    <w:r w:rsidRPr="007B568D">
      <w:rPr>
        <w:b/>
      </w:rPr>
      <w:tab/>
      <w:t>DA 1</w:t>
    </w:r>
    <w:r w:rsidR="00406CF2">
      <w:rPr>
        <w:b/>
      </w:rPr>
      <w:t>5</w:t>
    </w:r>
    <w:r w:rsidRPr="007B568D">
      <w:rPr>
        <w:b/>
      </w:rPr>
      <w:t>-</w:t>
    </w:r>
    <w:r w:rsidR="001844B1">
      <w:rPr>
        <w:b/>
      </w:rPr>
      <w:t>1407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77" w:rsidRPr="007B568D" w:rsidRDefault="002B5D77" w:rsidP="007B568D">
    <w:pPr>
      <w:pStyle w:val="Header"/>
      <w:pBdr>
        <w:bottom w:val="single" w:sz="12" w:space="1" w:color="auto"/>
      </w:pBdr>
      <w:tabs>
        <w:tab w:val="clear" w:pos="4320"/>
        <w:tab w:val="clear" w:pos="8640"/>
        <w:tab w:val="center" w:pos="4680"/>
        <w:tab w:val="right" w:pos="9360"/>
      </w:tabs>
      <w:rPr>
        <w:b/>
      </w:rPr>
    </w:pPr>
    <w:r w:rsidRPr="007B568D">
      <w:rPr>
        <w:b/>
      </w:rPr>
      <w:tab/>
      <w:t>Federal Communications Commission</w:t>
    </w:r>
    <w:r w:rsidRPr="007B568D">
      <w:rPr>
        <w:b/>
      </w:rPr>
      <w:tab/>
      <w:t>DA 1</w:t>
    </w:r>
    <w:r w:rsidR="000E2E65">
      <w:rPr>
        <w:b/>
      </w:rPr>
      <w:t>5</w:t>
    </w:r>
    <w:r w:rsidRPr="007B568D">
      <w:rPr>
        <w:b/>
      </w:rPr>
      <w:t>-</w:t>
    </w:r>
    <w:r w:rsidR="001844B1">
      <w:rPr>
        <w:b/>
      </w:rPr>
      <w:t>1407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2"/>
  </w:num>
  <w:num w:numId="3">
    <w:abstractNumId w:val="5"/>
  </w:num>
  <w:num w:numId="4">
    <w:abstractNumId w:val="17"/>
  </w:num>
  <w:num w:numId="5">
    <w:abstractNumId w:val="6"/>
  </w:num>
  <w:num w:numId="6">
    <w:abstractNumId w:val="20"/>
  </w:num>
  <w:num w:numId="7">
    <w:abstractNumId w:val="14"/>
  </w:num>
  <w:num w:numId="8">
    <w:abstractNumId w:val="7"/>
  </w:num>
  <w:num w:numId="9">
    <w:abstractNumId w:val="19"/>
  </w:num>
  <w:num w:numId="10">
    <w:abstractNumId w:val="12"/>
  </w:num>
  <w:num w:numId="11">
    <w:abstractNumId w:val="11"/>
  </w:num>
  <w:num w:numId="12">
    <w:abstractNumId w:val="8"/>
  </w:num>
  <w:num w:numId="13">
    <w:abstractNumId w:val="13"/>
  </w:num>
  <w:num w:numId="14">
    <w:abstractNumId w:val="18"/>
  </w:num>
  <w:num w:numId="15">
    <w:abstractNumId w:val="3"/>
  </w:num>
  <w:num w:numId="16">
    <w:abstractNumId w:val="4"/>
  </w:num>
  <w:num w:numId="17">
    <w:abstractNumId w:val="9"/>
  </w:num>
  <w:num w:numId="18">
    <w:abstractNumId w:val="2"/>
  </w:num>
  <w:num w:numId="19">
    <w:abstractNumId w:val="10"/>
  </w:num>
  <w:num w:numId="20">
    <w:abstractNumId w:val="15"/>
  </w:num>
  <w:num w:numId="21">
    <w:abstractNumId w:val="16"/>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01"/>
    <w:rsid w:val="000049FF"/>
    <w:rsid w:val="00005217"/>
    <w:rsid w:val="000066E8"/>
    <w:rsid w:val="0001601F"/>
    <w:rsid w:val="000221EB"/>
    <w:rsid w:val="00024577"/>
    <w:rsid w:val="00033F3B"/>
    <w:rsid w:val="00035864"/>
    <w:rsid w:val="0003658B"/>
    <w:rsid w:val="000509D7"/>
    <w:rsid w:val="00052FD0"/>
    <w:rsid w:val="00054E49"/>
    <w:rsid w:val="0006723F"/>
    <w:rsid w:val="00075C30"/>
    <w:rsid w:val="00087369"/>
    <w:rsid w:val="000939DD"/>
    <w:rsid w:val="000A3ED3"/>
    <w:rsid w:val="000B15EF"/>
    <w:rsid w:val="000B3B03"/>
    <w:rsid w:val="000B4373"/>
    <w:rsid w:val="000B4563"/>
    <w:rsid w:val="000C117B"/>
    <w:rsid w:val="000E2E65"/>
    <w:rsid w:val="000F2CC0"/>
    <w:rsid w:val="000F7EE6"/>
    <w:rsid w:val="001220EF"/>
    <w:rsid w:val="00127F97"/>
    <w:rsid w:val="001330C3"/>
    <w:rsid w:val="001369D0"/>
    <w:rsid w:val="00136F10"/>
    <w:rsid w:val="0015752A"/>
    <w:rsid w:val="00173810"/>
    <w:rsid w:val="00176E3C"/>
    <w:rsid w:val="0018355D"/>
    <w:rsid w:val="001844B1"/>
    <w:rsid w:val="0019261E"/>
    <w:rsid w:val="001A4E39"/>
    <w:rsid w:val="001B3CFE"/>
    <w:rsid w:val="001C17E6"/>
    <w:rsid w:val="001F1A88"/>
    <w:rsid w:val="001F701E"/>
    <w:rsid w:val="00214641"/>
    <w:rsid w:val="00215198"/>
    <w:rsid w:val="0023508C"/>
    <w:rsid w:val="00235736"/>
    <w:rsid w:val="00240855"/>
    <w:rsid w:val="00244214"/>
    <w:rsid w:val="00246A09"/>
    <w:rsid w:val="002474BD"/>
    <w:rsid w:val="002520BF"/>
    <w:rsid w:val="0026062C"/>
    <w:rsid w:val="00261B38"/>
    <w:rsid w:val="002622B5"/>
    <w:rsid w:val="002662D7"/>
    <w:rsid w:val="00266A17"/>
    <w:rsid w:val="0028617A"/>
    <w:rsid w:val="00296281"/>
    <w:rsid w:val="00297DD3"/>
    <w:rsid w:val="002A6083"/>
    <w:rsid w:val="002B5D77"/>
    <w:rsid w:val="002B5FF5"/>
    <w:rsid w:val="002C144B"/>
    <w:rsid w:val="002C50A3"/>
    <w:rsid w:val="002D481C"/>
    <w:rsid w:val="002F01DF"/>
    <w:rsid w:val="002F314A"/>
    <w:rsid w:val="002F6CE9"/>
    <w:rsid w:val="00303BC5"/>
    <w:rsid w:val="0032150B"/>
    <w:rsid w:val="00324106"/>
    <w:rsid w:val="00326187"/>
    <w:rsid w:val="003351E4"/>
    <w:rsid w:val="00337FE6"/>
    <w:rsid w:val="00347DD6"/>
    <w:rsid w:val="00360F51"/>
    <w:rsid w:val="00367363"/>
    <w:rsid w:val="003722D5"/>
    <w:rsid w:val="00372EC9"/>
    <w:rsid w:val="003749B5"/>
    <w:rsid w:val="00374BCF"/>
    <w:rsid w:val="003841B2"/>
    <w:rsid w:val="00385220"/>
    <w:rsid w:val="00385DB0"/>
    <w:rsid w:val="003924E6"/>
    <w:rsid w:val="003A37C6"/>
    <w:rsid w:val="003D0F35"/>
    <w:rsid w:val="003D15E8"/>
    <w:rsid w:val="003D1C74"/>
    <w:rsid w:val="003D3C3A"/>
    <w:rsid w:val="003F457A"/>
    <w:rsid w:val="003F48C3"/>
    <w:rsid w:val="003F56D3"/>
    <w:rsid w:val="00401D81"/>
    <w:rsid w:val="00406CF2"/>
    <w:rsid w:val="00425A78"/>
    <w:rsid w:val="00450DD5"/>
    <w:rsid w:val="00460586"/>
    <w:rsid w:val="00477F19"/>
    <w:rsid w:val="00485292"/>
    <w:rsid w:val="00487FBC"/>
    <w:rsid w:val="004930FA"/>
    <w:rsid w:val="00493F76"/>
    <w:rsid w:val="00496B59"/>
    <w:rsid w:val="004A10B4"/>
    <w:rsid w:val="004D5888"/>
    <w:rsid w:val="004D7B29"/>
    <w:rsid w:val="004E3A3D"/>
    <w:rsid w:val="004E5A59"/>
    <w:rsid w:val="004F698A"/>
    <w:rsid w:val="0052382D"/>
    <w:rsid w:val="005360D9"/>
    <w:rsid w:val="00541618"/>
    <w:rsid w:val="00582901"/>
    <w:rsid w:val="00590790"/>
    <w:rsid w:val="0059647C"/>
    <w:rsid w:val="00596D13"/>
    <w:rsid w:val="005B063D"/>
    <w:rsid w:val="005D1F52"/>
    <w:rsid w:val="005D40CB"/>
    <w:rsid w:val="005E657B"/>
    <w:rsid w:val="00610813"/>
    <w:rsid w:val="00611335"/>
    <w:rsid w:val="00631D63"/>
    <w:rsid w:val="00635F00"/>
    <w:rsid w:val="00636BCA"/>
    <w:rsid w:val="00636E48"/>
    <w:rsid w:val="00637414"/>
    <w:rsid w:val="00642AF1"/>
    <w:rsid w:val="006609AA"/>
    <w:rsid w:val="006825BB"/>
    <w:rsid w:val="006854BB"/>
    <w:rsid w:val="00693854"/>
    <w:rsid w:val="006974AD"/>
    <w:rsid w:val="006B2057"/>
    <w:rsid w:val="006B483C"/>
    <w:rsid w:val="006B57F5"/>
    <w:rsid w:val="006C615E"/>
    <w:rsid w:val="006D167B"/>
    <w:rsid w:val="006E600C"/>
    <w:rsid w:val="006F541F"/>
    <w:rsid w:val="006F6C9C"/>
    <w:rsid w:val="00716BCD"/>
    <w:rsid w:val="00732291"/>
    <w:rsid w:val="00735303"/>
    <w:rsid w:val="00735CD9"/>
    <w:rsid w:val="007423A5"/>
    <w:rsid w:val="00750548"/>
    <w:rsid w:val="0076526B"/>
    <w:rsid w:val="0076699D"/>
    <w:rsid w:val="0077172E"/>
    <w:rsid w:val="007721B7"/>
    <w:rsid w:val="00782B09"/>
    <w:rsid w:val="00790FE3"/>
    <w:rsid w:val="00794A01"/>
    <w:rsid w:val="007A6390"/>
    <w:rsid w:val="007B0F77"/>
    <w:rsid w:val="007B27DC"/>
    <w:rsid w:val="007B568D"/>
    <w:rsid w:val="007B6252"/>
    <w:rsid w:val="007B787C"/>
    <w:rsid w:val="007C3AD7"/>
    <w:rsid w:val="007D231E"/>
    <w:rsid w:val="007F3616"/>
    <w:rsid w:val="007F3771"/>
    <w:rsid w:val="007F5EAF"/>
    <w:rsid w:val="00801D4C"/>
    <w:rsid w:val="008108FF"/>
    <w:rsid w:val="00826450"/>
    <w:rsid w:val="008429E1"/>
    <w:rsid w:val="008430E8"/>
    <w:rsid w:val="0084622D"/>
    <w:rsid w:val="00847CE6"/>
    <w:rsid w:val="00855807"/>
    <w:rsid w:val="0086594C"/>
    <w:rsid w:val="0087020C"/>
    <w:rsid w:val="00873756"/>
    <w:rsid w:val="008818AD"/>
    <w:rsid w:val="0088664E"/>
    <w:rsid w:val="00893ABD"/>
    <w:rsid w:val="008944CB"/>
    <w:rsid w:val="008970C1"/>
    <w:rsid w:val="008B4C08"/>
    <w:rsid w:val="008C68D6"/>
    <w:rsid w:val="008D5B16"/>
    <w:rsid w:val="008E1091"/>
    <w:rsid w:val="008E4BA3"/>
    <w:rsid w:val="008F419C"/>
    <w:rsid w:val="008F4399"/>
    <w:rsid w:val="008F7EA7"/>
    <w:rsid w:val="0090245F"/>
    <w:rsid w:val="009061E5"/>
    <w:rsid w:val="00907203"/>
    <w:rsid w:val="00915F4F"/>
    <w:rsid w:val="00916C66"/>
    <w:rsid w:val="0093537B"/>
    <w:rsid w:val="00935E86"/>
    <w:rsid w:val="009369C1"/>
    <w:rsid w:val="009416A2"/>
    <w:rsid w:val="00942494"/>
    <w:rsid w:val="00943408"/>
    <w:rsid w:val="00950C95"/>
    <w:rsid w:val="0095115B"/>
    <w:rsid w:val="009520DE"/>
    <w:rsid w:val="009546FC"/>
    <w:rsid w:val="00957332"/>
    <w:rsid w:val="00976BDD"/>
    <w:rsid w:val="00984EA3"/>
    <w:rsid w:val="00990A18"/>
    <w:rsid w:val="009932EC"/>
    <w:rsid w:val="00995533"/>
    <w:rsid w:val="009B0D16"/>
    <w:rsid w:val="009B1487"/>
    <w:rsid w:val="009B3B88"/>
    <w:rsid w:val="009B7BAD"/>
    <w:rsid w:val="009C4E2C"/>
    <w:rsid w:val="009C521D"/>
    <w:rsid w:val="009D43AC"/>
    <w:rsid w:val="009D6015"/>
    <w:rsid w:val="009E04A8"/>
    <w:rsid w:val="00A031EA"/>
    <w:rsid w:val="00A033CC"/>
    <w:rsid w:val="00A16942"/>
    <w:rsid w:val="00A23B18"/>
    <w:rsid w:val="00A34305"/>
    <w:rsid w:val="00A34430"/>
    <w:rsid w:val="00A7124D"/>
    <w:rsid w:val="00A723FB"/>
    <w:rsid w:val="00A74945"/>
    <w:rsid w:val="00A80008"/>
    <w:rsid w:val="00A81589"/>
    <w:rsid w:val="00A832C1"/>
    <w:rsid w:val="00A855BD"/>
    <w:rsid w:val="00A93483"/>
    <w:rsid w:val="00A951EE"/>
    <w:rsid w:val="00AA7024"/>
    <w:rsid w:val="00AB39A2"/>
    <w:rsid w:val="00AB55CB"/>
    <w:rsid w:val="00AC5446"/>
    <w:rsid w:val="00AE4B5B"/>
    <w:rsid w:val="00AE54B8"/>
    <w:rsid w:val="00AF2CC4"/>
    <w:rsid w:val="00AF7EE5"/>
    <w:rsid w:val="00B10165"/>
    <w:rsid w:val="00B308A9"/>
    <w:rsid w:val="00B332D5"/>
    <w:rsid w:val="00B33B87"/>
    <w:rsid w:val="00B47EDD"/>
    <w:rsid w:val="00B54559"/>
    <w:rsid w:val="00B63DCE"/>
    <w:rsid w:val="00B74847"/>
    <w:rsid w:val="00B77B8C"/>
    <w:rsid w:val="00B8150D"/>
    <w:rsid w:val="00B843AA"/>
    <w:rsid w:val="00B92187"/>
    <w:rsid w:val="00B943B0"/>
    <w:rsid w:val="00B9700D"/>
    <w:rsid w:val="00BB00BA"/>
    <w:rsid w:val="00BB073D"/>
    <w:rsid w:val="00BC4E79"/>
    <w:rsid w:val="00BD2835"/>
    <w:rsid w:val="00BD2D51"/>
    <w:rsid w:val="00BD47A5"/>
    <w:rsid w:val="00BD7273"/>
    <w:rsid w:val="00BF1951"/>
    <w:rsid w:val="00C04E06"/>
    <w:rsid w:val="00C05EA9"/>
    <w:rsid w:val="00C16626"/>
    <w:rsid w:val="00C17A8C"/>
    <w:rsid w:val="00C47CFC"/>
    <w:rsid w:val="00C56627"/>
    <w:rsid w:val="00C70508"/>
    <w:rsid w:val="00C7200D"/>
    <w:rsid w:val="00C7209E"/>
    <w:rsid w:val="00C97AE1"/>
    <w:rsid w:val="00CA0653"/>
    <w:rsid w:val="00CA1685"/>
    <w:rsid w:val="00CA4A0B"/>
    <w:rsid w:val="00CA7E3E"/>
    <w:rsid w:val="00CA7E9A"/>
    <w:rsid w:val="00CB07CA"/>
    <w:rsid w:val="00CB2536"/>
    <w:rsid w:val="00CB6C81"/>
    <w:rsid w:val="00CC78CD"/>
    <w:rsid w:val="00CE2CDF"/>
    <w:rsid w:val="00CE675A"/>
    <w:rsid w:val="00CE6828"/>
    <w:rsid w:val="00CE752D"/>
    <w:rsid w:val="00D0657D"/>
    <w:rsid w:val="00D31A6D"/>
    <w:rsid w:val="00D5099C"/>
    <w:rsid w:val="00D5670F"/>
    <w:rsid w:val="00D67C38"/>
    <w:rsid w:val="00D74D07"/>
    <w:rsid w:val="00D90935"/>
    <w:rsid w:val="00DA193F"/>
    <w:rsid w:val="00DA5BCD"/>
    <w:rsid w:val="00DB09DB"/>
    <w:rsid w:val="00DB29C8"/>
    <w:rsid w:val="00DC6BE7"/>
    <w:rsid w:val="00DE307E"/>
    <w:rsid w:val="00DE4CAD"/>
    <w:rsid w:val="00DF21AF"/>
    <w:rsid w:val="00E00365"/>
    <w:rsid w:val="00E2072C"/>
    <w:rsid w:val="00E55371"/>
    <w:rsid w:val="00E67FD1"/>
    <w:rsid w:val="00E7074C"/>
    <w:rsid w:val="00E757B8"/>
    <w:rsid w:val="00E84033"/>
    <w:rsid w:val="00E86A07"/>
    <w:rsid w:val="00E93D2A"/>
    <w:rsid w:val="00EA12E6"/>
    <w:rsid w:val="00EA7E71"/>
    <w:rsid w:val="00EC2405"/>
    <w:rsid w:val="00EC3F66"/>
    <w:rsid w:val="00EC514D"/>
    <w:rsid w:val="00EC6E0E"/>
    <w:rsid w:val="00ED7B9E"/>
    <w:rsid w:val="00EE5C79"/>
    <w:rsid w:val="00EE70BB"/>
    <w:rsid w:val="00EF01C0"/>
    <w:rsid w:val="00EF596A"/>
    <w:rsid w:val="00EF5BC7"/>
    <w:rsid w:val="00F21340"/>
    <w:rsid w:val="00F657C5"/>
    <w:rsid w:val="00F70752"/>
    <w:rsid w:val="00F75E91"/>
    <w:rsid w:val="00F77510"/>
    <w:rsid w:val="00F85F9B"/>
    <w:rsid w:val="00F94DFF"/>
    <w:rsid w:val="00FA122A"/>
    <w:rsid w:val="00FA29A2"/>
    <w:rsid w:val="00FC22C2"/>
    <w:rsid w:val="00FC3EA8"/>
    <w:rsid w:val="00FC415F"/>
    <w:rsid w:val="00FD451E"/>
    <w:rsid w:val="00FD4D15"/>
    <w:rsid w:val="00FE1DFB"/>
    <w:rsid w:val="00FF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qFormat/>
    <w:rsid w:val="002A6083"/>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Style 7,Style 4,Footnote Reference1"/>
    <w:qFormat/>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semiHidden/>
    <w:rsid w:val="002A6083"/>
    <w:rPr>
      <w:lang w:val="en-US" w:eastAsia="en-US" w:bidi="ar-SA"/>
    </w:rPr>
  </w:style>
  <w:style w:type="paragraph" w:customStyle="1" w:styleId="StyleParaNum11pt">
    <w:name w:val="Style ParaNum + 11 pt"/>
    <w:basedOn w:val="ParaNum"/>
    <w:link w:val="StyleParaNum11ptChar"/>
    <w:autoRedefine/>
    <w:rsid w:val="006B57F5"/>
    <w:pPr>
      <w:widowControl/>
      <w:tabs>
        <w:tab w:val="num" w:pos="720"/>
      </w:tabs>
      <w:spacing w:after="120"/>
      <w:ind w:firstLine="630"/>
      <w:jc w:val="left"/>
    </w:pPr>
    <w:rPr>
      <w:szCs w:val="22"/>
    </w:rPr>
  </w:style>
  <w:style w:type="character" w:customStyle="1" w:styleId="StyleParaNum11ptChar">
    <w:name w:val="Style ParaNum + 11 pt Char"/>
    <w:link w:val="StyleParaNum11pt"/>
    <w:rsid w:val="006B57F5"/>
    <w:rPr>
      <w:sz w:val="22"/>
      <w:szCs w:val="22"/>
      <w:lang w:val="en-US" w:eastAsia="en-US" w:bidi="ar-SA"/>
    </w:rPr>
  </w:style>
  <w:style w:type="character" w:customStyle="1" w:styleId="text-blue1">
    <w:name w:val="text-blue1"/>
    <w:rsid w:val="006B57F5"/>
    <w:rPr>
      <w:rFonts w:ascii="Verdana" w:hAnsi="Verdana" w:hint="default"/>
      <w:color w:val="000099"/>
      <w:sz w:val="18"/>
      <w:szCs w:val="18"/>
    </w:rPr>
  </w:style>
  <w:style w:type="character" w:customStyle="1" w:styleId="ParaNumChar1">
    <w:name w:val="ParaNum Char1"/>
    <w:link w:val="ParaNum"/>
    <w:rsid w:val="00DA5BCD"/>
    <w:rPr>
      <w:sz w:val="22"/>
      <w:lang w:val="en-US" w:eastAsia="en-US" w:bidi="ar-SA"/>
    </w:rPr>
  </w:style>
  <w:style w:type="character" w:styleId="Hyperlink">
    <w:name w:val="Hyperlink"/>
    <w:rsid w:val="00EC6E0E"/>
    <w:rPr>
      <w:strike w:val="0"/>
      <w:dstrike w:val="0"/>
      <w:color w:val="145DA4"/>
      <w:u w:val="none"/>
      <w:effect w:val="none"/>
    </w:rPr>
  </w:style>
  <w:style w:type="character" w:styleId="Emphasis">
    <w:name w:val="Emphasis"/>
    <w:qFormat/>
    <w:rsid w:val="00EC6E0E"/>
    <w:rPr>
      <w:i/>
      <w:iCs/>
    </w:rPr>
  </w:style>
  <w:style w:type="character" w:customStyle="1" w:styleId="cosearchterm6">
    <w:name w:val="co_searchterm6"/>
    <w:rsid w:val="00EC6E0E"/>
    <w:rPr>
      <w:b/>
      <w:bCs/>
      <w:color w:val="252525"/>
    </w:rPr>
  </w:style>
  <w:style w:type="character" w:styleId="CommentReference">
    <w:name w:val="annotation reference"/>
    <w:semiHidden/>
    <w:rsid w:val="00FA29A2"/>
    <w:rPr>
      <w:sz w:val="16"/>
      <w:szCs w:val="16"/>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636BCA"/>
  </w:style>
  <w:style w:type="character" w:customStyle="1" w:styleId="StyleFootnoteReferenceofrAppelnotedebasdepStyle12NECG">
    <w:name w:val="Style Footnote ReferenceofrAppel note de bas de pStyle 12(NECG..."/>
    <w:rsid w:val="00CA4A0B"/>
    <w:rPr>
      <w:rFonts w:ascii="Times New Roman" w:hAnsi="Times New Roman"/>
      <w:dstrike w:val="0"/>
      <w:color w:val="000000"/>
      <w:sz w:val="22"/>
      <w:vertAlign w:val="superscript"/>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FD451E"/>
    <w:rPr>
      <w:lang w:val="en-US" w:eastAsia="en-US"/>
    </w:rPr>
  </w:style>
  <w:style w:type="paragraph" w:styleId="BalloonText">
    <w:name w:val="Balloon Text"/>
    <w:basedOn w:val="Normal"/>
    <w:link w:val="BalloonTextChar"/>
    <w:rsid w:val="00590790"/>
    <w:rPr>
      <w:rFonts w:ascii="Tahoma" w:hAnsi="Tahoma" w:cs="Tahoma"/>
      <w:sz w:val="16"/>
      <w:szCs w:val="16"/>
    </w:rPr>
  </w:style>
  <w:style w:type="character" w:customStyle="1" w:styleId="BalloonTextChar">
    <w:name w:val="Balloon Text Char"/>
    <w:link w:val="BalloonText"/>
    <w:rsid w:val="00590790"/>
    <w:rPr>
      <w:rFonts w:ascii="Tahoma" w:hAnsi="Tahoma" w:cs="Tahoma"/>
      <w:sz w:val="16"/>
      <w:szCs w:val="16"/>
    </w:rPr>
  </w:style>
  <w:style w:type="paragraph" w:styleId="CommentText">
    <w:name w:val="annotation text"/>
    <w:basedOn w:val="Normal"/>
    <w:link w:val="CommentTextChar"/>
    <w:rsid w:val="00033F3B"/>
    <w:rPr>
      <w:sz w:val="20"/>
    </w:rPr>
  </w:style>
  <w:style w:type="character" w:customStyle="1" w:styleId="CommentTextChar">
    <w:name w:val="Comment Text Char"/>
    <w:basedOn w:val="DefaultParagraphFont"/>
    <w:link w:val="CommentText"/>
    <w:rsid w:val="00033F3B"/>
  </w:style>
  <w:style w:type="paragraph" w:styleId="CommentSubject">
    <w:name w:val="annotation subject"/>
    <w:basedOn w:val="CommentText"/>
    <w:next w:val="CommentText"/>
    <w:link w:val="CommentSubjectChar"/>
    <w:rsid w:val="00033F3B"/>
    <w:rPr>
      <w:b/>
      <w:bCs/>
    </w:rPr>
  </w:style>
  <w:style w:type="character" w:customStyle="1" w:styleId="CommentSubjectChar">
    <w:name w:val="Comment Subject Char"/>
    <w:link w:val="CommentSubject"/>
    <w:rsid w:val="00033F3B"/>
    <w:rPr>
      <w:b/>
      <w:bCs/>
    </w:rPr>
  </w:style>
  <w:style w:type="character" w:customStyle="1" w:styleId="HeaderChar">
    <w:name w:val="Header Char"/>
    <w:link w:val="Header"/>
    <w:rsid w:val="00FF56BF"/>
    <w:rPr>
      <w:sz w:val="22"/>
    </w:rPr>
  </w:style>
  <w:style w:type="character" w:customStyle="1" w:styleId="FootnoteTextChar2CharChar">
    <w:name w:val="Footnote Text Char2 Char Char"/>
    <w:aliases w:val="Footnote Text Char3 Char Char Char,Footnote Text Char2 Char Char Char Char,Footnote Text Char Char Char1 Char Char Char Char,Footnote Text Char1 Char1 Char Char Char Char,fn Char"/>
    <w:rsid w:val="007A6390"/>
    <w:rPr>
      <w:snapToGrid w:val="0"/>
      <w:lang w:val="en-US" w:eastAsia="en-US" w:bidi="ar-SA"/>
    </w:rPr>
  </w:style>
  <w:style w:type="character" w:customStyle="1" w:styleId="displayhltextactive">
    <w:name w:val="display_hl_text_active"/>
    <w:basedOn w:val="DefaultParagraphFont"/>
    <w:rsid w:val="00C05EA9"/>
  </w:style>
  <w:style w:type="character" w:customStyle="1" w:styleId="apple-converted-space">
    <w:name w:val="apple-converted-space"/>
    <w:basedOn w:val="DefaultParagraphFont"/>
    <w:rsid w:val="00C05EA9"/>
  </w:style>
  <w:style w:type="character" w:customStyle="1" w:styleId="displayhltext">
    <w:name w:val="display_hl_text"/>
    <w:basedOn w:val="DefaultParagraphFont"/>
    <w:rsid w:val="00C05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qFormat/>
    <w:rsid w:val="002A6083"/>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Style 7,Style 4,Footnote Reference1"/>
    <w:qFormat/>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semiHidden/>
    <w:rsid w:val="002A6083"/>
    <w:rPr>
      <w:lang w:val="en-US" w:eastAsia="en-US" w:bidi="ar-SA"/>
    </w:rPr>
  </w:style>
  <w:style w:type="paragraph" w:customStyle="1" w:styleId="StyleParaNum11pt">
    <w:name w:val="Style ParaNum + 11 pt"/>
    <w:basedOn w:val="ParaNum"/>
    <w:link w:val="StyleParaNum11ptChar"/>
    <w:autoRedefine/>
    <w:rsid w:val="006B57F5"/>
    <w:pPr>
      <w:widowControl/>
      <w:tabs>
        <w:tab w:val="num" w:pos="720"/>
      </w:tabs>
      <w:spacing w:after="120"/>
      <w:ind w:firstLine="630"/>
      <w:jc w:val="left"/>
    </w:pPr>
    <w:rPr>
      <w:szCs w:val="22"/>
    </w:rPr>
  </w:style>
  <w:style w:type="character" w:customStyle="1" w:styleId="StyleParaNum11ptChar">
    <w:name w:val="Style ParaNum + 11 pt Char"/>
    <w:link w:val="StyleParaNum11pt"/>
    <w:rsid w:val="006B57F5"/>
    <w:rPr>
      <w:sz w:val="22"/>
      <w:szCs w:val="22"/>
      <w:lang w:val="en-US" w:eastAsia="en-US" w:bidi="ar-SA"/>
    </w:rPr>
  </w:style>
  <w:style w:type="character" w:customStyle="1" w:styleId="text-blue1">
    <w:name w:val="text-blue1"/>
    <w:rsid w:val="006B57F5"/>
    <w:rPr>
      <w:rFonts w:ascii="Verdana" w:hAnsi="Verdana" w:hint="default"/>
      <w:color w:val="000099"/>
      <w:sz w:val="18"/>
      <w:szCs w:val="18"/>
    </w:rPr>
  </w:style>
  <w:style w:type="character" w:customStyle="1" w:styleId="ParaNumChar1">
    <w:name w:val="ParaNum Char1"/>
    <w:link w:val="ParaNum"/>
    <w:rsid w:val="00DA5BCD"/>
    <w:rPr>
      <w:sz w:val="22"/>
      <w:lang w:val="en-US" w:eastAsia="en-US" w:bidi="ar-SA"/>
    </w:rPr>
  </w:style>
  <w:style w:type="character" w:styleId="Hyperlink">
    <w:name w:val="Hyperlink"/>
    <w:rsid w:val="00EC6E0E"/>
    <w:rPr>
      <w:strike w:val="0"/>
      <w:dstrike w:val="0"/>
      <w:color w:val="145DA4"/>
      <w:u w:val="none"/>
      <w:effect w:val="none"/>
    </w:rPr>
  </w:style>
  <w:style w:type="character" w:styleId="Emphasis">
    <w:name w:val="Emphasis"/>
    <w:qFormat/>
    <w:rsid w:val="00EC6E0E"/>
    <w:rPr>
      <w:i/>
      <w:iCs/>
    </w:rPr>
  </w:style>
  <w:style w:type="character" w:customStyle="1" w:styleId="cosearchterm6">
    <w:name w:val="co_searchterm6"/>
    <w:rsid w:val="00EC6E0E"/>
    <w:rPr>
      <w:b/>
      <w:bCs/>
      <w:color w:val="252525"/>
    </w:rPr>
  </w:style>
  <w:style w:type="character" w:styleId="CommentReference">
    <w:name w:val="annotation reference"/>
    <w:semiHidden/>
    <w:rsid w:val="00FA29A2"/>
    <w:rPr>
      <w:sz w:val="16"/>
      <w:szCs w:val="16"/>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636BCA"/>
  </w:style>
  <w:style w:type="character" w:customStyle="1" w:styleId="StyleFootnoteReferenceofrAppelnotedebasdepStyle12NECG">
    <w:name w:val="Style Footnote ReferenceofrAppel note de bas de pStyle 12(NECG..."/>
    <w:rsid w:val="00CA4A0B"/>
    <w:rPr>
      <w:rFonts w:ascii="Times New Roman" w:hAnsi="Times New Roman"/>
      <w:dstrike w:val="0"/>
      <w:color w:val="000000"/>
      <w:sz w:val="22"/>
      <w:vertAlign w:val="superscript"/>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FD451E"/>
    <w:rPr>
      <w:lang w:val="en-US" w:eastAsia="en-US"/>
    </w:rPr>
  </w:style>
  <w:style w:type="paragraph" w:styleId="BalloonText">
    <w:name w:val="Balloon Text"/>
    <w:basedOn w:val="Normal"/>
    <w:link w:val="BalloonTextChar"/>
    <w:rsid w:val="00590790"/>
    <w:rPr>
      <w:rFonts w:ascii="Tahoma" w:hAnsi="Tahoma" w:cs="Tahoma"/>
      <w:sz w:val="16"/>
      <w:szCs w:val="16"/>
    </w:rPr>
  </w:style>
  <w:style w:type="character" w:customStyle="1" w:styleId="BalloonTextChar">
    <w:name w:val="Balloon Text Char"/>
    <w:link w:val="BalloonText"/>
    <w:rsid w:val="00590790"/>
    <w:rPr>
      <w:rFonts w:ascii="Tahoma" w:hAnsi="Tahoma" w:cs="Tahoma"/>
      <w:sz w:val="16"/>
      <w:szCs w:val="16"/>
    </w:rPr>
  </w:style>
  <w:style w:type="paragraph" w:styleId="CommentText">
    <w:name w:val="annotation text"/>
    <w:basedOn w:val="Normal"/>
    <w:link w:val="CommentTextChar"/>
    <w:rsid w:val="00033F3B"/>
    <w:rPr>
      <w:sz w:val="20"/>
    </w:rPr>
  </w:style>
  <w:style w:type="character" w:customStyle="1" w:styleId="CommentTextChar">
    <w:name w:val="Comment Text Char"/>
    <w:basedOn w:val="DefaultParagraphFont"/>
    <w:link w:val="CommentText"/>
    <w:rsid w:val="00033F3B"/>
  </w:style>
  <w:style w:type="paragraph" w:styleId="CommentSubject">
    <w:name w:val="annotation subject"/>
    <w:basedOn w:val="CommentText"/>
    <w:next w:val="CommentText"/>
    <w:link w:val="CommentSubjectChar"/>
    <w:rsid w:val="00033F3B"/>
    <w:rPr>
      <w:b/>
      <w:bCs/>
    </w:rPr>
  </w:style>
  <w:style w:type="character" w:customStyle="1" w:styleId="CommentSubjectChar">
    <w:name w:val="Comment Subject Char"/>
    <w:link w:val="CommentSubject"/>
    <w:rsid w:val="00033F3B"/>
    <w:rPr>
      <w:b/>
      <w:bCs/>
    </w:rPr>
  </w:style>
  <w:style w:type="character" w:customStyle="1" w:styleId="HeaderChar">
    <w:name w:val="Header Char"/>
    <w:link w:val="Header"/>
    <w:rsid w:val="00FF56BF"/>
    <w:rPr>
      <w:sz w:val="22"/>
    </w:rPr>
  </w:style>
  <w:style w:type="character" w:customStyle="1" w:styleId="FootnoteTextChar2CharChar">
    <w:name w:val="Footnote Text Char2 Char Char"/>
    <w:aliases w:val="Footnote Text Char3 Char Char Char,Footnote Text Char2 Char Char Char Char,Footnote Text Char Char Char1 Char Char Char Char,Footnote Text Char1 Char1 Char Char Char Char,fn Char"/>
    <w:rsid w:val="007A6390"/>
    <w:rPr>
      <w:snapToGrid w:val="0"/>
      <w:lang w:val="en-US" w:eastAsia="en-US" w:bidi="ar-SA"/>
    </w:rPr>
  </w:style>
  <w:style w:type="character" w:customStyle="1" w:styleId="displayhltextactive">
    <w:name w:val="display_hl_text_active"/>
    <w:basedOn w:val="DefaultParagraphFont"/>
    <w:rsid w:val="00C05EA9"/>
  </w:style>
  <w:style w:type="character" w:customStyle="1" w:styleId="apple-converted-space">
    <w:name w:val="apple-converted-space"/>
    <w:basedOn w:val="DefaultParagraphFont"/>
    <w:rsid w:val="00C05EA9"/>
  </w:style>
  <w:style w:type="character" w:customStyle="1" w:styleId="displayhltext">
    <w:name w:val="display_hl_text"/>
    <w:basedOn w:val="DefaultParagraphFont"/>
    <w:rsid w:val="00C0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9496">
      <w:bodyDiv w:val="1"/>
      <w:marLeft w:val="0"/>
      <w:marRight w:val="0"/>
      <w:marTop w:val="0"/>
      <w:marBottom w:val="0"/>
      <w:divBdr>
        <w:top w:val="none" w:sz="0" w:space="0" w:color="auto"/>
        <w:left w:val="none" w:sz="0" w:space="0" w:color="auto"/>
        <w:bottom w:val="none" w:sz="0" w:space="0" w:color="auto"/>
        <w:right w:val="none" w:sz="0" w:space="0" w:color="auto"/>
      </w:divBdr>
      <w:divsChild>
        <w:div w:id="79185545">
          <w:marLeft w:val="0"/>
          <w:marRight w:val="0"/>
          <w:marTop w:val="0"/>
          <w:marBottom w:val="0"/>
          <w:divBdr>
            <w:top w:val="none" w:sz="0" w:space="0" w:color="auto"/>
            <w:left w:val="single" w:sz="4" w:space="0" w:color="BBBBBB"/>
            <w:bottom w:val="single" w:sz="4" w:space="0" w:color="BBBBBB"/>
            <w:right w:val="single" w:sz="4" w:space="0" w:color="BBBBBB"/>
          </w:divBdr>
          <w:divsChild>
            <w:div w:id="361636179">
              <w:marLeft w:val="0"/>
              <w:marRight w:val="0"/>
              <w:marTop w:val="0"/>
              <w:marBottom w:val="0"/>
              <w:divBdr>
                <w:top w:val="none" w:sz="0" w:space="0" w:color="auto"/>
                <w:left w:val="none" w:sz="0" w:space="0" w:color="auto"/>
                <w:bottom w:val="none" w:sz="0" w:space="0" w:color="auto"/>
                <w:right w:val="none" w:sz="0" w:space="0" w:color="auto"/>
              </w:divBdr>
              <w:divsChild>
                <w:div w:id="448090145">
                  <w:marLeft w:val="0"/>
                  <w:marRight w:val="0"/>
                  <w:marTop w:val="0"/>
                  <w:marBottom w:val="0"/>
                  <w:divBdr>
                    <w:top w:val="none" w:sz="0" w:space="0" w:color="auto"/>
                    <w:left w:val="none" w:sz="0" w:space="0" w:color="auto"/>
                    <w:bottom w:val="none" w:sz="0" w:space="0" w:color="auto"/>
                    <w:right w:val="none" w:sz="0" w:space="0" w:color="auto"/>
                  </w:divBdr>
                  <w:divsChild>
                    <w:div w:id="748431640">
                      <w:marLeft w:val="0"/>
                      <w:marRight w:val="0"/>
                      <w:marTop w:val="0"/>
                      <w:marBottom w:val="0"/>
                      <w:divBdr>
                        <w:top w:val="none" w:sz="0" w:space="0" w:color="auto"/>
                        <w:left w:val="none" w:sz="0" w:space="0" w:color="auto"/>
                        <w:bottom w:val="none" w:sz="0" w:space="0" w:color="auto"/>
                        <w:right w:val="none" w:sz="0" w:space="0" w:color="auto"/>
                      </w:divBdr>
                      <w:divsChild>
                        <w:div w:id="609894542">
                          <w:marLeft w:val="0"/>
                          <w:marRight w:val="0"/>
                          <w:marTop w:val="0"/>
                          <w:marBottom w:val="0"/>
                          <w:divBdr>
                            <w:top w:val="none" w:sz="0" w:space="0" w:color="auto"/>
                            <w:left w:val="none" w:sz="0" w:space="0" w:color="auto"/>
                            <w:bottom w:val="none" w:sz="0" w:space="0" w:color="auto"/>
                            <w:right w:val="none" w:sz="0" w:space="0" w:color="auto"/>
                          </w:divBdr>
                          <w:divsChild>
                            <w:div w:id="1349527239">
                              <w:marLeft w:val="0"/>
                              <w:marRight w:val="0"/>
                              <w:marTop w:val="0"/>
                              <w:marBottom w:val="0"/>
                              <w:divBdr>
                                <w:top w:val="none" w:sz="0" w:space="0" w:color="auto"/>
                                <w:left w:val="none" w:sz="0" w:space="0" w:color="auto"/>
                                <w:bottom w:val="none" w:sz="0" w:space="0" w:color="auto"/>
                                <w:right w:val="none" w:sz="0" w:space="0" w:color="auto"/>
                              </w:divBdr>
                              <w:divsChild>
                                <w:div w:id="1688673321">
                                  <w:marLeft w:val="0"/>
                                  <w:marRight w:val="0"/>
                                  <w:marTop w:val="0"/>
                                  <w:marBottom w:val="0"/>
                                  <w:divBdr>
                                    <w:top w:val="none" w:sz="0" w:space="0" w:color="auto"/>
                                    <w:left w:val="none" w:sz="0" w:space="0" w:color="auto"/>
                                    <w:bottom w:val="none" w:sz="0" w:space="0" w:color="auto"/>
                                    <w:right w:val="none" w:sz="0" w:space="0" w:color="auto"/>
                                  </w:divBdr>
                                  <w:divsChild>
                                    <w:div w:id="791244330">
                                      <w:marLeft w:val="0"/>
                                      <w:marRight w:val="0"/>
                                      <w:marTop w:val="0"/>
                                      <w:marBottom w:val="0"/>
                                      <w:divBdr>
                                        <w:top w:val="none" w:sz="0" w:space="0" w:color="auto"/>
                                        <w:left w:val="none" w:sz="0" w:space="0" w:color="auto"/>
                                        <w:bottom w:val="none" w:sz="0" w:space="0" w:color="auto"/>
                                        <w:right w:val="none" w:sz="0" w:space="0" w:color="auto"/>
                                      </w:divBdr>
                                      <w:divsChild>
                                        <w:div w:id="1329287351">
                                          <w:marLeft w:val="1038"/>
                                          <w:marRight w:val="1038"/>
                                          <w:marTop w:val="0"/>
                                          <w:marBottom w:val="0"/>
                                          <w:divBdr>
                                            <w:top w:val="none" w:sz="0" w:space="0" w:color="auto"/>
                                            <w:left w:val="none" w:sz="0" w:space="0" w:color="auto"/>
                                            <w:bottom w:val="none" w:sz="0" w:space="0" w:color="auto"/>
                                            <w:right w:val="none" w:sz="0" w:space="0" w:color="auto"/>
                                          </w:divBdr>
                                          <w:divsChild>
                                            <w:div w:id="900365109">
                                              <w:marLeft w:val="0"/>
                                              <w:marRight w:val="0"/>
                                              <w:marTop w:val="0"/>
                                              <w:marBottom w:val="0"/>
                                              <w:divBdr>
                                                <w:top w:val="none" w:sz="0" w:space="0" w:color="auto"/>
                                                <w:left w:val="none" w:sz="0" w:space="0" w:color="auto"/>
                                                <w:bottom w:val="none" w:sz="0" w:space="0" w:color="auto"/>
                                                <w:right w:val="none" w:sz="0" w:space="0" w:color="auto"/>
                                              </w:divBdr>
                                              <w:divsChild>
                                                <w:div w:id="1588265485">
                                                  <w:marLeft w:val="0"/>
                                                  <w:marRight w:val="0"/>
                                                  <w:marTop w:val="0"/>
                                                  <w:marBottom w:val="0"/>
                                                  <w:divBdr>
                                                    <w:top w:val="none" w:sz="0" w:space="0" w:color="auto"/>
                                                    <w:left w:val="none" w:sz="0" w:space="0" w:color="auto"/>
                                                    <w:bottom w:val="none" w:sz="0" w:space="0" w:color="auto"/>
                                                    <w:right w:val="none" w:sz="0" w:space="0" w:color="auto"/>
                                                  </w:divBdr>
                                                  <w:divsChild>
                                                    <w:div w:id="1147167917">
                                                      <w:marLeft w:val="0"/>
                                                      <w:marRight w:val="0"/>
                                                      <w:marTop w:val="0"/>
                                                      <w:marBottom w:val="0"/>
                                                      <w:divBdr>
                                                        <w:top w:val="none" w:sz="0" w:space="0" w:color="auto"/>
                                                        <w:left w:val="none" w:sz="0" w:space="0" w:color="auto"/>
                                                        <w:bottom w:val="none" w:sz="0" w:space="0" w:color="auto"/>
                                                        <w:right w:val="none" w:sz="0" w:space="0" w:color="auto"/>
                                                      </w:divBdr>
                                                      <w:divsChild>
                                                        <w:div w:id="492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5980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6992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2012-12-18T17:32:00Z</cp:lastPrinted>
  <dcterms:created xsi:type="dcterms:W3CDTF">2015-12-10T17:06:00Z</dcterms:created>
  <dcterms:modified xsi:type="dcterms:W3CDTF">2015-12-10T17:06:00Z</dcterms:modified>
  <cp:category> </cp:category>
  <cp:contentStatus> </cp:contentStatus>
</cp:coreProperties>
</file>