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2C" w:rsidRDefault="008B062C">
      <w:pPr>
        <w:jc w:val="center"/>
        <w:rPr>
          <w:b/>
        </w:rPr>
      </w:pPr>
      <w:bookmarkStart w:id="0" w:name="_GoBack"/>
      <w:bookmarkEnd w:id="0"/>
      <w:r>
        <w:rPr>
          <w:rFonts w:ascii="Times New Roman Bold" w:hAnsi="Times New Roman Bold"/>
          <w:b/>
        </w:rPr>
        <w:t>Before</w:t>
      </w:r>
      <w:r>
        <w:rPr>
          <w:b/>
        </w:rPr>
        <w:t xml:space="preserve"> the</w:t>
      </w:r>
    </w:p>
    <w:p w:rsidR="008B062C" w:rsidRDefault="008B062C">
      <w:pPr>
        <w:pStyle w:val="StyleBoldCentered"/>
        <w:rPr>
          <w:caps w:val="0"/>
        </w:rPr>
      </w:pPr>
      <w:r>
        <w:t>F</w:t>
      </w:r>
      <w:r>
        <w:rPr>
          <w:caps w:val="0"/>
        </w:rPr>
        <w:t>ederal Communications Commission</w:t>
      </w:r>
    </w:p>
    <w:p w:rsidR="008B062C" w:rsidRDefault="008B062C">
      <w:pPr>
        <w:pStyle w:val="StyleBoldCentered"/>
      </w:pPr>
      <w:r>
        <w:rPr>
          <w:caps w:val="0"/>
        </w:rPr>
        <w:t xml:space="preserve">Washington, </w:t>
      </w:r>
      <w:r>
        <w:t>D.C. 20554</w:t>
      </w:r>
    </w:p>
    <w:p w:rsidR="008B062C" w:rsidRDefault="008B062C"/>
    <w:p w:rsidR="008B062C" w:rsidRDefault="008B062C"/>
    <w:tbl>
      <w:tblPr>
        <w:tblW w:w="0" w:type="auto"/>
        <w:tblLayout w:type="fixed"/>
        <w:tblLook w:val="0000" w:firstRow="0" w:lastRow="0" w:firstColumn="0" w:lastColumn="0" w:noHBand="0" w:noVBand="0"/>
      </w:tblPr>
      <w:tblGrid>
        <w:gridCol w:w="4698"/>
        <w:gridCol w:w="630"/>
        <w:gridCol w:w="4248"/>
      </w:tblGrid>
      <w:tr w:rsidR="008B062C">
        <w:tc>
          <w:tcPr>
            <w:tcW w:w="4698" w:type="dxa"/>
          </w:tcPr>
          <w:p w:rsidR="008B062C" w:rsidRDefault="008B062C">
            <w:pPr>
              <w:tabs>
                <w:tab w:val="center" w:pos="4680"/>
              </w:tabs>
              <w:suppressAutoHyphens/>
              <w:rPr>
                <w:spacing w:val="-2"/>
              </w:rPr>
            </w:pPr>
            <w:r>
              <w:rPr>
                <w:spacing w:val="-2"/>
              </w:rPr>
              <w:t>In the Matter of</w:t>
            </w:r>
          </w:p>
          <w:p w:rsidR="008B062C" w:rsidRDefault="008B062C">
            <w:pPr>
              <w:tabs>
                <w:tab w:val="center" w:pos="4680"/>
              </w:tabs>
              <w:suppressAutoHyphens/>
              <w:rPr>
                <w:spacing w:val="-2"/>
              </w:rPr>
            </w:pPr>
          </w:p>
          <w:p w:rsidR="00D446EB" w:rsidRDefault="00D446EB" w:rsidP="00D446EB">
            <w:pPr>
              <w:tabs>
                <w:tab w:val="center" w:pos="4680"/>
              </w:tabs>
              <w:suppressAutoHyphens/>
              <w:rPr>
                <w:spacing w:val="-2"/>
              </w:rPr>
            </w:pPr>
            <w:r>
              <w:rPr>
                <w:spacing w:val="-2"/>
              </w:rPr>
              <w:t xml:space="preserve">Speech-to-Speech and Internet Protocol (IP) Speech-to-Speech </w:t>
            </w:r>
            <w:r w:rsidR="008B062C">
              <w:rPr>
                <w:spacing w:val="-2"/>
              </w:rPr>
              <w:t>Te</w:t>
            </w:r>
            <w:r>
              <w:rPr>
                <w:spacing w:val="-2"/>
              </w:rPr>
              <w:t>lecommunications Relay Services</w:t>
            </w:r>
          </w:p>
          <w:p w:rsidR="008B062C" w:rsidRDefault="008B062C">
            <w:pPr>
              <w:tabs>
                <w:tab w:val="center" w:pos="4680"/>
              </w:tabs>
              <w:suppressAutoHyphens/>
              <w:rPr>
                <w:spacing w:val="-2"/>
              </w:rPr>
            </w:pPr>
          </w:p>
          <w:p w:rsidR="008B062C" w:rsidRDefault="00D446EB" w:rsidP="00C75CD1">
            <w:pPr>
              <w:tabs>
                <w:tab w:val="center" w:pos="4680"/>
              </w:tabs>
              <w:suppressAutoHyphens/>
              <w:rPr>
                <w:spacing w:val="-2"/>
              </w:rPr>
            </w:pPr>
            <w:r>
              <w:rPr>
                <w:spacing w:val="-2"/>
              </w:rPr>
              <w:t>Telecommunications Relay Services and Speech</w:t>
            </w:r>
            <w:r w:rsidR="00C75CD1">
              <w:rPr>
                <w:spacing w:val="-2"/>
              </w:rPr>
              <w:noBreakHyphen/>
            </w:r>
            <w:r>
              <w:rPr>
                <w:spacing w:val="-2"/>
              </w:rPr>
              <w:t>to-Speech Services for Individuals with Hearing and Speech Disabilities</w:t>
            </w:r>
            <w:r w:rsidR="008B062C">
              <w:rPr>
                <w:spacing w:val="-2"/>
              </w:rPr>
              <w:t xml:space="preserve"> </w:t>
            </w:r>
          </w:p>
        </w:tc>
        <w:tc>
          <w:tcPr>
            <w:tcW w:w="630" w:type="dxa"/>
          </w:tcPr>
          <w:p w:rsidR="008B062C" w:rsidRDefault="008B062C">
            <w:pPr>
              <w:tabs>
                <w:tab w:val="center" w:pos="4680"/>
              </w:tabs>
              <w:suppressAutoHyphens/>
              <w:rPr>
                <w:b/>
                <w:spacing w:val="-2"/>
              </w:rPr>
            </w:pPr>
            <w:r>
              <w:rPr>
                <w:b/>
                <w:spacing w:val="-2"/>
              </w:rPr>
              <w:t>)</w:t>
            </w:r>
          </w:p>
          <w:p w:rsidR="008B062C" w:rsidRDefault="008B062C">
            <w:pPr>
              <w:tabs>
                <w:tab w:val="center" w:pos="4680"/>
              </w:tabs>
              <w:suppressAutoHyphens/>
              <w:rPr>
                <w:b/>
                <w:spacing w:val="-2"/>
              </w:rPr>
            </w:pPr>
            <w:r>
              <w:rPr>
                <w:b/>
                <w:spacing w:val="-2"/>
              </w:rPr>
              <w:t>)</w:t>
            </w:r>
          </w:p>
          <w:p w:rsidR="008B062C" w:rsidRDefault="008B062C">
            <w:pPr>
              <w:tabs>
                <w:tab w:val="center" w:pos="4680"/>
              </w:tabs>
              <w:suppressAutoHyphens/>
              <w:rPr>
                <w:b/>
                <w:spacing w:val="-2"/>
              </w:rPr>
            </w:pPr>
            <w:r>
              <w:rPr>
                <w:b/>
                <w:spacing w:val="-2"/>
              </w:rPr>
              <w:t>)</w:t>
            </w:r>
          </w:p>
          <w:p w:rsidR="008B062C" w:rsidRDefault="008B062C">
            <w:pPr>
              <w:tabs>
                <w:tab w:val="center" w:pos="4680"/>
              </w:tabs>
              <w:suppressAutoHyphens/>
              <w:rPr>
                <w:b/>
                <w:spacing w:val="-2"/>
              </w:rPr>
            </w:pPr>
            <w:r>
              <w:rPr>
                <w:b/>
                <w:spacing w:val="-2"/>
              </w:rPr>
              <w:t>)</w:t>
            </w:r>
          </w:p>
          <w:p w:rsidR="008B062C" w:rsidRDefault="008B062C">
            <w:pPr>
              <w:tabs>
                <w:tab w:val="center" w:pos="4680"/>
              </w:tabs>
              <w:suppressAutoHyphens/>
              <w:rPr>
                <w:b/>
                <w:spacing w:val="-2"/>
              </w:rPr>
            </w:pPr>
            <w:r>
              <w:rPr>
                <w:b/>
                <w:spacing w:val="-2"/>
              </w:rPr>
              <w:t>)</w:t>
            </w:r>
          </w:p>
          <w:p w:rsidR="008B062C" w:rsidRDefault="008B062C">
            <w:pPr>
              <w:tabs>
                <w:tab w:val="center" w:pos="4680"/>
              </w:tabs>
              <w:suppressAutoHyphens/>
              <w:rPr>
                <w:b/>
                <w:spacing w:val="-2"/>
              </w:rPr>
            </w:pPr>
            <w:r>
              <w:rPr>
                <w:b/>
                <w:spacing w:val="-2"/>
              </w:rPr>
              <w:t>)</w:t>
            </w:r>
          </w:p>
          <w:p w:rsidR="008B062C" w:rsidRDefault="008B062C">
            <w:pPr>
              <w:tabs>
                <w:tab w:val="center" w:pos="4680"/>
              </w:tabs>
              <w:suppressAutoHyphens/>
              <w:rPr>
                <w:b/>
                <w:spacing w:val="-2"/>
              </w:rPr>
            </w:pPr>
            <w:r>
              <w:rPr>
                <w:b/>
                <w:spacing w:val="-2"/>
              </w:rPr>
              <w:t>)</w:t>
            </w:r>
          </w:p>
          <w:p w:rsidR="008B062C" w:rsidRDefault="008B062C">
            <w:pPr>
              <w:tabs>
                <w:tab w:val="center" w:pos="4680"/>
              </w:tabs>
              <w:suppressAutoHyphens/>
              <w:rPr>
                <w:b/>
                <w:spacing w:val="-2"/>
              </w:rPr>
            </w:pPr>
            <w:r>
              <w:rPr>
                <w:b/>
                <w:spacing w:val="-2"/>
              </w:rPr>
              <w:t>)</w:t>
            </w:r>
          </w:p>
          <w:p w:rsidR="008B062C" w:rsidRPr="00542A30" w:rsidRDefault="00BF3571">
            <w:pPr>
              <w:tabs>
                <w:tab w:val="center" w:pos="4680"/>
              </w:tabs>
              <w:suppressAutoHyphens/>
              <w:rPr>
                <w:b/>
                <w:spacing w:val="-2"/>
              </w:rPr>
            </w:pPr>
            <w:r w:rsidRPr="00542A30">
              <w:rPr>
                <w:b/>
                <w:spacing w:val="-2"/>
              </w:rPr>
              <w:t>)</w:t>
            </w:r>
          </w:p>
        </w:tc>
        <w:tc>
          <w:tcPr>
            <w:tcW w:w="4248" w:type="dxa"/>
          </w:tcPr>
          <w:p w:rsidR="008B062C" w:rsidRDefault="008B062C">
            <w:pPr>
              <w:tabs>
                <w:tab w:val="center" w:pos="4680"/>
              </w:tabs>
              <w:suppressAutoHyphens/>
              <w:rPr>
                <w:spacing w:val="-2"/>
              </w:rPr>
            </w:pPr>
          </w:p>
          <w:p w:rsidR="008B062C" w:rsidRDefault="008B062C">
            <w:pPr>
              <w:pStyle w:val="TOAHeading"/>
              <w:tabs>
                <w:tab w:val="clear" w:pos="9360"/>
                <w:tab w:val="center" w:pos="4680"/>
              </w:tabs>
              <w:rPr>
                <w:spacing w:val="-2"/>
              </w:rPr>
            </w:pPr>
          </w:p>
          <w:p w:rsidR="008B062C" w:rsidRDefault="008B062C">
            <w:pPr>
              <w:tabs>
                <w:tab w:val="center" w:pos="4680"/>
              </w:tabs>
              <w:suppressAutoHyphens/>
              <w:rPr>
                <w:spacing w:val="-2"/>
              </w:rPr>
            </w:pPr>
            <w:r>
              <w:rPr>
                <w:spacing w:val="-2"/>
              </w:rPr>
              <w:t>CG Docket No. 0</w:t>
            </w:r>
            <w:r w:rsidR="00D446EB">
              <w:rPr>
                <w:spacing w:val="-2"/>
              </w:rPr>
              <w:t>8</w:t>
            </w:r>
            <w:r>
              <w:rPr>
                <w:spacing w:val="-2"/>
              </w:rPr>
              <w:t>-1</w:t>
            </w:r>
            <w:r w:rsidR="00D446EB">
              <w:rPr>
                <w:spacing w:val="-2"/>
              </w:rPr>
              <w:t>5</w:t>
            </w:r>
          </w:p>
          <w:p w:rsidR="008B062C" w:rsidRDefault="008B062C">
            <w:pPr>
              <w:tabs>
                <w:tab w:val="center" w:pos="4680"/>
              </w:tabs>
              <w:suppressAutoHyphens/>
              <w:rPr>
                <w:spacing w:val="-2"/>
              </w:rPr>
            </w:pPr>
          </w:p>
          <w:p w:rsidR="008B062C" w:rsidRDefault="008B062C">
            <w:pPr>
              <w:tabs>
                <w:tab w:val="center" w:pos="4680"/>
              </w:tabs>
              <w:suppressAutoHyphens/>
              <w:rPr>
                <w:spacing w:val="-2"/>
              </w:rPr>
            </w:pPr>
          </w:p>
          <w:p w:rsidR="008B062C" w:rsidRDefault="008B062C">
            <w:pPr>
              <w:tabs>
                <w:tab w:val="center" w:pos="4680"/>
              </w:tabs>
              <w:suppressAutoHyphens/>
              <w:rPr>
                <w:spacing w:val="-2"/>
              </w:rPr>
            </w:pPr>
          </w:p>
          <w:p w:rsidR="008B062C" w:rsidRDefault="00D446EB" w:rsidP="00D446EB">
            <w:pPr>
              <w:tabs>
                <w:tab w:val="center" w:pos="4680"/>
              </w:tabs>
              <w:suppressAutoHyphens/>
              <w:rPr>
                <w:spacing w:val="-2"/>
              </w:rPr>
            </w:pPr>
            <w:r>
              <w:rPr>
                <w:spacing w:val="-2"/>
              </w:rPr>
              <w:t>CG</w:t>
            </w:r>
            <w:r w:rsidR="008B062C">
              <w:rPr>
                <w:spacing w:val="-2"/>
              </w:rPr>
              <w:t xml:space="preserve"> Docket No. 0</w:t>
            </w:r>
            <w:r>
              <w:rPr>
                <w:spacing w:val="-2"/>
              </w:rPr>
              <w:t>3</w:t>
            </w:r>
            <w:r w:rsidR="008B062C">
              <w:rPr>
                <w:spacing w:val="-2"/>
              </w:rPr>
              <w:t>-1</w:t>
            </w:r>
            <w:r>
              <w:rPr>
                <w:spacing w:val="-2"/>
              </w:rPr>
              <w:t>23</w:t>
            </w:r>
          </w:p>
        </w:tc>
      </w:tr>
    </w:tbl>
    <w:p w:rsidR="008B062C" w:rsidRDefault="008B062C"/>
    <w:p w:rsidR="008B062C" w:rsidRDefault="008B062C">
      <w:pPr>
        <w:pStyle w:val="StyleBoldCentered"/>
      </w:pPr>
      <w:r>
        <w:t>order</w:t>
      </w:r>
    </w:p>
    <w:p w:rsidR="008B062C" w:rsidRDefault="008B062C">
      <w:pPr>
        <w:tabs>
          <w:tab w:val="left" w:pos="-720"/>
        </w:tabs>
        <w:suppressAutoHyphens/>
        <w:spacing w:line="227" w:lineRule="auto"/>
        <w:rPr>
          <w:spacing w:val="-2"/>
        </w:rPr>
      </w:pPr>
    </w:p>
    <w:p w:rsidR="008B062C" w:rsidRDefault="008B062C">
      <w:pPr>
        <w:tabs>
          <w:tab w:val="left" w:pos="720"/>
          <w:tab w:val="left" w:pos="5760"/>
        </w:tabs>
        <w:suppressAutoHyphens/>
        <w:spacing w:line="227" w:lineRule="auto"/>
        <w:rPr>
          <w:spacing w:val="-2"/>
        </w:rPr>
      </w:pPr>
      <w:r w:rsidRPr="00E01F57">
        <w:rPr>
          <w:b/>
          <w:spacing w:val="-2"/>
        </w:rPr>
        <w:t xml:space="preserve">Adopted:  </w:t>
      </w:r>
      <w:r w:rsidR="00160487">
        <w:rPr>
          <w:b/>
          <w:spacing w:val="-2"/>
        </w:rPr>
        <w:t>January 30</w:t>
      </w:r>
      <w:r w:rsidR="00E01F57" w:rsidRPr="00E01F57">
        <w:rPr>
          <w:b/>
          <w:spacing w:val="-2"/>
        </w:rPr>
        <w:t>, 201</w:t>
      </w:r>
      <w:r w:rsidR="00B73330">
        <w:rPr>
          <w:b/>
          <w:spacing w:val="-2"/>
        </w:rPr>
        <w:t>5</w:t>
      </w:r>
      <w:r w:rsidRPr="00E01F57">
        <w:rPr>
          <w:b/>
          <w:spacing w:val="-2"/>
        </w:rPr>
        <w:tab/>
        <w:t>Released</w:t>
      </w:r>
      <w:r w:rsidR="00E01F57" w:rsidRPr="00E01F57">
        <w:rPr>
          <w:b/>
          <w:spacing w:val="-2"/>
        </w:rPr>
        <w:t xml:space="preserve">:  </w:t>
      </w:r>
      <w:r w:rsidR="00160487">
        <w:rPr>
          <w:b/>
          <w:spacing w:val="-2"/>
        </w:rPr>
        <w:t>January 30</w:t>
      </w:r>
      <w:r w:rsidR="00E01F57">
        <w:rPr>
          <w:b/>
          <w:spacing w:val="-2"/>
        </w:rPr>
        <w:t>, 201</w:t>
      </w:r>
      <w:r w:rsidR="00B73330">
        <w:rPr>
          <w:b/>
          <w:spacing w:val="-2"/>
        </w:rPr>
        <w:t>5</w:t>
      </w:r>
      <w:r w:rsidR="00E01F57">
        <w:rPr>
          <w:b/>
          <w:spacing w:val="-2"/>
        </w:rPr>
        <w:t xml:space="preserve"> </w:t>
      </w:r>
    </w:p>
    <w:p w:rsidR="008B062C" w:rsidRDefault="008B062C"/>
    <w:p w:rsidR="000A3EF9" w:rsidRDefault="008B062C">
      <w:pPr>
        <w:rPr>
          <w:spacing w:val="-2"/>
        </w:rPr>
      </w:pPr>
      <w:r>
        <w:t xml:space="preserve">By the </w:t>
      </w:r>
      <w:r w:rsidR="00F719E1">
        <w:rPr>
          <w:spacing w:val="-2"/>
        </w:rPr>
        <w:t>Acting Chief, Consumer and Governmental Affairs Bureau</w:t>
      </w:r>
      <w:r>
        <w:rPr>
          <w:spacing w:val="-2"/>
        </w:rPr>
        <w:t>:</w:t>
      </w:r>
    </w:p>
    <w:p w:rsidR="000A3EF9" w:rsidRDefault="000A3EF9">
      <w:pPr>
        <w:rPr>
          <w:spacing w:val="-2"/>
        </w:rPr>
      </w:pPr>
    </w:p>
    <w:p w:rsidR="008B062C" w:rsidRDefault="00F719E1" w:rsidP="002203F9">
      <w:pPr>
        <w:pStyle w:val="ParaNum"/>
      </w:pPr>
      <w:r w:rsidRPr="00F719E1">
        <w:t xml:space="preserve">In this Order, </w:t>
      </w:r>
      <w:r>
        <w:t>the Consumer and Governmental Affairs Bureau (CGB</w:t>
      </w:r>
      <w:r w:rsidR="00EF5F58">
        <w:t xml:space="preserve"> or Bureau</w:t>
      </w:r>
      <w:r>
        <w:t>)</w:t>
      </w:r>
      <w:r w:rsidRPr="00F719E1">
        <w:t xml:space="preserve"> </w:t>
      </w:r>
      <w:r w:rsidR="00F43BD6">
        <w:t xml:space="preserve">denies a request for clarification by </w:t>
      </w:r>
      <w:r w:rsidR="00F43BD6" w:rsidRPr="00F719E1">
        <w:t>AT&amp;T Services, Inc</w:t>
      </w:r>
      <w:r w:rsidR="00F43BD6">
        <w:t>.</w:t>
      </w:r>
      <w:r w:rsidR="00F43BD6" w:rsidRPr="00F719E1">
        <w:t xml:space="preserve"> (AT&amp;T)</w:t>
      </w:r>
      <w:r w:rsidR="00F43BD6">
        <w:t xml:space="preserve"> that its method of </w:t>
      </w:r>
      <w:r w:rsidR="009B16CE">
        <w:t xml:space="preserve">muting the voices of </w:t>
      </w:r>
      <w:r w:rsidR="00F43BD6">
        <w:t>speech-to-speech relay service</w:t>
      </w:r>
      <w:r w:rsidR="00F43BD6" w:rsidRPr="00F719E1">
        <w:t xml:space="preserve"> </w:t>
      </w:r>
      <w:r w:rsidR="00F43BD6">
        <w:t>(</w:t>
      </w:r>
      <w:r w:rsidR="00F43BD6" w:rsidRPr="00F719E1">
        <w:t>STS</w:t>
      </w:r>
      <w:r w:rsidR="00F43BD6">
        <w:t xml:space="preserve">) users </w:t>
      </w:r>
      <w:r w:rsidR="00110A9A">
        <w:t xml:space="preserve">prior to June 10, 2014, </w:t>
      </w:r>
      <w:r w:rsidR="00F43BD6">
        <w:t xml:space="preserve">was in compliance with the Commission’s STS Voice Muting Rule.  At the same time, the Bureau </w:t>
      </w:r>
      <w:r w:rsidR="00110A9A">
        <w:t>finds good cause to grant AT&amp;T a retroactive limited waiver of the STS Voice Muting Rule for the period from October 15, 2013</w:t>
      </w:r>
      <w:r w:rsidR="00BF3571">
        <w:t>,</w:t>
      </w:r>
      <w:r w:rsidR="00110A9A">
        <w:t xml:space="preserve"> </w:t>
      </w:r>
      <w:r w:rsidR="00EA2DC8">
        <w:t xml:space="preserve">the date when the rule became effective, </w:t>
      </w:r>
      <w:r w:rsidR="00110A9A">
        <w:t xml:space="preserve">to June 10, 2014, </w:t>
      </w:r>
      <w:r w:rsidR="00BF3571">
        <w:t xml:space="preserve">the date when </w:t>
      </w:r>
      <w:r w:rsidR="00110A9A">
        <w:t xml:space="preserve">AT&amp;T modified its platform to come into compliance with this </w:t>
      </w:r>
      <w:r w:rsidR="00231F64">
        <w:t>r</w:t>
      </w:r>
      <w:r w:rsidR="00110A9A">
        <w:t>ule.</w:t>
      </w:r>
    </w:p>
    <w:p w:rsidR="008B062C" w:rsidRDefault="008B062C" w:rsidP="008D439C">
      <w:pPr>
        <w:pStyle w:val="Heading1"/>
      </w:pPr>
      <w:r>
        <w:t xml:space="preserve">background   </w:t>
      </w:r>
    </w:p>
    <w:p w:rsidR="008B062C" w:rsidRDefault="006C4AAD" w:rsidP="00110A9A">
      <w:pPr>
        <w:pStyle w:val="ParaNum"/>
      </w:pPr>
      <w:r>
        <w:t xml:space="preserve">STS is a form of telecommunications relay service (TRS) that uses specially trained communications assistants (CAs) to repeat the words spoken by </w:t>
      </w:r>
      <w:r w:rsidR="009B16CE">
        <w:t xml:space="preserve">persons with speech disabilities </w:t>
      </w:r>
      <w:r>
        <w:t>to the other parties to a relayed call.</w:t>
      </w:r>
      <w:r>
        <w:rPr>
          <w:rStyle w:val="FootnoteReference"/>
        </w:rPr>
        <w:footnoteReference w:id="2"/>
      </w:r>
      <w:r>
        <w:t xml:space="preserve">  </w:t>
      </w:r>
      <w:r w:rsidR="008B062C">
        <w:t xml:space="preserve">In </w:t>
      </w:r>
      <w:r w:rsidR="008F2FDB" w:rsidRPr="00AF71C6">
        <w:t>2013</w:t>
      </w:r>
      <w:r w:rsidR="009B16CE">
        <w:rPr>
          <w:i/>
        </w:rPr>
        <w:t xml:space="preserve">, </w:t>
      </w:r>
      <w:r w:rsidR="008B062C">
        <w:t xml:space="preserve">the Commission </w:t>
      </w:r>
      <w:r w:rsidR="008F2FDB">
        <w:t>adopted</w:t>
      </w:r>
      <w:r w:rsidR="008B062C">
        <w:t xml:space="preserve"> several </w:t>
      </w:r>
      <w:r w:rsidR="008F2FDB">
        <w:t xml:space="preserve">mandatory minimum </w:t>
      </w:r>
      <w:r w:rsidR="00705184">
        <w:t xml:space="preserve">TRS </w:t>
      </w:r>
      <w:r w:rsidR="008F2FDB">
        <w:t>standards applicable to STS</w:t>
      </w:r>
      <w:r w:rsidR="008B062C">
        <w:rPr>
          <w:vertAlign w:val="superscript"/>
        </w:rPr>
        <w:footnoteReference w:id="3"/>
      </w:r>
      <w:r w:rsidR="008B062C">
        <w:t xml:space="preserve"> to ensure that persons</w:t>
      </w:r>
      <w:r w:rsidR="008F2FDB">
        <w:t xml:space="preserve"> with speech disabilities have access to relay services that address their unique needs, in furtherance of the objectives of section 225 of the Act to provide relay services in a manner that is functionally equivalent to conventional </w:t>
      </w:r>
      <w:r w:rsidR="00AF6371">
        <w:t xml:space="preserve">voice </w:t>
      </w:r>
      <w:r w:rsidR="008F2FDB">
        <w:t>telephone services.</w:t>
      </w:r>
      <w:r w:rsidR="008F2FDB">
        <w:rPr>
          <w:rStyle w:val="FootnoteReference"/>
        </w:rPr>
        <w:footnoteReference w:id="4"/>
      </w:r>
      <w:r w:rsidR="008B062C">
        <w:t xml:space="preserve">  </w:t>
      </w:r>
      <w:r w:rsidR="00AF6371">
        <w:t xml:space="preserve">One of </w:t>
      </w:r>
      <w:r w:rsidR="00AF6371">
        <w:lastRenderedPageBreak/>
        <w:t>those measures is</w:t>
      </w:r>
      <w:r w:rsidR="00360B41">
        <w:t xml:space="preserve"> the </w:t>
      </w:r>
      <w:r w:rsidR="00F43BD6">
        <w:t>STS Voice Muting Rule</w:t>
      </w:r>
      <w:r w:rsidR="00360B41">
        <w:t>, which</w:t>
      </w:r>
      <w:r w:rsidR="008B062C">
        <w:t xml:space="preserve"> require</w:t>
      </w:r>
      <w:r w:rsidR="00360B41">
        <w:t>s</w:t>
      </w:r>
      <w:r w:rsidR="008B062C">
        <w:t xml:space="preserve"> </w:t>
      </w:r>
      <w:r w:rsidR="008F2FDB">
        <w:t>STS</w:t>
      </w:r>
      <w:r w:rsidR="008B062C">
        <w:t xml:space="preserve"> providers to</w:t>
      </w:r>
      <w:r w:rsidR="008F2FDB">
        <w:t xml:space="preserve"> offer STS users the option to have their voices muted so that the other party to the call will hear only the CA, </w:t>
      </w:r>
      <w:r w:rsidR="00EF5D05">
        <w:t xml:space="preserve">and </w:t>
      </w:r>
      <w:r w:rsidR="008F2FDB">
        <w:t>not the</w:t>
      </w:r>
      <w:r w:rsidR="00EF5D05">
        <w:t xml:space="preserve"> STS</w:t>
      </w:r>
      <w:r w:rsidR="008F2FDB">
        <w:t xml:space="preserve"> user’s voice.</w:t>
      </w:r>
      <w:r w:rsidR="008F2FDB">
        <w:rPr>
          <w:rStyle w:val="FootnoteReference"/>
        </w:rPr>
        <w:footnoteReference w:id="5"/>
      </w:r>
      <w:r w:rsidR="008B062C">
        <w:t xml:space="preserve"> </w:t>
      </w:r>
      <w:r w:rsidR="00372F14">
        <w:t xml:space="preserve"> The Commission </w:t>
      </w:r>
      <w:r w:rsidR="008C0393">
        <w:t xml:space="preserve">determined that </w:t>
      </w:r>
      <w:r w:rsidR="00372F14">
        <w:t xml:space="preserve">this requirement would give more persons with speech disabilities </w:t>
      </w:r>
      <w:r w:rsidR="008C0393">
        <w:t xml:space="preserve">the </w:t>
      </w:r>
      <w:r w:rsidR="00372F14">
        <w:t>confidence to use STS</w:t>
      </w:r>
      <w:r w:rsidR="001A60FD">
        <w:t xml:space="preserve"> because many such individuals are hesitant to allow the called party to hear their speech.</w:t>
      </w:r>
      <w:r w:rsidR="001A60FD">
        <w:rPr>
          <w:rStyle w:val="FootnoteReference"/>
        </w:rPr>
        <w:footnoteReference w:id="6"/>
      </w:r>
      <w:r w:rsidR="006D282D">
        <w:t xml:space="preserve">  By</w:t>
      </w:r>
      <w:r w:rsidR="00372F14">
        <w:t xml:space="preserve"> minimiz</w:t>
      </w:r>
      <w:r w:rsidR="006D282D">
        <w:t>ing</w:t>
      </w:r>
      <w:r w:rsidR="00372F14">
        <w:t xml:space="preserve"> disruption to the conversational flow of a call</w:t>
      </w:r>
      <w:r w:rsidR="006D282D">
        <w:t>, th</w:t>
      </w:r>
      <w:r w:rsidR="00212E0C">
        <w:t>e</w:t>
      </w:r>
      <w:r w:rsidR="006D282D">
        <w:t xml:space="preserve"> </w:t>
      </w:r>
      <w:r w:rsidR="00F43BD6">
        <w:t>STS Voice Muting Rule</w:t>
      </w:r>
      <w:r w:rsidR="006D282D">
        <w:t xml:space="preserve"> also </w:t>
      </w:r>
      <w:r w:rsidR="00372F14">
        <w:t>increase</w:t>
      </w:r>
      <w:r w:rsidR="001A60FD">
        <w:t>s an</w:t>
      </w:r>
      <w:r w:rsidR="00372F14">
        <w:t xml:space="preserve"> STS user</w:t>
      </w:r>
      <w:r w:rsidR="001A60FD">
        <w:t>’</w:t>
      </w:r>
      <w:r w:rsidR="00372F14">
        <w:t>s ability to carry on a phone conversation that is functionally equivalent to a voice-to-voice call.</w:t>
      </w:r>
      <w:r w:rsidR="008B062C">
        <w:rPr>
          <w:vertAlign w:val="superscript"/>
        </w:rPr>
        <w:footnoteReference w:id="7"/>
      </w:r>
      <w:r w:rsidR="00514AA9">
        <w:t xml:space="preserve">  The new STS rule went into effect on October 15, 2013.</w:t>
      </w:r>
      <w:r w:rsidR="00514AA9">
        <w:rPr>
          <w:rStyle w:val="FootnoteReference"/>
        </w:rPr>
        <w:footnoteReference w:id="8"/>
      </w:r>
      <w:r w:rsidR="00514AA9">
        <w:t xml:space="preserve">  </w:t>
      </w:r>
    </w:p>
    <w:p w:rsidR="009055D7" w:rsidRDefault="008B062C" w:rsidP="008D439C">
      <w:pPr>
        <w:pStyle w:val="ParaNum"/>
      </w:pPr>
      <w:r>
        <w:t xml:space="preserve">On </w:t>
      </w:r>
      <w:r w:rsidR="00C10E98">
        <w:t>September</w:t>
      </w:r>
      <w:r>
        <w:t xml:space="preserve"> </w:t>
      </w:r>
      <w:r w:rsidR="00C10E98">
        <w:t>26</w:t>
      </w:r>
      <w:r>
        <w:t>, 20</w:t>
      </w:r>
      <w:r w:rsidR="00C10E98">
        <w:t>13</w:t>
      </w:r>
      <w:r>
        <w:t xml:space="preserve">, </w:t>
      </w:r>
      <w:r w:rsidR="00C10E98">
        <w:t>AT&amp;T</w:t>
      </w:r>
      <w:r>
        <w:t xml:space="preserve"> filed </w:t>
      </w:r>
      <w:r w:rsidR="001A60FD">
        <w:t>a</w:t>
      </w:r>
      <w:r>
        <w:t xml:space="preserve"> petition </w:t>
      </w:r>
      <w:r w:rsidR="00C10E98">
        <w:t xml:space="preserve">requesting clarification, or, in the alternative, </w:t>
      </w:r>
      <w:r w:rsidR="00212E0C">
        <w:t xml:space="preserve">an </w:t>
      </w:r>
      <w:r w:rsidR="00C10E98">
        <w:t xml:space="preserve">expedited waiver, of </w:t>
      </w:r>
      <w:r w:rsidR="00212E0C">
        <w:t xml:space="preserve">the STS Voice Muting Rule </w:t>
      </w:r>
      <w:r w:rsidR="00C10E98">
        <w:t xml:space="preserve">as it applies to incoming calls to STS users who have not preselected </w:t>
      </w:r>
      <w:r w:rsidR="008824B0">
        <w:t xml:space="preserve">the </w:t>
      </w:r>
      <w:r w:rsidR="00C10E98">
        <w:t xml:space="preserve">muting </w:t>
      </w:r>
      <w:r w:rsidR="008824B0">
        <w:t xml:space="preserve">option </w:t>
      </w:r>
      <w:r w:rsidR="00C10E98">
        <w:t xml:space="preserve">in their </w:t>
      </w:r>
      <w:r w:rsidR="00EF5D05">
        <w:t>user</w:t>
      </w:r>
      <w:r w:rsidR="00C10E98">
        <w:t xml:space="preserve"> profiles.</w:t>
      </w:r>
      <w:r w:rsidR="00C10E98">
        <w:rPr>
          <w:rStyle w:val="FootnoteReference"/>
        </w:rPr>
        <w:footnoteReference w:id="9"/>
      </w:r>
      <w:r w:rsidR="00C10E98">
        <w:t xml:space="preserve">  AT&amp;T explain</w:t>
      </w:r>
      <w:r w:rsidR="00C7098F">
        <w:t>ed</w:t>
      </w:r>
      <w:r w:rsidR="00C10E98">
        <w:t xml:space="preserve"> that</w:t>
      </w:r>
      <w:r w:rsidR="00C7098F">
        <w:t>, at the time it filed its petition,</w:t>
      </w:r>
      <w:r w:rsidR="0072370C">
        <w:t xml:space="preserve"> </w:t>
      </w:r>
      <w:r w:rsidR="004A6523">
        <w:t>AT&amp;T</w:t>
      </w:r>
      <w:r w:rsidR="00C10E98">
        <w:t xml:space="preserve"> mute</w:t>
      </w:r>
      <w:r w:rsidR="00C7098F">
        <w:t>d</w:t>
      </w:r>
      <w:r w:rsidR="00C10E98">
        <w:t xml:space="preserve"> the voice</w:t>
      </w:r>
      <w:r w:rsidR="00EF5D05">
        <w:t>s</w:t>
      </w:r>
      <w:r w:rsidR="00C10E98">
        <w:t xml:space="preserve"> of </w:t>
      </w:r>
      <w:r w:rsidR="00EF5D05">
        <w:t xml:space="preserve">STS </w:t>
      </w:r>
      <w:r w:rsidR="00C10E98">
        <w:t>users on an</w:t>
      </w:r>
      <w:r w:rsidR="00F8568E">
        <w:t xml:space="preserve"> incoming</w:t>
      </w:r>
      <w:r w:rsidR="00C10E98">
        <w:t xml:space="preserve"> STS call </w:t>
      </w:r>
      <w:r w:rsidR="008824B0">
        <w:t xml:space="preserve">only </w:t>
      </w:r>
      <w:r w:rsidR="00C10E98">
        <w:t xml:space="preserve">if, before the call, the </w:t>
      </w:r>
      <w:r w:rsidR="00EF5D05">
        <w:t xml:space="preserve">STS </w:t>
      </w:r>
      <w:r w:rsidR="00C10E98">
        <w:t>user ha</w:t>
      </w:r>
      <w:r w:rsidR="00C7098F">
        <w:t>d</w:t>
      </w:r>
      <w:r w:rsidR="00C10E98">
        <w:t xml:space="preserve"> created a user profile with AT&amp;T and </w:t>
      </w:r>
      <w:r w:rsidR="00212E0C">
        <w:t xml:space="preserve">had </w:t>
      </w:r>
      <w:r w:rsidR="00C10E98">
        <w:t xml:space="preserve">preselected the muting option on </w:t>
      </w:r>
      <w:r w:rsidR="00231F64">
        <w:t>that</w:t>
      </w:r>
      <w:r w:rsidR="00C10E98">
        <w:t xml:space="preserve"> profile.</w:t>
      </w:r>
      <w:r w:rsidR="00C10E98">
        <w:rPr>
          <w:rStyle w:val="FootnoteReference"/>
        </w:rPr>
        <w:footnoteReference w:id="10"/>
      </w:r>
      <w:r w:rsidR="00C10E98">
        <w:t xml:space="preserve">  </w:t>
      </w:r>
      <w:r w:rsidR="00627994">
        <w:t xml:space="preserve">The reason for this, </w:t>
      </w:r>
      <w:r w:rsidR="00C10E98">
        <w:t>AT&amp;T explain</w:t>
      </w:r>
      <w:r w:rsidR="00C7098F">
        <w:t>ed</w:t>
      </w:r>
      <w:r w:rsidR="00627994">
        <w:t xml:space="preserve">, was </w:t>
      </w:r>
      <w:r w:rsidR="00C10E98">
        <w:t xml:space="preserve">that </w:t>
      </w:r>
      <w:r w:rsidR="00707198">
        <w:t>as a matter of practice</w:t>
      </w:r>
      <w:r w:rsidR="00C10E98">
        <w:t>, its relay platform facilitate</w:t>
      </w:r>
      <w:r w:rsidR="00C7098F">
        <w:t>d</w:t>
      </w:r>
      <w:r w:rsidR="00C10E98">
        <w:t xml:space="preserve"> STS calls by </w:t>
      </w:r>
      <w:r w:rsidR="00683CAE">
        <w:t>creating</w:t>
      </w:r>
      <w:r w:rsidR="00C10E98">
        <w:t xml:space="preserve"> a conference bridge between the STS user, the voice party, and the CA</w:t>
      </w:r>
      <w:r w:rsidR="00627994">
        <w:t>.</w:t>
      </w:r>
      <w:r w:rsidR="00627994">
        <w:rPr>
          <w:rStyle w:val="FootnoteReference"/>
        </w:rPr>
        <w:footnoteReference w:id="11"/>
      </w:r>
      <w:r w:rsidR="00627994">
        <w:t xml:space="preserve">  If the STS user preselected the muting option on his or her user profile, the CA could configure the conference bridge in advance of connecting the call to </w:t>
      </w:r>
      <w:r w:rsidR="00AF71C6">
        <w:t xml:space="preserve">ensure </w:t>
      </w:r>
      <w:r w:rsidR="00627994">
        <w:t>muting of the STS user’s voice.</w:t>
      </w:r>
      <w:r w:rsidR="00627994">
        <w:rPr>
          <w:rStyle w:val="FootnoteReference"/>
        </w:rPr>
        <w:footnoteReference w:id="12"/>
      </w:r>
      <w:r w:rsidR="00627994">
        <w:t xml:space="preserve">  However,</w:t>
      </w:r>
      <w:r w:rsidR="00ED5F65">
        <w:t xml:space="preserve"> o</w:t>
      </w:r>
      <w:r w:rsidR="00F8568E">
        <w:t>nce the</w:t>
      </w:r>
      <w:r w:rsidR="00683CAE">
        <w:t xml:space="preserve"> CA establishe</w:t>
      </w:r>
      <w:r w:rsidR="00C7098F">
        <w:t>d</w:t>
      </w:r>
      <w:r w:rsidR="00683CAE">
        <w:t xml:space="preserve"> the</w:t>
      </w:r>
      <w:r w:rsidR="00F8568E">
        <w:t xml:space="preserve"> conference bridge, the CA </w:t>
      </w:r>
      <w:r w:rsidR="00C7098F">
        <w:t xml:space="preserve">could not </w:t>
      </w:r>
      <w:r w:rsidR="00F8568E">
        <w:t>mute the voice of the STS user</w:t>
      </w:r>
      <w:r w:rsidR="008C0393">
        <w:t xml:space="preserve"> during that call</w:t>
      </w:r>
      <w:r w:rsidR="00F8568E">
        <w:t>.</w:t>
      </w:r>
      <w:r w:rsidR="00F8568E">
        <w:rPr>
          <w:rStyle w:val="FootnoteReference"/>
        </w:rPr>
        <w:footnoteReference w:id="13"/>
      </w:r>
      <w:r w:rsidR="00F8568E">
        <w:t xml:space="preserve">  </w:t>
      </w:r>
      <w:r w:rsidR="00707198">
        <w:t>A</w:t>
      </w:r>
      <w:r w:rsidR="00F8568E">
        <w:t>ccording to AT&amp;T</w:t>
      </w:r>
      <w:r w:rsidR="00707198">
        <w:t>, under this STS configuration</w:t>
      </w:r>
      <w:r w:rsidR="00F8568E">
        <w:t xml:space="preserve">, </w:t>
      </w:r>
      <w:r w:rsidR="00707198">
        <w:t xml:space="preserve">the only way </w:t>
      </w:r>
      <w:r w:rsidR="00231F64">
        <w:t xml:space="preserve">to mute </w:t>
      </w:r>
      <w:r w:rsidR="00F8568E">
        <w:t>an STS user</w:t>
      </w:r>
      <w:r w:rsidR="00231F64">
        <w:t xml:space="preserve">’s voice on an incoming call when the user </w:t>
      </w:r>
      <w:r w:rsidR="00F8568E">
        <w:t>ha</w:t>
      </w:r>
      <w:r w:rsidR="00C7098F">
        <w:t>d</w:t>
      </w:r>
      <w:r w:rsidR="00F8568E">
        <w:t xml:space="preserve"> not preselected muting on his or her </w:t>
      </w:r>
      <w:r w:rsidR="00EF5D05">
        <w:t>user</w:t>
      </w:r>
      <w:r w:rsidR="00F8568E">
        <w:t xml:space="preserve"> profile</w:t>
      </w:r>
      <w:r w:rsidR="00627994">
        <w:t xml:space="preserve"> </w:t>
      </w:r>
      <w:r w:rsidR="00C7098F">
        <w:t>w</w:t>
      </w:r>
      <w:r w:rsidR="00231F64">
        <w:t>as</w:t>
      </w:r>
      <w:r w:rsidR="00707198">
        <w:t xml:space="preserve"> </w:t>
      </w:r>
      <w:r w:rsidR="00F8568E">
        <w:t xml:space="preserve">to “drop” </w:t>
      </w:r>
      <w:r w:rsidR="00231F64">
        <w:t xml:space="preserve">the user </w:t>
      </w:r>
      <w:r w:rsidR="00F8568E">
        <w:t>from the conference bridge</w:t>
      </w:r>
      <w:r w:rsidR="00417704">
        <w:t xml:space="preserve"> </w:t>
      </w:r>
      <w:r w:rsidR="00F8568E">
        <w:t>and the</w:t>
      </w:r>
      <w:r w:rsidR="00707198">
        <w:t xml:space="preserve">n </w:t>
      </w:r>
      <w:r w:rsidR="00231F64">
        <w:t xml:space="preserve">have the CA </w:t>
      </w:r>
      <w:r w:rsidR="00F8568E">
        <w:t>add</w:t>
      </w:r>
      <w:r w:rsidR="00231F64">
        <w:t xml:space="preserve"> that individual </w:t>
      </w:r>
      <w:r w:rsidR="00F8568E">
        <w:t xml:space="preserve">back </w:t>
      </w:r>
      <w:r w:rsidR="00707198">
        <w:t xml:space="preserve">to </w:t>
      </w:r>
      <w:r w:rsidR="00F8568E">
        <w:t xml:space="preserve">the </w:t>
      </w:r>
      <w:r w:rsidR="00707198">
        <w:t xml:space="preserve">call </w:t>
      </w:r>
      <w:r w:rsidR="00A418A7">
        <w:t xml:space="preserve">– by calling back the user and </w:t>
      </w:r>
      <w:r w:rsidR="00F8568E">
        <w:t xml:space="preserve">using </w:t>
      </w:r>
      <w:r w:rsidR="0017612E">
        <w:t xml:space="preserve">a </w:t>
      </w:r>
      <w:r w:rsidR="00F8568E">
        <w:t>second conference bridge.</w:t>
      </w:r>
      <w:r w:rsidR="00417704">
        <w:rPr>
          <w:rStyle w:val="FootnoteReference"/>
        </w:rPr>
        <w:footnoteReference w:id="14"/>
      </w:r>
      <w:r w:rsidR="00417704">
        <w:t xml:space="preserve">  </w:t>
      </w:r>
      <w:r w:rsidR="00ED5F65">
        <w:t xml:space="preserve">  </w:t>
      </w:r>
    </w:p>
    <w:p w:rsidR="00C10E98" w:rsidRDefault="009055D7" w:rsidP="008D439C">
      <w:pPr>
        <w:pStyle w:val="ParaNum"/>
      </w:pPr>
      <w:r>
        <w:t xml:space="preserve">In its </w:t>
      </w:r>
      <w:r w:rsidR="00C7098F">
        <w:t>p</w:t>
      </w:r>
      <w:r>
        <w:t xml:space="preserve">etition, </w:t>
      </w:r>
      <w:r w:rsidR="00417704">
        <w:t>AT&amp;T request</w:t>
      </w:r>
      <w:r>
        <w:t>ed</w:t>
      </w:r>
      <w:r w:rsidR="00417704">
        <w:t xml:space="preserve"> clarification that dropping the STS user from the conference bridge and adding </w:t>
      </w:r>
      <w:r w:rsidR="00683CAE">
        <w:t>the STS user</w:t>
      </w:r>
      <w:r w:rsidR="00417704">
        <w:t xml:space="preserve"> back to allow for voice muting</w:t>
      </w:r>
      <w:r w:rsidR="001A60FD">
        <w:t xml:space="preserve"> in this manner</w:t>
      </w:r>
      <w:r w:rsidR="00417704">
        <w:t xml:space="preserve"> complie</w:t>
      </w:r>
      <w:r w:rsidR="004A6523">
        <w:t>s</w:t>
      </w:r>
      <w:r w:rsidR="00417704">
        <w:t xml:space="preserve"> with </w:t>
      </w:r>
      <w:r w:rsidR="000F41D6">
        <w:t xml:space="preserve">the </w:t>
      </w:r>
      <w:r w:rsidR="00F43BD6">
        <w:t>STS Voice Muting Rule</w:t>
      </w:r>
      <w:r w:rsidR="00417704">
        <w:t>.</w:t>
      </w:r>
      <w:r w:rsidR="00417704">
        <w:rPr>
          <w:rStyle w:val="FootnoteReference"/>
        </w:rPr>
        <w:footnoteReference w:id="15"/>
      </w:r>
      <w:r w:rsidR="00417704">
        <w:t xml:space="preserve">  In the alternative, AT&amp;T </w:t>
      </w:r>
      <w:r>
        <w:t xml:space="preserve">sought </w:t>
      </w:r>
      <w:r w:rsidR="00417704">
        <w:t xml:space="preserve">a twelve-month expedited waiver of the </w:t>
      </w:r>
      <w:r w:rsidR="00F43BD6">
        <w:t>STS Voice Muting Rule</w:t>
      </w:r>
      <w:r w:rsidR="00417704">
        <w:t xml:space="preserve"> for incoming calls </w:t>
      </w:r>
      <w:r w:rsidR="00A418A7">
        <w:t xml:space="preserve">that had to be handled in this manner in order to enable </w:t>
      </w:r>
      <w:r w:rsidR="0034079C">
        <w:t>call muting</w:t>
      </w:r>
      <w:r w:rsidR="00A418A7">
        <w:t xml:space="preserve"> </w:t>
      </w:r>
      <w:r w:rsidR="004A6523">
        <w:t>where it was not part of the STS user’s profile</w:t>
      </w:r>
      <w:r w:rsidR="00A418A7">
        <w:t>.</w:t>
      </w:r>
      <w:r w:rsidR="00417704">
        <w:rPr>
          <w:rStyle w:val="FootnoteReference"/>
        </w:rPr>
        <w:footnoteReference w:id="16"/>
      </w:r>
      <w:r w:rsidR="00417704">
        <w:t xml:space="preserve">  AT&amp;T </w:t>
      </w:r>
      <w:r>
        <w:t xml:space="preserve">sought </w:t>
      </w:r>
      <w:r w:rsidR="00417704">
        <w:t xml:space="preserve">this </w:t>
      </w:r>
      <w:r w:rsidR="0034079C">
        <w:t>limited</w:t>
      </w:r>
      <w:r w:rsidR="00417704">
        <w:t xml:space="preserve"> waiver </w:t>
      </w:r>
      <w:r w:rsidR="00231F64">
        <w:t xml:space="preserve">so that it could </w:t>
      </w:r>
      <w:r w:rsidR="00FC6CFE">
        <w:t xml:space="preserve">continue </w:t>
      </w:r>
      <w:r w:rsidR="008C0393">
        <w:t>us</w:t>
      </w:r>
      <w:r w:rsidR="00FC6CFE">
        <w:t>ing</w:t>
      </w:r>
      <w:r w:rsidR="008C0393">
        <w:t xml:space="preserve"> its temporary method </w:t>
      </w:r>
      <w:r w:rsidR="00417704">
        <w:t xml:space="preserve">while </w:t>
      </w:r>
      <w:r w:rsidR="0043181F">
        <w:t xml:space="preserve">working </w:t>
      </w:r>
      <w:r w:rsidR="00FC6CFE">
        <w:t xml:space="preserve">on </w:t>
      </w:r>
      <w:r w:rsidR="00417704">
        <w:t>modif</w:t>
      </w:r>
      <w:r w:rsidR="00FC6CFE">
        <w:t>ications to</w:t>
      </w:r>
      <w:r w:rsidR="00417704">
        <w:t xml:space="preserve"> its </w:t>
      </w:r>
      <w:r w:rsidR="0034079C">
        <w:t xml:space="preserve">existing </w:t>
      </w:r>
      <w:r w:rsidR="00417704">
        <w:t xml:space="preserve">platform to </w:t>
      </w:r>
      <w:r w:rsidR="00FC6CFE">
        <w:t xml:space="preserve">eliminate </w:t>
      </w:r>
      <w:r w:rsidR="00FC6CFE">
        <w:lastRenderedPageBreak/>
        <w:t xml:space="preserve">the need </w:t>
      </w:r>
      <w:r w:rsidR="00BF65AB">
        <w:t xml:space="preserve">to drop and call back </w:t>
      </w:r>
      <w:r w:rsidR="00417704">
        <w:t>STS user</w:t>
      </w:r>
      <w:r w:rsidR="0043181F">
        <w:t xml:space="preserve">s who had not preselected </w:t>
      </w:r>
      <w:r w:rsidR="00DE0477">
        <w:t xml:space="preserve">the voice muting </w:t>
      </w:r>
      <w:r w:rsidR="0043181F">
        <w:t>option in their caller profiles</w:t>
      </w:r>
      <w:r w:rsidR="00417704">
        <w:t>.</w:t>
      </w:r>
      <w:r w:rsidR="00417704">
        <w:rPr>
          <w:rStyle w:val="FootnoteReference"/>
        </w:rPr>
        <w:footnoteReference w:id="17"/>
      </w:r>
      <w:r w:rsidR="00417704">
        <w:t xml:space="preserve">  AT&amp;T </w:t>
      </w:r>
      <w:r w:rsidR="00BF65AB">
        <w:t xml:space="preserve">announced its intention to achieve such modification by </w:t>
      </w:r>
      <w:r w:rsidR="00417704">
        <w:t>add</w:t>
      </w:r>
      <w:r w:rsidR="00BF65AB">
        <w:t>ing</w:t>
      </w:r>
      <w:r w:rsidR="00417704">
        <w:t xml:space="preserve"> a “hold” function </w:t>
      </w:r>
      <w:r w:rsidR="0034079C">
        <w:t xml:space="preserve">to its </w:t>
      </w:r>
      <w:r w:rsidR="0043181F">
        <w:t>STS</w:t>
      </w:r>
      <w:r w:rsidR="0034079C">
        <w:t xml:space="preserve"> platform</w:t>
      </w:r>
      <w:r w:rsidR="00EF5D05">
        <w:t xml:space="preserve">, </w:t>
      </w:r>
      <w:r w:rsidR="008C0393">
        <w:t xml:space="preserve">which would allow </w:t>
      </w:r>
      <w:r w:rsidR="008824B0">
        <w:t>activation</w:t>
      </w:r>
      <w:r w:rsidR="008C0393">
        <w:t xml:space="preserve"> of the voice muting option </w:t>
      </w:r>
      <w:r w:rsidR="0043181F">
        <w:t>without relying on</w:t>
      </w:r>
      <w:r w:rsidR="00EF5D05">
        <w:t xml:space="preserve"> the call-back </w:t>
      </w:r>
      <w:r w:rsidR="0043181F">
        <w:t>method</w:t>
      </w:r>
      <w:r w:rsidR="00417704">
        <w:t>.</w:t>
      </w:r>
      <w:r w:rsidR="00417704">
        <w:rPr>
          <w:rStyle w:val="FootnoteReference"/>
        </w:rPr>
        <w:footnoteReference w:id="18"/>
      </w:r>
      <w:r w:rsidR="00417704">
        <w:t xml:space="preserve">  AT&amp;T contend</w:t>
      </w:r>
      <w:r>
        <w:t>ed</w:t>
      </w:r>
      <w:r w:rsidR="00417704">
        <w:t xml:space="preserve"> that there is good cause to grant its request because it would be inequitable to impose </w:t>
      </w:r>
      <w:r w:rsidR="00B85459">
        <w:t xml:space="preserve">the </w:t>
      </w:r>
      <w:r w:rsidR="00F43BD6">
        <w:t>STS Voice Muting Rule</w:t>
      </w:r>
      <w:r w:rsidR="00417704">
        <w:t xml:space="preserve"> on AT&amp;T without giving it the opportunity to modify its relay platform to come into compliance.</w:t>
      </w:r>
      <w:r w:rsidR="00417704">
        <w:rPr>
          <w:rStyle w:val="FootnoteReference"/>
        </w:rPr>
        <w:footnoteReference w:id="19"/>
      </w:r>
      <w:r w:rsidR="00417704">
        <w:t xml:space="preserve">  AT&amp;T also assert</w:t>
      </w:r>
      <w:r>
        <w:t>ed</w:t>
      </w:r>
      <w:r w:rsidR="00417704">
        <w:t xml:space="preserve"> that few STS users </w:t>
      </w:r>
      <w:r w:rsidR="00964102">
        <w:t xml:space="preserve">would </w:t>
      </w:r>
      <w:r w:rsidR="00417704">
        <w:t xml:space="preserve">be impacted during the limited time for which AT&amp;T </w:t>
      </w:r>
      <w:r w:rsidR="00964102">
        <w:t xml:space="preserve">sought </w:t>
      </w:r>
      <w:r w:rsidR="00417704">
        <w:t>a waiver.</w:t>
      </w:r>
      <w:r w:rsidR="00417704">
        <w:rPr>
          <w:rStyle w:val="FootnoteReference"/>
        </w:rPr>
        <w:footnoteReference w:id="20"/>
      </w:r>
      <w:r w:rsidR="00417704">
        <w:t xml:space="preserve">  </w:t>
      </w:r>
    </w:p>
    <w:p w:rsidR="008C0393" w:rsidRDefault="008C0393" w:rsidP="008D439C">
      <w:pPr>
        <w:pStyle w:val="ParaNum"/>
      </w:pPr>
      <w:r>
        <w:t xml:space="preserve">On November </w:t>
      </w:r>
      <w:r w:rsidR="00B8136A">
        <w:t>14</w:t>
      </w:r>
      <w:r>
        <w:t xml:space="preserve">, 2013, </w:t>
      </w:r>
      <w:r w:rsidR="00B8136A">
        <w:t xml:space="preserve">CGB </w:t>
      </w:r>
      <w:r>
        <w:t xml:space="preserve">issued a </w:t>
      </w:r>
      <w:r w:rsidR="00636243">
        <w:t xml:space="preserve">public notice </w:t>
      </w:r>
      <w:r>
        <w:t>seeking comments on AT&amp;T</w:t>
      </w:r>
      <w:r w:rsidR="00636243">
        <w:t>’s</w:t>
      </w:r>
      <w:r>
        <w:t xml:space="preserve"> petition for waiver.</w:t>
      </w:r>
      <w:r w:rsidR="00B8136A">
        <w:rPr>
          <w:rStyle w:val="FootnoteReference"/>
        </w:rPr>
        <w:footnoteReference w:id="21"/>
      </w:r>
      <w:r>
        <w:t xml:space="preserve">  No </w:t>
      </w:r>
      <w:r w:rsidR="00B8136A">
        <w:t xml:space="preserve">parties filed comments </w:t>
      </w:r>
      <w:r>
        <w:t xml:space="preserve">in response to this </w:t>
      </w:r>
      <w:r w:rsidR="00636243">
        <w:t>notice</w:t>
      </w:r>
      <w:r>
        <w:t>.</w:t>
      </w:r>
    </w:p>
    <w:p w:rsidR="00333021" w:rsidRDefault="00333021" w:rsidP="008D439C">
      <w:pPr>
        <w:pStyle w:val="ParaNum"/>
      </w:pPr>
      <w:r>
        <w:t>On May 21, 2014</w:t>
      </w:r>
      <w:r w:rsidR="008D0E95">
        <w:t xml:space="preserve">, AT&amp;T filed </w:t>
      </w:r>
      <w:r w:rsidR="005D34B0">
        <w:t>an</w:t>
      </w:r>
      <w:r w:rsidR="008D0E95">
        <w:t xml:space="preserve"> </w:t>
      </w:r>
      <w:r w:rsidR="008D0E95" w:rsidRPr="008D0E95">
        <w:rPr>
          <w:i/>
        </w:rPr>
        <w:t>Ex Parte</w:t>
      </w:r>
      <w:r w:rsidR="005D34B0">
        <w:t xml:space="preserve"> </w:t>
      </w:r>
      <w:r w:rsidR="00C1499B">
        <w:t>l</w:t>
      </w:r>
      <w:r w:rsidR="00323241">
        <w:t>etter</w:t>
      </w:r>
      <w:r w:rsidR="00C7098F">
        <w:t xml:space="preserve"> </w:t>
      </w:r>
      <w:r w:rsidR="0043181F">
        <w:t xml:space="preserve">to describe the various actions it had taken to design, develop, test, and implement </w:t>
      </w:r>
      <w:r w:rsidR="00C7098F">
        <w:t>a new “hold” function for use during STS calls to allow activation of the voice muting option</w:t>
      </w:r>
      <w:r w:rsidR="005D34B0">
        <w:t xml:space="preserve"> without requiring a call-back</w:t>
      </w:r>
      <w:r w:rsidR="00C7098F">
        <w:t xml:space="preserve"> on </w:t>
      </w:r>
      <w:r w:rsidR="00964102">
        <w:t>incoming calls for users who ha</w:t>
      </w:r>
      <w:r w:rsidR="005D34B0">
        <w:t>d</w:t>
      </w:r>
      <w:r w:rsidR="00C7098F">
        <w:t xml:space="preserve"> not preselected muting in their user profile</w:t>
      </w:r>
      <w:r w:rsidR="0043181F">
        <w:t>s</w:t>
      </w:r>
      <w:r w:rsidR="00C7098F">
        <w:t>.</w:t>
      </w:r>
      <w:r w:rsidR="00964102">
        <w:rPr>
          <w:rStyle w:val="FootnoteReference"/>
        </w:rPr>
        <w:footnoteReference w:id="22"/>
      </w:r>
      <w:r w:rsidR="00C7098F">
        <w:t xml:space="preserve">  </w:t>
      </w:r>
      <w:r w:rsidR="005D34B0">
        <w:t>It</w:t>
      </w:r>
      <w:r w:rsidR="00C7098F">
        <w:t xml:space="preserve"> </w:t>
      </w:r>
      <w:r>
        <w:t>explain</w:t>
      </w:r>
      <w:r w:rsidR="005D34B0">
        <w:t>ed</w:t>
      </w:r>
      <w:r>
        <w:t xml:space="preserve"> that implementation of the new muting option required “[c]ore software changes to AT&amp;T’s relay platform” that were “complicated by the fact that activating STS muting after call set-up deviated from the basic assumptions built into AT&amp;T’s relay platform” and by “other planned software releases.”</w:t>
      </w:r>
      <w:r>
        <w:rPr>
          <w:rStyle w:val="FootnoteReference"/>
        </w:rPr>
        <w:footnoteReference w:id="23"/>
      </w:r>
      <w:r>
        <w:t xml:space="preserve">  </w:t>
      </w:r>
      <w:r w:rsidR="00236466">
        <w:t>Subsequently, o</w:t>
      </w:r>
      <w:r w:rsidR="008D0E95">
        <w:t>n June 12, 2014</w:t>
      </w:r>
      <w:r w:rsidR="00236466">
        <w:t>, AT&amp;T filed a</w:t>
      </w:r>
      <w:r w:rsidR="00323241">
        <w:t xml:space="preserve"> second </w:t>
      </w:r>
      <w:r w:rsidR="008D0E95">
        <w:rPr>
          <w:i/>
        </w:rPr>
        <w:t xml:space="preserve">Ex </w:t>
      </w:r>
      <w:r w:rsidR="008D0E95" w:rsidRPr="008D0E95">
        <w:rPr>
          <w:i/>
        </w:rPr>
        <w:t>Parte</w:t>
      </w:r>
      <w:r w:rsidR="00236466">
        <w:t xml:space="preserve"> </w:t>
      </w:r>
      <w:r w:rsidR="00D81670">
        <w:t>l</w:t>
      </w:r>
      <w:r w:rsidR="00323241">
        <w:t>etter</w:t>
      </w:r>
      <w:r w:rsidR="00171842">
        <w:t xml:space="preserve"> inform</w:t>
      </w:r>
      <w:r w:rsidR="00236466">
        <w:t>ing</w:t>
      </w:r>
      <w:r w:rsidR="00171842">
        <w:t xml:space="preserve"> the Commission that </w:t>
      </w:r>
      <w:r w:rsidR="008D0E95">
        <w:t>“</w:t>
      </w:r>
      <w:r w:rsidR="00171842">
        <w:t xml:space="preserve">[a]fter resolving some discrepancies discovered during field testing, AT&amp;T </w:t>
      </w:r>
      <w:r w:rsidR="008D0E95">
        <w:t>deployed the new STS voice muting solution in all call centers on June 10, 2014.”</w:t>
      </w:r>
      <w:r w:rsidR="008D0E95">
        <w:rPr>
          <w:rStyle w:val="FootnoteReference"/>
        </w:rPr>
        <w:footnoteReference w:id="24"/>
      </w:r>
      <w:r w:rsidR="008D0E95">
        <w:t xml:space="preserve">  Consequently,</w:t>
      </w:r>
      <w:r w:rsidR="00171842">
        <w:t xml:space="preserve"> AT&amp;T</w:t>
      </w:r>
      <w:r w:rsidR="008D0E95">
        <w:t xml:space="preserve"> </w:t>
      </w:r>
      <w:r>
        <w:t>now seeks a</w:t>
      </w:r>
      <w:r w:rsidR="0037499A">
        <w:t xml:space="preserve"> retroactive limited</w:t>
      </w:r>
      <w:r>
        <w:t xml:space="preserve"> waiver of the </w:t>
      </w:r>
      <w:r w:rsidR="00F43BD6">
        <w:t>STS Voice Muting Rule</w:t>
      </w:r>
      <w:r>
        <w:t xml:space="preserve"> </w:t>
      </w:r>
      <w:r w:rsidR="00236466">
        <w:t>from</w:t>
      </w:r>
      <w:r>
        <w:t xml:space="preserve"> October 15, 2013 </w:t>
      </w:r>
      <w:r w:rsidR="008D0E95">
        <w:t>to June 10, 2014</w:t>
      </w:r>
      <w:r>
        <w:t>.</w:t>
      </w:r>
      <w:r>
        <w:rPr>
          <w:rStyle w:val="FootnoteReference"/>
        </w:rPr>
        <w:footnoteReference w:id="25"/>
      </w:r>
    </w:p>
    <w:p w:rsidR="008B062C" w:rsidRDefault="008B062C" w:rsidP="008D439C">
      <w:pPr>
        <w:pStyle w:val="Heading1"/>
      </w:pPr>
      <w:r>
        <w:t>discussion</w:t>
      </w:r>
    </w:p>
    <w:p w:rsidR="009B2B3E" w:rsidRDefault="009B2B3E" w:rsidP="009B2B3E">
      <w:pPr>
        <w:pStyle w:val="Heading2"/>
      </w:pPr>
      <w:r>
        <w:t>Request for Clarification</w:t>
      </w:r>
    </w:p>
    <w:p w:rsidR="00484BF8" w:rsidRDefault="00484BF8" w:rsidP="008D439C">
      <w:pPr>
        <w:pStyle w:val="ParaNum"/>
      </w:pPr>
      <w:r>
        <w:t>We first consider AT&amp;T’s request for clarification</w:t>
      </w:r>
      <w:r w:rsidR="00E8622E">
        <w:t xml:space="preserve"> of the </w:t>
      </w:r>
      <w:r w:rsidR="00F43BD6">
        <w:t>STS Voice Muting Rule</w:t>
      </w:r>
      <w:r>
        <w:t>.</w:t>
      </w:r>
      <w:r>
        <w:rPr>
          <w:rStyle w:val="FootnoteReference"/>
        </w:rPr>
        <w:footnoteReference w:id="26"/>
      </w:r>
      <w:r>
        <w:t xml:space="preserve">  AT&amp;T argues that because the Commission</w:t>
      </w:r>
      <w:r w:rsidR="006E33E2">
        <w:t>’s rule</w:t>
      </w:r>
      <w:r>
        <w:t xml:space="preserve"> requires that STS users be given the option of muting their voice</w:t>
      </w:r>
      <w:r w:rsidR="00D504DB">
        <w:t>s</w:t>
      </w:r>
      <w:r>
        <w:t xml:space="preserve"> </w:t>
      </w:r>
      <w:r w:rsidR="00D372D9">
        <w:t>but does not</w:t>
      </w:r>
      <w:r>
        <w:t xml:space="preserve"> prescrib</w:t>
      </w:r>
      <w:r w:rsidR="00D372D9">
        <w:t>e</w:t>
      </w:r>
      <w:r>
        <w:t xml:space="preserve"> how providers are to comply with this requirement, AT&amp;T’s procedure of dropping the STS user from the conference bridge and then adding the user back in with the user’s voice muted complie</w:t>
      </w:r>
      <w:r w:rsidR="000E7EAD">
        <w:t>d</w:t>
      </w:r>
      <w:r>
        <w:t xml:space="preserve"> with the </w:t>
      </w:r>
      <w:r w:rsidR="00F43BD6">
        <w:t>STS Voice Muting Rule</w:t>
      </w:r>
      <w:r>
        <w:t>.</w:t>
      </w:r>
      <w:r>
        <w:rPr>
          <w:rStyle w:val="FootnoteReference"/>
        </w:rPr>
        <w:footnoteReference w:id="27"/>
      </w:r>
      <w:r>
        <w:t xml:space="preserve">  </w:t>
      </w:r>
      <w:r w:rsidR="00A1337F">
        <w:t xml:space="preserve">In this regard, </w:t>
      </w:r>
      <w:r w:rsidR="00C02DDA">
        <w:t xml:space="preserve">AT&amp;T tries to argue that its call muting procedure </w:t>
      </w:r>
      <w:r w:rsidR="00CE254C">
        <w:t>was</w:t>
      </w:r>
      <w:r w:rsidR="00C02DDA">
        <w:t xml:space="preserve"> not in violation of the </w:t>
      </w:r>
      <w:r w:rsidR="00E4263F">
        <w:t xml:space="preserve">Bureau’s and </w:t>
      </w:r>
      <w:r w:rsidR="00C02DDA">
        <w:t xml:space="preserve">Commission’s prior directives </w:t>
      </w:r>
      <w:r w:rsidR="00957BEF">
        <w:t xml:space="preserve">generally prohibiting </w:t>
      </w:r>
      <w:r w:rsidR="00A1337F">
        <w:t>call-back arrangements.</w:t>
      </w:r>
      <w:r w:rsidR="00CE254C">
        <w:rPr>
          <w:rStyle w:val="FootnoteReference"/>
        </w:rPr>
        <w:footnoteReference w:id="28"/>
      </w:r>
      <w:r w:rsidR="00A1337F">
        <w:t xml:space="preserve">  In both the </w:t>
      </w:r>
      <w:r w:rsidR="00323241">
        <w:rPr>
          <w:i/>
        </w:rPr>
        <w:t>2005 TRS Mark</w:t>
      </w:r>
      <w:r w:rsidR="006E33E2">
        <w:rPr>
          <w:i/>
        </w:rPr>
        <w:t>et</w:t>
      </w:r>
      <w:r w:rsidR="00323241">
        <w:rPr>
          <w:i/>
        </w:rPr>
        <w:t>ing Practices PN</w:t>
      </w:r>
      <w:r w:rsidR="00A1337F">
        <w:rPr>
          <w:rStyle w:val="FootnoteReference"/>
        </w:rPr>
        <w:footnoteReference w:id="29"/>
      </w:r>
      <w:r w:rsidR="00A1337F">
        <w:rPr>
          <w:i/>
        </w:rPr>
        <w:t xml:space="preserve"> </w:t>
      </w:r>
      <w:r w:rsidR="00A1337F" w:rsidRPr="00C02DDA">
        <w:t xml:space="preserve">and </w:t>
      </w:r>
      <w:r w:rsidR="00323241">
        <w:t xml:space="preserve">the </w:t>
      </w:r>
      <w:r w:rsidR="00323241">
        <w:rPr>
          <w:i/>
        </w:rPr>
        <w:t>2005 Speed of Answer Order</w:t>
      </w:r>
      <w:r w:rsidR="00323241">
        <w:t>,</w:t>
      </w:r>
      <w:r w:rsidR="00A1337F">
        <w:rPr>
          <w:rStyle w:val="FootnoteReference"/>
        </w:rPr>
        <w:footnoteReference w:id="30"/>
      </w:r>
      <w:r w:rsidR="00323241">
        <w:t xml:space="preserve"> </w:t>
      </w:r>
      <w:r w:rsidR="00A1337F">
        <w:t xml:space="preserve">the </w:t>
      </w:r>
      <w:r w:rsidR="005B3393">
        <w:t xml:space="preserve">Bureau and the </w:t>
      </w:r>
      <w:r w:rsidR="00A1337F" w:rsidRPr="00AF71C6">
        <w:t>Commission</w:t>
      </w:r>
      <w:r w:rsidR="0010798D">
        <w:t>,</w:t>
      </w:r>
      <w:r w:rsidR="005B3393">
        <w:t xml:space="preserve"> respectively</w:t>
      </w:r>
      <w:r w:rsidR="0010798D">
        <w:t>,</w:t>
      </w:r>
      <w:r w:rsidR="00A1337F">
        <w:t xml:space="preserve"> concluded </w:t>
      </w:r>
      <w:r w:rsidR="00015753">
        <w:t xml:space="preserve">that </w:t>
      </w:r>
      <w:r w:rsidR="00957BEF">
        <w:t>r</w:t>
      </w:r>
      <w:r w:rsidR="00A1337F">
        <w:t>equiring a TRS user to leave a call-back message with a TRS provider to have his or her call completed</w:t>
      </w:r>
      <w:r w:rsidR="00957BEF">
        <w:t xml:space="preserve"> violates the speed-of-answer requirements and the</w:t>
      </w:r>
      <w:r w:rsidR="00A1337F">
        <w:t xml:space="preserve"> functional equivalency mandate to handle relay calls in the same manner as voice telephone calls.</w:t>
      </w:r>
      <w:r w:rsidR="00A1337F">
        <w:rPr>
          <w:rStyle w:val="FootnoteReference"/>
        </w:rPr>
        <w:footnoteReference w:id="31"/>
      </w:r>
      <w:r w:rsidR="00A1337F">
        <w:t xml:space="preserve">  In its petition, </w:t>
      </w:r>
      <w:r w:rsidR="00DD4434">
        <w:t xml:space="preserve">AT&amp;T </w:t>
      </w:r>
      <w:r w:rsidR="009C0DDA">
        <w:t xml:space="preserve">argues </w:t>
      </w:r>
      <w:r w:rsidR="00DD4434">
        <w:t xml:space="preserve">that disconnecting and calling back an STS user for the purpose of enabling the user’s voice to be muted </w:t>
      </w:r>
      <w:r w:rsidR="0047558D">
        <w:t>was</w:t>
      </w:r>
      <w:r w:rsidR="00A1337F">
        <w:t xml:space="preserve"> not in violation of these call-back prohibitions because </w:t>
      </w:r>
      <w:r w:rsidR="00C02DDA">
        <w:t>this</w:t>
      </w:r>
      <w:r w:rsidR="00A1337F">
        <w:t xml:space="preserve"> </w:t>
      </w:r>
      <w:r w:rsidR="0047558D">
        <w:t xml:space="preserve">did </w:t>
      </w:r>
      <w:r w:rsidR="00DD4434">
        <w:t>not affect the ability of the user to reach a CA</w:t>
      </w:r>
      <w:r w:rsidR="00C02DDA">
        <w:t>, who</w:t>
      </w:r>
      <w:r w:rsidR="002203F9">
        <w:t xml:space="preserve"> </w:t>
      </w:r>
      <w:r w:rsidR="0047558D">
        <w:t>was</w:t>
      </w:r>
      <w:r w:rsidR="002203F9">
        <w:t xml:space="preserve"> prepared to </w:t>
      </w:r>
      <w:r w:rsidR="00E62712">
        <w:t xml:space="preserve">handle </w:t>
      </w:r>
      <w:r w:rsidR="00C02DDA">
        <w:t>the</w:t>
      </w:r>
      <w:r w:rsidR="002203F9">
        <w:t xml:space="preserve"> call</w:t>
      </w:r>
      <w:r w:rsidR="002120C8">
        <w:t xml:space="preserve"> when it </w:t>
      </w:r>
      <w:r w:rsidR="0047558D">
        <w:t xml:space="preserve">came </w:t>
      </w:r>
      <w:r w:rsidR="002120C8">
        <w:t>into the TRS center</w:t>
      </w:r>
      <w:r w:rsidR="00C02DDA">
        <w:t>; thus AT&amp;T concludes</w:t>
      </w:r>
      <w:r w:rsidR="0078547E">
        <w:t xml:space="preserve">, </w:t>
      </w:r>
      <w:r w:rsidR="001B5654">
        <w:t xml:space="preserve">the </w:t>
      </w:r>
      <w:r w:rsidR="0078547E">
        <w:t xml:space="preserve">speed-of answer </w:t>
      </w:r>
      <w:r w:rsidR="0047558D">
        <w:t xml:space="preserve">was </w:t>
      </w:r>
      <w:r w:rsidR="0078547E">
        <w:t>not affected.</w:t>
      </w:r>
      <w:r w:rsidR="0078547E">
        <w:rPr>
          <w:rStyle w:val="FootnoteReference"/>
        </w:rPr>
        <w:footnoteReference w:id="32"/>
      </w:r>
    </w:p>
    <w:p w:rsidR="002761EE" w:rsidRDefault="000E26A3" w:rsidP="000362AB">
      <w:pPr>
        <w:pStyle w:val="ParaNum"/>
      </w:pPr>
      <w:r>
        <w:t>We do not agree with AT&amp;T</w:t>
      </w:r>
      <w:r w:rsidR="00C112A4">
        <w:t xml:space="preserve"> that its </w:t>
      </w:r>
      <w:r w:rsidR="009151A7">
        <w:t xml:space="preserve">prior </w:t>
      </w:r>
      <w:r w:rsidR="00C112A4">
        <w:t xml:space="preserve">call muting configuration </w:t>
      </w:r>
      <w:r w:rsidR="00015753">
        <w:t xml:space="preserve">for STS calls </w:t>
      </w:r>
      <w:r w:rsidR="00C112A4">
        <w:t>complie</w:t>
      </w:r>
      <w:r w:rsidR="00015753">
        <w:t>d</w:t>
      </w:r>
      <w:r w:rsidR="00C112A4">
        <w:t xml:space="preserve"> with the Commission’s rules or </w:t>
      </w:r>
      <w:r w:rsidR="00015753">
        <w:t>wa</w:t>
      </w:r>
      <w:r w:rsidR="00C112A4">
        <w:t>s consistent with the</w:t>
      </w:r>
      <w:r w:rsidR="009151A7">
        <w:t xml:space="preserve"> above</w:t>
      </w:r>
      <w:r w:rsidR="00C112A4">
        <w:t xml:space="preserve"> call</w:t>
      </w:r>
      <w:r w:rsidR="002761EE">
        <w:t>-</w:t>
      </w:r>
      <w:r w:rsidR="00C112A4">
        <w:t>back orders</w:t>
      </w:r>
      <w:r>
        <w:t xml:space="preserve">.  </w:t>
      </w:r>
      <w:r w:rsidR="00C112A4">
        <w:t>A</w:t>
      </w:r>
      <w:r w:rsidR="002761EE">
        <w:t>t issue is</w:t>
      </w:r>
      <w:r w:rsidR="00CB61F1">
        <w:t xml:space="preserve"> </w:t>
      </w:r>
      <w:r w:rsidR="00A105A1">
        <w:t xml:space="preserve">whether </w:t>
      </w:r>
      <w:r w:rsidR="000362AB">
        <w:t xml:space="preserve">dropping </w:t>
      </w:r>
      <w:r w:rsidR="009151A7">
        <w:t xml:space="preserve">an </w:t>
      </w:r>
      <w:r w:rsidR="000362AB">
        <w:t>STS user from the conference bridge and then adding th</w:t>
      </w:r>
      <w:r w:rsidR="009151A7">
        <w:t>at</w:t>
      </w:r>
      <w:r w:rsidR="000362AB">
        <w:t xml:space="preserve"> user back </w:t>
      </w:r>
      <w:r w:rsidR="009151A7">
        <w:t>to a call (</w:t>
      </w:r>
      <w:r w:rsidR="000362AB">
        <w:t>with the user’s voice muted</w:t>
      </w:r>
      <w:r w:rsidR="009151A7">
        <w:t xml:space="preserve">) can </w:t>
      </w:r>
      <w:r w:rsidR="00A105A1">
        <w:t xml:space="preserve">result in </w:t>
      </w:r>
      <w:r w:rsidR="00015753">
        <w:t xml:space="preserve">a </w:t>
      </w:r>
      <w:r w:rsidR="00A105A1">
        <w:t>communications service</w:t>
      </w:r>
      <w:r w:rsidR="00C112A4">
        <w:t xml:space="preserve"> that is functionally equivalent to voice communications service, as required by </w:t>
      </w:r>
      <w:r w:rsidR="00D504DB">
        <w:t>s</w:t>
      </w:r>
      <w:r w:rsidR="00C112A4">
        <w:t>ection 225(a)(3) of the Act.</w:t>
      </w:r>
      <w:r w:rsidR="00C112A4">
        <w:rPr>
          <w:rStyle w:val="FootnoteReference"/>
        </w:rPr>
        <w:footnoteReference w:id="33"/>
      </w:r>
      <w:r w:rsidR="00C112A4">
        <w:t xml:space="preserve">  </w:t>
      </w:r>
      <w:r w:rsidR="004B606C">
        <w:t xml:space="preserve">We </w:t>
      </w:r>
      <w:r w:rsidR="009151A7">
        <w:t xml:space="preserve">conclude that such </w:t>
      </w:r>
      <w:r w:rsidR="000E7EAD">
        <w:t xml:space="preserve">procedure </w:t>
      </w:r>
      <w:r w:rsidR="009151A7">
        <w:t xml:space="preserve">would not be </w:t>
      </w:r>
      <w:r w:rsidR="000E7EAD">
        <w:t xml:space="preserve">functionally equivalent </w:t>
      </w:r>
      <w:r w:rsidR="009151A7">
        <w:t xml:space="preserve">and disagree with AT&amp;T that this </w:t>
      </w:r>
      <w:r w:rsidR="000E7EAD">
        <w:t>“would not affect the ability of a[n] STS user to reach a CA prepared to handle an outgoing or incoming call.”</w:t>
      </w:r>
      <w:r w:rsidR="000E7EAD">
        <w:rPr>
          <w:rStyle w:val="FootnoteReference"/>
        </w:rPr>
        <w:footnoteReference w:id="34"/>
      </w:r>
      <w:r w:rsidR="00AF37AF">
        <w:t xml:space="preserve">  </w:t>
      </w:r>
    </w:p>
    <w:p w:rsidR="000362AB" w:rsidRDefault="00AF37AF" w:rsidP="000362AB">
      <w:pPr>
        <w:pStyle w:val="ParaNum"/>
      </w:pPr>
      <w:r>
        <w:t xml:space="preserve">In the </w:t>
      </w:r>
      <w:r w:rsidRPr="002761EE">
        <w:rPr>
          <w:i/>
        </w:rPr>
        <w:t>2005 TRS Marketing Practices PN</w:t>
      </w:r>
      <w:r>
        <w:t xml:space="preserve">, the </w:t>
      </w:r>
      <w:r w:rsidRPr="00AF71C6">
        <w:t>Bureau</w:t>
      </w:r>
      <w:r>
        <w:t xml:space="preserve"> </w:t>
      </w:r>
      <w:r w:rsidR="00344149">
        <w:t xml:space="preserve">clarified that </w:t>
      </w:r>
      <w:r>
        <w:t>call-back arrangements</w:t>
      </w:r>
      <w:r w:rsidR="00344149">
        <w:t xml:space="preserve"> are generally prohibited</w:t>
      </w:r>
      <w:r w:rsidR="001B1961">
        <w:t>,</w:t>
      </w:r>
      <w:r>
        <w:t xml:space="preserve"> </w:t>
      </w:r>
      <w:r w:rsidR="00881B94">
        <w:t>conclud</w:t>
      </w:r>
      <w:r w:rsidR="001B1961">
        <w:t>ing</w:t>
      </w:r>
      <w:r w:rsidR="00881B94">
        <w:t xml:space="preserve"> </w:t>
      </w:r>
      <w:r>
        <w:t>that</w:t>
      </w:r>
      <w:r w:rsidR="001B1961">
        <w:t xml:space="preserve"> such arrangements were not consistent with the functional equivalency mandate because</w:t>
      </w:r>
      <w:r w:rsidR="00C40C74">
        <w:t xml:space="preserve"> asking “the caller to leave certain information so that the provider can call the consumer back when the provider is able (or desires) to place the call</w:t>
      </w:r>
      <w:r w:rsidR="001B1961">
        <w:t xml:space="preserve"> . . . relieves the provider of its central obligation to be available when a caller desires to make a TRS call, and permits the provider, and not the caller, to ultimately be in control of when a TRS call is placed.”</w:t>
      </w:r>
      <w:r>
        <w:rPr>
          <w:rStyle w:val="FootnoteReference"/>
        </w:rPr>
        <w:footnoteReference w:id="35"/>
      </w:r>
      <w:r>
        <w:t xml:space="preserve">  </w:t>
      </w:r>
      <w:r w:rsidR="004B606C">
        <w:t>I</w:t>
      </w:r>
      <w:r w:rsidR="000362AB">
        <w:t xml:space="preserve">n the </w:t>
      </w:r>
      <w:r w:rsidR="000362AB" w:rsidRPr="002761EE">
        <w:rPr>
          <w:i/>
        </w:rPr>
        <w:t>2005 Speed of Answer Order</w:t>
      </w:r>
      <w:r w:rsidR="000362AB">
        <w:t>, the Commission</w:t>
      </w:r>
      <w:r w:rsidR="00347218">
        <w:t xml:space="preserve"> </w:t>
      </w:r>
      <w:r w:rsidR="000953E6">
        <w:t>reaffirmed</w:t>
      </w:r>
      <w:r w:rsidR="000362AB">
        <w:t xml:space="preserve"> that “call backs are inconsistent with functional equivalency and the notion that TRS is a service whereby a consumer, in reaching a CA, reaches the equivalent of a ‘dial tone,’ and therefore the ability to immediately have his or her outgoing call placed.”</w:t>
      </w:r>
      <w:r w:rsidR="000362AB">
        <w:rPr>
          <w:rStyle w:val="FootnoteReference"/>
        </w:rPr>
        <w:footnoteReference w:id="36"/>
      </w:r>
      <w:r w:rsidR="000362AB">
        <w:t xml:space="preserve">  </w:t>
      </w:r>
      <w:r w:rsidR="009F4C9E">
        <w:t>Just as</w:t>
      </w:r>
      <w:r w:rsidR="001A60FD">
        <w:t xml:space="preserve"> </w:t>
      </w:r>
      <w:r w:rsidR="00017F54">
        <w:t>a consumer who uses voice communication does not expect a call to be disconnected and reconnected before a conversation may begin</w:t>
      </w:r>
      <w:r w:rsidR="001A60FD">
        <w:t xml:space="preserve">, </w:t>
      </w:r>
      <w:r w:rsidR="00017F54">
        <w:t>a</w:t>
      </w:r>
      <w:r w:rsidR="000362AB">
        <w:t>n STS</w:t>
      </w:r>
      <w:r w:rsidR="00017F54">
        <w:t xml:space="preserve"> user </w:t>
      </w:r>
      <w:r w:rsidR="001A60FD">
        <w:t xml:space="preserve">also should not </w:t>
      </w:r>
      <w:r w:rsidR="00017F54">
        <w:t>be required to have the call disconnected and reconnected prior to the beginning of the conversation as a precondition of selecting</w:t>
      </w:r>
      <w:r w:rsidR="003D52D0">
        <w:t xml:space="preserve"> the muting option</w:t>
      </w:r>
      <w:r w:rsidR="00670039">
        <w:t>,</w:t>
      </w:r>
      <w:r w:rsidR="003D52D0">
        <w:t xml:space="preserve"> if that option</w:t>
      </w:r>
      <w:r w:rsidR="000362AB">
        <w:t xml:space="preserve"> </w:t>
      </w:r>
      <w:r w:rsidR="00017F54">
        <w:t xml:space="preserve">would provide </w:t>
      </w:r>
      <w:r w:rsidR="00A105A1">
        <w:t>more</w:t>
      </w:r>
      <w:r w:rsidR="000953E6">
        <w:t xml:space="preserve"> functionally equivalent </w:t>
      </w:r>
      <w:r w:rsidR="00A105A1">
        <w:t>communication</w:t>
      </w:r>
      <w:r w:rsidR="00017F54">
        <w:t xml:space="preserve"> for that user.</w:t>
      </w:r>
      <w:r w:rsidR="00970F02">
        <w:t xml:space="preserve">  In other words, the need to disconnect and reconnect the call is not functionally equivalent to having </w:t>
      </w:r>
      <w:r w:rsidR="00964102">
        <w:t xml:space="preserve">a </w:t>
      </w:r>
      <w:r w:rsidR="00970F02">
        <w:t>“dial tone” and being able to place the call without interruption.</w:t>
      </w:r>
      <w:r w:rsidR="00970F02">
        <w:rPr>
          <w:rStyle w:val="FootnoteReference"/>
        </w:rPr>
        <w:footnoteReference w:id="37"/>
      </w:r>
      <w:r w:rsidR="00970F02">
        <w:t xml:space="preserve">  </w:t>
      </w:r>
    </w:p>
    <w:p w:rsidR="000E7EAD" w:rsidRDefault="00831BBE" w:rsidP="00670039">
      <w:pPr>
        <w:pStyle w:val="ParaNum"/>
      </w:pPr>
      <w:r>
        <w:t>A</w:t>
      </w:r>
      <w:r w:rsidR="000179D4">
        <w:t>lthough</w:t>
      </w:r>
      <w:r w:rsidRPr="00831BBE">
        <w:t xml:space="preserve"> </w:t>
      </w:r>
      <w:r>
        <w:t xml:space="preserve">in the </w:t>
      </w:r>
      <w:r>
        <w:rPr>
          <w:i/>
        </w:rPr>
        <w:t>2005 Speed of Answer Order</w:t>
      </w:r>
      <w:r w:rsidR="000179D4">
        <w:t xml:space="preserve"> t</w:t>
      </w:r>
      <w:r w:rsidR="00670039">
        <w:t xml:space="preserve">he Commission </w:t>
      </w:r>
      <w:r w:rsidR="00964102">
        <w:t>recognized</w:t>
      </w:r>
      <w:r w:rsidR="00670039">
        <w:t xml:space="preserve"> one “narrow exception” </w:t>
      </w:r>
      <w:r>
        <w:t xml:space="preserve">that </w:t>
      </w:r>
      <w:r w:rsidR="000362AB">
        <w:t>permi</w:t>
      </w:r>
      <w:r w:rsidR="000179D4">
        <w:t>t</w:t>
      </w:r>
      <w:r w:rsidR="000362AB">
        <w:t>t</w:t>
      </w:r>
      <w:r>
        <w:t>ed</w:t>
      </w:r>
      <w:r w:rsidR="00670039">
        <w:t xml:space="preserve"> </w:t>
      </w:r>
      <w:r w:rsidR="000362AB">
        <w:t>a call</w:t>
      </w:r>
      <w:r w:rsidR="000E228C">
        <w:t>-</w:t>
      </w:r>
      <w:r w:rsidR="000362AB">
        <w:t xml:space="preserve">back where a call is </w:t>
      </w:r>
      <w:r w:rsidR="00562922">
        <w:t xml:space="preserve">inadvertently </w:t>
      </w:r>
      <w:r w:rsidR="000362AB">
        <w:t xml:space="preserve">disconnected </w:t>
      </w:r>
      <w:r w:rsidR="00964102">
        <w:t>because of</w:t>
      </w:r>
      <w:r w:rsidR="000362AB">
        <w:t xml:space="preserve"> </w:t>
      </w:r>
      <w:r w:rsidR="00A7714C">
        <w:t xml:space="preserve">its </w:t>
      </w:r>
      <w:r w:rsidR="000362AB">
        <w:t>reliance on the Internet</w:t>
      </w:r>
      <w:r w:rsidR="000179D4">
        <w:t>,</w:t>
      </w:r>
      <w:r w:rsidR="00670039">
        <w:rPr>
          <w:rStyle w:val="FootnoteReference"/>
        </w:rPr>
        <w:footnoteReference w:id="38"/>
      </w:r>
      <w:r w:rsidR="000362AB">
        <w:t xml:space="preserve"> </w:t>
      </w:r>
      <w:r w:rsidR="000179D4">
        <w:t>t</w:t>
      </w:r>
      <w:r w:rsidR="00670039">
        <w:t xml:space="preserve">he AT&amp;T configuration discussed herein is different from this exception.  </w:t>
      </w:r>
      <w:r w:rsidR="000362AB">
        <w:t xml:space="preserve">The </w:t>
      </w:r>
      <w:r w:rsidR="000362AB">
        <w:rPr>
          <w:i/>
        </w:rPr>
        <w:t>2005 Speed of Answer Order</w:t>
      </w:r>
      <w:r w:rsidR="000362AB">
        <w:t xml:space="preserve"> was </w:t>
      </w:r>
      <w:r w:rsidR="00147E74">
        <w:t>addressing a situation</w:t>
      </w:r>
      <w:r w:rsidR="000362AB">
        <w:t xml:space="preserve"> in which the disconnection was inadvertent due to the limitations of Internet technology at the time when the order was adopted.  </w:t>
      </w:r>
      <w:r w:rsidR="00147E74">
        <w:t>Under those circumstances</w:t>
      </w:r>
      <w:r w:rsidR="000E228C">
        <w:t xml:space="preserve">, </w:t>
      </w:r>
      <w:r w:rsidR="00562922">
        <w:t xml:space="preserve">a </w:t>
      </w:r>
      <w:r w:rsidR="000E228C">
        <w:t>call-</w:t>
      </w:r>
      <w:r w:rsidR="000362AB">
        <w:t xml:space="preserve">back to the consumer </w:t>
      </w:r>
      <w:r w:rsidR="00015753">
        <w:t>enabled</w:t>
      </w:r>
      <w:r w:rsidR="000362AB">
        <w:t xml:space="preserve"> the immediate resumption of </w:t>
      </w:r>
      <w:r w:rsidR="00147E74">
        <w:t>a</w:t>
      </w:r>
      <w:r w:rsidR="000362AB">
        <w:t xml:space="preserve"> disconnected call.</w:t>
      </w:r>
      <w:r w:rsidR="00A24422">
        <w:rPr>
          <w:rStyle w:val="FootnoteReference"/>
        </w:rPr>
        <w:footnoteReference w:id="39"/>
      </w:r>
      <w:r w:rsidR="000362AB">
        <w:t xml:space="preserve">  By contrast, the</w:t>
      </w:r>
      <w:r w:rsidR="00147E74">
        <w:t xml:space="preserve"> prior</w:t>
      </w:r>
      <w:r w:rsidR="000362AB">
        <w:t xml:space="preserve"> AT&amp;T configuration discussed herein result</w:t>
      </w:r>
      <w:r w:rsidR="00147E74">
        <w:t>ed</w:t>
      </w:r>
      <w:r w:rsidR="000362AB">
        <w:t xml:space="preserve"> in an intentional disconnection and call</w:t>
      </w:r>
      <w:r w:rsidR="000E228C">
        <w:t>-</w:t>
      </w:r>
      <w:r w:rsidR="000362AB">
        <w:t>back whenever</w:t>
      </w:r>
      <w:r w:rsidR="00876A3F">
        <w:t xml:space="preserve"> a</w:t>
      </w:r>
      <w:r w:rsidR="000362AB">
        <w:t xml:space="preserve"> consumer who </w:t>
      </w:r>
      <w:r w:rsidR="00B5433E">
        <w:t xml:space="preserve">had </w:t>
      </w:r>
      <w:r w:rsidR="000362AB">
        <w:t xml:space="preserve">not </w:t>
      </w:r>
      <w:r w:rsidR="00964102">
        <w:t xml:space="preserve">preselected </w:t>
      </w:r>
      <w:r w:rsidR="00B5433E">
        <w:t xml:space="preserve">call muting </w:t>
      </w:r>
      <w:r w:rsidR="000362AB">
        <w:t xml:space="preserve">on </w:t>
      </w:r>
      <w:r w:rsidR="00876A3F">
        <w:t xml:space="preserve">his or her </w:t>
      </w:r>
      <w:r w:rsidR="000362AB">
        <w:t>profile</w:t>
      </w:r>
      <w:r w:rsidR="00B5433E">
        <w:t xml:space="preserve"> wanted such </w:t>
      </w:r>
      <w:r w:rsidR="000362AB">
        <w:t xml:space="preserve">muting </w:t>
      </w:r>
      <w:r w:rsidR="00B5433E">
        <w:t xml:space="preserve">on </w:t>
      </w:r>
      <w:r w:rsidR="000362AB">
        <w:t>an incoming call.</w:t>
      </w:r>
      <w:r w:rsidR="00450359">
        <w:rPr>
          <w:rStyle w:val="FootnoteReference"/>
        </w:rPr>
        <w:footnoteReference w:id="40"/>
      </w:r>
      <w:r w:rsidR="00670039">
        <w:t xml:space="preserve">  </w:t>
      </w:r>
    </w:p>
    <w:p w:rsidR="000E26A3" w:rsidRDefault="000E7EAD" w:rsidP="00670039">
      <w:pPr>
        <w:pStyle w:val="ParaNum"/>
      </w:pPr>
      <w:r>
        <w:t>F</w:t>
      </w:r>
      <w:r w:rsidR="00670039">
        <w:t xml:space="preserve">or these reasons, </w:t>
      </w:r>
      <w:r>
        <w:t xml:space="preserve">we conclude that </w:t>
      </w:r>
      <w:r w:rsidR="00670039">
        <w:t xml:space="preserve">AT&amp;T’s procedure of dropping the STS user from the conference bridge and then adding the user back in with the user’s voice muted </w:t>
      </w:r>
      <w:r w:rsidR="00964102">
        <w:t>did</w:t>
      </w:r>
      <w:r w:rsidR="00670039">
        <w:t xml:space="preserve"> not provide functionally equivalent communication service for STS users</w:t>
      </w:r>
      <w:r>
        <w:t xml:space="preserve">. </w:t>
      </w:r>
      <w:r w:rsidR="00670039">
        <w:t xml:space="preserve"> </w:t>
      </w:r>
      <w:r w:rsidR="00A105A1">
        <w:t>We therefore deny AT&amp;T’s request for clarification</w:t>
      </w:r>
      <w:r w:rsidR="006555E1">
        <w:t xml:space="preserve"> that this procedure was in compliance with the STS Voice Muting Rule</w:t>
      </w:r>
      <w:r w:rsidR="00A105A1">
        <w:t>.</w:t>
      </w:r>
      <w:r w:rsidR="00017F54">
        <w:t xml:space="preserve"> </w:t>
      </w:r>
    </w:p>
    <w:p w:rsidR="009B2B3E" w:rsidRDefault="009B2B3E" w:rsidP="009B2B3E">
      <w:pPr>
        <w:pStyle w:val="Heading2"/>
      </w:pPr>
      <w:r>
        <w:t>Petition for Waiver</w:t>
      </w:r>
    </w:p>
    <w:p w:rsidR="008B062C" w:rsidRDefault="00F16913" w:rsidP="008D439C">
      <w:pPr>
        <w:pStyle w:val="ParaNum"/>
      </w:pPr>
      <w:r>
        <w:t xml:space="preserve">We now turn to AT&amp;T’s alternative request for </w:t>
      </w:r>
      <w:r w:rsidR="006555E1">
        <w:t xml:space="preserve">a temporary </w:t>
      </w:r>
      <w:r>
        <w:t>waiver</w:t>
      </w:r>
      <w:r w:rsidR="00E8622E">
        <w:t xml:space="preserve"> of the </w:t>
      </w:r>
      <w:r w:rsidR="00F43BD6">
        <w:t>STS Voice Muting Rule</w:t>
      </w:r>
      <w:r>
        <w:t>.</w:t>
      </w:r>
      <w:r>
        <w:rPr>
          <w:rStyle w:val="FootnoteReference"/>
        </w:rPr>
        <w:footnoteReference w:id="41"/>
      </w:r>
      <w:r>
        <w:t xml:space="preserve">  </w:t>
      </w:r>
      <w:r w:rsidR="008B062C">
        <w:t>A Commission rule may be waived for “good cause shown.”</w:t>
      </w:r>
      <w:r w:rsidR="008B062C">
        <w:rPr>
          <w:vertAlign w:val="superscript"/>
        </w:rPr>
        <w:footnoteReference w:id="42"/>
      </w:r>
      <w:r w:rsidR="008B062C">
        <w:t xml:space="preserve">  In particular, a waiver is appropriate where the particular facts make strict compliance inconsistent with the public interest.</w:t>
      </w:r>
      <w:r w:rsidR="008B062C">
        <w:rPr>
          <w:vertAlign w:val="superscript"/>
        </w:rPr>
        <w:footnoteReference w:id="43"/>
      </w:r>
      <w:r w:rsidR="00CD30E3">
        <w:t xml:space="preserve">  </w:t>
      </w:r>
      <w:r w:rsidR="008B062C">
        <w:t>In addition, the Commission may take into account considerations of hardship, equity, or more effective implementation of overall policy on an individual basis.</w:t>
      </w:r>
      <w:r w:rsidR="008B062C">
        <w:rPr>
          <w:vertAlign w:val="superscript"/>
        </w:rPr>
        <w:footnoteReference w:id="44"/>
      </w:r>
      <w:r w:rsidR="008B062C">
        <w:t xml:space="preserve"> </w:t>
      </w:r>
      <w:r w:rsidR="00CD30E3">
        <w:t xml:space="preserve"> </w:t>
      </w:r>
      <w:r w:rsidR="008B062C">
        <w:t>Waiver of a Commission rule is therefore appropriate if special circumstances warrant a deviation from the general rule and such deviation will serve the public interest.</w:t>
      </w:r>
      <w:r w:rsidR="008B062C">
        <w:rPr>
          <w:vertAlign w:val="superscript"/>
        </w:rPr>
        <w:footnoteReference w:id="45"/>
      </w:r>
      <w:r w:rsidR="00CD30E3">
        <w:t xml:space="preserve"> </w:t>
      </w:r>
      <w:r w:rsidR="008B062C">
        <w:t xml:space="preserve"> Applying these standards to the instant petition, we find good cause has been demonstrated to grant </w:t>
      </w:r>
      <w:r w:rsidR="0020271A">
        <w:t>AT&amp;T’s</w:t>
      </w:r>
      <w:r w:rsidR="008B062C">
        <w:t xml:space="preserve"> request for a</w:t>
      </w:r>
      <w:r w:rsidR="00813F10">
        <w:t xml:space="preserve"> retroactive</w:t>
      </w:r>
      <w:r w:rsidR="008B062C">
        <w:t xml:space="preserve"> limited waiver of </w:t>
      </w:r>
      <w:r w:rsidR="00F6679F">
        <w:t xml:space="preserve">the </w:t>
      </w:r>
      <w:r w:rsidR="00F43BD6">
        <w:t>STS Voice Muting Rule</w:t>
      </w:r>
      <w:r w:rsidR="00562922">
        <w:t xml:space="preserve"> for the period</w:t>
      </w:r>
      <w:r w:rsidR="009E2BC7">
        <w:t xml:space="preserve"> from October 15, 2013</w:t>
      </w:r>
      <w:r w:rsidR="00562922">
        <w:t>,</w:t>
      </w:r>
      <w:r w:rsidR="009E2BC7">
        <w:t xml:space="preserve"> </w:t>
      </w:r>
      <w:r w:rsidR="00BF4F6A">
        <w:t xml:space="preserve">the effective date of the STS Voice Muting Rule, </w:t>
      </w:r>
      <w:r w:rsidR="009E2BC7">
        <w:t xml:space="preserve">to </w:t>
      </w:r>
      <w:r w:rsidR="0081736A">
        <w:t xml:space="preserve">June </w:t>
      </w:r>
      <w:r w:rsidR="009E2BC7">
        <w:t>1</w:t>
      </w:r>
      <w:r w:rsidR="008570BE">
        <w:t>0</w:t>
      </w:r>
      <w:r w:rsidR="009E2BC7">
        <w:t>, 2014</w:t>
      </w:r>
      <w:r w:rsidR="00BF4F6A">
        <w:t>, the date when AT&amp;T reports that it came into compliance with the rule</w:t>
      </w:r>
      <w:r w:rsidR="008B062C">
        <w:t>.</w:t>
      </w:r>
    </w:p>
    <w:p w:rsidR="00B706DA" w:rsidRDefault="003947B2" w:rsidP="008D439C">
      <w:pPr>
        <w:pStyle w:val="ParaNum"/>
      </w:pPr>
      <w:r>
        <w:t>T</w:t>
      </w:r>
      <w:r w:rsidR="008B062C">
        <w:t xml:space="preserve">he Commission’s </w:t>
      </w:r>
      <w:r w:rsidR="00ED7D71">
        <w:t xml:space="preserve">underlying </w:t>
      </w:r>
      <w:r w:rsidR="008B062C">
        <w:t xml:space="preserve">goal in adopting </w:t>
      </w:r>
      <w:r w:rsidR="004B75D7">
        <w:t xml:space="preserve">the </w:t>
      </w:r>
      <w:r w:rsidR="00F43BD6">
        <w:t>STS Voice Muting Rule</w:t>
      </w:r>
      <w:r w:rsidR="008B062C">
        <w:t xml:space="preserve"> was to </w:t>
      </w:r>
      <w:r>
        <w:t>enhance the ability of</w:t>
      </w:r>
      <w:r w:rsidR="00833C7B">
        <w:t xml:space="preserve"> an</w:t>
      </w:r>
      <w:r>
        <w:t xml:space="preserve"> </w:t>
      </w:r>
      <w:r w:rsidR="0020271A">
        <w:t>STS user to carry on a phone conversation that is functionally equivalent to a voice-to-voice call.</w:t>
      </w:r>
      <w:r w:rsidR="0020271A">
        <w:rPr>
          <w:rStyle w:val="FootnoteReference"/>
        </w:rPr>
        <w:footnoteReference w:id="46"/>
      </w:r>
      <w:r w:rsidR="0020271A">
        <w:t xml:space="preserve">  AT&amp;T requests </w:t>
      </w:r>
      <w:r w:rsidR="008C0393">
        <w:t xml:space="preserve">a rule </w:t>
      </w:r>
      <w:r w:rsidR="0020271A">
        <w:t xml:space="preserve">waiver to </w:t>
      </w:r>
      <w:r w:rsidR="00833C7B">
        <w:t>allow for</w:t>
      </w:r>
      <w:r w:rsidR="009E2BC7">
        <w:t xml:space="preserve"> its </w:t>
      </w:r>
      <w:r w:rsidR="009A74ED">
        <w:t xml:space="preserve">temporary </w:t>
      </w:r>
      <w:r w:rsidR="008C0393">
        <w:t xml:space="preserve">use </w:t>
      </w:r>
      <w:r w:rsidR="00972F11">
        <w:t xml:space="preserve">of </w:t>
      </w:r>
      <w:r w:rsidR="00B706DA">
        <w:t xml:space="preserve">the call-back </w:t>
      </w:r>
      <w:r w:rsidR="008C0393">
        <w:t xml:space="preserve">method </w:t>
      </w:r>
      <w:r w:rsidR="00B706DA">
        <w:t xml:space="preserve">for </w:t>
      </w:r>
      <w:r w:rsidR="008C0393">
        <w:t xml:space="preserve">activating the </w:t>
      </w:r>
      <w:r w:rsidR="00B706DA">
        <w:t xml:space="preserve">voice muting </w:t>
      </w:r>
      <w:r w:rsidR="002C10CF">
        <w:t xml:space="preserve">option for </w:t>
      </w:r>
      <w:r w:rsidR="00B706DA">
        <w:t xml:space="preserve">incoming calls to </w:t>
      </w:r>
      <w:r w:rsidR="0020271A">
        <w:t xml:space="preserve">STS users who </w:t>
      </w:r>
      <w:r w:rsidR="00972F11">
        <w:t xml:space="preserve">had </w:t>
      </w:r>
      <w:r w:rsidR="0020271A">
        <w:t xml:space="preserve">not preselected muting on their </w:t>
      </w:r>
      <w:r w:rsidR="00EF5D05">
        <w:t>user</w:t>
      </w:r>
      <w:r w:rsidR="0020271A">
        <w:t xml:space="preserve"> profiles, </w:t>
      </w:r>
      <w:r w:rsidR="00833C7B">
        <w:t xml:space="preserve">for the period </w:t>
      </w:r>
      <w:r w:rsidR="009E2BC7">
        <w:t>from October 15, 2013</w:t>
      </w:r>
      <w:r w:rsidR="00562922">
        <w:t>,</w:t>
      </w:r>
      <w:r w:rsidR="009E2BC7">
        <w:t xml:space="preserve"> to </w:t>
      </w:r>
      <w:r w:rsidR="008570BE">
        <w:t>June 10, 2014</w:t>
      </w:r>
      <w:r w:rsidR="00C85E27">
        <w:t xml:space="preserve">.  </w:t>
      </w:r>
      <w:r w:rsidR="00650F2C">
        <w:t>AT&amp;T</w:t>
      </w:r>
      <w:r w:rsidR="0020271A">
        <w:t xml:space="preserve"> </w:t>
      </w:r>
      <w:r w:rsidR="00355482">
        <w:t xml:space="preserve">reports that during this eight month period, it worked on </w:t>
      </w:r>
      <w:r w:rsidR="00C85E27">
        <w:t xml:space="preserve">a </w:t>
      </w:r>
      <w:r w:rsidR="0020271A">
        <w:t>modif</w:t>
      </w:r>
      <w:r w:rsidR="00C85E27">
        <w:t xml:space="preserve">ication of </w:t>
      </w:r>
      <w:r w:rsidR="0020271A">
        <w:t>its relay platform to add a “hold” function</w:t>
      </w:r>
      <w:r w:rsidR="00355482">
        <w:t xml:space="preserve"> that would eliminate the need for such call-backs</w:t>
      </w:r>
      <w:r w:rsidR="0020271A">
        <w:t>.</w:t>
      </w:r>
      <w:r w:rsidR="0020271A">
        <w:rPr>
          <w:rStyle w:val="FootnoteReference"/>
        </w:rPr>
        <w:footnoteReference w:id="47"/>
      </w:r>
      <w:r w:rsidR="00ED6E5C">
        <w:t xml:space="preserve">  Because TRS calls are not compensable unless the provider complies with all of the Commission’s </w:t>
      </w:r>
      <w:r w:rsidR="00D73C2C">
        <w:t>rules</w:t>
      </w:r>
      <w:r w:rsidR="00ED6E5C">
        <w:t>,</w:t>
      </w:r>
      <w:r w:rsidR="00D73C2C">
        <w:rPr>
          <w:rStyle w:val="FootnoteReference"/>
        </w:rPr>
        <w:footnoteReference w:id="48"/>
      </w:r>
      <w:r w:rsidR="00ED6E5C">
        <w:t xml:space="preserve"> we take action on AT&amp;T’s waiver request </w:t>
      </w:r>
      <w:r w:rsidR="007E262D">
        <w:t xml:space="preserve">in part </w:t>
      </w:r>
      <w:r w:rsidR="00ED6E5C">
        <w:t xml:space="preserve">to resolve any question </w:t>
      </w:r>
      <w:r w:rsidR="007E262D">
        <w:t xml:space="preserve">as to </w:t>
      </w:r>
      <w:r w:rsidR="00ED6E5C">
        <w:t xml:space="preserve">whether the STS calls handled by AT&amp;T during the period covered by the waiver request </w:t>
      </w:r>
      <w:r w:rsidR="006555E1">
        <w:t>we</w:t>
      </w:r>
      <w:r w:rsidR="00ED6E5C">
        <w:t>re compensable.</w:t>
      </w:r>
      <w:r w:rsidR="0020271A">
        <w:t xml:space="preserve">  </w:t>
      </w:r>
    </w:p>
    <w:p w:rsidR="0056564F" w:rsidRDefault="00972F11" w:rsidP="00E30A7D">
      <w:pPr>
        <w:pStyle w:val="ParaNum"/>
      </w:pPr>
      <w:r>
        <w:t xml:space="preserve">We </w:t>
      </w:r>
      <w:r w:rsidR="006B73EC">
        <w:t xml:space="preserve">believe that AT&amp;T has made a </w:t>
      </w:r>
      <w:r>
        <w:t>persua</w:t>
      </w:r>
      <w:r w:rsidR="006B73EC">
        <w:t xml:space="preserve">sive case that </w:t>
      </w:r>
      <w:r w:rsidR="007E262D">
        <w:t>special circumstances made it</w:t>
      </w:r>
      <w:r w:rsidR="006B73EC">
        <w:t xml:space="preserve"> technically infeasible for it to </w:t>
      </w:r>
      <w:r w:rsidR="007F7258">
        <w:t xml:space="preserve">come </w:t>
      </w:r>
      <w:r w:rsidR="006B73EC">
        <w:t>in</w:t>
      </w:r>
      <w:r w:rsidR="007F7258">
        <w:t>to</w:t>
      </w:r>
      <w:r w:rsidR="006B73EC">
        <w:t xml:space="preserve"> compliance with the Commission’s STS Voice Muting Rule at the time it became effective, and thus find </w:t>
      </w:r>
      <w:r>
        <w:t xml:space="preserve">good cause to grant the </w:t>
      </w:r>
      <w:r w:rsidR="006B73EC">
        <w:t xml:space="preserve">limited </w:t>
      </w:r>
      <w:r>
        <w:t>waiver</w:t>
      </w:r>
      <w:r w:rsidR="00821433">
        <w:t xml:space="preserve"> requested by</w:t>
      </w:r>
      <w:r>
        <w:t xml:space="preserve"> AT&amp;T</w:t>
      </w:r>
      <w:r w:rsidR="000E228C">
        <w:t xml:space="preserve">.  </w:t>
      </w:r>
      <w:r w:rsidR="006B73EC">
        <w:t xml:space="preserve">Specifically, we are convinced that </w:t>
      </w:r>
      <w:r>
        <w:t xml:space="preserve">AT&amp;T </w:t>
      </w:r>
      <w:r w:rsidR="006B73EC">
        <w:t xml:space="preserve">has </w:t>
      </w:r>
      <w:r>
        <w:t>describe</w:t>
      </w:r>
      <w:r w:rsidR="006B73EC">
        <w:t xml:space="preserve">d </w:t>
      </w:r>
      <w:r w:rsidR="007E262D">
        <w:t xml:space="preserve">with particularity </w:t>
      </w:r>
      <w:r w:rsidR="006B73EC">
        <w:t xml:space="preserve">the </w:t>
      </w:r>
      <w:r w:rsidR="007F7258">
        <w:t xml:space="preserve">technical </w:t>
      </w:r>
      <w:r w:rsidR="006B73EC">
        <w:t>difficult</w:t>
      </w:r>
      <w:r w:rsidR="007F7258">
        <w:t xml:space="preserve">ies </w:t>
      </w:r>
      <w:r w:rsidR="00C85E27">
        <w:t xml:space="preserve">that </w:t>
      </w:r>
      <w:r w:rsidR="00E42275">
        <w:t>it</w:t>
      </w:r>
      <w:r w:rsidR="00C85E27">
        <w:t xml:space="preserve"> encountered with respect to</w:t>
      </w:r>
      <w:r w:rsidR="00284258">
        <w:t xml:space="preserve"> modifying its platform to</w:t>
      </w:r>
      <w:r w:rsidR="00C85E27">
        <w:t xml:space="preserve"> enabl</w:t>
      </w:r>
      <w:r w:rsidR="00284258">
        <w:t>e</w:t>
      </w:r>
      <w:r>
        <w:t xml:space="preserve"> an STS user’s voice </w:t>
      </w:r>
      <w:r w:rsidR="0081736A">
        <w:t xml:space="preserve">on an incoming call </w:t>
      </w:r>
      <w:r w:rsidR="00C85E27">
        <w:t>to be muted when</w:t>
      </w:r>
      <w:r w:rsidR="0081736A">
        <w:t xml:space="preserve"> the user had not preselected muting in his or her profile</w:t>
      </w:r>
      <w:r w:rsidR="007F7258">
        <w:t xml:space="preserve">, </w:t>
      </w:r>
      <w:r w:rsidR="00E92391">
        <w:t>without</w:t>
      </w:r>
      <w:r w:rsidR="00284258">
        <w:t xml:space="preserve"> the need for AT&amp;T to</w:t>
      </w:r>
      <w:r w:rsidR="00E92391">
        <w:t xml:space="preserve"> drop the user</w:t>
      </w:r>
      <w:r w:rsidR="007F7258">
        <w:t xml:space="preserve"> from the conference bridge and then</w:t>
      </w:r>
      <w:r w:rsidR="00061A83">
        <w:t xml:space="preserve"> call</w:t>
      </w:r>
      <w:r w:rsidR="007F7258">
        <w:t xml:space="preserve"> </w:t>
      </w:r>
      <w:r w:rsidR="00061A83">
        <w:t>back</w:t>
      </w:r>
      <w:r w:rsidR="007F7258">
        <w:t xml:space="preserve"> the user</w:t>
      </w:r>
      <w:r>
        <w:t>.</w:t>
      </w:r>
      <w:r>
        <w:rPr>
          <w:rStyle w:val="FootnoteReference"/>
        </w:rPr>
        <w:footnoteReference w:id="49"/>
      </w:r>
      <w:r>
        <w:t xml:space="preserve">  </w:t>
      </w:r>
      <w:r w:rsidR="00061A83">
        <w:t xml:space="preserve">In addition, </w:t>
      </w:r>
      <w:r w:rsidR="007F7258">
        <w:t xml:space="preserve">we recognize </w:t>
      </w:r>
      <w:r w:rsidR="00061A83">
        <w:t>AT&amp;T</w:t>
      </w:r>
      <w:r w:rsidR="007F7258">
        <w:t xml:space="preserve">’s considerable efforts, notwithstanding </w:t>
      </w:r>
      <w:r w:rsidR="00BF4F6A">
        <w:t xml:space="preserve">these </w:t>
      </w:r>
      <w:r w:rsidR="0056564F">
        <w:t xml:space="preserve">technical </w:t>
      </w:r>
      <w:r w:rsidR="007F7258">
        <w:t xml:space="preserve">difficulties, to </w:t>
      </w:r>
      <w:r w:rsidR="00061A83">
        <w:t xml:space="preserve">design and develop a new muting function </w:t>
      </w:r>
      <w:r w:rsidR="007F7258">
        <w:t>to achieve compliance with the STS Voice Muting Rule</w:t>
      </w:r>
      <w:r w:rsidR="00355482">
        <w:t xml:space="preserve">, which </w:t>
      </w:r>
      <w:r w:rsidR="00B5433E">
        <w:t xml:space="preserve">now </w:t>
      </w:r>
      <w:r w:rsidR="00061A83">
        <w:t>plac</w:t>
      </w:r>
      <w:r w:rsidR="00355482">
        <w:t>e</w:t>
      </w:r>
      <w:r w:rsidR="00B5433E">
        <w:t>s</w:t>
      </w:r>
      <w:r w:rsidR="00061A83">
        <w:t xml:space="preserve"> the voice caller on “hold” while the STS user speaks.</w:t>
      </w:r>
      <w:r w:rsidR="00061A83">
        <w:rPr>
          <w:rStyle w:val="FootnoteReference"/>
        </w:rPr>
        <w:footnoteReference w:id="50"/>
      </w:r>
      <w:r w:rsidR="00061A83">
        <w:t xml:space="preserve">  </w:t>
      </w:r>
      <w:r w:rsidR="00BF4F6A">
        <w:t>In light of t</w:t>
      </w:r>
      <w:r w:rsidR="007E262D">
        <w:t>hese technical difficulties and AT&amp;T’s effort to overcome them</w:t>
      </w:r>
      <w:r w:rsidR="00BF4F6A">
        <w:t xml:space="preserve">, we find that </w:t>
      </w:r>
      <w:r w:rsidR="007E262D">
        <w:t>considerations of hardship</w:t>
      </w:r>
      <w:r w:rsidR="00A9768D">
        <w:t xml:space="preserve"> and</w:t>
      </w:r>
      <w:r w:rsidR="007E262D">
        <w:t xml:space="preserve"> equity warrant the grant of a waiver</w:t>
      </w:r>
      <w:r w:rsidR="00BF4F6A">
        <w:t xml:space="preserve"> in these special circumstances</w:t>
      </w:r>
      <w:r w:rsidR="007E262D">
        <w:t>.</w:t>
      </w:r>
      <w:r w:rsidR="00BF4F6A">
        <w:rPr>
          <w:rStyle w:val="FootnoteReference"/>
        </w:rPr>
        <w:footnoteReference w:id="51"/>
      </w:r>
      <w:r w:rsidR="007E262D">
        <w:t xml:space="preserve">  </w:t>
      </w:r>
      <w:r w:rsidR="007F7258">
        <w:t xml:space="preserve">Furthermore, we are persuaded, based on the information provided by AT&amp;T, that </w:t>
      </w:r>
      <w:r w:rsidR="00B05FD9">
        <w:t>the time needed</w:t>
      </w:r>
      <w:r w:rsidR="00E30A7D">
        <w:t xml:space="preserve"> </w:t>
      </w:r>
      <w:r w:rsidR="00B05FD9">
        <w:t>to</w:t>
      </w:r>
      <w:r w:rsidR="00E30A7D">
        <w:t xml:space="preserve"> design, develop, test, and implement the new muting function</w:t>
      </w:r>
      <w:r w:rsidR="007F7258">
        <w:t xml:space="preserve"> was reasonable, and</w:t>
      </w:r>
      <w:r w:rsidR="00717029">
        <w:t xml:space="preserve"> we</w:t>
      </w:r>
      <w:r w:rsidR="007F7258">
        <w:t xml:space="preserve"> </w:t>
      </w:r>
      <w:r w:rsidR="00C85E27">
        <w:t xml:space="preserve">specifically </w:t>
      </w:r>
      <w:r w:rsidR="007F7258">
        <w:t>find credible AT&amp;T’s claims that it needed until June 10, 2014 to complete and deploy this platform revision</w:t>
      </w:r>
      <w:r w:rsidR="00E30A7D">
        <w:t>.</w:t>
      </w:r>
      <w:r w:rsidR="00E30A7D">
        <w:rPr>
          <w:rStyle w:val="FootnoteReference"/>
        </w:rPr>
        <w:footnoteReference w:id="52"/>
      </w:r>
      <w:r w:rsidR="00E30A7D">
        <w:t xml:space="preserve">  </w:t>
      </w:r>
    </w:p>
    <w:p w:rsidR="008B062C" w:rsidRDefault="00990AC5" w:rsidP="0056564F">
      <w:pPr>
        <w:pStyle w:val="ParaNum"/>
      </w:pPr>
      <w:r>
        <w:t>For these reasons</w:t>
      </w:r>
      <w:r w:rsidR="0056564F" w:rsidRPr="0054358C">
        <w:t>, we</w:t>
      </w:r>
      <w:r>
        <w:t xml:space="preserve"> find that</w:t>
      </w:r>
      <w:r w:rsidR="001D6510">
        <w:t xml:space="preserve"> strict compliance with the Voice Muting Rule would be inconsistent with the public interest and that</w:t>
      </w:r>
      <w:r>
        <w:t xml:space="preserve"> good cause to</w:t>
      </w:r>
      <w:r w:rsidRPr="0054358C">
        <w:t xml:space="preserve"> </w:t>
      </w:r>
      <w:r w:rsidR="0056564F" w:rsidRPr="0054358C">
        <w:t>grant the requested waiver</w:t>
      </w:r>
      <w:r w:rsidR="001D6510">
        <w:t xml:space="preserve"> has been shown</w:t>
      </w:r>
      <w:r w:rsidR="0056564F" w:rsidRPr="0054358C">
        <w:t xml:space="preserve">.  </w:t>
      </w:r>
      <w:r>
        <w:t>W</w:t>
      </w:r>
      <w:r w:rsidR="0056564F">
        <w:t>e</w:t>
      </w:r>
      <w:r>
        <w:t xml:space="preserve"> therefore</w:t>
      </w:r>
      <w:r w:rsidR="0056564F">
        <w:t xml:space="preserve"> </w:t>
      </w:r>
      <w:r w:rsidR="00E30A7D">
        <w:t>grant AT&amp;T a</w:t>
      </w:r>
      <w:r w:rsidR="00B05FD9">
        <w:t xml:space="preserve"> retroactive</w:t>
      </w:r>
      <w:r w:rsidR="00E30A7D">
        <w:t xml:space="preserve"> waiver of the </w:t>
      </w:r>
      <w:r w:rsidR="00F43BD6">
        <w:t>STS Voice Muting Rule</w:t>
      </w:r>
      <w:r w:rsidR="00E30A7D">
        <w:t xml:space="preserve"> </w:t>
      </w:r>
      <w:r w:rsidR="00BF4F6A">
        <w:t xml:space="preserve">for the period </w:t>
      </w:r>
      <w:r w:rsidR="00E30A7D">
        <w:t>from October 15, 2013</w:t>
      </w:r>
      <w:r w:rsidR="00BF4F6A">
        <w:t>,</w:t>
      </w:r>
      <w:r w:rsidR="00E30A7D">
        <w:t xml:space="preserve"> until </w:t>
      </w:r>
      <w:r w:rsidR="0081736A">
        <w:t xml:space="preserve">June </w:t>
      </w:r>
      <w:r w:rsidR="00E30A7D">
        <w:t>1</w:t>
      </w:r>
      <w:r w:rsidR="008570BE">
        <w:t>0</w:t>
      </w:r>
      <w:r w:rsidR="00E30A7D">
        <w:t>, 2014</w:t>
      </w:r>
      <w:r w:rsidR="0056564F">
        <w:t>,</w:t>
      </w:r>
      <w:r w:rsidR="00C85E27">
        <w:t xml:space="preserve"> </w:t>
      </w:r>
      <w:r w:rsidR="00B706DA">
        <w:t xml:space="preserve">for incoming calls </w:t>
      </w:r>
      <w:r w:rsidR="00C85E27">
        <w:t xml:space="preserve">to </w:t>
      </w:r>
      <w:r w:rsidR="00683CAE">
        <w:t xml:space="preserve">STS </w:t>
      </w:r>
      <w:r w:rsidR="00B706DA">
        <w:t>user</w:t>
      </w:r>
      <w:r w:rsidR="00C85E27">
        <w:t>s who</w:t>
      </w:r>
      <w:r w:rsidR="00B706DA">
        <w:t xml:space="preserve"> ha</w:t>
      </w:r>
      <w:r w:rsidR="00BF5B86">
        <w:t>d</w:t>
      </w:r>
      <w:r w:rsidR="00B706DA">
        <w:t xml:space="preserve"> not preselected muting </w:t>
      </w:r>
      <w:r w:rsidR="00B5433E">
        <w:t xml:space="preserve">in their caller profiles </w:t>
      </w:r>
      <w:r w:rsidR="00B706DA">
        <w:t>but</w:t>
      </w:r>
      <w:r w:rsidR="00683CAE">
        <w:t xml:space="preserve"> </w:t>
      </w:r>
      <w:r w:rsidR="00BF4F6A">
        <w:t xml:space="preserve">who </w:t>
      </w:r>
      <w:r w:rsidR="00683CAE">
        <w:t>nevertheless</w:t>
      </w:r>
      <w:r w:rsidR="00B706DA">
        <w:t xml:space="preserve"> want</w:t>
      </w:r>
      <w:r w:rsidR="00BF5B86">
        <w:t>ed</w:t>
      </w:r>
      <w:r w:rsidR="00B706DA">
        <w:t xml:space="preserve"> </w:t>
      </w:r>
      <w:r w:rsidR="001D6510">
        <w:t>their</w:t>
      </w:r>
      <w:r w:rsidR="00B706DA">
        <w:t xml:space="preserve"> voice</w:t>
      </w:r>
      <w:r w:rsidR="001D6510">
        <w:t>s</w:t>
      </w:r>
      <w:r w:rsidR="00B706DA">
        <w:t xml:space="preserve"> muted.</w:t>
      </w:r>
      <w:r w:rsidR="008B062C">
        <w:t xml:space="preserve">  </w:t>
      </w:r>
    </w:p>
    <w:p w:rsidR="008B062C" w:rsidRDefault="008B062C" w:rsidP="008D439C">
      <w:pPr>
        <w:pStyle w:val="Heading1"/>
      </w:pPr>
      <w:r>
        <w:t>ordering clauses</w:t>
      </w:r>
    </w:p>
    <w:p w:rsidR="008B062C" w:rsidRDefault="008B062C" w:rsidP="008D439C">
      <w:pPr>
        <w:pStyle w:val="ParaNum"/>
      </w:pPr>
      <w:r>
        <w:t>Accordingly, IT IS ORDERED</w:t>
      </w:r>
      <w:r w:rsidR="00BC6EB9">
        <w:t xml:space="preserve"> that</w:t>
      </w:r>
      <w:r>
        <w:t>, pursuant to the authority contained in section</w:t>
      </w:r>
      <w:r w:rsidR="002074AD">
        <w:t>s 4(i),</w:t>
      </w:r>
      <w:r w:rsidR="002074AD" w:rsidRPr="00E94CEA">
        <w:t xml:space="preserve"> 4(j)</w:t>
      </w:r>
      <w:r w:rsidR="00BF4F6A">
        <w:t>,</w:t>
      </w:r>
      <w:r w:rsidR="002074AD" w:rsidRPr="00E94CEA">
        <w:t xml:space="preserve"> and</w:t>
      </w:r>
      <w:r>
        <w:t xml:space="preserve"> 225 of the Communications Act of 1934, as amended, 47 U.S.C. §</w:t>
      </w:r>
      <w:r w:rsidR="002074AD">
        <w:t xml:space="preserve">§ 154(i), 154(j), </w:t>
      </w:r>
      <w:r>
        <w:t>225, and sections 0.141, 0.361, and 1.3 of the Commission’s rules, 47 C.F.R. §§ 0.141, 0.361, 1.3, this Order is ADOPTED.</w:t>
      </w:r>
    </w:p>
    <w:p w:rsidR="008B062C" w:rsidRDefault="008B062C" w:rsidP="008D439C">
      <w:pPr>
        <w:pStyle w:val="ParaNum"/>
      </w:pPr>
      <w:r>
        <w:t>IT IS FURTHER ORDERED that the</w:t>
      </w:r>
      <w:r w:rsidR="0075416D">
        <w:t xml:space="preserve"> Request for Clarification, or in the Alternative,</w:t>
      </w:r>
      <w:r>
        <w:t xml:space="preserve"> Petition for Limited Waiver, filed by </w:t>
      </w:r>
      <w:r w:rsidR="00C9061C">
        <w:t>AT&amp;T Services</w:t>
      </w:r>
      <w:r>
        <w:t xml:space="preserve">, Inc. on </w:t>
      </w:r>
      <w:r w:rsidR="00C9061C">
        <w:t>September 26</w:t>
      </w:r>
      <w:r>
        <w:t>, 20</w:t>
      </w:r>
      <w:r w:rsidR="00C9061C">
        <w:t>13</w:t>
      </w:r>
      <w:r>
        <w:t xml:space="preserve">, </w:t>
      </w:r>
      <w:r w:rsidR="0075416D">
        <w:t>IS GRANTED</w:t>
      </w:r>
      <w:r>
        <w:t xml:space="preserve"> to the extent described </w:t>
      </w:r>
      <w:r w:rsidR="004C73DE">
        <w:t>herein</w:t>
      </w:r>
      <w:r w:rsidR="0075416D">
        <w:t xml:space="preserve"> and IS OTHERWISE DENIED</w:t>
      </w:r>
      <w:r>
        <w:t>.</w:t>
      </w:r>
    </w:p>
    <w:p w:rsidR="008B062C" w:rsidRDefault="008B062C" w:rsidP="008D439C">
      <w:pPr>
        <w:pStyle w:val="ParaNum"/>
      </w:pPr>
      <w:r>
        <w:t>IT IS FURTHER ORDERED that the limited waiver of section 64.60</w:t>
      </w:r>
      <w:r w:rsidR="00C9061C">
        <w:t>4</w:t>
      </w:r>
      <w:r>
        <w:t>(</w:t>
      </w:r>
      <w:r w:rsidR="00C9061C">
        <w:t>a</w:t>
      </w:r>
      <w:r>
        <w:t>)</w:t>
      </w:r>
      <w:r w:rsidR="00C9061C">
        <w:t>(1)(viii)</w:t>
      </w:r>
      <w:r w:rsidR="004C73DE">
        <w:t xml:space="preserve"> of the Commission’s rules</w:t>
      </w:r>
      <w:r>
        <w:t xml:space="preserve">, </w:t>
      </w:r>
      <w:r w:rsidR="004C73DE">
        <w:t>47 C.F.R. § 64.604(a)(1)(viii)</w:t>
      </w:r>
      <w:r>
        <w:t>,</w:t>
      </w:r>
      <w:r w:rsidR="004C73DE">
        <w:t xml:space="preserve"> </w:t>
      </w:r>
      <w:r w:rsidR="002074AD">
        <w:t>SHALL BE</w:t>
      </w:r>
      <w:r w:rsidR="004C73DE">
        <w:t xml:space="preserve"> EFFECTIVE </w:t>
      </w:r>
      <w:r w:rsidR="00BC6EB9">
        <w:t xml:space="preserve">retroactively </w:t>
      </w:r>
      <w:r w:rsidR="004C73DE">
        <w:t>as of October 15, 2013</w:t>
      </w:r>
      <w:r w:rsidR="002074AD">
        <w:t>, and</w:t>
      </w:r>
      <w:r>
        <w:t xml:space="preserve"> </w:t>
      </w:r>
      <w:r w:rsidR="00BF4F6A">
        <w:t xml:space="preserve">SHALL </w:t>
      </w:r>
      <w:r w:rsidR="002074AD">
        <w:t>EXPIRE</w:t>
      </w:r>
      <w:r>
        <w:t xml:space="preserve"> as of </w:t>
      </w:r>
      <w:r w:rsidR="0081736A">
        <w:t>June 1</w:t>
      </w:r>
      <w:r w:rsidR="00E03E51">
        <w:t>0</w:t>
      </w:r>
      <w:r w:rsidR="00E01F57">
        <w:t>, 2014</w:t>
      </w:r>
      <w:r>
        <w:t>.</w:t>
      </w:r>
    </w:p>
    <w:p w:rsidR="00630ED2" w:rsidRDefault="00630ED2">
      <w:pPr>
        <w:widowControl/>
      </w:pPr>
      <w:r>
        <w:br w:type="page"/>
      </w:r>
    </w:p>
    <w:p w:rsidR="008D439C" w:rsidRDefault="008D439C" w:rsidP="008D439C">
      <w:pPr>
        <w:pStyle w:val="ParaNum"/>
      </w:pPr>
      <w:r>
        <w:t xml:space="preserve">To request materials in accessible formats (such as Braille, large print, electronic files, or audio format), send an e-mail to </w:t>
      </w:r>
      <w:hyperlink r:id="rId8" w:history="1">
        <w:r>
          <w:t>fcc504@fcc.gov</w:t>
        </w:r>
      </w:hyperlink>
      <w:r>
        <w:t xml:space="preserve"> or call the Consumer &amp; Governmental Affairs Bureau at (202) 418-0530 (voice) or (202) 418-0432 (TTY).  This Order can also be downloaded in Word and Portable Document Formats (PDF) at </w:t>
      </w:r>
      <w:hyperlink r:id="rId9" w:anchor="orders" w:history="1">
        <w:r>
          <w:t>http://www.fcc.gov/cgb/dro/trs.html#orders</w:t>
        </w:r>
      </w:hyperlink>
      <w:r>
        <w:t>.</w:t>
      </w:r>
    </w:p>
    <w:p w:rsidR="008B062C" w:rsidRDefault="008B062C">
      <w:pPr>
        <w:pStyle w:val="ParaNum"/>
        <w:numPr>
          <w:ilvl w:val="0"/>
          <w:numId w:val="0"/>
        </w:numPr>
        <w:tabs>
          <w:tab w:val="num" w:pos="1440"/>
        </w:tabs>
        <w:spacing w:after="0"/>
      </w:pPr>
    </w:p>
    <w:p w:rsidR="008B062C" w:rsidRDefault="008B062C">
      <w:pPr>
        <w:pStyle w:val="ParaNum"/>
        <w:numPr>
          <w:ilvl w:val="0"/>
          <w:numId w:val="0"/>
        </w:numPr>
        <w:spacing w:after="0"/>
        <w:ind w:left="3600" w:firstLine="720"/>
      </w:pPr>
      <w:r>
        <w:t>FEDERAL COMMUNICATIONS COMMISSION</w:t>
      </w:r>
    </w:p>
    <w:p w:rsidR="008B062C" w:rsidRDefault="008B062C">
      <w:pPr>
        <w:pStyle w:val="ParaNum"/>
        <w:numPr>
          <w:ilvl w:val="0"/>
          <w:numId w:val="0"/>
        </w:numPr>
        <w:spacing w:after="0"/>
        <w:ind w:left="3600" w:firstLine="720"/>
      </w:pPr>
    </w:p>
    <w:p w:rsidR="008B062C" w:rsidRDefault="008B062C">
      <w:pPr>
        <w:pStyle w:val="ParaNum"/>
        <w:numPr>
          <w:ilvl w:val="0"/>
          <w:numId w:val="0"/>
        </w:numPr>
        <w:spacing w:after="0"/>
        <w:ind w:left="3600" w:firstLine="720"/>
      </w:pPr>
    </w:p>
    <w:p w:rsidR="008B062C" w:rsidRDefault="008B062C">
      <w:pPr>
        <w:pStyle w:val="ParaNum"/>
        <w:numPr>
          <w:ilvl w:val="0"/>
          <w:numId w:val="0"/>
        </w:numPr>
        <w:spacing w:after="0"/>
        <w:ind w:left="3600" w:firstLine="720"/>
      </w:pPr>
    </w:p>
    <w:p w:rsidR="008B062C" w:rsidRDefault="008B062C">
      <w:pPr>
        <w:pStyle w:val="ParaNum"/>
        <w:numPr>
          <w:ilvl w:val="0"/>
          <w:numId w:val="0"/>
        </w:numPr>
        <w:spacing w:after="0"/>
        <w:ind w:left="3600" w:firstLine="720"/>
      </w:pPr>
    </w:p>
    <w:p w:rsidR="004170AF" w:rsidRDefault="004170AF" w:rsidP="004170AF">
      <w:pPr>
        <w:widowControl/>
        <w:ind w:left="4320"/>
      </w:pPr>
      <w:r>
        <w:t>Kris Anne Monteith</w:t>
      </w:r>
    </w:p>
    <w:p w:rsidR="004170AF" w:rsidRDefault="004170AF" w:rsidP="004170AF">
      <w:pPr>
        <w:widowControl/>
        <w:ind w:left="4320"/>
      </w:pPr>
      <w:r>
        <w:t>Acting Chief</w:t>
      </w:r>
    </w:p>
    <w:p w:rsidR="004170AF" w:rsidRPr="00A3012E" w:rsidRDefault="004170AF" w:rsidP="004170AF">
      <w:pPr>
        <w:widowControl/>
        <w:ind w:left="4320"/>
      </w:pPr>
      <w:r>
        <w:t>Consumer and Governmental Affairs Bureau</w:t>
      </w:r>
    </w:p>
    <w:p w:rsidR="008B062C" w:rsidRDefault="008B062C">
      <w:pPr>
        <w:pStyle w:val="ParaNum"/>
        <w:numPr>
          <w:ilvl w:val="0"/>
          <w:numId w:val="0"/>
        </w:numPr>
      </w:pPr>
      <w:r>
        <w:t xml:space="preserve">       </w:t>
      </w:r>
    </w:p>
    <w:p w:rsidR="008B062C" w:rsidRDefault="008B062C">
      <w:pPr>
        <w:pStyle w:val="ParaNum"/>
        <w:numPr>
          <w:ilvl w:val="0"/>
          <w:numId w:val="0"/>
        </w:numPr>
        <w:ind w:firstLine="720"/>
      </w:pPr>
    </w:p>
    <w:p w:rsidR="008B062C" w:rsidRDefault="008B062C">
      <w:pPr>
        <w:pStyle w:val="ParaNum"/>
        <w:numPr>
          <w:ilvl w:val="0"/>
          <w:numId w:val="0"/>
        </w:numPr>
        <w:ind w:firstLine="720"/>
      </w:pPr>
    </w:p>
    <w:p w:rsidR="008B062C" w:rsidRDefault="008B062C">
      <w:pPr>
        <w:pStyle w:val="ParaNum"/>
        <w:numPr>
          <w:ilvl w:val="0"/>
          <w:numId w:val="0"/>
        </w:numPr>
        <w:ind w:firstLine="720"/>
      </w:pPr>
    </w:p>
    <w:p w:rsidR="008B062C" w:rsidRDefault="008B062C">
      <w:pPr>
        <w:pStyle w:val="ParaNum"/>
        <w:numPr>
          <w:ilvl w:val="0"/>
          <w:numId w:val="0"/>
        </w:numPr>
        <w:ind w:firstLine="720"/>
      </w:pPr>
    </w:p>
    <w:p w:rsidR="008B062C" w:rsidRDefault="008B062C">
      <w:pPr>
        <w:pStyle w:val="ParaNum"/>
        <w:numPr>
          <w:ilvl w:val="0"/>
          <w:numId w:val="0"/>
        </w:numPr>
        <w:ind w:firstLine="720"/>
      </w:pPr>
    </w:p>
    <w:sectPr w:rsidR="008B062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15" w:rsidRDefault="00095115">
      <w:pPr>
        <w:spacing w:line="20" w:lineRule="exact"/>
      </w:pPr>
    </w:p>
  </w:endnote>
  <w:endnote w:type="continuationSeparator" w:id="0">
    <w:p w:rsidR="00095115" w:rsidRDefault="00095115">
      <w:r>
        <w:t xml:space="preserve"> </w:t>
      </w:r>
    </w:p>
  </w:endnote>
  <w:endnote w:type="continuationNotice" w:id="1">
    <w:p w:rsidR="00095115" w:rsidRDefault="000951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58" w:rsidRDefault="007F7258">
    <w:pPr>
      <w:pStyle w:val="Footer"/>
      <w:framePr w:wrap="around" w:vAnchor="text" w:hAnchor="margin" w:xAlign="center" w:y="1"/>
    </w:pPr>
    <w:r>
      <w:fldChar w:fldCharType="begin"/>
    </w:r>
    <w:r>
      <w:instrText xml:space="preserve">PAGE  </w:instrText>
    </w:r>
    <w:r>
      <w:fldChar w:fldCharType="end"/>
    </w:r>
  </w:p>
  <w:p w:rsidR="007F7258" w:rsidRDefault="007F7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58" w:rsidRDefault="007F7258">
    <w:pPr>
      <w:pStyle w:val="Footer"/>
      <w:framePr w:wrap="around" w:vAnchor="text" w:hAnchor="margin" w:xAlign="center" w:y="1"/>
    </w:pPr>
    <w:r>
      <w:fldChar w:fldCharType="begin"/>
    </w:r>
    <w:r>
      <w:instrText xml:space="preserve">PAGE  </w:instrText>
    </w:r>
    <w:r>
      <w:fldChar w:fldCharType="separate"/>
    </w:r>
    <w:r w:rsidR="00E13276">
      <w:rPr>
        <w:noProof/>
      </w:rPr>
      <w:t>2</w:t>
    </w:r>
    <w:r>
      <w:fldChar w:fldCharType="end"/>
    </w:r>
  </w:p>
  <w:p w:rsidR="007F7258" w:rsidRDefault="007F7258">
    <w:pPr>
      <w:spacing w:before="140" w:line="100" w:lineRule="exact"/>
      <w:rPr>
        <w:sz w:val="10"/>
      </w:rPr>
    </w:pPr>
  </w:p>
  <w:p w:rsidR="007F7258" w:rsidRDefault="007F7258">
    <w:pPr>
      <w:suppressAutoHyphens/>
      <w:spacing w:line="227" w:lineRule="auto"/>
    </w:pPr>
  </w:p>
  <w:p w:rsidR="007F7258" w:rsidRDefault="007F72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58" w:rsidRDefault="007F7258">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15" w:rsidRDefault="00095115">
      <w:r>
        <w:separator/>
      </w:r>
    </w:p>
  </w:footnote>
  <w:footnote w:type="continuationSeparator" w:id="0">
    <w:p w:rsidR="00095115" w:rsidRDefault="00095115">
      <w:pPr>
        <w:rPr>
          <w:sz w:val="20"/>
        </w:rPr>
      </w:pPr>
      <w:r>
        <w:rPr>
          <w:sz w:val="20"/>
        </w:rPr>
        <w:t xml:space="preserve">(Continued from previous page)  </w:t>
      </w:r>
      <w:r>
        <w:rPr>
          <w:sz w:val="20"/>
        </w:rPr>
        <w:separator/>
      </w:r>
    </w:p>
  </w:footnote>
  <w:footnote w:type="continuationNotice" w:id="1">
    <w:p w:rsidR="00095115" w:rsidRDefault="00095115">
      <w:pPr>
        <w:rPr>
          <w:sz w:val="20"/>
        </w:rPr>
      </w:pPr>
      <w:r>
        <w:rPr>
          <w:sz w:val="20"/>
        </w:rPr>
        <w:t>(continued….)</w:t>
      </w:r>
    </w:p>
  </w:footnote>
  <w:footnote w:id="2">
    <w:p w:rsidR="007F7258" w:rsidRDefault="007F7258">
      <w:pPr>
        <w:pStyle w:val="FootnoteText"/>
      </w:pPr>
      <w:r>
        <w:rPr>
          <w:rStyle w:val="FootnoteReference"/>
        </w:rPr>
        <w:footnoteRef/>
      </w:r>
      <w:r>
        <w:t xml:space="preserve"> </w:t>
      </w:r>
      <w:r w:rsidR="00773226" w:rsidRPr="00773226">
        <w:rPr>
          <w:i/>
        </w:rPr>
        <w:t>See</w:t>
      </w:r>
      <w:r w:rsidR="00773226">
        <w:t xml:space="preserve"> 47 C.F.R. § 64.601(a)(30) (defining STS); </w:t>
      </w:r>
      <w:r w:rsidR="00773226">
        <w:rPr>
          <w:i/>
        </w:rPr>
        <w:t>s</w:t>
      </w:r>
      <w:r w:rsidR="009B16CE" w:rsidRPr="000754B4">
        <w:rPr>
          <w:i/>
        </w:rPr>
        <w:t xml:space="preserve">ee </w:t>
      </w:r>
      <w:r w:rsidR="009B16CE" w:rsidRPr="00EE3935">
        <w:rPr>
          <w:i/>
        </w:rPr>
        <w:t>generally</w:t>
      </w:r>
      <w:r w:rsidR="009B16CE" w:rsidRPr="00773226">
        <w:rPr>
          <w:i/>
        </w:rPr>
        <w:t xml:space="preserve"> </w:t>
      </w:r>
      <w:r w:rsidR="00197453" w:rsidRPr="00EE3935">
        <w:rPr>
          <w:i/>
        </w:rPr>
        <w:t>Telecommunications</w:t>
      </w:r>
      <w:r w:rsidR="00197453" w:rsidRPr="0009028C">
        <w:rPr>
          <w:i/>
        </w:rPr>
        <w:t xml:space="preserve"> Relay Services and Speech-to-Speech Services for Individuals with Hearing and Speech Disabilities</w:t>
      </w:r>
      <w:r w:rsidR="00197453" w:rsidRPr="0009028C">
        <w:t xml:space="preserve">, CC Docket No. 98-67, Report and Order and Further Notice of Proposed Rulemaking, 15 FCC Rcd </w:t>
      </w:r>
      <w:r w:rsidR="00AF2024">
        <w:t>5140,</w:t>
      </w:r>
      <w:r w:rsidR="00AF2024" w:rsidRPr="0009028C">
        <w:t xml:space="preserve"> </w:t>
      </w:r>
      <w:r w:rsidR="00197453" w:rsidRPr="0009028C">
        <w:t>5148-51, ¶¶ 14-20</w:t>
      </w:r>
      <w:r w:rsidR="00197453">
        <w:t xml:space="preserve"> (</w:t>
      </w:r>
      <w:r w:rsidR="00197453" w:rsidRPr="0009028C">
        <w:t>2000)</w:t>
      </w:r>
      <w:r w:rsidR="00197453">
        <w:t xml:space="preserve"> (</w:t>
      </w:r>
      <w:r w:rsidR="00BF3571">
        <w:t xml:space="preserve">adopting </w:t>
      </w:r>
      <w:r w:rsidR="00197453">
        <w:t>a mandate for carriers obligated to provide text-based forms of TRS over the public switched telephone network to also provide STS)</w:t>
      </w:r>
      <w:r w:rsidR="00773226">
        <w:t xml:space="preserve">. </w:t>
      </w:r>
      <w:r w:rsidR="00197453">
        <w:t xml:space="preserve"> </w:t>
      </w:r>
      <w:r w:rsidR="000B45F3">
        <w:t xml:space="preserve">The CAs are trained to understand the speech patterns of STS users.  </w:t>
      </w:r>
      <w:r w:rsidR="00773226" w:rsidRPr="00773226">
        <w:rPr>
          <w:i/>
        </w:rPr>
        <w:t>Id</w:t>
      </w:r>
      <w:r w:rsidR="00773226">
        <w:t>.</w:t>
      </w:r>
      <w:r w:rsidR="000B45F3">
        <w:t xml:space="preserve"> at 5148, ¶ 20.</w:t>
      </w:r>
      <w:r>
        <w:t xml:space="preserve">  Section 225(a)(3) of the Communications Act of 1934, as amended (Act) defines TRS as “services that provide the ability for an individual who is deaf, hard of hearing, deaf-blind, or </w:t>
      </w:r>
      <w:r w:rsidR="00BF3571">
        <w:t xml:space="preserve">who </w:t>
      </w:r>
      <w:r>
        <w:t>has a speech disability to engage in communication by wire or radio with one or more individuals, in a manner that is functionally equivalent to the ability of a hearing individual who does not have a speech disability to communicate using voice communications services by wire or radio.”  47 U.S.C. § 225(a)(3).</w:t>
      </w:r>
    </w:p>
  </w:footnote>
  <w:footnote w:id="3">
    <w:p w:rsidR="007F7258" w:rsidRDefault="007F7258">
      <w:pPr>
        <w:pStyle w:val="FootnoteText"/>
      </w:pPr>
      <w:r>
        <w:rPr>
          <w:rStyle w:val="FootnoteReference"/>
        </w:rPr>
        <w:footnoteRef/>
      </w:r>
      <w:r>
        <w:t xml:space="preserve"> </w:t>
      </w:r>
      <w:r w:rsidR="009B16CE">
        <w:rPr>
          <w:i/>
        </w:rPr>
        <w:t>Speech-to-Speech and Internet Protocol (IP) Speech-to-Speech Telecommunications Relay Services; Telecommunications Relay Services and Speech-to-Speech Services for Individuals with Hearing and Speech Disabilities</w:t>
      </w:r>
      <w:r w:rsidR="009B16CE" w:rsidRPr="009A5DF8">
        <w:t>,</w:t>
      </w:r>
      <w:r w:rsidR="009B16CE">
        <w:t xml:space="preserve"> CG Docket Nos. 08-15</w:t>
      </w:r>
      <w:r w:rsidR="00BF3571">
        <w:t>,</w:t>
      </w:r>
      <w:r w:rsidR="009B16CE">
        <w:t xml:space="preserve"> 03-123, Report and Order, 28 FCC </w:t>
      </w:r>
      <w:r w:rsidR="009B16CE" w:rsidRPr="00AF2024">
        <w:t xml:space="preserve">Rcd </w:t>
      </w:r>
      <w:r w:rsidR="00AF2024">
        <w:t>10702,</w:t>
      </w:r>
      <w:r>
        <w:t xml:space="preserve"> 10709-14, ¶</w:t>
      </w:r>
      <w:r w:rsidR="00BF3571">
        <w:t>¶</w:t>
      </w:r>
      <w:r>
        <w:t xml:space="preserve"> 15-24 &amp; Appendix A</w:t>
      </w:r>
      <w:r w:rsidR="00D16D86">
        <w:t xml:space="preserve"> (2013)</w:t>
      </w:r>
      <w:r w:rsidR="004A6523">
        <w:t xml:space="preserve"> (</w:t>
      </w:r>
      <w:r w:rsidR="004A6523" w:rsidRPr="00AF2024">
        <w:rPr>
          <w:i/>
        </w:rPr>
        <w:t>2013 STS Order</w:t>
      </w:r>
      <w:r w:rsidR="004A6523">
        <w:t>)</w:t>
      </w:r>
      <w:r>
        <w:t>.</w:t>
      </w:r>
    </w:p>
  </w:footnote>
  <w:footnote w:id="4">
    <w:p w:rsidR="007F7258" w:rsidRPr="008F2FDB" w:rsidRDefault="007F7258">
      <w:pPr>
        <w:pStyle w:val="FootnoteText"/>
      </w:pPr>
      <w:r>
        <w:rPr>
          <w:rStyle w:val="FootnoteReference"/>
        </w:rPr>
        <w:footnoteRef/>
      </w:r>
      <w:r>
        <w:t xml:space="preserve"> </w:t>
      </w:r>
      <w:r w:rsidR="00D12A42">
        <w:rPr>
          <w:i/>
        </w:rPr>
        <w:t xml:space="preserve">Id. </w:t>
      </w:r>
      <w:r>
        <w:t>at 10702, ¶ 1; 47 U.S.C. § 225 (a)(3).</w:t>
      </w:r>
    </w:p>
  </w:footnote>
  <w:footnote w:id="5">
    <w:p w:rsidR="007F7258" w:rsidRDefault="007F7258">
      <w:pPr>
        <w:pStyle w:val="FootnoteText"/>
      </w:pPr>
      <w:r>
        <w:rPr>
          <w:rStyle w:val="FootnoteReference"/>
        </w:rPr>
        <w:footnoteRef/>
      </w:r>
      <w:r>
        <w:t xml:space="preserve"> 47 C.F.R. § 64.604(a)(1)(viii); </w:t>
      </w:r>
      <w:r>
        <w:rPr>
          <w:i/>
        </w:rPr>
        <w:t>2013 STS Order</w:t>
      </w:r>
      <w:r>
        <w:t>, 28 FCC Rcd at 10712, ¶ 19.</w:t>
      </w:r>
    </w:p>
  </w:footnote>
  <w:footnote w:id="6">
    <w:p w:rsidR="007F7258" w:rsidRDefault="007F7258">
      <w:pPr>
        <w:pStyle w:val="FootnoteText"/>
      </w:pPr>
      <w:r>
        <w:rPr>
          <w:rStyle w:val="FootnoteReference"/>
        </w:rPr>
        <w:footnoteRef/>
      </w:r>
      <w:r>
        <w:t xml:space="preserve"> </w:t>
      </w:r>
      <w:r>
        <w:rPr>
          <w:i/>
        </w:rPr>
        <w:t>2013 STS Order</w:t>
      </w:r>
      <w:r>
        <w:t>, 28 FCC Rcd at 10712, ¶ 19.</w:t>
      </w:r>
    </w:p>
  </w:footnote>
  <w:footnote w:id="7">
    <w:p w:rsidR="007F7258" w:rsidRPr="00630ED2" w:rsidRDefault="007F7258">
      <w:pPr>
        <w:pStyle w:val="FootnoteText"/>
        <w:rPr>
          <w:i/>
        </w:rPr>
      </w:pPr>
      <w:r>
        <w:rPr>
          <w:rStyle w:val="FootnoteReference"/>
        </w:rPr>
        <w:footnoteRef/>
      </w:r>
      <w:r>
        <w:t xml:space="preserve"> </w:t>
      </w:r>
      <w:r w:rsidR="00D12A42">
        <w:rPr>
          <w:i/>
        </w:rPr>
        <w:t>Id.</w:t>
      </w:r>
    </w:p>
  </w:footnote>
  <w:footnote w:id="8">
    <w:p w:rsidR="007F7258" w:rsidRPr="00903063" w:rsidRDefault="007F7258" w:rsidP="00514AA9">
      <w:pPr>
        <w:pStyle w:val="FootnoteText"/>
      </w:pPr>
      <w:r>
        <w:rPr>
          <w:rStyle w:val="FootnoteReference"/>
        </w:rPr>
        <w:footnoteRef/>
      </w:r>
      <w:r>
        <w:t xml:space="preserve"> 78 F</w:t>
      </w:r>
      <w:r w:rsidR="00AF6371">
        <w:t xml:space="preserve">ed. </w:t>
      </w:r>
      <w:r>
        <w:t>R</w:t>
      </w:r>
      <w:r w:rsidR="00AF6371">
        <w:t>eg.</w:t>
      </w:r>
      <w:r>
        <w:t xml:space="preserve"> 49693 </w:t>
      </w:r>
      <w:r w:rsidR="00AF6371">
        <w:t>(</w:t>
      </w:r>
      <w:r>
        <w:t>Aug</w:t>
      </w:r>
      <w:r w:rsidR="00AF6371">
        <w:t>.</w:t>
      </w:r>
      <w:r>
        <w:t xml:space="preserve"> 15, 201</w:t>
      </w:r>
      <w:r w:rsidR="00AF6371">
        <w:t>3)</w:t>
      </w:r>
      <w:r>
        <w:t xml:space="preserve"> (specifying an effective date of October 15, 2013).</w:t>
      </w:r>
    </w:p>
  </w:footnote>
  <w:footnote w:id="9">
    <w:p w:rsidR="007F7258" w:rsidRPr="00C10E98" w:rsidRDefault="007F7258">
      <w:pPr>
        <w:pStyle w:val="FootnoteText"/>
      </w:pPr>
      <w:r>
        <w:rPr>
          <w:rStyle w:val="FootnoteReference"/>
        </w:rPr>
        <w:footnoteRef/>
      </w:r>
      <w:r>
        <w:t xml:space="preserve"> AT&amp;T Services, Inc., </w:t>
      </w:r>
      <w:r w:rsidRPr="00AF71C6">
        <w:t>Request for Clarification, or in The Alternative, Petition for Expedited Waiver</w:t>
      </w:r>
      <w:r>
        <w:t>, CG Docket Nos. 08-15</w:t>
      </w:r>
      <w:r w:rsidR="007E23EB">
        <w:t>,</w:t>
      </w:r>
      <w:r>
        <w:t xml:space="preserve"> 03-123 </w:t>
      </w:r>
      <w:r w:rsidR="007E23EB">
        <w:t xml:space="preserve">(filed </w:t>
      </w:r>
      <w:r>
        <w:t>Sept</w:t>
      </w:r>
      <w:r w:rsidR="007E23EB">
        <w:t>.</w:t>
      </w:r>
      <w:r>
        <w:t xml:space="preserve"> 26, 2013</w:t>
      </w:r>
      <w:r w:rsidR="007E23EB">
        <w:t>)</w:t>
      </w:r>
      <w:r>
        <w:t xml:space="preserve"> (AT&amp;T Petition).  </w:t>
      </w:r>
    </w:p>
  </w:footnote>
  <w:footnote w:id="10">
    <w:p w:rsidR="007F7258" w:rsidRPr="00C10E98" w:rsidRDefault="007F7258">
      <w:pPr>
        <w:pStyle w:val="FootnoteText"/>
      </w:pPr>
      <w:r>
        <w:rPr>
          <w:rStyle w:val="FootnoteReference"/>
        </w:rPr>
        <w:footnoteRef/>
      </w:r>
      <w:r>
        <w:t xml:space="preserve"> </w:t>
      </w:r>
      <w:r w:rsidR="00D12A42">
        <w:rPr>
          <w:i/>
        </w:rPr>
        <w:t xml:space="preserve">Id. </w:t>
      </w:r>
      <w:r>
        <w:t>at 1.  Some STS providers, including AT&amp;T, provide STS users with the option of establishing a user profile.  The Further Notice of Proposed Rulemaking (</w:t>
      </w:r>
      <w:r w:rsidRPr="000F41D6">
        <w:t>FNPRM</w:t>
      </w:r>
      <w:r>
        <w:t xml:space="preserve">) included in the </w:t>
      </w:r>
      <w:r>
        <w:rPr>
          <w:i/>
        </w:rPr>
        <w:t>2013 STS Order</w:t>
      </w:r>
      <w:r>
        <w:t xml:space="preserve"> </w:t>
      </w:r>
      <w:r w:rsidR="003D29A5">
        <w:t xml:space="preserve">sought </w:t>
      </w:r>
      <w:r>
        <w:t xml:space="preserve">comment on whether STS providers should be required to make STS user profiles immediately available to an STS CA each time an STS user places a call.  </w:t>
      </w:r>
      <w:r>
        <w:rPr>
          <w:i/>
        </w:rPr>
        <w:t>2013 STS Order</w:t>
      </w:r>
      <w:r>
        <w:t>, 28 FCC Rcd at 10723, ¶ 41.</w:t>
      </w:r>
    </w:p>
  </w:footnote>
  <w:footnote w:id="11">
    <w:p w:rsidR="007F7258" w:rsidRDefault="007F7258">
      <w:pPr>
        <w:pStyle w:val="FootnoteText"/>
      </w:pPr>
      <w:r>
        <w:rPr>
          <w:rStyle w:val="FootnoteReference"/>
        </w:rPr>
        <w:footnoteRef/>
      </w:r>
      <w:r>
        <w:t xml:space="preserve"> AT&amp;T Petition at 2.</w:t>
      </w:r>
    </w:p>
  </w:footnote>
  <w:footnote w:id="12">
    <w:p w:rsidR="007F7258" w:rsidRPr="00F8568E" w:rsidRDefault="007F7258" w:rsidP="00627994">
      <w:pPr>
        <w:pStyle w:val="FootnoteText"/>
      </w:pPr>
      <w:r>
        <w:rPr>
          <w:rStyle w:val="FootnoteReference"/>
        </w:rPr>
        <w:footnoteRef/>
      </w:r>
      <w:r>
        <w:t xml:space="preserve"> </w:t>
      </w:r>
      <w:r w:rsidR="00D12A42">
        <w:rPr>
          <w:i/>
        </w:rPr>
        <w:t xml:space="preserve">Id. </w:t>
      </w:r>
      <w:r>
        <w:t>at 3.</w:t>
      </w:r>
    </w:p>
  </w:footnote>
  <w:footnote w:id="13">
    <w:p w:rsidR="007F7258" w:rsidRPr="00D12A42" w:rsidRDefault="007F7258">
      <w:pPr>
        <w:pStyle w:val="FootnoteText"/>
      </w:pPr>
      <w:r>
        <w:rPr>
          <w:rStyle w:val="FootnoteReference"/>
        </w:rPr>
        <w:footnoteRef/>
      </w:r>
      <w:r>
        <w:t xml:space="preserve"> </w:t>
      </w:r>
      <w:r w:rsidR="00D12A42">
        <w:rPr>
          <w:i/>
        </w:rPr>
        <w:t>Id.</w:t>
      </w:r>
    </w:p>
  </w:footnote>
  <w:footnote w:id="14">
    <w:p w:rsidR="007F7258" w:rsidRPr="00683CAE" w:rsidRDefault="007F7258">
      <w:pPr>
        <w:pStyle w:val="FootnoteText"/>
      </w:pPr>
      <w:r>
        <w:rPr>
          <w:rStyle w:val="FootnoteReference"/>
        </w:rPr>
        <w:footnoteRef/>
      </w:r>
      <w:r>
        <w:t xml:space="preserve"> </w:t>
      </w:r>
      <w:r w:rsidR="00D12A42">
        <w:rPr>
          <w:i/>
        </w:rPr>
        <w:t xml:space="preserve">Id. </w:t>
      </w:r>
      <w:r>
        <w:t xml:space="preserve">at 4. </w:t>
      </w:r>
    </w:p>
  </w:footnote>
  <w:footnote w:id="15">
    <w:p w:rsidR="007F7258" w:rsidRPr="00417704" w:rsidRDefault="007F7258">
      <w:pPr>
        <w:pStyle w:val="FootnoteText"/>
      </w:pPr>
      <w:r>
        <w:rPr>
          <w:rStyle w:val="FootnoteReference"/>
        </w:rPr>
        <w:footnoteRef/>
      </w:r>
      <w:r>
        <w:t xml:space="preserve"> </w:t>
      </w:r>
      <w:r w:rsidR="00D12A42">
        <w:rPr>
          <w:i/>
        </w:rPr>
        <w:t xml:space="preserve">Id. </w:t>
      </w:r>
      <w:r>
        <w:t xml:space="preserve">at </w:t>
      </w:r>
      <w:r w:rsidR="001E6A72">
        <w:t>2-5</w:t>
      </w:r>
      <w:r>
        <w:t>.</w:t>
      </w:r>
      <w:r w:rsidRPr="003B5D2D">
        <w:t xml:space="preserve"> </w:t>
      </w:r>
    </w:p>
  </w:footnote>
  <w:footnote w:id="16">
    <w:p w:rsidR="007F7258" w:rsidRPr="00417704" w:rsidRDefault="007F7258">
      <w:pPr>
        <w:pStyle w:val="FootnoteText"/>
      </w:pPr>
      <w:r>
        <w:rPr>
          <w:rStyle w:val="FootnoteReference"/>
        </w:rPr>
        <w:footnoteRef/>
      </w:r>
      <w:r>
        <w:t xml:space="preserve"> </w:t>
      </w:r>
      <w:r w:rsidR="00D12A42">
        <w:rPr>
          <w:i/>
        </w:rPr>
        <w:t xml:space="preserve">Id. </w:t>
      </w:r>
      <w:r>
        <w:t>at 5-8.</w:t>
      </w:r>
    </w:p>
  </w:footnote>
  <w:footnote w:id="17">
    <w:p w:rsidR="007F7258" w:rsidRPr="00417704" w:rsidRDefault="007F7258">
      <w:pPr>
        <w:pStyle w:val="FootnoteText"/>
      </w:pPr>
      <w:r>
        <w:rPr>
          <w:rStyle w:val="FootnoteReference"/>
        </w:rPr>
        <w:footnoteRef/>
      </w:r>
      <w:r>
        <w:t xml:space="preserve"> </w:t>
      </w:r>
      <w:r w:rsidR="00D12A42">
        <w:rPr>
          <w:i/>
        </w:rPr>
        <w:t xml:space="preserve">Id. </w:t>
      </w:r>
      <w:r>
        <w:t>at 6.</w:t>
      </w:r>
    </w:p>
  </w:footnote>
  <w:footnote w:id="18">
    <w:p w:rsidR="007F7258" w:rsidRPr="00417704" w:rsidRDefault="007F7258">
      <w:pPr>
        <w:pStyle w:val="FootnoteText"/>
      </w:pPr>
      <w:r>
        <w:rPr>
          <w:rStyle w:val="FootnoteReference"/>
        </w:rPr>
        <w:footnoteRef/>
      </w:r>
      <w:r>
        <w:t xml:space="preserve"> </w:t>
      </w:r>
      <w:r w:rsidR="00D12A42">
        <w:rPr>
          <w:i/>
        </w:rPr>
        <w:t xml:space="preserve">Id. </w:t>
      </w:r>
      <w:r>
        <w:t>at 6-7.</w:t>
      </w:r>
    </w:p>
  </w:footnote>
  <w:footnote w:id="19">
    <w:p w:rsidR="007F7258" w:rsidRPr="00417704" w:rsidRDefault="007F7258">
      <w:pPr>
        <w:pStyle w:val="FootnoteText"/>
      </w:pPr>
      <w:r>
        <w:rPr>
          <w:rStyle w:val="FootnoteReference"/>
        </w:rPr>
        <w:footnoteRef/>
      </w:r>
      <w:r>
        <w:t xml:space="preserve"> </w:t>
      </w:r>
      <w:r w:rsidR="00D12A42">
        <w:rPr>
          <w:i/>
        </w:rPr>
        <w:t xml:space="preserve">Id. </w:t>
      </w:r>
      <w:r>
        <w:t>at 6.</w:t>
      </w:r>
    </w:p>
  </w:footnote>
  <w:footnote w:id="20">
    <w:p w:rsidR="007F7258" w:rsidRPr="006D055E" w:rsidRDefault="007F7258">
      <w:pPr>
        <w:pStyle w:val="FootnoteText"/>
      </w:pPr>
      <w:r>
        <w:rPr>
          <w:rStyle w:val="FootnoteReference"/>
        </w:rPr>
        <w:footnoteRef/>
      </w:r>
      <w:r>
        <w:t xml:space="preserve"> </w:t>
      </w:r>
      <w:r w:rsidR="00D12A42">
        <w:rPr>
          <w:i/>
        </w:rPr>
        <w:t>Id.</w:t>
      </w:r>
      <w:r>
        <w:t xml:space="preserve"> at 7</w:t>
      </w:r>
      <w:r w:rsidR="00FC6CFE">
        <w:t>.  AT&amp;T reported</w:t>
      </w:r>
      <w:r w:rsidR="001E6A72">
        <w:t xml:space="preserve"> that less than 1% of the users who </w:t>
      </w:r>
      <w:r w:rsidR="00FC6CFE">
        <w:t>created</w:t>
      </w:r>
      <w:r w:rsidR="001E6A72">
        <w:t xml:space="preserve"> profiles selected voice muting as an option</w:t>
      </w:r>
      <w:r w:rsidR="006D055E">
        <w:t>, which according to AT&amp;T</w:t>
      </w:r>
      <w:r w:rsidR="00782C5B">
        <w:t>,</w:t>
      </w:r>
      <w:r w:rsidR="006D055E">
        <w:t xml:space="preserve"> suggested</w:t>
      </w:r>
      <w:r w:rsidR="00145F10">
        <w:t xml:space="preserve"> </w:t>
      </w:r>
      <w:r w:rsidR="001E6A72">
        <w:t>that muting may not be a priority for STS users</w:t>
      </w:r>
      <w:r w:rsidR="00FC6CFE">
        <w:t>.</w:t>
      </w:r>
      <w:r w:rsidR="006D055E">
        <w:t xml:space="preserve">  </w:t>
      </w:r>
      <w:r w:rsidR="006D055E">
        <w:rPr>
          <w:i/>
        </w:rPr>
        <w:t>Id</w:t>
      </w:r>
      <w:r w:rsidR="006D055E">
        <w:t>.</w:t>
      </w:r>
      <w:r w:rsidR="00FC6CFE">
        <w:t xml:space="preserve">  AT&amp;T </w:t>
      </w:r>
      <w:r w:rsidR="00A40CC2">
        <w:t>add</w:t>
      </w:r>
      <w:r w:rsidR="00FC6CFE">
        <w:t>ed</w:t>
      </w:r>
      <w:r w:rsidR="00A40CC2">
        <w:t xml:space="preserve"> that fewer than 10% of all STS calls are incoming</w:t>
      </w:r>
      <w:r>
        <w:t>.</w:t>
      </w:r>
      <w:r w:rsidR="006D055E">
        <w:t xml:space="preserve">  </w:t>
      </w:r>
      <w:r w:rsidR="006D055E">
        <w:rPr>
          <w:i/>
        </w:rPr>
        <w:t>Id</w:t>
      </w:r>
      <w:r w:rsidR="006D055E">
        <w:t>.</w:t>
      </w:r>
    </w:p>
  </w:footnote>
  <w:footnote w:id="21">
    <w:p w:rsidR="007F7258" w:rsidRDefault="007F7258">
      <w:pPr>
        <w:pStyle w:val="FootnoteText"/>
      </w:pPr>
      <w:r>
        <w:rPr>
          <w:rStyle w:val="FootnoteReference"/>
        </w:rPr>
        <w:footnoteRef/>
      </w:r>
      <w:r>
        <w:t xml:space="preserve"> </w:t>
      </w:r>
      <w:r w:rsidRPr="00E01F57">
        <w:rPr>
          <w:i/>
        </w:rPr>
        <w:t>Request for Comment on Petition filed by AT&amp;T Services, Inc. Regarding the Provision of Muting for Speech-to-Speech Telephone Services</w:t>
      </w:r>
      <w:r>
        <w:t>, CG Docket Nos. 08-15</w:t>
      </w:r>
      <w:r w:rsidR="00636243">
        <w:t>,</w:t>
      </w:r>
      <w:r>
        <w:t xml:space="preserve"> 03-123, Public Notice, 28 FCC Rcd 15770 (2013).</w:t>
      </w:r>
    </w:p>
  </w:footnote>
  <w:footnote w:id="22">
    <w:p w:rsidR="007F7258" w:rsidRPr="00964102" w:rsidRDefault="007F7258">
      <w:pPr>
        <w:pStyle w:val="FootnoteText"/>
      </w:pPr>
      <w:r>
        <w:rPr>
          <w:rStyle w:val="FootnoteReference"/>
        </w:rPr>
        <w:footnoteRef/>
      </w:r>
      <w:r>
        <w:t xml:space="preserve"> </w:t>
      </w:r>
      <w:r w:rsidR="00C1499B">
        <w:t>Letter from Vonda T. Long-Dillard to Marlene H. Dortch, Secretary, FCC, CG Docket Nos. 08-15</w:t>
      </w:r>
      <w:r w:rsidR="00636243">
        <w:t>,</w:t>
      </w:r>
      <w:r w:rsidR="00C1499B">
        <w:t xml:space="preserve"> 03-123</w:t>
      </w:r>
      <w:r w:rsidR="00636243">
        <w:t>,</w:t>
      </w:r>
      <w:r w:rsidR="00C1499B">
        <w:t xml:space="preserve"> </w:t>
      </w:r>
      <w:r w:rsidR="00636243">
        <w:t xml:space="preserve">at 1-2 </w:t>
      </w:r>
      <w:r w:rsidR="00C1499B">
        <w:t>(May 21, 2014) (</w:t>
      </w:r>
      <w:r>
        <w:t xml:space="preserve">AT&amp;T May 21, 2014 </w:t>
      </w:r>
      <w:r>
        <w:rPr>
          <w:i/>
        </w:rPr>
        <w:t>Ex Parte</w:t>
      </w:r>
      <w:r w:rsidR="00C1499B">
        <w:t>)</w:t>
      </w:r>
      <w:r w:rsidR="0043181F">
        <w:t>.</w:t>
      </w:r>
    </w:p>
  </w:footnote>
  <w:footnote w:id="23">
    <w:p w:rsidR="007F7258" w:rsidRPr="00630ED2" w:rsidRDefault="007F7258" w:rsidP="00333021">
      <w:pPr>
        <w:pStyle w:val="FootnoteText"/>
        <w:rPr>
          <w:i/>
        </w:rPr>
      </w:pPr>
      <w:r>
        <w:rPr>
          <w:rStyle w:val="FootnoteReference"/>
        </w:rPr>
        <w:footnoteRef/>
      </w:r>
      <w:r w:rsidR="00641280">
        <w:rPr>
          <w:i/>
        </w:rPr>
        <w:t xml:space="preserve"> </w:t>
      </w:r>
      <w:r w:rsidR="00D12A42">
        <w:rPr>
          <w:i/>
        </w:rPr>
        <w:t>Id.</w:t>
      </w:r>
    </w:p>
  </w:footnote>
  <w:footnote w:id="24">
    <w:p w:rsidR="007F7258" w:rsidRPr="008D0E95" w:rsidRDefault="007F7258">
      <w:pPr>
        <w:pStyle w:val="FootnoteText"/>
      </w:pPr>
      <w:r>
        <w:rPr>
          <w:rStyle w:val="FootnoteReference"/>
        </w:rPr>
        <w:footnoteRef/>
      </w:r>
      <w:r>
        <w:t xml:space="preserve"> </w:t>
      </w:r>
      <w:r w:rsidR="00D81670">
        <w:t>Letter from Vonda T. Long-Dillard to Marlene H. Dortch, Secretary, FCC, CG Docket Nos. 08-15</w:t>
      </w:r>
      <w:r w:rsidR="00636243">
        <w:t>,</w:t>
      </w:r>
      <w:r w:rsidR="00D81670">
        <w:t xml:space="preserve"> 03-123</w:t>
      </w:r>
      <w:r w:rsidR="00636243">
        <w:t>, at 1</w:t>
      </w:r>
      <w:r w:rsidR="00D81670">
        <w:t xml:space="preserve"> (June 12, 2014) (</w:t>
      </w:r>
      <w:r>
        <w:t xml:space="preserve">AT&amp;T June 12, 2014 </w:t>
      </w:r>
      <w:r>
        <w:rPr>
          <w:i/>
        </w:rPr>
        <w:t>Ex Parte</w:t>
      </w:r>
      <w:r w:rsidR="00D81670">
        <w:t>)</w:t>
      </w:r>
      <w:r>
        <w:t>.</w:t>
      </w:r>
    </w:p>
  </w:footnote>
  <w:footnote w:id="25">
    <w:p w:rsidR="007F7258" w:rsidRPr="00630ED2" w:rsidRDefault="007F7258" w:rsidP="00333021">
      <w:pPr>
        <w:pStyle w:val="FootnoteText"/>
        <w:rPr>
          <w:i/>
        </w:rPr>
      </w:pPr>
      <w:r>
        <w:rPr>
          <w:rStyle w:val="FootnoteReference"/>
        </w:rPr>
        <w:footnoteRef/>
      </w:r>
      <w:r>
        <w:t xml:space="preserve"> </w:t>
      </w:r>
      <w:r w:rsidR="00D12A42">
        <w:rPr>
          <w:i/>
        </w:rPr>
        <w:t>Id.</w:t>
      </w:r>
    </w:p>
  </w:footnote>
  <w:footnote w:id="26">
    <w:p w:rsidR="007F7258" w:rsidRDefault="007F7258">
      <w:pPr>
        <w:pStyle w:val="FootnoteText"/>
      </w:pPr>
      <w:r>
        <w:rPr>
          <w:rStyle w:val="FootnoteReference"/>
        </w:rPr>
        <w:footnoteRef/>
      </w:r>
      <w:r>
        <w:t xml:space="preserve"> AT&amp;T Petition at 2-5.</w:t>
      </w:r>
    </w:p>
  </w:footnote>
  <w:footnote w:id="27">
    <w:p w:rsidR="007F7258" w:rsidRDefault="007F7258">
      <w:pPr>
        <w:pStyle w:val="FootnoteText"/>
      </w:pPr>
      <w:r>
        <w:rPr>
          <w:rStyle w:val="FootnoteReference"/>
        </w:rPr>
        <w:footnoteRef/>
      </w:r>
      <w:r>
        <w:t xml:space="preserve"> </w:t>
      </w:r>
      <w:r w:rsidR="00D12A42">
        <w:rPr>
          <w:i/>
        </w:rPr>
        <w:t xml:space="preserve">Id. </w:t>
      </w:r>
      <w:r>
        <w:t>at 4.</w:t>
      </w:r>
    </w:p>
  </w:footnote>
  <w:footnote w:id="28">
    <w:p w:rsidR="00CE254C" w:rsidRDefault="00CE254C">
      <w:pPr>
        <w:pStyle w:val="FootnoteText"/>
      </w:pPr>
      <w:r>
        <w:rPr>
          <w:rStyle w:val="FootnoteReference"/>
        </w:rPr>
        <w:footnoteRef/>
      </w:r>
      <w:r>
        <w:t xml:space="preserve"> </w:t>
      </w:r>
      <w:r w:rsidR="00D12A42">
        <w:rPr>
          <w:i/>
        </w:rPr>
        <w:t xml:space="preserve">Id. </w:t>
      </w:r>
      <w:r>
        <w:t>at 4-5.</w:t>
      </w:r>
    </w:p>
  </w:footnote>
  <w:footnote w:id="29">
    <w:p w:rsidR="00A1337F" w:rsidRPr="002203F9" w:rsidRDefault="00A1337F" w:rsidP="00A1337F">
      <w:pPr>
        <w:pStyle w:val="FootnoteText"/>
      </w:pPr>
      <w:r>
        <w:rPr>
          <w:rStyle w:val="FootnoteReference"/>
        </w:rPr>
        <w:footnoteRef/>
      </w:r>
      <w:r>
        <w:t xml:space="preserve"> </w:t>
      </w:r>
      <w:r>
        <w:rPr>
          <w:i/>
        </w:rPr>
        <w:t>Federal Communications Commission Clarifies that Certain Telecommunications Relay Services (TRS) Marketing and Call Handling Practices are Improper and Reminds that Video Relay Service (VRS) May Not be Used as a Video Remote Interpreting Service</w:t>
      </w:r>
      <w:r>
        <w:t>, CC Docket No. 98-67, CG Docket No. 03-123, Public Notice, 20 FCC Rcd 1471(</w:t>
      </w:r>
      <w:r w:rsidRPr="00AF71C6">
        <w:t>CGB</w:t>
      </w:r>
      <w:r>
        <w:t xml:space="preserve"> 2005) (</w:t>
      </w:r>
      <w:r>
        <w:rPr>
          <w:i/>
        </w:rPr>
        <w:t xml:space="preserve">2005 TRS Marketing Practices </w:t>
      </w:r>
      <w:r w:rsidRPr="00C02DDA">
        <w:rPr>
          <w:i/>
        </w:rPr>
        <w:t>PN</w:t>
      </w:r>
      <w:r w:rsidRPr="00C02DDA">
        <w:t xml:space="preserve">).  </w:t>
      </w:r>
    </w:p>
  </w:footnote>
  <w:footnote w:id="30">
    <w:p w:rsidR="00A1337F" w:rsidRPr="00554EEB" w:rsidRDefault="00A1337F" w:rsidP="00A1337F">
      <w:pPr>
        <w:pStyle w:val="FootnoteText"/>
      </w:pPr>
      <w:r>
        <w:rPr>
          <w:rStyle w:val="FootnoteReference"/>
        </w:rPr>
        <w:footnoteRef/>
      </w:r>
      <w:r>
        <w:t xml:space="preserve"> </w:t>
      </w:r>
      <w:r>
        <w:rPr>
          <w:i/>
        </w:rPr>
        <w:t>Telecommunications Relay Services and Speech-to-Speech Services for Individuals with Hearing and Speech Disabilities</w:t>
      </w:r>
      <w:r>
        <w:t>, CG Docket No. 03-123, CC Docket No. 98-67, Report and Order, 20 FCC Rcd 13165 (2005) (</w:t>
      </w:r>
      <w:r>
        <w:rPr>
          <w:i/>
        </w:rPr>
        <w:t>2005 Speed of Answer Order</w:t>
      </w:r>
      <w:r>
        <w:t>).</w:t>
      </w:r>
    </w:p>
  </w:footnote>
  <w:footnote w:id="31">
    <w:p w:rsidR="00A1337F" w:rsidRDefault="00A1337F">
      <w:pPr>
        <w:pStyle w:val="FootnoteText"/>
      </w:pPr>
      <w:r>
        <w:rPr>
          <w:rStyle w:val="FootnoteReference"/>
        </w:rPr>
        <w:footnoteRef/>
      </w:r>
      <w:r>
        <w:t xml:space="preserve"> </w:t>
      </w:r>
      <w:r w:rsidR="00957BEF">
        <w:rPr>
          <w:i/>
        </w:rPr>
        <w:t xml:space="preserve">2005 TRS Marketing Practices </w:t>
      </w:r>
      <w:r w:rsidR="00957BEF" w:rsidRPr="00C02DDA">
        <w:rPr>
          <w:i/>
        </w:rPr>
        <w:t>PN</w:t>
      </w:r>
      <w:r w:rsidR="00957BEF">
        <w:t>, 20 FCC Rcd at 1473-75</w:t>
      </w:r>
      <w:r w:rsidR="00CE254C">
        <w:t xml:space="preserve">; </w:t>
      </w:r>
      <w:r w:rsidR="00CE254C">
        <w:rPr>
          <w:i/>
        </w:rPr>
        <w:t>2005 Speed of Answer Order</w:t>
      </w:r>
      <w:r w:rsidR="00C44C8C">
        <w:t>,</w:t>
      </w:r>
      <w:r w:rsidR="00CE254C">
        <w:t xml:space="preserve"> 20 FCC Rcd at 13177, ¶</w:t>
      </w:r>
      <w:r w:rsidR="00967872">
        <w:t>¶</w:t>
      </w:r>
      <w:r w:rsidR="00CE254C">
        <w:t xml:space="preserve"> 23</w:t>
      </w:r>
      <w:r w:rsidR="00967872">
        <w:t>-24</w:t>
      </w:r>
      <w:r w:rsidR="00957BEF">
        <w:t xml:space="preserve">.  The Commission’s speed of answer rules obligate TRS providers </w:t>
      </w:r>
      <w:r w:rsidR="00957BEF" w:rsidRPr="00100766">
        <w:t xml:space="preserve">to </w:t>
      </w:r>
      <w:r w:rsidR="00957BEF">
        <w:t>answer calls within a specified period of time.  For STS, these rules require providers to “</w:t>
      </w:r>
      <w:r w:rsidR="00957BEF" w:rsidRPr="00100766">
        <w:t xml:space="preserve">answer 85% of </w:t>
      </w:r>
      <w:r w:rsidR="00957BEF">
        <w:t>all</w:t>
      </w:r>
      <w:r w:rsidR="00957BEF" w:rsidRPr="00100766">
        <w:t xml:space="preserve"> calls within 10 seconds by any method which results in the caller's call immediately being placed, not put in a queue or on hold. </w:t>
      </w:r>
      <w:r w:rsidR="00D12A42">
        <w:t xml:space="preserve"> </w:t>
      </w:r>
      <w:r w:rsidR="00957BEF" w:rsidRPr="00100766">
        <w:t>The ten seconds begins at the time the call is delivered to the TRS facility's network</w:t>
      </w:r>
      <w:r w:rsidR="00957BEF">
        <w:t xml:space="preserve">.”  47 C.F.R. § 64.604(b)(2)(ii).  Speed of answer for STS calls must be measured on a daily basis.  </w:t>
      </w:r>
      <w:r w:rsidR="00957BEF">
        <w:rPr>
          <w:i/>
        </w:rPr>
        <w:t>Id</w:t>
      </w:r>
      <w:r w:rsidR="00957BEF">
        <w:t>. § 64.604(b)(2).</w:t>
      </w:r>
    </w:p>
  </w:footnote>
  <w:footnote w:id="32">
    <w:p w:rsidR="00D5602E" w:rsidRPr="0010785E" w:rsidRDefault="007F7258">
      <w:pPr>
        <w:pStyle w:val="FootnoteText"/>
      </w:pPr>
      <w:r>
        <w:rPr>
          <w:rStyle w:val="FootnoteReference"/>
        </w:rPr>
        <w:footnoteRef/>
      </w:r>
      <w:r>
        <w:t xml:space="preserve"> AT&amp;T Petition at 5.</w:t>
      </w:r>
      <w:r w:rsidR="0010785E">
        <w:t xml:space="preserve">  </w:t>
      </w:r>
      <w:r w:rsidR="00D5602E">
        <w:t>AT&amp;T</w:t>
      </w:r>
      <w:r w:rsidR="0082028F">
        <w:t xml:space="preserve"> tries to make the argument that </w:t>
      </w:r>
      <w:r w:rsidR="0010785E">
        <w:t xml:space="preserve">the </w:t>
      </w:r>
      <w:r w:rsidR="0010785E">
        <w:rPr>
          <w:i/>
        </w:rPr>
        <w:t xml:space="preserve">2005 TRS Marketing Practices </w:t>
      </w:r>
      <w:r w:rsidR="0010785E" w:rsidRPr="00C02DDA">
        <w:rPr>
          <w:i/>
        </w:rPr>
        <w:t>PN</w:t>
      </w:r>
      <w:r w:rsidR="0010785E">
        <w:t xml:space="preserve"> </w:t>
      </w:r>
      <w:r w:rsidR="0082028F">
        <w:t xml:space="preserve">only prohibited </w:t>
      </w:r>
      <w:r w:rsidR="0010785E">
        <w:t xml:space="preserve">call-backs </w:t>
      </w:r>
      <w:r w:rsidR="0082028F">
        <w:t>if these were “</w:t>
      </w:r>
      <w:r w:rsidR="0010785E">
        <w:t xml:space="preserve">the </w:t>
      </w:r>
      <w:r w:rsidR="0010785E" w:rsidRPr="00074DD1">
        <w:rPr>
          <w:i/>
        </w:rPr>
        <w:t>only</w:t>
      </w:r>
      <w:r w:rsidR="0010785E">
        <w:t xml:space="preserve"> means by which a TRS user may reach a CA</w:t>
      </w:r>
      <w:r w:rsidR="00497027">
        <w:t>.</w:t>
      </w:r>
      <w:r w:rsidR="0010785E">
        <w:t>”</w:t>
      </w:r>
      <w:r w:rsidR="00074DD1">
        <w:t xml:space="preserve"> </w:t>
      </w:r>
      <w:r w:rsidR="00497027">
        <w:t xml:space="preserve"> </w:t>
      </w:r>
      <w:r w:rsidR="00D12A42">
        <w:rPr>
          <w:i/>
        </w:rPr>
        <w:t xml:space="preserve">Id. </w:t>
      </w:r>
      <w:r w:rsidR="00074DD1">
        <w:t>at 4</w:t>
      </w:r>
      <w:r w:rsidR="0010785E">
        <w:t xml:space="preserve"> (emphasis added</w:t>
      </w:r>
      <w:r w:rsidR="00636243">
        <w:t xml:space="preserve">, </w:t>
      </w:r>
      <w:r w:rsidR="0010785E">
        <w:t>footnote omitted)</w:t>
      </w:r>
      <w:r w:rsidR="00497027">
        <w:t xml:space="preserve">.  </w:t>
      </w:r>
      <w:r w:rsidR="00C44C8C">
        <w:t xml:space="preserve">However, that interpretation is </w:t>
      </w:r>
      <w:r w:rsidR="00636243">
        <w:t>in</w:t>
      </w:r>
      <w:r w:rsidR="00C44C8C">
        <w:t>valid</w:t>
      </w:r>
      <w:r w:rsidR="00636243">
        <w:t>.</w:t>
      </w:r>
      <w:r w:rsidR="00C44C8C">
        <w:t xml:space="preserve"> </w:t>
      </w:r>
      <w:r w:rsidR="00636243">
        <w:t xml:space="preserve"> F</w:t>
      </w:r>
      <w:r w:rsidR="00C44C8C">
        <w:t xml:space="preserve">ollowing the </w:t>
      </w:r>
      <w:r w:rsidR="00C44C8C">
        <w:rPr>
          <w:i/>
        </w:rPr>
        <w:t xml:space="preserve">2005 TRS Marketing Practices </w:t>
      </w:r>
      <w:r w:rsidR="00C44C8C" w:rsidRPr="00C02DDA">
        <w:rPr>
          <w:i/>
        </w:rPr>
        <w:t>PN</w:t>
      </w:r>
      <w:r w:rsidR="00DC3D04">
        <w:t>,</w:t>
      </w:r>
      <w:r w:rsidR="00C44C8C">
        <w:t xml:space="preserve"> the </w:t>
      </w:r>
      <w:r w:rsidR="00C44C8C">
        <w:rPr>
          <w:i/>
        </w:rPr>
        <w:t>2005 Speed of Answer Order</w:t>
      </w:r>
      <w:r w:rsidR="00C44C8C">
        <w:t xml:space="preserve"> </w:t>
      </w:r>
      <w:r w:rsidR="0082028F">
        <w:t xml:space="preserve">made the ban on call-backs absolute.  Specifically, </w:t>
      </w:r>
      <w:r w:rsidR="00C44C8C">
        <w:t>effective January 1, 2006</w:t>
      </w:r>
      <w:r w:rsidR="0082028F">
        <w:t>, that order stated</w:t>
      </w:r>
      <w:r w:rsidR="00C44C8C">
        <w:t xml:space="preserve">, “providers may not use a call back arrangement, including one that gives the consumer the choice of waiting for a CA or having the provider call the consumer back when a CA is available.”  </w:t>
      </w:r>
      <w:r w:rsidR="00C44C8C">
        <w:rPr>
          <w:i/>
        </w:rPr>
        <w:t>2005 Speed of Answer Order</w:t>
      </w:r>
      <w:r w:rsidR="00C44C8C">
        <w:t>, 20 FCC Rcd at 13177, ¶ 23.</w:t>
      </w:r>
      <w:r w:rsidR="00D5602E">
        <w:t xml:space="preserve">  </w:t>
      </w:r>
      <w:r w:rsidR="0082028F">
        <w:t xml:space="preserve">In any event, </w:t>
      </w:r>
      <w:r w:rsidR="00D5602E">
        <w:t>individuals seeking to mute their incoming calls on a call-by-call basis (</w:t>
      </w:r>
      <w:r w:rsidR="00D5602E" w:rsidRPr="0082028F">
        <w:rPr>
          <w:i/>
        </w:rPr>
        <w:t>i.e.</w:t>
      </w:r>
      <w:r w:rsidR="00D5602E">
        <w:t xml:space="preserve">, rather than through their profiles) </w:t>
      </w:r>
      <w:r w:rsidR="008F6089">
        <w:t xml:space="preserve">in fact </w:t>
      </w:r>
      <w:r w:rsidR="00D5602E">
        <w:t xml:space="preserve">had no way to complete their calls </w:t>
      </w:r>
      <w:r w:rsidR="008F6089">
        <w:t xml:space="preserve">other </w:t>
      </w:r>
      <w:r w:rsidR="00D5602E">
        <w:t>than through AT&amp;T’s call</w:t>
      </w:r>
      <w:r w:rsidR="008F6089">
        <w:t>-</w:t>
      </w:r>
      <w:r w:rsidR="00D5602E">
        <w:t>back proce</w:t>
      </w:r>
      <w:r w:rsidR="008F6089">
        <w:t>dure prior to June 10, 2014</w:t>
      </w:r>
      <w:r w:rsidR="00D5602E">
        <w:t>.</w:t>
      </w:r>
      <w:r w:rsidR="00DC3D04">
        <w:t xml:space="preserve">  In other words, for that set of users, call-backs were not optional.</w:t>
      </w:r>
    </w:p>
  </w:footnote>
  <w:footnote w:id="33">
    <w:p w:rsidR="007F7258" w:rsidRPr="003D52D0" w:rsidRDefault="007F7258" w:rsidP="00C112A4">
      <w:pPr>
        <w:pStyle w:val="FootnoteText"/>
      </w:pPr>
      <w:r>
        <w:rPr>
          <w:rStyle w:val="FootnoteReference"/>
        </w:rPr>
        <w:footnoteRef/>
      </w:r>
      <w:r>
        <w:t xml:space="preserve"> 47 U.S.C. § 225(a)(3)</w:t>
      </w:r>
      <w:r w:rsidR="00D12A42">
        <w:t>;</w:t>
      </w:r>
      <w:r>
        <w:t xml:space="preserve"> </w:t>
      </w:r>
      <w:r w:rsidR="00D12A42">
        <w:rPr>
          <w:i/>
        </w:rPr>
        <w:t>s</w:t>
      </w:r>
      <w:r>
        <w:rPr>
          <w:i/>
        </w:rPr>
        <w:t>ee also</w:t>
      </w:r>
      <w:r>
        <w:t xml:space="preserve"> 47 U.S.C. § 225(d)(1)(A) (mandating the Commission to prescribe regulations that “establish functional requirements, guidelines, and operational procedures for telecommunications relay services”).</w:t>
      </w:r>
    </w:p>
  </w:footnote>
  <w:footnote w:id="34">
    <w:p w:rsidR="007F7258" w:rsidRDefault="007F7258">
      <w:pPr>
        <w:pStyle w:val="FootnoteText"/>
      </w:pPr>
      <w:r>
        <w:rPr>
          <w:rStyle w:val="FootnoteReference"/>
        </w:rPr>
        <w:footnoteRef/>
      </w:r>
      <w:r>
        <w:t xml:space="preserve"> </w:t>
      </w:r>
      <w:r w:rsidRPr="004B606C">
        <w:rPr>
          <w:i/>
        </w:rPr>
        <w:t>See</w:t>
      </w:r>
      <w:r>
        <w:t xml:space="preserve"> AT&amp;T Petition at 5.</w:t>
      </w:r>
    </w:p>
  </w:footnote>
  <w:footnote w:id="35">
    <w:p w:rsidR="007F7258" w:rsidRPr="00074DD1" w:rsidRDefault="007F7258">
      <w:pPr>
        <w:pStyle w:val="FootnoteText"/>
      </w:pPr>
      <w:r>
        <w:rPr>
          <w:rStyle w:val="FootnoteReference"/>
        </w:rPr>
        <w:footnoteRef/>
      </w:r>
      <w:r>
        <w:t xml:space="preserve"> </w:t>
      </w:r>
      <w:r>
        <w:rPr>
          <w:i/>
        </w:rPr>
        <w:t>2005 TRS Mark</w:t>
      </w:r>
      <w:r w:rsidR="00031DAF">
        <w:rPr>
          <w:i/>
        </w:rPr>
        <w:t>et</w:t>
      </w:r>
      <w:r>
        <w:rPr>
          <w:i/>
        </w:rPr>
        <w:t>ing Practices PN</w:t>
      </w:r>
      <w:r>
        <w:t xml:space="preserve">, 20 FCC Rcd at 1474.  </w:t>
      </w:r>
      <w:r w:rsidRPr="00D5602E">
        <w:t>The</w:t>
      </w:r>
      <w:r>
        <w:t xml:space="preserve"> </w:t>
      </w:r>
      <w:r w:rsidRPr="00AF71C6">
        <w:t>Bureau</w:t>
      </w:r>
      <w:r>
        <w:t xml:space="preserve"> carved out a</w:t>
      </w:r>
      <w:r w:rsidR="0065589C">
        <w:t xml:space="preserve"> temporary </w:t>
      </w:r>
      <w:r>
        <w:t xml:space="preserve">exception to this “no call-back” rule for those situations in which a provider gave a video relay service (VRS) caller the choice of waiting for a CA or having the provider call back the consumer when a CA became available to handle a VRS call.  VRS is a form of TRS that allows people with hearing or speech disabilities who use sign language to communicate with voice telephone users through a CA using video transmissions over the Internet.  47 C.F.R. § 64.601(a)(40).  The </w:t>
      </w:r>
      <w:r w:rsidR="005B3393">
        <w:t xml:space="preserve">Bureau </w:t>
      </w:r>
      <w:r>
        <w:t xml:space="preserve">justified this carve-out because the requirement for TRS calls to be answered within a specified period of time – </w:t>
      </w:r>
      <w:r w:rsidRPr="00FD28E7">
        <w:rPr>
          <w:i/>
        </w:rPr>
        <w:t>i.e.</w:t>
      </w:r>
      <w:r>
        <w:t xml:space="preserve">, the speed-of-answer requirement (47 C.F.R. § 64.604(b)(2)) – had been waived for VRS at the time the </w:t>
      </w:r>
      <w:r>
        <w:rPr>
          <w:i/>
        </w:rPr>
        <w:t>2005 TRS Mark</w:t>
      </w:r>
      <w:r w:rsidR="00031DAF">
        <w:rPr>
          <w:i/>
        </w:rPr>
        <w:t>et</w:t>
      </w:r>
      <w:r>
        <w:rPr>
          <w:i/>
        </w:rPr>
        <w:t>ing Practices PN</w:t>
      </w:r>
      <w:r w:rsidRPr="007E1DC7">
        <w:t xml:space="preserve"> was issued.</w:t>
      </w:r>
      <w:r w:rsidRPr="009D5F99">
        <w:t xml:space="preserve"> </w:t>
      </w:r>
      <w:r w:rsidR="00031DAF">
        <w:t xml:space="preserve"> </w:t>
      </w:r>
      <w:r w:rsidRPr="007E1DC7">
        <w:rPr>
          <w:i/>
        </w:rPr>
        <w:t>See</w:t>
      </w:r>
      <w:r>
        <w:t xml:space="preserve"> </w:t>
      </w:r>
      <w:r>
        <w:rPr>
          <w:i/>
        </w:rPr>
        <w:t>2005 TRS Mark</w:t>
      </w:r>
      <w:r w:rsidR="00031DAF">
        <w:rPr>
          <w:i/>
        </w:rPr>
        <w:t>et</w:t>
      </w:r>
      <w:r>
        <w:rPr>
          <w:i/>
        </w:rPr>
        <w:t>ing Practices PN</w:t>
      </w:r>
      <w:r>
        <w:t>, 20 FCC Rcd at 1474-75, n.16</w:t>
      </w:r>
      <w:r w:rsidR="00D12A42">
        <w:t>;</w:t>
      </w:r>
      <w:r>
        <w:t xml:space="preserve"> </w:t>
      </w:r>
      <w:r w:rsidR="00D12A42">
        <w:rPr>
          <w:i/>
        </w:rPr>
        <w:t>s</w:t>
      </w:r>
      <w:r>
        <w:rPr>
          <w:i/>
        </w:rPr>
        <w:t xml:space="preserve">ee also </w:t>
      </w:r>
      <w:r w:rsidRPr="00682645">
        <w:rPr>
          <w:i/>
        </w:rPr>
        <w:t>Tele</w:t>
      </w:r>
      <w:r w:rsidRPr="00682645">
        <w:rPr>
          <w:i/>
          <w:color w:val="000000"/>
        </w:rPr>
        <w:t>communications Relay Services and Speech-to-Speech Services for Individuals with Hearing and Speech Disabilities</w:t>
      </w:r>
      <w:r w:rsidRPr="00682645">
        <w:rPr>
          <w:color w:val="000000"/>
        </w:rPr>
        <w:t>, CC Docket No. 98-67,</w:t>
      </w:r>
      <w:r>
        <w:rPr>
          <w:color w:val="000000"/>
        </w:rPr>
        <w:t xml:space="preserve"> Order,</w:t>
      </w:r>
      <w:r w:rsidRPr="00682645">
        <w:rPr>
          <w:color w:val="000000"/>
        </w:rPr>
        <w:t xml:space="preserve"> </w:t>
      </w:r>
      <w:r>
        <w:rPr>
          <w:color w:val="000000"/>
        </w:rPr>
        <w:t>17 FCC Rcd 157,</w:t>
      </w:r>
      <w:r w:rsidRPr="00682645">
        <w:rPr>
          <w:color w:val="000000"/>
        </w:rPr>
        <w:t xml:space="preserve"> </w:t>
      </w:r>
      <w:r>
        <w:rPr>
          <w:color w:val="000000"/>
        </w:rPr>
        <w:t xml:space="preserve">163, ¶ 16 (CCB </w:t>
      </w:r>
      <w:r w:rsidRPr="00682645">
        <w:rPr>
          <w:color w:val="000000"/>
        </w:rPr>
        <w:t>2001)</w:t>
      </w:r>
      <w:r>
        <w:rPr>
          <w:color w:val="000000"/>
        </w:rPr>
        <w:t xml:space="preserve"> (waiving speed-of-answer requirements for VRS)</w:t>
      </w:r>
      <w:r>
        <w:t xml:space="preserve">.  The Commission later eliminated this exception to the call-back prohibition in the </w:t>
      </w:r>
      <w:r>
        <w:rPr>
          <w:i/>
        </w:rPr>
        <w:t xml:space="preserve">2005 Speed of Answer Order </w:t>
      </w:r>
      <w:r>
        <w:t xml:space="preserve">because </w:t>
      </w:r>
      <w:r w:rsidRPr="007E1DC7">
        <w:t>it</w:t>
      </w:r>
      <w:r>
        <w:t xml:space="preserve"> adopted a speed-of-answer requirement for VRS in that order.  Since this aspect of the </w:t>
      </w:r>
      <w:r>
        <w:rPr>
          <w:i/>
        </w:rPr>
        <w:t>2005 TRS Mark</w:t>
      </w:r>
      <w:r w:rsidR="00031DAF">
        <w:rPr>
          <w:i/>
        </w:rPr>
        <w:t>et</w:t>
      </w:r>
      <w:r>
        <w:rPr>
          <w:i/>
        </w:rPr>
        <w:t>ing Practices PN</w:t>
      </w:r>
      <w:r>
        <w:t xml:space="preserve"> was very specifically targeted to address the handling of VRS calls, we do not consider this carve-out to be relevant to the situation now under consideration.</w:t>
      </w:r>
      <w:r w:rsidR="008F6089">
        <w:t xml:space="preserve"> </w:t>
      </w:r>
    </w:p>
  </w:footnote>
  <w:footnote w:id="36">
    <w:p w:rsidR="007F7258" w:rsidRPr="000362AB" w:rsidRDefault="007F7258">
      <w:pPr>
        <w:pStyle w:val="FootnoteText"/>
      </w:pPr>
      <w:r>
        <w:rPr>
          <w:rStyle w:val="FootnoteReference"/>
        </w:rPr>
        <w:footnoteRef/>
      </w:r>
      <w:r>
        <w:t xml:space="preserve"> </w:t>
      </w:r>
      <w:r>
        <w:rPr>
          <w:i/>
        </w:rPr>
        <w:t>2005 Speed of Answer Order</w:t>
      </w:r>
      <w:r>
        <w:t>, 20 FCC Rcd at 13177, ¶ 24.</w:t>
      </w:r>
    </w:p>
  </w:footnote>
  <w:footnote w:id="37">
    <w:p w:rsidR="007F7258" w:rsidRPr="00C1694B" w:rsidRDefault="007F7258">
      <w:pPr>
        <w:pStyle w:val="FootnoteText"/>
      </w:pPr>
      <w:r>
        <w:rPr>
          <w:rStyle w:val="FootnoteReference"/>
        </w:rPr>
        <w:footnoteRef/>
      </w:r>
      <w:r w:rsidR="00CD30E3">
        <w:rPr>
          <w:i/>
        </w:rPr>
        <w:t xml:space="preserve"> </w:t>
      </w:r>
      <w:r w:rsidR="00D12A42">
        <w:rPr>
          <w:i/>
        </w:rPr>
        <w:t>Id.</w:t>
      </w:r>
      <w:r w:rsidR="00330779">
        <w:t xml:space="preserve">  </w:t>
      </w:r>
      <w:r w:rsidR="00957BEF">
        <w:t>We note that t</w:t>
      </w:r>
      <w:r w:rsidR="00330779">
        <w:t>his situation is different from web and wireless applications used for Internet Protocol captioned telephone service (IP CTS) where the user initiates the call by using the application to send an electronic message to the IP CTS provider, and the CA calls the user in response to such message.  The</w:t>
      </w:r>
      <w:r w:rsidR="00C1694B">
        <w:t xml:space="preserve"> user</w:t>
      </w:r>
      <w:r w:rsidR="00330779">
        <w:t xml:space="preserve"> sending the electronic message is the equivalent of calling the provider, and is therefore permissible so long as the CA responds to the user within the time permitted by the speed of answer requirements.  In the case of STS, however, the </w:t>
      </w:r>
      <w:r w:rsidR="00330779" w:rsidRPr="00957BEF">
        <w:t>call has already been set up and must then be disconnected and reconnected by the CA calling back the STS user.</w:t>
      </w:r>
      <w:r w:rsidR="00C1694B" w:rsidRPr="00957BEF">
        <w:t xml:space="preserve">  </w:t>
      </w:r>
      <w:r w:rsidR="00C1694B" w:rsidRPr="003868CC">
        <w:t>IP CTS is a telecommunications relay service that permits an individual who can speak but who has difficulty hearing over the telephone to use a telephone and an Internet Protocol-enabled device via the Internet to simultaneously listen to the other party and read captions of what the other party is saying.” 47 C.F.R. § 64.601(a)(16).</w:t>
      </w:r>
      <w:r w:rsidRPr="00C1694B">
        <w:t xml:space="preserve">  </w:t>
      </w:r>
    </w:p>
  </w:footnote>
  <w:footnote w:id="38">
    <w:p w:rsidR="007F7258" w:rsidRDefault="007F7258">
      <w:pPr>
        <w:pStyle w:val="FootnoteText"/>
      </w:pPr>
      <w:r>
        <w:rPr>
          <w:rStyle w:val="FootnoteReference"/>
        </w:rPr>
        <w:footnoteRef/>
      </w:r>
      <w:r>
        <w:t xml:space="preserve"> </w:t>
      </w:r>
      <w:r>
        <w:rPr>
          <w:i/>
        </w:rPr>
        <w:t>2005 Speed of Answer Order</w:t>
      </w:r>
      <w:r>
        <w:t>, 20 FCC Rcd at 13177, ¶ 23, n.79.</w:t>
      </w:r>
    </w:p>
  </w:footnote>
  <w:footnote w:id="39">
    <w:p w:rsidR="007F7258" w:rsidRPr="00630ED2" w:rsidRDefault="007F7258" w:rsidP="00A24422">
      <w:pPr>
        <w:pStyle w:val="FootnoteText"/>
        <w:rPr>
          <w:i/>
        </w:rPr>
      </w:pPr>
      <w:r>
        <w:rPr>
          <w:rStyle w:val="FootnoteReference"/>
        </w:rPr>
        <w:footnoteRef/>
      </w:r>
      <w:r>
        <w:t xml:space="preserve"> </w:t>
      </w:r>
      <w:r>
        <w:rPr>
          <w:i/>
        </w:rPr>
        <w:t xml:space="preserve">See </w:t>
      </w:r>
      <w:r w:rsidR="00D12A42">
        <w:rPr>
          <w:i/>
        </w:rPr>
        <w:t>id.</w:t>
      </w:r>
    </w:p>
  </w:footnote>
  <w:footnote w:id="40">
    <w:p w:rsidR="007F7258" w:rsidRDefault="007F7258">
      <w:pPr>
        <w:pStyle w:val="FootnoteText"/>
      </w:pPr>
      <w:r>
        <w:rPr>
          <w:rStyle w:val="FootnoteReference"/>
        </w:rPr>
        <w:footnoteRef/>
      </w:r>
      <w:r>
        <w:t xml:space="preserve"> AT&amp;T Petition at 4.</w:t>
      </w:r>
    </w:p>
  </w:footnote>
  <w:footnote w:id="41">
    <w:p w:rsidR="007F7258" w:rsidRDefault="007F7258">
      <w:pPr>
        <w:pStyle w:val="FootnoteText"/>
      </w:pPr>
      <w:r>
        <w:rPr>
          <w:rStyle w:val="FootnoteReference"/>
        </w:rPr>
        <w:footnoteRef/>
      </w:r>
      <w:r>
        <w:t xml:space="preserve"> </w:t>
      </w:r>
      <w:r w:rsidR="00D12A42">
        <w:rPr>
          <w:i/>
        </w:rPr>
        <w:t xml:space="preserve">Id. </w:t>
      </w:r>
      <w:r>
        <w:t xml:space="preserve">at 5-8; AT&amp;T May 21, 2014 </w:t>
      </w:r>
      <w:r>
        <w:rPr>
          <w:i/>
        </w:rPr>
        <w:t xml:space="preserve">Ex Parte </w:t>
      </w:r>
      <w:r>
        <w:t xml:space="preserve">at 2; AT&amp;T June 12, 2014 </w:t>
      </w:r>
      <w:r>
        <w:rPr>
          <w:i/>
        </w:rPr>
        <w:t xml:space="preserve">Ex Parte </w:t>
      </w:r>
      <w:r>
        <w:t>at 1.</w:t>
      </w:r>
    </w:p>
  </w:footnote>
  <w:footnote w:id="42">
    <w:p w:rsidR="007F7258" w:rsidRDefault="007F7258">
      <w:pPr>
        <w:pStyle w:val="FootnoteText"/>
      </w:pPr>
      <w:r>
        <w:rPr>
          <w:rStyle w:val="FootnoteReference"/>
        </w:rPr>
        <w:footnoteRef/>
      </w:r>
      <w:r>
        <w:t xml:space="preserve"> 47 C.F.R. § 1.3.</w:t>
      </w:r>
    </w:p>
  </w:footnote>
  <w:footnote w:id="43">
    <w:p w:rsidR="007F7258" w:rsidRDefault="007F7258">
      <w:pPr>
        <w:pStyle w:val="FootnoteText"/>
      </w:pPr>
      <w:r>
        <w:rPr>
          <w:rStyle w:val="FootnoteReference"/>
        </w:rPr>
        <w:footnoteRef/>
      </w:r>
      <w:r>
        <w:t xml:space="preserve"> </w:t>
      </w:r>
      <w:r>
        <w:rPr>
          <w:i/>
        </w:rPr>
        <w:t>See Northeast Cellular Tel. Co. v. FCC</w:t>
      </w:r>
      <w:r>
        <w:t>, 897 F.2d 1164, 1166 (D.C. Cir. 1990).</w:t>
      </w:r>
    </w:p>
  </w:footnote>
  <w:footnote w:id="44">
    <w:p w:rsidR="007F7258" w:rsidRDefault="007F7258">
      <w:pPr>
        <w:pStyle w:val="FootnoteText"/>
      </w:pPr>
      <w:r>
        <w:rPr>
          <w:rStyle w:val="FootnoteReference"/>
        </w:rPr>
        <w:footnoteRef/>
      </w:r>
      <w:r>
        <w:t xml:space="preserve"> </w:t>
      </w:r>
      <w:r>
        <w:rPr>
          <w:i/>
        </w:rPr>
        <w:t>See WAIT Radio v. FCC</w:t>
      </w:r>
      <w:r>
        <w:t>, 418 F.2d 1153, 1159 (D.C. Cir. 1969)</w:t>
      </w:r>
      <w:r w:rsidR="00BF4F6A">
        <w:t xml:space="preserve"> (</w:t>
      </w:r>
      <w:r w:rsidR="00BF4F6A" w:rsidRPr="00AF71C6">
        <w:rPr>
          <w:i/>
        </w:rPr>
        <w:t>WAIT Radio</w:t>
      </w:r>
      <w:r w:rsidR="00BF4F6A">
        <w:t>)</w:t>
      </w:r>
      <w:r>
        <w:t xml:space="preserve">, </w:t>
      </w:r>
      <w:r>
        <w:rPr>
          <w:i/>
        </w:rPr>
        <w:t>cert. denied</w:t>
      </w:r>
      <w:r>
        <w:t xml:space="preserve">, 409 </w:t>
      </w:r>
      <w:smartTag w:uri="urn:schemas-microsoft-com:office:smarttags" w:element="place">
        <w:smartTag w:uri="urn:schemas-microsoft-com:office:smarttags" w:element="country-region">
          <w:r>
            <w:t>U.S.</w:t>
          </w:r>
        </w:smartTag>
      </w:smartTag>
      <w:r>
        <w:t xml:space="preserve"> 1027 (1972); </w:t>
      </w:r>
      <w:r>
        <w:rPr>
          <w:i/>
        </w:rPr>
        <w:t>Northeast Cellular</w:t>
      </w:r>
      <w:r>
        <w:t>, 897 F.2d at 1166.</w:t>
      </w:r>
    </w:p>
  </w:footnote>
  <w:footnote w:id="45">
    <w:p w:rsidR="007F7258" w:rsidRDefault="007F7258">
      <w:pPr>
        <w:pStyle w:val="FootnoteText"/>
      </w:pPr>
      <w:r>
        <w:rPr>
          <w:rStyle w:val="FootnoteReference"/>
        </w:rPr>
        <w:footnoteRef/>
      </w:r>
      <w:r>
        <w:t xml:space="preserve"> </w:t>
      </w:r>
      <w:r>
        <w:rPr>
          <w:i/>
        </w:rPr>
        <w:t>See Northeast Cellular</w:t>
      </w:r>
      <w:r>
        <w:t>, 897 F.2d at 1166.</w:t>
      </w:r>
    </w:p>
  </w:footnote>
  <w:footnote w:id="46">
    <w:p w:rsidR="007F7258" w:rsidRPr="0020271A" w:rsidRDefault="007F7258">
      <w:pPr>
        <w:pStyle w:val="FootnoteText"/>
      </w:pPr>
      <w:r>
        <w:rPr>
          <w:rStyle w:val="FootnoteReference"/>
        </w:rPr>
        <w:footnoteRef/>
      </w:r>
      <w:r>
        <w:t xml:space="preserve"> </w:t>
      </w:r>
      <w:r>
        <w:rPr>
          <w:i/>
        </w:rPr>
        <w:t>2013 STS Order</w:t>
      </w:r>
      <w:r>
        <w:t>, 28 FCC Rcd at 10712, ¶ 19.</w:t>
      </w:r>
    </w:p>
  </w:footnote>
  <w:footnote w:id="47">
    <w:p w:rsidR="007F7258" w:rsidRPr="0020271A" w:rsidRDefault="007F7258">
      <w:pPr>
        <w:pStyle w:val="FootnoteText"/>
      </w:pPr>
      <w:r>
        <w:rPr>
          <w:rStyle w:val="FootnoteReference"/>
        </w:rPr>
        <w:footnoteRef/>
      </w:r>
      <w:r>
        <w:t xml:space="preserve"> AT&amp;T Petition at 6; AT&amp;T May 21, 2014 </w:t>
      </w:r>
      <w:r>
        <w:rPr>
          <w:i/>
        </w:rPr>
        <w:t xml:space="preserve">Ex Parte </w:t>
      </w:r>
      <w:r>
        <w:t xml:space="preserve">at 2; AT&amp;T June 12, 2014 </w:t>
      </w:r>
      <w:r>
        <w:rPr>
          <w:i/>
        </w:rPr>
        <w:t xml:space="preserve">Ex Parte </w:t>
      </w:r>
      <w:r>
        <w:t>at 1.</w:t>
      </w:r>
    </w:p>
  </w:footnote>
  <w:footnote w:id="48">
    <w:p w:rsidR="007F7258" w:rsidRPr="00D73C2C" w:rsidRDefault="007F7258">
      <w:pPr>
        <w:pStyle w:val="FootnoteText"/>
      </w:pPr>
      <w:r>
        <w:rPr>
          <w:rStyle w:val="FootnoteReference"/>
        </w:rPr>
        <w:footnoteRef/>
      </w:r>
      <w:r>
        <w:t xml:space="preserve"> </w:t>
      </w:r>
      <w:r>
        <w:rPr>
          <w:i/>
        </w:rPr>
        <w:t>See</w:t>
      </w:r>
      <w:r>
        <w:t xml:space="preserve"> 47 C.F.R. § 64.604(c)(5</w:t>
      </w:r>
      <w:r w:rsidRPr="006555E1">
        <w:t>)(iii)(D)(5) (requiring t</w:t>
      </w:r>
      <w:r w:rsidRPr="00E42275">
        <w:t>he chief executive officer, chief financial officer, or other senior executive of a TRS provider to certify that “[t]</w:t>
      </w:r>
      <w:r w:rsidRPr="006555E1">
        <w:t xml:space="preserve">he TRS calls for which compensation is sought </w:t>
      </w:r>
      <w:r w:rsidRPr="00D73C2C">
        <w:t>were handled in compliance with Section 225 of the Communications Act and the Commission's rules and orders</w:t>
      </w:r>
      <w:r>
        <w:t>. . . .”)</w:t>
      </w:r>
      <w:r w:rsidR="007E262D">
        <w:t>.</w:t>
      </w:r>
    </w:p>
  </w:footnote>
  <w:footnote w:id="49">
    <w:p w:rsidR="007F7258" w:rsidRDefault="007F7258">
      <w:pPr>
        <w:pStyle w:val="FootnoteText"/>
      </w:pPr>
      <w:r>
        <w:rPr>
          <w:rStyle w:val="FootnoteReference"/>
        </w:rPr>
        <w:footnoteRef/>
      </w:r>
      <w:r>
        <w:t xml:space="preserve"> AT&amp;T Petition at 2-4.</w:t>
      </w:r>
    </w:p>
  </w:footnote>
  <w:footnote w:id="50">
    <w:p w:rsidR="007F7258" w:rsidRPr="00061A83" w:rsidRDefault="007F7258">
      <w:pPr>
        <w:pStyle w:val="FootnoteText"/>
      </w:pPr>
      <w:r>
        <w:rPr>
          <w:rStyle w:val="FootnoteReference"/>
        </w:rPr>
        <w:footnoteRef/>
      </w:r>
      <w:r>
        <w:t xml:space="preserve"> AT&amp;T May 21, 2014 </w:t>
      </w:r>
      <w:r>
        <w:rPr>
          <w:i/>
        </w:rPr>
        <w:t xml:space="preserve">Ex Parte </w:t>
      </w:r>
      <w:r>
        <w:t>at 1-2.</w:t>
      </w:r>
    </w:p>
  </w:footnote>
  <w:footnote w:id="51">
    <w:p w:rsidR="00BF4F6A" w:rsidRDefault="00BF4F6A">
      <w:pPr>
        <w:pStyle w:val="FootnoteText"/>
      </w:pPr>
      <w:r>
        <w:rPr>
          <w:rStyle w:val="FootnoteReference"/>
        </w:rPr>
        <w:footnoteRef/>
      </w:r>
      <w:r>
        <w:t xml:space="preserve"> </w:t>
      </w:r>
      <w:r w:rsidRPr="00BF4F6A">
        <w:rPr>
          <w:i/>
        </w:rPr>
        <w:t>See WAIT Radio</w:t>
      </w:r>
      <w:r w:rsidRPr="00BF4F6A">
        <w:t xml:space="preserve">, 418 F.2d </w:t>
      </w:r>
      <w:r>
        <w:t>at</w:t>
      </w:r>
      <w:r w:rsidRPr="00BF4F6A">
        <w:t xml:space="preserve"> 1159; </w:t>
      </w:r>
      <w:r w:rsidRPr="00BF4F6A">
        <w:rPr>
          <w:i/>
        </w:rPr>
        <w:t>Northeast Cellular</w:t>
      </w:r>
      <w:r w:rsidRPr="00BF4F6A">
        <w:t>, 897 F.2d at 1166.</w:t>
      </w:r>
    </w:p>
  </w:footnote>
  <w:footnote w:id="52">
    <w:p w:rsidR="007F7258" w:rsidRPr="008570BE" w:rsidRDefault="007F7258">
      <w:pPr>
        <w:pStyle w:val="FootnoteText"/>
      </w:pPr>
      <w:r>
        <w:rPr>
          <w:rStyle w:val="FootnoteReference"/>
        </w:rPr>
        <w:footnoteRef/>
      </w:r>
      <w:r>
        <w:t xml:space="preserve"> AT&amp;T May 21, 2014 </w:t>
      </w:r>
      <w:r>
        <w:rPr>
          <w:i/>
        </w:rPr>
        <w:t>Ex Parte</w:t>
      </w:r>
      <w:r>
        <w:t xml:space="preserve"> at 2.  Specifically, AT&amp;T describes the following steps involved in the creation and implementation of the new muting feature:  “[a]ttempted PBX solution/[a]rchitecture of software solution”; “[r]eview &amp; documentation of architecture, dependencies, and troubleshooting policies”; “[d]esign &amp; documentation of CA user interface implications”; “[a]ccessibility review”; “[f]eature development, software modifications and change control”; “[u]nit &amp; regression test cycles”; “[c]reation of CA training”; “CA training”; “[s]ystematic deployment across two server farms.”  </w:t>
      </w:r>
      <w:r>
        <w:rPr>
          <w:i/>
        </w:rPr>
        <w:t>Id.</w:t>
      </w:r>
      <w:r>
        <w:t>;</w:t>
      </w:r>
      <w:r>
        <w:rPr>
          <w:i/>
        </w:rPr>
        <w:t xml:space="preserve"> s</w:t>
      </w:r>
      <w:r w:rsidRPr="003C3A9E">
        <w:rPr>
          <w:i/>
        </w:rPr>
        <w:t xml:space="preserve">ee also </w:t>
      </w:r>
      <w:r>
        <w:t xml:space="preserve">AT&amp;T June 12, 2014 </w:t>
      </w:r>
      <w:r>
        <w:rPr>
          <w:i/>
        </w:rPr>
        <w:t xml:space="preserve">Ex Parte </w:t>
      </w:r>
      <w:r>
        <w:t>at 1 (stating that “[a]fter resolving some discrepancies discovered during field testing, AT&amp;T deployed the new STS voice muting solution in all call centers on June 10,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FC" w:rsidRDefault="006D1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58" w:rsidRDefault="007F7258">
    <w:pPr>
      <w:pStyle w:val="Header"/>
      <w:pBdr>
        <w:bottom w:val="single" w:sz="12" w:space="1" w:color="auto"/>
      </w:pBdr>
      <w:rPr>
        <w:b w:val="0"/>
      </w:rPr>
    </w:pPr>
    <w:r>
      <w:tab/>
      <w:t>Federal Communications Commission</w:t>
    </w:r>
    <w:r>
      <w:tab/>
      <w:t>DA 15-</w:t>
    </w:r>
    <w:r w:rsidR="009B2B98">
      <w:t>141</w:t>
    </w:r>
  </w:p>
  <w:p w:rsidR="007F7258" w:rsidRDefault="007F7258">
    <w:pPr>
      <w:tabs>
        <w:tab w:val="left" w:pos="-720"/>
      </w:tabs>
      <w:suppressAutoHyphens/>
      <w:spacing w:line="19" w:lineRule="exact"/>
      <w:rPr>
        <w:spacing w:val="-2"/>
      </w:rPr>
    </w:pPr>
    <w:r>
      <w:rPr>
        <w:noProof/>
      </w:rPr>
      <mc:AlternateContent>
        <mc:Choice Requires="wps">
          <w:drawing>
            <wp:anchor distT="0" distB="0" distL="114300" distR="114300" simplePos="0" relativeHeight="251657728" behindDoc="1" locked="0" layoutInCell="0" allowOverlap="1" wp14:anchorId="3CE1FB15" wp14:editId="446A2434">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7258" w:rsidRDefault="007F72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UB7AIAAD0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De1yUB7AIAAD0GAAAOAAAAAAAA&#10;AAAAAAAAAC4CAABkcnMvZTJvRG9jLnhtbFBLAQItABQABgAIAAAAIQAiPO7R1wAAAAMBAAAPAAAA&#10;AAAAAAAAAAAAAEYFAABkcnMvZG93bnJldi54bWxQSwUGAAAAAAQABADzAAAASgYAAAAA&#10;" o:allowincell="f" fillcolor="black" stroked="f" strokeweight=".05pt">
              <v:textbox>
                <w:txbxContent>
                  <w:p w:rsidR="007F7258" w:rsidRDefault="007F7258"/>
                </w:txbxContent>
              </v:textbox>
              <w10:wrap anchorx="margin"/>
            </v:rect>
          </w:pict>
        </mc:Fallback>
      </mc:AlternateContent>
    </w:r>
  </w:p>
  <w:p w:rsidR="007F7258" w:rsidRDefault="007F7258">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58" w:rsidRDefault="007F7258">
    <w:pPr>
      <w:pStyle w:val="Header"/>
      <w:pBdr>
        <w:bottom w:val="single" w:sz="12" w:space="1" w:color="auto"/>
      </w:pBdr>
      <w:rPr>
        <w:b w:val="0"/>
      </w:rPr>
    </w:pPr>
    <w:r>
      <w:tab/>
      <w:t>Federal Communications Commission</w:t>
    </w:r>
    <w:r>
      <w:tab/>
    </w:r>
    <w:r>
      <w:rPr>
        <w:spacing w:val="-2"/>
      </w:rPr>
      <w:t>DA 15-</w:t>
    </w:r>
    <w:r w:rsidR="00E27942">
      <w:rPr>
        <w:spacing w:val="-2"/>
      </w:rPr>
      <w:t>141</w:t>
    </w:r>
    <w:r>
      <w:rPr>
        <w:spacing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3"/>
  </w:num>
  <w:num w:numId="14">
    <w:abstractNumId w:val="3"/>
  </w:num>
  <w:num w:numId="15">
    <w:abstractNumId w:val="5"/>
  </w:num>
  <w:num w:numId="16">
    <w:abstractNumId w:val="5"/>
  </w:num>
  <w:num w:numId="17">
    <w:abstractNumId w:val="3"/>
  </w:num>
  <w:num w:numId="18">
    <w:abstractNumId w:val="5"/>
  </w:num>
  <w:num w:numId="19">
    <w:abstractNumId w:val="5"/>
  </w:num>
  <w:num w:numId="20">
    <w:abstractNumId w:val="5"/>
  </w:num>
  <w:num w:numId="21">
    <w:abstractNumId w:val="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95"/>
    <w:rsid w:val="0001144E"/>
    <w:rsid w:val="00015753"/>
    <w:rsid w:val="000179D4"/>
    <w:rsid w:val="00017F54"/>
    <w:rsid w:val="00031DAF"/>
    <w:rsid w:val="00032469"/>
    <w:rsid w:val="00035A21"/>
    <w:rsid w:val="000362AB"/>
    <w:rsid w:val="00037836"/>
    <w:rsid w:val="000456F1"/>
    <w:rsid w:val="00046192"/>
    <w:rsid w:val="00051739"/>
    <w:rsid w:val="00061A83"/>
    <w:rsid w:val="00074DD1"/>
    <w:rsid w:val="000754B4"/>
    <w:rsid w:val="00081BD6"/>
    <w:rsid w:val="00081D58"/>
    <w:rsid w:val="00095115"/>
    <w:rsid w:val="000953E6"/>
    <w:rsid w:val="000A3EF9"/>
    <w:rsid w:val="000A7EBF"/>
    <w:rsid w:val="000B0350"/>
    <w:rsid w:val="000B45F3"/>
    <w:rsid w:val="000D554F"/>
    <w:rsid w:val="000D70C0"/>
    <w:rsid w:val="000E228C"/>
    <w:rsid w:val="000E26A3"/>
    <w:rsid w:val="000E510B"/>
    <w:rsid w:val="000E7EAD"/>
    <w:rsid w:val="000F41D6"/>
    <w:rsid w:val="00100766"/>
    <w:rsid w:val="001031A6"/>
    <w:rsid w:val="0010785E"/>
    <w:rsid w:val="0010798D"/>
    <w:rsid w:val="00110504"/>
    <w:rsid w:val="00110A9A"/>
    <w:rsid w:val="00111842"/>
    <w:rsid w:val="00123281"/>
    <w:rsid w:val="0012693A"/>
    <w:rsid w:val="00130821"/>
    <w:rsid w:val="00136367"/>
    <w:rsid w:val="00143B72"/>
    <w:rsid w:val="00145F10"/>
    <w:rsid w:val="00147E74"/>
    <w:rsid w:val="001515B2"/>
    <w:rsid w:val="00151FF9"/>
    <w:rsid w:val="00160487"/>
    <w:rsid w:val="00171381"/>
    <w:rsid w:val="00171842"/>
    <w:rsid w:val="001737CC"/>
    <w:rsid w:val="0017612E"/>
    <w:rsid w:val="001918E2"/>
    <w:rsid w:val="00194CE3"/>
    <w:rsid w:val="00197453"/>
    <w:rsid w:val="001A60FD"/>
    <w:rsid w:val="001B1961"/>
    <w:rsid w:val="001B4452"/>
    <w:rsid w:val="001B5654"/>
    <w:rsid w:val="001C320C"/>
    <w:rsid w:val="001D3229"/>
    <w:rsid w:val="001D6510"/>
    <w:rsid w:val="001E6A72"/>
    <w:rsid w:val="001E6D21"/>
    <w:rsid w:val="001E6E0C"/>
    <w:rsid w:val="001F1AD1"/>
    <w:rsid w:val="0020271A"/>
    <w:rsid w:val="002057E2"/>
    <w:rsid w:val="002074AD"/>
    <w:rsid w:val="002120C8"/>
    <w:rsid w:val="00212E0C"/>
    <w:rsid w:val="002203F9"/>
    <w:rsid w:val="002240AF"/>
    <w:rsid w:val="00231F64"/>
    <w:rsid w:val="00236466"/>
    <w:rsid w:val="00236DAB"/>
    <w:rsid w:val="00240439"/>
    <w:rsid w:val="00240C86"/>
    <w:rsid w:val="002605F5"/>
    <w:rsid w:val="0026491E"/>
    <w:rsid w:val="0027106B"/>
    <w:rsid w:val="002710FD"/>
    <w:rsid w:val="002761EE"/>
    <w:rsid w:val="002801BC"/>
    <w:rsid w:val="00284258"/>
    <w:rsid w:val="00291AA7"/>
    <w:rsid w:val="00296A0A"/>
    <w:rsid w:val="002A1B1F"/>
    <w:rsid w:val="002C10CF"/>
    <w:rsid w:val="002C4B81"/>
    <w:rsid w:val="002D76FC"/>
    <w:rsid w:val="002F3B47"/>
    <w:rsid w:val="00317263"/>
    <w:rsid w:val="00322C7B"/>
    <w:rsid w:val="00323241"/>
    <w:rsid w:val="00330779"/>
    <w:rsid w:val="00333021"/>
    <w:rsid w:val="00334816"/>
    <w:rsid w:val="003356E8"/>
    <w:rsid w:val="0033704D"/>
    <w:rsid w:val="0033778B"/>
    <w:rsid w:val="0034079C"/>
    <w:rsid w:val="003411BF"/>
    <w:rsid w:val="00341889"/>
    <w:rsid w:val="00344149"/>
    <w:rsid w:val="00347218"/>
    <w:rsid w:val="00355482"/>
    <w:rsid w:val="00360B41"/>
    <w:rsid w:val="00360DC7"/>
    <w:rsid w:val="00365378"/>
    <w:rsid w:val="003675EB"/>
    <w:rsid w:val="00372F14"/>
    <w:rsid w:val="00373327"/>
    <w:rsid w:val="0037499A"/>
    <w:rsid w:val="00374E39"/>
    <w:rsid w:val="0037608B"/>
    <w:rsid w:val="003868CC"/>
    <w:rsid w:val="003947B2"/>
    <w:rsid w:val="003A3BAD"/>
    <w:rsid w:val="003A3FDA"/>
    <w:rsid w:val="003A65B0"/>
    <w:rsid w:val="003A755C"/>
    <w:rsid w:val="003B2849"/>
    <w:rsid w:val="003B2916"/>
    <w:rsid w:val="003B5022"/>
    <w:rsid w:val="003B5D2D"/>
    <w:rsid w:val="003C3A9E"/>
    <w:rsid w:val="003D29A5"/>
    <w:rsid w:val="003D52D0"/>
    <w:rsid w:val="003E79FC"/>
    <w:rsid w:val="003F1145"/>
    <w:rsid w:val="003F3A27"/>
    <w:rsid w:val="003F3AED"/>
    <w:rsid w:val="003F7E14"/>
    <w:rsid w:val="00401B53"/>
    <w:rsid w:val="00403231"/>
    <w:rsid w:val="00404C9B"/>
    <w:rsid w:val="0040563D"/>
    <w:rsid w:val="00410C32"/>
    <w:rsid w:val="00414C29"/>
    <w:rsid w:val="00414D71"/>
    <w:rsid w:val="00416784"/>
    <w:rsid w:val="004170AF"/>
    <w:rsid w:val="00417704"/>
    <w:rsid w:val="00423573"/>
    <w:rsid w:val="00426986"/>
    <w:rsid w:val="00427463"/>
    <w:rsid w:val="0043181F"/>
    <w:rsid w:val="00433F86"/>
    <w:rsid w:val="0043543F"/>
    <w:rsid w:val="00450359"/>
    <w:rsid w:val="00452EB0"/>
    <w:rsid w:val="00454F2D"/>
    <w:rsid w:val="00471D0D"/>
    <w:rsid w:val="0047558D"/>
    <w:rsid w:val="00484BF8"/>
    <w:rsid w:val="00485C4B"/>
    <w:rsid w:val="00490C89"/>
    <w:rsid w:val="00497027"/>
    <w:rsid w:val="004A6523"/>
    <w:rsid w:val="004A6D73"/>
    <w:rsid w:val="004A75C3"/>
    <w:rsid w:val="004B02F5"/>
    <w:rsid w:val="004B606C"/>
    <w:rsid w:val="004B75D7"/>
    <w:rsid w:val="004C3D16"/>
    <w:rsid w:val="004C73DE"/>
    <w:rsid w:val="004E2700"/>
    <w:rsid w:val="004F4127"/>
    <w:rsid w:val="005038A9"/>
    <w:rsid w:val="00514AA9"/>
    <w:rsid w:val="0051726F"/>
    <w:rsid w:val="00542A30"/>
    <w:rsid w:val="0054358C"/>
    <w:rsid w:val="00554EEB"/>
    <w:rsid w:val="00555E17"/>
    <w:rsid w:val="00562922"/>
    <w:rsid w:val="0056564F"/>
    <w:rsid w:val="0056582B"/>
    <w:rsid w:val="0059109B"/>
    <w:rsid w:val="005B3393"/>
    <w:rsid w:val="005D0DD4"/>
    <w:rsid w:val="005D34B0"/>
    <w:rsid w:val="00600B16"/>
    <w:rsid w:val="00600EEE"/>
    <w:rsid w:val="00607B7C"/>
    <w:rsid w:val="0061222C"/>
    <w:rsid w:val="00627994"/>
    <w:rsid w:val="00630ED2"/>
    <w:rsid w:val="006311F9"/>
    <w:rsid w:val="006358BD"/>
    <w:rsid w:val="00636243"/>
    <w:rsid w:val="00641280"/>
    <w:rsid w:val="0064225E"/>
    <w:rsid w:val="00650F2C"/>
    <w:rsid w:val="00652407"/>
    <w:rsid w:val="006555E1"/>
    <w:rsid w:val="0065589C"/>
    <w:rsid w:val="006632E1"/>
    <w:rsid w:val="00663D04"/>
    <w:rsid w:val="00670039"/>
    <w:rsid w:val="00671EA5"/>
    <w:rsid w:val="00673C49"/>
    <w:rsid w:val="00676057"/>
    <w:rsid w:val="00683CAE"/>
    <w:rsid w:val="006873B4"/>
    <w:rsid w:val="00690B7F"/>
    <w:rsid w:val="00695BEE"/>
    <w:rsid w:val="006A5569"/>
    <w:rsid w:val="006A6E78"/>
    <w:rsid w:val="006B0D07"/>
    <w:rsid w:val="006B73EC"/>
    <w:rsid w:val="006C4AAD"/>
    <w:rsid w:val="006D055E"/>
    <w:rsid w:val="006D1CFC"/>
    <w:rsid w:val="006D282D"/>
    <w:rsid w:val="006E33E2"/>
    <w:rsid w:val="006E54F4"/>
    <w:rsid w:val="006E70C5"/>
    <w:rsid w:val="006E7FC0"/>
    <w:rsid w:val="006F1554"/>
    <w:rsid w:val="00700345"/>
    <w:rsid w:val="00705184"/>
    <w:rsid w:val="00707198"/>
    <w:rsid w:val="00710B06"/>
    <w:rsid w:val="00710FFF"/>
    <w:rsid w:val="00716CD3"/>
    <w:rsid w:val="00717029"/>
    <w:rsid w:val="00720794"/>
    <w:rsid w:val="0072370C"/>
    <w:rsid w:val="00723890"/>
    <w:rsid w:val="00730547"/>
    <w:rsid w:val="007519FC"/>
    <w:rsid w:val="0075416D"/>
    <w:rsid w:val="00755F0E"/>
    <w:rsid w:val="007576AB"/>
    <w:rsid w:val="00764AA4"/>
    <w:rsid w:val="00773226"/>
    <w:rsid w:val="00782C5B"/>
    <w:rsid w:val="0078547E"/>
    <w:rsid w:val="00786E3D"/>
    <w:rsid w:val="0079592D"/>
    <w:rsid w:val="00797FDD"/>
    <w:rsid w:val="007E1DC7"/>
    <w:rsid w:val="007E23EB"/>
    <w:rsid w:val="007E262D"/>
    <w:rsid w:val="007E3D31"/>
    <w:rsid w:val="007E4783"/>
    <w:rsid w:val="007F7258"/>
    <w:rsid w:val="008035CE"/>
    <w:rsid w:val="00811504"/>
    <w:rsid w:val="00813F10"/>
    <w:rsid w:val="0081736A"/>
    <w:rsid w:val="0082028F"/>
    <w:rsid w:val="00821433"/>
    <w:rsid w:val="00821A86"/>
    <w:rsid w:val="00831BBE"/>
    <w:rsid w:val="00833C7B"/>
    <w:rsid w:val="008359D4"/>
    <w:rsid w:val="008367DF"/>
    <w:rsid w:val="00844B22"/>
    <w:rsid w:val="0084746F"/>
    <w:rsid w:val="00851692"/>
    <w:rsid w:val="008570BE"/>
    <w:rsid w:val="00876A3F"/>
    <w:rsid w:val="00880DDF"/>
    <w:rsid w:val="00881B94"/>
    <w:rsid w:val="008824B0"/>
    <w:rsid w:val="008837F9"/>
    <w:rsid w:val="00893DFF"/>
    <w:rsid w:val="0089747C"/>
    <w:rsid w:val="008A62FC"/>
    <w:rsid w:val="008A766D"/>
    <w:rsid w:val="008B062C"/>
    <w:rsid w:val="008B4311"/>
    <w:rsid w:val="008C0393"/>
    <w:rsid w:val="008C21BB"/>
    <w:rsid w:val="008D0E95"/>
    <w:rsid w:val="008D439C"/>
    <w:rsid w:val="008D4D80"/>
    <w:rsid w:val="008F2FDB"/>
    <w:rsid w:val="008F6089"/>
    <w:rsid w:val="00903063"/>
    <w:rsid w:val="009055D7"/>
    <w:rsid w:val="00913D69"/>
    <w:rsid w:val="009151A7"/>
    <w:rsid w:val="00927EB3"/>
    <w:rsid w:val="0093100B"/>
    <w:rsid w:val="00944FA4"/>
    <w:rsid w:val="009539B4"/>
    <w:rsid w:val="009544CF"/>
    <w:rsid w:val="00956670"/>
    <w:rsid w:val="00957BEF"/>
    <w:rsid w:val="00963A21"/>
    <w:rsid w:val="00964102"/>
    <w:rsid w:val="00967872"/>
    <w:rsid w:val="00970F02"/>
    <w:rsid w:val="00972F11"/>
    <w:rsid w:val="00990AC5"/>
    <w:rsid w:val="00995BF8"/>
    <w:rsid w:val="009A5DF8"/>
    <w:rsid w:val="009A676E"/>
    <w:rsid w:val="009A74ED"/>
    <w:rsid w:val="009B16CE"/>
    <w:rsid w:val="009B2B3E"/>
    <w:rsid w:val="009B2B98"/>
    <w:rsid w:val="009C0DDA"/>
    <w:rsid w:val="009C4BC1"/>
    <w:rsid w:val="009D5F99"/>
    <w:rsid w:val="009D7CB7"/>
    <w:rsid w:val="009E1A40"/>
    <w:rsid w:val="009E2BC7"/>
    <w:rsid w:val="009E6D83"/>
    <w:rsid w:val="009F4C9E"/>
    <w:rsid w:val="00A105A1"/>
    <w:rsid w:val="00A12398"/>
    <w:rsid w:val="00A1337F"/>
    <w:rsid w:val="00A20B7E"/>
    <w:rsid w:val="00A21524"/>
    <w:rsid w:val="00A24422"/>
    <w:rsid w:val="00A304A1"/>
    <w:rsid w:val="00A3395C"/>
    <w:rsid w:val="00A366E7"/>
    <w:rsid w:val="00A40CC2"/>
    <w:rsid w:val="00A40D0E"/>
    <w:rsid w:val="00A418A7"/>
    <w:rsid w:val="00A46FE5"/>
    <w:rsid w:val="00A519F6"/>
    <w:rsid w:val="00A54B6C"/>
    <w:rsid w:val="00A567BC"/>
    <w:rsid w:val="00A57918"/>
    <w:rsid w:val="00A70020"/>
    <w:rsid w:val="00A742B7"/>
    <w:rsid w:val="00A7714C"/>
    <w:rsid w:val="00A87195"/>
    <w:rsid w:val="00A92751"/>
    <w:rsid w:val="00A9768D"/>
    <w:rsid w:val="00AA1520"/>
    <w:rsid w:val="00AA6374"/>
    <w:rsid w:val="00AA661C"/>
    <w:rsid w:val="00AB1954"/>
    <w:rsid w:val="00AB269A"/>
    <w:rsid w:val="00AC113B"/>
    <w:rsid w:val="00AC2914"/>
    <w:rsid w:val="00AC3C42"/>
    <w:rsid w:val="00AC6D58"/>
    <w:rsid w:val="00AD26F8"/>
    <w:rsid w:val="00AE5243"/>
    <w:rsid w:val="00AE71B0"/>
    <w:rsid w:val="00AF1996"/>
    <w:rsid w:val="00AF2024"/>
    <w:rsid w:val="00AF2432"/>
    <w:rsid w:val="00AF2FA6"/>
    <w:rsid w:val="00AF37AF"/>
    <w:rsid w:val="00AF6371"/>
    <w:rsid w:val="00AF71C6"/>
    <w:rsid w:val="00B03C14"/>
    <w:rsid w:val="00B05FD9"/>
    <w:rsid w:val="00B07B8B"/>
    <w:rsid w:val="00B24DEF"/>
    <w:rsid w:val="00B52DD6"/>
    <w:rsid w:val="00B53113"/>
    <w:rsid w:val="00B5432B"/>
    <w:rsid w:val="00B5433E"/>
    <w:rsid w:val="00B706DA"/>
    <w:rsid w:val="00B73330"/>
    <w:rsid w:val="00B8039D"/>
    <w:rsid w:val="00B8136A"/>
    <w:rsid w:val="00B85459"/>
    <w:rsid w:val="00B8701D"/>
    <w:rsid w:val="00B9374F"/>
    <w:rsid w:val="00B93F26"/>
    <w:rsid w:val="00BA5C43"/>
    <w:rsid w:val="00BC28BC"/>
    <w:rsid w:val="00BC51B5"/>
    <w:rsid w:val="00BC6EB9"/>
    <w:rsid w:val="00BE5A46"/>
    <w:rsid w:val="00BE692D"/>
    <w:rsid w:val="00BF3571"/>
    <w:rsid w:val="00BF4F6A"/>
    <w:rsid w:val="00BF5B86"/>
    <w:rsid w:val="00BF65AB"/>
    <w:rsid w:val="00C02DDA"/>
    <w:rsid w:val="00C10E98"/>
    <w:rsid w:val="00C112A4"/>
    <w:rsid w:val="00C12FA3"/>
    <w:rsid w:val="00C1499B"/>
    <w:rsid w:val="00C1694B"/>
    <w:rsid w:val="00C22FA3"/>
    <w:rsid w:val="00C245A1"/>
    <w:rsid w:val="00C374D8"/>
    <w:rsid w:val="00C40C74"/>
    <w:rsid w:val="00C44C8C"/>
    <w:rsid w:val="00C50F76"/>
    <w:rsid w:val="00C637AC"/>
    <w:rsid w:val="00C7098F"/>
    <w:rsid w:val="00C75CD1"/>
    <w:rsid w:val="00C813B0"/>
    <w:rsid w:val="00C85E27"/>
    <w:rsid w:val="00C9061C"/>
    <w:rsid w:val="00C9180C"/>
    <w:rsid w:val="00C918AC"/>
    <w:rsid w:val="00CA3660"/>
    <w:rsid w:val="00CB37C2"/>
    <w:rsid w:val="00CB4388"/>
    <w:rsid w:val="00CB61F1"/>
    <w:rsid w:val="00CD30E3"/>
    <w:rsid w:val="00CE254C"/>
    <w:rsid w:val="00CF2D38"/>
    <w:rsid w:val="00D0490D"/>
    <w:rsid w:val="00D04F49"/>
    <w:rsid w:val="00D0601A"/>
    <w:rsid w:val="00D10B64"/>
    <w:rsid w:val="00D11542"/>
    <w:rsid w:val="00D12A42"/>
    <w:rsid w:val="00D16D86"/>
    <w:rsid w:val="00D205F9"/>
    <w:rsid w:val="00D259E0"/>
    <w:rsid w:val="00D34979"/>
    <w:rsid w:val="00D372D9"/>
    <w:rsid w:val="00D4405B"/>
    <w:rsid w:val="00D446EB"/>
    <w:rsid w:val="00D457F4"/>
    <w:rsid w:val="00D478F9"/>
    <w:rsid w:val="00D504DB"/>
    <w:rsid w:val="00D531CC"/>
    <w:rsid w:val="00D5602E"/>
    <w:rsid w:val="00D633B7"/>
    <w:rsid w:val="00D661F8"/>
    <w:rsid w:val="00D6633F"/>
    <w:rsid w:val="00D73C2C"/>
    <w:rsid w:val="00D81670"/>
    <w:rsid w:val="00D8659C"/>
    <w:rsid w:val="00D952C8"/>
    <w:rsid w:val="00DA0F14"/>
    <w:rsid w:val="00DC3D04"/>
    <w:rsid w:val="00DD0211"/>
    <w:rsid w:val="00DD3DE0"/>
    <w:rsid w:val="00DD4434"/>
    <w:rsid w:val="00DE0477"/>
    <w:rsid w:val="00DE4574"/>
    <w:rsid w:val="00E01F57"/>
    <w:rsid w:val="00E03E51"/>
    <w:rsid w:val="00E05231"/>
    <w:rsid w:val="00E13276"/>
    <w:rsid w:val="00E21C0F"/>
    <w:rsid w:val="00E24933"/>
    <w:rsid w:val="00E27942"/>
    <w:rsid w:val="00E30A7D"/>
    <w:rsid w:val="00E319E2"/>
    <w:rsid w:val="00E323B9"/>
    <w:rsid w:val="00E40C91"/>
    <w:rsid w:val="00E42275"/>
    <w:rsid w:val="00E4263F"/>
    <w:rsid w:val="00E45C00"/>
    <w:rsid w:val="00E45E4F"/>
    <w:rsid w:val="00E52F1F"/>
    <w:rsid w:val="00E62712"/>
    <w:rsid w:val="00E6304C"/>
    <w:rsid w:val="00E63C4A"/>
    <w:rsid w:val="00E67160"/>
    <w:rsid w:val="00E757F2"/>
    <w:rsid w:val="00E8622E"/>
    <w:rsid w:val="00E92391"/>
    <w:rsid w:val="00EA2DC8"/>
    <w:rsid w:val="00EA36E7"/>
    <w:rsid w:val="00EA7B2C"/>
    <w:rsid w:val="00EB1AB3"/>
    <w:rsid w:val="00ED3316"/>
    <w:rsid w:val="00ED5334"/>
    <w:rsid w:val="00ED5F65"/>
    <w:rsid w:val="00ED6E5C"/>
    <w:rsid w:val="00ED7D71"/>
    <w:rsid w:val="00EE3935"/>
    <w:rsid w:val="00EE7A99"/>
    <w:rsid w:val="00EF5D05"/>
    <w:rsid w:val="00EF5F58"/>
    <w:rsid w:val="00F01E4A"/>
    <w:rsid w:val="00F13431"/>
    <w:rsid w:val="00F16441"/>
    <w:rsid w:val="00F16913"/>
    <w:rsid w:val="00F23FFB"/>
    <w:rsid w:val="00F257E8"/>
    <w:rsid w:val="00F408E7"/>
    <w:rsid w:val="00F43BD6"/>
    <w:rsid w:val="00F52696"/>
    <w:rsid w:val="00F6679F"/>
    <w:rsid w:val="00F719E1"/>
    <w:rsid w:val="00F73E69"/>
    <w:rsid w:val="00F75CA9"/>
    <w:rsid w:val="00F8568E"/>
    <w:rsid w:val="00F90427"/>
    <w:rsid w:val="00FB231C"/>
    <w:rsid w:val="00FB2953"/>
    <w:rsid w:val="00FB6401"/>
    <w:rsid w:val="00FC6CFE"/>
    <w:rsid w:val="00FD1571"/>
    <w:rsid w:val="00FD28E7"/>
    <w:rsid w:val="00FD44DD"/>
    <w:rsid w:val="00FE517E"/>
    <w:rsid w:val="00FE698D"/>
    <w:rsid w:val="00FE7804"/>
    <w:rsid w:val="00FF129D"/>
    <w:rsid w:val="00FF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276"/>
    <w:pPr>
      <w:widowControl w:val="0"/>
    </w:pPr>
    <w:rPr>
      <w:snapToGrid w:val="0"/>
      <w:kern w:val="28"/>
      <w:sz w:val="22"/>
    </w:rPr>
  </w:style>
  <w:style w:type="paragraph" w:styleId="Heading1">
    <w:name w:val="heading 1"/>
    <w:basedOn w:val="Normal"/>
    <w:next w:val="ParaNum"/>
    <w:qFormat/>
    <w:rsid w:val="00E1327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13276"/>
    <w:pPr>
      <w:keepNext/>
      <w:numPr>
        <w:ilvl w:val="1"/>
        <w:numId w:val="3"/>
      </w:numPr>
      <w:spacing w:after="120"/>
      <w:outlineLvl w:val="1"/>
    </w:pPr>
    <w:rPr>
      <w:b/>
    </w:rPr>
  </w:style>
  <w:style w:type="paragraph" w:styleId="Heading3">
    <w:name w:val="heading 3"/>
    <w:basedOn w:val="Normal"/>
    <w:next w:val="ParaNum"/>
    <w:qFormat/>
    <w:rsid w:val="00E13276"/>
    <w:pPr>
      <w:keepNext/>
      <w:numPr>
        <w:ilvl w:val="2"/>
        <w:numId w:val="3"/>
      </w:numPr>
      <w:tabs>
        <w:tab w:val="left" w:pos="2160"/>
      </w:tabs>
      <w:spacing w:after="120"/>
      <w:outlineLvl w:val="2"/>
    </w:pPr>
    <w:rPr>
      <w:b/>
    </w:rPr>
  </w:style>
  <w:style w:type="paragraph" w:styleId="Heading4">
    <w:name w:val="heading 4"/>
    <w:basedOn w:val="Normal"/>
    <w:next w:val="ParaNum"/>
    <w:qFormat/>
    <w:rsid w:val="00E13276"/>
    <w:pPr>
      <w:keepNext/>
      <w:numPr>
        <w:ilvl w:val="3"/>
        <w:numId w:val="3"/>
      </w:numPr>
      <w:tabs>
        <w:tab w:val="left" w:pos="2880"/>
      </w:tabs>
      <w:spacing w:after="120"/>
      <w:outlineLvl w:val="3"/>
    </w:pPr>
    <w:rPr>
      <w:b/>
    </w:rPr>
  </w:style>
  <w:style w:type="paragraph" w:styleId="Heading5">
    <w:name w:val="heading 5"/>
    <w:basedOn w:val="Normal"/>
    <w:next w:val="ParaNum"/>
    <w:qFormat/>
    <w:rsid w:val="00E1327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13276"/>
    <w:pPr>
      <w:numPr>
        <w:ilvl w:val="5"/>
        <w:numId w:val="3"/>
      </w:numPr>
      <w:tabs>
        <w:tab w:val="left" w:pos="4320"/>
      </w:tabs>
      <w:spacing w:after="120"/>
      <w:outlineLvl w:val="5"/>
    </w:pPr>
    <w:rPr>
      <w:b/>
    </w:rPr>
  </w:style>
  <w:style w:type="paragraph" w:styleId="Heading7">
    <w:name w:val="heading 7"/>
    <w:basedOn w:val="Normal"/>
    <w:next w:val="ParaNum"/>
    <w:qFormat/>
    <w:rsid w:val="00E1327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1327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1327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132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3276"/>
  </w:style>
  <w:style w:type="paragraph" w:customStyle="1" w:styleId="ParaNum">
    <w:name w:val="ParaNum"/>
    <w:basedOn w:val="Normal"/>
    <w:link w:val="ParaNumChar1"/>
    <w:rsid w:val="00E13276"/>
    <w:pPr>
      <w:numPr>
        <w:numId w:val="2"/>
      </w:numPr>
      <w:tabs>
        <w:tab w:val="clear" w:pos="1080"/>
        <w:tab w:val="num" w:pos="1440"/>
      </w:tabs>
      <w:spacing w:after="120"/>
    </w:pPr>
  </w:style>
  <w:style w:type="paragraph" w:styleId="EndnoteText">
    <w:name w:val="endnote text"/>
    <w:basedOn w:val="Normal"/>
    <w:semiHidden/>
    <w:rsid w:val="00E13276"/>
    <w:rPr>
      <w:sz w:val="20"/>
    </w:rPr>
  </w:style>
  <w:style w:type="character" w:styleId="EndnoteReference">
    <w:name w:val="endnote reference"/>
    <w:semiHidden/>
    <w:rsid w:val="00E13276"/>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E13276"/>
    <w:pPr>
      <w:spacing w:after="120"/>
    </w:pPr>
  </w:style>
  <w:style w:type="character" w:styleId="FootnoteReference">
    <w:name w:val="footnote reference"/>
    <w:aliases w:val="Appel note de bas de p,Style 12,(NECG) Footnote Reference,Style 124"/>
    <w:rsid w:val="00E13276"/>
    <w:rPr>
      <w:rFonts w:ascii="Times New Roman" w:hAnsi="Times New Roman"/>
      <w:dstrike w:val="0"/>
      <w:color w:val="auto"/>
      <w:sz w:val="20"/>
      <w:vertAlign w:val="superscript"/>
    </w:rPr>
  </w:style>
  <w:style w:type="paragraph" w:styleId="TOC1">
    <w:name w:val="toc 1"/>
    <w:basedOn w:val="Normal"/>
    <w:next w:val="Normal"/>
    <w:semiHidden/>
    <w:rsid w:val="00E1327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13276"/>
    <w:pPr>
      <w:tabs>
        <w:tab w:val="left" w:pos="720"/>
        <w:tab w:val="right" w:leader="dot" w:pos="9360"/>
      </w:tabs>
      <w:suppressAutoHyphens/>
      <w:ind w:left="720" w:right="720" w:hanging="360"/>
    </w:pPr>
    <w:rPr>
      <w:noProof/>
    </w:rPr>
  </w:style>
  <w:style w:type="paragraph" w:styleId="TOC3">
    <w:name w:val="toc 3"/>
    <w:basedOn w:val="Normal"/>
    <w:next w:val="Normal"/>
    <w:semiHidden/>
    <w:rsid w:val="00E1327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1327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1327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1327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1327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1327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1327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13276"/>
    <w:pPr>
      <w:tabs>
        <w:tab w:val="right" w:pos="9360"/>
      </w:tabs>
      <w:suppressAutoHyphens/>
    </w:pPr>
  </w:style>
  <w:style w:type="character" w:customStyle="1" w:styleId="EquationCaption">
    <w:name w:val="_Equation Caption"/>
    <w:rsid w:val="00E13276"/>
  </w:style>
  <w:style w:type="paragraph" w:styleId="Header">
    <w:name w:val="header"/>
    <w:basedOn w:val="Normal"/>
    <w:autoRedefine/>
    <w:rsid w:val="00E13276"/>
    <w:pPr>
      <w:tabs>
        <w:tab w:val="center" w:pos="4680"/>
        <w:tab w:val="right" w:pos="9360"/>
      </w:tabs>
    </w:pPr>
    <w:rPr>
      <w:b/>
    </w:rPr>
  </w:style>
  <w:style w:type="paragraph" w:styleId="Footer">
    <w:name w:val="footer"/>
    <w:basedOn w:val="Normal"/>
    <w:rsid w:val="00E13276"/>
    <w:pPr>
      <w:tabs>
        <w:tab w:val="center" w:pos="4320"/>
        <w:tab w:val="right" w:pos="8640"/>
      </w:tabs>
    </w:pPr>
  </w:style>
  <w:style w:type="character" w:styleId="PageNumber">
    <w:name w:val="page number"/>
    <w:basedOn w:val="DefaultParagraphFont"/>
    <w:rsid w:val="00E13276"/>
  </w:style>
  <w:style w:type="paragraph" w:styleId="BlockText">
    <w:name w:val="Block Text"/>
    <w:basedOn w:val="Normal"/>
    <w:rsid w:val="00E13276"/>
    <w:pPr>
      <w:spacing w:after="240"/>
      <w:ind w:left="1440" w:right="1440"/>
    </w:pPr>
  </w:style>
  <w:style w:type="paragraph" w:customStyle="1" w:styleId="Paratitle">
    <w:name w:val="Para title"/>
    <w:basedOn w:val="Normal"/>
    <w:rsid w:val="00E13276"/>
    <w:pPr>
      <w:tabs>
        <w:tab w:val="center" w:pos="9270"/>
      </w:tabs>
      <w:spacing w:after="240"/>
    </w:pPr>
    <w:rPr>
      <w:spacing w:val="-2"/>
    </w:rPr>
  </w:style>
  <w:style w:type="paragraph" w:customStyle="1" w:styleId="Bullet">
    <w:name w:val="Bullet"/>
    <w:basedOn w:val="Normal"/>
    <w:rsid w:val="00E13276"/>
    <w:pPr>
      <w:tabs>
        <w:tab w:val="left" w:pos="2160"/>
      </w:tabs>
      <w:spacing w:after="220"/>
      <w:ind w:left="2160" w:hanging="720"/>
    </w:pPr>
  </w:style>
  <w:style w:type="paragraph" w:customStyle="1" w:styleId="TableFormat">
    <w:name w:val="TableFormat"/>
    <w:basedOn w:val="Bullet"/>
    <w:rsid w:val="00E13276"/>
    <w:pPr>
      <w:tabs>
        <w:tab w:val="clear" w:pos="2160"/>
        <w:tab w:val="left" w:pos="5040"/>
      </w:tabs>
      <w:ind w:left="5040" w:hanging="3600"/>
    </w:pPr>
  </w:style>
  <w:style w:type="paragraph" w:customStyle="1" w:styleId="TOCTitle">
    <w:name w:val="TOC Title"/>
    <w:basedOn w:val="Normal"/>
    <w:rsid w:val="00E1327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13276"/>
    <w:pPr>
      <w:jc w:val="center"/>
    </w:pPr>
    <w:rPr>
      <w:rFonts w:ascii="Times New Roman Bold" w:hAnsi="Times New Roman Bold"/>
      <w:b/>
      <w:bCs/>
      <w:caps/>
      <w:szCs w:val="22"/>
    </w:rPr>
  </w:style>
  <w:style w:type="character" w:styleId="Hyperlink">
    <w:name w:val="Hyperlink"/>
    <w:rsid w:val="00E13276"/>
    <w:rPr>
      <w:color w:val="0000FF"/>
      <w:u w:val="single"/>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tyle>
  <w:style w:type="character" w:customStyle="1" w:styleId="FootnoteTextChar3">
    <w:name w:val="Footnote Text Char3"/>
    <w:aliases w:val="Footnote Text Char Char1,Footnote Text Char3 Char Char1,Footnote Text Char2 Char1 Char Char1,Footnote Text Char Char Char Char1 Char1,Footnote Text Char1 Char Char1 Char Char Char1,Footnote Text Char Char1 Char Char Char Char Char1"/>
    <w:semiHidden/>
    <w:locked/>
    <w:rPr>
      <w:rFonts w:cs="Times New Roman"/>
      <w:lang w:val="en-US" w:eastAsia="en-US" w:bidi="ar-SA"/>
    </w:rPr>
  </w:style>
  <w:style w:type="character" w:customStyle="1" w:styleId="ParaNumChar1">
    <w:name w:val="ParaNum Char1"/>
    <w:link w:val="ParaNum"/>
    <w:rPr>
      <w:snapToGrid w:val="0"/>
      <w:kern w:val="28"/>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character" w:styleId="CommentReference">
    <w:name w:val="annotation reference"/>
    <w:rsid w:val="002D76FC"/>
    <w:rPr>
      <w:sz w:val="16"/>
      <w:szCs w:val="16"/>
    </w:rPr>
  </w:style>
  <w:style w:type="paragraph" w:styleId="CommentText">
    <w:name w:val="annotation text"/>
    <w:basedOn w:val="Normal"/>
    <w:link w:val="CommentTextChar"/>
    <w:rsid w:val="002D76FC"/>
    <w:rPr>
      <w:sz w:val="20"/>
    </w:rPr>
  </w:style>
  <w:style w:type="character" w:customStyle="1" w:styleId="CommentTextChar">
    <w:name w:val="Comment Text Char"/>
    <w:link w:val="CommentText"/>
    <w:rsid w:val="002D76FC"/>
    <w:rPr>
      <w:snapToGrid w:val="0"/>
      <w:kern w:val="28"/>
    </w:rPr>
  </w:style>
  <w:style w:type="paragraph" w:styleId="CommentSubject">
    <w:name w:val="annotation subject"/>
    <w:basedOn w:val="CommentText"/>
    <w:next w:val="CommentText"/>
    <w:link w:val="CommentSubjectChar"/>
    <w:rsid w:val="002D76FC"/>
    <w:rPr>
      <w:b/>
      <w:bCs/>
    </w:rPr>
  </w:style>
  <w:style w:type="character" w:customStyle="1" w:styleId="CommentSubjectChar">
    <w:name w:val="Comment Subject Char"/>
    <w:link w:val="CommentSubject"/>
    <w:rsid w:val="002D76FC"/>
    <w:rPr>
      <w:b/>
      <w:bCs/>
      <w:snapToGrid w:val="0"/>
      <w:kern w:val="28"/>
    </w:rPr>
  </w:style>
  <w:style w:type="paragraph" w:styleId="Revision">
    <w:name w:val="Revision"/>
    <w:hidden/>
    <w:uiPriority w:val="99"/>
    <w:semiHidden/>
    <w:rsid w:val="008D4D80"/>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276"/>
    <w:pPr>
      <w:widowControl w:val="0"/>
    </w:pPr>
    <w:rPr>
      <w:snapToGrid w:val="0"/>
      <w:kern w:val="28"/>
      <w:sz w:val="22"/>
    </w:rPr>
  </w:style>
  <w:style w:type="paragraph" w:styleId="Heading1">
    <w:name w:val="heading 1"/>
    <w:basedOn w:val="Normal"/>
    <w:next w:val="ParaNum"/>
    <w:qFormat/>
    <w:rsid w:val="00E1327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13276"/>
    <w:pPr>
      <w:keepNext/>
      <w:numPr>
        <w:ilvl w:val="1"/>
        <w:numId w:val="3"/>
      </w:numPr>
      <w:spacing w:after="120"/>
      <w:outlineLvl w:val="1"/>
    </w:pPr>
    <w:rPr>
      <w:b/>
    </w:rPr>
  </w:style>
  <w:style w:type="paragraph" w:styleId="Heading3">
    <w:name w:val="heading 3"/>
    <w:basedOn w:val="Normal"/>
    <w:next w:val="ParaNum"/>
    <w:qFormat/>
    <w:rsid w:val="00E13276"/>
    <w:pPr>
      <w:keepNext/>
      <w:numPr>
        <w:ilvl w:val="2"/>
        <w:numId w:val="3"/>
      </w:numPr>
      <w:tabs>
        <w:tab w:val="left" w:pos="2160"/>
      </w:tabs>
      <w:spacing w:after="120"/>
      <w:outlineLvl w:val="2"/>
    </w:pPr>
    <w:rPr>
      <w:b/>
    </w:rPr>
  </w:style>
  <w:style w:type="paragraph" w:styleId="Heading4">
    <w:name w:val="heading 4"/>
    <w:basedOn w:val="Normal"/>
    <w:next w:val="ParaNum"/>
    <w:qFormat/>
    <w:rsid w:val="00E13276"/>
    <w:pPr>
      <w:keepNext/>
      <w:numPr>
        <w:ilvl w:val="3"/>
        <w:numId w:val="3"/>
      </w:numPr>
      <w:tabs>
        <w:tab w:val="left" w:pos="2880"/>
      </w:tabs>
      <w:spacing w:after="120"/>
      <w:outlineLvl w:val="3"/>
    </w:pPr>
    <w:rPr>
      <w:b/>
    </w:rPr>
  </w:style>
  <w:style w:type="paragraph" w:styleId="Heading5">
    <w:name w:val="heading 5"/>
    <w:basedOn w:val="Normal"/>
    <w:next w:val="ParaNum"/>
    <w:qFormat/>
    <w:rsid w:val="00E1327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13276"/>
    <w:pPr>
      <w:numPr>
        <w:ilvl w:val="5"/>
        <w:numId w:val="3"/>
      </w:numPr>
      <w:tabs>
        <w:tab w:val="left" w:pos="4320"/>
      </w:tabs>
      <w:spacing w:after="120"/>
      <w:outlineLvl w:val="5"/>
    </w:pPr>
    <w:rPr>
      <w:b/>
    </w:rPr>
  </w:style>
  <w:style w:type="paragraph" w:styleId="Heading7">
    <w:name w:val="heading 7"/>
    <w:basedOn w:val="Normal"/>
    <w:next w:val="ParaNum"/>
    <w:qFormat/>
    <w:rsid w:val="00E1327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1327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1327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132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3276"/>
  </w:style>
  <w:style w:type="paragraph" w:customStyle="1" w:styleId="ParaNum">
    <w:name w:val="ParaNum"/>
    <w:basedOn w:val="Normal"/>
    <w:link w:val="ParaNumChar1"/>
    <w:rsid w:val="00E13276"/>
    <w:pPr>
      <w:numPr>
        <w:numId w:val="2"/>
      </w:numPr>
      <w:tabs>
        <w:tab w:val="clear" w:pos="1080"/>
        <w:tab w:val="num" w:pos="1440"/>
      </w:tabs>
      <w:spacing w:after="120"/>
    </w:pPr>
  </w:style>
  <w:style w:type="paragraph" w:styleId="EndnoteText">
    <w:name w:val="endnote text"/>
    <w:basedOn w:val="Normal"/>
    <w:semiHidden/>
    <w:rsid w:val="00E13276"/>
    <w:rPr>
      <w:sz w:val="20"/>
    </w:rPr>
  </w:style>
  <w:style w:type="character" w:styleId="EndnoteReference">
    <w:name w:val="endnote reference"/>
    <w:semiHidden/>
    <w:rsid w:val="00E13276"/>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E13276"/>
    <w:pPr>
      <w:spacing w:after="120"/>
    </w:pPr>
  </w:style>
  <w:style w:type="character" w:styleId="FootnoteReference">
    <w:name w:val="footnote reference"/>
    <w:aliases w:val="Appel note de bas de p,Style 12,(NECG) Footnote Reference,Style 124"/>
    <w:rsid w:val="00E13276"/>
    <w:rPr>
      <w:rFonts w:ascii="Times New Roman" w:hAnsi="Times New Roman"/>
      <w:dstrike w:val="0"/>
      <w:color w:val="auto"/>
      <w:sz w:val="20"/>
      <w:vertAlign w:val="superscript"/>
    </w:rPr>
  </w:style>
  <w:style w:type="paragraph" w:styleId="TOC1">
    <w:name w:val="toc 1"/>
    <w:basedOn w:val="Normal"/>
    <w:next w:val="Normal"/>
    <w:semiHidden/>
    <w:rsid w:val="00E1327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13276"/>
    <w:pPr>
      <w:tabs>
        <w:tab w:val="left" w:pos="720"/>
        <w:tab w:val="right" w:leader="dot" w:pos="9360"/>
      </w:tabs>
      <w:suppressAutoHyphens/>
      <w:ind w:left="720" w:right="720" w:hanging="360"/>
    </w:pPr>
    <w:rPr>
      <w:noProof/>
    </w:rPr>
  </w:style>
  <w:style w:type="paragraph" w:styleId="TOC3">
    <w:name w:val="toc 3"/>
    <w:basedOn w:val="Normal"/>
    <w:next w:val="Normal"/>
    <w:semiHidden/>
    <w:rsid w:val="00E1327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1327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1327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1327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1327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1327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1327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13276"/>
    <w:pPr>
      <w:tabs>
        <w:tab w:val="right" w:pos="9360"/>
      </w:tabs>
      <w:suppressAutoHyphens/>
    </w:pPr>
  </w:style>
  <w:style w:type="character" w:customStyle="1" w:styleId="EquationCaption">
    <w:name w:val="_Equation Caption"/>
    <w:rsid w:val="00E13276"/>
  </w:style>
  <w:style w:type="paragraph" w:styleId="Header">
    <w:name w:val="header"/>
    <w:basedOn w:val="Normal"/>
    <w:autoRedefine/>
    <w:rsid w:val="00E13276"/>
    <w:pPr>
      <w:tabs>
        <w:tab w:val="center" w:pos="4680"/>
        <w:tab w:val="right" w:pos="9360"/>
      </w:tabs>
    </w:pPr>
    <w:rPr>
      <w:b/>
    </w:rPr>
  </w:style>
  <w:style w:type="paragraph" w:styleId="Footer">
    <w:name w:val="footer"/>
    <w:basedOn w:val="Normal"/>
    <w:rsid w:val="00E13276"/>
    <w:pPr>
      <w:tabs>
        <w:tab w:val="center" w:pos="4320"/>
        <w:tab w:val="right" w:pos="8640"/>
      </w:tabs>
    </w:pPr>
  </w:style>
  <w:style w:type="character" w:styleId="PageNumber">
    <w:name w:val="page number"/>
    <w:basedOn w:val="DefaultParagraphFont"/>
    <w:rsid w:val="00E13276"/>
  </w:style>
  <w:style w:type="paragraph" w:styleId="BlockText">
    <w:name w:val="Block Text"/>
    <w:basedOn w:val="Normal"/>
    <w:rsid w:val="00E13276"/>
    <w:pPr>
      <w:spacing w:after="240"/>
      <w:ind w:left="1440" w:right="1440"/>
    </w:pPr>
  </w:style>
  <w:style w:type="paragraph" w:customStyle="1" w:styleId="Paratitle">
    <w:name w:val="Para title"/>
    <w:basedOn w:val="Normal"/>
    <w:rsid w:val="00E13276"/>
    <w:pPr>
      <w:tabs>
        <w:tab w:val="center" w:pos="9270"/>
      </w:tabs>
      <w:spacing w:after="240"/>
    </w:pPr>
    <w:rPr>
      <w:spacing w:val="-2"/>
    </w:rPr>
  </w:style>
  <w:style w:type="paragraph" w:customStyle="1" w:styleId="Bullet">
    <w:name w:val="Bullet"/>
    <w:basedOn w:val="Normal"/>
    <w:rsid w:val="00E13276"/>
    <w:pPr>
      <w:tabs>
        <w:tab w:val="left" w:pos="2160"/>
      </w:tabs>
      <w:spacing w:after="220"/>
      <w:ind w:left="2160" w:hanging="720"/>
    </w:pPr>
  </w:style>
  <w:style w:type="paragraph" w:customStyle="1" w:styleId="TableFormat">
    <w:name w:val="TableFormat"/>
    <w:basedOn w:val="Bullet"/>
    <w:rsid w:val="00E13276"/>
    <w:pPr>
      <w:tabs>
        <w:tab w:val="clear" w:pos="2160"/>
        <w:tab w:val="left" w:pos="5040"/>
      </w:tabs>
      <w:ind w:left="5040" w:hanging="3600"/>
    </w:pPr>
  </w:style>
  <w:style w:type="paragraph" w:customStyle="1" w:styleId="TOCTitle">
    <w:name w:val="TOC Title"/>
    <w:basedOn w:val="Normal"/>
    <w:rsid w:val="00E1327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13276"/>
    <w:pPr>
      <w:jc w:val="center"/>
    </w:pPr>
    <w:rPr>
      <w:rFonts w:ascii="Times New Roman Bold" w:hAnsi="Times New Roman Bold"/>
      <w:b/>
      <w:bCs/>
      <w:caps/>
      <w:szCs w:val="22"/>
    </w:rPr>
  </w:style>
  <w:style w:type="character" w:styleId="Hyperlink">
    <w:name w:val="Hyperlink"/>
    <w:rsid w:val="00E13276"/>
    <w:rPr>
      <w:color w:val="0000FF"/>
      <w:u w:val="single"/>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tyle>
  <w:style w:type="character" w:customStyle="1" w:styleId="FootnoteTextChar3">
    <w:name w:val="Footnote Text Char3"/>
    <w:aliases w:val="Footnote Text Char Char1,Footnote Text Char3 Char Char1,Footnote Text Char2 Char1 Char Char1,Footnote Text Char Char Char Char1 Char1,Footnote Text Char1 Char Char1 Char Char Char1,Footnote Text Char Char1 Char Char Char Char Char1"/>
    <w:semiHidden/>
    <w:locked/>
    <w:rPr>
      <w:rFonts w:cs="Times New Roman"/>
      <w:lang w:val="en-US" w:eastAsia="en-US" w:bidi="ar-SA"/>
    </w:rPr>
  </w:style>
  <w:style w:type="character" w:customStyle="1" w:styleId="ParaNumChar1">
    <w:name w:val="ParaNum Char1"/>
    <w:link w:val="ParaNum"/>
    <w:rPr>
      <w:snapToGrid w:val="0"/>
      <w:kern w:val="28"/>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character" w:styleId="CommentReference">
    <w:name w:val="annotation reference"/>
    <w:rsid w:val="002D76FC"/>
    <w:rPr>
      <w:sz w:val="16"/>
      <w:szCs w:val="16"/>
    </w:rPr>
  </w:style>
  <w:style w:type="paragraph" w:styleId="CommentText">
    <w:name w:val="annotation text"/>
    <w:basedOn w:val="Normal"/>
    <w:link w:val="CommentTextChar"/>
    <w:rsid w:val="002D76FC"/>
    <w:rPr>
      <w:sz w:val="20"/>
    </w:rPr>
  </w:style>
  <w:style w:type="character" w:customStyle="1" w:styleId="CommentTextChar">
    <w:name w:val="Comment Text Char"/>
    <w:link w:val="CommentText"/>
    <w:rsid w:val="002D76FC"/>
    <w:rPr>
      <w:snapToGrid w:val="0"/>
      <w:kern w:val="28"/>
    </w:rPr>
  </w:style>
  <w:style w:type="paragraph" w:styleId="CommentSubject">
    <w:name w:val="annotation subject"/>
    <w:basedOn w:val="CommentText"/>
    <w:next w:val="CommentText"/>
    <w:link w:val="CommentSubjectChar"/>
    <w:rsid w:val="002D76FC"/>
    <w:rPr>
      <w:b/>
      <w:bCs/>
    </w:rPr>
  </w:style>
  <w:style w:type="character" w:customStyle="1" w:styleId="CommentSubjectChar">
    <w:name w:val="Comment Subject Char"/>
    <w:link w:val="CommentSubject"/>
    <w:rsid w:val="002D76FC"/>
    <w:rPr>
      <w:b/>
      <w:bCs/>
      <w:snapToGrid w:val="0"/>
      <w:kern w:val="28"/>
    </w:rPr>
  </w:style>
  <w:style w:type="paragraph" w:styleId="Revision">
    <w:name w:val="Revision"/>
    <w:hidden/>
    <w:uiPriority w:val="99"/>
    <w:semiHidden/>
    <w:rsid w:val="008D4D8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cgb/dro/trs.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2660</Words>
  <Characters>13497</Characters>
  <Application>Microsoft Office Word</Application>
  <DocSecurity>0</DocSecurity>
  <Lines>220</Lines>
  <Paragraphs>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16192</CharactersWithSpaces>
  <SharedDoc>false</SharedDoc>
  <HyperlinkBase> </HyperlinkBase>
  <HLinks>
    <vt:vector size="12" baseType="variant">
      <vt:variant>
        <vt:i4>5439513</vt:i4>
      </vt:variant>
      <vt:variant>
        <vt:i4>3</vt:i4>
      </vt:variant>
      <vt:variant>
        <vt:i4>0</vt:i4>
      </vt:variant>
      <vt:variant>
        <vt:i4>5</vt:i4>
      </vt:variant>
      <vt:variant>
        <vt:lpwstr>http://www.fcc.gov/cgb/dro/trs.html</vt:lpwstr>
      </vt:variant>
      <vt:variant>
        <vt:lpwstr>orders</vt:lpwstr>
      </vt: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2015-01-21T13:28:00Z</cp:lastPrinted>
  <dcterms:created xsi:type="dcterms:W3CDTF">2015-01-30T15:45:00Z</dcterms:created>
  <dcterms:modified xsi:type="dcterms:W3CDTF">2015-01-30T15:45:00Z</dcterms:modified>
  <cp:category> </cp:category>
  <cp:contentStatus> </cp:contentStatus>
</cp:coreProperties>
</file>