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2C719" w14:textId="77777777" w:rsidR="00744182" w:rsidRDefault="00744182" w:rsidP="0059717C">
      <w:pPr>
        <w:widowControl/>
        <w:jc w:val="right"/>
        <w:rPr>
          <w:b/>
          <w:szCs w:val="22"/>
        </w:rPr>
      </w:pPr>
      <w:bookmarkStart w:id="0" w:name="_GoBack"/>
      <w:bookmarkEnd w:id="0"/>
    </w:p>
    <w:p w14:paraId="20CD07D0" w14:textId="2848D770" w:rsidR="000946C2" w:rsidRPr="00F823F9" w:rsidRDefault="000946C2" w:rsidP="0059717C">
      <w:pPr>
        <w:widowControl/>
        <w:jc w:val="right"/>
        <w:rPr>
          <w:b/>
          <w:sz w:val="24"/>
        </w:rPr>
      </w:pPr>
      <w:bookmarkStart w:id="1" w:name="_Toc431569565"/>
      <w:bookmarkStart w:id="2" w:name="_Toc433271945"/>
      <w:bookmarkStart w:id="3" w:name="_Toc433643983"/>
      <w:r w:rsidRPr="00F823F9">
        <w:rPr>
          <w:b/>
          <w:sz w:val="24"/>
        </w:rPr>
        <w:t>DA 15-</w:t>
      </w:r>
      <w:r w:rsidR="007E5B36">
        <w:rPr>
          <w:b/>
          <w:sz w:val="24"/>
        </w:rPr>
        <w:t>1428</w:t>
      </w:r>
    </w:p>
    <w:p w14:paraId="74B1889B" w14:textId="5166595F" w:rsidR="000946C2" w:rsidRPr="00F823F9" w:rsidRDefault="000946C2" w:rsidP="0059717C">
      <w:pPr>
        <w:widowControl/>
        <w:spacing w:before="60"/>
        <w:jc w:val="right"/>
        <w:rPr>
          <w:b/>
          <w:sz w:val="24"/>
        </w:rPr>
      </w:pPr>
      <w:r w:rsidRPr="00F823F9">
        <w:rPr>
          <w:b/>
          <w:sz w:val="24"/>
        </w:rPr>
        <w:t xml:space="preserve">Released:  December </w:t>
      </w:r>
      <w:r w:rsidR="00580DE1">
        <w:rPr>
          <w:b/>
          <w:sz w:val="24"/>
        </w:rPr>
        <w:t>21</w:t>
      </w:r>
      <w:r w:rsidRPr="00F823F9">
        <w:rPr>
          <w:b/>
          <w:sz w:val="24"/>
        </w:rPr>
        <w:t>, 2015</w:t>
      </w:r>
    </w:p>
    <w:p w14:paraId="59D29E8A" w14:textId="77777777" w:rsidR="000946C2" w:rsidRDefault="000946C2" w:rsidP="0059717C">
      <w:pPr>
        <w:widowControl/>
        <w:jc w:val="right"/>
        <w:rPr>
          <w:sz w:val="24"/>
        </w:rPr>
      </w:pPr>
    </w:p>
    <w:p w14:paraId="0018F445" w14:textId="77777777" w:rsidR="000946C2" w:rsidRDefault="000946C2" w:rsidP="0059717C">
      <w:pPr>
        <w:widowControl/>
        <w:spacing w:after="240"/>
        <w:jc w:val="center"/>
        <w:rPr>
          <w:b/>
          <w:sz w:val="24"/>
        </w:rPr>
      </w:pPr>
      <w:r>
        <w:rPr>
          <w:b/>
          <w:sz w:val="24"/>
        </w:rPr>
        <w:t>APPLICATION PROCEDURES FOR BROADCAST INCENTIVE AUCTION SCHEDULED TO BEGIN ON MARCH 29, 2016</w:t>
      </w:r>
    </w:p>
    <w:p w14:paraId="585FB044" w14:textId="77777777" w:rsidR="000946C2" w:rsidRDefault="00F5789E" w:rsidP="0059717C">
      <w:pPr>
        <w:widowControl/>
        <w:spacing w:after="240"/>
        <w:jc w:val="center"/>
        <w:rPr>
          <w:b/>
          <w:sz w:val="24"/>
        </w:rPr>
      </w:pPr>
      <w:r>
        <w:rPr>
          <w:b/>
          <w:sz w:val="24"/>
        </w:rPr>
        <w:t>UPDATE</w:t>
      </w:r>
      <w:r w:rsidR="00B90692">
        <w:rPr>
          <w:b/>
          <w:sz w:val="24"/>
        </w:rPr>
        <w:t>S</w:t>
      </w:r>
      <w:r w:rsidR="000946C2">
        <w:rPr>
          <w:b/>
          <w:sz w:val="24"/>
        </w:rPr>
        <w:t xml:space="preserve"> AND OTHER SUPPLEMENTAL INFORMATION</w:t>
      </w:r>
    </w:p>
    <w:p w14:paraId="69F9F931" w14:textId="77777777" w:rsidR="000946C2" w:rsidRDefault="000946C2" w:rsidP="0059717C">
      <w:pPr>
        <w:widowControl/>
        <w:jc w:val="center"/>
        <w:rPr>
          <w:b/>
          <w:sz w:val="24"/>
        </w:rPr>
      </w:pPr>
      <w:r>
        <w:rPr>
          <w:b/>
          <w:sz w:val="24"/>
        </w:rPr>
        <w:t>AU Docket No. 14-252</w:t>
      </w:r>
    </w:p>
    <w:p w14:paraId="35D9C822" w14:textId="77777777" w:rsidR="00915304" w:rsidRDefault="00915304" w:rsidP="0059717C">
      <w:pPr>
        <w:widowControl/>
        <w:jc w:val="center"/>
        <w:rPr>
          <w:b/>
          <w:sz w:val="24"/>
        </w:rPr>
      </w:pPr>
      <w:r>
        <w:rPr>
          <w:b/>
          <w:sz w:val="24"/>
        </w:rPr>
        <w:t>GN Docket No. 12-268</w:t>
      </w:r>
    </w:p>
    <w:p w14:paraId="7EDF9970" w14:textId="77777777" w:rsidR="00915304" w:rsidRDefault="00915304" w:rsidP="0059717C">
      <w:pPr>
        <w:widowControl/>
        <w:jc w:val="center"/>
        <w:rPr>
          <w:b/>
          <w:sz w:val="24"/>
        </w:rPr>
      </w:pPr>
      <w:r>
        <w:rPr>
          <w:b/>
          <w:sz w:val="24"/>
        </w:rPr>
        <w:t>WT Docket No. 12-269</w:t>
      </w:r>
    </w:p>
    <w:p w14:paraId="630E5CC4" w14:textId="77777777" w:rsidR="00744182" w:rsidRPr="00464FD4" w:rsidRDefault="00744182" w:rsidP="0059717C">
      <w:pPr>
        <w:widowControl/>
      </w:pPr>
    </w:p>
    <w:p w14:paraId="3909A771" w14:textId="77777777" w:rsidR="000946C2" w:rsidRPr="00540830" w:rsidRDefault="005D357B" w:rsidP="0059717C">
      <w:pPr>
        <w:pStyle w:val="Heading1"/>
        <w:keepNext w:val="0"/>
        <w:widowControl/>
        <w:rPr>
          <w:rFonts w:ascii="Times New Roman" w:hAnsi="Times New Roman"/>
          <w:szCs w:val="22"/>
        </w:rPr>
      </w:pPr>
      <w:bookmarkStart w:id="4" w:name="_Toc427139706"/>
      <w:bookmarkStart w:id="5" w:name="_Toc427859996"/>
      <w:bookmarkStart w:id="6" w:name="_Toc428197379"/>
      <w:bookmarkStart w:id="7" w:name="_Toc428204735"/>
      <w:bookmarkStart w:id="8" w:name="_Toc428554099"/>
      <w:bookmarkStart w:id="9" w:name="_Toc430097538"/>
      <w:bookmarkStart w:id="10" w:name="_Toc430199153"/>
      <w:bookmarkStart w:id="11" w:name="_Toc430199685"/>
      <w:bookmarkStart w:id="12" w:name="_Toc430884318"/>
      <w:bookmarkStart w:id="13" w:name="_Toc430886289"/>
      <w:bookmarkStart w:id="14" w:name="_Toc430886494"/>
      <w:bookmarkStart w:id="15" w:name="_Toc427735960"/>
      <w:bookmarkEnd w:id="1"/>
      <w:bookmarkEnd w:id="2"/>
      <w:bookmarkEnd w:id="3"/>
      <w:r w:rsidRPr="00540830">
        <w:rPr>
          <w:rFonts w:ascii="Times New Roman" w:hAnsi="Times New Roman"/>
          <w:szCs w:val="22"/>
        </w:rPr>
        <w:t>I</w:t>
      </w:r>
      <w:r w:rsidR="000946C2" w:rsidRPr="00540830">
        <w:rPr>
          <w:rFonts w:ascii="Times New Roman" w:hAnsi="Times New Roman"/>
          <w:szCs w:val="22"/>
        </w:rPr>
        <w:t>ntroduction</w:t>
      </w:r>
    </w:p>
    <w:p w14:paraId="42696488" w14:textId="77777777" w:rsidR="000946C2" w:rsidRPr="00540830" w:rsidRDefault="000946C2" w:rsidP="0059717C">
      <w:pPr>
        <w:pStyle w:val="ParaNum"/>
        <w:widowControl/>
        <w:rPr>
          <w:szCs w:val="22"/>
        </w:rPr>
      </w:pPr>
      <w:r w:rsidRPr="00540830">
        <w:rPr>
          <w:szCs w:val="22"/>
        </w:rPr>
        <w:t xml:space="preserve">By this Public Notice, the Wireless Telecommunications Bureau (“Bureau”) </w:t>
      </w:r>
      <w:r w:rsidR="007B2EAF" w:rsidRPr="00540830">
        <w:rPr>
          <w:szCs w:val="22"/>
        </w:rPr>
        <w:t xml:space="preserve">updates and supplements information </w:t>
      </w:r>
      <w:r w:rsidR="00B744FA" w:rsidRPr="00540830">
        <w:rPr>
          <w:szCs w:val="22"/>
        </w:rPr>
        <w:t xml:space="preserve">provided </w:t>
      </w:r>
      <w:r w:rsidR="007B2EAF" w:rsidRPr="00540830">
        <w:rPr>
          <w:szCs w:val="22"/>
        </w:rPr>
        <w:t>in the</w:t>
      </w:r>
      <w:r w:rsidR="007B2EAF" w:rsidRPr="00540830">
        <w:rPr>
          <w:rFonts w:eastAsia="TimesNewRoman"/>
          <w:i/>
          <w:iCs/>
          <w:szCs w:val="22"/>
        </w:rPr>
        <w:t xml:space="preserve"> Auction 1000 Application Procedures Public Notice</w:t>
      </w:r>
      <w:r w:rsidR="007B2EAF" w:rsidRPr="00540830">
        <w:rPr>
          <w:rFonts w:eastAsia="TimesNewRoman"/>
          <w:iCs/>
          <w:szCs w:val="22"/>
        </w:rPr>
        <w:t>.</w:t>
      </w:r>
      <w:r w:rsidR="007B2EAF" w:rsidRPr="00540830">
        <w:rPr>
          <w:rStyle w:val="FootnoteReference"/>
          <w:rFonts w:eastAsia="TimesNewRoman"/>
          <w:iCs/>
          <w:sz w:val="22"/>
          <w:szCs w:val="22"/>
        </w:rPr>
        <w:footnoteReference w:id="2"/>
      </w:r>
      <w:r w:rsidR="007B2EAF" w:rsidRPr="00540830">
        <w:rPr>
          <w:rFonts w:eastAsia="TimesNewRoman"/>
          <w:iCs/>
          <w:szCs w:val="22"/>
        </w:rPr>
        <w:t xml:space="preserve">  </w:t>
      </w:r>
      <w:r w:rsidR="006F1235" w:rsidRPr="00540830">
        <w:rPr>
          <w:rFonts w:eastAsia="TimesNewRoman"/>
          <w:iCs/>
          <w:szCs w:val="22"/>
        </w:rPr>
        <w:t xml:space="preserve">Specifically, </w:t>
      </w:r>
      <w:r w:rsidR="000A5C51" w:rsidRPr="00540830">
        <w:rPr>
          <w:rFonts w:eastAsia="TimesNewRoman"/>
          <w:iCs/>
          <w:szCs w:val="22"/>
        </w:rPr>
        <w:t xml:space="preserve">we </w:t>
      </w:r>
      <w:r w:rsidRPr="00540830">
        <w:rPr>
          <w:szCs w:val="22"/>
        </w:rPr>
        <w:t xml:space="preserve">announce </w:t>
      </w:r>
      <w:r w:rsidR="006F1235" w:rsidRPr="00540830">
        <w:rPr>
          <w:szCs w:val="22"/>
        </w:rPr>
        <w:t>that</w:t>
      </w:r>
      <w:r w:rsidRPr="00540830">
        <w:rPr>
          <w:szCs w:val="22"/>
        </w:rPr>
        <w:t xml:space="preserve"> the pre-auction process tutorial </w:t>
      </w:r>
      <w:r w:rsidR="0098791C" w:rsidRPr="00540830">
        <w:rPr>
          <w:szCs w:val="22"/>
        </w:rPr>
        <w:t xml:space="preserve">for the forward auction </w:t>
      </w:r>
      <w:r w:rsidRPr="00540830">
        <w:rPr>
          <w:szCs w:val="22"/>
        </w:rPr>
        <w:t xml:space="preserve">will be available </w:t>
      </w:r>
      <w:r w:rsidR="00454B9E" w:rsidRPr="00540830">
        <w:rPr>
          <w:szCs w:val="22"/>
        </w:rPr>
        <w:t xml:space="preserve">by </w:t>
      </w:r>
      <w:r w:rsidR="006F1235" w:rsidRPr="00540830">
        <w:rPr>
          <w:szCs w:val="22"/>
        </w:rPr>
        <w:t>January 19, 2016</w:t>
      </w:r>
      <w:r w:rsidRPr="00540830">
        <w:rPr>
          <w:szCs w:val="22"/>
        </w:rPr>
        <w:t>; provide additional information concerning access to the</w:t>
      </w:r>
      <w:r w:rsidR="007E5EA9" w:rsidRPr="00540830">
        <w:rPr>
          <w:szCs w:val="22"/>
        </w:rPr>
        <w:t xml:space="preserve"> Commission’s bidding system (“Auction S</w:t>
      </w:r>
      <w:r w:rsidRPr="00540830">
        <w:rPr>
          <w:szCs w:val="22"/>
        </w:rPr>
        <w:t>ystem</w:t>
      </w:r>
      <w:r w:rsidR="007E5EA9" w:rsidRPr="00540830">
        <w:rPr>
          <w:szCs w:val="22"/>
        </w:rPr>
        <w:t>”)</w:t>
      </w:r>
      <w:r w:rsidRPr="00540830">
        <w:rPr>
          <w:szCs w:val="22"/>
        </w:rPr>
        <w:t xml:space="preserve"> for the reverse and forward auctions; provide additional details about the grouping of Partial Economic Areas (“PEAs”) in the assignment phase of the forward auction</w:t>
      </w:r>
      <w:r w:rsidR="00BA7DA1" w:rsidRPr="00540830">
        <w:rPr>
          <w:szCs w:val="22"/>
        </w:rPr>
        <w:t xml:space="preserve">; and make ministerial changes to two of the appendices released with the </w:t>
      </w:r>
      <w:r w:rsidR="00BA7DA1" w:rsidRPr="00540830">
        <w:rPr>
          <w:i/>
          <w:szCs w:val="22"/>
        </w:rPr>
        <w:t>Auction 1000 Application Procedures Public Notice</w:t>
      </w:r>
      <w:r w:rsidRPr="00540830">
        <w:rPr>
          <w:szCs w:val="22"/>
        </w:rPr>
        <w:t>.</w:t>
      </w:r>
    </w:p>
    <w:p w14:paraId="60427E03" w14:textId="77777777" w:rsidR="000946C2" w:rsidRPr="00540830" w:rsidRDefault="000946C2" w:rsidP="0059717C">
      <w:pPr>
        <w:pStyle w:val="ParaNum"/>
        <w:widowControl/>
        <w:rPr>
          <w:szCs w:val="22"/>
        </w:rPr>
      </w:pPr>
      <w:r w:rsidRPr="00540830">
        <w:rPr>
          <w:szCs w:val="22"/>
        </w:rPr>
        <w:t>All other dates and deadlines,</w:t>
      </w:r>
      <w:r w:rsidRPr="00540830">
        <w:rPr>
          <w:rStyle w:val="FootnoteReference"/>
          <w:sz w:val="22"/>
          <w:szCs w:val="22"/>
        </w:rPr>
        <w:footnoteReference w:id="3"/>
      </w:r>
      <w:r w:rsidRPr="00540830">
        <w:rPr>
          <w:szCs w:val="22"/>
        </w:rPr>
        <w:t xml:space="preserve"> as well as other application procedures</w:t>
      </w:r>
      <w:r w:rsidR="00A157A6" w:rsidRPr="00540830">
        <w:rPr>
          <w:szCs w:val="22"/>
        </w:rPr>
        <w:t>,</w:t>
      </w:r>
      <w:r w:rsidRPr="00540830">
        <w:rPr>
          <w:szCs w:val="22"/>
        </w:rPr>
        <w:t xml:space="preserve"> instructions</w:t>
      </w:r>
      <w:r w:rsidR="00A157A6" w:rsidRPr="00540830">
        <w:rPr>
          <w:szCs w:val="22"/>
        </w:rPr>
        <w:t>,</w:t>
      </w:r>
      <w:r w:rsidRPr="00540830">
        <w:rPr>
          <w:szCs w:val="22"/>
        </w:rPr>
        <w:t xml:space="preserve"> and information</w:t>
      </w:r>
      <w:r w:rsidR="006F1235" w:rsidRPr="00540830">
        <w:rPr>
          <w:szCs w:val="22"/>
        </w:rPr>
        <w:t>,</w:t>
      </w:r>
      <w:r w:rsidRPr="00540830">
        <w:rPr>
          <w:szCs w:val="22"/>
        </w:rPr>
        <w:t xml:space="preserve"> remain as previously announced.</w:t>
      </w:r>
      <w:r w:rsidRPr="00540830">
        <w:rPr>
          <w:rStyle w:val="FootnoteReference"/>
          <w:sz w:val="22"/>
          <w:szCs w:val="22"/>
        </w:rPr>
        <w:footnoteReference w:id="4"/>
      </w:r>
    </w:p>
    <w:p w14:paraId="71E9134D" w14:textId="77777777" w:rsidR="00D13172" w:rsidRPr="00540830" w:rsidRDefault="00D13172" w:rsidP="0059717C">
      <w:pPr>
        <w:pStyle w:val="Heading1"/>
        <w:keepNext w:val="0"/>
        <w:widowControl/>
        <w:rPr>
          <w:rFonts w:ascii="Times New Roman" w:hAnsi="Times New Roman"/>
          <w:szCs w:val="22"/>
        </w:rPr>
      </w:pPr>
      <w:r w:rsidRPr="00540830">
        <w:rPr>
          <w:rFonts w:ascii="Times New Roman" w:hAnsi="Times New Roman"/>
          <w:szCs w:val="22"/>
        </w:rPr>
        <w:t xml:space="preserve">Tutorial </w:t>
      </w:r>
      <w:r w:rsidR="00952F72" w:rsidRPr="00540830">
        <w:rPr>
          <w:rFonts w:ascii="Times New Roman" w:hAnsi="Times New Roman"/>
          <w:szCs w:val="22"/>
        </w:rPr>
        <w:t xml:space="preserve">on </w:t>
      </w:r>
      <w:r w:rsidR="00B90692" w:rsidRPr="00540830">
        <w:rPr>
          <w:rFonts w:ascii="Times New Roman" w:hAnsi="Times New Roman"/>
          <w:szCs w:val="22"/>
        </w:rPr>
        <w:t>Fo</w:t>
      </w:r>
      <w:r w:rsidR="00566323" w:rsidRPr="00540830">
        <w:rPr>
          <w:rFonts w:ascii="Times New Roman" w:hAnsi="Times New Roman"/>
          <w:szCs w:val="22"/>
        </w:rPr>
        <w:t>rwa</w:t>
      </w:r>
      <w:r w:rsidR="00C05824" w:rsidRPr="00540830">
        <w:rPr>
          <w:rFonts w:ascii="Times New Roman" w:hAnsi="Times New Roman"/>
          <w:szCs w:val="22"/>
        </w:rPr>
        <w:t>rd Auction Pre-Auction Process to B</w:t>
      </w:r>
      <w:r w:rsidR="00566323" w:rsidRPr="00540830">
        <w:rPr>
          <w:rFonts w:ascii="Times New Roman" w:hAnsi="Times New Roman"/>
          <w:szCs w:val="22"/>
        </w:rPr>
        <w:t xml:space="preserve">e Available </w:t>
      </w:r>
      <w:r w:rsidR="003D1F74" w:rsidRPr="00540830">
        <w:rPr>
          <w:rFonts w:ascii="Times New Roman" w:hAnsi="Times New Roman"/>
          <w:szCs w:val="22"/>
        </w:rPr>
        <w:t>b</w:t>
      </w:r>
      <w:r w:rsidR="00C05824" w:rsidRPr="00540830">
        <w:rPr>
          <w:rFonts w:ascii="Times New Roman" w:hAnsi="Times New Roman"/>
          <w:szCs w:val="22"/>
        </w:rPr>
        <w:t>y</w:t>
      </w:r>
      <w:r w:rsidR="00566323" w:rsidRPr="00540830">
        <w:rPr>
          <w:rFonts w:ascii="Times New Roman" w:hAnsi="Times New Roman"/>
          <w:szCs w:val="22"/>
        </w:rPr>
        <w:t xml:space="preserve"> January 19, 2016</w:t>
      </w:r>
    </w:p>
    <w:p w14:paraId="1596657D" w14:textId="3EDE26C2" w:rsidR="00D13172" w:rsidRPr="00540830" w:rsidRDefault="00D13172" w:rsidP="0059717C">
      <w:pPr>
        <w:pStyle w:val="ParaNum"/>
        <w:widowControl/>
        <w:rPr>
          <w:szCs w:val="22"/>
        </w:rPr>
      </w:pPr>
      <w:r w:rsidRPr="00540830">
        <w:rPr>
          <w:szCs w:val="22"/>
        </w:rPr>
        <w:t xml:space="preserve">The Bureau </w:t>
      </w:r>
      <w:r w:rsidR="00454B9E" w:rsidRPr="00540830">
        <w:rPr>
          <w:szCs w:val="22"/>
        </w:rPr>
        <w:t>will make available an interactive, online tutorial focusing on the pre-auction application process for the forward auction (Auction 1002) no later than January 19, 2016</w:t>
      </w:r>
      <w:r w:rsidRPr="00540830">
        <w:rPr>
          <w:szCs w:val="22"/>
        </w:rPr>
        <w:t>.</w:t>
      </w:r>
      <w:r w:rsidRPr="00540830">
        <w:rPr>
          <w:rStyle w:val="FootnoteReference"/>
          <w:sz w:val="22"/>
          <w:szCs w:val="22"/>
        </w:rPr>
        <w:footnoteReference w:id="5"/>
      </w:r>
      <w:r w:rsidRPr="00540830">
        <w:rPr>
          <w:szCs w:val="22"/>
        </w:rPr>
        <w:t xml:space="preserve">  The pre-</w:t>
      </w:r>
      <w:r w:rsidRPr="00540830">
        <w:rPr>
          <w:szCs w:val="22"/>
        </w:rPr>
        <w:lastRenderedPageBreak/>
        <w:t xml:space="preserve">auction application process tutorial will be accessible from the Commission’s Auction 1002 web page at </w:t>
      </w:r>
      <w:hyperlink r:id="rId8" w:history="1">
        <w:r w:rsidRPr="00540830">
          <w:rPr>
            <w:rStyle w:val="Hyperlink"/>
            <w:szCs w:val="22"/>
          </w:rPr>
          <w:t>http://www.fcc.gov/auctions/1002</w:t>
        </w:r>
      </w:hyperlink>
      <w:r w:rsidRPr="00540830">
        <w:rPr>
          <w:szCs w:val="22"/>
        </w:rPr>
        <w:t xml:space="preserve"> through a link under the “Education” tab.</w:t>
      </w:r>
      <w:r w:rsidRPr="00540830">
        <w:rPr>
          <w:rStyle w:val="FootnoteReference"/>
          <w:sz w:val="22"/>
          <w:szCs w:val="22"/>
        </w:rPr>
        <w:footnoteReference w:id="6"/>
      </w:r>
      <w:r w:rsidRPr="00540830">
        <w:rPr>
          <w:szCs w:val="22"/>
        </w:rPr>
        <w:t xml:space="preserve">  Once posted, the tutorial will remain available and accessible on the Auction 1002 web page anytime for reference.  </w:t>
      </w:r>
    </w:p>
    <w:p w14:paraId="45C03145" w14:textId="77777777" w:rsidR="00D13172" w:rsidRPr="00540830" w:rsidRDefault="00D13172" w:rsidP="0059717C">
      <w:pPr>
        <w:pStyle w:val="Heading1"/>
        <w:widowControl/>
        <w:rPr>
          <w:rFonts w:ascii="Times New Roman" w:hAnsi="Times New Roman"/>
          <w:szCs w:val="22"/>
        </w:rPr>
      </w:pPr>
      <w:r w:rsidRPr="00540830">
        <w:rPr>
          <w:rFonts w:ascii="Times New Roman" w:hAnsi="Times New Roman"/>
          <w:szCs w:val="22"/>
        </w:rPr>
        <w:t xml:space="preserve">Access to the Auction System for Bidding </w:t>
      </w:r>
    </w:p>
    <w:p w14:paraId="792EFB21" w14:textId="3386462C" w:rsidR="00A95CE4" w:rsidRPr="00540830" w:rsidRDefault="002A51AD" w:rsidP="002A51AD">
      <w:pPr>
        <w:pStyle w:val="ParaNum"/>
        <w:rPr>
          <w:szCs w:val="22"/>
        </w:rPr>
      </w:pPr>
      <w:r w:rsidRPr="00540830">
        <w:rPr>
          <w:szCs w:val="22"/>
        </w:rPr>
        <w:t>A</w:t>
      </w:r>
      <w:r w:rsidR="001F4F61" w:rsidRPr="00540830">
        <w:rPr>
          <w:szCs w:val="22"/>
        </w:rPr>
        <w:t xml:space="preserve">s previously described in the </w:t>
      </w:r>
      <w:r w:rsidR="001F4F61" w:rsidRPr="00540830">
        <w:rPr>
          <w:i/>
          <w:szCs w:val="22"/>
        </w:rPr>
        <w:t>Auction 1000 Application Procedures P</w:t>
      </w:r>
      <w:r w:rsidR="00C93AA6" w:rsidRPr="00540830">
        <w:rPr>
          <w:i/>
          <w:szCs w:val="22"/>
        </w:rPr>
        <w:t xml:space="preserve">ublic </w:t>
      </w:r>
      <w:r w:rsidR="001F4F61" w:rsidRPr="00540830">
        <w:rPr>
          <w:i/>
          <w:szCs w:val="22"/>
        </w:rPr>
        <w:t>N</w:t>
      </w:r>
      <w:r w:rsidR="00C93AA6" w:rsidRPr="00540830">
        <w:rPr>
          <w:i/>
          <w:szCs w:val="22"/>
        </w:rPr>
        <w:t>otice</w:t>
      </w:r>
      <w:r w:rsidR="001F4F61" w:rsidRPr="00540830">
        <w:rPr>
          <w:szCs w:val="22"/>
        </w:rPr>
        <w:t>,</w:t>
      </w:r>
      <w:r w:rsidR="001F4F61" w:rsidRPr="00540830">
        <w:rPr>
          <w:i/>
          <w:szCs w:val="22"/>
        </w:rPr>
        <w:t xml:space="preserve"> </w:t>
      </w:r>
      <w:r w:rsidR="001F4F61" w:rsidRPr="00540830">
        <w:rPr>
          <w:szCs w:val="22"/>
        </w:rPr>
        <w:t>a</w:t>
      </w:r>
      <w:r w:rsidRPr="00540830">
        <w:rPr>
          <w:szCs w:val="22"/>
        </w:rPr>
        <w:t>n applicant must have an FCC-provided SecurID</w:t>
      </w:r>
      <w:r w:rsidRPr="00540830">
        <w:rPr>
          <w:szCs w:val="22"/>
          <w:vertAlign w:val="superscript"/>
        </w:rPr>
        <w:t>®</w:t>
      </w:r>
      <w:r w:rsidRPr="00540830">
        <w:rPr>
          <w:szCs w:val="22"/>
        </w:rPr>
        <w:t xml:space="preserve"> token to access the Auction System in order to place bids in the reverse or forward clock round</w:t>
      </w:r>
      <w:r w:rsidR="001F4F61" w:rsidRPr="00540830">
        <w:rPr>
          <w:szCs w:val="22"/>
        </w:rPr>
        <w:t>s</w:t>
      </w:r>
      <w:r w:rsidRPr="00540830">
        <w:rPr>
          <w:szCs w:val="22"/>
        </w:rPr>
        <w:t>, as well as to participate in any mock auction.</w:t>
      </w:r>
      <w:r w:rsidR="001F4F61" w:rsidRPr="00540830">
        <w:rPr>
          <w:rStyle w:val="FootnoteReference"/>
          <w:sz w:val="22"/>
          <w:szCs w:val="22"/>
        </w:rPr>
        <w:footnoteReference w:id="7"/>
      </w:r>
      <w:r w:rsidRPr="00540830">
        <w:rPr>
          <w:szCs w:val="22"/>
        </w:rPr>
        <w:t xml:space="preserve">  SecurID</w:t>
      </w:r>
      <w:r w:rsidRPr="00540830">
        <w:rPr>
          <w:szCs w:val="22"/>
          <w:vertAlign w:val="superscript"/>
        </w:rPr>
        <w:t>®</w:t>
      </w:r>
      <w:r w:rsidRPr="00540830">
        <w:rPr>
          <w:szCs w:val="22"/>
        </w:rPr>
        <w:t xml:space="preserve"> tokens will be distributed to applicants for the reverse </w:t>
      </w:r>
      <w:r w:rsidR="00A71638">
        <w:rPr>
          <w:szCs w:val="22"/>
        </w:rPr>
        <w:t>auction prior to the deadline for initial commitments</w:t>
      </w:r>
      <w:r w:rsidR="005B2209">
        <w:rPr>
          <w:szCs w:val="22"/>
        </w:rPr>
        <w:t>,</w:t>
      </w:r>
      <w:r w:rsidR="00A71638">
        <w:rPr>
          <w:szCs w:val="22"/>
        </w:rPr>
        <w:t xml:space="preserve"> </w:t>
      </w:r>
      <w:r w:rsidRPr="00540830">
        <w:rPr>
          <w:szCs w:val="22"/>
        </w:rPr>
        <w:t xml:space="preserve">and </w:t>
      </w:r>
      <w:r w:rsidR="005B2209">
        <w:rPr>
          <w:szCs w:val="22"/>
        </w:rPr>
        <w:t>to</w:t>
      </w:r>
      <w:r w:rsidR="00A71638">
        <w:rPr>
          <w:szCs w:val="22"/>
        </w:rPr>
        <w:t xml:space="preserve"> </w:t>
      </w:r>
      <w:r w:rsidRPr="00540830">
        <w:rPr>
          <w:szCs w:val="22"/>
        </w:rPr>
        <w:t>forward auction</w:t>
      </w:r>
      <w:r w:rsidR="00A71638">
        <w:rPr>
          <w:szCs w:val="22"/>
        </w:rPr>
        <w:t xml:space="preserve"> </w:t>
      </w:r>
      <w:r w:rsidR="005B2209">
        <w:rPr>
          <w:szCs w:val="22"/>
        </w:rPr>
        <w:t xml:space="preserve">applicants </w:t>
      </w:r>
      <w:r w:rsidR="00BD3844">
        <w:rPr>
          <w:szCs w:val="22"/>
        </w:rPr>
        <w:t>prior to the announcement of qualified bidders</w:t>
      </w:r>
      <w:r w:rsidR="007E5B36">
        <w:rPr>
          <w:szCs w:val="22"/>
        </w:rPr>
        <w:t>,</w:t>
      </w:r>
      <w:r w:rsidR="00BD3844">
        <w:rPr>
          <w:szCs w:val="22"/>
        </w:rPr>
        <w:t xml:space="preserve"> </w:t>
      </w:r>
      <w:r w:rsidR="00A71638">
        <w:rPr>
          <w:szCs w:val="22"/>
        </w:rPr>
        <w:t xml:space="preserve">to enable </w:t>
      </w:r>
      <w:r w:rsidR="0091410C">
        <w:rPr>
          <w:szCs w:val="22"/>
        </w:rPr>
        <w:t xml:space="preserve">applicants with complete applications to </w:t>
      </w:r>
      <w:r w:rsidR="00A71638">
        <w:rPr>
          <w:szCs w:val="22"/>
        </w:rPr>
        <w:t>practice with the Auction System</w:t>
      </w:r>
      <w:r w:rsidR="004964FD" w:rsidRPr="00540830">
        <w:rPr>
          <w:szCs w:val="22"/>
        </w:rPr>
        <w:t>.</w:t>
      </w:r>
      <w:r w:rsidRPr="00540830">
        <w:rPr>
          <w:szCs w:val="22"/>
        </w:rPr>
        <w:t xml:space="preserve">  Each authorized bidder </w:t>
      </w:r>
      <w:r w:rsidR="00A71638">
        <w:rPr>
          <w:szCs w:val="22"/>
        </w:rPr>
        <w:t xml:space="preserve">identified on an applicant’s FCC Form 177 or 175 </w:t>
      </w:r>
      <w:r w:rsidRPr="00540830">
        <w:rPr>
          <w:szCs w:val="22"/>
        </w:rPr>
        <w:t>will be issued a unique SecurID</w:t>
      </w:r>
      <w:r w:rsidRPr="00540830">
        <w:rPr>
          <w:szCs w:val="22"/>
          <w:vertAlign w:val="superscript"/>
        </w:rPr>
        <w:t>®</w:t>
      </w:r>
      <w:r w:rsidRPr="00540830">
        <w:rPr>
          <w:szCs w:val="22"/>
        </w:rPr>
        <w:t xml:space="preserve"> token</w:t>
      </w:r>
      <w:r w:rsidR="005B2209">
        <w:rPr>
          <w:szCs w:val="22"/>
        </w:rPr>
        <w:t xml:space="preserve"> tailored to that bidder</w:t>
      </w:r>
      <w:r w:rsidRPr="00540830">
        <w:rPr>
          <w:szCs w:val="22"/>
        </w:rPr>
        <w:t xml:space="preserve">. </w:t>
      </w:r>
      <w:r w:rsidR="001803F2" w:rsidRPr="00540830">
        <w:rPr>
          <w:szCs w:val="22"/>
        </w:rPr>
        <w:t xml:space="preserve"> </w:t>
      </w:r>
      <w:r w:rsidRPr="00540830">
        <w:rPr>
          <w:b/>
          <w:szCs w:val="22"/>
        </w:rPr>
        <w:t>For security purposes, the SecurID</w:t>
      </w:r>
      <w:r w:rsidRPr="00540830">
        <w:rPr>
          <w:szCs w:val="22"/>
          <w:vertAlign w:val="superscript"/>
        </w:rPr>
        <w:t>®</w:t>
      </w:r>
      <w:r w:rsidRPr="00540830">
        <w:rPr>
          <w:b/>
          <w:szCs w:val="22"/>
        </w:rPr>
        <w:t xml:space="preserve"> tokens, the telephonic bidding telephone number, and the relevant Auction System Bidder’s Guide are mailed </w:t>
      </w:r>
      <w:r w:rsidR="001803F2" w:rsidRPr="00540830">
        <w:rPr>
          <w:b/>
          <w:szCs w:val="22"/>
        </w:rPr>
        <w:t xml:space="preserve">only </w:t>
      </w:r>
      <w:r w:rsidRPr="00540830">
        <w:rPr>
          <w:b/>
          <w:szCs w:val="22"/>
        </w:rPr>
        <w:t xml:space="preserve">to the </w:t>
      </w:r>
      <w:r w:rsidR="00A62055" w:rsidRPr="00540830">
        <w:rPr>
          <w:b/>
          <w:szCs w:val="22"/>
        </w:rPr>
        <w:t xml:space="preserve">applicant’s </w:t>
      </w:r>
      <w:r w:rsidRPr="00540830">
        <w:rPr>
          <w:b/>
          <w:szCs w:val="22"/>
        </w:rPr>
        <w:t xml:space="preserve">contact person at the contact address listed on its </w:t>
      </w:r>
      <w:r w:rsidR="004A6103">
        <w:rPr>
          <w:b/>
          <w:szCs w:val="22"/>
        </w:rPr>
        <w:t xml:space="preserve">auction </w:t>
      </w:r>
      <w:r w:rsidRPr="00540830">
        <w:rPr>
          <w:b/>
          <w:szCs w:val="22"/>
        </w:rPr>
        <w:t>application.</w:t>
      </w:r>
      <w:r w:rsidR="00472D78">
        <w:rPr>
          <w:rStyle w:val="FootnoteReference"/>
          <w:b/>
          <w:szCs w:val="22"/>
        </w:rPr>
        <w:footnoteReference w:id="8"/>
      </w:r>
      <w:r w:rsidRPr="00540830">
        <w:rPr>
          <w:szCs w:val="22"/>
        </w:rPr>
        <w:t xml:space="preserve">    </w:t>
      </w:r>
    </w:p>
    <w:p w14:paraId="1A6523BE" w14:textId="77777777" w:rsidR="009D0B7C" w:rsidRPr="00540830" w:rsidRDefault="009D0B7C" w:rsidP="00FB403A">
      <w:pPr>
        <w:pStyle w:val="Heading2"/>
        <w:rPr>
          <w:szCs w:val="22"/>
        </w:rPr>
      </w:pPr>
      <w:r w:rsidRPr="00540830">
        <w:rPr>
          <w:szCs w:val="22"/>
        </w:rPr>
        <w:t>Reverse Auction</w:t>
      </w:r>
      <w:r w:rsidR="002A51AD" w:rsidRPr="00540830">
        <w:rPr>
          <w:szCs w:val="22"/>
        </w:rPr>
        <w:t xml:space="preserve"> Applicants</w:t>
      </w:r>
    </w:p>
    <w:p w14:paraId="3518E227" w14:textId="77DD3F8F" w:rsidR="002A51AD" w:rsidRPr="00540830" w:rsidRDefault="002A51AD" w:rsidP="0059717C">
      <w:pPr>
        <w:pStyle w:val="ParaNum"/>
        <w:keepNext/>
        <w:widowControl/>
        <w:rPr>
          <w:szCs w:val="22"/>
        </w:rPr>
      </w:pPr>
      <w:r w:rsidRPr="00540830">
        <w:rPr>
          <w:szCs w:val="22"/>
        </w:rPr>
        <w:t xml:space="preserve">Each </w:t>
      </w:r>
      <w:r w:rsidR="00A62055" w:rsidRPr="00540830">
        <w:rPr>
          <w:szCs w:val="22"/>
        </w:rPr>
        <w:t>reverse auction (</w:t>
      </w:r>
      <w:r w:rsidRPr="00540830">
        <w:rPr>
          <w:szCs w:val="22"/>
        </w:rPr>
        <w:t>Auction 1001</w:t>
      </w:r>
      <w:r w:rsidR="00A62055" w:rsidRPr="00540830">
        <w:rPr>
          <w:szCs w:val="22"/>
        </w:rPr>
        <w:t>)</w:t>
      </w:r>
      <w:r w:rsidRPr="00540830">
        <w:rPr>
          <w:szCs w:val="22"/>
        </w:rPr>
        <w:t xml:space="preserve"> applicant permitted to make an initial commitment must do so in the Auction System using a SecurID</w:t>
      </w:r>
      <w:r w:rsidRPr="00540830">
        <w:rPr>
          <w:szCs w:val="22"/>
          <w:vertAlign w:val="superscript"/>
        </w:rPr>
        <w:t>®</w:t>
      </w:r>
      <w:r w:rsidRPr="00540830">
        <w:rPr>
          <w:szCs w:val="22"/>
        </w:rPr>
        <w:t xml:space="preserve"> token.</w:t>
      </w:r>
      <w:r w:rsidRPr="00540830">
        <w:rPr>
          <w:rStyle w:val="FootnoteReference"/>
          <w:sz w:val="22"/>
          <w:szCs w:val="22"/>
        </w:rPr>
        <w:footnoteReference w:id="9"/>
      </w:r>
      <w:r w:rsidRPr="00540830">
        <w:rPr>
          <w:szCs w:val="22"/>
        </w:rPr>
        <w:t xml:space="preserve">  </w:t>
      </w:r>
      <w:r w:rsidR="00A71638">
        <w:rPr>
          <w:szCs w:val="22"/>
        </w:rPr>
        <w:t>W</w:t>
      </w:r>
      <w:r w:rsidRPr="00540830">
        <w:rPr>
          <w:szCs w:val="22"/>
        </w:rPr>
        <w:t xml:space="preserve">e will </w:t>
      </w:r>
      <w:r w:rsidR="00CB5F5B">
        <w:rPr>
          <w:szCs w:val="22"/>
        </w:rPr>
        <w:t xml:space="preserve">therefore </w:t>
      </w:r>
      <w:r w:rsidRPr="00540830">
        <w:rPr>
          <w:szCs w:val="22"/>
        </w:rPr>
        <w:t>provide SecurID</w:t>
      </w:r>
      <w:r w:rsidRPr="00540830">
        <w:rPr>
          <w:szCs w:val="22"/>
          <w:vertAlign w:val="superscript"/>
        </w:rPr>
        <w:t>®</w:t>
      </w:r>
      <w:r w:rsidRPr="00540830">
        <w:rPr>
          <w:szCs w:val="22"/>
        </w:rPr>
        <w:t xml:space="preserve"> tokens prior to the initial commitment deadline.  </w:t>
      </w:r>
    </w:p>
    <w:p w14:paraId="16A8B981" w14:textId="77777777" w:rsidR="00352172" w:rsidRPr="00540830" w:rsidRDefault="00D13172" w:rsidP="00352172">
      <w:pPr>
        <w:pStyle w:val="ParaNum"/>
        <w:widowControl/>
        <w:rPr>
          <w:szCs w:val="22"/>
        </w:rPr>
      </w:pPr>
      <w:r w:rsidRPr="00540830">
        <w:rPr>
          <w:szCs w:val="22"/>
        </w:rPr>
        <w:t xml:space="preserve">As explained in the </w:t>
      </w:r>
      <w:r w:rsidRPr="00540830">
        <w:rPr>
          <w:i/>
          <w:szCs w:val="22"/>
        </w:rPr>
        <w:t>Auction 1000 Application Procedures Public Notice</w:t>
      </w:r>
      <w:r w:rsidRPr="00540830">
        <w:rPr>
          <w:szCs w:val="22"/>
        </w:rPr>
        <w:t>,</w:t>
      </w:r>
      <w:r w:rsidRPr="00540830">
        <w:rPr>
          <w:i/>
          <w:szCs w:val="22"/>
        </w:rPr>
        <w:t xml:space="preserve"> </w:t>
      </w:r>
      <w:r w:rsidRPr="00540830">
        <w:rPr>
          <w:szCs w:val="22"/>
        </w:rPr>
        <w:t>an applicant will receive confidential notices concerning the status of its application and of each station selected on its application after the initial filing deadline (“First Confidential Status Letter”)</w:t>
      </w:r>
      <w:r w:rsidRPr="00540830">
        <w:rPr>
          <w:rStyle w:val="FootnoteReference"/>
          <w:sz w:val="22"/>
          <w:szCs w:val="22"/>
        </w:rPr>
        <w:footnoteReference w:id="10"/>
      </w:r>
      <w:r w:rsidRPr="00540830">
        <w:rPr>
          <w:szCs w:val="22"/>
        </w:rPr>
        <w:t xml:space="preserve"> and after the resubmission deadline (“Second Confidential Status Letter”),</w:t>
      </w:r>
      <w:r w:rsidRPr="00540830">
        <w:rPr>
          <w:rStyle w:val="FootnoteReference"/>
          <w:sz w:val="22"/>
          <w:szCs w:val="22"/>
        </w:rPr>
        <w:footnoteReference w:id="11"/>
      </w:r>
      <w:r w:rsidRPr="00540830">
        <w:rPr>
          <w:szCs w:val="22"/>
        </w:rPr>
        <w:t xml:space="preserve"> respectively.  Each applicant whose application and at least one selected station have been deemed “complete” in the Second Confidential Status Letter will be permitted to make an initial commitment to a preferred relinquishment option</w:t>
      </w:r>
      <w:r w:rsidRPr="00540830">
        <w:rPr>
          <w:rStyle w:val="FootnoteReference"/>
          <w:sz w:val="22"/>
          <w:szCs w:val="22"/>
        </w:rPr>
        <w:footnoteReference w:id="12"/>
      </w:r>
      <w:r w:rsidRPr="00540830">
        <w:rPr>
          <w:szCs w:val="22"/>
        </w:rPr>
        <w:t xml:space="preserve"> for each complete station</w:t>
      </w:r>
      <w:r w:rsidR="00B265D2" w:rsidRPr="00540830">
        <w:rPr>
          <w:szCs w:val="22"/>
        </w:rPr>
        <w:t xml:space="preserve"> using a SecurID</w:t>
      </w:r>
      <w:r w:rsidR="00B265D2" w:rsidRPr="00540830">
        <w:rPr>
          <w:szCs w:val="22"/>
          <w:vertAlign w:val="superscript"/>
        </w:rPr>
        <w:t>®</w:t>
      </w:r>
      <w:r w:rsidR="00B265D2" w:rsidRPr="00540830">
        <w:rPr>
          <w:szCs w:val="22"/>
        </w:rPr>
        <w:t xml:space="preserve"> token</w:t>
      </w:r>
      <w:r w:rsidRPr="00540830">
        <w:rPr>
          <w:szCs w:val="22"/>
        </w:rPr>
        <w:t>.</w:t>
      </w:r>
      <w:r w:rsidRPr="00540830">
        <w:rPr>
          <w:rStyle w:val="FootnoteReference"/>
          <w:sz w:val="22"/>
          <w:szCs w:val="22"/>
        </w:rPr>
        <w:footnoteReference w:id="13"/>
      </w:r>
      <w:r w:rsidRPr="00540830">
        <w:rPr>
          <w:szCs w:val="22"/>
        </w:rPr>
        <w:t xml:space="preserve">  </w:t>
      </w:r>
      <w:r w:rsidR="00352172" w:rsidRPr="00540830">
        <w:rPr>
          <w:szCs w:val="22"/>
        </w:rPr>
        <w:t xml:space="preserve">Additional instructions for making an initial commitment will be provided to </w:t>
      </w:r>
      <w:r w:rsidR="00352172" w:rsidRPr="00540830">
        <w:rPr>
          <w:szCs w:val="22"/>
        </w:rPr>
        <w:lastRenderedPageBreak/>
        <w:t>each applicant with one or more complete stations as an enclosure to its Second Confidential Status Letter.</w:t>
      </w:r>
      <w:r w:rsidR="00352172" w:rsidRPr="00540830">
        <w:rPr>
          <w:rStyle w:val="FootnoteReference"/>
          <w:sz w:val="22"/>
          <w:szCs w:val="22"/>
        </w:rPr>
        <w:footnoteReference w:id="14"/>
      </w:r>
    </w:p>
    <w:p w14:paraId="61E13A57" w14:textId="7DDC46CF" w:rsidR="00D13172" w:rsidRPr="00540830" w:rsidRDefault="00CC17F4" w:rsidP="0059717C">
      <w:pPr>
        <w:pStyle w:val="ParaNum"/>
        <w:keepNext/>
        <w:widowControl/>
        <w:rPr>
          <w:szCs w:val="22"/>
        </w:rPr>
      </w:pPr>
      <w:r w:rsidRPr="00540830">
        <w:rPr>
          <w:szCs w:val="22"/>
        </w:rPr>
        <w:t>Once the initial clearing target has been determined</w:t>
      </w:r>
      <w:r w:rsidR="00BD3844">
        <w:rPr>
          <w:szCs w:val="22"/>
        </w:rPr>
        <w:t xml:space="preserve"> based on initial commitments</w:t>
      </w:r>
      <w:r w:rsidRPr="00540830">
        <w:rPr>
          <w:szCs w:val="22"/>
        </w:rPr>
        <w:t xml:space="preserve">, an applicant that was permitted to make an initial commitment will receive a third confidential status letter (“Final Confidential Status Letter”) </w:t>
      </w:r>
      <w:r w:rsidR="00E81B3E" w:rsidRPr="00540830">
        <w:rPr>
          <w:szCs w:val="22"/>
        </w:rPr>
        <w:t xml:space="preserve">notifying the applicant for each complete station whether or not the station is qualified to bid in the </w:t>
      </w:r>
      <w:r w:rsidRPr="00540830">
        <w:rPr>
          <w:szCs w:val="22"/>
        </w:rPr>
        <w:t>clock rounds of the reverse auction.</w:t>
      </w:r>
      <w:r w:rsidR="00E81B3E" w:rsidRPr="00540830">
        <w:rPr>
          <w:rStyle w:val="FootnoteReference"/>
          <w:sz w:val="22"/>
          <w:szCs w:val="22"/>
        </w:rPr>
        <w:footnoteReference w:id="15"/>
      </w:r>
      <w:r w:rsidRPr="00540830">
        <w:rPr>
          <w:szCs w:val="22"/>
        </w:rPr>
        <w:t xml:space="preserve">  </w:t>
      </w:r>
      <w:r w:rsidR="004813F6" w:rsidRPr="00540830">
        <w:rPr>
          <w:szCs w:val="22"/>
        </w:rPr>
        <w:t>An applicant with one or more qualified stations will be eligible to participate in a mock auction prior to bidding in the clock rounds of the reverse auction.</w:t>
      </w:r>
      <w:r w:rsidR="004813F6" w:rsidRPr="00540830">
        <w:rPr>
          <w:rStyle w:val="FootnoteReference"/>
          <w:sz w:val="22"/>
          <w:szCs w:val="22"/>
        </w:rPr>
        <w:footnoteReference w:id="16"/>
      </w:r>
      <w:r w:rsidR="004813F6" w:rsidRPr="00540830">
        <w:rPr>
          <w:szCs w:val="22"/>
        </w:rPr>
        <w:t xml:space="preserve">  Additional instructions for participating in the mock auction and for placing bids in the clock rounds </w:t>
      </w:r>
      <w:r w:rsidR="003879D7" w:rsidRPr="00540830">
        <w:rPr>
          <w:szCs w:val="22"/>
        </w:rPr>
        <w:t xml:space="preserve">of the </w:t>
      </w:r>
      <w:r w:rsidR="004813F6" w:rsidRPr="00540830">
        <w:rPr>
          <w:szCs w:val="22"/>
        </w:rPr>
        <w:t>reverse auction</w:t>
      </w:r>
      <w:r w:rsidR="00CB5F5B">
        <w:rPr>
          <w:szCs w:val="22"/>
        </w:rPr>
        <w:t>,</w:t>
      </w:r>
      <w:r w:rsidR="004813F6" w:rsidRPr="00540830">
        <w:rPr>
          <w:szCs w:val="22"/>
        </w:rPr>
        <w:t xml:space="preserve"> </w:t>
      </w:r>
      <w:r w:rsidR="000F527C">
        <w:rPr>
          <w:szCs w:val="22"/>
        </w:rPr>
        <w:t xml:space="preserve">using the </w:t>
      </w:r>
      <w:r w:rsidR="005C1428">
        <w:rPr>
          <w:szCs w:val="22"/>
        </w:rPr>
        <w:t xml:space="preserve">applicant’s previously received </w:t>
      </w:r>
      <w:r w:rsidR="005C1428" w:rsidRPr="00540830">
        <w:rPr>
          <w:szCs w:val="22"/>
        </w:rPr>
        <w:t>SecurID</w:t>
      </w:r>
      <w:r w:rsidR="005C1428" w:rsidRPr="00540830">
        <w:rPr>
          <w:szCs w:val="22"/>
          <w:vertAlign w:val="superscript"/>
        </w:rPr>
        <w:t>®</w:t>
      </w:r>
      <w:r w:rsidR="005C1428" w:rsidRPr="00540830">
        <w:rPr>
          <w:szCs w:val="22"/>
        </w:rPr>
        <w:t xml:space="preserve"> token</w:t>
      </w:r>
      <w:r w:rsidR="005C1428">
        <w:rPr>
          <w:szCs w:val="22"/>
        </w:rPr>
        <w:t>s</w:t>
      </w:r>
      <w:r w:rsidR="00CB5F5B">
        <w:rPr>
          <w:szCs w:val="22"/>
        </w:rPr>
        <w:t>,</w:t>
      </w:r>
      <w:r w:rsidR="005C1428" w:rsidRPr="00540830">
        <w:rPr>
          <w:szCs w:val="22"/>
        </w:rPr>
        <w:t xml:space="preserve"> </w:t>
      </w:r>
      <w:r w:rsidR="004813F6" w:rsidRPr="00540830">
        <w:rPr>
          <w:szCs w:val="22"/>
        </w:rPr>
        <w:t xml:space="preserve">will be provided to each applicant that has at least one station qualified to bid.  Any applicant with a station that is not qualified to bid in the reverse auction clock rounds will not be able to place </w:t>
      </w:r>
      <w:r w:rsidR="005C1428">
        <w:rPr>
          <w:szCs w:val="22"/>
        </w:rPr>
        <w:t xml:space="preserve">clock round </w:t>
      </w:r>
      <w:r w:rsidR="004813F6" w:rsidRPr="00540830">
        <w:rPr>
          <w:szCs w:val="22"/>
        </w:rPr>
        <w:t xml:space="preserve">bids for that station in the Auction System. </w:t>
      </w:r>
      <w:r w:rsidRPr="00540830">
        <w:rPr>
          <w:szCs w:val="22"/>
        </w:rPr>
        <w:t xml:space="preserve">  </w:t>
      </w:r>
    </w:p>
    <w:p w14:paraId="18880974" w14:textId="77777777" w:rsidR="00574B62" w:rsidRPr="00540830" w:rsidRDefault="005D357B" w:rsidP="00FB403A">
      <w:pPr>
        <w:pStyle w:val="Heading2"/>
        <w:rPr>
          <w:szCs w:val="22"/>
        </w:rPr>
      </w:pPr>
      <w:r w:rsidRPr="00540830">
        <w:rPr>
          <w:szCs w:val="22"/>
        </w:rPr>
        <w:t>Forward</w:t>
      </w:r>
      <w:r w:rsidR="00574B62" w:rsidRPr="00540830">
        <w:rPr>
          <w:szCs w:val="22"/>
        </w:rPr>
        <w:t xml:space="preserve"> Auction</w:t>
      </w:r>
      <w:r w:rsidR="00217E7B" w:rsidRPr="00540830">
        <w:rPr>
          <w:szCs w:val="22"/>
        </w:rPr>
        <w:t xml:space="preserve"> Applicants</w:t>
      </w:r>
    </w:p>
    <w:p w14:paraId="35DF658F" w14:textId="1FEA63B2" w:rsidR="00574B62" w:rsidRPr="00540830" w:rsidRDefault="00F273FA" w:rsidP="0059717C">
      <w:pPr>
        <w:pStyle w:val="ParaNum"/>
        <w:widowControl/>
        <w:rPr>
          <w:szCs w:val="22"/>
        </w:rPr>
      </w:pPr>
      <w:r w:rsidRPr="00540830">
        <w:rPr>
          <w:szCs w:val="22"/>
        </w:rPr>
        <w:t xml:space="preserve">As described in the </w:t>
      </w:r>
      <w:r w:rsidRPr="00540830">
        <w:rPr>
          <w:i/>
          <w:szCs w:val="22"/>
        </w:rPr>
        <w:t>Auction 1000 Application Procedures P</w:t>
      </w:r>
      <w:r w:rsidR="00CE38C2" w:rsidRPr="00540830">
        <w:rPr>
          <w:i/>
          <w:szCs w:val="22"/>
        </w:rPr>
        <w:t xml:space="preserve">ublic </w:t>
      </w:r>
      <w:r w:rsidRPr="00540830">
        <w:rPr>
          <w:i/>
          <w:szCs w:val="22"/>
        </w:rPr>
        <w:t>N</w:t>
      </w:r>
      <w:r w:rsidR="00CE38C2" w:rsidRPr="00540830">
        <w:rPr>
          <w:i/>
          <w:szCs w:val="22"/>
        </w:rPr>
        <w:t>otice</w:t>
      </w:r>
      <w:r w:rsidRPr="00540830">
        <w:rPr>
          <w:szCs w:val="22"/>
        </w:rPr>
        <w:t>,</w:t>
      </w:r>
      <w:r w:rsidRPr="00540830">
        <w:rPr>
          <w:i/>
          <w:szCs w:val="22"/>
        </w:rPr>
        <w:t xml:space="preserve"> </w:t>
      </w:r>
      <w:r w:rsidRPr="00540830">
        <w:rPr>
          <w:szCs w:val="22"/>
        </w:rPr>
        <w:t xml:space="preserve">an Auction 1002 </w:t>
      </w:r>
      <w:r w:rsidR="001D2EBF" w:rsidRPr="00540830">
        <w:rPr>
          <w:szCs w:val="22"/>
        </w:rPr>
        <w:t xml:space="preserve">applicant </w:t>
      </w:r>
      <w:r w:rsidR="00F83256" w:rsidRPr="00540830">
        <w:rPr>
          <w:szCs w:val="22"/>
        </w:rPr>
        <w:t xml:space="preserve">whose application has been deemed to be “complete” will </w:t>
      </w:r>
      <w:r w:rsidR="00CB5F5B">
        <w:rPr>
          <w:szCs w:val="22"/>
        </w:rPr>
        <w:t xml:space="preserve">be </w:t>
      </w:r>
      <w:r w:rsidR="00CB5F5B" w:rsidRPr="00540830">
        <w:rPr>
          <w:szCs w:val="22"/>
        </w:rPr>
        <w:t xml:space="preserve">eligible </w:t>
      </w:r>
      <w:r w:rsidR="00F83256" w:rsidRPr="00540830">
        <w:rPr>
          <w:szCs w:val="22"/>
        </w:rPr>
        <w:t>to practice with the Auction System prior to the mock auction that will be offered to qualified bidders.</w:t>
      </w:r>
      <w:r w:rsidR="00F83256" w:rsidRPr="00540830">
        <w:rPr>
          <w:rStyle w:val="FootnoteReference"/>
          <w:sz w:val="22"/>
          <w:szCs w:val="22"/>
        </w:rPr>
        <w:footnoteReference w:id="17"/>
      </w:r>
      <w:r w:rsidR="00F83256" w:rsidRPr="00540830">
        <w:rPr>
          <w:szCs w:val="22"/>
        </w:rPr>
        <w:t xml:space="preserve">  </w:t>
      </w:r>
      <w:r w:rsidR="00BD3844" w:rsidRPr="00540830">
        <w:rPr>
          <w:szCs w:val="22"/>
        </w:rPr>
        <w:t xml:space="preserve">Any applicant that is eligible to practice with the Auction System must have </w:t>
      </w:r>
      <w:r w:rsidR="00F1253E">
        <w:rPr>
          <w:szCs w:val="22"/>
        </w:rPr>
        <w:t xml:space="preserve">a </w:t>
      </w:r>
      <w:r w:rsidR="00BD3844" w:rsidRPr="00540830">
        <w:rPr>
          <w:szCs w:val="22"/>
        </w:rPr>
        <w:t>SecurID</w:t>
      </w:r>
      <w:r w:rsidR="00BD3844" w:rsidRPr="00540830">
        <w:rPr>
          <w:szCs w:val="22"/>
          <w:vertAlign w:val="superscript"/>
        </w:rPr>
        <w:t>®</w:t>
      </w:r>
      <w:r w:rsidR="007E5B36">
        <w:rPr>
          <w:szCs w:val="22"/>
        </w:rPr>
        <w:t xml:space="preserve"> token to log in.</w:t>
      </w:r>
      <w:r w:rsidR="00BD3844" w:rsidRPr="00540830">
        <w:rPr>
          <w:szCs w:val="22"/>
        </w:rPr>
        <w:t xml:space="preserve"> </w:t>
      </w:r>
      <w:r w:rsidR="002E54F7" w:rsidRPr="00540830">
        <w:rPr>
          <w:szCs w:val="22"/>
        </w:rPr>
        <w:t xml:space="preserve"> </w:t>
      </w:r>
      <w:r w:rsidR="000F527C" w:rsidRPr="00540830">
        <w:rPr>
          <w:szCs w:val="22"/>
        </w:rPr>
        <w:t>SecurID</w:t>
      </w:r>
      <w:r w:rsidR="000F527C" w:rsidRPr="00540830">
        <w:rPr>
          <w:szCs w:val="22"/>
          <w:vertAlign w:val="superscript"/>
        </w:rPr>
        <w:t>®</w:t>
      </w:r>
      <w:r w:rsidR="000F527C" w:rsidRPr="00540830">
        <w:rPr>
          <w:szCs w:val="22"/>
        </w:rPr>
        <w:t xml:space="preserve"> tokens along with instructions for practicing with the Auction System will </w:t>
      </w:r>
      <w:r w:rsidR="00CB5F5B">
        <w:rPr>
          <w:szCs w:val="22"/>
        </w:rPr>
        <w:t xml:space="preserve">therefore </w:t>
      </w:r>
      <w:r w:rsidR="000F527C" w:rsidRPr="00540830">
        <w:rPr>
          <w:szCs w:val="22"/>
        </w:rPr>
        <w:t xml:space="preserve">be distributed to each applicant whose application is </w:t>
      </w:r>
      <w:r w:rsidR="00F1253E">
        <w:rPr>
          <w:szCs w:val="22"/>
        </w:rPr>
        <w:t>listed</w:t>
      </w:r>
      <w:r w:rsidR="000F527C" w:rsidRPr="00540830">
        <w:rPr>
          <w:szCs w:val="22"/>
        </w:rPr>
        <w:t xml:space="preserve"> as complete </w:t>
      </w:r>
      <w:r w:rsidR="000F527C">
        <w:rPr>
          <w:szCs w:val="22"/>
        </w:rPr>
        <w:t xml:space="preserve">in </w:t>
      </w:r>
      <w:r w:rsidR="001B5342">
        <w:rPr>
          <w:szCs w:val="22"/>
        </w:rPr>
        <w:t xml:space="preserve">a </w:t>
      </w:r>
      <w:r w:rsidR="000F527C">
        <w:rPr>
          <w:szCs w:val="22"/>
        </w:rPr>
        <w:t xml:space="preserve">public notice </w:t>
      </w:r>
      <w:r w:rsidR="001B5342">
        <w:rPr>
          <w:szCs w:val="22"/>
        </w:rPr>
        <w:t xml:space="preserve">to be released </w:t>
      </w:r>
      <w:r w:rsidR="000F527C" w:rsidRPr="00540830">
        <w:rPr>
          <w:szCs w:val="22"/>
        </w:rPr>
        <w:t>after the deadline for resubmitting corrected applications</w:t>
      </w:r>
      <w:r w:rsidR="00F7733F" w:rsidRPr="00540830">
        <w:rPr>
          <w:rStyle w:val="FootnoteReference"/>
          <w:sz w:val="22"/>
          <w:szCs w:val="22"/>
        </w:rPr>
        <w:footnoteReference w:id="18"/>
      </w:r>
      <w:r w:rsidR="00F7733F">
        <w:rPr>
          <w:szCs w:val="22"/>
        </w:rPr>
        <w:t xml:space="preserve"> </w:t>
      </w:r>
      <w:r w:rsidR="000F527C">
        <w:rPr>
          <w:szCs w:val="22"/>
        </w:rPr>
        <w:t xml:space="preserve">and </w:t>
      </w:r>
      <w:r w:rsidR="001D2EBF" w:rsidRPr="00540830">
        <w:rPr>
          <w:szCs w:val="22"/>
        </w:rPr>
        <w:t xml:space="preserve">prior to the announcement of qualified bidders in the </w:t>
      </w:r>
      <w:r w:rsidR="001D2EBF" w:rsidRPr="00540830">
        <w:rPr>
          <w:i/>
          <w:szCs w:val="22"/>
        </w:rPr>
        <w:t>Auction 1002 Qualified Bidders P</w:t>
      </w:r>
      <w:r w:rsidR="007C4D0C" w:rsidRPr="00540830">
        <w:rPr>
          <w:i/>
          <w:szCs w:val="22"/>
        </w:rPr>
        <w:t xml:space="preserve">ublic </w:t>
      </w:r>
      <w:r w:rsidR="001D2EBF" w:rsidRPr="00540830">
        <w:rPr>
          <w:i/>
          <w:szCs w:val="22"/>
        </w:rPr>
        <w:t>N</w:t>
      </w:r>
      <w:r w:rsidR="007C4D0C" w:rsidRPr="00540830">
        <w:rPr>
          <w:i/>
          <w:szCs w:val="22"/>
        </w:rPr>
        <w:t>otice</w:t>
      </w:r>
      <w:r w:rsidR="002E54F7" w:rsidRPr="00540830">
        <w:rPr>
          <w:szCs w:val="22"/>
        </w:rPr>
        <w:t>.</w:t>
      </w:r>
      <w:r w:rsidR="001D2EBF" w:rsidRPr="00540830">
        <w:rPr>
          <w:rStyle w:val="FootnoteReference"/>
          <w:sz w:val="22"/>
          <w:szCs w:val="22"/>
        </w:rPr>
        <w:footnoteReference w:id="19"/>
      </w:r>
      <w:r w:rsidR="001D2EBF" w:rsidRPr="00540830">
        <w:rPr>
          <w:szCs w:val="22"/>
        </w:rPr>
        <w:t xml:space="preserve">  </w:t>
      </w:r>
      <w:r w:rsidR="00574B62" w:rsidRPr="00540830">
        <w:rPr>
          <w:szCs w:val="22"/>
        </w:rPr>
        <w:t xml:space="preserve">   </w:t>
      </w:r>
    </w:p>
    <w:p w14:paraId="5647DE30" w14:textId="106DC26B" w:rsidR="00574B62" w:rsidRPr="00540830" w:rsidRDefault="007274D5" w:rsidP="0059717C">
      <w:pPr>
        <w:pStyle w:val="ParaNum"/>
        <w:widowControl/>
        <w:rPr>
          <w:szCs w:val="22"/>
        </w:rPr>
      </w:pPr>
      <w:r>
        <w:rPr>
          <w:szCs w:val="22"/>
        </w:rPr>
        <w:t>E</w:t>
      </w:r>
      <w:r w:rsidRPr="00540830">
        <w:rPr>
          <w:szCs w:val="22"/>
        </w:rPr>
        <w:t xml:space="preserve">ach applicant listed as a qualified bidder in </w:t>
      </w:r>
      <w:r w:rsidR="004D5058">
        <w:rPr>
          <w:szCs w:val="22"/>
        </w:rPr>
        <w:t>t</w:t>
      </w:r>
      <w:r w:rsidRPr="00540830">
        <w:rPr>
          <w:szCs w:val="22"/>
        </w:rPr>
        <w:t xml:space="preserve">he </w:t>
      </w:r>
      <w:r w:rsidRPr="00540830">
        <w:rPr>
          <w:i/>
          <w:szCs w:val="22"/>
        </w:rPr>
        <w:t>Auction 1002 Qualified Bidders Public Notice</w:t>
      </w:r>
      <w:r>
        <w:rPr>
          <w:szCs w:val="22"/>
        </w:rPr>
        <w:t xml:space="preserve"> will be provided with</w:t>
      </w:r>
      <w:r w:rsidRPr="00540830">
        <w:rPr>
          <w:szCs w:val="22"/>
        </w:rPr>
        <w:t xml:space="preserve"> </w:t>
      </w:r>
      <w:r>
        <w:rPr>
          <w:szCs w:val="22"/>
        </w:rPr>
        <w:t>a</w:t>
      </w:r>
      <w:r w:rsidR="00574B62" w:rsidRPr="00540830">
        <w:rPr>
          <w:szCs w:val="22"/>
        </w:rPr>
        <w:t xml:space="preserve">dditional instructions for participating in the mock auction and for placing bids in the forward auction </w:t>
      </w:r>
      <w:r w:rsidR="005C1428">
        <w:rPr>
          <w:szCs w:val="22"/>
        </w:rPr>
        <w:t xml:space="preserve">using the applicant’s previously received </w:t>
      </w:r>
      <w:r w:rsidR="005C1428" w:rsidRPr="00540830">
        <w:rPr>
          <w:szCs w:val="22"/>
        </w:rPr>
        <w:t>SecurID</w:t>
      </w:r>
      <w:r w:rsidR="005C1428" w:rsidRPr="00540830">
        <w:rPr>
          <w:szCs w:val="22"/>
          <w:vertAlign w:val="superscript"/>
        </w:rPr>
        <w:t>®</w:t>
      </w:r>
      <w:r w:rsidR="005C1428" w:rsidRPr="00540830">
        <w:rPr>
          <w:szCs w:val="22"/>
        </w:rPr>
        <w:t xml:space="preserve"> token</w:t>
      </w:r>
      <w:r w:rsidR="005C1428">
        <w:rPr>
          <w:szCs w:val="22"/>
        </w:rPr>
        <w:t>s</w:t>
      </w:r>
      <w:r w:rsidR="00574B62" w:rsidRPr="00540830">
        <w:rPr>
          <w:szCs w:val="22"/>
        </w:rPr>
        <w:t>.</w:t>
      </w:r>
      <w:r w:rsidR="00574B62" w:rsidRPr="00540830">
        <w:rPr>
          <w:rStyle w:val="FootnoteReference"/>
          <w:sz w:val="22"/>
          <w:szCs w:val="22"/>
        </w:rPr>
        <w:footnoteReference w:id="20"/>
      </w:r>
      <w:r w:rsidR="00646C4E" w:rsidRPr="00540830">
        <w:rPr>
          <w:szCs w:val="22"/>
        </w:rPr>
        <w:t xml:space="preserve">  </w:t>
      </w:r>
      <w:r w:rsidR="008253CC" w:rsidRPr="00540830">
        <w:rPr>
          <w:szCs w:val="22"/>
        </w:rPr>
        <w:t>Any applicant whose application was listed as complete after the deadline for resubmi</w:t>
      </w:r>
      <w:r w:rsidR="00BD069D" w:rsidRPr="00540830">
        <w:rPr>
          <w:szCs w:val="22"/>
        </w:rPr>
        <w:t>tting</w:t>
      </w:r>
      <w:r w:rsidR="008253CC" w:rsidRPr="00540830">
        <w:rPr>
          <w:szCs w:val="22"/>
        </w:rPr>
        <w:t xml:space="preserve"> corrected application</w:t>
      </w:r>
      <w:r w:rsidR="00BD069D" w:rsidRPr="00540830">
        <w:rPr>
          <w:szCs w:val="22"/>
        </w:rPr>
        <w:t>s</w:t>
      </w:r>
      <w:r w:rsidR="008253CC" w:rsidRPr="00540830">
        <w:rPr>
          <w:szCs w:val="22"/>
        </w:rPr>
        <w:t xml:space="preserve"> that does not become qualified to bid will not be permitted to access the Auction System</w:t>
      </w:r>
      <w:r w:rsidR="00B265D2" w:rsidRPr="00540830">
        <w:rPr>
          <w:szCs w:val="22"/>
        </w:rPr>
        <w:t xml:space="preserve"> for bidding</w:t>
      </w:r>
      <w:r w:rsidR="008253CC" w:rsidRPr="00540830">
        <w:rPr>
          <w:szCs w:val="22"/>
        </w:rPr>
        <w:t>.</w:t>
      </w:r>
    </w:p>
    <w:p w14:paraId="1E23BCF8" w14:textId="77777777" w:rsidR="00574B62" w:rsidRPr="00540830" w:rsidRDefault="002F3D8E" w:rsidP="0059717C">
      <w:pPr>
        <w:pStyle w:val="Heading1"/>
        <w:keepNext w:val="0"/>
        <w:widowControl/>
        <w:rPr>
          <w:rFonts w:ascii="Times New Roman" w:hAnsi="Times New Roman"/>
          <w:szCs w:val="22"/>
        </w:rPr>
      </w:pPr>
      <w:r w:rsidRPr="00540830">
        <w:rPr>
          <w:rFonts w:ascii="Times New Roman" w:hAnsi="Times New Roman"/>
          <w:szCs w:val="22"/>
        </w:rPr>
        <w:t>Gro</w:t>
      </w:r>
      <w:r w:rsidR="003D1F74" w:rsidRPr="00540830">
        <w:rPr>
          <w:rFonts w:ascii="Times New Roman" w:hAnsi="Times New Roman"/>
          <w:szCs w:val="22"/>
        </w:rPr>
        <w:t>u</w:t>
      </w:r>
      <w:r w:rsidRPr="00540830">
        <w:rPr>
          <w:rFonts w:ascii="Times New Roman" w:hAnsi="Times New Roman"/>
          <w:szCs w:val="22"/>
        </w:rPr>
        <w:t>p</w:t>
      </w:r>
      <w:r w:rsidR="003D1F74" w:rsidRPr="00540830">
        <w:rPr>
          <w:rFonts w:ascii="Times New Roman" w:hAnsi="Times New Roman"/>
          <w:szCs w:val="22"/>
        </w:rPr>
        <w:t xml:space="preserve">ing </w:t>
      </w:r>
      <w:r w:rsidRPr="00540830">
        <w:rPr>
          <w:rFonts w:ascii="Times New Roman" w:hAnsi="Times New Roman"/>
          <w:szCs w:val="22"/>
        </w:rPr>
        <w:t xml:space="preserve">of </w:t>
      </w:r>
      <w:r w:rsidR="00574B62" w:rsidRPr="00540830">
        <w:rPr>
          <w:rFonts w:ascii="Times New Roman" w:hAnsi="Times New Roman"/>
          <w:szCs w:val="22"/>
        </w:rPr>
        <w:t>PEA</w:t>
      </w:r>
      <w:r w:rsidR="00574B62" w:rsidRPr="00540830">
        <w:rPr>
          <w:rFonts w:ascii="Times New Roman" w:hAnsi="Times New Roman"/>
          <w:caps w:val="0"/>
          <w:smallCaps/>
          <w:szCs w:val="22"/>
        </w:rPr>
        <w:t>s</w:t>
      </w:r>
      <w:r w:rsidR="00574B62" w:rsidRPr="00540830">
        <w:rPr>
          <w:rFonts w:ascii="Times New Roman" w:hAnsi="Times New Roman"/>
          <w:szCs w:val="22"/>
        </w:rPr>
        <w:t xml:space="preserve"> </w:t>
      </w:r>
      <w:r w:rsidR="003D1F74" w:rsidRPr="00540830">
        <w:rPr>
          <w:rFonts w:ascii="Times New Roman" w:hAnsi="Times New Roman"/>
          <w:szCs w:val="22"/>
        </w:rPr>
        <w:t xml:space="preserve">for </w:t>
      </w:r>
      <w:r w:rsidR="00574B62" w:rsidRPr="00540830">
        <w:rPr>
          <w:rFonts w:ascii="Times New Roman" w:hAnsi="Times New Roman"/>
          <w:szCs w:val="22"/>
        </w:rPr>
        <w:t>Forward Auction Assignment Phase</w:t>
      </w:r>
      <w:r w:rsidR="009975DD" w:rsidRPr="00540830">
        <w:rPr>
          <w:rFonts w:ascii="Times New Roman" w:hAnsi="Times New Roman"/>
          <w:szCs w:val="22"/>
        </w:rPr>
        <w:t xml:space="preserve"> </w:t>
      </w:r>
      <w:r w:rsidR="003D1F74" w:rsidRPr="00540830">
        <w:rPr>
          <w:rFonts w:ascii="Times New Roman" w:hAnsi="Times New Roman"/>
          <w:szCs w:val="22"/>
        </w:rPr>
        <w:t>Bidding</w:t>
      </w:r>
    </w:p>
    <w:p w14:paraId="5C152E4A" w14:textId="4BF7718A" w:rsidR="00574B62" w:rsidRPr="00540830" w:rsidRDefault="00574B62" w:rsidP="0059717C">
      <w:pPr>
        <w:pStyle w:val="ParaNum"/>
        <w:widowControl/>
        <w:rPr>
          <w:szCs w:val="22"/>
        </w:rPr>
      </w:pPr>
      <w:r w:rsidRPr="00540830">
        <w:rPr>
          <w:szCs w:val="22"/>
        </w:rPr>
        <w:t xml:space="preserve">In the </w:t>
      </w:r>
      <w:r w:rsidRPr="00540830">
        <w:rPr>
          <w:i/>
          <w:szCs w:val="22"/>
        </w:rPr>
        <w:t>Auction 1000 Bidding Procedures Public Notice</w:t>
      </w:r>
      <w:r w:rsidRPr="00540830">
        <w:rPr>
          <w:szCs w:val="22"/>
        </w:rPr>
        <w:t>, the Commission adopted procedures for assignment phase</w:t>
      </w:r>
      <w:r w:rsidR="00A92C81" w:rsidRPr="00540830">
        <w:rPr>
          <w:szCs w:val="22"/>
        </w:rPr>
        <w:t xml:space="preserve"> </w:t>
      </w:r>
      <w:r w:rsidR="0016455A" w:rsidRPr="00540830">
        <w:rPr>
          <w:szCs w:val="22"/>
        </w:rPr>
        <w:t xml:space="preserve">bidding </w:t>
      </w:r>
      <w:r w:rsidR="00A92C81" w:rsidRPr="00540830">
        <w:rPr>
          <w:szCs w:val="22"/>
        </w:rPr>
        <w:t>which depend in part upon the Regional Economic Area Grouping (“REAG”) in which a PEA is included</w:t>
      </w:r>
      <w:r w:rsidRPr="00540830">
        <w:rPr>
          <w:szCs w:val="22"/>
        </w:rPr>
        <w:t>.</w:t>
      </w:r>
      <w:r w:rsidRPr="00540830">
        <w:rPr>
          <w:rStyle w:val="FootnoteReference"/>
          <w:sz w:val="22"/>
          <w:szCs w:val="22"/>
        </w:rPr>
        <w:footnoteReference w:id="21"/>
      </w:r>
      <w:r w:rsidRPr="00540830">
        <w:rPr>
          <w:szCs w:val="22"/>
        </w:rPr>
        <w:t xml:space="preserve">  </w:t>
      </w:r>
      <w:r w:rsidR="00A92C81" w:rsidRPr="00540830">
        <w:rPr>
          <w:szCs w:val="22"/>
        </w:rPr>
        <w:t xml:space="preserve">The public notice indicated that, </w:t>
      </w:r>
      <w:r w:rsidR="007A4BB9" w:rsidRPr="00540830">
        <w:rPr>
          <w:szCs w:val="22"/>
        </w:rPr>
        <w:t xml:space="preserve">for </w:t>
      </w:r>
      <w:r w:rsidR="008F5330" w:rsidRPr="00540830">
        <w:rPr>
          <w:szCs w:val="22"/>
        </w:rPr>
        <w:t xml:space="preserve">the </w:t>
      </w:r>
      <w:r w:rsidR="007E1F3F" w:rsidRPr="00540830">
        <w:rPr>
          <w:szCs w:val="22"/>
        </w:rPr>
        <w:t xml:space="preserve">grouping and sequencing of PEAs in the </w:t>
      </w:r>
      <w:r w:rsidR="007A4BB9" w:rsidRPr="00540830">
        <w:rPr>
          <w:szCs w:val="22"/>
        </w:rPr>
        <w:t>assignment rounds</w:t>
      </w:r>
      <w:r w:rsidR="007E1F3F" w:rsidRPr="00540830">
        <w:rPr>
          <w:szCs w:val="22"/>
        </w:rPr>
        <w:t>,</w:t>
      </w:r>
      <w:r w:rsidR="007A4BB9" w:rsidRPr="00540830">
        <w:rPr>
          <w:szCs w:val="22"/>
        </w:rPr>
        <w:t xml:space="preserve"> the PEAs in the six </w:t>
      </w:r>
      <w:r w:rsidR="00903496" w:rsidRPr="00540830">
        <w:rPr>
          <w:szCs w:val="22"/>
        </w:rPr>
        <w:t xml:space="preserve">least populous </w:t>
      </w:r>
      <w:r w:rsidRPr="00540830">
        <w:rPr>
          <w:szCs w:val="22"/>
        </w:rPr>
        <w:t>REAG</w:t>
      </w:r>
      <w:r w:rsidR="007A4BB9" w:rsidRPr="00540830">
        <w:rPr>
          <w:szCs w:val="22"/>
        </w:rPr>
        <w:t xml:space="preserve">s will be </w:t>
      </w:r>
      <w:r w:rsidR="00E673AA" w:rsidRPr="00540830">
        <w:rPr>
          <w:szCs w:val="22"/>
        </w:rPr>
        <w:t>included</w:t>
      </w:r>
      <w:r w:rsidR="00903496" w:rsidRPr="00540830">
        <w:rPr>
          <w:szCs w:val="22"/>
        </w:rPr>
        <w:t xml:space="preserve"> with the PEAs in </w:t>
      </w:r>
      <w:r w:rsidR="00D60663" w:rsidRPr="00540830">
        <w:rPr>
          <w:szCs w:val="22"/>
        </w:rPr>
        <w:t>one of the six REAGs</w:t>
      </w:r>
      <w:r w:rsidR="00BF5922" w:rsidRPr="00540830">
        <w:rPr>
          <w:szCs w:val="22"/>
        </w:rPr>
        <w:t xml:space="preserve"> </w:t>
      </w:r>
      <w:r w:rsidR="002F3D8E" w:rsidRPr="00540830">
        <w:rPr>
          <w:szCs w:val="22"/>
        </w:rPr>
        <w:t xml:space="preserve">that cover </w:t>
      </w:r>
      <w:r w:rsidR="00BF5922" w:rsidRPr="00540830">
        <w:rPr>
          <w:szCs w:val="22"/>
        </w:rPr>
        <w:t>the contiguous United States</w:t>
      </w:r>
      <w:r w:rsidRPr="00540830">
        <w:rPr>
          <w:szCs w:val="22"/>
        </w:rPr>
        <w:t>.</w:t>
      </w:r>
      <w:r w:rsidRPr="00540830">
        <w:rPr>
          <w:rStyle w:val="FootnoteReference"/>
          <w:sz w:val="22"/>
          <w:szCs w:val="22"/>
        </w:rPr>
        <w:footnoteReference w:id="22"/>
      </w:r>
      <w:r w:rsidRPr="00540830">
        <w:rPr>
          <w:szCs w:val="22"/>
        </w:rPr>
        <w:t xml:space="preserve">  Attachment 1 to this Public Notice </w:t>
      </w:r>
      <w:r w:rsidR="00E070CA" w:rsidRPr="00540830">
        <w:rPr>
          <w:szCs w:val="22"/>
        </w:rPr>
        <w:t xml:space="preserve">lists </w:t>
      </w:r>
      <w:r w:rsidRPr="00540830">
        <w:rPr>
          <w:szCs w:val="22"/>
        </w:rPr>
        <w:t xml:space="preserve">each PEA and the REAG </w:t>
      </w:r>
      <w:r w:rsidR="00E070CA" w:rsidRPr="00540830">
        <w:rPr>
          <w:szCs w:val="22"/>
        </w:rPr>
        <w:t xml:space="preserve">with which it will be associated for </w:t>
      </w:r>
      <w:r w:rsidR="003E252F" w:rsidRPr="00540830">
        <w:rPr>
          <w:szCs w:val="22"/>
        </w:rPr>
        <w:t>assignment phase bidding</w:t>
      </w:r>
      <w:r w:rsidR="00E070CA" w:rsidRPr="00540830">
        <w:rPr>
          <w:szCs w:val="22"/>
        </w:rPr>
        <w:t xml:space="preserve"> purposes</w:t>
      </w:r>
      <w:r w:rsidRPr="00540830">
        <w:rPr>
          <w:szCs w:val="22"/>
        </w:rPr>
        <w:t>.</w:t>
      </w:r>
      <w:r w:rsidR="009D1A12">
        <w:rPr>
          <w:rStyle w:val="FootnoteReference"/>
          <w:szCs w:val="22"/>
        </w:rPr>
        <w:footnoteReference w:id="23"/>
      </w:r>
      <w:r w:rsidRPr="00540830">
        <w:rPr>
          <w:szCs w:val="22"/>
        </w:rPr>
        <w:t xml:space="preserve">  </w:t>
      </w:r>
    </w:p>
    <w:p w14:paraId="339DAF91" w14:textId="77777777" w:rsidR="00217E7B" w:rsidRPr="00540830" w:rsidRDefault="00C14BE9" w:rsidP="000D5407">
      <w:pPr>
        <w:pStyle w:val="Heading1"/>
        <w:keepNext w:val="0"/>
        <w:widowControl/>
        <w:rPr>
          <w:rFonts w:ascii="Times New Roman" w:hAnsi="Times New Roman"/>
          <w:szCs w:val="22"/>
        </w:rPr>
      </w:pPr>
      <w:r w:rsidRPr="00540830">
        <w:rPr>
          <w:rFonts w:ascii="Times New Roman" w:hAnsi="Times New Roman"/>
          <w:szCs w:val="22"/>
        </w:rPr>
        <w:t>Corrections</w:t>
      </w:r>
      <w:r w:rsidR="003D1F74" w:rsidRPr="00540830">
        <w:rPr>
          <w:rFonts w:ascii="Times New Roman" w:hAnsi="Times New Roman"/>
          <w:szCs w:val="22"/>
        </w:rPr>
        <w:t xml:space="preserve"> and Notifications </w:t>
      </w:r>
      <w:r w:rsidRPr="00540830">
        <w:rPr>
          <w:rFonts w:ascii="Times New Roman" w:hAnsi="Times New Roman"/>
          <w:szCs w:val="22"/>
        </w:rPr>
        <w:t>to</w:t>
      </w:r>
      <w:r w:rsidR="00B67CF7" w:rsidRPr="00540830">
        <w:rPr>
          <w:rFonts w:ascii="Times New Roman" w:hAnsi="Times New Roman"/>
          <w:szCs w:val="22"/>
        </w:rPr>
        <w:t xml:space="preserve"> </w:t>
      </w:r>
      <w:r w:rsidRPr="00540830">
        <w:rPr>
          <w:rFonts w:ascii="Times New Roman" w:hAnsi="Times New Roman"/>
          <w:szCs w:val="22"/>
        </w:rPr>
        <w:t>Technical</w:t>
      </w:r>
      <w:r w:rsidR="00217E7B" w:rsidRPr="00540830">
        <w:rPr>
          <w:rFonts w:ascii="Times New Roman" w:hAnsi="Times New Roman"/>
          <w:szCs w:val="22"/>
        </w:rPr>
        <w:t xml:space="preserve"> Appendices </w:t>
      </w:r>
    </w:p>
    <w:p w14:paraId="4365099E" w14:textId="67A40ADF" w:rsidR="00895D33" w:rsidRPr="00540830" w:rsidRDefault="009975DD" w:rsidP="00514AE6">
      <w:pPr>
        <w:pStyle w:val="ParaNum"/>
        <w:rPr>
          <w:szCs w:val="22"/>
        </w:rPr>
      </w:pPr>
      <w:r w:rsidRPr="00540830">
        <w:rPr>
          <w:szCs w:val="22"/>
        </w:rPr>
        <w:t>T</w:t>
      </w:r>
      <w:r w:rsidR="00895D33" w:rsidRPr="00540830">
        <w:rPr>
          <w:szCs w:val="22"/>
        </w:rPr>
        <w:t xml:space="preserve">he Bureau </w:t>
      </w:r>
      <w:r w:rsidRPr="00540830">
        <w:rPr>
          <w:szCs w:val="22"/>
        </w:rPr>
        <w:t xml:space="preserve">makes ministerial changes to two of the appendices released with the </w:t>
      </w:r>
      <w:r w:rsidRPr="00540830">
        <w:rPr>
          <w:i/>
          <w:szCs w:val="22"/>
        </w:rPr>
        <w:t>Auction 1000 Application Procedures Public Notice</w:t>
      </w:r>
      <w:r w:rsidRPr="00540830">
        <w:rPr>
          <w:szCs w:val="22"/>
        </w:rPr>
        <w:t xml:space="preserve">.  First, we </w:t>
      </w:r>
      <w:r w:rsidR="00895D33" w:rsidRPr="00540830">
        <w:rPr>
          <w:szCs w:val="22"/>
        </w:rPr>
        <w:t>correct typograp</w:t>
      </w:r>
      <w:r w:rsidR="004618FE" w:rsidRPr="00540830">
        <w:rPr>
          <w:szCs w:val="22"/>
        </w:rPr>
        <w:t xml:space="preserve">hical errors in the text of </w:t>
      </w:r>
      <w:r w:rsidR="00895D33" w:rsidRPr="00540830">
        <w:rPr>
          <w:szCs w:val="22"/>
        </w:rPr>
        <w:t xml:space="preserve">APPENDIX D </w:t>
      </w:r>
      <w:r w:rsidR="004618FE" w:rsidRPr="00540830">
        <w:rPr>
          <w:szCs w:val="22"/>
        </w:rPr>
        <w:t>to</w:t>
      </w:r>
      <w:r w:rsidR="00B67CF7" w:rsidRPr="00540830">
        <w:rPr>
          <w:szCs w:val="22"/>
        </w:rPr>
        <w:t xml:space="preserve"> the</w:t>
      </w:r>
      <w:r w:rsidR="00895D33" w:rsidRPr="00540830">
        <w:rPr>
          <w:szCs w:val="22"/>
        </w:rPr>
        <w:t xml:space="preserve"> </w:t>
      </w:r>
      <w:r w:rsidR="00895D33" w:rsidRPr="00540830">
        <w:rPr>
          <w:i/>
          <w:szCs w:val="22"/>
        </w:rPr>
        <w:t>Auction 1000 Application Procedures Public Notice</w:t>
      </w:r>
      <w:r w:rsidR="00895D33" w:rsidRPr="00540830">
        <w:rPr>
          <w:szCs w:val="22"/>
        </w:rPr>
        <w:t>.</w:t>
      </w:r>
      <w:r w:rsidR="00895D33" w:rsidRPr="00540830">
        <w:rPr>
          <w:rStyle w:val="FootnoteReference"/>
          <w:sz w:val="22"/>
          <w:szCs w:val="22"/>
        </w:rPr>
        <w:footnoteReference w:id="24"/>
      </w:r>
      <w:r w:rsidR="00895D33" w:rsidRPr="00540830">
        <w:rPr>
          <w:szCs w:val="22"/>
        </w:rPr>
        <w:t xml:space="preserve">  Specifically</w:t>
      </w:r>
      <w:r w:rsidR="00253714">
        <w:rPr>
          <w:szCs w:val="22"/>
        </w:rPr>
        <w:t>,</w:t>
      </w:r>
      <w:r w:rsidR="00895D33" w:rsidRPr="00540830">
        <w:rPr>
          <w:szCs w:val="22"/>
        </w:rPr>
        <w:t xml:space="preserve"> in Section 5.5 of APPENDIX D, (a) the variable </w:t>
      </w:r>
      <m:oMath>
        <m:r>
          <w:rPr>
            <w:rFonts w:ascii="Cambria Math" w:hAnsi="Cambria Math"/>
            <w:color w:val="000000" w:themeColor="text1"/>
            <w:szCs w:val="22"/>
          </w:rPr>
          <m:t>u</m:t>
        </m:r>
      </m:oMath>
      <w:r w:rsidR="00895D33" w:rsidRPr="00540830">
        <w:rPr>
          <w:szCs w:val="22"/>
        </w:rPr>
        <w:t xml:space="preserve"> and the variable </w:t>
      </w:r>
      <m:oMath>
        <m:r>
          <w:rPr>
            <w:rFonts w:ascii="Cambria Math" w:hAnsi="Cambria Math"/>
            <w:szCs w:val="22"/>
          </w:rPr>
          <m:t>s</m:t>
        </m:r>
      </m:oMath>
      <w:r w:rsidR="00895D33" w:rsidRPr="00540830">
        <w:rPr>
          <w:szCs w:val="22"/>
        </w:rPr>
        <w:t xml:space="preserve"> should be </w:t>
      </w:r>
      <w:r w:rsidR="00B67CF7" w:rsidRPr="00540830">
        <w:rPr>
          <w:szCs w:val="22"/>
        </w:rPr>
        <w:t>switched in</w:t>
      </w:r>
      <w:r w:rsidR="00895D33" w:rsidRPr="00540830">
        <w:rPr>
          <w:szCs w:val="22"/>
        </w:rPr>
        <w:t xml:space="preserve"> much of the text in the section, including the examples, and (b) the variable </w:t>
      </w:r>
      <m:oMath>
        <m:r>
          <w:rPr>
            <w:rFonts w:ascii="Cambria Math" w:hAnsi="Cambria Math"/>
            <w:szCs w:val="22"/>
          </w:rPr>
          <m:t>t</m:t>
        </m:r>
      </m:oMath>
      <w:r w:rsidR="00895D33" w:rsidRPr="00540830">
        <w:rPr>
          <w:szCs w:val="22"/>
        </w:rPr>
        <w:t xml:space="preserve"> in Example 3 should be replaced by the variable </w:t>
      </w:r>
      <m:oMath>
        <m:r>
          <w:rPr>
            <w:rFonts w:ascii="Cambria Math" w:hAnsi="Cambria Math"/>
            <w:szCs w:val="22"/>
          </w:rPr>
          <m:t>s</m:t>
        </m:r>
      </m:oMath>
      <w:r w:rsidR="00895D33" w:rsidRPr="00540830">
        <w:rPr>
          <w:szCs w:val="22"/>
        </w:rPr>
        <w:t>.  The corrected text to Section 5.5 of APPENDIX D is shown</w:t>
      </w:r>
      <w:r w:rsidR="00B67CF7" w:rsidRPr="00540830">
        <w:rPr>
          <w:szCs w:val="22"/>
        </w:rPr>
        <w:t xml:space="preserve"> in</w:t>
      </w:r>
      <w:r w:rsidR="00895D33" w:rsidRPr="00540830">
        <w:rPr>
          <w:szCs w:val="22"/>
        </w:rPr>
        <w:t xml:space="preserve"> </w:t>
      </w:r>
      <w:r w:rsidR="00B67CF7" w:rsidRPr="00540830">
        <w:rPr>
          <w:szCs w:val="22"/>
        </w:rPr>
        <w:t>Attachment</w:t>
      </w:r>
      <w:r w:rsidR="00895D33" w:rsidRPr="00540830">
        <w:rPr>
          <w:szCs w:val="22"/>
        </w:rPr>
        <w:t xml:space="preserve"> 2 </w:t>
      </w:r>
      <w:r w:rsidR="00E55262" w:rsidRPr="00540830">
        <w:rPr>
          <w:szCs w:val="22"/>
        </w:rPr>
        <w:t>of</w:t>
      </w:r>
      <w:r w:rsidR="00895D33" w:rsidRPr="00540830">
        <w:rPr>
          <w:szCs w:val="22"/>
        </w:rPr>
        <w:t xml:space="preserve"> this </w:t>
      </w:r>
      <w:r w:rsidR="00B67CF7" w:rsidRPr="00540830">
        <w:rPr>
          <w:szCs w:val="22"/>
        </w:rPr>
        <w:t>Public Notice</w:t>
      </w:r>
      <w:r w:rsidR="00895D33" w:rsidRPr="00540830">
        <w:rPr>
          <w:szCs w:val="22"/>
        </w:rPr>
        <w:t xml:space="preserve">.    </w:t>
      </w:r>
    </w:p>
    <w:p w14:paraId="162ED83B" w14:textId="77777777" w:rsidR="00217E7B" w:rsidRPr="00540830" w:rsidRDefault="00895D33" w:rsidP="00C14BE9">
      <w:pPr>
        <w:pStyle w:val="ParaNum"/>
        <w:rPr>
          <w:szCs w:val="22"/>
        </w:rPr>
      </w:pPr>
      <w:r w:rsidRPr="00540830">
        <w:rPr>
          <w:szCs w:val="22"/>
        </w:rPr>
        <w:t xml:space="preserve">We </w:t>
      </w:r>
      <w:r w:rsidR="00C515CF" w:rsidRPr="00540830">
        <w:rPr>
          <w:szCs w:val="22"/>
        </w:rPr>
        <w:t xml:space="preserve">also </w:t>
      </w:r>
      <w:r w:rsidRPr="00540830">
        <w:rPr>
          <w:szCs w:val="22"/>
        </w:rPr>
        <w:t>note</w:t>
      </w:r>
      <w:r w:rsidR="00C515CF" w:rsidRPr="00540830">
        <w:rPr>
          <w:szCs w:val="22"/>
        </w:rPr>
        <w:t xml:space="preserve"> that</w:t>
      </w:r>
      <w:r w:rsidRPr="00540830">
        <w:rPr>
          <w:szCs w:val="22"/>
        </w:rPr>
        <w:t xml:space="preserve"> in Section 3.2 of APPENDIX E </w:t>
      </w:r>
      <w:r w:rsidR="00E55262" w:rsidRPr="00540830">
        <w:rPr>
          <w:szCs w:val="22"/>
        </w:rPr>
        <w:t>to</w:t>
      </w:r>
      <w:r w:rsidR="00C515CF" w:rsidRPr="00540830">
        <w:rPr>
          <w:szCs w:val="22"/>
        </w:rPr>
        <w:t xml:space="preserve"> the</w:t>
      </w:r>
      <w:r w:rsidRPr="00540830">
        <w:rPr>
          <w:szCs w:val="22"/>
        </w:rPr>
        <w:t xml:space="preserve"> </w:t>
      </w:r>
      <w:r w:rsidRPr="00540830">
        <w:rPr>
          <w:i/>
          <w:szCs w:val="22"/>
        </w:rPr>
        <w:t>Auction 1000 Application Procedures Public Notice</w:t>
      </w:r>
      <w:r w:rsidR="00B659FE" w:rsidRPr="00540830">
        <w:rPr>
          <w:szCs w:val="22"/>
        </w:rPr>
        <w:t>,</w:t>
      </w:r>
      <w:r w:rsidRPr="00540830">
        <w:rPr>
          <w:rStyle w:val="FootnoteReference"/>
          <w:sz w:val="22"/>
          <w:szCs w:val="22"/>
        </w:rPr>
        <w:footnoteReference w:id="25"/>
      </w:r>
      <w:r w:rsidRPr="00540830">
        <w:rPr>
          <w:szCs w:val="22"/>
        </w:rPr>
        <w:t xml:space="preserve"> </w:t>
      </w:r>
      <m:oMath>
        <m:sSub>
          <m:sSubPr>
            <m:ctrlPr>
              <w:rPr>
                <w:rFonts w:ascii="Cambria Math" w:eastAsiaTheme="minorEastAsia" w:hAnsi="Cambria Math"/>
                <w:i/>
                <w:szCs w:val="22"/>
              </w:rPr>
            </m:ctrlPr>
          </m:sSubPr>
          <m:e>
            <m:r>
              <w:rPr>
                <w:rFonts w:ascii="Cambria Math" w:eastAsiaTheme="minorEastAsia" w:hAnsi="Cambria Math"/>
                <w:szCs w:val="22"/>
              </w:rPr>
              <m:t>SC</m:t>
            </m:r>
          </m:e>
          <m:sub>
            <m:r>
              <w:rPr>
                <w:rFonts w:ascii="Cambria Math" w:eastAsiaTheme="minorEastAsia" w:hAnsi="Cambria Math"/>
                <w:szCs w:val="22"/>
              </w:rPr>
              <m:t>(s,c)</m:t>
            </m:r>
          </m:sub>
        </m:sSub>
      </m:oMath>
      <w:r w:rsidRPr="00540830">
        <w:rPr>
          <w:szCs w:val="22"/>
        </w:rPr>
        <w:t xml:space="preserve"> includes those Mexican stations </w:t>
      </w:r>
      <w:r w:rsidR="00E771C6" w:rsidRPr="00540830">
        <w:rPr>
          <w:szCs w:val="22"/>
        </w:rPr>
        <w:t>that</w:t>
      </w:r>
      <w:r w:rsidRPr="00540830">
        <w:rPr>
          <w:szCs w:val="22"/>
        </w:rPr>
        <w:t xml:space="preserve"> cause pairwise interference less than 0.5 percent to U.S. stations when placed on their future channel as specified in the </w:t>
      </w:r>
      <w:r w:rsidRPr="00540830">
        <w:rPr>
          <w:i/>
          <w:szCs w:val="22"/>
        </w:rPr>
        <w:t>Mexican Coordination</w:t>
      </w:r>
      <w:r w:rsidRPr="00540830">
        <w:rPr>
          <w:szCs w:val="22"/>
        </w:rPr>
        <w:t>.</w:t>
      </w:r>
      <w:r w:rsidRPr="00540830">
        <w:rPr>
          <w:rStyle w:val="FootnoteReference"/>
          <w:sz w:val="22"/>
          <w:szCs w:val="22"/>
        </w:rPr>
        <w:footnoteReference w:id="26"/>
      </w:r>
    </w:p>
    <w:p w14:paraId="1E29FD24" w14:textId="77777777" w:rsidR="00574B62" w:rsidRPr="00540830" w:rsidRDefault="00574B62" w:rsidP="0059717C">
      <w:pPr>
        <w:pStyle w:val="Heading1"/>
        <w:keepNext w:val="0"/>
        <w:widowControl/>
        <w:rPr>
          <w:rFonts w:ascii="Times New Roman" w:hAnsi="Times New Roman"/>
          <w:szCs w:val="22"/>
        </w:rPr>
      </w:pPr>
      <w:r w:rsidRPr="00540830">
        <w:rPr>
          <w:rFonts w:ascii="Times New Roman" w:hAnsi="Times New Roman"/>
          <w:szCs w:val="22"/>
        </w:rPr>
        <w:t>Additional Information</w:t>
      </w:r>
    </w:p>
    <w:p w14:paraId="4BE12046" w14:textId="2359CFF3" w:rsidR="00574B62" w:rsidRPr="00540830" w:rsidRDefault="00574B62" w:rsidP="0059717C">
      <w:pPr>
        <w:pStyle w:val="ParaNum"/>
        <w:widowControl/>
        <w:rPr>
          <w:szCs w:val="22"/>
        </w:rPr>
      </w:pPr>
      <w:r w:rsidRPr="00540830">
        <w:rPr>
          <w:szCs w:val="22"/>
        </w:rPr>
        <w:t xml:space="preserve">For general auction questions, contact Linda Sanderson, </w:t>
      </w:r>
      <w:hyperlink r:id="rId9" w:history="1">
        <w:r w:rsidRPr="00540830">
          <w:rPr>
            <w:rStyle w:val="Hyperlink"/>
            <w:szCs w:val="22"/>
          </w:rPr>
          <w:t>Linda.Sanderson@fcc.gov</w:t>
        </w:r>
      </w:hyperlink>
      <w:r w:rsidRPr="00540830">
        <w:rPr>
          <w:szCs w:val="22"/>
        </w:rPr>
        <w:t xml:space="preserve">, (717) 338-2868.  For reverse auction legal questions, contact Erin Griffith, </w:t>
      </w:r>
      <w:hyperlink r:id="rId10" w:history="1">
        <w:r w:rsidRPr="00540830">
          <w:rPr>
            <w:rStyle w:val="Hyperlink"/>
            <w:szCs w:val="22"/>
          </w:rPr>
          <w:t>Erin.Griffith@fcc.gov</w:t>
        </w:r>
      </w:hyperlink>
      <w:r w:rsidRPr="00540830">
        <w:rPr>
          <w:szCs w:val="22"/>
        </w:rPr>
        <w:t xml:space="preserve">, (202) 418-0660, or Kathryn Hinton, </w:t>
      </w:r>
      <w:hyperlink r:id="rId11" w:history="1">
        <w:r w:rsidRPr="00540830">
          <w:rPr>
            <w:rStyle w:val="Hyperlink"/>
            <w:szCs w:val="22"/>
          </w:rPr>
          <w:t>Kathryn.Hinton@fcc.gov</w:t>
        </w:r>
      </w:hyperlink>
      <w:r w:rsidRPr="00540830">
        <w:rPr>
          <w:szCs w:val="22"/>
        </w:rPr>
        <w:t>, (202) 418</w:t>
      </w:r>
      <w:r w:rsidRPr="00540830">
        <w:rPr>
          <w:szCs w:val="22"/>
        </w:rPr>
        <w:noBreakHyphen/>
        <w:t xml:space="preserve">0660.  For forward auction legal questions, contact Leslie Barnes, </w:t>
      </w:r>
      <w:hyperlink r:id="rId12" w:history="1">
        <w:r w:rsidRPr="00540830">
          <w:rPr>
            <w:rStyle w:val="Hyperlink"/>
            <w:szCs w:val="22"/>
          </w:rPr>
          <w:t>Leslie.Barnes@fcc.gov</w:t>
        </w:r>
      </w:hyperlink>
      <w:r w:rsidRPr="00540830">
        <w:rPr>
          <w:szCs w:val="22"/>
        </w:rPr>
        <w:t xml:space="preserve">, (202) 418-0660, or Valerie Barrish, </w:t>
      </w:r>
      <w:hyperlink r:id="rId13" w:history="1">
        <w:r w:rsidRPr="00540830">
          <w:rPr>
            <w:rStyle w:val="Hyperlink"/>
            <w:szCs w:val="22"/>
          </w:rPr>
          <w:t>Valerie.Barrish@fcc.gov</w:t>
        </w:r>
      </w:hyperlink>
      <w:r w:rsidRPr="00540830">
        <w:rPr>
          <w:szCs w:val="22"/>
        </w:rPr>
        <w:t>, (202) 418-0660.  Press contact:</w:t>
      </w:r>
      <w:r w:rsidR="00DC616A" w:rsidRPr="00540830">
        <w:rPr>
          <w:szCs w:val="22"/>
        </w:rPr>
        <w:t xml:space="preserve"> </w:t>
      </w:r>
      <w:r w:rsidRPr="00540830">
        <w:rPr>
          <w:szCs w:val="22"/>
        </w:rPr>
        <w:t xml:space="preserve"> Charles Meisch, </w:t>
      </w:r>
      <w:hyperlink r:id="rId14" w:history="1">
        <w:r w:rsidRPr="00540830">
          <w:rPr>
            <w:rStyle w:val="Hyperlink"/>
            <w:szCs w:val="22"/>
          </w:rPr>
          <w:t>Charles.Meisch@fcc.gov</w:t>
        </w:r>
      </w:hyperlink>
      <w:r w:rsidRPr="00540830">
        <w:rPr>
          <w:szCs w:val="22"/>
        </w:rPr>
        <w:t>, (202) 418-2943.  Additional information for potential Broadcast Incentive Auction participants is available at the Auction 1000 web page (</w:t>
      </w:r>
      <w:hyperlink r:id="rId15" w:history="1">
        <w:r w:rsidRPr="00540830">
          <w:rPr>
            <w:rStyle w:val="Hyperlink"/>
            <w:szCs w:val="22"/>
          </w:rPr>
          <w:t>http://www.fcc.gov/auctions/1000</w:t>
        </w:r>
      </w:hyperlink>
      <w:r w:rsidRPr="00540830">
        <w:rPr>
          <w:szCs w:val="22"/>
        </w:rPr>
        <w:t xml:space="preserve">).  </w:t>
      </w:r>
    </w:p>
    <w:p w14:paraId="16A0013D" w14:textId="77777777" w:rsidR="002F66B4" w:rsidRPr="00540830" w:rsidRDefault="002F66B4" w:rsidP="0059717C">
      <w:pPr>
        <w:widowControl/>
        <w:spacing w:after="120"/>
        <w:rPr>
          <w:szCs w:val="22"/>
        </w:rPr>
      </w:pPr>
    </w:p>
    <w:p w14:paraId="135C328A" w14:textId="77777777" w:rsidR="00574B62" w:rsidRPr="00540830" w:rsidRDefault="00DC616A" w:rsidP="00826E65">
      <w:pPr>
        <w:pStyle w:val="ParaNum"/>
        <w:widowControl/>
        <w:numPr>
          <w:ilvl w:val="0"/>
          <w:numId w:val="0"/>
        </w:numPr>
        <w:jc w:val="center"/>
        <w:rPr>
          <w:szCs w:val="22"/>
        </w:rPr>
      </w:pPr>
      <w:r w:rsidRPr="00540830">
        <w:rPr>
          <w:b/>
          <w:bCs/>
          <w:szCs w:val="22"/>
        </w:rPr>
        <w:t>–</w:t>
      </w:r>
      <w:r w:rsidR="002F66B4" w:rsidRPr="00540830">
        <w:rPr>
          <w:b/>
          <w:bCs/>
          <w:szCs w:val="22"/>
        </w:rPr>
        <w:t xml:space="preserve"> </w:t>
      </w:r>
      <w:r w:rsidR="002F66B4" w:rsidRPr="00540830">
        <w:rPr>
          <w:b/>
          <w:szCs w:val="22"/>
        </w:rPr>
        <w:t xml:space="preserve">FCC </w:t>
      </w:r>
      <w:r w:rsidR="002F66B4" w:rsidRPr="00540830">
        <w:rPr>
          <w:b/>
          <w:bCs/>
          <w:szCs w:val="22"/>
        </w:rPr>
        <w:t>–</w:t>
      </w:r>
    </w:p>
    <w:p w14:paraId="530BA682" w14:textId="77777777" w:rsidR="00102331" w:rsidRDefault="00102331">
      <w:pPr>
        <w:pStyle w:val="ParaNum"/>
        <w:widowControl/>
        <w:numPr>
          <w:ilvl w:val="0"/>
          <w:numId w:val="0"/>
        </w:numPr>
        <w:rPr>
          <w:szCs w:val="22"/>
        </w:rPr>
      </w:pPr>
    </w:p>
    <w:p w14:paraId="00FFA2EB" w14:textId="77777777" w:rsidR="00102331" w:rsidRDefault="00102331" w:rsidP="00102331">
      <w:pPr>
        <w:pStyle w:val="ParaNum"/>
        <w:widowControl/>
        <w:numPr>
          <w:ilvl w:val="0"/>
          <w:numId w:val="0"/>
        </w:numPr>
        <w:rPr>
          <w:szCs w:val="22"/>
        </w:rPr>
      </w:pPr>
    </w:p>
    <w:p w14:paraId="6A19D51B" w14:textId="77777777" w:rsidR="00102331" w:rsidRDefault="00102331" w:rsidP="00102331">
      <w:pPr>
        <w:pStyle w:val="ParaNum"/>
        <w:widowControl/>
        <w:numPr>
          <w:ilvl w:val="0"/>
          <w:numId w:val="0"/>
        </w:numPr>
        <w:rPr>
          <w:szCs w:val="22"/>
        </w:rPr>
        <w:sectPr w:rsidR="00102331" w:rsidSect="00D4581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720" w:left="1440" w:header="720" w:footer="720" w:gutter="0"/>
          <w:cols w:space="720"/>
          <w:noEndnote/>
          <w:titlePg/>
          <w:docGrid w:linePitch="299"/>
        </w:sectPr>
      </w:pPr>
    </w:p>
    <w:p w14:paraId="7C114E70" w14:textId="77777777" w:rsidR="00CD4E6A" w:rsidRDefault="00161D94" w:rsidP="0059717C">
      <w:pPr>
        <w:widowControl/>
        <w:jc w:val="center"/>
        <w:rPr>
          <w:b/>
          <w:sz w:val="26"/>
          <w:szCs w:val="26"/>
        </w:rPr>
      </w:pPr>
      <w:r>
        <w:rPr>
          <w:b/>
          <w:sz w:val="26"/>
          <w:szCs w:val="26"/>
        </w:rPr>
        <w:t>ATTACHMENT 1</w:t>
      </w:r>
      <w:bookmarkEnd w:id="4"/>
      <w:bookmarkEnd w:id="5"/>
      <w:bookmarkEnd w:id="6"/>
      <w:bookmarkEnd w:id="7"/>
      <w:bookmarkEnd w:id="8"/>
      <w:bookmarkEnd w:id="9"/>
      <w:bookmarkEnd w:id="10"/>
      <w:bookmarkEnd w:id="11"/>
      <w:bookmarkEnd w:id="12"/>
      <w:bookmarkEnd w:id="13"/>
      <w:bookmarkEnd w:id="14"/>
      <w:bookmarkEnd w:id="15"/>
    </w:p>
    <w:p w14:paraId="3EFB1DFE" w14:textId="77777777" w:rsidR="00A41A74" w:rsidRDefault="00A41A74" w:rsidP="0059717C">
      <w:pPr>
        <w:widowControl/>
        <w:jc w:val="center"/>
        <w:rPr>
          <w:b/>
          <w:sz w:val="26"/>
          <w:szCs w:val="26"/>
        </w:rPr>
      </w:pPr>
    </w:p>
    <w:p w14:paraId="42BA6421" w14:textId="77777777" w:rsidR="00A41A74" w:rsidRPr="00A41A74" w:rsidRDefault="00A41A74" w:rsidP="0059717C">
      <w:pPr>
        <w:widowControl/>
        <w:jc w:val="center"/>
        <w:rPr>
          <w:b/>
          <w:szCs w:val="22"/>
        </w:rPr>
      </w:pPr>
      <w:r w:rsidRPr="00A41A74">
        <w:rPr>
          <w:b/>
          <w:szCs w:val="22"/>
        </w:rPr>
        <w:t xml:space="preserve">PEAs </w:t>
      </w:r>
      <w:r w:rsidR="00135EF3">
        <w:rPr>
          <w:b/>
          <w:szCs w:val="22"/>
        </w:rPr>
        <w:t xml:space="preserve">and Associated REAGs </w:t>
      </w:r>
      <w:r w:rsidRPr="00A41A74">
        <w:rPr>
          <w:b/>
          <w:szCs w:val="22"/>
        </w:rPr>
        <w:t>for Assignment Phase Bidding</w:t>
      </w:r>
    </w:p>
    <w:p w14:paraId="03A00B14" w14:textId="77777777" w:rsidR="00A41A74" w:rsidRDefault="00A41A74" w:rsidP="00A41A74">
      <w:pPr>
        <w:widowControl/>
        <w:jc w:val="center"/>
        <w:rPr>
          <w:b/>
          <w:sz w:val="26"/>
          <w:szCs w:val="26"/>
        </w:rPr>
      </w:pPr>
    </w:p>
    <w:tbl>
      <w:tblPr>
        <w:tblW w:w="7814" w:type="dxa"/>
        <w:jc w:val="center"/>
        <w:tblLook w:val="04A0" w:firstRow="1" w:lastRow="0" w:firstColumn="1" w:lastColumn="0" w:noHBand="0" w:noVBand="1"/>
      </w:tblPr>
      <w:tblGrid>
        <w:gridCol w:w="1165"/>
        <w:gridCol w:w="3220"/>
        <w:gridCol w:w="326"/>
        <w:gridCol w:w="1044"/>
        <w:gridCol w:w="2059"/>
      </w:tblGrid>
      <w:tr w:rsidR="00A41A74" w:rsidRPr="00325607" w14:paraId="5A48E30E" w14:textId="77777777" w:rsidTr="00325607">
        <w:trPr>
          <w:cantSplit/>
          <w:trHeight w:val="600"/>
          <w:tblHeader/>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D59D83" w14:textId="77777777" w:rsidR="00A41A74" w:rsidRPr="00325607" w:rsidRDefault="00A41A74" w:rsidP="00A41A74">
            <w:pPr>
              <w:widowControl/>
              <w:jc w:val="center"/>
              <w:rPr>
                <w:b/>
                <w:bCs/>
                <w:snapToGrid/>
                <w:color w:val="000000"/>
                <w:kern w:val="0"/>
                <w:szCs w:val="22"/>
              </w:rPr>
            </w:pPr>
            <w:bookmarkStart w:id="16" w:name="RANGE!A4:E430"/>
            <w:r w:rsidRPr="00325607">
              <w:rPr>
                <w:b/>
                <w:bCs/>
                <w:snapToGrid/>
                <w:color w:val="000000"/>
                <w:kern w:val="0"/>
                <w:szCs w:val="22"/>
              </w:rPr>
              <w:t xml:space="preserve">PEA </w:t>
            </w:r>
            <w:r w:rsidRPr="00325607">
              <w:rPr>
                <w:b/>
                <w:bCs/>
                <w:snapToGrid/>
                <w:color w:val="000000"/>
                <w:kern w:val="0"/>
                <w:szCs w:val="22"/>
              </w:rPr>
              <w:br/>
              <w:t>Number</w:t>
            </w:r>
            <w:bookmarkEnd w:id="16"/>
          </w:p>
        </w:tc>
        <w:tc>
          <w:tcPr>
            <w:tcW w:w="3220" w:type="dxa"/>
            <w:tcBorders>
              <w:top w:val="single" w:sz="4" w:space="0" w:color="auto"/>
              <w:left w:val="nil"/>
              <w:bottom w:val="single" w:sz="4" w:space="0" w:color="auto"/>
              <w:right w:val="nil"/>
            </w:tcBorders>
            <w:shd w:val="clear" w:color="auto" w:fill="auto"/>
            <w:noWrap/>
            <w:vAlign w:val="bottom"/>
            <w:hideMark/>
          </w:tcPr>
          <w:p w14:paraId="77087A9C" w14:textId="77777777" w:rsidR="00A41A74" w:rsidRPr="00325607" w:rsidRDefault="00A41A74" w:rsidP="00325607">
            <w:pPr>
              <w:widowControl/>
              <w:rPr>
                <w:b/>
                <w:bCs/>
                <w:snapToGrid/>
                <w:color w:val="000000"/>
                <w:kern w:val="0"/>
                <w:szCs w:val="22"/>
              </w:rPr>
            </w:pPr>
            <w:r w:rsidRPr="00325607">
              <w:rPr>
                <w:b/>
                <w:bCs/>
                <w:snapToGrid/>
                <w:color w:val="000000"/>
                <w:kern w:val="0"/>
                <w:szCs w:val="22"/>
              </w:rPr>
              <w:t>PEA Name</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1B54B294" w14:textId="77777777" w:rsidR="00A41A74" w:rsidRPr="00325607" w:rsidRDefault="00A41A74" w:rsidP="00A41A74">
            <w:pPr>
              <w:widowControl/>
              <w:jc w:val="center"/>
              <w:rPr>
                <w:b/>
                <w:bCs/>
                <w:snapToGrid/>
                <w:color w:val="000000"/>
                <w:kern w:val="0"/>
                <w:szCs w:val="22"/>
              </w:rPr>
            </w:pP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1B538DA4" w14:textId="77777777" w:rsidR="00A41A74" w:rsidRPr="00325607" w:rsidRDefault="00A41A74" w:rsidP="00A41A74">
            <w:pPr>
              <w:widowControl/>
              <w:jc w:val="center"/>
              <w:rPr>
                <w:b/>
                <w:bCs/>
                <w:snapToGrid/>
                <w:color w:val="000000"/>
                <w:kern w:val="0"/>
                <w:szCs w:val="22"/>
              </w:rPr>
            </w:pPr>
            <w:r w:rsidRPr="00325607">
              <w:rPr>
                <w:b/>
                <w:bCs/>
                <w:snapToGrid/>
                <w:color w:val="000000"/>
                <w:kern w:val="0"/>
                <w:szCs w:val="22"/>
              </w:rPr>
              <w:t xml:space="preserve">REAG </w:t>
            </w:r>
            <w:r w:rsidRPr="00325607">
              <w:rPr>
                <w:b/>
                <w:bCs/>
                <w:snapToGrid/>
                <w:color w:val="000000"/>
                <w:kern w:val="0"/>
                <w:szCs w:val="22"/>
              </w:rPr>
              <w:br/>
              <w:t>Number</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6F6D970E" w14:textId="77777777" w:rsidR="00A41A74" w:rsidRPr="00325607" w:rsidRDefault="00A41A74" w:rsidP="00325607">
            <w:pPr>
              <w:widowControl/>
              <w:rPr>
                <w:b/>
                <w:bCs/>
                <w:snapToGrid/>
                <w:color w:val="000000"/>
                <w:kern w:val="0"/>
                <w:szCs w:val="22"/>
              </w:rPr>
            </w:pPr>
            <w:r w:rsidRPr="00325607">
              <w:rPr>
                <w:b/>
                <w:bCs/>
                <w:snapToGrid/>
                <w:color w:val="000000"/>
                <w:kern w:val="0"/>
                <w:szCs w:val="22"/>
              </w:rPr>
              <w:t>REAG Name</w:t>
            </w:r>
          </w:p>
        </w:tc>
      </w:tr>
      <w:tr w:rsidR="00A41A74" w:rsidRPr="00325607" w14:paraId="5559306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93B6A6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PEA001</w:t>
            </w:r>
          </w:p>
        </w:tc>
        <w:tc>
          <w:tcPr>
            <w:tcW w:w="3220" w:type="dxa"/>
            <w:tcBorders>
              <w:top w:val="nil"/>
              <w:left w:val="nil"/>
              <w:bottom w:val="single" w:sz="4" w:space="0" w:color="auto"/>
              <w:right w:val="nil"/>
            </w:tcBorders>
            <w:shd w:val="clear" w:color="auto" w:fill="auto"/>
            <w:noWrap/>
            <w:vAlign w:val="bottom"/>
            <w:hideMark/>
          </w:tcPr>
          <w:p w14:paraId="376CB9FF" w14:textId="77777777" w:rsidR="00A41A74" w:rsidRPr="00325607" w:rsidRDefault="00A41A74" w:rsidP="00325607">
            <w:pPr>
              <w:widowControl/>
              <w:rPr>
                <w:snapToGrid/>
                <w:color w:val="000000"/>
                <w:kern w:val="0"/>
                <w:szCs w:val="22"/>
              </w:rPr>
            </w:pPr>
            <w:r w:rsidRPr="00325607">
              <w:rPr>
                <w:snapToGrid/>
                <w:color w:val="000000"/>
                <w:kern w:val="0"/>
                <w:szCs w:val="22"/>
              </w:rPr>
              <w:t>New York, NY</w:t>
            </w:r>
          </w:p>
        </w:tc>
        <w:tc>
          <w:tcPr>
            <w:tcW w:w="326" w:type="dxa"/>
            <w:tcBorders>
              <w:top w:val="nil"/>
              <w:left w:val="nil"/>
              <w:bottom w:val="single" w:sz="4" w:space="0" w:color="auto"/>
              <w:right w:val="single" w:sz="4" w:space="0" w:color="auto"/>
            </w:tcBorders>
            <w:shd w:val="clear" w:color="auto" w:fill="auto"/>
            <w:noWrap/>
            <w:vAlign w:val="bottom"/>
            <w:hideMark/>
          </w:tcPr>
          <w:p w14:paraId="61282C4C"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38567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21B904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9A2A2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PEA002</w:t>
            </w:r>
          </w:p>
        </w:tc>
        <w:tc>
          <w:tcPr>
            <w:tcW w:w="3220" w:type="dxa"/>
            <w:tcBorders>
              <w:top w:val="nil"/>
              <w:left w:val="nil"/>
              <w:bottom w:val="single" w:sz="4" w:space="0" w:color="auto"/>
              <w:right w:val="nil"/>
            </w:tcBorders>
            <w:shd w:val="clear" w:color="auto" w:fill="auto"/>
            <w:noWrap/>
            <w:vAlign w:val="bottom"/>
            <w:hideMark/>
          </w:tcPr>
          <w:p w14:paraId="4F4E7151" w14:textId="77777777" w:rsidR="00A41A74" w:rsidRPr="00325607" w:rsidRDefault="00A41A74" w:rsidP="00325607">
            <w:pPr>
              <w:widowControl/>
              <w:rPr>
                <w:snapToGrid/>
                <w:color w:val="000000"/>
                <w:kern w:val="0"/>
                <w:szCs w:val="22"/>
              </w:rPr>
            </w:pPr>
            <w:r w:rsidRPr="00325607">
              <w:rPr>
                <w:snapToGrid/>
                <w:color w:val="000000"/>
                <w:kern w:val="0"/>
                <w:szCs w:val="22"/>
              </w:rPr>
              <w:t>Los Angeles, CA</w:t>
            </w:r>
          </w:p>
        </w:tc>
        <w:tc>
          <w:tcPr>
            <w:tcW w:w="326" w:type="dxa"/>
            <w:tcBorders>
              <w:top w:val="nil"/>
              <w:left w:val="nil"/>
              <w:bottom w:val="single" w:sz="4" w:space="0" w:color="auto"/>
              <w:right w:val="single" w:sz="4" w:space="0" w:color="auto"/>
            </w:tcBorders>
            <w:shd w:val="clear" w:color="auto" w:fill="auto"/>
            <w:noWrap/>
            <w:vAlign w:val="bottom"/>
            <w:hideMark/>
          </w:tcPr>
          <w:p w14:paraId="0F5E0E64"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5ABD4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74E78E1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679CA1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PEA003</w:t>
            </w:r>
          </w:p>
        </w:tc>
        <w:tc>
          <w:tcPr>
            <w:tcW w:w="3220" w:type="dxa"/>
            <w:tcBorders>
              <w:top w:val="nil"/>
              <w:left w:val="nil"/>
              <w:bottom w:val="single" w:sz="4" w:space="0" w:color="auto"/>
              <w:right w:val="nil"/>
            </w:tcBorders>
            <w:shd w:val="clear" w:color="auto" w:fill="auto"/>
            <w:noWrap/>
            <w:vAlign w:val="bottom"/>
            <w:hideMark/>
          </w:tcPr>
          <w:p w14:paraId="394A5183" w14:textId="77777777" w:rsidR="00A41A74" w:rsidRPr="00325607" w:rsidRDefault="00A41A74" w:rsidP="00325607">
            <w:pPr>
              <w:widowControl/>
              <w:rPr>
                <w:snapToGrid/>
                <w:color w:val="000000"/>
                <w:kern w:val="0"/>
                <w:szCs w:val="22"/>
              </w:rPr>
            </w:pPr>
            <w:r w:rsidRPr="00325607">
              <w:rPr>
                <w:snapToGrid/>
                <w:color w:val="000000"/>
                <w:kern w:val="0"/>
                <w:szCs w:val="22"/>
              </w:rPr>
              <w:t>Chicago, IL</w:t>
            </w:r>
          </w:p>
        </w:tc>
        <w:tc>
          <w:tcPr>
            <w:tcW w:w="326" w:type="dxa"/>
            <w:tcBorders>
              <w:top w:val="nil"/>
              <w:left w:val="nil"/>
              <w:bottom w:val="single" w:sz="4" w:space="0" w:color="auto"/>
              <w:right w:val="single" w:sz="4" w:space="0" w:color="auto"/>
            </w:tcBorders>
            <w:shd w:val="clear" w:color="auto" w:fill="auto"/>
            <w:noWrap/>
            <w:vAlign w:val="bottom"/>
            <w:hideMark/>
          </w:tcPr>
          <w:p w14:paraId="7325DCE3"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97E98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13A147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42768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PEA004</w:t>
            </w:r>
          </w:p>
        </w:tc>
        <w:tc>
          <w:tcPr>
            <w:tcW w:w="3220" w:type="dxa"/>
            <w:tcBorders>
              <w:top w:val="nil"/>
              <w:left w:val="nil"/>
              <w:bottom w:val="single" w:sz="4" w:space="0" w:color="auto"/>
              <w:right w:val="nil"/>
            </w:tcBorders>
            <w:shd w:val="clear" w:color="auto" w:fill="auto"/>
            <w:noWrap/>
            <w:vAlign w:val="bottom"/>
            <w:hideMark/>
          </w:tcPr>
          <w:p w14:paraId="7AC9C3D3" w14:textId="77777777" w:rsidR="00A41A74" w:rsidRPr="00325607" w:rsidRDefault="00A41A74" w:rsidP="00325607">
            <w:pPr>
              <w:widowControl/>
              <w:rPr>
                <w:snapToGrid/>
                <w:color w:val="000000"/>
                <w:kern w:val="0"/>
                <w:szCs w:val="22"/>
              </w:rPr>
            </w:pPr>
            <w:r w:rsidRPr="00325607">
              <w:rPr>
                <w:snapToGrid/>
                <w:color w:val="000000"/>
                <w:kern w:val="0"/>
                <w:szCs w:val="22"/>
              </w:rPr>
              <w:t>San Francisco, CA</w:t>
            </w:r>
          </w:p>
        </w:tc>
        <w:tc>
          <w:tcPr>
            <w:tcW w:w="326" w:type="dxa"/>
            <w:tcBorders>
              <w:top w:val="nil"/>
              <w:left w:val="nil"/>
              <w:bottom w:val="single" w:sz="4" w:space="0" w:color="auto"/>
              <w:right w:val="single" w:sz="4" w:space="0" w:color="auto"/>
            </w:tcBorders>
            <w:shd w:val="clear" w:color="auto" w:fill="auto"/>
            <w:noWrap/>
            <w:vAlign w:val="bottom"/>
            <w:hideMark/>
          </w:tcPr>
          <w:p w14:paraId="296A6B11"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9A36E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6A0F975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2EEDB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PEA005</w:t>
            </w:r>
          </w:p>
        </w:tc>
        <w:tc>
          <w:tcPr>
            <w:tcW w:w="3220" w:type="dxa"/>
            <w:tcBorders>
              <w:top w:val="nil"/>
              <w:left w:val="nil"/>
              <w:bottom w:val="single" w:sz="4" w:space="0" w:color="auto"/>
              <w:right w:val="nil"/>
            </w:tcBorders>
            <w:shd w:val="clear" w:color="auto" w:fill="auto"/>
            <w:noWrap/>
            <w:vAlign w:val="bottom"/>
            <w:hideMark/>
          </w:tcPr>
          <w:p w14:paraId="3F628E4D" w14:textId="77777777" w:rsidR="00A41A74" w:rsidRPr="00325607" w:rsidRDefault="00A41A74" w:rsidP="00325607">
            <w:pPr>
              <w:widowControl/>
              <w:rPr>
                <w:snapToGrid/>
                <w:color w:val="000000"/>
                <w:kern w:val="0"/>
                <w:szCs w:val="22"/>
              </w:rPr>
            </w:pPr>
            <w:r w:rsidRPr="00325607">
              <w:rPr>
                <w:snapToGrid/>
                <w:color w:val="000000"/>
                <w:kern w:val="0"/>
                <w:szCs w:val="22"/>
              </w:rPr>
              <w:t>Baltimore, MD-Washington, DC</w:t>
            </w:r>
          </w:p>
        </w:tc>
        <w:tc>
          <w:tcPr>
            <w:tcW w:w="326" w:type="dxa"/>
            <w:tcBorders>
              <w:top w:val="nil"/>
              <w:left w:val="nil"/>
              <w:bottom w:val="single" w:sz="4" w:space="0" w:color="auto"/>
              <w:right w:val="single" w:sz="4" w:space="0" w:color="auto"/>
            </w:tcBorders>
            <w:shd w:val="clear" w:color="auto" w:fill="auto"/>
            <w:noWrap/>
            <w:vAlign w:val="bottom"/>
            <w:hideMark/>
          </w:tcPr>
          <w:p w14:paraId="42F9ED60"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1447B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76A5241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2D9B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PEA006</w:t>
            </w:r>
          </w:p>
        </w:tc>
        <w:tc>
          <w:tcPr>
            <w:tcW w:w="3220" w:type="dxa"/>
            <w:tcBorders>
              <w:top w:val="nil"/>
              <w:left w:val="nil"/>
              <w:bottom w:val="single" w:sz="4" w:space="0" w:color="auto"/>
              <w:right w:val="nil"/>
            </w:tcBorders>
            <w:shd w:val="clear" w:color="auto" w:fill="auto"/>
            <w:noWrap/>
            <w:vAlign w:val="bottom"/>
            <w:hideMark/>
          </w:tcPr>
          <w:p w14:paraId="37A04A42" w14:textId="77777777" w:rsidR="00A41A74" w:rsidRPr="00325607" w:rsidRDefault="00A41A74" w:rsidP="00325607">
            <w:pPr>
              <w:widowControl/>
              <w:rPr>
                <w:snapToGrid/>
                <w:color w:val="000000"/>
                <w:kern w:val="0"/>
                <w:szCs w:val="22"/>
              </w:rPr>
            </w:pPr>
            <w:r w:rsidRPr="00325607">
              <w:rPr>
                <w:snapToGrid/>
                <w:color w:val="000000"/>
                <w:kern w:val="0"/>
                <w:szCs w:val="22"/>
              </w:rPr>
              <w:t>Philadelphia, PA</w:t>
            </w:r>
          </w:p>
        </w:tc>
        <w:tc>
          <w:tcPr>
            <w:tcW w:w="326" w:type="dxa"/>
            <w:tcBorders>
              <w:top w:val="nil"/>
              <w:left w:val="nil"/>
              <w:bottom w:val="single" w:sz="4" w:space="0" w:color="auto"/>
              <w:right w:val="single" w:sz="4" w:space="0" w:color="auto"/>
            </w:tcBorders>
            <w:shd w:val="clear" w:color="auto" w:fill="auto"/>
            <w:noWrap/>
            <w:vAlign w:val="bottom"/>
            <w:hideMark/>
          </w:tcPr>
          <w:p w14:paraId="1B4D982D"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D3B3C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B7F429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867AE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PEA007</w:t>
            </w:r>
          </w:p>
        </w:tc>
        <w:tc>
          <w:tcPr>
            <w:tcW w:w="3220" w:type="dxa"/>
            <w:tcBorders>
              <w:top w:val="nil"/>
              <w:left w:val="nil"/>
              <w:bottom w:val="single" w:sz="4" w:space="0" w:color="auto"/>
              <w:right w:val="nil"/>
            </w:tcBorders>
            <w:shd w:val="clear" w:color="auto" w:fill="auto"/>
            <w:noWrap/>
            <w:vAlign w:val="bottom"/>
            <w:hideMark/>
          </w:tcPr>
          <w:p w14:paraId="7C8B0FD6" w14:textId="77777777" w:rsidR="00A41A74" w:rsidRPr="00325607" w:rsidRDefault="00A41A74" w:rsidP="00325607">
            <w:pPr>
              <w:widowControl/>
              <w:rPr>
                <w:snapToGrid/>
                <w:color w:val="000000"/>
                <w:kern w:val="0"/>
                <w:szCs w:val="22"/>
              </w:rPr>
            </w:pPr>
            <w:r w:rsidRPr="00325607">
              <w:rPr>
                <w:snapToGrid/>
                <w:color w:val="000000"/>
                <w:kern w:val="0"/>
                <w:szCs w:val="22"/>
              </w:rPr>
              <w:t>Boston, MA</w:t>
            </w:r>
          </w:p>
        </w:tc>
        <w:tc>
          <w:tcPr>
            <w:tcW w:w="326" w:type="dxa"/>
            <w:tcBorders>
              <w:top w:val="nil"/>
              <w:left w:val="nil"/>
              <w:bottom w:val="single" w:sz="4" w:space="0" w:color="auto"/>
              <w:right w:val="single" w:sz="4" w:space="0" w:color="auto"/>
            </w:tcBorders>
            <w:shd w:val="clear" w:color="auto" w:fill="auto"/>
            <w:noWrap/>
            <w:vAlign w:val="bottom"/>
            <w:hideMark/>
          </w:tcPr>
          <w:p w14:paraId="7DEB7CC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1EB7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602BE5E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C2B71E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PEA008</w:t>
            </w:r>
          </w:p>
        </w:tc>
        <w:tc>
          <w:tcPr>
            <w:tcW w:w="3220" w:type="dxa"/>
            <w:tcBorders>
              <w:top w:val="nil"/>
              <w:left w:val="nil"/>
              <w:bottom w:val="single" w:sz="4" w:space="0" w:color="auto"/>
              <w:right w:val="nil"/>
            </w:tcBorders>
            <w:shd w:val="clear" w:color="auto" w:fill="auto"/>
            <w:noWrap/>
            <w:vAlign w:val="bottom"/>
            <w:hideMark/>
          </w:tcPr>
          <w:p w14:paraId="19BC8D59" w14:textId="77777777" w:rsidR="00A41A74" w:rsidRPr="00325607" w:rsidRDefault="00A41A74" w:rsidP="00325607">
            <w:pPr>
              <w:widowControl/>
              <w:rPr>
                <w:snapToGrid/>
                <w:color w:val="000000"/>
                <w:kern w:val="0"/>
                <w:szCs w:val="22"/>
              </w:rPr>
            </w:pPr>
            <w:r w:rsidRPr="00325607">
              <w:rPr>
                <w:snapToGrid/>
                <w:color w:val="000000"/>
                <w:kern w:val="0"/>
                <w:szCs w:val="22"/>
              </w:rPr>
              <w:t>Dallas, TX</w:t>
            </w:r>
          </w:p>
        </w:tc>
        <w:tc>
          <w:tcPr>
            <w:tcW w:w="326" w:type="dxa"/>
            <w:tcBorders>
              <w:top w:val="nil"/>
              <w:left w:val="nil"/>
              <w:bottom w:val="single" w:sz="4" w:space="0" w:color="auto"/>
              <w:right w:val="single" w:sz="4" w:space="0" w:color="auto"/>
            </w:tcBorders>
            <w:shd w:val="clear" w:color="auto" w:fill="auto"/>
            <w:noWrap/>
            <w:vAlign w:val="bottom"/>
            <w:hideMark/>
          </w:tcPr>
          <w:p w14:paraId="7187432E"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29303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C7EE42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20B29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PEA009</w:t>
            </w:r>
          </w:p>
        </w:tc>
        <w:tc>
          <w:tcPr>
            <w:tcW w:w="3220" w:type="dxa"/>
            <w:tcBorders>
              <w:top w:val="nil"/>
              <w:left w:val="nil"/>
              <w:bottom w:val="single" w:sz="4" w:space="0" w:color="auto"/>
              <w:right w:val="nil"/>
            </w:tcBorders>
            <w:shd w:val="clear" w:color="auto" w:fill="auto"/>
            <w:noWrap/>
            <w:vAlign w:val="bottom"/>
            <w:hideMark/>
          </w:tcPr>
          <w:p w14:paraId="7470A14C" w14:textId="77777777" w:rsidR="00A41A74" w:rsidRPr="00325607" w:rsidRDefault="00A41A74" w:rsidP="00325607">
            <w:pPr>
              <w:widowControl/>
              <w:rPr>
                <w:snapToGrid/>
                <w:color w:val="000000"/>
                <w:kern w:val="0"/>
                <w:szCs w:val="22"/>
              </w:rPr>
            </w:pPr>
            <w:r w:rsidRPr="00325607">
              <w:rPr>
                <w:snapToGrid/>
                <w:color w:val="000000"/>
                <w:kern w:val="0"/>
                <w:szCs w:val="22"/>
              </w:rPr>
              <w:t>Miami, FL</w:t>
            </w:r>
          </w:p>
        </w:tc>
        <w:tc>
          <w:tcPr>
            <w:tcW w:w="326" w:type="dxa"/>
            <w:tcBorders>
              <w:top w:val="nil"/>
              <w:left w:val="nil"/>
              <w:bottom w:val="single" w:sz="4" w:space="0" w:color="auto"/>
              <w:right w:val="single" w:sz="4" w:space="0" w:color="auto"/>
            </w:tcBorders>
            <w:shd w:val="clear" w:color="auto" w:fill="auto"/>
            <w:noWrap/>
            <w:vAlign w:val="bottom"/>
            <w:hideMark/>
          </w:tcPr>
          <w:p w14:paraId="1FE8DB45"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30A6E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28745F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B035A8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PEA010</w:t>
            </w:r>
          </w:p>
        </w:tc>
        <w:tc>
          <w:tcPr>
            <w:tcW w:w="3220" w:type="dxa"/>
            <w:tcBorders>
              <w:top w:val="nil"/>
              <w:left w:val="nil"/>
              <w:bottom w:val="single" w:sz="4" w:space="0" w:color="auto"/>
              <w:right w:val="nil"/>
            </w:tcBorders>
            <w:shd w:val="clear" w:color="auto" w:fill="auto"/>
            <w:noWrap/>
            <w:vAlign w:val="bottom"/>
            <w:hideMark/>
          </w:tcPr>
          <w:p w14:paraId="7AB59767" w14:textId="77777777" w:rsidR="00A41A74" w:rsidRPr="00325607" w:rsidRDefault="00A41A74" w:rsidP="00325607">
            <w:pPr>
              <w:widowControl/>
              <w:rPr>
                <w:snapToGrid/>
                <w:color w:val="000000"/>
                <w:kern w:val="0"/>
                <w:szCs w:val="22"/>
              </w:rPr>
            </w:pPr>
            <w:r w:rsidRPr="00325607">
              <w:rPr>
                <w:snapToGrid/>
                <w:color w:val="000000"/>
                <w:kern w:val="0"/>
                <w:szCs w:val="22"/>
              </w:rPr>
              <w:t>Houston, TX</w:t>
            </w:r>
          </w:p>
        </w:tc>
        <w:tc>
          <w:tcPr>
            <w:tcW w:w="326" w:type="dxa"/>
            <w:tcBorders>
              <w:top w:val="nil"/>
              <w:left w:val="nil"/>
              <w:bottom w:val="single" w:sz="4" w:space="0" w:color="auto"/>
              <w:right w:val="single" w:sz="4" w:space="0" w:color="auto"/>
            </w:tcBorders>
            <w:shd w:val="clear" w:color="auto" w:fill="auto"/>
            <w:noWrap/>
            <w:vAlign w:val="bottom"/>
            <w:hideMark/>
          </w:tcPr>
          <w:p w14:paraId="237E5603"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B673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F36C9E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A93F16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PEA011</w:t>
            </w:r>
          </w:p>
        </w:tc>
        <w:tc>
          <w:tcPr>
            <w:tcW w:w="3220" w:type="dxa"/>
            <w:tcBorders>
              <w:top w:val="nil"/>
              <w:left w:val="nil"/>
              <w:bottom w:val="single" w:sz="4" w:space="0" w:color="auto"/>
              <w:right w:val="nil"/>
            </w:tcBorders>
            <w:shd w:val="clear" w:color="auto" w:fill="auto"/>
            <w:noWrap/>
            <w:vAlign w:val="bottom"/>
            <w:hideMark/>
          </w:tcPr>
          <w:p w14:paraId="68A163CB" w14:textId="77777777" w:rsidR="00A41A74" w:rsidRPr="00325607" w:rsidRDefault="00A41A74" w:rsidP="00325607">
            <w:pPr>
              <w:widowControl/>
              <w:rPr>
                <w:snapToGrid/>
                <w:color w:val="000000"/>
                <w:kern w:val="0"/>
                <w:szCs w:val="22"/>
              </w:rPr>
            </w:pPr>
            <w:r w:rsidRPr="00325607">
              <w:rPr>
                <w:snapToGrid/>
                <w:color w:val="000000"/>
                <w:kern w:val="0"/>
                <w:szCs w:val="22"/>
              </w:rPr>
              <w:t>Atlanta, GA</w:t>
            </w:r>
          </w:p>
        </w:tc>
        <w:tc>
          <w:tcPr>
            <w:tcW w:w="326" w:type="dxa"/>
            <w:tcBorders>
              <w:top w:val="nil"/>
              <w:left w:val="nil"/>
              <w:bottom w:val="single" w:sz="4" w:space="0" w:color="auto"/>
              <w:right w:val="single" w:sz="4" w:space="0" w:color="auto"/>
            </w:tcBorders>
            <w:shd w:val="clear" w:color="auto" w:fill="auto"/>
            <w:noWrap/>
            <w:vAlign w:val="bottom"/>
            <w:hideMark/>
          </w:tcPr>
          <w:p w14:paraId="127E5F5B"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1CDC2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06C9BC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ECF89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PEA012</w:t>
            </w:r>
          </w:p>
        </w:tc>
        <w:tc>
          <w:tcPr>
            <w:tcW w:w="3220" w:type="dxa"/>
            <w:tcBorders>
              <w:top w:val="nil"/>
              <w:left w:val="nil"/>
              <w:bottom w:val="single" w:sz="4" w:space="0" w:color="auto"/>
              <w:right w:val="nil"/>
            </w:tcBorders>
            <w:shd w:val="clear" w:color="auto" w:fill="auto"/>
            <w:noWrap/>
            <w:vAlign w:val="bottom"/>
            <w:hideMark/>
          </w:tcPr>
          <w:p w14:paraId="750A7A5F" w14:textId="77777777" w:rsidR="00A41A74" w:rsidRPr="00325607" w:rsidRDefault="00A41A74" w:rsidP="00325607">
            <w:pPr>
              <w:widowControl/>
              <w:rPr>
                <w:snapToGrid/>
                <w:color w:val="000000"/>
                <w:kern w:val="0"/>
                <w:szCs w:val="22"/>
              </w:rPr>
            </w:pPr>
            <w:r w:rsidRPr="00325607">
              <w:rPr>
                <w:snapToGrid/>
                <w:color w:val="000000"/>
                <w:kern w:val="0"/>
                <w:szCs w:val="22"/>
              </w:rPr>
              <w:t>Detroit, MI</w:t>
            </w:r>
          </w:p>
        </w:tc>
        <w:tc>
          <w:tcPr>
            <w:tcW w:w="326" w:type="dxa"/>
            <w:tcBorders>
              <w:top w:val="nil"/>
              <w:left w:val="nil"/>
              <w:bottom w:val="single" w:sz="4" w:space="0" w:color="auto"/>
              <w:right w:val="single" w:sz="4" w:space="0" w:color="auto"/>
            </w:tcBorders>
            <w:shd w:val="clear" w:color="auto" w:fill="auto"/>
            <w:noWrap/>
            <w:vAlign w:val="bottom"/>
            <w:hideMark/>
          </w:tcPr>
          <w:p w14:paraId="2E05787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EB1AB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62E93D9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A0C4B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PEA013</w:t>
            </w:r>
          </w:p>
        </w:tc>
        <w:tc>
          <w:tcPr>
            <w:tcW w:w="3220" w:type="dxa"/>
            <w:tcBorders>
              <w:top w:val="nil"/>
              <w:left w:val="nil"/>
              <w:bottom w:val="single" w:sz="4" w:space="0" w:color="auto"/>
              <w:right w:val="nil"/>
            </w:tcBorders>
            <w:shd w:val="clear" w:color="auto" w:fill="auto"/>
            <w:noWrap/>
            <w:vAlign w:val="bottom"/>
            <w:hideMark/>
          </w:tcPr>
          <w:p w14:paraId="1FA836EB" w14:textId="77777777" w:rsidR="00A41A74" w:rsidRPr="00325607" w:rsidRDefault="00A41A74" w:rsidP="00325607">
            <w:pPr>
              <w:widowControl/>
              <w:rPr>
                <w:snapToGrid/>
                <w:color w:val="000000"/>
                <w:kern w:val="0"/>
                <w:szCs w:val="22"/>
              </w:rPr>
            </w:pPr>
            <w:r w:rsidRPr="00325607">
              <w:rPr>
                <w:snapToGrid/>
                <w:color w:val="000000"/>
                <w:kern w:val="0"/>
                <w:szCs w:val="22"/>
              </w:rPr>
              <w:t>Orlando, FL</w:t>
            </w:r>
          </w:p>
        </w:tc>
        <w:tc>
          <w:tcPr>
            <w:tcW w:w="326" w:type="dxa"/>
            <w:tcBorders>
              <w:top w:val="nil"/>
              <w:left w:val="nil"/>
              <w:bottom w:val="single" w:sz="4" w:space="0" w:color="auto"/>
              <w:right w:val="single" w:sz="4" w:space="0" w:color="auto"/>
            </w:tcBorders>
            <w:shd w:val="clear" w:color="auto" w:fill="auto"/>
            <w:noWrap/>
            <w:vAlign w:val="bottom"/>
            <w:hideMark/>
          </w:tcPr>
          <w:p w14:paraId="134F87F3"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1F400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A18FA5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8EBAD7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PEA014</w:t>
            </w:r>
          </w:p>
        </w:tc>
        <w:tc>
          <w:tcPr>
            <w:tcW w:w="3220" w:type="dxa"/>
            <w:tcBorders>
              <w:top w:val="nil"/>
              <w:left w:val="nil"/>
              <w:bottom w:val="single" w:sz="4" w:space="0" w:color="auto"/>
              <w:right w:val="nil"/>
            </w:tcBorders>
            <w:shd w:val="clear" w:color="auto" w:fill="auto"/>
            <w:noWrap/>
            <w:vAlign w:val="bottom"/>
            <w:hideMark/>
          </w:tcPr>
          <w:p w14:paraId="746B1E4C" w14:textId="77777777" w:rsidR="00A41A74" w:rsidRPr="00325607" w:rsidRDefault="00A41A74" w:rsidP="00325607">
            <w:pPr>
              <w:widowControl/>
              <w:rPr>
                <w:snapToGrid/>
                <w:color w:val="000000"/>
                <w:kern w:val="0"/>
                <w:szCs w:val="22"/>
              </w:rPr>
            </w:pPr>
            <w:r w:rsidRPr="00325607">
              <w:rPr>
                <w:snapToGrid/>
                <w:color w:val="000000"/>
                <w:kern w:val="0"/>
                <w:szCs w:val="22"/>
              </w:rPr>
              <w:t>Cleveland, OH</w:t>
            </w:r>
          </w:p>
        </w:tc>
        <w:tc>
          <w:tcPr>
            <w:tcW w:w="326" w:type="dxa"/>
            <w:tcBorders>
              <w:top w:val="nil"/>
              <w:left w:val="nil"/>
              <w:bottom w:val="single" w:sz="4" w:space="0" w:color="auto"/>
              <w:right w:val="single" w:sz="4" w:space="0" w:color="auto"/>
            </w:tcBorders>
            <w:shd w:val="clear" w:color="auto" w:fill="auto"/>
            <w:noWrap/>
            <w:vAlign w:val="bottom"/>
            <w:hideMark/>
          </w:tcPr>
          <w:p w14:paraId="4C7648EA"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D803D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5C089F3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49D44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PEA015</w:t>
            </w:r>
          </w:p>
        </w:tc>
        <w:tc>
          <w:tcPr>
            <w:tcW w:w="3220" w:type="dxa"/>
            <w:tcBorders>
              <w:top w:val="nil"/>
              <w:left w:val="nil"/>
              <w:bottom w:val="single" w:sz="4" w:space="0" w:color="auto"/>
              <w:right w:val="nil"/>
            </w:tcBorders>
            <w:shd w:val="clear" w:color="auto" w:fill="auto"/>
            <w:noWrap/>
            <w:vAlign w:val="bottom"/>
            <w:hideMark/>
          </w:tcPr>
          <w:p w14:paraId="7A613906" w14:textId="77777777" w:rsidR="00A41A74" w:rsidRPr="00325607" w:rsidRDefault="00A41A74" w:rsidP="00325607">
            <w:pPr>
              <w:widowControl/>
              <w:rPr>
                <w:snapToGrid/>
                <w:color w:val="000000"/>
                <w:kern w:val="0"/>
                <w:szCs w:val="22"/>
              </w:rPr>
            </w:pPr>
            <w:r w:rsidRPr="00325607">
              <w:rPr>
                <w:snapToGrid/>
                <w:color w:val="000000"/>
                <w:kern w:val="0"/>
                <w:szCs w:val="22"/>
              </w:rPr>
              <w:t>Phoenix, AZ</w:t>
            </w:r>
          </w:p>
        </w:tc>
        <w:tc>
          <w:tcPr>
            <w:tcW w:w="326" w:type="dxa"/>
            <w:tcBorders>
              <w:top w:val="nil"/>
              <w:left w:val="nil"/>
              <w:bottom w:val="single" w:sz="4" w:space="0" w:color="auto"/>
              <w:right w:val="single" w:sz="4" w:space="0" w:color="auto"/>
            </w:tcBorders>
            <w:shd w:val="clear" w:color="auto" w:fill="auto"/>
            <w:noWrap/>
            <w:vAlign w:val="bottom"/>
            <w:hideMark/>
          </w:tcPr>
          <w:p w14:paraId="7ED592D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6F1F1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65E92C5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D1672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PEA016</w:t>
            </w:r>
          </w:p>
        </w:tc>
        <w:tc>
          <w:tcPr>
            <w:tcW w:w="3220" w:type="dxa"/>
            <w:tcBorders>
              <w:top w:val="nil"/>
              <w:left w:val="nil"/>
              <w:bottom w:val="single" w:sz="4" w:space="0" w:color="auto"/>
              <w:right w:val="nil"/>
            </w:tcBorders>
            <w:shd w:val="clear" w:color="auto" w:fill="auto"/>
            <w:noWrap/>
            <w:vAlign w:val="bottom"/>
            <w:hideMark/>
          </w:tcPr>
          <w:p w14:paraId="696F69BB" w14:textId="77777777" w:rsidR="00A41A74" w:rsidRPr="00325607" w:rsidRDefault="00A41A74" w:rsidP="00325607">
            <w:pPr>
              <w:widowControl/>
              <w:rPr>
                <w:snapToGrid/>
                <w:color w:val="000000"/>
                <w:kern w:val="0"/>
                <w:szCs w:val="22"/>
              </w:rPr>
            </w:pPr>
            <w:r w:rsidRPr="00325607">
              <w:rPr>
                <w:snapToGrid/>
                <w:color w:val="000000"/>
                <w:kern w:val="0"/>
                <w:szCs w:val="22"/>
              </w:rPr>
              <w:t>Seattle, WA</w:t>
            </w:r>
          </w:p>
        </w:tc>
        <w:tc>
          <w:tcPr>
            <w:tcW w:w="326" w:type="dxa"/>
            <w:tcBorders>
              <w:top w:val="nil"/>
              <w:left w:val="nil"/>
              <w:bottom w:val="single" w:sz="4" w:space="0" w:color="auto"/>
              <w:right w:val="single" w:sz="4" w:space="0" w:color="auto"/>
            </w:tcBorders>
            <w:shd w:val="clear" w:color="auto" w:fill="auto"/>
            <w:noWrap/>
            <w:vAlign w:val="bottom"/>
            <w:hideMark/>
          </w:tcPr>
          <w:p w14:paraId="723822F7"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A25D7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13B5FDF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D57252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PEA017</w:t>
            </w:r>
          </w:p>
        </w:tc>
        <w:tc>
          <w:tcPr>
            <w:tcW w:w="3220" w:type="dxa"/>
            <w:tcBorders>
              <w:top w:val="nil"/>
              <w:left w:val="nil"/>
              <w:bottom w:val="single" w:sz="4" w:space="0" w:color="auto"/>
              <w:right w:val="nil"/>
            </w:tcBorders>
            <w:shd w:val="clear" w:color="auto" w:fill="auto"/>
            <w:noWrap/>
            <w:vAlign w:val="bottom"/>
            <w:hideMark/>
          </w:tcPr>
          <w:p w14:paraId="533831D0" w14:textId="77777777" w:rsidR="00A41A74" w:rsidRPr="00325607" w:rsidRDefault="00A41A74" w:rsidP="00325607">
            <w:pPr>
              <w:widowControl/>
              <w:rPr>
                <w:snapToGrid/>
                <w:color w:val="000000"/>
                <w:kern w:val="0"/>
                <w:szCs w:val="22"/>
              </w:rPr>
            </w:pPr>
            <w:r w:rsidRPr="00325607">
              <w:rPr>
                <w:snapToGrid/>
                <w:color w:val="000000"/>
                <w:kern w:val="0"/>
                <w:szCs w:val="22"/>
              </w:rPr>
              <w:t>Minneapolis-St. Paul, MN</w:t>
            </w:r>
          </w:p>
        </w:tc>
        <w:tc>
          <w:tcPr>
            <w:tcW w:w="326" w:type="dxa"/>
            <w:tcBorders>
              <w:top w:val="nil"/>
              <w:left w:val="nil"/>
              <w:bottom w:val="single" w:sz="4" w:space="0" w:color="auto"/>
              <w:right w:val="single" w:sz="4" w:space="0" w:color="auto"/>
            </w:tcBorders>
            <w:shd w:val="clear" w:color="auto" w:fill="auto"/>
            <w:noWrap/>
            <w:vAlign w:val="bottom"/>
            <w:hideMark/>
          </w:tcPr>
          <w:p w14:paraId="2DDBD5B3"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A205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C17F17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7DB988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PEA018</w:t>
            </w:r>
          </w:p>
        </w:tc>
        <w:tc>
          <w:tcPr>
            <w:tcW w:w="3220" w:type="dxa"/>
            <w:tcBorders>
              <w:top w:val="nil"/>
              <w:left w:val="nil"/>
              <w:bottom w:val="single" w:sz="4" w:space="0" w:color="auto"/>
              <w:right w:val="nil"/>
            </w:tcBorders>
            <w:shd w:val="clear" w:color="auto" w:fill="auto"/>
            <w:noWrap/>
            <w:vAlign w:val="bottom"/>
            <w:hideMark/>
          </w:tcPr>
          <w:p w14:paraId="4E778A06" w14:textId="77777777" w:rsidR="00A41A74" w:rsidRPr="00325607" w:rsidRDefault="00A41A74" w:rsidP="00325607">
            <w:pPr>
              <w:widowControl/>
              <w:rPr>
                <w:snapToGrid/>
                <w:color w:val="000000"/>
                <w:kern w:val="0"/>
                <w:szCs w:val="22"/>
              </w:rPr>
            </w:pPr>
            <w:r w:rsidRPr="00325607">
              <w:rPr>
                <w:snapToGrid/>
                <w:color w:val="000000"/>
                <w:kern w:val="0"/>
                <w:szCs w:val="22"/>
              </w:rPr>
              <w:t>San Diego, CA</w:t>
            </w:r>
          </w:p>
        </w:tc>
        <w:tc>
          <w:tcPr>
            <w:tcW w:w="326" w:type="dxa"/>
            <w:tcBorders>
              <w:top w:val="nil"/>
              <w:left w:val="nil"/>
              <w:bottom w:val="single" w:sz="4" w:space="0" w:color="auto"/>
              <w:right w:val="single" w:sz="4" w:space="0" w:color="auto"/>
            </w:tcBorders>
            <w:shd w:val="clear" w:color="auto" w:fill="auto"/>
            <w:noWrap/>
            <w:vAlign w:val="bottom"/>
            <w:hideMark/>
          </w:tcPr>
          <w:p w14:paraId="5AF6E23E"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524B1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09F499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977E4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PEA019</w:t>
            </w:r>
          </w:p>
        </w:tc>
        <w:tc>
          <w:tcPr>
            <w:tcW w:w="3220" w:type="dxa"/>
            <w:tcBorders>
              <w:top w:val="nil"/>
              <w:left w:val="nil"/>
              <w:bottom w:val="single" w:sz="4" w:space="0" w:color="auto"/>
              <w:right w:val="nil"/>
            </w:tcBorders>
            <w:shd w:val="clear" w:color="auto" w:fill="auto"/>
            <w:noWrap/>
            <w:vAlign w:val="bottom"/>
            <w:hideMark/>
          </w:tcPr>
          <w:p w14:paraId="07D55DE4" w14:textId="77777777" w:rsidR="00A41A74" w:rsidRPr="00325607" w:rsidRDefault="00A41A74" w:rsidP="00325607">
            <w:pPr>
              <w:widowControl/>
              <w:rPr>
                <w:snapToGrid/>
                <w:color w:val="000000"/>
                <w:kern w:val="0"/>
                <w:szCs w:val="22"/>
              </w:rPr>
            </w:pPr>
            <w:r w:rsidRPr="00325607">
              <w:rPr>
                <w:snapToGrid/>
                <w:color w:val="000000"/>
                <w:kern w:val="0"/>
                <w:szCs w:val="22"/>
              </w:rPr>
              <w:t>Portland, OR</w:t>
            </w:r>
          </w:p>
        </w:tc>
        <w:tc>
          <w:tcPr>
            <w:tcW w:w="326" w:type="dxa"/>
            <w:tcBorders>
              <w:top w:val="nil"/>
              <w:left w:val="nil"/>
              <w:bottom w:val="single" w:sz="4" w:space="0" w:color="auto"/>
              <w:right w:val="single" w:sz="4" w:space="0" w:color="auto"/>
            </w:tcBorders>
            <w:shd w:val="clear" w:color="auto" w:fill="auto"/>
            <w:noWrap/>
            <w:vAlign w:val="bottom"/>
            <w:hideMark/>
          </w:tcPr>
          <w:p w14:paraId="1F7FA85B"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6A6B3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1A8924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D6D30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PEA020</w:t>
            </w:r>
          </w:p>
        </w:tc>
        <w:tc>
          <w:tcPr>
            <w:tcW w:w="3220" w:type="dxa"/>
            <w:tcBorders>
              <w:top w:val="nil"/>
              <w:left w:val="nil"/>
              <w:bottom w:val="single" w:sz="4" w:space="0" w:color="auto"/>
              <w:right w:val="nil"/>
            </w:tcBorders>
            <w:shd w:val="clear" w:color="auto" w:fill="auto"/>
            <w:noWrap/>
            <w:vAlign w:val="bottom"/>
            <w:hideMark/>
          </w:tcPr>
          <w:p w14:paraId="716AEE69" w14:textId="77777777" w:rsidR="00A41A74" w:rsidRPr="00325607" w:rsidRDefault="00A41A74" w:rsidP="00325607">
            <w:pPr>
              <w:widowControl/>
              <w:rPr>
                <w:snapToGrid/>
                <w:color w:val="000000"/>
                <w:kern w:val="0"/>
                <w:szCs w:val="22"/>
              </w:rPr>
            </w:pPr>
            <w:r w:rsidRPr="00325607">
              <w:rPr>
                <w:snapToGrid/>
                <w:color w:val="000000"/>
                <w:kern w:val="0"/>
                <w:szCs w:val="22"/>
              </w:rPr>
              <w:t>Denver, CO</w:t>
            </w:r>
          </w:p>
        </w:tc>
        <w:tc>
          <w:tcPr>
            <w:tcW w:w="326" w:type="dxa"/>
            <w:tcBorders>
              <w:top w:val="nil"/>
              <w:left w:val="nil"/>
              <w:bottom w:val="single" w:sz="4" w:space="0" w:color="auto"/>
              <w:right w:val="single" w:sz="4" w:space="0" w:color="auto"/>
            </w:tcBorders>
            <w:shd w:val="clear" w:color="auto" w:fill="auto"/>
            <w:noWrap/>
            <w:vAlign w:val="bottom"/>
            <w:hideMark/>
          </w:tcPr>
          <w:p w14:paraId="2E4932CC"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2E914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676D936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5C0A7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PEA021</w:t>
            </w:r>
          </w:p>
        </w:tc>
        <w:tc>
          <w:tcPr>
            <w:tcW w:w="3220" w:type="dxa"/>
            <w:tcBorders>
              <w:top w:val="nil"/>
              <w:left w:val="nil"/>
              <w:bottom w:val="single" w:sz="4" w:space="0" w:color="auto"/>
              <w:right w:val="nil"/>
            </w:tcBorders>
            <w:shd w:val="clear" w:color="auto" w:fill="auto"/>
            <w:noWrap/>
            <w:vAlign w:val="bottom"/>
            <w:hideMark/>
          </w:tcPr>
          <w:p w14:paraId="580994C6" w14:textId="77777777" w:rsidR="00A41A74" w:rsidRPr="00325607" w:rsidRDefault="00A41A74" w:rsidP="00325607">
            <w:pPr>
              <w:widowControl/>
              <w:rPr>
                <w:snapToGrid/>
                <w:color w:val="000000"/>
                <w:kern w:val="0"/>
                <w:szCs w:val="22"/>
              </w:rPr>
            </w:pPr>
            <w:r w:rsidRPr="00325607">
              <w:rPr>
                <w:snapToGrid/>
                <w:color w:val="000000"/>
                <w:kern w:val="0"/>
                <w:szCs w:val="22"/>
              </w:rPr>
              <w:t>Tampa, FL</w:t>
            </w:r>
          </w:p>
        </w:tc>
        <w:tc>
          <w:tcPr>
            <w:tcW w:w="326" w:type="dxa"/>
            <w:tcBorders>
              <w:top w:val="nil"/>
              <w:left w:val="nil"/>
              <w:bottom w:val="single" w:sz="4" w:space="0" w:color="auto"/>
              <w:right w:val="single" w:sz="4" w:space="0" w:color="auto"/>
            </w:tcBorders>
            <w:shd w:val="clear" w:color="auto" w:fill="auto"/>
            <w:noWrap/>
            <w:vAlign w:val="bottom"/>
            <w:hideMark/>
          </w:tcPr>
          <w:p w14:paraId="029D563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0106C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92A4CF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1BCAD1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PEA022</w:t>
            </w:r>
          </w:p>
        </w:tc>
        <w:tc>
          <w:tcPr>
            <w:tcW w:w="3220" w:type="dxa"/>
            <w:tcBorders>
              <w:top w:val="nil"/>
              <w:left w:val="nil"/>
              <w:bottom w:val="single" w:sz="4" w:space="0" w:color="auto"/>
              <w:right w:val="nil"/>
            </w:tcBorders>
            <w:shd w:val="clear" w:color="auto" w:fill="auto"/>
            <w:noWrap/>
            <w:vAlign w:val="bottom"/>
            <w:hideMark/>
          </w:tcPr>
          <w:p w14:paraId="6E49EB14" w14:textId="77777777" w:rsidR="00A41A74" w:rsidRPr="00325607" w:rsidRDefault="00A41A74" w:rsidP="00325607">
            <w:pPr>
              <w:widowControl/>
              <w:rPr>
                <w:snapToGrid/>
                <w:color w:val="000000"/>
                <w:kern w:val="0"/>
                <w:szCs w:val="22"/>
              </w:rPr>
            </w:pPr>
            <w:r w:rsidRPr="00325607">
              <w:rPr>
                <w:snapToGrid/>
                <w:color w:val="000000"/>
                <w:kern w:val="0"/>
                <w:szCs w:val="22"/>
              </w:rPr>
              <w:t>Sacramento, CA</w:t>
            </w:r>
          </w:p>
        </w:tc>
        <w:tc>
          <w:tcPr>
            <w:tcW w:w="326" w:type="dxa"/>
            <w:tcBorders>
              <w:top w:val="nil"/>
              <w:left w:val="nil"/>
              <w:bottom w:val="single" w:sz="4" w:space="0" w:color="auto"/>
              <w:right w:val="single" w:sz="4" w:space="0" w:color="auto"/>
            </w:tcBorders>
            <w:shd w:val="clear" w:color="auto" w:fill="auto"/>
            <w:noWrap/>
            <w:vAlign w:val="bottom"/>
            <w:hideMark/>
          </w:tcPr>
          <w:p w14:paraId="24CC4B4A"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71147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4F42C91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D709E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PEA023</w:t>
            </w:r>
          </w:p>
        </w:tc>
        <w:tc>
          <w:tcPr>
            <w:tcW w:w="3220" w:type="dxa"/>
            <w:tcBorders>
              <w:top w:val="nil"/>
              <w:left w:val="nil"/>
              <w:bottom w:val="single" w:sz="4" w:space="0" w:color="auto"/>
              <w:right w:val="nil"/>
            </w:tcBorders>
            <w:shd w:val="clear" w:color="auto" w:fill="auto"/>
            <w:noWrap/>
            <w:vAlign w:val="bottom"/>
            <w:hideMark/>
          </w:tcPr>
          <w:p w14:paraId="12A4A869" w14:textId="77777777" w:rsidR="00A41A74" w:rsidRPr="00325607" w:rsidRDefault="00A41A74" w:rsidP="00325607">
            <w:pPr>
              <w:widowControl/>
              <w:rPr>
                <w:snapToGrid/>
                <w:color w:val="000000"/>
                <w:kern w:val="0"/>
                <w:szCs w:val="22"/>
              </w:rPr>
            </w:pPr>
            <w:r w:rsidRPr="00325607">
              <w:rPr>
                <w:snapToGrid/>
                <w:color w:val="000000"/>
                <w:kern w:val="0"/>
                <w:szCs w:val="22"/>
              </w:rPr>
              <w:t>Pittsburgh, PA</w:t>
            </w:r>
          </w:p>
        </w:tc>
        <w:tc>
          <w:tcPr>
            <w:tcW w:w="326" w:type="dxa"/>
            <w:tcBorders>
              <w:top w:val="nil"/>
              <w:left w:val="nil"/>
              <w:bottom w:val="single" w:sz="4" w:space="0" w:color="auto"/>
              <w:right w:val="single" w:sz="4" w:space="0" w:color="auto"/>
            </w:tcBorders>
            <w:shd w:val="clear" w:color="auto" w:fill="auto"/>
            <w:noWrap/>
            <w:vAlign w:val="bottom"/>
            <w:hideMark/>
          </w:tcPr>
          <w:p w14:paraId="51DD796B"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87DD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8FD449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294E9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PEA024</w:t>
            </w:r>
          </w:p>
        </w:tc>
        <w:tc>
          <w:tcPr>
            <w:tcW w:w="3220" w:type="dxa"/>
            <w:tcBorders>
              <w:top w:val="nil"/>
              <w:left w:val="nil"/>
              <w:bottom w:val="single" w:sz="4" w:space="0" w:color="auto"/>
              <w:right w:val="nil"/>
            </w:tcBorders>
            <w:shd w:val="clear" w:color="auto" w:fill="auto"/>
            <w:noWrap/>
            <w:vAlign w:val="bottom"/>
            <w:hideMark/>
          </w:tcPr>
          <w:p w14:paraId="5BB8215C" w14:textId="77777777" w:rsidR="00A41A74" w:rsidRPr="00325607" w:rsidRDefault="00A41A74" w:rsidP="00325607">
            <w:pPr>
              <w:widowControl/>
              <w:rPr>
                <w:snapToGrid/>
                <w:color w:val="000000"/>
                <w:kern w:val="0"/>
                <w:szCs w:val="22"/>
              </w:rPr>
            </w:pPr>
            <w:r w:rsidRPr="00325607">
              <w:rPr>
                <w:snapToGrid/>
                <w:color w:val="000000"/>
                <w:kern w:val="0"/>
                <w:szCs w:val="22"/>
              </w:rPr>
              <w:t>Saint Louis, MO</w:t>
            </w:r>
          </w:p>
        </w:tc>
        <w:tc>
          <w:tcPr>
            <w:tcW w:w="326" w:type="dxa"/>
            <w:tcBorders>
              <w:top w:val="nil"/>
              <w:left w:val="nil"/>
              <w:bottom w:val="single" w:sz="4" w:space="0" w:color="auto"/>
              <w:right w:val="single" w:sz="4" w:space="0" w:color="auto"/>
            </w:tcBorders>
            <w:shd w:val="clear" w:color="auto" w:fill="auto"/>
            <w:noWrap/>
            <w:vAlign w:val="bottom"/>
            <w:hideMark/>
          </w:tcPr>
          <w:p w14:paraId="41E4BCF5"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31EA7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7819B57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3DB29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PEA025</w:t>
            </w:r>
          </w:p>
        </w:tc>
        <w:tc>
          <w:tcPr>
            <w:tcW w:w="3220" w:type="dxa"/>
            <w:tcBorders>
              <w:top w:val="nil"/>
              <w:left w:val="nil"/>
              <w:bottom w:val="single" w:sz="4" w:space="0" w:color="auto"/>
              <w:right w:val="nil"/>
            </w:tcBorders>
            <w:shd w:val="clear" w:color="auto" w:fill="auto"/>
            <w:noWrap/>
            <w:vAlign w:val="bottom"/>
            <w:hideMark/>
          </w:tcPr>
          <w:p w14:paraId="44F850B9" w14:textId="77777777" w:rsidR="00A41A74" w:rsidRPr="00325607" w:rsidRDefault="00A41A74" w:rsidP="00325607">
            <w:pPr>
              <w:widowControl/>
              <w:rPr>
                <w:snapToGrid/>
                <w:color w:val="000000"/>
                <w:kern w:val="0"/>
                <w:szCs w:val="22"/>
              </w:rPr>
            </w:pPr>
            <w:r w:rsidRPr="00325607">
              <w:rPr>
                <w:snapToGrid/>
                <w:color w:val="000000"/>
                <w:kern w:val="0"/>
                <w:szCs w:val="22"/>
              </w:rPr>
              <w:t>Cincinnati, OH</w:t>
            </w:r>
          </w:p>
        </w:tc>
        <w:tc>
          <w:tcPr>
            <w:tcW w:w="326" w:type="dxa"/>
            <w:tcBorders>
              <w:top w:val="nil"/>
              <w:left w:val="nil"/>
              <w:bottom w:val="single" w:sz="4" w:space="0" w:color="auto"/>
              <w:right w:val="single" w:sz="4" w:space="0" w:color="auto"/>
            </w:tcBorders>
            <w:shd w:val="clear" w:color="auto" w:fill="auto"/>
            <w:noWrap/>
            <w:vAlign w:val="bottom"/>
            <w:hideMark/>
          </w:tcPr>
          <w:p w14:paraId="053DA034"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3799F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19436B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52E32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PEA026</w:t>
            </w:r>
          </w:p>
        </w:tc>
        <w:tc>
          <w:tcPr>
            <w:tcW w:w="3220" w:type="dxa"/>
            <w:tcBorders>
              <w:top w:val="nil"/>
              <w:left w:val="nil"/>
              <w:bottom w:val="single" w:sz="4" w:space="0" w:color="auto"/>
              <w:right w:val="nil"/>
            </w:tcBorders>
            <w:shd w:val="clear" w:color="auto" w:fill="auto"/>
            <w:noWrap/>
            <w:vAlign w:val="bottom"/>
            <w:hideMark/>
          </w:tcPr>
          <w:p w14:paraId="3FE0479F" w14:textId="77777777" w:rsidR="00A41A74" w:rsidRPr="00325607" w:rsidRDefault="00A41A74" w:rsidP="00325607">
            <w:pPr>
              <w:widowControl/>
              <w:rPr>
                <w:snapToGrid/>
                <w:color w:val="000000"/>
                <w:kern w:val="0"/>
                <w:szCs w:val="22"/>
              </w:rPr>
            </w:pPr>
            <w:r w:rsidRPr="00325607">
              <w:rPr>
                <w:snapToGrid/>
                <w:color w:val="000000"/>
                <w:kern w:val="0"/>
                <w:szCs w:val="22"/>
              </w:rPr>
              <w:t>Las Vegas, NV</w:t>
            </w:r>
          </w:p>
        </w:tc>
        <w:tc>
          <w:tcPr>
            <w:tcW w:w="326" w:type="dxa"/>
            <w:tcBorders>
              <w:top w:val="nil"/>
              <w:left w:val="nil"/>
              <w:bottom w:val="single" w:sz="4" w:space="0" w:color="auto"/>
              <w:right w:val="single" w:sz="4" w:space="0" w:color="auto"/>
            </w:tcBorders>
            <w:shd w:val="clear" w:color="auto" w:fill="auto"/>
            <w:noWrap/>
            <w:vAlign w:val="bottom"/>
            <w:hideMark/>
          </w:tcPr>
          <w:p w14:paraId="1A28886A"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0602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51651ED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0401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PEA027</w:t>
            </w:r>
          </w:p>
        </w:tc>
        <w:tc>
          <w:tcPr>
            <w:tcW w:w="3220" w:type="dxa"/>
            <w:tcBorders>
              <w:top w:val="nil"/>
              <w:left w:val="nil"/>
              <w:bottom w:val="single" w:sz="4" w:space="0" w:color="auto"/>
              <w:right w:val="nil"/>
            </w:tcBorders>
            <w:shd w:val="clear" w:color="auto" w:fill="auto"/>
            <w:noWrap/>
            <w:vAlign w:val="bottom"/>
            <w:hideMark/>
          </w:tcPr>
          <w:p w14:paraId="0AB63D49" w14:textId="77777777" w:rsidR="00A41A74" w:rsidRPr="00325607" w:rsidRDefault="00A41A74" w:rsidP="00325607">
            <w:pPr>
              <w:widowControl/>
              <w:rPr>
                <w:snapToGrid/>
                <w:color w:val="000000"/>
                <w:kern w:val="0"/>
                <w:szCs w:val="22"/>
              </w:rPr>
            </w:pPr>
            <w:r w:rsidRPr="00325607">
              <w:rPr>
                <w:snapToGrid/>
                <w:color w:val="000000"/>
                <w:kern w:val="0"/>
                <w:szCs w:val="22"/>
              </w:rPr>
              <w:t>Salt Lake City, UT</w:t>
            </w:r>
          </w:p>
        </w:tc>
        <w:tc>
          <w:tcPr>
            <w:tcW w:w="326" w:type="dxa"/>
            <w:tcBorders>
              <w:top w:val="nil"/>
              <w:left w:val="nil"/>
              <w:bottom w:val="single" w:sz="4" w:space="0" w:color="auto"/>
              <w:right w:val="single" w:sz="4" w:space="0" w:color="auto"/>
            </w:tcBorders>
            <w:shd w:val="clear" w:color="auto" w:fill="auto"/>
            <w:noWrap/>
            <w:vAlign w:val="bottom"/>
            <w:hideMark/>
          </w:tcPr>
          <w:p w14:paraId="0C59D8D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E04FD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4461207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F5BF4B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PEA028</w:t>
            </w:r>
          </w:p>
        </w:tc>
        <w:tc>
          <w:tcPr>
            <w:tcW w:w="3220" w:type="dxa"/>
            <w:tcBorders>
              <w:top w:val="nil"/>
              <w:left w:val="nil"/>
              <w:bottom w:val="single" w:sz="4" w:space="0" w:color="auto"/>
              <w:right w:val="nil"/>
            </w:tcBorders>
            <w:shd w:val="clear" w:color="auto" w:fill="auto"/>
            <w:noWrap/>
            <w:vAlign w:val="bottom"/>
            <w:hideMark/>
          </w:tcPr>
          <w:p w14:paraId="75C7100D" w14:textId="77777777" w:rsidR="00A41A74" w:rsidRPr="00325607" w:rsidRDefault="00A41A74" w:rsidP="00325607">
            <w:pPr>
              <w:widowControl/>
              <w:rPr>
                <w:snapToGrid/>
                <w:color w:val="000000"/>
                <w:kern w:val="0"/>
                <w:szCs w:val="22"/>
              </w:rPr>
            </w:pPr>
            <w:r w:rsidRPr="00325607">
              <w:rPr>
                <w:snapToGrid/>
                <w:color w:val="000000"/>
                <w:kern w:val="0"/>
                <w:szCs w:val="22"/>
              </w:rPr>
              <w:t>San Antonio, TX</w:t>
            </w:r>
          </w:p>
        </w:tc>
        <w:tc>
          <w:tcPr>
            <w:tcW w:w="326" w:type="dxa"/>
            <w:tcBorders>
              <w:top w:val="nil"/>
              <w:left w:val="nil"/>
              <w:bottom w:val="single" w:sz="4" w:space="0" w:color="auto"/>
              <w:right w:val="single" w:sz="4" w:space="0" w:color="auto"/>
            </w:tcBorders>
            <w:shd w:val="clear" w:color="auto" w:fill="auto"/>
            <w:noWrap/>
            <w:vAlign w:val="bottom"/>
            <w:hideMark/>
          </w:tcPr>
          <w:p w14:paraId="70BFB62F"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BD25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1D6A3BB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D28398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PEA029</w:t>
            </w:r>
          </w:p>
        </w:tc>
        <w:tc>
          <w:tcPr>
            <w:tcW w:w="3220" w:type="dxa"/>
            <w:tcBorders>
              <w:top w:val="nil"/>
              <w:left w:val="nil"/>
              <w:bottom w:val="single" w:sz="4" w:space="0" w:color="auto"/>
              <w:right w:val="nil"/>
            </w:tcBorders>
            <w:shd w:val="clear" w:color="auto" w:fill="auto"/>
            <w:noWrap/>
            <w:vAlign w:val="bottom"/>
            <w:hideMark/>
          </w:tcPr>
          <w:p w14:paraId="6B33828C" w14:textId="77777777" w:rsidR="00A41A74" w:rsidRPr="00325607" w:rsidRDefault="00A41A74" w:rsidP="00325607">
            <w:pPr>
              <w:widowControl/>
              <w:rPr>
                <w:snapToGrid/>
                <w:color w:val="000000"/>
                <w:kern w:val="0"/>
                <w:szCs w:val="22"/>
              </w:rPr>
            </w:pPr>
            <w:r w:rsidRPr="00325607">
              <w:rPr>
                <w:snapToGrid/>
                <w:color w:val="000000"/>
                <w:kern w:val="0"/>
                <w:szCs w:val="22"/>
              </w:rPr>
              <w:t>Jacksonville, FL</w:t>
            </w:r>
          </w:p>
        </w:tc>
        <w:tc>
          <w:tcPr>
            <w:tcW w:w="326" w:type="dxa"/>
            <w:tcBorders>
              <w:top w:val="nil"/>
              <w:left w:val="nil"/>
              <w:bottom w:val="single" w:sz="4" w:space="0" w:color="auto"/>
              <w:right w:val="single" w:sz="4" w:space="0" w:color="auto"/>
            </w:tcBorders>
            <w:shd w:val="clear" w:color="auto" w:fill="auto"/>
            <w:noWrap/>
            <w:vAlign w:val="bottom"/>
            <w:hideMark/>
          </w:tcPr>
          <w:p w14:paraId="32242FE5"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4E21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76385C5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81FAB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PEA030</w:t>
            </w:r>
          </w:p>
        </w:tc>
        <w:tc>
          <w:tcPr>
            <w:tcW w:w="3220" w:type="dxa"/>
            <w:tcBorders>
              <w:top w:val="nil"/>
              <w:left w:val="nil"/>
              <w:bottom w:val="single" w:sz="4" w:space="0" w:color="auto"/>
              <w:right w:val="nil"/>
            </w:tcBorders>
            <w:shd w:val="clear" w:color="auto" w:fill="auto"/>
            <w:noWrap/>
            <w:vAlign w:val="bottom"/>
            <w:hideMark/>
          </w:tcPr>
          <w:p w14:paraId="087BA4B5" w14:textId="77777777" w:rsidR="00A41A74" w:rsidRPr="00325607" w:rsidRDefault="00A41A74" w:rsidP="00325607">
            <w:pPr>
              <w:widowControl/>
              <w:rPr>
                <w:snapToGrid/>
                <w:color w:val="000000"/>
                <w:kern w:val="0"/>
                <w:szCs w:val="22"/>
              </w:rPr>
            </w:pPr>
            <w:r w:rsidRPr="00325607">
              <w:rPr>
                <w:snapToGrid/>
                <w:color w:val="000000"/>
                <w:kern w:val="0"/>
                <w:szCs w:val="22"/>
              </w:rPr>
              <w:t>Kansas City, MO</w:t>
            </w:r>
          </w:p>
        </w:tc>
        <w:tc>
          <w:tcPr>
            <w:tcW w:w="326" w:type="dxa"/>
            <w:tcBorders>
              <w:top w:val="nil"/>
              <w:left w:val="nil"/>
              <w:bottom w:val="single" w:sz="4" w:space="0" w:color="auto"/>
              <w:right w:val="single" w:sz="4" w:space="0" w:color="auto"/>
            </w:tcBorders>
            <w:shd w:val="clear" w:color="auto" w:fill="auto"/>
            <w:noWrap/>
            <w:vAlign w:val="bottom"/>
            <w:hideMark/>
          </w:tcPr>
          <w:p w14:paraId="0A6A7B04"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FDF1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717697F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B3B0D4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PEA031</w:t>
            </w:r>
          </w:p>
        </w:tc>
        <w:tc>
          <w:tcPr>
            <w:tcW w:w="3220" w:type="dxa"/>
            <w:tcBorders>
              <w:top w:val="nil"/>
              <w:left w:val="nil"/>
              <w:bottom w:val="single" w:sz="4" w:space="0" w:color="auto"/>
              <w:right w:val="nil"/>
            </w:tcBorders>
            <w:shd w:val="clear" w:color="auto" w:fill="auto"/>
            <w:noWrap/>
            <w:vAlign w:val="bottom"/>
            <w:hideMark/>
          </w:tcPr>
          <w:p w14:paraId="53796C48" w14:textId="77777777" w:rsidR="00A41A74" w:rsidRPr="00325607" w:rsidRDefault="00A41A74" w:rsidP="00325607">
            <w:pPr>
              <w:widowControl/>
              <w:rPr>
                <w:snapToGrid/>
                <w:color w:val="000000"/>
                <w:kern w:val="0"/>
                <w:szCs w:val="22"/>
              </w:rPr>
            </w:pPr>
            <w:r w:rsidRPr="00325607">
              <w:rPr>
                <w:snapToGrid/>
                <w:color w:val="000000"/>
                <w:kern w:val="0"/>
                <w:szCs w:val="22"/>
              </w:rPr>
              <w:t>Indianapolis, IN</w:t>
            </w:r>
          </w:p>
        </w:tc>
        <w:tc>
          <w:tcPr>
            <w:tcW w:w="326" w:type="dxa"/>
            <w:tcBorders>
              <w:top w:val="nil"/>
              <w:left w:val="nil"/>
              <w:bottom w:val="single" w:sz="4" w:space="0" w:color="auto"/>
              <w:right w:val="single" w:sz="4" w:space="0" w:color="auto"/>
            </w:tcBorders>
            <w:shd w:val="clear" w:color="auto" w:fill="auto"/>
            <w:noWrap/>
            <w:vAlign w:val="bottom"/>
            <w:hideMark/>
          </w:tcPr>
          <w:p w14:paraId="743BDA00"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2715A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443EC49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DB183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PEA032</w:t>
            </w:r>
          </w:p>
        </w:tc>
        <w:tc>
          <w:tcPr>
            <w:tcW w:w="3220" w:type="dxa"/>
            <w:tcBorders>
              <w:top w:val="nil"/>
              <w:left w:val="nil"/>
              <w:bottom w:val="single" w:sz="4" w:space="0" w:color="auto"/>
              <w:right w:val="nil"/>
            </w:tcBorders>
            <w:shd w:val="clear" w:color="auto" w:fill="auto"/>
            <w:noWrap/>
            <w:vAlign w:val="bottom"/>
            <w:hideMark/>
          </w:tcPr>
          <w:p w14:paraId="4DFF4D4B" w14:textId="77777777" w:rsidR="00A41A74" w:rsidRPr="00325607" w:rsidRDefault="00A41A74" w:rsidP="00325607">
            <w:pPr>
              <w:widowControl/>
              <w:rPr>
                <w:snapToGrid/>
                <w:color w:val="000000"/>
                <w:kern w:val="0"/>
                <w:szCs w:val="22"/>
              </w:rPr>
            </w:pPr>
            <w:r w:rsidRPr="00325607">
              <w:rPr>
                <w:snapToGrid/>
                <w:color w:val="000000"/>
                <w:kern w:val="0"/>
                <w:szCs w:val="22"/>
              </w:rPr>
              <w:t>Nashville, TN</w:t>
            </w:r>
          </w:p>
        </w:tc>
        <w:tc>
          <w:tcPr>
            <w:tcW w:w="326" w:type="dxa"/>
            <w:tcBorders>
              <w:top w:val="nil"/>
              <w:left w:val="nil"/>
              <w:bottom w:val="single" w:sz="4" w:space="0" w:color="auto"/>
              <w:right w:val="single" w:sz="4" w:space="0" w:color="auto"/>
            </w:tcBorders>
            <w:shd w:val="clear" w:color="auto" w:fill="auto"/>
            <w:noWrap/>
            <w:vAlign w:val="bottom"/>
            <w:hideMark/>
          </w:tcPr>
          <w:p w14:paraId="56450FC9"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7B6E2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252958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7087B3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PEA033</w:t>
            </w:r>
          </w:p>
        </w:tc>
        <w:tc>
          <w:tcPr>
            <w:tcW w:w="3220" w:type="dxa"/>
            <w:tcBorders>
              <w:top w:val="nil"/>
              <w:left w:val="nil"/>
              <w:bottom w:val="single" w:sz="4" w:space="0" w:color="auto"/>
              <w:right w:val="nil"/>
            </w:tcBorders>
            <w:shd w:val="clear" w:color="auto" w:fill="auto"/>
            <w:noWrap/>
            <w:vAlign w:val="bottom"/>
            <w:hideMark/>
          </w:tcPr>
          <w:p w14:paraId="5B6BED2E" w14:textId="77777777" w:rsidR="00A41A74" w:rsidRPr="00325607" w:rsidRDefault="00A41A74" w:rsidP="00325607">
            <w:pPr>
              <w:widowControl/>
              <w:rPr>
                <w:snapToGrid/>
                <w:color w:val="000000"/>
                <w:kern w:val="0"/>
                <w:szCs w:val="22"/>
              </w:rPr>
            </w:pPr>
            <w:r w:rsidRPr="00325607">
              <w:rPr>
                <w:snapToGrid/>
                <w:color w:val="000000"/>
                <w:kern w:val="0"/>
                <w:szCs w:val="22"/>
              </w:rPr>
              <w:t>Virginia Beach, VA</w:t>
            </w:r>
          </w:p>
        </w:tc>
        <w:tc>
          <w:tcPr>
            <w:tcW w:w="326" w:type="dxa"/>
            <w:tcBorders>
              <w:top w:val="nil"/>
              <w:left w:val="nil"/>
              <w:bottom w:val="single" w:sz="4" w:space="0" w:color="auto"/>
              <w:right w:val="single" w:sz="4" w:space="0" w:color="auto"/>
            </w:tcBorders>
            <w:shd w:val="clear" w:color="auto" w:fill="auto"/>
            <w:noWrap/>
            <w:vAlign w:val="bottom"/>
            <w:hideMark/>
          </w:tcPr>
          <w:p w14:paraId="5676F5BF"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BE79C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36196F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3EDB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PEA034</w:t>
            </w:r>
          </w:p>
        </w:tc>
        <w:tc>
          <w:tcPr>
            <w:tcW w:w="3220" w:type="dxa"/>
            <w:tcBorders>
              <w:top w:val="nil"/>
              <w:left w:val="nil"/>
              <w:bottom w:val="single" w:sz="4" w:space="0" w:color="auto"/>
              <w:right w:val="nil"/>
            </w:tcBorders>
            <w:shd w:val="clear" w:color="auto" w:fill="auto"/>
            <w:noWrap/>
            <w:vAlign w:val="bottom"/>
            <w:hideMark/>
          </w:tcPr>
          <w:p w14:paraId="67670D84" w14:textId="77777777" w:rsidR="00A41A74" w:rsidRPr="00325607" w:rsidRDefault="00A41A74" w:rsidP="00325607">
            <w:pPr>
              <w:widowControl/>
              <w:rPr>
                <w:snapToGrid/>
                <w:color w:val="000000"/>
                <w:kern w:val="0"/>
                <w:szCs w:val="22"/>
              </w:rPr>
            </w:pPr>
            <w:r w:rsidRPr="00325607">
              <w:rPr>
                <w:snapToGrid/>
                <w:color w:val="000000"/>
                <w:kern w:val="0"/>
                <w:szCs w:val="22"/>
              </w:rPr>
              <w:t>Fresno, CA</w:t>
            </w:r>
          </w:p>
        </w:tc>
        <w:tc>
          <w:tcPr>
            <w:tcW w:w="326" w:type="dxa"/>
            <w:tcBorders>
              <w:top w:val="nil"/>
              <w:left w:val="nil"/>
              <w:bottom w:val="single" w:sz="4" w:space="0" w:color="auto"/>
              <w:right w:val="single" w:sz="4" w:space="0" w:color="auto"/>
            </w:tcBorders>
            <w:shd w:val="clear" w:color="auto" w:fill="auto"/>
            <w:noWrap/>
            <w:vAlign w:val="bottom"/>
            <w:hideMark/>
          </w:tcPr>
          <w:p w14:paraId="777E61D5"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7C234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BDA2DB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1EA0C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PEA035</w:t>
            </w:r>
          </w:p>
        </w:tc>
        <w:tc>
          <w:tcPr>
            <w:tcW w:w="3220" w:type="dxa"/>
            <w:tcBorders>
              <w:top w:val="nil"/>
              <w:left w:val="nil"/>
              <w:bottom w:val="single" w:sz="4" w:space="0" w:color="auto"/>
              <w:right w:val="nil"/>
            </w:tcBorders>
            <w:shd w:val="clear" w:color="auto" w:fill="auto"/>
            <w:noWrap/>
            <w:vAlign w:val="bottom"/>
            <w:hideMark/>
          </w:tcPr>
          <w:p w14:paraId="3AF3301D" w14:textId="77777777" w:rsidR="00A41A74" w:rsidRPr="00325607" w:rsidRDefault="00A41A74" w:rsidP="00325607">
            <w:pPr>
              <w:widowControl/>
              <w:rPr>
                <w:snapToGrid/>
                <w:color w:val="000000"/>
                <w:kern w:val="0"/>
                <w:szCs w:val="22"/>
              </w:rPr>
            </w:pPr>
            <w:r w:rsidRPr="00325607">
              <w:rPr>
                <w:snapToGrid/>
                <w:color w:val="000000"/>
                <w:kern w:val="0"/>
                <w:szCs w:val="22"/>
              </w:rPr>
              <w:t>Austin, TX</w:t>
            </w:r>
          </w:p>
        </w:tc>
        <w:tc>
          <w:tcPr>
            <w:tcW w:w="326" w:type="dxa"/>
            <w:tcBorders>
              <w:top w:val="nil"/>
              <w:left w:val="nil"/>
              <w:bottom w:val="single" w:sz="4" w:space="0" w:color="auto"/>
              <w:right w:val="single" w:sz="4" w:space="0" w:color="auto"/>
            </w:tcBorders>
            <w:shd w:val="clear" w:color="auto" w:fill="auto"/>
            <w:noWrap/>
            <w:vAlign w:val="bottom"/>
            <w:hideMark/>
          </w:tcPr>
          <w:p w14:paraId="1E89A839"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0744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431CCF4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18D74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PEA036</w:t>
            </w:r>
          </w:p>
        </w:tc>
        <w:tc>
          <w:tcPr>
            <w:tcW w:w="3220" w:type="dxa"/>
            <w:tcBorders>
              <w:top w:val="nil"/>
              <w:left w:val="nil"/>
              <w:bottom w:val="single" w:sz="4" w:space="0" w:color="auto"/>
              <w:right w:val="nil"/>
            </w:tcBorders>
            <w:shd w:val="clear" w:color="auto" w:fill="auto"/>
            <w:noWrap/>
            <w:vAlign w:val="bottom"/>
            <w:hideMark/>
          </w:tcPr>
          <w:p w14:paraId="70081DDA" w14:textId="77777777" w:rsidR="00A41A74" w:rsidRPr="00325607" w:rsidRDefault="00A41A74" w:rsidP="00325607">
            <w:pPr>
              <w:widowControl/>
              <w:rPr>
                <w:snapToGrid/>
                <w:color w:val="000000"/>
                <w:kern w:val="0"/>
                <w:szCs w:val="22"/>
              </w:rPr>
            </w:pPr>
            <w:r w:rsidRPr="00325607">
              <w:rPr>
                <w:snapToGrid/>
                <w:color w:val="000000"/>
                <w:kern w:val="0"/>
                <w:szCs w:val="22"/>
              </w:rPr>
              <w:t>New Orleans, LA</w:t>
            </w:r>
          </w:p>
        </w:tc>
        <w:tc>
          <w:tcPr>
            <w:tcW w:w="326" w:type="dxa"/>
            <w:tcBorders>
              <w:top w:val="nil"/>
              <w:left w:val="nil"/>
              <w:bottom w:val="single" w:sz="4" w:space="0" w:color="auto"/>
              <w:right w:val="single" w:sz="4" w:space="0" w:color="auto"/>
            </w:tcBorders>
            <w:shd w:val="clear" w:color="auto" w:fill="auto"/>
            <w:noWrap/>
            <w:vAlign w:val="bottom"/>
            <w:hideMark/>
          </w:tcPr>
          <w:p w14:paraId="026E2A96"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646FA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2202BD2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48FE0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PEA037</w:t>
            </w:r>
          </w:p>
        </w:tc>
        <w:tc>
          <w:tcPr>
            <w:tcW w:w="3220" w:type="dxa"/>
            <w:tcBorders>
              <w:top w:val="nil"/>
              <w:left w:val="nil"/>
              <w:bottom w:val="single" w:sz="4" w:space="0" w:color="auto"/>
              <w:right w:val="nil"/>
            </w:tcBorders>
            <w:shd w:val="clear" w:color="auto" w:fill="auto"/>
            <w:noWrap/>
            <w:vAlign w:val="bottom"/>
            <w:hideMark/>
          </w:tcPr>
          <w:p w14:paraId="624662EE" w14:textId="77777777" w:rsidR="00A41A74" w:rsidRPr="00325607" w:rsidRDefault="00A41A74" w:rsidP="00325607">
            <w:pPr>
              <w:widowControl/>
              <w:rPr>
                <w:snapToGrid/>
                <w:color w:val="000000"/>
                <w:kern w:val="0"/>
                <w:szCs w:val="22"/>
              </w:rPr>
            </w:pPr>
            <w:r w:rsidRPr="00325607">
              <w:rPr>
                <w:snapToGrid/>
                <w:color w:val="000000"/>
                <w:kern w:val="0"/>
                <w:szCs w:val="22"/>
              </w:rPr>
              <w:t>Columbus, OH</w:t>
            </w:r>
          </w:p>
        </w:tc>
        <w:tc>
          <w:tcPr>
            <w:tcW w:w="326" w:type="dxa"/>
            <w:tcBorders>
              <w:top w:val="nil"/>
              <w:left w:val="nil"/>
              <w:bottom w:val="single" w:sz="4" w:space="0" w:color="auto"/>
              <w:right w:val="single" w:sz="4" w:space="0" w:color="auto"/>
            </w:tcBorders>
            <w:shd w:val="clear" w:color="auto" w:fill="auto"/>
            <w:noWrap/>
            <w:vAlign w:val="bottom"/>
            <w:hideMark/>
          </w:tcPr>
          <w:p w14:paraId="414E1F20"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0CE03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5DEDAE1"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6D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PEA038</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5055479F" w14:textId="77777777" w:rsidR="00A41A74" w:rsidRPr="00325607" w:rsidRDefault="00A41A74" w:rsidP="00325607">
            <w:pPr>
              <w:widowControl/>
              <w:rPr>
                <w:snapToGrid/>
                <w:color w:val="000000"/>
                <w:kern w:val="0"/>
                <w:szCs w:val="22"/>
              </w:rPr>
            </w:pPr>
            <w:r w:rsidRPr="00325607">
              <w:rPr>
                <w:snapToGrid/>
                <w:color w:val="000000"/>
                <w:kern w:val="0"/>
                <w:szCs w:val="22"/>
              </w:rPr>
              <w:t>Milwaukee, WI</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72A96E42"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CF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0E9B60A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7FAAA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PEA039</w:t>
            </w:r>
          </w:p>
        </w:tc>
        <w:tc>
          <w:tcPr>
            <w:tcW w:w="3220" w:type="dxa"/>
            <w:tcBorders>
              <w:top w:val="nil"/>
              <w:left w:val="nil"/>
              <w:bottom w:val="single" w:sz="4" w:space="0" w:color="auto"/>
              <w:right w:val="nil"/>
            </w:tcBorders>
            <w:shd w:val="clear" w:color="auto" w:fill="auto"/>
            <w:noWrap/>
            <w:vAlign w:val="bottom"/>
            <w:hideMark/>
          </w:tcPr>
          <w:p w14:paraId="29C1A181" w14:textId="77777777" w:rsidR="00A41A74" w:rsidRPr="00325607" w:rsidRDefault="00A41A74" w:rsidP="00325607">
            <w:pPr>
              <w:widowControl/>
              <w:rPr>
                <w:snapToGrid/>
                <w:color w:val="000000"/>
                <w:kern w:val="0"/>
                <w:szCs w:val="22"/>
              </w:rPr>
            </w:pPr>
            <w:r w:rsidRPr="00325607">
              <w:rPr>
                <w:snapToGrid/>
                <w:color w:val="000000"/>
                <w:kern w:val="0"/>
                <w:szCs w:val="22"/>
              </w:rPr>
              <w:t>Oklahoma City, OK</w:t>
            </w:r>
          </w:p>
        </w:tc>
        <w:tc>
          <w:tcPr>
            <w:tcW w:w="326" w:type="dxa"/>
            <w:tcBorders>
              <w:top w:val="nil"/>
              <w:left w:val="nil"/>
              <w:bottom w:val="single" w:sz="4" w:space="0" w:color="auto"/>
              <w:right w:val="single" w:sz="4" w:space="0" w:color="auto"/>
            </w:tcBorders>
            <w:shd w:val="clear" w:color="auto" w:fill="auto"/>
            <w:noWrap/>
            <w:vAlign w:val="bottom"/>
            <w:hideMark/>
          </w:tcPr>
          <w:p w14:paraId="045DA27D"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2F59F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3B13B9A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9D7AD2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PEA040</w:t>
            </w:r>
          </w:p>
        </w:tc>
        <w:tc>
          <w:tcPr>
            <w:tcW w:w="3220" w:type="dxa"/>
            <w:tcBorders>
              <w:top w:val="nil"/>
              <w:left w:val="nil"/>
              <w:bottom w:val="single" w:sz="4" w:space="0" w:color="auto"/>
              <w:right w:val="nil"/>
            </w:tcBorders>
            <w:shd w:val="clear" w:color="auto" w:fill="auto"/>
            <w:noWrap/>
            <w:vAlign w:val="bottom"/>
            <w:hideMark/>
          </w:tcPr>
          <w:p w14:paraId="621B6E43" w14:textId="77777777" w:rsidR="00A41A74" w:rsidRPr="00325607" w:rsidRDefault="00A41A74" w:rsidP="00325607">
            <w:pPr>
              <w:widowControl/>
              <w:rPr>
                <w:snapToGrid/>
                <w:color w:val="000000"/>
                <w:kern w:val="0"/>
                <w:szCs w:val="22"/>
              </w:rPr>
            </w:pPr>
            <w:r w:rsidRPr="00325607">
              <w:rPr>
                <w:snapToGrid/>
                <w:color w:val="000000"/>
                <w:kern w:val="0"/>
                <w:szCs w:val="22"/>
              </w:rPr>
              <w:t>Birmingham, AL</w:t>
            </w:r>
          </w:p>
        </w:tc>
        <w:tc>
          <w:tcPr>
            <w:tcW w:w="326" w:type="dxa"/>
            <w:tcBorders>
              <w:top w:val="nil"/>
              <w:left w:val="nil"/>
              <w:bottom w:val="single" w:sz="4" w:space="0" w:color="auto"/>
              <w:right w:val="single" w:sz="4" w:space="0" w:color="auto"/>
            </w:tcBorders>
            <w:shd w:val="clear" w:color="auto" w:fill="auto"/>
            <w:noWrap/>
            <w:vAlign w:val="bottom"/>
            <w:hideMark/>
          </w:tcPr>
          <w:p w14:paraId="5161F527" w14:textId="77777777" w:rsidR="00A41A74" w:rsidRPr="00325607" w:rsidRDefault="00A41A74" w:rsidP="00A41A74">
            <w:pPr>
              <w:widowControl/>
              <w:jc w:val="center"/>
              <w:rPr>
                <w:snapToGrid/>
                <w:color w:val="000000"/>
                <w:kern w:val="0"/>
                <w:szCs w:val="22"/>
              </w:rPr>
            </w:pPr>
          </w:p>
        </w:tc>
        <w:tc>
          <w:tcPr>
            <w:tcW w:w="310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06B9D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n/a</w:t>
            </w:r>
          </w:p>
        </w:tc>
      </w:tr>
      <w:tr w:rsidR="00A41A74" w:rsidRPr="00325607" w14:paraId="4CDFACA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C5377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PEA041</w:t>
            </w:r>
          </w:p>
        </w:tc>
        <w:tc>
          <w:tcPr>
            <w:tcW w:w="3220" w:type="dxa"/>
            <w:tcBorders>
              <w:top w:val="nil"/>
              <w:left w:val="nil"/>
              <w:bottom w:val="single" w:sz="4" w:space="0" w:color="auto"/>
              <w:right w:val="nil"/>
            </w:tcBorders>
            <w:shd w:val="clear" w:color="auto" w:fill="auto"/>
            <w:noWrap/>
            <w:vAlign w:val="bottom"/>
            <w:hideMark/>
          </w:tcPr>
          <w:p w14:paraId="6EEECD17" w14:textId="77777777" w:rsidR="00A41A74" w:rsidRPr="00325607" w:rsidRDefault="00A41A74" w:rsidP="00325607">
            <w:pPr>
              <w:widowControl/>
              <w:rPr>
                <w:snapToGrid/>
                <w:color w:val="000000"/>
                <w:kern w:val="0"/>
                <w:szCs w:val="22"/>
              </w:rPr>
            </w:pPr>
            <w:r w:rsidRPr="00325607">
              <w:rPr>
                <w:snapToGrid/>
                <w:color w:val="000000"/>
                <w:kern w:val="0"/>
                <w:szCs w:val="22"/>
              </w:rPr>
              <w:t>Syracuse, NY</w:t>
            </w:r>
          </w:p>
        </w:tc>
        <w:tc>
          <w:tcPr>
            <w:tcW w:w="326" w:type="dxa"/>
            <w:tcBorders>
              <w:top w:val="nil"/>
              <w:left w:val="nil"/>
              <w:bottom w:val="single" w:sz="4" w:space="0" w:color="auto"/>
              <w:right w:val="single" w:sz="4" w:space="0" w:color="auto"/>
            </w:tcBorders>
            <w:shd w:val="clear" w:color="auto" w:fill="auto"/>
            <w:noWrap/>
            <w:vAlign w:val="bottom"/>
            <w:hideMark/>
          </w:tcPr>
          <w:p w14:paraId="5A3ECFF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6BDCE4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2A9FBB42"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250D0C4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BEFDFD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PEA042</w:t>
            </w:r>
          </w:p>
        </w:tc>
        <w:tc>
          <w:tcPr>
            <w:tcW w:w="3220" w:type="dxa"/>
            <w:tcBorders>
              <w:top w:val="nil"/>
              <w:left w:val="nil"/>
              <w:bottom w:val="single" w:sz="4" w:space="0" w:color="auto"/>
              <w:right w:val="nil"/>
            </w:tcBorders>
            <w:shd w:val="clear" w:color="auto" w:fill="auto"/>
            <w:noWrap/>
            <w:vAlign w:val="bottom"/>
            <w:hideMark/>
          </w:tcPr>
          <w:p w14:paraId="7C6BB630" w14:textId="77777777" w:rsidR="00A41A74" w:rsidRPr="00325607" w:rsidRDefault="00A41A74" w:rsidP="00325607">
            <w:pPr>
              <w:widowControl/>
              <w:rPr>
                <w:snapToGrid/>
                <w:color w:val="000000"/>
                <w:kern w:val="0"/>
                <w:szCs w:val="22"/>
              </w:rPr>
            </w:pPr>
            <w:r w:rsidRPr="00325607">
              <w:rPr>
                <w:snapToGrid/>
                <w:color w:val="000000"/>
                <w:kern w:val="0"/>
                <w:szCs w:val="22"/>
              </w:rPr>
              <w:t>Honolulu, HI</w:t>
            </w:r>
          </w:p>
        </w:tc>
        <w:tc>
          <w:tcPr>
            <w:tcW w:w="326" w:type="dxa"/>
            <w:tcBorders>
              <w:top w:val="nil"/>
              <w:left w:val="nil"/>
              <w:bottom w:val="single" w:sz="4" w:space="0" w:color="auto"/>
              <w:right w:val="single" w:sz="4" w:space="0" w:color="auto"/>
            </w:tcBorders>
            <w:shd w:val="clear" w:color="auto" w:fill="auto"/>
            <w:noWrap/>
            <w:vAlign w:val="bottom"/>
            <w:hideMark/>
          </w:tcPr>
          <w:p w14:paraId="4B3943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6ED6CDB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19FA86C"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4E2078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09CDFD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PEA043</w:t>
            </w:r>
          </w:p>
        </w:tc>
        <w:tc>
          <w:tcPr>
            <w:tcW w:w="3220" w:type="dxa"/>
            <w:tcBorders>
              <w:top w:val="nil"/>
              <w:left w:val="nil"/>
              <w:bottom w:val="single" w:sz="4" w:space="0" w:color="auto"/>
              <w:right w:val="nil"/>
            </w:tcBorders>
            <w:shd w:val="clear" w:color="auto" w:fill="auto"/>
            <w:noWrap/>
            <w:vAlign w:val="bottom"/>
            <w:hideMark/>
          </w:tcPr>
          <w:p w14:paraId="1D4482CB" w14:textId="77777777" w:rsidR="00A41A74" w:rsidRPr="00325607" w:rsidRDefault="00A41A74" w:rsidP="00325607">
            <w:pPr>
              <w:widowControl/>
              <w:rPr>
                <w:snapToGrid/>
                <w:color w:val="000000"/>
                <w:kern w:val="0"/>
                <w:szCs w:val="22"/>
              </w:rPr>
            </w:pPr>
            <w:r w:rsidRPr="00325607">
              <w:rPr>
                <w:snapToGrid/>
                <w:color w:val="000000"/>
                <w:kern w:val="0"/>
                <w:szCs w:val="22"/>
              </w:rPr>
              <w:t>Charlotte, NC</w:t>
            </w:r>
          </w:p>
        </w:tc>
        <w:tc>
          <w:tcPr>
            <w:tcW w:w="326" w:type="dxa"/>
            <w:tcBorders>
              <w:top w:val="nil"/>
              <w:left w:val="nil"/>
              <w:bottom w:val="single" w:sz="4" w:space="0" w:color="auto"/>
              <w:right w:val="single" w:sz="4" w:space="0" w:color="auto"/>
            </w:tcBorders>
            <w:shd w:val="clear" w:color="auto" w:fill="auto"/>
            <w:noWrap/>
            <w:vAlign w:val="bottom"/>
            <w:hideMark/>
          </w:tcPr>
          <w:p w14:paraId="685A5BF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8818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91139C5"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E926BD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E4741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PEA044</w:t>
            </w:r>
          </w:p>
        </w:tc>
        <w:tc>
          <w:tcPr>
            <w:tcW w:w="3220" w:type="dxa"/>
            <w:tcBorders>
              <w:top w:val="nil"/>
              <w:left w:val="nil"/>
              <w:bottom w:val="single" w:sz="4" w:space="0" w:color="auto"/>
              <w:right w:val="nil"/>
            </w:tcBorders>
            <w:shd w:val="clear" w:color="auto" w:fill="auto"/>
            <w:noWrap/>
            <w:vAlign w:val="bottom"/>
            <w:hideMark/>
          </w:tcPr>
          <w:p w14:paraId="7EB03555" w14:textId="77777777" w:rsidR="00A41A74" w:rsidRPr="00325607" w:rsidRDefault="00A41A74" w:rsidP="00325607">
            <w:pPr>
              <w:widowControl/>
              <w:rPr>
                <w:snapToGrid/>
                <w:color w:val="000000"/>
                <w:kern w:val="0"/>
                <w:szCs w:val="22"/>
              </w:rPr>
            </w:pPr>
            <w:r w:rsidRPr="00325607">
              <w:rPr>
                <w:snapToGrid/>
                <w:color w:val="000000"/>
                <w:kern w:val="0"/>
                <w:szCs w:val="22"/>
              </w:rPr>
              <w:t>Rochester, NY</w:t>
            </w:r>
          </w:p>
        </w:tc>
        <w:tc>
          <w:tcPr>
            <w:tcW w:w="326" w:type="dxa"/>
            <w:tcBorders>
              <w:top w:val="nil"/>
              <w:left w:val="nil"/>
              <w:bottom w:val="single" w:sz="4" w:space="0" w:color="auto"/>
              <w:right w:val="single" w:sz="4" w:space="0" w:color="auto"/>
            </w:tcBorders>
            <w:shd w:val="clear" w:color="auto" w:fill="auto"/>
            <w:noWrap/>
            <w:vAlign w:val="bottom"/>
            <w:hideMark/>
          </w:tcPr>
          <w:p w14:paraId="48FAFEC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00C1C2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4BA04561"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41EA0D3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23FC32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PEA045</w:t>
            </w:r>
          </w:p>
        </w:tc>
        <w:tc>
          <w:tcPr>
            <w:tcW w:w="3220" w:type="dxa"/>
            <w:tcBorders>
              <w:top w:val="nil"/>
              <w:left w:val="nil"/>
              <w:bottom w:val="single" w:sz="4" w:space="0" w:color="auto"/>
              <w:right w:val="nil"/>
            </w:tcBorders>
            <w:shd w:val="clear" w:color="auto" w:fill="auto"/>
            <w:noWrap/>
            <w:vAlign w:val="bottom"/>
            <w:hideMark/>
          </w:tcPr>
          <w:p w14:paraId="532EF49A" w14:textId="77777777" w:rsidR="00A41A74" w:rsidRPr="00325607" w:rsidRDefault="00A41A74" w:rsidP="00325607">
            <w:pPr>
              <w:widowControl/>
              <w:rPr>
                <w:snapToGrid/>
                <w:color w:val="000000"/>
                <w:kern w:val="0"/>
                <w:szCs w:val="22"/>
              </w:rPr>
            </w:pPr>
            <w:r w:rsidRPr="00325607">
              <w:rPr>
                <w:snapToGrid/>
                <w:color w:val="000000"/>
                <w:kern w:val="0"/>
                <w:szCs w:val="22"/>
              </w:rPr>
              <w:t>Raleigh, NC</w:t>
            </w:r>
          </w:p>
        </w:tc>
        <w:tc>
          <w:tcPr>
            <w:tcW w:w="326" w:type="dxa"/>
            <w:tcBorders>
              <w:top w:val="nil"/>
              <w:left w:val="nil"/>
              <w:bottom w:val="single" w:sz="4" w:space="0" w:color="auto"/>
              <w:right w:val="single" w:sz="4" w:space="0" w:color="auto"/>
            </w:tcBorders>
            <w:shd w:val="clear" w:color="auto" w:fill="auto"/>
            <w:noWrap/>
            <w:vAlign w:val="bottom"/>
            <w:hideMark/>
          </w:tcPr>
          <w:p w14:paraId="4B6AA9B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5FC946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5D75BD0"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1FDA77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B09918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PEA046</w:t>
            </w:r>
          </w:p>
        </w:tc>
        <w:tc>
          <w:tcPr>
            <w:tcW w:w="3220" w:type="dxa"/>
            <w:tcBorders>
              <w:top w:val="nil"/>
              <w:left w:val="nil"/>
              <w:bottom w:val="single" w:sz="4" w:space="0" w:color="auto"/>
              <w:right w:val="nil"/>
            </w:tcBorders>
            <w:shd w:val="clear" w:color="auto" w:fill="auto"/>
            <w:noWrap/>
            <w:vAlign w:val="bottom"/>
            <w:hideMark/>
          </w:tcPr>
          <w:p w14:paraId="491FE73E" w14:textId="77777777" w:rsidR="00A41A74" w:rsidRPr="00325607" w:rsidRDefault="00A41A74" w:rsidP="00325607">
            <w:pPr>
              <w:widowControl/>
              <w:rPr>
                <w:snapToGrid/>
                <w:color w:val="000000"/>
                <w:kern w:val="0"/>
                <w:szCs w:val="22"/>
              </w:rPr>
            </w:pPr>
            <w:r w:rsidRPr="00325607">
              <w:rPr>
                <w:snapToGrid/>
                <w:color w:val="000000"/>
                <w:kern w:val="0"/>
                <w:szCs w:val="22"/>
              </w:rPr>
              <w:t>Little Rock, AR</w:t>
            </w:r>
          </w:p>
        </w:tc>
        <w:tc>
          <w:tcPr>
            <w:tcW w:w="326" w:type="dxa"/>
            <w:tcBorders>
              <w:top w:val="nil"/>
              <w:left w:val="nil"/>
              <w:bottom w:val="single" w:sz="4" w:space="0" w:color="auto"/>
              <w:right w:val="single" w:sz="4" w:space="0" w:color="auto"/>
            </w:tcBorders>
            <w:shd w:val="clear" w:color="auto" w:fill="auto"/>
            <w:noWrap/>
            <w:vAlign w:val="bottom"/>
            <w:hideMark/>
          </w:tcPr>
          <w:p w14:paraId="67F7062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B3A45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8B56558"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4C03CE9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0ECA3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PEA047</w:t>
            </w:r>
          </w:p>
        </w:tc>
        <w:tc>
          <w:tcPr>
            <w:tcW w:w="3220" w:type="dxa"/>
            <w:tcBorders>
              <w:top w:val="nil"/>
              <w:left w:val="nil"/>
              <w:bottom w:val="single" w:sz="4" w:space="0" w:color="auto"/>
              <w:right w:val="nil"/>
            </w:tcBorders>
            <w:shd w:val="clear" w:color="auto" w:fill="auto"/>
            <w:noWrap/>
            <w:vAlign w:val="bottom"/>
            <w:hideMark/>
          </w:tcPr>
          <w:p w14:paraId="5171549C" w14:textId="77777777" w:rsidR="00A41A74" w:rsidRPr="00325607" w:rsidRDefault="00A41A74" w:rsidP="00325607">
            <w:pPr>
              <w:widowControl/>
              <w:rPr>
                <w:snapToGrid/>
                <w:color w:val="000000"/>
                <w:kern w:val="0"/>
                <w:szCs w:val="22"/>
              </w:rPr>
            </w:pPr>
            <w:r w:rsidRPr="00325607">
              <w:rPr>
                <w:snapToGrid/>
                <w:color w:val="000000"/>
                <w:kern w:val="0"/>
                <w:szCs w:val="22"/>
              </w:rPr>
              <w:t>Brownsville, TX</w:t>
            </w:r>
          </w:p>
        </w:tc>
        <w:tc>
          <w:tcPr>
            <w:tcW w:w="326" w:type="dxa"/>
            <w:tcBorders>
              <w:top w:val="nil"/>
              <w:left w:val="nil"/>
              <w:bottom w:val="single" w:sz="4" w:space="0" w:color="auto"/>
              <w:right w:val="single" w:sz="4" w:space="0" w:color="auto"/>
            </w:tcBorders>
            <w:shd w:val="clear" w:color="auto" w:fill="auto"/>
            <w:noWrap/>
            <w:vAlign w:val="bottom"/>
            <w:hideMark/>
          </w:tcPr>
          <w:p w14:paraId="03C7C55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1EA0D7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B147CC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BC9B1C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1A1B3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PEA048</w:t>
            </w:r>
          </w:p>
        </w:tc>
        <w:tc>
          <w:tcPr>
            <w:tcW w:w="3220" w:type="dxa"/>
            <w:tcBorders>
              <w:top w:val="nil"/>
              <w:left w:val="nil"/>
              <w:bottom w:val="single" w:sz="4" w:space="0" w:color="auto"/>
              <w:right w:val="nil"/>
            </w:tcBorders>
            <w:shd w:val="clear" w:color="auto" w:fill="auto"/>
            <w:noWrap/>
            <w:vAlign w:val="bottom"/>
            <w:hideMark/>
          </w:tcPr>
          <w:p w14:paraId="099350C6" w14:textId="77777777" w:rsidR="00A41A74" w:rsidRPr="00325607" w:rsidRDefault="00A41A74" w:rsidP="00325607">
            <w:pPr>
              <w:widowControl/>
              <w:rPr>
                <w:snapToGrid/>
                <w:color w:val="000000"/>
                <w:kern w:val="0"/>
                <w:szCs w:val="22"/>
              </w:rPr>
            </w:pPr>
            <w:r w:rsidRPr="00325607">
              <w:rPr>
                <w:snapToGrid/>
                <w:color w:val="000000"/>
                <w:kern w:val="0"/>
                <w:szCs w:val="22"/>
              </w:rPr>
              <w:t>Harrisburg, PA</w:t>
            </w:r>
          </w:p>
        </w:tc>
        <w:tc>
          <w:tcPr>
            <w:tcW w:w="326" w:type="dxa"/>
            <w:tcBorders>
              <w:top w:val="nil"/>
              <w:left w:val="nil"/>
              <w:bottom w:val="single" w:sz="4" w:space="0" w:color="auto"/>
              <w:right w:val="single" w:sz="4" w:space="0" w:color="auto"/>
            </w:tcBorders>
            <w:shd w:val="clear" w:color="auto" w:fill="auto"/>
            <w:noWrap/>
            <w:vAlign w:val="bottom"/>
            <w:hideMark/>
          </w:tcPr>
          <w:p w14:paraId="738E611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2FB32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18F8CC7E"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365A98A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B5D50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PEA049</w:t>
            </w:r>
          </w:p>
        </w:tc>
        <w:tc>
          <w:tcPr>
            <w:tcW w:w="3220" w:type="dxa"/>
            <w:tcBorders>
              <w:top w:val="nil"/>
              <w:left w:val="nil"/>
              <w:bottom w:val="single" w:sz="4" w:space="0" w:color="auto"/>
              <w:right w:val="nil"/>
            </w:tcBorders>
            <w:shd w:val="clear" w:color="auto" w:fill="auto"/>
            <w:noWrap/>
            <w:vAlign w:val="bottom"/>
            <w:hideMark/>
          </w:tcPr>
          <w:p w14:paraId="11B9DD5D" w14:textId="77777777" w:rsidR="00A41A74" w:rsidRPr="00325607" w:rsidRDefault="00A41A74" w:rsidP="00325607">
            <w:pPr>
              <w:widowControl/>
              <w:rPr>
                <w:snapToGrid/>
                <w:color w:val="000000"/>
                <w:kern w:val="0"/>
                <w:szCs w:val="22"/>
              </w:rPr>
            </w:pPr>
            <w:r w:rsidRPr="00325607">
              <w:rPr>
                <w:snapToGrid/>
                <w:color w:val="000000"/>
                <w:kern w:val="0"/>
                <w:szCs w:val="22"/>
              </w:rPr>
              <w:t>Albany, NY</w:t>
            </w:r>
          </w:p>
        </w:tc>
        <w:tc>
          <w:tcPr>
            <w:tcW w:w="326" w:type="dxa"/>
            <w:tcBorders>
              <w:top w:val="nil"/>
              <w:left w:val="nil"/>
              <w:bottom w:val="single" w:sz="4" w:space="0" w:color="auto"/>
              <w:right w:val="single" w:sz="4" w:space="0" w:color="auto"/>
            </w:tcBorders>
            <w:shd w:val="clear" w:color="auto" w:fill="auto"/>
            <w:noWrap/>
            <w:vAlign w:val="bottom"/>
            <w:hideMark/>
          </w:tcPr>
          <w:p w14:paraId="226DE34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CB4A78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698BE199"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3240607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9F11F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PEA050</w:t>
            </w:r>
          </w:p>
        </w:tc>
        <w:tc>
          <w:tcPr>
            <w:tcW w:w="3220" w:type="dxa"/>
            <w:tcBorders>
              <w:top w:val="nil"/>
              <w:left w:val="nil"/>
              <w:bottom w:val="single" w:sz="4" w:space="0" w:color="auto"/>
              <w:right w:val="nil"/>
            </w:tcBorders>
            <w:shd w:val="clear" w:color="auto" w:fill="auto"/>
            <w:noWrap/>
            <w:vAlign w:val="bottom"/>
            <w:hideMark/>
          </w:tcPr>
          <w:p w14:paraId="0D81F027" w14:textId="77777777" w:rsidR="00A41A74" w:rsidRPr="00325607" w:rsidRDefault="00A41A74" w:rsidP="00325607">
            <w:pPr>
              <w:widowControl/>
              <w:rPr>
                <w:snapToGrid/>
                <w:color w:val="000000"/>
                <w:kern w:val="0"/>
                <w:szCs w:val="22"/>
              </w:rPr>
            </w:pPr>
            <w:r w:rsidRPr="00325607">
              <w:rPr>
                <w:snapToGrid/>
                <w:color w:val="000000"/>
                <w:kern w:val="0"/>
                <w:szCs w:val="22"/>
              </w:rPr>
              <w:t>Greenville, SC</w:t>
            </w:r>
          </w:p>
        </w:tc>
        <w:tc>
          <w:tcPr>
            <w:tcW w:w="326" w:type="dxa"/>
            <w:tcBorders>
              <w:top w:val="nil"/>
              <w:left w:val="nil"/>
              <w:bottom w:val="single" w:sz="4" w:space="0" w:color="auto"/>
              <w:right w:val="single" w:sz="4" w:space="0" w:color="auto"/>
            </w:tcBorders>
            <w:shd w:val="clear" w:color="auto" w:fill="auto"/>
            <w:noWrap/>
            <w:vAlign w:val="bottom"/>
            <w:hideMark/>
          </w:tcPr>
          <w:p w14:paraId="4CE6C87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CA504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1AA6DBA"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F40C47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C2BF9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PEA051</w:t>
            </w:r>
          </w:p>
        </w:tc>
        <w:tc>
          <w:tcPr>
            <w:tcW w:w="3220" w:type="dxa"/>
            <w:tcBorders>
              <w:top w:val="nil"/>
              <w:left w:val="nil"/>
              <w:bottom w:val="single" w:sz="4" w:space="0" w:color="auto"/>
              <w:right w:val="nil"/>
            </w:tcBorders>
            <w:shd w:val="clear" w:color="auto" w:fill="auto"/>
            <w:noWrap/>
            <w:vAlign w:val="bottom"/>
            <w:hideMark/>
          </w:tcPr>
          <w:p w14:paraId="4C3C69A1" w14:textId="77777777" w:rsidR="00A41A74" w:rsidRPr="00325607" w:rsidRDefault="00A41A74" w:rsidP="00325607">
            <w:pPr>
              <w:widowControl/>
              <w:rPr>
                <w:snapToGrid/>
                <w:color w:val="000000"/>
                <w:kern w:val="0"/>
                <w:szCs w:val="22"/>
              </w:rPr>
            </w:pPr>
            <w:r w:rsidRPr="00325607">
              <w:rPr>
                <w:snapToGrid/>
                <w:color w:val="000000"/>
                <w:kern w:val="0"/>
                <w:szCs w:val="22"/>
              </w:rPr>
              <w:t>Louisville, KY</w:t>
            </w:r>
          </w:p>
        </w:tc>
        <w:tc>
          <w:tcPr>
            <w:tcW w:w="326" w:type="dxa"/>
            <w:tcBorders>
              <w:top w:val="nil"/>
              <w:left w:val="nil"/>
              <w:bottom w:val="single" w:sz="4" w:space="0" w:color="auto"/>
              <w:right w:val="single" w:sz="4" w:space="0" w:color="auto"/>
            </w:tcBorders>
            <w:shd w:val="clear" w:color="auto" w:fill="auto"/>
            <w:noWrap/>
            <w:vAlign w:val="bottom"/>
            <w:hideMark/>
          </w:tcPr>
          <w:p w14:paraId="44AD2FA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30A4EF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D8555FD"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0C80D7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BD14D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PEA052</w:t>
            </w:r>
          </w:p>
        </w:tc>
        <w:tc>
          <w:tcPr>
            <w:tcW w:w="3220" w:type="dxa"/>
            <w:tcBorders>
              <w:top w:val="nil"/>
              <w:left w:val="nil"/>
              <w:bottom w:val="single" w:sz="4" w:space="0" w:color="auto"/>
              <w:right w:val="nil"/>
            </w:tcBorders>
            <w:shd w:val="clear" w:color="auto" w:fill="auto"/>
            <w:noWrap/>
            <w:vAlign w:val="bottom"/>
            <w:hideMark/>
          </w:tcPr>
          <w:p w14:paraId="5AD65F30" w14:textId="77777777" w:rsidR="00A41A74" w:rsidRPr="00325607" w:rsidRDefault="00A41A74" w:rsidP="00325607">
            <w:pPr>
              <w:widowControl/>
              <w:rPr>
                <w:snapToGrid/>
                <w:color w:val="000000"/>
                <w:kern w:val="0"/>
                <w:szCs w:val="22"/>
              </w:rPr>
            </w:pPr>
            <w:r w:rsidRPr="00325607">
              <w:rPr>
                <w:snapToGrid/>
                <w:color w:val="000000"/>
                <w:kern w:val="0"/>
                <w:szCs w:val="22"/>
              </w:rPr>
              <w:t>Charleston, WV</w:t>
            </w:r>
          </w:p>
        </w:tc>
        <w:tc>
          <w:tcPr>
            <w:tcW w:w="326" w:type="dxa"/>
            <w:tcBorders>
              <w:top w:val="nil"/>
              <w:left w:val="nil"/>
              <w:bottom w:val="single" w:sz="4" w:space="0" w:color="auto"/>
              <w:right w:val="single" w:sz="4" w:space="0" w:color="auto"/>
            </w:tcBorders>
            <w:shd w:val="clear" w:color="auto" w:fill="auto"/>
            <w:noWrap/>
            <w:vAlign w:val="bottom"/>
            <w:hideMark/>
          </w:tcPr>
          <w:p w14:paraId="6D0EACD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709D6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F7E7128"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13AB6F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5B91A2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PEA053</w:t>
            </w:r>
          </w:p>
        </w:tc>
        <w:tc>
          <w:tcPr>
            <w:tcW w:w="3220" w:type="dxa"/>
            <w:tcBorders>
              <w:top w:val="nil"/>
              <w:left w:val="nil"/>
              <w:bottom w:val="single" w:sz="4" w:space="0" w:color="auto"/>
              <w:right w:val="nil"/>
            </w:tcBorders>
            <w:shd w:val="clear" w:color="auto" w:fill="auto"/>
            <w:noWrap/>
            <w:vAlign w:val="bottom"/>
            <w:hideMark/>
          </w:tcPr>
          <w:p w14:paraId="292CD2B6" w14:textId="77777777" w:rsidR="00A41A74" w:rsidRPr="00325607" w:rsidRDefault="00A41A74" w:rsidP="00325607">
            <w:pPr>
              <w:widowControl/>
              <w:rPr>
                <w:snapToGrid/>
                <w:color w:val="000000"/>
                <w:kern w:val="0"/>
                <w:szCs w:val="22"/>
              </w:rPr>
            </w:pPr>
            <w:r w:rsidRPr="00325607">
              <w:rPr>
                <w:snapToGrid/>
                <w:color w:val="000000"/>
                <w:kern w:val="0"/>
                <w:szCs w:val="22"/>
              </w:rPr>
              <w:t>Tucson, AZ</w:t>
            </w:r>
          </w:p>
        </w:tc>
        <w:tc>
          <w:tcPr>
            <w:tcW w:w="326" w:type="dxa"/>
            <w:tcBorders>
              <w:top w:val="nil"/>
              <w:left w:val="nil"/>
              <w:bottom w:val="single" w:sz="4" w:space="0" w:color="auto"/>
              <w:right w:val="single" w:sz="4" w:space="0" w:color="auto"/>
            </w:tcBorders>
            <w:shd w:val="clear" w:color="auto" w:fill="auto"/>
            <w:noWrap/>
            <w:vAlign w:val="bottom"/>
            <w:hideMark/>
          </w:tcPr>
          <w:p w14:paraId="379C5EB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4EA811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36693A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C80A92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8A315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PEA054</w:t>
            </w:r>
          </w:p>
        </w:tc>
        <w:tc>
          <w:tcPr>
            <w:tcW w:w="3220" w:type="dxa"/>
            <w:tcBorders>
              <w:top w:val="nil"/>
              <w:left w:val="nil"/>
              <w:bottom w:val="single" w:sz="4" w:space="0" w:color="auto"/>
              <w:right w:val="nil"/>
            </w:tcBorders>
            <w:shd w:val="clear" w:color="auto" w:fill="auto"/>
            <w:noWrap/>
            <w:vAlign w:val="bottom"/>
            <w:hideMark/>
          </w:tcPr>
          <w:p w14:paraId="0494C4DC" w14:textId="77777777" w:rsidR="00A41A74" w:rsidRPr="00325607" w:rsidRDefault="00A41A74" w:rsidP="00325607">
            <w:pPr>
              <w:widowControl/>
              <w:rPr>
                <w:snapToGrid/>
                <w:color w:val="000000"/>
                <w:kern w:val="0"/>
                <w:szCs w:val="22"/>
              </w:rPr>
            </w:pPr>
            <w:r w:rsidRPr="00325607">
              <w:rPr>
                <w:snapToGrid/>
                <w:color w:val="000000"/>
                <w:kern w:val="0"/>
                <w:szCs w:val="22"/>
              </w:rPr>
              <w:t>Buffalo, NY</w:t>
            </w:r>
          </w:p>
        </w:tc>
        <w:tc>
          <w:tcPr>
            <w:tcW w:w="326" w:type="dxa"/>
            <w:tcBorders>
              <w:top w:val="nil"/>
              <w:left w:val="nil"/>
              <w:bottom w:val="single" w:sz="4" w:space="0" w:color="auto"/>
              <w:right w:val="single" w:sz="4" w:space="0" w:color="auto"/>
            </w:tcBorders>
            <w:shd w:val="clear" w:color="auto" w:fill="auto"/>
            <w:noWrap/>
            <w:vAlign w:val="bottom"/>
            <w:hideMark/>
          </w:tcPr>
          <w:p w14:paraId="5A50E57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C7FF3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03A3C31C"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6D72C4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EE69F9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PEA055</w:t>
            </w:r>
          </w:p>
        </w:tc>
        <w:tc>
          <w:tcPr>
            <w:tcW w:w="3220" w:type="dxa"/>
            <w:tcBorders>
              <w:top w:val="nil"/>
              <w:left w:val="nil"/>
              <w:bottom w:val="single" w:sz="4" w:space="0" w:color="auto"/>
              <w:right w:val="nil"/>
            </w:tcBorders>
            <w:shd w:val="clear" w:color="auto" w:fill="auto"/>
            <w:noWrap/>
            <w:vAlign w:val="bottom"/>
            <w:hideMark/>
          </w:tcPr>
          <w:p w14:paraId="6085ADA3" w14:textId="77777777" w:rsidR="00A41A74" w:rsidRPr="00325607" w:rsidRDefault="00A41A74" w:rsidP="00325607">
            <w:pPr>
              <w:widowControl/>
              <w:rPr>
                <w:snapToGrid/>
                <w:color w:val="000000"/>
                <w:kern w:val="0"/>
                <w:szCs w:val="22"/>
              </w:rPr>
            </w:pPr>
            <w:r w:rsidRPr="00325607">
              <w:rPr>
                <w:snapToGrid/>
                <w:color w:val="000000"/>
                <w:kern w:val="0"/>
                <w:szCs w:val="22"/>
              </w:rPr>
              <w:t>Huntsville, AL</w:t>
            </w:r>
          </w:p>
        </w:tc>
        <w:tc>
          <w:tcPr>
            <w:tcW w:w="326" w:type="dxa"/>
            <w:tcBorders>
              <w:top w:val="nil"/>
              <w:left w:val="nil"/>
              <w:bottom w:val="single" w:sz="4" w:space="0" w:color="auto"/>
              <w:right w:val="single" w:sz="4" w:space="0" w:color="auto"/>
            </w:tcBorders>
            <w:shd w:val="clear" w:color="auto" w:fill="auto"/>
            <w:noWrap/>
            <w:vAlign w:val="bottom"/>
            <w:hideMark/>
          </w:tcPr>
          <w:p w14:paraId="0363262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DBA604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20C8F03"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232FE0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7CB410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PEA056</w:t>
            </w:r>
          </w:p>
        </w:tc>
        <w:tc>
          <w:tcPr>
            <w:tcW w:w="3220" w:type="dxa"/>
            <w:tcBorders>
              <w:top w:val="nil"/>
              <w:left w:val="nil"/>
              <w:bottom w:val="single" w:sz="4" w:space="0" w:color="auto"/>
              <w:right w:val="nil"/>
            </w:tcBorders>
            <w:shd w:val="clear" w:color="auto" w:fill="auto"/>
            <w:noWrap/>
            <w:vAlign w:val="bottom"/>
            <w:hideMark/>
          </w:tcPr>
          <w:p w14:paraId="0B8A1564" w14:textId="77777777" w:rsidR="00A41A74" w:rsidRPr="00325607" w:rsidRDefault="00A41A74" w:rsidP="00325607">
            <w:pPr>
              <w:widowControl/>
              <w:rPr>
                <w:snapToGrid/>
                <w:color w:val="000000"/>
                <w:kern w:val="0"/>
                <w:szCs w:val="22"/>
              </w:rPr>
            </w:pPr>
            <w:r w:rsidRPr="00325607">
              <w:rPr>
                <w:snapToGrid/>
                <w:color w:val="000000"/>
                <w:kern w:val="0"/>
                <w:szCs w:val="22"/>
              </w:rPr>
              <w:t>Kalamazoo, MI</w:t>
            </w:r>
          </w:p>
        </w:tc>
        <w:tc>
          <w:tcPr>
            <w:tcW w:w="326" w:type="dxa"/>
            <w:tcBorders>
              <w:top w:val="nil"/>
              <w:left w:val="nil"/>
              <w:bottom w:val="single" w:sz="4" w:space="0" w:color="auto"/>
              <w:right w:val="single" w:sz="4" w:space="0" w:color="auto"/>
            </w:tcBorders>
            <w:shd w:val="clear" w:color="auto" w:fill="auto"/>
            <w:noWrap/>
            <w:vAlign w:val="bottom"/>
            <w:hideMark/>
          </w:tcPr>
          <w:p w14:paraId="4B63562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CEBD75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EB072DA"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8E9AEE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47E41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PEA057</w:t>
            </w:r>
          </w:p>
        </w:tc>
        <w:tc>
          <w:tcPr>
            <w:tcW w:w="3220" w:type="dxa"/>
            <w:tcBorders>
              <w:top w:val="nil"/>
              <w:left w:val="nil"/>
              <w:bottom w:val="single" w:sz="4" w:space="0" w:color="auto"/>
              <w:right w:val="nil"/>
            </w:tcBorders>
            <w:shd w:val="clear" w:color="auto" w:fill="auto"/>
            <w:noWrap/>
            <w:vAlign w:val="bottom"/>
            <w:hideMark/>
          </w:tcPr>
          <w:p w14:paraId="66059A12" w14:textId="77777777" w:rsidR="00A41A74" w:rsidRPr="00325607" w:rsidRDefault="00A41A74" w:rsidP="00325607">
            <w:pPr>
              <w:widowControl/>
              <w:rPr>
                <w:snapToGrid/>
                <w:color w:val="000000"/>
                <w:kern w:val="0"/>
                <w:szCs w:val="22"/>
              </w:rPr>
            </w:pPr>
            <w:r w:rsidRPr="00325607">
              <w:rPr>
                <w:snapToGrid/>
                <w:color w:val="000000"/>
                <w:kern w:val="0"/>
                <w:szCs w:val="22"/>
              </w:rPr>
              <w:t>Richmond, VA</w:t>
            </w:r>
          </w:p>
        </w:tc>
        <w:tc>
          <w:tcPr>
            <w:tcW w:w="326" w:type="dxa"/>
            <w:tcBorders>
              <w:top w:val="nil"/>
              <w:left w:val="nil"/>
              <w:bottom w:val="single" w:sz="4" w:space="0" w:color="auto"/>
              <w:right w:val="single" w:sz="4" w:space="0" w:color="auto"/>
            </w:tcBorders>
            <w:shd w:val="clear" w:color="auto" w:fill="auto"/>
            <w:noWrap/>
            <w:vAlign w:val="bottom"/>
            <w:hideMark/>
          </w:tcPr>
          <w:p w14:paraId="7FF4975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55E55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F1021B2"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2439CF2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E712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PEA058</w:t>
            </w:r>
          </w:p>
        </w:tc>
        <w:tc>
          <w:tcPr>
            <w:tcW w:w="3220" w:type="dxa"/>
            <w:tcBorders>
              <w:top w:val="nil"/>
              <w:left w:val="nil"/>
              <w:bottom w:val="single" w:sz="4" w:space="0" w:color="auto"/>
              <w:right w:val="nil"/>
            </w:tcBorders>
            <w:shd w:val="clear" w:color="auto" w:fill="auto"/>
            <w:noWrap/>
            <w:vAlign w:val="bottom"/>
            <w:hideMark/>
          </w:tcPr>
          <w:p w14:paraId="16C94899" w14:textId="77777777" w:rsidR="00A41A74" w:rsidRPr="00325607" w:rsidRDefault="00A41A74" w:rsidP="00325607">
            <w:pPr>
              <w:widowControl/>
              <w:rPr>
                <w:snapToGrid/>
                <w:color w:val="000000"/>
                <w:kern w:val="0"/>
                <w:szCs w:val="22"/>
              </w:rPr>
            </w:pPr>
            <w:r w:rsidRPr="00325607">
              <w:rPr>
                <w:snapToGrid/>
                <w:color w:val="000000"/>
                <w:kern w:val="0"/>
                <w:szCs w:val="22"/>
              </w:rPr>
              <w:t>Bloomington, IN</w:t>
            </w:r>
          </w:p>
        </w:tc>
        <w:tc>
          <w:tcPr>
            <w:tcW w:w="326" w:type="dxa"/>
            <w:tcBorders>
              <w:top w:val="nil"/>
              <w:left w:val="nil"/>
              <w:bottom w:val="single" w:sz="4" w:space="0" w:color="auto"/>
              <w:right w:val="single" w:sz="4" w:space="0" w:color="auto"/>
            </w:tcBorders>
            <w:shd w:val="clear" w:color="auto" w:fill="auto"/>
            <w:noWrap/>
            <w:vAlign w:val="bottom"/>
            <w:hideMark/>
          </w:tcPr>
          <w:p w14:paraId="42F2CE4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7E14D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956710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51F127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CD40A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PEA059</w:t>
            </w:r>
          </w:p>
        </w:tc>
        <w:tc>
          <w:tcPr>
            <w:tcW w:w="3220" w:type="dxa"/>
            <w:tcBorders>
              <w:top w:val="nil"/>
              <w:left w:val="nil"/>
              <w:bottom w:val="single" w:sz="4" w:space="0" w:color="auto"/>
              <w:right w:val="nil"/>
            </w:tcBorders>
            <w:shd w:val="clear" w:color="auto" w:fill="auto"/>
            <w:noWrap/>
            <w:vAlign w:val="bottom"/>
            <w:hideMark/>
          </w:tcPr>
          <w:p w14:paraId="5535D13B" w14:textId="77777777" w:rsidR="00A41A74" w:rsidRPr="00325607" w:rsidRDefault="00A41A74" w:rsidP="00325607">
            <w:pPr>
              <w:widowControl/>
              <w:rPr>
                <w:snapToGrid/>
                <w:color w:val="000000"/>
                <w:kern w:val="0"/>
                <w:szCs w:val="22"/>
              </w:rPr>
            </w:pPr>
            <w:r w:rsidRPr="00325607">
              <w:rPr>
                <w:snapToGrid/>
                <w:color w:val="000000"/>
                <w:kern w:val="0"/>
                <w:szCs w:val="22"/>
              </w:rPr>
              <w:t>Memphis, TN</w:t>
            </w:r>
          </w:p>
        </w:tc>
        <w:tc>
          <w:tcPr>
            <w:tcW w:w="326" w:type="dxa"/>
            <w:tcBorders>
              <w:top w:val="nil"/>
              <w:left w:val="nil"/>
              <w:bottom w:val="single" w:sz="4" w:space="0" w:color="auto"/>
              <w:right w:val="single" w:sz="4" w:space="0" w:color="auto"/>
            </w:tcBorders>
            <w:shd w:val="clear" w:color="auto" w:fill="auto"/>
            <w:noWrap/>
            <w:vAlign w:val="bottom"/>
            <w:hideMark/>
          </w:tcPr>
          <w:p w14:paraId="0CA8B5B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F506C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B63F79E"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9AC2DA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13025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PEA060</w:t>
            </w:r>
          </w:p>
        </w:tc>
        <w:tc>
          <w:tcPr>
            <w:tcW w:w="3220" w:type="dxa"/>
            <w:tcBorders>
              <w:top w:val="nil"/>
              <w:left w:val="nil"/>
              <w:bottom w:val="single" w:sz="4" w:space="0" w:color="auto"/>
              <w:right w:val="nil"/>
            </w:tcBorders>
            <w:shd w:val="clear" w:color="auto" w:fill="auto"/>
            <w:noWrap/>
            <w:vAlign w:val="bottom"/>
            <w:hideMark/>
          </w:tcPr>
          <w:p w14:paraId="484DB186" w14:textId="77777777" w:rsidR="00A41A74" w:rsidRPr="00325607" w:rsidRDefault="00A41A74" w:rsidP="00325607">
            <w:pPr>
              <w:widowControl/>
              <w:rPr>
                <w:snapToGrid/>
                <w:color w:val="000000"/>
                <w:kern w:val="0"/>
                <w:szCs w:val="22"/>
              </w:rPr>
            </w:pPr>
            <w:r w:rsidRPr="00325607">
              <w:rPr>
                <w:snapToGrid/>
                <w:color w:val="000000"/>
                <w:kern w:val="0"/>
                <w:szCs w:val="22"/>
              </w:rPr>
              <w:t>Manchester, NH</w:t>
            </w:r>
          </w:p>
        </w:tc>
        <w:tc>
          <w:tcPr>
            <w:tcW w:w="326" w:type="dxa"/>
            <w:tcBorders>
              <w:top w:val="nil"/>
              <w:left w:val="nil"/>
              <w:bottom w:val="single" w:sz="4" w:space="0" w:color="auto"/>
              <w:right w:val="single" w:sz="4" w:space="0" w:color="auto"/>
            </w:tcBorders>
            <w:shd w:val="clear" w:color="auto" w:fill="auto"/>
            <w:noWrap/>
            <w:vAlign w:val="bottom"/>
            <w:hideMark/>
          </w:tcPr>
          <w:p w14:paraId="67A04D6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C7301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738C552A"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CC3853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607A8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PEA061</w:t>
            </w:r>
          </w:p>
        </w:tc>
        <w:tc>
          <w:tcPr>
            <w:tcW w:w="3220" w:type="dxa"/>
            <w:tcBorders>
              <w:top w:val="nil"/>
              <w:left w:val="nil"/>
              <w:bottom w:val="single" w:sz="4" w:space="0" w:color="auto"/>
              <w:right w:val="nil"/>
            </w:tcBorders>
            <w:shd w:val="clear" w:color="auto" w:fill="auto"/>
            <w:noWrap/>
            <w:vAlign w:val="bottom"/>
            <w:hideMark/>
          </w:tcPr>
          <w:p w14:paraId="494A11A5" w14:textId="77777777" w:rsidR="00A41A74" w:rsidRPr="00325607" w:rsidRDefault="00A41A74" w:rsidP="00325607">
            <w:pPr>
              <w:widowControl/>
              <w:rPr>
                <w:snapToGrid/>
                <w:color w:val="000000"/>
                <w:kern w:val="0"/>
                <w:szCs w:val="22"/>
              </w:rPr>
            </w:pPr>
            <w:r w:rsidRPr="00325607">
              <w:rPr>
                <w:snapToGrid/>
                <w:color w:val="000000"/>
                <w:kern w:val="0"/>
                <w:szCs w:val="22"/>
              </w:rPr>
              <w:t>Toledo, OH</w:t>
            </w:r>
          </w:p>
        </w:tc>
        <w:tc>
          <w:tcPr>
            <w:tcW w:w="326" w:type="dxa"/>
            <w:tcBorders>
              <w:top w:val="nil"/>
              <w:left w:val="nil"/>
              <w:bottom w:val="single" w:sz="4" w:space="0" w:color="auto"/>
              <w:right w:val="single" w:sz="4" w:space="0" w:color="auto"/>
            </w:tcBorders>
            <w:shd w:val="clear" w:color="auto" w:fill="auto"/>
            <w:noWrap/>
            <w:vAlign w:val="bottom"/>
            <w:hideMark/>
          </w:tcPr>
          <w:p w14:paraId="3993B70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2E1DB2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DA0CC1E"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2571FA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DAABE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PEA062</w:t>
            </w:r>
          </w:p>
        </w:tc>
        <w:tc>
          <w:tcPr>
            <w:tcW w:w="3220" w:type="dxa"/>
            <w:tcBorders>
              <w:top w:val="nil"/>
              <w:left w:val="nil"/>
              <w:bottom w:val="single" w:sz="4" w:space="0" w:color="auto"/>
              <w:right w:val="nil"/>
            </w:tcBorders>
            <w:shd w:val="clear" w:color="auto" w:fill="auto"/>
            <w:noWrap/>
            <w:vAlign w:val="bottom"/>
            <w:hideMark/>
          </w:tcPr>
          <w:p w14:paraId="2700BE5E" w14:textId="77777777" w:rsidR="00A41A74" w:rsidRPr="00325607" w:rsidRDefault="00A41A74" w:rsidP="00325607">
            <w:pPr>
              <w:widowControl/>
              <w:rPr>
                <w:snapToGrid/>
                <w:color w:val="000000"/>
                <w:kern w:val="0"/>
                <w:szCs w:val="22"/>
              </w:rPr>
            </w:pPr>
            <w:r w:rsidRPr="00325607">
              <w:rPr>
                <w:snapToGrid/>
                <w:color w:val="000000"/>
                <w:kern w:val="0"/>
                <w:szCs w:val="22"/>
              </w:rPr>
              <w:t>Dayton, OH</w:t>
            </w:r>
          </w:p>
        </w:tc>
        <w:tc>
          <w:tcPr>
            <w:tcW w:w="326" w:type="dxa"/>
            <w:tcBorders>
              <w:top w:val="nil"/>
              <w:left w:val="nil"/>
              <w:bottom w:val="single" w:sz="4" w:space="0" w:color="auto"/>
              <w:right w:val="single" w:sz="4" w:space="0" w:color="auto"/>
            </w:tcBorders>
            <w:shd w:val="clear" w:color="auto" w:fill="auto"/>
            <w:noWrap/>
            <w:vAlign w:val="bottom"/>
            <w:hideMark/>
          </w:tcPr>
          <w:p w14:paraId="6293D7B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C770D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A405DB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672630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650C2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PEA063</w:t>
            </w:r>
          </w:p>
        </w:tc>
        <w:tc>
          <w:tcPr>
            <w:tcW w:w="3220" w:type="dxa"/>
            <w:tcBorders>
              <w:top w:val="nil"/>
              <w:left w:val="nil"/>
              <w:bottom w:val="single" w:sz="4" w:space="0" w:color="auto"/>
              <w:right w:val="nil"/>
            </w:tcBorders>
            <w:shd w:val="clear" w:color="auto" w:fill="auto"/>
            <w:noWrap/>
            <w:vAlign w:val="bottom"/>
            <w:hideMark/>
          </w:tcPr>
          <w:p w14:paraId="7690E606" w14:textId="77777777" w:rsidR="00A41A74" w:rsidRPr="00325607" w:rsidRDefault="00A41A74" w:rsidP="00325607">
            <w:pPr>
              <w:widowControl/>
              <w:rPr>
                <w:snapToGrid/>
                <w:color w:val="000000"/>
                <w:kern w:val="0"/>
                <w:szCs w:val="22"/>
              </w:rPr>
            </w:pPr>
            <w:r w:rsidRPr="00325607">
              <w:rPr>
                <w:snapToGrid/>
                <w:color w:val="000000"/>
                <w:kern w:val="0"/>
                <w:szCs w:val="22"/>
              </w:rPr>
              <w:t>Tulsa, OK</w:t>
            </w:r>
          </w:p>
        </w:tc>
        <w:tc>
          <w:tcPr>
            <w:tcW w:w="326" w:type="dxa"/>
            <w:tcBorders>
              <w:top w:val="nil"/>
              <w:left w:val="nil"/>
              <w:bottom w:val="single" w:sz="4" w:space="0" w:color="auto"/>
              <w:right w:val="single" w:sz="4" w:space="0" w:color="auto"/>
            </w:tcBorders>
            <w:shd w:val="clear" w:color="auto" w:fill="auto"/>
            <w:noWrap/>
            <w:vAlign w:val="bottom"/>
            <w:hideMark/>
          </w:tcPr>
          <w:p w14:paraId="2FD55F8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7BF894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A032A1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23B751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4E306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PEA064</w:t>
            </w:r>
          </w:p>
        </w:tc>
        <w:tc>
          <w:tcPr>
            <w:tcW w:w="3220" w:type="dxa"/>
            <w:tcBorders>
              <w:top w:val="nil"/>
              <w:left w:val="nil"/>
              <w:bottom w:val="single" w:sz="4" w:space="0" w:color="auto"/>
              <w:right w:val="nil"/>
            </w:tcBorders>
            <w:shd w:val="clear" w:color="auto" w:fill="auto"/>
            <w:noWrap/>
            <w:vAlign w:val="bottom"/>
            <w:hideMark/>
          </w:tcPr>
          <w:p w14:paraId="4BA3BAFB" w14:textId="77777777" w:rsidR="00A41A74" w:rsidRPr="00325607" w:rsidRDefault="00A41A74" w:rsidP="00325607">
            <w:pPr>
              <w:widowControl/>
              <w:rPr>
                <w:snapToGrid/>
                <w:color w:val="000000"/>
                <w:kern w:val="0"/>
                <w:szCs w:val="22"/>
              </w:rPr>
            </w:pPr>
            <w:r w:rsidRPr="00325607">
              <w:rPr>
                <w:snapToGrid/>
                <w:color w:val="000000"/>
                <w:kern w:val="0"/>
                <w:szCs w:val="22"/>
              </w:rPr>
              <w:t>South Bend, IN</w:t>
            </w:r>
          </w:p>
        </w:tc>
        <w:tc>
          <w:tcPr>
            <w:tcW w:w="326" w:type="dxa"/>
            <w:tcBorders>
              <w:top w:val="nil"/>
              <w:left w:val="nil"/>
              <w:bottom w:val="single" w:sz="4" w:space="0" w:color="auto"/>
              <w:right w:val="single" w:sz="4" w:space="0" w:color="auto"/>
            </w:tcBorders>
            <w:shd w:val="clear" w:color="auto" w:fill="auto"/>
            <w:noWrap/>
            <w:vAlign w:val="bottom"/>
            <w:hideMark/>
          </w:tcPr>
          <w:p w14:paraId="634907A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3B83F2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E5C9E8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CB755F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06F1F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PEA065</w:t>
            </w:r>
          </w:p>
        </w:tc>
        <w:tc>
          <w:tcPr>
            <w:tcW w:w="3220" w:type="dxa"/>
            <w:tcBorders>
              <w:top w:val="nil"/>
              <w:left w:val="nil"/>
              <w:bottom w:val="single" w:sz="4" w:space="0" w:color="auto"/>
              <w:right w:val="nil"/>
            </w:tcBorders>
            <w:shd w:val="clear" w:color="auto" w:fill="auto"/>
            <w:noWrap/>
            <w:vAlign w:val="bottom"/>
            <w:hideMark/>
          </w:tcPr>
          <w:p w14:paraId="7B7D033D" w14:textId="77777777" w:rsidR="00A41A74" w:rsidRPr="00325607" w:rsidRDefault="00A41A74" w:rsidP="00325607">
            <w:pPr>
              <w:widowControl/>
              <w:rPr>
                <w:snapToGrid/>
                <w:color w:val="000000"/>
                <w:kern w:val="0"/>
                <w:szCs w:val="22"/>
              </w:rPr>
            </w:pPr>
            <w:r w:rsidRPr="00325607">
              <w:rPr>
                <w:snapToGrid/>
                <w:color w:val="000000"/>
                <w:kern w:val="0"/>
                <w:szCs w:val="22"/>
              </w:rPr>
              <w:t>Cape Coral, FL</w:t>
            </w:r>
          </w:p>
        </w:tc>
        <w:tc>
          <w:tcPr>
            <w:tcW w:w="326" w:type="dxa"/>
            <w:tcBorders>
              <w:top w:val="nil"/>
              <w:left w:val="nil"/>
              <w:bottom w:val="single" w:sz="4" w:space="0" w:color="auto"/>
              <w:right w:val="single" w:sz="4" w:space="0" w:color="auto"/>
            </w:tcBorders>
            <w:shd w:val="clear" w:color="auto" w:fill="auto"/>
            <w:noWrap/>
            <w:vAlign w:val="bottom"/>
            <w:hideMark/>
          </w:tcPr>
          <w:p w14:paraId="05F2470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A9C9C5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52738B6"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22B1090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68BE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PEA066</w:t>
            </w:r>
          </w:p>
        </w:tc>
        <w:tc>
          <w:tcPr>
            <w:tcW w:w="3220" w:type="dxa"/>
            <w:tcBorders>
              <w:top w:val="nil"/>
              <w:left w:val="nil"/>
              <w:bottom w:val="single" w:sz="4" w:space="0" w:color="auto"/>
              <w:right w:val="nil"/>
            </w:tcBorders>
            <w:shd w:val="clear" w:color="auto" w:fill="auto"/>
            <w:noWrap/>
            <w:vAlign w:val="bottom"/>
            <w:hideMark/>
          </w:tcPr>
          <w:p w14:paraId="5D5CD2E0" w14:textId="77777777" w:rsidR="00A41A74" w:rsidRPr="00325607" w:rsidRDefault="00A41A74" w:rsidP="00325607">
            <w:pPr>
              <w:widowControl/>
              <w:rPr>
                <w:snapToGrid/>
                <w:color w:val="000000"/>
                <w:kern w:val="0"/>
                <w:szCs w:val="22"/>
              </w:rPr>
            </w:pPr>
            <w:r w:rsidRPr="00325607">
              <w:rPr>
                <w:snapToGrid/>
                <w:color w:val="000000"/>
                <w:kern w:val="0"/>
                <w:szCs w:val="22"/>
              </w:rPr>
              <w:t>Lansing, MI</w:t>
            </w:r>
          </w:p>
        </w:tc>
        <w:tc>
          <w:tcPr>
            <w:tcW w:w="326" w:type="dxa"/>
            <w:tcBorders>
              <w:top w:val="nil"/>
              <w:left w:val="nil"/>
              <w:bottom w:val="single" w:sz="4" w:space="0" w:color="auto"/>
              <w:right w:val="single" w:sz="4" w:space="0" w:color="auto"/>
            </w:tcBorders>
            <w:shd w:val="clear" w:color="auto" w:fill="auto"/>
            <w:noWrap/>
            <w:vAlign w:val="bottom"/>
            <w:hideMark/>
          </w:tcPr>
          <w:p w14:paraId="4D12BF5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342DF3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779474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9AB9CF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CB4F4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PEA067</w:t>
            </w:r>
          </w:p>
        </w:tc>
        <w:tc>
          <w:tcPr>
            <w:tcW w:w="3220" w:type="dxa"/>
            <w:tcBorders>
              <w:top w:val="nil"/>
              <w:left w:val="nil"/>
              <w:bottom w:val="single" w:sz="4" w:space="0" w:color="auto"/>
              <w:right w:val="nil"/>
            </w:tcBorders>
            <w:shd w:val="clear" w:color="auto" w:fill="auto"/>
            <w:noWrap/>
            <w:vAlign w:val="bottom"/>
            <w:hideMark/>
          </w:tcPr>
          <w:p w14:paraId="4511654B" w14:textId="77777777" w:rsidR="00A41A74" w:rsidRPr="00325607" w:rsidRDefault="00A41A74" w:rsidP="00325607">
            <w:pPr>
              <w:widowControl/>
              <w:rPr>
                <w:snapToGrid/>
                <w:color w:val="000000"/>
                <w:kern w:val="0"/>
                <w:szCs w:val="22"/>
              </w:rPr>
            </w:pPr>
            <w:r w:rsidRPr="00325607">
              <w:rPr>
                <w:snapToGrid/>
                <w:color w:val="000000"/>
                <w:kern w:val="0"/>
                <w:szCs w:val="22"/>
              </w:rPr>
              <w:t>Sarasota, FL</w:t>
            </w:r>
          </w:p>
        </w:tc>
        <w:tc>
          <w:tcPr>
            <w:tcW w:w="326" w:type="dxa"/>
            <w:tcBorders>
              <w:top w:val="nil"/>
              <w:left w:val="nil"/>
              <w:bottom w:val="single" w:sz="4" w:space="0" w:color="auto"/>
              <w:right w:val="single" w:sz="4" w:space="0" w:color="auto"/>
            </w:tcBorders>
            <w:shd w:val="clear" w:color="auto" w:fill="auto"/>
            <w:noWrap/>
            <w:vAlign w:val="bottom"/>
            <w:hideMark/>
          </w:tcPr>
          <w:p w14:paraId="4767BF8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22C146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017BC9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D3DC96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7B27A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PEA068</w:t>
            </w:r>
          </w:p>
        </w:tc>
        <w:tc>
          <w:tcPr>
            <w:tcW w:w="3220" w:type="dxa"/>
            <w:tcBorders>
              <w:top w:val="nil"/>
              <w:left w:val="nil"/>
              <w:bottom w:val="single" w:sz="4" w:space="0" w:color="auto"/>
              <w:right w:val="nil"/>
            </w:tcBorders>
            <w:shd w:val="clear" w:color="auto" w:fill="auto"/>
            <w:noWrap/>
            <w:vAlign w:val="bottom"/>
            <w:hideMark/>
          </w:tcPr>
          <w:p w14:paraId="7510F7ED" w14:textId="77777777" w:rsidR="00A41A74" w:rsidRPr="00325607" w:rsidRDefault="00A41A74" w:rsidP="00325607">
            <w:pPr>
              <w:widowControl/>
              <w:rPr>
                <w:snapToGrid/>
                <w:color w:val="000000"/>
                <w:kern w:val="0"/>
                <w:szCs w:val="22"/>
              </w:rPr>
            </w:pPr>
            <w:r w:rsidRPr="00325607">
              <w:rPr>
                <w:snapToGrid/>
                <w:color w:val="000000"/>
                <w:kern w:val="0"/>
                <w:szCs w:val="22"/>
              </w:rPr>
              <w:t>Grand Rapids, MI</w:t>
            </w:r>
          </w:p>
        </w:tc>
        <w:tc>
          <w:tcPr>
            <w:tcW w:w="326" w:type="dxa"/>
            <w:tcBorders>
              <w:top w:val="nil"/>
              <w:left w:val="nil"/>
              <w:bottom w:val="single" w:sz="4" w:space="0" w:color="auto"/>
              <w:right w:val="single" w:sz="4" w:space="0" w:color="auto"/>
            </w:tcBorders>
            <w:shd w:val="clear" w:color="auto" w:fill="auto"/>
            <w:noWrap/>
            <w:vAlign w:val="bottom"/>
            <w:hideMark/>
          </w:tcPr>
          <w:p w14:paraId="270430F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6D8375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FD01838"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6D8667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663481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PEA069</w:t>
            </w:r>
          </w:p>
        </w:tc>
        <w:tc>
          <w:tcPr>
            <w:tcW w:w="3220" w:type="dxa"/>
            <w:tcBorders>
              <w:top w:val="nil"/>
              <w:left w:val="nil"/>
              <w:bottom w:val="single" w:sz="4" w:space="0" w:color="auto"/>
              <w:right w:val="nil"/>
            </w:tcBorders>
            <w:shd w:val="clear" w:color="auto" w:fill="auto"/>
            <w:noWrap/>
            <w:vAlign w:val="bottom"/>
            <w:hideMark/>
          </w:tcPr>
          <w:p w14:paraId="29D13029" w14:textId="77777777" w:rsidR="00A41A74" w:rsidRPr="00325607" w:rsidRDefault="00A41A74" w:rsidP="00325607">
            <w:pPr>
              <w:widowControl/>
              <w:rPr>
                <w:snapToGrid/>
                <w:color w:val="000000"/>
                <w:kern w:val="0"/>
                <w:szCs w:val="22"/>
              </w:rPr>
            </w:pPr>
            <w:r w:rsidRPr="00325607">
              <w:rPr>
                <w:snapToGrid/>
                <w:color w:val="000000"/>
                <w:kern w:val="0"/>
                <w:szCs w:val="22"/>
              </w:rPr>
              <w:t>Springfield, MA</w:t>
            </w:r>
          </w:p>
        </w:tc>
        <w:tc>
          <w:tcPr>
            <w:tcW w:w="326" w:type="dxa"/>
            <w:tcBorders>
              <w:top w:val="nil"/>
              <w:left w:val="nil"/>
              <w:bottom w:val="single" w:sz="4" w:space="0" w:color="auto"/>
              <w:right w:val="single" w:sz="4" w:space="0" w:color="auto"/>
            </w:tcBorders>
            <w:shd w:val="clear" w:color="auto" w:fill="auto"/>
            <w:noWrap/>
            <w:vAlign w:val="bottom"/>
            <w:hideMark/>
          </w:tcPr>
          <w:p w14:paraId="5931694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7A01D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34951877"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0667B7E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DFF03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PEA070</w:t>
            </w:r>
          </w:p>
        </w:tc>
        <w:tc>
          <w:tcPr>
            <w:tcW w:w="3220" w:type="dxa"/>
            <w:tcBorders>
              <w:top w:val="nil"/>
              <w:left w:val="nil"/>
              <w:bottom w:val="single" w:sz="4" w:space="0" w:color="auto"/>
              <w:right w:val="nil"/>
            </w:tcBorders>
            <w:shd w:val="clear" w:color="auto" w:fill="auto"/>
            <w:noWrap/>
            <w:vAlign w:val="bottom"/>
            <w:hideMark/>
          </w:tcPr>
          <w:p w14:paraId="181074E2" w14:textId="77777777" w:rsidR="00A41A74" w:rsidRPr="00325607" w:rsidRDefault="00A41A74" w:rsidP="00325607">
            <w:pPr>
              <w:widowControl/>
              <w:rPr>
                <w:snapToGrid/>
                <w:color w:val="000000"/>
                <w:kern w:val="0"/>
                <w:szCs w:val="22"/>
              </w:rPr>
            </w:pPr>
            <w:r w:rsidRPr="00325607">
              <w:rPr>
                <w:snapToGrid/>
                <w:color w:val="000000"/>
                <w:kern w:val="0"/>
                <w:szCs w:val="22"/>
              </w:rPr>
              <w:t>Eugene, OR</w:t>
            </w:r>
          </w:p>
        </w:tc>
        <w:tc>
          <w:tcPr>
            <w:tcW w:w="326" w:type="dxa"/>
            <w:tcBorders>
              <w:top w:val="nil"/>
              <w:left w:val="nil"/>
              <w:bottom w:val="single" w:sz="4" w:space="0" w:color="auto"/>
              <w:right w:val="single" w:sz="4" w:space="0" w:color="auto"/>
            </w:tcBorders>
            <w:shd w:val="clear" w:color="auto" w:fill="auto"/>
            <w:noWrap/>
            <w:vAlign w:val="bottom"/>
            <w:hideMark/>
          </w:tcPr>
          <w:p w14:paraId="4A60CD5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EB1F77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C6E816C"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8D890F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407883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PEA071</w:t>
            </w:r>
          </w:p>
        </w:tc>
        <w:tc>
          <w:tcPr>
            <w:tcW w:w="3220" w:type="dxa"/>
            <w:tcBorders>
              <w:top w:val="nil"/>
              <w:left w:val="nil"/>
              <w:bottom w:val="single" w:sz="4" w:space="0" w:color="auto"/>
              <w:right w:val="nil"/>
            </w:tcBorders>
            <w:shd w:val="clear" w:color="auto" w:fill="auto"/>
            <w:noWrap/>
            <w:vAlign w:val="bottom"/>
            <w:hideMark/>
          </w:tcPr>
          <w:p w14:paraId="40026C25" w14:textId="77777777" w:rsidR="00A41A74" w:rsidRPr="00325607" w:rsidRDefault="00A41A74" w:rsidP="00325607">
            <w:pPr>
              <w:widowControl/>
              <w:rPr>
                <w:snapToGrid/>
                <w:color w:val="000000"/>
                <w:kern w:val="0"/>
                <w:szCs w:val="22"/>
              </w:rPr>
            </w:pPr>
            <w:r w:rsidRPr="00325607">
              <w:rPr>
                <w:snapToGrid/>
                <w:color w:val="000000"/>
                <w:kern w:val="0"/>
                <w:szCs w:val="22"/>
              </w:rPr>
              <w:t>Knoxville, TN</w:t>
            </w:r>
          </w:p>
        </w:tc>
        <w:tc>
          <w:tcPr>
            <w:tcW w:w="326" w:type="dxa"/>
            <w:tcBorders>
              <w:top w:val="nil"/>
              <w:left w:val="nil"/>
              <w:bottom w:val="single" w:sz="4" w:space="0" w:color="auto"/>
              <w:right w:val="single" w:sz="4" w:space="0" w:color="auto"/>
            </w:tcBorders>
            <w:shd w:val="clear" w:color="auto" w:fill="auto"/>
            <w:noWrap/>
            <w:vAlign w:val="bottom"/>
            <w:hideMark/>
          </w:tcPr>
          <w:p w14:paraId="37FB951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9928DE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65AEA3B"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2E3A35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3DD1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PEA072</w:t>
            </w:r>
          </w:p>
        </w:tc>
        <w:tc>
          <w:tcPr>
            <w:tcW w:w="3220" w:type="dxa"/>
            <w:tcBorders>
              <w:top w:val="nil"/>
              <w:left w:val="nil"/>
              <w:bottom w:val="single" w:sz="4" w:space="0" w:color="auto"/>
              <w:right w:val="nil"/>
            </w:tcBorders>
            <w:shd w:val="clear" w:color="auto" w:fill="auto"/>
            <w:noWrap/>
            <w:vAlign w:val="bottom"/>
            <w:hideMark/>
          </w:tcPr>
          <w:p w14:paraId="49948AE9" w14:textId="77777777" w:rsidR="00A41A74" w:rsidRPr="00325607" w:rsidRDefault="00A41A74" w:rsidP="00325607">
            <w:pPr>
              <w:widowControl/>
              <w:rPr>
                <w:snapToGrid/>
                <w:color w:val="000000"/>
                <w:kern w:val="0"/>
                <w:szCs w:val="22"/>
              </w:rPr>
            </w:pPr>
            <w:r w:rsidRPr="00325607">
              <w:rPr>
                <w:snapToGrid/>
                <w:color w:val="000000"/>
                <w:kern w:val="0"/>
                <w:szCs w:val="22"/>
              </w:rPr>
              <w:t>Tallahassee, FL</w:t>
            </w:r>
          </w:p>
        </w:tc>
        <w:tc>
          <w:tcPr>
            <w:tcW w:w="326" w:type="dxa"/>
            <w:tcBorders>
              <w:top w:val="nil"/>
              <w:left w:val="nil"/>
              <w:bottom w:val="single" w:sz="4" w:space="0" w:color="auto"/>
              <w:right w:val="single" w:sz="4" w:space="0" w:color="auto"/>
            </w:tcBorders>
            <w:shd w:val="clear" w:color="auto" w:fill="auto"/>
            <w:noWrap/>
            <w:vAlign w:val="bottom"/>
            <w:hideMark/>
          </w:tcPr>
          <w:p w14:paraId="62A1EF1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95E85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A41A1A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689A882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1FE1D5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PEA073</w:t>
            </w:r>
          </w:p>
        </w:tc>
        <w:tc>
          <w:tcPr>
            <w:tcW w:w="3220" w:type="dxa"/>
            <w:tcBorders>
              <w:top w:val="nil"/>
              <w:left w:val="nil"/>
              <w:bottom w:val="single" w:sz="4" w:space="0" w:color="auto"/>
              <w:right w:val="nil"/>
            </w:tcBorders>
            <w:shd w:val="clear" w:color="auto" w:fill="auto"/>
            <w:noWrap/>
            <w:vAlign w:val="bottom"/>
            <w:hideMark/>
          </w:tcPr>
          <w:p w14:paraId="3CB9740C" w14:textId="77777777" w:rsidR="00A41A74" w:rsidRPr="00325607" w:rsidRDefault="00A41A74" w:rsidP="00325607">
            <w:pPr>
              <w:widowControl/>
              <w:rPr>
                <w:snapToGrid/>
                <w:color w:val="000000"/>
                <w:kern w:val="0"/>
                <w:szCs w:val="22"/>
              </w:rPr>
            </w:pPr>
            <w:r w:rsidRPr="00325607">
              <w:rPr>
                <w:snapToGrid/>
                <w:color w:val="000000"/>
                <w:kern w:val="0"/>
                <w:szCs w:val="22"/>
              </w:rPr>
              <w:t>El Paso, TX</w:t>
            </w:r>
          </w:p>
        </w:tc>
        <w:tc>
          <w:tcPr>
            <w:tcW w:w="326" w:type="dxa"/>
            <w:tcBorders>
              <w:top w:val="nil"/>
              <w:left w:val="nil"/>
              <w:bottom w:val="single" w:sz="4" w:space="0" w:color="auto"/>
              <w:right w:val="single" w:sz="4" w:space="0" w:color="auto"/>
            </w:tcBorders>
            <w:shd w:val="clear" w:color="auto" w:fill="auto"/>
            <w:noWrap/>
            <w:vAlign w:val="bottom"/>
            <w:hideMark/>
          </w:tcPr>
          <w:p w14:paraId="31A5B31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CD5800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59D8F97"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91F552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65C9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PEA074</w:t>
            </w:r>
          </w:p>
        </w:tc>
        <w:tc>
          <w:tcPr>
            <w:tcW w:w="3220" w:type="dxa"/>
            <w:tcBorders>
              <w:top w:val="nil"/>
              <w:left w:val="nil"/>
              <w:bottom w:val="single" w:sz="4" w:space="0" w:color="auto"/>
              <w:right w:val="nil"/>
            </w:tcBorders>
            <w:shd w:val="clear" w:color="auto" w:fill="auto"/>
            <w:noWrap/>
            <w:vAlign w:val="bottom"/>
            <w:hideMark/>
          </w:tcPr>
          <w:p w14:paraId="5AF71B09" w14:textId="77777777" w:rsidR="00A41A74" w:rsidRPr="00325607" w:rsidRDefault="00A41A74" w:rsidP="00325607">
            <w:pPr>
              <w:widowControl/>
              <w:rPr>
                <w:snapToGrid/>
                <w:color w:val="000000"/>
                <w:kern w:val="0"/>
                <w:szCs w:val="22"/>
              </w:rPr>
            </w:pPr>
            <w:r w:rsidRPr="00325607">
              <w:rPr>
                <w:snapToGrid/>
                <w:color w:val="000000"/>
                <w:kern w:val="0"/>
                <w:szCs w:val="22"/>
              </w:rPr>
              <w:t>Chattanooga, TN</w:t>
            </w:r>
          </w:p>
        </w:tc>
        <w:tc>
          <w:tcPr>
            <w:tcW w:w="326" w:type="dxa"/>
            <w:tcBorders>
              <w:top w:val="nil"/>
              <w:left w:val="nil"/>
              <w:bottom w:val="single" w:sz="4" w:space="0" w:color="auto"/>
              <w:right w:val="single" w:sz="4" w:space="0" w:color="auto"/>
            </w:tcBorders>
            <w:shd w:val="clear" w:color="auto" w:fill="auto"/>
            <w:noWrap/>
            <w:vAlign w:val="bottom"/>
            <w:hideMark/>
          </w:tcPr>
          <w:p w14:paraId="54D507A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9374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2E07CC5"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91E2E8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128CD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PEA075</w:t>
            </w:r>
          </w:p>
        </w:tc>
        <w:tc>
          <w:tcPr>
            <w:tcW w:w="3220" w:type="dxa"/>
            <w:tcBorders>
              <w:top w:val="nil"/>
              <w:left w:val="nil"/>
              <w:bottom w:val="single" w:sz="4" w:space="0" w:color="auto"/>
              <w:right w:val="nil"/>
            </w:tcBorders>
            <w:shd w:val="clear" w:color="auto" w:fill="auto"/>
            <w:noWrap/>
            <w:vAlign w:val="bottom"/>
            <w:hideMark/>
          </w:tcPr>
          <w:p w14:paraId="4CB2D001" w14:textId="77777777" w:rsidR="00A41A74" w:rsidRPr="00325607" w:rsidRDefault="00A41A74" w:rsidP="00325607">
            <w:pPr>
              <w:widowControl/>
              <w:rPr>
                <w:snapToGrid/>
                <w:color w:val="000000"/>
                <w:kern w:val="0"/>
                <w:szCs w:val="22"/>
              </w:rPr>
            </w:pPr>
            <w:r w:rsidRPr="00325607">
              <w:rPr>
                <w:snapToGrid/>
                <w:color w:val="000000"/>
                <w:kern w:val="0"/>
                <w:szCs w:val="22"/>
              </w:rPr>
              <w:t>Albuquerque, NM</w:t>
            </w:r>
          </w:p>
        </w:tc>
        <w:tc>
          <w:tcPr>
            <w:tcW w:w="326" w:type="dxa"/>
            <w:tcBorders>
              <w:top w:val="nil"/>
              <w:left w:val="nil"/>
              <w:bottom w:val="single" w:sz="4" w:space="0" w:color="auto"/>
              <w:right w:val="single" w:sz="4" w:space="0" w:color="auto"/>
            </w:tcBorders>
            <w:shd w:val="clear" w:color="auto" w:fill="auto"/>
            <w:noWrap/>
            <w:vAlign w:val="bottom"/>
            <w:hideMark/>
          </w:tcPr>
          <w:p w14:paraId="02E2886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797FA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C5F251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3C3B624"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BEF1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PEA076</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773F734E" w14:textId="77777777" w:rsidR="00A41A74" w:rsidRPr="00325607" w:rsidRDefault="00A41A74" w:rsidP="00325607">
            <w:pPr>
              <w:widowControl/>
              <w:rPr>
                <w:snapToGrid/>
                <w:color w:val="000000"/>
                <w:kern w:val="0"/>
                <w:szCs w:val="22"/>
              </w:rPr>
            </w:pPr>
            <w:r w:rsidRPr="00325607">
              <w:rPr>
                <w:snapToGrid/>
                <w:color w:val="000000"/>
                <w:kern w:val="0"/>
                <w:szCs w:val="22"/>
              </w:rPr>
              <w:t>Reno, NV</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58377B95"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CF3E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8031"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5D55AA8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62F2A7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PEA077</w:t>
            </w:r>
          </w:p>
        </w:tc>
        <w:tc>
          <w:tcPr>
            <w:tcW w:w="3220" w:type="dxa"/>
            <w:tcBorders>
              <w:top w:val="nil"/>
              <w:left w:val="nil"/>
              <w:bottom w:val="single" w:sz="4" w:space="0" w:color="auto"/>
              <w:right w:val="nil"/>
            </w:tcBorders>
            <w:shd w:val="clear" w:color="auto" w:fill="auto"/>
            <w:noWrap/>
            <w:vAlign w:val="bottom"/>
            <w:hideMark/>
          </w:tcPr>
          <w:p w14:paraId="5A7DEC14" w14:textId="77777777" w:rsidR="00A41A74" w:rsidRPr="00325607" w:rsidRDefault="00A41A74" w:rsidP="00325607">
            <w:pPr>
              <w:widowControl/>
              <w:rPr>
                <w:snapToGrid/>
                <w:color w:val="000000"/>
                <w:kern w:val="0"/>
                <w:szCs w:val="22"/>
              </w:rPr>
            </w:pPr>
            <w:r w:rsidRPr="00325607">
              <w:rPr>
                <w:snapToGrid/>
                <w:color w:val="000000"/>
                <w:kern w:val="0"/>
                <w:szCs w:val="22"/>
              </w:rPr>
              <w:t>Portland, ME</w:t>
            </w:r>
          </w:p>
        </w:tc>
        <w:tc>
          <w:tcPr>
            <w:tcW w:w="326" w:type="dxa"/>
            <w:tcBorders>
              <w:top w:val="nil"/>
              <w:left w:val="nil"/>
              <w:bottom w:val="single" w:sz="4" w:space="0" w:color="auto"/>
              <w:right w:val="single" w:sz="4" w:space="0" w:color="auto"/>
            </w:tcBorders>
            <w:shd w:val="clear" w:color="auto" w:fill="auto"/>
            <w:noWrap/>
            <w:vAlign w:val="bottom"/>
            <w:hideMark/>
          </w:tcPr>
          <w:p w14:paraId="2BD69FF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3C3CBB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696B8838"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0D57DBA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A7BE33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PEA078</w:t>
            </w:r>
          </w:p>
        </w:tc>
        <w:tc>
          <w:tcPr>
            <w:tcW w:w="3220" w:type="dxa"/>
            <w:tcBorders>
              <w:top w:val="nil"/>
              <w:left w:val="nil"/>
              <w:bottom w:val="single" w:sz="4" w:space="0" w:color="auto"/>
              <w:right w:val="nil"/>
            </w:tcBorders>
            <w:shd w:val="clear" w:color="auto" w:fill="auto"/>
            <w:noWrap/>
            <w:vAlign w:val="bottom"/>
            <w:hideMark/>
          </w:tcPr>
          <w:p w14:paraId="3DC9B86F" w14:textId="77777777" w:rsidR="00A41A74" w:rsidRPr="00325607" w:rsidRDefault="00A41A74" w:rsidP="00325607">
            <w:pPr>
              <w:widowControl/>
              <w:rPr>
                <w:snapToGrid/>
                <w:color w:val="000000"/>
                <w:kern w:val="0"/>
                <w:szCs w:val="22"/>
              </w:rPr>
            </w:pPr>
            <w:r w:rsidRPr="00325607">
              <w:rPr>
                <w:snapToGrid/>
                <w:color w:val="000000"/>
                <w:kern w:val="0"/>
                <w:szCs w:val="22"/>
              </w:rPr>
              <w:t>Greensboro, NC</w:t>
            </w:r>
          </w:p>
        </w:tc>
        <w:tc>
          <w:tcPr>
            <w:tcW w:w="326" w:type="dxa"/>
            <w:tcBorders>
              <w:top w:val="nil"/>
              <w:left w:val="nil"/>
              <w:bottom w:val="single" w:sz="4" w:space="0" w:color="auto"/>
              <w:right w:val="single" w:sz="4" w:space="0" w:color="auto"/>
            </w:tcBorders>
            <w:shd w:val="clear" w:color="auto" w:fill="auto"/>
            <w:noWrap/>
            <w:vAlign w:val="bottom"/>
            <w:hideMark/>
          </w:tcPr>
          <w:p w14:paraId="7EB55E4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EEAF7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5CE7B2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08808D1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92E7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PEA079</w:t>
            </w:r>
          </w:p>
        </w:tc>
        <w:tc>
          <w:tcPr>
            <w:tcW w:w="3220" w:type="dxa"/>
            <w:tcBorders>
              <w:top w:val="nil"/>
              <w:left w:val="nil"/>
              <w:bottom w:val="single" w:sz="4" w:space="0" w:color="auto"/>
              <w:right w:val="nil"/>
            </w:tcBorders>
            <w:shd w:val="clear" w:color="auto" w:fill="auto"/>
            <w:noWrap/>
            <w:vAlign w:val="bottom"/>
            <w:hideMark/>
          </w:tcPr>
          <w:p w14:paraId="64CF5075" w14:textId="77777777" w:rsidR="00A41A74" w:rsidRPr="00325607" w:rsidRDefault="00A41A74" w:rsidP="00325607">
            <w:pPr>
              <w:widowControl/>
              <w:rPr>
                <w:snapToGrid/>
                <w:color w:val="000000"/>
                <w:kern w:val="0"/>
                <w:szCs w:val="22"/>
              </w:rPr>
            </w:pPr>
            <w:r w:rsidRPr="00325607">
              <w:rPr>
                <w:snapToGrid/>
                <w:color w:val="000000"/>
                <w:kern w:val="0"/>
                <w:szCs w:val="22"/>
              </w:rPr>
              <w:t>Hattiesburg, MS</w:t>
            </w:r>
          </w:p>
        </w:tc>
        <w:tc>
          <w:tcPr>
            <w:tcW w:w="326" w:type="dxa"/>
            <w:tcBorders>
              <w:top w:val="nil"/>
              <w:left w:val="nil"/>
              <w:bottom w:val="single" w:sz="4" w:space="0" w:color="auto"/>
              <w:right w:val="single" w:sz="4" w:space="0" w:color="auto"/>
            </w:tcBorders>
            <w:shd w:val="clear" w:color="auto" w:fill="auto"/>
            <w:noWrap/>
            <w:vAlign w:val="bottom"/>
            <w:hideMark/>
          </w:tcPr>
          <w:p w14:paraId="004E8CB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0793E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650E57C"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49E1AEA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B1199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PEA080</w:t>
            </w:r>
          </w:p>
        </w:tc>
        <w:tc>
          <w:tcPr>
            <w:tcW w:w="3220" w:type="dxa"/>
            <w:tcBorders>
              <w:top w:val="nil"/>
              <w:left w:val="nil"/>
              <w:bottom w:val="single" w:sz="4" w:space="0" w:color="auto"/>
              <w:right w:val="nil"/>
            </w:tcBorders>
            <w:shd w:val="clear" w:color="auto" w:fill="auto"/>
            <w:noWrap/>
            <w:vAlign w:val="bottom"/>
            <w:hideMark/>
          </w:tcPr>
          <w:p w14:paraId="132FDA8D" w14:textId="77777777" w:rsidR="00A41A74" w:rsidRPr="00325607" w:rsidRDefault="00A41A74" w:rsidP="00325607">
            <w:pPr>
              <w:widowControl/>
              <w:rPr>
                <w:snapToGrid/>
                <w:color w:val="000000"/>
                <w:kern w:val="0"/>
                <w:szCs w:val="22"/>
              </w:rPr>
            </w:pPr>
            <w:r w:rsidRPr="00325607">
              <w:rPr>
                <w:snapToGrid/>
                <w:color w:val="000000"/>
                <w:kern w:val="0"/>
                <w:szCs w:val="22"/>
              </w:rPr>
              <w:t>Omaha, NE</w:t>
            </w:r>
          </w:p>
        </w:tc>
        <w:tc>
          <w:tcPr>
            <w:tcW w:w="326" w:type="dxa"/>
            <w:tcBorders>
              <w:top w:val="nil"/>
              <w:left w:val="nil"/>
              <w:bottom w:val="single" w:sz="4" w:space="0" w:color="auto"/>
              <w:right w:val="single" w:sz="4" w:space="0" w:color="auto"/>
            </w:tcBorders>
            <w:shd w:val="clear" w:color="auto" w:fill="auto"/>
            <w:noWrap/>
            <w:vAlign w:val="bottom"/>
            <w:hideMark/>
          </w:tcPr>
          <w:p w14:paraId="2DE0102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7D8026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4E114A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7E1EFD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1F5CC5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PEA081</w:t>
            </w:r>
          </w:p>
        </w:tc>
        <w:tc>
          <w:tcPr>
            <w:tcW w:w="3220" w:type="dxa"/>
            <w:tcBorders>
              <w:top w:val="nil"/>
              <w:left w:val="nil"/>
              <w:bottom w:val="single" w:sz="4" w:space="0" w:color="auto"/>
              <w:right w:val="nil"/>
            </w:tcBorders>
            <w:shd w:val="clear" w:color="auto" w:fill="auto"/>
            <w:noWrap/>
            <w:vAlign w:val="bottom"/>
            <w:hideMark/>
          </w:tcPr>
          <w:p w14:paraId="7DAC8AED" w14:textId="77777777" w:rsidR="00A41A74" w:rsidRPr="00325607" w:rsidRDefault="00A41A74" w:rsidP="00325607">
            <w:pPr>
              <w:widowControl/>
              <w:rPr>
                <w:snapToGrid/>
                <w:color w:val="000000"/>
                <w:kern w:val="0"/>
                <w:szCs w:val="22"/>
              </w:rPr>
            </w:pPr>
            <w:r w:rsidRPr="00325607">
              <w:rPr>
                <w:snapToGrid/>
                <w:color w:val="000000"/>
                <w:kern w:val="0"/>
                <w:szCs w:val="22"/>
              </w:rPr>
              <w:t>Saginaw, MI</w:t>
            </w:r>
          </w:p>
        </w:tc>
        <w:tc>
          <w:tcPr>
            <w:tcW w:w="326" w:type="dxa"/>
            <w:tcBorders>
              <w:top w:val="nil"/>
              <w:left w:val="nil"/>
              <w:bottom w:val="single" w:sz="4" w:space="0" w:color="auto"/>
              <w:right w:val="single" w:sz="4" w:space="0" w:color="auto"/>
            </w:tcBorders>
            <w:shd w:val="clear" w:color="auto" w:fill="auto"/>
            <w:noWrap/>
            <w:vAlign w:val="bottom"/>
            <w:hideMark/>
          </w:tcPr>
          <w:p w14:paraId="5F5AB33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599137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C8CFD65"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0C55BA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1BC123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PEA082</w:t>
            </w:r>
          </w:p>
        </w:tc>
        <w:tc>
          <w:tcPr>
            <w:tcW w:w="3220" w:type="dxa"/>
            <w:tcBorders>
              <w:top w:val="nil"/>
              <w:left w:val="nil"/>
              <w:bottom w:val="single" w:sz="4" w:space="0" w:color="auto"/>
              <w:right w:val="nil"/>
            </w:tcBorders>
            <w:shd w:val="clear" w:color="auto" w:fill="auto"/>
            <w:noWrap/>
            <w:vAlign w:val="bottom"/>
            <w:hideMark/>
          </w:tcPr>
          <w:p w14:paraId="77144190" w14:textId="77777777" w:rsidR="00A41A74" w:rsidRPr="00325607" w:rsidRDefault="00A41A74" w:rsidP="00325607">
            <w:pPr>
              <w:widowControl/>
              <w:rPr>
                <w:snapToGrid/>
                <w:color w:val="000000"/>
                <w:kern w:val="0"/>
                <w:szCs w:val="22"/>
              </w:rPr>
            </w:pPr>
            <w:r w:rsidRPr="00325607">
              <w:rPr>
                <w:snapToGrid/>
                <w:color w:val="000000"/>
                <w:kern w:val="0"/>
                <w:szCs w:val="22"/>
              </w:rPr>
              <w:t>Baton Rouge, LA</w:t>
            </w:r>
          </w:p>
        </w:tc>
        <w:tc>
          <w:tcPr>
            <w:tcW w:w="326" w:type="dxa"/>
            <w:tcBorders>
              <w:top w:val="nil"/>
              <w:left w:val="nil"/>
              <w:bottom w:val="single" w:sz="4" w:space="0" w:color="auto"/>
              <w:right w:val="single" w:sz="4" w:space="0" w:color="auto"/>
            </w:tcBorders>
            <w:shd w:val="clear" w:color="auto" w:fill="auto"/>
            <w:noWrap/>
            <w:vAlign w:val="bottom"/>
            <w:hideMark/>
          </w:tcPr>
          <w:p w14:paraId="5F24333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CE83C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FA324BE"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1560CA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58D15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PEA083</w:t>
            </w:r>
          </w:p>
        </w:tc>
        <w:tc>
          <w:tcPr>
            <w:tcW w:w="3220" w:type="dxa"/>
            <w:tcBorders>
              <w:top w:val="nil"/>
              <w:left w:val="nil"/>
              <w:bottom w:val="single" w:sz="4" w:space="0" w:color="auto"/>
              <w:right w:val="nil"/>
            </w:tcBorders>
            <w:shd w:val="clear" w:color="auto" w:fill="auto"/>
            <w:noWrap/>
            <w:vAlign w:val="bottom"/>
            <w:hideMark/>
          </w:tcPr>
          <w:p w14:paraId="40646DCB" w14:textId="77777777" w:rsidR="00A41A74" w:rsidRPr="00325607" w:rsidRDefault="00A41A74" w:rsidP="00325607">
            <w:pPr>
              <w:widowControl/>
              <w:rPr>
                <w:snapToGrid/>
                <w:color w:val="000000"/>
                <w:kern w:val="0"/>
                <w:szCs w:val="22"/>
              </w:rPr>
            </w:pPr>
            <w:r w:rsidRPr="00325607">
              <w:rPr>
                <w:snapToGrid/>
                <w:color w:val="000000"/>
                <w:kern w:val="0"/>
                <w:szCs w:val="22"/>
              </w:rPr>
              <w:t>Fort Wayne, IN</w:t>
            </w:r>
          </w:p>
        </w:tc>
        <w:tc>
          <w:tcPr>
            <w:tcW w:w="326" w:type="dxa"/>
            <w:tcBorders>
              <w:top w:val="nil"/>
              <w:left w:val="nil"/>
              <w:bottom w:val="single" w:sz="4" w:space="0" w:color="auto"/>
              <w:right w:val="single" w:sz="4" w:space="0" w:color="auto"/>
            </w:tcBorders>
            <w:shd w:val="clear" w:color="auto" w:fill="auto"/>
            <w:noWrap/>
            <w:vAlign w:val="bottom"/>
            <w:hideMark/>
          </w:tcPr>
          <w:p w14:paraId="67D4E78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C202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6F147A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756207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307E1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PEA084</w:t>
            </w:r>
          </w:p>
        </w:tc>
        <w:tc>
          <w:tcPr>
            <w:tcW w:w="3220" w:type="dxa"/>
            <w:tcBorders>
              <w:top w:val="nil"/>
              <w:left w:val="nil"/>
              <w:bottom w:val="single" w:sz="4" w:space="0" w:color="auto"/>
              <w:right w:val="nil"/>
            </w:tcBorders>
            <w:shd w:val="clear" w:color="auto" w:fill="auto"/>
            <w:noWrap/>
            <w:vAlign w:val="bottom"/>
            <w:hideMark/>
          </w:tcPr>
          <w:p w14:paraId="586147BD" w14:textId="77777777" w:rsidR="00A41A74" w:rsidRPr="00325607" w:rsidRDefault="00A41A74" w:rsidP="00325607">
            <w:pPr>
              <w:widowControl/>
              <w:rPr>
                <w:snapToGrid/>
                <w:color w:val="000000"/>
                <w:kern w:val="0"/>
                <w:szCs w:val="22"/>
              </w:rPr>
            </w:pPr>
            <w:r w:rsidRPr="00325607">
              <w:rPr>
                <w:snapToGrid/>
                <w:color w:val="000000"/>
                <w:kern w:val="0"/>
                <w:szCs w:val="22"/>
              </w:rPr>
              <w:t>Mobile, AL</w:t>
            </w:r>
          </w:p>
        </w:tc>
        <w:tc>
          <w:tcPr>
            <w:tcW w:w="326" w:type="dxa"/>
            <w:tcBorders>
              <w:top w:val="nil"/>
              <w:left w:val="nil"/>
              <w:bottom w:val="single" w:sz="4" w:space="0" w:color="auto"/>
              <w:right w:val="single" w:sz="4" w:space="0" w:color="auto"/>
            </w:tcBorders>
            <w:shd w:val="clear" w:color="auto" w:fill="auto"/>
            <w:noWrap/>
            <w:vAlign w:val="bottom"/>
            <w:hideMark/>
          </w:tcPr>
          <w:p w14:paraId="2709F74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4601B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60E22B4"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FDCC8B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2958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PEA085</w:t>
            </w:r>
          </w:p>
        </w:tc>
        <w:tc>
          <w:tcPr>
            <w:tcW w:w="3220" w:type="dxa"/>
            <w:tcBorders>
              <w:top w:val="nil"/>
              <w:left w:val="nil"/>
              <w:bottom w:val="single" w:sz="4" w:space="0" w:color="auto"/>
              <w:right w:val="nil"/>
            </w:tcBorders>
            <w:shd w:val="clear" w:color="auto" w:fill="auto"/>
            <w:noWrap/>
            <w:vAlign w:val="bottom"/>
            <w:hideMark/>
          </w:tcPr>
          <w:p w14:paraId="33254DC9" w14:textId="77777777" w:rsidR="00A41A74" w:rsidRPr="00325607" w:rsidRDefault="00A41A74" w:rsidP="00325607">
            <w:pPr>
              <w:widowControl/>
              <w:rPr>
                <w:snapToGrid/>
                <w:color w:val="000000"/>
                <w:kern w:val="0"/>
                <w:szCs w:val="22"/>
              </w:rPr>
            </w:pPr>
            <w:r w:rsidRPr="00325607">
              <w:rPr>
                <w:snapToGrid/>
                <w:color w:val="000000"/>
                <w:kern w:val="0"/>
                <w:szCs w:val="22"/>
              </w:rPr>
              <w:t>Charleston, SC</w:t>
            </w:r>
          </w:p>
        </w:tc>
        <w:tc>
          <w:tcPr>
            <w:tcW w:w="326" w:type="dxa"/>
            <w:tcBorders>
              <w:top w:val="nil"/>
              <w:left w:val="nil"/>
              <w:bottom w:val="single" w:sz="4" w:space="0" w:color="auto"/>
              <w:right w:val="single" w:sz="4" w:space="0" w:color="auto"/>
            </w:tcBorders>
            <w:shd w:val="clear" w:color="auto" w:fill="auto"/>
            <w:noWrap/>
            <w:vAlign w:val="bottom"/>
            <w:hideMark/>
          </w:tcPr>
          <w:p w14:paraId="3925F34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FF2F42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68CBA8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945E8D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40E435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PEA086</w:t>
            </w:r>
          </w:p>
        </w:tc>
        <w:tc>
          <w:tcPr>
            <w:tcW w:w="3220" w:type="dxa"/>
            <w:tcBorders>
              <w:top w:val="nil"/>
              <w:left w:val="nil"/>
              <w:bottom w:val="single" w:sz="4" w:space="0" w:color="auto"/>
              <w:right w:val="nil"/>
            </w:tcBorders>
            <w:shd w:val="clear" w:color="auto" w:fill="auto"/>
            <w:noWrap/>
            <w:vAlign w:val="bottom"/>
            <w:hideMark/>
          </w:tcPr>
          <w:p w14:paraId="4239650D" w14:textId="77777777" w:rsidR="00A41A74" w:rsidRPr="00325607" w:rsidRDefault="00A41A74" w:rsidP="00325607">
            <w:pPr>
              <w:widowControl/>
              <w:rPr>
                <w:snapToGrid/>
                <w:color w:val="000000"/>
                <w:kern w:val="0"/>
                <w:szCs w:val="22"/>
              </w:rPr>
            </w:pPr>
            <w:r w:rsidRPr="00325607">
              <w:rPr>
                <w:snapToGrid/>
                <w:color w:val="000000"/>
                <w:kern w:val="0"/>
                <w:szCs w:val="22"/>
              </w:rPr>
              <w:t>Frankfort, KY</w:t>
            </w:r>
          </w:p>
        </w:tc>
        <w:tc>
          <w:tcPr>
            <w:tcW w:w="326" w:type="dxa"/>
            <w:tcBorders>
              <w:top w:val="nil"/>
              <w:left w:val="nil"/>
              <w:bottom w:val="single" w:sz="4" w:space="0" w:color="auto"/>
              <w:right w:val="single" w:sz="4" w:space="0" w:color="auto"/>
            </w:tcBorders>
            <w:shd w:val="clear" w:color="auto" w:fill="auto"/>
            <w:noWrap/>
            <w:vAlign w:val="bottom"/>
            <w:hideMark/>
          </w:tcPr>
          <w:p w14:paraId="2EE6696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86691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1F32E58"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AD78B0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A03731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PEA087</w:t>
            </w:r>
          </w:p>
        </w:tc>
        <w:tc>
          <w:tcPr>
            <w:tcW w:w="3220" w:type="dxa"/>
            <w:tcBorders>
              <w:top w:val="nil"/>
              <w:left w:val="nil"/>
              <w:bottom w:val="single" w:sz="4" w:space="0" w:color="auto"/>
              <w:right w:val="nil"/>
            </w:tcBorders>
            <w:shd w:val="clear" w:color="auto" w:fill="auto"/>
            <w:noWrap/>
            <w:vAlign w:val="bottom"/>
            <w:hideMark/>
          </w:tcPr>
          <w:p w14:paraId="6162855B" w14:textId="77777777" w:rsidR="00A41A74" w:rsidRPr="00325607" w:rsidRDefault="00A41A74" w:rsidP="00325607">
            <w:pPr>
              <w:widowControl/>
              <w:rPr>
                <w:snapToGrid/>
                <w:color w:val="000000"/>
                <w:kern w:val="0"/>
                <w:szCs w:val="22"/>
              </w:rPr>
            </w:pPr>
            <w:r w:rsidRPr="00325607">
              <w:rPr>
                <w:snapToGrid/>
                <w:color w:val="000000"/>
                <w:kern w:val="0"/>
                <w:szCs w:val="22"/>
              </w:rPr>
              <w:t>Pensacola, FL</w:t>
            </w:r>
          </w:p>
        </w:tc>
        <w:tc>
          <w:tcPr>
            <w:tcW w:w="326" w:type="dxa"/>
            <w:tcBorders>
              <w:top w:val="nil"/>
              <w:left w:val="nil"/>
              <w:bottom w:val="single" w:sz="4" w:space="0" w:color="auto"/>
              <w:right w:val="single" w:sz="4" w:space="0" w:color="auto"/>
            </w:tcBorders>
            <w:shd w:val="clear" w:color="auto" w:fill="auto"/>
            <w:noWrap/>
            <w:vAlign w:val="bottom"/>
            <w:hideMark/>
          </w:tcPr>
          <w:p w14:paraId="1BA2CBA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F6B861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6B049BBD"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F49FD8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9FCB48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PEA088</w:t>
            </w:r>
          </w:p>
        </w:tc>
        <w:tc>
          <w:tcPr>
            <w:tcW w:w="3220" w:type="dxa"/>
            <w:tcBorders>
              <w:top w:val="nil"/>
              <w:left w:val="nil"/>
              <w:bottom w:val="single" w:sz="4" w:space="0" w:color="auto"/>
              <w:right w:val="nil"/>
            </w:tcBorders>
            <w:shd w:val="clear" w:color="auto" w:fill="auto"/>
            <w:noWrap/>
            <w:vAlign w:val="bottom"/>
            <w:hideMark/>
          </w:tcPr>
          <w:p w14:paraId="5EA7637B" w14:textId="77777777" w:rsidR="00A41A74" w:rsidRPr="00325607" w:rsidRDefault="00A41A74" w:rsidP="00325607">
            <w:pPr>
              <w:widowControl/>
              <w:rPr>
                <w:snapToGrid/>
                <w:color w:val="000000"/>
                <w:kern w:val="0"/>
                <w:szCs w:val="22"/>
              </w:rPr>
            </w:pPr>
            <w:r w:rsidRPr="00325607">
              <w:rPr>
                <w:snapToGrid/>
                <w:color w:val="000000"/>
                <w:kern w:val="0"/>
                <w:szCs w:val="22"/>
              </w:rPr>
              <w:t>Frederick, MD</w:t>
            </w:r>
          </w:p>
        </w:tc>
        <w:tc>
          <w:tcPr>
            <w:tcW w:w="326" w:type="dxa"/>
            <w:tcBorders>
              <w:top w:val="nil"/>
              <w:left w:val="nil"/>
              <w:bottom w:val="single" w:sz="4" w:space="0" w:color="auto"/>
              <w:right w:val="single" w:sz="4" w:space="0" w:color="auto"/>
            </w:tcBorders>
            <w:shd w:val="clear" w:color="auto" w:fill="auto"/>
            <w:noWrap/>
            <w:vAlign w:val="bottom"/>
            <w:hideMark/>
          </w:tcPr>
          <w:p w14:paraId="56A052D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F9767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E7D12E0"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8DAFBC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9022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PEA089</w:t>
            </w:r>
          </w:p>
        </w:tc>
        <w:tc>
          <w:tcPr>
            <w:tcW w:w="3220" w:type="dxa"/>
            <w:tcBorders>
              <w:top w:val="nil"/>
              <w:left w:val="nil"/>
              <w:bottom w:val="single" w:sz="4" w:space="0" w:color="auto"/>
              <w:right w:val="nil"/>
            </w:tcBorders>
            <w:shd w:val="clear" w:color="auto" w:fill="auto"/>
            <w:noWrap/>
            <w:vAlign w:val="bottom"/>
            <w:hideMark/>
          </w:tcPr>
          <w:p w14:paraId="688099EB" w14:textId="77777777" w:rsidR="00A41A74" w:rsidRPr="00325607" w:rsidRDefault="00A41A74" w:rsidP="00325607">
            <w:pPr>
              <w:widowControl/>
              <w:rPr>
                <w:snapToGrid/>
                <w:color w:val="000000"/>
                <w:kern w:val="0"/>
                <w:szCs w:val="22"/>
              </w:rPr>
            </w:pPr>
            <w:r w:rsidRPr="00325607">
              <w:rPr>
                <w:snapToGrid/>
                <w:color w:val="000000"/>
                <w:kern w:val="0"/>
                <w:szCs w:val="22"/>
              </w:rPr>
              <w:t>Columbia, SC</w:t>
            </w:r>
          </w:p>
        </w:tc>
        <w:tc>
          <w:tcPr>
            <w:tcW w:w="326" w:type="dxa"/>
            <w:tcBorders>
              <w:top w:val="nil"/>
              <w:left w:val="nil"/>
              <w:bottom w:val="single" w:sz="4" w:space="0" w:color="auto"/>
              <w:right w:val="single" w:sz="4" w:space="0" w:color="auto"/>
            </w:tcBorders>
            <w:shd w:val="clear" w:color="auto" w:fill="auto"/>
            <w:noWrap/>
            <w:vAlign w:val="bottom"/>
            <w:hideMark/>
          </w:tcPr>
          <w:p w14:paraId="289DC42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77C03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BA15F8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EADC27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F93E6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PEA090</w:t>
            </w:r>
          </w:p>
        </w:tc>
        <w:tc>
          <w:tcPr>
            <w:tcW w:w="3220" w:type="dxa"/>
            <w:tcBorders>
              <w:top w:val="nil"/>
              <w:left w:val="nil"/>
              <w:bottom w:val="single" w:sz="4" w:space="0" w:color="auto"/>
              <w:right w:val="nil"/>
            </w:tcBorders>
            <w:shd w:val="clear" w:color="auto" w:fill="auto"/>
            <w:noWrap/>
            <w:vAlign w:val="bottom"/>
            <w:hideMark/>
          </w:tcPr>
          <w:p w14:paraId="0BDB07A7" w14:textId="77777777" w:rsidR="00A41A74" w:rsidRPr="00325607" w:rsidRDefault="00A41A74" w:rsidP="00325607">
            <w:pPr>
              <w:widowControl/>
              <w:rPr>
                <w:snapToGrid/>
                <w:color w:val="000000"/>
                <w:kern w:val="0"/>
                <w:szCs w:val="22"/>
              </w:rPr>
            </w:pPr>
            <w:r w:rsidRPr="00325607">
              <w:rPr>
                <w:snapToGrid/>
                <w:color w:val="000000"/>
                <w:kern w:val="0"/>
                <w:szCs w:val="22"/>
              </w:rPr>
              <w:t>Jackson, MS</w:t>
            </w:r>
          </w:p>
        </w:tc>
        <w:tc>
          <w:tcPr>
            <w:tcW w:w="326" w:type="dxa"/>
            <w:tcBorders>
              <w:top w:val="nil"/>
              <w:left w:val="nil"/>
              <w:bottom w:val="single" w:sz="4" w:space="0" w:color="auto"/>
              <w:right w:val="single" w:sz="4" w:space="0" w:color="auto"/>
            </w:tcBorders>
            <w:shd w:val="clear" w:color="auto" w:fill="auto"/>
            <w:noWrap/>
            <w:vAlign w:val="bottom"/>
            <w:hideMark/>
          </w:tcPr>
          <w:p w14:paraId="6CC1412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CEE14F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64A73BCB"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35D8F0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B09783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PEA091</w:t>
            </w:r>
          </w:p>
        </w:tc>
        <w:tc>
          <w:tcPr>
            <w:tcW w:w="3220" w:type="dxa"/>
            <w:tcBorders>
              <w:top w:val="nil"/>
              <w:left w:val="nil"/>
              <w:bottom w:val="single" w:sz="4" w:space="0" w:color="auto"/>
              <w:right w:val="nil"/>
            </w:tcBorders>
            <w:shd w:val="clear" w:color="auto" w:fill="auto"/>
            <w:noWrap/>
            <w:vAlign w:val="bottom"/>
            <w:hideMark/>
          </w:tcPr>
          <w:p w14:paraId="65569A7E" w14:textId="77777777" w:rsidR="00A41A74" w:rsidRPr="00325607" w:rsidRDefault="00A41A74" w:rsidP="00325607">
            <w:pPr>
              <w:widowControl/>
              <w:rPr>
                <w:snapToGrid/>
                <w:color w:val="000000"/>
                <w:kern w:val="0"/>
                <w:szCs w:val="22"/>
              </w:rPr>
            </w:pPr>
            <w:r w:rsidRPr="00325607">
              <w:rPr>
                <w:snapToGrid/>
                <w:color w:val="000000"/>
                <w:kern w:val="0"/>
                <w:szCs w:val="22"/>
              </w:rPr>
              <w:t>Colorado Springs, CO</w:t>
            </w:r>
          </w:p>
        </w:tc>
        <w:tc>
          <w:tcPr>
            <w:tcW w:w="326" w:type="dxa"/>
            <w:tcBorders>
              <w:top w:val="nil"/>
              <w:left w:val="nil"/>
              <w:bottom w:val="single" w:sz="4" w:space="0" w:color="auto"/>
              <w:right w:val="single" w:sz="4" w:space="0" w:color="auto"/>
            </w:tcBorders>
            <w:shd w:val="clear" w:color="auto" w:fill="auto"/>
            <w:noWrap/>
            <w:vAlign w:val="bottom"/>
            <w:hideMark/>
          </w:tcPr>
          <w:p w14:paraId="4671C7F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612043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C375FA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FB6C37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74558C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PEA092</w:t>
            </w:r>
          </w:p>
        </w:tc>
        <w:tc>
          <w:tcPr>
            <w:tcW w:w="3220" w:type="dxa"/>
            <w:tcBorders>
              <w:top w:val="nil"/>
              <w:left w:val="nil"/>
              <w:bottom w:val="single" w:sz="4" w:space="0" w:color="auto"/>
              <w:right w:val="nil"/>
            </w:tcBorders>
            <w:shd w:val="clear" w:color="auto" w:fill="auto"/>
            <w:noWrap/>
            <w:vAlign w:val="bottom"/>
            <w:hideMark/>
          </w:tcPr>
          <w:p w14:paraId="7A6AFA6B" w14:textId="77777777" w:rsidR="00A41A74" w:rsidRPr="00325607" w:rsidRDefault="00A41A74" w:rsidP="00325607">
            <w:pPr>
              <w:widowControl/>
              <w:rPr>
                <w:snapToGrid/>
                <w:color w:val="000000"/>
                <w:kern w:val="0"/>
                <w:szCs w:val="22"/>
              </w:rPr>
            </w:pPr>
            <w:r w:rsidRPr="00325607">
              <w:rPr>
                <w:snapToGrid/>
                <w:color w:val="000000"/>
                <w:kern w:val="0"/>
                <w:szCs w:val="22"/>
              </w:rPr>
              <w:t>Decatur, IL</w:t>
            </w:r>
          </w:p>
        </w:tc>
        <w:tc>
          <w:tcPr>
            <w:tcW w:w="326" w:type="dxa"/>
            <w:tcBorders>
              <w:top w:val="nil"/>
              <w:left w:val="nil"/>
              <w:bottom w:val="single" w:sz="4" w:space="0" w:color="auto"/>
              <w:right w:val="single" w:sz="4" w:space="0" w:color="auto"/>
            </w:tcBorders>
            <w:shd w:val="clear" w:color="auto" w:fill="auto"/>
            <w:noWrap/>
            <w:vAlign w:val="bottom"/>
            <w:hideMark/>
          </w:tcPr>
          <w:p w14:paraId="7515C2F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EE4A34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45944F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9F7464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74A37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PEA093</w:t>
            </w:r>
          </w:p>
        </w:tc>
        <w:tc>
          <w:tcPr>
            <w:tcW w:w="3220" w:type="dxa"/>
            <w:tcBorders>
              <w:top w:val="nil"/>
              <w:left w:val="nil"/>
              <w:bottom w:val="single" w:sz="4" w:space="0" w:color="auto"/>
              <w:right w:val="nil"/>
            </w:tcBorders>
            <w:shd w:val="clear" w:color="auto" w:fill="auto"/>
            <w:noWrap/>
            <w:vAlign w:val="bottom"/>
            <w:hideMark/>
          </w:tcPr>
          <w:p w14:paraId="02B0B95F" w14:textId="77777777" w:rsidR="00A41A74" w:rsidRPr="00325607" w:rsidRDefault="00A41A74" w:rsidP="00325607">
            <w:pPr>
              <w:widowControl/>
              <w:rPr>
                <w:snapToGrid/>
                <w:color w:val="000000"/>
                <w:kern w:val="0"/>
                <w:szCs w:val="22"/>
              </w:rPr>
            </w:pPr>
            <w:r w:rsidRPr="00325607">
              <w:rPr>
                <w:snapToGrid/>
                <w:color w:val="000000"/>
                <w:kern w:val="0"/>
                <w:szCs w:val="22"/>
              </w:rPr>
              <w:t>Lafayette, LA</w:t>
            </w:r>
          </w:p>
        </w:tc>
        <w:tc>
          <w:tcPr>
            <w:tcW w:w="326" w:type="dxa"/>
            <w:tcBorders>
              <w:top w:val="nil"/>
              <w:left w:val="nil"/>
              <w:bottom w:val="single" w:sz="4" w:space="0" w:color="auto"/>
              <w:right w:val="single" w:sz="4" w:space="0" w:color="auto"/>
            </w:tcBorders>
            <w:shd w:val="clear" w:color="auto" w:fill="auto"/>
            <w:noWrap/>
            <w:vAlign w:val="bottom"/>
            <w:hideMark/>
          </w:tcPr>
          <w:p w14:paraId="50C4258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FDFEEA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CD45CC2"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A8EFCD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E4F2C4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PEA094</w:t>
            </w:r>
          </w:p>
        </w:tc>
        <w:tc>
          <w:tcPr>
            <w:tcW w:w="3220" w:type="dxa"/>
            <w:tcBorders>
              <w:top w:val="nil"/>
              <w:left w:val="nil"/>
              <w:bottom w:val="single" w:sz="4" w:space="0" w:color="auto"/>
              <w:right w:val="nil"/>
            </w:tcBorders>
            <w:shd w:val="clear" w:color="auto" w:fill="auto"/>
            <w:noWrap/>
            <w:vAlign w:val="bottom"/>
            <w:hideMark/>
          </w:tcPr>
          <w:p w14:paraId="7E6201D1" w14:textId="77777777" w:rsidR="00A41A74" w:rsidRPr="00325607" w:rsidRDefault="00A41A74" w:rsidP="00325607">
            <w:pPr>
              <w:widowControl/>
              <w:rPr>
                <w:snapToGrid/>
                <w:color w:val="000000"/>
                <w:kern w:val="0"/>
                <w:szCs w:val="22"/>
              </w:rPr>
            </w:pPr>
            <w:r w:rsidRPr="00325607">
              <w:rPr>
                <w:snapToGrid/>
                <w:color w:val="000000"/>
                <w:kern w:val="0"/>
                <w:szCs w:val="22"/>
              </w:rPr>
              <w:t>Waco, TX</w:t>
            </w:r>
          </w:p>
        </w:tc>
        <w:tc>
          <w:tcPr>
            <w:tcW w:w="326" w:type="dxa"/>
            <w:tcBorders>
              <w:top w:val="nil"/>
              <w:left w:val="nil"/>
              <w:bottom w:val="single" w:sz="4" w:space="0" w:color="auto"/>
              <w:right w:val="single" w:sz="4" w:space="0" w:color="auto"/>
            </w:tcBorders>
            <w:shd w:val="clear" w:color="auto" w:fill="auto"/>
            <w:noWrap/>
            <w:vAlign w:val="bottom"/>
            <w:hideMark/>
          </w:tcPr>
          <w:p w14:paraId="10ECBC5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5013FF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C00176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9B62C2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A85F0D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PEA095</w:t>
            </w:r>
          </w:p>
        </w:tc>
        <w:tc>
          <w:tcPr>
            <w:tcW w:w="3220" w:type="dxa"/>
            <w:tcBorders>
              <w:top w:val="nil"/>
              <w:left w:val="nil"/>
              <w:bottom w:val="single" w:sz="4" w:space="0" w:color="auto"/>
              <w:right w:val="nil"/>
            </w:tcBorders>
            <w:shd w:val="clear" w:color="auto" w:fill="auto"/>
            <w:noWrap/>
            <w:vAlign w:val="bottom"/>
            <w:hideMark/>
          </w:tcPr>
          <w:p w14:paraId="0F760955" w14:textId="77777777" w:rsidR="00A41A74" w:rsidRPr="00325607" w:rsidRDefault="00A41A74" w:rsidP="00325607">
            <w:pPr>
              <w:widowControl/>
              <w:rPr>
                <w:snapToGrid/>
                <w:color w:val="000000"/>
                <w:kern w:val="0"/>
                <w:szCs w:val="22"/>
              </w:rPr>
            </w:pPr>
            <w:r w:rsidRPr="00325607">
              <w:rPr>
                <w:snapToGrid/>
                <w:color w:val="000000"/>
                <w:kern w:val="0"/>
                <w:szCs w:val="22"/>
              </w:rPr>
              <w:t>Bluefield, WV</w:t>
            </w:r>
          </w:p>
        </w:tc>
        <w:tc>
          <w:tcPr>
            <w:tcW w:w="326" w:type="dxa"/>
            <w:tcBorders>
              <w:top w:val="nil"/>
              <w:left w:val="nil"/>
              <w:bottom w:val="single" w:sz="4" w:space="0" w:color="auto"/>
              <w:right w:val="single" w:sz="4" w:space="0" w:color="auto"/>
            </w:tcBorders>
            <w:shd w:val="clear" w:color="auto" w:fill="auto"/>
            <w:noWrap/>
            <w:vAlign w:val="bottom"/>
            <w:hideMark/>
          </w:tcPr>
          <w:p w14:paraId="3E50BA7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A0DAC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9B040E4"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E06A45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CC9301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PEA096</w:t>
            </w:r>
          </w:p>
        </w:tc>
        <w:tc>
          <w:tcPr>
            <w:tcW w:w="3220" w:type="dxa"/>
            <w:tcBorders>
              <w:top w:val="nil"/>
              <w:left w:val="nil"/>
              <w:bottom w:val="single" w:sz="4" w:space="0" w:color="auto"/>
              <w:right w:val="nil"/>
            </w:tcBorders>
            <w:shd w:val="clear" w:color="auto" w:fill="auto"/>
            <w:noWrap/>
            <w:vAlign w:val="bottom"/>
            <w:hideMark/>
          </w:tcPr>
          <w:p w14:paraId="6D4673E3" w14:textId="77777777" w:rsidR="00A41A74" w:rsidRPr="00325607" w:rsidRDefault="00A41A74" w:rsidP="00325607">
            <w:pPr>
              <w:widowControl/>
              <w:rPr>
                <w:snapToGrid/>
                <w:color w:val="000000"/>
                <w:kern w:val="0"/>
                <w:szCs w:val="22"/>
              </w:rPr>
            </w:pPr>
            <w:r w:rsidRPr="00325607">
              <w:rPr>
                <w:snapToGrid/>
                <w:color w:val="000000"/>
                <w:kern w:val="0"/>
                <w:szCs w:val="22"/>
              </w:rPr>
              <w:t>Richmond, KY</w:t>
            </w:r>
          </w:p>
        </w:tc>
        <w:tc>
          <w:tcPr>
            <w:tcW w:w="326" w:type="dxa"/>
            <w:tcBorders>
              <w:top w:val="nil"/>
              <w:left w:val="nil"/>
              <w:bottom w:val="single" w:sz="4" w:space="0" w:color="auto"/>
              <w:right w:val="single" w:sz="4" w:space="0" w:color="auto"/>
            </w:tcBorders>
            <w:shd w:val="clear" w:color="auto" w:fill="auto"/>
            <w:noWrap/>
            <w:vAlign w:val="bottom"/>
            <w:hideMark/>
          </w:tcPr>
          <w:p w14:paraId="42D8B8A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F3011B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22484C7"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4D434B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FDB02C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PEA097</w:t>
            </w:r>
          </w:p>
        </w:tc>
        <w:tc>
          <w:tcPr>
            <w:tcW w:w="3220" w:type="dxa"/>
            <w:tcBorders>
              <w:top w:val="nil"/>
              <w:left w:val="nil"/>
              <w:bottom w:val="single" w:sz="4" w:space="0" w:color="auto"/>
              <w:right w:val="nil"/>
            </w:tcBorders>
            <w:shd w:val="clear" w:color="auto" w:fill="auto"/>
            <w:noWrap/>
            <w:vAlign w:val="bottom"/>
            <w:hideMark/>
          </w:tcPr>
          <w:p w14:paraId="00068B73" w14:textId="77777777" w:rsidR="00A41A74" w:rsidRPr="00325607" w:rsidRDefault="00A41A74" w:rsidP="00325607">
            <w:pPr>
              <w:widowControl/>
              <w:rPr>
                <w:snapToGrid/>
                <w:color w:val="000000"/>
                <w:kern w:val="0"/>
                <w:szCs w:val="22"/>
              </w:rPr>
            </w:pPr>
            <w:r w:rsidRPr="00325607">
              <w:rPr>
                <w:snapToGrid/>
                <w:color w:val="000000"/>
                <w:kern w:val="0"/>
                <w:szCs w:val="22"/>
              </w:rPr>
              <w:t>Mankato, MN</w:t>
            </w:r>
          </w:p>
        </w:tc>
        <w:tc>
          <w:tcPr>
            <w:tcW w:w="326" w:type="dxa"/>
            <w:tcBorders>
              <w:top w:val="nil"/>
              <w:left w:val="nil"/>
              <w:bottom w:val="single" w:sz="4" w:space="0" w:color="auto"/>
              <w:right w:val="single" w:sz="4" w:space="0" w:color="auto"/>
            </w:tcBorders>
            <w:shd w:val="clear" w:color="auto" w:fill="auto"/>
            <w:noWrap/>
            <w:vAlign w:val="bottom"/>
            <w:hideMark/>
          </w:tcPr>
          <w:p w14:paraId="1620779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699D5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691DCE7"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5CD557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BF6AC5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PEA098</w:t>
            </w:r>
          </w:p>
        </w:tc>
        <w:tc>
          <w:tcPr>
            <w:tcW w:w="3220" w:type="dxa"/>
            <w:tcBorders>
              <w:top w:val="nil"/>
              <w:left w:val="nil"/>
              <w:bottom w:val="single" w:sz="4" w:space="0" w:color="auto"/>
              <w:right w:val="nil"/>
            </w:tcBorders>
            <w:shd w:val="clear" w:color="auto" w:fill="auto"/>
            <w:noWrap/>
            <w:vAlign w:val="bottom"/>
            <w:hideMark/>
          </w:tcPr>
          <w:p w14:paraId="413F56DC" w14:textId="77777777" w:rsidR="00A41A74" w:rsidRPr="00325607" w:rsidRDefault="00A41A74" w:rsidP="00325607">
            <w:pPr>
              <w:widowControl/>
              <w:rPr>
                <w:snapToGrid/>
                <w:color w:val="000000"/>
                <w:kern w:val="0"/>
                <w:szCs w:val="22"/>
              </w:rPr>
            </w:pPr>
            <w:r w:rsidRPr="00325607">
              <w:rPr>
                <w:snapToGrid/>
                <w:color w:val="000000"/>
                <w:kern w:val="0"/>
                <w:szCs w:val="22"/>
              </w:rPr>
              <w:t>Johnson City, TN</w:t>
            </w:r>
          </w:p>
        </w:tc>
        <w:tc>
          <w:tcPr>
            <w:tcW w:w="326" w:type="dxa"/>
            <w:tcBorders>
              <w:top w:val="nil"/>
              <w:left w:val="nil"/>
              <w:bottom w:val="single" w:sz="4" w:space="0" w:color="auto"/>
              <w:right w:val="single" w:sz="4" w:space="0" w:color="auto"/>
            </w:tcBorders>
            <w:shd w:val="clear" w:color="auto" w:fill="auto"/>
            <w:noWrap/>
            <w:vAlign w:val="bottom"/>
            <w:hideMark/>
          </w:tcPr>
          <w:p w14:paraId="35F3FF2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C8F5A3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2851040"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CC03D8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154BD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PEA099</w:t>
            </w:r>
          </w:p>
        </w:tc>
        <w:tc>
          <w:tcPr>
            <w:tcW w:w="3220" w:type="dxa"/>
            <w:tcBorders>
              <w:top w:val="nil"/>
              <w:left w:val="nil"/>
              <w:bottom w:val="single" w:sz="4" w:space="0" w:color="auto"/>
              <w:right w:val="nil"/>
            </w:tcBorders>
            <w:shd w:val="clear" w:color="auto" w:fill="auto"/>
            <w:noWrap/>
            <w:vAlign w:val="bottom"/>
            <w:hideMark/>
          </w:tcPr>
          <w:p w14:paraId="6B042531" w14:textId="77777777" w:rsidR="00A41A74" w:rsidRPr="00325607" w:rsidRDefault="00A41A74" w:rsidP="00325607">
            <w:pPr>
              <w:widowControl/>
              <w:rPr>
                <w:snapToGrid/>
                <w:color w:val="000000"/>
                <w:kern w:val="0"/>
                <w:szCs w:val="22"/>
              </w:rPr>
            </w:pPr>
            <w:r w:rsidRPr="00325607">
              <w:rPr>
                <w:snapToGrid/>
                <w:color w:val="000000"/>
                <w:kern w:val="0"/>
                <w:szCs w:val="22"/>
              </w:rPr>
              <w:t>Tupelo, MS</w:t>
            </w:r>
          </w:p>
        </w:tc>
        <w:tc>
          <w:tcPr>
            <w:tcW w:w="326" w:type="dxa"/>
            <w:tcBorders>
              <w:top w:val="nil"/>
              <w:left w:val="nil"/>
              <w:bottom w:val="single" w:sz="4" w:space="0" w:color="auto"/>
              <w:right w:val="single" w:sz="4" w:space="0" w:color="auto"/>
            </w:tcBorders>
            <w:shd w:val="clear" w:color="auto" w:fill="auto"/>
            <w:noWrap/>
            <w:vAlign w:val="bottom"/>
            <w:hideMark/>
          </w:tcPr>
          <w:p w14:paraId="1913B03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35B87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97731D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BB9B0C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604586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PEA100</w:t>
            </w:r>
          </w:p>
        </w:tc>
        <w:tc>
          <w:tcPr>
            <w:tcW w:w="3220" w:type="dxa"/>
            <w:tcBorders>
              <w:top w:val="nil"/>
              <w:left w:val="nil"/>
              <w:bottom w:val="single" w:sz="4" w:space="0" w:color="auto"/>
              <w:right w:val="nil"/>
            </w:tcBorders>
            <w:shd w:val="clear" w:color="auto" w:fill="auto"/>
            <w:noWrap/>
            <w:vAlign w:val="bottom"/>
            <w:hideMark/>
          </w:tcPr>
          <w:p w14:paraId="5FBF44E6" w14:textId="77777777" w:rsidR="00A41A74" w:rsidRPr="00325607" w:rsidRDefault="00A41A74" w:rsidP="00325607">
            <w:pPr>
              <w:widowControl/>
              <w:rPr>
                <w:snapToGrid/>
                <w:color w:val="000000"/>
                <w:kern w:val="0"/>
                <w:szCs w:val="22"/>
              </w:rPr>
            </w:pPr>
            <w:r w:rsidRPr="00325607">
              <w:rPr>
                <w:snapToGrid/>
                <w:color w:val="000000"/>
                <w:kern w:val="0"/>
                <w:szCs w:val="22"/>
              </w:rPr>
              <w:t>Greenville, NC</w:t>
            </w:r>
          </w:p>
        </w:tc>
        <w:tc>
          <w:tcPr>
            <w:tcW w:w="326" w:type="dxa"/>
            <w:tcBorders>
              <w:top w:val="nil"/>
              <w:left w:val="nil"/>
              <w:bottom w:val="single" w:sz="4" w:space="0" w:color="auto"/>
              <w:right w:val="single" w:sz="4" w:space="0" w:color="auto"/>
            </w:tcBorders>
            <w:shd w:val="clear" w:color="auto" w:fill="auto"/>
            <w:noWrap/>
            <w:vAlign w:val="bottom"/>
            <w:hideMark/>
          </w:tcPr>
          <w:p w14:paraId="47C3063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FD263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550E6F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BE33AB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C09A3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PEA101</w:t>
            </w:r>
          </w:p>
        </w:tc>
        <w:tc>
          <w:tcPr>
            <w:tcW w:w="3220" w:type="dxa"/>
            <w:tcBorders>
              <w:top w:val="nil"/>
              <w:left w:val="nil"/>
              <w:bottom w:val="single" w:sz="4" w:space="0" w:color="auto"/>
              <w:right w:val="nil"/>
            </w:tcBorders>
            <w:shd w:val="clear" w:color="auto" w:fill="auto"/>
            <w:noWrap/>
            <w:vAlign w:val="bottom"/>
            <w:hideMark/>
          </w:tcPr>
          <w:p w14:paraId="70E8FFA0" w14:textId="77777777" w:rsidR="00A41A74" w:rsidRPr="00325607" w:rsidRDefault="00A41A74" w:rsidP="00325607">
            <w:pPr>
              <w:widowControl/>
              <w:rPr>
                <w:snapToGrid/>
                <w:color w:val="000000"/>
                <w:kern w:val="0"/>
                <w:szCs w:val="22"/>
              </w:rPr>
            </w:pPr>
            <w:r w:rsidRPr="00325607">
              <w:rPr>
                <w:snapToGrid/>
                <w:color w:val="000000"/>
                <w:kern w:val="0"/>
                <w:szCs w:val="22"/>
              </w:rPr>
              <w:t>Wichita, KS</w:t>
            </w:r>
          </w:p>
        </w:tc>
        <w:tc>
          <w:tcPr>
            <w:tcW w:w="326" w:type="dxa"/>
            <w:tcBorders>
              <w:top w:val="nil"/>
              <w:left w:val="nil"/>
              <w:bottom w:val="single" w:sz="4" w:space="0" w:color="auto"/>
              <w:right w:val="single" w:sz="4" w:space="0" w:color="auto"/>
            </w:tcBorders>
            <w:shd w:val="clear" w:color="auto" w:fill="auto"/>
            <w:noWrap/>
            <w:vAlign w:val="bottom"/>
            <w:hideMark/>
          </w:tcPr>
          <w:p w14:paraId="35A3A08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1530B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9F7A0D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0AD2AB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51598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PEA102</w:t>
            </w:r>
          </w:p>
        </w:tc>
        <w:tc>
          <w:tcPr>
            <w:tcW w:w="3220" w:type="dxa"/>
            <w:tcBorders>
              <w:top w:val="nil"/>
              <w:left w:val="nil"/>
              <w:bottom w:val="single" w:sz="4" w:space="0" w:color="auto"/>
              <w:right w:val="nil"/>
            </w:tcBorders>
            <w:shd w:val="clear" w:color="auto" w:fill="auto"/>
            <w:noWrap/>
            <w:vAlign w:val="bottom"/>
            <w:hideMark/>
          </w:tcPr>
          <w:p w14:paraId="26E5377D" w14:textId="77777777" w:rsidR="00A41A74" w:rsidRPr="00325607" w:rsidRDefault="00A41A74" w:rsidP="00325607">
            <w:pPr>
              <w:widowControl/>
              <w:rPr>
                <w:snapToGrid/>
                <w:color w:val="000000"/>
                <w:kern w:val="0"/>
                <w:szCs w:val="22"/>
              </w:rPr>
            </w:pPr>
            <w:r w:rsidRPr="00325607">
              <w:rPr>
                <w:snapToGrid/>
                <w:color w:val="000000"/>
                <w:kern w:val="0"/>
                <w:szCs w:val="22"/>
              </w:rPr>
              <w:t>Grand Junction, CO</w:t>
            </w:r>
          </w:p>
        </w:tc>
        <w:tc>
          <w:tcPr>
            <w:tcW w:w="326" w:type="dxa"/>
            <w:tcBorders>
              <w:top w:val="nil"/>
              <w:left w:val="nil"/>
              <w:bottom w:val="single" w:sz="4" w:space="0" w:color="auto"/>
              <w:right w:val="single" w:sz="4" w:space="0" w:color="auto"/>
            </w:tcBorders>
            <w:shd w:val="clear" w:color="auto" w:fill="auto"/>
            <w:noWrap/>
            <w:vAlign w:val="bottom"/>
            <w:hideMark/>
          </w:tcPr>
          <w:p w14:paraId="428E71E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B48D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29D896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CF9017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4D1A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PEA103</w:t>
            </w:r>
          </w:p>
        </w:tc>
        <w:tc>
          <w:tcPr>
            <w:tcW w:w="3220" w:type="dxa"/>
            <w:tcBorders>
              <w:top w:val="nil"/>
              <w:left w:val="nil"/>
              <w:bottom w:val="single" w:sz="4" w:space="0" w:color="auto"/>
              <w:right w:val="nil"/>
            </w:tcBorders>
            <w:shd w:val="clear" w:color="auto" w:fill="auto"/>
            <w:noWrap/>
            <w:vAlign w:val="bottom"/>
            <w:hideMark/>
          </w:tcPr>
          <w:p w14:paraId="6EFEA725" w14:textId="77777777" w:rsidR="00A41A74" w:rsidRPr="00325607" w:rsidRDefault="00A41A74" w:rsidP="00325607">
            <w:pPr>
              <w:widowControl/>
              <w:rPr>
                <w:snapToGrid/>
                <w:color w:val="000000"/>
                <w:kern w:val="0"/>
                <w:szCs w:val="22"/>
              </w:rPr>
            </w:pPr>
            <w:r w:rsidRPr="00325607">
              <w:rPr>
                <w:snapToGrid/>
                <w:color w:val="000000"/>
                <w:kern w:val="0"/>
                <w:szCs w:val="22"/>
              </w:rPr>
              <w:t>Winchester, VA</w:t>
            </w:r>
          </w:p>
        </w:tc>
        <w:tc>
          <w:tcPr>
            <w:tcW w:w="326" w:type="dxa"/>
            <w:tcBorders>
              <w:top w:val="nil"/>
              <w:left w:val="nil"/>
              <w:bottom w:val="single" w:sz="4" w:space="0" w:color="auto"/>
              <w:right w:val="single" w:sz="4" w:space="0" w:color="auto"/>
            </w:tcBorders>
            <w:shd w:val="clear" w:color="auto" w:fill="auto"/>
            <w:noWrap/>
            <w:vAlign w:val="bottom"/>
            <w:hideMark/>
          </w:tcPr>
          <w:p w14:paraId="3A5F200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E5C10B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CFB3A50"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3F6A97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BA8D2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PEA104</w:t>
            </w:r>
          </w:p>
        </w:tc>
        <w:tc>
          <w:tcPr>
            <w:tcW w:w="3220" w:type="dxa"/>
            <w:tcBorders>
              <w:top w:val="nil"/>
              <w:left w:val="nil"/>
              <w:bottom w:val="single" w:sz="4" w:space="0" w:color="auto"/>
              <w:right w:val="nil"/>
            </w:tcBorders>
            <w:shd w:val="clear" w:color="auto" w:fill="auto"/>
            <w:noWrap/>
            <w:vAlign w:val="bottom"/>
            <w:hideMark/>
          </w:tcPr>
          <w:p w14:paraId="7AC6A161" w14:textId="77777777" w:rsidR="00A41A74" w:rsidRPr="00325607" w:rsidRDefault="00A41A74" w:rsidP="00325607">
            <w:pPr>
              <w:widowControl/>
              <w:rPr>
                <w:snapToGrid/>
                <w:color w:val="000000"/>
                <w:kern w:val="0"/>
                <w:szCs w:val="22"/>
              </w:rPr>
            </w:pPr>
            <w:r w:rsidRPr="00325607">
              <w:rPr>
                <w:snapToGrid/>
                <w:color w:val="000000"/>
                <w:kern w:val="0"/>
                <w:szCs w:val="22"/>
              </w:rPr>
              <w:t>Fort Collins, CO</w:t>
            </w:r>
          </w:p>
        </w:tc>
        <w:tc>
          <w:tcPr>
            <w:tcW w:w="326" w:type="dxa"/>
            <w:tcBorders>
              <w:top w:val="nil"/>
              <w:left w:val="nil"/>
              <w:bottom w:val="single" w:sz="4" w:space="0" w:color="auto"/>
              <w:right w:val="single" w:sz="4" w:space="0" w:color="auto"/>
            </w:tcBorders>
            <w:shd w:val="clear" w:color="auto" w:fill="auto"/>
            <w:noWrap/>
            <w:vAlign w:val="bottom"/>
            <w:hideMark/>
          </w:tcPr>
          <w:p w14:paraId="312A029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3B3555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1DCF02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CC2C7E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8D0202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PEA105</w:t>
            </w:r>
          </w:p>
        </w:tc>
        <w:tc>
          <w:tcPr>
            <w:tcW w:w="3220" w:type="dxa"/>
            <w:tcBorders>
              <w:top w:val="nil"/>
              <w:left w:val="nil"/>
              <w:bottom w:val="single" w:sz="4" w:space="0" w:color="auto"/>
              <w:right w:val="nil"/>
            </w:tcBorders>
            <w:shd w:val="clear" w:color="auto" w:fill="auto"/>
            <w:noWrap/>
            <w:vAlign w:val="bottom"/>
            <w:hideMark/>
          </w:tcPr>
          <w:p w14:paraId="636DAA64" w14:textId="77777777" w:rsidR="00A41A74" w:rsidRPr="00325607" w:rsidRDefault="00A41A74" w:rsidP="00325607">
            <w:pPr>
              <w:widowControl/>
              <w:rPr>
                <w:snapToGrid/>
                <w:color w:val="000000"/>
                <w:kern w:val="0"/>
                <w:szCs w:val="22"/>
              </w:rPr>
            </w:pPr>
            <w:r w:rsidRPr="00325607">
              <w:rPr>
                <w:snapToGrid/>
                <w:color w:val="000000"/>
                <w:kern w:val="0"/>
                <w:szCs w:val="22"/>
              </w:rPr>
              <w:t>Augusta, GA</w:t>
            </w:r>
          </w:p>
        </w:tc>
        <w:tc>
          <w:tcPr>
            <w:tcW w:w="326" w:type="dxa"/>
            <w:tcBorders>
              <w:top w:val="nil"/>
              <w:left w:val="nil"/>
              <w:bottom w:val="single" w:sz="4" w:space="0" w:color="auto"/>
              <w:right w:val="single" w:sz="4" w:space="0" w:color="auto"/>
            </w:tcBorders>
            <w:shd w:val="clear" w:color="auto" w:fill="auto"/>
            <w:noWrap/>
            <w:vAlign w:val="bottom"/>
            <w:hideMark/>
          </w:tcPr>
          <w:p w14:paraId="012EA9D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636DCC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1C063D6"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D84E1A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7BED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PEA106</w:t>
            </w:r>
          </w:p>
        </w:tc>
        <w:tc>
          <w:tcPr>
            <w:tcW w:w="3220" w:type="dxa"/>
            <w:tcBorders>
              <w:top w:val="nil"/>
              <w:left w:val="nil"/>
              <w:bottom w:val="single" w:sz="4" w:space="0" w:color="auto"/>
              <w:right w:val="nil"/>
            </w:tcBorders>
            <w:shd w:val="clear" w:color="auto" w:fill="auto"/>
            <w:noWrap/>
            <w:vAlign w:val="bottom"/>
            <w:hideMark/>
          </w:tcPr>
          <w:p w14:paraId="086033CA" w14:textId="77777777" w:rsidR="00A41A74" w:rsidRPr="00325607" w:rsidRDefault="00A41A74" w:rsidP="00325607">
            <w:pPr>
              <w:widowControl/>
              <w:rPr>
                <w:snapToGrid/>
                <w:color w:val="000000"/>
                <w:kern w:val="0"/>
                <w:szCs w:val="22"/>
              </w:rPr>
            </w:pPr>
            <w:r w:rsidRPr="00325607">
              <w:rPr>
                <w:snapToGrid/>
                <w:color w:val="000000"/>
                <w:kern w:val="0"/>
                <w:szCs w:val="22"/>
              </w:rPr>
              <w:t>Zanesville, OH</w:t>
            </w:r>
          </w:p>
        </w:tc>
        <w:tc>
          <w:tcPr>
            <w:tcW w:w="326" w:type="dxa"/>
            <w:tcBorders>
              <w:top w:val="nil"/>
              <w:left w:val="nil"/>
              <w:bottom w:val="single" w:sz="4" w:space="0" w:color="auto"/>
              <w:right w:val="single" w:sz="4" w:space="0" w:color="auto"/>
            </w:tcBorders>
            <w:shd w:val="clear" w:color="auto" w:fill="auto"/>
            <w:noWrap/>
            <w:vAlign w:val="bottom"/>
            <w:hideMark/>
          </w:tcPr>
          <w:p w14:paraId="6DAF885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20DBD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43E1A5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1E58E0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DD2C6E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PEA107</w:t>
            </w:r>
          </w:p>
        </w:tc>
        <w:tc>
          <w:tcPr>
            <w:tcW w:w="3220" w:type="dxa"/>
            <w:tcBorders>
              <w:top w:val="nil"/>
              <w:left w:val="nil"/>
              <w:bottom w:val="single" w:sz="4" w:space="0" w:color="auto"/>
              <w:right w:val="nil"/>
            </w:tcBorders>
            <w:shd w:val="clear" w:color="auto" w:fill="auto"/>
            <w:noWrap/>
            <w:vAlign w:val="bottom"/>
            <w:hideMark/>
          </w:tcPr>
          <w:p w14:paraId="0A25349C" w14:textId="77777777" w:rsidR="00A41A74" w:rsidRPr="00325607" w:rsidRDefault="00A41A74" w:rsidP="00325607">
            <w:pPr>
              <w:widowControl/>
              <w:rPr>
                <w:snapToGrid/>
                <w:color w:val="000000"/>
                <w:kern w:val="0"/>
                <w:szCs w:val="22"/>
              </w:rPr>
            </w:pPr>
            <w:r w:rsidRPr="00325607">
              <w:rPr>
                <w:snapToGrid/>
                <w:color w:val="000000"/>
                <w:kern w:val="0"/>
                <w:szCs w:val="22"/>
              </w:rPr>
              <w:t>Bangor, ME</w:t>
            </w:r>
          </w:p>
        </w:tc>
        <w:tc>
          <w:tcPr>
            <w:tcW w:w="326" w:type="dxa"/>
            <w:tcBorders>
              <w:top w:val="nil"/>
              <w:left w:val="nil"/>
              <w:bottom w:val="single" w:sz="4" w:space="0" w:color="auto"/>
              <w:right w:val="single" w:sz="4" w:space="0" w:color="auto"/>
            </w:tcBorders>
            <w:shd w:val="clear" w:color="auto" w:fill="auto"/>
            <w:noWrap/>
            <w:vAlign w:val="bottom"/>
            <w:hideMark/>
          </w:tcPr>
          <w:p w14:paraId="505FE9F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A053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43C04360"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2B2D196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862E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PEA108</w:t>
            </w:r>
          </w:p>
        </w:tc>
        <w:tc>
          <w:tcPr>
            <w:tcW w:w="3220" w:type="dxa"/>
            <w:tcBorders>
              <w:top w:val="nil"/>
              <w:left w:val="nil"/>
              <w:bottom w:val="single" w:sz="4" w:space="0" w:color="auto"/>
              <w:right w:val="nil"/>
            </w:tcBorders>
            <w:shd w:val="clear" w:color="auto" w:fill="auto"/>
            <w:noWrap/>
            <w:vAlign w:val="bottom"/>
            <w:hideMark/>
          </w:tcPr>
          <w:p w14:paraId="1CC532DF" w14:textId="77777777" w:rsidR="00A41A74" w:rsidRPr="00325607" w:rsidRDefault="00A41A74" w:rsidP="00325607">
            <w:pPr>
              <w:widowControl/>
              <w:rPr>
                <w:snapToGrid/>
                <w:color w:val="000000"/>
                <w:kern w:val="0"/>
                <w:szCs w:val="22"/>
              </w:rPr>
            </w:pPr>
            <w:r w:rsidRPr="00325607">
              <w:rPr>
                <w:snapToGrid/>
                <w:color w:val="000000"/>
                <w:kern w:val="0"/>
                <w:szCs w:val="22"/>
              </w:rPr>
              <w:t>Des Moines, IA</w:t>
            </w:r>
          </w:p>
        </w:tc>
        <w:tc>
          <w:tcPr>
            <w:tcW w:w="326" w:type="dxa"/>
            <w:tcBorders>
              <w:top w:val="nil"/>
              <w:left w:val="nil"/>
              <w:bottom w:val="single" w:sz="4" w:space="0" w:color="auto"/>
              <w:right w:val="single" w:sz="4" w:space="0" w:color="auto"/>
            </w:tcBorders>
            <w:shd w:val="clear" w:color="auto" w:fill="auto"/>
            <w:noWrap/>
            <w:vAlign w:val="bottom"/>
            <w:hideMark/>
          </w:tcPr>
          <w:p w14:paraId="543D46C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DD0980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6663C88"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DC0E2F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C336E4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PEA109</w:t>
            </w:r>
          </w:p>
        </w:tc>
        <w:tc>
          <w:tcPr>
            <w:tcW w:w="3220" w:type="dxa"/>
            <w:tcBorders>
              <w:top w:val="nil"/>
              <w:left w:val="nil"/>
              <w:bottom w:val="single" w:sz="4" w:space="0" w:color="auto"/>
              <w:right w:val="nil"/>
            </w:tcBorders>
            <w:shd w:val="clear" w:color="auto" w:fill="auto"/>
            <w:noWrap/>
            <w:vAlign w:val="bottom"/>
            <w:hideMark/>
          </w:tcPr>
          <w:p w14:paraId="5C19D9E1" w14:textId="77777777" w:rsidR="00A41A74" w:rsidRPr="00325607" w:rsidRDefault="00A41A74" w:rsidP="00325607">
            <w:pPr>
              <w:widowControl/>
              <w:rPr>
                <w:snapToGrid/>
                <w:color w:val="000000"/>
                <w:kern w:val="0"/>
                <w:szCs w:val="22"/>
              </w:rPr>
            </w:pPr>
            <w:r w:rsidRPr="00325607">
              <w:rPr>
                <w:snapToGrid/>
                <w:color w:val="000000"/>
                <w:kern w:val="0"/>
                <w:szCs w:val="22"/>
              </w:rPr>
              <w:t>Rocky Mount, NC</w:t>
            </w:r>
          </w:p>
        </w:tc>
        <w:tc>
          <w:tcPr>
            <w:tcW w:w="326" w:type="dxa"/>
            <w:tcBorders>
              <w:top w:val="nil"/>
              <w:left w:val="nil"/>
              <w:bottom w:val="single" w:sz="4" w:space="0" w:color="auto"/>
              <w:right w:val="single" w:sz="4" w:space="0" w:color="auto"/>
            </w:tcBorders>
            <w:shd w:val="clear" w:color="auto" w:fill="auto"/>
            <w:noWrap/>
            <w:vAlign w:val="bottom"/>
            <w:hideMark/>
          </w:tcPr>
          <w:p w14:paraId="66C868F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170094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221979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284E7A90"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085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PEA110</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0997F908" w14:textId="77777777" w:rsidR="00A41A74" w:rsidRPr="00325607" w:rsidRDefault="00A41A74" w:rsidP="00325607">
            <w:pPr>
              <w:widowControl/>
              <w:rPr>
                <w:snapToGrid/>
                <w:color w:val="000000"/>
                <w:kern w:val="0"/>
                <w:szCs w:val="22"/>
              </w:rPr>
            </w:pPr>
            <w:r w:rsidRPr="00325607">
              <w:rPr>
                <w:snapToGrid/>
                <w:color w:val="000000"/>
                <w:kern w:val="0"/>
                <w:szCs w:val="22"/>
              </w:rPr>
              <w:t>Jackson, TN</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263951CB"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3A0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DB4D1"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08B5E0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C0B6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PEA111</w:t>
            </w:r>
          </w:p>
        </w:tc>
        <w:tc>
          <w:tcPr>
            <w:tcW w:w="3220" w:type="dxa"/>
            <w:tcBorders>
              <w:top w:val="nil"/>
              <w:left w:val="nil"/>
              <w:bottom w:val="single" w:sz="4" w:space="0" w:color="auto"/>
              <w:right w:val="nil"/>
            </w:tcBorders>
            <w:shd w:val="clear" w:color="auto" w:fill="auto"/>
            <w:noWrap/>
            <w:vAlign w:val="bottom"/>
            <w:hideMark/>
          </w:tcPr>
          <w:p w14:paraId="2D1E6AD9" w14:textId="77777777" w:rsidR="00A41A74" w:rsidRPr="00325607" w:rsidRDefault="00A41A74" w:rsidP="00325607">
            <w:pPr>
              <w:widowControl/>
              <w:rPr>
                <w:snapToGrid/>
                <w:color w:val="000000"/>
                <w:kern w:val="0"/>
                <w:szCs w:val="22"/>
              </w:rPr>
            </w:pPr>
            <w:r w:rsidRPr="00325607">
              <w:rPr>
                <w:snapToGrid/>
                <w:color w:val="000000"/>
                <w:kern w:val="0"/>
                <w:szCs w:val="22"/>
              </w:rPr>
              <w:t>Fayetteville, AR</w:t>
            </w:r>
          </w:p>
        </w:tc>
        <w:tc>
          <w:tcPr>
            <w:tcW w:w="326" w:type="dxa"/>
            <w:tcBorders>
              <w:top w:val="nil"/>
              <w:left w:val="nil"/>
              <w:bottom w:val="single" w:sz="4" w:space="0" w:color="auto"/>
              <w:right w:val="single" w:sz="4" w:space="0" w:color="auto"/>
            </w:tcBorders>
            <w:shd w:val="clear" w:color="auto" w:fill="auto"/>
            <w:noWrap/>
            <w:vAlign w:val="bottom"/>
            <w:hideMark/>
          </w:tcPr>
          <w:p w14:paraId="02F5D1E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B82B1A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FE5737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3B53E6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DA2ABB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PEA112</w:t>
            </w:r>
          </w:p>
        </w:tc>
        <w:tc>
          <w:tcPr>
            <w:tcW w:w="3220" w:type="dxa"/>
            <w:tcBorders>
              <w:top w:val="nil"/>
              <w:left w:val="nil"/>
              <w:bottom w:val="single" w:sz="4" w:space="0" w:color="auto"/>
              <w:right w:val="nil"/>
            </w:tcBorders>
            <w:shd w:val="clear" w:color="auto" w:fill="auto"/>
            <w:noWrap/>
            <w:vAlign w:val="bottom"/>
            <w:hideMark/>
          </w:tcPr>
          <w:p w14:paraId="14A2C41B" w14:textId="77777777" w:rsidR="00A41A74" w:rsidRPr="00325607" w:rsidRDefault="00A41A74" w:rsidP="00325607">
            <w:pPr>
              <w:widowControl/>
              <w:rPr>
                <w:snapToGrid/>
                <w:color w:val="000000"/>
                <w:kern w:val="0"/>
                <w:szCs w:val="22"/>
              </w:rPr>
            </w:pPr>
            <w:r w:rsidRPr="00325607">
              <w:rPr>
                <w:snapToGrid/>
                <w:color w:val="000000"/>
                <w:kern w:val="0"/>
                <w:szCs w:val="22"/>
              </w:rPr>
              <w:t>Bowling Green, KY</w:t>
            </w:r>
          </w:p>
        </w:tc>
        <w:tc>
          <w:tcPr>
            <w:tcW w:w="326" w:type="dxa"/>
            <w:tcBorders>
              <w:top w:val="nil"/>
              <w:left w:val="nil"/>
              <w:bottom w:val="single" w:sz="4" w:space="0" w:color="auto"/>
              <w:right w:val="single" w:sz="4" w:space="0" w:color="auto"/>
            </w:tcBorders>
            <w:shd w:val="clear" w:color="auto" w:fill="auto"/>
            <w:noWrap/>
            <w:vAlign w:val="bottom"/>
            <w:hideMark/>
          </w:tcPr>
          <w:p w14:paraId="434A08D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42E3F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32F96B4"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4D6805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B28969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PEA113</w:t>
            </w:r>
          </w:p>
        </w:tc>
        <w:tc>
          <w:tcPr>
            <w:tcW w:w="3220" w:type="dxa"/>
            <w:tcBorders>
              <w:top w:val="nil"/>
              <w:left w:val="nil"/>
              <w:bottom w:val="single" w:sz="4" w:space="0" w:color="auto"/>
              <w:right w:val="nil"/>
            </w:tcBorders>
            <w:shd w:val="clear" w:color="auto" w:fill="auto"/>
            <w:noWrap/>
            <w:vAlign w:val="bottom"/>
            <w:hideMark/>
          </w:tcPr>
          <w:p w14:paraId="4F2510A4" w14:textId="77777777" w:rsidR="00A41A74" w:rsidRPr="00325607" w:rsidRDefault="00A41A74" w:rsidP="00325607">
            <w:pPr>
              <w:widowControl/>
              <w:rPr>
                <w:snapToGrid/>
                <w:color w:val="000000"/>
                <w:kern w:val="0"/>
                <w:szCs w:val="22"/>
              </w:rPr>
            </w:pPr>
            <w:r w:rsidRPr="00325607">
              <w:rPr>
                <w:snapToGrid/>
                <w:color w:val="000000"/>
                <w:kern w:val="0"/>
                <w:szCs w:val="22"/>
              </w:rPr>
              <w:t>Erie, PA</w:t>
            </w:r>
          </w:p>
        </w:tc>
        <w:tc>
          <w:tcPr>
            <w:tcW w:w="326" w:type="dxa"/>
            <w:tcBorders>
              <w:top w:val="nil"/>
              <w:left w:val="nil"/>
              <w:bottom w:val="single" w:sz="4" w:space="0" w:color="auto"/>
              <w:right w:val="single" w:sz="4" w:space="0" w:color="auto"/>
            </w:tcBorders>
            <w:shd w:val="clear" w:color="auto" w:fill="auto"/>
            <w:noWrap/>
            <w:vAlign w:val="bottom"/>
            <w:hideMark/>
          </w:tcPr>
          <w:p w14:paraId="5BFC46D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837333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8B5E31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3E3584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05607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PEA114</w:t>
            </w:r>
          </w:p>
        </w:tc>
        <w:tc>
          <w:tcPr>
            <w:tcW w:w="3220" w:type="dxa"/>
            <w:tcBorders>
              <w:top w:val="nil"/>
              <w:left w:val="nil"/>
              <w:bottom w:val="single" w:sz="4" w:space="0" w:color="auto"/>
              <w:right w:val="nil"/>
            </w:tcBorders>
            <w:shd w:val="clear" w:color="auto" w:fill="auto"/>
            <w:noWrap/>
            <w:vAlign w:val="bottom"/>
            <w:hideMark/>
          </w:tcPr>
          <w:p w14:paraId="3D539D1D" w14:textId="77777777" w:rsidR="00A41A74" w:rsidRPr="00325607" w:rsidRDefault="00A41A74" w:rsidP="00325607">
            <w:pPr>
              <w:widowControl/>
              <w:rPr>
                <w:snapToGrid/>
                <w:color w:val="000000"/>
                <w:kern w:val="0"/>
                <w:szCs w:val="22"/>
              </w:rPr>
            </w:pPr>
            <w:r w:rsidRPr="00325607">
              <w:rPr>
                <w:snapToGrid/>
                <w:color w:val="000000"/>
                <w:kern w:val="0"/>
                <w:szCs w:val="22"/>
              </w:rPr>
              <w:t>Morgantown, WV</w:t>
            </w:r>
          </w:p>
        </w:tc>
        <w:tc>
          <w:tcPr>
            <w:tcW w:w="326" w:type="dxa"/>
            <w:tcBorders>
              <w:top w:val="nil"/>
              <w:left w:val="nil"/>
              <w:bottom w:val="single" w:sz="4" w:space="0" w:color="auto"/>
              <w:right w:val="single" w:sz="4" w:space="0" w:color="auto"/>
            </w:tcBorders>
            <w:shd w:val="clear" w:color="auto" w:fill="auto"/>
            <w:noWrap/>
            <w:vAlign w:val="bottom"/>
            <w:hideMark/>
          </w:tcPr>
          <w:p w14:paraId="4BBF251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EFFE9F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ABF31B9"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0E1F93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3BD8B7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PEA115</w:t>
            </w:r>
          </w:p>
        </w:tc>
        <w:tc>
          <w:tcPr>
            <w:tcW w:w="3220" w:type="dxa"/>
            <w:tcBorders>
              <w:top w:val="nil"/>
              <w:left w:val="nil"/>
              <w:bottom w:val="single" w:sz="4" w:space="0" w:color="auto"/>
              <w:right w:val="nil"/>
            </w:tcBorders>
            <w:shd w:val="clear" w:color="auto" w:fill="auto"/>
            <w:noWrap/>
            <w:vAlign w:val="bottom"/>
            <w:hideMark/>
          </w:tcPr>
          <w:p w14:paraId="299CCDAB" w14:textId="77777777" w:rsidR="00A41A74" w:rsidRPr="00325607" w:rsidRDefault="00A41A74" w:rsidP="00325607">
            <w:pPr>
              <w:widowControl/>
              <w:rPr>
                <w:snapToGrid/>
                <w:color w:val="000000"/>
                <w:kern w:val="0"/>
                <w:szCs w:val="22"/>
              </w:rPr>
            </w:pPr>
            <w:r w:rsidRPr="00325607">
              <w:rPr>
                <w:snapToGrid/>
                <w:color w:val="000000"/>
                <w:kern w:val="0"/>
                <w:szCs w:val="22"/>
              </w:rPr>
              <w:t>Asheville, NC</w:t>
            </w:r>
          </w:p>
        </w:tc>
        <w:tc>
          <w:tcPr>
            <w:tcW w:w="326" w:type="dxa"/>
            <w:tcBorders>
              <w:top w:val="nil"/>
              <w:left w:val="nil"/>
              <w:bottom w:val="single" w:sz="4" w:space="0" w:color="auto"/>
              <w:right w:val="single" w:sz="4" w:space="0" w:color="auto"/>
            </w:tcBorders>
            <w:shd w:val="clear" w:color="auto" w:fill="auto"/>
            <w:noWrap/>
            <w:vAlign w:val="bottom"/>
            <w:hideMark/>
          </w:tcPr>
          <w:p w14:paraId="7F8AE6B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C30E1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C0181E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97A71E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822EC6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PEA116</w:t>
            </w:r>
          </w:p>
        </w:tc>
        <w:tc>
          <w:tcPr>
            <w:tcW w:w="3220" w:type="dxa"/>
            <w:tcBorders>
              <w:top w:val="nil"/>
              <w:left w:val="nil"/>
              <w:bottom w:val="single" w:sz="4" w:space="0" w:color="auto"/>
              <w:right w:val="nil"/>
            </w:tcBorders>
            <w:shd w:val="clear" w:color="auto" w:fill="auto"/>
            <w:noWrap/>
            <w:vAlign w:val="bottom"/>
            <w:hideMark/>
          </w:tcPr>
          <w:p w14:paraId="7ED500F0" w14:textId="77777777" w:rsidR="00A41A74" w:rsidRPr="00325607" w:rsidRDefault="00A41A74" w:rsidP="00325607">
            <w:pPr>
              <w:widowControl/>
              <w:rPr>
                <w:snapToGrid/>
                <w:color w:val="000000"/>
                <w:kern w:val="0"/>
                <w:szCs w:val="22"/>
              </w:rPr>
            </w:pPr>
            <w:r w:rsidRPr="00325607">
              <w:rPr>
                <w:snapToGrid/>
                <w:color w:val="000000"/>
                <w:kern w:val="0"/>
                <w:szCs w:val="22"/>
              </w:rPr>
              <w:t>Rockford, IL</w:t>
            </w:r>
          </w:p>
        </w:tc>
        <w:tc>
          <w:tcPr>
            <w:tcW w:w="326" w:type="dxa"/>
            <w:tcBorders>
              <w:top w:val="nil"/>
              <w:left w:val="nil"/>
              <w:bottom w:val="single" w:sz="4" w:space="0" w:color="auto"/>
              <w:right w:val="single" w:sz="4" w:space="0" w:color="auto"/>
            </w:tcBorders>
            <w:shd w:val="clear" w:color="auto" w:fill="auto"/>
            <w:noWrap/>
            <w:vAlign w:val="bottom"/>
            <w:hideMark/>
          </w:tcPr>
          <w:p w14:paraId="4C91F43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653CE8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8261ED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2E0DA5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717E0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PEA117</w:t>
            </w:r>
          </w:p>
        </w:tc>
        <w:tc>
          <w:tcPr>
            <w:tcW w:w="3220" w:type="dxa"/>
            <w:tcBorders>
              <w:top w:val="nil"/>
              <w:left w:val="nil"/>
              <w:bottom w:val="single" w:sz="4" w:space="0" w:color="auto"/>
              <w:right w:val="nil"/>
            </w:tcBorders>
            <w:shd w:val="clear" w:color="auto" w:fill="auto"/>
            <w:noWrap/>
            <w:vAlign w:val="bottom"/>
            <w:hideMark/>
          </w:tcPr>
          <w:p w14:paraId="21FD49E2" w14:textId="77777777" w:rsidR="00A41A74" w:rsidRPr="00325607" w:rsidRDefault="00A41A74" w:rsidP="00325607">
            <w:pPr>
              <w:widowControl/>
              <w:rPr>
                <w:snapToGrid/>
                <w:color w:val="000000"/>
                <w:kern w:val="0"/>
                <w:szCs w:val="22"/>
              </w:rPr>
            </w:pPr>
            <w:r w:rsidRPr="00325607">
              <w:rPr>
                <w:snapToGrid/>
                <w:color w:val="000000"/>
                <w:kern w:val="0"/>
                <w:szCs w:val="22"/>
              </w:rPr>
              <w:t>La Grange, GA</w:t>
            </w:r>
          </w:p>
        </w:tc>
        <w:tc>
          <w:tcPr>
            <w:tcW w:w="326" w:type="dxa"/>
            <w:tcBorders>
              <w:top w:val="nil"/>
              <w:left w:val="nil"/>
              <w:bottom w:val="single" w:sz="4" w:space="0" w:color="auto"/>
              <w:right w:val="single" w:sz="4" w:space="0" w:color="auto"/>
            </w:tcBorders>
            <w:shd w:val="clear" w:color="auto" w:fill="auto"/>
            <w:noWrap/>
            <w:vAlign w:val="bottom"/>
            <w:hideMark/>
          </w:tcPr>
          <w:p w14:paraId="0D082D6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DC3B5F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829B3B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6CB3D7F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24E1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PEA118</w:t>
            </w:r>
          </w:p>
        </w:tc>
        <w:tc>
          <w:tcPr>
            <w:tcW w:w="3220" w:type="dxa"/>
            <w:tcBorders>
              <w:top w:val="nil"/>
              <w:left w:val="nil"/>
              <w:bottom w:val="single" w:sz="4" w:space="0" w:color="auto"/>
              <w:right w:val="nil"/>
            </w:tcBorders>
            <w:shd w:val="clear" w:color="auto" w:fill="auto"/>
            <w:noWrap/>
            <w:vAlign w:val="bottom"/>
            <w:hideMark/>
          </w:tcPr>
          <w:p w14:paraId="0CDB427D" w14:textId="77777777" w:rsidR="00A41A74" w:rsidRPr="00325607" w:rsidRDefault="00A41A74" w:rsidP="00325607">
            <w:pPr>
              <w:widowControl/>
              <w:rPr>
                <w:snapToGrid/>
                <w:color w:val="000000"/>
                <w:kern w:val="0"/>
                <w:szCs w:val="22"/>
              </w:rPr>
            </w:pPr>
            <w:r w:rsidRPr="00325607">
              <w:rPr>
                <w:snapToGrid/>
                <w:color w:val="000000"/>
                <w:kern w:val="0"/>
                <w:szCs w:val="22"/>
              </w:rPr>
              <w:t>Richmond, IN</w:t>
            </w:r>
          </w:p>
        </w:tc>
        <w:tc>
          <w:tcPr>
            <w:tcW w:w="326" w:type="dxa"/>
            <w:tcBorders>
              <w:top w:val="nil"/>
              <w:left w:val="nil"/>
              <w:bottom w:val="single" w:sz="4" w:space="0" w:color="auto"/>
              <w:right w:val="single" w:sz="4" w:space="0" w:color="auto"/>
            </w:tcBorders>
            <w:shd w:val="clear" w:color="auto" w:fill="auto"/>
            <w:noWrap/>
            <w:vAlign w:val="bottom"/>
            <w:hideMark/>
          </w:tcPr>
          <w:p w14:paraId="52926BC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63EB9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F4F9FD7"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8A128C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A70146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PEA119</w:t>
            </w:r>
          </w:p>
        </w:tc>
        <w:tc>
          <w:tcPr>
            <w:tcW w:w="3220" w:type="dxa"/>
            <w:tcBorders>
              <w:top w:val="nil"/>
              <w:left w:val="nil"/>
              <w:bottom w:val="single" w:sz="4" w:space="0" w:color="auto"/>
              <w:right w:val="nil"/>
            </w:tcBorders>
            <w:shd w:val="clear" w:color="auto" w:fill="auto"/>
            <w:noWrap/>
            <w:vAlign w:val="bottom"/>
            <w:hideMark/>
          </w:tcPr>
          <w:p w14:paraId="48CBF4A8" w14:textId="77777777" w:rsidR="00A41A74" w:rsidRPr="00325607" w:rsidRDefault="00A41A74" w:rsidP="00325607">
            <w:pPr>
              <w:widowControl/>
              <w:rPr>
                <w:snapToGrid/>
                <w:color w:val="000000"/>
                <w:kern w:val="0"/>
                <w:szCs w:val="22"/>
              </w:rPr>
            </w:pPr>
            <w:r w:rsidRPr="00325607">
              <w:rPr>
                <w:snapToGrid/>
                <w:color w:val="000000"/>
                <w:kern w:val="0"/>
                <w:szCs w:val="22"/>
              </w:rPr>
              <w:t>Yakima, WA</w:t>
            </w:r>
          </w:p>
        </w:tc>
        <w:tc>
          <w:tcPr>
            <w:tcW w:w="326" w:type="dxa"/>
            <w:tcBorders>
              <w:top w:val="nil"/>
              <w:left w:val="nil"/>
              <w:bottom w:val="single" w:sz="4" w:space="0" w:color="auto"/>
              <w:right w:val="single" w:sz="4" w:space="0" w:color="auto"/>
            </w:tcBorders>
            <w:shd w:val="clear" w:color="auto" w:fill="auto"/>
            <w:noWrap/>
            <w:vAlign w:val="bottom"/>
            <w:hideMark/>
          </w:tcPr>
          <w:p w14:paraId="5375BC2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6C100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548E5B6"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D348D4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A6DDF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PEA120</w:t>
            </w:r>
          </w:p>
        </w:tc>
        <w:tc>
          <w:tcPr>
            <w:tcW w:w="3220" w:type="dxa"/>
            <w:tcBorders>
              <w:top w:val="nil"/>
              <w:left w:val="nil"/>
              <w:bottom w:val="single" w:sz="4" w:space="0" w:color="auto"/>
              <w:right w:val="nil"/>
            </w:tcBorders>
            <w:shd w:val="clear" w:color="auto" w:fill="auto"/>
            <w:noWrap/>
            <w:vAlign w:val="bottom"/>
            <w:hideMark/>
          </w:tcPr>
          <w:p w14:paraId="219F48D8" w14:textId="77777777" w:rsidR="00A41A74" w:rsidRPr="00325607" w:rsidRDefault="00A41A74" w:rsidP="00325607">
            <w:pPr>
              <w:widowControl/>
              <w:rPr>
                <w:snapToGrid/>
                <w:color w:val="000000"/>
                <w:kern w:val="0"/>
                <w:szCs w:val="22"/>
              </w:rPr>
            </w:pPr>
            <w:r w:rsidRPr="00325607">
              <w:rPr>
                <w:snapToGrid/>
                <w:color w:val="000000"/>
                <w:kern w:val="0"/>
                <w:szCs w:val="22"/>
              </w:rPr>
              <w:t>Shreveport, LA</w:t>
            </w:r>
          </w:p>
        </w:tc>
        <w:tc>
          <w:tcPr>
            <w:tcW w:w="326" w:type="dxa"/>
            <w:tcBorders>
              <w:top w:val="nil"/>
              <w:left w:val="nil"/>
              <w:bottom w:val="single" w:sz="4" w:space="0" w:color="auto"/>
              <w:right w:val="single" w:sz="4" w:space="0" w:color="auto"/>
            </w:tcBorders>
            <w:shd w:val="clear" w:color="auto" w:fill="auto"/>
            <w:noWrap/>
            <w:vAlign w:val="bottom"/>
            <w:hideMark/>
          </w:tcPr>
          <w:p w14:paraId="76BA4BB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3F70BE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791BE0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BEC092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41BC79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PEA121</w:t>
            </w:r>
          </w:p>
        </w:tc>
        <w:tc>
          <w:tcPr>
            <w:tcW w:w="3220" w:type="dxa"/>
            <w:tcBorders>
              <w:top w:val="nil"/>
              <w:left w:val="nil"/>
              <w:bottom w:val="single" w:sz="4" w:space="0" w:color="auto"/>
              <w:right w:val="nil"/>
            </w:tcBorders>
            <w:shd w:val="clear" w:color="auto" w:fill="auto"/>
            <w:noWrap/>
            <w:vAlign w:val="bottom"/>
            <w:hideMark/>
          </w:tcPr>
          <w:p w14:paraId="68C59312" w14:textId="77777777" w:rsidR="00A41A74" w:rsidRPr="00325607" w:rsidRDefault="00A41A74" w:rsidP="00325607">
            <w:pPr>
              <w:widowControl/>
              <w:rPr>
                <w:snapToGrid/>
                <w:color w:val="000000"/>
                <w:kern w:val="0"/>
                <w:szCs w:val="22"/>
              </w:rPr>
            </w:pPr>
            <w:r w:rsidRPr="00325607">
              <w:rPr>
                <w:snapToGrid/>
                <w:color w:val="000000"/>
                <w:kern w:val="0"/>
                <w:szCs w:val="22"/>
              </w:rPr>
              <w:t>Altoona, PA</w:t>
            </w:r>
          </w:p>
        </w:tc>
        <w:tc>
          <w:tcPr>
            <w:tcW w:w="326" w:type="dxa"/>
            <w:tcBorders>
              <w:top w:val="nil"/>
              <w:left w:val="nil"/>
              <w:bottom w:val="single" w:sz="4" w:space="0" w:color="auto"/>
              <w:right w:val="single" w:sz="4" w:space="0" w:color="auto"/>
            </w:tcBorders>
            <w:shd w:val="clear" w:color="auto" w:fill="auto"/>
            <w:noWrap/>
            <w:vAlign w:val="bottom"/>
            <w:hideMark/>
          </w:tcPr>
          <w:p w14:paraId="7EA80CD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001F5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644E40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B97AE8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928E52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PEA122</w:t>
            </w:r>
          </w:p>
        </w:tc>
        <w:tc>
          <w:tcPr>
            <w:tcW w:w="3220" w:type="dxa"/>
            <w:tcBorders>
              <w:top w:val="nil"/>
              <w:left w:val="nil"/>
              <w:bottom w:val="single" w:sz="4" w:space="0" w:color="auto"/>
              <w:right w:val="nil"/>
            </w:tcBorders>
            <w:shd w:val="clear" w:color="auto" w:fill="auto"/>
            <w:noWrap/>
            <w:vAlign w:val="bottom"/>
            <w:hideMark/>
          </w:tcPr>
          <w:p w14:paraId="30EAFE67" w14:textId="77777777" w:rsidR="00A41A74" w:rsidRPr="00325607" w:rsidRDefault="00A41A74" w:rsidP="00325607">
            <w:pPr>
              <w:widowControl/>
              <w:rPr>
                <w:snapToGrid/>
                <w:color w:val="000000"/>
                <w:kern w:val="0"/>
                <w:szCs w:val="22"/>
              </w:rPr>
            </w:pPr>
            <w:r w:rsidRPr="00325607">
              <w:rPr>
                <w:snapToGrid/>
                <w:color w:val="000000"/>
                <w:kern w:val="0"/>
                <w:szCs w:val="22"/>
              </w:rPr>
              <w:t>Madison, WI</w:t>
            </w:r>
          </w:p>
        </w:tc>
        <w:tc>
          <w:tcPr>
            <w:tcW w:w="326" w:type="dxa"/>
            <w:tcBorders>
              <w:top w:val="nil"/>
              <w:left w:val="nil"/>
              <w:bottom w:val="single" w:sz="4" w:space="0" w:color="auto"/>
              <w:right w:val="single" w:sz="4" w:space="0" w:color="auto"/>
            </w:tcBorders>
            <w:shd w:val="clear" w:color="auto" w:fill="auto"/>
            <w:noWrap/>
            <w:vAlign w:val="bottom"/>
            <w:hideMark/>
          </w:tcPr>
          <w:p w14:paraId="422E7FF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F0430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8485FFF"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C1886E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0F324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PEA123</w:t>
            </w:r>
          </w:p>
        </w:tc>
        <w:tc>
          <w:tcPr>
            <w:tcW w:w="3220" w:type="dxa"/>
            <w:tcBorders>
              <w:top w:val="nil"/>
              <w:left w:val="nil"/>
              <w:bottom w:val="single" w:sz="4" w:space="0" w:color="auto"/>
              <w:right w:val="nil"/>
            </w:tcBorders>
            <w:shd w:val="clear" w:color="auto" w:fill="auto"/>
            <w:noWrap/>
            <w:vAlign w:val="bottom"/>
            <w:hideMark/>
          </w:tcPr>
          <w:p w14:paraId="4309BC31" w14:textId="77777777" w:rsidR="00A41A74" w:rsidRPr="00325607" w:rsidRDefault="00A41A74" w:rsidP="00325607">
            <w:pPr>
              <w:widowControl/>
              <w:rPr>
                <w:snapToGrid/>
                <w:color w:val="000000"/>
                <w:kern w:val="0"/>
                <w:szCs w:val="22"/>
              </w:rPr>
            </w:pPr>
            <w:r w:rsidRPr="00325607">
              <w:rPr>
                <w:snapToGrid/>
                <w:color w:val="000000"/>
                <w:kern w:val="0"/>
                <w:szCs w:val="22"/>
              </w:rPr>
              <w:t>Mansfield, OH</w:t>
            </w:r>
          </w:p>
        </w:tc>
        <w:tc>
          <w:tcPr>
            <w:tcW w:w="326" w:type="dxa"/>
            <w:tcBorders>
              <w:top w:val="nil"/>
              <w:left w:val="nil"/>
              <w:bottom w:val="single" w:sz="4" w:space="0" w:color="auto"/>
              <w:right w:val="single" w:sz="4" w:space="0" w:color="auto"/>
            </w:tcBorders>
            <w:shd w:val="clear" w:color="auto" w:fill="auto"/>
            <w:noWrap/>
            <w:vAlign w:val="bottom"/>
            <w:hideMark/>
          </w:tcPr>
          <w:p w14:paraId="6785862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8797F8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81D6E2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D45384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3FCC5A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PEA124</w:t>
            </w:r>
          </w:p>
        </w:tc>
        <w:tc>
          <w:tcPr>
            <w:tcW w:w="3220" w:type="dxa"/>
            <w:tcBorders>
              <w:top w:val="nil"/>
              <w:left w:val="nil"/>
              <w:bottom w:val="single" w:sz="4" w:space="0" w:color="auto"/>
              <w:right w:val="nil"/>
            </w:tcBorders>
            <w:shd w:val="clear" w:color="auto" w:fill="auto"/>
            <w:noWrap/>
            <w:vAlign w:val="bottom"/>
            <w:hideMark/>
          </w:tcPr>
          <w:p w14:paraId="0337812C" w14:textId="77777777" w:rsidR="00A41A74" w:rsidRPr="00325607" w:rsidRDefault="00A41A74" w:rsidP="00325607">
            <w:pPr>
              <w:widowControl/>
              <w:rPr>
                <w:snapToGrid/>
                <w:color w:val="000000"/>
                <w:kern w:val="0"/>
                <w:szCs w:val="22"/>
              </w:rPr>
            </w:pPr>
            <w:r w:rsidRPr="00325607">
              <w:rPr>
                <w:snapToGrid/>
                <w:color w:val="000000"/>
                <w:kern w:val="0"/>
                <w:szCs w:val="22"/>
              </w:rPr>
              <w:t>Olympia, WA</w:t>
            </w:r>
          </w:p>
        </w:tc>
        <w:tc>
          <w:tcPr>
            <w:tcW w:w="326" w:type="dxa"/>
            <w:tcBorders>
              <w:top w:val="nil"/>
              <w:left w:val="nil"/>
              <w:bottom w:val="single" w:sz="4" w:space="0" w:color="auto"/>
              <w:right w:val="single" w:sz="4" w:space="0" w:color="auto"/>
            </w:tcBorders>
            <w:shd w:val="clear" w:color="auto" w:fill="auto"/>
            <w:noWrap/>
            <w:vAlign w:val="bottom"/>
            <w:hideMark/>
          </w:tcPr>
          <w:p w14:paraId="03631EE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A419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E639484"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56B21B9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8C51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PEA125</w:t>
            </w:r>
          </w:p>
        </w:tc>
        <w:tc>
          <w:tcPr>
            <w:tcW w:w="3220" w:type="dxa"/>
            <w:tcBorders>
              <w:top w:val="nil"/>
              <w:left w:val="nil"/>
              <w:bottom w:val="single" w:sz="4" w:space="0" w:color="auto"/>
              <w:right w:val="nil"/>
            </w:tcBorders>
            <w:shd w:val="clear" w:color="auto" w:fill="auto"/>
            <w:noWrap/>
            <w:vAlign w:val="bottom"/>
            <w:hideMark/>
          </w:tcPr>
          <w:p w14:paraId="390C9E6E" w14:textId="77777777" w:rsidR="00A41A74" w:rsidRPr="00325607" w:rsidRDefault="00A41A74" w:rsidP="00325607">
            <w:pPr>
              <w:widowControl/>
              <w:rPr>
                <w:snapToGrid/>
                <w:color w:val="000000"/>
                <w:kern w:val="0"/>
                <w:szCs w:val="22"/>
              </w:rPr>
            </w:pPr>
            <w:r w:rsidRPr="00325607">
              <w:rPr>
                <w:snapToGrid/>
                <w:color w:val="000000"/>
                <w:kern w:val="0"/>
                <w:szCs w:val="22"/>
              </w:rPr>
              <w:t>Alton, IL</w:t>
            </w:r>
          </w:p>
        </w:tc>
        <w:tc>
          <w:tcPr>
            <w:tcW w:w="326" w:type="dxa"/>
            <w:tcBorders>
              <w:top w:val="nil"/>
              <w:left w:val="nil"/>
              <w:bottom w:val="single" w:sz="4" w:space="0" w:color="auto"/>
              <w:right w:val="single" w:sz="4" w:space="0" w:color="auto"/>
            </w:tcBorders>
            <w:shd w:val="clear" w:color="auto" w:fill="auto"/>
            <w:noWrap/>
            <w:vAlign w:val="bottom"/>
            <w:hideMark/>
          </w:tcPr>
          <w:p w14:paraId="3426C09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DB770D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171D2D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C0BDE3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9D8F3A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PEA126</w:t>
            </w:r>
          </w:p>
        </w:tc>
        <w:tc>
          <w:tcPr>
            <w:tcW w:w="3220" w:type="dxa"/>
            <w:tcBorders>
              <w:top w:val="nil"/>
              <w:left w:val="nil"/>
              <w:bottom w:val="single" w:sz="4" w:space="0" w:color="auto"/>
              <w:right w:val="nil"/>
            </w:tcBorders>
            <w:shd w:val="clear" w:color="auto" w:fill="auto"/>
            <w:noWrap/>
            <w:vAlign w:val="bottom"/>
            <w:hideMark/>
          </w:tcPr>
          <w:p w14:paraId="630917CD" w14:textId="77777777" w:rsidR="00A41A74" w:rsidRPr="00325607" w:rsidRDefault="00A41A74" w:rsidP="00325607">
            <w:pPr>
              <w:widowControl/>
              <w:rPr>
                <w:snapToGrid/>
                <w:color w:val="000000"/>
                <w:kern w:val="0"/>
                <w:szCs w:val="22"/>
              </w:rPr>
            </w:pPr>
            <w:r w:rsidRPr="00325607">
              <w:rPr>
                <w:snapToGrid/>
                <w:color w:val="000000"/>
                <w:kern w:val="0"/>
                <w:szCs w:val="22"/>
              </w:rPr>
              <w:t>Casa Grande, AZ</w:t>
            </w:r>
          </w:p>
        </w:tc>
        <w:tc>
          <w:tcPr>
            <w:tcW w:w="326" w:type="dxa"/>
            <w:tcBorders>
              <w:top w:val="nil"/>
              <w:left w:val="nil"/>
              <w:bottom w:val="single" w:sz="4" w:space="0" w:color="auto"/>
              <w:right w:val="single" w:sz="4" w:space="0" w:color="auto"/>
            </w:tcBorders>
            <w:shd w:val="clear" w:color="auto" w:fill="auto"/>
            <w:noWrap/>
            <w:vAlign w:val="bottom"/>
            <w:hideMark/>
          </w:tcPr>
          <w:p w14:paraId="6EE2F92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47D134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D5A4B6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E3251B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58294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PEA127</w:t>
            </w:r>
          </w:p>
        </w:tc>
        <w:tc>
          <w:tcPr>
            <w:tcW w:w="3220" w:type="dxa"/>
            <w:tcBorders>
              <w:top w:val="nil"/>
              <w:left w:val="nil"/>
              <w:bottom w:val="single" w:sz="4" w:space="0" w:color="auto"/>
              <w:right w:val="nil"/>
            </w:tcBorders>
            <w:shd w:val="clear" w:color="auto" w:fill="auto"/>
            <w:noWrap/>
            <w:vAlign w:val="bottom"/>
            <w:hideMark/>
          </w:tcPr>
          <w:p w14:paraId="7735B348" w14:textId="77777777" w:rsidR="00A41A74" w:rsidRPr="00325607" w:rsidRDefault="00A41A74" w:rsidP="00325607">
            <w:pPr>
              <w:widowControl/>
              <w:rPr>
                <w:snapToGrid/>
                <w:color w:val="000000"/>
                <w:kern w:val="0"/>
                <w:szCs w:val="22"/>
              </w:rPr>
            </w:pPr>
            <w:r w:rsidRPr="00325607">
              <w:rPr>
                <w:snapToGrid/>
                <w:color w:val="000000"/>
                <w:kern w:val="0"/>
                <w:szCs w:val="22"/>
              </w:rPr>
              <w:t>Evansville, IN</w:t>
            </w:r>
          </w:p>
        </w:tc>
        <w:tc>
          <w:tcPr>
            <w:tcW w:w="326" w:type="dxa"/>
            <w:tcBorders>
              <w:top w:val="nil"/>
              <w:left w:val="nil"/>
              <w:bottom w:val="single" w:sz="4" w:space="0" w:color="auto"/>
              <w:right w:val="single" w:sz="4" w:space="0" w:color="auto"/>
            </w:tcBorders>
            <w:shd w:val="clear" w:color="auto" w:fill="auto"/>
            <w:noWrap/>
            <w:vAlign w:val="bottom"/>
            <w:hideMark/>
          </w:tcPr>
          <w:p w14:paraId="622BCD7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5760EE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D2637A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17D8BA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76CFD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PEA128</w:t>
            </w:r>
          </w:p>
        </w:tc>
        <w:tc>
          <w:tcPr>
            <w:tcW w:w="3220" w:type="dxa"/>
            <w:tcBorders>
              <w:top w:val="nil"/>
              <w:left w:val="nil"/>
              <w:bottom w:val="single" w:sz="4" w:space="0" w:color="auto"/>
              <w:right w:val="nil"/>
            </w:tcBorders>
            <w:shd w:val="clear" w:color="auto" w:fill="auto"/>
            <w:noWrap/>
            <w:vAlign w:val="bottom"/>
            <w:hideMark/>
          </w:tcPr>
          <w:p w14:paraId="680F9769" w14:textId="77777777" w:rsidR="00A41A74" w:rsidRPr="00325607" w:rsidRDefault="00A41A74" w:rsidP="00325607">
            <w:pPr>
              <w:widowControl/>
              <w:rPr>
                <w:snapToGrid/>
                <w:color w:val="000000"/>
                <w:kern w:val="0"/>
                <w:szCs w:val="22"/>
              </w:rPr>
            </w:pPr>
            <w:r w:rsidRPr="00325607">
              <w:rPr>
                <w:snapToGrid/>
                <w:color w:val="000000"/>
                <w:kern w:val="0"/>
                <w:szCs w:val="22"/>
              </w:rPr>
              <w:t>Macon, GA</w:t>
            </w:r>
          </w:p>
        </w:tc>
        <w:tc>
          <w:tcPr>
            <w:tcW w:w="326" w:type="dxa"/>
            <w:tcBorders>
              <w:top w:val="nil"/>
              <w:left w:val="nil"/>
              <w:bottom w:val="single" w:sz="4" w:space="0" w:color="auto"/>
              <w:right w:val="single" w:sz="4" w:space="0" w:color="auto"/>
            </w:tcBorders>
            <w:shd w:val="clear" w:color="auto" w:fill="auto"/>
            <w:noWrap/>
            <w:vAlign w:val="bottom"/>
            <w:hideMark/>
          </w:tcPr>
          <w:p w14:paraId="3930751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3095E1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96C0EB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6760CC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86435B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PEA129</w:t>
            </w:r>
          </w:p>
        </w:tc>
        <w:tc>
          <w:tcPr>
            <w:tcW w:w="3220" w:type="dxa"/>
            <w:tcBorders>
              <w:top w:val="nil"/>
              <w:left w:val="nil"/>
              <w:bottom w:val="single" w:sz="4" w:space="0" w:color="auto"/>
              <w:right w:val="nil"/>
            </w:tcBorders>
            <w:shd w:val="clear" w:color="auto" w:fill="auto"/>
            <w:noWrap/>
            <w:vAlign w:val="bottom"/>
            <w:hideMark/>
          </w:tcPr>
          <w:p w14:paraId="376DFE4E" w14:textId="77777777" w:rsidR="00A41A74" w:rsidRPr="00325607" w:rsidRDefault="00A41A74" w:rsidP="00325607">
            <w:pPr>
              <w:widowControl/>
              <w:rPr>
                <w:snapToGrid/>
                <w:color w:val="000000"/>
                <w:kern w:val="0"/>
                <w:szCs w:val="22"/>
              </w:rPr>
            </w:pPr>
            <w:r w:rsidRPr="00325607">
              <w:rPr>
                <w:snapToGrid/>
                <w:color w:val="000000"/>
                <w:kern w:val="0"/>
                <w:szCs w:val="22"/>
              </w:rPr>
              <w:t>Springfield, IL</w:t>
            </w:r>
          </w:p>
        </w:tc>
        <w:tc>
          <w:tcPr>
            <w:tcW w:w="326" w:type="dxa"/>
            <w:tcBorders>
              <w:top w:val="nil"/>
              <w:left w:val="nil"/>
              <w:bottom w:val="single" w:sz="4" w:space="0" w:color="auto"/>
              <w:right w:val="single" w:sz="4" w:space="0" w:color="auto"/>
            </w:tcBorders>
            <w:shd w:val="clear" w:color="auto" w:fill="auto"/>
            <w:noWrap/>
            <w:vAlign w:val="bottom"/>
            <w:hideMark/>
          </w:tcPr>
          <w:p w14:paraId="11C1D92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4B510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146DC16"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358F59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9D652B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PEA130</w:t>
            </w:r>
          </w:p>
        </w:tc>
        <w:tc>
          <w:tcPr>
            <w:tcW w:w="3220" w:type="dxa"/>
            <w:tcBorders>
              <w:top w:val="nil"/>
              <w:left w:val="nil"/>
              <w:bottom w:val="single" w:sz="4" w:space="0" w:color="auto"/>
              <w:right w:val="nil"/>
            </w:tcBorders>
            <w:shd w:val="clear" w:color="auto" w:fill="auto"/>
            <w:noWrap/>
            <w:vAlign w:val="bottom"/>
            <w:hideMark/>
          </w:tcPr>
          <w:p w14:paraId="7E30176F" w14:textId="77777777" w:rsidR="00A41A74" w:rsidRPr="00325607" w:rsidRDefault="00A41A74" w:rsidP="00325607">
            <w:pPr>
              <w:widowControl/>
              <w:rPr>
                <w:snapToGrid/>
                <w:color w:val="000000"/>
                <w:kern w:val="0"/>
                <w:szCs w:val="22"/>
              </w:rPr>
            </w:pPr>
            <w:r w:rsidRPr="00325607">
              <w:rPr>
                <w:snapToGrid/>
                <w:color w:val="000000"/>
                <w:kern w:val="0"/>
                <w:szCs w:val="22"/>
              </w:rPr>
              <w:t>Spokane, WA</w:t>
            </w:r>
          </w:p>
        </w:tc>
        <w:tc>
          <w:tcPr>
            <w:tcW w:w="326" w:type="dxa"/>
            <w:tcBorders>
              <w:top w:val="nil"/>
              <w:left w:val="nil"/>
              <w:bottom w:val="single" w:sz="4" w:space="0" w:color="auto"/>
              <w:right w:val="single" w:sz="4" w:space="0" w:color="auto"/>
            </w:tcBorders>
            <w:shd w:val="clear" w:color="auto" w:fill="auto"/>
            <w:noWrap/>
            <w:vAlign w:val="bottom"/>
            <w:hideMark/>
          </w:tcPr>
          <w:p w14:paraId="15FFFF2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8ED32F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EC8405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0F59FC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D26D3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PEA131</w:t>
            </w:r>
          </w:p>
        </w:tc>
        <w:tc>
          <w:tcPr>
            <w:tcW w:w="3220" w:type="dxa"/>
            <w:tcBorders>
              <w:top w:val="nil"/>
              <w:left w:val="nil"/>
              <w:bottom w:val="single" w:sz="4" w:space="0" w:color="auto"/>
              <w:right w:val="nil"/>
            </w:tcBorders>
            <w:shd w:val="clear" w:color="auto" w:fill="auto"/>
            <w:noWrap/>
            <w:vAlign w:val="bottom"/>
            <w:hideMark/>
          </w:tcPr>
          <w:p w14:paraId="11B5664D" w14:textId="77777777" w:rsidR="00A41A74" w:rsidRPr="00325607" w:rsidRDefault="00A41A74" w:rsidP="00325607">
            <w:pPr>
              <w:widowControl/>
              <w:rPr>
                <w:snapToGrid/>
                <w:color w:val="000000"/>
                <w:kern w:val="0"/>
                <w:szCs w:val="22"/>
              </w:rPr>
            </w:pPr>
            <w:r w:rsidRPr="00325607">
              <w:rPr>
                <w:snapToGrid/>
                <w:color w:val="000000"/>
                <w:kern w:val="0"/>
                <w:szCs w:val="22"/>
              </w:rPr>
              <w:t>Sanford, NC</w:t>
            </w:r>
          </w:p>
        </w:tc>
        <w:tc>
          <w:tcPr>
            <w:tcW w:w="326" w:type="dxa"/>
            <w:tcBorders>
              <w:top w:val="nil"/>
              <w:left w:val="nil"/>
              <w:bottom w:val="single" w:sz="4" w:space="0" w:color="auto"/>
              <w:right w:val="single" w:sz="4" w:space="0" w:color="auto"/>
            </w:tcBorders>
            <w:shd w:val="clear" w:color="auto" w:fill="auto"/>
            <w:noWrap/>
            <w:vAlign w:val="bottom"/>
            <w:hideMark/>
          </w:tcPr>
          <w:p w14:paraId="772240B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81A3E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1ED8AE1"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6437A8E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0028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PEA132</w:t>
            </w:r>
          </w:p>
        </w:tc>
        <w:tc>
          <w:tcPr>
            <w:tcW w:w="3220" w:type="dxa"/>
            <w:tcBorders>
              <w:top w:val="nil"/>
              <w:left w:val="nil"/>
              <w:bottom w:val="single" w:sz="4" w:space="0" w:color="auto"/>
              <w:right w:val="nil"/>
            </w:tcBorders>
            <w:shd w:val="clear" w:color="auto" w:fill="auto"/>
            <w:noWrap/>
            <w:vAlign w:val="bottom"/>
            <w:hideMark/>
          </w:tcPr>
          <w:p w14:paraId="53219CF1" w14:textId="77777777" w:rsidR="00A41A74" w:rsidRPr="00325607" w:rsidRDefault="00A41A74" w:rsidP="00325607">
            <w:pPr>
              <w:widowControl/>
              <w:rPr>
                <w:snapToGrid/>
                <w:color w:val="000000"/>
                <w:kern w:val="0"/>
                <w:szCs w:val="22"/>
              </w:rPr>
            </w:pPr>
            <w:r w:rsidRPr="00325607">
              <w:rPr>
                <w:snapToGrid/>
                <w:color w:val="000000"/>
                <w:kern w:val="0"/>
                <w:szCs w:val="22"/>
              </w:rPr>
              <w:t>Corpus Christi, TX</w:t>
            </w:r>
          </w:p>
        </w:tc>
        <w:tc>
          <w:tcPr>
            <w:tcW w:w="326" w:type="dxa"/>
            <w:tcBorders>
              <w:top w:val="nil"/>
              <w:left w:val="nil"/>
              <w:bottom w:val="single" w:sz="4" w:space="0" w:color="auto"/>
              <w:right w:val="single" w:sz="4" w:space="0" w:color="auto"/>
            </w:tcBorders>
            <w:shd w:val="clear" w:color="auto" w:fill="auto"/>
            <w:noWrap/>
            <w:vAlign w:val="bottom"/>
            <w:hideMark/>
          </w:tcPr>
          <w:p w14:paraId="4B8EA7F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ACE5D1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9D6E5B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373358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5840D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PEA133</w:t>
            </w:r>
          </w:p>
        </w:tc>
        <w:tc>
          <w:tcPr>
            <w:tcW w:w="3220" w:type="dxa"/>
            <w:tcBorders>
              <w:top w:val="nil"/>
              <w:left w:val="nil"/>
              <w:bottom w:val="single" w:sz="4" w:space="0" w:color="auto"/>
              <w:right w:val="nil"/>
            </w:tcBorders>
            <w:shd w:val="clear" w:color="auto" w:fill="auto"/>
            <w:noWrap/>
            <w:vAlign w:val="bottom"/>
            <w:hideMark/>
          </w:tcPr>
          <w:p w14:paraId="42BC99E0" w14:textId="77777777" w:rsidR="00A41A74" w:rsidRPr="00325607" w:rsidRDefault="00A41A74" w:rsidP="00325607">
            <w:pPr>
              <w:widowControl/>
              <w:rPr>
                <w:snapToGrid/>
                <w:color w:val="000000"/>
                <w:kern w:val="0"/>
                <w:szCs w:val="22"/>
              </w:rPr>
            </w:pPr>
            <w:r w:rsidRPr="00325607">
              <w:rPr>
                <w:snapToGrid/>
                <w:color w:val="000000"/>
                <w:kern w:val="0"/>
                <w:szCs w:val="22"/>
              </w:rPr>
              <w:t>Nacogdoches, TX</w:t>
            </w:r>
          </w:p>
        </w:tc>
        <w:tc>
          <w:tcPr>
            <w:tcW w:w="326" w:type="dxa"/>
            <w:tcBorders>
              <w:top w:val="nil"/>
              <w:left w:val="nil"/>
              <w:bottom w:val="single" w:sz="4" w:space="0" w:color="auto"/>
              <w:right w:val="single" w:sz="4" w:space="0" w:color="auto"/>
            </w:tcBorders>
            <w:shd w:val="clear" w:color="auto" w:fill="auto"/>
            <w:noWrap/>
            <w:vAlign w:val="bottom"/>
            <w:hideMark/>
          </w:tcPr>
          <w:p w14:paraId="5868066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9CBA4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482A7F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3E7632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5D8703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PEA134</w:t>
            </w:r>
          </w:p>
        </w:tc>
        <w:tc>
          <w:tcPr>
            <w:tcW w:w="3220" w:type="dxa"/>
            <w:tcBorders>
              <w:top w:val="nil"/>
              <w:left w:val="nil"/>
              <w:bottom w:val="single" w:sz="4" w:space="0" w:color="auto"/>
              <w:right w:val="nil"/>
            </w:tcBorders>
            <w:shd w:val="clear" w:color="auto" w:fill="auto"/>
            <w:noWrap/>
            <w:vAlign w:val="bottom"/>
            <w:hideMark/>
          </w:tcPr>
          <w:p w14:paraId="2B563D29" w14:textId="77777777" w:rsidR="00A41A74" w:rsidRPr="00325607" w:rsidRDefault="00A41A74" w:rsidP="00325607">
            <w:pPr>
              <w:widowControl/>
              <w:rPr>
                <w:snapToGrid/>
                <w:color w:val="000000"/>
                <w:kern w:val="0"/>
                <w:szCs w:val="22"/>
              </w:rPr>
            </w:pPr>
            <w:r w:rsidRPr="00325607">
              <w:rPr>
                <w:snapToGrid/>
                <w:color w:val="000000"/>
                <w:kern w:val="0"/>
                <w:szCs w:val="22"/>
              </w:rPr>
              <w:t>Newark, OH</w:t>
            </w:r>
          </w:p>
        </w:tc>
        <w:tc>
          <w:tcPr>
            <w:tcW w:w="326" w:type="dxa"/>
            <w:tcBorders>
              <w:top w:val="nil"/>
              <w:left w:val="nil"/>
              <w:bottom w:val="single" w:sz="4" w:space="0" w:color="auto"/>
              <w:right w:val="single" w:sz="4" w:space="0" w:color="auto"/>
            </w:tcBorders>
            <w:shd w:val="clear" w:color="auto" w:fill="auto"/>
            <w:noWrap/>
            <w:vAlign w:val="bottom"/>
            <w:hideMark/>
          </w:tcPr>
          <w:p w14:paraId="26750A7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31E3B8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9DED03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7BEDE1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D331A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PEA135</w:t>
            </w:r>
          </w:p>
        </w:tc>
        <w:tc>
          <w:tcPr>
            <w:tcW w:w="3220" w:type="dxa"/>
            <w:tcBorders>
              <w:top w:val="nil"/>
              <w:left w:val="nil"/>
              <w:bottom w:val="single" w:sz="4" w:space="0" w:color="auto"/>
              <w:right w:val="nil"/>
            </w:tcBorders>
            <w:shd w:val="clear" w:color="auto" w:fill="auto"/>
            <w:noWrap/>
            <w:vAlign w:val="bottom"/>
            <w:hideMark/>
          </w:tcPr>
          <w:p w14:paraId="0724716B" w14:textId="77777777" w:rsidR="00A41A74" w:rsidRPr="00325607" w:rsidRDefault="00A41A74" w:rsidP="00325607">
            <w:pPr>
              <w:widowControl/>
              <w:rPr>
                <w:snapToGrid/>
                <w:color w:val="000000"/>
                <w:kern w:val="0"/>
                <w:szCs w:val="22"/>
              </w:rPr>
            </w:pPr>
            <w:r w:rsidRPr="00325607">
              <w:rPr>
                <w:snapToGrid/>
                <w:color w:val="000000"/>
                <w:kern w:val="0"/>
                <w:szCs w:val="22"/>
              </w:rPr>
              <w:t>Beaumont, TX</w:t>
            </w:r>
          </w:p>
        </w:tc>
        <w:tc>
          <w:tcPr>
            <w:tcW w:w="326" w:type="dxa"/>
            <w:tcBorders>
              <w:top w:val="nil"/>
              <w:left w:val="nil"/>
              <w:bottom w:val="single" w:sz="4" w:space="0" w:color="auto"/>
              <w:right w:val="single" w:sz="4" w:space="0" w:color="auto"/>
            </w:tcBorders>
            <w:shd w:val="clear" w:color="auto" w:fill="auto"/>
            <w:noWrap/>
            <w:vAlign w:val="bottom"/>
            <w:hideMark/>
          </w:tcPr>
          <w:p w14:paraId="1C1FCDB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22E58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4CB566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38FD0B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05B4AC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PEA136</w:t>
            </w:r>
          </w:p>
        </w:tc>
        <w:tc>
          <w:tcPr>
            <w:tcW w:w="3220" w:type="dxa"/>
            <w:tcBorders>
              <w:top w:val="nil"/>
              <w:left w:val="nil"/>
              <w:bottom w:val="single" w:sz="4" w:space="0" w:color="auto"/>
              <w:right w:val="nil"/>
            </w:tcBorders>
            <w:shd w:val="clear" w:color="auto" w:fill="auto"/>
            <w:noWrap/>
            <w:vAlign w:val="bottom"/>
            <w:hideMark/>
          </w:tcPr>
          <w:p w14:paraId="194FE0FA" w14:textId="77777777" w:rsidR="00A41A74" w:rsidRPr="00325607" w:rsidRDefault="00A41A74" w:rsidP="00325607">
            <w:pPr>
              <w:widowControl/>
              <w:rPr>
                <w:snapToGrid/>
                <w:color w:val="000000"/>
                <w:kern w:val="0"/>
                <w:szCs w:val="22"/>
              </w:rPr>
            </w:pPr>
            <w:r w:rsidRPr="00325607">
              <w:rPr>
                <w:snapToGrid/>
                <w:color w:val="000000"/>
                <w:kern w:val="0"/>
                <w:szCs w:val="22"/>
              </w:rPr>
              <w:t>Williamsport, PA</w:t>
            </w:r>
          </w:p>
        </w:tc>
        <w:tc>
          <w:tcPr>
            <w:tcW w:w="326" w:type="dxa"/>
            <w:tcBorders>
              <w:top w:val="nil"/>
              <w:left w:val="nil"/>
              <w:bottom w:val="single" w:sz="4" w:space="0" w:color="auto"/>
              <w:right w:val="single" w:sz="4" w:space="0" w:color="auto"/>
            </w:tcBorders>
            <w:shd w:val="clear" w:color="auto" w:fill="auto"/>
            <w:noWrap/>
            <w:vAlign w:val="bottom"/>
            <w:hideMark/>
          </w:tcPr>
          <w:p w14:paraId="28768AE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6BB563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3BE88DAC"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585C97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F4685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PEA137</w:t>
            </w:r>
          </w:p>
        </w:tc>
        <w:tc>
          <w:tcPr>
            <w:tcW w:w="3220" w:type="dxa"/>
            <w:tcBorders>
              <w:top w:val="nil"/>
              <w:left w:val="nil"/>
              <w:bottom w:val="single" w:sz="4" w:space="0" w:color="auto"/>
              <w:right w:val="nil"/>
            </w:tcBorders>
            <w:shd w:val="clear" w:color="auto" w:fill="auto"/>
            <w:noWrap/>
            <w:vAlign w:val="bottom"/>
            <w:hideMark/>
          </w:tcPr>
          <w:p w14:paraId="6F83E49D" w14:textId="77777777" w:rsidR="00A41A74" w:rsidRPr="00325607" w:rsidRDefault="00A41A74" w:rsidP="00325607">
            <w:pPr>
              <w:widowControl/>
              <w:rPr>
                <w:snapToGrid/>
                <w:color w:val="000000"/>
                <w:kern w:val="0"/>
                <w:szCs w:val="22"/>
              </w:rPr>
            </w:pPr>
            <w:r w:rsidRPr="00325607">
              <w:rPr>
                <w:snapToGrid/>
                <w:color w:val="000000"/>
                <w:kern w:val="0"/>
                <w:szCs w:val="22"/>
              </w:rPr>
              <w:t>Eau Claire, WI</w:t>
            </w:r>
          </w:p>
        </w:tc>
        <w:tc>
          <w:tcPr>
            <w:tcW w:w="326" w:type="dxa"/>
            <w:tcBorders>
              <w:top w:val="nil"/>
              <w:left w:val="nil"/>
              <w:bottom w:val="single" w:sz="4" w:space="0" w:color="auto"/>
              <w:right w:val="single" w:sz="4" w:space="0" w:color="auto"/>
            </w:tcBorders>
            <w:shd w:val="clear" w:color="auto" w:fill="auto"/>
            <w:noWrap/>
            <w:vAlign w:val="bottom"/>
            <w:hideMark/>
          </w:tcPr>
          <w:p w14:paraId="31E64AE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AD461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09DEC79"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E5BF9E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88F405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PEA138</w:t>
            </w:r>
          </w:p>
        </w:tc>
        <w:tc>
          <w:tcPr>
            <w:tcW w:w="3220" w:type="dxa"/>
            <w:tcBorders>
              <w:top w:val="nil"/>
              <w:left w:val="nil"/>
              <w:bottom w:val="single" w:sz="4" w:space="0" w:color="auto"/>
              <w:right w:val="nil"/>
            </w:tcBorders>
            <w:shd w:val="clear" w:color="auto" w:fill="auto"/>
            <w:noWrap/>
            <w:vAlign w:val="bottom"/>
            <w:hideMark/>
          </w:tcPr>
          <w:p w14:paraId="1AA3F631" w14:textId="77777777" w:rsidR="00A41A74" w:rsidRPr="00325607" w:rsidRDefault="00A41A74" w:rsidP="00325607">
            <w:pPr>
              <w:widowControl/>
              <w:rPr>
                <w:snapToGrid/>
                <w:color w:val="000000"/>
                <w:kern w:val="0"/>
                <w:szCs w:val="22"/>
              </w:rPr>
            </w:pPr>
            <w:r w:rsidRPr="00325607">
              <w:rPr>
                <w:snapToGrid/>
                <w:color w:val="000000"/>
                <w:kern w:val="0"/>
                <w:szCs w:val="22"/>
              </w:rPr>
              <w:t>Burlington, VT</w:t>
            </w:r>
          </w:p>
        </w:tc>
        <w:tc>
          <w:tcPr>
            <w:tcW w:w="326" w:type="dxa"/>
            <w:tcBorders>
              <w:top w:val="nil"/>
              <w:left w:val="nil"/>
              <w:bottom w:val="single" w:sz="4" w:space="0" w:color="auto"/>
              <w:right w:val="single" w:sz="4" w:space="0" w:color="auto"/>
            </w:tcBorders>
            <w:shd w:val="clear" w:color="auto" w:fill="auto"/>
            <w:noWrap/>
            <w:vAlign w:val="bottom"/>
            <w:hideMark/>
          </w:tcPr>
          <w:p w14:paraId="1F286C3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CCBB56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5DFBC25B"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24250AE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8EA20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PEA139</w:t>
            </w:r>
          </w:p>
        </w:tc>
        <w:tc>
          <w:tcPr>
            <w:tcW w:w="3220" w:type="dxa"/>
            <w:tcBorders>
              <w:top w:val="nil"/>
              <w:left w:val="nil"/>
              <w:bottom w:val="single" w:sz="4" w:space="0" w:color="auto"/>
              <w:right w:val="nil"/>
            </w:tcBorders>
            <w:shd w:val="clear" w:color="auto" w:fill="auto"/>
            <w:noWrap/>
            <w:vAlign w:val="bottom"/>
            <w:hideMark/>
          </w:tcPr>
          <w:p w14:paraId="7FEBC115" w14:textId="77777777" w:rsidR="00A41A74" w:rsidRPr="00325607" w:rsidRDefault="00A41A74" w:rsidP="00325607">
            <w:pPr>
              <w:widowControl/>
              <w:rPr>
                <w:snapToGrid/>
                <w:color w:val="000000"/>
                <w:kern w:val="0"/>
                <w:szCs w:val="22"/>
              </w:rPr>
            </w:pPr>
            <w:r w:rsidRPr="00325607">
              <w:rPr>
                <w:snapToGrid/>
                <w:color w:val="000000"/>
                <w:kern w:val="0"/>
                <w:szCs w:val="22"/>
              </w:rPr>
              <w:t>Hot Springs, AR</w:t>
            </w:r>
          </w:p>
        </w:tc>
        <w:tc>
          <w:tcPr>
            <w:tcW w:w="326" w:type="dxa"/>
            <w:tcBorders>
              <w:top w:val="nil"/>
              <w:left w:val="nil"/>
              <w:bottom w:val="single" w:sz="4" w:space="0" w:color="auto"/>
              <w:right w:val="single" w:sz="4" w:space="0" w:color="auto"/>
            </w:tcBorders>
            <w:shd w:val="clear" w:color="auto" w:fill="auto"/>
            <w:noWrap/>
            <w:vAlign w:val="bottom"/>
            <w:hideMark/>
          </w:tcPr>
          <w:p w14:paraId="125B463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2A1113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81EE432"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DE6601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C1F6D3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PEA140</w:t>
            </w:r>
          </w:p>
        </w:tc>
        <w:tc>
          <w:tcPr>
            <w:tcW w:w="3220" w:type="dxa"/>
            <w:tcBorders>
              <w:top w:val="nil"/>
              <w:left w:val="nil"/>
              <w:bottom w:val="single" w:sz="4" w:space="0" w:color="auto"/>
              <w:right w:val="nil"/>
            </w:tcBorders>
            <w:shd w:val="clear" w:color="auto" w:fill="auto"/>
            <w:noWrap/>
            <w:vAlign w:val="bottom"/>
            <w:hideMark/>
          </w:tcPr>
          <w:p w14:paraId="1CAD02FD" w14:textId="77777777" w:rsidR="00A41A74" w:rsidRPr="00325607" w:rsidRDefault="00A41A74" w:rsidP="00325607">
            <w:pPr>
              <w:widowControl/>
              <w:rPr>
                <w:snapToGrid/>
                <w:color w:val="000000"/>
                <w:kern w:val="0"/>
                <w:szCs w:val="22"/>
              </w:rPr>
            </w:pPr>
            <w:r w:rsidRPr="00325607">
              <w:rPr>
                <w:snapToGrid/>
                <w:color w:val="000000"/>
                <w:kern w:val="0"/>
                <w:szCs w:val="22"/>
              </w:rPr>
              <w:t>Fredericksburg, VA</w:t>
            </w:r>
          </w:p>
        </w:tc>
        <w:tc>
          <w:tcPr>
            <w:tcW w:w="326" w:type="dxa"/>
            <w:tcBorders>
              <w:top w:val="nil"/>
              <w:left w:val="nil"/>
              <w:bottom w:val="single" w:sz="4" w:space="0" w:color="auto"/>
              <w:right w:val="single" w:sz="4" w:space="0" w:color="auto"/>
            </w:tcBorders>
            <w:shd w:val="clear" w:color="auto" w:fill="auto"/>
            <w:noWrap/>
            <w:vAlign w:val="bottom"/>
            <w:hideMark/>
          </w:tcPr>
          <w:p w14:paraId="345865F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E4DC96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934E94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81188B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00887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PEA141</w:t>
            </w:r>
          </w:p>
        </w:tc>
        <w:tc>
          <w:tcPr>
            <w:tcW w:w="3220" w:type="dxa"/>
            <w:tcBorders>
              <w:top w:val="nil"/>
              <w:left w:val="nil"/>
              <w:bottom w:val="single" w:sz="4" w:space="0" w:color="auto"/>
              <w:right w:val="nil"/>
            </w:tcBorders>
            <w:shd w:val="clear" w:color="auto" w:fill="auto"/>
            <w:noWrap/>
            <w:vAlign w:val="bottom"/>
            <w:hideMark/>
          </w:tcPr>
          <w:p w14:paraId="61808669" w14:textId="77777777" w:rsidR="00A41A74" w:rsidRPr="00325607" w:rsidRDefault="00A41A74" w:rsidP="00325607">
            <w:pPr>
              <w:widowControl/>
              <w:rPr>
                <w:snapToGrid/>
                <w:color w:val="000000"/>
                <w:kern w:val="0"/>
                <w:szCs w:val="22"/>
              </w:rPr>
            </w:pPr>
            <w:r w:rsidRPr="00325607">
              <w:rPr>
                <w:snapToGrid/>
                <w:color w:val="000000"/>
                <w:kern w:val="0"/>
                <w:szCs w:val="22"/>
              </w:rPr>
              <w:t>Brainerd, MN</w:t>
            </w:r>
          </w:p>
        </w:tc>
        <w:tc>
          <w:tcPr>
            <w:tcW w:w="326" w:type="dxa"/>
            <w:tcBorders>
              <w:top w:val="nil"/>
              <w:left w:val="nil"/>
              <w:bottom w:val="single" w:sz="4" w:space="0" w:color="auto"/>
              <w:right w:val="single" w:sz="4" w:space="0" w:color="auto"/>
            </w:tcBorders>
            <w:shd w:val="clear" w:color="auto" w:fill="auto"/>
            <w:noWrap/>
            <w:vAlign w:val="bottom"/>
            <w:hideMark/>
          </w:tcPr>
          <w:p w14:paraId="1AB15F0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1979D8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0834C4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CD189E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3B6E7A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PEA142</w:t>
            </w:r>
          </w:p>
        </w:tc>
        <w:tc>
          <w:tcPr>
            <w:tcW w:w="3220" w:type="dxa"/>
            <w:tcBorders>
              <w:top w:val="nil"/>
              <w:left w:val="nil"/>
              <w:bottom w:val="single" w:sz="4" w:space="0" w:color="auto"/>
              <w:right w:val="nil"/>
            </w:tcBorders>
            <w:shd w:val="clear" w:color="auto" w:fill="auto"/>
            <w:noWrap/>
            <w:vAlign w:val="bottom"/>
            <w:hideMark/>
          </w:tcPr>
          <w:p w14:paraId="0AE14E88" w14:textId="77777777" w:rsidR="00A41A74" w:rsidRPr="00325607" w:rsidRDefault="00A41A74" w:rsidP="00325607">
            <w:pPr>
              <w:widowControl/>
              <w:rPr>
                <w:snapToGrid/>
                <w:color w:val="000000"/>
                <w:kern w:val="0"/>
                <w:szCs w:val="22"/>
              </w:rPr>
            </w:pPr>
            <w:r w:rsidRPr="00325607">
              <w:rPr>
                <w:snapToGrid/>
                <w:color w:val="000000"/>
                <w:kern w:val="0"/>
                <w:szCs w:val="22"/>
              </w:rPr>
              <w:t>Merced, CA</w:t>
            </w:r>
          </w:p>
        </w:tc>
        <w:tc>
          <w:tcPr>
            <w:tcW w:w="326" w:type="dxa"/>
            <w:tcBorders>
              <w:top w:val="nil"/>
              <w:left w:val="nil"/>
              <w:bottom w:val="single" w:sz="4" w:space="0" w:color="auto"/>
              <w:right w:val="single" w:sz="4" w:space="0" w:color="auto"/>
            </w:tcBorders>
            <w:shd w:val="clear" w:color="auto" w:fill="auto"/>
            <w:noWrap/>
            <w:vAlign w:val="bottom"/>
            <w:hideMark/>
          </w:tcPr>
          <w:p w14:paraId="008E639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1905E5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A7F32E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A87D2B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DA3907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PEA143</w:t>
            </w:r>
          </w:p>
        </w:tc>
        <w:tc>
          <w:tcPr>
            <w:tcW w:w="3220" w:type="dxa"/>
            <w:tcBorders>
              <w:top w:val="nil"/>
              <w:left w:val="nil"/>
              <w:bottom w:val="single" w:sz="4" w:space="0" w:color="auto"/>
              <w:right w:val="nil"/>
            </w:tcBorders>
            <w:shd w:val="clear" w:color="auto" w:fill="auto"/>
            <w:noWrap/>
            <w:vAlign w:val="bottom"/>
            <w:hideMark/>
          </w:tcPr>
          <w:p w14:paraId="66EB3977" w14:textId="77777777" w:rsidR="00A41A74" w:rsidRPr="00325607" w:rsidRDefault="00A41A74" w:rsidP="00325607">
            <w:pPr>
              <w:widowControl/>
              <w:rPr>
                <w:snapToGrid/>
                <w:color w:val="000000"/>
                <w:kern w:val="0"/>
                <w:szCs w:val="22"/>
              </w:rPr>
            </w:pPr>
            <w:r w:rsidRPr="00325607">
              <w:rPr>
                <w:snapToGrid/>
                <w:color w:val="000000"/>
                <w:kern w:val="0"/>
                <w:szCs w:val="22"/>
              </w:rPr>
              <w:t>Keene, NH</w:t>
            </w:r>
          </w:p>
        </w:tc>
        <w:tc>
          <w:tcPr>
            <w:tcW w:w="326" w:type="dxa"/>
            <w:tcBorders>
              <w:top w:val="nil"/>
              <w:left w:val="nil"/>
              <w:bottom w:val="single" w:sz="4" w:space="0" w:color="auto"/>
              <w:right w:val="single" w:sz="4" w:space="0" w:color="auto"/>
            </w:tcBorders>
            <w:shd w:val="clear" w:color="auto" w:fill="auto"/>
            <w:noWrap/>
            <w:vAlign w:val="bottom"/>
            <w:hideMark/>
          </w:tcPr>
          <w:p w14:paraId="6908888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76BB93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4AADD9C2"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0609DCF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AAF4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PEA144</w:t>
            </w:r>
          </w:p>
        </w:tc>
        <w:tc>
          <w:tcPr>
            <w:tcW w:w="3220" w:type="dxa"/>
            <w:tcBorders>
              <w:top w:val="nil"/>
              <w:left w:val="nil"/>
              <w:bottom w:val="single" w:sz="4" w:space="0" w:color="auto"/>
              <w:right w:val="nil"/>
            </w:tcBorders>
            <w:shd w:val="clear" w:color="auto" w:fill="auto"/>
            <w:noWrap/>
            <w:vAlign w:val="bottom"/>
            <w:hideMark/>
          </w:tcPr>
          <w:p w14:paraId="1463191C" w14:textId="77777777" w:rsidR="00A41A74" w:rsidRPr="00325607" w:rsidRDefault="00A41A74" w:rsidP="00325607">
            <w:pPr>
              <w:widowControl/>
              <w:rPr>
                <w:snapToGrid/>
                <w:color w:val="000000"/>
                <w:kern w:val="0"/>
                <w:szCs w:val="22"/>
              </w:rPr>
            </w:pPr>
            <w:r w:rsidRPr="00325607">
              <w:rPr>
                <w:snapToGrid/>
                <w:color w:val="000000"/>
                <w:kern w:val="0"/>
                <w:szCs w:val="22"/>
              </w:rPr>
              <w:t>Paris, TX</w:t>
            </w:r>
          </w:p>
        </w:tc>
        <w:tc>
          <w:tcPr>
            <w:tcW w:w="326" w:type="dxa"/>
            <w:tcBorders>
              <w:top w:val="nil"/>
              <w:left w:val="nil"/>
              <w:bottom w:val="single" w:sz="4" w:space="0" w:color="auto"/>
              <w:right w:val="single" w:sz="4" w:space="0" w:color="auto"/>
            </w:tcBorders>
            <w:shd w:val="clear" w:color="auto" w:fill="auto"/>
            <w:noWrap/>
            <w:vAlign w:val="bottom"/>
            <w:hideMark/>
          </w:tcPr>
          <w:p w14:paraId="38C6F93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453E66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1BC0B4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A6B1AB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6FBE3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PEA145</w:t>
            </w:r>
          </w:p>
        </w:tc>
        <w:tc>
          <w:tcPr>
            <w:tcW w:w="3220" w:type="dxa"/>
            <w:tcBorders>
              <w:top w:val="nil"/>
              <w:left w:val="nil"/>
              <w:bottom w:val="single" w:sz="4" w:space="0" w:color="auto"/>
              <w:right w:val="nil"/>
            </w:tcBorders>
            <w:shd w:val="clear" w:color="auto" w:fill="auto"/>
            <w:noWrap/>
            <w:vAlign w:val="bottom"/>
            <w:hideMark/>
          </w:tcPr>
          <w:p w14:paraId="30E0F177" w14:textId="77777777" w:rsidR="00A41A74" w:rsidRPr="00325607" w:rsidRDefault="00A41A74" w:rsidP="00325607">
            <w:pPr>
              <w:widowControl/>
              <w:rPr>
                <w:snapToGrid/>
                <w:color w:val="000000"/>
                <w:kern w:val="0"/>
                <w:szCs w:val="22"/>
              </w:rPr>
            </w:pPr>
            <w:r w:rsidRPr="00325607">
              <w:rPr>
                <w:snapToGrid/>
                <w:color w:val="000000"/>
                <w:kern w:val="0"/>
                <w:szCs w:val="22"/>
              </w:rPr>
              <w:t>Columbia, TN</w:t>
            </w:r>
          </w:p>
        </w:tc>
        <w:tc>
          <w:tcPr>
            <w:tcW w:w="326" w:type="dxa"/>
            <w:tcBorders>
              <w:top w:val="nil"/>
              <w:left w:val="nil"/>
              <w:bottom w:val="single" w:sz="4" w:space="0" w:color="auto"/>
              <w:right w:val="single" w:sz="4" w:space="0" w:color="auto"/>
            </w:tcBorders>
            <w:shd w:val="clear" w:color="auto" w:fill="auto"/>
            <w:noWrap/>
            <w:vAlign w:val="bottom"/>
            <w:hideMark/>
          </w:tcPr>
          <w:p w14:paraId="409C1F8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072217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57B68A9"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C9F4B3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9EC0FE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PEA146</w:t>
            </w:r>
          </w:p>
        </w:tc>
        <w:tc>
          <w:tcPr>
            <w:tcW w:w="3220" w:type="dxa"/>
            <w:tcBorders>
              <w:top w:val="nil"/>
              <w:left w:val="nil"/>
              <w:bottom w:val="single" w:sz="4" w:space="0" w:color="auto"/>
              <w:right w:val="nil"/>
            </w:tcBorders>
            <w:shd w:val="clear" w:color="auto" w:fill="auto"/>
            <w:noWrap/>
            <w:vAlign w:val="bottom"/>
            <w:hideMark/>
          </w:tcPr>
          <w:p w14:paraId="102A1630" w14:textId="77777777" w:rsidR="00A41A74" w:rsidRPr="00325607" w:rsidRDefault="00A41A74" w:rsidP="00325607">
            <w:pPr>
              <w:widowControl/>
              <w:rPr>
                <w:snapToGrid/>
                <w:color w:val="000000"/>
                <w:kern w:val="0"/>
                <w:szCs w:val="22"/>
              </w:rPr>
            </w:pPr>
            <w:r w:rsidRPr="00325607">
              <w:rPr>
                <w:snapToGrid/>
                <w:color w:val="000000"/>
                <w:kern w:val="0"/>
                <w:szCs w:val="22"/>
              </w:rPr>
              <w:t>Wilmington, NC</w:t>
            </w:r>
          </w:p>
        </w:tc>
        <w:tc>
          <w:tcPr>
            <w:tcW w:w="326" w:type="dxa"/>
            <w:tcBorders>
              <w:top w:val="nil"/>
              <w:left w:val="nil"/>
              <w:bottom w:val="single" w:sz="4" w:space="0" w:color="auto"/>
              <w:right w:val="single" w:sz="4" w:space="0" w:color="auto"/>
            </w:tcBorders>
            <w:shd w:val="clear" w:color="auto" w:fill="auto"/>
            <w:noWrap/>
            <w:vAlign w:val="bottom"/>
            <w:hideMark/>
          </w:tcPr>
          <w:p w14:paraId="39A1F50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5429D6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79C922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603A5C0E"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64D0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PEA147</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30961EFF" w14:textId="77777777" w:rsidR="00A41A74" w:rsidRPr="00325607" w:rsidRDefault="00A41A74" w:rsidP="00325607">
            <w:pPr>
              <w:widowControl/>
              <w:rPr>
                <w:snapToGrid/>
                <w:color w:val="000000"/>
                <w:kern w:val="0"/>
                <w:szCs w:val="22"/>
              </w:rPr>
            </w:pPr>
            <w:r w:rsidRPr="00325607">
              <w:rPr>
                <w:snapToGrid/>
                <w:color w:val="000000"/>
                <w:kern w:val="0"/>
                <w:szCs w:val="22"/>
              </w:rPr>
              <w:t>Salisbury, MD</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0A2FF67B"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F77F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24A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644920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9EA7E2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PEA148</w:t>
            </w:r>
          </w:p>
        </w:tc>
        <w:tc>
          <w:tcPr>
            <w:tcW w:w="3220" w:type="dxa"/>
            <w:tcBorders>
              <w:top w:val="nil"/>
              <w:left w:val="nil"/>
              <w:bottom w:val="single" w:sz="4" w:space="0" w:color="auto"/>
              <w:right w:val="nil"/>
            </w:tcBorders>
            <w:shd w:val="clear" w:color="auto" w:fill="auto"/>
            <w:noWrap/>
            <w:vAlign w:val="bottom"/>
            <w:hideMark/>
          </w:tcPr>
          <w:p w14:paraId="73F725D6" w14:textId="77777777" w:rsidR="00A41A74" w:rsidRPr="00325607" w:rsidRDefault="00A41A74" w:rsidP="00325607">
            <w:pPr>
              <w:widowControl/>
              <w:rPr>
                <w:snapToGrid/>
                <w:color w:val="000000"/>
                <w:kern w:val="0"/>
                <w:szCs w:val="22"/>
              </w:rPr>
            </w:pPr>
            <w:r w:rsidRPr="00325607">
              <w:rPr>
                <w:snapToGrid/>
                <w:color w:val="000000"/>
                <w:kern w:val="0"/>
                <w:szCs w:val="22"/>
              </w:rPr>
              <w:t>Bellingham, WA</w:t>
            </w:r>
          </w:p>
        </w:tc>
        <w:tc>
          <w:tcPr>
            <w:tcW w:w="326" w:type="dxa"/>
            <w:tcBorders>
              <w:top w:val="nil"/>
              <w:left w:val="nil"/>
              <w:bottom w:val="single" w:sz="4" w:space="0" w:color="auto"/>
              <w:right w:val="single" w:sz="4" w:space="0" w:color="auto"/>
            </w:tcBorders>
            <w:shd w:val="clear" w:color="auto" w:fill="auto"/>
            <w:noWrap/>
            <w:vAlign w:val="bottom"/>
            <w:hideMark/>
          </w:tcPr>
          <w:p w14:paraId="6B738A5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A8FE2E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D01B9E1"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CF4806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FA3E8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PEA149</w:t>
            </w:r>
          </w:p>
        </w:tc>
        <w:tc>
          <w:tcPr>
            <w:tcW w:w="3220" w:type="dxa"/>
            <w:tcBorders>
              <w:top w:val="nil"/>
              <w:left w:val="nil"/>
              <w:bottom w:val="single" w:sz="4" w:space="0" w:color="auto"/>
              <w:right w:val="nil"/>
            </w:tcBorders>
            <w:shd w:val="clear" w:color="auto" w:fill="auto"/>
            <w:noWrap/>
            <w:vAlign w:val="bottom"/>
            <w:hideMark/>
          </w:tcPr>
          <w:p w14:paraId="2E0BC5B9" w14:textId="77777777" w:rsidR="00A41A74" w:rsidRPr="00325607" w:rsidRDefault="00A41A74" w:rsidP="00325607">
            <w:pPr>
              <w:widowControl/>
              <w:rPr>
                <w:snapToGrid/>
                <w:color w:val="000000"/>
                <w:kern w:val="0"/>
                <w:szCs w:val="22"/>
              </w:rPr>
            </w:pPr>
            <w:r w:rsidRPr="00325607">
              <w:rPr>
                <w:snapToGrid/>
                <w:color w:val="000000"/>
                <w:kern w:val="0"/>
                <w:szCs w:val="22"/>
              </w:rPr>
              <w:t>Biloxi, MS</w:t>
            </w:r>
          </w:p>
        </w:tc>
        <w:tc>
          <w:tcPr>
            <w:tcW w:w="326" w:type="dxa"/>
            <w:tcBorders>
              <w:top w:val="nil"/>
              <w:left w:val="nil"/>
              <w:bottom w:val="single" w:sz="4" w:space="0" w:color="auto"/>
              <w:right w:val="single" w:sz="4" w:space="0" w:color="auto"/>
            </w:tcBorders>
            <w:shd w:val="clear" w:color="auto" w:fill="auto"/>
            <w:noWrap/>
            <w:vAlign w:val="bottom"/>
            <w:hideMark/>
          </w:tcPr>
          <w:p w14:paraId="14AD1E5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0723BD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96F469B"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0535A6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EFA07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PEA150</w:t>
            </w:r>
          </w:p>
        </w:tc>
        <w:tc>
          <w:tcPr>
            <w:tcW w:w="3220" w:type="dxa"/>
            <w:tcBorders>
              <w:top w:val="nil"/>
              <w:left w:val="nil"/>
              <w:bottom w:val="single" w:sz="4" w:space="0" w:color="auto"/>
              <w:right w:val="nil"/>
            </w:tcBorders>
            <w:shd w:val="clear" w:color="auto" w:fill="auto"/>
            <w:noWrap/>
            <w:vAlign w:val="bottom"/>
            <w:hideMark/>
          </w:tcPr>
          <w:p w14:paraId="35EB473A" w14:textId="77777777" w:rsidR="00A41A74" w:rsidRPr="00325607" w:rsidRDefault="00A41A74" w:rsidP="00325607">
            <w:pPr>
              <w:widowControl/>
              <w:rPr>
                <w:snapToGrid/>
                <w:color w:val="000000"/>
                <w:kern w:val="0"/>
                <w:szCs w:val="22"/>
              </w:rPr>
            </w:pPr>
            <w:r w:rsidRPr="00325607">
              <w:rPr>
                <w:snapToGrid/>
                <w:color w:val="000000"/>
                <w:kern w:val="0"/>
                <w:szCs w:val="22"/>
              </w:rPr>
              <w:t>Rolla, MO</w:t>
            </w:r>
          </w:p>
        </w:tc>
        <w:tc>
          <w:tcPr>
            <w:tcW w:w="326" w:type="dxa"/>
            <w:tcBorders>
              <w:top w:val="nil"/>
              <w:left w:val="nil"/>
              <w:bottom w:val="single" w:sz="4" w:space="0" w:color="auto"/>
              <w:right w:val="single" w:sz="4" w:space="0" w:color="auto"/>
            </w:tcBorders>
            <w:shd w:val="clear" w:color="auto" w:fill="auto"/>
            <w:noWrap/>
            <w:vAlign w:val="bottom"/>
            <w:hideMark/>
          </w:tcPr>
          <w:p w14:paraId="1E1841A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39C803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5F0575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1F3F72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8C00B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PEA151</w:t>
            </w:r>
          </w:p>
        </w:tc>
        <w:tc>
          <w:tcPr>
            <w:tcW w:w="3220" w:type="dxa"/>
            <w:tcBorders>
              <w:top w:val="nil"/>
              <w:left w:val="nil"/>
              <w:bottom w:val="single" w:sz="4" w:space="0" w:color="auto"/>
              <w:right w:val="nil"/>
            </w:tcBorders>
            <w:shd w:val="clear" w:color="auto" w:fill="auto"/>
            <w:noWrap/>
            <w:vAlign w:val="bottom"/>
            <w:hideMark/>
          </w:tcPr>
          <w:p w14:paraId="4A7E08F9" w14:textId="77777777" w:rsidR="00A41A74" w:rsidRPr="00325607" w:rsidRDefault="00A41A74" w:rsidP="00325607">
            <w:pPr>
              <w:widowControl/>
              <w:rPr>
                <w:snapToGrid/>
                <w:color w:val="000000"/>
                <w:kern w:val="0"/>
                <w:szCs w:val="22"/>
              </w:rPr>
            </w:pPr>
            <w:r w:rsidRPr="00325607">
              <w:rPr>
                <w:snapToGrid/>
                <w:color w:val="000000"/>
                <w:kern w:val="0"/>
                <w:szCs w:val="22"/>
              </w:rPr>
              <w:t>Winston-Salem, NC</w:t>
            </w:r>
          </w:p>
        </w:tc>
        <w:tc>
          <w:tcPr>
            <w:tcW w:w="326" w:type="dxa"/>
            <w:tcBorders>
              <w:top w:val="nil"/>
              <w:left w:val="nil"/>
              <w:bottom w:val="single" w:sz="4" w:space="0" w:color="auto"/>
              <w:right w:val="single" w:sz="4" w:space="0" w:color="auto"/>
            </w:tcBorders>
            <w:shd w:val="clear" w:color="auto" w:fill="auto"/>
            <w:noWrap/>
            <w:vAlign w:val="bottom"/>
            <w:hideMark/>
          </w:tcPr>
          <w:p w14:paraId="602B124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F69BF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6DC068C"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13F955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75DB2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PEA152</w:t>
            </w:r>
          </w:p>
        </w:tc>
        <w:tc>
          <w:tcPr>
            <w:tcW w:w="3220" w:type="dxa"/>
            <w:tcBorders>
              <w:top w:val="nil"/>
              <w:left w:val="nil"/>
              <w:bottom w:val="single" w:sz="4" w:space="0" w:color="auto"/>
              <w:right w:val="nil"/>
            </w:tcBorders>
            <w:shd w:val="clear" w:color="auto" w:fill="auto"/>
            <w:noWrap/>
            <w:vAlign w:val="bottom"/>
            <w:hideMark/>
          </w:tcPr>
          <w:p w14:paraId="309A1F42" w14:textId="77777777" w:rsidR="00A41A74" w:rsidRPr="00325607" w:rsidRDefault="00A41A74" w:rsidP="00325607">
            <w:pPr>
              <w:widowControl/>
              <w:rPr>
                <w:snapToGrid/>
                <w:color w:val="000000"/>
                <w:kern w:val="0"/>
                <w:szCs w:val="22"/>
              </w:rPr>
            </w:pPr>
            <w:r w:rsidRPr="00325607">
              <w:rPr>
                <w:snapToGrid/>
                <w:color w:val="000000"/>
                <w:kern w:val="0"/>
                <w:szCs w:val="22"/>
              </w:rPr>
              <w:t>Tyler, TX</w:t>
            </w:r>
          </w:p>
        </w:tc>
        <w:tc>
          <w:tcPr>
            <w:tcW w:w="326" w:type="dxa"/>
            <w:tcBorders>
              <w:top w:val="nil"/>
              <w:left w:val="nil"/>
              <w:bottom w:val="single" w:sz="4" w:space="0" w:color="auto"/>
              <w:right w:val="single" w:sz="4" w:space="0" w:color="auto"/>
            </w:tcBorders>
            <w:shd w:val="clear" w:color="auto" w:fill="auto"/>
            <w:noWrap/>
            <w:vAlign w:val="bottom"/>
            <w:hideMark/>
          </w:tcPr>
          <w:p w14:paraId="23ADF8D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431155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A0C344F"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14EEB6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51E26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PEA153</w:t>
            </w:r>
          </w:p>
        </w:tc>
        <w:tc>
          <w:tcPr>
            <w:tcW w:w="3220" w:type="dxa"/>
            <w:tcBorders>
              <w:top w:val="nil"/>
              <w:left w:val="nil"/>
              <w:bottom w:val="single" w:sz="4" w:space="0" w:color="auto"/>
              <w:right w:val="nil"/>
            </w:tcBorders>
            <w:shd w:val="clear" w:color="auto" w:fill="auto"/>
            <w:noWrap/>
            <w:vAlign w:val="bottom"/>
            <w:hideMark/>
          </w:tcPr>
          <w:p w14:paraId="53669C06" w14:textId="77777777" w:rsidR="00A41A74" w:rsidRPr="00325607" w:rsidRDefault="00A41A74" w:rsidP="00325607">
            <w:pPr>
              <w:widowControl/>
              <w:rPr>
                <w:snapToGrid/>
                <w:color w:val="000000"/>
                <w:kern w:val="0"/>
                <w:szCs w:val="22"/>
              </w:rPr>
            </w:pPr>
            <w:r w:rsidRPr="00325607">
              <w:rPr>
                <w:snapToGrid/>
                <w:color w:val="000000"/>
                <w:kern w:val="0"/>
                <w:szCs w:val="22"/>
              </w:rPr>
              <w:t>Fond du Lac, WI</w:t>
            </w:r>
          </w:p>
        </w:tc>
        <w:tc>
          <w:tcPr>
            <w:tcW w:w="326" w:type="dxa"/>
            <w:tcBorders>
              <w:top w:val="nil"/>
              <w:left w:val="nil"/>
              <w:bottom w:val="single" w:sz="4" w:space="0" w:color="auto"/>
              <w:right w:val="single" w:sz="4" w:space="0" w:color="auto"/>
            </w:tcBorders>
            <w:shd w:val="clear" w:color="auto" w:fill="auto"/>
            <w:noWrap/>
            <w:vAlign w:val="bottom"/>
            <w:hideMark/>
          </w:tcPr>
          <w:p w14:paraId="227C648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9295A6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27EB0B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81D2B9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BAA60E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PEA154</w:t>
            </w:r>
          </w:p>
        </w:tc>
        <w:tc>
          <w:tcPr>
            <w:tcW w:w="3220" w:type="dxa"/>
            <w:tcBorders>
              <w:top w:val="nil"/>
              <w:left w:val="nil"/>
              <w:bottom w:val="single" w:sz="4" w:space="0" w:color="auto"/>
              <w:right w:val="nil"/>
            </w:tcBorders>
            <w:shd w:val="clear" w:color="auto" w:fill="auto"/>
            <w:noWrap/>
            <w:vAlign w:val="bottom"/>
            <w:hideMark/>
          </w:tcPr>
          <w:p w14:paraId="12537EFE" w14:textId="77777777" w:rsidR="00A41A74" w:rsidRPr="00325607" w:rsidRDefault="00A41A74" w:rsidP="00325607">
            <w:pPr>
              <w:widowControl/>
              <w:rPr>
                <w:snapToGrid/>
                <w:color w:val="000000"/>
                <w:kern w:val="0"/>
                <w:szCs w:val="22"/>
              </w:rPr>
            </w:pPr>
            <w:r w:rsidRPr="00325607">
              <w:rPr>
                <w:snapToGrid/>
                <w:color w:val="000000"/>
                <w:kern w:val="0"/>
                <w:szCs w:val="22"/>
              </w:rPr>
              <w:t>Myrtle Beach, SC</w:t>
            </w:r>
          </w:p>
        </w:tc>
        <w:tc>
          <w:tcPr>
            <w:tcW w:w="326" w:type="dxa"/>
            <w:tcBorders>
              <w:top w:val="nil"/>
              <w:left w:val="nil"/>
              <w:bottom w:val="single" w:sz="4" w:space="0" w:color="auto"/>
              <w:right w:val="single" w:sz="4" w:space="0" w:color="auto"/>
            </w:tcBorders>
            <w:shd w:val="clear" w:color="auto" w:fill="auto"/>
            <w:noWrap/>
            <w:vAlign w:val="bottom"/>
            <w:hideMark/>
          </w:tcPr>
          <w:p w14:paraId="283B954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0DB088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DE227C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8E4951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1D93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PEA155</w:t>
            </w:r>
          </w:p>
        </w:tc>
        <w:tc>
          <w:tcPr>
            <w:tcW w:w="3220" w:type="dxa"/>
            <w:tcBorders>
              <w:top w:val="nil"/>
              <w:left w:val="nil"/>
              <w:bottom w:val="single" w:sz="4" w:space="0" w:color="auto"/>
              <w:right w:val="nil"/>
            </w:tcBorders>
            <w:shd w:val="clear" w:color="auto" w:fill="auto"/>
            <w:noWrap/>
            <w:vAlign w:val="bottom"/>
            <w:hideMark/>
          </w:tcPr>
          <w:p w14:paraId="43A7BB59" w14:textId="77777777" w:rsidR="00A41A74" w:rsidRPr="00325607" w:rsidRDefault="00A41A74" w:rsidP="00325607">
            <w:pPr>
              <w:widowControl/>
              <w:rPr>
                <w:snapToGrid/>
                <w:color w:val="000000"/>
                <w:kern w:val="0"/>
                <w:szCs w:val="22"/>
              </w:rPr>
            </w:pPr>
            <w:r w:rsidRPr="00325607">
              <w:rPr>
                <w:snapToGrid/>
                <w:color w:val="000000"/>
                <w:kern w:val="0"/>
                <w:szCs w:val="22"/>
              </w:rPr>
              <w:t>Appleton, WI</w:t>
            </w:r>
          </w:p>
        </w:tc>
        <w:tc>
          <w:tcPr>
            <w:tcW w:w="326" w:type="dxa"/>
            <w:tcBorders>
              <w:top w:val="nil"/>
              <w:left w:val="nil"/>
              <w:bottom w:val="single" w:sz="4" w:space="0" w:color="auto"/>
              <w:right w:val="single" w:sz="4" w:space="0" w:color="auto"/>
            </w:tcBorders>
            <w:shd w:val="clear" w:color="auto" w:fill="auto"/>
            <w:noWrap/>
            <w:vAlign w:val="bottom"/>
            <w:hideMark/>
          </w:tcPr>
          <w:p w14:paraId="14CB13C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DC2D75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6CB1B56"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126D7C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437C3C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PEA156</w:t>
            </w:r>
          </w:p>
        </w:tc>
        <w:tc>
          <w:tcPr>
            <w:tcW w:w="3220" w:type="dxa"/>
            <w:tcBorders>
              <w:top w:val="nil"/>
              <w:left w:val="nil"/>
              <w:bottom w:val="single" w:sz="4" w:space="0" w:color="auto"/>
              <w:right w:val="nil"/>
            </w:tcBorders>
            <w:shd w:val="clear" w:color="auto" w:fill="auto"/>
            <w:noWrap/>
            <w:vAlign w:val="bottom"/>
            <w:hideMark/>
          </w:tcPr>
          <w:p w14:paraId="1A5EAD65" w14:textId="77777777" w:rsidR="00A41A74" w:rsidRPr="00325607" w:rsidRDefault="00A41A74" w:rsidP="00325607">
            <w:pPr>
              <w:widowControl/>
              <w:rPr>
                <w:snapToGrid/>
                <w:color w:val="000000"/>
                <w:kern w:val="0"/>
                <w:szCs w:val="22"/>
              </w:rPr>
            </w:pPr>
            <w:r w:rsidRPr="00325607">
              <w:rPr>
                <w:snapToGrid/>
                <w:color w:val="000000"/>
                <w:kern w:val="0"/>
                <w:szCs w:val="22"/>
              </w:rPr>
              <w:t>Boise City, ID</w:t>
            </w:r>
          </w:p>
        </w:tc>
        <w:tc>
          <w:tcPr>
            <w:tcW w:w="326" w:type="dxa"/>
            <w:tcBorders>
              <w:top w:val="nil"/>
              <w:left w:val="nil"/>
              <w:bottom w:val="single" w:sz="4" w:space="0" w:color="auto"/>
              <w:right w:val="single" w:sz="4" w:space="0" w:color="auto"/>
            </w:tcBorders>
            <w:shd w:val="clear" w:color="auto" w:fill="auto"/>
            <w:noWrap/>
            <w:vAlign w:val="bottom"/>
            <w:hideMark/>
          </w:tcPr>
          <w:p w14:paraId="3D2EB82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45BC6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FE5778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8F9654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A30921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PEA157</w:t>
            </w:r>
          </w:p>
        </w:tc>
        <w:tc>
          <w:tcPr>
            <w:tcW w:w="3220" w:type="dxa"/>
            <w:tcBorders>
              <w:top w:val="nil"/>
              <w:left w:val="nil"/>
              <w:bottom w:val="single" w:sz="4" w:space="0" w:color="auto"/>
              <w:right w:val="nil"/>
            </w:tcBorders>
            <w:shd w:val="clear" w:color="auto" w:fill="auto"/>
            <w:noWrap/>
            <w:vAlign w:val="bottom"/>
            <w:hideMark/>
          </w:tcPr>
          <w:p w14:paraId="346110A9" w14:textId="77777777" w:rsidR="00A41A74" w:rsidRPr="00325607" w:rsidRDefault="00A41A74" w:rsidP="00325607">
            <w:pPr>
              <w:widowControl/>
              <w:rPr>
                <w:snapToGrid/>
                <w:color w:val="000000"/>
                <w:kern w:val="0"/>
                <w:szCs w:val="22"/>
              </w:rPr>
            </w:pPr>
            <w:r w:rsidRPr="00325607">
              <w:rPr>
                <w:snapToGrid/>
                <w:color w:val="000000"/>
                <w:kern w:val="0"/>
                <w:szCs w:val="22"/>
              </w:rPr>
              <w:t>Yuma, AZ</w:t>
            </w:r>
          </w:p>
        </w:tc>
        <w:tc>
          <w:tcPr>
            <w:tcW w:w="326" w:type="dxa"/>
            <w:tcBorders>
              <w:top w:val="nil"/>
              <w:left w:val="nil"/>
              <w:bottom w:val="single" w:sz="4" w:space="0" w:color="auto"/>
              <w:right w:val="single" w:sz="4" w:space="0" w:color="auto"/>
            </w:tcBorders>
            <w:shd w:val="clear" w:color="auto" w:fill="auto"/>
            <w:noWrap/>
            <w:vAlign w:val="bottom"/>
            <w:hideMark/>
          </w:tcPr>
          <w:p w14:paraId="0AC905E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F529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444A84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2CA423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2AFC77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PEA158</w:t>
            </w:r>
          </w:p>
        </w:tc>
        <w:tc>
          <w:tcPr>
            <w:tcW w:w="3220" w:type="dxa"/>
            <w:tcBorders>
              <w:top w:val="nil"/>
              <w:left w:val="nil"/>
              <w:bottom w:val="single" w:sz="4" w:space="0" w:color="auto"/>
              <w:right w:val="nil"/>
            </w:tcBorders>
            <w:shd w:val="clear" w:color="auto" w:fill="auto"/>
            <w:noWrap/>
            <w:vAlign w:val="bottom"/>
            <w:hideMark/>
          </w:tcPr>
          <w:p w14:paraId="1C84C6B3" w14:textId="77777777" w:rsidR="00A41A74" w:rsidRPr="00325607" w:rsidRDefault="00A41A74" w:rsidP="00325607">
            <w:pPr>
              <w:widowControl/>
              <w:rPr>
                <w:snapToGrid/>
                <w:color w:val="000000"/>
                <w:kern w:val="0"/>
                <w:szCs w:val="22"/>
              </w:rPr>
            </w:pPr>
            <w:r w:rsidRPr="00325607">
              <w:rPr>
                <w:snapToGrid/>
                <w:color w:val="000000"/>
                <w:kern w:val="0"/>
                <w:szCs w:val="22"/>
              </w:rPr>
              <w:t>Helena, MT</w:t>
            </w:r>
          </w:p>
        </w:tc>
        <w:tc>
          <w:tcPr>
            <w:tcW w:w="326" w:type="dxa"/>
            <w:tcBorders>
              <w:top w:val="nil"/>
              <w:left w:val="nil"/>
              <w:bottom w:val="single" w:sz="4" w:space="0" w:color="auto"/>
              <w:right w:val="single" w:sz="4" w:space="0" w:color="auto"/>
            </w:tcBorders>
            <w:shd w:val="clear" w:color="auto" w:fill="auto"/>
            <w:noWrap/>
            <w:vAlign w:val="bottom"/>
            <w:hideMark/>
          </w:tcPr>
          <w:p w14:paraId="2CC7950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FACD26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2410C7B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59AF362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5A510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PEA159</w:t>
            </w:r>
          </w:p>
        </w:tc>
        <w:tc>
          <w:tcPr>
            <w:tcW w:w="3220" w:type="dxa"/>
            <w:tcBorders>
              <w:top w:val="nil"/>
              <w:left w:val="nil"/>
              <w:bottom w:val="single" w:sz="4" w:space="0" w:color="auto"/>
              <w:right w:val="nil"/>
            </w:tcBorders>
            <w:shd w:val="clear" w:color="auto" w:fill="auto"/>
            <w:noWrap/>
            <w:vAlign w:val="bottom"/>
            <w:hideMark/>
          </w:tcPr>
          <w:p w14:paraId="67E363B7" w14:textId="77777777" w:rsidR="00A41A74" w:rsidRPr="00325607" w:rsidRDefault="00A41A74" w:rsidP="00325607">
            <w:pPr>
              <w:widowControl/>
              <w:rPr>
                <w:snapToGrid/>
                <w:color w:val="000000"/>
                <w:kern w:val="0"/>
                <w:szCs w:val="22"/>
              </w:rPr>
            </w:pPr>
            <w:r w:rsidRPr="00325607">
              <w:rPr>
                <w:snapToGrid/>
                <w:color w:val="000000"/>
                <w:kern w:val="0"/>
                <w:szCs w:val="22"/>
              </w:rPr>
              <w:t>Valdosta, GA</w:t>
            </w:r>
          </w:p>
        </w:tc>
        <w:tc>
          <w:tcPr>
            <w:tcW w:w="326" w:type="dxa"/>
            <w:tcBorders>
              <w:top w:val="nil"/>
              <w:left w:val="nil"/>
              <w:bottom w:val="single" w:sz="4" w:space="0" w:color="auto"/>
              <w:right w:val="single" w:sz="4" w:space="0" w:color="auto"/>
            </w:tcBorders>
            <w:shd w:val="clear" w:color="auto" w:fill="auto"/>
            <w:noWrap/>
            <w:vAlign w:val="bottom"/>
            <w:hideMark/>
          </w:tcPr>
          <w:p w14:paraId="19754C1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3F48A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784B8B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2F04F5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1BD185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PEA160</w:t>
            </w:r>
          </w:p>
        </w:tc>
        <w:tc>
          <w:tcPr>
            <w:tcW w:w="3220" w:type="dxa"/>
            <w:tcBorders>
              <w:top w:val="nil"/>
              <w:left w:val="nil"/>
              <w:bottom w:val="single" w:sz="4" w:space="0" w:color="auto"/>
              <w:right w:val="nil"/>
            </w:tcBorders>
            <w:shd w:val="clear" w:color="auto" w:fill="auto"/>
            <w:noWrap/>
            <w:vAlign w:val="bottom"/>
            <w:hideMark/>
          </w:tcPr>
          <w:p w14:paraId="3E5B6E7D" w14:textId="77777777" w:rsidR="00A41A74" w:rsidRPr="00325607" w:rsidRDefault="00A41A74" w:rsidP="00325607">
            <w:pPr>
              <w:widowControl/>
              <w:rPr>
                <w:snapToGrid/>
                <w:color w:val="000000"/>
                <w:kern w:val="0"/>
                <w:szCs w:val="22"/>
              </w:rPr>
            </w:pPr>
            <w:r w:rsidRPr="00325607">
              <w:rPr>
                <w:snapToGrid/>
                <w:color w:val="000000"/>
                <w:kern w:val="0"/>
                <w:szCs w:val="22"/>
              </w:rPr>
              <w:t>Victoria, TX</w:t>
            </w:r>
          </w:p>
        </w:tc>
        <w:tc>
          <w:tcPr>
            <w:tcW w:w="326" w:type="dxa"/>
            <w:tcBorders>
              <w:top w:val="nil"/>
              <w:left w:val="nil"/>
              <w:bottom w:val="single" w:sz="4" w:space="0" w:color="auto"/>
              <w:right w:val="single" w:sz="4" w:space="0" w:color="auto"/>
            </w:tcBorders>
            <w:shd w:val="clear" w:color="auto" w:fill="auto"/>
            <w:noWrap/>
            <w:vAlign w:val="bottom"/>
            <w:hideMark/>
          </w:tcPr>
          <w:p w14:paraId="54AA83A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C8A94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B825B2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E1AA6E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821C5A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PEA161</w:t>
            </w:r>
          </w:p>
        </w:tc>
        <w:tc>
          <w:tcPr>
            <w:tcW w:w="3220" w:type="dxa"/>
            <w:tcBorders>
              <w:top w:val="nil"/>
              <w:left w:val="nil"/>
              <w:bottom w:val="single" w:sz="4" w:space="0" w:color="auto"/>
              <w:right w:val="nil"/>
            </w:tcBorders>
            <w:shd w:val="clear" w:color="auto" w:fill="auto"/>
            <w:noWrap/>
            <w:vAlign w:val="bottom"/>
            <w:hideMark/>
          </w:tcPr>
          <w:p w14:paraId="52A979B4" w14:textId="77777777" w:rsidR="00A41A74" w:rsidRPr="00325607" w:rsidRDefault="00A41A74" w:rsidP="00325607">
            <w:pPr>
              <w:widowControl/>
              <w:rPr>
                <w:snapToGrid/>
                <w:color w:val="000000"/>
                <w:kern w:val="0"/>
                <w:szCs w:val="22"/>
              </w:rPr>
            </w:pPr>
            <w:r w:rsidRPr="00325607">
              <w:rPr>
                <w:snapToGrid/>
                <w:color w:val="000000"/>
                <w:kern w:val="0"/>
                <w:szCs w:val="22"/>
              </w:rPr>
              <w:t>Carbondale, IL</w:t>
            </w:r>
          </w:p>
        </w:tc>
        <w:tc>
          <w:tcPr>
            <w:tcW w:w="326" w:type="dxa"/>
            <w:tcBorders>
              <w:top w:val="nil"/>
              <w:left w:val="nil"/>
              <w:bottom w:val="single" w:sz="4" w:space="0" w:color="auto"/>
              <w:right w:val="single" w:sz="4" w:space="0" w:color="auto"/>
            </w:tcBorders>
            <w:shd w:val="clear" w:color="auto" w:fill="auto"/>
            <w:noWrap/>
            <w:vAlign w:val="bottom"/>
            <w:hideMark/>
          </w:tcPr>
          <w:p w14:paraId="4AAED1E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FB7206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F63AE19"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976E4E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F820A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PEA162</w:t>
            </w:r>
          </w:p>
        </w:tc>
        <w:tc>
          <w:tcPr>
            <w:tcW w:w="3220" w:type="dxa"/>
            <w:tcBorders>
              <w:top w:val="nil"/>
              <w:left w:val="nil"/>
              <w:bottom w:val="single" w:sz="4" w:space="0" w:color="auto"/>
              <w:right w:val="nil"/>
            </w:tcBorders>
            <w:shd w:val="clear" w:color="auto" w:fill="auto"/>
            <w:noWrap/>
            <w:vAlign w:val="bottom"/>
            <w:hideMark/>
          </w:tcPr>
          <w:p w14:paraId="6AD85E8E" w14:textId="77777777" w:rsidR="00A41A74" w:rsidRPr="00325607" w:rsidRDefault="00A41A74" w:rsidP="00325607">
            <w:pPr>
              <w:widowControl/>
              <w:rPr>
                <w:snapToGrid/>
                <w:color w:val="000000"/>
                <w:kern w:val="0"/>
                <w:szCs w:val="22"/>
              </w:rPr>
            </w:pPr>
            <w:r w:rsidRPr="00325607">
              <w:rPr>
                <w:snapToGrid/>
                <w:color w:val="000000"/>
                <w:kern w:val="0"/>
                <w:szCs w:val="22"/>
              </w:rPr>
              <w:t>Elizabethtown, KY</w:t>
            </w:r>
          </w:p>
        </w:tc>
        <w:tc>
          <w:tcPr>
            <w:tcW w:w="326" w:type="dxa"/>
            <w:tcBorders>
              <w:top w:val="nil"/>
              <w:left w:val="nil"/>
              <w:bottom w:val="single" w:sz="4" w:space="0" w:color="auto"/>
              <w:right w:val="single" w:sz="4" w:space="0" w:color="auto"/>
            </w:tcBorders>
            <w:shd w:val="clear" w:color="auto" w:fill="auto"/>
            <w:noWrap/>
            <w:vAlign w:val="bottom"/>
            <w:hideMark/>
          </w:tcPr>
          <w:p w14:paraId="09B05A0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D79D24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5848F3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153E89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1386D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PEA163</w:t>
            </w:r>
          </w:p>
        </w:tc>
        <w:tc>
          <w:tcPr>
            <w:tcW w:w="3220" w:type="dxa"/>
            <w:tcBorders>
              <w:top w:val="nil"/>
              <w:left w:val="nil"/>
              <w:bottom w:val="single" w:sz="4" w:space="0" w:color="auto"/>
              <w:right w:val="nil"/>
            </w:tcBorders>
            <w:shd w:val="clear" w:color="auto" w:fill="auto"/>
            <w:noWrap/>
            <w:vAlign w:val="bottom"/>
            <w:hideMark/>
          </w:tcPr>
          <w:p w14:paraId="2CC9C915" w14:textId="77777777" w:rsidR="00A41A74" w:rsidRPr="00325607" w:rsidRDefault="00A41A74" w:rsidP="00325607">
            <w:pPr>
              <w:widowControl/>
              <w:rPr>
                <w:snapToGrid/>
                <w:color w:val="000000"/>
                <w:kern w:val="0"/>
                <w:szCs w:val="22"/>
              </w:rPr>
            </w:pPr>
            <w:r w:rsidRPr="00325607">
              <w:rPr>
                <w:snapToGrid/>
                <w:color w:val="000000"/>
                <w:kern w:val="0"/>
                <w:szCs w:val="22"/>
              </w:rPr>
              <w:t>Davenport, IA</w:t>
            </w:r>
          </w:p>
        </w:tc>
        <w:tc>
          <w:tcPr>
            <w:tcW w:w="326" w:type="dxa"/>
            <w:tcBorders>
              <w:top w:val="nil"/>
              <w:left w:val="nil"/>
              <w:bottom w:val="single" w:sz="4" w:space="0" w:color="auto"/>
              <w:right w:val="single" w:sz="4" w:space="0" w:color="auto"/>
            </w:tcBorders>
            <w:shd w:val="clear" w:color="auto" w:fill="auto"/>
            <w:noWrap/>
            <w:vAlign w:val="bottom"/>
            <w:hideMark/>
          </w:tcPr>
          <w:p w14:paraId="5433FB1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934F16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F1EF2C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F0102D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0F138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PEA164</w:t>
            </w:r>
          </w:p>
        </w:tc>
        <w:tc>
          <w:tcPr>
            <w:tcW w:w="3220" w:type="dxa"/>
            <w:tcBorders>
              <w:top w:val="nil"/>
              <w:left w:val="nil"/>
              <w:bottom w:val="single" w:sz="4" w:space="0" w:color="auto"/>
              <w:right w:val="nil"/>
            </w:tcBorders>
            <w:shd w:val="clear" w:color="auto" w:fill="auto"/>
            <w:noWrap/>
            <w:vAlign w:val="bottom"/>
            <w:hideMark/>
          </w:tcPr>
          <w:p w14:paraId="2C6D8CCB" w14:textId="77777777" w:rsidR="00A41A74" w:rsidRPr="00325607" w:rsidRDefault="00A41A74" w:rsidP="00325607">
            <w:pPr>
              <w:widowControl/>
              <w:rPr>
                <w:snapToGrid/>
                <w:color w:val="000000"/>
                <w:kern w:val="0"/>
                <w:szCs w:val="22"/>
              </w:rPr>
            </w:pPr>
            <w:r w:rsidRPr="00325607">
              <w:rPr>
                <w:snapToGrid/>
                <w:color w:val="000000"/>
                <w:kern w:val="0"/>
                <w:szCs w:val="22"/>
              </w:rPr>
              <w:t>Montgomery, AL</w:t>
            </w:r>
          </w:p>
        </w:tc>
        <w:tc>
          <w:tcPr>
            <w:tcW w:w="326" w:type="dxa"/>
            <w:tcBorders>
              <w:top w:val="nil"/>
              <w:left w:val="nil"/>
              <w:bottom w:val="single" w:sz="4" w:space="0" w:color="auto"/>
              <w:right w:val="single" w:sz="4" w:space="0" w:color="auto"/>
            </w:tcBorders>
            <w:shd w:val="clear" w:color="auto" w:fill="auto"/>
            <w:noWrap/>
            <w:vAlign w:val="bottom"/>
            <w:hideMark/>
          </w:tcPr>
          <w:p w14:paraId="01BF24A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CEE23D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6E29F2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B0BD13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D70A9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PEA165</w:t>
            </w:r>
          </w:p>
        </w:tc>
        <w:tc>
          <w:tcPr>
            <w:tcW w:w="3220" w:type="dxa"/>
            <w:tcBorders>
              <w:top w:val="nil"/>
              <w:left w:val="nil"/>
              <w:bottom w:val="single" w:sz="4" w:space="0" w:color="auto"/>
              <w:right w:val="nil"/>
            </w:tcBorders>
            <w:shd w:val="clear" w:color="auto" w:fill="auto"/>
            <w:noWrap/>
            <w:vAlign w:val="bottom"/>
            <w:hideMark/>
          </w:tcPr>
          <w:p w14:paraId="18BDE88C" w14:textId="77777777" w:rsidR="00A41A74" w:rsidRPr="00325607" w:rsidRDefault="00A41A74" w:rsidP="00325607">
            <w:pPr>
              <w:widowControl/>
              <w:rPr>
                <w:snapToGrid/>
                <w:color w:val="000000"/>
                <w:kern w:val="0"/>
                <w:szCs w:val="22"/>
              </w:rPr>
            </w:pPr>
            <w:r w:rsidRPr="00325607">
              <w:rPr>
                <w:snapToGrid/>
                <w:color w:val="000000"/>
                <w:kern w:val="0"/>
                <w:szCs w:val="22"/>
              </w:rPr>
              <w:t>Rome, GA</w:t>
            </w:r>
          </w:p>
        </w:tc>
        <w:tc>
          <w:tcPr>
            <w:tcW w:w="326" w:type="dxa"/>
            <w:tcBorders>
              <w:top w:val="nil"/>
              <w:left w:val="nil"/>
              <w:bottom w:val="single" w:sz="4" w:space="0" w:color="auto"/>
              <w:right w:val="single" w:sz="4" w:space="0" w:color="auto"/>
            </w:tcBorders>
            <w:shd w:val="clear" w:color="auto" w:fill="auto"/>
            <w:noWrap/>
            <w:vAlign w:val="bottom"/>
            <w:hideMark/>
          </w:tcPr>
          <w:p w14:paraId="488F045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1A69AB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F8ACDF3"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931B84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F6556E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PEA166</w:t>
            </w:r>
          </w:p>
        </w:tc>
        <w:tc>
          <w:tcPr>
            <w:tcW w:w="3220" w:type="dxa"/>
            <w:tcBorders>
              <w:top w:val="nil"/>
              <w:left w:val="nil"/>
              <w:bottom w:val="single" w:sz="4" w:space="0" w:color="auto"/>
              <w:right w:val="nil"/>
            </w:tcBorders>
            <w:shd w:val="clear" w:color="auto" w:fill="auto"/>
            <w:noWrap/>
            <w:vAlign w:val="bottom"/>
            <w:hideMark/>
          </w:tcPr>
          <w:p w14:paraId="2DC40A47" w14:textId="77777777" w:rsidR="00A41A74" w:rsidRPr="00325607" w:rsidRDefault="00A41A74" w:rsidP="00325607">
            <w:pPr>
              <w:widowControl/>
              <w:rPr>
                <w:snapToGrid/>
                <w:color w:val="000000"/>
                <w:kern w:val="0"/>
                <w:szCs w:val="22"/>
              </w:rPr>
            </w:pPr>
            <w:r w:rsidRPr="00325607">
              <w:rPr>
                <w:snapToGrid/>
                <w:color w:val="000000"/>
                <w:kern w:val="0"/>
                <w:szCs w:val="22"/>
              </w:rPr>
              <w:t>Redding, CA</w:t>
            </w:r>
          </w:p>
        </w:tc>
        <w:tc>
          <w:tcPr>
            <w:tcW w:w="326" w:type="dxa"/>
            <w:tcBorders>
              <w:top w:val="nil"/>
              <w:left w:val="nil"/>
              <w:bottom w:val="single" w:sz="4" w:space="0" w:color="auto"/>
              <w:right w:val="single" w:sz="4" w:space="0" w:color="auto"/>
            </w:tcBorders>
            <w:shd w:val="clear" w:color="auto" w:fill="auto"/>
            <w:noWrap/>
            <w:vAlign w:val="bottom"/>
            <w:hideMark/>
          </w:tcPr>
          <w:p w14:paraId="54CB134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DAF10D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026BD1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C99687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78801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PEA167</w:t>
            </w:r>
          </w:p>
        </w:tc>
        <w:tc>
          <w:tcPr>
            <w:tcW w:w="3220" w:type="dxa"/>
            <w:tcBorders>
              <w:top w:val="nil"/>
              <w:left w:val="nil"/>
              <w:bottom w:val="single" w:sz="4" w:space="0" w:color="auto"/>
              <w:right w:val="nil"/>
            </w:tcBorders>
            <w:shd w:val="clear" w:color="auto" w:fill="auto"/>
            <w:noWrap/>
            <w:vAlign w:val="bottom"/>
            <w:hideMark/>
          </w:tcPr>
          <w:p w14:paraId="00D6166C" w14:textId="77777777" w:rsidR="00A41A74" w:rsidRPr="00325607" w:rsidRDefault="00A41A74" w:rsidP="00325607">
            <w:pPr>
              <w:widowControl/>
              <w:rPr>
                <w:snapToGrid/>
                <w:color w:val="000000"/>
                <w:kern w:val="0"/>
                <w:szCs w:val="22"/>
              </w:rPr>
            </w:pPr>
            <w:r w:rsidRPr="00325607">
              <w:rPr>
                <w:snapToGrid/>
                <w:color w:val="000000"/>
                <w:kern w:val="0"/>
                <w:szCs w:val="22"/>
              </w:rPr>
              <w:t>Harrisonburg, VA</w:t>
            </w:r>
          </w:p>
        </w:tc>
        <w:tc>
          <w:tcPr>
            <w:tcW w:w="326" w:type="dxa"/>
            <w:tcBorders>
              <w:top w:val="nil"/>
              <w:left w:val="nil"/>
              <w:bottom w:val="single" w:sz="4" w:space="0" w:color="auto"/>
              <w:right w:val="single" w:sz="4" w:space="0" w:color="auto"/>
            </w:tcBorders>
            <w:shd w:val="clear" w:color="auto" w:fill="auto"/>
            <w:noWrap/>
            <w:vAlign w:val="bottom"/>
            <w:hideMark/>
          </w:tcPr>
          <w:p w14:paraId="3026E59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F424F6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0DEC482C"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C02D81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48BA8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PEA168</w:t>
            </w:r>
          </w:p>
        </w:tc>
        <w:tc>
          <w:tcPr>
            <w:tcW w:w="3220" w:type="dxa"/>
            <w:tcBorders>
              <w:top w:val="nil"/>
              <w:left w:val="nil"/>
              <w:bottom w:val="single" w:sz="4" w:space="0" w:color="auto"/>
              <w:right w:val="nil"/>
            </w:tcBorders>
            <w:shd w:val="clear" w:color="auto" w:fill="auto"/>
            <w:noWrap/>
            <w:vAlign w:val="bottom"/>
            <w:hideMark/>
          </w:tcPr>
          <w:p w14:paraId="55298498" w14:textId="77777777" w:rsidR="00A41A74" w:rsidRPr="00325607" w:rsidRDefault="00A41A74" w:rsidP="00325607">
            <w:pPr>
              <w:widowControl/>
              <w:rPr>
                <w:snapToGrid/>
                <w:color w:val="000000"/>
                <w:kern w:val="0"/>
                <w:szCs w:val="22"/>
              </w:rPr>
            </w:pPr>
            <w:r w:rsidRPr="00325607">
              <w:rPr>
                <w:snapToGrid/>
                <w:color w:val="000000"/>
                <w:kern w:val="0"/>
                <w:szCs w:val="22"/>
              </w:rPr>
              <w:t>Peoria, IL</w:t>
            </w:r>
          </w:p>
        </w:tc>
        <w:tc>
          <w:tcPr>
            <w:tcW w:w="326" w:type="dxa"/>
            <w:tcBorders>
              <w:top w:val="nil"/>
              <w:left w:val="nil"/>
              <w:bottom w:val="single" w:sz="4" w:space="0" w:color="auto"/>
              <w:right w:val="single" w:sz="4" w:space="0" w:color="auto"/>
            </w:tcBorders>
            <w:shd w:val="clear" w:color="auto" w:fill="auto"/>
            <w:noWrap/>
            <w:vAlign w:val="bottom"/>
            <w:hideMark/>
          </w:tcPr>
          <w:p w14:paraId="34D09F1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27460C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5B2160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DB0769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27C4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PEA169</w:t>
            </w:r>
          </w:p>
        </w:tc>
        <w:tc>
          <w:tcPr>
            <w:tcW w:w="3220" w:type="dxa"/>
            <w:tcBorders>
              <w:top w:val="nil"/>
              <w:left w:val="nil"/>
              <w:bottom w:val="single" w:sz="4" w:space="0" w:color="auto"/>
              <w:right w:val="nil"/>
            </w:tcBorders>
            <w:shd w:val="clear" w:color="auto" w:fill="auto"/>
            <w:noWrap/>
            <w:vAlign w:val="bottom"/>
            <w:hideMark/>
          </w:tcPr>
          <w:p w14:paraId="74A5FD5A" w14:textId="77777777" w:rsidR="00A41A74" w:rsidRPr="00325607" w:rsidRDefault="00A41A74" w:rsidP="00325607">
            <w:pPr>
              <w:widowControl/>
              <w:rPr>
                <w:snapToGrid/>
                <w:color w:val="000000"/>
                <w:kern w:val="0"/>
                <w:szCs w:val="22"/>
              </w:rPr>
            </w:pPr>
            <w:r w:rsidRPr="00325607">
              <w:rPr>
                <w:snapToGrid/>
                <w:color w:val="000000"/>
                <w:kern w:val="0"/>
                <w:szCs w:val="22"/>
              </w:rPr>
              <w:t>Goldsboro, NC</w:t>
            </w:r>
          </w:p>
        </w:tc>
        <w:tc>
          <w:tcPr>
            <w:tcW w:w="326" w:type="dxa"/>
            <w:tcBorders>
              <w:top w:val="nil"/>
              <w:left w:val="nil"/>
              <w:bottom w:val="single" w:sz="4" w:space="0" w:color="auto"/>
              <w:right w:val="single" w:sz="4" w:space="0" w:color="auto"/>
            </w:tcBorders>
            <w:shd w:val="clear" w:color="auto" w:fill="auto"/>
            <w:noWrap/>
            <w:vAlign w:val="bottom"/>
            <w:hideMark/>
          </w:tcPr>
          <w:p w14:paraId="1EF55B6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5C08C6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06D753A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FFCB93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5C2920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PEA170</w:t>
            </w:r>
          </w:p>
        </w:tc>
        <w:tc>
          <w:tcPr>
            <w:tcW w:w="3220" w:type="dxa"/>
            <w:tcBorders>
              <w:top w:val="nil"/>
              <w:left w:val="nil"/>
              <w:bottom w:val="single" w:sz="4" w:space="0" w:color="auto"/>
              <w:right w:val="nil"/>
            </w:tcBorders>
            <w:shd w:val="clear" w:color="auto" w:fill="auto"/>
            <w:noWrap/>
            <w:vAlign w:val="bottom"/>
            <w:hideMark/>
          </w:tcPr>
          <w:p w14:paraId="54687367" w14:textId="77777777" w:rsidR="00A41A74" w:rsidRPr="00325607" w:rsidRDefault="00A41A74" w:rsidP="00325607">
            <w:pPr>
              <w:widowControl/>
              <w:rPr>
                <w:snapToGrid/>
                <w:color w:val="000000"/>
                <w:kern w:val="0"/>
                <w:szCs w:val="22"/>
              </w:rPr>
            </w:pPr>
            <w:r w:rsidRPr="00325607">
              <w:rPr>
                <w:snapToGrid/>
                <w:color w:val="000000"/>
                <w:kern w:val="0"/>
                <w:szCs w:val="22"/>
              </w:rPr>
              <w:t>Dothan, AL</w:t>
            </w:r>
          </w:p>
        </w:tc>
        <w:tc>
          <w:tcPr>
            <w:tcW w:w="326" w:type="dxa"/>
            <w:tcBorders>
              <w:top w:val="nil"/>
              <w:left w:val="nil"/>
              <w:bottom w:val="single" w:sz="4" w:space="0" w:color="auto"/>
              <w:right w:val="single" w:sz="4" w:space="0" w:color="auto"/>
            </w:tcBorders>
            <w:shd w:val="clear" w:color="auto" w:fill="auto"/>
            <w:noWrap/>
            <w:vAlign w:val="bottom"/>
            <w:hideMark/>
          </w:tcPr>
          <w:p w14:paraId="462008F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605B23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391EB4D"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2BF896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D5A87C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PEA171</w:t>
            </w:r>
          </w:p>
        </w:tc>
        <w:tc>
          <w:tcPr>
            <w:tcW w:w="3220" w:type="dxa"/>
            <w:tcBorders>
              <w:top w:val="nil"/>
              <w:left w:val="nil"/>
              <w:bottom w:val="single" w:sz="4" w:space="0" w:color="auto"/>
              <w:right w:val="nil"/>
            </w:tcBorders>
            <w:shd w:val="clear" w:color="auto" w:fill="auto"/>
            <w:noWrap/>
            <w:vAlign w:val="bottom"/>
            <w:hideMark/>
          </w:tcPr>
          <w:p w14:paraId="35182055" w14:textId="77777777" w:rsidR="00A41A74" w:rsidRPr="00325607" w:rsidRDefault="00A41A74" w:rsidP="00325607">
            <w:pPr>
              <w:widowControl/>
              <w:rPr>
                <w:snapToGrid/>
                <w:color w:val="000000"/>
                <w:kern w:val="0"/>
                <w:szCs w:val="22"/>
              </w:rPr>
            </w:pPr>
            <w:r w:rsidRPr="00325607">
              <w:rPr>
                <w:snapToGrid/>
                <w:color w:val="000000"/>
                <w:kern w:val="0"/>
                <w:szCs w:val="22"/>
              </w:rPr>
              <w:t>Fort Smith, AR</w:t>
            </w:r>
          </w:p>
        </w:tc>
        <w:tc>
          <w:tcPr>
            <w:tcW w:w="326" w:type="dxa"/>
            <w:tcBorders>
              <w:top w:val="nil"/>
              <w:left w:val="nil"/>
              <w:bottom w:val="single" w:sz="4" w:space="0" w:color="auto"/>
              <w:right w:val="single" w:sz="4" w:space="0" w:color="auto"/>
            </w:tcBorders>
            <w:shd w:val="clear" w:color="auto" w:fill="auto"/>
            <w:noWrap/>
            <w:vAlign w:val="bottom"/>
            <w:hideMark/>
          </w:tcPr>
          <w:p w14:paraId="799D2F7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E322F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6443C07"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3CEBBD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906D20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PEA172</w:t>
            </w:r>
          </w:p>
        </w:tc>
        <w:tc>
          <w:tcPr>
            <w:tcW w:w="3220" w:type="dxa"/>
            <w:tcBorders>
              <w:top w:val="nil"/>
              <w:left w:val="nil"/>
              <w:bottom w:val="single" w:sz="4" w:space="0" w:color="auto"/>
              <w:right w:val="nil"/>
            </w:tcBorders>
            <w:shd w:val="clear" w:color="auto" w:fill="auto"/>
            <w:noWrap/>
            <w:vAlign w:val="bottom"/>
            <w:hideMark/>
          </w:tcPr>
          <w:p w14:paraId="65B3B3A0" w14:textId="77777777" w:rsidR="00A41A74" w:rsidRPr="00325607" w:rsidRDefault="00A41A74" w:rsidP="00325607">
            <w:pPr>
              <w:widowControl/>
              <w:rPr>
                <w:snapToGrid/>
                <w:color w:val="000000"/>
                <w:kern w:val="0"/>
                <w:szCs w:val="22"/>
              </w:rPr>
            </w:pPr>
            <w:r w:rsidRPr="00325607">
              <w:rPr>
                <w:snapToGrid/>
                <w:color w:val="000000"/>
                <w:kern w:val="0"/>
                <w:szCs w:val="22"/>
              </w:rPr>
              <w:t>Duluth, MN</w:t>
            </w:r>
          </w:p>
        </w:tc>
        <w:tc>
          <w:tcPr>
            <w:tcW w:w="326" w:type="dxa"/>
            <w:tcBorders>
              <w:top w:val="nil"/>
              <w:left w:val="nil"/>
              <w:bottom w:val="single" w:sz="4" w:space="0" w:color="auto"/>
              <w:right w:val="single" w:sz="4" w:space="0" w:color="auto"/>
            </w:tcBorders>
            <w:shd w:val="clear" w:color="auto" w:fill="auto"/>
            <w:noWrap/>
            <w:vAlign w:val="bottom"/>
            <w:hideMark/>
          </w:tcPr>
          <w:p w14:paraId="39FEFF9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6A04C2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E963727"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3AA2C0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D091DC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PEA173</w:t>
            </w:r>
          </w:p>
        </w:tc>
        <w:tc>
          <w:tcPr>
            <w:tcW w:w="3220" w:type="dxa"/>
            <w:tcBorders>
              <w:top w:val="nil"/>
              <w:left w:val="nil"/>
              <w:bottom w:val="single" w:sz="4" w:space="0" w:color="auto"/>
              <w:right w:val="nil"/>
            </w:tcBorders>
            <w:shd w:val="clear" w:color="auto" w:fill="auto"/>
            <w:noWrap/>
            <w:vAlign w:val="bottom"/>
            <w:hideMark/>
          </w:tcPr>
          <w:p w14:paraId="41C8C3CC" w14:textId="77777777" w:rsidR="00A41A74" w:rsidRPr="00325607" w:rsidRDefault="00A41A74" w:rsidP="00325607">
            <w:pPr>
              <w:widowControl/>
              <w:rPr>
                <w:snapToGrid/>
                <w:color w:val="000000"/>
                <w:kern w:val="0"/>
                <w:szCs w:val="22"/>
              </w:rPr>
            </w:pPr>
            <w:r w:rsidRPr="00325607">
              <w:rPr>
                <w:snapToGrid/>
                <w:color w:val="000000"/>
                <w:kern w:val="0"/>
                <w:szCs w:val="22"/>
              </w:rPr>
              <w:t>Blacksburg, VA</w:t>
            </w:r>
          </w:p>
        </w:tc>
        <w:tc>
          <w:tcPr>
            <w:tcW w:w="326" w:type="dxa"/>
            <w:tcBorders>
              <w:top w:val="nil"/>
              <w:left w:val="nil"/>
              <w:bottom w:val="single" w:sz="4" w:space="0" w:color="auto"/>
              <w:right w:val="single" w:sz="4" w:space="0" w:color="auto"/>
            </w:tcBorders>
            <w:shd w:val="clear" w:color="auto" w:fill="auto"/>
            <w:noWrap/>
            <w:vAlign w:val="bottom"/>
            <w:hideMark/>
          </w:tcPr>
          <w:p w14:paraId="4E0C34C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551EE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333575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11D96D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67BB6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PEA174</w:t>
            </w:r>
          </w:p>
        </w:tc>
        <w:tc>
          <w:tcPr>
            <w:tcW w:w="3220" w:type="dxa"/>
            <w:tcBorders>
              <w:top w:val="nil"/>
              <w:left w:val="nil"/>
              <w:bottom w:val="single" w:sz="4" w:space="0" w:color="auto"/>
              <w:right w:val="nil"/>
            </w:tcBorders>
            <w:shd w:val="clear" w:color="auto" w:fill="auto"/>
            <w:noWrap/>
            <w:vAlign w:val="bottom"/>
            <w:hideMark/>
          </w:tcPr>
          <w:p w14:paraId="608DDE85" w14:textId="77777777" w:rsidR="00A41A74" w:rsidRPr="00325607" w:rsidRDefault="00A41A74" w:rsidP="00325607">
            <w:pPr>
              <w:widowControl/>
              <w:rPr>
                <w:snapToGrid/>
                <w:color w:val="000000"/>
                <w:kern w:val="0"/>
                <w:szCs w:val="22"/>
              </w:rPr>
            </w:pPr>
            <w:r w:rsidRPr="00325607">
              <w:rPr>
                <w:snapToGrid/>
                <w:color w:val="000000"/>
                <w:kern w:val="0"/>
                <w:szCs w:val="22"/>
              </w:rPr>
              <w:t>Springfield, MO</w:t>
            </w:r>
          </w:p>
        </w:tc>
        <w:tc>
          <w:tcPr>
            <w:tcW w:w="326" w:type="dxa"/>
            <w:tcBorders>
              <w:top w:val="nil"/>
              <w:left w:val="nil"/>
              <w:bottom w:val="single" w:sz="4" w:space="0" w:color="auto"/>
              <w:right w:val="single" w:sz="4" w:space="0" w:color="auto"/>
            </w:tcBorders>
            <w:shd w:val="clear" w:color="auto" w:fill="auto"/>
            <w:noWrap/>
            <w:vAlign w:val="bottom"/>
            <w:hideMark/>
          </w:tcPr>
          <w:p w14:paraId="3D9E8EA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6D4651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D368F21"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B34E0F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72FA1B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PEA175</w:t>
            </w:r>
          </w:p>
        </w:tc>
        <w:tc>
          <w:tcPr>
            <w:tcW w:w="3220" w:type="dxa"/>
            <w:tcBorders>
              <w:top w:val="nil"/>
              <w:left w:val="nil"/>
              <w:bottom w:val="single" w:sz="4" w:space="0" w:color="auto"/>
              <w:right w:val="nil"/>
            </w:tcBorders>
            <w:shd w:val="clear" w:color="auto" w:fill="auto"/>
            <w:noWrap/>
            <w:vAlign w:val="bottom"/>
            <w:hideMark/>
          </w:tcPr>
          <w:p w14:paraId="795D03B6" w14:textId="77777777" w:rsidR="00A41A74" w:rsidRPr="00325607" w:rsidRDefault="00A41A74" w:rsidP="00325607">
            <w:pPr>
              <w:widowControl/>
              <w:rPr>
                <w:snapToGrid/>
                <w:color w:val="000000"/>
                <w:kern w:val="0"/>
                <w:szCs w:val="22"/>
              </w:rPr>
            </w:pPr>
            <w:r w:rsidRPr="00325607">
              <w:rPr>
                <w:snapToGrid/>
                <w:color w:val="000000"/>
                <w:kern w:val="0"/>
                <w:szCs w:val="22"/>
              </w:rPr>
              <w:t>Southaven, MS</w:t>
            </w:r>
          </w:p>
        </w:tc>
        <w:tc>
          <w:tcPr>
            <w:tcW w:w="326" w:type="dxa"/>
            <w:tcBorders>
              <w:top w:val="nil"/>
              <w:left w:val="nil"/>
              <w:bottom w:val="single" w:sz="4" w:space="0" w:color="auto"/>
              <w:right w:val="single" w:sz="4" w:space="0" w:color="auto"/>
            </w:tcBorders>
            <w:shd w:val="clear" w:color="auto" w:fill="auto"/>
            <w:noWrap/>
            <w:vAlign w:val="bottom"/>
            <w:hideMark/>
          </w:tcPr>
          <w:p w14:paraId="0064498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26606A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F1B08FE"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5D0BBA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6A69A9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PEA176</w:t>
            </w:r>
          </w:p>
        </w:tc>
        <w:tc>
          <w:tcPr>
            <w:tcW w:w="3220" w:type="dxa"/>
            <w:tcBorders>
              <w:top w:val="nil"/>
              <w:left w:val="nil"/>
              <w:bottom w:val="single" w:sz="4" w:space="0" w:color="auto"/>
              <w:right w:val="nil"/>
            </w:tcBorders>
            <w:shd w:val="clear" w:color="auto" w:fill="auto"/>
            <w:noWrap/>
            <w:vAlign w:val="bottom"/>
            <w:hideMark/>
          </w:tcPr>
          <w:p w14:paraId="4085D4FF" w14:textId="77777777" w:rsidR="00A41A74" w:rsidRPr="00325607" w:rsidRDefault="00A41A74" w:rsidP="00325607">
            <w:pPr>
              <w:widowControl/>
              <w:rPr>
                <w:snapToGrid/>
                <w:color w:val="000000"/>
                <w:kern w:val="0"/>
                <w:szCs w:val="22"/>
              </w:rPr>
            </w:pPr>
            <w:r w:rsidRPr="00325607">
              <w:rPr>
                <w:snapToGrid/>
                <w:color w:val="000000"/>
                <w:kern w:val="0"/>
                <w:szCs w:val="22"/>
              </w:rPr>
              <w:t>Ames, IA</w:t>
            </w:r>
          </w:p>
        </w:tc>
        <w:tc>
          <w:tcPr>
            <w:tcW w:w="326" w:type="dxa"/>
            <w:tcBorders>
              <w:top w:val="nil"/>
              <w:left w:val="nil"/>
              <w:bottom w:val="single" w:sz="4" w:space="0" w:color="auto"/>
              <w:right w:val="single" w:sz="4" w:space="0" w:color="auto"/>
            </w:tcBorders>
            <w:shd w:val="clear" w:color="auto" w:fill="auto"/>
            <w:noWrap/>
            <w:vAlign w:val="bottom"/>
            <w:hideMark/>
          </w:tcPr>
          <w:p w14:paraId="6949065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184167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35D855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86DCE6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3BC1B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PEA177</w:t>
            </w:r>
          </w:p>
        </w:tc>
        <w:tc>
          <w:tcPr>
            <w:tcW w:w="3220" w:type="dxa"/>
            <w:tcBorders>
              <w:top w:val="nil"/>
              <w:left w:val="nil"/>
              <w:bottom w:val="single" w:sz="4" w:space="0" w:color="auto"/>
              <w:right w:val="nil"/>
            </w:tcBorders>
            <w:shd w:val="clear" w:color="auto" w:fill="auto"/>
            <w:noWrap/>
            <w:vAlign w:val="bottom"/>
            <w:hideMark/>
          </w:tcPr>
          <w:p w14:paraId="727A1CA1" w14:textId="77777777" w:rsidR="00A41A74" w:rsidRPr="00325607" w:rsidRDefault="00A41A74" w:rsidP="00325607">
            <w:pPr>
              <w:widowControl/>
              <w:rPr>
                <w:snapToGrid/>
                <w:color w:val="000000"/>
                <w:kern w:val="0"/>
                <w:szCs w:val="22"/>
              </w:rPr>
            </w:pPr>
            <w:r w:rsidRPr="00325607">
              <w:rPr>
                <w:snapToGrid/>
                <w:color w:val="000000"/>
                <w:kern w:val="0"/>
                <w:szCs w:val="22"/>
              </w:rPr>
              <w:t>Savannah, GA</w:t>
            </w:r>
          </w:p>
        </w:tc>
        <w:tc>
          <w:tcPr>
            <w:tcW w:w="326" w:type="dxa"/>
            <w:tcBorders>
              <w:top w:val="nil"/>
              <w:left w:val="nil"/>
              <w:bottom w:val="single" w:sz="4" w:space="0" w:color="auto"/>
              <w:right w:val="single" w:sz="4" w:space="0" w:color="auto"/>
            </w:tcBorders>
            <w:shd w:val="clear" w:color="auto" w:fill="auto"/>
            <w:noWrap/>
            <w:vAlign w:val="bottom"/>
            <w:hideMark/>
          </w:tcPr>
          <w:p w14:paraId="51A94AF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6ADD6F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61BED5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3ED802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793C8B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PEA178</w:t>
            </w:r>
          </w:p>
        </w:tc>
        <w:tc>
          <w:tcPr>
            <w:tcW w:w="3220" w:type="dxa"/>
            <w:tcBorders>
              <w:top w:val="nil"/>
              <w:left w:val="nil"/>
              <w:bottom w:val="single" w:sz="4" w:space="0" w:color="auto"/>
              <w:right w:val="nil"/>
            </w:tcBorders>
            <w:shd w:val="clear" w:color="auto" w:fill="auto"/>
            <w:noWrap/>
            <w:vAlign w:val="bottom"/>
            <w:hideMark/>
          </w:tcPr>
          <w:p w14:paraId="5B87EE05" w14:textId="77777777" w:rsidR="00A41A74" w:rsidRPr="00325607" w:rsidRDefault="00A41A74" w:rsidP="00325607">
            <w:pPr>
              <w:widowControl/>
              <w:rPr>
                <w:snapToGrid/>
                <w:color w:val="000000"/>
                <w:kern w:val="0"/>
                <w:szCs w:val="22"/>
              </w:rPr>
            </w:pPr>
            <w:r w:rsidRPr="00325607">
              <w:rPr>
                <w:snapToGrid/>
                <w:color w:val="000000"/>
                <w:kern w:val="0"/>
                <w:szCs w:val="22"/>
              </w:rPr>
              <w:t>Sedalia, MO</w:t>
            </w:r>
          </w:p>
        </w:tc>
        <w:tc>
          <w:tcPr>
            <w:tcW w:w="326" w:type="dxa"/>
            <w:tcBorders>
              <w:top w:val="nil"/>
              <w:left w:val="nil"/>
              <w:bottom w:val="single" w:sz="4" w:space="0" w:color="auto"/>
              <w:right w:val="single" w:sz="4" w:space="0" w:color="auto"/>
            </w:tcBorders>
            <w:shd w:val="clear" w:color="auto" w:fill="auto"/>
            <w:noWrap/>
            <w:vAlign w:val="bottom"/>
            <w:hideMark/>
          </w:tcPr>
          <w:p w14:paraId="08C311F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E958DB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A69B265"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0815C5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95AC3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PEA179</w:t>
            </w:r>
          </w:p>
        </w:tc>
        <w:tc>
          <w:tcPr>
            <w:tcW w:w="3220" w:type="dxa"/>
            <w:tcBorders>
              <w:top w:val="nil"/>
              <w:left w:val="nil"/>
              <w:bottom w:val="single" w:sz="4" w:space="0" w:color="auto"/>
              <w:right w:val="nil"/>
            </w:tcBorders>
            <w:shd w:val="clear" w:color="auto" w:fill="auto"/>
            <w:noWrap/>
            <w:vAlign w:val="bottom"/>
            <w:hideMark/>
          </w:tcPr>
          <w:p w14:paraId="4A02EDA3" w14:textId="77777777" w:rsidR="00A41A74" w:rsidRPr="00325607" w:rsidRDefault="00A41A74" w:rsidP="00325607">
            <w:pPr>
              <w:widowControl/>
              <w:rPr>
                <w:snapToGrid/>
                <w:color w:val="000000"/>
                <w:kern w:val="0"/>
                <w:szCs w:val="22"/>
              </w:rPr>
            </w:pPr>
            <w:r w:rsidRPr="00325607">
              <w:rPr>
                <w:snapToGrid/>
                <w:color w:val="000000"/>
                <w:kern w:val="0"/>
                <w:szCs w:val="22"/>
              </w:rPr>
              <w:t>Burlington, IA</w:t>
            </w:r>
          </w:p>
        </w:tc>
        <w:tc>
          <w:tcPr>
            <w:tcW w:w="326" w:type="dxa"/>
            <w:tcBorders>
              <w:top w:val="nil"/>
              <w:left w:val="nil"/>
              <w:bottom w:val="single" w:sz="4" w:space="0" w:color="auto"/>
              <w:right w:val="single" w:sz="4" w:space="0" w:color="auto"/>
            </w:tcBorders>
            <w:shd w:val="clear" w:color="auto" w:fill="auto"/>
            <w:noWrap/>
            <w:vAlign w:val="bottom"/>
            <w:hideMark/>
          </w:tcPr>
          <w:p w14:paraId="6D63547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6AB3EC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29530E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D62421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DBF5FD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PEA180</w:t>
            </w:r>
          </w:p>
        </w:tc>
        <w:tc>
          <w:tcPr>
            <w:tcW w:w="3220" w:type="dxa"/>
            <w:tcBorders>
              <w:top w:val="nil"/>
              <w:left w:val="nil"/>
              <w:bottom w:val="single" w:sz="4" w:space="0" w:color="auto"/>
              <w:right w:val="nil"/>
            </w:tcBorders>
            <w:shd w:val="clear" w:color="auto" w:fill="auto"/>
            <w:noWrap/>
            <w:vAlign w:val="bottom"/>
            <w:hideMark/>
          </w:tcPr>
          <w:p w14:paraId="21CBF7BF" w14:textId="77777777" w:rsidR="00A41A74" w:rsidRPr="00325607" w:rsidRDefault="00A41A74" w:rsidP="00325607">
            <w:pPr>
              <w:widowControl/>
              <w:rPr>
                <w:snapToGrid/>
                <w:color w:val="000000"/>
                <w:kern w:val="0"/>
                <w:szCs w:val="22"/>
              </w:rPr>
            </w:pPr>
            <w:r w:rsidRPr="00325607">
              <w:rPr>
                <w:snapToGrid/>
                <w:color w:val="000000"/>
                <w:kern w:val="0"/>
                <w:szCs w:val="22"/>
              </w:rPr>
              <w:t>Flagstaff, AZ</w:t>
            </w:r>
          </w:p>
        </w:tc>
        <w:tc>
          <w:tcPr>
            <w:tcW w:w="326" w:type="dxa"/>
            <w:tcBorders>
              <w:top w:val="nil"/>
              <w:left w:val="nil"/>
              <w:bottom w:val="single" w:sz="4" w:space="0" w:color="auto"/>
              <w:right w:val="single" w:sz="4" w:space="0" w:color="auto"/>
            </w:tcBorders>
            <w:shd w:val="clear" w:color="auto" w:fill="auto"/>
            <w:noWrap/>
            <w:vAlign w:val="bottom"/>
            <w:hideMark/>
          </w:tcPr>
          <w:p w14:paraId="28EC28E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6EA5A4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795EAE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5CEA936"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3F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PEA181</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3B7D6FD4" w14:textId="77777777" w:rsidR="00A41A74" w:rsidRPr="00325607" w:rsidRDefault="00A41A74" w:rsidP="00325607">
            <w:pPr>
              <w:widowControl/>
              <w:rPr>
                <w:snapToGrid/>
                <w:color w:val="000000"/>
                <w:kern w:val="0"/>
                <w:szCs w:val="22"/>
              </w:rPr>
            </w:pPr>
            <w:r w:rsidRPr="00325607">
              <w:rPr>
                <w:snapToGrid/>
                <w:color w:val="000000"/>
                <w:kern w:val="0"/>
                <w:szCs w:val="22"/>
              </w:rPr>
              <w:t>Texarkana, TX</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5637EA96"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5CC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7016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469FA7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3E44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PEA182</w:t>
            </w:r>
          </w:p>
        </w:tc>
        <w:tc>
          <w:tcPr>
            <w:tcW w:w="3220" w:type="dxa"/>
            <w:tcBorders>
              <w:top w:val="nil"/>
              <w:left w:val="nil"/>
              <w:bottom w:val="single" w:sz="4" w:space="0" w:color="auto"/>
              <w:right w:val="nil"/>
            </w:tcBorders>
            <w:shd w:val="clear" w:color="auto" w:fill="auto"/>
            <w:noWrap/>
            <w:vAlign w:val="bottom"/>
            <w:hideMark/>
          </w:tcPr>
          <w:p w14:paraId="53DE56D3" w14:textId="77777777" w:rsidR="00A41A74" w:rsidRPr="00325607" w:rsidRDefault="00A41A74" w:rsidP="00325607">
            <w:pPr>
              <w:widowControl/>
              <w:rPr>
                <w:snapToGrid/>
                <w:color w:val="000000"/>
                <w:kern w:val="0"/>
                <w:szCs w:val="22"/>
              </w:rPr>
            </w:pPr>
            <w:r w:rsidRPr="00325607">
              <w:rPr>
                <w:snapToGrid/>
                <w:color w:val="000000"/>
                <w:kern w:val="0"/>
                <w:szCs w:val="22"/>
              </w:rPr>
              <w:t>Cedar Rapids, IA</w:t>
            </w:r>
          </w:p>
        </w:tc>
        <w:tc>
          <w:tcPr>
            <w:tcW w:w="326" w:type="dxa"/>
            <w:tcBorders>
              <w:top w:val="nil"/>
              <w:left w:val="nil"/>
              <w:bottom w:val="single" w:sz="4" w:space="0" w:color="auto"/>
              <w:right w:val="single" w:sz="4" w:space="0" w:color="auto"/>
            </w:tcBorders>
            <w:shd w:val="clear" w:color="auto" w:fill="auto"/>
            <w:noWrap/>
            <w:vAlign w:val="bottom"/>
            <w:hideMark/>
          </w:tcPr>
          <w:p w14:paraId="13B5C7A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FB913D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A3A94C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9BB291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0BBA5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PEA183</w:t>
            </w:r>
          </w:p>
        </w:tc>
        <w:tc>
          <w:tcPr>
            <w:tcW w:w="3220" w:type="dxa"/>
            <w:tcBorders>
              <w:top w:val="nil"/>
              <w:left w:val="nil"/>
              <w:bottom w:val="single" w:sz="4" w:space="0" w:color="auto"/>
              <w:right w:val="nil"/>
            </w:tcBorders>
            <w:shd w:val="clear" w:color="auto" w:fill="auto"/>
            <w:noWrap/>
            <w:vAlign w:val="bottom"/>
            <w:hideMark/>
          </w:tcPr>
          <w:p w14:paraId="59B8493A" w14:textId="77777777" w:rsidR="00A41A74" w:rsidRPr="00325607" w:rsidRDefault="00A41A74" w:rsidP="00325607">
            <w:pPr>
              <w:widowControl/>
              <w:rPr>
                <w:snapToGrid/>
                <w:color w:val="000000"/>
                <w:kern w:val="0"/>
                <w:szCs w:val="22"/>
              </w:rPr>
            </w:pPr>
            <w:r w:rsidRPr="00325607">
              <w:rPr>
                <w:snapToGrid/>
                <w:color w:val="000000"/>
                <w:kern w:val="0"/>
                <w:szCs w:val="22"/>
              </w:rPr>
              <w:t>Columbia, MO</w:t>
            </w:r>
          </w:p>
        </w:tc>
        <w:tc>
          <w:tcPr>
            <w:tcW w:w="326" w:type="dxa"/>
            <w:tcBorders>
              <w:top w:val="nil"/>
              <w:left w:val="nil"/>
              <w:bottom w:val="single" w:sz="4" w:space="0" w:color="auto"/>
              <w:right w:val="single" w:sz="4" w:space="0" w:color="auto"/>
            </w:tcBorders>
            <w:shd w:val="clear" w:color="auto" w:fill="auto"/>
            <w:noWrap/>
            <w:vAlign w:val="bottom"/>
            <w:hideMark/>
          </w:tcPr>
          <w:p w14:paraId="0DDE1DE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D2EB72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434695F"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09C1E8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235C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PEA184</w:t>
            </w:r>
          </w:p>
        </w:tc>
        <w:tc>
          <w:tcPr>
            <w:tcW w:w="3220" w:type="dxa"/>
            <w:tcBorders>
              <w:top w:val="nil"/>
              <w:left w:val="nil"/>
              <w:bottom w:val="single" w:sz="4" w:space="0" w:color="auto"/>
              <w:right w:val="nil"/>
            </w:tcBorders>
            <w:shd w:val="clear" w:color="auto" w:fill="auto"/>
            <w:noWrap/>
            <w:vAlign w:val="bottom"/>
            <w:hideMark/>
          </w:tcPr>
          <w:p w14:paraId="23B0AB38" w14:textId="77777777" w:rsidR="00A41A74" w:rsidRPr="00325607" w:rsidRDefault="00A41A74" w:rsidP="00325607">
            <w:pPr>
              <w:widowControl/>
              <w:rPr>
                <w:snapToGrid/>
                <w:color w:val="000000"/>
                <w:kern w:val="0"/>
                <w:szCs w:val="22"/>
              </w:rPr>
            </w:pPr>
            <w:r w:rsidRPr="00325607">
              <w:rPr>
                <w:snapToGrid/>
                <w:color w:val="000000"/>
                <w:kern w:val="0"/>
                <w:szCs w:val="22"/>
              </w:rPr>
              <w:t>Ruston, LA</w:t>
            </w:r>
          </w:p>
        </w:tc>
        <w:tc>
          <w:tcPr>
            <w:tcW w:w="326" w:type="dxa"/>
            <w:tcBorders>
              <w:top w:val="nil"/>
              <w:left w:val="nil"/>
              <w:bottom w:val="single" w:sz="4" w:space="0" w:color="auto"/>
              <w:right w:val="single" w:sz="4" w:space="0" w:color="auto"/>
            </w:tcBorders>
            <w:shd w:val="clear" w:color="auto" w:fill="auto"/>
            <w:noWrap/>
            <w:vAlign w:val="bottom"/>
            <w:hideMark/>
          </w:tcPr>
          <w:p w14:paraId="4BA542F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E0693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D42A40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428BB8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04CD81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PEA185</w:t>
            </w:r>
          </w:p>
        </w:tc>
        <w:tc>
          <w:tcPr>
            <w:tcW w:w="3220" w:type="dxa"/>
            <w:tcBorders>
              <w:top w:val="nil"/>
              <w:left w:val="nil"/>
              <w:bottom w:val="single" w:sz="4" w:space="0" w:color="auto"/>
              <w:right w:val="nil"/>
            </w:tcBorders>
            <w:shd w:val="clear" w:color="auto" w:fill="auto"/>
            <w:noWrap/>
            <w:vAlign w:val="bottom"/>
            <w:hideMark/>
          </w:tcPr>
          <w:p w14:paraId="1F0A0402" w14:textId="77777777" w:rsidR="00A41A74" w:rsidRPr="00325607" w:rsidRDefault="00A41A74" w:rsidP="00325607">
            <w:pPr>
              <w:widowControl/>
              <w:rPr>
                <w:snapToGrid/>
                <w:color w:val="000000"/>
                <w:kern w:val="0"/>
                <w:szCs w:val="22"/>
              </w:rPr>
            </w:pPr>
            <w:r w:rsidRPr="00325607">
              <w:rPr>
                <w:snapToGrid/>
                <w:color w:val="000000"/>
                <w:kern w:val="0"/>
                <w:szCs w:val="22"/>
              </w:rPr>
              <w:t>Marquette, MI</w:t>
            </w:r>
          </w:p>
        </w:tc>
        <w:tc>
          <w:tcPr>
            <w:tcW w:w="326" w:type="dxa"/>
            <w:tcBorders>
              <w:top w:val="nil"/>
              <w:left w:val="nil"/>
              <w:bottom w:val="single" w:sz="4" w:space="0" w:color="auto"/>
              <w:right w:val="single" w:sz="4" w:space="0" w:color="auto"/>
            </w:tcBorders>
            <w:shd w:val="clear" w:color="auto" w:fill="auto"/>
            <w:noWrap/>
            <w:vAlign w:val="bottom"/>
            <w:hideMark/>
          </w:tcPr>
          <w:p w14:paraId="5E487B0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DA5B09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875396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0072FA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AEF50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PEA186</w:t>
            </w:r>
          </w:p>
        </w:tc>
        <w:tc>
          <w:tcPr>
            <w:tcW w:w="3220" w:type="dxa"/>
            <w:tcBorders>
              <w:top w:val="nil"/>
              <w:left w:val="nil"/>
              <w:bottom w:val="single" w:sz="4" w:space="0" w:color="auto"/>
              <w:right w:val="nil"/>
            </w:tcBorders>
            <w:shd w:val="clear" w:color="auto" w:fill="auto"/>
            <w:noWrap/>
            <w:vAlign w:val="bottom"/>
            <w:hideMark/>
          </w:tcPr>
          <w:p w14:paraId="77FBA060" w14:textId="77777777" w:rsidR="00A41A74" w:rsidRPr="00325607" w:rsidRDefault="00A41A74" w:rsidP="00325607">
            <w:pPr>
              <w:widowControl/>
              <w:rPr>
                <w:snapToGrid/>
                <w:color w:val="000000"/>
                <w:kern w:val="0"/>
                <w:szCs w:val="22"/>
              </w:rPr>
            </w:pPr>
            <w:r w:rsidRPr="00325607">
              <w:rPr>
                <w:snapToGrid/>
                <w:color w:val="000000"/>
                <w:kern w:val="0"/>
                <w:szCs w:val="22"/>
              </w:rPr>
              <w:t>Rock Hill, SC</w:t>
            </w:r>
          </w:p>
        </w:tc>
        <w:tc>
          <w:tcPr>
            <w:tcW w:w="326" w:type="dxa"/>
            <w:tcBorders>
              <w:top w:val="nil"/>
              <w:left w:val="nil"/>
              <w:bottom w:val="single" w:sz="4" w:space="0" w:color="auto"/>
              <w:right w:val="single" w:sz="4" w:space="0" w:color="auto"/>
            </w:tcBorders>
            <w:shd w:val="clear" w:color="auto" w:fill="auto"/>
            <w:noWrap/>
            <w:vAlign w:val="bottom"/>
            <w:hideMark/>
          </w:tcPr>
          <w:p w14:paraId="0B448CF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FE0D6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FA2B50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6F489F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BBBA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PEA187</w:t>
            </w:r>
          </w:p>
        </w:tc>
        <w:tc>
          <w:tcPr>
            <w:tcW w:w="3220" w:type="dxa"/>
            <w:tcBorders>
              <w:top w:val="nil"/>
              <w:left w:val="nil"/>
              <w:bottom w:val="single" w:sz="4" w:space="0" w:color="auto"/>
              <w:right w:val="nil"/>
            </w:tcBorders>
            <w:shd w:val="clear" w:color="auto" w:fill="auto"/>
            <w:noWrap/>
            <w:vAlign w:val="bottom"/>
            <w:hideMark/>
          </w:tcPr>
          <w:p w14:paraId="22FF558B" w14:textId="77777777" w:rsidR="00A41A74" w:rsidRPr="00325607" w:rsidRDefault="00A41A74" w:rsidP="00325607">
            <w:pPr>
              <w:widowControl/>
              <w:rPr>
                <w:snapToGrid/>
                <w:color w:val="000000"/>
                <w:kern w:val="0"/>
                <w:szCs w:val="22"/>
              </w:rPr>
            </w:pPr>
            <w:r w:rsidRPr="00325607">
              <w:rPr>
                <w:snapToGrid/>
                <w:color w:val="000000"/>
                <w:kern w:val="0"/>
                <w:szCs w:val="22"/>
              </w:rPr>
              <w:t>Pocatello, ID</w:t>
            </w:r>
          </w:p>
        </w:tc>
        <w:tc>
          <w:tcPr>
            <w:tcW w:w="326" w:type="dxa"/>
            <w:tcBorders>
              <w:top w:val="nil"/>
              <w:left w:val="nil"/>
              <w:bottom w:val="single" w:sz="4" w:space="0" w:color="auto"/>
              <w:right w:val="single" w:sz="4" w:space="0" w:color="auto"/>
            </w:tcBorders>
            <w:shd w:val="clear" w:color="auto" w:fill="auto"/>
            <w:noWrap/>
            <w:vAlign w:val="bottom"/>
            <w:hideMark/>
          </w:tcPr>
          <w:p w14:paraId="38816C7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82C040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2BA43E3E"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62BC48C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5EBB5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PEA188</w:t>
            </w:r>
          </w:p>
        </w:tc>
        <w:tc>
          <w:tcPr>
            <w:tcW w:w="3220" w:type="dxa"/>
            <w:tcBorders>
              <w:top w:val="nil"/>
              <w:left w:val="nil"/>
              <w:bottom w:val="single" w:sz="4" w:space="0" w:color="auto"/>
              <w:right w:val="nil"/>
            </w:tcBorders>
            <w:shd w:val="clear" w:color="auto" w:fill="auto"/>
            <w:noWrap/>
            <w:vAlign w:val="bottom"/>
            <w:hideMark/>
          </w:tcPr>
          <w:p w14:paraId="13454821" w14:textId="77777777" w:rsidR="00A41A74" w:rsidRPr="00325607" w:rsidRDefault="00A41A74" w:rsidP="00325607">
            <w:pPr>
              <w:widowControl/>
              <w:rPr>
                <w:snapToGrid/>
                <w:color w:val="000000"/>
                <w:kern w:val="0"/>
                <w:szCs w:val="22"/>
              </w:rPr>
            </w:pPr>
            <w:r w:rsidRPr="00325607">
              <w:rPr>
                <w:snapToGrid/>
                <w:color w:val="000000"/>
                <w:kern w:val="0"/>
                <w:szCs w:val="22"/>
              </w:rPr>
              <w:t>Jamestown, NY</w:t>
            </w:r>
          </w:p>
        </w:tc>
        <w:tc>
          <w:tcPr>
            <w:tcW w:w="326" w:type="dxa"/>
            <w:tcBorders>
              <w:top w:val="nil"/>
              <w:left w:val="nil"/>
              <w:bottom w:val="single" w:sz="4" w:space="0" w:color="auto"/>
              <w:right w:val="single" w:sz="4" w:space="0" w:color="auto"/>
            </w:tcBorders>
            <w:shd w:val="clear" w:color="auto" w:fill="auto"/>
            <w:noWrap/>
            <w:vAlign w:val="bottom"/>
            <w:hideMark/>
          </w:tcPr>
          <w:p w14:paraId="63ECDFE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156401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34E57B69"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450CCB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41E2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PEA189</w:t>
            </w:r>
          </w:p>
        </w:tc>
        <w:tc>
          <w:tcPr>
            <w:tcW w:w="3220" w:type="dxa"/>
            <w:tcBorders>
              <w:top w:val="nil"/>
              <w:left w:val="nil"/>
              <w:bottom w:val="single" w:sz="4" w:space="0" w:color="auto"/>
              <w:right w:val="nil"/>
            </w:tcBorders>
            <w:shd w:val="clear" w:color="auto" w:fill="auto"/>
            <w:noWrap/>
            <w:vAlign w:val="bottom"/>
            <w:hideMark/>
          </w:tcPr>
          <w:p w14:paraId="369FDB28" w14:textId="77777777" w:rsidR="00A41A74" w:rsidRPr="00325607" w:rsidRDefault="00A41A74" w:rsidP="00325607">
            <w:pPr>
              <w:widowControl/>
              <w:rPr>
                <w:snapToGrid/>
                <w:color w:val="000000"/>
                <w:kern w:val="0"/>
                <w:szCs w:val="22"/>
              </w:rPr>
            </w:pPr>
            <w:r w:rsidRPr="00325607">
              <w:rPr>
                <w:snapToGrid/>
                <w:color w:val="000000"/>
                <w:kern w:val="0"/>
                <w:szCs w:val="22"/>
              </w:rPr>
              <w:t>Alexandria, LA</w:t>
            </w:r>
          </w:p>
        </w:tc>
        <w:tc>
          <w:tcPr>
            <w:tcW w:w="326" w:type="dxa"/>
            <w:tcBorders>
              <w:top w:val="nil"/>
              <w:left w:val="nil"/>
              <w:bottom w:val="single" w:sz="4" w:space="0" w:color="auto"/>
              <w:right w:val="single" w:sz="4" w:space="0" w:color="auto"/>
            </w:tcBorders>
            <w:shd w:val="clear" w:color="auto" w:fill="auto"/>
            <w:noWrap/>
            <w:vAlign w:val="bottom"/>
            <w:hideMark/>
          </w:tcPr>
          <w:p w14:paraId="2DA76ED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54EC4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3F83687"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60DECF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CB0D2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PEA190</w:t>
            </w:r>
          </w:p>
        </w:tc>
        <w:tc>
          <w:tcPr>
            <w:tcW w:w="3220" w:type="dxa"/>
            <w:tcBorders>
              <w:top w:val="nil"/>
              <w:left w:val="nil"/>
              <w:bottom w:val="single" w:sz="4" w:space="0" w:color="auto"/>
              <w:right w:val="nil"/>
            </w:tcBorders>
            <w:shd w:val="clear" w:color="auto" w:fill="auto"/>
            <w:noWrap/>
            <w:vAlign w:val="bottom"/>
            <w:hideMark/>
          </w:tcPr>
          <w:p w14:paraId="3AC48EAC" w14:textId="77777777" w:rsidR="00A41A74" w:rsidRPr="00325607" w:rsidRDefault="00A41A74" w:rsidP="00325607">
            <w:pPr>
              <w:widowControl/>
              <w:rPr>
                <w:snapToGrid/>
                <w:color w:val="000000"/>
                <w:kern w:val="0"/>
                <w:szCs w:val="22"/>
              </w:rPr>
            </w:pPr>
            <w:r w:rsidRPr="00325607">
              <w:rPr>
                <w:snapToGrid/>
                <w:color w:val="000000"/>
                <w:kern w:val="0"/>
                <w:szCs w:val="22"/>
              </w:rPr>
              <w:t>Bozeman, MT</w:t>
            </w:r>
          </w:p>
        </w:tc>
        <w:tc>
          <w:tcPr>
            <w:tcW w:w="326" w:type="dxa"/>
            <w:tcBorders>
              <w:top w:val="nil"/>
              <w:left w:val="nil"/>
              <w:bottom w:val="single" w:sz="4" w:space="0" w:color="auto"/>
              <w:right w:val="single" w:sz="4" w:space="0" w:color="auto"/>
            </w:tcBorders>
            <w:shd w:val="clear" w:color="auto" w:fill="auto"/>
            <w:noWrap/>
            <w:vAlign w:val="bottom"/>
            <w:hideMark/>
          </w:tcPr>
          <w:p w14:paraId="21A23FD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877EF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C280328"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36F939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F48E55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PEA191</w:t>
            </w:r>
          </w:p>
        </w:tc>
        <w:tc>
          <w:tcPr>
            <w:tcW w:w="3220" w:type="dxa"/>
            <w:tcBorders>
              <w:top w:val="nil"/>
              <w:left w:val="nil"/>
              <w:bottom w:val="single" w:sz="4" w:space="0" w:color="auto"/>
              <w:right w:val="nil"/>
            </w:tcBorders>
            <w:shd w:val="clear" w:color="auto" w:fill="auto"/>
            <w:noWrap/>
            <w:vAlign w:val="bottom"/>
            <w:hideMark/>
          </w:tcPr>
          <w:p w14:paraId="0A9264F7" w14:textId="77777777" w:rsidR="00A41A74" w:rsidRPr="00325607" w:rsidRDefault="00A41A74" w:rsidP="00325607">
            <w:pPr>
              <w:widowControl/>
              <w:rPr>
                <w:snapToGrid/>
                <w:color w:val="000000"/>
                <w:kern w:val="0"/>
                <w:szCs w:val="22"/>
              </w:rPr>
            </w:pPr>
            <w:r w:rsidRPr="00325607">
              <w:rPr>
                <w:snapToGrid/>
                <w:color w:val="000000"/>
                <w:kern w:val="0"/>
                <w:szCs w:val="22"/>
              </w:rPr>
              <w:t>Petersburg, VA</w:t>
            </w:r>
          </w:p>
        </w:tc>
        <w:tc>
          <w:tcPr>
            <w:tcW w:w="326" w:type="dxa"/>
            <w:tcBorders>
              <w:top w:val="nil"/>
              <w:left w:val="nil"/>
              <w:bottom w:val="single" w:sz="4" w:space="0" w:color="auto"/>
              <w:right w:val="single" w:sz="4" w:space="0" w:color="auto"/>
            </w:tcBorders>
            <w:shd w:val="clear" w:color="auto" w:fill="auto"/>
            <w:noWrap/>
            <w:vAlign w:val="bottom"/>
            <w:hideMark/>
          </w:tcPr>
          <w:p w14:paraId="2D3819F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49087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8D5F6F2"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9B4E21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A7D83B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PEA192</w:t>
            </w:r>
          </w:p>
        </w:tc>
        <w:tc>
          <w:tcPr>
            <w:tcW w:w="3220" w:type="dxa"/>
            <w:tcBorders>
              <w:top w:val="nil"/>
              <w:left w:val="nil"/>
              <w:bottom w:val="single" w:sz="4" w:space="0" w:color="auto"/>
              <w:right w:val="nil"/>
            </w:tcBorders>
            <w:shd w:val="clear" w:color="auto" w:fill="auto"/>
            <w:noWrap/>
            <w:vAlign w:val="bottom"/>
            <w:hideMark/>
          </w:tcPr>
          <w:p w14:paraId="2C339D83" w14:textId="77777777" w:rsidR="00A41A74" w:rsidRPr="00325607" w:rsidRDefault="00A41A74" w:rsidP="00325607">
            <w:pPr>
              <w:widowControl/>
              <w:rPr>
                <w:snapToGrid/>
                <w:color w:val="000000"/>
                <w:kern w:val="0"/>
                <w:szCs w:val="22"/>
              </w:rPr>
            </w:pPr>
            <w:r w:rsidRPr="00325607">
              <w:rPr>
                <w:snapToGrid/>
                <w:color w:val="000000"/>
                <w:kern w:val="0"/>
                <w:szCs w:val="22"/>
              </w:rPr>
              <w:t>Fayetteville, NC</w:t>
            </w:r>
          </w:p>
        </w:tc>
        <w:tc>
          <w:tcPr>
            <w:tcW w:w="326" w:type="dxa"/>
            <w:tcBorders>
              <w:top w:val="nil"/>
              <w:left w:val="nil"/>
              <w:bottom w:val="single" w:sz="4" w:space="0" w:color="auto"/>
              <w:right w:val="single" w:sz="4" w:space="0" w:color="auto"/>
            </w:tcBorders>
            <w:shd w:val="clear" w:color="auto" w:fill="auto"/>
            <w:noWrap/>
            <w:vAlign w:val="bottom"/>
            <w:hideMark/>
          </w:tcPr>
          <w:p w14:paraId="532E78B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DAD5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E49364C"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1BFB43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B5370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PEA193</w:t>
            </w:r>
          </w:p>
        </w:tc>
        <w:tc>
          <w:tcPr>
            <w:tcW w:w="3220" w:type="dxa"/>
            <w:tcBorders>
              <w:top w:val="nil"/>
              <w:left w:val="nil"/>
              <w:bottom w:val="single" w:sz="4" w:space="0" w:color="auto"/>
              <w:right w:val="nil"/>
            </w:tcBorders>
            <w:shd w:val="clear" w:color="auto" w:fill="auto"/>
            <w:noWrap/>
            <w:vAlign w:val="bottom"/>
            <w:hideMark/>
          </w:tcPr>
          <w:p w14:paraId="5B20916F" w14:textId="77777777" w:rsidR="00A41A74" w:rsidRPr="00325607" w:rsidRDefault="00A41A74" w:rsidP="00325607">
            <w:pPr>
              <w:widowControl/>
              <w:rPr>
                <w:snapToGrid/>
                <w:color w:val="000000"/>
                <w:kern w:val="0"/>
                <w:szCs w:val="22"/>
              </w:rPr>
            </w:pPr>
            <w:r w:rsidRPr="00325607">
              <w:rPr>
                <w:snapToGrid/>
                <w:color w:val="000000"/>
                <w:kern w:val="0"/>
                <w:szCs w:val="22"/>
              </w:rPr>
              <w:t>Saint Joseph, MO</w:t>
            </w:r>
          </w:p>
        </w:tc>
        <w:tc>
          <w:tcPr>
            <w:tcW w:w="326" w:type="dxa"/>
            <w:tcBorders>
              <w:top w:val="nil"/>
              <w:left w:val="nil"/>
              <w:bottom w:val="single" w:sz="4" w:space="0" w:color="auto"/>
              <w:right w:val="single" w:sz="4" w:space="0" w:color="auto"/>
            </w:tcBorders>
            <w:shd w:val="clear" w:color="auto" w:fill="auto"/>
            <w:noWrap/>
            <w:vAlign w:val="bottom"/>
            <w:hideMark/>
          </w:tcPr>
          <w:p w14:paraId="0B783EE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F119C6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1AAD52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EDA42D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71C90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PEA194</w:t>
            </w:r>
          </w:p>
        </w:tc>
        <w:tc>
          <w:tcPr>
            <w:tcW w:w="3220" w:type="dxa"/>
            <w:tcBorders>
              <w:top w:val="nil"/>
              <w:left w:val="nil"/>
              <w:bottom w:val="single" w:sz="4" w:space="0" w:color="auto"/>
              <w:right w:val="nil"/>
            </w:tcBorders>
            <w:shd w:val="clear" w:color="auto" w:fill="auto"/>
            <w:noWrap/>
            <w:vAlign w:val="bottom"/>
            <w:hideMark/>
          </w:tcPr>
          <w:p w14:paraId="6238CAC2" w14:textId="77777777" w:rsidR="00A41A74" w:rsidRPr="00325607" w:rsidRDefault="00A41A74" w:rsidP="00325607">
            <w:pPr>
              <w:widowControl/>
              <w:rPr>
                <w:snapToGrid/>
                <w:color w:val="000000"/>
                <w:kern w:val="0"/>
                <w:szCs w:val="22"/>
              </w:rPr>
            </w:pPr>
            <w:r w:rsidRPr="00325607">
              <w:rPr>
                <w:snapToGrid/>
                <w:color w:val="000000"/>
                <w:kern w:val="0"/>
                <w:szCs w:val="22"/>
              </w:rPr>
              <w:t>State College, PA</w:t>
            </w:r>
          </w:p>
        </w:tc>
        <w:tc>
          <w:tcPr>
            <w:tcW w:w="326" w:type="dxa"/>
            <w:tcBorders>
              <w:top w:val="nil"/>
              <w:left w:val="nil"/>
              <w:bottom w:val="single" w:sz="4" w:space="0" w:color="auto"/>
              <w:right w:val="single" w:sz="4" w:space="0" w:color="auto"/>
            </w:tcBorders>
            <w:shd w:val="clear" w:color="auto" w:fill="auto"/>
            <w:noWrap/>
            <w:vAlign w:val="bottom"/>
            <w:hideMark/>
          </w:tcPr>
          <w:p w14:paraId="37C7527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4B27A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E250FC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9E9E69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43295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PEA195</w:t>
            </w:r>
          </w:p>
        </w:tc>
        <w:tc>
          <w:tcPr>
            <w:tcW w:w="3220" w:type="dxa"/>
            <w:tcBorders>
              <w:top w:val="nil"/>
              <w:left w:val="nil"/>
              <w:bottom w:val="single" w:sz="4" w:space="0" w:color="auto"/>
              <w:right w:val="nil"/>
            </w:tcBorders>
            <w:shd w:val="clear" w:color="auto" w:fill="auto"/>
            <w:noWrap/>
            <w:vAlign w:val="bottom"/>
            <w:hideMark/>
          </w:tcPr>
          <w:p w14:paraId="1994E1F8" w14:textId="77777777" w:rsidR="00A41A74" w:rsidRPr="00325607" w:rsidRDefault="00A41A74" w:rsidP="00325607">
            <w:pPr>
              <w:widowControl/>
              <w:rPr>
                <w:snapToGrid/>
                <w:color w:val="000000"/>
                <w:kern w:val="0"/>
                <w:szCs w:val="22"/>
              </w:rPr>
            </w:pPr>
            <w:r w:rsidRPr="00325607">
              <w:rPr>
                <w:snapToGrid/>
                <w:color w:val="000000"/>
                <w:kern w:val="0"/>
                <w:szCs w:val="22"/>
              </w:rPr>
              <w:t>Lewiston, ID</w:t>
            </w:r>
          </w:p>
        </w:tc>
        <w:tc>
          <w:tcPr>
            <w:tcW w:w="326" w:type="dxa"/>
            <w:tcBorders>
              <w:top w:val="nil"/>
              <w:left w:val="nil"/>
              <w:bottom w:val="single" w:sz="4" w:space="0" w:color="auto"/>
              <w:right w:val="single" w:sz="4" w:space="0" w:color="auto"/>
            </w:tcBorders>
            <w:shd w:val="clear" w:color="auto" w:fill="auto"/>
            <w:noWrap/>
            <w:vAlign w:val="bottom"/>
            <w:hideMark/>
          </w:tcPr>
          <w:p w14:paraId="7FAD9CE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268C0B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7B58631"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E63578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D40BC3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PEA196</w:t>
            </w:r>
          </w:p>
        </w:tc>
        <w:tc>
          <w:tcPr>
            <w:tcW w:w="3220" w:type="dxa"/>
            <w:tcBorders>
              <w:top w:val="nil"/>
              <w:left w:val="nil"/>
              <w:bottom w:val="single" w:sz="4" w:space="0" w:color="auto"/>
              <w:right w:val="nil"/>
            </w:tcBorders>
            <w:shd w:val="clear" w:color="auto" w:fill="auto"/>
            <w:noWrap/>
            <w:vAlign w:val="bottom"/>
            <w:hideMark/>
          </w:tcPr>
          <w:p w14:paraId="7781B078" w14:textId="77777777" w:rsidR="00A41A74" w:rsidRPr="00325607" w:rsidRDefault="00A41A74" w:rsidP="00325607">
            <w:pPr>
              <w:widowControl/>
              <w:rPr>
                <w:snapToGrid/>
                <w:color w:val="000000"/>
                <w:kern w:val="0"/>
                <w:szCs w:val="22"/>
              </w:rPr>
            </w:pPr>
            <w:r w:rsidRPr="00325607">
              <w:rPr>
                <w:snapToGrid/>
                <w:color w:val="000000"/>
                <w:kern w:val="0"/>
                <w:szCs w:val="22"/>
              </w:rPr>
              <w:t>Cape Girardeau, MO</w:t>
            </w:r>
          </w:p>
        </w:tc>
        <w:tc>
          <w:tcPr>
            <w:tcW w:w="326" w:type="dxa"/>
            <w:tcBorders>
              <w:top w:val="nil"/>
              <w:left w:val="nil"/>
              <w:bottom w:val="single" w:sz="4" w:space="0" w:color="auto"/>
              <w:right w:val="single" w:sz="4" w:space="0" w:color="auto"/>
            </w:tcBorders>
            <w:shd w:val="clear" w:color="auto" w:fill="auto"/>
            <w:noWrap/>
            <w:vAlign w:val="bottom"/>
            <w:hideMark/>
          </w:tcPr>
          <w:p w14:paraId="455BDCA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2D1CF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DBD9E01"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3B3250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42143E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PEA197</w:t>
            </w:r>
          </w:p>
        </w:tc>
        <w:tc>
          <w:tcPr>
            <w:tcW w:w="3220" w:type="dxa"/>
            <w:tcBorders>
              <w:top w:val="nil"/>
              <w:left w:val="nil"/>
              <w:bottom w:val="single" w:sz="4" w:space="0" w:color="auto"/>
              <w:right w:val="nil"/>
            </w:tcBorders>
            <w:shd w:val="clear" w:color="auto" w:fill="auto"/>
            <w:noWrap/>
            <w:vAlign w:val="bottom"/>
            <w:hideMark/>
          </w:tcPr>
          <w:p w14:paraId="0B371D23" w14:textId="77777777" w:rsidR="00A41A74" w:rsidRPr="00325607" w:rsidRDefault="00A41A74" w:rsidP="00325607">
            <w:pPr>
              <w:widowControl/>
              <w:rPr>
                <w:snapToGrid/>
                <w:color w:val="000000"/>
                <w:kern w:val="0"/>
                <w:szCs w:val="22"/>
              </w:rPr>
            </w:pPr>
            <w:r w:rsidRPr="00325607">
              <w:rPr>
                <w:snapToGrid/>
                <w:color w:val="000000"/>
                <w:kern w:val="0"/>
                <w:szCs w:val="22"/>
              </w:rPr>
              <w:t>Wheeling, WV</w:t>
            </w:r>
          </w:p>
        </w:tc>
        <w:tc>
          <w:tcPr>
            <w:tcW w:w="326" w:type="dxa"/>
            <w:tcBorders>
              <w:top w:val="nil"/>
              <w:left w:val="nil"/>
              <w:bottom w:val="single" w:sz="4" w:space="0" w:color="auto"/>
              <w:right w:val="single" w:sz="4" w:space="0" w:color="auto"/>
            </w:tcBorders>
            <w:shd w:val="clear" w:color="auto" w:fill="auto"/>
            <w:noWrap/>
            <w:vAlign w:val="bottom"/>
            <w:hideMark/>
          </w:tcPr>
          <w:p w14:paraId="5C6572D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AF4C6D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B7C897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95DEAD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A136B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PEA198</w:t>
            </w:r>
          </w:p>
        </w:tc>
        <w:tc>
          <w:tcPr>
            <w:tcW w:w="3220" w:type="dxa"/>
            <w:tcBorders>
              <w:top w:val="nil"/>
              <w:left w:val="nil"/>
              <w:bottom w:val="single" w:sz="4" w:space="0" w:color="auto"/>
              <w:right w:val="nil"/>
            </w:tcBorders>
            <w:shd w:val="clear" w:color="auto" w:fill="auto"/>
            <w:noWrap/>
            <w:vAlign w:val="bottom"/>
            <w:hideMark/>
          </w:tcPr>
          <w:p w14:paraId="35BDFAC1" w14:textId="77777777" w:rsidR="00A41A74" w:rsidRPr="00325607" w:rsidRDefault="00A41A74" w:rsidP="00325607">
            <w:pPr>
              <w:widowControl/>
              <w:rPr>
                <w:snapToGrid/>
                <w:color w:val="000000"/>
                <w:kern w:val="0"/>
                <w:szCs w:val="22"/>
              </w:rPr>
            </w:pPr>
            <w:r w:rsidRPr="00325607">
              <w:rPr>
                <w:snapToGrid/>
                <w:color w:val="000000"/>
                <w:kern w:val="0"/>
                <w:szCs w:val="22"/>
              </w:rPr>
              <w:t>Jonesboro, AR</w:t>
            </w:r>
          </w:p>
        </w:tc>
        <w:tc>
          <w:tcPr>
            <w:tcW w:w="326" w:type="dxa"/>
            <w:tcBorders>
              <w:top w:val="nil"/>
              <w:left w:val="nil"/>
              <w:bottom w:val="single" w:sz="4" w:space="0" w:color="auto"/>
              <w:right w:val="single" w:sz="4" w:space="0" w:color="auto"/>
            </w:tcBorders>
            <w:shd w:val="clear" w:color="auto" w:fill="auto"/>
            <w:noWrap/>
            <w:vAlign w:val="bottom"/>
            <w:hideMark/>
          </w:tcPr>
          <w:p w14:paraId="54498EE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4FB6CF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C8FF2AE"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7DEC14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06BD4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PEA199</w:t>
            </w:r>
          </w:p>
        </w:tc>
        <w:tc>
          <w:tcPr>
            <w:tcW w:w="3220" w:type="dxa"/>
            <w:tcBorders>
              <w:top w:val="nil"/>
              <w:left w:val="nil"/>
              <w:bottom w:val="single" w:sz="4" w:space="0" w:color="auto"/>
              <w:right w:val="nil"/>
            </w:tcBorders>
            <w:shd w:val="clear" w:color="auto" w:fill="auto"/>
            <w:noWrap/>
            <w:vAlign w:val="bottom"/>
            <w:hideMark/>
          </w:tcPr>
          <w:p w14:paraId="74973237" w14:textId="77777777" w:rsidR="00A41A74" w:rsidRPr="00325607" w:rsidRDefault="00A41A74" w:rsidP="00325607">
            <w:pPr>
              <w:widowControl/>
              <w:rPr>
                <w:snapToGrid/>
                <w:color w:val="000000"/>
                <w:kern w:val="0"/>
                <w:szCs w:val="22"/>
              </w:rPr>
            </w:pPr>
            <w:r w:rsidRPr="00325607">
              <w:rPr>
                <w:snapToGrid/>
                <w:color w:val="000000"/>
                <w:kern w:val="0"/>
                <w:szCs w:val="22"/>
              </w:rPr>
              <w:t>Dalton, GA</w:t>
            </w:r>
          </w:p>
        </w:tc>
        <w:tc>
          <w:tcPr>
            <w:tcW w:w="326" w:type="dxa"/>
            <w:tcBorders>
              <w:top w:val="nil"/>
              <w:left w:val="nil"/>
              <w:bottom w:val="single" w:sz="4" w:space="0" w:color="auto"/>
              <w:right w:val="single" w:sz="4" w:space="0" w:color="auto"/>
            </w:tcBorders>
            <w:shd w:val="clear" w:color="auto" w:fill="auto"/>
            <w:noWrap/>
            <w:vAlign w:val="bottom"/>
            <w:hideMark/>
          </w:tcPr>
          <w:p w14:paraId="676E4C6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D7534B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4749757"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99EC73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7AA282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PEA200</w:t>
            </w:r>
          </w:p>
        </w:tc>
        <w:tc>
          <w:tcPr>
            <w:tcW w:w="3220" w:type="dxa"/>
            <w:tcBorders>
              <w:top w:val="nil"/>
              <w:left w:val="nil"/>
              <w:bottom w:val="single" w:sz="4" w:space="0" w:color="auto"/>
              <w:right w:val="nil"/>
            </w:tcBorders>
            <w:shd w:val="clear" w:color="auto" w:fill="auto"/>
            <w:noWrap/>
            <w:vAlign w:val="bottom"/>
            <w:hideMark/>
          </w:tcPr>
          <w:p w14:paraId="05D3F63B" w14:textId="77777777" w:rsidR="00A41A74" w:rsidRPr="00325607" w:rsidRDefault="00A41A74" w:rsidP="00325607">
            <w:pPr>
              <w:widowControl/>
              <w:rPr>
                <w:snapToGrid/>
                <w:color w:val="000000"/>
                <w:kern w:val="0"/>
                <w:szCs w:val="22"/>
              </w:rPr>
            </w:pPr>
            <w:r w:rsidRPr="00325607">
              <w:rPr>
                <w:snapToGrid/>
                <w:color w:val="000000"/>
                <w:kern w:val="0"/>
                <w:szCs w:val="22"/>
              </w:rPr>
              <w:t>Danville, VA</w:t>
            </w:r>
          </w:p>
        </w:tc>
        <w:tc>
          <w:tcPr>
            <w:tcW w:w="326" w:type="dxa"/>
            <w:tcBorders>
              <w:top w:val="nil"/>
              <w:left w:val="nil"/>
              <w:bottom w:val="single" w:sz="4" w:space="0" w:color="auto"/>
              <w:right w:val="single" w:sz="4" w:space="0" w:color="auto"/>
            </w:tcBorders>
            <w:shd w:val="clear" w:color="auto" w:fill="auto"/>
            <w:noWrap/>
            <w:vAlign w:val="bottom"/>
            <w:hideMark/>
          </w:tcPr>
          <w:p w14:paraId="2F99EB8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EED9FC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D17EAF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75F5B1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B4EA5D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PEA201</w:t>
            </w:r>
          </w:p>
        </w:tc>
        <w:tc>
          <w:tcPr>
            <w:tcW w:w="3220" w:type="dxa"/>
            <w:tcBorders>
              <w:top w:val="nil"/>
              <w:left w:val="nil"/>
              <w:bottom w:val="single" w:sz="4" w:space="0" w:color="auto"/>
              <w:right w:val="nil"/>
            </w:tcBorders>
            <w:shd w:val="clear" w:color="auto" w:fill="auto"/>
            <w:noWrap/>
            <w:vAlign w:val="bottom"/>
            <w:hideMark/>
          </w:tcPr>
          <w:p w14:paraId="533CD670" w14:textId="77777777" w:rsidR="00A41A74" w:rsidRPr="00325607" w:rsidRDefault="00A41A74" w:rsidP="00325607">
            <w:pPr>
              <w:widowControl/>
              <w:rPr>
                <w:snapToGrid/>
                <w:color w:val="000000"/>
                <w:kern w:val="0"/>
                <w:szCs w:val="22"/>
              </w:rPr>
            </w:pPr>
            <w:r w:rsidRPr="00325607">
              <w:rPr>
                <w:snapToGrid/>
                <w:color w:val="000000"/>
                <w:kern w:val="0"/>
                <w:szCs w:val="22"/>
              </w:rPr>
              <w:t>Eagle Pass, TX</w:t>
            </w:r>
          </w:p>
        </w:tc>
        <w:tc>
          <w:tcPr>
            <w:tcW w:w="326" w:type="dxa"/>
            <w:tcBorders>
              <w:top w:val="nil"/>
              <w:left w:val="nil"/>
              <w:bottom w:val="single" w:sz="4" w:space="0" w:color="auto"/>
              <w:right w:val="single" w:sz="4" w:space="0" w:color="auto"/>
            </w:tcBorders>
            <w:shd w:val="clear" w:color="auto" w:fill="auto"/>
            <w:noWrap/>
            <w:vAlign w:val="bottom"/>
            <w:hideMark/>
          </w:tcPr>
          <w:p w14:paraId="5FFB5C6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914D3D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F0F41E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300B07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03628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PEA202</w:t>
            </w:r>
          </w:p>
        </w:tc>
        <w:tc>
          <w:tcPr>
            <w:tcW w:w="3220" w:type="dxa"/>
            <w:tcBorders>
              <w:top w:val="nil"/>
              <w:left w:val="nil"/>
              <w:bottom w:val="single" w:sz="4" w:space="0" w:color="auto"/>
              <w:right w:val="nil"/>
            </w:tcBorders>
            <w:shd w:val="clear" w:color="auto" w:fill="auto"/>
            <w:noWrap/>
            <w:vAlign w:val="bottom"/>
            <w:hideMark/>
          </w:tcPr>
          <w:p w14:paraId="28C11622" w14:textId="77777777" w:rsidR="00A41A74" w:rsidRPr="00325607" w:rsidRDefault="00A41A74" w:rsidP="00325607">
            <w:pPr>
              <w:widowControl/>
              <w:rPr>
                <w:snapToGrid/>
                <w:color w:val="000000"/>
                <w:kern w:val="0"/>
                <w:szCs w:val="22"/>
              </w:rPr>
            </w:pPr>
            <w:r w:rsidRPr="00325607">
              <w:rPr>
                <w:snapToGrid/>
                <w:color w:val="000000"/>
                <w:kern w:val="0"/>
                <w:szCs w:val="22"/>
              </w:rPr>
              <w:t>Columbus, GA</w:t>
            </w:r>
          </w:p>
        </w:tc>
        <w:tc>
          <w:tcPr>
            <w:tcW w:w="326" w:type="dxa"/>
            <w:tcBorders>
              <w:top w:val="nil"/>
              <w:left w:val="nil"/>
              <w:bottom w:val="single" w:sz="4" w:space="0" w:color="auto"/>
              <w:right w:val="single" w:sz="4" w:space="0" w:color="auto"/>
            </w:tcBorders>
            <w:shd w:val="clear" w:color="auto" w:fill="auto"/>
            <w:noWrap/>
            <w:vAlign w:val="bottom"/>
            <w:hideMark/>
          </w:tcPr>
          <w:p w14:paraId="127ADCF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7A9AB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08E0273"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2F56E6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C7DE7D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PEA203</w:t>
            </w:r>
          </w:p>
        </w:tc>
        <w:tc>
          <w:tcPr>
            <w:tcW w:w="3220" w:type="dxa"/>
            <w:tcBorders>
              <w:top w:val="nil"/>
              <w:left w:val="nil"/>
              <w:bottom w:val="single" w:sz="4" w:space="0" w:color="auto"/>
              <w:right w:val="nil"/>
            </w:tcBorders>
            <w:shd w:val="clear" w:color="auto" w:fill="auto"/>
            <w:noWrap/>
            <w:vAlign w:val="bottom"/>
            <w:hideMark/>
          </w:tcPr>
          <w:p w14:paraId="4535236A" w14:textId="77777777" w:rsidR="00A41A74" w:rsidRPr="00325607" w:rsidRDefault="00A41A74" w:rsidP="00325607">
            <w:pPr>
              <w:widowControl/>
              <w:rPr>
                <w:snapToGrid/>
                <w:color w:val="000000"/>
                <w:kern w:val="0"/>
                <w:szCs w:val="22"/>
              </w:rPr>
            </w:pPr>
            <w:r w:rsidRPr="00325607">
              <w:rPr>
                <w:snapToGrid/>
                <w:color w:val="000000"/>
                <w:kern w:val="0"/>
                <w:szCs w:val="22"/>
              </w:rPr>
              <w:t>Traverse City, MI</w:t>
            </w:r>
          </w:p>
        </w:tc>
        <w:tc>
          <w:tcPr>
            <w:tcW w:w="326" w:type="dxa"/>
            <w:tcBorders>
              <w:top w:val="nil"/>
              <w:left w:val="nil"/>
              <w:bottom w:val="single" w:sz="4" w:space="0" w:color="auto"/>
              <w:right w:val="single" w:sz="4" w:space="0" w:color="auto"/>
            </w:tcBorders>
            <w:shd w:val="clear" w:color="auto" w:fill="auto"/>
            <w:noWrap/>
            <w:vAlign w:val="bottom"/>
            <w:hideMark/>
          </w:tcPr>
          <w:p w14:paraId="229C655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4E8673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2CB793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350727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99F75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PEA204</w:t>
            </w:r>
          </w:p>
        </w:tc>
        <w:tc>
          <w:tcPr>
            <w:tcW w:w="3220" w:type="dxa"/>
            <w:tcBorders>
              <w:top w:val="nil"/>
              <w:left w:val="nil"/>
              <w:bottom w:val="single" w:sz="4" w:space="0" w:color="auto"/>
              <w:right w:val="nil"/>
            </w:tcBorders>
            <w:shd w:val="clear" w:color="auto" w:fill="auto"/>
            <w:noWrap/>
            <w:vAlign w:val="bottom"/>
            <w:hideMark/>
          </w:tcPr>
          <w:p w14:paraId="69B33AE4" w14:textId="77777777" w:rsidR="00A41A74" w:rsidRPr="00325607" w:rsidRDefault="00A41A74" w:rsidP="00325607">
            <w:pPr>
              <w:widowControl/>
              <w:rPr>
                <w:snapToGrid/>
                <w:color w:val="000000"/>
                <w:kern w:val="0"/>
                <w:szCs w:val="22"/>
              </w:rPr>
            </w:pPr>
            <w:r w:rsidRPr="00325607">
              <w:rPr>
                <w:snapToGrid/>
                <w:color w:val="000000"/>
                <w:kern w:val="0"/>
                <w:szCs w:val="22"/>
              </w:rPr>
              <w:t>Owensboro, KY</w:t>
            </w:r>
          </w:p>
        </w:tc>
        <w:tc>
          <w:tcPr>
            <w:tcW w:w="326" w:type="dxa"/>
            <w:tcBorders>
              <w:top w:val="nil"/>
              <w:left w:val="nil"/>
              <w:bottom w:val="single" w:sz="4" w:space="0" w:color="auto"/>
              <w:right w:val="single" w:sz="4" w:space="0" w:color="auto"/>
            </w:tcBorders>
            <w:shd w:val="clear" w:color="auto" w:fill="auto"/>
            <w:noWrap/>
            <w:vAlign w:val="bottom"/>
            <w:hideMark/>
          </w:tcPr>
          <w:p w14:paraId="1BE73F2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16DA9F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71DF518"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1ECA8C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042E89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PEA205</w:t>
            </w:r>
          </w:p>
        </w:tc>
        <w:tc>
          <w:tcPr>
            <w:tcW w:w="3220" w:type="dxa"/>
            <w:tcBorders>
              <w:top w:val="nil"/>
              <w:left w:val="nil"/>
              <w:bottom w:val="single" w:sz="4" w:space="0" w:color="auto"/>
              <w:right w:val="nil"/>
            </w:tcBorders>
            <w:shd w:val="clear" w:color="auto" w:fill="auto"/>
            <w:noWrap/>
            <w:vAlign w:val="bottom"/>
            <w:hideMark/>
          </w:tcPr>
          <w:p w14:paraId="71E0A6CA" w14:textId="77777777" w:rsidR="00A41A74" w:rsidRPr="00325607" w:rsidRDefault="00A41A74" w:rsidP="00325607">
            <w:pPr>
              <w:widowControl/>
              <w:rPr>
                <w:snapToGrid/>
                <w:color w:val="000000"/>
                <w:kern w:val="0"/>
                <w:szCs w:val="22"/>
              </w:rPr>
            </w:pPr>
            <w:r w:rsidRPr="00325607">
              <w:rPr>
                <w:snapToGrid/>
                <w:color w:val="000000"/>
                <w:kern w:val="0"/>
                <w:szCs w:val="22"/>
              </w:rPr>
              <w:t>Douglas City, CA</w:t>
            </w:r>
          </w:p>
        </w:tc>
        <w:tc>
          <w:tcPr>
            <w:tcW w:w="326" w:type="dxa"/>
            <w:tcBorders>
              <w:top w:val="nil"/>
              <w:left w:val="nil"/>
              <w:bottom w:val="single" w:sz="4" w:space="0" w:color="auto"/>
              <w:right w:val="single" w:sz="4" w:space="0" w:color="auto"/>
            </w:tcBorders>
            <w:shd w:val="clear" w:color="auto" w:fill="auto"/>
            <w:noWrap/>
            <w:vAlign w:val="bottom"/>
            <w:hideMark/>
          </w:tcPr>
          <w:p w14:paraId="526B825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17490F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6FEAE8AA"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710627D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14031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PEA206</w:t>
            </w:r>
          </w:p>
        </w:tc>
        <w:tc>
          <w:tcPr>
            <w:tcW w:w="3220" w:type="dxa"/>
            <w:tcBorders>
              <w:top w:val="nil"/>
              <w:left w:val="nil"/>
              <w:bottom w:val="single" w:sz="4" w:space="0" w:color="auto"/>
              <w:right w:val="nil"/>
            </w:tcBorders>
            <w:shd w:val="clear" w:color="auto" w:fill="auto"/>
            <w:noWrap/>
            <w:vAlign w:val="bottom"/>
            <w:hideMark/>
          </w:tcPr>
          <w:p w14:paraId="0DC805B8" w14:textId="77777777" w:rsidR="00A41A74" w:rsidRPr="00325607" w:rsidRDefault="00A41A74" w:rsidP="00325607">
            <w:pPr>
              <w:widowControl/>
              <w:rPr>
                <w:snapToGrid/>
                <w:color w:val="000000"/>
                <w:kern w:val="0"/>
                <w:szCs w:val="22"/>
              </w:rPr>
            </w:pPr>
            <w:r w:rsidRPr="00325607">
              <w:rPr>
                <w:snapToGrid/>
                <w:color w:val="000000"/>
                <w:kern w:val="0"/>
                <w:szCs w:val="22"/>
              </w:rPr>
              <w:t>Wenatchee, WA</w:t>
            </w:r>
          </w:p>
        </w:tc>
        <w:tc>
          <w:tcPr>
            <w:tcW w:w="326" w:type="dxa"/>
            <w:tcBorders>
              <w:top w:val="nil"/>
              <w:left w:val="nil"/>
              <w:bottom w:val="single" w:sz="4" w:space="0" w:color="auto"/>
              <w:right w:val="single" w:sz="4" w:space="0" w:color="auto"/>
            </w:tcBorders>
            <w:shd w:val="clear" w:color="auto" w:fill="auto"/>
            <w:noWrap/>
            <w:vAlign w:val="bottom"/>
            <w:hideMark/>
          </w:tcPr>
          <w:p w14:paraId="4D900E5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A8285F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6C5AC360"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2F1660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34625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PEA207</w:t>
            </w:r>
          </w:p>
        </w:tc>
        <w:tc>
          <w:tcPr>
            <w:tcW w:w="3220" w:type="dxa"/>
            <w:tcBorders>
              <w:top w:val="nil"/>
              <w:left w:val="nil"/>
              <w:bottom w:val="single" w:sz="4" w:space="0" w:color="auto"/>
              <w:right w:val="nil"/>
            </w:tcBorders>
            <w:shd w:val="clear" w:color="auto" w:fill="auto"/>
            <w:noWrap/>
            <w:vAlign w:val="bottom"/>
            <w:hideMark/>
          </w:tcPr>
          <w:p w14:paraId="38AE6739" w14:textId="77777777" w:rsidR="00A41A74" w:rsidRPr="00325607" w:rsidRDefault="00A41A74" w:rsidP="00325607">
            <w:pPr>
              <w:widowControl/>
              <w:rPr>
                <w:snapToGrid/>
                <w:color w:val="000000"/>
                <w:kern w:val="0"/>
                <w:szCs w:val="22"/>
              </w:rPr>
            </w:pPr>
            <w:r w:rsidRPr="00325607">
              <w:rPr>
                <w:snapToGrid/>
                <w:color w:val="000000"/>
                <w:kern w:val="0"/>
                <w:szCs w:val="22"/>
              </w:rPr>
              <w:t>Brunswick, GA</w:t>
            </w:r>
          </w:p>
        </w:tc>
        <w:tc>
          <w:tcPr>
            <w:tcW w:w="326" w:type="dxa"/>
            <w:tcBorders>
              <w:top w:val="nil"/>
              <w:left w:val="nil"/>
              <w:bottom w:val="single" w:sz="4" w:space="0" w:color="auto"/>
              <w:right w:val="single" w:sz="4" w:space="0" w:color="auto"/>
            </w:tcBorders>
            <w:shd w:val="clear" w:color="auto" w:fill="auto"/>
            <w:noWrap/>
            <w:vAlign w:val="bottom"/>
            <w:hideMark/>
          </w:tcPr>
          <w:p w14:paraId="15BABC9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7E1C0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A993775"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055BB7C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E43BA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PEA208</w:t>
            </w:r>
          </w:p>
        </w:tc>
        <w:tc>
          <w:tcPr>
            <w:tcW w:w="3220" w:type="dxa"/>
            <w:tcBorders>
              <w:top w:val="nil"/>
              <w:left w:val="nil"/>
              <w:bottom w:val="single" w:sz="4" w:space="0" w:color="auto"/>
              <w:right w:val="nil"/>
            </w:tcBorders>
            <w:shd w:val="clear" w:color="auto" w:fill="auto"/>
            <w:noWrap/>
            <w:vAlign w:val="bottom"/>
            <w:hideMark/>
          </w:tcPr>
          <w:p w14:paraId="3BD0CA49" w14:textId="77777777" w:rsidR="00A41A74" w:rsidRPr="00325607" w:rsidRDefault="00A41A74" w:rsidP="00325607">
            <w:pPr>
              <w:widowControl/>
              <w:rPr>
                <w:snapToGrid/>
                <w:color w:val="000000"/>
                <w:kern w:val="0"/>
                <w:szCs w:val="22"/>
              </w:rPr>
            </w:pPr>
            <w:r w:rsidRPr="00325607">
              <w:rPr>
                <w:snapToGrid/>
                <w:color w:val="000000"/>
                <w:kern w:val="0"/>
                <w:szCs w:val="22"/>
              </w:rPr>
              <w:t>Salisbury, NC</w:t>
            </w:r>
          </w:p>
        </w:tc>
        <w:tc>
          <w:tcPr>
            <w:tcW w:w="326" w:type="dxa"/>
            <w:tcBorders>
              <w:top w:val="nil"/>
              <w:left w:val="nil"/>
              <w:bottom w:val="single" w:sz="4" w:space="0" w:color="auto"/>
              <w:right w:val="single" w:sz="4" w:space="0" w:color="auto"/>
            </w:tcBorders>
            <w:shd w:val="clear" w:color="auto" w:fill="auto"/>
            <w:noWrap/>
            <w:vAlign w:val="bottom"/>
            <w:hideMark/>
          </w:tcPr>
          <w:p w14:paraId="53ED25D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BD1825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F82509F"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485203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AA558B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PEA209</w:t>
            </w:r>
          </w:p>
        </w:tc>
        <w:tc>
          <w:tcPr>
            <w:tcW w:w="3220" w:type="dxa"/>
            <w:tcBorders>
              <w:top w:val="nil"/>
              <w:left w:val="nil"/>
              <w:bottom w:val="single" w:sz="4" w:space="0" w:color="auto"/>
              <w:right w:val="nil"/>
            </w:tcBorders>
            <w:shd w:val="clear" w:color="auto" w:fill="auto"/>
            <w:noWrap/>
            <w:vAlign w:val="bottom"/>
            <w:hideMark/>
          </w:tcPr>
          <w:p w14:paraId="2448D951" w14:textId="77777777" w:rsidR="00A41A74" w:rsidRPr="00325607" w:rsidRDefault="00A41A74" w:rsidP="00325607">
            <w:pPr>
              <w:widowControl/>
              <w:rPr>
                <w:snapToGrid/>
                <w:color w:val="000000"/>
                <w:kern w:val="0"/>
                <w:szCs w:val="22"/>
              </w:rPr>
            </w:pPr>
            <w:r w:rsidRPr="00325607">
              <w:rPr>
                <w:snapToGrid/>
                <w:color w:val="000000"/>
                <w:kern w:val="0"/>
                <w:szCs w:val="22"/>
              </w:rPr>
              <w:t>Green Bay, WI</w:t>
            </w:r>
          </w:p>
        </w:tc>
        <w:tc>
          <w:tcPr>
            <w:tcW w:w="326" w:type="dxa"/>
            <w:tcBorders>
              <w:top w:val="nil"/>
              <w:left w:val="nil"/>
              <w:bottom w:val="single" w:sz="4" w:space="0" w:color="auto"/>
              <w:right w:val="single" w:sz="4" w:space="0" w:color="auto"/>
            </w:tcBorders>
            <w:shd w:val="clear" w:color="auto" w:fill="auto"/>
            <w:noWrap/>
            <w:vAlign w:val="bottom"/>
            <w:hideMark/>
          </w:tcPr>
          <w:p w14:paraId="19C5CFC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4C170A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C0B31E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66992C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232910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PEA210</w:t>
            </w:r>
          </w:p>
        </w:tc>
        <w:tc>
          <w:tcPr>
            <w:tcW w:w="3220" w:type="dxa"/>
            <w:tcBorders>
              <w:top w:val="nil"/>
              <w:left w:val="nil"/>
              <w:bottom w:val="single" w:sz="4" w:space="0" w:color="auto"/>
              <w:right w:val="nil"/>
            </w:tcBorders>
            <w:shd w:val="clear" w:color="auto" w:fill="auto"/>
            <w:noWrap/>
            <w:vAlign w:val="bottom"/>
            <w:hideMark/>
          </w:tcPr>
          <w:p w14:paraId="58F2EE32" w14:textId="77777777" w:rsidR="00A41A74" w:rsidRPr="00325607" w:rsidRDefault="00A41A74" w:rsidP="00325607">
            <w:pPr>
              <w:widowControl/>
              <w:rPr>
                <w:snapToGrid/>
                <w:color w:val="000000"/>
                <w:kern w:val="0"/>
                <w:szCs w:val="22"/>
              </w:rPr>
            </w:pPr>
            <w:r w:rsidRPr="00325607">
              <w:rPr>
                <w:snapToGrid/>
                <w:color w:val="000000"/>
                <w:kern w:val="0"/>
                <w:szCs w:val="22"/>
              </w:rPr>
              <w:t>Binghamton, NY</w:t>
            </w:r>
          </w:p>
        </w:tc>
        <w:tc>
          <w:tcPr>
            <w:tcW w:w="326" w:type="dxa"/>
            <w:tcBorders>
              <w:top w:val="nil"/>
              <w:left w:val="nil"/>
              <w:bottom w:val="single" w:sz="4" w:space="0" w:color="auto"/>
              <w:right w:val="single" w:sz="4" w:space="0" w:color="auto"/>
            </w:tcBorders>
            <w:shd w:val="clear" w:color="auto" w:fill="auto"/>
            <w:noWrap/>
            <w:vAlign w:val="bottom"/>
            <w:hideMark/>
          </w:tcPr>
          <w:p w14:paraId="7AA8CB8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94F24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45206258"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0C60D46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318B3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PEA211</w:t>
            </w:r>
          </w:p>
        </w:tc>
        <w:tc>
          <w:tcPr>
            <w:tcW w:w="3220" w:type="dxa"/>
            <w:tcBorders>
              <w:top w:val="nil"/>
              <w:left w:val="nil"/>
              <w:bottom w:val="single" w:sz="4" w:space="0" w:color="auto"/>
              <w:right w:val="nil"/>
            </w:tcBorders>
            <w:shd w:val="clear" w:color="auto" w:fill="auto"/>
            <w:noWrap/>
            <w:vAlign w:val="bottom"/>
            <w:hideMark/>
          </w:tcPr>
          <w:p w14:paraId="56B71838" w14:textId="77777777" w:rsidR="00A41A74" w:rsidRPr="00325607" w:rsidRDefault="00A41A74" w:rsidP="00325607">
            <w:pPr>
              <w:widowControl/>
              <w:rPr>
                <w:snapToGrid/>
                <w:color w:val="000000"/>
                <w:kern w:val="0"/>
                <w:szCs w:val="22"/>
              </w:rPr>
            </w:pPr>
            <w:r w:rsidRPr="00325607">
              <w:rPr>
                <w:snapToGrid/>
                <w:color w:val="000000"/>
                <w:kern w:val="0"/>
                <w:szCs w:val="22"/>
              </w:rPr>
              <w:t>Ardmore, OK</w:t>
            </w:r>
          </w:p>
        </w:tc>
        <w:tc>
          <w:tcPr>
            <w:tcW w:w="326" w:type="dxa"/>
            <w:tcBorders>
              <w:top w:val="nil"/>
              <w:left w:val="nil"/>
              <w:bottom w:val="single" w:sz="4" w:space="0" w:color="auto"/>
              <w:right w:val="single" w:sz="4" w:space="0" w:color="auto"/>
            </w:tcBorders>
            <w:shd w:val="clear" w:color="auto" w:fill="auto"/>
            <w:noWrap/>
            <w:vAlign w:val="bottom"/>
            <w:hideMark/>
          </w:tcPr>
          <w:p w14:paraId="4929089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3C5AE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4794BE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03866D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9C128D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PEA212</w:t>
            </w:r>
          </w:p>
        </w:tc>
        <w:tc>
          <w:tcPr>
            <w:tcW w:w="3220" w:type="dxa"/>
            <w:tcBorders>
              <w:top w:val="nil"/>
              <w:left w:val="nil"/>
              <w:bottom w:val="single" w:sz="4" w:space="0" w:color="auto"/>
              <w:right w:val="nil"/>
            </w:tcBorders>
            <w:shd w:val="clear" w:color="auto" w:fill="auto"/>
            <w:noWrap/>
            <w:vAlign w:val="bottom"/>
            <w:hideMark/>
          </w:tcPr>
          <w:p w14:paraId="0248AD81" w14:textId="77777777" w:rsidR="00A41A74" w:rsidRPr="00325607" w:rsidRDefault="00A41A74" w:rsidP="00325607">
            <w:pPr>
              <w:widowControl/>
              <w:rPr>
                <w:snapToGrid/>
                <w:color w:val="000000"/>
                <w:kern w:val="0"/>
                <w:szCs w:val="22"/>
              </w:rPr>
            </w:pPr>
            <w:r w:rsidRPr="00325607">
              <w:rPr>
                <w:snapToGrid/>
                <w:color w:val="000000"/>
                <w:kern w:val="0"/>
                <w:szCs w:val="22"/>
              </w:rPr>
              <w:t>Anchorage, AK</w:t>
            </w:r>
          </w:p>
        </w:tc>
        <w:tc>
          <w:tcPr>
            <w:tcW w:w="326" w:type="dxa"/>
            <w:tcBorders>
              <w:top w:val="nil"/>
              <w:left w:val="nil"/>
              <w:bottom w:val="single" w:sz="4" w:space="0" w:color="auto"/>
              <w:right w:val="single" w:sz="4" w:space="0" w:color="auto"/>
            </w:tcBorders>
            <w:shd w:val="clear" w:color="auto" w:fill="auto"/>
            <w:noWrap/>
            <w:vAlign w:val="bottom"/>
            <w:hideMark/>
          </w:tcPr>
          <w:p w14:paraId="3934E8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3DD50B5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31212941"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AAD934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ECF650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PEA213</w:t>
            </w:r>
          </w:p>
        </w:tc>
        <w:tc>
          <w:tcPr>
            <w:tcW w:w="3220" w:type="dxa"/>
            <w:tcBorders>
              <w:top w:val="nil"/>
              <w:left w:val="nil"/>
              <w:bottom w:val="single" w:sz="4" w:space="0" w:color="auto"/>
              <w:right w:val="nil"/>
            </w:tcBorders>
            <w:shd w:val="clear" w:color="auto" w:fill="auto"/>
            <w:noWrap/>
            <w:vAlign w:val="bottom"/>
            <w:hideMark/>
          </w:tcPr>
          <w:p w14:paraId="2564C771" w14:textId="77777777" w:rsidR="00A41A74" w:rsidRPr="00325607" w:rsidRDefault="00A41A74" w:rsidP="00325607">
            <w:pPr>
              <w:widowControl/>
              <w:rPr>
                <w:snapToGrid/>
                <w:color w:val="000000"/>
                <w:kern w:val="0"/>
                <w:szCs w:val="22"/>
              </w:rPr>
            </w:pPr>
            <w:r w:rsidRPr="00325607">
              <w:rPr>
                <w:snapToGrid/>
                <w:color w:val="000000"/>
                <w:kern w:val="0"/>
                <w:szCs w:val="22"/>
              </w:rPr>
              <w:t>Bend, OR</w:t>
            </w:r>
          </w:p>
        </w:tc>
        <w:tc>
          <w:tcPr>
            <w:tcW w:w="326" w:type="dxa"/>
            <w:tcBorders>
              <w:top w:val="nil"/>
              <w:left w:val="nil"/>
              <w:bottom w:val="single" w:sz="4" w:space="0" w:color="auto"/>
              <w:right w:val="single" w:sz="4" w:space="0" w:color="auto"/>
            </w:tcBorders>
            <w:shd w:val="clear" w:color="auto" w:fill="auto"/>
            <w:noWrap/>
            <w:vAlign w:val="bottom"/>
            <w:hideMark/>
          </w:tcPr>
          <w:p w14:paraId="26440F8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C152B0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731F813A"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3F79D5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F87C9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PEA214</w:t>
            </w:r>
          </w:p>
        </w:tc>
        <w:tc>
          <w:tcPr>
            <w:tcW w:w="3220" w:type="dxa"/>
            <w:tcBorders>
              <w:top w:val="nil"/>
              <w:left w:val="nil"/>
              <w:bottom w:val="single" w:sz="4" w:space="0" w:color="auto"/>
              <w:right w:val="nil"/>
            </w:tcBorders>
            <w:shd w:val="clear" w:color="auto" w:fill="auto"/>
            <w:noWrap/>
            <w:vAlign w:val="bottom"/>
            <w:hideMark/>
          </w:tcPr>
          <w:p w14:paraId="4AD06640" w14:textId="77777777" w:rsidR="00A41A74" w:rsidRPr="00325607" w:rsidRDefault="00A41A74" w:rsidP="00325607">
            <w:pPr>
              <w:widowControl/>
              <w:rPr>
                <w:snapToGrid/>
                <w:color w:val="000000"/>
                <w:kern w:val="0"/>
                <w:szCs w:val="22"/>
              </w:rPr>
            </w:pPr>
            <w:r w:rsidRPr="00325607">
              <w:rPr>
                <w:snapToGrid/>
                <w:color w:val="000000"/>
                <w:kern w:val="0"/>
                <w:szCs w:val="22"/>
              </w:rPr>
              <w:t>Lincoln, NE</w:t>
            </w:r>
          </w:p>
        </w:tc>
        <w:tc>
          <w:tcPr>
            <w:tcW w:w="326" w:type="dxa"/>
            <w:tcBorders>
              <w:top w:val="nil"/>
              <w:left w:val="nil"/>
              <w:bottom w:val="single" w:sz="4" w:space="0" w:color="auto"/>
              <w:right w:val="single" w:sz="4" w:space="0" w:color="auto"/>
            </w:tcBorders>
            <w:shd w:val="clear" w:color="auto" w:fill="auto"/>
            <w:noWrap/>
            <w:vAlign w:val="bottom"/>
            <w:hideMark/>
          </w:tcPr>
          <w:p w14:paraId="37EF845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AB49DF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E1D454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79D612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5B154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PEA215</w:t>
            </w:r>
          </w:p>
        </w:tc>
        <w:tc>
          <w:tcPr>
            <w:tcW w:w="3220" w:type="dxa"/>
            <w:tcBorders>
              <w:top w:val="nil"/>
              <w:left w:val="nil"/>
              <w:bottom w:val="single" w:sz="4" w:space="0" w:color="auto"/>
              <w:right w:val="nil"/>
            </w:tcBorders>
            <w:shd w:val="clear" w:color="auto" w:fill="auto"/>
            <w:noWrap/>
            <w:vAlign w:val="bottom"/>
            <w:hideMark/>
          </w:tcPr>
          <w:p w14:paraId="7A4B1682" w14:textId="77777777" w:rsidR="00A41A74" w:rsidRPr="00325607" w:rsidRDefault="00A41A74" w:rsidP="00325607">
            <w:pPr>
              <w:widowControl/>
              <w:rPr>
                <w:snapToGrid/>
                <w:color w:val="000000"/>
                <w:kern w:val="0"/>
                <w:szCs w:val="22"/>
              </w:rPr>
            </w:pPr>
            <w:r w:rsidRPr="00325607">
              <w:rPr>
                <w:snapToGrid/>
                <w:color w:val="000000"/>
                <w:kern w:val="0"/>
                <w:szCs w:val="22"/>
              </w:rPr>
              <w:t>Hickory, NC</w:t>
            </w:r>
          </w:p>
        </w:tc>
        <w:tc>
          <w:tcPr>
            <w:tcW w:w="326" w:type="dxa"/>
            <w:tcBorders>
              <w:top w:val="nil"/>
              <w:left w:val="nil"/>
              <w:bottom w:val="single" w:sz="4" w:space="0" w:color="auto"/>
              <w:right w:val="single" w:sz="4" w:space="0" w:color="auto"/>
            </w:tcBorders>
            <w:shd w:val="clear" w:color="auto" w:fill="auto"/>
            <w:noWrap/>
            <w:vAlign w:val="bottom"/>
            <w:hideMark/>
          </w:tcPr>
          <w:p w14:paraId="2DAB666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38423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F54E9E3"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773F46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BA453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PEA216</w:t>
            </w:r>
          </w:p>
        </w:tc>
        <w:tc>
          <w:tcPr>
            <w:tcW w:w="3220" w:type="dxa"/>
            <w:tcBorders>
              <w:top w:val="nil"/>
              <w:left w:val="nil"/>
              <w:bottom w:val="single" w:sz="4" w:space="0" w:color="auto"/>
              <w:right w:val="nil"/>
            </w:tcBorders>
            <w:shd w:val="clear" w:color="auto" w:fill="auto"/>
            <w:noWrap/>
            <w:vAlign w:val="bottom"/>
            <w:hideMark/>
          </w:tcPr>
          <w:p w14:paraId="3A369CF9" w14:textId="77777777" w:rsidR="00A41A74" w:rsidRPr="00325607" w:rsidRDefault="00A41A74" w:rsidP="00325607">
            <w:pPr>
              <w:widowControl/>
              <w:rPr>
                <w:snapToGrid/>
                <w:color w:val="000000"/>
                <w:kern w:val="0"/>
                <w:szCs w:val="22"/>
              </w:rPr>
            </w:pPr>
            <w:r w:rsidRPr="00325607">
              <w:rPr>
                <w:snapToGrid/>
                <w:color w:val="000000"/>
                <w:kern w:val="0"/>
                <w:szCs w:val="22"/>
              </w:rPr>
              <w:t>Joplin, MO</w:t>
            </w:r>
          </w:p>
        </w:tc>
        <w:tc>
          <w:tcPr>
            <w:tcW w:w="326" w:type="dxa"/>
            <w:tcBorders>
              <w:top w:val="nil"/>
              <w:left w:val="nil"/>
              <w:bottom w:val="single" w:sz="4" w:space="0" w:color="auto"/>
              <w:right w:val="single" w:sz="4" w:space="0" w:color="auto"/>
            </w:tcBorders>
            <w:shd w:val="clear" w:color="auto" w:fill="auto"/>
            <w:noWrap/>
            <w:vAlign w:val="bottom"/>
            <w:hideMark/>
          </w:tcPr>
          <w:p w14:paraId="5C30DFA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A01431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D789EE0"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631323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74FF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PEA217</w:t>
            </w:r>
          </w:p>
        </w:tc>
        <w:tc>
          <w:tcPr>
            <w:tcW w:w="3220" w:type="dxa"/>
            <w:tcBorders>
              <w:top w:val="nil"/>
              <w:left w:val="nil"/>
              <w:bottom w:val="single" w:sz="4" w:space="0" w:color="auto"/>
              <w:right w:val="nil"/>
            </w:tcBorders>
            <w:shd w:val="clear" w:color="auto" w:fill="auto"/>
            <w:noWrap/>
            <w:vAlign w:val="bottom"/>
            <w:hideMark/>
          </w:tcPr>
          <w:p w14:paraId="618BB48A" w14:textId="77777777" w:rsidR="00A41A74" w:rsidRPr="00325607" w:rsidRDefault="00A41A74" w:rsidP="00325607">
            <w:pPr>
              <w:widowControl/>
              <w:rPr>
                <w:snapToGrid/>
                <w:color w:val="000000"/>
                <w:kern w:val="0"/>
                <w:szCs w:val="22"/>
              </w:rPr>
            </w:pPr>
            <w:r w:rsidRPr="00325607">
              <w:rPr>
                <w:snapToGrid/>
                <w:color w:val="000000"/>
                <w:kern w:val="0"/>
                <w:szCs w:val="22"/>
              </w:rPr>
              <w:t>Lubbock, TX</w:t>
            </w:r>
          </w:p>
        </w:tc>
        <w:tc>
          <w:tcPr>
            <w:tcW w:w="326" w:type="dxa"/>
            <w:tcBorders>
              <w:top w:val="nil"/>
              <w:left w:val="nil"/>
              <w:bottom w:val="single" w:sz="4" w:space="0" w:color="auto"/>
              <w:right w:val="single" w:sz="4" w:space="0" w:color="auto"/>
            </w:tcBorders>
            <w:shd w:val="clear" w:color="auto" w:fill="auto"/>
            <w:noWrap/>
            <w:vAlign w:val="bottom"/>
            <w:hideMark/>
          </w:tcPr>
          <w:p w14:paraId="4799F2D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806F53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DFAB65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5EA8105"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F69C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PEA218</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3F6ABBCF" w14:textId="77777777" w:rsidR="00A41A74" w:rsidRPr="00325607" w:rsidRDefault="00A41A74" w:rsidP="00325607">
            <w:pPr>
              <w:widowControl/>
              <w:rPr>
                <w:snapToGrid/>
                <w:color w:val="000000"/>
                <w:kern w:val="0"/>
                <w:szCs w:val="22"/>
              </w:rPr>
            </w:pPr>
            <w:r w:rsidRPr="00325607">
              <w:rPr>
                <w:snapToGrid/>
                <w:color w:val="000000"/>
                <w:kern w:val="0"/>
                <w:szCs w:val="22"/>
              </w:rPr>
              <w:t>Wausau, WI</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7CB3C1F9"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55C2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1C68"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12F9F1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064825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PEA219</w:t>
            </w:r>
          </w:p>
        </w:tc>
        <w:tc>
          <w:tcPr>
            <w:tcW w:w="3220" w:type="dxa"/>
            <w:tcBorders>
              <w:top w:val="nil"/>
              <w:left w:val="nil"/>
              <w:bottom w:val="single" w:sz="4" w:space="0" w:color="auto"/>
              <w:right w:val="nil"/>
            </w:tcBorders>
            <w:shd w:val="clear" w:color="auto" w:fill="auto"/>
            <w:noWrap/>
            <w:vAlign w:val="bottom"/>
            <w:hideMark/>
          </w:tcPr>
          <w:p w14:paraId="6AE9489A" w14:textId="77777777" w:rsidR="00A41A74" w:rsidRPr="00325607" w:rsidRDefault="00A41A74" w:rsidP="00325607">
            <w:pPr>
              <w:widowControl/>
              <w:rPr>
                <w:snapToGrid/>
                <w:color w:val="000000"/>
                <w:kern w:val="0"/>
                <w:szCs w:val="22"/>
              </w:rPr>
            </w:pPr>
            <w:r w:rsidRPr="00325607">
              <w:rPr>
                <w:snapToGrid/>
                <w:color w:val="000000"/>
                <w:kern w:val="0"/>
                <w:szCs w:val="22"/>
              </w:rPr>
              <w:t>Mason City, IA</w:t>
            </w:r>
          </w:p>
        </w:tc>
        <w:tc>
          <w:tcPr>
            <w:tcW w:w="326" w:type="dxa"/>
            <w:tcBorders>
              <w:top w:val="nil"/>
              <w:left w:val="nil"/>
              <w:bottom w:val="single" w:sz="4" w:space="0" w:color="auto"/>
              <w:right w:val="single" w:sz="4" w:space="0" w:color="auto"/>
            </w:tcBorders>
            <w:shd w:val="clear" w:color="auto" w:fill="auto"/>
            <w:noWrap/>
            <w:vAlign w:val="bottom"/>
            <w:hideMark/>
          </w:tcPr>
          <w:p w14:paraId="1293259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216168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46C135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E77B3A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F71A0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PEA220</w:t>
            </w:r>
          </w:p>
        </w:tc>
        <w:tc>
          <w:tcPr>
            <w:tcW w:w="3220" w:type="dxa"/>
            <w:tcBorders>
              <w:top w:val="nil"/>
              <w:left w:val="nil"/>
              <w:bottom w:val="single" w:sz="4" w:space="0" w:color="auto"/>
              <w:right w:val="nil"/>
            </w:tcBorders>
            <w:shd w:val="clear" w:color="auto" w:fill="auto"/>
            <w:noWrap/>
            <w:vAlign w:val="bottom"/>
            <w:hideMark/>
          </w:tcPr>
          <w:p w14:paraId="24AF9016" w14:textId="77777777" w:rsidR="00A41A74" w:rsidRPr="00325607" w:rsidRDefault="00A41A74" w:rsidP="00325607">
            <w:pPr>
              <w:widowControl/>
              <w:rPr>
                <w:snapToGrid/>
                <w:color w:val="000000"/>
                <w:kern w:val="0"/>
                <w:szCs w:val="22"/>
              </w:rPr>
            </w:pPr>
            <w:r w:rsidRPr="00325607">
              <w:rPr>
                <w:snapToGrid/>
                <w:color w:val="000000"/>
                <w:kern w:val="0"/>
                <w:szCs w:val="22"/>
              </w:rPr>
              <w:t>Odessa, TX</w:t>
            </w:r>
          </w:p>
        </w:tc>
        <w:tc>
          <w:tcPr>
            <w:tcW w:w="326" w:type="dxa"/>
            <w:tcBorders>
              <w:top w:val="nil"/>
              <w:left w:val="nil"/>
              <w:bottom w:val="single" w:sz="4" w:space="0" w:color="auto"/>
              <w:right w:val="single" w:sz="4" w:space="0" w:color="auto"/>
            </w:tcBorders>
            <w:shd w:val="clear" w:color="auto" w:fill="auto"/>
            <w:noWrap/>
            <w:vAlign w:val="bottom"/>
            <w:hideMark/>
          </w:tcPr>
          <w:p w14:paraId="7E375F5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D51E4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9C53B10"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A9C10F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134A5A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PEA221</w:t>
            </w:r>
          </w:p>
        </w:tc>
        <w:tc>
          <w:tcPr>
            <w:tcW w:w="3220" w:type="dxa"/>
            <w:tcBorders>
              <w:top w:val="nil"/>
              <w:left w:val="nil"/>
              <w:bottom w:val="single" w:sz="4" w:space="0" w:color="auto"/>
              <w:right w:val="nil"/>
            </w:tcBorders>
            <w:shd w:val="clear" w:color="auto" w:fill="auto"/>
            <w:noWrap/>
            <w:vAlign w:val="bottom"/>
            <w:hideMark/>
          </w:tcPr>
          <w:p w14:paraId="4BC4AFAB" w14:textId="77777777" w:rsidR="00A41A74" w:rsidRPr="00325607" w:rsidRDefault="00A41A74" w:rsidP="00325607">
            <w:pPr>
              <w:widowControl/>
              <w:rPr>
                <w:snapToGrid/>
                <w:color w:val="000000"/>
                <w:kern w:val="0"/>
                <w:szCs w:val="22"/>
              </w:rPr>
            </w:pPr>
            <w:r w:rsidRPr="00325607">
              <w:rPr>
                <w:snapToGrid/>
                <w:color w:val="000000"/>
                <w:kern w:val="0"/>
                <w:szCs w:val="22"/>
              </w:rPr>
              <w:t>Laredo, TX</w:t>
            </w:r>
          </w:p>
        </w:tc>
        <w:tc>
          <w:tcPr>
            <w:tcW w:w="326" w:type="dxa"/>
            <w:tcBorders>
              <w:top w:val="nil"/>
              <w:left w:val="nil"/>
              <w:bottom w:val="single" w:sz="4" w:space="0" w:color="auto"/>
              <w:right w:val="single" w:sz="4" w:space="0" w:color="auto"/>
            </w:tcBorders>
            <w:shd w:val="clear" w:color="auto" w:fill="auto"/>
            <w:noWrap/>
            <w:vAlign w:val="bottom"/>
            <w:hideMark/>
          </w:tcPr>
          <w:p w14:paraId="53941A7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3C773C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5B0CC57"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3D01E6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0442BD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PEA222</w:t>
            </w:r>
          </w:p>
        </w:tc>
        <w:tc>
          <w:tcPr>
            <w:tcW w:w="3220" w:type="dxa"/>
            <w:tcBorders>
              <w:top w:val="nil"/>
              <w:left w:val="nil"/>
              <w:bottom w:val="single" w:sz="4" w:space="0" w:color="auto"/>
              <w:right w:val="nil"/>
            </w:tcBorders>
            <w:shd w:val="clear" w:color="auto" w:fill="auto"/>
            <w:noWrap/>
            <w:vAlign w:val="bottom"/>
            <w:hideMark/>
          </w:tcPr>
          <w:p w14:paraId="125211CD" w14:textId="77777777" w:rsidR="00A41A74" w:rsidRPr="00325607" w:rsidRDefault="00A41A74" w:rsidP="00325607">
            <w:pPr>
              <w:widowControl/>
              <w:rPr>
                <w:snapToGrid/>
                <w:color w:val="000000"/>
                <w:kern w:val="0"/>
                <w:szCs w:val="22"/>
              </w:rPr>
            </w:pPr>
            <w:r w:rsidRPr="00325607">
              <w:rPr>
                <w:snapToGrid/>
                <w:color w:val="000000"/>
                <w:kern w:val="0"/>
                <w:szCs w:val="22"/>
              </w:rPr>
              <w:t>Morristown, TN</w:t>
            </w:r>
          </w:p>
        </w:tc>
        <w:tc>
          <w:tcPr>
            <w:tcW w:w="326" w:type="dxa"/>
            <w:tcBorders>
              <w:top w:val="nil"/>
              <w:left w:val="nil"/>
              <w:bottom w:val="single" w:sz="4" w:space="0" w:color="auto"/>
              <w:right w:val="single" w:sz="4" w:space="0" w:color="auto"/>
            </w:tcBorders>
            <w:shd w:val="clear" w:color="auto" w:fill="auto"/>
            <w:noWrap/>
            <w:vAlign w:val="bottom"/>
            <w:hideMark/>
          </w:tcPr>
          <w:p w14:paraId="7181984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3BB95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E5451B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7ADC46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2AC9A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PEA223</w:t>
            </w:r>
          </w:p>
        </w:tc>
        <w:tc>
          <w:tcPr>
            <w:tcW w:w="3220" w:type="dxa"/>
            <w:tcBorders>
              <w:top w:val="nil"/>
              <w:left w:val="nil"/>
              <w:bottom w:val="single" w:sz="4" w:space="0" w:color="auto"/>
              <w:right w:val="nil"/>
            </w:tcBorders>
            <w:shd w:val="clear" w:color="auto" w:fill="auto"/>
            <w:noWrap/>
            <w:vAlign w:val="bottom"/>
            <w:hideMark/>
          </w:tcPr>
          <w:p w14:paraId="3E86F804" w14:textId="77777777" w:rsidR="00A41A74" w:rsidRPr="00325607" w:rsidRDefault="00A41A74" w:rsidP="00325607">
            <w:pPr>
              <w:widowControl/>
              <w:rPr>
                <w:snapToGrid/>
                <w:color w:val="000000"/>
                <w:kern w:val="0"/>
                <w:szCs w:val="22"/>
              </w:rPr>
            </w:pPr>
            <w:r w:rsidRPr="00325607">
              <w:rPr>
                <w:snapToGrid/>
                <w:color w:val="000000"/>
                <w:kern w:val="0"/>
                <w:szCs w:val="22"/>
              </w:rPr>
              <w:t>Dubuque, IA</w:t>
            </w:r>
          </w:p>
        </w:tc>
        <w:tc>
          <w:tcPr>
            <w:tcW w:w="326" w:type="dxa"/>
            <w:tcBorders>
              <w:top w:val="nil"/>
              <w:left w:val="nil"/>
              <w:bottom w:val="single" w:sz="4" w:space="0" w:color="auto"/>
              <w:right w:val="single" w:sz="4" w:space="0" w:color="auto"/>
            </w:tcBorders>
            <w:shd w:val="clear" w:color="auto" w:fill="auto"/>
            <w:noWrap/>
            <w:vAlign w:val="bottom"/>
            <w:hideMark/>
          </w:tcPr>
          <w:p w14:paraId="5AE57DF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11DFB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657218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AF7277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054A2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PEA224</w:t>
            </w:r>
          </w:p>
        </w:tc>
        <w:tc>
          <w:tcPr>
            <w:tcW w:w="3220" w:type="dxa"/>
            <w:tcBorders>
              <w:top w:val="nil"/>
              <w:left w:val="nil"/>
              <w:bottom w:val="single" w:sz="4" w:space="0" w:color="auto"/>
              <w:right w:val="nil"/>
            </w:tcBorders>
            <w:shd w:val="clear" w:color="auto" w:fill="auto"/>
            <w:noWrap/>
            <w:vAlign w:val="bottom"/>
            <w:hideMark/>
          </w:tcPr>
          <w:p w14:paraId="69EABE5F" w14:textId="77777777" w:rsidR="00A41A74" w:rsidRPr="00325607" w:rsidRDefault="00A41A74" w:rsidP="00325607">
            <w:pPr>
              <w:widowControl/>
              <w:rPr>
                <w:snapToGrid/>
                <w:color w:val="000000"/>
                <w:kern w:val="0"/>
                <w:szCs w:val="22"/>
              </w:rPr>
            </w:pPr>
            <w:r w:rsidRPr="00325607">
              <w:rPr>
                <w:snapToGrid/>
                <w:color w:val="000000"/>
                <w:kern w:val="0"/>
                <w:szCs w:val="22"/>
              </w:rPr>
              <w:t>De Kalb, IL</w:t>
            </w:r>
          </w:p>
        </w:tc>
        <w:tc>
          <w:tcPr>
            <w:tcW w:w="326" w:type="dxa"/>
            <w:tcBorders>
              <w:top w:val="nil"/>
              <w:left w:val="nil"/>
              <w:bottom w:val="single" w:sz="4" w:space="0" w:color="auto"/>
              <w:right w:val="single" w:sz="4" w:space="0" w:color="auto"/>
            </w:tcBorders>
            <w:shd w:val="clear" w:color="auto" w:fill="auto"/>
            <w:noWrap/>
            <w:vAlign w:val="bottom"/>
            <w:hideMark/>
          </w:tcPr>
          <w:p w14:paraId="6D96335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63CF2A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B363E0C"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5B5F7C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6B25A5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PEA225</w:t>
            </w:r>
          </w:p>
        </w:tc>
        <w:tc>
          <w:tcPr>
            <w:tcW w:w="3220" w:type="dxa"/>
            <w:tcBorders>
              <w:top w:val="nil"/>
              <w:left w:val="nil"/>
              <w:bottom w:val="single" w:sz="4" w:space="0" w:color="auto"/>
              <w:right w:val="nil"/>
            </w:tcBorders>
            <w:shd w:val="clear" w:color="auto" w:fill="auto"/>
            <w:noWrap/>
            <w:vAlign w:val="bottom"/>
            <w:hideMark/>
          </w:tcPr>
          <w:p w14:paraId="0340D8CF" w14:textId="77777777" w:rsidR="00A41A74" w:rsidRPr="00325607" w:rsidRDefault="00A41A74" w:rsidP="00325607">
            <w:pPr>
              <w:widowControl/>
              <w:rPr>
                <w:snapToGrid/>
                <w:color w:val="000000"/>
                <w:kern w:val="0"/>
                <w:szCs w:val="22"/>
              </w:rPr>
            </w:pPr>
            <w:r w:rsidRPr="00325607">
              <w:rPr>
                <w:snapToGrid/>
                <w:color w:val="000000"/>
                <w:kern w:val="0"/>
                <w:szCs w:val="22"/>
              </w:rPr>
              <w:t>La Crosse, WI</w:t>
            </w:r>
          </w:p>
        </w:tc>
        <w:tc>
          <w:tcPr>
            <w:tcW w:w="326" w:type="dxa"/>
            <w:tcBorders>
              <w:top w:val="nil"/>
              <w:left w:val="nil"/>
              <w:bottom w:val="single" w:sz="4" w:space="0" w:color="auto"/>
              <w:right w:val="single" w:sz="4" w:space="0" w:color="auto"/>
            </w:tcBorders>
            <w:shd w:val="clear" w:color="auto" w:fill="auto"/>
            <w:noWrap/>
            <w:vAlign w:val="bottom"/>
            <w:hideMark/>
          </w:tcPr>
          <w:p w14:paraId="69CA33D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D32E9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524F41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F300AE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EFF8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PEA226</w:t>
            </w:r>
          </w:p>
        </w:tc>
        <w:tc>
          <w:tcPr>
            <w:tcW w:w="3220" w:type="dxa"/>
            <w:tcBorders>
              <w:top w:val="nil"/>
              <w:left w:val="nil"/>
              <w:bottom w:val="single" w:sz="4" w:space="0" w:color="auto"/>
              <w:right w:val="nil"/>
            </w:tcBorders>
            <w:shd w:val="clear" w:color="auto" w:fill="auto"/>
            <w:noWrap/>
            <w:vAlign w:val="bottom"/>
            <w:hideMark/>
          </w:tcPr>
          <w:p w14:paraId="212E195C" w14:textId="77777777" w:rsidR="00A41A74" w:rsidRPr="00325607" w:rsidRDefault="00A41A74" w:rsidP="00325607">
            <w:pPr>
              <w:widowControl/>
              <w:rPr>
                <w:snapToGrid/>
                <w:color w:val="000000"/>
                <w:kern w:val="0"/>
                <w:szCs w:val="22"/>
              </w:rPr>
            </w:pPr>
            <w:r w:rsidRPr="00325607">
              <w:rPr>
                <w:snapToGrid/>
                <w:color w:val="000000"/>
                <w:kern w:val="0"/>
                <w:szCs w:val="22"/>
              </w:rPr>
              <w:t>Lima, OH</w:t>
            </w:r>
          </w:p>
        </w:tc>
        <w:tc>
          <w:tcPr>
            <w:tcW w:w="326" w:type="dxa"/>
            <w:tcBorders>
              <w:top w:val="nil"/>
              <w:left w:val="nil"/>
              <w:bottom w:val="single" w:sz="4" w:space="0" w:color="auto"/>
              <w:right w:val="single" w:sz="4" w:space="0" w:color="auto"/>
            </w:tcBorders>
            <w:shd w:val="clear" w:color="auto" w:fill="auto"/>
            <w:noWrap/>
            <w:vAlign w:val="bottom"/>
            <w:hideMark/>
          </w:tcPr>
          <w:p w14:paraId="008F8FC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E8C79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E2B5387"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97BD44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11FA34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PEA227</w:t>
            </w:r>
          </w:p>
        </w:tc>
        <w:tc>
          <w:tcPr>
            <w:tcW w:w="3220" w:type="dxa"/>
            <w:tcBorders>
              <w:top w:val="nil"/>
              <w:left w:val="nil"/>
              <w:bottom w:val="single" w:sz="4" w:space="0" w:color="auto"/>
              <w:right w:val="nil"/>
            </w:tcBorders>
            <w:shd w:val="clear" w:color="auto" w:fill="auto"/>
            <w:noWrap/>
            <w:vAlign w:val="bottom"/>
            <w:hideMark/>
          </w:tcPr>
          <w:p w14:paraId="15C81BC6" w14:textId="77777777" w:rsidR="00A41A74" w:rsidRPr="00325607" w:rsidRDefault="00A41A74" w:rsidP="00325607">
            <w:pPr>
              <w:widowControl/>
              <w:rPr>
                <w:snapToGrid/>
                <w:color w:val="000000"/>
                <w:kern w:val="0"/>
                <w:szCs w:val="22"/>
              </w:rPr>
            </w:pPr>
            <w:r w:rsidRPr="00325607">
              <w:rPr>
                <w:snapToGrid/>
                <w:color w:val="000000"/>
                <w:kern w:val="0"/>
                <w:szCs w:val="22"/>
              </w:rPr>
              <w:t>Watertown, NY</w:t>
            </w:r>
          </w:p>
        </w:tc>
        <w:tc>
          <w:tcPr>
            <w:tcW w:w="326" w:type="dxa"/>
            <w:tcBorders>
              <w:top w:val="nil"/>
              <w:left w:val="nil"/>
              <w:bottom w:val="single" w:sz="4" w:space="0" w:color="auto"/>
              <w:right w:val="single" w:sz="4" w:space="0" w:color="auto"/>
            </w:tcBorders>
            <w:shd w:val="clear" w:color="auto" w:fill="auto"/>
            <w:noWrap/>
            <w:vAlign w:val="bottom"/>
            <w:hideMark/>
          </w:tcPr>
          <w:p w14:paraId="38DE3A7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075E8A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066A5CEE"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5FDC55F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8B7C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PEA228</w:t>
            </w:r>
          </w:p>
        </w:tc>
        <w:tc>
          <w:tcPr>
            <w:tcW w:w="3220" w:type="dxa"/>
            <w:tcBorders>
              <w:top w:val="nil"/>
              <w:left w:val="nil"/>
              <w:bottom w:val="single" w:sz="4" w:space="0" w:color="auto"/>
              <w:right w:val="nil"/>
            </w:tcBorders>
            <w:shd w:val="clear" w:color="auto" w:fill="auto"/>
            <w:noWrap/>
            <w:vAlign w:val="bottom"/>
            <w:hideMark/>
          </w:tcPr>
          <w:p w14:paraId="28215F3A" w14:textId="77777777" w:rsidR="00A41A74" w:rsidRPr="00325607" w:rsidRDefault="00A41A74" w:rsidP="00325607">
            <w:pPr>
              <w:widowControl/>
              <w:rPr>
                <w:snapToGrid/>
                <w:color w:val="000000"/>
                <w:kern w:val="0"/>
                <w:szCs w:val="22"/>
              </w:rPr>
            </w:pPr>
            <w:r w:rsidRPr="00325607">
              <w:rPr>
                <w:snapToGrid/>
                <w:color w:val="000000"/>
                <w:kern w:val="0"/>
                <w:szCs w:val="22"/>
              </w:rPr>
              <w:t>Roanoke, VA</w:t>
            </w:r>
          </w:p>
        </w:tc>
        <w:tc>
          <w:tcPr>
            <w:tcW w:w="326" w:type="dxa"/>
            <w:tcBorders>
              <w:top w:val="nil"/>
              <w:left w:val="nil"/>
              <w:bottom w:val="single" w:sz="4" w:space="0" w:color="auto"/>
              <w:right w:val="single" w:sz="4" w:space="0" w:color="auto"/>
            </w:tcBorders>
            <w:shd w:val="clear" w:color="auto" w:fill="auto"/>
            <w:noWrap/>
            <w:vAlign w:val="bottom"/>
            <w:hideMark/>
          </w:tcPr>
          <w:p w14:paraId="234EE94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557D4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582394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5E3E2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2DC057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PEA229</w:t>
            </w:r>
          </w:p>
        </w:tc>
        <w:tc>
          <w:tcPr>
            <w:tcW w:w="3220" w:type="dxa"/>
            <w:tcBorders>
              <w:top w:val="nil"/>
              <w:left w:val="nil"/>
              <w:bottom w:val="single" w:sz="4" w:space="0" w:color="auto"/>
              <w:right w:val="nil"/>
            </w:tcBorders>
            <w:shd w:val="clear" w:color="auto" w:fill="auto"/>
            <w:noWrap/>
            <w:vAlign w:val="bottom"/>
            <w:hideMark/>
          </w:tcPr>
          <w:p w14:paraId="6DCB2476" w14:textId="77777777" w:rsidR="00A41A74" w:rsidRPr="00325607" w:rsidRDefault="00A41A74" w:rsidP="00325607">
            <w:pPr>
              <w:widowControl/>
              <w:rPr>
                <w:snapToGrid/>
                <w:color w:val="000000"/>
                <w:kern w:val="0"/>
                <w:szCs w:val="22"/>
              </w:rPr>
            </w:pPr>
            <w:r w:rsidRPr="00325607">
              <w:rPr>
                <w:snapToGrid/>
                <w:color w:val="000000"/>
                <w:kern w:val="0"/>
                <w:szCs w:val="22"/>
              </w:rPr>
              <w:t>Saint George, UT</w:t>
            </w:r>
          </w:p>
        </w:tc>
        <w:tc>
          <w:tcPr>
            <w:tcW w:w="326" w:type="dxa"/>
            <w:tcBorders>
              <w:top w:val="nil"/>
              <w:left w:val="nil"/>
              <w:bottom w:val="single" w:sz="4" w:space="0" w:color="auto"/>
              <w:right w:val="single" w:sz="4" w:space="0" w:color="auto"/>
            </w:tcBorders>
            <w:shd w:val="clear" w:color="auto" w:fill="auto"/>
            <w:noWrap/>
            <w:vAlign w:val="bottom"/>
            <w:hideMark/>
          </w:tcPr>
          <w:p w14:paraId="2542A87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945E92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A0D28D2"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7B03B7B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28726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PEA230</w:t>
            </w:r>
          </w:p>
        </w:tc>
        <w:tc>
          <w:tcPr>
            <w:tcW w:w="3220" w:type="dxa"/>
            <w:tcBorders>
              <w:top w:val="nil"/>
              <w:left w:val="nil"/>
              <w:bottom w:val="single" w:sz="4" w:space="0" w:color="auto"/>
              <w:right w:val="nil"/>
            </w:tcBorders>
            <w:shd w:val="clear" w:color="auto" w:fill="auto"/>
            <w:noWrap/>
            <w:vAlign w:val="bottom"/>
            <w:hideMark/>
          </w:tcPr>
          <w:p w14:paraId="25D8FCE2" w14:textId="77777777" w:rsidR="00A41A74" w:rsidRPr="00325607" w:rsidRDefault="00A41A74" w:rsidP="00325607">
            <w:pPr>
              <w:widowControl/>
              <w:rPr>
                <w:snapToGrid/>
                <w:color w:val="000000"/>
                <w:kern w:val="0"/>
                <w:szCs w:val="22"/>
              </w:rPr>
            </w:pPr>
            <w:r w:rsidRPr="00325607">
              <w:rPr>
                <w:snapToGrid/>
                <w:color w:val="000000"/>
                <w:kern w:val="0"/>
                <w:szCs w:val="22"/>
              </w:rPr>
              <w:t>Lumberton, NC</w:t>
            </w:r>
          </w:p>
        </w:tc>
        <w:tc>
          <w:tcPr>
            <w:tcW w:w="326" w:type="dxa"/>
            <w:tcBorders>
              <w:top w:val="nil"/>
              <w:left w:val="nil"/>
              <w:bottom w:val="single" w:sz="4" w:space="0" w:color="auto"/>
              <w:right w:val="single" w:sz="4" w:space="0" w:color="auto"/>
            </w:tcBorders>
            <w:shd w:val="clear" w:color="auto" w:fill="auto"/>
            <w:noWrap/>
            <w:vAlign w:val="bottom"/>
            <w:hideMark/>
          </w:tcPr>
          <w:p w14:paraId="106A3E2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6DFF02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80DF883"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79BA75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AAF60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PEA231</w:t>
            </w:r>
          </w:p>
        </w:tc>
        <w:tc>
          <w:tcPr>
            <w:tcW w:w="3220" w:type="dxa"/>
            <w:tcBorders>
              <w:top w:val="nil"/>
              <w:left w:val="nil"/>
              <w:bottom w:val="single" w:sz="4" w:space="0" w:color="auto"/>
              <w:right w:val="nil"/>
            </w:tcBorders>
            <w:shd w:val="clear" w:color="auto" w:fill="auto"/>
            <w:noWrap/>
            <w:vAlign w:val="bottom"/>
            <w:hideMark/>
          </w:tcPr>
          <w:p w14:paraId="31ADB779" w14:textId="77777777" w:rsidR="00A41A74" w:rsidRPr="00325607" w:rsidRDefault="00A41A74" w:rsidP="00325607">
            <w:pPr>
              <w:widowControl/>
              <w:rPr>
                <w:snapToGrid/>
                <w:color w:val="000000"/>
                <w:kern w:val="0"/>
                <w:szCs w:val="22"/>
              </w:rPr>
            </w:pPr>
            <w:r w:rsidRPr="00325607">
              <w:rPr>
                <w:snapToGrid/>
                <w:color w:val="000000"/>
                <w:kern w:val="0"/>
                <w:szCs w:val="22"/>
              </w:rPr>
              <w:t>Fremont, NE</w:t>
            </w:r>
          </w:p>
        </w:tc>
        <w:tc>
          <w:tcPr>
            <w:tcW w:w="326" w:type="dxa"/>
            <w:tcBorders>
              <w:top w:val="nil"/>
              <w:left w:val="nil"/>
              <w:bottom w:val="single" w:sz="4" w:space="0" w:color="auto"/>
              <w:right w:val="single" w:sz="4" w:space="0" w:color="auto"/>
            </w:tcBorders>
            <w:shd w:val="clear" w:color="auto" w:fill="auto"/>
            <w:noWrap/>
            <w:vAlign w:val="bottom"/>
            <w:hideMark/>
          </w:tcPr>
          <w:p w14:paraId="70646EA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7F4EFE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AA3590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A397D4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7015E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PEA232</w:t>
            </w:r>
          </w:p>
        </w:tc>
        <w:tc>
          <w:tcPr>
            <w:tcW w:w="3220" w:type="dxa"/>
            <w:tcBorders>
              <w:top w:val="nil"/>
              <w:left w:val="nil"/>
              <w:bottom w:val="single" w:sz="4" w:space="0" w:color="auto"/>
              <w:right w:val="nil"/>
            </w:tcBorders>
            <w:shd w:val="clear" w:color="auto" w:fill="auto"/>
            <w:noWrap/>
            <w:vAlign w:val="bottom"/>
            <w:hideMark/>
          </w:tcPr>
          <w:p w14:paraId="6C059343" w14:textId="77777777" w:rsidR="00A41A74" w:rsidRPr="00325607" w:rsidRDefault="00A41A74" w:rsidP="00325607">
            <w:pPr>
              <w:widowControl/>
              <w:rPr>
                <w:snapToGrid/>
                <w:color w:val="000000"/>
                <w:kern w:val="0"/>
                <w:szCs w:val="22"/>
              </w:rPr>
            </w:pPr>
            <w:r w:rsidRPr="00325607">
              <w:rPr>
                <w:snapToGrid/>
                <w:color w:val="000000"/>
                <w:kern w:val="0"/>
                <w:szCs w:val="22"/>
              </w:rPr>
              <w:t>Topeka, KS</w:t>
            </w:r>
          </w:p>
        </w:tc>
        <w:tc>
          <w:tcPr>
            <w:tcW w:w="326" w:type="dxa"/>
            <w:tcBorders>
              <w:top w:val="nil"/>
              <w:left w:val="nil"/>
              <w:bottom w:val="single" w:sz="4" w:space="0" w:color="auto"/>
              <w:right w:val="single" w:sz="4" w:space="0" w:color="auto"/>
            </w:tcBorders>
            <w:shd w:val="clear" w:color="auto" w:fill="auto"/>
            <w:noWrap/>
            <w:vAlign w:val="bottom"/>
            <w:hideMark/>
          </w:tcPr>
          <w:p w14:paraId="2CEF68B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79082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DEB62C8"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E65A00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A87F8E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PEA233</w:t>
            </w:r>
          </w:p>
        </w:tc>
        <w:tc>
          <w:tcPr>
            <w:tcW w:w="3220" w:type="dxa"/>
            <w:tcBorders>
              <w:top w:val="nil"/>
              <w:left w:val="nil"/>
              <w:bottom w:val="single" w:sz="4" w:space="0" w:color="auto"/>
              <w:right w:val="nil"/>
            </w:tcBorders>
            <w:shd w:val="clear" w:color="auto" w:fill="auto"/>
            <w:noWrap/>
            <w:vAlign w:val="bottom"/>
            <w:hideMark/>
          </w:tcPr>
          <w:p w14:paraId="6D6506F7" w14:textId="77777777" w:rsidR="00A41A74" w:rsidRPr="00325607" w:rsidRDefault="00A41A74" w:rsidP="00325607">
            <w:pPr>
              <w:widowControl/>
              <w:rPr>
                <w:snapToGrid/>
                <w:color w:val="000000"/>
                <w:kern w:val="0"/>
                <w:szCs w:val="22"/>
              </w:rPr>
            </w:pPr>
            <w:r w:rsidRPr="00325607">
              <w:rPr>
                <w:snapToGrid/>
                <w:color w:val="000000"/>
                <w:kern w:val="0"/>
                <w:szCs w:val="22"/>
              </w:rPr>
              <w:t>Shelby, NC</w:t>
            </w:r>
          </w:p>
        </w:tc>
        <w:tc>
          <w:tcPr>
            <w:tcW w:w="326" w:type="dxa"/>
            <w:tcBorders>
              <w:top w:val="nil"/>
              <w:left w:val="nil"/>
              <w:bottom w:val="single" w:sz="4" w:space="0" w:color="auto"/>
              <w:right w:val="single" w:sz="4" w:space="0" w:color="auto"/>
            </w:tcBorders>
            <w:shd w:val="clear" w:color="auto" w:fill="auto"/>
            <w:noWrap/>
            <w:vAlign w:val="bottom"/>
            <w:hideMark/>
          </w:tcPr>
          <w:p w14:paraId="57C9296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B45BE5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DA2ECD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44EC64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BB9A3F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PEA234</w:t>
            </w:r>
          </w:p>
        </w:tc>
        <w:tc>
          <w:tcPr>
            <w:tcW w:w="3220" w:type="dxa"/>
            <w:tcBorders>
              <w:top w:val="nil"/>
              <w:left w:val="nil"/>
              <w:bottom w:val="single" w:sz="4" w:space="0" w:color="auto"/>
              <w:right w:val="nil"/>
            </w:tcBorders>
            <w:shd w:val="clear" w:color="auto" w:fill="auto"/>
            <w:noWrap/>
            <w:vAlign w:val="bottom"/>
            <w:hideMark/>
          </w:tcPr>
          <w:p w14:paraId="4BD3BF4D" w14:textId="77777777" w:rsidR="00A41A74" w:rsidRPr="00325607" w:rsidRDefault="00A41A74" w:rsidP="00325607">
            <w:pPr>
              <w:widowControl/>
              <w:rPr>
                <w:snapToGrid/>
                <w:color w:val="000000"/>
                <w:kern w:val="0"/>
                <w:szCs w:val="22"/>
              </w:rPr>
            </w:pPr>
            <w:r w:rsidRPr="00325607">
              <w:rPr>
                <w:snapToGrid/>
                <w:color w:val="000000"/>
                <w:kern w:val="0"/>
                <w:szCs w:val="22"/>
              </w:rPr>
              <w:t>Lexington, NC</w:t>
            </w:r>
          </w:p>
        </w:tc>
        <w:tc>
          <w:tcPr>
            <w:tcW w:w="326" w:type="dxa"/>
            <w:tcBorders>
              <w:top w:val="nil"/>
              <w:left w:val="nil"/>
              <w:bottom w:val="single" w:sz="4" w:space="0" w:color="auto"/>
              <w:right w:val="single" w:sz="4" w:space="0" w:color="auto"/>
            </w:tcBorders>
            <w:shd w:val="clear" w:color="auto" w:fill="auto"/>
            <w:noWrap/>
            <w:vAlign w:val="bottom"/>
            <w:hideMark/>
          </w:tcPr>
          <w:p w14:paraId="155EC9F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76A5C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2C3959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680084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1883E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PEA235</w:t>
            </w:r>
          </w:p>
        </w:tc>
        <w:tc>
          <w:tcPr>
            <w:tcW w:w="3220" w:type="dxa"/>
            <w:tcBorders>
              <w:top w:val="nil"/>
              <w:left w:val="nil"/>
              <w:bottom w:val="single" w:sz="4" w:space="0" w:color="auto"/>
              <w:right w:val="nil"/>
            </w:tcBorders>
            <w:shd w:val="clear" w:color="auto" w:fill="auto"/>
            <w:noWrap/>
            <w:vAlign w:val="bottom"/>
            <w:hideMark/>
          </w:tcPr>
          <w:p w14:paraId="008827AF" w14:textId="77777777" w:rsidR="00A41A74" w:rsidRPr="00325607" w:rsidRDefault="00A41A74" w:rsidP="00325607">
            <w:pPr>
              <w:widowControl/>
              <w:rPr>
                <w:snapToGrid/>
                <w:color w:val="000000"/>
                <w:kern w:val="0"/>
                <w:szCs w:val="22"/>
              </w:rPr>
            </w:pPr>
            <w:r w:rsidRPr="00325607">
              <w:rPr>
                <w:snapToGrid/>
                <w:color w:val="000000"/>
                <w:kern w:val="0"/>
                <w:szCs w:val="22"/>
              </w:rPr>
              <w:t>Amarillo, TX</w:t>
            </w:r>
          </w:p>
        </w:tc>
        <w:tc>
          <w:tcPr>
            <w:tcW w:w="326" w:type="dxa"/>
            <w:tcBorders>
              <w:top w:val="nil"/>
              <w:left w:val="nil"/>
              <w:bottom w:val="single" w:sz="4" w:space="0" w:color="auto"/>
              <w:right w:val="single" w:sz="4" w:space="0" w:color="auto"/>
            </w:tcBorders>
            <w:shd w:val="clear" w:color="auto" w:fill="auto"/>
            <w:noWrap/>
            <w:vAlign w:val="bottom"/>
            <w:hideMark/>
          </w:tcPr>
          <w:p w14:paraId="026708F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5D0B6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2F1EF8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6065FD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8CA89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PEA236</w:t>
            </w:r>
          </w:p>
        </w:tc>
        <w:tc>
          <w:tcPr>
            <w:tcW w:w="3220" w:type="dxa"/>
            <w:tcBorders>
              <w:top w:val="nil"/>
              <w:left w:val="nil"/>
              <w:bottom w:val="single" w:sz="4" w:space="0" w:color="auto"/>
              <w:right w:val="nil"/>
            </w:tcBorders>
            <w:shd w:val="clear" w:color="auto" w:fill="auto"/>
            <w:noWrap/>
            <w:vAlign w:val="bottom"/>
            <w:hideMark/>
          </w:tcPr>
          <w:p w14:paraId="4CF68C7B" w14:textId="77777777" w:rsidR="00A41A74" w:rsidRPr="00325607" w:rsidRDefault="00A41A74" w:rsidP="00325607">
            <w:pPr>
              <w:widowControl/>
              <w:rPr>
                <w:snapToGrid/>
                <w:color w:val="000000"/>
                <w:kern w:val="0"/>
                <w:szCs w:val="22"/>
              </w:rPr>
            </w:pPr>
            <w:r w:rsidRPr="00325607">
              <w:rPr>
                <w:snapToGrid/>
                <w:color w:val="000000"/>
                <w:kern w:val="0"/>
                <w:szCs w:val="22"/>
              </w:rPr>
              <w:t>Grand Island, NE</w:t>
            </w:r>
          </w:p>
        </w:tc>
        <w:tc>
          <w:tcPr>
            <w:tcW w:w="326" w:type="dxa"/>
            <w:tcBorders>
              <w:top w:val="nil"/>
              <w:left w:val="nil"/>
              <w:bottom w:val="single" w:sz="4" w:space="0" w:color="auto"/>
              <w:right w:val="single" w:sz="4" w:space="0" w:color="auto"/>
            </w:tcBorders>
            <w:shd w:val="clear" w:color="auto" w:fill="auto"/>
            <w:noWrap/>
            <w:vAlign w:val="bottom"/>
            <w:hideMark/>
          </w:tcPr>
          <w:p w14:paraId="29782F7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2C1A77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A428C1F"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902E3F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D96F4F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PEA237</w:t>
            </w:r>
          </w:p>
        </w:tc>
        <w:tc>
          <w:tcPr>
            <w:tcW w:w="3220" w:type="dxa"/>
            <w:tcBorders>
              <w:top w:val="nil"/>
              <w:left w:val="nil"/>
              <w:bottom w:val="single" w:sz="4" w:space="0" w:color="auto"/>
              <w:right w:val="nil"/>
            </w:tcBorders>
            <w:shd w:val="clear" w:color="auto" w:fill="auto"/>
            <w:noWrap/>
            <w:vAlign w:val="bottom"/>
            <w:hideMark/>
          </w:tcPr>
          <w:p w14:paraId="2340CDB3" w14:textId="77777777" w:rsidR="00A41A74" w:rsidRPr="00325607" w:rsidRDefault="00A41A74" w:rsidP="00325607">
            <w:pPr>
              <w:widowControl/>
              <w:rPr>
                <w:snapToGrid/>
                <w:color w:val="000000"/>
                <w:kern w:val="0"/>
                <w:szCs w:val="22"/>
              </w:rPr>
            </w:pPr>
            <w:r w:rsidRPr="00325607">
              <w:rPr>
                <w:snapToGrid/>
                <w:color w:val="000000"/>
                <w:kern w:val="0"/>
                <w:szCs w:val="22"/>
              </w:rPr>
              <w:t>Hinesville, GA</w:t>
            </w:r>
          </w:p>
        </w:tc>
        <w:tc>
          <w:tcPr>
            <w:tcW w:w="326" w:type="dxa"/>
            <w:tcBorders>
              <w:top w:val="nil"/>
              <w:left w:val="nil"/>
              <w:bottom w:val="single" w:sz="4" w:space="0" w:color="auto"/>
              <w:right w:val="single" w:sz="4" w:space="0" w:color="auto"/>
            </w:tcBorders>
            <w:shd w:val="clear" w:color="auto" w:fill="auto"/>
            <w:noWrap/>
            <w:vAlign w:val="bottom"/>
            <w:hideMark/>
          </w:tcPr>
          <w:p w14:paraId="08200C6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088334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4248B5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FB17A5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F1817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PEA238</w:t>
            </w:r>
          </w:p>
        </w:tc>
        <w:tc>
          <w:tcPr>
            <w:tcW w:w="3220" w:type="dxa"/>
            <w:tcBorders>
              <w:top w:val="nil"/>
              <w:left w:val="nil"/>
              <w:bottom w:val="single" w:sz="4" w:space="0" w:color="auto"/>
              <w:right w:val="nil"/>
            </w:tcBorders>
            <w:shd w:val="clear" w:color="auto" w:fill="auto"/>
            <w:noWrap/>
            <w:vAlign w:val="bottom"/>
            <w:hideMark/>
          </w:tcPr>
          <w:p w14:paraId="72012F56" w14:textId="77777777" w:rsidR="00A41A74" w:rsidRPr="00325607" w:rsidRDefault="00A41A74" w:rsidP="00325607">
            <w:pPr>
              <w:widowControl/>
              <w:rPr>
                <w:snapToGrid/>
                <w:color w:val="000000"/>
                <w:kern w:val="0"/>
                <w:szCs w:val="22"/>
              </w:rPr>
            </w:pPr>
            <w:r w:rsidRPr="00325607">
              <w:rPr>
                <w:snapToGrid/>
                <w:color w:val="000000"/>
                <w:kern w:val="0"/>
                <w:szCs w:val="22"/>
              </w:rPr>
              <w:t>Florence, SC</w:t>
            </w:r>
          </w:p>
        </w:tc>
        <w:tc>
          <w:tcPr>
            <w:tcW w:w="326" w:type="dxa"/>
            <w:tcBorders>
              <w:top w:val="nil"/>
              <w:left w:val="nil"/>
              <w:bottom w:val="single" w:sz="4" w:space="0" w:color="auto"/>
              <w:right w:val="single" w:sz="4" w:space="0" w:color="auto"/>
            </w:tcBorders>
            <w:shd w:val="clear" w:color="auto" w:fill="auto"/>
            <w:noWrap/>
            <w:vAlign w:val="bottom"/>
            <w:hideMark/>
          </w:tcPr>
          <w:p w14:paraId="3281E66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C7120D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B0591A6"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C31E10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AEA70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PEA239</w:t>
            </w:r>
          </w:p>
        </w:tc>
        <w:tc>
          <w:tcPr>
            <w:tcW w:w="3220" w:type="dxa"/>
            <w:tcBorders>
              <w:top w:val="nil"/>
              <w:left w:val="nil"/>
              <w:bottom w:val="single" w:sz="4" w:space="0" w:color="auto"/>
              <w:right w:val="nil"/>
            </w:tcBorders>
            <w:shd w:val="clear" w:color="auto" w:fill="auto"/>
            <w:noWrap/>
            <w:vAlign w:val="bottom"/>
            <w:hideMark/>
          </w:tcPr>
          <w:p w14:paraId="0549BE17" w14:textId="77777777" w:rsidR="00A41A74" w:rsidRPr="00325607" w:rsidRDefault="00A41A74" w:rsidP="00325607">
            <w:pPr>
              <w:widowControl/>
              <w:rPr>
                <w:snapToGrid/>
                <w:color w:val="000000"/>
                <w:kern w:val="0"/>
                <w:szCs w:val="22"/>
              </w:rPr>
            </w:pPr>
            <w:r w:rsidRPr="00325607">
              <w:rPr>
                <w:snapToGrid/>
                <w:color w:val="000000"/>
                <w:kern w:val="0"/>
                <w:szCs w:val="22"/>
              </w:rPr>
              <w:t>Kannapolis, NC</w:t>
            </w:r>
          </w:p>
        </w:tc>
        <w:tc>
          <w:tcPr>
            <w:tcW w:w="326" w:type="dxa"/>
            <w:tcBorders>
              <w:top w:val="nil"/>
              <w:left w:val="nil"/>
              <w:bottom w:val="single" w:sz="4" w:space="0" w:color="auto"/>
              <w:right w:val="single" w:sz="4" w:space="0" w:color="auto"/>
            </w:tcBorders>
            <w:shd w:val="clear" w:color="auto" w:fill="auto"/>
            <w:noWrap/>
            <w:vAlign w:val="bottom"/>
            <w:hideMark/>
          </w:tcPr>
          <w:p w14:paraId="790E1AF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D2D992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95926CA"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079010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091EA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PEA240</w:t>
            </w:r>
          </w:p>
        </w:tc>
        <w:tc>
          <w:tcPr>
            <w:tcW w:w="3220" w:type="dxa"/>
            <w:tcBorders>
              <w:top w:val="nil"/>
              <w:left w:val="nil"/>
              <w:bottom w:val="single" w:sz="4" w:space="0" w:color="auto"/>
              <w:right w:val="nil"/>
            </w:tcBorders>
            <w:shd w:val="clear" w:color="auto" w:fill="auto"/>
            <w:noWrap/>
            <w:vAlign w:val="bottom"/>
            <w:hideMark/>
          </w:tcPr>
          <w:p w14:paraId="18DC7787" w14:textId="77777777" w:rsidR="00A41A74" w:rsidRPr="00325607" w:rsidRDefault="00A41A74" w:rsidP="00325607">
            <w:pPr>
              <w:widowControl/>
              <w:rPr>
                <w:snapToGrid/>
                <w:color w:val="000000"/>
                <w:kern w:val="0"/>
                <w:szCs w:val="22"/>
              </w:rPr>
            </w:pPr>
            <w:r w:rsidRPr="00325607">
              <w:rPr>
                <w:snapToGrid/>
                <w:color w:val="000000"/>
                <w:kern w:val="0"/>
                <w:szCs w:val="22"/>
              </w:rPr>
              <w:t>Charlottesville, VA</w:t>
            </w:r>
          </w:p>
        </w:tc>
        <w:tc>
          <w:tcPr>
            <w:tcW w:w="326" w:type="dxa"/>
            <w:tcBorders>
              <w:top w:val="nil"/>
              <w:left w:val="nil"/>
              <w:bottom w:val="single" w:sz="4" w:space="0" w:color="auto"/>
              <w:right w:val="single" w:sz="4" w:space="0" w:color="auto"/>
            </w:tcBorders>
            <w:shd w:val="clear" w:color="auto" w:fill="auto"/>
            <w:noWrap/>
            <w:vAlign w:val="bottom"/>
            <w:hideMark/>
          </w:tcPr>
          <w:p w14:paraId="5CE2348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0631F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1B8253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398C8C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D28628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PEA241</w:t>
            </w:r>
          </w:p>
        </w:tc>
        <w:tc>
          <w:tcPr>
            <w:tcW w:w="3220" w:type="dxa"/>
            <w:tcBorders>
              <w:top w:val="nil"/>
              <w:left w:val="nil"/>
              <w:bottom w:val="single" w:sz="4" w:space="0" w:color="auto"/>
              <w:right w:val="nil"/>
            </w:tcBorders>
            <w:shd w:val="clear" w:color="auto" w:fill="auto"/>
            <w:noWrap/>
            <w:vAlign w:val="bottom"/>
            <w:hideMark/>
          </w:tcPr>
          <w:p w14:paraId="01587C62" w14:textId="77777777" w:rsidR="00A41A74" w:rsidRPr="00325607" w:rsidRDefault="00A41A74" w:rsidP="00325607">
            <w:pPr>
              <w:widowControl/>
              <w:rPr>
                <w:snapToGrid/>
                <w:color w:val="000000"/>
                <w:kern w:val="0"/>
                <w:szCs w:val="22"/>
              </w:rPr>
            </w:pPr>
            <w:r w:rsidRPr="00325607">
              <w:rPr>
                <w:snapToGrid/>
                <w:color w:val="000000"/>
                <w:kern w:val="0"/>
                <w:szCs w:val="22"/>
              </w:rPr>
              <w:t>Dublin, GA</w:t>
            </w:r>
          </w:p>
        </w:tc>
        <w:tc>
          <w:tcPr>
            <w:tcW w:w="326" w:type="dxa"/>
            <w:tcBorders>
              <w:top w:val="nil"/>
              <w:left w:val="nil"/>
              <w:bottom w:val="single" w:sz="4" w:space="0" w:color="auto"/>
              <w:right w:val="single" w:sz="4" w:space="0" w:color="auto"/>
            </w:tcBorders>
            <w:shd w:val="clear" w:color="auto" w:fill="auto"/>
            <w:noWrap/>
            <w:vAlign w:val="bottom"/>
            <w:hideMark/>
          </w:tcPr>
          <w:p w14:paraId="3AA87CF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CCDEC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2E418D1"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2BB7FD8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75BD66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PEA242</w:t>
            </w:r>
          </w:p>
        </w:tc>
        <w:tc>
          <w:tcPr>
            <w:tcW w:w="3220" w:type="dxa"/>
            <w:tcBorders>
              <w:top w:val="nil"/>
              <w:left w:val="nil"/>
              <w:bottom w:val="single" w:sz="4" w:space="0" w:color="auto"/>
              <w:right w:val="nil"/>
            </w:tcBorders>
            <w:shd w:val="clear" w:color="auto" w:fill="auto"/>
            <w:noWrap/>
            <w:vAlign w:val="bottom"/>
            <w:hideMark/>
          </w:tcPr>
          <w:p w14:paraId="293E2D47" w14:textId="77777777" w:rsidR="00A41A74" w:rsidRPr="00325607" w:rsidRDefault="00A41A74" w:rsidP="00325607">
            <w:pPr>
              <w:widowControl/>
              <w:rPr>
                <w:snapToGrid/>
                <w:color w:val="000000"/>
                <w:kern w:val="0"/>
                <w:szCs w:val="22"/>
              </w:rPr>
            </w:pPr>
            <w:r w:rsidRPr="00325607">
              <w:rPr>
                <w:snapToGrid/>
                <w:color w:val="000000"/>
                <w:kern w:val="0"/>
                <w:szCs w:val="22"/>
              </w:rPr>
              <w:t>Lake Charles, LA</w:t>
            </w:r>
          </w:p>
        </w:tc>
        <w:tc>
          <w:tcPr>
            <w:tcW w:w="326" w:type="dxa"/>
            <w:tcBorders>
              <w:top w:val="nil"/>
              <w:left w:val="nil"/>
              <w:bottom w:val="single" w:sz="4" w:space="0" w:color="auto"/>
              <w:right w:val="single" w:sz="4" w:space="0" w:color="auto"/>
            </w:tcBorders>
            <w:shd w:val="clear" w:color="auto" w:fill="auto"/>
            <w:noWrap/>
            <w:vAlign w:val="bottom"/>
            <w:hideMark/>
          </w:tcPr>
          <w:p w14:paraId="515BC52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8A814A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32D4B8B"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93579E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85B20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PEA243</w:t>
            </w:r>
          </w:p>
        </w:tc>
        <w:tc>
          <w:tcPr>
            <w:tcW w:w="3220" w:type="dxa"/>
            <w:tcBorders>
              <w:top w:val="nil"/>
              <w:left w:val="nil"/>
              <w:bottom w:val="single" w:sz="4" w:space="0" w:color="auto"/>
              <w:right w:val="nil"/>
            </w:tcBorders>
            <w:shd w:val="clear" w:color="auto" w:fill="auto"/>
            <w:noWrap/>
            <w:vAlign w:val="bottom"/>
            <w:hideMark/>
          </w:tcPr>
          <w:p w14:paraId="400C9BA7" w14:textId="77777777" w:rsidR="00A41A74" w:rsidRPr="00325607" w:rsidRDefault="00A41A74" w:rsidP="00325607">
            <w:pPr>
              <w:widowControl/>
              <w:rPr>
                <w:snapToGrid/>
                <w:color w:val="000000"/>
                <w:kern w:val="0"/>
                <w:szCs w:val="22"/>
              </w:rPr>
            </w:pPr>
            <w:r w:rsidRPr="00325607">
              <w:rPr>
                <w:snapToGrid/>
                <w:color w:val="000000"/>
                <w:kern w:val="0"/>
                <w:szCs w:val="22"/>
              </w:rPr>
              <w:t>Paducah, KY</w:t>
            </w:r>
          </w:p>
        </w:tc>
        <w:tc>
          <w:tcPr>
            <w:tcW w:w="326" w:type="dxa"/>
            <w:tcBorders>
              <w:top w:val="nil"/>
              <w:left w:val="nil"/>
              <w:bottom w:val="single" w:sz="4" w:space="0" w:color="auto"/>
              <w:right w:val="single" w:sz="4" w:space="0" w:color="auto"/>
            </w:tcBorders>
            <w:shd w:val="clear" w:color="auto" w:fill="auto"/>
            <w:noWrap/>
            <w:vAlign w:val="bottom"/>
            <w:hideMark/>
          </w:tcPr>
          <w:p w14:paraId="3EBC23F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2BCB3D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C4B20C9"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81975C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92D70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PEA244</w:t>
            </w:r>
          </w:p>
        </w:tc>
        <w:tc>
          <w:tcPr>
            <w:tcW w:w="3220" w:type="dxa"/>
            <w:tcBorders>
              <w:top w:val="nil"/>
              <w:left w:val="nil"/>
              <w:bottom w:val="single" w:sz="4" w:space="0" w:color="auto"/>
              <w:right w:val="nil"/>
            </w:tcBorders>
            <w:shd w:val="clear" w:color="auto" w:fill="auto"/>
            <w:noWrap/>
            <w:vAlign w:val="bottom"/>
            <w:hideMark/>
          </w:tcPr>
          <w:p w14:paraId="634F28C3" w14:textId="77777777" w:rsidR="00A41A74" w:rsidRPr="00325607" w:rsidRDefault="00A41A74" w:rsidP="00325607">
            <w:pPr>
              <w:widowControl/>
              <w:rPr>
                <w:snapToGrid/>
                <w:color w:val="000000"/>
                <w:kern w:val="0"/>
                <w:szCs w:val="22"/>
              </w:rPr>
            </w:pPr>
            <w:r w:rsidRPr="00325607">
              <w:rPr>
                <w:snapToGrid/>
                <w:color w:val="000000"/>
                <w:kern w:val="0"/>
                <w:szCs w:val="22"/>
              </w:rPr>
              <w:t>Manhattan, KS</w:t>
            </w:r>
          </w:p>
        </w:tc>
        <w:tc>
          <w:tcPr>
            <w:tcW w:w="326" w:type="dxa"/>
            <w:tcBorders>
              <w:top w:val="nil"/>
              <w:left w:val="nil"/>
              <w:bottom w:val="single" w:sz="4" w:space="0" w:color="auto"/>
              <w:right w:val="single" w:sz="4" w:space="0" w:color="auto"/>
            </w:tcBorders>
            <w:shd w:val="clear" w:color="auto" w:fill="auto"/>
            <w:noWrap/>
            <w:vAlign w:val="bottom"/>
            <w:hideMark/>
          </w:tcPr>
          <w:p w14:paraId="6EDBB42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D9B2AE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4CA1877"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4A4CB72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C755D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PEA245</w:t>
            </w:r>
          </w:p>
        </w:tc>
        <w:tc>
          <w:tcPr>
            <w:tcW w:w="3220" w:type="dxa"/>
            <w:tcBorders>
              <w:top w:val="nil"/>
              <w:left w:val="nil"/>
              <w:bottom w:val="single" w:sz="4" w:space="0" w:color="auto"/>
              <w:right w:val="nil"/>
            </w:tcBorders>
            <w:shd w:val="clear" w:color="auto" w:fill="auto"/>
            <w:noWrap/>
            <w:vAlign w:val="bottom"/>
            <w:hideMark/>
          </w:tcPr>
          <w:p w14:paraId="3135D694" w14:textId="77777777" w:rsidR="00A41A74" w:rsidRPr="00325607" w:rsidRDefault="00A41A74" w:rsidP="00325607">
            <w:pPr>
              <w:widowControl/>
              <w:rPr>
                <w:snapToGrid/>
                <w:color w:val="000000"/>
                <w:kern w:val="0"/>
                <w:szCs w:val="22"/>
              </w:rPr>
            </w:pPr>
            <w:r w:rsidRPr="00325607">
              <w:rPr>
                <w:snapToGrid/>
                <w:color w:val="000000"/>
                <w:kern w:val="0"/>
                <w:szCs w:val="22"/>
              </w:rPr>
              <w:t>West Plains, MO</w:t>
            </w:r>
          </w:p>
        </w:tc>
        <w:tc>
          <w:tcPr>
            <w:tcW w:w="326" w:type="dxa"/>
            <w:tcBorders>
              <w:top w:val="nil"/>
              <w:left w:val="nil"/>
              <w:bottom w:val="single" w:sz="4" w:space="0" w:color="auto"/>
              <w:right w:val="single" w:sz="4" w:space="0" w:color="auto"/>
            </w:tcBorders>
            <w:shd w:val="clear" w:color="auto" w:fill="auto"/>
            <w:noWrap/>
            <w:vAlign w:val="bottom"/>
            <w:hideMark/>
          </w:tcPr>
          <w:p w14:paraId="7975B6B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3EE96B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6318D267"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A1093A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C1AFE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PEA246</w:t>
            </w:r>
          </w:p>
        </w:tc>
        <w:tc>
          <w:tcPr>
            <w:tcW w:w="3220" w:type="dxa"/>
            <w:tcBorders>
              <w:top w:val="nil"/>
              <w:left w:val="nil"/>
              <w:bottom w:val="single" w:sz="4" w:space="0" w:color="auto"/>
              <w:right w:val="nil"/>
            </w:tcBorders>
            <w:shd w:val="clear" w:color="auto" w:fill="auto"/>
            <w:noWrap/>
            <w:vAlign w:val="bottom"/>
            <w:hideMark/>
          </w:tcPr>
          <w:p w14:paraId="32AA0753" w14:textId="77777777" w:rsidR="00A41A74" w:rsidRPr="00325607" w:rsidRDefault="00A41A74" w:rsidP="00325607">
            <w:pPr>
              <w:widowControl/>
              <w:rPr>
                <w:snapToGrid/>
                <w:color w:val="000000"/>
                <w:kern w:val="0"/>
                <w:szCs w:val="22"/>
              </w:rPr>
            </w:pPr>
            <w:r w:rsidRPr="00325607">
              <w:rPr>
                <w:snapToGrid/>
                <w:color w:val="000000"/>
                <w:kern w:val="0"/>
                <w:szCs w:val="22"/>
              </w:rPr>
              <w:t>Auburn, AL</w:t>
            </w:r>
          </w:p>
        </w:tc>
        <w:tc>
          <w:tcPr>
            <w:tcW w:w="326" w:type="dxa"/>
            <w:tcBorders>
              <w:top w:val="nil"/>
              <w:left w:val="nil"/>
              <w:bottom w:val="single" w:sz="4" w:space="0" w:color="auto"/>
              <w:right w:val="single" w:sz="4" w:space="0" w:color="auto"/>
            </w:tcBorders>
            <w:shd w:val="clear" w:color="auto" w:fill="auto"/>
            <w:noWrap/>
            <w:vAlign w:val="bottom"/>
            <w:hideMark/>
          </w:tcPr>
          <w:p w14:paraId="3FE7BD0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4B0F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297F14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29728CA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8FE2DF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PEA247</w:t>
            </w:r>
          </w:p>
        </w:tc>
        <w:tc>
          <w:tcPr>
            <w:tcW w:w="3220" w:type="dxa"/>
            <w:tcBorders>
              <w:top w:val="nil"/>
              <w:left w:val="nil"/>
              <w:bottom w:val="single" w:sz="4" w:space="0" w:color="auto"/>
              <w:right w:val="nil"/>
            </w:tcBorders>
            <w:shd w:val="clear" w:color="auto" w:fill="auto"/>
            <w:noWrap/>
            <w:vAlign w:val="bottom"/>
            <w:hideMark/>
          </w:tcPr>
          <w:p w14:paraId="0A370A18" w14:textId="77777777" w:rsidR="00A41A74" w:rsidRPr="00325607" w:rsidRDefault="00A41A74" w:rsidP="00325607">
            <w:pPr>
              <w:widowControl/>
              <w:rPr>
                <w:snapToGrid/>
                <w:color w:val="000000"/>
                <w:kern w:val="0"/>
                <w:szCs w:val="22"/>
              </w:rPr>
            </w:pPr>
            <w:r w:rsidRPr="00325607">
              <w:rPr>
                <w:snapToGrid/>
                <w:color w:val="000000"/>
                <w:kern w:val="0"/>
                <w:szCs w:val="22"/>
              </w:rPr>
              <w:t>Nampa, ID</w:t>
            </w:r>
          </w:p>
        </w:tc>
        <w:tc>
          <w:tcPr>
            <w:tcW w:w="326" w:type="dxa"/>
            <w:tcBorders>
              <w:top w:val="nil"/>
              <w:left w:val="nil"/>
              <w:bottom w:val="single" w:sz="4" w:space="0" w:color="auto"/>
              <w:right w:val="single" w:sz="4" w:space="0" w:color="auto"/>
            </w:tcBorders>
            <w:shd w:val="clear" w:color="auto" w:fill="auto"/>
            <w:noWrap/>
            <w:vAlign w:val="bottom"/>
            <w:hideMark/>
          </w:tcPr>
          <w:p w14:paraId="7C8B039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C16E0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4BCC8D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9AB835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A8A5E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PEA248</w:t>
            </w:r>
          </w:p>
        </w:tc>
        <w:tc>
          <w:tcPr>
            <w:tcW w:w="3220" w:type="dxa"/>
            <w:tcBorders>
              <w:top w:val="nil"/>
              <w:left w:val="nil"/>
              <w:bottom w:val="single" w:sz="4" w:space="0" w:color="auto"/>
              <w:right w:val="nil"/>
            </w:tcBorders>
            <w:shd w:val="clear" w:color="auto" w:fill="auto"/>
            <w:noWrap/>
            <w:vAlign w:val="bottom"/>
            <w:hideMark/>
          </w:tcPr>
          <w:p w14:paraId="19685A6E" w14:textId="77777777" w:rsidR="00A41A74" w:rsidRPr="00325607" w:rsidRDefault="00A41A74" w:rsidP="00325607">
            <w:pPr>
              <w:widowControl/>
              <w:rPr>
                <w:snapToGrid/>
                <w:color w:val="000000"/>
                <w:kern w:val="0"/>
                <w:szCs w:val="22"/>
              </w:rPr>
            </w:pPr>
            <w:r w:rsidRPr="00325607">
              <w:rPr>
                <w:snapToGrid/>
                <w:color w:val="000000"/>
                <w:kern w:val="0"/>
                <w:szCs w:val="22"/>
              </w:rPr>
              <w:t>Sumter, SC</w:t>
            </w:r>
          </w:p>
        </w:tc>
        <w:tc>
          <w:tcPr>
            <w:tcW w:w="326" w:type="dxa"/>
            <w:tcBorders>
              <w:top w:val="nil"/>
              <w:left w:val="nil"/>
              <w:bottom w:val="single" w:sz="4" w:space="0" w:color="auto"/>
              <w:right w:val="single" w:sz="4" w:space="0" w:color="auto"/>
            </w:tcBorders>
            <w:shd w:val="clear" w:color="auto" w:fill="auto"/>
            <w:noWrap/>
            <w:vAlign w:val="bottom"/>
            <w:hideMark/>
          </w:tcPr>
          <w:p w14:paraId="5361E78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FB2CE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7F5BEF4"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05491B2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3DB4FC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PEA249</w:t>
            </w:r>
          </w:p>
        </w:tc>
        <w:tc>
          <w:tcPr>
            <w:tcW w:w="3220" w:type="dxa"/>
            <w:tcBorders>
              <w:top w:val="nil"/>
              <w:left w:val="nil"/>
              <w:bottom w:val="single" w:sz="4" w:space="0" w:color="auto"/>
              <w:right w:val="nil"/>
            </w:tcBorders>
            <w:shd w:val="clear" w:color="auto" w:fill="auto"/>
            <w:noWrap/>
            <w:vAlign w:val="bottom"/>
            <w:hideMark/>
          </w:tcPr>
          <w:p w14:paraId="5F8FE8E5" w14:textId="77777777" w:rsidR="00A41A74" w:rsidRPr="00325607" w:rsidRDefault="00A41A74" w:rsidP="00325607">
            <w:pPr>
              <w:widowControl/>
              <w:rPr>
                <w:snapToGrid/>
                <w:color w:val="000000"/>
                <w:kern w:val="0"/>
                <w:szCs w:val="22"/>
              </w:rPr>
            </w:pPr>
            <w:r w:rsidRPr="00325607">
              <w:rPr>
                <w:snapToGrid/>
                <w:color w:val="000000"/>
                <w:kern w:val="0"/>
                <w:szCs w:val="22"/>
              </w:rPr>
              <w:t>Bryan, TX</w:t>
            </w:r>
          </w:p>
        </w:tc>
        <w:tc>
          <w:tcPr>
            <w:tcW w:w="326" w:type="dxa"/>
            <w:tcBorders>
              <w:top w:val="nil"/>
              <w:left w:val="nil"/>
              <w:bottom w:val="single" w:sz="4" w:space="0" w:color="auto"/>
              <w:right w:val="single" w:sz="4" w:space="0" w:color="auto"/>
            </w:tcBorders>
            <w:shd w:val="clear" w:color="auto" w:fill="auto"/>
            <w:noWrap/>
            <w:vAlign w:val="bottom"/>
            <w:hideMark/>
          </w:tcPr>
          <w:p w14:paraId="2EE6791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AC0A11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AF1474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0D4F21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0A495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PEA250</w:t>
            </w:r>
          </w:p>
        </w:tc>
        <w:tc>
          <w:tcPr>
            <w:tcW w:w="3220" w:type="dxa"/>
            <w:tcBorders>
              <w:top w:val="nil"/>
              <w:left w:val="nil"/>
              <w:bottom w:val="single" w:sz="4" w:space="0" w:color="auto"/>
              <w:right w:val="nil"/>
            </w:tcBorders>
            <w:shd w:val="clear" w:color="auto" w:fill="auto"/>
            <w:noWrap/>
            <w:vAlign w:val="bottom"/>
            <w:hideMark/>
          </w:tcPr>
          <w:p w14:paraId="24F97ED6" w14:textId="77777777" w:rsidR="00A41A74" w:rsidRPr="00325607" w:rsidRDefault="00A41A74" w:rsidP="00325607">
            <w:pPr>
              <w:widowControl/>
              <w:rPr>
                <w:snapToGrid/>
                <w:color w:val="000000"/>
                <w:kern w:val="0"/>
                <w:szCs w:val="22"/>
              </w:rPr>
            </w:pPr>
            <w:r w:rsidRPr="00325607">
              <w:rPr>
                <w:snapToGrid/>
                <w:color w:val="000000"/>
                <w:kern w:val="0"/>
                <w:szCs w:val="22"/>
              </w:rPr>
              <w:t>Las Cruces, NM</w:t>
            </w:r>
          </w:p>
        </w:tc>
        <w:tc>
          <w:tcPr>
            <w:tcW w:w="326" w:type="dxa"/>
            <w:tcBorders>
              <w:top w:val="nil"/>
              <w:left w:val="nil"/>
              <w:bottom w:val="single" w:sz="4" w:space="0" w:color="auto"/>
              <w:right w:val="single" w:sz="4" w:space="0" w:color="auto"/>
            </w:tcBorders>
            <w:shd w:val="clear" w:color="auto" w:fill="auto"/>
            <w:noWrap/>
            <w:vAlign w:val="bottom"/>
            <w:hideMark/>
          </w:tcPr>
          <w:p w14:paraId="1283908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4CCB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934921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26324A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583A9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PEA251</w:t>
            </w:r>
          </w:p>
        </w:tc>
        <w:tc>
          <w:tcPr>
            <w:tcW w:w="3220" w:type="dxa"/>
            <w:tcBorders>
              <w:top w:val="nil"/>
              <w:left w:val="nil"/>
              <w:bottom w:val="single" w:sz="4" w:space="0" w:color="auto"/>
              <w:right w:val="nil"/>
            </w:tcBorders>
            <w:shd w:val="clear" w:color="auto" w:fill="auto"/>
            <w:noWrap/>
            <w:vAlign w:val="bottom"/>
            <w:hideMark/>
          </w:tcPr>
          <w:p w14:paraId="07CD8636" w14:textId="77777777" w:rsidR="00A41A74" w:rsidRPr="00325607" w:rsidRDefault="00A41A74" w:rsidP="00325607">
            <w:pPr>
              <w:widowControl/>
              <w:rPr>
                <w:snapToGrid/>
                <w:color w:val="000000"/>
                <w:kern w:val="0"/>
                <w:szCs w:val="22"/>
              </w:rPr>
            </w:pPr>
            <w:r w:rsidRPr="00325607">
              <w:rPr>
                <w:snapToGrid/>
                <w:color w:val="000000"/>
                <w:kern w:val="0"/>
                <w:szCs w:val="22"/>
              </w:rPr>
              <w:t>Salina, KS</w:t>
            </w:r>
          </w:p>
        </w:tc>
        <w:tc>
          <w:tcPr>
            <w:tcW w:w="326" w:type="dxa"/>
            <w:tcBorders>
              <w:top w:val="nil"/>
              <w:left w:val="nil"/>
              <w:bottom w:val="single" w:sz="4" w:space="0" w:color="auto"/>
              <w:right w:val="single" w:sz="4" w:space="0" w:color="auto"/>
            </w:tcBorders>
            <w:shd w:val="clear" w:color="auto" w:fill="auto"/>
            <w:noWrap/>
            <w:vAlign w:val="bottom"/>
            <w:hideMark/>
          </w:tcPr>
          <w:p w14:paraId="72A26BA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09D68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0784E5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D8C644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81A62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PEA252</w:t>
            </w:r>
          </w:p>
        </w:tc>
        <w:tc>
          <w:tcPr>
            <w:tcW w:w="3220" w:type="dxa"/>
            <w:tcBorders>
              <w:top w:val="nil"/>
              <w:left w:val="nil"/>
              <w:bottom w:val="single" w:sz="4" w:space="0" w:color="auto"/>
              <w:right w:val="nil"/>
            </w:tcBorders>
            <w:shd w:val="clear" w:color="auto" w:fill="auto"/>
            <w:noWrap/>
            <w:vAlign w:val="bottom"/>
            <w:hideMark/>
          </w:tcPr>
          <w:p w14:paraId="18CF43AD" w14:textId="77777777" w:rsidR="00A41A74" w:rsidRPr="00325607" w:rsidRDefault="00A41A74" w:rsidP="00325607">
            <w:pPr>
              <w:widowControl/>
              <w:rPr>
                <w:snapToGrid/>
                <w:color w:val="000000"/>
                <w:kern w:val="0"/>
                <w:szCs w:val="22"/>
              </w:rPr>
            </w:pPr>
            <w:r w:rsidRPr="00325607">
              <w:rPr>
                <w:snapToGrid/>
                <w:color w:val="000000"/>
                <w:kern w:val="0"/>
                <w:szCs w:val="22"/>
              </w:rPr>
              <w:t>Sioux City, IA</w:t>
            </w:r>
          </w:p>
        </w:tc>
        <w:tc>
          <w:tcPr>
            <w:tcW w:w="326" w:type="dxa"/>
            <w:tcBorders>
              <w:top w:val="nil"/>
              <w:left w:val="nil"/>
              <w:bottom w:val="single" w:sz="4" w:space="0" w:color="auto"/>
              <w:right w:val="single" w:sz="4" w:space="0" w:color="auto"/>
            </w:tcBorders>
            <w:shd w:val="clear" w:color="auto" w:fill="auto"/>
            <w:noWrap/>
            <w:vAlign w:val="bottom"/>
            <w:hideMark/>
          </w:tcPr>
          <w:p w14:paraId="6264136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449EC5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2FC210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1D5751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DEF19D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PEA253</w:t>
            </w:r>
          </w:p>
        </w:tc>
        <w:tc>
          <w:tcPr>
            <w:tcW w:w="3220" w:type="dxa"/>
            <w:tcBorders>
              <w:top w:val="nil"/>
              <w:left w:val="nil"/>
              <w:bottom w:val="single" w:sz="4" w:space="0" w:color="auto"/>
              <w:right w:val="nil"/>
            </w:tcBorders>
            <w:shd w:val="clear" w:color="auto" w:fill="auto"/>
            <w:noWrap/>
            <w:vAlign w:val="bottom"/>
            <w:hideMark/>
          </w:tcPr>
          <w:p w14:paraId="18BEE2EA" w14:textId="77777777" w:rsidR="00A41A74" w:rsidRPr="00325607" w:rsidRDefault="00A41A74" w:rsidP="00325607">
            <w:pPr>
              <w:widowControl/>
              <w:rPr>
                <w:snapToGrid/>
                <w:color w:val="000000"/>
                <w:kern w:val="0"/>
                <w:szCs w:val="22"/>
              </w:rPr>
            </w:pPr>
            <w:r w:rsidRPr="00325607">
              <w:rPr>
                <w:snapToGrid/>
                <w:color w:val="000000"/>
                <w:kern w:val="0"/>
                <w:szCs w:val="22"/>
              </w:rPr>
              <w:t>Baraboo, WI</w:t>
            </w:r>
          </w:p>
        </w:tc>
        <w:tc>
          <w:tcPr>
            <w:tcW w:w="326" w:type="dxa"/>
            <w:tcBorders>
              <w:top w:val="nil"/>
              <w:left w:val="nil"/>
              <w:bottom w:val="single" w:sz="4" w:space="0" w:color="auto"/>
              <w:right w:val="single" w:sz="4" w:space="0" w:color="auto"/>
            </w:tcBorders>
            <w:shd w:val="clear" w:color="auto" w:fill="auto"/>
            <w:noWrap/>
            <w:vAlign w:val="bottom"/>
            <w:hideMark/>
          </w:tcPr>
          <w:p w14:paraId="6E13D90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79362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71F964A"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1E85F5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F9D5E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PEA254</w:t>
            </w:r>
          </w:p>
        </w:tc>
        <w:tc>
          <w:tcPr>
            <w:tcW w:w="3220" w:type="dxa"/>
            <w:tcBorders>
              <w:top w:val="nil"/>
              <w:left w:val="nil"/>
              <w:bottom w:val="single" w:sz="4" w:space="0" w:color="auto"/>
              <w:right w:val="nil"/>
            </w:tcBorders>
            <w:shd w:val="clear" w:color="auto" w:fill="auto"/>
            <w:noWrap/>
            <w:vAlign w:val="bottom"/>
            <w:hideMark/>
          </w:tcPr>
          <w:p w14:paraId="6F8F39D5" w14:textId="77777777" w:rsidR="00A41A74" w:rsidRPr="00325607" w:rsidRDefault="00A41A74" w:rsidP="00325607">
            <w:pPr>
              <w:widowControl/>
              <w:rPr>
                <w:snapToGrid/>
                <w:color w:val="000000"/>
                <w:kern w:val="0"/>
                <w:szCs w:val="22"/>
              </w:rPr>
            </w:pPr>
            <w:r w:rsidRPr="00325607">
              <w:rPr>
                <w:snapToGrid/>
                <w:color w:val="000000"/>
                <w:kern w:val="0"/>
                <w:szCs w:val="22"/>
              </w:rPr>
              <w:t>Merrill, WI</w:t>
            </w:r>
          </w:p>
        </w:tc>
        <w:tc>
          <w:tcPr>
            <w:tcW w:w="326" w:type="dxa"/>
            <w:tcBorders>
              <w:top w:val="nil"/>
              <w:left w:val="nil"/>
              <w:bottom w:val="single" w:sz="4" w:space="0" w:color="auto"/>
              <w:right w:val="single" w:sz="4" w:space="0" w:color="auto"/>
            </w:tcBorders>
            <w:shd w:val="clear" w:color="auto" w:fill="auto"/>
            <w:noWrap/>
            <w:vAlign w:val="bottom"/>
            <w:hideMark/>
          </w:tcPr>
          <w:p w14:paraId="64AA8E7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E27A52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1F8693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A83D054"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E14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PEA255</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6D7BA2F4" w14:textId="77777777" w:rsidR="00A41A74" w:rsidRPr="00325607" w:rsidRDefault="00A41A74" w:rsidP="00325607">
            <w:pPr>
              <w:widowControl/>
              <w:rPr>
                <w:snapToGrid/>
                <w:color w:val="000000"/>
                <w:kern w:val="0"/>
                <w:szCs w:val="22"/>
              </w:rPr>
            </w:pPr>
            <w:r w:rsidRPr="00325607">
              <w:rPr>
                <w:snapToGrid/>
                <w:color w:val="000000"/>
                <w:kern w:val="0"/>
                <w:szCs w:val="22"/>
              </w:rPr>
              <w:t>Greenville, MS</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3B276453"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09D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2EBFB"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F8CC33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DDBFFA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PEA256</w:t>
            </w:r>
          </w:p>
        </w:tc>
        <w:tc>
          <w:tcPr>
            <w:tcW w:w="3220" w:type="dxa"/>
            <w:tcBorders>
              <w:top w:val="nil"/>
              <w:left w:val="nil"/>
              <w:bottom w:val="single" w:sz="4" w:space="0" w:color="auto"/>
              <w:right w:val="nil"/>
            </w:tcBorders>
            <w:shd w:val="clear" w:color="auto" w:fill="auto"/>
            <w:noWrap/>
            <w:vAlign w:val="bottom"/>
            <w:hideMark/>
          </w:tcPr>
          <w:p w14:paraId="4BEC95E5" w14:textId="77777777" w:rsidR="00A41A74" w:rsidRPr="00325607" w:rsidRDefault="00A41A74" w:rsidP="00325607">
            <w:pPr>
              <w:widowControl/>
              <w:rPr>
                <w:snapToGrid/>
                <w:color w:val="000000"/>
                <w:kern w:val="0"/>
                <w:szCs w:val="22"/>
              </w:rPr>
            </w:pPr>
            <w:r w:rsidRPr="00325607">
              <w:rPr>
                <w:snapToGrid/>
                <w:color w:val="000000"/>
                <w:kern w:val="0"/>
                <w:szCs w:val="22"/>
              </w:rPr>
              <w:t>Lynchburg, VA</w:t>
            </w:r>
          </w:p>
        </w:tc>
        <w:tc>
          <w:tcPr>
            <w:tcW w:w="326" w:type="dxa"/>
            <w:tcBorders>
              <w:top w:val="nil"/>
              <w:left w:val="nil"/>
              <w:bottom w:val="single" w:sz="4" w:space="0" w:color="auto"/>
              <w:right w:val="single" w:sz="4" w:space="0" w:color="auto"/>
            </w:tcBorders>
            <w:shd w:val="clear" w:color="auto" w:fill="auto"/>
            <w:noWrap/>
            <w:vAlign w:val="bottom"/>
            <w:hideMark/>
          </w:tcPr>
          <w:p w14:paraId="4E3F4A4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D12838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A4DA3A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05398F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62AFF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PEA257</w:t>
            </w:r>
          </w:p>
        </w:tc>
        <w:tc>
          <w:tcPr>
            <w:tcW w:w="3220" w:type="dxa"/>
            <w:tcBorders>
              <w:top w:val="nil"/>
              <w:left w:val="nil"/>
              <w:bottom w:val="single" w:sz="4" w:space="0" w:color="auto"/>
              <w:right w:val="nil"/>
            </w:tcBorders>
            <w:shd w:val="clear" w:color="auto" w:fill="auto"/>
            <w:noWrap/>
            <w:vAlign w:val="bottom"/>
            <w:hideMark/>
          </w:tcPr>
          <w:p w14:paraId="5A9AE937" w14:textId="77777777" w:rsidR="00A41A74" w:rsidRPr="00325607" w:rsidRDefault="00A41A74" w:rsidP="00325607">
            <w:pPr>
              <w:widowControl/>
              <w:rPr>
                <w:snapToGrid/>
                <w:color w:val="000000"/>
                <w:kern w:val="0"/>
                <w:szCs w:val="22"/>
              </w:rPr>
            </w:pPr>
            <w:r w:rsidRPr="00325607">
              <w:rPr>
                <w:snapToGrid/>
                <w:color w:val="000000"/>
                <w:kern w:val="0"/>
                <w:szCs w:val="22"/>
              </w:rPr>
              <w:t>Cheyenne, WY</w:t>
            </w:r>
          </w:p>
        </w:tc>
        <w:tc>
          <w:tcPr>
            <w:tcW w:w="326" w:type="dxa"/>
            <w:tcBorders>
              <w:top w:val="nil"/>
              <w:left w:val="nil"/>
              <w:bottom w:val="single" w:sz="4" w:space="0" w:color="auto"/>
              <w:right w:val="single" w:sz="4" w:space="0" w:color="auto"/>
            </w:tcBorders>
            <w:shd w:val="clear" w:color="auto" w:fill="auto"/>
            <w:noWrap/>
            <w:vAlign w:val="bottom"/>
            <w:hideMark/>
          </w:tcPr>
          <w:p w14:paraId="03F1BBC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BBD57C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9DD0D4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82618E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1F0CD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PEA258</w:t>
            </w:r>
          </w:p>
        </w:tc>
        <w:tc>
          <w:tcPr>
            <w:tcW w:w="3220" w:type="dxa"/>
            <w:tcBorders>
              <w:top w:val="nil"/>
              <w:left w:val="nil"/>
              <w:bottom w:val="single" w:sz="4" w:space="0" w:color="auto"/>
              <w:right w:val="nil"/>
            </w:tcBorders>
            <w:shd w:val="clear" w:color="auto" w:fill="auto"/>
            <w:noWrap/>
            <w:vAlign w:val="bottom"/>
            <w:hideMark/>
          </w:tcPr>
          <w:p w14:paraId="2C3CBC9F" w14:textId="77777777" w:rsidR="00A41A74" w:rsidRPr="00325607" w:rsidRDefault="00A41A74" w:rsidP="00325607">
            <w:pPr>
              <w:widowControl/>
              <w:rPr>
                <w:snapToGrid/>
                <w:color w:val="000000"/>
                <w:kern w:val="0"/>
                <w:szCs w:val="22"/>
              </w:rPr>
            </w:pPr>
            <w:r w:rsidRPr="00325607">
              <w:rPr>
                <w:snapToGrid/>
                <w:color w:val="000000"/>
                <w:kern w:val="0"/>
                <w:szCs w:val="22"/>
              </w:rPr>
              <w:t>Cullman, AL</w:t>
            </w:r>
          </w:p>
        </w:tc>
        <w:tc>
          <w:tcPr>
            <w:tcW w:w="326" w:type="dxa"/>
            <w:tcBorders>
              <w:top w:val="nil"/>
              <w:left w:val="nil"/>
              <w:bottom w:val="single" w:sz="4" w:space="0" w:color="auto"/>
              <w:right w:val="single" w:sz="4" w:space="0" w:color="auto"/>
            </w:tcBorders>
            <w:shd w:val="clear" w:color="auto" w:fill="auto"/>
            <w:noWrap/>
            <w:vAlign w:val="bottom"/>
            <w:hideMark/>
          </w:tcPr>
          <w:p w14:paraId="311CE6D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CD1BAF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4FDD01F"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FEFF61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96B92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PEA259</w:t>
            </w:r>
          </w:p>
        </w:tc>
        <w:tc>
          <w:tcPr>
            <w:tcW w:w="3220" w:type="dxa"/>
            <w:tcBorders>
              <w:top w:val="nil"/>
              <w:left w:val="nil"/>
              <w:bottom w:val="single" w:sz="4" w:space="0" w:color="auto"/>
              <w:right w:val="nil"/>
            </w:tcBorders>
            <w:shd w:val="clear" w:color="auto" w:fill="auto"/>
            <w:noWrap/>
            <w:vAlign w:val="bottom"/>
            <w:hideMark/>
          </w:tcPr>
          <w:p w14:paraId="294AC9F7" w14:textId="77777777" w:rsidR="00A41A74" w:rsidRPr="00325607" w:rsidRDefault="00A41A74" w:rsidP="00325607">
            <w:pPr>
              <w:widowControl/>
              <w:rPr>
                <w:snapToGrid/>
                <w:color w:val="000000"/>
                <w:kern w:val="0"/>
                <w:szCs w:val="22"/>
              </w:rPr>
            </w:pPr>
            <w:r w:rsidRPr="00325607">
              <w:rPr>
                <w:snapToGrid/>
                <w:color w:val="000000"/>
                <w:kern w:val="0"/>
                <w:szCs w:val="22"/>
              </w:rPr>
              <w:t>Roswell, NM</w:t>
            </w:r>
          </w:p>
        </w:tc>
        <w:tc>
          <w:tcPr>
            <w:tcW w:w="326" w:type="dxa"/>
            <w:tcBorders>
              <w:top w:val="nil"/>
              <w:left w:val="nil"/>
              <w:bottom w:val="single" w:sz="4" w:space="0" w:color="auto"/>
              <w:right w:val="single" w:sz="4" w:space="0" w:color="auto"/>
            </w:tcBorders>
            <w:shd w:val="clear" w:color="auto" w:fill="auto"/>
            <w:noWrap/>
            <w:vAlign w:val="bottom"/>
            <w:hideMark/>
          </w:tcPr>
          <w:p w14:paraId="3532E1A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C084E4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5AF44D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70AE76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3C0CD5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PEA260</w:t>
            </w:r>
          </w:p>
        </w:tc>
        <w:tc>
          <w:tcPr>
            <w:tcW w:w="3220" w:type="dxa"/>
            <w:tcBorders>
              <w:top w:val="nil"/>
              <w:left w:val="nil"/>
              <w:bottom w:val="single" w:sz="4" w:space="0" w:color="auto"/>
              <w:right w:val="nil"/>
            </w:tcBorders>
            <w:shd w:val="clear" w:color="auto" w:fill="auto"/>
            <w:noWrap/>
            <w:vAlign w:val="bottom"/>
            <w:hideMark/>
          </w:tcPr>
          <w:p w14:paraId="1692352F" w14:textId="77777777" w:rsidR="00A41A74" w:rsidRPr="00325607" w:rsidRDefault="00A41A74" w:rsidP="00325607">
            <w:pPr>
              <w:widowControl/>
              <w:rPr>
                <w:snapToGrid/>
                <w:color w:val="000000"/>
                <w:kern w:val="0"/>
                <w:szCs w:val="22"/>
              </w:rPr>
            </w:pPr>
            <w:r w:rsidRPr="00325607">
              <w:rPr>
                <w:snapToGrid/>
                <w:color w:val="000000"/>
                <w:kern w:val="0"/>
                <w:szCs w:val="22"/>
              </w:rPr>
              <w:t>Alpena, MI</w:t>
            </w:r>
          </w:p>
        </w:tc>
        <w:tc>
          <w:tcPr>
            <w:tcW w:w="326" w:type="dxa"/>
            <w:tcBorders>
              <w:top w:val="nil"/>
              <w:left w:val="nil"/>
              <w:bottom w:val="single" w:sz="4" w:space="0" w:color="auto"/>
              <w:right w:val="single" w:sz="4" w:space="0" w:color="auto"/>
            </w:tcBorders>
            <w:shd w:val="clear" w:color="auto" w:fill="auto"/>
            <w:noWrap/>
            <w:vAlign w:val="bottom"/>
            <w:hideMark/>
          </w:tcPr>
          <w:p w14:paraId="020F16D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7EC8DA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903EF9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92A15B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85CC7D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PEA261</w:t>
            </w:r>
          </w:p>
        </w:tc>
        <w:tc>
          <w:tcPr>
            <w:tcW w:w="3220" w:type="dxa"/>
            <w:tcBorders>
              <w:top w:val="nil"/>
              <w:left w:val="nil"/>
              <w:bottom w:val="single" w:sz="4" w:space="0" w:color="auto"/>
              <w:right w:val="nil"/>
            </w:tcBorders>
            <w:shd w:val="clear" w:color="auto" w:fill="auto"/>
            <w:noWrap/>
            <w:vAlign w:val="bottom"/>
            <w:hideMark/>
          </w:tcPr>
          <w:p w14:paraId="7A6C5AE0" w14:textId="77777777" w:rsidR="00A41A74" w:rsidRPr="00325607" w:rsidRDefault="00A41A74" w:rsidP="00325607">
            <w:pPr>
              <w:widowControl/>
              <w:rPr>
                <w:snapToGrid/>
                <w:color w:val="000000"/>
                <w:kern w:val="0"/>
                <w:szCs w:val="22"/>
              </w:rPr>
            </w:pPr>
            <w:r w:rsidRPr="00325607">
              <w:rPr>
                <w:snapToGrid/>
                <w:color w:val="000000"/>
                <w:kern w:val="0"/>
                <w:szCs w:val="22"/>
              </w:rPr>
              <w:t>Fargo, ND</w:t>
            </w:r>
          </w:p>
        </w:tc>
        <w:tc>
          <w:tcPr>
            <w:tcW w:w="326" w:type="dxa"/>
            <w:tcBorders>
              <w:top w:val="nil"/>
              <w:left w:val="nil"/>
              <w:bottom w:val="single" w:sz="4" w:space="0" w:color="auto"/>
              <w:right w:val="single" w:sz="4" w:space="0" w:color="auto"/>
            </w:tcBorders>
            <w:shd w:val="clear" w:color="auto" w:fill="auto"/>
            <w:noWrap/>
            <w:vAlign w:val="bottom"/>
            <w:hideMark/>
          </w:tcPr>
          <w:p w14:paraId="29E72B4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475006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79DBB6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4B44FB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8EC32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PEA262</w:t>
            </w:r>
          </w:p>
        </w:tc>
        <w:tc>
          <w:tcPr>
            <w:tcW w:w="3220" w:type="dxa"/>
            <w:tcBorders>
              <w:top w:val="nil"/>
              <w:left w:val="nil"/>
              <w:bottom w:val="single" w:sz="4" w:space="0" w:color="auto"/>
              <w:right w:val="nil"/>
            </w:tcBorders>
            <w:shd w:val="clear" w:color="auto" w:fill="auto"/>
            <w:noWrap/>
            <w:vAlign w:val="bottom"/>
            <w:hideMark/>
          </w:tcPr>
          <w:p w14:paraId="65E25EB3" w14:textId="77777777" w:rsidR="00A41A74" w:rsidRPr="00325607" w:rsidRDefault="00A41A74" w:rsidP="00325607">
            <w:pPr>
              <w:widowControl/>
              <w:rPr>
                <w:snapToGrid/>
                <w:color w:val="000000"/>
                <w:kern w:val="0"/>
                <w:szCs w:val="22"/>
              </w:rPr>
            </w:pPr>
            <w:r w:rsidRPr="00325607">
              <w:rPr>
                <w:snapToGrid/>
                <w:color w:val="000000"/>
                <w:kern w:val="0"/>
                <w:szCs w:val="22"/>
              </w:rPr>
              <w:t>Hilton Head Island, SC</w:t>
            </w:r>
          </w:p>
        </w:tc>
        <w:tc>
          <w:tcPr>
            <w:tcW w:w="326" w:type="dxa"/>
            <w:tcBorders>
              <w:top w:val="nil"/>
              <w:left w:val="nil"/>
              <w:bottom w:val="single" w:sz="4" w:space="0" w:color="auto"/>
              <w:right w:val="single" w:sz="4" w:space="0" w:color="auto"/>
            </w:tcBorders>
            <w:shd w:val="clear" w:color="auto" w:fill="auto"/>
            <w:noWrap/>
            <w:vAlign w:val="bottom"/>
            <w:hideMark/>
          </w:tcPr>
          <w:p w14:paraId="3857F29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101499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971FAEE"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A6CF82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462A50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PEA263</w:t>
            </w:r>
          </w:p>
        </w:tc>
        <w:tc>
          <w:tcPr>
            <w:tcW w:w="3220" w:type="dxa"/>
            <w:tcBorders>
              <w:top w:val="nil"/>
              <w:left w:val="nil"/>
              <w:bottom w:val="single" w:sz="4" w:space="0" w:color="auto"/>
              <w:right w:val="nil"/>
            </w:tcBorders>
            <w:shd w:val="clear" w:color="auto" w:fill="auto"/>
            <w:noWrap/>
            <w:vAlign w:val="bottom"/>
            <w:hideMark/>
          </w:tcPr>
          <w:p w14:paraId="5761C1F4" w14:textId="77777777" w:rsidR="00A41A74" w:rsidRPr="00325607" w:rsidRDefault="00A41A74" w:rsidP="00325607">
            <w:pPr>
              <w:widowControl/>
              <w:rPr>
                <w:snapToGrid/>
                <w:color w:val="000000"/>
                <w:kern w:val="0"/>
                <w:szCs w:val="22"/>
              </w:rPr>
            </w:pPr>
            <w:r w:rsidRPr="00325607">
              <w:rPr>
                <w:snapToGrid/>
                <w:color w:val="000000"/>
                <w:kern w:val="0"/>
                <w:szCs w:val="22"/>
              </w:rPr>
              <w:t>Santa Fe, NM</w:t>
            </w:r>
          </w:p>
        </w:tc>
        <w:tc>
          <w:tcPr>
            <w:tcW w:w="326" w:type="dxa"/>
            <w:tcBorders>
              <w:top w:val="nil"/>
              <w:left w:val="nil"/>
              <w:bottom w:val="single" w:sz="4" w:space="0" w:color="auto"/>
              <w:right w:val="single" w:sz="4" w:space="0" w:color="auto"/>
            </w:tcBorders>
            <w:shd w:val="clear" w:color="auto" w:fill="auto"/>
            <w:noWrap/>
            <w:vAlign w:val="bottom"/>
            <w:hideMark/>
          </w:tcPr>
          <w:p w14:paraId="5C5A814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71DB6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9DF668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743266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179937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PEA264</w:t>
            </w:r>
          </w:p>
        </w:tc>
        <w:tc>
          <w:tcPr>
            <w:tcW w:w="3220" w:type="dxa"/>
            <w:tcBorders>
              <w:top w:val="nil"/>
              <w:left w:val="nil"/>
              <w:bottom w:val="single" w:sz="4" w:space="0" w:color="auto"/>
              <w:right w:val="nil"/>
            </w:tcBorders>
            <w:shd w:val="clear" w:color="auto" w:fill="auto"/>
            <w:noWrap/>
            <w:vAlign w:val="bottom"/>
            <w:hideMark/>
          </w:tcPr>
          <w:p w14:paraId="301C04A4" w14:textId="77777777" w:rsidR="00A41A74" w:rsidRPr="00325607" w:rsidRDefault="00A41A74" w:rsidP="00325607">
            <w:pPr>
              <w:widowControl/>
              <w:rPr>
                <w:snapToGrid/>
                <w:color w:val="000000"/>
                <w:kern w:val="0"/>
                <w:szCs w:val="22"/>
              </w:rPr>
            </w:pPr>
            <w:r w:rsidRPr="00325607">
              <w:rPr>
                <w:snapToGrid/>
                <w:color w:val="000000"/>
                <w:kern w:val="0"/>
                <w:szCs w:val="22"/>
              </w:rPr>
              <w:t>Kodiak, AK</w:t>
            </w:r>
          </w:p>
        </w:tc>
        <w:tc>
          <w:tcPr>
            <w:tcW w:w="326" w:type="dxa"/>
            <w:tcBorders>
              <w:top w:val="nil"/>
              <w:left w:val="nil"/>
              <w:bottom w:val="single" w:sz="4" w:space="0" w:color="auto"/>
              <w:right w:val="single" w:sz="4" w:space="0" w:color="auto"/>
            </w:tcBorders>
            <w:shd w:val="clear" w:color="auto" w:fill="auto"/>
            <w:noWrap/>
            <w:vAlign w:val="bottom"/>
            <w:hideMark/>
          </w:tcPr>
          <w:p w14:paraId="3DEAE67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77973A6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7FA77BBE"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EA7609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260D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PEA265</w:t>
            </w:r>
          </w:p>
        </w:tc>
        <w:tc>
          <w:tcPr>
            <w:tcW w:w="3220" w:type="dxa"/>
            <w:tcBorders>
              <w:top w:val="nil"/>
              <w:left w:val="nil"/>
              <w:bottom w:val="single" w:sz="4" w:space="0" w:color="auto"/>
              <w:right w:val="nil"/>
            </w:tcBorders>
            <w:shd w:val="clear" w:color="auto" w:fill="auto"/>
            <w:noWrap/>
            <w:vAlign w:val="bottom"/>
            <w:hideMark/>
          </w:tcPr>
          <w:p w14:paraId="3CF0E6E8" w14:textId="77777777" w:rsidR="00A41A74" w:rsidRPr="00325607" w:rsidRDefault="00A41A74" w:rsidP="00325607">
            <w:pPr>
              <w:widowControl/>
              <w:rPr>
                <w:snapToGrid/>
                <w:color w:val="000000"/>
                <w:kern w:val="0"/>
                <w:szCs w:val="22"/>
              </w:rPr>
            </w:pPr>
            <w:r w:rsidRPr="00325607">
              <w:rPr>
                <w:snapToGrid/>
                <w:color w:val="000000"/>
                <w:kern w:val="0"/>
                <w:szCs w:val="22"/>
              </w:rPr>
              <w:t>Winona, MN</w:t>
            </w:r>
          </w:p>
        </w:tc>
        <w:tc>
          <w:tcPr>
            <w:tcW w:w="326" w:type="dxa"/>
            <w:tcBorders>
              <w:top w:val="nil"/>
              <w:left w:val="nil"/>
              <w:bottom w:val="single" w:sz="4" w:space="0" w:color="auto"/>
              <w:right w:val="single" w:sz="4" w:space="0" w:color="auto"/>
            </w:tcBorders>
            <w:shd w:val="clear" w:color="auto" w:fill="auto"/>
            <w:noWrap/>
            <w:vAlign w:val="bottom"/>
            <w:hideMark/>
          </w:tcPr>
          <w:p w14:paraId="00D739C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BCF9B6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6895C5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AA07D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630B66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PEA266</w:t>
            </w:r>
          </w:p>
        </w:tc>
        <w:tc>
          <w:tcPr>
            <w:tcW w:w="3220" w:type="dxa"/>
            <w:tcBorders>
              <w:top w:val="nil"/>
              <w:left w:val="nil"/>
              <w:bottom w:val="single" w:sz="4" w:space="0" w:color="auto"/>
              <w:right w:val="nil"/>
            </w:tcBorders>
            <w:shd w:val="clear" w:color="auto" w:fill="auto"/>
            <w:noWrap/>
            <w:vAlign w:val="bottom"/>
            <w:hideMark/>
          </w:tcPr>
          <w:p w14:paraId="65D16BF2" w14:textId="77777777" w:rsidR="00A41A74" w:rsidRPr="00325607" w:rsidRDefault="00A41A74" w:rsidP="00325607">
            <w:pPr>
              <w:widowControl/>
              <w:rPr>
                <w:snapToGrid/>
                <w:color w:val="000000"/>
                <w:kern w:val="0"/>
                <w:szCs w:val="22"/>
              </w:rPr>
            </w:pPr>
            <w:r w:rsidRPr="00325607">
              <w:rPr>
                <w:snapToGrid/>
                <w:color w:val="000000"/>
                <w:kern w:val="0"/>
                <w:szCs w:val="22"/>
              </w:rPr>
              <w:t>Lenoir, NC</w:t>
            </w:r>
          </w:p>
        </w:tc>
        <w:tc>
          <w:tcPr>
            <w:tcW w:w="326" w:type="dxa"/>
            <w:tcBorders>
              <w:top w:val="nil"/>
              <w:left w:val="nil"/>
              <w:bottom w:val="single" w:sz="4" w:space="0" w:color="auto"/>
              <w:right w:val="single" w:sz="4" w:space="0" w:color="auto"/>
            </w:tcBorders>
            <w:shd w:val="clear" w:color="auto" w:fill="auto"/>
            <w:noWrap/>
            <w:vAlign w:val="bottom"/>
            <w:hideMark/>
          </w:tcPr>
          <w:p w14:paraId="2E27126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BFA04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18807D0"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E672C4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A0D70E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PEA267</w:t>
            </w:r>
          </w:p>
        </w:tc>
        <w:tc>
          <w:tcPr>
            <w:tcW w:w="3220" w:type="dxa"/>
            <w:tcBorders>
              <w:top w:val="nil"/>
              <w:left w:val="nil"/>
              <w:bottom w:val="single" w:sz="4" w:space="0" w:color="auto"/>
              <w:right w:val="nil"/>
            </w:tcBorders>
            <w:shd w:val="clear" w:color="auto" w:fill="auto"/>
            <w:noWrap/>
            <w:vAlign w:val="bottom"/>
            <w:hideMark/>
          </w:tcPr>
          <w:p w14:paraId="40B137A4" w14:textId="77777777" w:rsidR="00A41A74" w:rsidRPr="00325607" w:rsidRDefault="00A41A74" w:rsidP="00325607">
            <w:pPr>
              <w:widowControl/>
              <w:rPr>
                <w:snapToGrid/>
                <w:color w:val="000000"/>
                <w:kern w:val="0"/>
                <w:szCs w:val="22"/>
              </w:rPr>
            </w:pPr>
            <w:r w:rsidRPr="00325607">
              <w:rPr>
                <w:snapToGrid/>
                <w:color w:val="000000"/>
                <w:kern w:val="0"/>
                <w:szCs w:val="22"/>
              </w:rPr>
              <w:t>Sheboygan, WI</w:t>
            </w:r>
          </w:p>
        </w:tc>
        <w:tc>
          <w:tcPr>
            <w:tcW w:w="326" w:type="dxa"/>
            <w:tcBorders>
              <w:top w:val="nil"/>
              <w:left w:val="nil"/>
              <w:bottom w:val="single" w:sz="4" w:space="0" w:color="auto"/>
              <w:right w:val="single" w:sz="4" w:space="0" w:color="auto"/>
            </w:tcBorders>
            <w:shd w:val="clear" w:color="auto" w:fill="auto"/>
            <w:noWrap/>
            <w:vAlign w:val="bottom"/>
            <w:hideMark/>
          </w:tcPr>
          <w:p w14:paraId="69B073B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154AF0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8CAFD6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DC2549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1BA3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PEA268</w:t>
            </w:r>
          </w:p>
        </w:tc>
        <w:tc>
          <w:tcPr>
            <w:tcW w:w="3220" w:type="dxa"/>
            <w:tcBorders>
              <w:top w:val="nil"/>
              <w:left w:val="nil"/>
              <w:bottom w:val="single" w:sz="4" w:space="0" w:color="auto"/>
              <w:right w:val="nil"/>
            </w:tcBorders>
            <w:shd w:val="clear" w:color="auto" w:fill="auto"/>
            <w:noWrap/>
            <w:vAlign w:val="bottom"/>
            <w:hideMark/>
          </w:tcPr>
          <w:p w14:paraId="1A66AAF0" w14:textId="77777777" w:rsidR="00A41A74" w:rsidRPr="00325607" w:rsidRDefault="00A41A74" w:rsidP="00325607">
            <w:pPr>
              <w:widowControl/>
              <w:rPr>
                <w:snapToGrid/>
                <w:color w:val="000000"/>
                <w:kern w:val="0"/>
                <w:szCs w:val="22"/>
              </w:rPr>
            </w:pPr>
            <w:r w:rsidRPr="00325607">
              <w:rPr>
                <w:snapToGrid/>
                <w:color w:val="000000"/>
                <w:kern w:val="0"/>
                <w:szCs w:val="22"/>
              </w:rPr>
              <w:t>Clinton, IA</w:t>
            </w:r>
          </w:p>
        </w:tc>
        <w:tc>
          <w:tcPr>
            <w:tcW w:w="326" w:type="dxa"/>
            <w:tcBorders>
              <w:top w:val="nil"/>
              <w:left w:val="nil"/>
              <w:bottom w:val="single" w:sz="4" w:space="0" w:color="auto"/>
              <w:right w:val="single" w:sz="4" w:space="0" w:color="auto"/>
            </w:tcBorders>
            <w:shd w:val="clear" w:color="auto" w:fill="auto"/>
            <w:noWrap/>
            <w:vAlign w:val="bottom"/>
            <w:hideMark/>
          </w:tcPr>
          <w:p w14:paraId="6FB8820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460C29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F15434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740A41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333998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PEA269</w:t>
            </w:r>
          </w:p>
        </w:tc>
        <w:tc>
          <w:tcPr>
            <w:tcW w:w="3220" w:type="dxa"/>
            <w:tcBorders>
              <w:top w:val="nil"/>
              <w:left w:val="nil"/>
              <w:bottom w:val="single" w:sz="4" w:space="0" w:color="auto"/>
              <w:right w:val="nil"/>
            </w:tcBorders>
            <w:shd w:val="clear" w:color="auto" w:fill="auto"/>
            <w:noWrap/>
            <w:vAlign w:val="bottom"/>
            <w:hideMark/>
          </w:tcPr>
          <w:p w14:paraId="5D9632ED" w14:textId="77777777" w:rsidR="00A41A74" w:rsidRPr="00325607" w:rsidRDefault="00A41A74" w:rsidP="00325607">
            <w:pPr>
              <w:widowControl/>
              <w:rPr>
                <w:snapToGrid/>
                <w:color w:val="000000"/>
                <w:kern w:val="0"/>
                <w:szCs w:val="22"/>
              </w:rPr>
            </w:pPr>
            <w:r w:rsidRPr="00325607">
              <w:rPr>
                <w:snapToGrid/>
                <w:color w:val="000000"/>
                <w:kern w:val="0"/>
                <w:szCs w:val="22"/>
              </w:rPr>
              <w:t>Racine, WI</w:t>
            </w:r>
          </w:p>
        </w:tc>
        <w:tc>
          <w:tcPr>
            <w:tcW w:w="326" w:type="dxa"/>
            <w:tcBorders>
              <w:top w:val="nil"/>
              <w:left w:val="nil"/>
              <w:bottom w:val="single" w:sz="4" w:space="0" w:color="auto"/>
              <w:right w:val="single" w:sz="4" w:space="0" w:color="auto"/>
            </w:tcBorders>
            <w:shd w:val="clear" w:color="auto" w:fill="auto"/>
            <w:noWrap/>
            <w:vAlign w:val="bottom"/>
            <w:hideMark/>
          </w:tcPr>
          <w:p w14:paraId="662C883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573535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4511FE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53F33E2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5E4371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PEA270</w:t>
            </w:r>
          </w:p>
        </w:tc>
        <w:tc>
          <w:tcPr>
            <w:tcW w:w="3220" w:type="dxa"/>
            <w:tcBorders>
              <w:top w:val="nil"/>
              <w:left w:val="nil"/>
              <w:bottom w:val="single" w:sz="4" w:space="0" w:color="auto"/>
              <w:right w:val="nil"/>
            </w:tcBorders>
            <w:shd w:val="clear" w:color="auto" w:fill="auto"/>
            <w:noWrap/>
            <w:vAlign w:val="bottom"/>
            <w:hideMark/>
          </w:tcPr>
          <w:p w14:paraId="1F2319E5" w14:textId="77777777" w:rsidR="00A41A74" w:rsidRPr="00325607" w:rsidRDefault="00A41A74" w:rsidP="00325607">
            <w:pPr>
              <w:widowControl/>
              <w:rPr>
                <w:snapToGrid/>
                <w:color w:val="000000"/>
                <w:kern w:val="0"/>
                <w:szCs w:val="22"/>
              </w:rPr>
            </w:pPr>
            <w:r w:rsidRPr="00325607">
              <w:rPr>
                <w:snapToGrid/>
                <w:color w:val="000000"/>
                <w:kern w:val="0"/>
                <w:szCs w:val="22"/>
              </w:rPr>
              <w:t>Ottawa, IL</w:t>
            </w:r>
          </w:p>
        </w:tc>
        <w:tc>
          <w:tcPr>
            <w:tcW w:w="326" w:type="dxa"/>
            <w:tcBorders>
              <w:top w:val="nil"/>
              <w:left w:val="nil"/>
              <w:bottom w:val="single" w:sz="4" w:space="0" w:color="auto"/>
              <w:right w:val="single" w:sz="4" w:space="0" w:color="auto"/>
            </w:tcBorders>
            <w:shd w:val="clear" w:color="auto" w:fill="auto"/>
            <w:noWrap/>
            <w:vAlign w:val="bottom"/>
            <w:hideMark/>
          </w:tcPr>
          <w:p w14:paraId="20A52F2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C0F81A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9EEA9C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F62E48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5A3834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PEA271</w:t>
            </w:r>
          </w:p>
        </w:tc>
        <w:tc>
          <w:tcPr>
            <w:tcW w:w="3220" w:type="dxa"/>
            <w:tcBorders>
              <w:top w:val="nil"/>
              <w:left w:val="nil"/>
              <w:bottom w:val="single" w:sz="4" w:space="0" w:color="auto"/>
              <w:right w:val="nil"/>
            </w:tcBorders>
            <w:shd w:val="clear" w:color="auto" w:fill="auto"/>
            <w:noWrap/>
            <w:vAlign w:val="bottom"/>
            <w:hideMark/>
          </w:tcPr>
          <w:p w14:paraId="5CF02E55" w14:textId="77777777" w:rsidR="00A41A74" w:rsidRPr="00325607" w:rsidRDefault="00A41A74" w:rsidP="00325607">
            <w:pPr>
              <w:widowControl/>
              <w:rPr>
                <w:snapToGrid/>
                <w:color w:val="000000"/>
                <w:kern w:val="0"/>
                <w:szCs w:val="22"/>
              </w:rPr>
            </w:pPr>
            <w:r w:rsidRPr="00325607">
              <w:rPr>
                <w:snapToGrid/>
                <w:color w:val="000000"/>
                <w:kern w:val="0"/>
                <w:szCs w:val="22"/>
              </w:rPr>
              <w:t>Elmira, NY</w:t>
            </w:r>
          </w:p>
        </w:tc>
        <w:tc>
          <w:tcPr>
            <w:tcW w:w="326" w:type="dxa"/>
            <w:tcBorders>
              <w:top w:val="nil"/>
              <w:left w:val="nil"/>
              <w:bottom w:val="single" w:sz="4" w:space="0" w:color="auto"/>
              <w:right w:val="single" w:sz="4" w:space="0" w:color="auto"/>
            </w:tcBorders>
            <w:shd w:val="clear" w:color="auto" w:fill="auto"/>
            <w:noWrap/>
            <w:vAlign w:val="bottom"/>
            <w:hideMark/>
          </w:tcPr>
          <w:p w14:paraId="052E502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C63A9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3BC1A850"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2ADC86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FE5ABE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PEA272</w:t>
            </w:r>
          </w:p>
        </w:tc>
        <w:tc>
          <w:tcPr>
            <w:tcW w:w="3220" w:type="dxa"/>
            <w:tcBorders>
              <w:top w:val="nil"/>
              <w:left w:val="nil"/>
              <w:bottom w:val="single" w:sz="4" w:space="0" w:color="auto"/>
              <w:right w:val="nil"/>
            </w:tcBorders>
            <w:shd w:val="clear" w:color="auto" w:fill="auto"/>
            <w:noWrap/>
            <w:vAlign w:val="bottom"/>
            <w:hideMark/>
          </w:tcPr>
          <w:p w14:paraId="0900210C" w14:textId="77777777" w:rsidR="00A41A74" w:rsidRPr="00325607" w:rsidRDefault="00A41A74" w:rsidP="00325607">
            <w:pPr>
              <w:widowControl/>
              <w:rPr>
                <w:snapToGrid/>
                <w:color w:val="000000"/>
                <w:kern w:val="0"/>
                <w:szCs w:val="22"/>
              </w:rPr>
            </w:pPr>
            <w:r w:rsidRPr="00325607">
              <w:rPr>
                <w:snapToGrid/>
                <w:color w:val="000000"/>
                <w:kern w:val="0"/>
                <w:szCs w:val="22"/>
              </w:rPr>
              <w:t>Brownwood, TX</w:t>
            </w:r>
          </w:p>
        </w:tc>
        <w:tc>
          <w:tcPr>
            <w:tcW w:w="326" w:type="dxa"/>
            <w:tcBorders>
              <w:top w:val="nil"/>
              <w:left w:val="nil"/>
              <w:bottom w:val="single" w:sz="4" w:space="0" w:color="auto"/>
              <w:right w:val="single" w:sz="4" w:space="0" w:color="auto"/>
            </w:tcBorders>
            <w:shd w:val="clear" w:color="auto" w:fill="auto"/>
            <w:noWrap/>
            <w:vAlign w:val="bottom"/>
            <w:hideMark/>
          </w:tcPr>
          <w:p w14:paraId="65008D5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13A52F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58D8ED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4B0E92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ED689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PEA273</w:t>
            </w:r>
          </w:p>
        </w:tc>
        <w:tc>
          <w:tcPr>
            <w:tcW w:w="3220" w:type="dxa"/>
            <w:tcBorders>
              <w:top w:val="nil"/>
              <w:left w:val="nil"/>
              <w:bottom w:val="single" w:sz="4" w:space="0" w:color="auto"/>
              <w:right w:val="nil"/>
            </w:tcBorders>
            <w:shd w:val="clear" w:color="auto" w:fill="auto"/>
            <w:noWrap/>
            <w:vAlign w:val="bottom"/>
            <w:hideMark/>
          </w:tcPr>
          <w:p w14:paraId="21D22E9E" w14:textId="77777777" w:rsidR="00A41A74" w:rsidRPr="00325607" w:rsidRDefault="00A41A74" w:rsidP="00325607">
            <w:pPr>
              <w:widowControl/>
              <w:rPr>
                <w:snapToGrid/>
                <w:color w:val="000000"/>
                <w:kern w:val="0"/>
                <w:szCs w:val="22"/>
              </w:rPr>
            </w:pPr>
            <w:r w:rsidRPr="00325607">
              <w:rPr>
                <w:snapToGrid/>
                <w:color w:val="000000"/>
                <w:kern w:val="0"/>
                <w:szCs w:val="22"/>
              </w:rPr>
              <w:t>Bloomington, IL</w:t>
            </w:r>
          </w:p>
        </w:tc>
        <w:tc>
          <w:tcPr>
            <w:tcW w:w="326" w:type="dxa"/>
            <w:tcBorders>
              <w:top w:val="nil"/>
              <w:left w:val="nil"/>
              <w:bottom w:val="single" w:sz="4" w:space="0" w:color="auto"/>
              <w:right w:val="single" w:sz="4" w:space="0" w:color="auto"/>
            </w:tcBorders>
            <w:shd w:val="clear" w:color="auto" w:fill="auto"/>
            <w:noWrap/>
            <w:vAlign w:val="bottom"/>
            <w:hideMark/>
          </w:tcPr>
          <w:p w14:paraId="17531AF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A3F79E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035A2B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F1E6E3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EC60D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PEA274</w:t>
            </w:r>
          </w:p>
        </w:tc>
        <w:tc>
          <w:tcPr>
            <w:tcW w:w="3220" w:type="dxa"/>
            <w:tcBorders>
              <w:top w:val="nil"/>
              <w:left w:val="nil"/>
              <w:bottom w:val="single" w:sz="4" w:space="0" w:color="auto"/>
              <w:right w:val="nil"/>
            </w:tcBorders>
            <w:shd w:val="clear" w:color="auto" w:fill="auto"/>
            <w:noWrap/>
            <w:vAlign w:val="bottom"/>
            <w:hideMark/>
          </w:tcPr>
          <w:p w14:paraId="744D023B" w14:textId="77777777" w:rsidR="00A41A74" w:rsidRPr="00325607" w:rsidRDefault="00A41A74" w:rsidP="00325607">
            <w:pPr>
              <w:widowControl/>
              <w:rPr>
                <w:snapToGrid/>
                <w:color w:val="000000"/>
                <w:kern w:val="0"/>
                <w:szCs w:val="22"/>
              </w:rPr>
            </w:pPr>
            <w:r w:rsidRPr="00325607">
              <w:rPr>
                <w:snapToGrid/>
                <w:color w:val="000000"/>
                <w:kern w:val="0"/>
                <w:szCs w:val="22"/>
              </w:rPr>
              <w:t>Twin Falls, ID</w:t>
            </w:r>
          </w:p>
        </w:tc>
        <w:tc>
          <w:tcPr>
            <w:tcW w:w="326" w:type="dxa"/>
            <w:tcBorders>
              <w:top w:val="nil"/>
              <w:left w:val="nil"/>
              <w:bottom w:val="single" w:sz="4" w:space="0" w:color="auto"/>
              <w:right w:val="single" w:sz="4" w:space="0" w:color="auto"/>
            </w:tcBorders>
            <w:shd w:val="clear" w:color="auto" w:fill="auto"/>
            <w:noWrap/>
            <w:vAlign w:val="bottom"/>
            <w:hideMark/>
          </w:tcPr>
          <w:p w14:paraId="495B8C9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82E548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46E862F"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49A6F8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D766C0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PEA275</w:t>
            </w:r>
          </w:p>
        </w:tc>
        <w:tc>
          <w:tcPr>
            <w:tcW w:w="3220" w:type="dxa"/>
            <w:tcBorders>
              <w:top w:val="nil"/>
              <w:left w:val="nil"/>
              <w:bottom w:val="single" w:sz="4" w:space="0" w:color="auto"/>
              <w:right w:val="nil"/>
            </w:tcBorders>
            <w:shd w:val="clear" w:color="auto" w:fill="auto"/>
            <w:noWrap/>
            <w:vAlign w:val="bottom"/>
            <w:hideMark/>
          </w:tcPr>
          <w:p w14:paraId="731BFA2C" w14:textId="77777777" w:rsidR="00A41A74" w:rsidRPr="00325607" w:rsidRDefault="00A41A74" w:rsidP="00325607">
            <w:pPr>
              <w:widowControl/>
              <w:rPr>
                <w:snapToGrid/>
                <w:color w:val="000000"/>
                <w:kern w:val="0"/>
                <w:szCs w:val="22"/>
              </w:rPr>
            </w:pPr>
            <w:r w:rsidRPr="00325607">
              <w:rPr>
                <w:snapToGrid/>
                <w:color w:val="000000"/>
                <w:kern w:val="0"/>
                <w:szCs w:val="22"/>
              </w:rPr>
              <w:t>Corsicana, TX</w:t>
            </w:r>
          </w:p>
        </w:tc>
        <w:tc>
          <w:tcPr>
            <w:tcW w:w="326" w:type="dxa"/>
            <w:tcBorders>
              <w:top w:val="nil"/>
              <w:left w:val="nil"/>
              <w:bottom w:val="single" w:sz="4" w:space="0" w:color="auto"/>
              <w:right w:val="single" w:sz="4" w:space="0" w:color="auto"/>
            </w:tcBorders>
            <w:shd w:val="clear" w:color="auto" w:fill="auto"/>
            <w:noWrap/>
            <w:vAlign w:val="bottom"/>
            <w:hideMark/>
          </w:tcPr>
          <w:p w14:paraId="135966E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7CD0AD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027093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A796EF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B49BD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PEA276</w:t>
            </w:r>
          </w:p>
        </w:tc>
        <w:tc>
          <w:tcPr>
            <w:tcW w:w="3220" w:type="dxa"/>
            <w:tcBorders>
              <w:top w:val="nil"/>
              <w:left w:val="nil"/>
              <w:bottom w:val="single" w:sz="4" w:space="0" w:color="auto"/>
              <w:right w:val="nil"/>
            </w:tcBorders>
            <w:shd w:val="clear" w:color="auto" w:fill="auto"/>
            <w:noWrap/>
            <w:vAlign w:val="bottom"/>
            <w:hideMark/>
          </w:tcPr>
          <w:p w14:paraId="62CBDAED" w14:textId="77777777" w:rsidR="00A41A74" w:rsidRPr="00325607" w:rsidRDefault="00A41A74" w:rsidP="00325607">
            <w:pPr>
              <w:widowControl/>
              <w:rPr>
                <w:snapToGrid/>
                <w:color w:val="000000"/>
                <w:kern w:val="0"/>
                <w:szCs w:val="22"/>
              </w:rPr>
            </w:pPr>
            <w:r w:rsidRPr="00325607">
              <w:rPr>
                <w:snapToGrid/>
                <w:color w:val="000000"/>
                <w:kern w:val="0"/>
                <w:szCs w:val="22"/>
              </w:rPr>
              <w:t>Rapid City, SD</w:t>
            </w:r>
          </w:p>
        </w:tc>
        <w:tc>
          <w:tcPr>
            <w:tcW w:w="326" w:type="dxa"/>
            <w:tcBorders>
              <w:top w:val="nil"/>
              <w:left w:val="nil"/>
              <w:bottom w:val="single" w:sz="4" w:space="0" w:color="auto"/>
              <w:right w:val="single" w:sz="4" w:space="0" w:color="auto"/>
            </w:tcBorders>
            <w:shd w:val="clear" w:color="auto" w:fill="auto"/>
            <w:noWrap/>
            <w:vAlign w:val="bottom"/>
            <w:hideMark/>
          </w:tcPr>
          <w:p w14:paraId="419AA30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46DBAE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0A73A6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8E0843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FA3E8B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PEA277</w:t>
            </w:r>
          </w:p>
        </w:tc>
        <w:tc>
          <w:tcPr>
            <w:tcW w:w="3220" w:type="dxa"/>
            <w:tcBorders>
              <w:top w:val="nil"/>
              <w:left w:val="nil"/>
              <w:bottom w:val="single" w:sz="4" w:space="0" w:color="auto"/>
              <w:right w:val="nil"/>
            </w:tcBorders>
            <w:shd w:val="clear" w:color="auto" w:fill="auto"/>
            <w:noWrap/>
            <w:vAlign w:val="bottom"/>
            <w:hideMark/>
          </w:tcPr>
          <w:p w14:paraId="7E241B55" w14:textId="77777777" w:rsidR="00A41A74" w:rsidRPr="00325607" w:rsidRDefault="00A41A74" w:rsidP="00325607">
            <w:pPr>
              <w:widowControl/>
              <w:rPr>
                <w:snapToGrid/>
                <w:color w:val="000000"/>
                <w:kern w:val="0"/>
                <w:szCs w:val="22"/>
              </w:rPr>
            </w:pPr>
            <w:r w:rsidRPr="00325607">
              <w:rPr>
                <w:snapToGrid/>
                <w:color w:val="000000"/>
                <w:kern w:val="0"/>
                <w:szCs w:val="22"/>
              </w:rPr>
              <w:t>Hutchinson, KS</w:t>
            </w:r>
          </w:p>
        </w:tc>
        <w:tc>
          <w:tcPr>
            <w:tcW w:w="326" w:type="dxa"/>
            <w:tcBorders>
              <w:top w:val="nil"/>
              <w:left w:val="nil"/>
              <w:bottom w:val="single" w:sz="4" w:space="0" w:color="auto"/>
              <w:right w:val="single" w:sz="4" w:space="0" w:color="auto"/>
            </w:tcBorders>
            <w:shd w:val="clear" w:color="auto" w:fill="auto"/>
            <w:noWrap/>
            <w:vAlign w:val="bottom"/>
            <w:hideMark/>
          </w:tcPr>
          <w:p w14:paraId="4A397E2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AA92B6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6F3FA9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3B5884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83BF46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PEA278</w:t>
            </w:r>
          </w:p>
        </w:tc>
        <w:tc>
          <w:tcPr>
            <w:tcW w:w="3220" w:type="dxa"/>
            <w:tcBorders>
              <w:top w:val="nil"/>
              <w:left w:val="nil"/>
              <w:bottom w:val="single" w:sz="4" w:space="0" w:color="auto"/>
              <w:right w:val="nil"/>
            </w:tcBorders>
            <w:shd w:val="clear" w:color="auto" w:fill="auto"/>
            <w:noWrap/>
            <w:vAlign w:val="bottom"/>
            <w:hideMark/>
          </w:tcPr>
          <w:p w14:paraId="4F1C4B37" w14:textId="77777777" w:rsidR="00A41A74" w:rsidRPr="00325607" w:rsidRDefault="00A41A74" w:rsidP="00325607">
            <w:pPr>
              <w:widowControl/>
              <w:rPr>
                <w:snapToGrid/>
                <w:color w:val="000000"/>
                <w:kern w:val="0"/>
                <w:szCs w:val="22"/>
              </w:rPr>
            </w:pPr>
            <w:r w:rsidRPr="00325607">
              <w:rPr>
                <w:snapToGrid/>
                <w:color w:val="000000"/>
                <w:kern w:val="0"/>
                <w:szCs w:val="22"/>
              </w:rPr>
              <w:t>Bartlesville, OK</w:t>
            </w:r>
          </w:p>
        </w:tc>
        <w:tc>
          <w:tcPr>
            <w:tcW w:w="326" w:type="dxa"/>
            <w:tcBorders>
              <w:top w:val="nil"/>
              <w:left w:val="nil"/>
              <w:bottom w:val="single" w:sz="4" w:space="0" w:color="auto"/>
              <w:right w:val="single" w:sz="4" w:space="0" w:color="auto"/>
            </w:tcBorders>
            <w:shd w:val="clear" w:color="auto" w:fill="auto"/>
            <w:noWrap/>
            <w:vAlign w:val="bottom"/>
            <w:hideMark/>
          </w:tcPr>
          <w:p w14:paraId="0B7E6C7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14429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04B4C2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CA4C57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63ACFC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PEA279</w:t>
            </w:r>
          </w:p>
        </w:tc>
        <w:tc>
          <w:tcPr>
            <w:tcW w:w="3220" w:type="dxa"/>
            <w:tcBorders>
              <w:top w:val="nil"/>
              <w:left w:val="nil"/>
              <w:bottom w:val="single" w:sz="4" w:space="0" w:color="auto"/>
              <w:right w:val="nil"/>
            </w:tcBorders>
            <w:shd w:val="clear" w:color="auto" w:fill="auto"/>
            <w:noWrap/>
            <w:vAlign w:val="bottom"/>
            <w:hideMark/>
          </w:tcPr>
          <w:p w14:paraId="594223C4" w14:textId="77777777" w:rsidR="00A41A74" w:rsidRPr="00325607" w:rsidRDefault="00A41A74" w:rsidP="00325607">
            <w:pPr>
              <w:widowControl/>
              <w:rPr>
                <w:snapToGrid/>
                <w:color w:val="000000"/>
                <w:kern w:val="0"/>
                <w:szCs w:val="22"/>
              </w:rPr>
            </w:pPr>
            <w:r w:rsidRPr="00325607">
              <w:rPr>
                <w:snapToGrid/>
                <w:color w:val="000000"/>
                <w:kern w:val="0"/>
                <w:szCs w:val="22"/>
              </w:rPr>
              <w:t>Logan, UT</w:t>
            </w:r>
          </w:p>
        </w:tc>
        <w:tc>
          <w:tcPr>
            <w:tcW w:w="326" w:type="dxa"/>
            <w:tcBorders>
              <w:top w:val="nil"/>
              <w:left w:val="nil"/>
              <w:bottom w:val="single" w:sz="4" w:space="0" w:color="auto"/>
              <w:right w:val="single" w:sz="4" w:space="0" w:color="auto"/>
            </w:tcBorders>
            <w:shd w:val="clear" w:color="auto" w:fill="auto"/>
            <w:noWrap/>
            <w:vAlign w:val="bottom"/>
            <w:hideMark/>
          </w:tcPr>
          <w:p w14:paraId="5962F68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499BC6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8DE20FF"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D5F8F6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837E5C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PEA280</w:t>
            </w:r>
          </w:p>
        </w:tc>
        <w:tc>
          <w:tcPr>
            <w:tcW w:w="3220" w:type="dxa"/>
            <w:tcBorders>
              <w:top w:val="nil"/>
              <w:left w:val="nil"/>
              <w:bottom w:val="single" w:sz="4" w:space="0" w:color="auto"/>
              <w:right w:val="nil"/>
            </w:tcBorders>
            <w:shd w:val="clear" w:color="auto" w:fill="auto"/>
            <w:noWrap/>
            <w:vAlign w:val="bottom"/>
            <w:hideMark/>
          </w:tcPr>
          <w:p w14:paraId="5377000C" w14:textId="77777777" w:rsidR="00A41A74" w:rsidRPr="00325607" w:rsidRDefault="00A41A74" w:rsidP="00325607">
            <w:pPr>
              <w:widowControl/>
              <w:rPr>
                <w:snapToGrid/>
                <w:color w:val="000000"/>
                <w:kern w:val="0"/>
                <w:szCs w:val="22"/>
              </w:rPr>
            </w:pPr>
            <w:r w:rsidRPr="00325607">
              <w:rPr>
                <w:snapToGrid/>
                <w:color w:val="000000"/>
                <w:kern w:val="0"/>
                <w:szCs w:val="22"/>
              </w:rPr>
              <w:t>Garden City, KS</w:t>
            </w:r>
          </w:p>
        </w:tc>
        <w:tc>
          <w:tcPr>
            <w:tcW w:w="326" w:type="dxa"/>
            <w:tcBorders>
              <w:top w:val="nil"/>
              <w:left w:val="nil"/>
              <w:bottom w:val="single" w:sz="4" w:space="0" w:color="auto"/>
              <w:right w:val="single" w:sz="4" w:space="0" w:color="auto"/>
            </w:tcBorders>
            <w:shd w:val="clear" w:color="auto" w:fill="auto"/>
            <w:noWrap/>
            <w:vAlign w:val="bottom"/>
            <w:hideMark/>
          </w:tcPr>
          <w:p w14:paraId="1749B6C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1F5079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0321BC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2DBEED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60D86E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PEA281</w:t>
            </w:r>
          </w:p>
        </w:tc>
        <w:tc>
          <w:tcPr>
            <w:tcW w:w="3220" w:type="dxa"/>
            <w:tcBorders>
              <w:top w:val="nil"/>
              <w:left w:val="nil"/>
              <w:bottom w:val="single" w:sz="4" w:space="0" w:color="auto"/>
              <w:right w:val="nil"/>
            </w:tcBorders>
            <w:shd w:val="clear" w:color="auto" w:fill="auto"/>
            <w:noWrap/>
            <w:vAlign w:val="bottom"/>
            <w:hideMark/>
          </w:tcPr>
          <w:p w14:paraId="6FFC80D6" w14:textId="77777777" w:rsidR="00A41A74" w:rsidRPr="00325607" w:rsidRDefault="00A41A74" w:rsidP="00325607">
            <w:pPr>
              <w:widowControl/>
              <w:rPr>
                <w:snapToGrid/>
                <w:color w:val="000000"/>
                <w:kern w:val="0"/>
                <w:szCs w:val="22"/>
              </w:rPr>
            </w:pPr>
            <w:r w:rsidRPr="00325607">
              <w:rPr>
                <w:snapToGrid/>
                <w:color w:val="000000"/>
                <w:kern w:val="0"/>
                <w:szCs w:val="22"/>
              </w:rPr>
              <w:t>Muskogee, OK</w:t>
            </w:r>
          </w:p>
        </w:tc>
        <w:tc>
          <w:tcPr>
            <w:tcW w:w="326" w:type="dxa"/>
            <w:tcBorders>
              <w:top w:val="nil"/>
              <w:left w:val="nil"/>
              <w:bottom w:val="single" w:sz="4" w:space="0" w:color="auto"/>
              <w:right w:val="single" w:sz="4" w:space="0" w:color="auto"/>
            </w:tcBorders>
            <w:shd w:val="clear" w:color="auto" w:fill="auto"/>
            <w:noWrap/>
            <w:vAlign w:val="bottom"/>
            <w:hideMark/>
          </w:tcPr>
          <w:p w14:paraId="44E791C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2D102E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769D9F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205D0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658BB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PEA282</w:t>
            </w:r>
          </w:p>
        </w:tc>
        <w:tc>
          <w:tcPr>
            <w:tcW w:w="3220" w:type="dxa"/>
            <w:tcBorders>
              <w:top w:val="nil"/>
              <w:left w:val="nil"/>
              <w:bottom w:val="single" w:sz="4" w:space="0" w:color="auto"/>
              <w:right w:val="nil"/>
            </w:tcBorders>
            <w:shd w:val="clear" w:color="auto" w:fill="auto"/>
            <w:noWrap/>
            <w:vAlign w:val="bottom"/>
            <w:hideMark/>
          </w:tcPr>
          <w:p w14:paraId="54AE93E5" w14:textId="77777777" w:rsidR="00A41A74" w:rsidRPr="00325607" w:rsidRDefault="00A41A74" w:rsidP="00325607">
            <w:pPr>
              <w:widowControl/>
              <w:rPr>
                <w:snapToGrid/>
                <w:color w:val="000000"/>
                <w:kern w:val="0"/>
                <w:szCs w:val="22"/>
              </w:rPr>
            </w:pPr>
            <w:r w:rsidRPr="00325607">
              <w:rPr>
                <w:snapToGrid/>
                <w:color w:val="000000"/>
                <w:kern w:val="0"/>
                <w:szCs w:val="22"/>
              </w:rPr>
              <w:t>Galesburg, IL</w:t>
            </w:r>
          </w:p>
        </w:tc>
        <w:tc>
          <w:tcPr>
            <w:tcW w:w="326" w:type="dxa"/>
            <w:tcBorders>
              <w:top w:val="nil"/>
              <w:left w:val="nil"/>
              <w:bottom w:val="single" w:sz="4" w:space="0" w:color="auto"/>
              <w:right w:val="single" w:sz="4" w:space="0" w:color="auto"/>
            </w:tcBorders>
            <w:shd w:val="clear" w:color="auto" w:fill="auto"/>
            <w:noWrap/>
            <w:vAlign w:val="bottom"/>
            <w:hideMark/>
          </w:tcPr>
          <w:p w14:paraId="486CA7E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7268D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F2BE53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05615B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42E66F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PEA283</w:t>
            </w:r>
          </w:p>
        </w:tc>
        <w:tc>
          <w:tcPr>
            <w:tcW w:w="3220" w:type="dxa"/>
            <w:tcBorders>
              <w:top w:val="nil"/>
              <w:left w:val="nil"/>
              <w:bottom w:val="single" w:sz="4" w:space="0" w:color="auto"/>
              <w:right w:val="nil"/>
            </w:tcBorders>
            <w:shd w:val="clear" w:color="auto" w:fill="auto"/>
            <w:noWrap/>
            <w:vAlign w:val="bottom"/>
            <w:hideMark/>
          </w:tcPr>
          <w:p w14:paraId="03315718" w14:textId="77777777" w:rsidR="00A41A74" w:rsidRPr="00325607" w:rsidRDefault="00A41A74" w:rsidP="00325607">
            <w:pPr>
              <w:widowControl/>
              <w:rPr>
                <w:snapToGrid/>
                <w:color w:val="000000"/>
                <w:kern w:val="0"/>
                <w:szCs w:val="22"/>
              </w:rPr>
            </w:pPr>
            <w:r w:rsidRPr="00325607">
              <w:rPr>
                <w:snapToGrid/>
                <w:color w:val="000000"/>
                <w:kern w:val="0"/>
                <w:szCs w:val="22"/>
              </w:rPr>
              <w:t>Plattsburgh, NY</w:t>
            </w:r>
          </w:p>
        </w:tc>
        <w:tc>
          <w:tcPr>
            <w:tcW w:w="326" w:type="dxa"/>
            <w:tcBorders>
              <w:top w:val="nil"/>
              <w:left w:val="nil"/>
              <w:bottom w:val="single" w:sz="4" w:space="0" w:color="auto"/>
              <w:right w:val="single" w:sz="4" w:space="0" w:color="auto"/>
            </w:tcBorders>
            <w:shd w:val="clear" w:color="auto" w:fill="auto"/>
            <w:noWrap/>
            <w:vAlign w:val="bottom"/>
            <w:hideMark/>
          </w:tcPr>
          <w:p w14:paraId="16E6F82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5C9DD9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1C478F6D"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7191BA6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18B4A5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PEA284</w:t>
            </w:r>
          </w:p>
        </w:tc>
        <w:tc>
          <w:tcPr>
            <w:tcW w:w="3220" w:type="dxa"/>
            <w:tcBorders>
              <w:top w:val="nil"/>
              <w:left w:val="nil"/>
              <w:bottom w:val="single" w:sz="4" w:space="0" w:color="auto"/>
              <w:right w:val="nil"/>
            </w:tcBorders>
            <w:shd w:val="clear" w:color="auto" w:fill="auto"/>
            <w:noWrap/>
            <w:vAlign w:val="bottom"/>
            <w:hideMark/>
          </w:tcPr>
          <w:p w14:paraId="57AFF566" w14:textId="77777777" w:rsidR="00A41A74" w:rsidRPr="00325607" w:rsidRDefault="00A41A74" w:rsidP="00325607">
            <w:pPr>
              <w:widowControl/>
              <w:rPr>
                <w:snapToGrid/>
                <w:color w:val="000000"/>
                <w:kern w:val="0"/>
                <w:szCs w:val="22"/>
              </w:rPr>
            </w:pPr>
            <w:r w:rsidRPr="00325607">
              <w:rPr>
                <w:snapToGrid/>
                <w:color w:val="000000"/>
                <w:kern w:val="0"/>
                <w:szCs w:val="22"/>
              </w:rPr>
              <w:t>Greenwood, SC</w:t>
            </w:r>
          </w:p>
        </w:tc>
        <w:tc>
          <w:tcPr>
            <w:tcW w:w="326" w:type="dxa"/>
            <w:tcBorders>
              <w:top w:val="nil"/>
              <w:left w:val="nil"/>
              <w:bottom w:val="single" w:sz="4" w:space="0" w:color="auto"/>
              <w:right w:val="single" w:sz="4" w:space="0" w:color="auto"/>
            </w:tcBorders>
            <w:shd w:val="clear" w:color="auto" w:fill="auto"/>
            <w:noWrap/>
            <w:vAlign w:val="bottom"/>
            <w:hideMark/>
          </w:tcPr>
          <w:p w14:paraId="146633B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FD9E0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476EDE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711200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A96C3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PEA285</w:t>
            </w:r>
          </w:p>
        </w:tc>
        <w:tc>
          <w:tcPr>
            <w:tcW w:w="3220" w:type="dxa"/>
            <w:tcBorders>
              <w:top w:val="nil"/>
              <w:left w:val="nil"/>
              <w:bottom w:val="single" w:sz="4" w:space="0" w:color="auto"/>
              <w:right w:val="nil"/>
            </w:tcBorders>
            <w:shd w:val="clear" w:color="auto" w:fill="auto"/>
            <w:noWrap/>
            <w:vAlign w:val="bottom"/>
            <w:hideMark/>
          </w:tcPr>
          <w:p w14:paraId="44AA6A8E" w14:textId="77777777" w:rsidR="00A41A74" w:rsidRPr="00325607" w:rsidRDefault="00A41A74" w:rsidP="00325607">
            <w:pPr>
              <w:widowControl/>
              <w:rPr>
                <w:snapToGrid/>
                <w:color w:val="000000"/>
                <w:kern w:val="0"/>
                <w:szCs w:val="22"/>
              </w:rPr>
            </w:pPr>
            <w:r w:rsidRPr="00325607">
              <w:rPr>
                <w:snapToGrid/>
                <w:color w:val="000000"/>
                <w:kern w:val="0"/>
                <w:szCs w:val="22"/>
              </w:rPr>
              <w:t>Gallup, NM</w:t>
            </w:r>
          </w:p>
        </w:tc>
        <w:tc>
          <w:tcPr>
            <w:tcW w:w="326" w:type="dxa"/>
            <w:tcBorders>
              <w:top w:val="nil"/>
              <w:left w:val="nil"/>
              <w:bottom w:val="single" w:sz="4" w:space="0" w:color="auto"/>
              <w:right w:val="single" w:sz="4" w:space="0" w:color="auto"/>
            </w:tcBorders>
            <w:shd w:val="clear" w:color="auto" w:fill="auto"/>
            <w:noWrap/>
            <w:vAlign w:val="bottom"/>
            <w:hideMark/>
          </w:tcPr>
          <w:p w14:paraId="58C68FF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48CFFE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041CAE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9582D4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05D9C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PEA286</w:t>
            </w:r>
          </w:p>
        </w:tc>
        <w:tc>
          <w:tcPr>
            <w:tcW w:w="3220" w:type="dxa"/>
            <w:tcBorders>
              <w:top w:val="nil"/>
              <w:left w:val="nil"/>
              <w:bottom w:val="single" w:sz="4" w:space="0" w:color="auto"/>
              <w:right w:val="nil"/>
            </w:tcBorders>
            <w:shd w:val="clear" w:color="auto" w:fill="auto"/>
            <w:noWrap/>
            <w:vAlign w:val="bottom"/>
            <w:hideMark/>
          </w:tcPr>
          <w:p w14:paraId="267F593E" w14:textId="77777777" w:rsidR="00A41A74" w:rsidRPr="00325607" w:rsidRDefault="00A41A74" w:rsidP="00325607">
            <w:pPr>
              <w:widowControl/>
              <w:rPr>
                <w:snapToGrid/>
                <w:color w:val="000000"/>
                <w:kern w:val="0"/>
                <w:szCs w:val="22"/>
              </w:rPr>
            </w:pPr>
            <w:r w:rsidRPr="00325607">
              <w:rPr>
                <w:snapToGrid/>
                <w:color w:val="000000"/>
                <w:kern w:val="0"/>
                <w:szCs w:val="22"/>
              </w:rPr>
              <w:t>Sioux Falls, SD</w:t>
            </w:r>
          </w:p>
        </w:tc>
        <w:tc>
          <w:tcPr>
            <w:tcW w:w="326" w:type="dxa"/>
            <w:tcBorders>
              <w:top w:val="nil"/>
              <w:left w:val="nil"/>
              <w:bottom w:val="single" w:sz="4" w:space="0" w:color="auto"/>
              <w:right w:val="single" w:sz="4" w:space="0" w:color="auto"/>
            </w:tcBorders>
            <w:shd w:val="clear" w:color="auto" w:fill="auto"/>
            <w:noWrap/>
            <w:vAlign w:val="bottom"/>
            <w:hideMark/>
          </w:tcPr>
          <w:p w14:paraId="7E8F65B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E3E985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267208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9078A8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6CE63F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PEA287</w:t>
            </w:r>
          </w:p>
        </w:tc>
        <w:tc>
          <w:tcPr>
            <w:tcW w:w="3220" w:type="dxa"/>
            <w:tcBorders>
              <w:top w:val="nil"/>
              <w:left w:val="nil"/>
              <w:bottom w:val="single" w:sz="4" w:space="0" w:color="auto"/>
              <w:right w:val="nil"/>
            </w:tcBorders>
            <w:shd w:val="clear" w:color="auto" w:fill="auto"/>
            <w:noWrap/>
            <w:vAlign w:val="bottom"/>
            <w:hideMark/>
          </w:tcPr>
          <w:p w14:paraId="66DD229D" w14:textId="77777777" w:rsidR="00A41A74" w:rsidRPr="00325607" w:rsidRDefault="00A41A74" w:rsidP="00325607">
            <w:pPr>
              <w:widowControl/>
              <w:rPr>
                <w:snapToGrid/>
                <w:color w:val="000000"/>
                <w:kern w:val="0"/>
                <w:szCs w:val="22"/>
              </w:rPr>
            </w:pPr>
            <w:r w:rsidRPr="00325607">
              <w:rPr>
                <w:snapToGrid/>
                <w:color w:val="000000"/>
                <w:kern w:val="0"/>
                <w:szCs w:val="22"/>
              </w:rPr>
              <w:t>Kenosha, WI</w:t>
            </w:r>
          </w:p>
        </w:tc>
        <w:tc>
          <w:tcPr>
            <w:tcW w:w="326" w:type="dxa"/>
            <w:tcBorders>
              <w:top w:val="nil"/>
              <w:left w:val="nil"/>
              <w:bottom w:val="single" w:sz="4" w:space="0" w:color="auto"/>
              <w:right w:val="single" w:sz="4" w:space="0" w:color="auto"/>
            </w:tcBorders>
            <w:shd w:val="clear" w:color="auto" w:fill="auto"/>
            <w:noWrap/>
            <w:vAlign w:val="bottom"/>
            <w:hideMark/>
          </w:tcPr>
          <w:p w14:paraId="4C85C9D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39DDB2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9EE60E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5B7532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15A415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PEA288</w:t>
            </w:r>
          </w:p>
        </w:tc>
        <w:tc>
          <w:tcPr>
            <w:tcW w:w="3220" w:type="dxa"/>
            <w:tcBorders>
              <w:top w:val="nil"/>
              <w:left w:val="nil"/>
              <w:bottom w:val="single" w:sz="4" w:space="0" w:color="auto"/>
              <w:right w:val="nil"/>
            </w:tcBorders>
            <w:shd w:val="clear" w:color="auto" w:fill="auto"/>
            <w:noWrap/>
            <w:vAlign w:val="bottom"/>
            <w:hideMark/>
          </w:tcPr>
          <w:p w14:paraId="5E8ABBAB" w14:textId="77777777" w:rsidR="00A41A74" w:rsidRPr="00325607" w:rsidRDefault="00A41A74" w:rsidP="00325607">
            <w:pPr>
              <w:widowControl/>
              <w:rPr>
                <w:snapToGrid/>
                <w:color w:val="000000"/>
                <w:kern w:val="0"/>
                <w:szCs w:val="22"/>
              </w:rPr>
            </w:pPr>
            <w:r w:rsidRPr="00325607">
              <w:rPr>
                <w:snapToGrid/>
                <w:color w:val="000000"/>
                <w:kern w:val="0"/>
                <w:szCs w:val="22"/>
              </w:rPr>
              <w:t>Abilene, TX</w:t>
            </w:r>
          </w:p>
        </w:tc>
        <w:tc>
          <w:tcPr>
            <w:tcW w:w="326" w:type="dxa"/>
            <w:tcBorders>
              <w:top w:val="nil"/>
              <w:left w:val="nil"/>
              <w:bottom w:val="single" w:sz="4" w:space="0" w:color="auto"/>
              <w:right w:val="single" w:sz="4" w:space="0" w:color="auto"/>
            </w:tcBorders>
            <w:shd w:val="clear" w:color="auto" w:fill="auto"/>
            <w:noWrap/>
            <w:vAlign w:val="bottom"/>
            <w:hideMark/>
          </w:tcPr>
          <w:p w14:paraId="0B4E670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9D2BA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445D2D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E78E06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FD19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PEA289</w:t>
            </w:r>
          </w:p>
        </w:tc>
        <w:tc>
          <w:tcPr>
            <w:tcW w:w="3220" w:type="dxa"/>
            <w:tcBorders>
              <w:top w:val="nil"/>
              <w:left w:val="nil"/>
              <w:bottom w:val="single" w:sz="4" w:space="0" w:color="auto"/>
              <w:right w:val="nil"/>
            </w:tcBorders>
            <w:shd w:val="clear" w:color="auto" w:fill="auto"/>
            <w:noWrap/>
            <w:vAlign w:val="bottom"/>
            <w:hideMark/>
          </w:tcPr>
          <w:p w14:paraId="5CD8FD2E" w14:textId="77777777" w:rsidR="00A41A74" w:rsidRPr="00325607" w:rsidRDefault="00A41A74" w:rsidP="00325607">
            <w:pPr>
              <w:widowControl/>
              <w:rPr>
                <w:snapToGrid/>
                <w:color w:val="000000"/>
                <w:kern w:val="0"/>
                <w:szCs w:val="22"/>
              </w:rPr>
            </w:pPr>
            <w:r w:rsidRPr="00325607">
              <w:rPr>
                <w:snapToGrid/>
                <w:color w:val="000000"/>
                <w:kern w:val="0"/>
                <w:szCs w:val="22"/>
              </w:rPr>
              <w:t>Price, UT</w:t>
            </w:r>
          </w:p>
        </w:tc>
        <w:tc>
          <w:tcPr>
            <w:tcW w:w="326" w:type="dxa"/>
            <w:tcBorders>
              <w:top w:val="nil"/>
              <w:left w:val="nil"/>
              <w:bottom w:val="single" w:sz="4" w:space="0" w:color="auto"/>
              <w:right w:val="single" w:sz="4" w:space="0" w:color="auto"/>
            </w:tcBorders>
            <w:shd w:val="clear" w:color="auto" w:fill="auto"/>
            <w:noWrap/>
            <w:vAlign w:val="bottom"/>
            <w:hideMark/>
          </w:tcPr>
          <w:p w14:paraId="0B75A44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B2B239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0101006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385DAB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46CF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PEA290</w:t>
            </w:r>
          </w:p>
        </w:tc>
        <w:tc>
          <w:tcPr>
            <w:tcW w:w="3220" w:type="dxa"/>
            <w:tcBorders>
              <w:top w:val="nil"/>
              <w:left w:val="nil"/>
              <w:bottom w:val="single" w:sz="4" w:space="0" w:color="auto"/>
              <w:right w:val="nil"/>
            </w:tcBorders>
            <w:shd w:val="clear" w:color="auto" w:fill="auto"/>
            <w:noWrap/>
            <w:vAlign w:val="bottom"/>
            <w:hideMark/>
          </w:tcPr>
          <w:p w14:paraId="1D962A29" w14:textId="77777777" w:rsidR="00A41A74" w:rsidRPr="00325607" w:rsidRDefault="00A41A74" w:rsidP="00325607">
            <w:pPr>
              <w:widowControl/>
              <w:rPr>
                <w:snapToGrid/>
                <w:color w:val="000000"/>
                <w:kern w:val="0"/>
                <w:szCs w:val="22"/>
              </w:rPr>
            </w:pPr>
            <w:r w:rsidRPr="00325607">
              <w:rPr>
                <w:snapToGrid/>
                <w:color w:val="000000"/>
                <w:kern w:val="0"/>
                <w:szCs w:val="22"/>
              </w:rPr>
              <w:t>Watertown, SD</w:t>
            </w:r>
          </w:p>
        </w:tc>
        <w:tc>
          <w:tcPr>
            <w:tcW w:w="326" w:type="dxa"/>
            <w:tcBorders>
              <w:top w:val="nil"/>
              <w:left w:val="nil"/>
              <w:bottom w:val="single" w:sz="4" w:space="0" w:color="auto"/>
              <w:right w:val="single" w:sz="4" w:space="0" w:color="auto"/>
            </w:tcBorders>
            <w:shd w:val="clear" w:color="auto" w:fill="auto"/>
            <w:noWrap/>
            <w:vAlign w:val="bottom"/>
            <w:hideMark/>
          </w:tcPr>
          <w:p w14:paraId="24DC2A5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D52349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5B7B41F"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13362F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125AC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PEA291</w:t>
            </w:r>
          </w:p>
        </w:tc>
        <w:tc>
          <w:tcPr>
            <w:tcW w:w="3220" w:type="dxa"/>
            <w:tcBorders>
              <w:top w:val="nil"/>
              <w:left w:val="nil"/>
              <w:bottom w:val="single" w:sz="4" w:space="0" w:color="auto"/>
              <w:right w:val="nil"/>
            </w:tcBorders>
            <w:shd w:val="clear" w:color="auto" w:fill="auto"/>
            <w:noWrap/>
            <w:vAlign w:val="bottom"/>
            <w:hideMark/>
          </w:tcPr>
          <w:p w14:paraId="0D577F8C" w14:textId="77777777" w:rsidR="00A41A74" w:rsidRPr="00325607" w:rsidRDefault="00A41A74" w:rsidP="00325607">
            <w:pPr>
              <w:widowControl/>
              <w:rPr>
                <w:snapToGrid/>
                <w:color w:val="000000"/>
                <w:kern w:val="0"/>
                <w:szCs w:val="22"/>
              </w:rPr>
            </w:pPr>
            <w:r w:rsidRPr="00325607">
              <w:rPr>
                <w:snapToGrid/>
                <w:color w:val="000000"/>
                <w:kern w:val="0"/>
                <w:szCs w:val="22"/>
              </w:rPr>
              <w:t>Rockingham, NC</w:t>
            </w:r>
          </w:p>
        </w:tc>
        <w:tc>
          <w:tcPr>
            <w:tcW w:w="326" w:type="dxa"/>
            <w:tcBorders>
              <w:top w:val="nil"/>
              <w:left w:val="nil"/>
              <w:bottom w:val="single" w:sz="4" w:space="0" w:color="auto"/>
              <w:right w:val="single" w:sz="4" w:space="0" w:color="auto"/>
            </w:tcBorders>
            <w:shd w:val="clear" w:color="auto" w:fill="auto"/>
            <w:noWrap/>
            <w:vAlign w:val="bottom"/>
            <w:hideMark/>
          </w:tcPr>
          <w:p w14:paraId="70C4D78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A8E372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CE7BC66"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1A96B6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B690D6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PEA292</w:t>
            </w:r>
          </w:p>
        </w:tc>
        <w:tc>
          <w:tcPr>
            <w:tcW w:w="3220" w:type="dxa"/>
            <w:tcBorders>
              <w:top w:val="nil"/>
              <w:left w:val="nil"/>
              <w:bottom w:val="single" w:sz="4" w:space="0" w:color="auto"/>
              <w:right w:val="nil"/>
            </w:tcBorders>
            <w:shd w:val="clear" w:color="auto" w:fill="auto"/>
            <w:noWrap/>
            <w:vAlign w:val="bottom"/>
            <w:hideMark/>
          </w:tcPr>
          <w:p w14:paraId="6834EB22" w14:textId="77777777" w:rsidR="00A41A74" w:rsidRPr="00325607" w:rsidRDefault="00A41A74" w:rsidP="00325607">
            <w:pPr>
              <w:widowControl/>
              <w:rPr>
                <w:snapToGrid/>
                <w:color w:val="000000"/>
                <w:kern w:val="0"/>
                <w:szCs w:val="22"/>
              </w:rPr>
            </w:pPr>
            <w:r w:rsidRPr="00325607">
              <w:rPr>
                <w:snapToGrid/>
                <w:color w:val="000000"/>
                <w:kern w:val="0"/>
                <w:szCs w:val="22"/>
              </w:rPr>
              <w:t>Pueblo, CO</w:t>
            </w:r>
          </w:p>
        </w:tc>
        <w:tc>
          <w:tcPr>
            <w:tcW w:w="326" w:type="dxa"/>
            <w:tcBorders>
              <w:top w:val="nil"/>
              <w:left w:val="nil"/>
              <w:bottom w:val="single" w:sz="4" w:space="0" w:color="auto"/>
              <w:right w:val="single" w:sz="4" w:space="0" w:color="auto"/>
            </w:tcBorders>
            <w:shd w:val="clear" w:color="auto" w:fill="auto"/>
            <w:noWrap/>
            <w:vAlign w:val="bottom"/>
            <w:hideMark/>
          </w:tcPr>
          <w:p w14:paraId="512D5DB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470A0E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FD88D1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117B7E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B8ACD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PEA293</w:t>
            </w:r>
          </w:p>
        </w:tc>
        <w:tc>
          <w:tcPr>
            <w:tcW w:w="3220" w:type="dxa"/>
            <w:tcBorders>
              <w:top w:val="nil"/>
              <w:left w:val="nil"/>
              <w:bottom w:val="single" w:sz="4" w:space="0" w:color="auto"/>
              <w:right w:val="nil"/>
            </w:tcBorders>
            <w:shd w:val="clear" w:color="auto" w:fill="auto"/>
            <w:noWrap/>
            <w:vAlign w:val="bottom"/>
            <w:hideMark/>
          </w:tcPr>
          <w:p w14:paraId="26F6A09E" w14:textId="77777777" w:rsidR="00A41A74" w:rsidRPr="00325607" w:rsidRDefault="00A41A74" w:rsidP="00325607">
            <w:pPr>
              <w:widowControl/>
              <w:rPr>
                <w:snapToGrid/>
                <w:color w:val="000000"/>
                <w:kern w:val="0"/>
                <w:szCs w:val="22"/>
              </w:rPr>
            </w:pPr>
            <w:r w:rsidRPr="00325607">
              <w:rPr>
                <w:snapToGrid/>
                <w:color w:val="000000"/>
                <w:kern w:val="0"/>
                <w:szCs w:val="22"/>
              </w:rPr>
              <w:t>Lawrenceburg, TN</w:t>
            </w:r>
          </w:p>
        </w:tc>
        <w:tc>
          <w:tcPr>
            <w:tcW w:w="326" w:type="dxa"/>
            <w:tcBorders>
              <w:top w:val="nil"/>
              <w:left w:val="nil"/>
              <w:bottom w:val="single" w:sz="4" w:space="0" w:color="auto"/>
              <w:right w:val="single" w:sz="4" w:space="0" w:color="auto"/>
            </w:tcBorders>
            <w:shd w:val="clear" w:color="auto" w:fill="auto"/>
            <w:noWrap/>
            <w:vAlign w:val="bottom"/>
            <w:hideMark/>
          </w:tcPr>
          <w:p w14:paraId="5E7C89B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ABC13C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C4FEBD9"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65E823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5F6EB1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PEA294</w:t>
            </w:r>
          </w:p>
        </w:tc>
        <w:tc>
          <w:tcPr>
            <w:tcW w:w="3220" w:type="dxa"/>
            <w:tcBorders>
              <w:top w:val="nil"/>
              <w:left w:val="nil"/>
              <w:bottom w:val="single" w:sz="4" w:space="0" w:color="auto"/>
              <w:right w:val="nil"/>
            </w:tcBorders>
            <w:shd w:val="clear" w:color="auto" w:fill="auto"/>
            <w:noWrap/>
            <w:vAlign w:val="bottom"/>
            <w:hideMark/>
          </w:tcPr>
          <w:p w14:paraId="1CA69B58" w14:textId="77777777" w:rsidR="00A41A74" w:rsidRPr="00325607" w:rsidRDefault="00A41A74" w:rsidP="00325607">
            <w:pPr>
              <w:widowControl/>
              <w:rPr>
                <w:snapToGrid/>
                <w:color w:val="000000"/>
                <w:kern w:val="0"/>
                <w:szCs w:val="22"/>
              </w:rPr>
            </w:pPr>
            <w:r w:rsidRPr="00325607">
              <w:rPr>
                <w:snapToGrid/>
                <w:color w:val="000000"/>
                <w:kern w:val="0"/>
                <w:szCs w:val="22"/>
              </w:rPr>
              <w:t>Waterloo, IA</w:t>
            </w:r>
          </w:p>
        </w:tc>
        <w:tc>
          <w:tcPr>
            <w:tcW w:w="326" w:type="dxa"/>
            <w:tcBorders>
              <w:top w:val="nil"/>
              <w:left w:val="nil"/>
              <w:bottom w:val="single" w:sz="4" w:space="0" w:color="auto"/>
              <w:right w:val="single" w:sz="4" w:space="0" w:color="auto"/>
            </w:tcBorders>
            <w:shd w:val="clear" w:color="auto" w:fill="auto"/>
            <w:noWrap/>
            <w:vAlign w:val="bottom"/>
            <w:hideMark/>
          </w:tcPr>
          <w:p w14:paraId="3EA2305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F2594B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FC6BD7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126059E"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6AD5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PEA295</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3523790E" w14:textId="77777777" w:rsidR="00A41A74" w:rsidRPr="00325607" w:rsidRDefault="00A41A74" w:rsidP="00325607">
            <w:pPr>
              <w:widowControl/>
              <w:rPr>
                <w:snapToGrid/>
                <w:color w:val="000000"/>
                <w:kern w:val="0"/>
                <w:szCs w:val="22"/>
              </w:rPr>
            </w:pPr>
            <w:r w:rsidRPr="00325607">
              <w:rPr>
                <w:snapToGrid/>
                <w:color w:val="000000"/>
                <w:kern w:val="0"/>
                <w:szCs w:val="22"/>
              </w:rPr>
              <w:t>Stillwater, OK</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2CE7E143"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834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E46F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AFBC90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B2509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PEA296</w:t>
            </w:r>
          </w:p>
        </w:tc>
        <w:tc>
          <w:tcPr>
            <w:tcW w:w="3220" w:type="dxa"/>
            <w:tcBorders>
              <w:top w:val="nil"/>
              <w:left w:val="nil"/>
              <w:bottom w:val="single" w:sz="4" w:space="0" w:color="auto"/>
              <w:right w:val="nil"/>
            </w:tcBorders>
            <w:shd w:val="clear" w:color="auto" w:fill="auto"/>
            <w:noWrap/>
            <w:vAlign w:val="bottom"/>
            <w:hideMark/>
          </w:tcPr>
          <w:p w14:paraId="55CABB06" w14:textId="77777777" w:rsidR="00A41A74" w:rsidRPr="00325607" w:rsidRDefault="00A41A74" w:rsidP="00325607">
            <w:pPr>
              <w:widowControl/>
              <w:rPr>
                <w:snapToGrid/>
                <w:color w:val="000000"/>
                <w:kern w:val="0"/>
                <w:szCs w:val="22"/>
              </w:rPr>
            </w:pPr>
            <w:r w:rsidRPr="00325607">
              <w:rPr>
                <w:snapToGrid/>
                <w:color w:val="000000"/>
                <w:kern w:val="0"/>
                <w:szCs w:val="22"/>
              </w:rPr>
              <w:t>Pottsville, PA</w:t>
            </w:r>
          </w:p>
        </w:tc>
        <w:tc>
          <w:tcPr>
            <w:tcW w:w="326" w:type="dxa"/>
            <w:tcBorders>
              <w:top w:val="nil"/>
              <w:left w:val="nil"/>
              <w:bottom w:val="single" w:sz="4" w:space="0" w:color="auto"/>
              <w:right w:val="single" w:sz="4" w:space="0" w:color="auto"/>
            </w:tcBorders>
            <w:shd w:val="clear" w:color="auto" w:fill="auto"/>
            <w:noWrap/>
            <w:vAlign w:val="bottom"/>
            <w:hideMark/>
          </w:tcPr>
          <w:p w14:paraId="5D75ACE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677A81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377913DD"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2A6C64E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85BA67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PEA297</w:t>
            </w:r>
          </w:p>
        </w:tc>
        <w:tc>
          <w:tcPr>
            <w:tcW w:w="3220" w:type="dxa"/>
            <w:tcBorders>
              <w:top w:val="nil"/>
              <w:left w:val="nil"/>
              <w:bottom w:val="single" w:sz="4" w:space="0" w:color="auto"/>
              <w:right w:val="nil"/>
            </w:tcBorders>
            <w:shd w:val="clear" w:color="auto" w:fill="auto"/>
            <w:noWrap/>
            <w:vAlign w:val="bottom"/>
            <w:hideMark/>
          </w:tcPr>
          <w:p w14:paraId="1F0D5741" w14:textId="77777777" w:rsidR="00A41A74" w:rsidRPr="00325607" w:rsidRDefault="00A41A74" w:rsidP="00325607">
            <w:pPr>
              <w:widowControl/>
              <w:rPr>
                <w:snapToGrid/>
                <w:color w:val="000000"/>
                <w:kern w:val="0"/>
                <w:szCs w:val="22"/>
              </w:rPr>
            </w:pPr>
            <w:r w:rsidRPr="00325607">
              <w:rPr>
                <w:snapToGrid/>
                <w:color w:val="000000"/>
                <w:kern w:val="0"/>
                <w:szCs w:val="22"/>
              </w:rPr>
              <w:t>Pendleton, OR</w:t>
            </w:r>
          </w:p>
        </w:tc>
        <w:tc>
          <w:tcPr>
            <w:tcW w:w="326" w:type="dxa"/>
            <w:tcBorders>
              <w:top w:val="nil"/>
              <w:left w:val="nil"/>
              <w:bottom w:val="single" w:sz="4" w:space="0" w:color="auto"/>
              <w:right w:val="single" w:sz="4" w:space="0" w:color="auto"/>
            </w:tcBorders>
            <w:shd w:val="clear" w:color="auto" w:fill="auto"/>
            <w:noWrap/>
            <w:vAlign w:val="bottom"/>
            <w:hideMark/>
          </w:tcPr>
          <w:p w14:paraId="5DD92B6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F6329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A4DEC3B"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D7C82C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66F69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PEA298</w:t>
            </w:r>
          </w:p>
        </w:tc>
        <w:tc>
          <w:tcPr>
            <w:tcW w:w="3220" w:type="dxa"/>
            <w:tcBorders>
              <w:top w:val="nil"/>
              <w:left w:val="nil"/>
              <w:bottom w:val="single" w:sz="4" w:space="0" w:color="auto"/>
              <w:right w:val="nil"/>
            </w:tcBorders>
            <w:shd w:val="clear" w:color="auto" w:fill="auto"/>
            <w:noWrap/>
            <w:vAlign w:val="bottom"/>
            <w:hideMark/>
          </w:tcPr>
          <w:p w14:paraId="580EB314" w14:textId="77777777" w:rsidR="00A41A74" w:rsidRPr="00325607" w:rsidRDefault="00A41A74" w:rsidP="00325607">
            <w:pPr>
              <w:widowControl/>
              <w:rPr>
                <w:snapToGrid/>
                <w:color w:val="000000"/>
                <w:kern w:val="0"/>
                <w:szCs w:val="22"/>
              </w:rPr>
            </w:pPr>
            <w:r w:rsidRPr="00325607">
              <w:rPr>
                <w:snapToGrid/>
                <w:color w:val="000000"/>
                <w:kern w:val="0"/>
                <w:szCs w:val="22"/>
              </w:rPr>
              <w:t>Fairbanks, AK</w:t>
            </w:r>
          </w:p>
        </w:tc>
        <w:tc>
          <w:tcPr>
            <w:tcW w:w="326" w:type="dxa"/>
            <w:tcBorders>
              <w:top w:val="nil"/>
              <w:left w:val="nil"/>
              <w:bottom w:val="single" w:sz="4" w:space="0" w:color="auto"/>
              <w:right w:val="single" w:sz="4" w:space="0" w:color="auto"/>
            </w:tcBorders>
            <w:shd w:val="clear" w:color="auto" w:fill="auto"/>
            <w:noWrap/>
            <w:vAlign w:val="bottom"/>
            <w:hideMark/>
          </w:tcPr>
          <w:p w14:paraId="46F8F74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5832758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22D3414A"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B6A98C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B216C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PEA299</w:t>
            </w:r>
          </w:p>
        </w:tc>
        <w:tc>
          <w:tcPr>
            <w:tcW w:w="3220" w:type="dxa"/>
            <w:tcBorders>
              <w:top w:val="nil"/>
              <w:left w:val="nil"/>
              <w:bottom w:val="single" w:sz="4" w:space="0" w:color="auto"/>
              <w:right w:val="nil"/>
            </w:tcBorders>
            <w:shd w:val="clear" w:color="auto" w:fill="auto"/>
            <w:noWrap/>
            <w:vAlign w:val="bottom"/>
            <w:hideMark/>
          </w:tcPr>
          <w:p w14:paraId="67200417" w14:textId="77777777" w:rsidR="00A41A74" w:rsidRPr="00325607" w:rsidRDefault="00A41A74" w:rsidP="00325607">
            <w:pPr>
              <w:widowControl/>
              <w:rPr>
                <w:snapToGrid/>
                <w:color w:val="000000"/>
                <w:kern w:val="0"/>
                <w:szCs w:val="22"/>
              </w:rPr>
            </w:pPr>
            <w:r w:rsidRPr="00325607">
              <w:rPr>
                <w:snapToGrid/>
                <w:color w:val="000000"/>
                <w:kern w:val="0"/>
                <w:szCs w:val="22"/>
              </w:rPr>
              <w:t>Kirksville, MO</w:t>
            </w:r>
          </w:p>
        </w:tc>
        <w:tc>
          <w:tcPr>
            <w:tcW w:w="326" w:type="dxa"/>
            <w:tcBorders>
              <w:top w:val="nil"/>
              <w:left w:val="nil"/>
              <w:bottom w:val="single" w:sz="4" w:space="0" w:color="auto"/>
              <w:right w:val="single" w:sz="4" w:space="0" w:color="auto"/>
            </w:tcBorders>
            <w:shd w:val="clear" w:color="auto" w:fill="auto"/>
            <w:noWrap/>
            <w:vAlign w:val="bottom"/>
            <w:hideMark/>
          </w:tcPr>
          <w:p w14:paraId="5249CA9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3EE9DD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42ADCF0"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283CE32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37345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PEA300</w:t>
            </w:r>
          </w:p>
        </w:tc>
        <w:tc>
          <w:tcPr>
            <w:tcW w:w="3220" w:type="dxa"/>
            <w:tcBorders>
              <w:top w:val="nil"/>
              <w:left w:val="nil"/>
              <w:bottom w:val="single" w:sz="4" w:space="0" w:color="auto"/>
              <w:right w:val="nil"/>
            </w:tcBorders>
            <w:shd w:val="clear" w:color="auto" w:fill="auto"/>
            <w:noWrap/>
            <w:vAlign w:val="bottom"/>
            <w:hideMark/>
          </w:tcPr>
          <w:p w14:paraId="5849EF4A" w14:textId="77777777" w:rsidR="00A41A74" w:rsidRPr="00325607" w:rsidRDefault="00A41A74" w:rsidP="00325607">
            <w:pPr>
              <w:widowControl/>
              <w:rPr>
                <w:snapToGrid/>
                <w:color w:val="000000"/>
                <w:kern w:val="0"/>
                <w:szCs w:val="22"/>
              </w:rPr>
            </w:pPr>
            <w:r w:rsidRPr="00325607">
              <w:rPr>
                <w:snapToGrid/>
                <w:color w:val="000000"/>
                <w:kern w:val="0"/>
                <w:szCs w:val="22"/>
              </w:rPr>
              <w:t>Selma, AL</w:t>
            </w:r>
          </w:p>
        </w:tc>
        <w:tc>
          <w:tcPr>
            <w:tcW w:w="326" w:type="dxa"/>
            <w:tcBorders>
              <w:top w:val="nil"/>
              <w:left w:val="nil"/>
              <w:bottom w:val="single" w:sz="4" w:space="0" w:color="auto"/>
              <w:right w:val="single" w:sz="4" w:space="0" w:color="auto"/>
            </w:tcBorders>
            <w:shd w:val="clear" w:color="auto" w:fill="auto"/>
            <w:noWrap/>
            <w:vAlign w:val="bottom"/>
            <w:hideMark/>
          </w:tcPr>
          <w:p w14:paraId="276DC29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CF43D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26999C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8A1092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E3E93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PEA301</w:t>
            </w:r>
          </w:p>
        </w:tc>
        <w:tc>
          <w:tcPr>
            <w:tcW w:w="3220" w:type="dxa"/>
            <w:tcBorders>
              <w:top w:val="nil"/>
              <w:left w:val="nil"/>
              <w:bottom w:val="single" w:sz="4" w:space="0" w:color="auto"/>
              <w:right w:val="nil"/>
            </w:tcBorders>
            <w:shd w:val="clear" w:color="auto" w:fill="auto"/>
            <w:noWrap/>
            <w:vAlign w:val="bottom"/>
            <w:hideMark/>
          </w:tcPr>
          <w:p w14:paraId="3C762EAE" w14:textId="77777777" w:rsidR="00A41A74" w:rsidRPr="00325607" w:rsidRDefault="00A41A74" w:rsidP="00325607">
            <w:pPr>
              <w:widowControl/>
              <w:rPr>
                <w:snapToGrid/>
                <w:color w:val="000000"/>
                <w:kern w:val="0"/>
                <w:szCs w:val="22"/>
              </w:rPr>
            </w:pPr>
            <w:r w:rsidRPr="00325607">
              <w:rPr>
                <w:snapToGrid/>
                <w:color w:val="000000"/>
                <w:kern w:val="0"/>
                <w:szCs w:val="22"/>
              </w:rPr>
              <w:t>Rochester, MN</w:t>
            </w:r>
          </w:p>
        </w:tc>
        <w:tc>
          <w:tcPr>
            <w:tcW w:w="326" w:type="dxa"/>
            <w:tcBorders>
              <w:top w:val="nil"/>
              <w:left w:val="nil"/>
              <w:bottom w:val="single" w:sz="4" w:space="0" w:color="auto"/>
              <w:right w:val="single" w:sz="4" w:space="0" w:color="auto"/>
            </w:tcBorders>
            <w:shd w:val="clear" w:color="auto" w:fill="auto"/>
            <w:noWrap/>
            <w:vAlign w:val="bottom"/>
            <w:hideMark/>
          </w:tcPr>
          <w:p w14:paraId="1CE9AB4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B5D2D2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09AAB0E"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C09F03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E931E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PEA302</w:t>
            </w:r>
          </w:p>
        </w:tc>
        <w:tc>
          <w:tcPr>
            <w:tcW w:w="3220" w:type="dxa"/>
            <w:tcBorders>
              <w:top w:val="nil"/>
              <w:left w:val="nil"/>
              <w:bottom w:val="single" w:sz="4" w:space="0" w:color="auto"/>
              <w:right w:val="nil"/>
            </w:tcBorders>
            <w:shd w:val="clear" w:color="auto" w:fill="auto"/>
            <w:noWrap/>
            <w:vAlign w:val="bottom"/>
            <w:hideMark/>
          </w:tcPr>
          <w:p w14:paraId="712C33BF" w14:textId="77777777" w:rsidR="00A41A74" w:rsidRPr="00325607" w:rsidRDefault="00A41A74" w:rsidP="00325607">
            <w:pPr>
              <w:widowControl/>
              <w:rPr>
                <w:snapToGrid/>
                <w:color w:val="000000"/>
                <w:kern w:val="0"/>
                <w:szCs w:val="22"/>
              </w:rPr>
            </w:pPr>
            <w:r w:rsidRPr="00325607">
              <w:rPr>
                <w:snapToGrid/>
                <w:color w:val="000000"/>
                <w:kern w:val="0"/>
                <w:szCs w:val="22"/>
              </w:rPr>
              <w:t>Enid, OK</w:t>
            </w:r>
          </w:p>
        </w:tc>
        <w:tc>
          <w:tcPr>
            <w:tcW w:w="326" w:type="dxa"/>
            <w:tcBorders>
              <w:top w:val="nil"/>
              <w:left w:val="nil"/>
              <w:bottom w:val="single" w:sz="4" w:space="0" w:color="auto"/>
              <w:right w:val="single" w:sz="4" w:space="0" w:color="auto"/>
            </w:tcBorders>
            <w:shd w:val="clear" w:color="auto" w:fill="auto"/>
            <w:noWrap/>
            <w:vAlign w:val="bottom"/>
            <w:hideMark/>
          </w:tcPr>
          <w:p w14:paraId="47CA158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EA7DE1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8FFE53B"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C7AE0B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45111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PEA303</w:t>
            </w:r>
          </w:p>
        </w:tc>
        <w:tc>
          <w:tcPr>
            <w:tcW w:w="3220" w:type="dxa"/>
            <w:tcBorders>
              <w:top w:val="nil"/>
              <w:left w:val="nil"/>
              <w:bottom w:val="single" w:sz="4" w:space="0" w:color="auto"/>
              <w:right w:val="nil"/>
            </w:tcBorders>
            <w:shd w:val="clear" w:color="auto" w:fill="auto"/>
            <w:noWrap/>
            <w:vAlign w:val="bottom"/>
            <w:hideMark/>
          </w:tcPr>
          <w:p w14:paraId="650AB35E" w14:textId="77777777" w:rsidR="00A41A74" w:rsidRPr="00325607" w:rsidRDefault="00A41A74" w:rsidP="00325607">
            <w:pPr>
              <w:widowControl/>
              <w:rPr>
                <w:snapToGrid/>
                <w:color w:val="000000"/>
                <w:kern w:val="0"/>
                <w:szCs w:val="22"/>
              </w:rPr>
            </w:pPr>
            <w:r w:rsidRPr="00325607">
              <w:rPr>
                <w:snapToGrid/>
                <w:color w:val="000000"/>
                <w:kern w:val="0"/>
                <w:szCs w:val="22"/>
              </w:rPr>
              <w:t>Great Falls, MT</w:t>
            </w:r>
          </w:p>
        </w:tc>
        <w:tc>
          <w:tcPr>
            <w:tcW w:w="326" w:type="dxa"/>
            <w:tcBorders>
              <w:top w:val="nil"/>
              <w:left w:val="nil"/>
              <w:bottom w:val="single" w:sz="4" w:space="0" w:color="auto"/>
              <w:right w:val="single" w:sz="4" w:space="0" w:color="auto"/>
            </w:tcBorders>
            <w:shd w:val="clear" w:color="auto" w:fill="auto"/>
            <w:noWrap/>
            <w:vAlign w:val="bottom"/>
            <w:hideMark/>
          </w:tcPr>
          <w:p w14:paraId="6690069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E58FEA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772F4BC6"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7272F43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10BBB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PEA304</w:t>
            </w:r>
          </w:p>
        </w:tc>
        <w:tc>
          <w:tcPr>
            <w:tcW w:w="3220" w:type="dxa"/>
            <w:tcBorders>
              <w:top w:val="nil"/>
              <w:left w:val="nil"/>
              <w:bottom w:val="single" w:sz="4" w:space="0" w:color="auto"/>
              <w:right w:val="nil"/>
            </w:tcBorders>
            <w:shd w:val="clear" w:color="auto" w:fill="auto"/>
            <w:noWrap/>
            <w:vAlign w:val="bottom"/>
            <w:hideMark/>
          </w:tcPr>
          <w:p w14:paraId="7A11C5D7" w14:textId="77777777" w:rsidR="00A41A74" w:rsidRPr="00325607" w:rsidRDefault="00A41A74" w:rsidP="00325607">
            <w:pPr>
              <w:widowControl/>
              <w:rPr>
                <w:snapToGrid/>
                <w:color w:val="000000"/>
                <w:kern w:val="0"/>
                <w:szCs w:val="22"/>
              </w:rPr>
            </w:pPr>
            <w:r w:rsidRPr="00325607">
              <w:rPr>
                <w:snapToGrid/>
                <w:color w:val="000000"/>
                <w:kern w:val="0"/>
                <w:szCs w:val="22"/>
              </w:rPr>
              <w:t>Mount Airy, NC</w:t>
            </w:r>
          </w:p>
        </w:tc>
        <w:tc>
          <w:tcPr>
            <w:tcW w:w="326" w:type="dxa"/>
            <w:tcBorders>
              <w:top w:val="nil"/>
              <w:left w:val="nil"/>
              <w:bottom w:val="single" w:sz="4" w:space="0" w:color="auto"/>
              <w:right w:val="single" w:sz="4" w:space="0" w:color="auto"/>
            </w:tcBorders>
            <w:shd w:val="clear" w:color="auto" w:fill="auto"/>
            <w:noWrap/>
            <w:vAlign w:val="bottom"/>
            <w:hideMark/>
          </w:tcPr>
          <w:p w14:paraId="16DFB6F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F7A6D3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6BC576E"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0EEA35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F10F43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PEA305</w:t>
            </w:r>
          </w:p>
        </w:tc>
        <w:tc>
          <w:tcPr>
            <w:tcW w:w="3220" w:type="dxa"/>
            <w:tcBorders>
              <w:top w:val="nil"/>
              <w:left w:val="nil"/>
              <w:bottom w:val="single" w:sz="4" w:space="0" w:color="auto"/>
              <w:right w:val="nil"/>
            </w:tcBorders>
            <w:shd w:val="clear" w:color="auto" w:fill="auto"/>
            <w:noWrap/>
            <w:vAlign w:val="bottom"/>
            <w:hideMark/>
          </w:tcPr>
          <w:p w14:paraId="0874FDCE" w14:textId="77777777" w:rsidR="00A41A74" w:rsidRPr="00325607" w:rsidRDefault="00A41A74" w:rsidP="00325607">
            <w:pPr>
              <w:widowControl/>
              <w:rPr>
                <w:snapToGrid/>
                <w:color w:val="000000"/>
                <w:kern w:val="0"/>
                <w:szCs w:val="22"/>
              </w:rPr>
            </w:pPr>
            <w:r w:rsidRPr="00325607">
              <w:rPr>
                <w:snapToGrid/>
                <w:color w:val="000000"/>
                <w:kern w:val="0"/>
                <w:szCs w:val="22"/>
              </w:rPr>
              <w:t>Altus, OK</w:t>
            </w:r>
          </w:p>
        </w:tc>
        <w:tc>
          <w:tcPr>
            <w:tcW w:w="326" w:type="dxa"/>
            <w:tcBorders>
              <w:top w:val="nil"/>
              <w:left w:val="nil"/>
              <w:bottom w:val="single" w:sz="4" w:space="0" w:color="auto"/>
              <w:right w:val="single" w:sz="4" w:space="0" w:color="auto"/>
            </w:tcBorders>
            <w:shd w:val="clear" w:color="auto" w:fill="auto"/>
            <w:noWrap/>
            <w:vAlign w:val="bottom"/>
            <w:hideMark/>
          </w:tcPr>
          <w:p w14:paraId="0B3980E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814140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551747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33AD5C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DFE43C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PEA306</w:t>
            </w:r>
          </w:p>
        </w:tc>
        <w:tc>
          <w:tcPr>
            <w:tcW w:w="3220" w:type="dxa"/>
            <w:tcBorders>
              <w:top w:val="nil"/>
              <w:left w:val="nil"/>
              <w:bottom w:val="single" w:sz="4" w:space="0" w:color="auto"/>
              <w:right w:val="nil"/>
            </w:tcBorders>
            <w:shd w:val="clear" w:color="auto" w:fill="auto"/>
            <w:noWrap/>
            <w:vAlign w:val="bottom"/>
            <w:hideMark/>
          </w:tcPr>
          <w:p w14:paraId="4E7A57EC" w14:textId="77777777" w:rsidR="00A41A74" w:rsidRPr="00325607" w:rsidRDefault="00A41A74" w:rsidP="00325607">
            <w:pPr>
              <w:widowControl/>
              <w:rPr>
                <w:snapToGrid/>
                <w:color w:val="000000"/>
                <w:kern w:val="0"/>
                <w:szCs w:val="22"/>
              </w:rPr>
            </w:pPr>
            <w:r w:rsidRPr="00325607">
              <w:rPr>
                <w:snapToGrid/>
                <w:color w:val="000000"/>
                <w:kern w:val="0"/>
                <w:szCs w:val="22"/>
              </w:rPr>
              <w:t>Wichita Falls, TX</w:t>
            </w:r>
          </w:p>
        </w:tc>
        <w:tc>
          <w:tcPr>
            <w:tcW w:w="326" w:type="dxa"/>
            <w:tcBorders>
              <w:top w:val="nil"/>
              <w:left w:val="nil"/>
              <w:bottom w:val="single" w:sz="4" w:space="0" w:color="auto"/>
              <w:right w:val="single" w:sz="4" w:space="0" w:color="auto"/>
            </w:tcBorders>
            <w:shd w:val="clear" w:color="auto" w:fill="auto"/>
            <w:noWrap/>
            <w:vAlign w:val="bottom"/>
            <w:hideMark/>
          </w:tcPr>
          <w:p w14:paraId="468BC8A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B9EB42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271CFB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C08102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2830D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PEA307</w:t>
            </w:r>
          </w:p>
        </w:tc>
        <w:tc>
          <w:tcPr>
            <w:tcW w:w="3220" w:type="dxa"/>
            <w:tcBorders>
              <w:top w:val="nil"/>
              <w:left w:val="nil"/>
              <w:bottom w:val="single" w:sz="4" w:space="0" w:color="auto"/>
              <w:right w:val="nil"/>
            </w:tcBorders>
            <w:shd w:val="clear" w:color="auto" w:fill="auto"/>
            <w:noWrap/>
            <w:vAlign w:val="bottom"/>
            <w:hideMark/>
          </w:tcPr>
          <w:p w14:paraId="67E7C555" w14:textId="77777777" w:rsidR="00A41A74" w:rsidRPr="00325607" w:rsidRDefault="00A41A74" w:rsidP="00325607">
            <w:pPr>
              <w:widowControl/>
              <w:rPr>
                <w:snapToGrid/>
                <w:color w:val="000000"/>
                <w:kern w:val="0"/>
                <w:szCs w:val="22"/>
              </w:rPr>
            </w:pPr>
            <w:r w:rsidRPr="00325607">
              <w:rPr>
                <w:snapToGrid/>
                <w:color w:val="000000"/>
                <w:kern w:val="0"/>
                <w:szCs w:val="22"/>
              </w:rPr>
              <w:t>Yankton, SD</w:t>
            </w:r>
          </w:p>
        </w:tc>
        <w:tc>
          <w:tcPr>
            <w:tcW w:w="326" w:type="dxa"/>
            <w:tcBorders>
              <w:top w:val="nil"/>
              <w:left w:val="nil"/>
              <w:bottom w:val="single" w:sz="4" w:space="0" w:color="auto"/>
              <w:right w:val="single" w:sz="4" w:space="0" w:color="auto"/>
            </w:tcBorders>
            <w:shd w:val="clear" w:color="auto" w:fill="auto"/>
            <w:noWrap/>
            <w:vAlign w:val="bottom"/>
            <w:hideMark/>
          </w:tcPr>
          <w:p w14:paraId="418A447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725D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E876A5B"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A3EB32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C5FB18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PEA308</w:t>
            </w:r>
          </w:p>
        </w:tc>
        <w:tc>
          <w:tcPr>
            <w:tcW w:w="3220" w:type="dxa"/>
            <w:tcBorders>
              <w:top w:val="nil"/>
              <w:left w:val="nil"/>
              <w:bottom w:val="single" w:sz="4" w:space="0" w:color="auto"/>
              <w:right w:val="nil"/>
            </w:tcBorders>
            <w:shd w:val="clear" w:color="auto" w:fill="auto"/>
            <w:noWrap/>
            <w:vAlign w:val="bottom"/>
            <w:hideMark/>
          </w:tcPr>
          <w:p w14:paraId="3E2B802F" w14:textId="77777777" w:rsidR="00A41A74" w:rsidRPr="00325607" w:rsidRDefault="00A41A74" w:rsidP="00325607">
            <w:pPr>
              <w:widowControl/>
              <w:rPr>
                <w:snapToGrid/>
                <w:color w:val="000000"/>
                <w:kern w:val="0"/>
                <w:szCs w:val="22"/>
              </w:rPr>
            </w:pPr>
            <w:r w:rsidRPr="00325607">
              <w:rPr>
                <w:snapToGrid/>
                <w:color w:val="000000"/>
                <w:kern w:val="0"/>
                <w:szCs w:val="22"/>
              </w:rPr>
              <w:t>Americus, GA</w:t>
            </w:r>
          </w:p>
        </w:tc>
        <w:tc>
          <w:tcPr>
            <w:tcW w:w="326" w:type="dxa"/>
            <w:tcBorders>
              <w:top w:val="nil"/>
              <w:left w:val="nil"/>
              <w:bottom w:val="single" w:sz="4" w:space="0" w:color="auto"/>
              <w:right w:val="single" w:sz="4" w:space="0" w:color="auto"/>
            </w:tcBorders>
            <w:shd w:val="clear" w:color="auto" w:fill="auto"/>
            <w:noWrap/>
            <w:vAlign w:val="bottom"/>
            <w:hideMark/>
          </w:tcPr>
          <w:p w14:paraId="25E15E9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1F7C18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8C8CBC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C8672F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26B2CB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PEA309</w:t>
            </w:r>
          </w:p>
        </w:tc>
        <w:tc>
          <w:tcPr>
            <w:tcW w:w="3220" w:type="dxa"/>
            <w:tcBorders>
              <w:top w:val="nil"/>
              <w:left w:val="nil"/>
              <w:bottom w:val="single" w:sz="4" w:space="0" w:color="auto"/>
              <w:right w:val="nil"/>
            </w:tcBorders>
            <w:shd w:val="clear" w:color="auto" w:fill="auto"/>
            <w:noWrap/>
            <w:vAlign w:val="bottom"/>
            <w:hideMark/>
          </w:tcPr>
          <w:p w14:paraId="34A0457F" w14:textId="77777777" w:rsidR="00A41A74" w:rsidRPr="00325607" w:rsidRDefault="00A41A74" w:rsidP="00325607">
            <w:pPr>
              <w:widowControl/>
              <w:rPr>
                <w:snapToGrid/>
                <w:color w:val="000000"/>
                <w:kern w:val="0"/>
                <w:szCs w:val="22"/>
              </w:rPr>
            </w:pPr>
            <w:r w:rsidRPr="00325607">
              <w:rPr>
                <w:snapToGrid/>
                <w:color w:val="000000"/>
                <w:kern w:val="0"/>
                <w:szCs w:val="22"/>
              </w:rPr>
              <w:t>Elizabeth City, NC</w:t>
            </w:r>
          </w:p>
        </w:tc>
        <w:tc>
          <w:tcPr>
            <w:tcW w:w="326" w:type="dxa"/>
            <w:tcBorders>
              <w:top w:val="nil"/>
              <w:left w:val="nil"/>
              <w:bottom w:val="single" w:sz="4" w:space="0" w:color="auto"/>
              <w:right w:val="single" w:sz="4" w:space="0" w:color="auto"/>
            </w:tcBorders>
            <w:shd w:val="clear" w:color="auto" w:fill="auto"/>
            <w:noWrap/>
            <w:vAlign w:val="bottom"/>
            <w:hideMark/>
          </w:tcPr>
          <w:p w14:paraId="0396F62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16CED0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ACF4492"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764F4B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CF6984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PEA310</w:t>
            </w:r>
          </w:p>
        </w:tc>
        <w:tc>
          <w:tcPr>
            <w:tcW w:w="3220" w:type="dxa"/>
            <w:tcBorders>
              <w:top w:val="nil"/>
              <w:left w:val="nil"/>
              <w:bottom w:val="single" w:sz="4" w:space="0" w:color="auto"/>
              <w:right w:val="nil"/>
            </w:tcBorders>
            <w:shd w:val="clear" w:color="auto" w:fill="auto"/>
            <w:noWrap/>
            <w:vAlign w:val="bottom"/>
            <w:hideMark/>
          </w:tcPr>
          <w:p w14:paraId="0B3D7886" w14:textId="77777777" w:rsidR="00A41A74" w:rsidRPr="00325607" w:rsidRDefault="00A41A74" w:rsidP="00325607">
            <w:pPr>
              <w:widowControl/>
              <w:rPr>
                <w:snapToGrid/>
                <w:color w:val="000000"/>
                <w:kern w:val="0"/>
                <w:szCs w:val="22"/>
              </w:rPr>
            </w:pPr>
            <w:r w:rsidRPr="00325607">
              <w:rPr>
                <w:snapToGrid/>
                <w:color w:val="000000"/>
                <w:kern w:val="0"/>
                <w:szCs w:val="22"/>
              </w:rPr>
              <w:t>Farmington, MO</w:t>
            </w:r>
          </w:p>
        </w:tc>
        <w:tc>
          <w:tcPr>
            <w:tcW w:w="326" w:type="dxa"/>
            <w:tcBorders>
              <w:top w:val="nil"/>
              <w:left w:val="nil"/>
              <w:bottom w:val="single" w:sz="4" w:space="0" w:color="auto"/>
              <w:right w:val="single" w:sz="4" w:space="0" w:color="auto"/>
            </w:tcBorders>
            <w:shd w:val="clear" w:color="auto" w:fill="auto"/>
            <w:noWrap/>
            <w:vAlign w:val="bottom"/>
            <w:hideMark/>
          </w:tcPr>
          <w:p w14:paraId="5045692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1DFA0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B243729"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07D5E14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70CDBA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PEA311</w:t>
            </w:r>
          </w:p>
        </w:tc>
        <w:tc>
          <w:tcPr>
            <w:tcW w:w="3220" w:type="dxa"/>
            <w:tcBorders>
              <w:top w:val="nil"/>
              <w:left w:val="nil"/>
              <w:bottom w:val="single" w:sz="4" w:space="0" w:color="auto"/>
              <w:right w:val="nil"/>
            </w:tcBorders>
            <w:shd w:val="clear" w:color="auto" w:fill="auto"/>
            <w:noWrap/>
            <w:vAlign w:val="bottom"/>
            <w:hideMark/>
          </w:tcPr>
          <w:p w14:paraId="1352B6D0" w14:textId="77777777" w:rsidR="00A41A74" w:rsidRPr="00325607" w:rsidRDefault="00A41A74" w:rsidP="00325607">
            <w:pPr>
              <w:widowControl/>
              <w:rPr>
                <w:snapToGrid/>
                <w:color w:val="000000"/>
                <w:kern w:val="0"/>
                <w:szCs w:val="22"/>
              </w:rPr>
            </w:pPr>
            <w:r w:rsidRPr="00325607">
              <w:rPr>
                <w:snapToGrid/>
                <w:color w:val="000000"/>
                <w:kern w:val="0"/>
                <w:szCs w:val="22"/>
              </w:rPr>
              <w:t>Trinidad, CO</w:t>
            </w:r>
          </w:p>
        </w:tc>
        <w:tc>
          <w:tcPr>
            <w:tcW w:w="326" w:type="dxa"/>
            <w:tcBorders>
              <w:top w:val="nil"/>
              <w:left w:val="nil"/>
              <w:bottom w:val="single" w:sz="4" w:space="0" w:color="auto"/>
              <w:right w:val="single" w:sz="4" w:space="0" w:color="auto"/>
            </w:tcBorders>
            <w:shd w:val="clear" w:color="auto" w:fill="auto"/>
            <w:noWrap/>
            <w:vAlign w:val="bottom"/>
            <w:hideMark/>
          </w:tcPr>
          <w:p w14:paraId="673BFEA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3A677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441B55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A78736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32F6BF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PEA312</w:t>
            </w:r>
          </w:p>
        </w:tc>
        <w:tc>
          <w:tcPr>
            <w:tcW w:w="3220" w:type="dxa"/>
            <w:tcBorders>
              <w:top w:val="nil"/>
              <w:left w:val="nil"/>
              <w:bottom w:val="single" w:sz="4" w:space="0" w:color="auto"/>
              <w:right w:val="nil"/>
            </w:tcBorders>
            <w:shd w:val="clear" w:color="auto" w:fill="auto"/>
            <w:noWrap/>
            <w:vAlign w:val="bottom"/>
            <w:hideMark/>
          </w:tcPr>
          <w:p w14:paraId="3D4E4F34" w14:textId="77777777" w:rsidR="00A41A74" w:rsidRPr="00325607" w:rsidRDefault="00A41A74" w:rsidP="00325607">
            <w:pPr>
              <w:widowControl/>
              <w:rPr>
                <w:snapToGrid/>
                <w:color w:val="000000"/>
                <w:kern w:val="0"/>
                <w:szCs w:val="22"/>
              </w:rPr>
            </w:pPr>
            <w:r w:rsidRPr="00325607">
              <w:rPr>
                <w:snapToGrid/>
                <w:color w:val="000000"/>
                <w:kern w:val="0"/>
                <w:szCs w:val="22"/>
              </w:rPr>
              <w:t>Farmington, NM</w:t>
            </w:r>
          </w:p>
        </w:tc>
        <w:tc>
          <w:tcPr>
            <w:tcW w:w="326" w:type="dxa"/>
            <w:tcBorders>
              <w:top w:val="nil"/>
              <w:left w:val="nil"/>
              <w:bottom w:val="single" w:sz="4" w:space="0" w:color="auto"/>
              <w:right w:val="single" w:sz="4" w:space="0" w:color="auto"/>
            </w:tcBorders>
            <w:shd w:val="clear" w:color="auto" w:fill="auto"/>
            <w:noWrap/>
            <w:vAlign w:val="bottom"/>
            <w:hideMark/>
          </w:tcPr>
          <w:p w14:paraId="004161A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74AE18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EBB174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B4BBF6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F01F3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PEA313</w:t>
            </w:r>
          </w:p>
        </w:tc>
        <w:tc>
          <w:tcPr>
            <w:tcW w:w="3220" w:type="dxa"/>
            <w:tcBorders>
              <w:top w:val="nil"/>
              <w:left w:val="nil"/>
              <w:bottom w:val="single" w:sz="4" w:space="0" w:color="auto"/>
              <w:right w:val="nil"/>
            </w:tcBorders>
            <w:shd w:val="clear" w:color="auto" w:fill="auto"/>
            <w:noWrap/>
            <w:vAlign w:val="bottom"/>
            <w:hideMark/>
          </w:tcPr>
          <w:p w14:paraId="3BEB6BC9" w14:textId="77777777" w:rsidR="00A41A74" w:rsidRPr="00325607" w:rsidRDefault="00A41A74" w:rsidP="00325607">
            <w:pPr>
              <w:widowControl/>
              <w:rPr>
                <w:snapToGrid/>
                <w:color w:val="000000"/>
                <w:kern w:val="0"/>
                <w:szCs w:val="22"/>
              </w:rPr>
            </w:pPr>
            <w:r w:rsidRPr="00325607">
              <w:rPr>
                <w:snapToGrid/>
                <w:color w:val="000000"/>
                <w:kern w:val="0"/>
                <w:szCs w:val="22"/>
              </w:rPr>
              <w:t>Lockhart, TX</w:t>
            </w:r>
          </w:p>
        </w:tc>
        <w:tc>
          <w:tcPr>
            <w:tcW w:w="326" w:type="dxa"/>
            <w:tcBorders>
              <w:top w:val="nil"/>
              <w:left w:val="nil"/>
              <w:bottom w:val="single" w:sz="4" w:space="0" w:color="auto"/>
              <w:right w:val="single" w:sz="4" w:space="0" w:color="auto"/>
            </w:tcBorders>
            <w:shd w:val="clear" w:color="auto" w:fill="auto"/>
            <w:noWrap/>
            <w:vAlign w:val="bottom"/>
            <w:hideMark/>
          </w:tcPr>
          <w:p w14:paraId="5192C4D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695C57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AC4646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4A1E43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FA5D9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PEA314</w:t>
            </w:r>
          </w:p>
        </w:tc>
        <w:tc>
          <w:tcPr>
            <w:tcW w:w="3220" w:type="dxa"/>
            <w:tcBorders>
              <w:top w:val="nil"/>
              <w:left w:val="nil"/>
              <w:bottom w:val="single" w:sz="4" w:space="0" w:color="auto"/>
              <w:right w:val="nil"/>
            </w:tcBorders>
            <w:shd w:val="clear" w:color="auto" w:fill="auto"/>
            <w:noWrap/>
            <w:vAlign w:val="bottom"/>
            <w:hideMark/>
          </w:tcPr>
          <w:p w14:paraId="76E4F970" w14:textId="77777777" w:rsidR="00A41A74" w:rsidRPr="00325607" w:rsidRDefault="00A41A74" w:rsidP="00325607">
            <w:pPr>
              <w:widowControl/>
              <w:rPr>
                <w:snapToGrid/>
                <w:color w:val="000000"/>
                <w:kern w:val="0"/>
                <w:szCs w:val="22"/>
              </w:rPr>
            </w:pPr>
            <w:r w:rsidRPr="00325607">
              <w:rPr>
                <w:snapToGrid/>
                <w:color w:val="000000"/>
                <w:kern w:val="0"/>
                <w:szCs w:val="22"/>
              </w:rPr>
              <w:t>Jacksonville, TX</w:t>
            </w:r>
          </w:p>
        </w:tc>
        <w:tc>
          <w:tcPr>
            <w:tcW w:w="326" w:type="dxa"/>
            <w:tcBorders>
              <w:top w:val="nil"/>
              <w:left w:val="nil"/>
              <w:bottom w:val="single" w:sz="4" w:space="0" w:color="auto"/>
              <w:right w:val="single" w:sz="4" w:space="0" w:color="auto"/>
            </w:tcBorders>
            <w:shd w:val="clear" w:color="auto" w:fill="auto"/>
            <w:noWrap/>
            <w:vAlign w:val="bottom"/>
            <w:hideMark/>
          </w:tcPr>
          <w:p w14:paraId="4942357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0B34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4D9050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8383D6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1BDA8B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PEA315</w:t>
            </w:r>
          </w:p>
        </w:tc>
        <w:tc>
          <w:tcPr>
            <w:tcW w:w="3220" w:type="dxa"/>
            <w:tcBorders>
              <w:top w:val="nil"/>
              <w:left w:val="nil"/>
              <w:bottom w:val="single" w:sz="4" w:space="0" w:color="auto"/>
              <w:right w:val="nil"/>
            </w:tcBorders>
            <w:shd w:val="clear" w:color="auto" w:fill="auto"/>
            <w:noWrap/>
            <w:vAlign w:val="bottom"/>
            <w:hideMark/>
          </w:tcPr>
          <w:p w14:paraId="23FE42EF" w14:textId="77777777" w:rsidR="00A41A74" w:rsidRPr="00325607" w:rsidRDefault="00A41A74" w:rsidP="00325607">
            <w:pPr>
              <w:widowControl/>
              <w:rPr>
                <w:snapToGrid/>
                <w:color w:val="000000"/>
                <w:kern w:val="0"/>
                <w:szCs w:val="22"/>
              </w:rPr>
            </w:pPr>
            <w:r w:rsidRPr="00325607">
              <w:rPr>
                <w:snapToGrid/>
                <w:color w:val="000000"/>
                <w:kern w:val="0"/>
                <w:szCs w:val="22"/>
              </w:rPr>
              <w:t>Sheridan, WY</w:t>
            </w:r>
          </w:p>
        </w:tc>
        <w:tc>
          <w:tcPr>
            <w:tcW w:w="326" w:type="dxa"/>
            <w:tcBorders>
              <w:top w:val="nil"/>
              <w:left w:val="nil"/>
              <w:bottom w:val="single" w:sz="4" w:space="0" w:color="auto"/>
              <w:right w:val="single" w:sz="4" w:space="0" w:color="auto"/>
            </w:tcBorders>
            <w:shd w:val="clear" w:color="auto" w:fill="auto"/>
            <w:noWrap/>
            <w:vAlign w:val="bottom"/>
            <w:hideMark/>
          </w:tcPr>
          <w:p w14:paraId="6C5A851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7B1B5E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279B347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2E24B4D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0995F0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PEA316</w:t>
            </w:r>
          </w:p>
        </w:tc>
        <w:tc>
          <w:tcPr>
            <w:tcW w:w="3220" w:type="dxa"/>
            <w:tcBorders>
              <w:top w:val="nil"/>
              <w:left w:val="nil"/>
              <w:bottom w:val="single" w:sz="4" w:space="0" w:color="auto"/>
              <w:right w:val="nil"/>
            </w:tcBorders>
            <w:shd w:val="clear" w:color="auto" w:fill="auto"/>
            <w:noWrap/>
            <w:vAlign w:val="bottom"/>
            <w:hideMark/>
          </w:tcPr>
          <w:p w14:paraId="46DF86FB" w14:textId="77777777" w:rsidR="00A41A74" w:rsidRPr="00325607" w:rsidRDefault="00A41A74" w:rsidP="00325607">
            <w:pPr>
              <w:widowControl/>
              <w:rPr>
                <w:snapToGrid/>
                <w:color w:val="000000"/>
                <w:kern w:val="0"/>
                <w:szCs w:val="22"/>
              </w:rPr>
            </w:pPr>
            <w:r w:rsidRPr="00325607">
              <w:rPr>
                <w:snapToGrid/>
                <w:color w:val="000000"/>
                <w:kern w:val="0"/>
                <w:szCs w:val="22"/>
              </w:rPr>
              <w:t>Rock Springs, WY</w:t>
            </w:r>
          </w:p>
        </w:tc>
        <w:tc>
          <w:tcPr>
            <w:tcW w:w="326" w:type="dxa"/>
            <w:tcBorders>
              <w:top w:val="nil"/>
              <w:left w:val="nil"/>
              <w:bottom w:val="single" w:sz="4" w:space="0" w:color="auto"/>
              <w:right w:val="single" w:sz="4" w:space="0" w:color="auto"/>
            </w:tcBorders>
            <w:shd w:val="clear" w:color="auto" w:fill="auto"/>
            <w:noWrap/>
            <w:vAlign w:val="bottom"/>
            <w:hideMark/>
          </w:tcPr>
          <w:p w14:paraId="084A135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CD4C76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9F16E6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1B5E24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13B678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PEA317</w:t>
            </w:r>
          </w:p>
        </w:tc>
        <w:tc>
          <w:tcPr>
            <w:tcW w:w="3220" w:type="dxa"/>
            <w:tcBorders>
              <w:top w:val="nil"/>
              <w:left w:val="nil"/>
              <w:bottom w:val="single" w:sz="4" w:space="0" w:color="auto"/>
              <w:right w:val="nil"/>
            </w:tcBorders>
            <w:shd w:val="clear" w:color="auto" w:fill="auto"/>
            <w:noWrap/>
            <w:vAlign w:val="bottom"/>
            <w:hideMark/>
          </w:tcPr>
          <w:p w14:paraId="6EFEF5A3" w14:textId="77777777" w:rsidR="00A41A74" w:rsidRPr="00325607" w:rsidRDefault="00A41A74" w:rsidP="00325607">
            <w:pPr>
              <w:widowControl/>
              <w:rPr>
                <w:snapToGrid/>
                <w:color w:val="000000"/>
                <w:kern w:val="0"/>
                <w:szCs w:val="22"/>
              </w:rPr>
            </w:pPr>
            <w:r w:rsidRPr="00325607">
              <w:rPr>
                <w:snapToGrid/>
                <w:color w:val="000000"/>
                <w:kern w:val="0"/>
                <w:szCs w:val="22"/>
              </w:rPr>
              <w:t>Beatrice, NE</w:t>
            </w:r>
          </w:p>
        </w:tc>
        <w:tc>
          <w:tcPr>
            <w:tcW w:w="326" w:type="dxa"/>
            <w:tcBorders>
              <w:top w:val="nil"/>
              <w:left w:val="nil"/>
              <w:bottom w:val="single" w:sz="4" w:space="0" w:color="auto"/>
              <w:right w:val="single" w:sz="4" w:space="0" w:color="auto"/>
            </w:tcBorders>
            <w:shd w:val="clear" w:color="auto" w:fill="auto"/>
            <w:noWrap/>
            <w:vAlign w:val="bottom"/>
            <w:hideMark/>
          </w:tcPr>
          <w:p w14:paraId="4622616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FFEA71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75E24C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94EB1F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9B76F0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PEA318</w:t>
            </w:r>
          </w:p>
        </w:tc>
        <w:tc>
          <w:tcPr>
            <w:tcW w:w="3220" w:type="dxa"/>
            <w:tcBorders>
              <w:top w:val="nil"/>
              <w:left w:val="nil"/>
              <w:bottom w:val="single" w:sz="4" w:space="0" w:color="auto"/>
              <w:right w:val="nil"/>
            </w:tcBorders>
            <w:shd w:val="clear" w:color="auto" w:fill="auto"/>
            <w:noWrap/>
            <w:vAlign w:val="bottom"/>
            <w:hideMark/>
          </w:tcPr>
          <w:p w14:paraId="1D2C1FB7" w14:textId="77777777" w:rsidR="00A41A74" w:rsidRPr="00325607" w:rsidRDefault="00A41A74" w:rsidP="00325607">
            <w:pPr>
              <w:widowControl/>
              <w:rPr>
                <w:snapToGrid/>
                <w:color w:val="000000"/>
                <w:kern w:val="0"/>
                <w:szCs w:val="22"/>
              </w:rPr>
            </w:pPr>
            <w:r w:rsidRPr="00325607">
              <w:rPr>
                <w:snapToGrid/>
                <w:color w:val="000000"/>
                <w:kern w:val="0"/>
                <w:szCs w:val="22"/>
              </w:rPr>
              <w:t>Thief River Falls, MN</w:t>
            </w:r>
          </w:p>
        </w:tc>
        <w:tc>
          <w:tcPr>
            <w:tcW w:w="326" w:type="dxa"/>
            <w:tcBorders>
              <w:top w:val="nil"/>
              <w:left w:val="nil"/>
              <w:bottom w:val="single" w:sz="4" w:space="0" w:color="auto"/>
              <w:right w:val="single" w:sz="4" w:space="0" w:color="auto"/>
            </w:tcBorders>
            <w:shd w:val="clear" w:color="auto" w:fill="auto"/>
            <w:noWrap/>
            <w:vAlign w:val="bottom"/>
            <w:hideMark/>
          </w:tcPr>
          <w:p w14:paraId="40C968B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9C378B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AFAF9D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E2572B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B0F732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PEA319</w:t>
            </w:r>
          </w:p>
        </w:tc>
        <w:tc>
          <w:tcPr>
            <w:tcW w:w="3220" w:type="dxa"/>
            <w:tcBorders>
              <w:top w:val="nil"/>
              <w:left w:val="nil"/>
              <w:bottom w:val="single" w:sz="4" w:space="0" w:color="auto"/>
              <w:right w:val="nil"/>
            </w:tcBorders>
            <w:shd w:val="clear" w:color="auto" w:fill="auto"/>
            <w:noWrap/>
            <w:vAlign w:val="bottom"/>
            <w:hideMark/>
          </w:tcPr>
          <w:p w14:paraId="7AC09D9D" w14:textId="77777777" w:rsidR="00A41A74" w:rsidRPr="00325607" w:rsidRDefault="00A41A74" w:rsidP="00325607">
            <w:pPr>
              <w:widowControl/>
              <w:rPr>
                <w:snapToGrid/>
                <w:color w:val="000000"/>
                <w:kern w:val="0"/>
                <w:szCs w:val="22"/>
              </w:rPr>
            </w:pPr>
            <w:r w:rsidRPr="00325607">
              <w:rPr>
                <w:snapToGrid/>
                <w:color w:val="000000"/>
                <w:kern w:val="0"/>
                <w:szCs w:val="22"/>
              </w:rPr>
              <w:t>Albany, GA</w:t>
            </w:r>
          </w:p>
        </w:tc>
        <w:tc>
          <w:tcPr>
            <w:tcW w:w="326" w:type="dxa"/>
            <w:tcBorders>
              <w:top w:val="nil"/>
              <w:left w:val="nil"/>
              <w:bottom w:val="single" w:sz="4" w:space="0" w:color="auto"/>
              <w:right w:val="single" w:sz="4" w:space="0" w:color="auto"/>
            </w:tcBorders>
            <w:shd w:val="clear" w:color="auto" w:fill="auto"/>
            <w:noWrap/>
            <w:vAlign w:val="bottom"/>
            <w:hideMark/>
          </w:tcPr>
          <w:p w14:paraId="4A6B8E1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B35E9B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E5496A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0E69EE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DADD6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PEA320</w:t>
            </w:r>
          </w:p>
        </w:tc>
        <w:tc>
          <w:tcPr>
            <w:tcW w:w="3220" w:type="dxa"/>
            <w:tcBorders>
              <w:top w:val="nil"/>
              <w:left w:val="nil"/>
              <w:bottom w:val="single" w:sz="4" w:space="0" w:color="auto"/>
              <w:right w:val="nil"/>
            </w:tcBorders>
            <w:shd w:val="clear" w:color="auto" w:fill="auto"/>
            <w:noWrap/>
            <w:vAlign w:val="bottom"/>
            <w:hideMark/>
          </w:tcPr>
          <w:p w14:paraId="210243CD" w14:textId="77777777" w:rsidR="00A41A74" w:rsidRPr="00325607" w:rsidRDefault="00A41A74" w:rsidP="00325607">
            <w:pPr>
              <w:widowControl/>
              <w:rPr>
                <w:snapToGrid/>
                <w:color w:val="000000"/>
                <w:kern w:val="0"/>
                <w:szCs w:val="22"/>
              </w:rPr>
            </w:pPr>
            <w:r w:rsidRPr="00325607">
              <w:rPr>
                <w:snapToGrid/>
                <w:color w:val="000000"/>
                <w:kern w:val="0"/>
                <w:szCs w:val="22"/>
              </w:rPr>
              <w:t>San Angelo, TX</w:t>
            </w:r>
          </w:p>
        </w:tc>
        <w:tc>
          <w:tcPr>
            <w:tcW w:w="326" w:type="dxa"/>
            <w:tcBorders>
              <w:top w:val="nil"/>
              <w:left w:val="nil"/>
              <w:bottom w:val="single" w:sz="4" w:space="0" w:color="auto"/>
              <w:right w:val="single" w:sz="4" w:space="0" w:color="auto"/>
            </w:tcBorders>
            <w:shd w:val="clear" w:color="auto" w:fill="auto"/>
            <w:noWrap/>
            <w:vAlign w:val="bottom"/>
            <w:hideMark/>
          </w:tcPr>
          <w:p w14:paraId="6EEFD96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2750F2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FD31C0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4F7021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6B899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PEA321</w:t>
            </w:r>
          </w:p>
        </w:tc>
        <w:tc>
          <w:tcPr>
            <w:tcW w:w="3220" w:type="dxa"/>
            <w:tcBorders>
              <w:top w:val="nil"/>
              <w:left w:val="nil"/>
              <w:bottom w:val="single" w:sz="4" w:space="0" w:color="auto"/>
              <w:right w:val="nil"/>
            </w:tcBorders>
            <w:shd w:val="clear" w:color="auto" w:fill="auto"/>
            <w:noWrap/>
            <w:vAlign w:val="bottom"/>
            <w:hideMark/>
          </w:tcPr>
          <w:p w14:paraId="3A89649B" w14:textId="77777777" w:rsidR="00A41A74" w:rsidRPr="00325607" w:rsidRDefault="00A41A74" w:rsidP="00325607">
            <w:pPr>
              <w:widowControl/>
              <w:rPr>
                <w:snapToGrid/>
                <w:color w:val="000000"/>
                <w:kern w:val="0"/>
                <w:szCs w:val="22"/>
              </w:rPr>
            </w:pPr>
            <w:r w:rsidRPr="00325607">
              <w:rPr>
                <w:snapToGrid/>
                <w:color w:val="000000"/>
                <w:kern w:val="0"/>
                <w:szCs w:val="22"/>
              </w:rPr>
              <w:t>Batesville, IN</w:t>
            </w:r>
          </w:p>
        </w:tc>
        <w:tc>
          <w:tcPr>
            <w:tcW w:w="326" w:type="dxa"/>
            <w:tcBorders>
              <w:top w:val="nil"/>
              <w:left w:val="nil"/>
              <w:bottom w:val="single" w:sz="4" w:space="0" w:color="auto"/>
              <w:right w:val="single" w:sz="4" w:space="0" w:color="auto"/>
            </w:tcBorders>
            <w:shd w:val="clear" w:color="auto" w:fill="auto"/>
            <w:noWrap/>
            <w:vAlign w:val="bottom"/>
            <w:hideMark/>
          </w:tcPr>
          <w:p w14:paraId="43E55B7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0F381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8B57930"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B00C2E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317725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PEA322</w:t>
            </w:r>
          </w:p>
        </w:tc>
        <w:tc>
          <w:tcPr>
            <w:tcW w:w="3220" w:type="dxa"/>
            <w:tcBorders>
              <w:top w:val="nil"/>
              <w:left w:val="nil"/>
              <w:bottom w:val="single" w:sz="4" w:space="0" w:color="auto"/>
              <w:right w:val="nil"/>
            </w:tcBorders>
            <w:shd w:val="clear" w:color="auto" w:fill="auto"/>
            <w:noWrap/>
            <w:vAlign w:val="bottom"/>
            <w:hideMark/>
          </w:tcPr>
          <w:p w14:paraId="558B1CFF" w14:textId="77777777" w:rsidR="00A41A74" w:rsidRPr="00325607" w:rsidRDefault="00A41A74" w:rsidP="00325607">
            <w:pPr>
              <w:widowControl/>
              <w:rPr>
                <w:snapToGrid/>
                <w:color w:val="000000"/>
                <w:kern w:val="0"/>
                <w:szCs w:val="22"/>
              </w:rPr>
            </w:pPr>
            <w:r w:rsidRPr="00325607">
              <w:rPr>
                <w:snapToGrid/>
                <w:color w:val="000000"/>
                <w:kern w:val="0"/>
                <w:szCs w:val="22"/>
              </w:rPr>
              <w:t>Minot, ND</w:t>
            </w:r>
          </w:p>
        </w:tc>
        <w:tc>
          <w:tcPr>
            <w:tcW w:w="326" w:type="dxa"/>
            <w:tcBorders>
              <w:top w:val="nil"/>
              <w:left w:val="nil"/>
              <w:bottom w:val="single" w:sz="4" w:space="0" w:color="auto"/>
              <w:right w:val="single" w:sz="4" w:space="0" w:color="auto"/>
            </w:tcBorders>
            <w:shd w:val="clear" w:color="auto" w:fill="auto"/>
            <w:noWrap/>
            <w:vAlign w:val="bottom"/>
            <w:hideMark/>
          </w:tcPr>
          <w:p w14:paraId="54E439D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28C4A8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B13A07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C3071E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4152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PEA323</w:t>
            </w:r>
          </w:p>
        </w:tc>
        <w:tc>
          <w:tcPr>
            <w:tcW w:w="3220" w:type="dxa"/>
            <w:tcBorders>
              <w:top w:val="nil"/>
              <w:left w:val="nil"/>
              <w:bottom w:val="single" w:sz="4" w:space="0" w:color="auto"/>
              <w:right w:val="nil"/>
            </w:tcBorders>
            <w:shd w:val="clear" w:color="auto" w:fill="auto"/>
            <w:noWrap/>
            <w:vAlign w:val="bottom"/>
            <w:hideMark/>
          </w:tcPr>
          <w:p w14:paraId="4005442C" w14:textId="77777777" w:rsidR="00A41A74" w:rsidRPr="00325607" w:rsidRDefault="00A41A74" w:rsidP="00325607">
            <w:pPr>
              <w:widowControl/>
              <w:rPr>
                <w:snapToGrid/>
                <w:color w:val="000000"/>
                <w:kern w:val="0"/>
                <w:szCs w:val="22"/>
              </w:rPr>
            </w:pPr>
            <w:r w:rsidRPr="00325607">
              <w:rPr>
                <w:snapToGrid/>
                <w:color w:val="000000"/>
                <w:kern w:val="0"/>
                <w:szCs w:val="22"/>
              </w:rPr>
              <w:t>Socorro, NM</w:t>
            </w:r>
          </w:p>
        </w:tc>
        <w:tc>
          <w:tcPr>
            <w:tcW w:w="326" w:type="dxa"/>
            <w:tcBorders>
              <w:top w:val="nil"/>
              <w:left w:val="nil"/>
              <w:bottom w:val="single" w:sz="4" w:space="0" w:color="auto"/>
              <w:right w:val="single" w:sz="4" w:space="0" w:color="auto"/>
            </w:tcBorders>
            <w:shd w:val="clear" w:color="auto" w:fill="auto"/>
            <w:noWrap/>
            <w:vAlign w:val="bottom"/>
            <w:hideMark/>
          </w:tcPr>
          <w:p w14:paraId="2515148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4C0DF3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63F79C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5E292E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98DBEB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PEA324</w:t>
            </w:r>
          </w:p>
        </w:tc>
        <w:tc>
          <w:tcPr>
            <w:tcW w:w="3220" w:type="dxa"/>
            <w:tcBorders>
              <w:top w:val="nil"/>
              <w:left w:val="nil"/>
              <w:bottom w:val="single" w:sz="4" w:space="0" w:color="auto"/>
              <w:right w:val="nil"/>
            </w:tcBorders>
            <w:shd w:val="clear" w:color="auto" w:fill="auto"/>
            <w:noWrap/>
            <w:vAlign w:val="bottom"/>
            <w:hideMark/>
          </w:tcPr>
          <w:p w14:paraId="2DDA8DF5" w14:textId="77777777" w:rsidR="00A41A74" w:rsidRPr="00325607" w:rsidRDefault="00A41A74" w:rsidP="00325607">
            <w:pPr>
              <w:widowControl/>
              <w:rPr>
                <w:snapToGrid/>
                <w:color w:val="000000"/>
                <w:kern w:val="0"/>
                <w:szCs w:val="22"/>
              </w:rPr>
            </w:pPr>
            <w:r w:rsidRPr="00325607">
              <w:rPr>
                <w:snapToGrid/>
                <w:color w:val="000000"/>
                <w:kern w:val="0"/>
                <w:szCs w:val="22"/>
              </w:rPr>
              <w:t>Honesdale, PA</w:t>
            </w:r>
          </w:p>
        </w:tc>
        <w:tc>
          <w:tcPr>
            <w:tcW w:w="326" w:type="dxa"/>
            <w:tcBorders>
              <w:top w:val="nil"/>
              <w:left w:val="nil"/>
              <w:bottom w:val="single" w:sz="4" w:space="0" w:color="auto"/>
              <w:right w:val="single" w:sz="4" w:space="0" w:color="auto"/>
            </w:tcBorders>
            <w:shd w:val="clear" w:color="auto" w:fill="auto"/>
            <w:noWrap/>
            <w:vAlign w:val="bottom"/>
            <w:hideMark/>
          </w:tcPr>
          <w:p w14:paraId="3484C62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4B35B7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w:t>
            </w:r>
          </w:p>
        </w:tc>
        <w:tc>
          <w:tcPr>
            <w:tcW w:w="2059" w:type="dxa"/>
            <w:tcBorders>
              <w:top w:val="nil"/>
              <w:left w:val="nil"/>
              <w:bottom w:val="single" w:sz="4" w:space="0" w:color="auto"/>
              <w:right w:val="single" w:sz="4" w:space="0" w:color="auto"/>
            </w:tcBorders>
            <w:shd w:val="clear" w:color="auto" w:fill="auto"/>
            <w:noWrap/>
            <w:vAlign w:val="bottom"/>
            <w:hideMark/>
          </w:tcPr>
          <w:p w14:paraId="4FC93AD3" w14:textId="77777777" w:rsidR="00A41A74" w:rsidRPr="00325607" w:rsidRDefault="00A41A74" w:rsidP="00325607">
            <w:pPr>
              <w:widowControl/>
              <w:rPr>
                <w:snapToGrid/>
                <w:color w:val="000000"/>
                <w:kern w:val="0"/>
                <w:szCs w:val="22"/>
              </w:rPr>
            </w:pPr>
            <w:r w:rsidRPr="00325607">
              <w:rPr>
                <w:snapToGrid/>
                <w:color w:val="000000"/>
                <w:kern w:val="0"/>
                <w:szCs w:val="22"/>
              </w:rPr>
              <w:t>Northeast</w:t>
            </w:r>
          </w:p>
        </w:tc>
      </w:tr>
      <w:tr w:rsidR="00A41A74" w:rsidRPr="00325607" w14:paraId="0144AE9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029C6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PEA325</w:t>
            </w:r>
          </w:p>
        </w:tc>
        <w:tc>
          <w:tcPr>
            <w:tcW w:w="3220" w:type="dxa"/>
            <w:tcBorders>
              <w:top w:val="nil"/>
              <w:left w:val="nil"/>
              <w:bottom w:val="single" w:sz="4" w:space="0" w:color="auto"/>
              <w:right w:val="nil"/>
            </w:tcBorders>
            <w:shd w:val="clear" w:color="auto" w:fill="auto"/>
            <w:noWrap/>
            <w:vAlign w:val="bottom"/>
            <w:hideMark/>
          </w:tcPr>
          <w:p w14:paraId="2DC2A3B6" w14:textId="77777777" w:rsidR="00A41A74" w:rsidRPr="00325607" w:rsidRDefault="00A41A74" w:rsidP="00325607">
            <w:pPr>
              <w:widowControl/>
              <w:rPr>
                <w:snapToGrid/>
                <w:color w:val="000000"/>
                <w:kern w:val="0"/>
                <w:szCs w:val="22"/>
              </w:rPr>
            </w:pPr>
            <w:r w:rsidRPr="00325607">
              <w:rPr>
                <w:snapToGrid/>
                <w:color w:val="000000"/>
                <w:kern w:val="0"/>
                <w:szCs w:val="22"/>
              </w:rPr>
              <w:t>Bismarck, ND</w:t>
            </w:r>
          </w:p>
        </w:tc>
        <w:tc>
          <w:tcPr>
            <w:tcW w:w="326" w:type="dxa"/>
            <w:tcBorders>
              <w:top w:val="nil"/>
              <w:left w:val="nil"/>
              <w:bottom w:val="single" w:sz="4" w:space="0" w:color="auto"/>
              <w:right w:val="single" w:sz="4" w:space="0" w:color="auto"/>
            </w:tcBorders>
            <w:shd w:val="clear" w:color="auto" w:fill="auto"/>
            <w:noWrap/>
            <w:vAlign w:val="bottom"/>
            <w:hideMark/>
          </w:tcPr>
          <w:p w14:paraId="1F0F368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5AB1EA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0C49995"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75B577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EA98F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PEA326</w:t>
            </w:r>
          </w:p>
        </w:tc>
        <w:tc>
          <w:tcPr>
            <w:tcW w:w="3220" w:type="dxa"/>
            <w:tcBorders>
              <w:top w:val="nil"/>
              <w:left w:val="nil"/>
              <w:bottom w:val="single" w:sz="4" w:space="0" w:color="auto"/>
              <w:right w:val="nil"/>
            </w:tcBorders>
            <w:shd w:val="clear" w:color="auto" w:fill="auto"/>
            <w:noWrap/>
            <w:vAlign w:val="bottom"/>
            <w:hideMark/>
          </w:tcPr>
          <w:p w14:paraId="3CFA3755" w14:textId="77777777" w:rsidR="00A41A74" w:rsidRPr="00325607" w:rsidRDefault="00A41A74" w:rsidP="00325607">
            <w:pPr>
              <w:widowControl/>
              <w:rPr>
                <w:snapToGrid/>
                <w:color w:val="000000"/>
                <w:kern w:val="0"/>
                <w:szCs w:val="22"/>
              </w:rPr>
            </w:pPr>
            <w:r w:rsidRPr="00325607">
              <w:rPr>
                <w:snapToGrid/>
                <w:color w:val="000000"/>
                <w:kern w:val="0"/>
                <w:szCs w:val="22"/>
              </w:rPr>
              <w:t>Fergus Falls, MN</w:t>
            </w:r>
          </w:p>
        </w:tc>
        <w:tc>
          <w:tcPr>
            <w:tcW w:w="326" w:type="dxa"/>
            <w:tcBorders>
              <w:top w:val="nil"/>
              <w:left w:val="nil"/>
              <w:bottom w:val="single" w:sz="4" w:space="0" w:color="auto"/>
              <w:right w:val="single" w:sz="4" w:space="0" w:color="auto"/>
            </w:tcBorders>
            <w:shd w:val="clear" w:color="auto" w:fill="auto"/>
            <w:noWrap/>
            <w:vAlign w:val="bottom"/>
            <w:hideMark/>
          </w:tcPr>
          <w:p w14:paraId="66299EC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5BC3B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130C75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95D6DB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637B02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PEA327</w:t>
            </w:r>
          </w:p>
        </w:tc>
        <w:tc>
          <w:tcPr>
            <w:tcW w:w="3220" w:type="dxa"/>
            <w:tcBorders>
              <w:top w:val="nil"/>
              <w:left w:val="nil"/>
              <w:bottom w:val="single" w:sz="4" w:space="0" w:color="auto"/>
              <w:right w:val="nil"/>
            </w:tcBorders>
            <w:shd w:val="clear" w:color="auto" w:fill="auto"/>
            <w:noWrap/>
            <w:vAlign w:val="bottom"/>
            <w:hideMark/>
          </w:tcPr>
          <w:p w14:paraId="716C8188" w14:textId="77777777" w:rsidR="00A41A74" w:rsidRPr="00325607" w:rsidRDefault="00A41A74" w:rsidP="00325607">
            <w:pPr>
              <w:widowControl/>
              <w:rPr>
                <w:snapToGrid/>
                <w:color w:val="000000"/>
                <w:kern w:val="0"/>
                <w:szCs w:val="22"/>
              </w:rPr>
            </w:pPr>
            <w:r w:rsidRPr="00325607">
              <w:rPr>
                <w:snapToGrid/>
                <w:color w:val="000000"/>
                <w:kern w:val="0"/>
                <w:szCs w:val="22"/>
              </w:rPr>
              <w:t>Orangeburg, SC</w:t>
            </w:r>
          </w:p>
        </w:tc>
        <w:tc>
          <w:tcPr>
            <w:tcW w:w="326" w:type="dxa"/>
            <w:tcBorders>
              <w:top w:val="nil"/>
              <w:left w:val="nil"/>
              <w:bottom w:val="single" w:sz="4" w:space="0" w:color="auto"/>
              <w:right w:val="single" w:sz="4" w:space="0" w:color="auto"/>
            </w:tcBorders>
            <w:shd w:val="clear" w:color="auto" w:fill="auto"/>
            <w:noWrap/>
            <w:vAlign w:val="bottom"/>
            <w:hideMark/>
          </w:tcPr>
          <w:p w14:paraId="6AB22A4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00DBB6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9DAC8FD"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085CF1F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04633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PEA328</w:t>
            </w:r>
          </w:p>
        </w:tc>
        <w:tc>
          <w:tcPr>
            <w:tcW w:w="3220" w:type="dxa"/>
            <w:tcBorders>
              <w:top w:val="nil"/>
              <w:left w:val="nil"/>
              <w:bottom w:val="single" w:sz="4" w:space="0" w:color="auto"/>
              <w:right w:val="nil"/>
            </w:tcBorders>
            <w:shd w:val="clear" w:color="auto" w:fill="auto"/>
            <w:noWrap/>
            <w:vAlign w:val="bottom"/>
            <w:hideMark/>
          </w:tcPr>
          <w:p w14:paraId="1021A7C9" w14:textId="77777777" w:rsidR="00A41A74" w:rsidRPr="00325607" w:rsidRDefault="00A41A74" w:rsidP="00325607">
            <w:pPr>
              <w:widowControl/>
              <w:rPr>
                <w:snapToGrid/>
                <w:color w:val="000000"/>
                <w:kern w:val="0"/>
                <w:szCs w:val="22"/>
              </w:rPr>
            </w:pPr>
            <w:r w:rsidRPr="00325607">
              <w:rPr>
                <w:snapToGrid/>
                <w:color w:val="000000"/>
                <w:kern w:val="0"/>
                <w:szCs w:val="22"/>
              </w:rPr>
              <w:t>Winslow, AZ</w:t>
            </w:r>
          </w:p>
        </w:tc>
        <w:tc>
          <w:tcPr>
            <w:tcW w:w="326" w:type="dxa"/>
            <w:tcBorders>
              <w:top w:val="nil"/>
              <w:left w:val="nil"/>
              <w:bottom w:val="single" w:sz="4" w:space="0" w:color="auto"/>
              <w:right w:val="single" w:sz="4" w:space="0" w:color="auto"/>
            </w:tcBorders>
            <w:shd w:val="clear" w:color="auto" w:fill="auto"/>
            <w:noWrap/>
            <w:vAlign w:val="bottom"/>
            <w:hideMark/>
          </w:tcPr>
          <w:p w14:paraId="762E7B9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49660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ADC816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103C92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0BB1DE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PEA329</w:t>
            </w:r>
          </w:p>
        </w:tc>
        <w:tc>
          <w:tcPr>
            <w:tcW w:w="3220" w:type="dxa"/>
            <w:tcBorders>
              <w:top w:val="nil"/>
              <w:left w:val="nil"/>
              <w:bottom w:val="single" w:sz="4" w:space="0" w:color="auto"/>
              <w:right w:val="nil"/>
            </w:tcBorders>
            <w:shd w:val="clear" w:color="auto" w:fill="auto"/>
            <w:noWrap/>
            <w:vAlign w:val="bottom"/>
            <w:hideMark/>
          </w:tcPr>
          <w:p w14:paraId="55779903" w14:textId="77777777" w:rsidR="00A41A74" w:rsidRPr="00325607" w:rsidRDefault="00A41A74" w:rsidP="00325607">
            <w:pPr>
              <w:widowControl/>
              <w:rPr>
                <w:snapToGrid/>
                <w:color w:val="000000"/>
                <w:kern w:val="0"/>
                <w:szCs w:val="22"/>
              </w:rPr>
            </w:pPr>
            <w:r w:rsidRPr="00325607">
              <w:rPr>
                <w:snapToGrid/>
                <w:color w:val="000000"/>
                <w:kern w:val="0"/>
                <w:szCs w:val="22"/>
              </w:rPr>
              <w:t>Kingsville, TX</w:t>
            </w:r>
          </w:p>
        </w:tc>
        <w:tc>
          <w:tcPr>
            <w:tcW w:w="326" w:type="dxa"/>
            <w:tcBorders>
              <w:top w:val="nil"/>
              <w:left w:val="nil"/>
              <w:bottom w:val="single" w:sz="4" w:space="0" w:color="auto"/>
              <w:right w:val="single" w:sz="4" w:space="0" w:color="auto"/>
            </w:tcBorders>
            <w:shd w:val="clear" w:color="auto" w:fill="auto"/>
            <w:noWrap/>
            <w:vAlign w:val="bottom"/>
            <w:hideMark/>
          </w:tcPr>
          <w:p w14:paraId="6835DD6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57CC0E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E00D54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7DDC98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948E9B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PEA330</w:t>
            </w:r>
          </w:p>
        </w:tc>
        <w:tc>
          <w:tcPr>
            <w:tcW w:w="3220" w:type="dxa"/>
            <w:tcBorders>
              <w:top w:val="nil"/>
              <w:left w:val="nil"/>
              <w:bottom w:val="single" w:sz="4" w:space="0" w:color="auto"/>
              <w:right w:val="nil"/>
            </w:tcBorders>
            <w:shd w:val="clear" w:color="auto" w:fill="auto"/>
            <w:noWrap/>
            <w:vAlign w:val="bottom"/>
            <w:hideMark/>
          </w:tcPr>
          <w:p w14:paraId="5D3BA1D8" w14:textId="77777777" w:rsidR="00A41A74" w:rsidRPr="00325607" w:rsidRDefault="00A41A74" w:rsidP="00325607">
            <w:pPr>
              <w:widowControl/>
              <w:rPr>
                <w:snapToGrid/>
                <w:color w:val="000000"/>
                <w:kern w:val="0"/>
                <w:szCs w:val="22"/>
              </w:rPr>
            </w:pPr>
            <w:r w:rsidRPr="00325607">
              <w:rPr>
                <w:snapToGrid/>
                <w:color w:val="000000"/>
                <w:kern w:val="0"/>
                <w:szCs w:val="22"/>
              </w:rPr>
              <w:t>Olney, IL</w:t>
            </w:r>
          </w:p>
        </w:tc>
        <w:tc>
          <w:tcPr>
            <w:tcW w:w="326" w:type="dxa"/>
            <w:tcBorders>
              <w:top w:val="nil"/>
              <w:left w:val="nil"/>
              <w:bottom w:val="single" w:sz="4" w:space="0" w:color="auto"/>
              <w:right w:val="single" w:sz="4" w:space="0" w:color="auto"/>
            </w:tcBorders>
            <w:shd w:val="clear" w:color="auto" w:fill="auto"/>
            <w:noWrap/>
            <w:vAlign w:val="bottom"/>
            <w:hideMark/>
          </w:tcPr>
          <w:p w14:paraId="53BCBF6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0877E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5EED1224"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6277986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288B00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PEA331</w:t>
            </w:r>
          </w:p>
        </w:tc>
        <w:tc>
          <w:tcPr>
            <w:tcW w:w="3220" w:type="dxa"/>
            <w:tcBorders>
              <w:top w:val="nil"/>
              <w:left w:val="nil"/>
              <w:bottom w:val="single" w:sz="4" w:space="0" w:color="auto"/>
              <w:right w:val="nil"/>
            </w:tcBorders>
            <w:shd w:val="clear" w:color="auto" w:fill="auto"/>
            <w:noWrap/>
            <w:vAlign w:val="bottom"/>
            <w:hideMark/>
          </w:tcPr>
          <w:p w14:paraId="70D51B82" w14:textId="77777777" w:rsidR="00A41A74" w:rsidRPr="00325607" w:rsidRDefault="00A41A74" w:rsidP="00325607">
            <w:pPr>
              <w:widowControl/>
              <w:rPr>
                <w:snapToGrid/>
                <w:color w:val="000000"/>
                <w:kern w:val="0"/>
                <w:szCs w:val="22"/>
              </w:rPr>
            </w:pPr>
            <w:r w:rsidRPr="00325607">
              <w:rPr>
                <w:snapToGrid/>
                <w:color w:val="000000"/>
                <w:kern w:val="0"/>
                <w:szCs w:val="22"/>
              </w:rPr>
              <w:t>Plainview, TX</w:t>
            </w:r>
          </w:p>
        </w:tc>
        <w:tc>
          <w:tcPr>
            <w:tcW w:w="326" w:type="dxa"/>
            <w:tcBorders>
              <w:top w:val="nil"/>
              <w:left w:val="nil"/>
              <w:bottom w:val="single" w:sz="4" w:space="0" w:color="auto"/>
              <w:right w:val="single" w:sz="4" w:space="0" w:color="auto"/>
            </w:tcBorders>
            <w:shd w:val="clear" w:color="auto" w:fill="auto"/>
            <w:noWrap/>
            <w:vAlign w:val="bottom"/>
            <w:hideMark/>
          </w:tcPr>
          <w:p w14:paraId="3A8D41D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8229E8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327A1D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0CA21B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11F951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PEA332</w:t>
            </w:r>
          </w:p>
        </w:tc>
        <w:tc>
          <w:tcPr>
            <w:tcW w:w="3220" w:type="dxa"/>
            <w:tcBorders>
              <w:top w:val="nil"/>
              <w:left w:val="nil"/>
              <w:bottom w:val="single" w:sz="4" w:space="0" w:color="auto"/>
              <w:right w:val="nil"/>
            </w:tcBorders>
            <w:shd w:val="clear" w:color="auto" w:fill="auto"/>
            <w:noWrap/>
            <w:vAlign w:val="bottom"/>
            <w:hideMark/>
          </w:tcPr>
          <w:p w14:paraId="53A69699" w14:textId="77777777" w:rsidR="00A41A74" w:rsidRPr="00325607" w:rsidRDefault="00A41A74" w:rsidP="00325607">
            <w:pPr>
              <w:widowControl/>
              <w:rPr>
                <w:snapToGrid/>
                <w:color w:val="000000"/>
                <w:kern w:val="0"/>
                <w:szCs w:val="22"/>
              </w:rPr>
            </w:pPr>
            <w:r w:rsidRPr="00325607">
              <w:rPr>
                <w:snapToGrid/>
                <w:color w:val="000000"/>
                <w:kern w:val="0"/>
                <w:szCs w:val="22"/>
              </w:rPr>
              <w:t>Bennettsville, SC</w:t>
            </w:r>
          </w:p>
        </w:tc>
        <w:tc>
          <w:tcPr>
            <w:tcW w:w="326" w:type="dxa"/>
            <w:tcBorders>
              <w:top w:val="nil"/>
              <w:left w:val="nil"/>
              <w:bottom w:val="single" w:sz="4" w:space="0" w:color="auto"/>
              <w:right w:val="single" w:sz="4" w:space="0" w:color="auto"/>
            </w:tcBorders>
            <w:shd w:val="clear" w:color="auto" w:fill="auto"/>
            <w:noWrap/>
            <w:vAlign w:val="bottom"/>
            <w:hideMark/>
          </w:tcPr>
          <w:p w14:paraId="38EC5B3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E748C4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83628D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E31C8C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57C40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PEA333</w:t>
            </w:r>
          </w:p>
        </w:tc>
        <w:tc>
          <w:tcPr>
            <w:tcW w:w="3220" w:type="dxa"/>
            <w:tcBorders>
              <w:top w:val="nil"/>
              <w:left w:val="nil"/>
              <w:bottom w:val="single" w:sz="4" w:space="0" w:color="auto"/>
              <w:right w:val="nil"/>
            </w:tcBorders>
            <w:shd w:val="clear" w:color="auto" w:fill="auto"/>
            <w:noWrap/>
            <w:vAlign w:val="bottom"/>
            <w:hideMark/>
          </w:tcPr>
          <w:p w14:paraId="7AB997C3" w14:textId="77777777" w:rsidR="00A41A74" w:rsidRPr="00325607" w:rsidRDefault="00A41A74" w:rsidP="00325607">
            <w:pPr>
              <w:widowControl/>
              <w:rPr>
                <w:snapToGrid/>
                <w:color w:val="000000"/>
                <w:kern w:val="0"/>
                <w:szCs w:val="22"/>
              </w:rPr>
            </w:pPr>
            <w:r w:rsidRPr="00325607">
              <w:rPr>
                <w:snapToGrid/>
                <w:color w:val="000000"/>
                <w:kern w:val="0"/>
                <w:szCs w:val="22"/>
              </w:rPr>
              <w:t>Sidney, OH</w:t>
            </w:r>
          </w:p>
        </w:tc>
        <w:tc>
          <w:tcPr>
            <w:tcW w:w="326" w:type="dxa"/>
            <w:tcBorders>
              <w:top w:val="nil"/>
              <w:left w:val="nil"/>
              <w:bottom w:val="single" w:sz="4" w:space="0" w:color="auto"/>
              <w:right w:val="single" w:sz="4" w:space="0" w:color="auto"/>
            </w:tcBorders>
            <w:shd w:val="clear" w:color="auto" w:fill="auto"/>
            <w:noWrap/>
            <w:vAlign w:val="bottom"/>
            <w:hideMark/>
          </w:tcPr>
          <w:p w14:paraId="3CFFFCB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38FC3E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D5AC48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328812E"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F74F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PEA334</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5B682F28" w14:textId="77777777" w:rsidR="00A41A74" w:rsidRPr="00325607" w:rsidRDefault="00A41A74" w:rsidP="00325607">
            <w:pPr>
              <w:widowControl/>
              <w:rPr>
                <w:snapToGrid/>
                <w:color w:val="000000"/>
                <w:kern w:val="0"/>
                <w:szCs w:val="22"/>
              </w:rPr>
            </w:pPr>
            <w:r w:rsidRPr="00325607">
              <w:rPr>
                <w:snapToGrid/>
                <w:color w:val="000000"/>
                <w:kern w:val="0"/>
                <w:szCs w:val="22"/>
              </w:rPr>
              <w:t>Pampa, TX</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46E5E72D"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746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95397"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E7A8F7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3F073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PEA335</w:t>
            </w:r>
          </w:p>
        </w:tc>
        <w:tc>
          <w:tcPr>
            <w:tcW w:w="3220" w:type="dxa"/>
            <w:tcBorders>
              <w:top w:val="nil"/>
              <w:left w:val="nil"/>
              <w:bottom w:val="single" w:sz="4" w:space="0" w:color="auto"/>
              <w:right w:val="nil"/>
            </w:tcBorders>
            <w:shd w:val="clear" w:color="auto" w:fill="auto"/>
            <w:noWrap/>
            <w:vAlign w:val="bottom"/>
            <w:hideMark/>
          </w:tcPr>
          <w:p w14:paraId="0A8A6716" w14:textId="77777777" w:rsidR="00A41A74" w:rsidRPr="00325607" w:rsidRDefault="00A41A74" w:rsidP="00325607">
            <w:pPr>
              <w:widowControl/>
              <w:rPr>
                <w:snapToGrid/>
                <w:color w:val="000000"/>
                <w:kern w:val="0"/>
                <w:szCs w:val="22"/>
              </w:rPr>
            </w:pPr>
            <w:r w:rsidRPr="00325607">
              <w:rPr>
                <w:snapToGrid/>
                <w:color w:val="000000"/>
                <w:kern w:val="0"/>
                <w:szCs w:val="22"/>
              </w:rPr>
              <w:t>Natchitoches, LA</w:t>
            </w:r>
          </w:p>
        </w:tc>
        <w:tc>
          <w:tcPr>
            <w:tcW w:w="326" w:type="dxa"/>
            <w:tcBorders>
              <w:top w:val="nil"/>
              <w:left w:val="nil"/>
              <w:bottom w:val="single" w:sz="4" w:space="0" w:color="auto"/>
              <w:right w:val="single" w:sz="4" w:space="0" w:color="auto"/>
            </w:tcBorders>
            <w:shd w:val="clear" w:color="auto" w:fill="auto"/>
            <w:noWrap/>
            <w:vAlign w:val="bottom"/>
            <w:hideMark/>
          </w:tcPr>
          <w:p w14:paraId="7AA17C1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021D0E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C56F17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7BB925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DEA04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PEA336</w:t>
            </w:r>
          </w:p>
        </w:tc>
        <w:tc>
          <w:tcPr>
            <w:tcW w:w="3220" w:type="dxa"/>
            <w:tcBorders>
              <w:top w:val="nil"/>
              <w:left w:val="nil"/>
              <w:bottom w:val="single" w:sz="4" w:space="0" w:color="auto"/>
              <w:right w:val="nil"/>
            </w:tcBorders>
            <w:shd w:val="clear" w:color="auto" w:fill="auto"/>
            <w:noWrap/>
            <w:vAlign w:val="bottom"/>
            <w:hideMark/>
          </w:tcPr>
          <w:p w14:paraId="3DB76151" w14:textId="77777777" w:rsidR="00A41A74" w:rsidRPr="00325607" w:rsidRDefault="00A41A74" w:rsidP="00325607">
            <w:pPr>
              <w:widowControl/>
              <w:rPr>
                <w:snapToGrid/>
                <w:color w:val="000000"/>
                <w:kern w:val="0"/>
                <w:szCs w:val="22"/>
              </w:rPr>
            </w:pPr>
            <w:r w:rsidRPr="00325607">
              <w:rPr>
                <w:snapToGrid/>
                <w:color w:val="000000"/>
                <w:kern w:val="0"/>
                <w:szCs w:val="22"/>
              </w:rPr>
              <w:t>Grand Forks, ND</w:t>
            </w:r>
          </w:p>
        </w:tc>
        <w:tc>
          <w:tcPr>
            <w:tcW w:w="326" w:type="dxa"/>
            <w:tcBorders>
              <w:top w:val="nil"/>
              <w:left w:val="nil"/>
              <w:bottom w:val="single" w:sz="4" w:space="0" w:color="auto"/>
              <w:right w:val="single" w:sz="4" w:space="0" w:color="auto"/>
            </w:tcBorders>
            <w:shd w:val="clear" w:color="auto" w:fill="auto"/>
            <w:noWrap/>
            <w:vAlign w:val="bottom"/>
            <w:hideMark/>
          </w:tcPr>
          <w:p w14:paraId="3F1D29C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CD8B0D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0048053"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9B10EF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1E9270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PEA337</w:t>
            </w:r>
          </w:p>
        </w:tc>
        <w:tc>
          <w:tcPr>
            <w:tcW w:w="3220" w:type="dxa"/>
            <w:tcBorders>
              <w:top w:val="nil"/>
              <w:left w:val="nil"/>
              <w:bottom w:val="single" w:sz="4" w:space="0" w:color="auto"/>
              <w:right w:val="nil"/>
            </w:tcBorders>
            <w:shd w:val="clear" w:color="auto" w:fill="auto"/>
            <w:noWrap/>
            <w:vAlign w:val="bottom"/>
            <w:hideMark/>
          </w:tcPr>
          <w:p w14:paraId="688B6466" w14:textId="77777777" w:rsidR="00A41A74" w:rsidRPr="00325607" w:rsidRDefault="00A41A74" w:rsidP="00325607">
            <w:pPr>
              <w:widowControl/>
              <w:rPr>
                <w:snapToGrid/>
                <w:color w:val="000000"/>
                <w:kern w:val="0"/>
                <w:szCs w:val="22"/>
              </w:rPr>
            </w:pPr>
            <w:r w:rsidRPr="00325607">
              <w:rPr>
                <w:snapToGrid/>
                <w:color w:val="000000"/>
                <w:kern w:val="0"/>
                <w:szCs w:val="22"/>
              </w:rPr>
              <w:t>Mineral Wells, TX</w:t>
            </w:r>
          </w:p>
        </w:tc>
        <w:tc>
          <w:tcPr>
            <w:tcW w:w="326" w:type="dxa"/>
            <w:tcBorders>
              <w:top w:val="nil"/>
              <w:left w:val="nil"/>
              <w:bottom w:val="single" w:sz="4" w:space="0" w:color="auto"/>
              <w:right w:val="single" w:sz="4" w:space="0" w:color="auto"/>
            </w:tcBorders>
            <w:shd w:val="clear" w:color="auto" w:fill="auto"/>
            <w:noWrap/>
            <w:vAlign w:val="bottom"/>
            <w:hideMark/>
          </w:tcPr>
          <w:p w14:paraId="46979EF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1BAF2A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BFCBB7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108009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898C75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PEA338</w:t>
            </w:r>
          </w:p>
        </w:tc>
        <w:tc>
          <w:tcPr>
            <w:tcW w:w="3220" w:type="dxa"/>
            <w:tcBorders>
              <w:top w:val="nil"/>
              <w:left w:val="nil"/>
              <w:bottom w:val="single" w:sz="4" w:space="0" w:color="auto"/>
              <w:right w:val="nil"/>
            </w:tcBorders>
            <w:shd w:val="clear" w:color="auto" w:fill="auto"/>
            <w:noWrap/>
            <w:vAlign w:val="bottom"/>
            <w:hideMark/>
          </w:tcPr>
          <w:p w14:paraId="28234C3D" w14:textId="77777777" w:rsidR="00A41A74" w:rsidRPr="00325607" w:rsidRDefault="00A41A74" w:rsidP="00325607">
            <w:pPr>
              <w:widowControl/>
              <w:rPr>
                <w:snapToGrid/>
                <w:color w:val="000000"/>
                <w:kern w:val="0"/>
                <w:szCs w:val="22"/>
              </w:rPr>
            </w:pPr>
            <w:r w:rsidRPr="00325607">
              <w:rPr>
                <w:snapToGrid/>
                <w:color w:val="000000"/>
                <w:kern w:val="0"/>
                <w:szCs w:val="22"/>
              </w:rPr>
              <w:t>Durango, CO</w:t>
            </w:r>
          </w:p>
        </w:tc>
        <w:tc>
          <w:tcPr>
            <w:tcW w:w="326" w:type="dxa"/>
            <w:tcBorders>
              <w:top w:val="nil"/>
              <w:left w:val="nil"/>
              <w:bottom w:val="single" w:sz="4" w:space="0" w:color="auto"/>
              <w:right w:val="single" w:sz="4" w:space="0" w:color="auto"/>
            </w:tcBorders>
            <w:shd w:val="clear" w:color="auto" w:fill="auto"/>
            <w:noWrap/>
            <w:vAlign w:val="bottom"/>
            <w:hideMark/>
          </w:tcPr>
          <w:p w14:paraId="6D30838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9326A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E2B5FD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54F4E4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B0B59A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PEA339</w:t>
            </w:r>
          </w:p>
        </w:tc>
        <w:tc>
          <w:tcPr>
            <w:tcW w:w="3220" w:type="dxa"/>
            <w:tcBorders>
              <w:top w:val="nil"/>
              <w:left w:val="nil"/>
              <w:bottom w:val="single" w:sz="4" w:space="0" w:color="auto"/>
              <w:right w:val="nil"/>
            </w:tcBorders>
            <w:shd w:val="clear" w:color="auto" w:fill="auto"/>
            <w:noWrap/>
            <w:vAlign w:val="bottom"/>
            <w:hideMark/>
          </w:tcPr>
          <w:p w14:paraId="6D7B295E" w14:textId="77777777" w:rsidR="00A41A74" w:rsidRPr="00325607" w:rsidRDefault="00A41A74" w:rsidP="00325607">
            <w:pPr>
              <w:widowControl/>
              <w:rPr>
                <w:snapToGrid/>
                <w:color w:val="000000"/>
                <w:kern w:val="0"/>
                <w:szCs w:val="22"/>
              </w:rPr>
            </w:pPr>
            <w:r w:rsidRPr="00325607">
              <w:rPr>
                <w:snapToGrid/>
                <w:color w:val="000000"/>
                <w:kern w:val="0"/>
                <w:szCs w:val="22"/>
              </w:rPr>
              <w:t>Scottsbluff, NE</w:t>
            </w:r>
          </w:p>
        </w:tc>
        <w:tc>
          <w:tcPr>
            <w:tcW w:w="326" w:type="dxa"/>
            <w:tcBorders>
              <w:top w:val="nil"/>
              <w:left w:val="nil"/>
              <w:bottom w:val="single" w:sz="4" w:space="0" w:color="auto"/>
              <w:right w:val="single" w:sz="4" w:space="0" w:color="auto"/>
            </w:tcBorders>
            <w:shd w:val="clear" w:color="auto" w:fill="auto"/>
            <w:noWrap/>
            <w:vAlign w:val="bottom"/>
            <w:hideMark/>
          </w:tcPr>
          <w:p w14:paraId="28EEEE5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13AC3D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6780471"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19EC8D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E7AAA9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PEA340</w:t>
            </w:r>
          </w:p>
        </w:tc>
        <w:tc>
          <w:tcPr>
            <w:tcW w:w="3220" w:type="dxa"/>
            <w:tcBorders>
              <w:top w:val="nil"/>
              <w:left w:val="nil"/>
              <w:bottom w:val="single" w:sz="4" w:space="0" w:color="auto"/>
              <w:right w:val="nil"/>
            </w:tcBorders>
            <w:shd w:val="clear" w:color="auto" w:fill="auto"/>
            <w:noWrap/>
            <w:vAlign w:val="bottom"/>
            <w:hideMark/>
          </w:tcPr>
          <w:p w14:paraId="42EE8678" w14:textId="77777777" w:rsidR="00A41A74" w:rsidRPr="00325607" w:rsidRDefault="00A41A74" w:rsidP="00325607">
            <w:pPr>
              <w:widowControl/>
              <w:rPr>
                <w:snapToGrid/>
                <w:color w:val="000000"/>
                <w:kern w:val="0"/>
                <w:szCs w:val="22"/>
              </w:rPr>
            </w:pPr>
            <w:r w:rsidRPr="00325607">
              <w:rPr>
                <w:snapToGrid/>
                <w:color w:val="000000"/>
                <w:kern w:val="0"/>
                <w:szCs w:val="22"/>
              </w:rPr>
              <w:t>Clovis, NM</w:t>
            </w:r>
          </w:p>
        </w:tc>
        <w:tc>
          <w:tcPr>
            <w:tcW w:w="326" w:type="dxa"/>
            <w:tcBorders>
              <w:top w:val="nil"/>
              <w:left w:val="nil"/>
              <w:bottom w:val="single" w:sz="4" w:space="0" w:color="auto"/>
              <w:right w:val="single" w:sz="4" w:space="0" w:color="auto"/>
            </w:tcBorders>
            <w:shd w:val="clear" w:color="auto" w:fill="auto"/>
            <w:noWrap/>
            <w:vAlign w:val="bottom"/>
            <w:hideMark/>
          </w:tcPr>
          <w:p w14:paraId="53A984E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95D88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446F7D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967AD2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38B18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PEA341</w:t>
            </w:r>
          </w:p>
        </w:tc>
        <w:tc>
          <w:tcPr>
            <w:tcW w:w="3220" w:type="dxa"/>
            <w:tcBorders>
              <w:top w:val="nil"/>
              <w:left w:val="nil"/>
              <w:bottom w:val="single" w:sz="4" w:space="0" w:color="auto"/>
              <w:right w:val="nil"/>
            </w:tcBorders>
            <w:shd w:val="clear" w:color="auto" w:fill="auto"/>
            <w:noWrap/>
            <w:vAlign w:val="bottom"/>
            <w:hideMark/>
          </w:tcPr>
          <w:p w14:paraId="7A3F60E4" w14:textId="77777777" w:rsidR="00A41A74" w:rsidRPr="00325607" w:rsidRDefault="00A41A74" w:rsidP="00325607">
            <w:pPr>
              <w:widowControl/>
              <w:rPr>
                <w:snapToGrid/>
                <w:color w:val="000000"/>
                <w:kern w:val="0"/>
                <w:szCs w:val="22"/>
              </w:rPr>
            </w:pPr>
            <w:r w:rsidRPr="00325607">
              <w:rPr>
                <w:snapToGrid/>
                <w:color w:val="000000"/>
                <w:kern w:val="0"/>
                <w:szCs w:val="22"/>
              </w:rPr>
              <w:t>Alamogordo, NM</w:t>
            </w:r>
          </w:p>
        </w:tc>
        <w:tc>
          <w:tcPr>
            <w:tcW w:w="326" w:type="dxa"/>
            <w:tcBorders>
              <w:top w:val="nil"/>
              <w:left w:val="nil"/>
              <w:bottom w:val="single" w:sz="4" w:space="0" w:color="auto"/>
              <w:right w:val="single" w:sz="4" w:space="0" w:color="auto"/>
            </w:tcBorders>
            <w:shd w:val="clear" w:color="auto" w:fill="auto"/>
            <w:noWrap/>
            <w:vAlign w:val="bottom"/>
            <w:hideMark/>
          </w:tcPr>
          <w:p w14:paraId="6C75112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220B90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C67E923"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DDC93B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96A3E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PEA342</w:t>
            </w:r>
          </w:p>
        </w:tc>
        <w:tc>
          <w:tcPr>
            <w:tcW w:w="3220" w:type="dxa"/>
            <w:tcBorders>
              <w:top w:val="nil"/>
              <w:left w:val="nil"/>
              <w:bottom w:val="single" w:sz="4" w:space="0" w:color="auto"/>
              <w:right w:val="nil"/>
            </w:tcBorders>
            <w:shd w:val="clear" w:color="auto" w:fill="auto"/>
            <w:noWrap/>
            <w:vAlign w:val="bottom"/>
            <w:hideMark/>
          </w:tcPr>
          <w:p w14:paraId="7BEFA14F" w14:textId="77777777" w:rsidR="00A41A74" w:rsidRPr="00325607" w:rsidRDefault="00A41A74" w:rsidP="00325607">
            <w:pPr>
              <w:widowControl/>
              <w:rPr>
                <w:snapToGrid/>
                <w:color w:val="000000"/>
                <w:kern w:val="0"/>
                <w:szCs w:val="22"/>
              </w:rPr>
            </w:pPr>
            <w:r w:rsidRPr="00325607">
              <w:rPr>
                <w:snapToGrid/>
                <w:color w:val="000000"/>
                <w:kern w:val="0"/>
                <w:szCs w:val="22"/>
              </w:rPr>
              <w:t>Mitchell, SD</w:t>
            </w:r>
          </w:p>
        </w:tc>
        <w:tc>
          <w:tcPr>
            <w:tcW w:w="326" w:type="dxa"/>
            <w:tcBorders>
              <w:top w:val="nil"/>
              <w:left w:val="nil"/>
              <w:bottom w:val="single" w:sz="4" w:space="0" w:color="auto"/>
              <w:right w:val="single" w:sz="4" w:space="0" w:color="auto"/>
            </w:tcBorders>
            <w:shd w:val="clear" w:color="auto" w:fill="auto"/>
            <w:noWrap/>
            <w:vAlign w:val="bottom"/>
            <w:hideMark/>
          </w:tcPr>
          <w:p w14:paraId="330C431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877B3A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333309C"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F997EB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21C5C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PEA343</w:t>
            </w:r>
          </w:p>
        </w:tc>
        <w:tc>
          <w:tcPr>
            <w:tcW w:w="3220" w:type="dxa"/>
            <w:tcBorders>
              <w:top w:val="nil"/>
              <w:left w:val="nil"/>
              <w:bottom w:val="single" w:sz="4" w:space="0" w:color="auto"/>
              <w:right w:val="nil"/>
            </w:tcBorders>
            <w:shd w:val="clear" w:color="auto" w:fill="auto"/>
            <w:noWrap/>
            <w:vAlign w:val="bottom"/>
            <w:hideMark/>
          </w:tcPr>
          <w:p w14:paraId="6518661E" w14:textId="77777777" w:rsidR="00A41A74" w:rsidRPr="00325607" w:rsidRDefault="00A41A74" w:rsidP="00325607">
            <w:pPr>
              <w:widowControl/>
              <w:rPr>
                <w:snapToGrid/>
                <w:color w:val="000000"/>
                <w:kern w:val="0"/>
                <w:szCs w:val="22"/>
              </w:rPr>
            </w:pPr>
            <w:r w:rsidRPr="00325607">
              <w:rPr>
                <w:snapToGrid/>
                <w:color w:val="000000"/>
                <w:kern w:val="0"/>
                <w:szCs w:val="22"/>
              </w:rPr>
              <w:t>Pecos, TX</w:t>
            </w:r>
          </w:p>
        </w:tc>
        <w:tc>
          <w:tcPr>
            <w:tcW w:w="326" w:type="dxa"/>
            <w:tcBorders>
              <w:top w:val="nil"/>
              <w:left w:val="nil"/>
              <w:bottom w:val="single" w:sz="4" w:space="0" w:color="auto"/>
              <w:right w:val="single" w:sz="4" w:space="0" w:color="auto"/>
            </w:tcBorders>
            <w:shd w:val="clear" w:color="auto" w:fill="auto"/>
            <w:noWrap/>
            <w:vAlign w:val="bottom"/>
            <w:hideMark/>
          </w:tcPr>
          <w:p w14:paraId="74126A4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1834C4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511313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99BB83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9E39B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PEA344</w:t>
            </w:r>
          </w:p>
        </w:tc>
        <w:tc>
          <w:tcPr>
            <w:tcW w:w="3220" w:type="dxa"/>
            <w:tcBorders>
              <w:top w:val="nil"/>
              <w:left w:val="nil"/>
              <w:bottom w:val="single" w:sz="4" w:space="0" w:color="auto"/>
              <w:right w:val="nil"/>
            </w:tcBorders>
            <w:shd w:val="clear" w:color="auto" w:fill="auto"/>
            <w:noWrap/>
            <w:vAlign w:val="bottom"/>
            <w:hideMark/>
          </w:tcPr>
          <w:p w14:paraId="7719B2EE" w14:textId="77777777" w:rsidR="00A41A74" w:rsidRPr="00325607" w:rsidRDefault="00A41A74" w:rsidP="00325607">
            <w:pPr>
              <w:widowControl/>
              <w:rPr>
                <w:snapToGrid/>
                <w:color w:val="000000"/>
                <w:kern w:val="0"/>
                <w:szCs w:val="22"/>
              </w:rPr>
            </w:pPr>
            <w:r w:rsidRPr="00325607">
              <w:rPr>
                <w:snapToGrid/>
                <w:color w:val="000000"/>
                <w:kern w:val="0"/>
                <w:szCs w:val="22"/>
              </w:rPr>
              <w:t>Clanton, AL</w:t>
            </w:r>
          </w:p>
        </w:tc>
        <w:tc>
          <w:tcPr>
            <w:tcW w:w="326" w:type="dxa"/>
            <w:tcBorders>
              <w:top w:val="nil"/>
              <w:left w:val="nil"/>
              <w:bottom w:val="single" w:sz="4" w:space="0" w:color="auto"/>
              <w:right w:val="single" w:sz="4" w:space="0" w:color="auto"/>
            </w:tcBorders>
            <w:shd w:val="clear" w:color="auto" w:fill="auto"/>
            <w:noWrap/>
            <w:vAlign w:val="bottom"/>
            <w:hideMark/>
          </w:tcPr>
          <w:p w14:paraId="2FF23D8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B2E978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57877E0"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551A18A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5F63E9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PEA345</w:t>
            </w:r>
          </w:p>
        </w:tc>
        <w:tc>
          <w:tcPr>
            <w:tcW w:w="3220" w:type="dxa"/>
            <w:tcBorders>
              <w:top w:val="nil"/>
              <w:left w:val="nil"/>
              <w:bottom w:val="single" w:sz="4" w:space="0" w:color="auto"/>
              <w:right w:val="nil"/>
            </w:tcBorders>
            <w:shd w:val="clear" w:color="auto" w:fill="auto"/>
            <w:noWrap/>
            <w:vAlign w:val="bottom"/>
            <w:hideMark/>
          </w:tcPr>
          <w:p w14:paraId="72CCEED0" w14:textId="77777777" w:rsidR="00A41A74" w:rsidRPr="00325607" w:rsidRDefault="00A41A74" w:rsidP="00325607">
            <w:pPr>
              <w:widowControl/>
              <w:rPr>
                <w:snapToGrid/>
                <w:color w:val="000000"/>
                <w:kern w:val="0"/>
                <w:szCs w:val="22"/>
              </w:rPr>
            </w:pPr>
            <w:r w:rsidRPr="00325607">
              <w:rPr>
                <w:snapToGrid/>
                <w:color w:val="000000"/>
                <w:kern w:val="0"/>
                <w:szCs w:val="22"/>
              </w:rPr>
              <w:t>Newberry, SC</w:t>
            </w:r>
          </w:p>
        </w:tc>
        <w:tc>
          <w:tcPr>
            <w:tcW w:w="326" w:type="dxa"/>
            <w:tcBorders>
              <w:top w:val="nil"/>
              <w:left w:val="nil"/>
              <w:bottom w:val="single" w:sz="4" w:space="0" w:color="auto"/>
              <w:right w:val="single" w:sz="4" w:space="0" w:color="auto"/>
            </w:tcBorders>
            <w:shd w:val="clear" w:color="auto" w:fill="auto"/>
            <w:noWrap/>
            <w:vAlign w:val="bottom"/>
            <w:hideMark/>
          </w:tcPr>
          <w:p w14:paraId="3AF2A35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9710B2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0C5F378"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6217775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31E67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PEA346</w:t>
            </w:r>
          </w:p>
        </w:tc>
        <w:tc>
          <w:tcPr>
            <w:tcW w:w="3220" w:type="dxa"/>
            <w:tcBorders>
              <w:top w:val="nil"/>
              <w:left w:val="nil"/>
              <w:bottom w:val="single" w:sz="4" w:space="0" w:color="auto"/>
              <w:right w:val="nil"/>
            </w:tcBorders>
            <w:shd w:val="clear" w:color="auto" w:fill="auto"/>
            <w:noWrap/>
            <w:vAlign w:val="bottom"/>
            <w:hideMark/>
          </w:tcPr>
          <w:p w14:paraId="4663247E" w14:textId="77777777" w:rsidR="00A41A74" w:rsidRPr="00325607" w:rsidRDefault="00A41A74" w:rsidP="00325607">
            <w:pPr>
              <w:widowControl/>
              <w:rPr>
                <w:snapToGrid/>
                <w:color w:val="000000"/>
                <w:kern w:val="0"/>
                <w:szCs w:val="22"/>
              </w:rPr>
            </w:pPr>
            <w:r w:rsidRPr="00325607">
              <w:rPr>
                <w:snapToGrid/>
                <w:color w:val="000000"/>
                <w:kern w:val="0"/>
                <w:szCs w:val="22"/>
              </w:rPr>
              <w:t>Franklin, NC</w:t>
            </w:r>
          </w:p>
        </w:tc>
        <w:tc>
          <w:tcPr>
            <w:tcW w:w="326" w:type="dxa"/>
            <w:tcBorders>
              <w:top w:val="nil"/>
              <w:left w:val="nil"/>
              <w:bottom w:val="single" w:sz="4" w:space="0" w:color="auto"/>
              <w:right w:val="single" w:sz="4" w:space="0" w:color="auto"/>
            </w:tcBorders>
            <w:shd w:val="clear" w:color="auto" w:fill="auto"/>
            <w:noWrap/>
            <w:vAlign w:val="bottom"/>
            <w:hideMark/>
          </w:tcPr>
          <w:p w14:paraId="647BD7A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E0C1DD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31E2BA72"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538431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94AFD5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PEA347</w:t>
            </w:r>
          </w:p>
        </w:tc>
        <w:tc>
          <w:tcPr>
            <w:tcW w:w="3220" w:type="dxa"/>
            <w:tcBorders>
              <w:top w:val="nil"/>
              <w:left w:val="nil"/>
              <w:bottom w:val="single" w:sz="4" w:space="0" w:color="auto"/>
              <w:right w:val="nil"/>
            </w:tcBorders>
            <w:shd w:val="clear" w:color="auto" w:fill="auto"/>
            <w:noWrap/>
            <w:vAlign w:val="bottom"/>
            <w:hideMark/>
          </w:tcPr>
          <w:p w14:paraId="0CE66C58" w14:textId="77777777" w:rsidR="00A41A74" w:rsidRPr="00325607" w:rsidRDefault="00A41A74" w:rsidP="00325607">
            <w:pPr>
              <w:widowControl/>
              <w:rPr>
                <w:snapToGrid/>
                <w:color w:val="000000"/>
                <w:kern w:val="0"/>
                <w:szCs w:val="22"/>
              </w:rPr>
            </w:pPr>
            <w:r w:rsidRPr="00325607">
              <w:rPr>
                <w:snapToGrid/>
                <w:color w:val="000000"/>
                <w:kern w:val="0"/>
                <w:szCs w:val="22"/>
              </w:rPr>
              <w:t>New Roads, LA</w:t>
            </w:r>
          </w:p>
        </w:tc>
        <w:tc>
          <w:tcPr>
            <w:tcW w:w="326" w:type="dxa"/>
            <w:tcBorders>
              <w:top w:val="nil"/>
              <w:left w:val="nil"/>
              <w:bottom w:val="single" w:sz="4" w:space="0" w:color="auto"/>
              <w:right w:val="single" w:sz="4" w:space="0" w:color="auto"/>
            </w:tcBorders>
            <w:shd w:val="clear" w:color="auto" w:fill="auto"/>
            <w:noWrap/>
            <w:vAlign w:val="bottom"/>
            <w:hideMark/>
          </w:tcPr>
          <w:p w14:paraId="7ED72F1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036EF0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67DDA9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4B88817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A7216E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PEA348</w:t>
            </w:r>
          </w:p>
        </w:tc>
        <w:tc>
          <w:tcPr>
            <w:tcW w:w="3220" w:type="dxa"/>
            <w:tcBorders>
              <w:top w:val="nil"/>
              <w:left w:val="nil"/>
              <w:bottom w:val="single" w:sz="4" w:space="0" w:color="auto"/>
              <w:right w:val="nil"/>
            </w:tcBorders>
            <w:shd w:val="clear" w:color="auto" w:fill="auto"/>
            <w:noWrap/>
            <w:vAlign w:val="bottom"/>
            <w:hideMark/>
          </w:tcPr>
          <w:p w14:paraId="35E678EF" w14:textId="77777777" w:rsidR="00A41A74" w:rsidRPr="00325607" w:rsidRDefault="00A41A74" w:rsidP="00325607">
            <w:pPr>
              <w:widowControl/>
              <w:rPr>
                <w:snapToGrid/>
                <w:color w:val="000000"/>
                <w:kern w:val="0"/>
                <w:szCs w:val="22"/>
              </w:rPr>
            </w:pPr>
            <w:r w:rsidRPr="00325607">
              <w:rPr>
                <w:snapToGrid/>
                <w:color w:val="000000"/>
                <w:kern w:val="0"/>
                <w:szCs w:val="22"/>
              </w:rPr>
              <w:t>Aberdeen, SD</w:t>
            </w:r>
          </w:p>
        </w:tc>
        <w:tc>
          <w:tcPr>
            <w:tcW w:w="326" w:type="dxa"/>
            <w:tcBorders>
              <w:top w:val="nil"/>
              <w:left w:val="nil"/>
              <w:bottom w:val="single" w:sz="4" w:space="0" w:color="auto"/>
              <w:right w:val="single" w:sz="4" w:space="0" w:color="auto"/>
            </w:tcBorders>
            <w:shd w:val="clear" w:color="auto" w:fill="auto"/>
            <w:noWrap/>
            <w:vAlign w:val="bottom"/>
            <w:hideMark/>
          </w:tcPr>
          <w:p w14:paraId="65BA45C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61500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EADC5C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A835DA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DA76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PEA349</w:t>
            </w:r>
          </w:p>
        </w:tc>
        <w:tc>
          <w:tcPr>
            <w:tcW w:w="3220" w:type="dxa"/>
            <w:tcBorders>
              <w:top w:val="nil"/>
              <w:left w:val="nil"/>
              <w:bottom w:val="single" w:sz="4" w:space="0" w:color="auto"/>
              <w:right w:val="nil"/>
            </w:tcBorders>
            <w:shd w:val="clear" w:color="auto" w:fill="auto"/>
            <w:noWrap/>
            <w:vAlign w:val="bottom"/>
            <w:hideMark/>
          </w:tcPr>
          <w:p w14:paraId="2E137E76" w14:textId="77777777" w:rsidR="00A41A74" w:rsidRPr="00325607" w:rsidRDefault="00A41A74" w:rsidP="00325607">
            <w:pPr>
              <w:widowControl/>
              <w:rPr>
                <w:snapToGrid/>
                <w:color w:val="000000"/>
                <w:kern w:val="0"/>
                <w:szCs w:val="22"/>
              </w:rPr>
            </w:pPr>
            <w:r w:rsidRPr="00325607">
              <w:rPr>
                <w:snapToGrid/>
                <w:color w:val="000000"/>
                <w:kern w:val="0"/>
                <w:szCs w:val="22"/>
              </w:rPr>
              <w:t>Marion, NC</w:t>
            </w:r>
          </w:p>
        </w:tc>
        <w:tc>
          <w:tcPr>
            <w:tcW w:w="326" w:type="dxa"/>
            <w:tcBorders>
              <w:top w:val="nil"/>
              <w:left w:val="nil"/>
              <w:bottom w:val="single" w:sz="4" w:space="0" w:color="auto"/>
              <w:right w:val="single" w:sz="4" w:space="0" w:color="auto"/>
            </w:tcBorders>
            <w:shd w:val="clear" w:color="auto" w:fill="auto"/>
            <w:noWrap/>
            <w:vAlign w:val="bottom"/>
            <w:hideMark/>
          </w:tcPr>
          <w:p w14:paraId="3CE7315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5C7A2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52C5D4D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659C11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AC9AD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PEA350</w:t>
            </w:r>
          </w:p>
        </w:tc>
        <w:tc>
          <w:tcPr>
            <w:tcW w:w="3220" w:type="dxa"/>
            <w:tcBorders>
              <w:top w:val="nil"/>
              <w:left w:val="nil"/>
              <w:bottom w:val="single" w:sz="4" w:space="0" w:color="auto"/>
              <w:right w:val="nil"/>
            </w:tcBorders>
            <w:shd w:val="clear" w:color="auto" w:fill="auto"/>
            <w:noWrap/>
            <w:vAlign w:val="bottom"/>
            <w:hideMark/>
          </w:tcPr>
          <w:p w14:paraId="34BC4B3F" w14:textId="77777777" w:rsidR="00A41A74" w:rsidRPr="00325607" w:rsidRDefault="00A41A74" w:rsidP="00325607">
            <w:pPr>
              <w:widowControl/>
              <w:rPr>
                <w:snapToGrid/>
                <w:color w:val="000000"/>
                <w:kern w:val="0"/>
                <w:szCs w:val="22"/>
              </w:rPr>
            </w:pPr>
            <w:r w:rsidRPr="00325607">
              <w:rPr>
                <w:snapToGrid/>
                <w:color w:val="000000"/>
                <w:kern w:val="0"/>
                <w:szCs w:val="22"/>
              </w:rPr>
              <w:t>Forrest City, AR</w:t>
            </w:r>
          </w:p>
        </w:tc>
        <w:tc>
          <w:tcPr>
            <w:tcW w:w="326" w:type="dxa"/>
            <w:tcBorders>
              <w:top w:val="nil"/>
              <w:left w:val="nil"/>
              <w:bottom w:val="single" w:sz="4" w:space="0" w:color="auto"/>
              <w:right w:val="single" w:sz="4" w:space="0" w:color="auto"/>
            </w:tcBorders>
            <w:shd w:val="clear" w:color="auto" w:fill="auto"/>
            <w:noWrap/>
            <w:vAlign w:val="bottom"/>
            <w:hideMark/>
          </w:tcPr>
          <w:p w14:paraId="369F8B8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1B8732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3C25EF4A"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0E42FE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C51C6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PEA351</w:t>
            </w:r>
          </w:p>
        </w:tc>
        <w:tc>
          <w:tcPr>
            <w:tcW w:w="3220" w:type="dxa"/>
            <w:tcBorders>
              <w:top w:val="nil"/>
              <w:left w:val="nil"/>
              <w:bottom w:val="single" w:sz="4" w:space="0" w:color="auto"/>
              <w:right w:val="nil"/>
            </w:tcBorders>
            <w:shd w:val="clear" w:color="auto" w:fill="auto"/>
            <w:noWrap/>
            <w:vAlign w:val="bottom"/>
            <w:hideMark/>
          </w:tcPr>
          <w:p w14:paraId="383553F5" w14:textId="77777777" w:rsidR="00A41A74" w:rsidRPr="00325607" w:rsidRDefault="00A41A74" w:rsidP="00325607">
            <w:pPr>
              <w:widowControl/>
              <w:rPr>
                <w:snapToGrid/>
                <w:color w:val="000000"/>
                <w:kern w:val="0"/>
                <w:szCs w:val="22"/>
              </w:rPr>
            </w:pPr>
            <w:r w:rsidRPr="00325607">
              <w:rPr>
                <w:snapToGrid/>
                <w:color w:val="000000"/>
                <w:kern w:val="0"/>
                <w:szCs w:val="22"/>
              </w:rPr>
              <w:t>Dickinson, ND</w:t>
            </w:r>
          </w:p>
        </w:tc>
        <w:tc>
          <w:tcPr>
            <w:tcW w:w="326" w:type="dxa"/>
            <w:tcBorders>
              <w:top w:val="nil"/>
              <w:left w:val="nil"/>
              <w:bottom w:val="single" w:sz="4" w:space="0" w:color="auto"/>
              <w:right w:val="single" w:sz="4" w:space="0" w:color="auto"/>
            </w:tcBorders>
            <w:shd w:val="clear" w:color="auto" w:fill="auto"/>
            <w:noWrap/>
            <w:vAlign w:val="bottom"/>
            <w:hideMark/>
          </w:tcPr>
          <w:p w14:paraId="70E29F1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0FF15D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4F4DD8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0ECC44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D0EAE4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PEA352</w:t>
            </w:r>
          </w:p>
        </w:tc>
        <w:tc>
          <w:tcPr>
            <w:tcW w:w="3220" w:type="dxa"/>
            <w:tcBorders>
              <w:top w:val="nil"/>
              <w:left w:val="nil"/>
              <w:bottom w:val="single" w:sz="4" w:space="0" w:color="auto"/>
              <w:right w:val="nil"/>
            </w:tcBorders>
            <w:shd w:val="clear" w:color="auto" w:fill="auto"/>
            <w:noWrap/>
            <w:vAlign w:val="bottom"/>
            <w:hideMark/>
          </w:tcPr>
          <w:p w14:paraId="574088D9" w14:textId="77777777" w:rsidR="00A41A74" w:rsidRPr="00325607" w:rsidRDefault="00A41A74" w:rsidP="00325607">
            <w:pPr>
              <w:widowControl/>
              <w:rPr>
                <w:snapToGrid/>
                <w:color w:val="000000"/>
                <w:kern w:val="0"/>
                <w:szCs w:val="22"/>
              </w:rPr>
            </w:pPr>
            <w:r w:rsidRPr="00325607">
              <w:rPr>
                <w:snapToGrid/>
                <w:color w:val="000000"/>
                <w:kern w:val="0"/>
                <w:szCs w:val="22"/>
              </w:rPr>
              <w:t>Gonzales, TX</w:t>
            </w:r>
          </w:p>
        </w:tc>
        <w:tc>
          <w:tcPr>
            <w:tcW w:w="326" w:type="dxa"/>
            <w:tcBorders>
              <w:top w:val="nil"/>
              <w:left w:val="nil"/>
              <w:bottom w:val="single" w:sz="4" w:space="0" w:color="auto"/>
              <w:right w:val="single" w:sz="4" w:space="0" w:color="auto"/>
            </w:tcBorders>
            <w:shd w:val="clear" w:color="auto" w:fill="auto"/>
            <w:noWrap/>
            <w:vAlign w:val="bottom"/>
            <w:hideMark/>
          </w:tcPr>
          <w:p w14:paraId="61CEC95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51001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21669F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75837C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631FE6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PEA353</w:t>
            </w:r>
          </w:p>
        </w:tc>
        <w:tc>
          <w:tcPr>
            <w:tcW w:w="3220" w:type="dxa"/>
            <w:tcBorders>
              <w:top w:val="nil"/>
              <w:left w:val="nil"/>
              <w:bottom w:val="single" w:sz="4" w:space="0" w:color="auto"/>
              <w:right w:val="nil"/>
            </w:tcBorders>
            <w:shd w:val="clear" w:color="auto" w:fill="auto"/>
            <w:noWrap/>
            <w:vAlign w:val="bottom"/>
            <w:hideMark/>
          </w:tcPr>
          <w:p w14:paraId="26F99ADF" w14:textId="77777777" w:rsidR="00A41A74" w:rsidRPr="00325607" w:rsidRDefault="00A41A74" w:rsidP="00325607">
            <w:pPr>
              <w:widowControl/>
              <w:rPr>
                <w:snapToGrid/>
                <w:color w:val="000000"/>
                <w:kern w:val="0"/>
                <w:szCs w:val="22"/>
              </w:rPr>
            </w:pPr>
            <w:r w:rsidRPr="00325607">
              <w:rPr>
                <w:snapToGrid/>
                <w:color w:val="000000"/>
                <w:kern w:val="0"/>
                <w:szCs w:val="22"/>
              </w:rPr>
              <w:t>Watseka, IL</w:t>
            </w:r>
          </w:p>
        </w:tc>
        <w:tc>
          <w:tcPr>
            <w:tcW w:w="326" w:type="dxa"/>
            <w:tcBorders>
              <w:top w:val="nil"/>
              <w:left w:val="nil"/>
              <w:bottom w:val="single" w:sz="4" w:space="0" w:color="auto"/>
              <w:right w:val="single" w:sz="4" w:space="0" w:color="auto"/>
            </w:tcBorders>
            <w:shd w:val="clear" w:color="auto" w:fill="auto"/>
            <w:noWrap/>
            <w:vAlign w:val="bottom"/>
            <w:hideMark/>
          </w:tcPr>
          <w:p w14:paraId="50B7349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F69DEC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B93275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354196D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E608F9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PEA354</w:t>
            </w:r>
          </w:p>
        </w:tc>
        <w:tc>
          <w:tcPr>
            <w:tcW w:w="3220" w:type="dxa"/>
            <w:tcBorders>
              <w:top w:val="nil"/>
              <w:left w:val="nil"/>
              <w:bottom w:val="single" w:sz="4" w:space="0" w:color="auto"/>
              <w:right w:val="nil"/>
            </w:tcBorders>
            <w:shd w:val="clear" w:color="auto" w:fill="auto"/>
            <w:noWrap/>
            <w:vAlign w:val="bottom"/>
            <w:hideMark/>
          </w:tcPr>
          <w:p w14:paraId="4971FDA2" w14:textId="77777777" w:rsidR="00A41A74" w:rsidRPr="00325607" w:rsidRDefault="00A41A74" w:rsidP="00325607">
            <w:pPr>
              <w:widowControl/>
              <w:rPr>
                <w:snapToGrid/>
                <w:color w:val="000000"/>
                <w:kern w:val="0"/>
                <w:szCs w:val="22"/>
              </w:rPr>
            </w:pPr>
            <w:r w:rsidRPr="00325607">
              <w:rPr>
                <w:snapToGrid/>
                <w:color w:val="000000"/>
                <w:kern w:val="0"/>
                <w:szCs w:val="22"/>
              </w:rPr>
              <w:t>New London, WI</w:t>
            </w:r>
          </w:p>
        </w:tc>
        <w:tc>
          <w:tcPr>
            <w:tcW w:w="326" w:type="dxa"/>
            <w:tcBorders>
              <w:top w:val="nil"/>
              <w:left w:val="nil"/>
              <w:bottom w:val="single" w:sz="4" w:space="0" w:color="auto"/>
              <w:right w:val="single" w:sz="4" w:space="0" w:color="auto"/>
            </w:tcBorders>
            <w:shd w:val="clear" w:color="auto" w:fill="auto"/>
            <w:noWrap/>
            <w:vAlign w:val="bottom"/>
            <w:hideMark/>
          </w:tcPr>
          <w:p w14:paraId="351BFEE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0EAF9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4734597"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1D916D6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0454A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PEA355</w:t>
            </w:r>
          </w:p>
        </w:tc>
        <w:tc>
          <w:tcPr>
            <w:tcW w:w="3220" w:type="dxa"/>
            <w:tcBorders>
              <w:top w:val="nil"/>
              <w:left w:val="nil"/>
              <w:bottom w:val="single" w:sz="4" w:space="0" w:color="auto"/>
              <w:right w:val="nil"/>
            </w:tcBorders>
            <w:shd w:val="clear" w:color="auto" w:fill="auto"/>
            <w:noWrap/>
            <w:vAlign w:val="bottom"/>
            <w:hideMark/>
          </w:tcPr>
          <w:p w14:paraId="6D374757" w14:textId="77777777" w:rsidR="00A41A74" w:rsidRPr="00325607" w:rsidRDefault="00A41A74" w:rsidP="00325607">
            <w:pPr>
              <w:widowControl/>
              <w:rPr>
                <w:snapToGrid/>
                <w:color w:val="000000"/>
                <w:kern w:val="0"/>
                <w:szCs w:val="22"/>
              </w:rPr>
            </w:pPr>
            <w:r w:rsidRPr="00325607">
              <w:rPr>
                <w:snapToGrid/>
                <w:color w:val="000000"/>
                <w:kern w:val="0"/>
                <w:szCs w:val="22"/>
              </w:rPr>
              <w:t>Casper, WY</w:t>
            </w:r>
          </w:p>
        </w:tc>
        <w:tc>
          <w:tcPr>
            <w:tcW w:w="326" w:type="dxa"/>
            <w:tcBorders>
              <w:top w:val="nil"/>
              <w:left w:val="nil"/>
              <w:bottom w:val="single" w:sz="4" w:space="0" w:color="auto"/>
              <w:right w:val="single" w:sz="4" w:space="0" w:color="auto"/>
            </w:tcBorders>
            <w:shd w:val="clear" w:color="auto" w:fill="auto"/>
            <w:noWrap/>
            <w:vAlign w:val="bottom"/>
            <w:hideMark/>
          </w:tcPr>
          <w:p w14:paraId="7CB8B44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4E9531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624D1C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942B28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F1EF0A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PEA356</w:t>
            </w:r>
          </w:p>
        </w:tc>
        <w:tc>
          <w:tcPr>
            <w:tcW w:w="3220" w:type="dxa"/>
            <w:tcBorders>
              <w:top w:val="nil"/>
              <w:left w:val="nil"/>
              <w:bottom w:val="single" w:sz="4" w:space="0" w:color="auto"/>
              <w:right w:val="nil"/>
            </w:tcBorders>
            <w:shd w:val="clear" w:color="auto" w:fill="auto"/>
            <w:noWrap/>
            <w:vAlign w:val="bottom"/>
            <w:hideMark/>
          </w:tcPr>
          <w:p w14:paraId="1102B6D2" w14:textId="77777777" w:rsidR="00A41A74" w:rsidRPr="00325607" w:rsidRDefault="00A41A74" w:rsidP="00325607">
            <w:pPr>
              <w:widowControl/>
              <w:rPr>
                <w:snapToGrid/>
                <w:color w:val="000000"/>
                <w:kern w:val="0"/>
                <w:szCs w:val="22"/>
              </w:rPr>
            </w:pPr>
            <w:r w:rsidRPr="00325607">
              <w:rPr>
                <w:snapToGrid/>
                <w:color w:val="000000"/>
                <w:kern w:val="0"/>
                <w:szCs w:val="22"/>
              </w:rPr>
              <w:t>Colville, WA</w:t>
            </w:r>
          </w:p>
        </w:tc>
        <w:tc>
          <w:tcPr>
            <w:tcW w:w="326" w:type="dxa"/>
            <w:tcBorders>
              <w:top w:val="nil"/>
              <w:left w:val="nil"/>
              <w:bottom w:val="single" w:sz="4" w:space="0" w:color="auto"/>
              <w:right w:val="single" w:sz="4" w:space="0" w:color="auto"/>
            </w:tcBorders>
            <w:shd w:val="clear" w:color="auto" w:fill="auto"/>
            <w:noWrap/>
            <w:vAlign w:val="bottom"/>
            <w:hideMark/>
          </w:tcPr>
          <w:p w14:paraId="302C57D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0331D9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3401EF36"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7760E2C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C88D1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PEA357</w:t>
            </w:r>
          </w:p>
        </w:tc>
        <w:tc>
          <w:tcPr>
            <w:tcW w:w="3220" w:type="dxa"/>
            <w:tcBorders>
              <w:top w:val="nil"/>
              <w:left w:val="nil"/>
              <w:bottom w:val="single" w:sz="4" w:space="0" w:color="auto"/>
              <w:right w:val="nil"/>
            </w:tcBorders>
            <w:shd w:val="clear" w:color="auto" w:fill="auto"/>
            <w:noWrap/>
            <w:vAlign w:val="bottom"/>
            <w:hideMark/>
          </w:tcPr>
          <w:p w14:paraId="0ED951DF" w14:textId="77777777" w:rsidR="00A41A74" w:rsidRPr="00325607" w:rsidRDefault="00A41A74" w:rsidP="00325607">
            <w:pPr>
              <w:widowControl/>
              <w:rPr>
                <w:snapToGrid/>
                <w:color w:val="000000"/>
                <w:kern w:val="0"/>
                <w:szCs w:val="22"/>
              </w:rPr>
            </w:pPr>
            <w:r w:rsidRPr="00325607">
              <w:rPr>
                <w:snapToGrid/>
                <w:color w:val="000000"/>
                <w:kern w:val="0"/>
                <w:szCs w:val="22"/>
              </w:rPr>
              <w:t>Espanola, NM</w:t>
            </w:r>
          </w:p>
        </w:tc>
        <w:tc>
          <w:tcPr>
            <w:tcW w:w="326" w:type="dxa"/>
            <w:tcBorders>
              <w:top w:val="nil"/>
              <w:left w:val="nil"/>
              <w:bottom w:val="single" w:sz="4" w:space="0" w:color="auto"/>
              <w:right w:val="single" w:sz="4" w:space="0" w:color="auto"/>
            </w:tcBorders>
            <w:shd w:val="clear" w:color="auto" w:fill="auto"/>
            <w:noWrap/>
            <w:vAlign w:val="bottom"/>
            <w:hideMark/>
          </w:tcPr>
          <w:p w14:paraId="4226996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DD8B40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D7F4AA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337F06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AE7F56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PEA358</w:t>
            </w:r>
          </w:p>
        </w:tc>
        <w:tc>
          <w:tcPr>
            <w:tcW w:w="3220" w:type="dxa"/>
            <w:tcBorders>
              <w:top w:val="nil"/>
              <w:left w:val="nil"/>
              <w:bottom w:val="single" w:sz="4" w:space="0" w:color="auto"/>
              <w:right w:val="nil"/>
            </w:tcBorders>
            <w:shd w:val="clear" w:color="auto" w:fill="auto"/>
            <w:noWrap/>
            <w:vAlign w:val="bottom"/>
            <w:hideMark/>
          </w:tcPr>
          <w:p w14:paraId="0FBD8067" w14:textId="77777777" w:rsidR="00A41A74" w:rsidRPr="00325607" w:rsidRDefault="00A41A74" w:rsidP="00325607">
            <w:pPr>
              <w:widowControl/>
              <w:rPr>
                <w:snapToGrid/>
                <w:color w:val="000000"/>
                <w:kern w:val="0"/>
                <w:szCs w:val="22"/>
              </w:rPr>
            </w:pPr>
            <w:r w:rsidRPr="00325607">
              <w:rPr>
                <w:snapToGrid/>
                <w:color w:val="000000"/>
                <w:kern w:val="0"/>
                <w:szCs w:val="22"/>
              </w:rPr>
              <w:t>Marble Falls, TX</w:t>
            </w:r>
          </w:p>
        </w:tc>
        <w:tc>
          <w:tcPr>
            <w:tcW w:w="326" w:type="dxa"/>
            <w:tcBorders>
              <w:top w:val="nil"/>
              <w:left w:val="nil"/>
              <w:bottom w:val="single" w:sz="4" w:space="0" w:color="auto"/>
              <w:right w:val="single" w:sz="4" w:space="0" w:color="auto"/>
            </w:tcBorders>
            <w:shd w:val="clear" w:color="auto" w:fill="auto"/>
            <w:noWrap/>
            <w:vAlign w:val="bottom"/>
            <w:hideMark/>
          </w:tcPr>
          <w:p w14:paraId="73F3B40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74F3F3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63A3CB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C116C4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40D800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PEA359</w:t>
            </w:r>
          </w:p>
        </w:tc>
        <w:tc>
          <w:tcPr>
            <w:tcW w:w="3220" w:type="dxa"/>
            <w:tcBorders>
              <w:top w:val="nil"/>
              <w:left w:val="nil"/>
              <w:bottom w:val="single" w:sz="4" w:space="0" w:color="auto"/>
              <w:right w:val="nil"/>
            </w:tcBorders>
            <w:shd w:val="clear" w:color="auto" w:fill="auto"/>
            <w:noWrap/>
            <w:vAlign w:val="bottom"/>
            <w:hideMark/>
          </w:tcPr>
          <w:p w14:paraId="44F618C9" w14:textId="77777777" w:rsidR="00A41A74" w:rsidRPr="00325607" w:rsidRDefault="00A41A74" w:rsidP="00325607">
            <w:pPr>
              <w:widowControl/>
              <w:rPr>
                <w:snapToGrid/>
                <w:color w:val="000000"/>
                <w:kern w:val="0"/>
                <w:szCs w:val="22"/>
              </w:rPr>
            </w:pPr>
            <w:r w:rsidRPr="00325607">
              <w:rPr>
                <w:snapToGrid/>
                <w:color w:val="000000"/>
                <w:kern w:val="0"/>
                <w:szCs w:val="22"/>
              </w:rPr>
              <w:t>Sterling, CO</w:t>
            </w:r>
          </w:p>
        </w:tc>
        <w:tc>
          <w:tcPr>
            <w:tcW w:w="326" w:type="dxa"/>
            <w:tcBorders>
              <w:top w:val="nil"/>
              <w:left w:val="nil"/>
              <w:bottom w:val="single" w:sz="4" w:space="0" w:color="auto"/>
              <w:right w:val="single" w:sz="4" w:space="0" w:color="auto"/>
            </w:tcBorders>
            <w:shd w:val="clear" w:color="auto" w:fill="auto"/>
            <w:noWrap/>
            <w:vAlign w:val="bottom"/>
            <w:hideMark/>
          </w:tcPr>
          <w:p w14:paraId="3021BB5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91D277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E80BE4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CDCFA0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73FD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PEA360</w:t>
            </w:r>
          </w:p>
        </w:tc>
        <w:tc>
          <w:tcPr>
            <w:tcW w:w="3220" w:type="dxa"/>
            <w:tcBorders>
              <w:top w:val="nil"/>
              <w:left w:val="nil"/>
              <w:bottom w:val="single" w:sz="4" w:space="0" w:color="auto"/>
              <w:right w:val="nil"/>
            </w:tcBorders>
            <w:shd w:val="clear" w:color="auto" w:fill="auto"/>
            <w:noWrap/>
            <w:vAlign w:val="bottom"/>
            <w:hideMark/>
          </w:tcPr>
          <w:p w14:paraId="53E2D7A7" w14:textId="77777777" w:rsidR="00A41A74" w:rsidRPr="00325607" w:rsidRDefault="00A41A74" w:rsidP="00325607">
            <w:pPr>
              <w:widowControl/>
              <w:rPr>
                <w:snapToGrid/>
                <w:color w:val="000000"/>
                <w:kern w:val="0"/>
                <w:szCs w:val="22"/>
              </w:rPr>
            </w:pPr>
            <w:r w:rsidRPr="00325607">
              <w:rPr>
                <w:snapToGrid/>
                <w:color w:val="000000"/>
                <w:kern w:val="0"/>
                <w:szCs w:val="22"/>
              </w:rPr>
              <w:t>Juneau, AK</w:t>
            </w:r>
          </w:p>
        </w:tc>
        <w:tc>
          <w:tcPr>
            <w:tcW w:w="326" w:type="dxa"/>
            <w:tcBorders>
              <w:top w:val="nil"/>
              <w:left w:val="nil"/>
              <w:bottom w:val="single" w:sz="4" w:space="0" w:color="auto"/>
              <w:right w:val="single" w:sz="4" w:space="0" w:color="auto"/>
            </w:tcBorders>
            <w:shd w:val="clear" w:color="auto" w:fill="auto"/>
            <w:noWrap/>
            <w:vAlign w:val="bottom"/>
            <w:hideMark/>
          </w:tcPr>
          <w:p w14:paraId="4078033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57208E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70A9AAF"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58E9845"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7098D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PEA361</w:t>
            </w:r>
          </w:p>
        </w:tc>
        <w:tc>
          <w:tcPr>
            <w:tcW w:w="3220" w:type="dxa"/>
            <w:tcBorders>
              <w:top w:val="nil"/>
              <w:left w:val="nil"/>
              <w:bottom w:val="single" w:sz="4" w:space="0" w:color="auto"/>
              <w:right w:val="nil"/>
            </w:tcBorders>
            <w:shd w:val="clear" w:color="auto" w:fill="auto"/>
            <w:noWrap/>
            <w:vAlign w:val="bottom"/>
            <w:hideMark/>
          </w:tcPr>
          <w:p w14:paraId="3EA42FB8" w14:textId="77777777" w:rsidR="00A41A74" w:rsidRPr="00325607" w:rsidRDefault="00A41A74" w:rsidP="00325607">
            <w:pPr>
              <w:widowControl/>
              <w:rPr>
                <w:snapToGrid/>
                <w:color w:val="000000"/>
                <w:kern w:val="0"/>
                <w:szCs w:val="22"/>
              </w:rPr>
            </w:pPr>
            <w:r w:rsidRPr="00325607">
              <w:rPr>
                <w:snapToGrid/>
                <w:color w:val="000000"/>
                <w:kern w:val="0"/>
                <w:szCs w:val="22"/>
              </w:rPr>
              <w:t>Richfield, UT</w:t>
            </w:r>
          </w:p>
        </w:tc>
        <w:tc>
          <w:tcPr>
            <w:tcW w:w="326" w:type="dxa"/>
            <w:tcBorders>
              <w:top w:val="nil"/>
              <w:left w:val="nil"/>
              <w:bottom w:val="single" w:sz="4" w:space="0" w:color="auto"/>
              <w:right w:val="single" w:sz="4" w:space="0" w:color="auto"/>
            </w:tcBorders>
            <w:shd w:val="clear" w:color="auto" w:fill="auto"/>
            <w:noWrap/>
            <w:vAlign w:val="bottom"/>
            <w:hideMark/>
          </w:tcPr>
          <w:p w14:paraId="3BC787DA"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B3802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3148165C"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3DC254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A74688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PEA362</w:t>
            </w:r>
          </w:p>
        </w:tc>
        <w:tc>
          <w:tcPr>
            <w:tcW w:w="3220" w:type="dxa"/>
            <w:tcBorders>
              <w:top w:val="nil"/>
              <w:left w:val="nil"/>
              <w:bottom w:val="single" w:sz="4" w:space="0" w:color="auto"/>
              <w:right w:val="nil"/>
            </w:tcBorders>
            <w:shd w:val="clear" w:color="auto" w:fill="auto"/>
            <w:noWrap/>
            <w:vAlign w:val="bottom"/>
            <w:hideMark/>
          </w:tcPr>
          <w:p w14:paraId="1EDAFE9A" w14:textId="77777777" w:rsidR="00A41A74" w:rsidRPr="00325607" w:rsidRDefault="00A41A74" w:rsidP="00325607">
            <w:pPr>
              <w:widowControl/>
              <w:rPr>
                <w:snapToGrid/>
                <w:color w:val="000000"/>
                <w:kern w:val="0"/>
                <w:szCs w:val="22"/>
              </w:rPr>
            </w:pPr>
            <w:r w:rsidRPr="00325607">
              <w:rPr>
                <w:snapToGrid/>
                <w:color w:val="000000"/>
                <w:kern w:val="0"/>
                <w:szCs w:val="22"/>
              </w:rPr>
              <w:t>Payette, ID</w:t>
            </w:r>
          </w:p>
        </w:tc>
        <w:tc>
          <w:tcPr>
            <w:tcW w:w="326" w:type="dxa"/>
            <w:tcBorders>
              <w:top w:val="nil"/>
              <w:left w:val="nil"/>
              <w:bottom w:val="single" w:sz="4" w:space="0" w:color="auto"/>
              <w:right w:val="single" w:sz="4" w:space="0" w:color="auto"/>
            </w:tcBorders>
            <w:shd w:val="clear" w:color="auto" w:fill="auto"/>
            <w:noWrap/>
            <w:vAlign w:val="bottom"/>
            <w:hideMark/>
          </w:tcPr>
          <w:p w14:paraId="5266219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322F7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F6F1742"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63D13A1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F8E062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PEA363</w:t>
            </w:r>
          </w:p>
        </w:tc>
        <w:tc>
          <w:tcPr>
            <w:tcW w:w="3220" w:type="dxa"/>
            <w:tcBorders>
              <w:top w:val="nil"/>
              <w:left w:val="nil"/>
              <w:bottom w:val="single" w:sz="4" w:space="0" w:color="auto"/>
              <w:right w:val="nil"/>
            </w:tcBorders>
            <w:shd w:val="clear" w:color="auto" w:fill="auto"/>
            <w:noWrap/>
            <w:vAlign w:val="bottom"/>
            <w:hideMark/>
          </w:tcPr>
          <w:p w14:paraId="368DFFD3" w14:textId="77777777" w:rsidR="00A41A74" w:rsidRPr="00325607" w:rsidRDefault="00A41A74" w:rsidP="00325607">
            <w:pPr>
              <w:widowControl/>
              <w:rPr>
                <w:snapToGrid/>
                <w:color w:val="000000"/>
                <w:kern w:val="0"/>
                <w:szCs w:val="22"/>
              </w:rPr>
            </w:pPr>
            <w:r w:rsidRPr="00325607">
              <w:rPr>
                <w:snapToGrid/>
                <w:color w:val="000000"/>
                <w:kern w:val="0"/>
                <w:szCs w:val="22"/>
              </w:rPr>
              <w:t>Big Spring, TX</w:t>
            </w:r>
          </w:p>
        </w:tc>
        <w:tc>
          <w:tcPr>
            <w:tcW w:w="326" w:type="dxa"/>
            <w:tcBorders>
              <w:top w:val="nil"/>
              <w:left w:val="nil"/>
              <w:bottom w:val="single" w:sz="4" w:space="0" w:color="auto"/>
              <w:right w:val="single" w:sz="4" w:space="0" w:color="auto"/>
            </w:tcBorders>
            <w:shd w:val="clear" w:color="auto" w:fill="auto"/>
            <w:noWrap/>
            <w:vAlign w:val="bottom"/>
            <w:hideMark/>
          </w:tcPr>
          <w:p w14:paraId="009C016C"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BEF2F7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1FC36DB"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FA743F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CAF3A1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PEA364</w:t>
            </w:r>
          </w:p>
        </w:tc>
        <w:tc>
          <w:tcPr>
            <w:tcW w:w="3220" w:type="dxa"/>
            <w:tcBorders>
              <w:top w:val="nil"/>
              <w:left w:val="nil"/>
              <w:bottom w:val="single" w:sz="4" w:space="0" w:color="auto"/>
              <w:right w:val="nil"/>
            </w:tcBorders>
            <w:shd w:val="clear" w:color="auto" w:fill="auto"/>
            <w:noWrap/>
            <w:vAlign w:val="bottom"/>
            <w:hideMark/>
          </w:tcPr>
          <w:p w14:paraId="19551A44" w14:textId="77777777" w:rsidR="00A41A74" w:rsidRPr="00325607" w:rsidRDefault="00A41A74" w:rsidP="00325607">
            <w:pPr>
              <w:widowControl/>
              <w:rPr>
                <w:snapToGrid/>
                <w:color w:val="000000"/>
                <w:kern w:val="0"/>
                <w:szCs w:val="22"/>
              </w:rPr>
            </w:pPr>
            <w:r w:rsidRPr="00325607">
              <w:rPr>
                <w:snapToGrid/>
                <w:color w:val="000000"/>
                <w:kern w:val="0"/>
                <w:szCs w:val="22"/>
              </w:rPr>
              <w:t>Butte, MT</w:t>
            </w:r>
          </w:p>
        </w:tc>
        <w:tc>
          <w:tcPr>
            <w:tcW w:w="326" w:type="dxa"/>
            <w:tcBorders>
              <w:top w:val="nil"/>
              <w:left w:val="nil"/>
              <w:bottom w:val="single" w:sz="4" w:space="0" w:color="auto"/>
              <w:right w:val="single" w:sz="4" w:space="0" w:color="auto"/>
            </w:tcBorders>
            <w:shd w:val="clear" w:color="auto" w:fill="auto"/>
            <w:noWrap/>
            <w:vAlign w:val="bottom"/>
            <w:hideMark/>
          </w:tcPr>
          <w:p w14:paraId="70DD714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A50859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7E20E968"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06A2A0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E797C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PEA365</w:t>
            </w:r>
          </w:p>
        </w:tc>
        <w:tc>
          <w:tcPr>
            <w:tcW w:w="3220" w:type="dxa"/>
            <w:tcBorders>
              <w:top w:val="nil"/>
              <w:left w:val="nil"/>
              <w:bottom w:val="single" w:sz="4" w:space="0" w:color="auto"/>
              <w:right w:val="nil"/>
            </w:tcBorders>
            <w:shd w:val="clear" w:color="auto" w:fill="auto"/>
            <w:noWrap/>
            <w:vAlign w:val="bottom"/>
            <w:hideMark/>
          </w:tcPr>
          <w:p w14:paraId="75B66B7B" w14:textId="77777777" w:rsidR="00A41A74" w:rsidRPr="00325607" w:rsidRDefault="00A41A74" w:rsidP="00325607">
            <w:pPr>
              <w:widowControl/>
              <w:rPr>
                <w:snapToGrid/>
                <w:color w:val="000000"/>
                <w:kern w:val="0"/>
                <w:szCs w:val="22"/>
              </w:rPr>
            </w:pPr>
            <w:r w:rsidRPr="00325607">
              <w:rPr>
                <w:snapToGrid/>
                <w:color w:val="000000"/>
                <w:kern w:val="0"/>
                <w:szCs w:val="22"/>
              </w:rPr>
              <w:t>Vernon, TX</w:t>
            </w:r>
          </w:p>
        </w:tc>
        <w:tc>
          <w:tcPr>
            <w:tcW w:w="326" w:type="dxa"/>
            <w:tcBorders>
              <w:top w:val="nil"/>
              <w:left w:val="nil"/>
              <w:bottom w:val="single" w:sz="4" w:space="0" w:color="auto"/>
              <w:right w:val="single" w:sz="4" w:space="0" w:color="auto"/>
            </w:tcBorders>
            <w:shd w:val="clear" w:color="auto" w:fill="auto"/>
            <w:noWrap/>
            <w:vAlign w:val="bottom"/>
            <w:hideMark/>
          </w:tcPr>
          <w:p w14:paraId="724644B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C81EF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459B463"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9FDA56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DC51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PEA366</w:t>
            </w:r>
          </w:p>
        </w:tc>
        <w:tc>
          <w:tcPr>
            <w:tcW w:w="3220" w:type="dxa"/>
            <w:tcBorders>
              <w:top w:val="nil"/>
              <w:left w:val="nil"/>
              <w:bottom w:val="single" w:sz="4" w:space="0" w:color="auto"/>
              <w:right w:val="nil"/>
            </w:tcBorders>
            <w:shd w:val="clear" w:color="auto" w:fill="auto"/>
            <w:noWrap/>
            <w:vAlign w:val="bottom"/>
            <w:hideMark/>
          </w:tcPr>
          <w:p w14:paraId="66200924" w14:textId="77777777" w:rsidR="00A41A74" w:rsidRPr="00325607" w:rsidRDefault="00A41A74" w:rsidP="00325607">
            <w:pPr>
              <w:widowControl/>
              <w:rPr>
                <w:snapToGrid/>
                <w:color w:val="000000"/>
                <w:kern w:val="0"/>
                <w:szCs w:val="22"/>
              </w:rPr>
            </w:pPr>
            <w:r w:rsidRPr="00325607">
              <w:rPr>
                <w:snapToGrid/>
                <w:color w:val="000000"/>
                <w:kern w:val="0"/>
                <w:szCs w:val="22"/>
              </w:rPr>
              <w:t>Pullman, WA</w:t>
            </w:r>
          </w:p>
        </w:tc>
        <w:tc>
          <w:tcPr>
            <w:tcW w:w="326" w:type="dxa"/>
            <w:tcBorders>
              <w:top w:val="nil"/>
              <w:left w:val="nil"/>
              <w:bottom w:val="single" w:sz="4" w:space="0" w:color="auto"/>
              <w:right w:val="single" w:sz="4" w:space="0" w:color="auto"/>
            </w:tcBorders>
            <w:shd w:val="clear" w:color="auto" w:fill="auto"/>
            <w:noWrap/>
            <w:vAlign w:val="bottom"/>
            <w:hideMark/>
          </w:tcPr>
          <w:p w14:paraId="760B9AF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645F83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355005DC"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5101626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BE7FF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PEA367</w:t>
            </w:r>
          </w:p>
        </w:tc>
        <w:tc>
          <w:tcPr>
            <w:tcW w:w="3220" w:type="dxa"/>
            <w:tcBorders>
              <w:top w:val="nil"/>
              <w:left w:val="nil"/>
              <w:bottom w:val="single" w:sz="4" w:space="0" w:color="auto"/>
              <w:right w:val="nil"/>
            </w:tcBorders>
            <w:shd w:val="clear" w:color="auto" w:fill="auto"/>
            <w:noWrap/>
            <w:vAlign w:val="bottom"/>
            <w:hideMark/>
          </w:tcPr>
          <w:p w14:paraId="1140C928" w14:textId="77777777" w:rsidR="00A41A74" w:rsidRPr="00325607" w:rsidRDefault="00A41A74" w:rsidP="00325607">
            <w:pPr>
              <w:widowControl/>
              <w:rPr>
                <w:snapToGrid/>
                <w:color w:val="000000"/>
                <w:kern w:val="0"/>
                <w:szCs w:val="22"/>
              </w:rPr>
            </w:pPr>
            <w:r w:rsidRPr="00325607">
              <w:rPr>
                <w:snapToGrid/>
                <w:color w:val="000000"/>
                <w:kern w:val="0"/>
                <w:szCs w:val="22"/>
              </w:rPr>
              <w:t>Moberly, MO</w:t>
            </w:r>
          </w:p>
        </w:tc>
        <w:tc>
          <w:tcPr>
            <w:tcW w:w="326" w:type="dxa"/>
            <w:tcBorders>
              <w:top w:val="nil"/>
              <w:left w:val="nil"/>
              <w:bottom w:val="single" w:sz="4" w:space="0" w:color="auto"/>
              <w:right w:val="single" w:sz="4" w:space="0" w:color="auto"/>
            </w:tcBorders>
            <w:shd w:val="clear" w:color="auto" w:fill="auto"/>
            <w:noWrap/>
            <w:vAlign w:val="bottom"/>
            <w:hideMark/>
          </w:tcPr>
          <w:p w14:paraId="7D71B88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C016D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7A37FD67"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7FBB9D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D2A2CA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PEA368</w:t>
            </w:r>
          </w:p>
        </w:tc>
        <w:tc>
          <w:tcPr>
            <w:tcW w:w="3220" w:type="dxa"/>
            <w:tcBorders>
              <w:top w:val="nil"/>
              <w:left w:val="nil"/>
              <w:bottom w:val="single" w:sz="4" w:space="0" w:color="auto"/>
              <w:right w:val="nil"/>
            </w:tcBorders>
            <w:shd w:val="clear" w:color="auto" w:fill="auto"/>
            <w:noWrap/>
            <w:vAlign w:val="bottom"/>
            <w:hideMark/>
          </w:tcPr>
          <w:p w14:paraId="15FF7423" w14:textId="77777777" w:rsidR="00A41A74" w:rsidRPr="00325607" w:rsidRDefault="00A41A74" w:rsidP="00325607">
            <w:pPr>
              <w:widowControl/>
              <w:rPr>
                <w:snapToGrid/>
                <w:color w:val="000000"/>
                <w:kern w:val="0"/>
                <w:szCs w:val="22"/>
              </w:rPr>
            </w:pPr>
            <w:r w:rsidRPr="00325607">
              <w:rPr>
                <w:snapToGrid/>
                <w:color w:val="000000"/>
                <w:kern w:val="0"/>
                <w:szCs w:val="22"/>
              </w:rPr>
              <w:t>Concordia, KS</w:t>
            </w:r>
          </w:p>
        </w:tc>
        <w:tc>
          <w:tcPr>
            <w:tcW w:w="326" w:type="dxa"/>
            <w:tcBorders>
              <w:top w:val="nil"/>
              <w:left w:val="nil"/>
              <w:bottom w:val="single" w:sz="4" w:space="0" w:color="auto"/>
              <w:right w:val="single" w:sz="4" w:space="0" w:color="auto"/>
            </w:tcBorders>
            <w:shd w:val="clear" w:color="auto" w:fill="auto"/>
            <w:noWrap/>
            <w:vAlign w:val="bottom"/>
            <w:hideMark/>
          </w:tcPr>
          <w:p w14:paraId="04170D0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35C774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D57AFB0"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44DA7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1480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PEA369</w:t>
            </w:r>
          </w:p>
        </w:tc>
        <w:tc>
          <w:tcPr>
            <w:tcW w:w="3220" w:type="dxa"/>
            <w:tcBorders>
              <w:top w:val="nil"/>
              <w:left w:val="nil"/>
              <w:bottom w:val="single" w:sz="4" w:space="0" w:color="auto"/>
              <w:right w:val="nil"/>
            </w:tcBorders>
            <w:shd w:val="clear" w:color="auto" w:fill="auto"/>
            <w:noWrap/>
            <w:vAlign w:val="bottom"/>
            <w:hideMark/>
          </w:tcPr>
          <w:p w14:paraId="209999DC" w14:textId="77777777" w:rsidR="00A41A74" w:rsidRPr="00325607" w:rsidRDefault="00A41A74" w:rsidP="00325607">
            <w:pPr>
              <w:widowControl/>
              <w:rPr>
                <w:snapToGrid/>
                <w:color w:val="000000"/>
                <w:kern w:val="0"/>
                <w:szCs w:val="22"/>
              </w:rPr>
            </w:pPr>
            <w:r w:rsidRPr="00325607">
              <w:rPr>
                <w:snapToGrid/>
                <w:color w:val="000000"/>
                <w:kern w:val="0"/>
                <w:szCs w:val="22"/>
              </w:rPr>
              <w:t>Red Oak, IA</w:t>
            </w:r>
          </w:p>
        </w:tc>
        <w:tc>
          <w:tcPr>
            <w:tcW w:w="326" w:type="dxa"/>
            <w:tcBorders>
              <w:top w:val="nil"/>
              <w:left w:val="nil"/>
              <w:bottom w:val="single" w:sz="4" w:space="0" w:color="auto"/>
              <w:right w:val="single" w:sz="4" w:space="0" w:color="auto"/>
            </w:tcBorders>
            <w:shd w:val="clear" w:color="auto" w:fill="auto"/>
            <w:noWrap/>
            <w:vAlign w:val="bottom"/>
            <w:hideMark/>
          </w:tcPr>
          <w:p w14:paraId="3FB0500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9FC1FB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0858DE1D"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ABE45D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231C01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PEA370</w:t>
            </w:r>
          </w:p>
        </w:tc>
        <w:tc>
          <w:tcPr>
            <w:tcW w:w="3220" w:type="dxa"/>
            <w:tcBorders>
              <w:top w:val="nil"/>
              <w:left w:val="nil"/>
              <w:bottom w:val="single" w:sz="4" w:space="0" w:color="auto"/>
              <w:right w:val="nil"/>
            </w:tcBorders>
            <w:shd w:val="clear" w:color="auto" w:fill="auto"/>
            <w:noWrap/>
            <w:vAlign w:val="bottom"/>
            <w:hideMark/>
          </w:tcPr>
          <w:p w14:paraId="09A31AE2" w14:textId="77777777" w:rsidR="00A41A74" w:rsidRPr="00325607" w:rsidRDefault="00A41A74" w:rsidP="00325607">
            <w:pPr>
              <w:widowControl/>
              <w:rPr>
                <w:snapToGrid/>
                <w:color w:val="000000"/>
                <w:kern w:val="0"/>
                <w:szCs w:val="22"/>
              </w:rPr>
            </w:pPr>
            <w:r w:rsidRPr="00325607">
              <w:rPr>
                <w:snapToGrid/>
                <w:color w:val="000000"/>
                <w:kern w:val="0"/>
                <w:szCs w:val="22"/>
              </w:rPr>
              <w:t>Washington, IA</w:t>
            </w:r>
          </w:p>
        </w:tc>
        <w:tc>
          <w:tcPr>
            <w:tcW w:w="326" w:type="dxa"/>
            <w:tcBorders>
              <w:top w:val="nil"/>
              <w:left w:val="nil"/>
              <w:bottom w:val="single" w:sz="4" w:space="0" w:color="auto"/>
              <w:right w:val="single" w:sz="4" w:space="0" w:color="auto"/>
            </w:tcBorders>
            <w:shd w:val="clear" w:color="auto" w:fill="auto"/>
            <w:noWrap/>
            <w:vAlign w:val="bottom"/>
            <w:hideMark/>
          </w:tcPr>
          <w:p w14:paraId="514B127D"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8111CB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5386F051"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65E21A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08A30F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PEA371</w:t>
            </w:r>
          </w:p>
        </w:tc>
        <w:tc>
          <w:tcPr>
            <w:tcW w:w="3220" w:type="dxa"/>
            <w:tcBorders>
              <w:top w:val="nil"/>
              <w:left w:val="nil"/>
              <w:bottom w:val="single" w:sz="4" w:space="0" w:color="auto"/>
              <w:right w:val="nil"/>
            </w:tcBorders>
            <w:shd w:val="clear" w:color="auto" w:fill="auto"/>
            <w:noWrap/>
            <w:vAlign w:val="bottom"/>
            <w:hideMark/>
          </w:tcPr>
          <w:p w14:paraId="0084F78E" w14:textId="77777777" w:rsidR="00A41A74" w:rsidRPr="00325607" w:rsidRDefault="00A41A74" w:rsidP="00325607">
            <w:pPr>
              <w:widowControl/>
              <w:rPr>
                <w:snapToGrid/>
                <w:color w:val="000000"/>
                <w:kern w:val="0"/>
                <w:szCs w:val="22"/>
              </w:rPr>
            </w:pPr>
            <w:r w:rsidRPr="00325607">
              <w:rPr>
                <w:snapToGrid/>
                <w:color w:val="000000"/>
                <w:kern w:val="0"/>
                <w:szCs w:val="22"/>
              </w:rPr>
              <w:t>Wytheville, VA</w:t>
            </w:r>
          </w:p>
        </w:tc>
        <w:tc>
          <w:tcPr>
            <w:tcW w:w="326" w:type="dxa"/>
            <w:tcBorders>
              <w:top w:val="nil"/>
              <w:left w:val="nil"/>
              <w:bottom w:val="single" w:sz="4" w:space="0" w:color="auto"/>
              <w:right w:val="single" w:sz="4" w:space="0" w:color="auto"/>
            </w:tcBorders>
            <w:shd w:val="clear" w:color="auto" w:fill="auto"/>
            <w:noWrap/>
            <w:vAlign w:val="bottom"/>
            <w:hideMark/>
          </w:tcPr>
          <w:p w14:paraId="0819C04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EF143E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68C69C11"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4FF154C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43EBA1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PEA372</w:t>
            </w:r>
          </w:p>
        </w:tc>
        <w:tc>
          <w:tcPr>
            <w:tcW w:w="3220" w:type="dxa"/>
            <w:tcBorders>
              <w:top w:val="nil"/>
              <w:left w:val="nil"/>
              <w:bottom w:val="single" w:sz="4" w:space="0" w:color="auto"/>
              <w:right w:val="nil"/>
            </w:tcBorders>
            <w:shd w:val="clear" w:color="auto" w:fill="auto"/>
            <w:noWrap/>
            <w:vAlign w:val="bottom"/>
            <w:hideMark/>
          </w:tcPr>
          <w:p w14:paraId="75761929" w14:textId="77777777" w:rsidR="00A41A74" w:rsidRPr="00325607" w:rsidRDefault="00A41A74" w:rsidP="00325607">
            <w:pPr>
              <w:widowControl/>
              <w:rPr>
                <w:snapToGrid/>
                <w:color w:val="000000"/>
                <w:kern w:val="0"/>
                <w:szCs w:val="22"/>
              </w:rPr>
            </w:pPr>
            <w:r w:rsidRPr="00325607">
              <w:rPr>
                <w:snapToGrid/>
                <w:color w:val="000000"/>
                <w:kern w:val="0"/>
                <w:szCs w:val="22"/>
              </w:rPr>
              <w:t>Colby, KS</w:t>
            </w:r>
          </w:p>
        </w:tc>
        <w:tc>
          <w:tcPr>
            <w:tcW w:w="326" w:type="dxa"/>
            <w:tcBorders>
              <w:top w:val="nil"/>
              <w:left w:val="nil"/>
              <w:bottom w:val="single" w:sz="4" w:space="0" w:color="auto"/>
              <w:right w:val="single" w:sz="4" w:space="0" w:color="auto"/>
            </w:tcBorders>
            <w:shd w:val="clear" w:color="auto" w:fill="auto"/>
            <w:noWrap/>
            <w:vAlign w:val="bottom"/>
            <w:hideMark/>
          </w:tcPr>
          <w:p w14:paraId="4EB0300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830742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55E5120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618C4CB"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60D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PEA373</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1843EC0F" w14:textId="77777777" w:rsidR="00A41A74" w:rsidRPr="00325607" w:rsidRDefault="00A41A74" w:rsidP="00325607">
            <w:pPr>
              <w:widowControl/>
              <w:rPr>
                <w:snapToGrid/>
                <w:color w:val="000000"/>
                <w:kern w:val="0"/>
                <w:szCs w:val="22"/>
              </w:rPr>
            </w:pPr>
            <w:r w:rsidRPr="00325607">
              <w:rPr>
                <w:snapToGrid/>
                <w:color w:val="000000"/>
                <w:kern w:val="0"/>
                <w:szCs w:val="22"/>
              </w:rPr>
              <w:t>Walla Walla, WA</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00C3B2FA" w14:textId="77777777" w:rsidR="00A41A74" w:rsidRPr="00325607" w:rsidRDefault="00A41A74" w:rsidP="00A41A74">
            <w:pPr>
              <w:widowControl/>
              <w:jc w:val="center"/>
              <w:rPr>
                <w:snapToGrid/>
                <w:color w:val="000000"/>
                <w:kern w:val="0"/>
                <w:szCs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C4C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B340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51B5FFF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F4273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PEA374</w:t>
            </w:r>
          </w:p>
        </w:tc>
        <w:tc>
          <w:tcPr>
            <w:tcW w:w="3220" w:type="dxa"/>
            <w:tcBorders>
              <w:top w:val="nil"/>
              <w:left w:val="nil"/>
              <w:bottom w:val="single" w:sz="4" w:space="0" w:color="auto"/>
              <w:right w:val="nil"/>
            </w:tcBorders>
            <w:shd w:val="clear" w:color="auto" w:fill="auto"/>
            <w:noWrap/>
            <w:vAlign w:val="bottom"/>
            <w:hideMark/>
          </w:tcPr>
          <w:p w14:paraId="63452C6A" w14:textId="77777777" w:rsidR="00A41A74" w:rsidRPr="00325607" w:rsidRDefault="00A41A74" w:rsidP="00325607">
            <w:pPr>
              <w:widowControl/>
              <w:rPr>
                <w:snapToGrid/>
                <w:color w:val="000000"/>
                <w:kern w:val="0"/>
                <w:szCs w:val="22"/>
              </w:rPr>
            </w:pPr>
            <w:r w:rsidRPr="00325607">
              <w:rPr>
                <w:snapToGrid/>
                <w:color w:val="000000"/>
                <w:kern w:val="0"/>
                <w:szCs w:val="22"/>
              </w:rPr>
              <w:t>North Platte, NE</w:t>
            </w:r>
          </w:p>
        </w:tc>
        <w:tc>
          <w:tcPr>
            <w:tcW w:w="326" w:type="dxa"/>
            <w:tcBorders>
              <w:top w:val="nil"/>
              <w:left w:val="nil"/>
              <w:bottom w:val="single" w:sz="4" w:space="0" w:color="auto"/>
              <w:right w:val="single" w:sz="4" w:space="0" w:color="auto"/>
            </w:tcBorders>
            <w:shd w:val="clear" w:color="auto" w:fill="auto"/>
            <w:noWrap/>
            <w:vAlign w:val="bottom"/>
            <w:hideMark/>
          </w:tcPr>
          <w:p w14:paraId="6FC5C53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12C69C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FE22518"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54A71A3"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E2925C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PEA375</w:t>
            </w:r>
          </w:p>
        </w:tc>
        <w:tc>
          <w:tcPr>
            <w:tcW w:w="3220" w:type="dxa"/>
            <w:tcBorders>
              <w:top w:val="nil"/>
              <w:left w:val="nil"/>
              <w:bottom w:val="single" w:sz="4" w:space="0" w:color="auto"/>
              <w:right w:val="nil"/>
            </w:tcBorders>
            <w:shd w:val="clear" w:color="auto" w:fill="auto"/>
            <w:noWrap/>
            <w:vAlign w:val="bottom"/>
            <w:hideMark/>
          </w:tcPr>
          <w:p w14:paraId="1B9A4F75" w14:textId="77777777" w:rsidR="00A41A74" w:rsidRPr="00325607" w:rsidRDefault="00A41A74" w:rsidP="00325607">
            <w:pPr>
              <w:widowControl/>
              <w:rPr>
                <w:snapToGrid/>
                <w:color w:val="000000"/>
                <w:kern w:val="0"/>
                <w:szCs w:val="22"/>
              </w:rPr>
            </w:pPr>
            <w:r w:rsidRPr="00325607">
              <w:rPr>
                <w:snapToGrid/>
                <w:color w:val="000000"/>
                <w:kern w:val="0"/>
                <w:szCs w:val="22"/>
              </w:rPr>
              <w:t>Deming, NM</w:t>
            </w:r>
          </w:p>
        </w:tc>
        <w:tc>
          <w:tcPr>
            <w:tcW w:w="326" w:type="dxa"/>
            <w:tcBorders>
              <w:top w:val="nil"/>
              <w:left w:val="nil"/>
              <w:bottom w:val="single" w:sz="4" w:space="0" w:color="auto"/>
              <w:right w:val="single" w:sz="4" w:space="0" w:color="auto"/>
            </w:tcBorders>
            <w:shd w:val="clear" w:color="auto" w:fill="auto"/>
            <w:noWrap/>
            <w:vAlign w:val="bottom"/>
            <w:hideMark/>
          </w:tcPr>
          <w:p w14:paraId="09E6F60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C7918B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CB560A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EE5324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F65B2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PEA376</w:t>
            </w:r>
          </w:p>
        </w:tc>
        <w:tc>
          <w:tcPr>
            <w:tcW w:w="3220" w:type="dxa"/>
            <w:tcBorders>
              <w:top w:val="nil"/>
              <w:left w:val="nil"/>
              <w:bottom w:val="single" w:sz="4" w:space="0" w:color="auto"/>
              <w:right w:val="nil"/>
            </w:tcBorders>
            <w:shd w:val="clear" w:color="auto" w:fill="auto"/>
            <w:noWrap/>
            <w:vAlign w:val="bottom"/>
            <w:hideMark/>
          </w:tcPr>
          <w:p w14:paraId="4D148279" w14:textId="77777777" w:rsidR="00A41A74" w:rsidRPr="00325607" w:rsidRDefault="00A41A74" w:rsidP="00325607">
            <w:pPr>
              <w:widowControl/>
              <w:rPr>
                <w:snapToGrid/>
                <w:color w:val="000000"/>
                <w:kern w:val="0"/>
                <w:szCs w:val="22"/>
              </w:rPr>
            </w:pPr>
            <w:r w:rsidRPr="00325607">
              <w:rPr>
                <w:snapToGrid/>
                <w:color w:val="000000"/>
                <w:kern w:val="0"/>
                <w:szCs w:val="22"/>
              </w:rPr>
              <w:t>Hereford, TX</w:t>
            </w:r>
          </w:p>
        </w:tc>
        <w:tc>
          <w:tcPr>
            <w:tcW w:w="326" w:type="dxa"/>
            <w:tcBorders>
              <w:top w:val="nil"/>
              <w:left w:val="nil"/>
              <w:bottom w:val="single" w:sz="4" w:space="0" w:color="auto"/>
              <w:right w:val="single" w:sz="4" w:space="0" w:color="auto"/>
            </w:tcBorders>
            <w:shd w:val="clear" w:color="auto" w:fill="auto"/>
            <w:noWrap/>
            <w:vAlign w:val="bottom"/>
            <w:hideMark/>
          </w:tcPr>
          <w:p w14:paraId="26DE2D8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486730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4F6E613"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44E1DD1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9C6C3A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PEA377</w:t>
            </w:r>
          </w:p>
        </w:tc>
        <w:tc>
          <w:tcPr>
            <w:tcW w:w="3220" w:type="dxa"/>
            <w:tcBorders>
              <w:top w:val="nil"/>
              <w:left w:val="nil"/>
              <w:bottom w:val="single" w:sz="4" w:space="0" w:color="auto"/>
              <w:right w:val="nil"/>
            </w:tcBorders>
            <w:shd w:val="clear" w:color="auto" w:fill="auto"/>
            <w:noWrap/>
            <w:vAlign w:val="bottom"/>
            <w:hideMark/>
          </w:tcPr>
          <w:p w14:paraId="494CD328" w14:textId="77777777" w:rsidR="00A41A74" w:rsidRPr="00325607" w:rsidRDefault="00A41A74" w:rsidP="00325607">
            <w:pPr>
              <w:widowControl/>
              <w:rPr>
                <w:snapToGrid/>
                <w:color w:val="000000"/>
                <w:kern w:val="0"/>
                <w:szCs w:val="22"/>
              </w:rPr>
            </w:pPr>
            <w:r w:rsidRPr="00325607">
              <w:rPr>
                <w:snapToGrid/>
                <w:color w:val="000000"/>
                <w:kern w:val="0"/>
                <w:szCs w:val="22"/>
              </w:rPr>
              <w:t>Demopolis, AL</w:t>
            </w:r>
          </w:p>
        </w:tc>
        <w:tc>
          <w:tcPr>
            <w:tcW w:w="326" w:type="dxa"/>
            <w:tcBorders>
              <w:top w:val="nil"/>
              <w:left w:val="nil"/>
              <w:bottom w:val="single" w:sz="4" w:space="0" w:color="auto"/>
              <w:right w:val="single" w:sz="4" w:space="0" w:color="auto"/>
            </w:tcBorders>
            <w:shd w:val="clear" w:color="auto" w:fill="auto"/>
            <w:noWrap/>
            <w:vAlign w:val="bottom"/>
            <w:hideMark/>
          </w:tcPr>
          <w:p w14:paraId="234D782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E083D9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4D2FFBF6"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7B1FD48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EAA0B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PEA378</w:t>
            </w:r>
          </w:p>
        </w:tc>
        <w:tc>
          <w:tcPr>
            <w:tcW w:w="3220" w:type="dxa"/>
            <w:tcBorders>
              <w:top w:val="nil"/>
              <w:left w:val="nil"/>
              <w:bottom w:val="single" w:sz="4" w:space="0" w:color="auto"/>
              <w:right w:val="nil"/>
            </w:tcBorders>
            <w:shd w:val="clear" w:color="auto" w:fill="auto"/>
            <w:noWrap/>
            <w:vAlign w:val="bottom"/>
            <w:hideMark/>
          </w:tcPr>
          <w:p w14:paraId="6F23F6D3" w14:textId="77777777" w:rsidR="00A41A74" w:rsidRPr="00325607" w:rsidRDefault="00A41A74" w:rsidP="00325607">
            <w:pPr>
              <w:widowControl/>
              <w:rPr>
                <w:snapToGrid/>
                <w:color w:val="000000"/>
                <w:kern w:val="0"/>
                <w:szCs w:val="22"/>
              </w:rPr>
            </w:pPr>
            <w:r w:rsidRPr="00325607">
              <w:rPr>
                <w:snapToGrid/>
                <w:color w:val="000000"/>
                <w:kern w:val="0"/>
                <w:szCs w:val="22"/>
              </w:rPr>
              <w:t>Waynesboro, GA</w:t>
            </w:r>
          </w:p>
        </w:tc>
        <w:tc>
          <w:tcPr>
            <w:tcW w:w="326" w:type="dxa"/>
            <w:tcBorders>
              <w:top w:val="nil"/>
              <w:left w:val="nil"/>
              <w:bottom w:val="single" w:sz="4" w:space="0" w:color="auto"/>
              <w:right w:val="single" w:sz="4" w:space="0" w:color="auto"/>
            </w:tcBorders>
            <w:shd w:val="clear" w:color="auto" w:fill="auto"/>
            <w:noWrap/>
            <w:vAlign w:val="bottom"/>
            <w:hideMark/>
          </w:tcPr>
          <w:p w14:paraId="51C0E9E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D9F0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73DCDD39"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79D6258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F28625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PEA379</w:t>
            </w:r>
          </w:p>
        </w:tc>
        <w:tc>
          <w:tcPr>
            <w:tcW w:w="3220" w:type="dxa"/>
            <w:tcBorders>
              <w:top w:val="nil"/>
              <w:left w:val="nil"/>
              <w:bottom w:val="single" w:sz="4" w:space="0" w:color="auto"/>
              <w:right w:val="nil"/>
            </w:tcBorders>
            <w:shd w:val="clear" w:color="auto" w:fill="auto"/>
            <w:noWrap/>
            <w:vAlign w:val="bottom"/>
            <w:hideMark/>
          </w:tcPr>
          <w:p w14:paraId="1B5222E4" w14:textId="77777777" w:rsidR="00A41A74" w:rsidRPr="00325607" w:rsidRDefault="00A41A74" w:rsidP="00325607">
            <w:pPr>
              <w:widowControl/>
              <w:rPr>
                <w:snapToGrid/>
                <w:color w:val="000000"/>
                <w:kern w:val="0"/>
                <w:szCs w:val="22"/>
              </w:rPr>
            </w:pPr>
            <w:r w:rsidRPr="00325607">
              <w:rPr>
                <w:snapToGrid/>
                <w:color w:val="000000"/>
                <w:kern w:val="0"/>
                <w:szCs w:val="22"/>
              </w:rPr>
              <w:t>Sault Ste. Marie, MI</w:t>
            </w:r>
          </w:p>
        </w:tc>
        <w:tc>
          <w:tcPr>
            <w:tcW w:w="326" w:type="dxa"/>
            <w:tcBorders>
              <w:top w:val="nil"/>
              <w:left w:val="nil"/>
              <w:bottom w:val="single" w:sz="4" w:space="0" w:color="auto"/>
              <w:right w:val="single" w:sz="4" w:space="0" w:color="auto"/>
            </w:tcBorders>
            <w:shd w:val="clear" w:color="auto" w:fill="auto"/>
            <w:noWrap/>
            <w:vAlign w:val="bottom"/>
            <w:hideMark/>
          </w:tcPr>
          <w:p w14:paraId="3911328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3CC83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7EF7E89"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CF450E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69E0F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PEA380</w:t>
            </w:r>
          </w:p>
        </w:tc>
        <w:tc>
          <w:tcPr>
            <w:tcW w:w="3220" w:type="dxa"/>
            <w:tcBorders>
              <w:top w:val="nil"/>
              <w:left w:val="nil"/>
              <w:bottom w:val="single" w:sz="4" w:space="0" w:color="auto"/>
              <w:right w:val="nil"/>
            </w:tcBorders>
            <w:shd w:val="clear" w:color="auto" w:fill="auto"/>
            <w:noWrap/>
            <w:vAlign w:val="bottom"/>
            <w:hideMark/>
          </w:tcPr>
          <w:p w14:paraId="23E83D92" w14:textId="77777777" w:rsidR="00A41A74" w:rsidRPr="00325607" w:rsidRDefault="00A41A74" w:rsidP="00325607">
            <w:pPr>
              <w:widowControl/>
              <w:rPr>
                <w:snapToGrid/>
                <w:color w:val="000000"/>
                <w:kern w:val="0"/>
                <w:szCs w:val="22"/>
              </w:rPr>
            </w:pPr>
            <w:r w:rsidRPr="00325607">
              <w:rPr>
                <w:snapToGrid/>
                <w:color w:val="000000"/>
                <w:kern w:val="0"/>
                <w:szCs w:val="22"/>
              </w:rPr>
              <w:t>Escanaba, MI</w:t>
            </w:r>
          </w:p>
        </w:tc>
        <w:tc>
          <w:tcPr>
            <w:tcW w:w="326" w:type="dxa"/>
            <w:tcBorders>
              <w:top w:val="nil"/>
              <w:left w:val="nil"/>
              <w:bottom w:val="single" w:sz="4" w:space="0" w:color="auto"/>
              <w:right w:val="single" w:sz="4" w:space="0" w:color="auto"/>
            </w:tcBorders>
            <w:shd w:val="clear" w:color="auto" w:fill="auto"/>
            <w:noWrap/>
            <w:vAlign w:val="bottom"/>
            <w:hideMark/>
          </w:tcPr>
          <w:p w14:paraId="1F8EDBB7"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8FAE8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1267F74"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60621B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3D02D2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PEA381</w:t>
            </w:r>
          </w:p>
        </w:tc>
        <w:tc>
          <w:tcPr>
            <w:tcW w:w="3220" w:type="dxa"/>
            <w:tcBorders>
              <w:top w:val="nil"/>
              <w:left w:val="nil"/>
              <w:bottom w:val="single" w:sz="4" w:space="0" w:color="auto"/>
              <w:right w:val="nil"/>
            </w:tcBorders>
            <w:shd w:val="clear" w:color="auto" w:fill="auto"/>
            <w:noWrap/>
            <w:vAlign w:val="bottom"/>
            <w:hideMark/>
          </w:tcPr>
          <w:p w14:paraId="3461AB81" w14:textId="77777777" w:rsidR="00A41A74" w:rsidRPr="00325607" w:rsidRDefault="00A41A74" w:rsidP="00325607">
            <w:pPr>
              <w:widowControl/>
              <w:rPr>
                <w:snapToGrid/>
                <w:color w:val="000000"/>
                <w:kern w:val="0"/>
                <w:szCs w:val="22"/>
              </w:rPr>
            </w:pPr>
            <w:r w:rsidRPr="00325607">
              <w:rPr>
                <w:snapToGrid/>
                <w:color w:val="000000"/>
                <w:kern w:val="0"/>
                <w:szCs w:val="22"/>
              </w:rPr>
              <w:t>Del Rio, TX</w:t>
            </w:r>
          </w:p>
        </w:tc>
        <w:tc>
          <w:tcPr>
            <w:tcW w:w="326" w:type="dxa"/>
            <w:tcBorders>
              <w:top w:val="nil"/>
              <w:left w:val="nil"/>
              <w:bottom w:val="single" w:sz="4" w:space="0" w:color="auto"/>
              <w:right w:val="single" w:sz="4" w:space="0" w:color="auto"/>
            </w:tcBorders>
            <w:shd w:val="clear" w:color="auto" w:fill="auto"/>
            <w:noWrap/>
            <w:vAlign w:val="bottom"/>
            <w:hideMark/>
          </w:tcPr>
          <w:p w14:paraId="21FD486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CCEAD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FD914F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BBD8A1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486F8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PEA382</w:t>
            </w:r>
          </w:p>
        </w:tc>
        <w:tc>
          <w:tcPr>
            <w:tcW w:w="3220" w:type="dxa"/>
            <w:tcBorders>
              <w:top w:val="nil"/>
              <w:left w:val="nil"/>
              <w:bottom w:val="single" w:sz="4" w:space="0" w:color="auto"/>
              <w:right w:val="nil"/>
            </w:tcBorders>
            <w:shd w:val="clear" w:color="auto" w:fill="auto"/>
            <w:noWrap/>
            <w:vAlign w:val="bottom"/>
            <w:hideMark/>
          </w:tcPr>
          <w:p w14:paraId="49EB663C" w14:textId="77777777" w:rsidR="00A41A74" w:rsidRPr="00325607" w:rsidRDefault="00A41A74" w:rsidP="00325607">
            <w:pPr>
              <w:widowControl/>
              <w:rPr>
                <w:snapToGrid/>
                <w:color w:val="000000"/>
                <w:kern w:val="0"/>
                <w:szCs w:val="22"/>
              </w:rPr>
            </w:pPr>
            <w:r w:rsidRPr="00325607">
              <w:rPr>
                <w:snapToGrid/>
                <w:color w:val="000000"/>
                <w:kern w:val="0"/>
                <w:szCs w:val="22"/>
              </w:rPr>
              <w:t>Riverton, WY</w:t>
            </w:r>
          </w:p>
        </w:tc>
        <w:tc>
          <w:tcPr>
            <w:tcW w:w="326" w:type="dxa"/>
            <w:tcBorders>
              <w:top w:val="nil"/>
              <w:left w:val="nil"/>
              <w:bottom w:val="single" w:sz="4" w:space="0" w:color="auto"/>
              <w:right w:val="single" w:sz="4" w:space="0" w:color="auto"/>
            </w:tcBorders>
            <w:shd w:val="clear" w:color="auto" w:fill="auto"/>
            <w:noWrap/>
            <w:vAlign w:val="bottom"/>
            <w:hideMark/>
          </w:tcPr>
          <w:p w14:paraId="66BDDD9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CEBDDB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FA5EE8E"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02DF16A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167594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PEA383</w:t>
            </w:r>
          </w:p>
        </w:tc>
        <w:tc>
          <w:tcPr>
            <w:tcW w:w="3220" w:type="dxa"/>
            <w:tcBorders>
              <w:top w:val="nil"/>
              <w:left w:val="nil"/>
              <w:bottom w:val="single" w:sz="4" w:space="0" w:color="auto"/>
              <w:right w:val="nil"/>
            </w:tcBorders>
            <w:shd w:val="clear" w:color="auto" w:fill="auto"/>
            <w:noWrap/>
            <w:vAlign w:val="bottom"/>
            <w:hideMark/>
          </w:tcPr>
          <w:p w14:paraId="24D949EB" w14:textId="77777777" w:rsidR="00A41A74" w:rsidRPr="00325607" w:rsidRDefault="00A41A74" w:rsidP="00325607">
            <w:pPr>
              <w:widowControl/>
              <w:rPr>
                <w:snapToGrid/>
                <w:color w:val="000000"/>
                <w:kern w:val="0"/>
                <w:szCs w:val="22"/>
              </w:rPr>
            </w:pPr>
            <w:r w:rsidRPr="00325607">
              <w:rPr>
                <w:snapToGrid/>
                <w:color w:val="000000"/>
                <w:kern w:val="0"/>
                <w:szCs w:val="22"/>
              </w:rPr>
              <w:t>Creston, IA</w:t>
            </w:r>
          </w:p>
        </w:tc>
        <w:tc>
          <w:tcPr>
            <w:tcW w:w="326" w:type="dxa"/>
            <w:tcBorders>
              <w:top w:val="nil"/>
              <w:left w:val="nil"/>
              <w:bottom w:val="single" w:sz="4" w:space="0" w:color="auto"/>
              <w:right w:val="single" w:sz="4" w:space="0" w:color="auto"/>
            </w:tcBorders>
            <w:shd w:val="clear" w:color="auto" w:fill="auto"/>
            <w:noWrap/>
            <w:vAlign w:val="bottom"/>
            <w:hideMark/>
          </w:tcPr>
          <w:p w14:paraId="3EF594B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E56E9D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7571576"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277B1F1"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375B74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PEA384</w:t>
            </w:r>
          </w:p>
        </w:tc>
        <w:tc>
          <w:tcPr>
            <w:tcW w:w="3220" w:type="dxa"/>
            <w:tcBorders>
              <w:top w:val="nil"/>
              <w:left w:val="nil"/>
              <w:bottom w:val="single" w:sz="4" w:space="0" w:color="auto"/>
              <w:right w:val="nil"/>
            </w:tcBorders>
            <w:shd w:val="clear" w:color="auto" w:fill="auto"/>
            <w:noWrap/>
            <w:vAlign w:val="bottom"/>
            <w:hideMark/>
          </w:tcPr>
          <w:p w14:paraId="1604DCC4" w14:textId="77777777" w:rsidR="00A41A74" w:rsidRPr="00325607" w:rsidRDefault="00A41A74" w:rsidP="00325607">
            <w:pPr>
              <w:widowControl/>
              <w:rPr>
                <w:snapToGrid/>
                <w:color w:val="000000"/>
                <w:kern w:val="0"/>
                <w:szCs w:val="22"/>
              </w:rPr>
            </w:pPr>
            <w:r w:rsidRPr="00325607">
              <w:rPr>
                <w:snapToGrid/>
                <w:color w:val="000000"/>
                <w:kern w:val="0"/>
                <w:szCs w:val="22"/>
              </w:rPr>
              <w:t>Manchester, IA</w:t>
            </w:r>
          </w:p>
        </w:tc>
        <w:tc>
          <w:tcPr>
            <w:tcW w:w="326" w:type="dxa"/>
            <w:tcBorders>
              <w:top w:val="nil"/>
              <w:left w:val="nil"/>
              <w:bottom w:val="single" w:sz="4" w:space="0" w:color="auto"/>
              <w:right w:val="single" w:sz="4" w:space="0" w:color="auto"/>
            </w:tcBorders>
            <w:shd w:val="clear" w:color="auto" w:fill="auto"/>
            <w:noWrap/>
            <w:vAlign w:val="bottom"/>
            <w:hideMark/>
          </w:tcPr>
          <w:p w14:paraId="5395F7A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3B49F70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1F9717C5"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95EF91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F2281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PEA385</w:t>
            </w:r>
          </w:p>
        </w:tc>
        <w:tc>
          <w:tcPr>
            <w:tcW w:w="3220" w:type="dxa"/>
            <w:tcBorders>
              <w:top w:val="nil"/>
              <w:left w:val="nil"/>
              <w:bottom w:val="single" w:sz="4" w:space="0" w:color="auto"/>
              <w:right w:val="nil"/>
            </w:tcBorders>
            <w:shd w:val="clear" w:color="auto" w:fill="auto"/>
            <w:noWrap/>
            <w:vAlign w:val="bottom"/>
            <w:hideMark/>
          </w:tcPr>
          <w:p w14:paraId="18F7F2E4" w14:textId="77777777" w:rsidR="00A41A74" w:rsidRPr="00325607" w:rsidRDefault="00A41A74" w:rsidP="00325607">
            <w:pPr>
              <w:widowControl/>
              <w:rPr>
                <w:snapToGrid/>
                <w:color w:val="000000"/>
                <w:kern w:val="0"/>
                <w:szCs w:val="22"/>
              </w:rPr>
            </w:pPr>
            <w:r w:rsidRPr="00325607">
              <w:rPr>
                <w:snapToGrid/>
                <w:color w:val="000000"/>
                <w:kern w:val="0"/>
                <w:szCs w:val="22"/>
              </w:rPr>
              <w:t>Hannibal, MO</w:t>
            </w:r>
          </w:p>
        </w:tc>
        <w:tc>
          <w:tcPr>
            <w:tcW w:w="326" w:type="dxa"/>
            <w:tcBorders>
              <w:top w:val="nil"/>
              <w:left w:val="nil"/>
              <w:bottom w:val="single" w:sz="4" w:space="0" w:color="auto"/>
              <w:right w:val="single" w:sz="4" w:space="0" w:color="auto"/>
            </w:tcBorders>
            <w:shd w:val="clear" w:color="auto" w:fill="auto"/>
            <w:noWrap/>
            <w:vAlign w:val="bottom"/>
            <w:hideMark/>
          </w:tcPr>
          <w:p w14:paraId="7B2DCFB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786BD3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77155B5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D979CA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85EBC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PEA386</w:t>
            </w:r>
          </w:p>
        </w:tc>
        <w:tc>
          <w:tcPr>
            <w:tcW w:w="3220" w:type="dxa"/>
            <w:tcBorders>
              <w:top w:val="nil"/>
              <w:left w:val="nil"/>
              <w:bottom w:val="single" w:sz="4" w:space="0" w:color="auto"/>
              <w:right w:val="nil"/>
            </w:tcBorders>
            <w:shd w:val="clear" w:color="auto" w:fill="auto"/>
            <w:noWrap/>
            <w:vAlign w:val="bottom"/>
            <w:hideMark/>
          </w:tcPr>
          <w:p w14:paraId="7BB3DD27" w14:textId="77777777" w:rsidR="00A41A74" w:rsidRPr="00325607" w:rsidRDefault="00A41A74" w:rsidP="00325607">
            <w:pPr>
              <w:widowControl/>
              <w:rPr>
                <w:snapToGrid/>
                <w:color w:val="000000"/>
                <w:kern w:val="0"/>
                <w:szCs w:val="22"/>
              </w:rPr>
            </w:pPr>
            <w:r w:rsidRPr="00325607">
              <w:rPr>
                <w:snapToGrid/>
                <w:color w:val="000000"/>
                <w:kern w:val="0"/>
                <w:szCs w:val="22"/>
              </w:rPr>
              <w:t>Barnwell, SC</w:t>
            </w:r>
          </w:p>
        </w:tc>
        <w:tc>
          <w:tcPr>
            <w:tcW w:w="326" w:type="dxa"/>
            <w:tcBorders>
              <w:top w:val="nil"/>
              <w:left w:val="nil"/>
              <w:bottom w:val="single" w:sz="4" w:space="0" w:color="auto"/>
              <w:right w:val="single" w:sz="4" w:space="0" w:color="auto"/>
            </w:tcBorders>
            <w:shd w:val="clear" w:color="auto" w:fill="auto"/>
            <w:noWrap/>
            <w:vAlign w:val="bottom"/>
            <w:hideMark/>
          </w:tcPr>
          <w:p w14:paraId="3E381E8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9F7D02D"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02FA0B7E"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395099D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611E7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PEA387</w:t>
            </w:r>
          </w:p>
        </w:tc>
        <w:tc>
          <w:tcPr>
            <w:tcW w:w="3220" w:type="dxa"/>
            <w:tcBorders>
              <w:top w:val="nil"/>
              <w:left w:val="nil"/>
              <w:bottom w:val="single" w:sz="4" w:space="0" w:color="auto"/>
              <w:right w:val="nil"/>
            </w:tcBorders>
            <w:shd w:val="clear" w:color="auto" w:fill="auto"/>
            <w:noWrap/>
            <w:vAlign w:val="bottom"/>
            <w:hideMark/>
          </w:tcPr>
          <w:p w14:paraId="44D99DE2" w14:textId="77777777" w:rsidR="00A41A74" w:rsidRPr="00325607" w:rsidRDefault="00A41A74" w:rsidP="00325607">
            <w:pPr>
              <w:widowControl/>
              <w:rPr>
                <w:snapToGrid/>
                <w:color w:val="000000"/>
                <w:kern w:val="0"/>
                <w:szCs w:val="22"/>
              </w:rPr>
            </w:pPr>
            <w:r w:rsidRPr="00325607">
              <w:rPr>
                <w:snapToGrid/>
                <w:color w:val="000000"/>
                <w:kern w:val="0"/>
                <w:szCs w:val="22"/>
              </w:rPr>
              <w:t>Wahpeton, ND</w:t>
            </w:r>
          </w:p>
        </w:tc>
        <w:tc>
          <w:tcPr>
            <w:tcW w:w="326" w:type="dxa"/>
            <w:tcBorders>
              <w:top w:val="nil"/>
              <w:left w:val="nil"/>
              <w:bottom w:val="single" w:sz="4" w:space="0" w:color="auto"/>
              <w:right w:val="single" w:sz="4" w:space="0" w:color="auto"/>
            </w:tcBorders>
            <w:shd w:val="clear" w:color="auto" w:fill="auto"/>
            <w:noWrap/>
            <w:vAlign w:val="bottom"/>
            <w:hideMark/>
          </w:tcPr>
          <w:p w14:paraId="6B8AAFD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2894CB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2850A82D"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61E5DFC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29CE1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PEA388</w:t>
            </w:r>
          </w:p>
        </w:tc>
        <w:tc>
          <w:tcPr>
            <w:tcW w:w="3220" w:type="dxa"/>
            <w:tcBorders>
              <w:top w:val="nil"/>
              <w:left w:val="nil"/>
              <w:bottom w:val="single" w:sz="4" w:space="0" w:color="auto"/>
              <w:right w:val="nil"/>
            </w:tcBorders>
            <w:shd w:val="clear" w:color="auto" w:fill="auto"/>
            <w:noWrap/>
            <w:vAlign w:val="bottom"/>
            <w:hideMark/>
          </w:tcPr>
          <w:p w14:paraId="32D499DB" w14:textId="77777777" w:rsidR="00A41A74" w:rsidRPr="00325607" w:rsidRDefault="00A41A74" w:rsidP="00325607">
            <w:pPr>
              <w:widowControl/>
              <w:rPr>
                <w:snapToGrid/>
                <w:color w:val="000000"/>
                <w:kern w:val="0"/>
                <w:szCs w:val="22"/>
              </w:rPr>
            </w:pPr>
            <w:r w:rsidRPr="00325607">
              <w:rPr>
                <w:snapToGrid/>
                <w:color w:val="000000"/>
                <w:kern w:val="0"/>
                <w:szCs w:val="22"/>
              </w:rPr>
              <w:t>Atlantic, IA</w:t>
            </w:r>
          </w:p>
        </w:tc>
        <w:tc>
          <w:tcPr>
            <w:tcW w:w="326" w:type="dxa"/>
            <w:tcBorders>
              <w:top w:val="nil"/>
              <w:left w:val="nil"/>
              <w:bottom w:val="single" w:sz="4" w:space="0" w:color="auto"/>
              <w:right w:val="single" w:sz="4" w:space="0" w:color="auto"/>
            </w:tcBorders>
            <w:shd w:val="clear" w:color="auto" w:fill="auto"/>
            <w:noWrap/>
            <w:vAlign w:val="bottom"/>
            <w:hideMark/>
          </w:tcPr>
          <w:p w14:paraId="211F3B4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32E38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294F4A65"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91D062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AC7B6E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PEA389</w:t>
            </w:r>
          </w:p>
        </w:tc>
        <w:tc>
          <w:tcPr>
            <w:tcW w:w="3220" w:type="dxa"/>
            <w:tcBorders>
              <w:top w:val="nil"/>
              <w:left w:val="nil"/>
              <w:bottom w:val="single" w:sz="4" w:space="0" w:color="auto"/>
              <w:right w:val="nil"/>
            </w:tcBorders>
            <w:shd w:val="clear" w:color="auto" w:fill="auto"/>
            <w:noWrap/>
            <w:vAlign w:val="bottom"/>
            <w:hideMark/>
          </w:tcPr>
          <w:p w14:paraId="6ABFB5CB" w14:textId="77777777" w:rsidR="00A41A74" w:rsidRPr="00325607" w:rsidRDefault="00A41A74" w:rsidP="00325607">
            <w:pPr>
              <w:widowControl/>
              <w:rPr>
                <w:snapToGrid/>
                <w:color w:val="000000"/>
                <w:kern w:val="0"/>
                <w:szCs w:val="22"/>
              </w:rPr>
            </w:pPr>
            <w:r w:rsidRPr="00325607">
              <w:rPr>
                <w:snapToGrid/>
                <w:color w:val="000000"/>
                <w:kern w:val="0"/>
                <w:szCs w:val="22"/>
              </w:rPr>
              <w:t>McCook, NE</w:t>
            </w:r>
          </w:p>
        </w:tc>
        <w:tc>
          <w:tcPr>
            <w:tcW w:w="326" w:type="dxa"/>
            <w:tcBorders>
              <w:top w:val="nil"/>
              <w:left w:val="nil"/>
              <w:bottom w:val="single" w:sz="4" w:space="0" w:color="auto"/>
              <w:right w:val="single" w:sz="4" w:space="0" w:color="auto"/>
            </w:tcBorders>
            <w:shd w:val="clear" w:color="auto" w:fill="auto"/>
            <w:noWrap/>
            <w:vAlign w:val="bottom"/>
            <w:hideMark/>
          </w:tcPr>
          <w:p w14:paraId="57AE27B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F36010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5D14A52"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5A71A60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981E24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PEA390</w:t>
            </w:r>
          </w:p>
        </w:tc>
        <w:tc>
          <w:tcPr>
            <w:tcW w:w="3220" w:type="dxa"/>
            <w:tcBorders>
              <w:top w:val="nil"/>
              <w:left w:val="nil"/>
              <w:bottom w:val="single" w:sz="4" w:space="0" w:color="auto"/>
              <w:right w:val="nil"/>
            </w:tcBorders>
            <w:shd w:val="clear" w:color="auto" w:fill="auto"/>
            <w:noWrap/>
            <w:vAlign w:val="bottom"/>
            <w:hideMark/>
          </w:tcPr>
          <w:p w14:paraId="66D1BA84" w14:textId="77777777" w:rsidR="00A41A74" w:rsidRPr="00325607" w:rsidRDefault="00A41A74" w:rsidP="00325607">
            <w:pPr>
              <w:widowControl/>
              <w:rPr>
                <w:snapToGrid/>
                <w:color w:val="000000"/>
                <w:kern w:val="0"/>
                <w:szCs w:val="22"/>
              </w:rPr>
            </w:pPr>
            <w:r w:rsidRPr="00325607">
              <w:rPr>
                <w:snapToGrid/>
                <w:color w:val="000000"/>
                <w:kern w:val="0"/>
                <w:szCs w:val="22"/>
              </w:rPr>
              <w:t>Snyder, TX</w:t>
            </w:r>
          </w:p>
        </w:tc>
        <w:tc>
          <w:tcPr>
            <w:tcW w:w="326" w:type="dxa"/>
            <w:tcBorders>
              <w:top w:val="nil"/>
              <w:left w:val="nil"/>
              <w:bottom w:val="single" w:sz="4" w:space="0" w:color="auto"/>
              <w:right w:val="single" w:sz="4" w:space="0" w:color="auto"/>
            </w:tcBorders>
            <w:shd w:val="clear" w:color="auto" w:fill="auto"/>
            <w:noWrap/>
            <w:vAlign w:val="bottom"/>
            <w:hideMark/>
          </w:tcPr>
          <w:p w14:paraId="16ED512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94F91B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C963B66"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43B412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4FC0D1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PEA391</w:t>
            </w:r>
          </w:p>
        </w:tc>
        <w:tc>
          <w:tcPr>
            <w:tcW w:w="3220" w:type="dxa"/>
            <w:tcBorders>
              <w:top w:val="nil"/>
              <w:left w:val="nil"/>
              <w:bottom w:val="single" w:sz="4" w:space="0" w:color="auto"/>
              <w:right w:val="nil"/>
            </w:tcBorders>
            <w:shd w:val="clear" w:color="auto" w:fill="auto"/>
            <w:noWrap/>
            <w:vAlign w:val="bottom"/>
            <w:hideMark/>
          </w:tcPr>
          <w:p w14:paraId="648E6F43" w14:textId="77777777" w:rsidR="00A41A74" w:rsidRPr="00325607" w:rsidRDefault="00A41A74" w:rsidP="00325607">
            <w:pPr>
              <w:widowControl/>
              <w:rPr>
                <w:snapToGrid/>
                <w:color w:val="000000"/>
                <w:kern w:val="0"/>
                <w:szCs w:val="22"/>
              </w:rPr>
            </w:pPr>
            <w:r w:rsidRPr="00325607">
              <w:rPr>
                <w:snapToGrid/>
                <w:color w:val="000000"/>
                <w:kern w:val="0"/>
                <w:szCs w:val="22"/>
              </w:rPr>
              <w:t>Ontario, OR</w:t>
            </w:r>
          </w:p>
        </w:tc>
        <w:tc>
          <w:tcPr>
            <w:tcW w:w="326" w:type="dxa"/>
            <w:tcBorders>
              <w:top w:val="nil"/>
              <w:left w:val="nil"/>
              <w:bottom w:val="single" w:sz="4" w:space="0" w:color="auto"/>
              <w:right w:val="single" w:sz="4" w:space="0" w:color="auto"/>
            </w:tcBorders>
            <w:shd w:val="clear" w:color="auto" w:fill="auto"/>
            <w:noWrap/>
            <w:vAlign w:val="bottom"/>
            <w:hideMark/>
          </w:tcPr>
          <w:p w14:paraId="474F439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E1DBE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61BE7FD7"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8902D0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3F848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PEA392</w:t>
            </w:r>
          </w:p>
        </w:tc>
        <w:tc>
          <w:tcPr>
            <w:tcW w:w="3220" w:type="dxa"/>
            <w:tcBorders>
              <w:top w:val="nil"/>
              <w:left w:val="nil"/>
              <w:bottom w:val="single" w:sz="4" w:space="0" w:color="auto"/>
              <w:right w:val="nil"/>
            </w:tcBorders>
            <w:shd w:val="clear" w:color="auto" w:fill="auto"/>
            <w:noWrap/>
            <w:vAlign w:val="bottom"/>
            <w:hideMark/>
          </w:tcPr>
          <w:p w14:paraId="2FCB3510" w14:textId="77777777" w:rsidR="00A41A74" w:rsidRPr="00325607" w:rsidRDefault="00A41A74" w:rsidP="00325607">
            <w:pPr>
              <w:widowControl/>
              <w:rPr>
                <w:snapToGrid/>
                <w:color w:val="000000"/>
                <w:kern w:val="0"/>
                <w:szCs w:val="22"/>
              </w:rPr>
            </w:pPr>
            <w:r w:rsidRPr="00325607">
              <w:rPr>
                <w:snapToGrid/>
                <w:color w:val="000000"/>
                <w:kern w:val="0"/>
                <w:szCs w:val="22"/>
              </w:rPr>
              <w:t>Maryville, MO</w:t>
            </w:r>
          </w:p>
        </w:tc>
        <w:tc>
          <w:tcPr>
            <w:tcW w:w="326" w:type="dxa"/>
            <w:tcBorders>
              <w:top w:val="nil"/>
              <w:left w:val="nil"/>
              <w:bottom w:val="single" w:sz="4" w:space="0" w:color="auto"/>
              <w:right w:val="single" w:sz="4" w:space="0" w:color="auto"/>
            </w:tcBorders>
            <w:shd w:val="clear" w:color="auto" w:fill="auto"/>
            <w:noWrap/>
            <w:vAlign w:val="bottom"/>
            <w:hideMark/>
          </w:tcPr>
          <w:p w14:paraId="21BF656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A1076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2AA64ACC"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3E9912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E1D4DB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PEA393</w:t>
            </w:r>
          </w:p>
        </w:tc>
        <w:tc>
          <w:tcPr>
            <w:tcW w:w="3220" w:type="dxa"/>
            <w:tcBorders>
              <w:top w:val="nil"/>
              <w:left w:val="nil"/>
              <w:bottom w:val="single" w:sz="4" w:space="0" w:color="auto"/>
              <w:right w:val="nil"/>
            </w:tcBorders>
            <w:shd w:val="clear" w:color="auto" w:fill="auto"/>
            <w:noWrap/>
            <w:vAlign w:val="bottom"/>
            <w:hideMark/>
          </w:tcPr>
          <w:p w14:paraId="253B91AB" w14:textId="77777777" w:rsidR="00A41A74" w:rsidRPr="00325607" w:rsidRDefault="00A41A74" w:rsidP="00325607">
            <w:pPr>
              <w:widowControl/>
              <w:rPr>
                <w:snapToGrid/>
                <w:color w:val="000000"/>
                <w:kern w:val="0"/>
                <w:szCs w:val="22"/>
              </w:rPr>
            </w:pPr>
            <w:r w:rsidRPr="00325607">
              <w:rPr>
                <w:snapToGrid/>
                <w:color w:val="000000"/>
                <w:kern w:val="0"/>
                <w:szCs w:val="22"/>
              </w:rPr>
              <w:t>Macon, MO</w:t>
            </w:r>
          </w:p>
        </w:tc>
        <w:tc>
          <w:tcPr>
            <w:tcW w:w="326" w:type="dxa"/>
            <w:tcBorders>
              <w:top w:val="nil"/>
              <w:left w:val="nil"/>
              <w:bottom w:val="single" w:sz="4" w:space="0" w:color="auto"/>
              <w:right w:val="single" w:sz="4" w:space="0" w:color="auto"/>
            </w:tcBorders>
            <w:shd w:val="clear" w:color="auto" w:fill="auto"/>
            <w:noWrap/>
            <w:vAlign w:val="bottom"/>
            <w:hideMark/>
          </w:tcPr>
          <w:p w14:paraId="79501054"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F8F641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0AFFD70C"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1D9B2FA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73061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PEA394</w:t>
            </w:r>
          </w:p>
        </w:tc>
        <w:tc>
          <w:tcPr>
            <w:tcW w:w="3220" w:type="dxa"/>
            <w:tcBorders>
              <w:top w:val="nil"/>
              <w:left w:val="nil"/>
              <w:bottom w:val="single" w:sz="4" w:space="0" w:color="auto"/>
              <w:right w:val="nil"/>
            </w:tcBorders>
            <w:shd w:val="clear" w:color="auto" w:fill="auto"/>
            <w:noWrap/>
            <w:vAlign w:val="bottom"/>
            <w:hideMark/>
          </w:tcPr>
          <w:p w14:paraId="11BDC101" w14:textId="77777777" w:rsidR="00A41A74" w:rsidRPr="00325607" w:rsidRDefault="00A41A74" w:rsidP="00325607">
            <w:pPr>
              <w:widowControl/>
              <w:rPr>
                <w:snapToGrid/>
                <w:color w:val="000000"/>
                <w:kern w:val="0"/>
                <w:szCs w:val="22"/>
              </w:rPr>
            </w:pPr>
            <w:r w:rsidRPr="00325607">
              <w:rPr>
                <w:snapToGrid/>
                <w:color w:val="000000"/>
                <w:kern w:val="0"/>
                <w:szCs w:val="22"/>
              </w:rPr>
              <w:t>Martin, SD</w:t>
            </w:r>
          </w:p>
        </w:tc>
        <w:tc>
          <w:tcPr>
            <w:tcW w:w="326" w:type="dxa"/>
            <w:tcBorders>
              <w:top w:val="nil"/>
              <w:left w:val="nil"/>
              <w:bottom w:val="single" w:sz="4" w:space="0" w:color="auto"/>
              <w:right w:val="single" w:sz="4" w:space="0" w:color="auto"/>
            </w:tcBorders>
            <w:shd w:val="clear" w:color="auto" w:fill="auto"/>
            <w:noWrap/>
            <w:vAlign w:val="bottom"/>
            <w:hideMark/>
          </w:tcPr>
          <w:p w14:paraId="37A207A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5E0B61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5B4367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CA7AEE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57FF63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PEA395</w:t>
            </w:r>
          </w:p>
        </w:tc>
        <w:tc>
          <w:tcPr>
            <w:tcW w:w="3220" w:type="dxa"/>
            <w:tcBorders>
              <w:top w:val="nil"/>
              <w:left w:val="nil"/>
              <w:bottom w:val="single" w:sz="4" w:space="0" w:color="auto"/>
              <w:right w:val="nil"/>
            </w:tcBorders>
            <w:shd w:val="clear" w:color="auto" w:fill="auto"/>
            <w:noWrap/>
            <w:vAlign w:val="bottom"/>
            <w:hideMark/>
          </w:tcPr>
          <w:p w14:paraId="79150F3D" w14:textId="77777777" w:rsidR="00A41A74" w:rsidRPr="00325607" w:rsidRDefault="00A41A74" w:rsidP="00325607">
            <w:pPr>
              <w:widowControl/>
              <w:rPr>
                <w:snapToGrid/>
                <w:color w:val="000000"/>
                <w:kern w:val="0"/>
                <w:szCs w:val="22"/>
              </w:rPr>
            </w:pPr>
            <w:r w:rsidRPr="00325607">
              <w:rPr>
                <w:snapToGrid/>
                <w:color w:val="000000"/>
                <w:kern w:val="0"/>
                <w:szCs w:val="22"/>
              </w:rPr>
              <w:t>Jamestown, ND</w:t>
            </w:r>
          </w:p>
        </w:tc>
        <w:tc>
          <w:tcPr>
            <w:tcW w:w="326" w:type="dxa"/>
            <w:tcBorders>
              <w:top w:val="nil"/>
              <w:left w:val="nil"/>
              <w:bottom w:val="single" w:sz="4" w:space="0" w:color="auto"/>
              <w:right w:val="single" w:sz="4" w:space="0" w:color="auto"/>
            </w:tcBorders>
            <w:shd w:val="clear" w:color="auto" w:fill="auto"/>
            <w:noWrap/>
            <w:vAlign w:val="bottom"/>
            <w:hideMark/>
          </w:tcPr>
          <w:p w14:paraId="37F69C02"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ACBD48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48A492FC"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7F4ADF4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7ECC5B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PEA396</w:t>
            </w:r>
          </w:p>
        </w:tc>
        <w:tc>
          <w:tcPr>
            <w:tcW w:w="3220" w:type="dxa"/>
            <w:tcBorders>
              <w:top w:val="nil"/>
              <w:left w:val="nil"/>
              <w:bottom w:val="single" w:sz="4" w:space="0" w:color="auto"/>
              <w:right w:val="nil"/>
            </w:tcBorders>
            <w:shd w:val="clear" w:color="auto" w:fill="auto"/>
            <w:noWrap/>
            <w:vAlign w:val="bottom"/>
            <w:hideMark/>
          </w:tcPr>
          <w:p w14:paraId="51696DD2" w14:textId="77777777" w:rsidR="00A41A74" w:rsidRPr="00325607" w:rsidRDefault="00A41A74" w:rsidP="00325607">
            <w:pPr>
              <w:widowControl/>
              <w:rPr>
                <w:snapToGrid/>
                <w:color w:val="000000"/>
                <w:kern w:val="0"/>
                <w:szCs w:val="22"/>
              </w:rPr>
            </w:pPr>
            <w:r w:rsidRPr="00325607">
              <w:rPr>
                <w:snapToGrid/>
                <w:color w:val="000000"/>
                <w:kern w:val="0"/>
                <w:szCs w:val="22"/>
              </w:rPr>
              <w:t>Winterset, IA</w:t>
            </w:r>
          </w:p>
        </w:tc>
        <w:tc>
          <w:tcPr>
            <w:tcW w:w="326" w:type="dxa"/>
            <w:tcBorders>
              <w:top w:val="nil"/>
              <w:left w:val="nil"/>
              <w:bottom w:val="single" w:sz="4" w:space="0" w:color="auto"/>
              <w:right w:val="single" w:sz="4" w:space="0" w:color="auto"/>
            </w:tcBorders>
            <w:shd w:val="clear" w:color="auto" w:fill="auto"/>
            <w:noWrap/>
            <w:vAlign w:val="bottom"/>
            <w:hideMark/>
          </w:tcPr>
          <w:p w14:paraId="54A6ECA0"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2D0A01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3899CC99"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427EDCF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6655F0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PEA397</w:t>
            </w:r>
          </w:p>
        </w:tc>
        <w:tc>
          <w:tcPr>
            <w:tcW w:w="3220" w:type="dxa"/>
            <w:tcBorders>
              <w:top w:val="nil"/>
              <w:left w:val="nil"/>
              <w:bottom w:val="single" w:sz="4" w:space="0" w:color="auto"/>
              <w:right w:val="nil"/>
            </w:tcBorders>
            <w:shd w:val="clear" w:color="auto" w:fill="auto"/>
            <w:noWrap/>
            <w:vAlign w:val="bottom"/>
            <w:hideMark/>
          </w:tcPr>
          <w:p w14:paraId="29FB18C3" w14:textId="77777777" w:rsidR="00A41A74" w:rsidRPr="00325607" w:rsidRDefault="00A41A74" w:rsidP="00325607">
            <w:pPr>
              <w:widowControl/>
              <w:rPr>
                <w:snapToGrid/>
                <w:color w:val="000000"/>
                <w:kern w:val="0"/>
                <w:szCs w:val="22"/>
              </w:rPr>
            </w:pPr>
            <w:r w:rsidRPr="00325607">
              <w:rPr>
                <w:snapToGrid/>
                <w:color w:val="000000"/>
                <w:kern w:val="0"/>
                <w:szCs w:val="22"/>
              </w:rPr>
              <w:t>Aliceville, AL</w:t>
            </w:r>
          </w:p>
        </w:tc>
        <w:tc>
          <w:tcPr>
            <w:tcW w:w="326" w:type="dxa"/>
            <w:tcBorders>
              <w:top w:val="nil"/>
              <w:left w:val="nil"/>
              <w:bottom w:val="single" w:sz="4" w:space="0" w:color="auto"/>
              <w:right w:val="single" w:sz="4" w:space="0" w:color="auto"/>
            </w:tcBorders>
            <w:shd w:val="clear" w:color="auto" w:fill="auto"/>
            <w:noWrap/>
            <w:vAlign w:val="bottom"/>
            <w:hideMark/>
          </w:tcPr>
          <w:p w14:paraId="20F1B18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333725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4</w:t>
            </w:r>
          </w:p>
        </w:tc>
        <w:tc>
          <w:tcPr>
            <w:tcW w:w="2059" w:type="dxa"/>
            <w:tcBorders>
              <w:top w:val="nil"/>
              <w:left w:val="nil"/>
              <w:bottom w:val="single" w:sz="4" w:space="0" w:color="auto"/>
              <w:right w:val="single" w:sz="4" w:space="0" w:color="auto"/>
            </w:tcBorders>
            <w:shd w:val="clear" w:color="auto" w:fill="auto"/>
            <w:noWrap/>
            <w:vAlign w:val="bottom"/>
            <w:hideMark/>
          </w:tcPr>
          <w:p w14:paraId="17B62A3B" w14:textId="77777777" w:rsidR="00A41A74" w:rsidRPr="00325607" w:rsidRDefault="00A41A74" w:rsidP="00325607">
            <w:pPr>
              <w:widowControl/>
              <w:rPr>
                <w:snapToGrid/>
                <w:color w:val="000000"/>
                <w:kern w:val="0"/>
                <w:szCs w:val="22"/>
              </w:rPr>
            </w:pPr>
            <w:r w:rsidRPr="00325607">
              <w:rPr>
                <w:snapToGrid/>
                <w:color w:val="000000"/>
                <w:kern w:val="0"/>
                <w:szCs w:val="22"/>
              </w:rPr>
              <w:t>Mississippi Valley</w:t>
            </w:r>
          </w:p>
        </w:tc>
      </w:tr>
      <w:tr w:rsidR="00A41A74" w:rsidRPr="00325607" w14:paraId="3517FC0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7EEFCA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PEA398</w:t>
            </w:r>
          </w:p>
        </w:tc>
        <w:tc>
          <w:tcPr>
            <w:tcW w:w="3220" w:type="dxa"/>
            <w:tcBorders>
              <w:top w:val="nil"/>
              <w:left w:val="nil"/>
              <w:bottom w:val="single" w:sz="4" w:space="0" w:color="auto"/>
              <w:right w:val="nil"/>
            </w:tcBorders>
            <w:shd w:val="clear" w:color="auto" w:fill="auto"/>
            <w:noWrap/>
            <w:vAlign w:val="bottom"/>
            <w:hideMark/>
          </w:tcPr>
          <w:p w14:paraId="465EF96B" w14:textId="77777777" w:rsidR="00A41A74" w:rsidRPr="00325607" w:rsidRDefault="00A41A74" w:rsidP="00325607">
            <w:pPr>
              <w:widowControl/>
              <w:rPr>
                <w:snapToGrid/>
                <w:color w:val="000000"/>
                <w:kern w:val="0"/>
                <w:szCs w:val="22"/>
              </w:rPr>
            </w:pPr>
            <w:r w:rsidRPr="00325607">
              <w:rPr>
                <w:snapToGrid/>
                <w:color w:val="000000"/>
                <w:kern w:val="0"/>
                <w:szCs w:val="22"/>
              </w:rPr>
              <w:t>South Sioux City, NE</w:t>
            </w:r>
          </w:p>
        </w:tc>
        <w:tc>
          <w:tcPr>
            <w:tcW w:w="326" w:type="dxa"/>
            <w:tcBorders>
              <w:top w:val="nil"/>
              <w:left w:val="nil"/>
              <w:bottom w:val="single" w:sz="4" w:space="0" w:color="auto"/>
              <w:right w:val="single" w:sz="4" w:space="0" w:color="auto"/>
            </w:tcBorders>
            <w:shd w:val="clear" w:color="auto" w:fill="auto"/>
            <w:noWrap/>
            <w:vAlign w:val="bottom"/>
            <w:hideMark/>
          </w:tcPr>
          <w:p w14:paraId="44934F8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25F60E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0014B2B2"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2E85961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42D71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PEA399</w:t>
            </w:r>
          </w:p>
        </w:tc>
        <w:tc>
          <w:tcPr>
            <w:tcW w:w="3220" w:type="dxa"/>
            <w:tcBorders>
              <w:top w:val="nil"/>
              <w:left w:val="nil"/>
              <w:bottom w:val="single" w:sz="4" w:space="0" w:color="auto"/>
              <w:right w:val="nil"/>
            </w:tcBorders>
            <w:shd w:val="clear" w:color="auto" w:fill="auto"/>
            <w:noWrap/>
            <w:vAlign w:val="bottom"/>
            <w:hideMark/>
          </w:tcPr>
          <w:p w14:paraId="0E576156" w14:textId="77777777" w:rsidR="00A41A74" w:rsidRPr="00325607" w:rsidRDefault="00A41A74" w:rsidP="00325607">
            <w:pPr>
              <w:widowControl/>
              <w:rPr>
                <w:snapToGrid/>
                <w:color w:val="000000"/>
                <w:kern w:val="0"/>
                <w:szCs w:val="22"/>
              </w:rPr>
            </w:pPr>
            <w:r w:rsidRPr="00325607">
              <w:rPr>
                <w:snapToGrid/>
                <w:color w:val="000000"/>
                <w:kern w:val="0"/>
                <w:szCs w:val="22"/>
              </w:rPr>
              <w:t>Lampasas, TX</w:t>
            </w:r>
          </w:p>
        </w:tc>
        <w:tc>
          <w:tcPr>
            <w:tcW w:w="326" w:type="dxa"/>
            <w:tcBorders>
              <w:top w:val="nil"/>
              <w:left w:val="nil"/>
              <w:bottom w:val="single" w:sz="4" w:space="0" w:color="auto"/>
              <w:right w:val="single" w:sz="4" w:space="0" w:color="auto"/>
            </w:tcBorders>
            <w:shd w:val="clear" w:color="auto" w:fill="auto"/>
            <w:noWrap/>
            <w:vAlign w:val="bottom"/>
            <w:hideMark/>
          </w:tcPr>
          <w:p w14:paraId="493DD0B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37D10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FF614B7"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794028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5DB892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PEA400</w:t>
            </w:r>
          </w:p>
        </w:tc>
        <w:tc>
          <w:tcPr>
            <w:tcW w:w="3220" w:type="dxa"/>
            <w:tcBorders>
              <w:top w:val="nil"/>
              <w:left w:val="nil"/>
              <w:bottom w:val="single" w:sz="4" w:space="0" w:color="auto"/>
              <w:right w:val="nil"/>
            </w:tcBorders>
            <w:shd w:val="clear" w:color="auto" w:fill="auto"/>
            <w:noWrap/>
            <w:vAlign w:val="bottom"/>
            <w:hideMark/>
          </w:tcPr>
          <w:p w14:paraId="6229A217" w14:textId="77777777" w:rsidR="00A41A74" w:rsidRPr="00325607" w:rsidRDefault="00A41A74" w:rsidP="00325607">
            <w:pPr>
              <w:widowControl/>
              <w:rPr>
                <w:snapToGrid/>
                <w:color w:val="000000"/>
                <w:kern w:val="0"/>
                <w:szCs w:val="22"/>
              </w:rPr>
            </w:pPr>
            <w:r w:rsidRPr="00325607">
              <w:rPr>
                <w:snapToGrid/>
                <w:color w:val="000000"/>
                <w:kern w:val="0"/>
                <w:szCs w:val="22"/>
              </w:rPr>
              <w:t>Muleshoe, TX</w:t>
            </w:r>
          </w:p>
        </w:tc>
        <w:tc>
          <w:tcPr>
            <w:tcW w:w="326" w:type="dxa"/>
            <w:tcBorders>
              <w:top w:val="nil"/>
              <w:left w:val="nil"/>
              <w:bottom w:val="single" w:sz="4" w:space="0" w:color="auto"/>
              <w:right w:val="single" w:sz="4" w:space="0" w:color="auto"/>
            </w:tcBorders>
            <w:shd w:val="clear" w:color="auto" w:fill="auto"/>
            <w:noWrap/>
            <w:vAlign w:val="bottom"/>
            <w:hideMark/>
          </w:tcPr>
          <w:p w14:paraId="723C2F09"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9E54E9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D04433B"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F20EB44"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430E1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PEA401</w:t>
            </w:r>
          </w:p>
        </w:tc>
        <w:tc>
          <w:tcPr>
            <w:tcW w:w="3220" w:type="dxa"/>
            <w:tcBorders>
              <w:top w:val="nil"/>
              <w:left w:val="nil"/>
              <w:bottom w:val="single" w:sz="4" w:space="0" w:color="auto"/>
              <w:right w:val="nil"/>
            </w:tcBorders>
            <w:shd w:val="clear" w:color="auto" w:fill="auto"/>
            <w:noWrap/>
            <w:vAlign w:val="bottom"/>
            <w:hideMark/>
          </w:tcPr>
          <w:p w14:paraId="5236E041" w14:textId="77777777" w:rsidR="00A41A74" w:rsidRPr="00325607" w:rsidRDefault="00A41A74" w:rsidP="00325607">
            <w:pPr>
              <w:widowControl/>
              <w:rPr>
                <w:snapToGrid/>
                <w:color w:val="000000"/>
                <w:kern w:val="0"/>
                <w:szCs w:val="22"/>
              </w:rPr>
            </w:pPr>
            <w:r w:rsidRPr="00325607">
              <w:rPr>
                <w:snapToGrid/>
                <w:color w:val="000000"/>
                <w:kern w:val="0"/>
                <w:szCs w:val="22"/>
              </w:rPr>
              <w:t>Floydada, TX</w:t>
            </w:r>
          </w:p>
        </w:tc>
        <w:tc>
          <w:tcPr>
            <w:tcW w:w="326" w:type="dxa"/>
            <w:tcBorders>
              <w:top w:val="nil"/>
              <w:left w:val="nil"/>
              <w:bottom w:val="single" w:sz="4" w:space="0" w:color="auto"/>
              <w:right w:val="single" w:sz="4" w:space="0" w:color="auto"/>
            </w:tcBorders>
            <w:shd w:val="clear" w:color="auto" w:fill="auto"/>
            <w:noWrap/>
            <w:vAlign w:val="bottom"/>
            <w:hideMark/>
          </w:tcPr>
          <w:p w14:paraId="1E45F55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CE2726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64CE60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9C83EF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EE51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PEA402</w:t>
            </w:r>
          </w:p>
        </w:tc>
        <w:tc>
          <w:tcPr>
            <w:tcW w:w="3220" w:type="dxa"/>
            <w:tcBorders>
              <w:top w:val="nil"/>
              <w:left w:val="nil"/>
              <w:bottom w:val="single" w:sz="4" w:space="0" w:color="auto"/>
              <w:right w:val="nil"/>
            </w:tcBorders>
            <w:shd w:val="clear" w:color="auto" w:fill="auto"/>
            <w:noWrap/>
            <w:vAlign w:val="bottom"/>
            <w:hideMark/>
          </w:tcPr>
          <w:p w14:paraId="6DCA53E7" w14:textId="77777777" w:rsidR="00A41A74" w:rsidRPr="00325607" w:rsidRDefault="00A41A74" w:rsidP="00325607">
            <w:pPr>
              <w:widowControl/>
              <w:rPr>
                <w:snapToGrid/>
                <w:color w:val="000000"/>
                <w:kern w:val="0"/>
                <w:szCs w:val="22"/>
              </w:rPr>
            </w:pPr>
            <w:r w:rsidRPr="00325607">
              <w:rPr>
                <w:snapToGrid/>
                <w:color w:val="000000"/>
                <w:kern w:val="0"/>
                <w:szCs w:val="22"/>
              </w:rPr>
              <w:t>Brady, TX</w:t>
            </w:r>
          </w:p>
        </w:tc>
        <w:tc>
          <w:tcPr>
            <w:tcW w:w="326" w:type="dxa"/>
            <w:tcBorders>
              <w:top w:val="nil"/>
              <w:left w:val="nil"/>
              <w:bottom w:val="single" w:sz="4" w:space="0" w:color="auto"/>
              <w:right w:val="single" w:sz="4" w:space="0" w:color="auto"/>
            </w:tcBorders>
            <w:shd w:val="clear" w:color="auto" w:fill="auto"/>
            <w:noWrap/>
            <w:vAlign w:val="bottom"/>
            <w:hideMark/>
          </w:tcPr>
          <w:p w14:paraId="0601BE75"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BF4339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326C24B0"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767785E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223769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PEA403</w:t>
            </w:r>
          </w:p>
        </w:tc>
        <w:tc>
          <w:tcPr>
            <w:tcW w:w="3220" w:type="dxa"/>
            <w:tcBorders>
              <w:top w:val="nil"/>
              <w:left w:val="nil"/>
              <w:bottom w:val="single" w:sz="4" w:space="0" w:color="auto"/>
              <w:right w:val="nil"/>
            </w:tcBorders>
            <w:shd w:val="clear" w:color="auto" w:fill="auto"/>
            <w:noWrap/>
            <w:vAlign w:val="bottom"/>
            <w:hideMark/>
          </w:tcPr>
          <w:p w14:paraId="7588A2C4" w14:textId="77777777" w:rsidR="00A41A74" w:rsidRPr="00325607" w:rsidRDefault="00A41A74" w:rsidP="00325607">
            <w:pPr>
              <w:widowControl/>
              <w:rPr>
                <w:snapToGrid/>
                <w:color w:val="000000"/>
                <w:kern w:val="0"/>
                <w:szCs w:val="22"/>
              </w:rPr>
            </w:pPr>
            <w:r w:rsidRPr="00325607">
              <w:rPr>
                <w:snapToGrid/>
                <w:color w:val="000000"/>
                <w:kern w:val="0"/>
                <w:szCs w:val="22"/>
              </w:rPr>
              <w:t>Lewistown, MT</w:t>
            </w:r>
          </w:p>
        </w:tc>
        <w:tc>
          <w:tcPr>
            <w:tcW w:w="326" w:type="dxa"/>
            <w:tcBorders>
              <w:top w:val="nil"/>
              <w:left w:val="nil"/>
              <w:bottom w:val="single" w:sz="4" w:space="0" w:color="auto"/>
              <w:right w:val="single" w:sz="4" w:space="0" w:color="auto"/>
            </w:tcBorders>
            <w:shd w:val="clear" w:color="auto" w:fill="auto"/>
            <w:noWrap/>
            <w:vAlign w:val="bottom"/>
            <w:hideMark/>
          </w:tcPr>
          <w:p w14:paraId="15D9305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8204C4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A1A1A81"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3E93428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257D95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PEA404</w:t>
            </w:r>
          </w:p>
        </w:tc>
        <w:tc>
          <w:tcPr>
            <w:tcW w:w="3220" w:type="dxa"/>
            <w:tcBorders>
              <w:top w:val="nil"/>
              <w:left w:val="nil"/>
              <w:bottom w:val="single" w:sz="4" w:space="0" w:color="auto"/>
              <w:right w:val="nil"/>
            </w:tcBorders>
            <w:shd w:val="clear" w:color="auto" w:fill="auto"/>
            <w:noWrap/>
            <w:vAlign w:val="bottom"/>
            <w:hideMark/>
          </w:tcPr>
          <w:p w14:paraId="5F3A8958" w14:textId="77777777" w:rsidR="00A41A74" w:rsidRPr="00325607" w:rsidRDefault="00A41A74" w:rsidP="00325607">
            <w:pPr>
              <w:widowControl/>
              <w:rPr>
                <w:snapToGrid/>
                <w:color w:val="000000"/>
                <w:kern w:val="0"/>
                <w:szCs w:val="22"/>
              </w:rPr>
            </w:pPr>
            <w:r w:rsidRPr="00325607">
              <w:rPr>
                <w:snapToGrid/>
                <w:color w:val="000000"/>
                <w:kern w:val="0"/>
                <w:szCs w:val="22"/>
              </w:rPr>
              <w:t>Kanab, UT</w:t>
            </w:r>
          </w:p>
        </w:tc>
        <w:tc>
          <w:tcPr>
            <w:tcW w:w="326" w:type="dxa"/>
            <w:tcBorders>
              <w:top w:val="nil"/>
              <w:left w:val="nil"/>
              <w:bottom w:val="single" w:sz="4" w:space="0" w:color="auto"/>
              <w:right w:val="single" w:sz="4" w:space="0" w:color="auto"/>
            </w:tcBorders>
            <w:shd w:val="clear" w:color="auto" w:fill="auto"/>
            <w:noWrap/>
            <w:vAlign w:val="bottom"/>
            <w:hideMark/>
          </w:tcPr>
          <w:p w14:paraId="63B3D686"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539BF8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3765B24"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24C5C97"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26C15B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PEA405</w:t>
            </w:r>
          </w:p>
        </w:tc>
        <w:tc>
          <w:tcPr>
            <w:tcW w:w="3220" w:type="dxa"/>
            <w:tcBorders>
              <w:top w:val="nil"/>
              <w:left w:val="nil"/>
              <w:bottom w:val="single" w:sz="4" w:space="0" w:color="auto"/>
              <w:right w:val="nil"/>
            </w:tcBorders>
            <w:shd w:val="clear" w:color="auto" w:fill="auto"/>
            <w:noWrap/>
            <w:vAlign w:val="bottom"/>
            <w:hideMark/>
          </w:tcPr>
          <w:p w14:paraId="77895A00" w14:textId="77777777" w:rsidR="00A41A74" w:rsidRPr="00325607" w:rsidRDefault="00A41A74" w:rsidP="00325607">
            <w:pPr>
              <w:widowControl/>
              <w:rPr>
                <w:snapToGrid/>
                <w:color w:val="000000"/>
                <w:kern w:val="0"/>
                <w:szCs w:val="22"/>
              </w:rPr>
            </w:pPr>
            <w:r w:rsidRPr="00325607">
              <w:rPr>
                <w:snapToGrid/>
                <w:color w:val="000000"/>
                <w:kern w:val="0"/>
                <w:szCs w:val="22"/>
              </w:rPr>
              <w:t>Jackson, WY</w:t>
            </w:r>
          </w:p>
        </w:tc>
        <w:tc>
          <w:tcPr>
            <w:tcW w:w="326" w:type="dxa"/>
            <w:tcBorders>
              <w:top w:val="nil"/>
              <w:left w:val="nil"/>
              <w:bottom w:val="single" w:sz="4" w:space="0" w:color="auto"/>
              <w:right w:val="single" w:sz="4" w:space="0" w:color="auto"/>
            </w:tcBorders>
            <w:shd w:val="clear" w:color="auto" w:fill="auto"/>
            <w:noWrap/>
            <w:vAlign w:val="bottom"/>
            <w:hideMark/>
          </w:tcPr>
          <w:p w14:paraId="6B4EBA5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4650987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CF5F1DD"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403BF4C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688D44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PEA406</w:t>
            </w:r>
          </w:p>
        </w:tc>
        <w:tc>
          <w:tcPr>
            <w:tcW w:w="3220" w:type="dxa"/>
            <w:tcBorders>
              <w:top w:val="nil"/>
              <w:left w:val="nil"/>
              <w:bottom w:val="single" w:sz="4" w:space="0" w:color="auto"/>
              <w:right w:val="nil"/>
            </w:tcBorders>
            <w:shd w:val="clear" w:color="auto" w:fill="auto"/>
            <w:noWrap/>
            <w:vAlign w:val="bottom"/>
            <w:hideMark/>
          </w:tcPr>
          <w:p w14:paraId="2A43EC27" w14:textId="77777777" w:rsidR="00A41A74" w:rsidRPr="00325607" w:rsidRDefault="00A41A74" w:rsidP="00325607">
            <w:pPr>
              <w:widowControl/>
              <w:rPr>
                <w:snapToGrid/>
                <w:color w:val="000000"/>
                <w:kern w:val="0"/>
                <w:szCs w:val="22"/>
              </w:rPr>
            </w:pPr>
            <w:r w:rsidRPr="00325607">
              <w:rPr>
                <w:snapToGrid/>
                <w:color w:val="000000"/>
                <w:kern w:val="0"/>
                <w:szCs w:val="22"/>
              </w:rPr>
              <w:t>Anamosa, IA</w:t>
            </w:r>
          </w:p>
        </w:tc>
        <w:tc>
          <w:tcPr>
            <w:tcW w:w="326" w:type="dxa"/>
            <w:tcBorders>
              <w:top w:val="nil"/>
              <w:left w:val="nil"/>
              <w:bottom w:val="single" w:sz="4" w:space="0" w:color="auto"/>
              <w:right w:val="single" w:sz="4" w:space="0" w:color="auto"/>
            </w:tcBorders>
            <w:shd w:val="clear" w:color="auto" w:fill="auto"/>
            <w:noWrap/>
            <w:vAlign w:val="bottom"/>
            <w:hideMark/>
          </w:tcPr>
          <w:p w14:paraId="0AC75788"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C75BB33"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3</w:t>
            </w:r>
          </w:p>
        </w:tc>
        <w:tc>
          <w:tcPr>
            <w:tcW w:w="2059" w:type="dxa"/>
            <w:tcBorders>
              <w:top w:val="nil"/>
              <w:left w:val="nil"/>
              <w:bottom w:val="single" w:sz="4" w:space="0" w:color="auto"/>
              <w:right w:val="single" w:sz="4" w:space="0" w:color="auto"/>
            </w:tcBorders>
            <w:shd w:val="clear" w:color="auto" w:fill="auto"/>
            <w:noWrap/>
            <w:vAlign w:val="bottom"/>
            <w:hideMark/>
          </w:tcPr>
          <w:p w14:paraId="6B9B4F3E" w14:textId="77777777" w:rsidR="00A41A74" w:rsidRPr="00325607" w:rsidRDefault="00A41A74" w:rsidP="00325607">
            <w:pPr>
              <w:widowControl/>
              <w:rPr>
                <w:snapToGrid/>
                <w:color w:val="000000"/>
                <w:kern w:val="0"/>
                <w:szCs w:val="22"/>
              </w:rPr>
            </w:pPr>
            <w:r w:rsidRPr="00325607">
              <w:rPr>
                <w:snapToGrid/>
                <w:color w:val="000000"/>
                <w:kern w:val="0"/>
                <w:szCs w:val="22"/>
              </w:rPr>
              <w:t>Great Lakes</w:t>
            </w:r>
          </w:p>
        </w:tc>
      </w:tr>
      <w:tr w:rsidR="00A41A74" w:rsidRPr="00325607" w14:paraId="02D29D0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72B89A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PEA407</w:t>
            </w:r>
          </w:p>
        </w:tc>
        <w:tc>
          <w:tcPr>
            <w:tcW w:w="3220" w:type="dxa"/>
            <w:tcBorders>
              <w:top w:val="nil"/>
              <w:left w:val="nil"/>
              <w:bottom w:val="single" w:sz="4" w:space="0" w:color="auto"/>
              <w:right w:val="nil"/>
            </w:tcBorders>
            <w:shd w:val="clear" w:color="auto" w:fill="auto"/>
            <w:noWrap/>
            <w:vAlign w:val="bottom"/>
            <w:hideMark/>
          </w:tcPr>
          <w:p w14:paraId="3C4BDCED" w14:textId="77777777" w:rsidR="00A41A74" w:rsidRPr="00325607" w:rsidRDefault="00A41A74" w:rsidP="00325607">
            <w:pPr>
              <w:widowControl/>
              <w:rPr>
                <w:snapToGrid/>
                <w:color w:val="000000"/>
                <w:kern w:val="0"/>
                <w:szCs w:val="22"/>
              </w:rPr>
            </w:pPr>
            <w:r w:rsidRPr="00325607">
              <w:rPr>
                <w:snapToGrid/>
                <w:color w:val="000000"/>
                <w:kern w:val="0"/>
                <w:szCs w:val="22"/>
              </w:rPr>
              <w:t>Salmon, ID</w:t>
            </w:r>
          </w:p>
        </w:tc>
        <w:tc>
          <w:tcPr>
            <w:tcW w:w="326" w:type="dxa"/>
            <w:tcBorders>
              <w:top w:val="nil"/>
              <w:left w:val="nil"/>
              <w:bottom w:val="single" w:sz="4" w:space="0" w:color="auto"/>
              <w:right w:val="single" w:sz="4" w:space="0" w:color="auto"/>
            </w:tcBorders>
            <w:shd w:val="clear" w:color="auto" w:fill="auto"/>
            <w:noWrap/>
            <w:vAlign w:val="bottom"/>
            <w:hideMark/>
          </w:tcPr>
          <w:p w14:paraId="4567381B"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23E02CA4"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6A1D5855"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14F003F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4DF01D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PEA408</w:t>
            </w:r>
          </w:p>
        </w:tc>
        <w:tc>
          <w:tcPr>
            <w:tcW w:w="3220" w:type="dxa"/>
            <w:tcBorders>
              <w:top w:val="nil"/>
              <w:left w:val="nil"/>
              <w:bottom w:val="single" w:sz="4" w:space="0" w:color="auto"/>
              <w:right w:val="nil"/>
            </w:tcBorders>
            <w:shd w:val="clear" w:color="auto" w:fill="auto"/>
            <w:noWrap/>
            <w:vAlign w:val="bottom"/>
            <w:hideMark/>
          </w:tcPr>
          <w:p w14:paraId="5A557476" w14:textId="77777777" w:rsidR="00A41A74" w:rsidRPr="00325607" w:rsidRDefault="00A41A74" w:rsidP="00325607">
            <w:pPr>
              <w:widowControl/>
              <w:rPr>
                <w:snapToGrid/>
                <w:color w:val="000000"/>
                <w:kern w:val="0"/>
                <w:szCs w:val="22"/>
              </w:rPr>
            </w:pPr>
            <w:r w:rsidRPr="00325607">
              <w:rPr>
                <w:snapToGrid/>
                <w:color w:val="000000"/>
                <w:kern w:val="0"/>
                <w:szCs w:val="22"/>
              </w:rPr>
              <w:t>Ballinger, TX</w:t>
            </w:r>
          </w:p>
        </w:tc>
        <w:tc>
          <w:tcPr>
            <w:tcW w:w="326" w:type="dxa"/>
            <w:tcBorders>
              <w:top w:val="nil"/>
              <w:left w:val="nil"/>
              <w:bottom w:val="single" w:sz="4" w:space="0" w:color="auto"/>
              <w:right w:val="single" w:sz="4" w:space="0" w:color="auto"/>
            </w:tcBorders>
            <w:shd w:val="clear" w:color="auto" w:fill="auto"/>
            <w:noWrap/>
            <w:vAlign w:val="bottom"/>
            <w:hideMark/>
          </w:tcPr>
          <w:p w14:paraId="1B61B2EE"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0E1A02B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16E61CE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6C256CA9"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D4F51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PEA409</w:t>
            </w:r>
          </w:p>
        </w:tc>
        <w:tc>
          <w:tcPr>
            <w:tcW w:w="3220" w:type="dxa"/>
            <w:tcBorders>
              <w:top w:val="nil"/>
              <w:left w:val="nil"/>
              <w:bottom w:val="single" w:sz="4" w:space="0" w:color="auto"/>
              <w:right w:val="nil"/>
            </w:tcBorders>
            <w:shd w:val="clear" w:color="auto" w:fill="auto"/>
            <w:noWrap/>
            <w:vAlign w:val="bottom"/>
            <w:hideMark/>
          </w:tcPr>
          <w:p w14:paraId="42CB75CE" w14:textId="77777777" w:rsidR="00A41A74" w:rsidRPr="00325607" w:rsidRDefault="00A41A74" w:rsidP="00325607">
            <w:pPr>
              <w:widowControl/>
              <w:rPr>
                <w:snapToGrid/>
                <w:color w:val="000000"/>
                <w:kern w:val="0"/>
                <w:szCs w:val="22"/>
              </w:rPr>
            </w:pPr>
            <w:r w:rsidRPr="00325607">
              <w:rPr>
                <w:snapToGrid/>
                <w:color w:val="000000"/>
                <w:kern w:val="0"/>
                <w:szCs w:val="22"/>
              </w:rPr>
              <w:t>Haskell, TX</w:t>
            </w:r>
          </w:p>
        </w:tc>
        <w:tc>
          <w:tcPr>
            <w:tcW w:w="326" w:type="dxa"/>
            <w:tcBorders>
              <w:top w:val="nil"/>
              <w:left w:val="nil"/>
              <w:bottom w:val="single" w:sz="4" w:space="0" w:color="auto"/>
              <w:right w:val="single" w:sz="4" w:space="0" w:color="auto"/>
            </w:tcBorders>
            <w:shd w:val="clear" w:color="auto" w:fill="auto"/>
            <w:noWrap/>
            <w:vAlign w:val="bottom"/>
            <w:hideMark/>
          </w:tcPr>
          <w:p w14:paraId="127342BF"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6AD443D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6C3C9B79"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172FC68A"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C68B6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PEA410</w:t>
            </w:r>
          </w:p>
        </w:tc>
        <w:tc>
          <w:tcPr>
            <w:tcW w:w="3220" w:type="dxa"/>
            <w:tcBorders>
              <w:top w:val="nil"/>
              <w:left w:val="nil"/>
              <w:bottom w:val="single" w:sz="4" w:space="0" w:color="auto"/>
              <w:right w:val="nil"/>
            </w:tcBorders>
            <w:shd w:val="clear" w:color="auto" w:fill="auto"/>
            <w:noWrap/>
            <w:vAlign w:val="bottom"/>
            <w:hideMark/>
          </w:tcPr>
          <w:p w14:paraId="45DEB992" w14:textId="77777777" w:rsidR="00A41A74" w:rsidRPr="00325607" w:rsidRDefault="00A41A74" w:rsidP="00325607">
            <w:pPr>
              <w:widowControl/>
              <w:rPr>
                <w:snapToGrid/>
                <w:color w:val="000000"/>
                <w:kern w:val="0"/>
                <w:szCs w:val="22"/>
              </w:rPr>
            </w:pPr>
            <w:r w:rsidRPr="00325607">
              <w:rPr>
                <w:snapToGrid/>
                <w:color w:val="000000"/>
                <w:kern w:val="0"/>
                <w:szCs w:val="22"/>
              </w:rPr>
              <w:t>Valentine, NE</w:t>
            </w:r>
          </w:p>
        </w:tc>
        <w:tc>
          <w:tcPr>
            <w:tcW w:w="326" w:type="dxa"/>
            <w:tcBorders>
              <w:top w:val="nil"/>
              <w:left w:val="nil"/>
              <w:bottom w:val="single" w:sz="4" w:space="0" w:color="auto"/>
              <w:right w:val="single" w:sz="4" w:space="0" w:color="auto"/>
            </w:tcBorders>
            <w:shd w:val="clear" w:color="auto" w:fill="auto"/>
            <w:noWrap/>
            <w:vAlign w:val="bottom"/>
            <w:hideMark/>
          </w:tcPr>
          <w:p w14:paraId="0C81F713"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70F04FF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4E39B70A"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2DEA7B56"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EE04FB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PEA411</w:t>
            </w:r>
          </w:p>
        </w:tc>
        <w:tc>
          <w:tcPr>
            <w:tcW w:w="3220" w:type="dxa"/>
            <w:tcBorders>
              <w:top w:val="nil"/>
              <w:left w:val="nil"/>
              <w:bottom w:val="single" w:sz="4" w:space="0" w:color="auto"/>
              <w:right w:val="nil"/>
            </w:tcBorders>
            <w:shd w:val="clear" w:color="auto" w:fill="auto"/>
            <w:noWrap/>
            <w:vAlign w:val="bottom"/>
            <w:hideMark/>
          </w:tcPr>
          <w:p w14:paraId="1E5DC537" w14:textId="77777777" w:rsidR="00A41A74" w:rsidRPr="00325607" w:rsidRDefault="00A41A74" w:rsidP="00325607">
            <w:pPr>
              <w:widowControl/>
              <w:rPr>
                <w:snapToGrid/>
                <w:color w:val="000000"/>
                <w:kern w:val="0"/>
                <w:szCs w:val="22"/>
              </w:rPr>
            </w:pPr>
            <w:r w:rsidRPr="00325607">
              <w:rPr>
                <w:snapToGrid/>
                <w:color w:val="000000"/>
                <w:kern w:val="0"/>
                <w:szCs w:val="22"/>
              </w:rPr>
              <w:t>Van Horn, TX</w:t>
            </w:r>
          </w:p>
        </w:tc>
        <w:tc>
          <w:tcPr>
            <w:tcW w:w="326" w:type="dxa"/>
            <w:tcBorders>
              <w:top w:val="nil"/>
              <w:left w:val="nil"/>
              <w:bottom w:val="single" w:sz="4" w:space="0" w:color="auto"/>
              <w:right w:val="single" w:sz="4" w:space="0" w:color="auto"/>
            </w:tcBorders>
            <w:shd w:val="clear" w:color="auto" w:fill="auto"/>
            <w:noWrap/>
            <w:vAlign w:val="bottom"/>
            <w:hideMark/>
          </w:tcPr>
          <w:p w14:paraId="0E63A441" w14:textId="77777777" w:rsidR="00A41A74" w:rsidRPr="00325607" w:rsidRDefault="00A41A74" w:rsidP="00A41A74">
            <w:pPr>
              <w:widowControl/>
              <w:jc w:val="center"/>
              <w:rPr>
                <w:snapToGrid/>
                <w:color w:val="000000"/>
                <w:kern w:val="0"/>
                <w:szCs w:val="22"/>
              </w:rPr>
            </w:pPr>
          </w:p>
        </w:tc>
        <w:tc>
          <w:tcPr>
            <w:tcW w:w="1044" w:type="dxa"/>
            <w:tcBorders>
              <w:top w:val="nil"/>
              <w:left w:val="nil"/>
              <w:bottom w:val="single" w:sz="4" w:space="0" w:color="auto"/>
              <w:right w:val="single" w:sz="4" w:space="0" w:color="auto"/>
            </w:tcBorders>
            <w:shd w:val="clear" w:color="auto" w:fill="auto"/>
            <w:noWrap/>
            <w:vAlign w:val="bottom"/>
            <w:hideMark/>
          </w:tcPr>
          <w:p w14:paraId="1FA0F9DA"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5</w:t>
            </w:r>
          </w:p>
        </w:tc>
        <w:tc>
          <w:tcPr>
            <w:tcW w:w="2059" w:type="dxa"/>
            <w:tcBorders>
              <w:top w:val="nil"/>
              <w:left w:val="nil"/>
              <w:bottom w:val="single" w:sz="4" w:space="0" w:color="auto"/>
              <w:right w:val="single" w:sz="4" w:space="0" w:color="auto"/>
            </w:tcBorders>
            <w:shd w:val="clear" w:color="auto" w:fill="auto"/>
            <w:noWrap/>
            <w:vAlign w:val="bottom"/>
            <w:hideMark/>
          </w:tcPr>
          <w:p w14:paraId="7D9DE86C" w14:textId="77777777" w:rsidR="00A41A74" w:rsidRPr="00325607" w:rsidRDefault="00A41A74" w:rsidP="00325607">
            <w:pPr>
              <w:widowControl/>
              <w:rPr>
                <w:snapToGrid/>
                <w:color w:val="000000"/>
                <w:kern w:val="0"/>
                <w:szCs w:val="22"/>
              </w:rPr>
            </w:pPr>
            <w:r w:rsidRPr="00325607">
              <w:rPr>
                <w:snapToGrid/>
                <w:color w:val="000000"/>
                <w:kern w:val="0"/>
                <w:szCs w:val="22"/>
              </w:rPr>
              <w:t>Central</w:t>
            </w:r>
          </w:p>
        </w:tc>
      </w:tr>
      <w:tr w:rsidR="00A41A74" w:rsidRPr="00325607" w14:paraId="3E90FD32" w14:textId="77777777" w:rsidTr="00325607">
        <w:trPr>
          <w:cantSplit/>
          <w:trHeight w:val="3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4EB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PEA412</w:t>
            </w:r>
          </w:p>
        </w:tc>
        <w:tc>
          <w:tcPr>
            <w:tcW w:w="3220" w:type="dxa"/>
            <w:tcBorders>
              <w:top w:val="single" w:sz="4" w:space="0" w:color="auto"/>
              <w:left w:val="single" w:sz="4" w:space="0" w:color="auto"/>
              <w:bottom w:val="single" w:sz="4" w:space="0" w:color="auto"/>
            </w:tcBorders>
            <w:shd w:val="clear" w:color="auto" w:fill="auto"/>
            <w:noWrap/>
            <w:vAlign w:val="bottom"/>
            <w:hideMark/>
          </w:tcPr>
          <w:p w14:paraId="2FFA65FF" w14:textId="77777777" w:rsidR="00A41A74" w:rsidRPr="00325607" w:rsidRDefault="00A41A74" w:rsidP="00325607">
            <w:pPr>
              <w:widowControl/>
              <w:rPr>
                <w:snapToGrid/>
                <w:color w:val="000000"/>
                <w:kern w:val="0"/>
                <w:szCs w:val="22"/>
              </w:rPr>
            </w:pPr>
            <w:r w:rsidRPr="00325607">
              <w:rPr>
                <w:snapToGrid/>
                <w:color w:val="000000"/>
                <w:kern w:val="0"/>
                <w:szCs w:val="22"/>
              </w:rPr>
              <w:t>Puerto Rico</w:t>
            </w:r>
          </w:p>
        </w:tc>
        <w:tc>
          <w:tcPr>
            <w:tcW w:w="326" w:type="dxa"/>
            <w:tcBorders>
              <w:top w:val="single" w:sz="4" w:space="0" w:color="auto"/>
              <w:bottom w:val="single" w:sz="4" w:space="0" w:color="auto"/>
              <w:right w:val="single" w:sz="4" w:space="0" w:color="auto"/>
            </w:tcBorders>
            <w:shd w:val="clear" w:color="auto" w:fill="auto"/>
            <w:noWrap/>
            <w:vAlign w:val="bottom"/>
            <w:hideMark/>
          </w:tcPr>
          <w:p w14:paraId="3427C53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5F086"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3632"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228ED2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B4E499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PEA413</w:t>
            </w:r>
          </w:p>
        </w:tc>
        <w:tc>
          <w:tcPr>
            <w:tcW w:w="3220" w:type="dxa"/>
            <w:tcBorders>
              <w:top w:val="nil"/>
              <w:left w:val="nil"/>
              <w:bottom w:val="single" w:sz="4" w:space="0" w:color="auto"/>
              <w:right w:val="nil"/>
            </w:tcBorders>
            <w:shd w:val="clear" w:color="auto" w:fill="auto"/>
            <w:noWrap/>
            <w:vAlign w:val="bottom"/>
            <w:hideMark/>
          </w:tcPr>
          <w:p w14:paraId="656B2629" w14:textId="77777777" w:rsidR="00A41A74" w:rsidRPr="00325607" w:rsidRDefault="00A41A74" w:rsidP="00325607">
            <w:pPr>
              <w:widowControl/>
              <w:rPr>
                <w:snapToGrid/>
                <w:color w:val="000000"/>
                <w:kern w:val="0"/>
                <w:szCs w:val="22"/>
              </w:rPr>
            </w:pPr>
            <w:r w:rsidRPr="00325607">
              <w:rPr>
                <w:snapToGrid/>
                <w:color w:val="000000"/>
                <w:kern w:val="0"/>
                <w:szCs w:val="22"/>
              </w:rPr>
              <w:t>Guam-Northern Mariana Islands</w:t>
            </w:r>
          </w:p>
        </w:tc>
        <w:tc>
          <w:tcPr>
            <w:tcW w:w="326" w:type="dxa"/>
            <w:tcBorders>
              <w:top w:val="nil"/>
              <w:left w:val="nil"/>
              <w:bottom w:val="single" w:sz="4" w:space="0" w:color="auto"/>
              <w:right w:val="single" w:sz="4" w:space="0" w:color="auto"/>
            </w:tcBorders>
            <w:shd w:val="clear" w:color="auto" w:fill="auto"/>
            <w:noWrap/>
            <w:vAlign w:val="bottom"/>
            <w:hideMark/>
          </w:tcPr>
          <w:p w14:paraId="5AA3E51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5C984FF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A3F86F3"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6CC782FB"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71F831C"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PEA414</w:t>
            </w:r>
          </w:p>
        </w:tc>
        <w:tc>
          <w:tcPr>
            <w:tcW w:w="3220" w:type="dxa"/>
            <w:tcBorders>
              <w:top w:val="nil"/>
              <w:left w:val="nil"/>
              <w:bottom w:val="single" w:sz="4" w:space="0" w:color="auto"/>
              <w:right w:val="nil"/>
            </w:tcBorders>
            <w:shd w:val="clear" w:color="auto" w:fill="auto"/>
            <w:noWrap/>
            <w:vAlign w:val="bottom"/>
            <w:hideMark/>
          </w:tcPr>
          <w:p w14:paraId="5EF57FA5" w14:textId="77777777" w:rsidR="00A41A74" w:rsidRPr="00325607" w:rsidRDefault="00A41A74" w:rsidP="00325607">
            <w:pPr>
              <w:widowControl/>
              <w:rPr>
                <w:snapToGrid/>
                <w:color w:val="000000"/>
                <w:kern w:val="0"/>
                <w:szCs w:val="22"/>
              </w:rPr>
            </w:pPr>
            <w:r w:rsidRPr="00325607">
              <w:rPr>
                <w:snapToGrid/>
                <w:color w:val="000000"/>
                <w:kern w:val="0"/>
                <w:szCs w:val="22"/>
              </w:rPr>
              <w:t>US Virgin Islands</w:t>
            </w:r>
          </w:p>
        </w:tc>
        <w:tc>
          <w:tcPr>
            <w:tcW w:w="326" w:type="dxa"/>
            <w:tcBorders>
              <w:top w:val="nil"/>
              <w:left w:val="nil"/>
              <w:bottom w:val="single" w:sz="4" w:space="0" w:color="auto"/>
              <w:right w:val="single" w:sz="4" w:space="0" w:color="auto"/>
            </w:tcBorders>
            <w:shd w:val="clear" w:color="auto" w:fill="auto"/>
            <w:noWrap/>
            <w:vAlign w:val="bottom"/>
            <w:hideMark/>
          </w:tcPr>
          <w:p w14:paraId="0B2EB8CF"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1A7484D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0318E2F5"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ABE02D2"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CF8B6F2"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PEA415</w:t>
            </w:r>
          </w:p>
        </w:tc>
        <w:tc>
          <w:tcPr>
            <w:tcW w:w="3220" w:type="dxa"/>
            <w:tcBorders>
              <w:top w:val="nil"/>
              <w:left w:val="nil"/>
              <w:bottom w:val="single" w:sz="4" w:space="0" w:color="auto"/>
              <w:right w:val="nil"/>
            </w:tcBorders>
            <w:shd w:val="clear" w:color="auto" w:fill="auto"/>
            <w:noWrap/>
            <w:vAlign w:val="bottom"/>
            <w:hideMark/>
          </w:tcPr>
          <w:p w14:paraId="2C8F31B7" w14:textId="77777777" w:rsidR="00A41A74" w:rsidRPr="00325607" w:rsidRDefault="00A41A74" w:rsidP="00325607">
            <w:pPr>
              <w:widowControl/>
              <w:rPr>
                <w:snapToGrid/>
                <w:color w:val="000000"/>
                <w:kern w:val="0"/>
                <w:szCs w:val="22"/>
              </w:rPr>
            </w:pPr>
            <w:r w:rsidRPr="00325607">
              <w:rPr>
                <w:snapToGrid/>
                <w:color w:val="000000"/>
                <w:kern w:val="0"/>
                <w:szCs w:val="22"/>
              </w:rPr>
              <w:t>American Samoa</w:t>
            </w:r>
          </w:p>
        </w:tc>
        <w:tc>
          <w:tcPr>
            <w:tcW w:w="326" w:type="dxa"/>
            <w:tcBorders>
              <w:top w:val="nil"/>
              <w:left w:val="nil"/>
              <w:bottom w:val="single" w:sz="4" w:space="0" w:color="auto"/>
              <w:right w:val="single" w:sz="4" w:space="0" w:color="auto"/>
            </w:tcBorders>
            <w:shd w:val="clear" w:color="auto" w:fill="auto"/>
            <w:noWrap/>
            <w:vAlign w:val="bottom"/>
            <w:hideMark/>
          </w:tcPr>
          <w:p w14:paraId="0C72FE1E"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328B871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2DC93333"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5D2692D"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67EFD3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PEA416</w:t>
            </w:r>
          </w:p>
        </w:tc>
        <w:tc>
          <w:tcPr>
            <w:tcW w:w="3220" w:type="dxa"/>
            <w:tcBorders>
              <w:top w:val="nil"/>
              <w:left w:val="nil"/>
              <w:bottom w:val="single" w:sz="4" w:space="0" w:color="auto"/>
              <w:right w:val="nil"/>
            </w:tcBorders>
            <w:shd w:val="clear" w:color="auto" w:fill="auto"/>
            <w:noWrap/>
            <w:vAlign w:val="bottom"/>
            <w:hideMark/>
          </w:tcPr>
          <w:p w14:paraId="50C51965" w14:textId="77777777" w:rsidR="00A41A74" w:rsidRPr="00325607" w:rsidRDefault="00A41A74" w:rsidP="00325607">
            <w:pPr>
              <w:widowControl/>
              <w:rPr>
                <w:snapToGrid/>
                <w:color w:val="000000"/>
                <w:kern w:val="0"/>
                <w:szCs w:val="22"/>
              </w:rPr>
            </w:pPr>
            <w:r w:rsidRPr="00325607">
              <w:rPr>
                <w:snapToGrid/>
                <w:color w:val="000000"/>
                <w:kern w:val="0"/>
                <w:szCs w:val="22"/>
              </w:rPr>
              <w:t>Gulf of Mexico</w:t>
            </w:r>
          </w:p>
        </w:tc>
        <w:tc>
          <w:tcPr>
            <w:tcW w:w="326" w:type="dxa"/>
            <w:tcBorders>
              <w:top w:val="nil"/>
              <w:left w:val="nil"/>
              <w:bottom w:val="single" w:sz="4" w:space="0" w:color="auto"/>
              <w:right w:val="single" w:sz="4" w:space="0" w:color="auto"/>
            </w:tcBorders>
            <w:shd w:val="clear" w:color="auto" w:fill="auto"/>
            <w:noWrap/>
            <w:vAlign w:val="bottom"/>
            <w:hideMark/>
          </w:tcPr>
          <w:p w14:paraId="346C1F8B" w14:textId="77777777" w:rsidR="00A41A74" w:rsidRPr="00325607" w:rsidRDefault="00A41A74" w:rsidP="00A41A74">
            <w:pPr>
              <w:widowControl/>
              <w:jc w:val="center"/>
              <w:rPr>
                <w:snapToGrid/>
                <w:color w:val="000000"/>
                <w:kern w:val="0"/>
                <w:szCs w:val="22"/>
              </w:rPr>
            </w:pPr>
            <w:r w:rsidRPr="00325607">
              <w:rPr>
                <w:snapToGrid/>
                <w:color w:val="000000"/>
                <w:kern w:val="0"/>
                <w:szCs w:val="22"/>
              </w:rPr>
              <w:t>*</w:t>
            </w:r>
          </w:p>
        </w:tc>
        <w:tc>
          <w:tcPr>
            <w:tcW w:w="1044" w:type="dxa"/>
            <w:tcBorders>
              <w:top w:val="nil"/>
              <w:left w:val="nil"/>
              <w:bottom w:val="single" w:sz="4" w:space="0" w:color="auto"/>
              <w:right w:val="single" w:sz="4" w:space="0" w:color="auto"/>
            </w:tcBorders>
            <w:shd w:val="clear" w:color="auto" w:fill="auto"/>
            <w:noWrap/>
            <w:vAlign w:val="bottom"/>
            <w:hideMark/>
          </w:tcPr>
          <w:p w14:paraId="3302E7E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11871236"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54FE5130" w14:textId="77777777" w:rsidTr="00325607">
        <w:trPr>
          <w:cantSplit/>
          <w:trHeight w:val="300"/>
          <w:jc w:val="center"/>
        </w:trPr>
        <w:tc>
          <w:tcPr>
            <w:tcW w:w="1165" w:type="dxa"/>
            <w:tcBorders>
              <w:top w:val="nil"/>
              <w:left w:val="nil"/>
              <w:bottom w:val="nil"/>
              <w:right w:val="nil"/>
            </w:tcBorders>
            <w:shd w:val="clear" w:color="auto" w:fill="auto"/>
            <w:noWrap/>
            <w:vAlign w:val="bottom"/>
            <w:hideMark/>
          </w:tcPr>
          <w:p w14:paraId="7419A8BA" w14:textId="77777777" w:rsidR="00A41A74" w:rsidRPr="00325607" w:rsidRDefault="00A41A74" w:rsidP="00A41A74">
            <w:pPr>
              <w:widowControl/>
              <w:jc w:val="center"/>
              <w:rPr>
                <w:snapToGrid/>
                <w:color w:val="000000"/>
                <w:kern w:val="0"/>
                <w:szCs w:val="22"/>
              </w:rPr>
            </w:pPr>
          </w:p>
        </w:tc>
        <w:tc>
          <w:tcPr>
            <w:tcW w:w="3220" w:type="dxa"/>
            <w:tcBorders>
              <w:top w:val="nil"/>
              <w:left w:val="nil"/>
              <w:bottom w:val="nil"/>
              <w:right w:val="nil"/>
            </w:tcBorders>
            <w:shd w:val="clear" w:color="auto" w:fill="auto"/>
            <w:noWrap/>
            <w:vAlign w:val="bottom"/>
            <w:hideMark/>
          </w:tcPr>
          <w:p w14:paraId="176AEF6B" w14:textId="77777777" w:rsidR="00A41A74" w:rsidRPr="00325607" w:rsidRDefault="00A41A74" w:rsidP="00325607">
            <w:pPr>
              <w:widowControl/>
              <w:rPr>
                <w:snapToGrid/>
                <w:kern w:val="0"/>
                <w:sz w:val="20"/>
              </w:rPr>
            </w:pPr>
          </w:p>
        </w:tc>
        <w:tc>
          <w:tcPr>
            <w:tcW w:w="326" w:type="dxa"/>
            <w:tcBorders>
              <w:top w:val="nil"/>
              <w:left w:val="nil"/>
              <w:bottom w:val="nil"/>
              <w:right w:val="nil"/>
            </w:tcBorders>
            <w:shd w:val="clear" w:color="auto" w:fill="auto"/>
            <w:noWrap/>
            <w:vAlign w:val="bottom"/>
            <w:hideMark/>
          </w:tcPr>
          <w:p w14:paraId="7C6F9B7B" w14:textId="77777777" w:rsidR="00A41A74" w:rsidRPr="00325607" w:rsidRDefault="00A41A74" w:rsidP="00A41A74">
            <w:pPr>
              <w:widowControl/>
              <w:jc w:val="center"/>
              <w:rPr>
                <w:snapToGrid/>
                <w:kern w:val="0"/>
                <w:sz w:val="20"/>
              </w:rPr>
            </w:pPr>
          </w:p>
        </w:tc>
        <w:tc>
          <w:tcPr>
            <w:tcW w:w="1044" w:type="dxa"/>
            <w:tcBorders>
              <w:top w:val="nil"/>
              <w:left w:val="nil"/>
              <w:bottom w:val="nil"/>
              <w:right w:val="nil"/>
            </w:tcBorders>
            <w:shd w:val="clear" w:color="auto" w:fill="auto"/>
            <w:noWrap/>
            <w:vAlign w:val="bottom"/>
            <w:hideMark/>
          </w:tcPr>
          <w:p w14:paraId="60ACC60D" w14:textId="77777777" w:rsidR="00A41A74" w:rsidRPr="00325607" w:rsidRDefault="00A41A74" w:rsidP="00A41A74">
            <w:pPr>
              <w:widowControl/>
              <w:jc w:val="center"/>
              <w:rPr>
                <w:snapToGrid/>
                <w:kern w:val="0"/>
                <w:sz w:val="20"/>
              </w:rPr>
            </w:pPr>
          </w:p>
        </w:tc>
        <w:tc>
          <w:tcPr>
            <w:tcW w:w="2059" w:type="dxa"/>
            <w:tcBorders>
              <w:top w:val="nil"/>
              <w:left w:val="nil"/>
              <w:bottom w:val="nil"/>
              <w:right w:val="nil"/>
            </w:tcBorders>
            <w:shd w:val="clear" w:color="auto" w:fill="auto"/>
            <w:noWrap/>
            <w:vAlign w:val="bottom"/>
            <w:hideMark/>
          </w:tcPr>
          <w:p w14:paraId="5F36D10A" w14:textId="77777777" w:rsidR="00A41A74" w:rsidRPr="00325607" w:rsidRDefault="00A41A74" w:rsidP="00A41A74">
            <w:pPr>
              <w:widowControl/>
              <w:jc w:val="center"/>
              <w:rPr>
                <w:snapToGrid/>
                <w:kern w:val="0"/>
                <w:sz w:val="20"/>
              </w:rPr>
            </w:pPr>
          </w:p>
        </w:tc>
      </w:tr>
      <w:tr w:rsidR="00A41A74" w:rsidRPr="00325607" w14:paraId="5B5E9026" w14:textId="77777777" w:rsidTr="00325607">
        <w:trPr>
          <w:cantSplit/>
          <w:trHeight w:val="300"/>
          <w:jc w:val="center"/>
        </w:trPr>
        <w:tc>
          <w:tcPr>
            <w:tcW w:w="1165" w:type="dxa"/>
            <w:tcBorders>
              <w:top w:val="nil"/>
              <w:left w:val="nil"/>
              <w:bottom w:val="nil"/>
              <w:right w:val="nil"/>
            </w:tcBorders>
            <w:shd w:val="clear" w:color="auto" w:fill="auto"/>
            <w:noWrap/>
            <w:vAlign w:val="bottom"/>
            <w:hideMark/>
          </w:tcPr>
          <w:p w14:paraId="3B7D6F23" w14:textId="77777777" w:rsidR="00A41A74" w:rsidRPr="00325607" w:rsidRDefault="00A41A74" w:rsidP="00A41A74">
            <w:pPr>
              <w:widowControl/>
              <w:jc w:val="center"/>
              <w:rPr>
                <w:snapToGrid/>
                <w:kern w:val="0"/>
                <w:sz w:val="20"/>
              </w:rPr>
            </w:pPr>
          </w:p>
        </w:tc>
        <w:tc>
          <w:tcPr>
            <w:tcW w:w="3220" w:type="dxa"/>
            <w:tcBorders>
              <w:top w:val="nil"/>
              <w:left w:val="nil"/>
              <w:bottom w:val="nil"/>
              <w:right w:val="nil"/>
            </w:tcBorders>
            <w:shd w:val="clear" w:color="auto" w:fill="auto"/>
            <w:noWrap/>
            <w:vAlign w:val="bottom"/>
            <w:hideMark/>
          </w:tcPr>
          <w:p w14:paraId="561D5D3E" w14:textId="77777777" w:rsidR="00A41A74" w:rsidRPr="00325607" w:rsidRDefault="00A41A74" w:rsidP="00325607">
            <w:pPr>
              <w:widowControl/>
              <w:rPr>
                <w:snapToGrid/>
                <w:kern w:val="0"/>
                <w:sz w:val="20"/>
              </w:rPr>
            </w:pPr>
          </w:p>
        </w:tc>
        <w:tc>
          <w:tcPr>
            <w:tcW w:w="326" w:type="dxa"/>
            <w:tcBorders>
              <w:top w:val="nil"/>
              <w:left w:val="nil"/>
              <w:bottom w:val="nil"/>
              <w:right w:val="nil"/>
            </w:tcBorders>
            <w:shd w:val="clear" w:color="auto" w:fill="auto"/>
            <w:noWrap/>
            <w:vAlign w:val="bottom"/>
            <w:hideMark/>
          </w:tcPr>
          <w:p w14:paraId="3F8EF0F6" w14:textId="77777777" w:rsidR="00A41A74" w:rsidRPr="00325607" w:rsidRDefault="00A41A74" w:rsidP="00A41A74">
            <w:pPr>
              <w:widowControl/>
              <w:jc w:val="center"/>
              <w:rPr>
                <w:snapToGrid/>
                <w:kern w:val="0"/>
                <w:sz w:val="20"/>
              </w:rPr>
            </w:pPr>
          </w:p>
        </w:tc>
        <w:tc>
          <w:tcPr>
            <w:tcW w:w="1044" w:type="dxa"/>
            <w:tcBorders>
              <w:top w:val="nil"/>
              <w:left w:val="nil"/>
              <w:bottom w:val="nil"/>
              <w:right w:val="nil"/>
            </w:tcBorders>
            <w:shd w:val="clear" w:color="auto" w:fill="auto"/>
            <w:noWrap/>
            <w:vAlign w:val="bottom"/>
            <w:hideMark/>
          </w:tcPr>
          <w:p w14:paraId="69BED43F" w14:textId="77777777" w:rsidR="00A41A74" w:rsidRPr="00325607" w:rsidRDefault="00A41A74" w:rsidP="00A41A74">
            <w:pPr>
              <w:widowControl/>
              <w:jc w:val="center"/>
              <w:rPr>
                <w:snapToGrid/>
                <w:kern w:val="0"/>
                <w:sz w:val="20"/>
              </w:rPr>
            </w:pPr>
          </w:p>
        </w:tc>
        <w:tc>
          <w:tcPr>
            <w:tcW w:w="2059" w:type="dxa"/>
            <w:tcBorders>
              <w:top w:val="nil"/>
              <w:left w:val="nil"/>
              <w:bottom w:val="nil"/>
              <w:right w:val="nil"/>
            </w:tcBorders>
            <w:shd w:val="clear" w:color="auto" w:fill="auto"/>
            <w:noWrap/>
            <w:vAlign w:val="bottom"/>
            <w:hideMark/>
          </w:tcPr>
          <w:p w14:paraId="58E16EA5" w14:textId="77777777" w:rsidR="00A41A74" w:rsidRPr="00325607" w:rsidRDefault="00A41A74" w:rsidP="00A41A74">
            <w:pPr>
              <w:widowControl/>
              <w:jc w:val="center"/>
              <w:rPr>
                <w:snapToGrid/>
                <w:kern w:val="0"/>
                <w:sz w:val="20"/>
              </w:rPr>
            </w:pPr>
          </w:p>
        </w:tc>
      </w:tr>
      <w:tr w:rsidR="00A41A74" w:rsidRPr="00325607" w14:paraId="30608B9D" w14:textId="77777777" w:rsidTr="00325607">
        <w:trPr>
          <w:cantSplit/>
          <w:trHeight w:val="900"/>
          <w:jc w:val="center"/>
        </w:trPr>
        <w:tc>
          <w:tcPr>
            <w:tcW w:w="7814" w:type="dxa"/>
            <w:gridSpan w:val="5"/>
            <w:tcBorders>
              <w:top w:val="nil"/>
              <w:left w:val="nil"/>
              <w:bottom w:val="nil"/>
              <w:right w:val="nil"/>
            </w:tcBorders>
            <w:shd w:val="clear" w:color="auto" w:fill="auto"/>
            <w:hideMark/>
          </w:tcPr>
          <w:p w14:paraId="55CCE456" w14:textId="77777777" w:rsidR="00A41A74" w:rsidRPr="00325607" w:rsidRDefault="00A41A74" w:rsidP="004B4D0C">
            <w:pPr>
              <w:widowControl/>
              <w:rPr>
                <w:snapToGrid/>
                <w:color w:val="000000"/>
                <w:kern w:val="0"/>
                <w:szCs w:val="22"/>
              </w:rPr>
            </w:pPr>
            <w:r w:rsidRPr="00325607">
              <w:rPr>
                <w:snapToGrid/>
                <w:color w:val="000000"/>
                <w:kern w:val="0"/>
                <w:szCs w:val="22"/>
              </w:rPr>
              <w:t>* For the grouping</w:t>
            </w:r>
            <w:r w:rsidR="004B4D0C">
              <w:rPr>
                <w:snapToGrid/>
                <w:color w:val="000000"/>
                <w:kern w:val="0"/>
                <w:szCs w:val="22"/>
              </w:rPr>
              <w:t xml:space="preserve"> and sequencing of</w:t>
            </w:r>
            <w:r w:rsidRPr="00325607">
              <w:rPr>
                <w:snapToGrid/>
                <w:color w:val="000000"/>
                <w:kern w:val="0"/>
                <w:szCs w:val="22"/>
              </w:rPr>
              <w:t xml:space="preserve"> PEAs by REAG in the assignment rounds, PEAs that fall within REAGs 7-12 </w:t>
            </w:r>
            <w:r w:rsidR="004B4D0C">
              <w:rPr>
                <w:snapToGrid/>
                <w:color w:val="000000"/>
                <w:kern w:val="0"/>
                <w:szCs w:val="22"/>
              </w:rPr>
              <w:t xml:space="preserve">will be included instead </w:t>
            </w:r>
            <w:r w:rsidRPr="00325607">
              <w:rPr>
                <w:snapToGrid/>
                <w:color w:val="000000"/>
                <w:kern w:val="0"/>
                <w:szCs w:val="22"/>
              </w:rPr>
              <w:t>with the PEAs that fall within REAGs 2 and 6, as shown below.</w:t>
            </w:r>
          </w:p>
        </w:tc>
      </w:tr>
      <w:tr w:rsidR="00A41A74" w:rsidRPr="00325607" w14:paraId="58F49A36" w14:textId="77777777" w:rsidTr="00325607">
        <w:trPr>
          <w:cantSplit/>
          <w:trHeight w:val="300"/>
          <w:jc w:val="center"/>
        </w:trPr>
        <w:tc>
          <w:tcPr>
            <w:tcW w:w="47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CDBF" w14:textId="77777777" w:rsidR="00A41A74" w:rsidRPr="00325607" w:rsidRDefault="00A41A74" w:rsidP="00325607">
            <w:pPr>
              <w:widowControl/>
              <w:rPr>
                <w:b/>
                <w:bCs/>
                <w:snapToGrid/>
                <w:color w:val="000000"/>
                <w:kern w:val="0"/>
                <w:szCs w:val="22"/>
              </w:rPr>
            </w:pPr>
            <w:r w:rsidRPr="00325607">
              <w:rPr>
                <w:b/>
                <w:bCs/>
                <w:snapToGrid/>
                <w:color w:val="000000"/>
                <w:kern w:val="0"/>
                <w:szCs w:val="22"/>
              </w:rPr>
              <w:t>Actual REAG</w:t>
            </w:r>
          </w:p>
        </w:tc>
        <w:tc>
          <w:tcPr>
            <w:tcW w:w="31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59C558" w14:textId="77777777" w:rsidR="00A41A74" w:rsidRPr="00325607" w:rsidRDefault="00A41A74" w:rsidP="00A41A74">
            <w:pPr>
              <w:widowControl/>
              <w:jc w:val="center"/>
              <w:rPr>
                <w:b/>
                <w:bCs/>
                <w:snapToGrid/>
                <w:color w:val="000000"/>
                <w:kern w:val="0"/>
                <w:szCs w:val="22"/>
              </w:rPr>
            </w:pPr>
            <w:r w:rsidRPr="00325607">
              <w:rPr>
                <w:b/>
                <w:bCs/>
                <w:snapToGrid/>
                <w:color w:val="000000"/>
                <w:kern w:val="0"/>
                <w:szCs w:val="22"/>
              </w:rPr>
              <w:t xml:space="preserve">Grouped </w:t>
            </w:r>
            <w:r w:rsidRPr="00325607">
              <w:rPr>
                <w:b/>
                <w:bCs/>
                <w:snapToGrid/>
                <w:color w:val="000000"/>
                <w:kern w:val="0"/>
                <w:szCs w:val="22"/>
              </w:rPr>
              <w:br/>
              <w:t>With</w:t>
            </w:r>
          </w:p>
        </w:tc>
      </w:tr>
      <w:tr w:rsidR="00A41A74" w:rsidRPr="00325607" w14:paraId="50E179AC"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ACCE0E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7</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DD1592" w14:textId="77777777" w:rsidR="00A41A74" w:rsidRPr="00325607" w:rsidRDefault="00A41A74" w:rsidP="00325607">
            <w:pPr>
              <w:widowControl/>
              <w:rPr>
                <w:snapToGrid/>
                <w:color w:val="000000"/>
                <w:kern w:val="0"/>
                <w:szCs w:val="22"/>
              </w:rPr>
            </w:pPr>
            <w:r w:rsidRPr="00325607">
              <w:rPr>
                <w:snapToGrid/>
                <w:color w:val="000000"/>
                <w:kern w:val="0"/>
                <w:szCs w:val="22"/>
              </w:rPr>
              <w:t>Alaska</w:t>
            </w:r>
          </w:p>
        </w:tc>
        <w:tc>
          <w:tcPr>
            <w:tcW w:w="1044" w:type="dxa"/>
            <w:tcBorders>
              <w:top w:val="nil"/>
              <w:left w:val="nil"/>
              <w:bottom w:val="single" w:sz="4" w:space="0" w:color="auto"/>
              <w:right w:val="single" w:sz="4" w:space="0" w:color="auto"/>
            </w:tcBorders>
            <w:shd w:val="clear" w:color="auto" w:fill="auto"/>
            <w:noWrap/>
            <w:vAlign w:val="bottom"/>
            <w:hideMark/>
          </w:tcPr>
          <w:p w14:paraId="1C91747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32D6DFF"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2115FE68"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5059180"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8</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ABC96B" w14:textId="77777777" w:rsidR="00A41A74" w:rsidRPr="00325607" w:rsidRDefault="00A41A74" w:rsidP="00325607">
            <w:pPr>
              <w:widowControl/>
              <w:rPr>
                <w:snapToGrid/>
                <w:color w:val="000000"/>
                <w:kern w:val="0"/>
                <w:szCs w:val="22"/>
              </w:rPr>
            </w:pPr>
            <w:r w:rsidRPr="00325607">
              <w:rPr>
                <w:snapToGrid/>
                <w:color w:val="000000"/>
                <w:kern w:val="0"/>
                <w:szCs w:val="22"/>
              </w:rPr>
              <w:t>Hawaii</w:t>
            </w:r>
          </w:p>
        </w:tc>
        <w:tc>
          <w:tcPr>
            <w:tcW w:w="1044" w:type="dxa"/>
            <w:tcBorders>
              <w:top w:val="nil"/>
              <w:left w:val="nil"/>
              <w:bottom w:val="single" w:sz="4" w:space="0" w:color="auto"/>
              <w:right w:val="single" w:sz="4" w:space="0" w:color="auto"/>
            </w:tcBorders>
            <w:shd w:val="clear" w:color="auto" w:fill="auto"/>
            <w:noWrap/>
            <w:vAlign w:val="bottom"/>
            <w:hideMark/>
          </w:tcPr>
          <w:p w14:paraId="665AF9B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4B29E3D3"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27AD373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3CD8CB5"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9</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9BED0B" w14:textId="77777777" w:rsidR="00A41A74" w:rsidRPr="00325607" w:rsidRDefault="00A41A74" w:rsidP="00325607">
            <w:pPr>
              <w:widowControl/>
              <w:rPr>
                <w:snapToGrid/>
                <w:kern w:val="0"/>
                <w:szCs w:val="22"/>
              </w:rPr>
            </w:pPr>
            <w:r w:rsidRPr="00325607">
              <w:rPr>
                <w:snapToGrid/>
                <w:kern w:val="0"/>
                <w:szCs w:val="22"/>
              </w:rPr>
              <w:t>Guam, Northern Mariana Islands</w:t>
            </w:r>
          </w:p>
        </w:tc>
        <w:tc>
          <w:tcPr>
            <w:tcW w:w="1044" w:type="dxa"/>
            <w:tcBorders>
              <w:top w:val="nil"/>
              <w:left w:val="nil"/>
              <w:bottom w:val="single" w:sz="4" w:space="0" w:color="auto"/>
              <w:right w:val="single" w:sz="4" w:space="0" w:color="auto"/>
            </w:tcBorders>
            <w:shd w:val="clear" w:color="auto" w:fill="auto"/>
            <w:noWrap/>
            <w:vAlign w:val="bottom"/>
            <w:hideMark/>
          </w:tcPr>
          <w:p w14:paraId="7BE1B169"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1C5FF0FF"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F7DD58E"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B2AEA0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10</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60F438" w14:textId="77777777" w:rsidR="00A41A74" w:rsidRPr="00325607" w:rsidRDefault="00A41A74" w:rsidP="00325607">
            <w:pPr>
              <w:widowControl/>
              <w:rPr>
                <w:snapToGrid/>
                <w:kern w:val="0"/>
                <w:szCs w:val="22"/>
              </w:rPr>
            </w:pPr>
            <w:r w:rsidRPr="00325607">
              <w:rPr>
                <w:snapToGrid/>
                <w:kern w:val="0"/>
                <w:szCs w:val="22"/>
              </w:rPr>
              <w:t>Puerto Rico, US Virgin Islands</w:t>
            </w:r>
          </w:p>
        </w:tc>
        <w:tc>
          <w:tcPr>
            <w:tcW w:w="1044" w:type="dxa"/>
            <w:tcBorders>
              <w:top w:val="nil"/>
              <w:left w:val="nil"/>
              <w:bottom w:val="single" w:sz="4" w:space="0" w:color="auto"/>
              <w:right w:val="single" w:sz="4" w:space="0" w:color="auto"/>
            </w:tcBorders>
            <w:shd w:val="clear" w:color="auto" w:fill="auto"/>
            <w:noWrap/>
            <w:vAlign w:val="bottom"/>
            <w:hideMark/>
          </w:tcPr>
          <w:p w14:paraId="3A85F4D7"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400EB68B"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r w:rsidR="00A41A74" w:rsidRPr="00325607" w14:paraId="187A4E10"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9766101"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11</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745AF2" w14:textId="77777777" w:rsidR="00A41A74" w:rsidRPr="00325607" w:rsidRDefault="00A41A74" w:rsidP="00325607">
            <w:pPr>
              <w:widowControl/>
              <w:rPr>
                <w:snapToGrid/>
                <w:kern w:val="0"/>
                <w:szCs w:val="22"/>
              </w:rPr>
            </w:pPr>
            <w:r w:rsidRPr="00325607">
              <w:rPr>
                <w:snapToGrid/>
                <w:kern w:val="0"/>
                <w:szCs w:val="22"/>
              </w:rPr>
              <w:t>American Samoa</w:t>
            </w:r>
          </w:p>
        </w:tc>
        <w:tc>
          <w:tcPr>
            <w:tcW w:w="1044" w:type="dxa"/>
            <w:tcBorders>
              <w:top w:val="nil"/>
              <w:left w:val="nil"/>
              <w:bottom w:val="single" w:sz="4" w:space="0" w:color="auto"/>
              <w:right w:val="single" w:sz="4" w:space="0" w:color="auto"/>
            </w:tcBorders>
            <w:shd w:val="clear" w:color="auto" w:fill="auto"/>
            <w:noWrap/>
            <w:vAlign w:val="bottom"/>
            <w:hideMark/>
          </w:tcPr>
          <w:p w14:paraId="73D1F23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6</w:t>
            </w:r>
          </w:p>
        </w:tc>
        <w:tc>
          <w:tcPr>
            <w:tcW w:w="2059" w:type="dxa"/>
            <w:tcBorders>
              <w:top w:val="nil"/>
              <w:left w:val="nil"/>
              <w:bottom w:val="single" w:sz="4" w:space="0" w:color="auto"/>
              <w:right w:val="single" w:sz="4" w:space="0" w:color="auto"/>
            </w:tcBorders>
            <w:shd w:val="clear" w:color="auto" w:fill="auto"/>
            <w:noWrap/>
            <w:vAlign w:val="bottom"/>
            <w:hideMark/>
          </w:tcPr>
          <w:p w14:paraId="5846355E" w14:textId="77777777" w:rsidR="00A41A74" w:rsidRPr="00325607" w:rsidRDefault="00A41A74" w:rsidP="00325607">
            <w:pPr>
              <w:widowControl/>
              <w:rPr>
                <w:snapToGrid/>
                <w:color w:val="000000"/>
                <w:kern w:val="0"/>
                <w:szCs w:val="22"/>
              </w:rPr>
            </w:pPr>
            <w:r w:rsidRPr="00325607">
              <w:rPr>
                <w:snapToGrid/>
                <w:color w:val="000000"/>
                <w:kern w:val="0"/>
                <w:szCs w:val="22"/>
              </w:rPr>
              <w:t>West</w:t>
            </w:r>
          </w:p>
        </w:tc>
      </w:tr>
      <w:tr w:rsidR="00A41A74" w:rsidRPr="00325607" w14:paraId="066882EF" w14:textId="77777777" w:rsidTr="00325607">
        <w:trPr>
          <w:cantSplit/>
          <w:trHeight w:val="300"/>
          <w:jc w:val="center"/>
        </w:trPr>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11796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12</w:t>
            </w:r>
          </w:p>
        </w:tc>
        <w:tc>
          <w:tcPr>
            <w:tcW w:w="354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6B4A18" w14:textId="77777777" w:rsidR="00A41A74" w:rsidRPr="00325607" w:rsidRDefault="00A41A74" w:rsidP="00325607">
            <w:pPr>
              <w:widowControl/>
              <w:rPr>
                <w:snapToGrid/>
                <w:kern w:val="0"/>
                <w:szCs w:val="22"/>
              </w:rPr>
            </w:pPr>
            <w:r w:rsidRPr="00325607">
              <w:rPr>
                <w:snapToGrid/>
                <w:kern w:val="0"/>
                <w:szCs w:val="22"/>
              </w:rPr>
              <w:t>Gulf of Mexico</w:t>
            </w:r>
          </w:p>
        </w:tc>
        <w:tc>
          <w:tcPr>
            <w:tcW w:w="1044" w:type="dxa"/>
            <w:tcBorders>
              <w:top w:val="nil"/>
              <w:left w:val="nil"/>
              <w:bottom w:val="single" w:sz="4" w:space="0" w:color="auto"/>
              <w:right w:val="single" w:sz="4" w:space="0" w:color="auto"/>
            </w:tcBorders>
            <w:shd w:val="clear" w:color="auto" w:fill="auto"/>
            <w:noWrap/>
            <w:vAlign w:val="bottom"/>
            <w:hideMark/>
          </w:tcPr>
          <w:p w14:paraId="03066738" w14:textId="77777777" w:rsidR="00A41A74" w:rsidRPr="00325607" w:rsidRDefault="00A41A74" w:rsidP="00A41A74">
            <w:pPr>
              <w:widowControl/>
              <w:jc w:val="center"/>
              <w:rPr>
                <w:snapToGrid/>
                <w:color w:val="000000"/>
                <w:kern w:val="0"/>
                <w:szCs w:val="22"/>
              </w:rPr>
            </w:pPr>
            <w:r w:rsidRPr="00325607">
              <w:rPr>
                <w:snapToGrid/>
                <w:color w:val="000000"/>
                <w:kern w:val="0"/>
                <w:szCs w:val="22"/>
              </w:rPr>
              <w:t>REAG 2</w:t>
            </w:r>
          </w:p>
        </w:tc>
        <w:tc>
          <w:tcPr>
            <w:tcW w:w="2059" w:type="dxa"/>
            <w:tcBorders>
              <w:top w:val="nil"/>
              <w:left w:val="nil"/>
              <w:bottom w:val="single" w:sz="4" w:space="0" w:color="auto"/>
              <w:right w:val="single" w:sz="4" w:space="0" w:color="auto"/>
            </w:tcBorders>
            <w:shd w:val="clear" w:color="auto" w:fill="auto"/>
            <w:noWrap/>
            <w:vAlign w:val="bottom"/>
            <w:hideMark/>
          </w:tcPr>
          <w:p w14:paraId="27B2836C" w14:textId="77777777" w:rsidR="00A41A74" w:rsidRPr="00325607" w:rsidRDefault="00A41A74" w:rsidP="00325607">
            <w:pPr>
              <w:widowControl/>
              <w:rPr>
                <w:snapToGrid/>
                <w:color w:val="000000"/>
                <w:kern w:val="0"/>
                <w:szCs w:val="22"/>
              </w:rPr>
            </w:pPr>
            <w:r w:rsidRPr="00325607">
              <w:rPr>
                <w:snapToGrid/>
                <w:color w:val="000000"/>
                <w:kern w:val="0"/>
                <w:szCs w:val="22"/>
              </w:rPr>
              <w:t>Southeast</w:t>
            </w:r>
          </w:p>
        </w:tc>
      </w:tr>
    </w:tbl>
    <w:p w14:paraId="7273B3E2" w14:textId="77777777" w:rsidR="00A41A74" w:rsidRDefault="00A41A74" w:rsidP="0059717C">
      <w:pPr>
        <w:widowControl/>
        <w:jc w:val="center"/>
        <w:rPr>
          <w:b/>
          <w:sz w:val="24"/>
        </w:rPr>
      </w:pPr>
    </w:p>
    <w:p w14:paraId="5BC8D39F" w14:textId="77777777" w:rsidR="00C33642" w:rsidRDefault="00C33642" w:rsidP="0059717C">
      <w:pPr>
        <w:widowControl/>
        <w:jc w:val="center"/>
        <w:rPr>
          <w:b/>
          <w:sz w:val="24"/>
        </w:rPr>
        <w:sectPr w:rsidR="00C33642" w:rsidSect="00325607">
          <w:footerReference w:type="default" r:id="rId22"/>
          <w:headerReference w:type="first" r:id="rId23"/>
          <w:endnotePr>
            <w:numFmt w:val="decimal"/>
          </w:endnotePr>
          <w:pgSz w:w="12240" w:h="15840" w:code="1"/>
          <w:pgMar w:top="1440" w:right="1440" w:bottom="720" w:left="1440" w:header="720" w:footer="720" w:gutter="0"/>
          <w:pgNumType w:start="1"/>
          <w:cols w:space="720"/>
          <w:noEndnote/>
          <w:docGrid w:linePitch="299"/>
        </w:sectPr>
      </w:pPr>
    </w:p>
    <w:p w14:paraId="426B519B" w14:textId="77777777" w:rsidR="00C33642" w:rsidRDefault="00C33642" w:rsidP="00C33642">
      <w:pPr>
        <w:widowControl/>
        <w:jc w:val="center"/>
        <w:rPr>
          <w:b/>
          <w:sz w:val="26"/>
          <w:szCs w:val="26"/>
        </w:rPr>
      </w:pPr>
      <w:r>
        <w:rPr>
          <w:b/>
          <w:sz w:val="26"/>
          <w:szCs w:val="26"/>
        </w:rPr>
        <w:t>ATTACHMENT 2</w:t>
      </w:r>
    </w:p>
    <w:p w14:paraId="2A266ECB" w14:textId="77777777" w:rsidR="00C33642" w:rsidRDefault="00C33642" w:rsidP="00C33642">
      <w:pPr>
        <w:widowControl/>
        <w:jc w:val="center"/>
        <w:rPr>
          <w:b/>
          <w:sz w:val="26"/>
          <w:szCs w:val="26"/>
        </w:rPr>
      </w:pPr>
    </w:p>
    <w:p w14:paraId="1F75202A" w14:textId="77777777" w:rsidR="00C33642" w:rsidRPr="00A41A74" w:rsidRDefault="00C33642" w:rsidP="00C33642">
      <w:pPr>
        <w:widowControl/>
        <w:jc w:val="center"/>
        <w:rPr>
          <w:b/>
          <w:szCs w:val="22"/>
        </w:rPr>
      </w:pPr>
      <w:r>
        <w:rPr>
          <w:b/>
          <w:szCs w:val="22"/>
        </w:rPr>
        <w:t xml:space="preserve">Revised Section 5.5 in APPENDIX D </w:t>
      </w:r>
    </w:p>
    <w:p w14:paraId="6B5FAA7F" w14:textId="77777777" w:rsidR="00C33642" w:rsidRDefault="00C33642" w:rsidP="00C33642">
      <w:pPr>
        <w:widowControl/>
        <w:jc w:val="center"/>
        <w:rPr>
          <w:b/>
          <w:sz w:val="24"/>
        </w:rPr>
      </w:pPr>
    </w:p>
    <w:p w14:paraId="501CAFAA" w14:textId="77777777" w:rsidR="00C33642" w:rsidRPr="00144F32" w:rsidRDefault="00C33642" w:rsidP="00144F32">
      <w:bookmarkStart w:id="17" w:name="_Ref417372231"/>
      <w:bookmarkStart w:id="18" w:name="_Ref417371689"/>
      <w:bookmarkStart w:id="19" w:name="_Ref417371677"/>
      <w:bookmarkStart w:id="20" w:name="_Ref417371668"/>
      <w:bookmarkStart w:id="21" w:name="_Ref417371660"/>
      <w:bookmarkStart w:id="22" w:name="_Toc425941277"/>
      <w:r w:rsidRPr="00144F32">
        <w:rPr>
          <w:b/>
        </w:rPr>
        <w:t xml:space="preserve">5.5 </w:t>
      </w:r>
      <w:r w:rsidRPr="00144F32">
        <w:rPr>
          <w:b/>
        </w:rPr>
        <w:tab/>
        <w:t xml:space="preserve">Determining Whether a Station is </w:t>
      </w:r>
      <w:bookmarkEnd w:id="17"/>
      <w:bookmarkEnd w:id="18"/>
      <w:bookmarkEnd w:id="19"/>
      <w:bookmarkEnd w:id="20"/>
      <w:bookmarkEnd w:id="21"/>
      <w:r w:rsidRPr="00144F32">
        <w:rPr>
          <w:b/>
        </w:rPr>
        <w:t>“Exited – Not Needed”</w:t>
      </w:r>
      <w:bookmarkEnd w:id="22"/>
    </w:p>
    <w:p w14:paraId="778BEB64" w14:textId="77777777" w:rsidR="00C14BE9" w:rsidRDefault="00C14BE9" w:rsidP="00144F32"/>
    <w:p w14:paraId="4DD244FA" w14:textId="77777777" w:rsidR="00C33642" w:rsidRDefault="00C33642" w:rsidP="00C33642">
      <w:pPr>
        <w:widowControl/>
        <w:spacing w:after="120"/>
        <w:rPr>
          <w:color w:val="000000" w:themeColor="text1"/>
        </w:rPr>
      </w:pPr>
      <w:r>
        <w:rPr>
          <w:color w:val="000000" w:themeColor="text1"/>
        </w:rPr>
        <w:t xml:space="preserve">A station </w:t>
      </w:r>
      <m:oMath>
        <m:r>
          <w:rPr>
            <w:rFonts w:ascii="Cambria Math" w:hAnsi="Cambria Math"/>
            <w:color w:val="000000" w:themeColor="text1"/>
          </w:rPr>
          <m:t>s</m:t>
        </m:r>
      </m:oMath>
      <w:r>
        <w:rPr>
          <w:color w:val="000000" w:themeColor="text1"/>
        </w:rPr>
        <w:t xml:space="preserve"> is assigned a status of “exited – not needed” if it is determined that the station would remain feasible in its pre-auction band for any possible bidding behavior of stations that are still active in the auction.  When this is determined, the station is notified that it will be assigned to its pre-auction band and will no longer participate in the auction.</w:t>
      </w:r>
    </w:p>
    <w:p w14:paraId="16AD0928" w14:textId="779F8767" w:rsidR="00C33642" w:rsidRDefault="00C33642" w:rsidP="00C33642">
      <w:pPr>
        <w:widowControl/>
        <w:spacing w:after="120"/>
        <w:rPr>
          <w:color w:val="000000" w:themeColor="text1"/>
        </w:rPr>
      </w:pPr>
      <w:r>
        <w:rPr>
          <w:color w:val="000000" w:themeColor="text1"/>
        </w:rPr>
        <w:t xml:space="preserve">The following algorithm is used during processing to determine whether station </w:t>
      </w:r>
      <m:oMath>
        <m:r>
          <w:rPr>
            <w:rFonts w:ascii="Cambria Math" w:hAnsi="Cambria Math"/>
            <w:color w:val="000000" w:themeColor="text1"/>
          </w:rPr>
          <m:t>s</m:t>
        </m:r>
      </m:oMath>
      <w:r>
        <w:rPr>
          <w:color w:val="000000" w:themeColor="text1"/>
        </w:rPr>
        <w:t xml:space="preserve"> with pre-auction band </w:t>
      </w:r>
      <m:oMath>
        <m:r>
          <w:rPr>
            <w:rFonts w:ascii="Cambria Math" w:hAnsi="Cambria Math"/>
            <w:color w:val="000000" w:themeColor="text1"/>
          </w:rPr>
          <m:t>b</m:t>
        </m:r>
      </m:oMath>
      <w:r>
        <w:rPr>
          <w:color w:val="000000" w:themeColor="text1"/>
        </w:rPr>
        <w:t xml:space="preserve"> should be assigned a status of “exited </w:t>
      </w:r>
      <w:r w:rsidR="00823E5A">
        <w:rPr>
          <w:color w:val="000000" w:themeColor="text1"/>
        </w:rPr>
        <w:t>–</w:t>
      </w:r>
      <w:r>
        <w:rPr>
          <w:color w:val="000000" w:themeColor="text1"/>
        </w:rPr>
        <w:t xml:space="preserve"> not needed:”</w:t>
      </w:r>
    </w:p>
    <w:p w14:paraId="07451150" w14:textId="77777777" w:rsidR="00C33642" w:rsidRDefault="00C33642" w:rsidP="00C33642">
      <w:pPr>
        <w:pStyle w:val="ListParagraph"/>
        <w:keepNext/>
        <w:widowControl/>
        <w:numPr>
          <w:ilvl w:val="0"/>
          <w:numId w:val="29"/>
        </w:numPr>
        <w:snapToGrid w:val="0"/>
        <w:spacing w:after="120" w:line="240" w:lineRule="auto"/>
        <w:rPr>
          <w:color w:val="000000" w:themeColor="text1"/>
          <w:szCs w:val="22"/>
        </w:rPr>
      </w:pPr>
      <w:r>
        <w:rPr>
          <w:color w:val="000000" w:themeColor="text1"/>
          <w:szCs w:val="22"/>
        </w:rPr>
        <w:t xml:space="preserve">First, determine the set of stations (other than station </w:t>
      </w:r>
      <m:oMath>
        <m:r>
          <w:rPr>
            <w:rFonts w:ascii="Cambria Math" w:hAnsi="Cambria Math"/>
            <w:color w:val="000000" w:themeColor="text1"/>
            <w:szCs w:val="22"/>
          </w:rPr>
          <m:t>s</m:t>
        </m:r>
      </m:oMath>
      <w:r>
        <w:rPr>
          <w:color w:val="000000" w:themeColor="text1"/>
          <w:szCs w:val="22"/>
        </w:rPr>
        <w:t xml:space="preserve">) that could end up in band </w:t>
      </w:r>
      <m:oMath>
        <m:r>
          <w:rPr>
            <w:rFonts w:ascii="Cambria Math" w:hAnsi="Cambria Math"/>
            <w:color w:val="000000" w:themeColor="text1"/>
            <w:szCs w:val="22"/>
          </w:rPr>
          <m:t>b</m:t>
        </m:r>
      </m:oMath>
      <w:r>
        <w:rPr>
          <w:color w:val="000000" w:themeColor="text1"/>
          <w:szCs w:val="22"/>
        </w:rPr>
        <w:t xml:space="preserve">; denote this set by </w:t>
      </w:r>
      <m:oMath>
        <m:r>
          <w:rPr>
            <w:rFonts w:ascii="Cambria Math" w:hAnsi="Cambria Math"/>
            <w:color w:val="000000" w:themeColor="text1"/>
            <w:szCs w:val="22"/>
          </w:rPr>
          <m:t>X</m:t>
        </m:r>
      </m:oMath>
      <w:r>
        <w:rPr>
          <w:color w:val="000000" w:themeColor="text1"/>
          <w:szCs w:val="22"/>
        </w:rPr>
        <w:t xml:space="preserve">.  A station </w:t>
      </w:r>
      <m:oMath>
        <m:r>
          <w:rPr>
            <w:rFonts w:ascii="Cambria Math" w:hAnsi="Cambria Math"/>
            <w:color w:val="000000" w:themeColor="text1"/>
            <w:szCs w:val="22"/>
          </w:rPr>
          <m:t>u≠s</m:t>
        </m:r>
      </m:oMath>
      <w:r>
        <w:rPr>
          <w:color w:val="000000" w:themeColor="text1"/>
          <w:szCs w:val="22"/>
        </w:rPr>
        <w:t xml:space="preserve"> is included in </w:t>
      </w:r>
      <m:oMath>
        <m:r>
          <w:rPr>
            <w:rFonts w:ascii="Cambria Math" w:hAnsi="Cambria Math"/>
            <w:color w:val="000000" w:themeColor="text1"/>
            <w:szCs w:val="22"/>
          </w:rPr>
          <m:t>X</m:t>
        </m:r>
      </m:oMath>
      <w:r>
        <w:rPr>
          <w:color w:val="000000" w:themeColor="text1"/>
          <w:szCs w:val="22"/>
        </w:rPr>
        <w:t xml:space="preserve"> if and only if one of the following two conditions holds:</w:t>
      </w:r>
    </w:p>
    <w:p w14:paraId="7FB5CC00" w14:textId="77777777" w:rsidR="00C33642" w:rsidRPr="00C33642" w:rsidRDefault="00C33642" w:rsidP="00C33642">
      <w:pPr>
        <w:pStyle w:val="NormalWeb"/>
        <w:widowControl/>
        <w:numPr>
          <w:ilvl w:val="1"/>
          <w:numId w:val="30"/>
        </w:numPr>
        <w:spacing w:after="120" w:line="240" w:lineRule="auto"/>
        <w:textAlignment w:val="auto"/>
        <w:rPr>
          <w:color w:val="000000" w:themeColor="text1"/>
          <w:sz w:val="22"/>
          <w:szCs w:val="22"/>
        </w:rPr>
      </w:pPr>
      <w:r w:rsidRPr="00C33642">
        <w:rPr>
          <w:color w:val="000000" w:themeColor="text1"/>
          <w:sz w:val="22"/>
          <w:szCs w:val="22"/>
        </w:rPr>
        <w:t xml:space="preserve">The currently held option of station </w:t>
      </w:r>
      <m:oMath>
        <m:r>
          <w:rPr>
            <w:rFonts w:ascii="Cambria Math" w:hAnsi="Cambria Math"/>
            <w:color w:val="000000" w:themeColor="text1"/>
            <w:sz w:val="22"/>
            <w:szCs w:val="22"/>
          </w:rPr>
          <m:t>u</m:t>
        </m:r>
      </m:oMath>
      <w:r w:rsidRPr="00C33642">
        <w:rPr>
          <w:color w:val="000000" w:themeColor="text1"/>
          <w:sz w:val="22"/>
          <w:szCs w:val="22"/>
        </w:rPr>
        <w:t xml:space="preserve"> is band </w:t>
      </w:r>
      <m:oMath>
        <m:r>
          <w:rPr>
            <w:rFonts w:ascii="Cambria Math" w:hAnsi="Cambria Math"/>
            <w:color w:val="000000" w:themeColor="text1"/>
            <w:sz w:val="22"/>
            <w:szCs w:val="22"/>
          </w:rPr>
          <m:t>b</m:t>
        </m:r>
      </m:oMath>
      <w:r w:rsidRPr="00B94BC0">
        <w:rPr>
          <w:color w:val="000000" w:themeColor="text1"/>
          <w:sz w:val="22"/>
          <w:szCs w:val="22"/>
        </w:rPr>
        <w:t>;</w:t>
      </w:r>
      <w:r>
        <w:rPr>
          <w:rStyle w:val="FootnoteReference"/>
          <w:color w:val="000000" w:themeColor="text1"/>
          <w:szCs w:val="22"/>
        </w:rPr>
        <w:footnoteReference w:id="27"/>
      </w:r>
      <w:r w:rsidRPr="00C33642">
        <w:rPr>
          <w:color w:val="000000" w:themeColor="text1"/>
          <w:sz w:val="22"/>
          <w:szCs w:val="22"/>
        </w:rPr>
        <w:t xml:space="preserve"> or  </w:t>
      </w:r>
    </w:p>
    <w:p w14:paraId="7C602710" w14:textId="77777777" w:rsidR="00C33642" w:rsidRDefault="00C33642" w:rsidP="00C33642">
      <w:pPr>
        <w:pStyle w:val="NormalWeb"/>
        <w:widowControl/>
        <w:numPr>
          <w:ilvl w:val="1"/>
          <w:numId w:val="30"/>
        </w:numPr>
        <w:spacing w:after="120" w:line="240" w:lineRule="auto"/>
        <w:textAlignment w:val="auto"/>
        <w:rPr>
          <w:color w:val="000000" w:themeColor="text1"/>
          <w:sz w:val="22"/>
          <w:szCs w:val="22"/>
        </w:rPr>
      </w:pPr>
      <w:r>
        <w:rPr>
          <w:color w:val="000000" w:themeColor="text1"/>
          <w:sz w:val="22"/>
          <w:szCs w:val="22"/>
        </w:rPr>
        <w:t>The following three conditions all hold:</w:t>
      </w:r>
    </w:p>
    <w:p w14:paraId="0FC795D0" w14:textId="77777777" w:rsidR="00C33642" w:rsidRDefault="00C33642" w:rsidP="00C33642">
      <w:pPr>
        <w:pStyle w:val="NormalWeb"/>
        <w:widowControl/>
        <w:numPr>
          <w:ilvl w:val="2"/>
          <w:numId w:val="31"/>
        </w:numPr>
        <w:spacing w:after="120" w:line="240" w:lineRule="auto"/>
        <w:contextualSpacing/>
        <w:textAlignment w:val="auto"/>
        <w:rPr>
          <w:color w:val="000000" w:themeColor="text1"/>
          <w:sz w:val="22"/>
          <w:szCs w:val="22"/>
        </w:rPr>
      </w:pPr>
      <w:r>
        <w:rPr>
          <w:color w:val="000000" w:themeColor="text1"/>
          <w:sz w:val="22"/>
          <w:szCs w:val="22"/>
        </w:rPr>
        <w:t xml:space="preserve">The currently held option of station </w:t>
      </w:r>
      <m:oMath>
        <m:r>
          <w:rPr>
            <w:rFonts w:ascii="Cambria Math" w:hAnsi="Cambria Math"/>
            <w:color w:val="000000" w:themeColor="text1"/>
            <w:sz w:val="22"/>
            <w:szCs w:val="22"/>
          </w:rPr>
          <m:t>u</m:t>
        </m:r>
      </m:oMath>
      <w:r>
        <w:rPr>
          <w:color w:val="000000" w:themeColor="text1"/>
          <w:sz w:val="22"/>
          <w:szCs w:val="22"/>
        </w:rPr>
        <w:t xml:space="preserve"> is below </w:t>
      </w:r>
      <m:oMath>
        <m:r>
          <w:rPr>
            <w:rFonts w:ascii="Cambria Math" w:hAnsi="Cambria Math"/>
            <w:color w:val="000000" w:themeColor="text1"/>
            <w:sz w:val="22"/>
            <w:szCs w:val="22"/>
          </w:rPr>
          <m:t>b</m:t>
        </m:r>
      </m:oMath>
      <w:r>
        <w:rPr>
          <w:color w:val="000000" w:themeColor="text1"/>
          <w:sz w:val="22"/>
          <w:szCs w:val="22"/>
        </w:rPr>
        <w:t xml:space="preserve">; and </w:t>
      </w:r>
    </w:p>
    <w:p w14:paraId="76CB0FEC" w14:textId="77777777" w:rsidR="00C33642" w:rsidRDefault="00C33642" w:rsidP="00C33642">
      <w:pPr>
        <w:pStyle w:val="NormalWeb"/>
        <w:widowControl/>
        <w:numPr>
          <w:ilvl w:val="2"/>
          <w:numId w:val="31"/>
        </w:numPr>
        <w:spacing w:after="120" w:line="240" w:lineRule="auto"/>
        <w:contextualSpacing/>
        <w:textAlignment w:val="auto"/>
        <w:rPr>
          <w:color w:val="000000" w:themeColor="text1"/>
          <w:sz w:val="22"/>
          <w:szCs w:val="22"/>
        </w:rPr>
      </w:pPr>
      <m:oMath>
        <m:r>
          <w:rPr>
            <w:rFonts w:ascii="Cambria Math" w:hAnsi="Cambria Math"/>
            <w:color w:val="000000" w:themeColor="text1"/>
            <w:sz w:val="22"/>
            <w:szCs w:val="22"/>
          </w:rPr>
          <m:t>u</m:t>
        </m:r>
      </m:oMath>
      <w:r>
        <w:rPr>
          <w:color w:val="000000" w:themeColor="text1"/>
          <w:sz w:val="22"/>
          <w:szCs w:val="22"/>
        </w:rPr>
        <w:t xml:space="preserve"> is not provisionally winning; and </w:t>
      </w:r>
    </w:p>
    <w:p w14:paraId="672EB5E3" w14:textId="77777777" w:rsidR="00C33642" w:rsidRDefault="00C33642" w:rsidP="00C33642">
      <w:pPr>
        <w:pStyle w:val="NormalWeb"/>
        <w:widowControl/>
        <w:numPr>
          <w:ilvl w:val="2"/>
          <w:numId w:val="31"/>
        </w:numPr>
        <w:spacing w:after="120" w:line="240" w:lineRule="auto"/>
        <w:textAlignment w:val="auto"/>
        <w:rPr>
          <w:color w:val="000000" w:themeColor="text1"/>
          <w:sz w:val="22"/>
          <w:szCs w:val="22"/>
        </w:rPr>
      </w:pPr>
      <m:oMath>
        <m:r>
          <w:rPr>
            <w:rFonts w:ascii="Cambria Math" w:hAnsi="Cambria Math"/>
            <w:color w:val="000000" w:themeColor="text1"/>
            <w:sz w:val="22"/>
            <w:szCs w:val="22"/>
          </w:rPr>
          <m:t>b</m:t>
        </m:r>
      </m:oMath>
      <w:r>
        <w:rPr>
          <w:color w:val="000000" w:themeColor="text1"/>
          <w:sz w:val="22"/>
          <w:szCs w:val="22"/>
        </w:rPr>
        <w:t xml:space="preserve"> is permissible for station </w:t>
      </w:r>
      <m:oMath>
        <m:r>
          <w:rPr>
            <w:rFonts w:ascii="Cambria Math" w:hAnsi="Cambria Math"/>
            <w:color w:val="000000" w:themeColor="text1"/>
            <w:sz w:val="22"/>
            <w:szCs w:val="22"/>
          </w:rPr>
          <m:t>u</m:t>
        </m:r>
      </m:oMath>
      <w:r>
        <w:rPr>
          <w:color w:val="000000" w:themeColor="text1"/>
          <w:sz w:val="22"/>
          <w:szCs w:val="22"/>
        </w:rPr>
        <w:t xml:space="preserve"> (see Section 3.1 for the definition of “permissible”) and the station indicated it is willing to consider that option on its application.</w:t>
      </w:r>
    </w:p>
    <w:p w14:paraId="0604A7B3" w14:textId="77777777" w:rsidR="00C33642" w:rsidRDefault="00C33642" w:rsidP="00C33642">
      <w:pPr>
        <w:pStyle w:val="ListParagraph"/>
        <w:widowControl/>
        <w:numPr>
          <w:ilvl w:val="0"/>
          <w:numId w:val="29"/>
        </w:numPr>
        <w:snapToGrid w:val="0"/>
        <w:spacing w:after="120" w:line="240" w:lineRule="auto"/>
      </w:pPr>
      <w:r>
        <w:t xml:space="preserve">For each pair of stations </w:t>
      </w:r>
      <m:oMath>
        <m:r>
          <w:rPr>
            <w:rFonts w:ascii="Cambria Math" w:hAnsi="Cambria Math"/>
          </w:rPr>
          <m:t>(s,u)</m:t>
        </m:r>
      </m:oMath>
      <w:r>
        <w:t xml:space="preserve"> and channel </w:t>
      </w:r>
      <m:oMath>
        <m:r>
          <w:rPr>
            <w:rFonts w:ascii="Cambria Math" w:hAnsi="Cambria Math"/>
          </w:rPr>
          <m:t>c</m:t>
        </m:r>
      </m:oMath>
      <w:r>
        <w:t xml:space="preserve">, let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be a count of the number of applicable interference constraints.  In particular,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is the number of applicable interference constraints limiting the assignment of station </w:t>
      </w:r>
      <m:oMath>
        <m:r>
          <w:rPr>
            <w:rFonts w:ascii="Cambria Math" w:hAnsi="Cambria Math"/>
          </w:rPr>
          <m:t>s</m:t>
        </m:r>
      </m:oMath>
      <w:r>
        <w:t xml:space="preserve"> to a channel in </w:t>
      </w:r>
      <m:oMath>
        <m:r>
          <w:rPr>
            <w:rFonts w:ascii="Cambria Math" w:hAnsi="Cambria Math"/>
          </w:rPr>
          <m:t>{c-2, c-1,c,c+1,c+2}</m:t>
        </m:r>
      </m:oMath>
      <w:r>
        <w:t xml:space="preserve"> when station </w:t>
      </w:r>
      <m:oMath>
        <m:r>
          <w:rPr>
            <w:rFonts w:ascii="Cambria Math" w:hAnsi="Cambria Math"/>
          </w:rPr>
          <m:t>u</m:t>
        </m:r>
      </m:oMath>
      <w:r>
        <w:t xml:space="preserve"> is placed in channel </w:t>
      </w:r>
      <m:oMath>
        <m:r>
          <w:rPr>
            <w:rFonts w:ascii="Cambria Math" w:hAnsi="Cambria Math"/>
          </w:rPr>
          <m:t>c</m:t>
        </m:r>
      </m:oMath>
      <w:r>
        <w:t xml:space="preserve">, taking into account the domains of stations </w:t>
      </w:r>
      <m:oMath>
        <m:r>
          <w:rPr>
            <w:rFonts w:ascii="Cambria Math" w:hAnsi="Cambria Math"/>
          </w:rPr>
          <m:t>s</m:t>
        </m:r>
      </m:oMath>
      <w:r>
        <w:t xml:space="preserve"> and </w:t>
      </w:r>
      <m:oMath>
        <m:r>
          <w:rPr>
            <w:rFonts w:ascii="Cambria Math" w:hAnsi="Cambria Math"/>
          </w:rPr>
          <m:t>u</m:t>
        </m:r>
      </m:oMath>
      <w:r>
        <w:t>.</w:t>
      </w:r>
      <w:r>
        <w:rPr>
          <w:rStyle w:val="FootnoteReference"/>
        </w:rPr>
        <w:footnoteReference w:id="28"/>
      </w:r>
      <w:r>
        <w:t xml:space="preserve">  Thus,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represents the number of channels that are ruled out for station </w:t>
      </w:r>
      <m:oMath>
        <m:r>
          <w:rPr>
            <w:rFonts w:ascii="Cambria Math" w:hAnsi="Cambria Math"/>
          </w:rPr>
          <m:t>s</m:t>
        </m:r>
      </m:oMath>
      <w:r>
        <w:t xml:space="preserve"> if station </w:t>
      </w:r>
      <m:oMath>
        <m:r>
          <w:rPr>
            <w:rFonts w:ascii="Cambria Math" w:hAnsi="Cambria Math"/>
          </w:rPr>
          <m:t>u</m:t>
        </m:r>
      </m:oMath>
      <w:r>
        <w:t xml:space="preserve"> is placed in channel </w:t>
      </w:r>
      <m:oMath>
        <m:r>
          <w:rPr>
            <w:rFonts w:ascii="Cambria Math" w:hAnsi="Cambria Math"/>
          </w:rPr>
          <m:t>c</m:t>
        </m:r>
      </m:oMath>
      <w:r>
        <w:t xml:space="preserve">.  This is a number between 0 and 5.  Each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is determined at the beginning of the auction and remains unchanged throughout the auction.</w:t>
      </w:r>
    </w:p>
    <w:p w14:paraId="7BA23685" w14:textId="3E1A6C3C" w:rsidR="00C33642" w:rsidRDefault="00C33642" w:rsidP="00C33642">
      <w:pPr>
        <w:pStyle w:val="ListParagraph"/>
        <w:widowControl/>
        <w:numPr>
          <w:ilvl w:val="0"/>
          <w:numId w:val="29"/>
        </w:numPr>
        <w:snapToGrid w:val="0"/>
        <w:spacing w:after="120" w:line="240" w:lineRule="auto"/>
      </w:pPr>
      <w:r>
        <w:t xml:space="preserve">For every station </w:t>
      </w:r>
      <m:oMath>
        <m:r>
          <w:rPr>
            <w:rFonts w:ascii="Cambria Math" w:hAnsi="Cambria Math"/>
          </w:rPr>
          <m:t>u∈X</m:t>
        </m:r>
      </m:oMath>
      <w:r>
        <w:t xml:space="preserve">, let </w:t>
      </w:r>
      <m:oMath>
        <m:r>
          <w:rPr>
            <w:rFonts w:ascii="Cambria Math" w:hAnsi="Cambria Math"/>
          </w:rPr>
          <m:t>f(u)</m:t>
        </m:r>
      </m:oMath>
      <w:r>
        <w:t xml:space="preserve"> be the maximum number of channels that </w:t>
      </w:r>
      <m:oMath>
        <m:r>
          <w:rPr>
            <w:rFonts w:ascii="Cambria Math" w:hAnsi="Cambria Math"/>
          </w:rPr>
          <m:t>u</m:t>
        </m:r>
      </m:oMath>
      <w:r>
        <w:t xml:space="preserve"> might rule out for </w:t>
      </w:r>
      <m:oMath>
        <m:r>
          <w:rPr>
            <w:rFonts w:ascii="Cambria Math" w:hAnsi="Cambria Math"/>
          </w:rPr>
          <m:t>s</m:t>
        </m:r>
      </m:oMath>
      <w:r>
        <w:t xml:space="preserve"> in band </w:t>
      </w:r>
      <m:oMath>
        <m:r>
          <w:rPr>
            <w:rFonts w:ascii="Cambria Math" w:hAnsi="Cambria Math"/>
          </w:rPr>
          <m:t>b</m:t>
        </m:r>
      </m:oMath>
      <w:r>
        <w:t xml:space="preserve">.  In particular, set </w:t>
      </w:r>
      <m:oMath>
        <m:r>
          <w:rPr>
            <w:rFonts w:ascii="Cambria Math" w:hAnsi="Cambria Math"/>
          </w:rPr>
          <m:t>f(u)</m:t>
        </m:r>
      </m:oMath>
      <w:r>
        <w:t xml:space="preserve"> to be the maximum value of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among all channels </w:t>
      </w:r>
      <m:oMath>
        <m:r>
          <w:rPr>
            <w:rFonts w:ascii="Cambria Math" w:hAnsi="Cambria Math"/>
          </w:rPr>
          <m:t>c</m:t>
        </m:r>
      </m:oMath>
      <w:r>
        <w:t xml:space="preserve"> in band </w:t>
      </w:r>
      <m:oMath>
        <m:r>
          <w:rPr>
            <w:rFonts w:ascii="Cambria Math" w:hAnsi="Cambria Math"/>
          </w:rPr>
          <m:t>b</m:t>
        </m:r>
      </m:oMath>
      <w:r>
        <w:t xml:space="preserve">. </w:t>
      </w:r>
      <w:r w:rsidR="00823E5A">
        <w:t xml:space="preserve"> </w:t>
      </w:r>
      <w:r>
        <w:t xml:space="preserve">This is a number between 0 and 5, depending on the interference constraints.  </w:t>
      </w:r>
    </w:p>
    <w:p w14:paraId="19128ADF" w14:textId="07FAAB95" w:rsidR="00C33642" w:rsidRDefault="00C33642" w:rsidP="00C33642">
      <w:pPr>
        <w:pStyle w:val="BodyTextFirstIndent"/>
        <w:numPr>
          <w:ilvl w:val="0"/>
          <w:numId w:val="29"/>
        </w:numPr>
        <w:spacing w:after="120" w:line="240" w:lineRule="auto"/>
        <w:rPr>
          <w:rFonts w:ascii="Times New Roman" w:hAnsi="Times New Roman"/>
        </w:rPr>
      </w:pPr>
      <w:r>
        <w:rPr>
          <w:rFonts w:ascii="Times New Roman" w:hAnsi="Times New Roman"/>
        </w:rPr>
        <w:t xml:space="preserve">If </w:t>
      </w:r>
      <m:oMath>
        <m:nary>
          <m:naryPr>
            <m:chr m:val="∑"/>
            <m:limLoc m:val="undOvr"/>
            <m:supHide m:val="1"/>
            <m:ctrlPr>
              <w:rPr>
                <w:rFonts w:ascii="Cambria Math" w:hAnsi="Cambria Math"/>
                <w:i/>
              </w:rPr>
            </m:ctrlPr>
          </m:naryPr>
          <m:sub>
            <m:r>
              <w:rPr>
                <w:rFonts w:ascii="Cambria Math" w:hAnsi="Cambria Math"/>
              </w:rPr>
              <m:t>u∈X</m:t>
            </m:r>
          </m:sub>
          <m:sup/>
          <m:e>
            <m:r>
              <w:rPr>
                <w:rFonts w:ascii="Cambria Math" w:hAnsi="Cambria Math"/>
              </w:rPr>
              <m:t>f(u)</m:t>
            </m:r>
          </m:e>
        </m:nary>
      </m:oMath>
      <w:r>
        <w:rPr>
          <w:rFonts w:ascii="Times New Roman" w:hAnsi="Times New Roman"/>
        </w:rPr>
        <w:t xml:space="preserve"> is less than the number of channels that station </w:t>
      </w:r>
      <m:oMath>
        <m:r>
          <w:rPr>
            <w:rFonts w:ascii="Cambria Math" w:hAnsi="Cambria Math"/>
          </w:rPr>
          <m:t>s</m:t>
        </m:r>
      </m:oMath>
      <w:r>
        <w:rPr>
          <w:rFonts w:ascii="Times New Roman" w:hAnsi="Times New Roman"/>
        </w:rPr>
        <w:t xml:space="preserve"> has available in band </w:t>
      </w:r>
      <m:oMath>
        <m:r>
          <w:rPr>
            <w:rFonts w:ascii="Cambria Math" w:hAnsi="Cambria Math"/>
          </w:rPr>
          <m:t>b</m:t>
        </m:r>
      </m:oMath>
      <w:r>
        <w:rPr>
          <w:rFonts w:ascii="Times New Roman" w:hAnsi="Times New Roman"/>
        </w:rPr>
        <w:t xml:space="preserve"> (that is, the domain of </w:t>
      </w:r>
      <m:oMath>
        <m:r>
          <w:rPr>
            <w:rFonts w:ascii="Cambria Math" w:hAnsi="Cambria Math"/>
          </w:rPr>
          <m:t>s</m:t>
        </m:r>
      </m:oMath>
      <w:r>
        <w:rPr>
          <w:rFonts w:ascii="Times New Roman" w:hAnsi="Times New Roman"/>
        </w:rPr>
        <w:t xml:space="preserve"> restricted to </w:t>
      </w:r>
      <m:oMath>
        <m:r>
          <w:rPr>
            <w:rFonts w:ascii="Cambria Math" w:hAnsi="Cambria Math"/>
          </w:rPr>
          <m:t>b</m:t>
        </m:r>
      </m:oMath>
      <w:r>
        <w:rPr>
          <w:rFonts w:ascii="Times New Roman" w:hAnsi="Times New Roman"/>
        </w:rPr>
        <w:t xml:space="preserve">), then station </w:t>
      </w:r>
      <m:oMath>
        <m:r>
          <w:rPr>
            <w:rFonts w:ascii="Cambria Math" w:hAnsi="Cambria Math"/>
          </w:rPr>
          <m:t>s</m:t>
        </m:r>
      </m:oMath>
      <w:r>
        <w:rPr>
          <w:rFonts w:ascii="Times New Roman" w:hAnsi="Times New Roman"/>
        </w:rPr>
        <w:t xml:space="preserve"> is deemed “exited </w:t>
      </w:r>
      <w:r w:rsidR="00823E5A">
        <w:rPr>
          <w:color w:val="000000" w:themeColor="text1"/>
        </w:rPr>
        <w:t>–</w:t>
      </w:r>
      <w:r>
        <w:rPr>
          <w:rFonts w:ascii="Times New Roman" w:hAnsi="Times New Roman"/>
        </w:rPr>
        <w:t xml:space="preserve"> not needed.”</w:t>
      </w:r>
    </w:p>
    <w:p w14:paraId="77665EE8" w14:textId="77777777" w:rsidR="00C33642" w:rsidRDefault="00C33642" w:rsidP="00C33642">
      <w:pPr>
        <w:keepNext/>
        <w:widowControl/>
        <w:spacing w:after="120"/>
      </w:pPr>
      <w:r>
        <w:rPr>
          <w:b/>
        </w:rPr>
        <w:t>Example 1</w:t>
      </w:r>
      <w:r>
        <w:t>:</w:t>
      </w:r>
    </w:p>
    <w:p w14:paraId="2D53D894" w14:textId="77777777" w:rsidR="00C33642" w:rsidRDefault="00C33642" w:rsidP="00C33642">
      <w:pPr>
        <w:keepNext/>
        <w:widowControl/>
        <w:spacing w:after="120"/>
      </w:pPr>
      <w:r>
        <w:t>Suppose that:</w:t>
      </w:r>
    </w:p>
    <w:p w14:paraId="04A867A2" w14:textId="77777777" w:rsidR="00C33642" w:rsidRDefault="00C33642" w:rsidP="00C33642">
      <w:pPr>
        <w:pStyle w:val="ListParagraph"/>
        <w:keepNext/>
        <w:keepLines/>
        <w:widowControl/>
        <w:numPr>
          <w:ilvl w:val="0"/>
          <w:numId w:val="32"/>
        </w:numPr>
        <w:snapToGrid w:val="0"/>
        <w:spacing w:after="120" w:line="240" w:lineRule="auto"/>
      </w:pPr>
      <w:r>
        <w:t xml:space="preserve">channel </w:t>
      </w:r>
      <m:oMath>
        <m:r>
          <w:rPr>
            <w:rFonts w:ascii="Cambria Math" w:hAnsi="Cambria Math"/>
          </w:rPr>
          <m:t>c</m:t>
        </m:r>
      </m:oMath>
      <w:r>
        <w:t xml:space="preserve"> is in the domain of station </w:t>
      </w:r>
      <m:oMath>
        <m:r>
          <w:rPr>
            <w:rFonts w:ascii="Cambria Math" w:hAnsi="Cambria Math"/>
          </w:rPr>
          <m:t>u</m:t>
        </m:r>
      </m:oMath>
      <w:r>
        <w:rPr>
          <w:rFonts w:eastAsiaTheme="minorEastAsia"/>
        </w:rPr>
        <w:t>;</w:t>
      </w:r>
    </w:p>
    <w:p w14:paraId="4B9C585D" w14:textId="77777777" w:rsidR="00C33642" w:rsidRDefault="00C33642" w:rsidP="00C33642">
      <w:pPr>
        <w:pStyle w:val="ListParagraph"/>
        <w:keepNext/>
        <w:keepLines/>
        <w:widowControl/>
        <w:numPr>
          <w:ilvl w:val="0"/>
          <w:numId w:val="32"/>
        </w:numPr>
        <w:snapToGrid w:val="0"/>
        <w:spacing w:after="120" w:line="240" w:lineRule="auto"/>
      </w:pPr>
      <w:r>
        <w:t xml:space="preserve">channels </w:t>
      </w:r>
      <m:oMath>
        <m:r>
          <w:rPr>
            <w:rFonts w:ascii="Cambria Math" w:hAnsi="Cambria Math"/>
          </w:rPr>
          <m:t>{c-2, c-1,c,c+1,c+2}</m:t>
        </m:r>
      </m:oMath>
      <w:r>
        <w:t xml:space="preserve"> are all in the domain of station </w:t>
      </w:r>
      <m:oMath>
        <m:r>
          <w:rPr>
            <w:rFonts w:ascii="Cambria Math" w:hAnsi="Cambria Math"/>
          </w:rPr>
          <m:t>s</m:t>
        </m:r>
      </m:oMath>
      <w:r>
        <w:t>; and</w:t>
      </w:r>
    </w:p>
    <w:p w14:paraId="47F6CF90" w14:textId="36951BAB" w:rsidR="00C33642" w:rsidRDefault="00C33642" w:rsidP="00C33642">
      <w:pPr>
        <w:pStyle w:val="ListParagraph"/>
        <w:keepLines/>
        <w:widowControl/>
        <w:numPr>
          <w:ilvl w:val="0"/>
          <w:numId w:val="32"/>
        </w:numPr>
        <w:snapToGrid w:val="0"/>
        <w:spacing w:after="120" w:line="240" w:lineRule="auto"/>
      </w:pPr>
      <w:r>
        <w:t xml:space="preserve">if station  </w:t>
      </w:r>
      <m:oMath>
        <m:r>
          <w:rPr>
            <w:rFonts w:ascii="Cambria Math" w:hAnsi="Cambria Math"/>
          </w:rPr>
          <m:t>u</m:t>
        </m:r>
      </m:oMath>
      <w:r>
        <w:t xml:space="preserve"> is placed in channel </w:t>
      </w:r>
      <m:oMath>
        <m:r>
          <w:rPr>
            <w:rFonts w:ascii="Cambria Math" w:hAnsi="Cambria Math"/>
          </w:rPr>
          <m:t>c</m:t>
        </m:r>
      </m:oMath>
      <w:r>
        <w:t xml:space="preserve">, then station </w:t>
      </w:r>
      <m:oMath>
        <m:r>
          <w:rPr>
            <w:rFonts w:ascii="Cambria Math" w:hAnsi="Cambria Math"/>
          </w:rPr>
          <m:t>s</m:t>
        </m:r>
      </m:oMath>
      <w:r>
        <w:t xml:space="preserve"> cannot be placed in any of the following channels: </w:t>
      </w:r>
      <w:r w:rsidR="00823E5A">
        <w:t xml:space="preserve"> </w:t>
      </w:r>
      <m:oMath>
        <m:r>
          <w:rPr>
            <w:rFonts w:ascii="Cambria Math" w:hAnsi="Cambria Math"/>
          </w:rPr>
          <m:t>{c-2, c-1,c,c+1,c+2}</m:t>
        </m:r>
      </m:oMath>
      <w:r>
        <w:t xml:space="preserve">.  </w:t>
      </w:r>
    </w:p>
    <w:p w14:paraId="628590BE" w14:textId="77777777" w:rsidR="00C33642" w:rsidRDefault="00C33642" w:rsidP="00C33642">
      <w:pPr>
        <w:widowControl/>
        <w:spacing w:after="120"/>
      </w:pPr>
      <w:r>
        <w:t xml:space="preserve">Then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r>
          <w:rPr>
            <w:rFonts w:ascii="Cambria Math" w:hAnsi="Cambria Math"/>
          </w:rPr>
          <m:t>=5</m:t>
        </m:r>
      </m:oMath>
      <w:r>
        <w:t xml:space="preserve">, since placing station </w:t>
      </w:r>
      <m:oMath>
        <m:r>
          <w:rPr>
            <w:rFonts w:ascii="Cambria Math" w:hAnsi="Cambria Math"/>
          </w:rPr>
          <m:t>u</m:t>
        </m:r>
      </m:oMath>
      <w:r>
        <w:t xml:space="preserve"> in channel </w:t>
      </w:r>
      <m:oMath>
        <m:r>
          <w:rPr>
            <w:rFonts w:ascii="Cambria Math" w:hAnsi="Cambria Math"/>
          </w:rPr>
          <m:t>c</m:t>
        </m:r>
      </m:oMath>
      <w:r>
        <w:t xml:space="preserve"> will preclude </w:t>
      </w:r>
      <m:oMath>
        <m:r>
          <w:rPr>
            <w:rFonts w:ascii="Cambria Math" w:hAnsi="Cambria Math"/>
          </w:rPr>
          <m:t>s</m:t>
        </m:r>
      </m:oMath>
      <w:r>
        <w:t xml:space="preserve"> from being placed in 5 channels.</w:t>
      </w:r>
    </w:p>
    <w:p w14:paraId="390EA32A" w14:textId="77777777" w:rsidR="00C33642" w:rsidRDefault="00C33642" w:rsidP="00C33642">
      <w:pPr>
        <w:widowControl/>
        <w:spacing w:after="120"/>
      </w:pPr>
      <w:r>
        <w:rPr>
          <w:b/>
        </w:rPr>
        <w:t>Example 2</w:t>
      </w:r>
      <w:r>
        <w:t>:</w:t>
      </w:r>
    </w:p>
    <w:p w14:paraId="01964972" w14:textId="77777777" w:rsidR="00C33642" w:rsidRDefault="00C33642" w:rsidP="00C33642">
      <w:pPr>
        <w:widowControl/>
        <w:spacing w:after="120"/>
      </w:pPr>
      <w:r>
        <w:t>Suppose that:</w:t>
      </w:r>
    </w:p>
    <w:p w14:paraId="7D8C3CF4" w14:textId="77777777" w:rsidR="00C33642" w:rsidRDefault="00C33642" w:rsidP="00C33642">
      <w:pPr>
        <w:pStyle w:val="ListParagraph"/>
        <w:widowControl/>
        <w:numPr>
          <w:ilvl w:val="0"/>
          <w:numId w:val="33"/>
        </w:numPr>
        <w:snapToGrid w:val="0"/>
        <w:spacing w:after="120" w:line="240" w:lineRule="auto"/>
      </w:pPr>
      <w:r>
        <w:t xml:space="preserve">channel </w:t>
      </w:r>
      <m:oMath>
        <m:r>
          <w:rPr>
            <w:rFonts w:ascii="Cambria Math" w:hAnsi="Cambria Math"/>
          </w:rPr>
          <m:t>c</m:t>
        </m:r>
      </m:oMath>
      <w:r>
        <w:t xml:space="preserve"> is in the domain of station </w:t>
      </w:r>
      <m:oMath>
        <m:r>
          <w:rPr>
            <w:rFonts w:ascii="Cambria Math" w:hAnsi="Cambria Math"/>
          </w:rPr>
          <m:t>u</m:t>
        </m:r>
      </m:oMath>
      <w:r>
        <w:rPr>
          <w:rFonts w:eastAsiaTheme="minorEastAsia"/>
        </w:rPr>
        <w:t>;</w:t>
      </w:r>
    </w:p>
    <w:p w14:paraId="080B52BC" w14:textId="77777777" w:rsidR="00C33642" w:rsidRDefault="00C33642" w:rsidP="00C33642">
      <w:pPr>
        <w:pStyle w:val="ListParagraph"/>
        <w:widowControl/>
        <w:numPr>
          <w:ilvl w:val="0"/>
          <w:numId w:val="33"/>
        </w:numPr>
        <w:snapToGrid w:val="0"/>
        <w:spacing w:after="120" w:line="240" w:lineRule="auto"/>
      </w:pPr>
      <w:r>
        <w:t xml:space="preserve">channels </w:t>
      </w:r>
      <m:oMath>
        <m:r>
          <w:rPr>
            <w:rFonts w:ascii="Cambria Math" w:hAnsi="Cambria Math"/>
          </w:rPr>
          <m:t>{c-2, c-1,c,c+1,c+2}</m:t>
        </m:r>
      </m:oMath>
      <w:r>
        <w:t xml:space="preserve"> are all in the domain of station </w:t>
      </w:r>
      <m:oMath>
        <m:r>
          <w:rPr>
            <w:rFonts w:ascii="Cambria Math" w:hAnsi="Cambria Math"/>
          </w:rPr>
          <m:t>s</m:t>
        </m:r>
      </m:oMath>
      <w:r>
        <w:t>; and</w:t>
      </w:r>
    </w:p>
    <w:p w14:paraId="35719924" w14:textId="77777777" w:rsidR="00C33642" w:rsidRDefault="00C33642" w:rsidP="00C33642">
      <w:pPr>
        <w:pStyle w:val="ListParagraph"/>
        <w:widowControl/>
        <w:numPr>
          <w:ilvl w:val="0"/>
          <w:numId w:val="33"/>
        </w:numPr>
        <w:snapToGrid w:val="0"/>
        <w:spacing w:after="120" w:line="240" w:lineRule="auto"/>
      </w:pPr>
      <w:r>
        <w:t xml:space="preserve">if station  </w:t>
      </w:r>
      <m:oMath>
        <m:r>
          <w:rPr>
            <w:rFonts w:ascii="Cambria Math" w:hAnsi="Cambria Math"/>
          </w:rPr>
          <m:t>u</m:t>
        </m:r>
      </m:oMath>
      <w:r>
        <w:t xml:space="preserve"> is placed in channel </w:t>
      </w:r>
      <m:oMath>
        <m:r>
          <w:rPr>
            <w:rFonts w:ascii="Cambria Math" w:hAnsi="Cambria Math"/>
          </w:rPr>
          <m:t>c</m:t>
        </m:r>
      </m:oMath>
      <w:r>
        <w:t xml:space="preserve">, then station </w:t>
      </w:r>
      <m:oMath>
        <m:r>
          <w:rPr>
            <w:rFonts w:ascii="Cambria Math" w:hAnsi="Cambria Math"/>
          </w:rPr>
          <m:t>s</m:t>
        </m:r>
      </m:oMath>
      <w:r>
        <w:t xml:space="preserve"> cannot be placed in channel </w:t>
      </w:r>
      <m:oMath>
        <m:r>
          <w:rPr>
            <w:rFonts w:ascii="Cambria Math" w:hAnsi="Cambria Math"/>
          </w:rPr>
          <m:t>c</m:t>
        </m:r>
      </m:oMath>
      <w:r>
        <w:rPr>
          <w:rFonts w:eastAsiaTheme="minorEastAsia"/>
        </w:rPr>
        <w:t xml:space="preserve"> but could be placed in channels </w:t>
      </w:r>
      <m:oMath>
        <m:r>
          <w:rPr>
            <w:rFonts w:ascii="Cambria Math" w:hAnsi="Cambria Math"/>
          </w:rPr>
          <m:t>{c-2, c-1,c+1,c+2}</m:t>
        </m:r>
      </m:oMath>
      <w:r>
        <w:rPr>
          <w:rFonts w:eastAsiaTheme="minorEastAsia"/>
        </w:rPr>
        <w:t>.</w:t>
      </w:r>
    </w:p>
    <w:p w14:paraId="620CBF4F" w14:textId="77777777" w:rsidR="00C33642" w:rsidRDefault="00C33642" w:rsidP="00C33642">
      <w:pPr>
        <w:widowControl/>
        <w:spacing w:after="120"/>
      </w:pPr>
      <w:r>
        <w:t xml:space="preserve">Then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r>
          <w:rPr>
            <w:rFonts w:ascii="Cambria Math" w:hAnsi="Cambria Math"/>
          </w:rPr>
          <m:t>=1</m:t>
        </m:r>
      </m:oMath>
      <w:r>
        <w:t xml:space="preserve">, since placing station </w:t>
      </w:r>
      <m:oMath>
        <m:r>
          <w:rPr>
            <w:rFonts w:ascii="Cambria Math" w:hAnsi="Cambria Math"/>
          </w:rPr>
          <m:t>u</m:t>
        </m:r>
      </m:oMath>
      <w:r>
        <w:t xml:space="preserve"> in channel </w:t>
      </w:r>
      <m:oMath>
        <m:r>
          <w:rPr>
            <w:rFonts w:ascii="Cambria Math" w:hAnsi="Cambria Math"/>
          </w:rPr>
          <m:t>c</m:t>
        </m:r>
      </m:oMath>
      <w:r>
        <w:t xml:space="preserve"> will preclude </w:t>
      </w:r>
      <m:oMath>
        <m:r>
          <w:rPr>
            <w:rFonts w:ascii="Cambria Math" w:hAnsi="Cambria Math"/>
          </w:rPr>
          <m:t>s</m:t>
        </m:r>
      </m:oMath>
      <w:r>
        <w:t xml:space="preserve"> from being placed in 1 channel.</w:t>
      </w:r>
    </w:p>
    <w:p w14:paraId="1E14339C" w14:textId="77777777" w:rsidR="00C33642" w:rsidRDefault="00C33642" w:rsidP="00C33642">
      <w:pPr>
        <w:keepNext/>
        <w:widowControl/>
        <w:spacing w:after="120"/>
      </w:pPr>
      <w:r>
        <w:rPr>
          <w:b/>
        </w:rPr>
        <w:t>Example 3</w:t>
      </w:r>
      <w:r>
        <w:t>:</w:t>
      </w:r>
    </w:p>
    <w:p w14:paraId="080CAF75" w14:textId="77777777" w:rsidR="00C33642" w:rsidRDefault="00C33642" w:rsidP="00C33642">
      <w:pPr>
        <w:widowControl/>
        <w:spacing w:after="120"/>
      </w:pPr>
      <w:r>
        <w:t>Suppose that:</w:t>
      </w:r>
    </w:p>
    <w:p w14:paraId="69B3CF6D" w14:textId="77777777" w:rsidR="00C33642" w:rsidRDefault="00C33642" w:rsidP="00C33642">
      <w:pPr>
        <w:pStyle w:val="ListParagraph"/>
        <w:widowControl/>
        <w:numPr>
          <w:ilvl w:val="0"/>
          <w:numId w:val="34"/>
        </w:numPr>
        <w:snapToGrid w:val="0"/>
        <w:spacing w:after="120" w:line="240" w:lineRule="auto"/>
      </w:pPr>
      <w:r>
        <w:t xml:space="preserve">channel </w:t>
      </w:r>
      <m:oMath>
        <m:r>
          <w:rPr>
            <w:rFonts w:ascii="Cambria Math" w:hAnsi="Cambria Math"/>
          </w:rPr>
          <m:t>c</m:t>
        </m:r>
      </m:oMath>
      <w:r>
        <w:t xml:space="preserve"> is in the domain of station </w:t>
      </w:r>
      <m:oMath>
        <m:r>
          <w:rPr>
            <w:rFonts w:ascii="Cambria Math" w:hAnsi="Cambria Math"/>
          </w:rPr>
          <m:t>u</m:t>
        </m:r>
      </m:oMath>
      <w:r>
        <w:rPr>
          <w:rFonts w:eastAsiaTheme="minorEastAsia"/>
        </w:rPr>
        <w:t>;</w:t>
      </w:r>
    </w:p>
    <w:p w14:paraId="32298415" w14:textId="77777777" w:rsidR="00C33642" w:rsidRDefault="00C33642" w:rsidP="00C33642">
      <w:pPr>
        <w:pStyle w:val="ListParagraph"/>
        <w:widowControl/>
        <w:numPr>
          <w:ilvl w:val="0"/>
          <w:numId w:val="34"/>
        </w:numPr>
        <w:snapToGrid w:val="0"/>
        <w:spacing w:after="120" w:line="240" w:lineRule="auto"/>
      </w:pPr>
      <w:r>
        <w:t xml:space="preserve">channels </w:t>
      </w:r>
      <m:oMath>
        <m:r>
          <w:rPr>
            <w:rFonts w:ascii="Cambria Math" w:hAnsi="Cambria Math"/>
          </w:rPr>
          <m:t>{c-2, c-1,c}</m:t>
        </m:r>
      </m:oMath>
      <w:r>
        <w:t xml:space="preserve"> are in the domain of station </w:t>
      </w:r>
      <m:oMath>
        <m:r>
          <w:rPr>
            <w:rFonts w:ascii="Cambria Math" w:hAnsi="Cambria Math"/>
          </w:rPr>
          <m:t>s</m:t>
        </m:r>
      </m:oMath>
      <w:r>
        <w:rPr>
          <w:rFonts w:eastAsiaTheme="minorEastAsia"/>
        </w:rPr>
        <w:t xml:space="preserve">, whereas channels </w:t>
      </w:r>
      <m:oMath>
        <m:r>
          <w:rPr>
            <w:rFonts w:ascii="Cambria Math" w:eastAsiaTheme="minorEastAsia" w:hAnsi="Cambria Math"/>
          </w:rPr>
          <m:t>{</m:t>
        </m:r>
        <m:r>
          <w:rPr>
            <w:rFonts w:ascii="Cambria Math" w:hAnsi="Cambria Math"/>
          </w:rPr>
          <m:t>c+1,c+2}</m:t>
        </m:r>
      </m:oMath>
      <w:r>
        <w:rPr>
          <w:rFonts w:eastAsiaTheme="minorEastAsia"/>
        </w:rPr>
        <w:t xml:space="preserve"> are not</w:t>
      </w:r>
      <w:r>
        <w:t>; and</w:t>
      </w:r>
    </w:p>
    <w:p w14:paraId="7DBCDA4A" w14:textId="77777777" w:rsidR="00C33642" w:rsidRDefault="00C33642" w:rsidP="00C33642">
      <w:pPr>
        <w:pStyle w:val="ListParagraph"/>
        <w:widowControl/>
        <w:numPr>
          <w:ilvl w:val="0"/>
          <w:numId w:val="34"/>
        </w:numPr>
        <w:snapToGrid w:val="0"/>
        <w:spacing w:after="120" w:line="240" w:lineRule="auto"/>
      </w:pPr>
      <w:r>
        <w:t xml:space="preserve">if station  </w:t>
      </w:r>
      <m:oMath>
        <m:r>
          <w:rPr>
            <w:rFonts w:ascii="Cambria Math" w:hAnsi="Cambria Math"/>
          </w:rPr>
          <m:t>u</m:t>
        </m:r>
      </m:oMath>
      <w:r>
        <w:t xml:space="preserve"> is placed in channel </w:t>
      </w:r>
      <m:oMath>
        <m:r>
          <w:rPr>
            <w:rFonts w:ascii="Cambria Math" w:hAnsi="Cambria Math"/>
          </w:rPr>
          <m:t>c</m:t>
        </m:r>
      </m:oMath>
      <w:r>
        <w:t xml:space="preserve">, then station </w:t>
      </w:r>
      <m:oMath>
        <m:r>
          <w:rPr>
            <w:rFonts w:ascii="Cambria Math" w:hAnsi="Cambria Math"/>
          </w:rPr>
          <m:t>s</m:t>
        </m:r>
      </m:oMath>
      <w:r>
        <w:t xml:space="preserve"> cannot be placed in channel </w:t>
      </w:r>
      <m:oMath>
        <m:r>
          <w:rPr>
            <w:rFonts w:ascii="Cambria Math" w:hAnsi="Cambria Math"/>
          </w:rPr>
          <m:t>c</m:t>
        </m:r>
      </m:oMath>
      <w:r>
        <w:rPr>
          <w:rFonts w:eastAsiaTheme="minorEastAsia"/>
        </w:rPr>
        <w:t xml:space="preserve"> or channel </w:t>
      </w:r>
      <m:oMath>
        <m:r>
          <w:rPr>
            <w:rFonts w:ascii="Cambria Math" w:eastAsiaTheme="minorEastAsia" w:hAnsi="Cambria Math"/>
          </w:rPr>
          <m:t>c-1</m:t>
        </m:r>
      </m:oMath>
      <w:r>
        <w:rPr>
          <w:rFonts w:eastAsiaTheme="minorEastAsia"/>
        </w:rPr>
        <w:t xml:space="preserve"> but could be placed in channel </w:t>
      </w:r>
      <m:oMath>
        <m:r>
          <w:rPr>
            <w:rFonts w:ascii="Cambria Math" w:hAnsi="Cambria Math"/>
          </w:rPr>
          <m:t>c-2</m:t>
        </m:r>
      </m:oMath>
      <w:r>
        <w:rPr>
          <w:rFonts w:eastAsiaTheme="minorEastAsia"/>
        </w:rPr>
        <w:t>.</w:t>
      </w:r>
    </w:p>
    <w:p w14:paraId="510F3FB8" w14:textId="11532CDD" w:rsidR="00C33642" w:rsidRDefault="00C33642" w:rsidP="00C33642">
      <w:pPr>
        <w:widowControl/>
        <w:spacing w:after="120"/>
      </w:pPr>
      <w:r>
        <w:t xml:space="preserve">Then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r>
          <w:rPr>
            <w:rFonts w:ascii="Cambria Math" w:hAnsi="Cambria Math"/>
          </w:rPr>
          <m:t>=2</m:t>
        </m:r>
      </m:oMath>
      <w:r>
        <w:t xml:space="preserve">.  In particular, out of three possible placements for </w:t>
      </w:r>
      <m:oMath>
        <m:r>
          <w:rPr>
            <w:rFonts w:ascii="Cambria Math" w:hAnsi="Cambria Math"/>
          </w:rPr>
          <m:t>s</m:t>
        </m:r>
      </m:oMath>
      <w:r>
        <w:t xml:space="preserve">, placing </w:t>
      </w:r>
      <m:oMath>
        <m:r>
          <w:rPr>
            <w:rFonts w:ascii="Cambria Math" w:hAnsi="Cambria Math"/>
          </w:rPr>
          <m:t>u</m:t>
        </m:r>
      </m:oMath>
      <w:r>
        <w:t xml:space="preserve"> in channel </w:t>
      </w:r>
      <m:oMath>
        <m:r>
          <w:rPr>
            <w:rFonts w:ascii="Cambria Math" w:hAnsi="Cambria Math"/>
          </w:rPr>
          <m:t>c</m:t>
        </m:r>
      </m:oMath>
      <w:r>
        <w:t xml:space="preserve"> will preclude </w:t>
      </w:r>
      <m:oMath>
        <m:r>
          <w:rPr>
            <w:rFonts w:ascii="Cambria Math" w:hAnsi="Cambria Math"/>
          </w:rPr>
          <m:t>s</m:t>
        </m:r>
      </m:oMath>
      <w:r>
        <w:t xml:space="preserve"> from being placed in two of them:</w:t>
      </w:r>
      <w:r w:rsidR="00823E5A">
        <w:t xml:space="preserve"> </w:t>
      </w:r>
      <w:r>
        <w:t xml:space="preserve"> </w:t>
      </w:r>
      <m:oMath>
        <m:r>
          <w:rPr>
            <w:rFonts w:ascii="Cambria Math" w:hAnsi="Cambria Math"/>
          </w:rPr>
          <m:t>c</m:t>
        </m:r>
      </m:oMath>
      <w:r>
        <w:t xml:space="preserve"> and </w:t>
      </w:r>
      <m:oMath>
        <m:r>
          <w:rPr>
            <w:rFonts w:ascii="Cambria Math" w:hAnsi="Cambria Math"/>
          </w:rPr>
          <m:t>c – 1</m:t>
        </m:r>
      </m:oMath>
      <w:r>
        <w:t>.</w:t>
      </w:r>
    </w:p>
    <w:p w14:paraId="510C52FB" w14:textId="77777777" w:rsidR="00C33642" w:rsidRDefault="00C33642" w:rsidP="00C33642">
      <w:pPr>
        <w:widowControl/>
        <w:spacing w:after="120"/>
      </w:pPr>
      <w:r>
        <w:rPr>
          <w:b/>
        </w:rPr>
        <w:t>Example 4</w:t>
      </w:r>
      <w:r>
        <w:t>:</w:t>
      </w:r>
    </w:p>
    <w:p w14:paraId="60D8388E" w14:textId="77777777" w:rsidR="00C33642" w:rsidRDefault="00C33642" w:rsidP="00C33642">
      <w:pPr>
        <w:widowControl/>
        <w:spacing w:after="120"/>
      </w:pPr>
      <w:r>
        <w:t xml:space="preserve">Suppose that channel </w:t>
      </w:r>
      <m:oMath>
        <m:r>
          <w:rPr>
            <w:rFonts w:ascii="Cambria Math" w:hAnsi="Cambria Math"/>
          </w:rPr>
          <m:t>c</m:t>
        </m:r>
      </m:oMath>
      <w:r>
        <w:t xml:space="preserve"> is not in the domain of station </w:t>
      </w:r>
      <m:oMath>
        <m:r>
          <w:rPr>
            <w:rFonts w:ascii="Cambria Math" w:hAnsi="Cambria Math"/>
          </w:rPr>
          <m:t>u</m:t>
        </m:r>
      </m:oMath>
      <w:r>
        <w:t xml:space="preserve">.  Then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r>
          <w:rPr>
            <w:rFonts w:ascii="Cambria Math" w:hAnsi="Cambria Math"/>
          </w:rPr>
          <m:t>=0</m:t>
        </m:r>
      </m:oMath>
      <w:r>
        <w:t>.</w:t>
      </w:r>
    </w:p>
    <w:p w14:paraId="61FE8377" w14:textId="77777777" w:rsidR="00B23921" w:rsidRPr="005B24DA" w:rsidRDefault="00C33642" w:rsidP="009D2C76">
      <w:pPr>
        <w:widowControl/>
        <w:rPr>
          <w:b/>
          <w:sz w:val="24"/>
        </w:rPr>
      </w:pPr>
      <w:r>
        <w:t xml:space="preserve">Each  </w:t>
      </w:r>
      <m:oMath>
        <m:sSubSup>
          <m:sSubSupPr>
            <m:ctrlPr>
              <w:rPr>
                <w:rFonts w:ascii="Cambria Math" w:hAnsi="Cambria Math"/>
                <w:i/>
              </w:rPr>
            </m:ctrlPr>
          </m:sSubSupPr>
          <m:e>
            <m:r>
              <w:rPr>
                <w:rFonts w:ascii="Cambria Math" w:hAnsi="Cambria Math"/>
              </w:rPr>
              <m:t>A</m:t>
            </m:r>
          </m:e>
          <m:sub>
            <m:r>
              <w:rPr>
                <w:rFonts w:ascii="Cambria Math" w:hAnsi="Cambria Math"/>
              </w:rPr>
              <m:t>su</m:t>
            </m:r>
          </m:sub>
          <m:sup>
            <m:r>
              <w:rPr>
                <w:rFonts w:ascii="Cambria Math" w:hAnsi="Cambria Math"/>
              </w:rPr>
              <m:t>c</m:t>
            </m:r>
          </m:sup>
        </m:sSubSup>
      </m:oMath>
      <w:r>
        <w:t xml:space="preserve"> remains unchanged throughout the auction.</w:t>
      </w:r>
    </w:p>
    <w:sectPr w:rsidR="00B23921" w:rsidRPr="005B24DA" w:rsidSect="00325607">
      <w:footerReference w:type="default" r:id="rId24"/>
      <w:endnotePr>
        <w:numFmt w:val="decimal"/>
      </w:endnotePr>
      <w:pgSz w:w="12240" w:h="15840" w:code="1"/>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DD3CA" w14:textId="77777777" w:rsidR="009D1A12" w:rsidRDefault="009D1A12">
      <w:pPr>
        <w:spacing w:line="20" w:lineRule="exact"/>
      </w:pPr>
    </w:p>
  </w:endnote>
  <w:endnote w:type="continuationSeparator" w:id="0">
    <w:p w14:paraId="362853E1" w14:textId="77777777" w:rsidR="009D1A12" w:rsidRDefault="009D1A12">
      <w:r>
        <w:t xml:space="preserve"> </w:t>
      </w:r>
    </w:p>
  </w:endnote>
  <w:endnote w:type="continuationNotice" w:id="1">
    <w:p w14:paraId="1B95422D" w14:textId="77777777" w:rsidR="009D1A12" w:rsidRDefault="009D1A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9A6A" w14:textId="77777777" w:rsidR="00F03491" w:rsidRDefault="00F0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3960" w14:textId="1DF13C74" w:rsidR="009D1A12" w:rsidRPr="005D1DEA" w:rsidRDefault="00FF64AA" w:rsidP="00253714">
    <w:pPr>
      <w:pStyle w:val="Footer"/>
      <w:jc w:val="center"/>
    </w:pPr>
    <w:sdt>
      <w:sdtPr>
        <w:id w:val="725723342"/>
        <w:docPartObj>
          <w:docPartGallery w:val="Page Numbers (Bottom of Page)"/>
          <w:docPartUnique/>
        </w:docPartObj>
      </w:sdtPr>
      <w:sdtEndPr>
        <w:rPr>
          <w:noProof/>
        </w:rPr>
      </w:sdtEndPr>
      <w:sdtContent>
        <w:r w:rsidR="009D1A12">
          <w:fldChar w:fldCharType="begin"/>
        </w:r>
        <w:r w:rsidR="009D1A12">
          <w:instrText xml:space="preserve"> PAGE    \* MERGEFORMAT </w:instrText>
        </w:r>
        <w:r w:rsidR="009D1A12">
          <w:fldChar w:fldCharType="separate"/>
        </w:r>
        <w:r>
          <w:rPr>
            <w:noProof/>
          </w:rPr>
          <w:t>2</w:t>
        </w:r>
        <w:r w:rsidR="009D1A12">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E9E7" w14:textId="77777777" w:rsidR="00F03491" w:rsidRDefault="00F034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158B" w14:textId="1B59081E" w:rsidR="009D1A12" w:rsidRPr="005D1DEA" w:rsidRDefault="009D1A12" w:rsidP="00221563">
    <w:pPr>
      <w:pStyle w:val="Footer"/>
      <w:jc w:val="center"/>
    </w:pPr>
    <w:r>
      <w:t xml:space="preserve">Attachment 1, page </w:t>
    </w:r>
    <w:sdt>
      <w:sdtPr>
        <w:id w:val="3449028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1118">
          <w:rPr>
            <w:noProof/>
          </w:rPr>
          <w:t>10</w:t>
        </w:r>
        <w: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6AA2" w14:textId="45088E38" w:rsidR="009D1A12" w:rsidRPr="005D1DEA" w:rsidRDefault="009D1A12" w:rsidP="00221563">
    <w:pPr>
      <w:pStyle w:val="Footer"/>
      <w:jc w:val="center"/>
    </w:pPr>
    <w:r>
      <w:t xml:space="preserve">Attachment 2, page </w:t>
    </w:r>
    <w:sdt>
      <w:sdtPr>
        <w:id w:val="-20644012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1118">
          <w:rPr>
            <w:noProof/>
          </w:rPr>
          <w:t>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EE38" w14:textId="77777777" w:rsidR="009D1A12" w:rsidRDefault="009D1A12">
      <w:r>
        <w:separator/>
      </w:r>
    </w:p>
  </w:footnote>
  <w:footnote w:type="continuationSeparator" w:id="0">
    <w:p w14:paraId="06872F29" w14:textId="77777777" w:rsidR="009D1A12" w:rsidRDefault="009D1A12" w:rsidP="00C721AC">
      <w:pPr>
        <w:spacing w:before="120"/>
        <w:rPr>
          <w:sz w:val="20"/>
        </w:rPr>
      </w:pPr>
      <w:r>
        <w:rPr>
          <w:sz w:val="20"/>
        </w:rPr>
        <w:t xml:space="preserve">(Continued from previous page)  </w:t>
      </w:r>
      <w:r>
        <w:rPr>
          <w:sz w:val="20"/>
        </w:rPr>
        <w:separator/>
      </w:r>
    </w:p>
  </w:footnote>
  <w:footnote w:type="continuationNotice" w:id="1">
    <w:p w14:paraId="3E081418" w14:textId="77777777" w:rsidR="009D1A12" w:rsidRDefault="009D1A12" w:rsidP="00C721AC">
      <w:pPr>
        <w:jc w:val="right"/>
        <w:rPr>
          <w:sz w:val="20"/>
        </w:rPr>
      </w:pPr>
      <w:r>
        <w:rPr>
          <w:sz w:val="20"/>
        </w:rPr>
        <w:t>(continued….)</w:t>
      </w:r>
    </w:p>
  </w:footnote>
  <w:footnote w:id="2">
    <w:p w14:paraId="7C064AF0" w14:textId="77777777" w:rsidR="009D1A12" w:rsidRDefault="009D1A12">
      <w:pPr>
        <w:pStyle w:val="FootnoteText"/>
      </w:pPr>
      <w:r>
        <w:rPr>
          <w:rStyle w:val="FootnoteReference"/>
        </w:rPr>
        <w:footnoteRef/>
      </w:r>
      <w:r>
        <w:t xml:space="preserve"> </w:t>
      </w:r>
      <w:r w:rsidRPr="00B011BF">
        <w:rPr>
          <w:i/>
        </w:rPr>
        <w:t>See</w:t>
      </w:r>
      <w:r w:rsidRPr="00B011BF">
        <w:t xml:space="preserve"> </w:t>
      </w:r>
      <w:r w:rsidRPr="00B011BF">
        <w:rPr>
          <w:i/>
          <w:iCs/>
        </w:rPr>
        <w:t>Application Procedures for Broadcast Incentive Auction Scheduled to Begin on March 29, 2016; Technical Formulas for Competitive Bidding</w:t>
      </w:r>
      <w:r w:rsidRPr="00B011BF">
        <w:t>, AU Docket No. 14-252, GN Docket No. 12-268, WT Docket No. 12-269, Public Notice, DA 15-1183 (WTB Oct. 15, 2015) (</w:t>
      </w:r>
      <w:r w:rsidRPr="00B011BF">
        <w:rPr>
          <w:i/>
          <w:iCs/>
        </w:rPr>
        <w:t>Auction 1000 Application Procedures Public Notice</w:t>
      </w:r>
      <w:r w:rsidRPr="00B011BF">
        <w:t>)</w:t>
      </w:r>
      <w:r>
        <w:rPr>
          <w:iCs/>
        </w:rPr>
        <w:t>.</w:t>
      </w:r>
    </w:p>
  </w:footnote>
  <w:footnote w:id="3">
    <w:p w14:paraId="1875C9CF" w14:textId="77777777" w:rsidR="009D1A12" w:rsidRPr="00B011BF" w:rsidRDefault="009D1A12" w:rsidP="00B011BF">
      <w:pPr>
        <w:pStyle w:val="FootnoteText"/>
      </w:pPr>
      <w:r w:rsidRPr="00B011BF">
        <w:rPr>
          <w:rStyle w:val="FootnoteReference"/>
        </w:rPr>
        <w:footnoteRef/>
      </w:r>
      <w:r w:rsidRPr="00B011BF">
        <w:t xml:space="preserve"> As previously announced, </w:t>
      </w:r>
      <w:r>
        <w:t xml:space="preserve">the FCC Form 177 filing window for the reverse auction opened at 12:00 noon Eastern Time (ET) on December 8, 2015, and will close at 6:00 p.m. ET on January 12, 2016.  </w:t>
      </w:r>
      <w:r w:rsidRPr="00B011BF">
        <w:rPr>
          <w:i/>
        </w:rPr>
        <w:t>See</w:t>
      </w:r>
      <w:r w:rsidRPr="00B011BF">
        <w:t xml:space="preserve"> </w:t>
      </w:r>
      <w:r w:rsidRPr="00B011BF">
        <w:rPr>
          <w:i/>
          <w:iCs/>
        </w:rPr>
        <w:t>Incentive Auction Task Force Releases Revised Baseline Data and Prices for Reverse Auction; Announces Revised Filing Window Dates</w:t>
      </w:r>
      <w:r w:rsidRPr="00B011BF">
        <w:t>, AU Docket No. 14-252, GN Docket No. 12-268, WT Docket No. 12-269, Public Notice, DA 15-1296 (WTB Nov. 12, 2015) (</w:t>
      </w:r>
      <w:r w:rsidRPr="00B011BF">
        <w:rPr>
          <w:i/>
        </w:rPr>
        <w:t>Revised Baseline, Prices and Filing Dates Public Notice</w:t>
      </w:r>
      <w:r w:rsidRPr="00B011BF">
        <w:t>).</w:t>
      </w:r>
      <w:r>
        <w:t xml:space="preserve">  T</w:t>
      </w:r>
      <w:r w:rsidRPr="00B011BF">
        <w:t xml:space="preserve">he FCC Form 175 filing window </w:t>
      </w:r>
      <w:r>
        <w:t xml:space="preserve">for the forward auction </w:t>
      </w:r>
      <w:r w:rsidRPr="00B011BF">
        <w:t>will open at 12:00 noon ET on January 26, 2016, and close at 6:00 p</w:t>
      </w:r>
      <w:r>
        <w:t>.</w:t>
      </w:r>
      <w:r w:rsidRPr="00B011BF">
        <w:t>m</w:t>
      </w:r>
      <w:r>
        <w:t>.</w:t>
      </w:r>
      <w:r w:rsidRPr="00B011BF">
        <w:t xml:space="preserve"> ET on February 9, 2016.  </w:t>
      </w:r>
      <w:r>
        <w:rPr>
          <w:i/>
        </w:rPr>
        <w:t>See id.</w:t>
      </w:r>
      <w:r w:rsidRPr="00144F32">
        <w:t xml:space="preserve">  </w:t>
      </w:r>
      <w:r w:rsidRPr="00B011BF">
        <w:t xml:space="preserve">Applications must be filed prior to the closing of the filing window.  </w:t>
      </w:r>
    </w:p>
  </w:footnote>
  <w:footnote w:id="4">
    <w:p w14:paraId="79CBBDF9" w14:textId="77777777" w:rsidR="009D1A12" w:rsidRPr="00B011BF" w:rsidRDefault="009D1A12" w:rsidP="00B011BF">
      <w:pPr>
        <w:pStyle w:val="FootnoteText"/>
      </w:pPr>
      <w:r w:rsidRPr="00B011BF">
        <w:rPr>
          <w:rStyle w:val="FootnoteReference"/>
        </w:rPr>
        <w:footnoteRef/>
      </w:r>
      <w:r w:rsidRPr="00B011BF">
        <w:t xml:space="preserve"> </w:t>
      </w:r>
      <w:r w:rsidRPr="00B011BF">
        <w:rPr>
          <w:i/>
        </w:rPr>
        <w:t>See generally</w:t>
      </w:r>
      <w:r w:rsidRPr="00B011BF">
        <w:t xml:space="preserve"> </w:t>
      </w:r>
      <w:r w:rsidRPr="00B011BF">
        <w:rPr>
          <w:i/>
          <w:iCs/>
        </w:rPr>
        <w:t>Auction 1000 Application Procedures Public Notice</w:t>
      </w:r>
      <w:r w:rsidRPr="00B011BF">
        <w:rPr>
          <w:iCs/>
        </w:rPr>
        <w:t xml:space="preserve">; </w:t>
      </w:r>
      <w:r w:rsidRPr="00B011BF">
        <w:rPr>
          <w:i/>
        </w:rPr>
        <w:t>Revised Baseline, Prices and Filing Dates Public Notice</w:t>
      </w:r>
      <w:r w:rsidRPr="00B011BF">
        <w:rPr>
          <w:iCs/>
        </w:rPr>
        <w:t>.</w:t>
      </w:r>
      <w:r w:rsidRPr="00B011BF">
        <w:rPr>
          <w:i/>
          <w:iCs/>
        </w:rPr>
        <w:t xml:space="preserve"> </w:t>
      </w:r>
    </w:p>
  </w:footnote>
  <w:footnote w:id="5">
    <w:p w14:paraId="1843E701" w14:textId="77777777" w:rsidR="009D1A12" w:rsidRPr="00B011BF" w:rsidRDefault="009D1A12" w:rsidP="00B011BF">
      <w:pPr>
        <w:pStyle w:val="FootnoteText"/>
      </w:pPr>
      <w:r w:rsidRPr="00B011BF">
        <w:rPr>
          <w:rStyle w:val="FootnoteReference"/>
        </w:rPr>
        <w:footnoteRef/>
      </w:r>
      <w:r w:rsidRPr="00B011BF">
        <w:t xml:space="preserve"> </w:t>
      </w:r>
      <w:r>
        <w:t xml:space="preserve">The Bureau had </w:t>
      </w:r>
      <w:r w:rsidRPr="00454B9E">
        <w:t xml:space="preserve">previously announced in the </w:t>
      </w:r>
      <w:r w:rsidRPr="005D4CE1">
        <w:rPr>
          <w:i/>
        </w:rPr>
        <w:t>Auction 1000 Application Procedures Public Notice</w:t>
      </w:r>
      <w:r w:rsidRPr="00454B9E">
        <w:t xml:space="preserve"> that the first auction tutorial for</w:t>
      </w:r>
      <w:r>
        <w:t xml:space="preserve"> Auction 1002 would be available </w:t>
      </w:r>
      <w:r w:rsidRPr="00454B9E">
        <w:t>by January 7, 2016</w:t>
      </w:r>
      <w:r>
        <w:t xml:space="preserve">.  </w:t>
      </w:r>
      <w:r w:rsidRPr="00B011BF">
        <w:rPr>
          <w:i/>
        </w:rPr>
        <w:t xml:space="preserve">See </w:t>
      </w:r>
      <w:r w:rsidRPr="00B011BF">
        <w:rPr>
          <w:i/>
          <w:iCs/>
        </w:rPr>
        <w:t>Auction 1000 Application Procedures Public Notice</w:t>
      </w:r>
      <w:r w:rsidRPr="00B011BF">
        <w:rPr>
          <w:i/>
        </w:rPr>
        <w:t xml:space="preserve"> </w:t>
      </w:r>
      <w:r w:rsidRPr="00B011BF">
        <w:rPr>
          <w:iCs/>
        </w:rPr>
        <w:t>at</w:t>
      </w:r>
      <w:r w:rsidRPr="00B011BF">
        <w:t xml:space="preserve"> </w:t>
      </w:r>
      <w:r>
        <w:t>29</w:t>
      </w:r>
      <w:r w:rsidRPr="00B011BF">
        <w:t>–</w:t>
      </w:r>
      <w:r>
        <w:t xml:space="preserve">30, </w:t>
      </w:r>
      <w:r w:rsidRPr="00B011BF">
        <w:t xml:space="preserve">para. </w:t>
      </w:r>
      <w:r>
        <w:t xml:space="preserve">89, 51, para. </w:t>
      </w:r>
      <w:r w:rsidRPr="00B011BF">
        <w:t>149.</w:t>
      </w:r>
      <w:r>
        <w:t xml:space="preserve">  This change is intended to make this tutorial available approximately one week prior to the opening of the filing window for the forward auction on January 26, 2016.  </w:t>
      </w:r>
    </w:p>
  </w:footnote>
  <w:footnote w:id="6">
    <w:p w14:paraId="0001DA6C" w14:textId="77777777" w:rsidR="009D1A12" w:rsidRPr="00B011BF" w:rsidRDefault="009D1A12" w:rsidP="00B011BF">
      <w:pPr>
        <w:pStyle w:val="FootnoteText"/>
      </w:pPr>
      <w:r w:rsidRPr="00B011BF">
        <w:rPr>
          <w:rStyle w:val="FootnoteReference"/>
        </w:rPr>
        <w:footnoteRef/>
      </w:r>
      <w:r w:rsidRPr="00B011BF">
        <w:t xml:space="preserve"> </w:t>
      </w:r>
      <w:r w:rsidRPr="00B011BF">
        <w:rPr>
          <w:i/>
        </w:rPr>
        <w:t>See id.</w:t>
      </w:r>
      <w:r w:rsidRPr="0022176A">
        <w:t xml:space="preserve"> </w:t>
      </w:r>
      <w:r>
        <w:t>at 51, para. 149.</w:t>
      </w:r>
    </w:p>
  </w:footnote>
  <w:footnote w:id="7">
    <w:p w14:paraId="62251888" w14:textId="77777777" w:rsidR="009D1A12" w:rsidRPr="001F4F61" w:rsidRDefault="009D1A12">
      <w:pPr>
        <w:pStyle w:val="FootnoteText"/>
      </w:pPr>
      <w:r>
        <w:rPr>
          <w:rStyle w:val="FootnoteReference"/>
        </w:rPr>
        <w:footnoteRef/>
      </w:r>
      <w:r>
        <w:t xml:space="preserve"> </w:t>
      </w:r>
      <w:r w:rsidRPr="00B011BF">
        <w:rPr>
          <w:i/>
        </w:rPr>
        <w:t xml:space="preserve">See </w:t>
      </w:r>
      <w:r>
        <w:rPr>
          <w:i/>
          <w:iCs/>
        </w:rPr>
        <w:t xml:space="preserve">id. </w:t>
      </w:r>
      <w:r>
        <w:rPr>
          <w:iCs/>
        </w:rPr>
        <w:t>at 24, paras. 68</w:t>
      </w:r>
      <w:r w:rsidRPr="00B011BF">
        <w:t>–</w:t>
      </w:r>
      <w:r>
        <w:rPr>
          <w:iCs/>
        </w:rPr>
        <w:t xml:space="preserve">70 (Auction 1001); </w:t>
      </w:r>
      <w:r>
        <w:rPr>
          <w:i/>
          <w:iCs/>
        </w:rPr>
        <w:t>id.</w:t>
      </w:r>
      <w:r>
        <w:rPr>
          <w:iCs/>
        </w:rPr>
        <w:t xml:space="preserve"> at 54, paras. 161</w:t>
      </w:r>
      <w:r w:rsidRPr="00B011BF">
        <w:t>–</w:t>
      </w:r>
      <w:r>
        <w:rPr>
          <w:iCs/>
        </w:rPr>
        <w:t>63 (Auction 1002).</w:t>
      </w:r>
    </w:p>
  </w:footnote>
  <w:footnote w:id="8">
    <w:p w14:paraId="442AF532" w14:textId="77777777" w:rsidR="009D1A12" w:rsidRDefault="009D1A12">
      <w:pPr>
        <w:pStyle w:val="FootnoteText"/>
      </w:pPr>
      <w:r>
        <w:rPr>
          <w:rStyle w:val="FootnoteReference"/>
        </w:rPr>
        <w:footnoteRef/>
      </w:r>
      <w:r>
        <w:t xml:space="preserve"> For purposes of this Public Notice, the term “auction application” refers to the FCC Forms 177 and 175 for the reverse and forward auctions, respectively. </w:t>
      </w:r>
    </w:p>
  </w:footnote>
  <w:footnote w:id="9">
    <w:p w14:paraId="3F0D540F" w14:textId="77777777" w:rsidR="009D1A12" w:rsidRPr="00B011BF" w:rsidRDefault="009D1A12" w:rsidP="002A51AD">
      <w:pPr>
        <w:pStyle w:val="FootnoteText"/>
      </w:pPr>
      <w:r w:rsidRPr="00B011BF">
        <w:rPr>
          <w:rStyle w:val="FootnoteReference"/>
        </w:rPr>
        <w:footnoteRef/>
      </w:r>
      <w:r w:rsidRPr="00B011BF">
        <w:t xml:space="preserve"> Bids may be placed by an authorized bidder identified in the applicant’s FCC Form 177.</w:t>
      </w:r>
    </w:p>
  </w:footnote>
  <w:footnote w:id="10">
    <w:p w14:paraId="7D5E9591" w14:textId="77777777" w:rsidR="009D1A12" w:rsidRPr="00B011BF" w:rsidRDefault="009D1A12" w:rsidP="00B011BF">
      <w:pPr>
        <w:pStyle w:val="FootnoteText"/>
      </w:pPr>
      <w:r w:rsidRPr="00B011BF">
        <w:rPr>
          <w:rStyle w:val="FootnoteReference"/>
        </w:rPr>
        <w:footnoteRef/>
      </w:r>
      <w:r w:rsidRPr="00B011BF">
        <w:t xml:space="preserve"> The First Confidential Status Letter will </w:t>
      </w:r>
      <w:r w:rsidRPr="00B011BF">
        <w:rPr>
          <w:snapToGrid w:val="0"/>
        </w:rPr>
        <w:t xml:space="preserve">identify whether the application and each station selected in the application (1) is complete or (2) is incomplete or deficient because of minor defects that may be corrected.  The letter will include the deadline for resubmitting corrections to an application and will inform the applicant of any potential FCC liabilities with respect to a particular station that cannot be resolved before the reverse auction.  </w:t>
      </w:r>
      <w:r w:rsidRPr="00B011BF">
        <w:rPr>
          <w:i/>
        </w:rPr>
        <w:t xml:space="preserve">See </w:t>
      </w:r>
      <w:r w:rsidRPr="005D4CE1">
        <w:rPr>
          <w:i/>
        </w:rPr>
        <w:t>Auction 1000 Application Procedures Public Notice</w:t>
      </w:r>
      <w:r w:rsidRPr="00B011BF">
        <w:rPr>
          <w:i/>
        </w:rPr>
        <w:t xml:space="preserve"> </w:t>
      </w:r>
      <w:r w:rsidRPr="00B011BF">
        <w:t>at 22, para. 61.</w:t>
      </w:r>
    </w:p>
  </w:footnote>
  <w:footnote w:id="11">
    <w:p w14:paraId="309CDEE0" w14:textId="77777777" w:rsidR="009D1A12" w:rsidRPr="00B011BF" w:rsidRDefault="009D1A12" w:rsidP="00B011BF">
      <w:pPr>
        <w:pStyle w:val="FootnoteText"/>
      </w:pPr>
      <w:r w:rsidRPr="00B011BF">
        <w:rPr>
          <w:rStyle w:val="FootnoteReference"/>
        </w:rPr>
        <w:footnoteRef/>
      </w:r>
      <w:r w:rsidRPr="00B011BF">
        <w:t xml:space="preserve"> </w:t>
      </w:r>
      <w:r w:rsidRPr="00B011BF">
        <w:rPr>
          <w:i/>
        </w:rPr>
        <w:t xml:space="preserve">See id. </w:t>
      </w:r>
      <w:r w:rsidRPr="00B011BF">
        <w:t xml:space="preserve">at 22, para. 63.  </w:t>
      </w:r>
    </w:p>
  </w:footnote>
  <w:footnote w:id="12">
    <w:p w14:paraId="0D1F1351" w14:textId="77777777" w:rsidR="009D1A12" w:rsidRPr="00B011BF" w:rsidRDefault="009D1A12" w:rsidP="00B011BF">
      <w:pPr>
        <w:pStyle w:val="FootnoteText"/>
        <w:rPr>
          <w:i/>
        </w:rPr>
      </w:pPr>
      <w:r w:rsidRPr="00B011BF">
        <w:rPr>
          <w:rStyle w:val="FootnoteReference"/>
        </w:rPr>
        <w:footnoteRef/>
      </w:r>
      <w:r w:rsidRPr="00B011BF">
        <w:t xml:space="preserve"> If an applicant’s preferred option is to move to a VHF channel, the applicant will also have the ability to commit to any other option that it selected on its FCC Form 177 as a fallback relinquishment option.  </w:t>
      </w:r>
      <w:r w:rsidRPr="00B011BF">
        <w:rPr>
          <w:i/>
        </w:rPr>
        <w:t>See Broadcast Auction Scheduled to Begin March 29, 2016; Procedures for Competitive Bidding in Auction 1000, Including Initial Clearing Target Determination, Qualifying to Bid, and Bidding in Auctions 1001 (Reverse) and 1002 (Forward)</w:t>
      </w:r>
      <w:r w:rsidRPr="00B011BF">
        <w:t>, Public Notice, 30 FCC Rcd 8975, 9020–21, paras. 70–71 (2015) (</w:t>
      </w:r>
      <w:r w:rsidRPr="00B011BF">
        <w:rPr>
          <w:i/>
        </w:rPr>
        <w:t>Auction 1000 Bidding Procedures Public Notice</w:t>
      </w:r>
      <w:r w:rsidRPr="00B011BF">
        <w:t>).</w:t>
      </w:r>
    </w:p>
  </w:footnote>
  <w:footnote w:id="13">
    <w:p w14:paraId="7C34B907" w14:textId="77777777" w:rsidR="009D1A12" w:rsidRPr="00B011BF" w:rsidRDefault="009D1A12" w:rsidP="00B011BF">
      <w:pPr>
        <w:pStyle w:val="FootnoteText"/>
      </w:pPr>
      <w:r w:rsidRPr="00B011BF">
        <w:rPr>
          <w:rStyle w:val="FootnoteReference"/>
        </w:rPr>
        <w:footnoteRef/>
      </w:r>
      <w:r w:rsidRPr="00B011BF">
        <w:t xml:space="preserve"> If the application is deemed not complete as to any particular station, the applicant will be not be able to make an initial commitment for that station.  </w:t>
      </w:r>
      <w:r w:rsidRPr="00B011BF">
        <w:rPr>
          <w:i/>
        </w:rPr>
        <w:t xml:space="preserve">See Auction 1000 Application Procedures Public Notice </w:t>
      </w:r>
      <w:r w:rsidRPr="00B011BF">
        <w:t>at 22, para. 63 n.113.</w:t>
      </w:r>
    </w:p>
  </w:footnote>
  <w:footnote w:id="14">
    <w:p w14:paraId="0DAB4100" w14:textId="77777777" w:rsidR="009D1A12" w:rsidRDefault="009D1A12" w:rsidP="00352172">
      <w:pPr>
        <w:pStyle w:val="FootnoteText"/>
      </w:pPr>
      <w:r>
        <w:rPr>
          <w:rStyle w:val="FootnoteReference"/>
        </w:rPr>
        <w:footnoteRef/>
      </w:r>
      <w:r>
        <w:t xml:space="preserve"> </w:t>
      </w:r>
      <w:r w:rsidRPr="00B011BF">
        <w:rPr>
          <w:i/>
        </w:rPr>
        <w:t xml:space="preserve">See </w:t>
      </w:r>
      <w:r>
        <w:rPr>
          <w:i/>
        </w:rPr>
        <w:t>id.</w:t>
      </w:r>
      <w:r w:rsidRPr="00B011BF">
        <w:t xml:space="preserve"> at 22, para. 63.</w:t>
      </w:r>
    </w:p>
  </w:footnote>
  <w:footnote w:id="15">
    <w:p w14:paraId="7DE94F6C" w14:textId="76AF0184" w:rsidR="009D1A12" w:rsidRDefault="009D1A12">
      <w:pPr>
        <w:pStyle w:val="FootnoteText"/>
      </w:pPr>
      <w:r>
        <w:rPr>
          <w:rStyle w:val="FootnoteReference"/>
        </w:rPr>
        <w:footnoteRef/>
      </w:r>
      <w:r>
        <w:t xml:space="preserve"> </w:t>
      </w:r>
      <w:r>
        <w:rPr>
          <w:i/>
        </w:rPr>
        <w:t xml:space="preserve">See id. </w:t>
      </w:r>
      <w:r>
        <w:t xml:space="preserve">at 23–24, para. 67.  </w:t>
      </w:r>
    </w:p>
  </w:footnote>
  <w:footnote w:id="16">
    <w:p w14:paraId="7A98EBCD" w14:textId="77777777" w:rsidR="009D1A12" w:rsidRPr="005950BB" w:rsidRDefault="009D1A12" w:rsidP="004813F6">
      <w:pPr>
        <w:pStyle w:val="FootnoteText"/>
      </w:pPr>
      <w:r>
        <w:rPr>
          <w:rStyle w:val="FootnoteReference"/>
        </w:rPr>
        <w:footnoteRef/>
      </w:r>
      <w:r>
        <w:t xml:space="preserve"> </w:t>
      </w:r>
      <w:r>
        <w:rPr>
          <w:i/>
        </w:rPr>
        <w:t xml:space="preserve">See id. </w:t>
      </w:r>
      <w:r>
        <w:t xml:space="preserve">at 24–25, para. 73. </w:t>
      </w:r>
    </w:p>
  </w:footnote>
  <w:footnote w:id="17">
    <w:p w14:paraId="579B0431" w14:textId="77777777" w:rsidR="009D1A12" w:rsidRDefault="009D1A12">
      <w:pPr>
        <w:pStyle w:val="FootnoteText"/>
      </w:pPr>
      <w:r>
        <w:rPr>
          <w:rStyle w:val="FootnoteReference"/>
        </w:rPr>
        <w:footnoteRef/>
      </w:r>
      <w:r>
        <w:t xml:space="preserve"> </w:t>
      </w:r>
      <w:r w:rsidRPr="00B011BF">
        <w:rPr>
          <w:i/>
        </w:rPr>
        <w:t xml:space="preserve">See </w:t>
      </w:r>
      <w:r>
        <w:rPr>
          <w:i/>
        </w:rPr>
        <w:t>id.</w:t>
      </w:r>
      <w:r w:rsidRPr="00B011BF">
        <w:t xml:space="preserve"> at </w:t>
      </w:r>
      <w:r>
        <w:t>29</w:t>
      </w:r>
      <w:r w:rsidRPr="00B011BF">
        <w:t>–</w:t>
      </w:r>
      <w:r>
        <w:t xml:space="preserve">30, </w:t>
      </w:r>
      <w:r w:rsidRPr="00B011BF">
        <w:t xml:space="preserve">para. </w:t>
      </w:r>
      <w:r>
        <w:t>89, 51, para. 149</w:t>
      </w:r>
      <w:r w:rsidRPr="00B011BF">
        <w:t>.</w:t>
      </w:r>
    </w:p>
  </w:footnote>
  <w:footnote w:id="18">
    <w:p w14:paraId="70FCBB37" w14:textId="518323A2" w:rsidR="009D1A12" w:rsidRDefault="009D1A12" w:rsidP="00F7733F">
      <w:pPr>
        <w:pStyle w:val="FootnoteText"/>
      </w:pPr>
      <w:r>
        <w:rPr>
          <w:rStyle w:val="FootnoteReference"/>
        </w:rPr>
        <w:footnoteRef/>
      </w:r>
      <w:r>
        <w:t xml:space="preserve"> The deadline for resubmitting corrected applications will be announced in the public notice </w:t>
      </w:r>
      <w:r w:rsidRPr="00B011BF">
        <w:t>that will announce applica</w:t>
      </w:r>
      <w:r>
        <w:t xml:space="preserve">nts’ initial application statuses.  </w:t>
      </w:r>
      <w:r>
        <w:rPr>
          <w:i/>
        </w:rPr>
        <w:t>See id.</w:t>
      </w:r>
      <w:r w:rsidRPr="00B011BF">
        <w:t xml:space="preserve"> at </w:t>
      </w:r>
      <w:r>
        <w:t>52, para. 153</w:t>
      </w:r>
      <w:r w:rsidRPr="00B011BF">
        <w:t>.</w:t>
      </w:r>
      <w:r>
        <w:t xml:space="preserve">  </w:t>
      </w:r>
    </w:p>
  </w:footnote>
  <w:footnote w:id="19">
    <w:p w14:paraId="2AA73101" w14:textId="77777777" w:rsidR="009D1A12" w:rsidRDefault="009D1A12">
      <w:pPr>
        <w:pStyle w:val="FootnoteText"/>
      </w:pPr>
      <w:r>
        <w:rPr>
          <w:rStyle w:val="FootnoteReference"/>
        </w:rPr>
        <w:footnoteRef/>
      </w:r>
      <w:r>
        <w:t xml:space="preserve"> </w:t>
      </w:r>
      <w:r w:rsidRPr="00B011BF">
        <w:t xml:space="preserve">As explained in the </w:t>
      </w:r>
      <w:r w:rsidRPr="00B011BF">
        <w:rPr>
          <w:i/>
        </w:rPr>
        <w:t>Auction 1000 Application Procedures Public Notice</w:t>
      </w:r>
      <w:r w:rsidRPr="00B011BF">
        <w:t xml:space="preserve">, </w:t>
      </w:r>
      <w:r>
        <w:t xml:space="preserve">in order to become qualified to bid, </w:t>
      </w:r>
      <w:r w:rsidRPr="00B011BF">
        <w:t xml:space="preserve">an applicant must submit a sufficient upfront payment by 6:00 p.m. ET on the deadline to be announced in the </w:t>
      </w:r>
      <w:r w:rsidRPr="00B011BF">
        <w:rPr>
          <w:i/>
        </w:rPr>
        <w:t>Upfront Payment Public Notice</w:t>
      </w:r>
      <w:r w:rsidRPr="00B011BF">
        <w:t xml:space="preserve">, which will be released after the initial clearing target and associated band plan scenario have been determined.  </w:t>
      </w:r>
      <w:r w:rsidRPr="00B011BF">
        <w:rPr>
          <w:i/>
        </w:rPr>
        <w:t xml:space="preserve">See </w:t>
      </w:r>
      <w:r w:rsidRPr="00B011BF">
        <w:rPr>
          <w:i/>
          <w:iCs/>
        </w:rPr>
        <w:t>Auction 1000 Application Procedures Public Notice</w:t>
      </w:r>
      <w:r w:rsidRPr="00B011BF">
        <w:rPr>
          <w:i/>
        </w:rPr>
        <w:t xml:space="preserve"> </w:t>
      </w:r>
      <w:r w:rsidRPr="00B011BF">
        <w:rPr>
          <w:iCs/>
        </w:rPr>
        <w:t>at</w:t>
      </w:r>
      <w:r w:rsidRPr="00B011BF">
        <w:t xml:space="preserve"> </w:t>
      </w:r>
      <w:r>
        <w:t xml:space="preserve">29–30, </w:t>
      </w:r>
      <w:r w:rsidRPr="00B011BF">
        <w:t>paras. 89–90</w:t>
      </w:r>
      <w:r>
        <w:t>, 52, para.</w:t>
      </w:r>
      <w:r w:rsidRPr="00B011BF">
        <w:t xml:space="preserve"> 156.  </w:t>
      </w:r>
    </w:p>
  </w:footnote>
  <w:footnote w:id="20">
    <w:p w14:paraId="6B0FCF4C" w14:textId="013DBD4E" w:rsidR="009D1A12" w:rsidRPr="00B011BF" w:rsidRDefault="009D1A12" w:rsidP="00574B62">
      <w:pPr>
        <w:pStyle w:val="FootnoteText"/>
      </w:pPr>
      <w:r w:rsidRPr="00B011BF">
        <w:rPr>
          <w:rStyle w:val="FootnoteReference"/>
        </w:rPr>
        <w:footnoteRef/>
      </w:r>
      <w:r w:rsidRPr="00B011BF">
        <w:t xml:space="preserve"> </w:t>
      </w:r>
      <w:r w:rsidRPr="00B011BF">
        <w:rPr>
          <w:i/>
        </w:rPr>
        <w:t xml:space="preserve">See </w:t>
      </w:r>
      <w:r>
        <w:rPr>
          <w:i/>
          <w:iCs/>
        </w:rPr>
        <w:t>id.</w:t>
      </w:r>
      <w:r w:rsidRPr="00B011BF">
        <w:rPr>
          <w:i/>
        </w:rPr>
        <w:t xml:space="preserve"> </w:t>
      </w:r>
      <w:r w:rsidRPr="00B011BF">
        <w:rPr>
          <w:iCs/>
        </w:rPr>
        <w:t>at</w:t>
      </w:r>
      <w:r w:rsidRPr="00B011BF">
        <w:t xml:space="preserve"> </w:t>
      </w:r>
      <w:r>
        <w:t>29–</w:t>
      </w:r>
      <w:r w:rsidRPr="00B011BF">
        <w:t>30, paras. 89–90</w:t>
      </w:r>
      <w:r>
        <w:t>,</w:t>
      </w:r>
      <w:r w:rsidRPr="00B011BF">
        <w:t xml:space="preserve"> 56, para. 156</w:t>
      </w:r>
      <w:r>
        <w:t>, 54</w:t>
      </w:r>
      <w:r w:rsidRPr="00B011BF">
        <w:t>–</w:t>
      </w:r>
      <w:r>
        <w:t>55, para. 166.</w:t>
      </w:r>
      <w:r w:rsidRPr="00B011BF">
        <w:t xml:space="preserve">  Bids may be placed by an authorized bidder identified in the applicant’s FCC Form 17</w:t>
      </w:r>
      <w:r>
        <w:t>5</w:t>
      </w:r>
      <w:r w:rsidRPr="00B011BF">
        <w:t>.</w:t>
      </w:r>
    </w:p>
  </w:footnote>
  <w:footnote w:id="21">
    <w:p w14:paraId="589091F1" w14:textId="77777777" w:rsidR="009D1A12" w:rsidRPr="00B011BF" w:rsidRDefault="009D1A12" w:rsidP="00574B62">
      <w:pPr>
        <w:pStyle w:val="FootnoteText"/>
      </w:pPr>
      <w:r w:rsidRPr="00B011BF">
        <w:rPr>
          <w:rStyle w:val="FootnoteReference"/>
        </w:rPr>
        <w:footnoteRef/>
      </w:r>
      <w:r w:rsidRPr="00B011BF">
        <w:t xml:space="preserve"> </w:t>
      </w:r>
      <w:r w:rsidRPr="00B011BF">
        <w:rPr>
          <w:i/>
        </w:rPr>
        <w:t>See</w:t>
      </w:r>
      <w:r w:rsidRPr="00B011BF">
        <w:t xml:space="preserve"> </w:t>
      </w:r>
      <w:r w:rsidRPr="00B011BF">
        <w:rPr>
          <w:i/>
        </w:rPr>
        <w:t>Auction 1000 Bidding Procedures Public Notice</w:t>
      </w:r>
      <w:r>
        <w:t xml:space="preserve">, </w:t>
      </w:r>
      <w:r w:rsidRPr="00B011BF">
        <w:t xml:space="preserve">30 FCC Rcd at </w:t>
      </w:r>
      <w:r>
        <w:t>9089–90</w:t>
      </w:r>
      <w:r w:rsidRPr="00B011BF">
        <w:t>, para. 24</w:t>
      </w:r>
      <w:r>
        <w:t>7</w:t>
      </w:r>
      <w:r w:rsidRPr="00B011BF">
        <w:t>.</w:t>
      </w:r>
    </w:p>
  </w:footnote>
  <w:footnote w:id="22">
    <w:p w14:paraId="3D3BA3CA" w14:textId="77777777" w:rsidR="009D1A12" w:rsidRPr="00B011BF" w:rsidRDefault="009D1A12" w:rsidP="00574B62">
      <w:pPr>
        <w:pStyle w:val="FootnoteText"/>
      </w:pPr>
      <w:r w:rsidRPr="00B011BF">
        <w:rPr>
          <w:rStyle w:val="FootnoteReference"/>
        </w:rPr>
        <w:footnoteRef/>
      </w:r>
      <w:r w:rsidRPr="00B011BF">
        <w:t xml:space="preserve"> </w:t>
      </w:r>
      <w:r w:rsidRPr="00B011BF">
        <w:rPr>
          <w:i/>
        </w:rPr>
        <w:t>See</w:t>
      </w:r>
      <w:r w:rsidRPr="00B011BF">
        <w:t xml:space="preserve"> </w:t>
      </w:r>
      <w:r>
        <w:rPr>
          <w:i/>
        </w:rPr>
        <w:t xml:space="preserve">id. </w:t>
      </w:r>
      <w:r w:rsidRPr="00B011BF">
        <w:t xml:space="preserve">at </w:t>
      </w:r>
      <w:r>
        <w:t>9089</w:t>
      </w:r>
      <w:r w:rsidRPr="00B011BF">
        <w:t>, para. 24</w:t>
      </w:r>
      <w:r>
        <w:t>7 n.714.</w:t>
      </w:r>
      <w:r w:rsidRPr="00B011BF">
        <w:t xml:space="preserve">  </w:t>
      </w:r>
    </w:p>
  </w:footnote>
  <w:footnote w:id="23">
    <w:p w14:paraId="6ECBA72D" w14:textId="755AE4B5" w:rsidR="009D1A12" w:rsidRDefault="009D1A12">
      <w:pPr>
        <w:pStyle w:val="FootnoteText"/>
      </w:pPr>
      <w:r>
        <w:rPr>
          <w:rStyle w:val="FootnoteReference"/>
        </w:rPr>
        <w:footnoteRef/>
      </w:r>
      <w:r w:rsidR="00787AA1">
        <w:t xml:space="preserve"> An E</w:t>
      </w:r>
      <w:r>
        <w:t>xcel version of Attachment 1 will be made available on the</w:t>
      </w:r>
      <w:r w:rsidRPr="00540830">
        <w:rPr>
          <w:szCs w:val="22"/>
        </w:rPr>
        <w:t xml:space="preserve"> Commission’s Auction 1002 web page at </w:t>
      </w:r>
      <w:hyperlink r:id="rId1" w:history="1">
        <w:r w:rsidRPr="00540830">
          <w:rPr>
            <w:rStyle w:val="Hyperlink"/>
            <w:szCs w:val="22"/>
          </w:rPr>
          <w:t>http://www.fcc.gov/auctions/1002</w:t>
        </w:r>
      </w:hyperlink>
      <w:r w:rsidRPr="00540830">
        <w:rPr>
          <w:szCs w:val="22"/>
        </w:rPr>
        <w:t xml:space="preserve"> through a link under the “</w:t>
      </w:r>
      <w:r>
        <w:rPr>
          <w:szCs w:val="22"/>
        </w:rPr>
        <w:t>Data</w:t>
      </w:r>
      <w:r w:rsidRPr="00540830">
        <w:rPr>
          <w:szCs w:val="22"/>
        </w:rPr>
        <w:t>” tab</w:t>
      </w:r>
      <w:r>
        <w:rPr>
          <w:szCs w:val="22"/>
        </w:rPr>
        <w:t>.</w:t>
      </w:r>
    </w:p>
  </w:footnote>
  <w:footnote w:id="24">
    <w:p w14:paraId="34076309" w14:textId="77777777" w:rsidR="009D1A12" w:rsidRDefault="009D1A12" w:rsidP="00895D33">
      <w:pPr>
        <w:pStyle w:val="FootnoteText"/>
      </w:pPr>
      <w:r>
        <w:rPr>
          <w:rStyle w:val="FootnoteReference"/>
        </w:rPr>
        <w:footnoteRef/>
      </w:r>
      <w:r>
        <w:t xml:space="preserve"> </w:t>
      </w:r>
      <w:r w:rsidRPr="00B011BF">
        <w:rPr>
          <w:i/>
        </w:rPr>
        <w:t xml:space="preserve">See </w:t>
      </w:r>
      <w:r w:rsidRPr="00B011BF">
        <w:rPr>
          <w:i/>
          <w:iCs/>
        </w:rPr>
        <w:t>Auction 1000 Application Procedures Public Notice</w:t>
      </w:r>
      <w:r w:rsidRPr="00B011BF">
        <w:rPr>
          <w:i/>
        </w:rPr>
        <w:t xml:space="preserve"> </w:t>
      </w:r>
      <w:r w:rsidRPr="00B011BF">
        <w:rPr>
          <w:iCs/>
        </w:rPr>
        <w:t>at</w:t>
      </w:r>
      <w:r w:rsidRPr="00B011BF">
        <w:t xml:space="preserve"> </w:t>
      </w:r>
      <w:r>
        <w:t>Appendix D</w:t>
      </w:r>
      <w:r w:rsidRPr="00B011BF">
        <w:t xml:space="preserve">, </w:t>
      </w:r>
      <w:r>
        <w:t xml:space="preserve">Section 5.5. </w:t>
      </w:r>
    </w:p>
  </w:footnote>
  <w:footnote w:id="25">
    <w:p w14:paraId="1A6F2444" w14:textId="77777777" w:rsidR="009D1A12" w:rsidRDefault="009D1A12" w:rsidP="00895D33">
      <w:pPr>
        <w:pStyle w:val="FootnoteText"/>
      </w:pPr>
      <w:r>
        <w:rPr>
          <w:rStyle w:val="FootnoteReference"/>
        </w:rPr>
        <w:footnoteRef/>
      </w:r>
      <w:r>
        <w:t xml:space="preserve"> </w:t>
      </w:r>
      <w:r w:rsidRPr="00B011BF">
        <w:rPr>
          <w:i/>
        </w:rPr>
        <w:t xml:space="preserve">See </w:t>
      </w:r>
      <w:r>
        <w:rPr>
          <w:i/>
          <w:iCs/>
        </w:rPr>
        <w:t>id.</w:t>
      </w:r>
      <w:r w:rsidRPr="00B011BF">
        <w:rPr>
          <w:i/>
        </w:rPr>
        <w:t xml:space="preserve"> </w:t>
      </w:r>
      <w:r w:rsidRPr="00B011BF">
        <w:rPr>
          <w:iCs/>
        </w:rPr>
        <w:t>at</w:t>
      </w:r>
      <w:r w:rsidRPr="00B011BF">
        <w:t xml:space="preserve"> </w:t>
      </w:r>
      <w:r>
        <w:t>Appendix E</w:t>
      </w:r>
      <w:r w:rsidRPr="00B011BF">
        <w:t xml:space="preserve">, </w:t>
      </w:r>
      <w:r>
        <w:t>Section 3.2.</w:t>
      </w:r>
    </w:p>
  </w:footnote>
  <w:footnote w:id="26">
    <w:p w14:paraId="34CF0FEF" w14:textId="77777777" w:rsidR="009D1A12" w:rsidRDefault="009D1A12" w:rsidP="00895D33">
      <w:pPr>
        <w:pStyle w:val="FootnoteText"/>
      </w:pPr>
      <w:r>
        <w:rPr>
          <w:rStyle w:val="FootnoteReference"/>
        </w:rPr>
        <w:footnoteRef/>
      </w:r>
      <w:r>
        <w:t xml:space="preserve"> </w:t>
      </w:r>
      <w:r>
        <w:rPr>
          <w:i/>
        </w:rPr>
        <w:t>See Exchange of Coordination Letters with IFT Regarding DTV Transition and Reconfiguration of 600 MHz Band Spectrum</w:t>
      </w:r>
      <w:r>
        <w:t xml:space="preserve">, U.S.–Mex. (July 15, 2015), </w:t>
      </w:r>
      <w:r>
        <w:rPr>
          <w:i/>
        </w:rPr>
        <w:t>available at</w:t>
      </w:r>
      <w:r>
        <w:t xml:space="preserve"> http://wireless.fcc.gov/incentiveauctions/learn-program/resources.html (</w:t>
      </w:r>
      <w:r>
        <w:rPr>
          <w:i/>
        </w:rPr>
        <w:t>Mexican Coordination</w:t>
      </w:r>
      <w:r w:rsidRPr="00086779">
        <w:t>)</w:t>
      </w:r>
      <w:r>
        <w:t>.</w:t>
      </w:r>
    </w:p>
  </w:footnote>
  <w:footnote w:id="27">
    <w:p w14:paraId="06A30564" w14:textId="77777777" w:rsidR="009D1A12" w:rsidRDefault="009D1A12" w:rsidP="00C33642">
      <w:pPr>
        <w:pStyle w:val="FootnoteText"/>
      </w:pPr>
      <w:r>
        <w:rPr>
          <w:rStyle w:val="FootnoteReference"/>
        </w:rPr>
        <w:footnoteRef/>
      </w:r>
      <w:r>
        <w:t xml:space="preserve"> Note that the currently held option of an exited station is its pre-auction band.  Moreover, the currently held option of a non-participating station is also its pre-auction band.</w:t>
      </w:r>
    </w:p>
  </w:footnote>
  <w:footnote w:id="28">
    <w:p w14:paraId="37127E55" w14:textId="77777777" w:rsidR="009D1A12" w:rsidRDefault="009D1A12" w:rsidP="00C33642">
      <w:pPr>
        <w:pStyle w:val="FootnoteText"/>
      </w:pPr>
      <w:r>
        <w:rPr>
          <w:rStyle w:val="FootnoteReference"/>
        </w:rPr>
        <w:footnoteRef/>
      </w:r>
      <w:r>
        <w:t xml:space="preserve"> The need for looking at second adjacent constraints (c-2 and c+2) is a result of the </w:t>
      </w:r>
      <w:r>
        <w:rPr>
          <w:i/>
        </w:rPr>
        <w:t>Canadian Coordination</w:t>
      </w:r>
      <w:r>
        <w:t>, which requires second adjacent constraints be considered for a small subset of Canadian stations.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E0DD" w14:textId="77777777" w:rsidR="00F03491" w:rsidRDefault="00F0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8E7AA" w14:textId="1E04A6F8" w:rsidR="009D1A12" w:rsidRDefault="009D1A12" w:rsidP="00926DDB">
    <w:pPr>
      <w:tabs>
        <w:tab w:val="center" w:pos="4680"/>
        <w:tab w:val="right" w:pos="9360"/>
      </w:tabs>
    </w:pPr>
    <w:r>
      <w:rPr>
        <w:b/>
      </w:rPr>
      <w:tab/>
    </w:r>
    <w:r>
      <w:rPr>
        <w:noProof/>
      </w:rPr>
      <mc:AlternateContent>
        <mc:Choice Requires="wps">
          <w:drawing>
            <wp:anchor distT="0" distB="0" distL="114300" distR="114300" simplePos="0" relativeHeight="251667456" behindDoc="0" locked="0" layoutInCell="0" allowOverlap="1" wp14:anchorId="5307E78D" wp14:editId="714ADF77">
              <wp:simplePos x="0" y="0"/>
              <wp:positionH relativeFrom="column">
                <wp:posOffset>0</wp:posOffset>
              </wp:positionH>
              <wp:positionV relativeFrom="paragraph">
                <wp:posOffset>205740</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1EB63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" o:allowincell="f"/>
          </w:pict>
        </mc:Fallback>
      </mc:AlternateContent>
    </w:r>
    <w:r>
      <w:rPr>
        <w:b/>
      </w:rPr>
      <w:t>Federal Communications Commission</w:t>
    </w:r>
    <w:r>
      <w:tab/>
    </w:r>
    <w:r>
      <w:rPr>
        <w:b/>
      </w:rPr>
      <w:t>DA 15-1428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CCD39" w14:textId="77777777" w:rsidR="009D1A12" w:rsidRPr="00B338A9" w:rsidRDefault="009D1A12" w:rsidP="009B12B3">
    <w:pPr>
      <w:pStyle w:val="Header"/>
    </w:pPr>
    <w:r>
      <w:rPr>
        <w:b w:val="0"/>
        <w:noProof/>
      </w:rPr>
      <mc:AlternateContent>
        <mc:Choice Requires="wps">
          <w:drawing>
            <wp:anchor distT="0" distB="0" distL="114300" distR="114300" simplePos="0" relativeHeight="251661312" behindDoc="0" locked="0" layoutInCell="0" allowOverlap="1" wp14:anchorId="7C9CE51E" wp14:editId="2A0EBBB7">
              <wp:simplePos x="0" y="0"/>
              <wp:positionH relativeFrom="margin">
                <wp:posOffset>-57150</wp:posOffset>
              </wp:positionH>
              <wp:positionV relativeFrom="paragraph">
                <wp:posOffset>741045</wp:posOffset>
              </wp:positionV>
              <wp:extent cx="3108960" cy="640080"/>
              <wp:effectExtent l="0" t="0" r="0" b="762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554C6" w14:textId="77777777" w:rsidR="009D1A12" w:rsidRDefault="009D1A12" w:rsidP="009B12B3">
                          <w:pPr>
                            <w:rPr>
                              <w:rFonts w:ascii="Arial" w:hAnsi="Arial"/>
                              <w:b/>
                            </w:rPr>
                          </w:pPr>
                          <w:r>
                            <w:rPr>
                              <w:rFonts w:ascii="Arial" w:hAnsi="Arial"/>
                              <w:b/>
                            </w:rPr>
                            <w:t>Federal Communications Commission</w:t>
                          </w:r>
                        </w:p>
                        <w:p w14:paraId="25121E3A" w14:textId="77777777" w:rsidR="009D1A12" w:rsidRDefault="009D1A12" w:rsidP="009B12B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1E58EF" w14:textId="77777777" w:rsidR="009D1A12" w:rsidRDefault="009D1A12" w:rsidP="009B12B3">
                          <w:pPr>
                            <w:rPr>
                              <w:rFonts w:ascii="Arial" w:hAnsi="Arial"/>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HBgg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2yGx&#10;wYICAAAQBQAADgAAAAAAAAAAAAAAAAAuAgAAZHJzL2Uyb0RvYy54bWxQSwECLQAUAAYACAAAACEA&#10;lvvy8d8AAAAKAQAADwAAAAAAAAAAAAAAAADcBAAAZHJzL2Rvd25yZXYueG1sUEsFBgAAAAAEAAQA&#10;8wAAAOgFAAAAAA==&#10;" o:allowincell="f" stroked="f">
              <v:textbox>
                <w:txbxContent>
                  <w:p w14:paraId="5B8554C6" w14:textId="77777777" w:rsidR="009D1A12" w:rsidRDefault="009D1A12" w:rsidP="009B12B3">
                    <w:pPr>
                      <w:rPr>
                        <w:rFonts w:ascii="Arial" w:hAnsi="Arial"/>
                        <w:b/>
                      </w:rPr>
                    </w:pPr>
                    <w:r>
                      <w:rPr>
                        <w:rFonts w:ascii="Arial" w:hAnsi="Arial"/>
                        <w:b/>
                      </w:rPr>
                      <w:t>Federal Communications Commission</w:t>
                    </w:r>
                  </w:p>
                  <w:p w14:paraId="25121E3A" w14:textId="77777777" w:rsidR="009D1A12" w:rsidRDefault="009D1A12" w:rsidP="009B12B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1E58EF" w14:textId="77777777" w:rsidR="009D1A12" w:rsidRDefault="009D1A12" w:rsidP="009B12B3">
                    <w:pPr>
                      <w:rPr>
                        <w:rFonts w:ascii="Arial" w:hAnsi="Arial"/>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1244333A" wp14:editId="5D6DE015">
          <wp:extent cx="530225" cy="530225"/>
          <wp:effectExtent l="0" t="0" r="3175" b="3175"/>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t xml:space="preserve"> </w:t>
    </w:r>
    <w:r w:rsidRPr="00B338A9">
      <w:t>PUBLIC NOTICE</w:t>
    </w:r>
  </w:p>
  <w:p w14:paraId="6449D24E" w14:textId="77777777" w:rsidR="009D1A12" w:rsidRPr="009B12B3" w:rsidRDefault="009D1A12" w:rsidP="009B12B3">
    <w:pPr>
      <w:pStyle w:val="Header"/>
    </w:pPr>
    <w:r>
      <w:rPr>
        <w:b w:val="0"/>
        <w:noProof/>
      </w:rPr>
      <mc:AlternateContent>
        <mc:Choice Requires="wps">
          <w:drawing>
            <wp:anchor distT="0" distB="0" distL="114300" distR="114300" simplePos="0" relativeHeight="251662336" behindDoc="0" locked="0" layoutInCell="0" allowOverlap="1" wp14:anchorId="5B3A5F51" wp14:editId="69679086">
              <wp:simplePos x="0" y="0"/>
              <wp:positionH relativeFrom="margin">
                <wp:align>right</wp:align>
              </wp:positionH>
              <wp:positionV relativeFrom="paragraph">
                <wp:posOffset>720090</wp:posOffset>
              </wp:positionV>
              <wp:extent cx="5943600" cy="0"/>
              <wp:effectExtent l="0" t="0" r="19050" b="190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C7FD2A" id="Line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" o:allowincell="f">
              <w10:wrap anchorx="margin"/>
            </v:line>
          </w:pict>
        </mc:Fallback>
      </mc:AlternateContent>
    </w:r>
    <w:r>
      <w:rPr>
        <w:b w:val="0"/>
        <w:noProof/>
      </w:rPr>
      <mc:AlternateContent>
        <mc:Choice Requires="wps">
          <w:drawing>
            <wp:anchor distT="0" distB="0" distL="114300" distR="114300" simplePos="0" relativeHeight="251663360" behindDoc="0" locked="0" layoutInCell="0" allowOverlap="1" wp14:anchorId="45204650" wp14:editId="0236388B">
              <wp:simplePos x="0" y="0"/>
              <wp:positionH relativeFrom="column">
                <wp:posOffset>3343275</wp:posOffset>
              </wp:positionH>
              <wp:positionV relativeFrom="paragraph">
                <wp:posOffset>178435</wp:posOffset>
              </wp:positionV>
              <wp:extent cx="2640965" cy="447675"/>
              <wp:effectExtent l="0" t="0" r="6985"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9DBCD" w14:textId="77777777" w:rsidR="009D1A12" w:rsidRDefault="009D1A12" w:rsidP="009B12B3">
                          <w:pPr>
                            <w:spacing w:before="40"/>
                            <w:jc w:val="right"/>
                            <w:rPr>
                              <w:rFonts w:ascii="Arial" w:hAnsi="Arial"/>
                              <w:b/>
                              <w:sz w:val="16"/>
                            </w:rPr>
                          </w:pPr>
                          <w:r>
                            <w:rPr>
                              <w:rFonts w:ascii="Arial" w:hAnsi="Arial"/>
                              <w:b/>
                              <w:sz w:val="16"/>
                            </w:rPr>
                            <w:t>News Media Information: 202-418-0500</w:t>
                          </w:r>
                        </w:p>
                        <w:p w14:paraId="4AA23757" w14:textId="77777777" w:rsidR="009D1A12" w:rsidRDefault="009D1A12" w:rsidP="009B12B3">
                          <w:pPr>
                            <w:jc w:val="right"/>
                            <w:rPr>
                              <w:rFonts w:ascii="Arial" w:hAnsi="Arial"/>
                              <w:b/>
                              <w:sz w:val="16"/>
                            </w:rPr>
                          </w:pPr>
                          <w:r>
                            <w:rPr>
                              <w:rFonts w:ascii="Arial" w:hAnsi="Arial"/>
                              <w:b/>
                              <w:sz w:val="16"/>
                            </w:rPr>
                            <w:t>Internet: http://www.fcc.gov</w:t>
                          </w:r>
                        </w:p>
                        <w:p w14:paraId="4C31E5C9" w14:textId="77777777" w:rsidR="009D1A12" w:rsidRDefault="009D1A12" w:rsidP="009B12B3">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63.25pt;margin-top:14.05pt;width:207.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3Ds1&#10;cYICAAAPBQAADgAAAAAAAAAAAAAAAAAuAgAAZHJzL2Uyb0RvYy54bWxQSwECLQAUAAYACAAAACEA&#10;pgCLut8AAAAJAQAADwAAAAAAAAAAAAAAAADcBAAAZHJzL2Rvd25yZXYueG1sUEsFBgAAAAAEAAQA&#10;8wAAAOgFAAAAAA==&#10;" o:allowincell="f" stroked="f">
              <v:textbox inset=",0,,0">
                <w:txbxContent>
                  <w:p w14:paraId="74E9DBCD" w14:textId="77777777" w:rsidR="009D1A12" w:rsidRDefault="009D1A12" w:rsidP="009B12B3">
                    <w:pPr>
                      <w:spacing w:before="40"/>
                      <w:jc w:val="right"/>
                      <w:rPr>
                        <w:rFonts w:ascii="Arial" w:hAnsi="Arial"/>
                        <w:b/>
                        <w:sz w:val="16"/>
                      </w:rPr>
                    </w:pPr>
                    <w:r>
                      <w:rPr>
                        <w:rFonts w:ascii="Arial" w:hAnsi="Arial"/>
                        <w:b/>
                        <w:sz w:val="16"/>
                      </w:rPr>
                      <w:t>News Media Information: 202-418-0500</w:t>
                    </w:r>
                  </w:p>
                  <w:p w14:paraId="4AA23757" w14:textId="77777777" w:rsidR="009D1A12" w:rsidRDefault="009D1A12" w:rsidP="009B12B3">
                    <w:pPr>
                      <w:jc w:val="right"/>
                      <w:rPr>
                        <w:rFonts w:ascii="Arial" w:hAnsi="Arial"/>
                        <w:b/>
                        <w:sz w:val="16"/>
                      </w:rPr>
                    </w:pPr>
                    <w:r>
                      <w:rPr>
                        <w:rFonts w:ascii="Arial" w:hAnsi="Arial"/>
                        <w:b/>
                        <w:sz w:val="16"/>
                      </w:rPr>
                      <w:t>Internet: http://www.fcc.gov</w:t>
                    </w:r>
                  </w:p>
                  <w:p w14:paraId="4C31E5C9" w14:textId="77777777" w:rsidR="009D1A12" w:rsidRDefault="009D1A12" w:rsidP="009B12B3">
                    <w:pPr>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F2AB" w14:textId="77777777" w:rsidR="009D1A12" w:rsidRPr="0059717C" w:rsidRDefault="009D1A12" w:rsidP="0059717C">
    <w:pPr>
      <w:tabs>
        <w:tab w:val="center" w:pos="4680"/>
        <w:tab w:val="right" w:pos="9360"/>
      </w:tabs>
      <w:rPr>
        <w:snapToGrid/>
      </w:rPr>
    </w:pPr>
    <w:r>
      <w:rPr>
        <w:b/>
      </w:rPr>
      <w:tab/>
    </w:r>
    <w:r>
      <w:rPr>
        <w:noProof/>
      </w:rPr>
      <mc:AlternateContent>
        <mc:Choice Requires="wps">
          <w:drawing>
            <wp:anchor distT="0" distB="0" distL="114300" distR="114300" simplePos="0" relativeHeight="251665408" behindDoc="0" locked="0" layoutInCell="0" allowOverlap="1" wp14:anchorId="6C489A17" wp14:editId="384C630F">
              <wp:simplePos x="0" y="0"/>
              <wp:positionH relativeFrom="column">
                <wp:posOffset>0</wp:posOffset>
              </wp:positionH>
              <wp:positionV relativeFrom="paragraph">
                <wp:posOffset>205740</wp:posOffset>
              </wp:positionV>
              <wp:extent cx="594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7F128"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" o:allowincell="f"/>
          </w:pict>
        </mc:Fallback>
      </mc:AlternateContent>
    </w:r>
    <w:r>
      <w:rPr>
        <w:b/>
      </w:rPr>
      <w:t>Federal Communications Commission</w:t>
    </w:r>
    <w:r>
      <w:tab/>
    </w:r>
    <w:r>
      <w:rPr>
        <w:b/>
      </w:rPr>
      <w:t>DA 15-[[XXX]]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7C"/>
    <w:multiLevelType w:val="hybridMultilevel"/>
    <w:tmpl w:val="8A3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326399"/>
    <w:multiLevelType w:val="hybridMultilevel"/>
    <w:tmpl w:val="CC5EE6FA"/>
    <w:lvl w:ilvl="0" w:tplc="98A68CD2">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03225"/>
    <w:multiLevelType w:val="hybridMultilevel"/>
    <w:tmpl w:val="717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
    <w:nsid w:val="1AFA2482"/>
    <w:multiLevelType w:val="hybridMultilevel"/>
    <w:tmpl w:val="A9781442"/>
    <w:lvl w:ilvl="0" w:tplc="04090001">
      <w:start w:val="1"/>
      <w:numFmt w:val="bullet"/>
      <w:lvlText w:val=""/>
      <w:lvlJc w:val="left"/>
      <w:pPr>
        <w:ind w:left="720" w:hanging="360"/>
      </w:pPr>
      <w:rPr>
        <w:rFonts w:ascii="Symbol" w:hAnsi="Symbol" w:hint="default"/>
      </w:rPr>
    </w:lvl>
    <w:lvl w:ilvl="1" w:tplc="0ADA8F50">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996B58"/>
    <w:multiLevelType w:val="hybridMultilevel"/>
    <w:tmpl w:val="0E949D2A"/>
    <w:lvl w:ilvl="0" w:tplc="ABD6AE66">
      <w:start w:val="20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74119"/>
    <w:multiLevelType w:val="hybridMultilevel"/>
    <w:tmpl w:val="1D9C3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48744E"/>
    <w:multiLevelType w:val="hybridMultilevel"/>
    <w:tmpl w:val="51AC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11F8A"/>
    <w:multiLevelType w:val="multilevel"/>
    <w:tmpl w:val="5F8AC8D0"/>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3">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1743A"/>
    <w:multiLevelType w:val="hybridMultilevel"/>
    <w:tmpl w:val="8CE6EB22"/>
    <w:lvl w:ilvl="0" w:tplc="0304F5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D0E50"/>
    <w:multiLevelType w:val="hybridMultilevel"/>
    <w:tmpl w:val="7994CA0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99578F"/>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0B3E1B"/>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A84882"/>
    <w:multiLevelType w:val="hybridMultilevel"/>
    <w:tmpl w:val="D24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AA365F0"/>
    <w:multiLevelType w:val="hybridMultilevel"/>
    <w:tmpl w:val="F42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78F2687"/>
    <w:multiLevelType w:val="hybridMultilevel"/>
    <w:tmpl w:val="65D8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F7309"/>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FE91CD4"/>
    <w:multiLevelType w:val="multilevel"/>
    <w:tmpl w:val="5F8AC8D0"/>
    <w:lvl w:ilvl="0">
      <w:start w:val="1"/>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27">
    <w:nsid w:val="711162EF"/>
    <w:multiLevelType w:val="hybridMultilevel"/>
    <w:tmpl w:val="5EC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2138E"/>
    <w:multiLevelType w:val="hybridMultilevel"/>
    <w:tmpl w:val="6CC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E77D2"/>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8"/>
  </w:num>
  <w:num w:numId="2">
    <w:abstractNumId w:val="23"/>
  </w:num>
  <w:num w:numId="3">
    <w:abstractNumId w:val="10"/>
  </w:num>
  <w:num w:numId="4">
    <w:abstractNumId w:val="19"/>
  </w:num>
  <w:num w:numId="5">
    <w:abstractNumId w:val="9"/>
  </w:num>
  <w:num w:numId="6">
    <w:abstractNumId w:val="1"/>
  </w:num>
  <w:num w:numId="7">
    <w:abstractNumId w:val="20"/>
  </w:num>
  <w:num w:numId="8">
    <w:abstractNumId w:val="13"/>
  </w:num>
  <w:num w:numId="9">
    <w:abstractNumId w:val="3"/>
  </w:num>
  <w:num w:numId="10">
    <w:abstractNumId w:val="11"/>
  </w:num>
  <w:num w:numId="11">
    <w:abstractNumId w:val="28"/>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2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12"/>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lvlOverride w:ilvl="0">
      <w:startOverride w:val="1"/>
    </w:lvlOverride>
  </w:num>
  <w:num w:numId="25">
    <w:abstractNumId w:val="18"/>
  </w:num>
  <w:num w:numId="26">
    <w:abstractNumId w:val="0"/>
  </w:num>
  <w:num w:numId="27">
    <w:abstractNumId w:val="22"/>
  </w:num>
  <w:num w:numId="28">
    <w:abstractNumId w:val="10"/>
  </w:num>
  <w:num w:numId="29">
    <w:abstractNumId w:val="15"/>
  </w:num>
  <w:num w:numId="30">
    <w:abstractNumId w:val="5"/>
    <w:lvlOverride w:ilvl="0"/>
    <w:lvlOverride w:ilvl="1">
      <w:startOverride w:val="1"/>
    </w:lvlOverride>
    <w:lvlOverride w:ilvl="2"/>
    <w:lvlOverride w:ilvl="3"/>
    <w:lvlOverride w:ilvl="4"/>
    <w:lvlOverride w:ilvl="5"/>
    <w:lvlOverride w:ilvl="6"/>
    <w:lvlOverride w:ilvl="7"/>
    <w:lvlOverride w:ilvl="8"/>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3E"/>
    <w:rsid w:val="00006779"/>
    <w:rsid w:val="00006C38"/>
    <w:rsid w:val="00007760"/>
    <w:rsid w:val="00011C3B"/>
    <w:rsid w:val="00012B39"/>
    <w:rsid w:val="00013180"/>
    <w:rsid w:val="00015691"/>
    <w:rsid w:val="00015970"/>
    <w:rsid w:val="00015FB0"/>
    <w:rsid w:val="00021B67"/>
    <w:rsid w:val="00023947"/>
    <w:rsid w:val="00027E31"/>
    <w:rsid w:val="00030B26"/>
    <w:rsid w:val="00032545"/>
    <w:rsid w:val="00032EC6"/>
    <w:rsid w:val="00033110"/>
    <w:rsid w:val="00033AB9"/>
    <w:rsid w:val="00036039"/>
    <w:rsid w:val="00037CC2"/>
    <w:rsid w:val="00037F90"/>
    <w:rsid w:val="00046BBC"/>
    <w:rsid w:val="00050EDB"/>
    <w:rsid w:val="00050FC1"/>
    <w:rsid w:val="000522DB"/>
    <w:rsid w:val="00053AAE"/>
    <w:rsid w:val="000542D0"/>
    <w:rsid w:val="00054A97"/>
    <w:rsid w:val="00054D45"/>
    <w:rsid w:val="00056DEF"/>
    <w:rsid w:val="000570D2"/>
    <w:rsid w:val="00057725"/>
    <w:rsid w:val="00060947"/>
    <w:rsid w:val="00062A65"/>
    <w:rsid w:val="00062C97"/>
    <w:rsid w:val="0006321C"/>
    <w:rsid w:val="00064288"/>
    <w:rsid w:val="0006465D"/>
    <w:rsid w:val="00064BDB"/>
    <w:rsid w:val="00067877"/>
    <w:rsid w:val="00067878"/>
    <w:rsid w:val="00070488"/>
    <w:rsid w:val="00070C64"/>
    <w:rsid w:val="00072F2F"/>
    <w:rsid w:val="0007498E"/>
    <w:rsid w:val="0007531E"/>
    <w:rsid w:val="00076604"/>
    <w:rsid w:val="00076657"/>
    <w:rsid w:val="00083CBC"/>
    <w:rsid w:val="00083F8F"/>
    <w:rsid w:val="000858E5"/>
    <w:rsid w:val="000875BF"/>
    <w:rsid w:val="000946C2"/>
    <w:rsid w:val="000958C9"/>
    <w:rsid w:val="00096D8C"/>
    <w:rsid w:val="00097937"/>
    <w:rsid w:val="000A0A80"/>
    <w:rsid w:val="000A0E78"/>
    <w:rsid w:val="000A172B"/>
    <w:rsid w:val="000A1B92"/>
    <w:rsid w:val="000A2FC2"/>
    <w:rsid w:val="000A3174"/>
    <w:rsid w:val="000A5014"/>
    <w:rsid w:val="000A5C51"/>
    <w:rsid w:val="000A6603"/>
    <w:rsid w:val="000A68A8"/>
    <w:rsid w:val="000A7597"/>
    <w:rsid w:val="000A7D09"/>
    <w:rsid w:val="000B2F44"/>
    <w:rsid w:val="000B318C"/>
    <w:rsid w:val="000B3B3A"/>
    <w:rsid w:val="000B5DFF"/>
    <w:rsid w:val="000B7E82"/>
    <w:rsid w:val="000C0B65"/>
    <w:rsid w:val="000C13A4"/>
    <w:rsid w:val="000C2408"/>
    <w:rsid w:val="000D1C32"/>
    <w:rsid w:val="000D5407"/>
    <w:rsid w:val="000D66DE"/>
    <w:rsid w:val="000D6CA1"/>
    <w:rsid w:val="000D7DC7"/>
    <w:rsid w:val="000E05FE"/>
    <w:rsid w:val="000E18B8"/>
    <w:rsid w:val="000E2D29"/>
    <w:rsid w:val="000E3D42"/>
    <w:rsid w:val="000E4558"/>
    <w:rsid w:val="000E470A"/>
    <w:rsid w:val="000E53AB"/>
    <w:rsid w:val="000E61DA"/>
    <w:rsid w:val="000E6D57"/>
    <w:rsid w:val="000F3F22"/>
    <w:rsid w:val="000F527C"/>
    <w:rsid w:val="000F5FE4"/>
    <w:rsid w:val="000F6230"/>
    <w:rsid w:val="000F791A"/>
    <w:rsid w:val="00100707"/>
    <w:rsid w:val="00101980"/>
    <w:rsid w:val="0010217A"/>
    <w:rsid w:val="00102331"/>
    <w:rsid w:val="00104AA2"/>
    <w:rsid w:val="0010569F"/>
    <w:rsid w:val="001071FD"/>
    <w:rsid w:val="001105E2"/>
    <w:rsid w:val="001114FA"/>
    <w:rsid w:val="001131B2"/>
    <w:rsid w:val="001157F9"/>
    <w:rsid w:val="00120ADC"/>
    <w:rsid w:val="0012170D"/>
    <w:rsid w:val="00121F06"/>
    <w:rsid w:val="00122BD5"/>
    <w:rsid w:val="001237C0"/>
    <w:rsid w:val="00123A0C"/>
    <w:rsid w:val="00125F3D"/>
    <w:rsid w:val="00126906"/>
    <w:rsid w:val="00127BAF"/>
    <w:rsid w:val="00130DE7"/>
    <w:rsid w:val="00132503"/>
    <w:rsid w:val="00133287"/>
    <w:rsid w:val="0013379D"/>
    <w:rsid w:val="00133F79"/>
    <w:rsid w:val="001343DD"/>
    <w:rsid w:val="00134C22"/>
    <w:rsid w:val="00134FC3"/>
    <w:rsid w:val="00135EF3"/>
    <w:rsid w:val="00137B9F"/>
    <w:rsid w:val="00144706"/>
    <w:rsid w:val="00144F32"/>
    <w:rsid w:val="00145BBA"/>
    <w:rsid w:val="001472D6"/>
    <w:rsid w:val="001500A6"/>
    <w:rsid w:val="00151019"/>
    <w:rsid w:val="00151E66"/>
    <w:rsid w:val="00152526"/>
    <w:rsid w:val="0015287F"/>
    <w:rsid w:val="0015312B"/>
    <w:rsid w:val="00153391"/>
    <w:rsid w:val="00154512"/>
    <w:rsid w:val="00154F6B"/>
    <w:rsid w:val="00161D94"/>
    <w:rsid w:val="00162E60"/>
    <w:rsid w:val="0016455A"/>
    <w:rsid w:val="001658C8"/>
    <w:rsid w:val="00170DD2"/>
    <w:rsid w:val="00171113"/>
    <w:rsid w:val="001724BA"/>
    <w:rsid w:val="00174CF3"/>
    <w:rsid w:val="00177488"/>
    <w:rsid w:val="001803F2"/>
    <w:rsid w:val="00180C3E"/>
    <w:rsid w:val="00182611"/>
    <w:rsid w:val="00183EE6"/>
    <w:rsid w:val="0018465D"/>
    <w:rsid w:val="00184BBB"/>
    <w:rsid w:val="00184DC3"/>
    <w:rsid w:val="00186BA0"/>
    <w:rsid w:val="00192C77"/>
    <w:rsid w:val="0019406F"/>
    <w:rsid w:val="00194A66"/>
    <w:rsid w:val="00194FE9"/>
    <w:rsid w:val="001950B4"/>
    <w:rsid w:val="001969A9"/>
    <w:rsid w:val="001A1E21"/>
    <w:rsid w:val="001A229F"/>
    <w:rsid w:val="001A22D0"/>
    <w:rsid w:val="001A2D35"/>
    <w:rsid w:val="001A2DD4"/>
    <w:rsid w:val="001A2F71"/>
    <w:rsid w:val="001A59D6"/>
    <w:rsid w:val="001A63EC"/>
    <w:rsid w:val="001A69D5"/>
    <w:rsid w:val="001B0BA3"/>
    <w:rsid w:val="001B46AA"/>
    <w:rsid w:val="001B5342"/>
    <w:rsid w:val="001C26BE"/>
    <w:rsid w:val="001C5434"/>
    <w:rsid w:val="001C5C92"/>
    <w:rsid w:val="001C6477"/>
    <w:rsid w:val="001D1E17"/>
    <w:rsid w:val="001D2EBF"/>
    <w:rsid w:val="001D3ED3"/>
    <w:rsid w:val="001D4E49"/>
    <w:rsid w:val="001D5B21"/>
    <w:rsid w:val="001D6BCF"/>
    <w:rsid w:val="001E01CA"/>
    <w:rsid w:val="001E1AA3"/>
    <w:rsid w:val="001E1F58"/>
    <w:rsid w:val="001E4F50"/>
    <w:rsid w:val="001E533F"/>
    <w:rsid w:val="001E7084"/>
    <w:rsid w:val="001F2CD2"/>
    <w:rsid w:val="001F316A"/>
    <w:rsid w:val="001F39D1"/>
    <w:rsid w:val="001F4F61"/>
    <w:rsid w:val="001F5015"/>
    <w:rsid w:val="00200616"/>
    <w:rsid w:val="0020085E"/>
    <w:rsid w:val="00202BC2"/>
    <w:rsid w:val="00202F6E"/>
    <w:rsid w:val="0020408B"/>
    <w:rsid w:val="002065AC"/>
    <w:rsid w:val="00207A3A"/>
    <w:rsid w:val="00211A8D"/>
    <w:rsid w:val="00213D46"/>
    <w:rsid w:val="00214542"/>
    <w:rsid w:val="00214E08"/>
    <w:rsid w:val="002167FC"/>
    <w:rsid w:val="0021712E"/>
    <w:rsid w:val="00217E0A"/>
    <w:rsid w:val="00217E7B"/>
    <w:rsid w:val="00221563"/>
    <w:rsid w:val="0022176A"/>
    <w:rsid w:val="00224B5A"/>
    <w:rsid w:val="00224DFE"/>
    <w:rsid w:val="00225765"/>
    <w:rsid w:val="00227813"/>
    <w:rsid w:val="00230BC8"/>
    <w:rsid w:val="00235BAC"/>
    <w:rsid w:val="00242054"/>
    <w:rsid w:val="00245C86"/>
    <w:rsid w:val="00250A0A"/>
    <w:rsid w:val="00250A32"/>
    <w:rsid w:val="00251BF6"/>
    <w:rsid w:val="002520D2"/>
    <w:rsid w:val="00253714"/>
    <w:rsid w:val="002542E1"/>
    <w:rsid w:val="00256C9F"/>
    <w:rsid w:val="00257689"/>
    <w:rsid w:val="0026093C"/>
    <w:rsid w:val="00265E1A"/>
    <w:rsid w:val="00271A64"/>
    <w:rsid w:val="00272A8A"/>
    <w:rsid w:val="002746A2"/>
    <w:rsid w:val="0027503E"/>
    <w:rsid w:val="00275756"/>
    <w:rsid w:val="00275CF5"/>
    <w:rsid w:val="00276FB3"/>
    <w:rsid w:val="002803EA"/>
    <w:rsid w:val="00281ABE"/>
    <w:rsid w:val="0028301F"/>
    <w:rsid w:val="002830D7"/>
    <w:rsid w:val="0028379B"/>
    <w:rsid w:val="00285017"/>
    <w:rsid w:val="002852C8"/>
    <w:rsid w:val="0028535B"/>
    <w:rsid w:val="00296696"/>
    <w:rsid w:val="002A01E1"/>
    <w:rsid w:val="002A1047"/>
    <w:rsid w:val="002A2D2E"/>
    <w:rsid w:val="002A33F1"/>
    <w:rsid w:val="002A51AD"/>
    <w:rsid w:val="002A63CD"/>
    <w:rsid w:val="002B35A3"/>
    <w:rsid w:val="002B48B7"/>
    <w:rsid w:val="002B4AD9"/>
    <w:rsid w:val="002B559A"/>
    <w:rsid w:val="002B602F"/>
    <w:rsid w:val="002B63C1"/>
    <w:rsid w:val="002B6560"/>
    <w:rsid w:val="002B7346"/>
    <w:rsid w:val="002B7B54"/>
    <w:rsid w:val="002B7CF7"/>
    <w:rsid w:val="002C00E8"/>
    <w:rsid w:val="002C03A4"/>
    <w:rsid w:val="002C084D"/>
    <w:rsid w:val="002C0B42"/>
    <w:rsid w:val="002C1ADF"/>
    <w:rsid w:val="002C2158"/>
    <w:rsid w:val="002C2D4A"/>
    <w:rsid w:val="002C4023"/>
    <w:rsid w:val="002C711D"/>
    <w:rsid w:val="002C7F4D"/>
    <w:rsid w:val="002D1EE8"/>
    <w:rsid w:val="002D2C9A"/>
    <w:rsid w:val="002D4235"/>
    <w:rsid w:val="002D6135"/>
    <w:rsid w:val="002D7B74"/>
    <w:rsid w:val="002E0FA8"/>
    <w:rsid w:val="002E2FE1"/>
    <w:rsid w:val="002E4F5C"/>
    <w:rsid w:val="002E54F7"/>
    <w:rsid w:val="002F0F5D"/>
    <w:rsid w:val="002F104E"/>
    <w:rsid w:val="002F121D"/>
    <w:rsid w:val="002F3D8E"/>
    <w:rsid w:val="002F52FC"/>
    <w:rsid w:val="002F66B4"/>
    <w:rsid w:val="002F7274"/>
    <w:rsid w:val="0030049F"/>
    <w:rsid w:val="00306474"/>
    <w:rsid w:val="0030686C"/>
    <w:rsid w:val="003211B7"/>
    <w:rsid w:val="00322EEB"/>
    <w:rsid w:val="00325607"/>
    <w:rsid w:val="00331A75"/>
    <w:rsid w:val="003325CB"/>
    <w:rsid w:val="00332794"/>
    <w:rsid w:val="00333B94"/>
    <w:rsid w:val="00335D67"/>
    <w:rsid w:val="00337A10"/>
    <w:rsid w:val="00342366"/>
    <w:rsid w:val="00343749"/>
    <w:rsid w:val="00343B10"/>
    <w:rsid w:val="003445E5"/>
    <w:rsid w:val="0034527A"/>
    <w:rsid w:val="00346DD6"/>
    <w:rsid w:val="0034707E"/>
    <w:rsid w:val="0035116F"/>
    <w:rsid w:val="0035193B"/>
    <w:rsid w:val="00352172"/>
    <w:rsid w:val="00354011"/>
    <w:rsid w:val="00355677"/>
    <w:rsid w:val="003557EF"/>
    <w:rsid w:val="003565E9"/>
    <w:rsid w:val="00356D45"/>
    <w:rsid w:val="00357D84"/>
    <w:rsid w:val="003620DA"/>
    <w:rsid w:val="0036277D"/>
    <w:rsid w:val="00363A32"/>
    <w:rsid w:val="003647D2"/>
    <w:rsid w:val="00365832"/>
    <w:rsid w:val="003660ED"/>
    <w:rsid w:val="0037154F"/>
    <w:rsid w:val="0037466F"/>
    <w:rsid w:val="00374EB0"/>
    <w:rsid w:val="00376467"/>
    <w:rsid w:val="00380113"/>
    <w:rsid w:val="00381DF7"/>
    <w:rsid w:val="00383694"/>
    <w:rsid w:val="00384673"/>
    <w:rsid w:val="003858B9"/>
    <w:rsid w:val="003879D7"/>
    <w:rsid w:val="003915EE"/>
    <w:rsid w:val="003921B0"/>
    <w:rsid w:val="00392F8D"/>
    <w:rsid w:val="003954B2"/>
    <w:rsid w:val="00395746"/>
    <w:rsid w:val="00395E81"/>
    <w:rsid w:val="003A092B"/>
    <w:rsid w:val="003A1E74"/>
    <w:rsid w:val="003A50B2"/>
    <w:rsid w:val="003A6356"/>
    <w:rsid w:val="003A6962"/>
    <w:rsid w:val="003A714B"/>
    <w:rsid w:val="003B0550"/>
    <w:rsid w:val="003B0B94"/>
    <w:rsid w:val="003B0ED6"/>
    <w:rsid w:val="003B3391"/>
    <w:rsid w:val="003B4C32"/>
    <w:rsid w:val="003B5215"/>
    <w:rsid w:val="003B595A"/>
    <w:rsid w:val="003B5BCA"/>
    <w:rsid w:val="003B694F"/>
    <w:rsid w:val="003B6BED"/>
    <w:rsid w:val="003B74E5"/>
    <w:rsid w:val="003C1297"/>
    <w:rsid w:val="003C1C66"/>
    <w:rsid w:val="003C21BA"/>
    <w:rsid w:val="003C3011"/>
    <w:rsid w:val="003C4D05"/>
    <w:rsid w:val="003C7828"/>
    <w:rsid w:val="003D1F74"/>
    <w:rsid w:val="003D656F"/>
    <w:rsid w:val="003D7A93"/>
    <w:rsid w:val="003E0220"/>
    <w:rsid w:val="003E1DA0"/>
    <w:rsid w:val="003E24A9"/>
    <w:rsid w:val="003E252F"/>
    <w:rsid w:val="003E38EE"/>
    <w:rsid w:val="003E4349"/>
    <w:rsid w:val="003E5396"/>
    <w:rsid w:val="003F0130"/>
    <w:rsid w:val="003F1626"/>
    <w:rsid w:val="003F171C"/>
    <w:rsid w:val="003F2F24"/>
    <w:rsid w:val="003F3397"/>
    <w:rsid w:val="003F36A1"/>
    <w:rsid w:val="003F4C66"/>
    <w:rsid w:val="003F4F8A"/>
    <w:rsid w:val="003F50A1"/>
    <w:rsid w:val="003F5432"/>
    <w:rsid w:val="003F75D2"/>
    <w:rsid w:val="004009F8"/>
    <w:rsid w:val="004019C1"/>
    <w:rsid w:val="00402138"/>
    <w:rsid w:val="0040253E"/>
    <w:rsid w:val="004065DF"/>
    <w:rsid w:val="004067F0"/>
    <w:rsid w:val="00407B27"/>
    <w:rsid w:val="00412FC5"/>
    <w:rsid w:val="00415A13"/>
    <w:rsid w:val="00416691"/>
    <w:rsid w:val="00422276"/>
    <w:rsid w:val="004242F1"/>
    <w:rsid w:val="004249D4"/>
    <w:rsid w:val="00425824"/>
    <w:rsid w:val="0042644D"/>
    <w:rsid w:val="00427C8B"/>
    <w:rsid w:val="0043130D"/>
    <w:rsid w:val="00431652"/>
    <w:rsid w:val="0043185C"/>
    <w:rsid w:val="00433852"/>
    <w:rsid w:val="004361C5"/>
    <w:rsid w:val="0043651F"/>
    <w:rsid w:val="00437E27"/>
    <w:rsid w:val="00441826"/>
    <w:rsid w:val="0044189E"/>
    <w:rsid w:val="00443A35"/>
    <w:rsid w:val="004444E3"/>
    <w:rsid w:val="00445A00"/>
    <w:rsid w:val="00447140"/>
    <w:rsid w:val="00447909"/>
    <w:rsid w:val="00447F08"/>
    <w:rsid w:val="00451B0F"/>
    <w:rsid w:val="00452107"/>
    <w:rsid w:val="00452CEA"/>
    <w:rsid w:val="00453889"/>
    <w:rsid w:val="00454A74"/>
    <w:rsid w:val="00454B9E"/>
    <w:rsid w:val="00455E71"/>
    <w:rsid w:val="00455E79"/>
    <w:rsid w:val="004569BE"/>
    <w:rsid w:val="004570F7"/>
    <w:rsid w:val="004571A3"/>
    <w:rsid w:val="0046102E"/>
    <w:rsid w:val="004618FE"/>
    <w:rsid w:val="00462B26"/>
    <w:rsid w:val="00462E0A"/>
    <w:rsid w:val="00464015"/>
    <w:rsid w:val="00464BCC"/>
    <w:rsid w:val="00464FD4"/>
    <w:rsid w:val="00466570"/>
    <w:rsid w:val="00471BF6"/>
    <w:rsid w:val="00472D78"/>
    <w:rsid w:val="00476939"/>
    <w:rsid w:val="004813F6"/>
    <w:rsid w:val="00485151"/>
    <w:rsid w:val="00487288"/>
    <w:rsid w:val="00490200"/>
    <w:rsid w:val="0049234F"/>
    <w:rsid w:val="004964FD"/>
    <w:rsid w:val="004A2B6C"/>
    <w:rsid w:val="004A2B6F"/>
    <w:rsid w:val="004A428F"/>
    <w:rsid w:val="004A484B"/>
    <w:rsid w:val="004A5FD0"/>
    <w:rsid w:val="004A6103"/>
    <w:rsid w:val="004A6AFC"/>
    <w:rsid w:val="004B1851"/>
    <w:rsid w:val="004B21DF"/>
    <w:rsid w:val="004B2FE8"/>
    <w:rsid w:val="004B3697"/>
    <w:rsid w:val="004B3DB2"/>
    <w:rsid w:val="004B435A"/>
    <w:rsid w:val="004B4D0C"/>
    <w:rsid w:val="004C2EE3"/>
    <w:rsid w:val="004C501E"/>
    <w:rsid w:val="004C5058"/>
    <w:rsid w:val="004D142E"/>
    <w:rsid w:val="004D1E1D"/>
    <w:rsid w:val="004D4053"/>
    <w:rsid w:val="004D46B1"/>
    <w:rsid w:val="004D481D"/>
    <w:rsid w:val="004D5058"/>
    <w:rsid w:val="004D6474"/>
    <w:rsid w:val="004D7085"/>
    <w:rsid w:val="004E08F7"/>
    <w:rsid w:val="004E27F2"/>
    <w:rsid w:val="004E32EB"/>
    <w:rsid w:val="004E4A22"/>
    <w:rsid w:val="004E689A"/>
    <w:rsid w:val="004F2033"/>
    <w:rsid w:val="004F2BB3"/>
    <w:rsid w:val="004F305B"/>
    <w:rsid w:val="004F50E8"/>
    <w:rsid w:val="004F5337"/>
    <w:rsid w:val="005003EF"/>
    <w:rsid w:val="00500C83"/>
    <w:rsid w:val="005012B6"/>
    <w:rsid w:val="00502E7D"/>
    <w:rsid w:val="0050334F"/>
    <w:rsid w:val="00504634"/>
    <w:rsid w:val="0050737A"/>
    <w:rsid w:val="0050791C"/>
    <w:rsid w:val="00510DCC"/>
    <w:rsid w:val="00511968"/>
    <w:rsid w:val="00511CAC"/>
    <w:rsid w:val="00511CC3"/>
    <w:rsid w:val="0051374C"/>
    <w:rsid w:val="00514AE6"/>
    <w:rsid w:val="00515B4F"/>
    <w:rsid w:val="00515DE9"/>
    <w:rsid w:val="00515E19"/>
    <w:rsid w:val="00517021"/>
    <w:rsid w:val="00525C0A"/>
    <w:rsid w:val="00527A2D"/>
    <w:rsid w:val="005302F7"/>
    <w:rsid w:val="00531FAD"/>
    <w:rsid w:val="0053487D"/>
    <w:rsid w:val="005368FB"/>
    <w:rsid w:val="00540830"/>
    <w:rsid w:val="00540835"/>
    <w:rsid w:val="00541491"/>
    <w:rsid w:val="005472B4"/>
    <w:rsid w:val="00547655"/>
    <w:rsid w:val="00553932"/>
    <w:rsid w:val="00553A5F"/>
    <w:rsid w:val="00553D4D"/>
    <w:rsid w:val="00553EF2"/>
    <w:rsid w:val="0055614C"/>
    <w:rsid w:val="005563E1"/>
    <w:rsid w:val="00556559"/>
    <w:rsid w:val="00556C99"/>
    <w:rsid w:val="0056048F"/>
    <w:rsid w:val="0056236D"/>
    <w:rsid w:val="00563D0E"/>
    <w:rsid w:val="0056563B"/>
    <w:rsid w:val="00565C4E"/>
    <w:rsid w:val="00566323"/>
    <w:rsid w:val="00571150"/>
    <w:rsid w:val="00571C51"/>
    <w:rsid w:val="00572120"/>
    <w:rsid w:val="00573045"/>
    <w:rsid w:val="0057324F"/>
    <w:rsid w:val="00573269"/>
    <w:rsid w:val="00574B62"/>
    <w:rsid w:val="00574C8F"/>
    <w:rsid w:val="00577254"/>
    <w:rsid w:val="00580DE1"/>
    <w:rsid w:val="00581A0A"/>
    <w:rsid w:val="005843DA"/>
    <w:rsid w:val="005857E7"/>
    <w:rsid w:val="0058596C"/>
    <w:rsid w:val="00586CF5"/>
    <w:rsid w:val="005874C2"/>
    <w:rsid w:val="00587B2D"/>
    <w:rsid w:val="00587D4B"/>
    <w:rsid w:val="005902A5"/>
    <w:rsid w:val="00591649"/>
    <w:rsid w:val="00592C8A"/>
    <w:rsid w:val="00593DD1"/>
    <w:rsid w:val="0059717C"/>
    <w:rsid w:val="0059763D"/>
    <w:rsid w:val="005A1A4B"/>
    <w:rsid w:val="005A2C5E"/>
    <w:rsid w:val="005A3417"/>
    <w:rsid w:val="005A4117"/>
    <w:rsid w:val="005A6113"/>
    <w:rsid w:val="005A6152"/>
    <w:rsid w:val="005B0A8C"/>
    <w:rsid w:val="005B0BC3"/>
    <w:rsid w:val="005B0E0D"/>
    <w:rsid w:val="005B1FA5"/>
    <w:rsid w:val="005B2209"/>
    <w:rsid w:val="005B24DA"/>
    <w:rsid w:val="005B6808"/>
    <w:rsid w:val="005C1428"/>
    <w:rsid w:val="005C3188"/>
    <w:rsid w:val="005C3750"/>
    <w:rsid w:val="005C3D7A"/>
    <w:rsid w:val="005C3F21"/>
    <w:rsid w:val="005C41E8"/>
    <w:rsid w:val="005C64E9"/>
    <w:rsid w:val="005C6BF9"/>
    <w:rsid w:val="005C7854"/>
    <w:rsid w:val="005C7F70"/>
    <w:rsid w:val="005D0C28"/>
    <w:rsid w:val="005D1DEA"/>
    <w:rsid w:val="005D357B"/>
    <w:rsid w:val="005D447D"/>
    <w:rsid w:val="005D4CE1"/>
    <w:rsid w:val="005D61D4"/>
    <w:rsid w:val="005E14C2"/>
    <w:rsid w:val="005E2DA3"/>
    <w:rsid w:val="005E44F0"/>
    <w:rsid w:val="005E5506"/>
    <w:rsid w:val="005E57F6"/>
    <w:rsid w:val="005E647D"/>
    <w:rsid w:val="005F654C"/>
    <w:rsid w:val="00600EAD"/>
    <w:rsid w:val="006031D1"/>
    <w:rsid w:val="006056F1"/>
    <w:rsid w:val="00605D9A"/>
    <w:rsid w:val="00605EE3"/>
    <w:rsid w:val="006067EB"/>
    <w:rsid w:val="00607BA5"/>
    <w:rsid w:val="00610BBB"/>
    <w:rsid w:val="0061180A"/>
    <w:rsid w:val="0061402D"/>
    <w:rsid w:val="0061446A"/>
    <w:rsid w:val="006162D3"/>
    <w:rsid w:val="00616396"/>
    <w:rsid w:val="0062027E"/>
    <w:rsid w:val="006212EE"/>
    <w:rsid w:val="006215A4"/>
    <w:rsid w:val="006223AA"/>
    <w:rsid w:val="00624CEA"/>
    <w:rsid w:val="00626EB6"/>
    <w:rsid w:val="00627966"/>
    <w:rsid w:val="00627D0F"/>
    <w:rsid w:val="00627E2A"/>
    <w:rsid w:val="00627F56"/>
    <w:rsid w:val="0063138B"/>
    <w:rsid w:val="00635BF7"/>
    <w:rsid w:val="00640F1E"/>
    <w:rsid w:val="0064575C"/>
    <w:rsid w:val="00646C4E"/>
    <w:rsid w:val="00647F20"/>
    <w:rsid w:val="00654E1D"/>
    <w:rsid w:val="00655D03"/>
    <w:rsid w:val="00656330"/>
    <w:rsid w:val="0065755D"/>
    <w:rsid w:val="006605CC"/>
    <w:rsid w:val="00664400"/>
    <w:rsid w:val="00665B40"/>
    <w:rsid w:val="0066647A"/>
    <w:rsid w:val="00671EC4"/>
    <w:rsid w:val="0067234F"/>
    <w:rsid w:val="006736DB"/>
    <w:rsid w:val="006758CD"/>
    <w:rsid w:val="0067722F"/>
    <w:rsid w:val="0068290B"/>
    <w:rsid w:val="00682C75"/>
    <w:rsid w:val="00683388"/>
    <w:rsid w:val="006834E0"/>
    <w:rsid w:val="006837ED"/>
    <w:rsid w:val="00683F84"/>
    <w:rsid w:val="00685022"/>
    <w:rsid w:val="00686634"/>
    <w:rsid w:val="006870B7"/>
    <w:rsid w:val="00687647"/>
    <w:rsid w:val="00687C27"/>
    <w:rsid w:val="00690388"/>
    <w:rsid w:val="00691BD1"/>
    <w:rsid w:val="00695DF2"/>
    <w:rsid w:val="00697878"/>
    <w:rsid w:val="006A0DEA"/>
    <w:rsid w:val="006A1F49"/>
    <w:rsid w:val="006A3B1F"/>
    <w:rsid w:val="006A3CFE"/>
    <w:rsid w:val="006A4825"/>
    <w:rsid w:val="006A51A7"/>
    <w:rsid w:val="006A68EB"/>
    <w:rsid w:val="006A6A81"/>
    <w:rsid w:val="006A6F83"/>
    <w:rsid w:val="006B1456"/>
    <w:rsid w:val="006B23A7"/>
    <w:rsid w:val="006B37B0"/>
    <w:rsid w:val="006B68CA"/>
    <w:rsid w:val="006C29F1"/>
    <w:rsid w:val="006C4DF1"/>
    <w:rsid w:val="006C54BA"/>
    <w:rsid w:val="006C77E3"/>
    <w:rsid w:val="006C7816"/>
    <w:rsid w:val="006D1EFD"/>
    <w:rsid w:val="006D34AA"/>
    <w:rsid w:val="006D34CD"/>
    <w:rsid w:val="006D4B5B"/>
    <w:rsid w:val="006E073E"/>
    <w:rsid w:val="006E672F"/>
    <w:rsid w:val="006F1235"/>
    <w:rsid w:val="006F25AA"/>
    <w:rsid w:val="006F684B"/>
    <w:rsid w:val="006F6C4A"/>
    <w:rsid w:val="006F6F40"/>
    <w:rsid w:val="006F7393"/>
    <w:rsid w:val="006F7864"/>
    <w:rsid w:val="0070224F"/>
    <w:rsid w:val="00703B60"/>
    <w:rsid w:val="0070727F"/>
    <w:rsid w:val="00711132"/>
    <w:rsid w:val="007115F7"/>
    <w:rsid w:val="00712957"/>
    <w:rsid w:val="00712F68"/>
    <w:rsid w:val="007158E7"/>
    <w:rsid w:val="00716788"/>
    <w:rsid w:val="00720B34"/>
    <w:rsid w:val="007210E0"/>
    <w:rsid w:val="007274D5"/>
    <w:rsid w:val="00735C8F"/>
    <w:rsid w:val="00740176"/>
    <w:rsid w:val="00740B2F"/>
    <w:rsid w:val="00740CB7"/>
    <w:rsid w:val="00742CE4"/>
    <w:rsid w:val="00742EC0"/>
    <w:rsid w:val="00743116"/>
    <w:rsid w:val="00744182"/>
    <w:rsid w:val="007461C4"/>
    <w:rsid w:val="0074679D"/>
    <w:rsid w:val="00747F7B"/>
    <w:rsid w:val="00750978"/>
    <w:rsid w:val="00753BFA"/>
    <w:rsid w:val="00754924"/>
    <w:rsid w:val="0075671D"/>
    <w:rsid w:val="007605D3"/>
    <w:rsid w:val="00763456"/>
    <w:rsid w:val="00763A35"/>
    <w:rsid w:val="00765305"/>
    <w:rsid w:val="0077365E"/>
    <w:rsid w:val="0077395B"/>
    <w:rsid w:val="00774104"/>
    <w:rsid w:val="00774C0C"/>
    <w:rsid w:val="0077784B"/>
    <w:rsid w:val="007810BA"/>
    <w:rsid w:val="00785689"/>
    <w:rsid w:val="00786D20"/>
    <w:rsid w:val="00787AA1"/>
    <w:rsid w:val="0079193F"/>
    <w:rsid w:val="00791B42"/>
    <w:rsid w:val="00792432"/>
    <w:rsid w:val="007930E7"/>
    <w:rsid w:val="00796A60"/>
    <w:rsid w:val="0079754B"/>
    <w:rsid w:val="007979BA"/>
    <w:rsid w:val="007A1E6D"/>
    <w:rsid w:val="007A2C77"/>
    <w:rsid w:val="007A2F80"/>
    <w:rsid w:val="007A4134"/>
    <w:rsid w:val="007A4BB9"/>
    <w:rsid w:val="007A4D20"/>
    <w:rsid w:val="007A6561"/>
    <w:rsid w:val="007A66F0"/>
    <w:rsid w:val="007A75DD"/>
    <w:rsid w:val="007B0D3F"/>
    <w:rsid w:val="007B0EB2"/>
    <w:rsid w:val="007B12A9"/>
    <w:rsid w:val="007B1DAD"/>
    <w:rsid w:val="007B2716"/>
    <w:rsid w:val="007B2EAF"/>
    <w:rsid w:val="007B5D05"/>
    <w:rsid w:val="007B6F08"/>
    <w:rsid w:val="007B6F9A"/>
    <w:rsid w:val="007C0BCB"/>
    <w:rsid w:val="007C14D8"/>
    <w:rsid w:val="007C2ECD"/>
    <w:rsid w:val="007C2F4A"/>
    <w:rsid w:val="007C31DB"/>
    <w:rsid w:val="007C4D0C"/>
    <w:rsid w:val="007C5D50"/>
    <w:rsid w:val="007D401E"/>
    <w:rsid w:val="007D44E0"/>
    <w:rsid w:val="007D4940"/>
    <w:rsid w:val="007D505A"/>
    <w:rsid w:val="007D6F6E"/>
    <w:rsid w:val="007D6FBC"/>
    <w:rsid w:val="007D7453"/>
    <w:rsid w:val="007E0BD4"/>
    <w:rsid w:val="007E0FA9"/>
    <w:rsid w:val="007E1F3F"/>
    <w:rsid w:val="007E429A"/>
    <w:rsid w:val="007E4D1B"/>
    <w:rsid w:val="007E5B36"/>
    <w:rsid w:val="007E5EA9"/>
    <w:rsid w:val="007E61D4"/>
    <w:rsid w:val="007E7CA1"/>
    <w:rsid w:val="007F254A"/>
    <w:rsid w:val="007F3650"/>
    <w:rsid w:val="007F3735"/>
    <w:rsid w:val="007F413A"/>
    <w:rsid w:val="007F596D"/>
    <w:rsid w:val="007F66FF"/>
    <w:rsid w:val="007F6842"/>
    <w:rsid w:val="007F77A6"/>
    <w:rsid w:val="00805279"/>
    <w:rsid w:val="00805B89"/>
    <w:rsid w:val="00810239"/>
    <w:rsid w:val="008108A0"/>
    <w:rsid w:val="00810B6F"/>
    <w:rsid w:val="00810C67"/>
    <w:rsid w:val="00811BB3"/>
    <w:rsid w:val="00812B09"/>
    <w:rsid w:val="00813193"/>
    <w:rsid w:val="00813B52"/>
    <w:rsid w:val="0081547F"/>
    <w:rsid w:val="00816AD1"/>
    <w:rsid w:val="008203B0"/>
    <w:rsid w:val="0082091D"/>
    <w:rsid w:val="00821C39"/>
    <w:rsid w:val="00821DB2"/>
    <w:rsid w:val="00821F0F"/>
    <w:rsid w:val="00822CE0"/>
    <w:rsid w:val="008232EB"/>
    <w:rsid w:val="00823637"/>
    <w:rsid w:val="0082379C"/>
    <w:rsid w:val="00823E5A"/>
    <w:rsid w:val="008253CC"/>
    <w:rsid w:val="00826097"/>
    <w:rsid w:val="00826271"/>
    <w:rsid w:val="00826E65"/>
    <w:rsid w:val="008306B9"/>
    <w:rsid w:val="00830FB6"/>
    <w:rsid w:val="008312C0"/>
    <w:rsid w:val="008343B9"/>
    <w:rsid w:val="00835391"/>
    <w:rsid w:val="00835F4C"/>
    <w:rsid w:val="00837788"/>
    <w:rsid w:val="00841AB1"/>
    <w:rsid w:val="008436D7"/>
    <w:rsid w:val="008445F8"/>
    <w:rsid w:val="00844E2B"/>
    <w:rsid w:val="008451E8"/>
    <w:rsid w:val="00847938"/>
    <w:rsid w:val="00851841"/>
    <w:rsid w:val="008526A1"/>
    <w:rsid w:val="008550AE"/>
    <w:rsid w:val="008566B7"/>
    <w:rsid w:val="00860868"/>
    <w:rsid w:val="00860B0A"/>
    <w:rsid w:val="00863A2F"/>
    <w:rsid w:val="00863F4F"/>
    <w:rsid w:val="00864406"/>
    <w:rsid w:val="008649CE"/>
    <w:rsid w:val="008659E9"/>
    <w:rsid w:val="00867B2E"/>
    <w:rsid w:val="0087211F"/>
    <w:rsid w:val="00872341"/>
    <w:rsid w:val="00874B3A"/>
    <w:rsid w:val="00874DE9"/>
    <w:rsid w:val="0087626A"/>
    <w:rsid w:val="00883A10"/>
    <w:rsid w:val="00884093"/>
    <w:rsid w:val="00884EE1"/>
    <w:rsid w:val="00890275"/>
    <w:rsid w:val="00891CA0"/>
    <w:rsid w:val="008934C2"/>
    <w:rsid w:val="00895D33"/>
    <w:rsid w:val="008A12B0"/>
    <w:rsid w:val="008A2233"/>
    <w:rsid w:val="008A4118"/>
    <w:rsid w:val="008A55A2"/>
    <w:rsid w:val="008A6687"/>
    <w:rsid w:val="008B12FA"/>
    <w:rsid w:val="008B1430"/>
    <w:rsid w:val="008B4030"/>
    <w:rsid w:val="008B4570"/>
    <w:rsid w:val="008B5D4F"/>
    <w:rsid w:val="008C028E"/>
    <w:rsid w:val="008C1C67"/>
    <w:rsid w:val="008C203B"/>
    <w:rsid w:val="008C31FA"/>
    <w:rsid w:val="008C3994"/>
    <w:rsid w:val="008C5849"/>
    <w:rsid w:val="008C5A36"/>
    <w:rsid w:val="008C622B"/>
    <w:rsid w:val="008C68F1"/>
    <w:rsid w:val="008C6ACB"/>
    <w:rsid w:val="008C7633"/>
    <w:rsid w:val="008D1DA3"/>
    <w:rsid w:val="008D1F4B"/>
    <w:rsid w:val="008D3F58"/>
    <w:rsid w:val="008D437C"/>
    <w:rsid w:val="008D4C7D"/>
    <w:rsid w:val="008E252C"/>
    <w:rsid w:val="008E2C9B"/>
    <w:rsid w:val="008E3A5B"/>
    <w:rsid w:val="008E488E"/>
    <w:rsid w:val="008E6678"/>
    <w:rsid w:val="008E6F2E"/>
    <w:rsid w:val="008F0841"/>
    <w:rsid w:val="008F198E"/>
    <w:rsid w:val="008F2A83"/>
    <w:rsid w:val="008F34A1"/>
    <w:rsid w:val="008F4B46"/>
    <w:rsid w:val="008F5330"/>
    <w:rsid w:val="008F7060"/>
    <w:rsid w:val="008F72F1"/>
    <w:rsid w:val="009007DC"/>
    <w:rsid w:val="009022F3"/>
    <w:rsid w:val="00903496"/>
    <w:rsid w:val="009035B4"/>
    <w:rsid w:val="00906FC6"/>
    <w:rsid w:val="009125B3"/>
    <w:rsid w:val="0091410C"/>
    <w:rsid w:val="009141A0"/>
    <w:rsid w:val="00915304"/>
    <w:rsid w:val="009154BE"/>
    <w:rsid w:val="00916926"/>
    <w:rsid w:val="0091763B"/>
    <w:rsid w:val="00920849"/>
    <w:rsid w:val="00921393"/>
    <w:rsid w:val="00921803"/>
    <w:rsid w:val="00921804"/>
    <w:rsid w:val="00922FD2"/>
    <w:rsid w:val="00926503"/>
    <w:rsid w:val="00926DDB"/>
    <w:rsid w:val="00934039"/>
    <w:rsid w:val="00934C53"/>
    <w:rsid w:val="00936EBC"/>
    <w:rsid w:val="0094067A"/>
    <w:rsid w:val="00942C2D"/>
    <w:rsid w:val="00942CF8"/>
    <w:rsid w:val="00943362"/>
    <w:rsid w:val="00945720"/>
    <w:rsid w:val="00947046"/>
    <w:rsid w:val="00950CE3"/>
    <w:rsid w:val="00950CE5"/>
    <w:rsid w:val="00952F72"/>
    <w:rsid w:val="009541B3"/>
    <w:rsid w:val="009543D7"/>
    <w:rsid w:val="009554E8"/>
    <w:rsid w:val="0095685C"/>
    <w:rsid w:val="009571F4"/>
    <w:rsid w:val="009619A0"/>
    <w:rsid w:val="009654FE"/>
    <w:rsid w:val="009726D8"/>
    <w:rsid w:val="00973372"/>
    <w:rsid w:val="0097382D"/>
    <w:rsid w:val="0097438E"/>
    <w:rsid w:val="0097714E"/>
    <w:rsid w:val="00977C96"/>
    <w:rsid w:val="00977E17"/>
    <w:rsid w:val="00980C45"/>
    <w:rsid w:val="0098479A"/>
    <w:rsid w:val="0098579F"/>
    <w:rsid w:val="009865B5"/>
    <w:rsid w:val="0098791C"/>
    <w:rsid w:val="00987E6A"/>
    <w:rsid w:val="0099145D"/>
    <w:rsid w:val="009937E5"/>
    <w:rsid w:val="00993ACE"/>
    <w:rsid w:val="00995BDF"/>
    <w:rsid w:val="009960A8"/>
    <w:rsid w:val="009975DD"/>
    <w:rsid w:val="009A0C65"/>
    <w:rsid w:val="009A2990"/>
    <w:rsid w:val="009A6C56"/>
    <w:rsid w:val="009A79ED"/>
    <w:rsid w:val="009B1070"/>
    <w:rsid w:val="009B12B3"/>
    <w:rsid w:val="009B24F0"/>
    <w:rsid w:val="009B34DA"/>
    <w:rsid w:val="009C1AE9"/>
    <w:rsid w:val="009C31EF"/>
    <w:rsid w:val="009C53D9"/>
    <w:rsid w:val="009D0129"/>
    <w:rsid w:val="009D0B7C"/>
    <w:rsid w:val="009D14EC"/>
    <w:rsid w:val="009D1A12"/>
    <w:rsid w:val="009D2A26"/>
    <w:rsid w:val="009D2C4E"/>
    <w:rsid w:val="009D2C76"/>
    <w:rsid w:val="009D6016"/>
    <w:rsid w:val="009D62C2"/>
    <w:rsid w:val="009E0EBD"/>
    <w:rsid w:val="009E141C"/>
    <w:rsid w:val="009E1BFB"/>
    <w:rsid w:val="009E2C2C"/>
    <w:rsid w:val="009E54EC"/>
    <w:rsid w:val="009E5E2F"/>
    <w:rsid w:val="009F03D7"/>
    <w:rsid w:val="009F2E7E"/>
    <w:rsid w:val="009F355B"/>
    <w:rsid w:val="009F3BA1"/>
    <w:rsid w:val="009F5560"/>
    <w:rsid w:val="009F76DB"/>
    <w:rsid w:val="00A01E48"/>
    <w:rsid w:val="00A01EAB"/>
    <w:rsid w:val="00A0216F"/>
    <w:rsid w:val="00A0435B"/>
    <w:rsid w:val="00A051DC"/>
    <w:rsid w:val="00A05249"/>
    <w:rsid w:val="00A06155"/>
    <w:rsid w:val="00A0671B"/>
    <w:rsid w:val="00A11B69"/>
    <w:rsid w:val="00A12148"/>
    <w:rsid w:val="00A1304D"/>
    <w:rsid w:val="00A133B4"/>
    <w:rsid w:val="00A137BC"/>
    <w:rsid w:val="00A13A1E"/>
    <w:rsid w:val="00A143CC"/>
    <w:rsid w:val="00A157A6"/>
    <w:rsid w:val="00A20F11"/>
    <w:rsid w:val="00A22F81"/>
    <w:rsid w:val="00A23E18"/>
    <w:rsid w:val="00A25371"/>
    <w:rsid w:val="00A2689A"/>
    <w:rsid w:val="00A26D5D"/>
    <w:rsid w:val="00A31934"/>
    <w:rsid w:val="00A327D4"/>
    <w:rsid w:val="00A32C3B"/>
    <w:rsid w:val="00A32C97"/>
    <w:rsid w:val="00A33981"/>
    <w:rsid w:val="00A355A5"/>
    <w:rsid w:val="00A41A74"/>
    <w:rsid w:val="00A43929"/>
    <w:rsid w:val="00A441E2"/>
    <w:rsid w:val="00A45F4F"/>
    <w:rsid w:val="00A46D46"/>
    <w:rsid w:val="00A46DD0"/>
    <w:rsid w:val="00A527FD"/>
    <w:rsid w:val="00A52AFD"/>
    <w:rsid w:val="00A532A8"/>
    <w:rsid w:val="00A53C8A"/>
    <w:rsid w:val="00A57407"/>
    <w:rsid w:val="00A57EBC"/>
    <w:rsid w:val="00A600A9"/>
    <w:rsid w:val="00A60A66"/>
    <w:rsid w:val="00A61361"/>
    <w:rsid w:val="00A61F12"/>
    <w:rsid w:val="00A62055"/>
    <w:rsid w:val="00A631DF"/>
    <w:rsid w:val="00A64192"/>
    <w:rsid w:val="00A658BD"/>
    <w:rsid w:val="00A71638"/>
    <w:rsid w:val="00A72A26"/>
    <w:rsid w:val="00A7363F"/>
    <w:rsid w:val="00A749DA"/>
    <w:rsid w:val="00A75BBC"/>
    <w:rsid w:val="00A77350"/>
    <w:rsid w:val="00A81183"/>
    <w:rsid w:val="00A81CCC"/>
    <w:rsid w:val="00A82E3B"/>
    <w:rsid w:val="00A832C3"/>
    <w:rsid w:val="00A852C7"/>
    <w:rsid w:val="00A85392"/>
    <w:rsid w:val="00A85EF4"/>
    <w:rsid w:val="00A8603C"/>
    <w:rsid w:val="00A8759B"/>
    <w:rsid w:val="00A8782E"/>
    <w:rsid w:val="00A90F76"/>
    <w:rsid w:val="00A92185"/>
    <w:rsid w:val="00A92C81"/>
    <w:rsid w:val="00A930B5"/>
    <w:rsid w:val="00A94F96"/>
    <w:rsid w:val="00A95CE4"/>
    <w:rsid w:val="00A965F4"/>
    <w:rsid w:val="00AA018F"/>
    <w:rsid w:val="00AA050F"/>
    <w:rsid w:val="00AA0BF1"/>
    <w:rsid w:val="00AA28F8"/>
    <w:rsid w:val="00AA37E1"/>
    <w:rsid w:val="00AA55B7"/>
    <w:rsid w:val="00AA5B9E"/>
    <w:rsid w:val="00AA6D90"/>
    <w:rsid w:val="00AA7384"/>
    <w:rsid w:val="00AA7E29"/>
    <w:rsid w:val="00AB0083"/>
    <w:rsid w:val="00AB2407"/>
    <w:rsid w:val="00AB25B4"/>
    <w:rsid w:val="00AB2924"/>
    <w:rsid w:val="00AB4925"/>
    <w:rsid w:val="00AB53DF"/>
    <w:rsid w:val="00AB5DF0"/>
    <w:rsid w:val="00AB7981"/>
    <w:rsid w:val="00AC0939"/>
    <w:rsid w:val="00AC0EDD"/>
    <w:rsid w:val="00AC2AED"/>
    <w:rsid w:val="00AC4047"/>
    <w:rsid w:val="00AC424B"/>
    <w:rsid w:val="00AC42FD"/>
    <w:rsid w:val="00AC445E"/>
    <w:rsid w:val="00AC6468"/>
    <w:rsid w:val="00AC6F22"/>
    <w:rsid w:val="00AD0979"/>
    <w:rsid w:val="00AD1AC9"/>
    <w:rsid w:val="00AD41EE"/>
    <w:rsid w:val="00AD4851"/>
    <w:rsid w:val="00AD63F9"/>
    <w:rsid w:val="00AD731C"/>
    <w:rsid w:val="00AD739A"/>
    <w:rsid w:val="00AD7534"/>
    <w:rsid w:val="00AE0953"/>
    <w:rsid w:val="00AE0BA9"/>
    <w:rsid w:val="00AE3BCF"/>
    <w:rsid w:val="00AE47ED"/>
    <w:rsid w:val="00AE5703"/>
    <w:rsid w:val="00AE69D5"/>
    <w:rsid w:val="00AE6C2B"/>
    <w:rsid w:val="00AF042F"/>
    <w:rsid w:val="00AF0F4F"/>
    <w:rsid w:val="00AF2B52"/>
    <w:rsid w:val="00AF3248"/>
    <w:rsid w:val="00AF46DC"/>
    <w:rsid w:val="00AF7017"/>
    <w:rsid w:val="00B011BF"/>
    <w:rsid w:val="00B01284"/>
    <w:rsid w:val="00B0367E"/>
    <w:rsid w:val="00B04779"/>
    <w:rsid w:val="00B05A6A"/>
    <w:rsid w:val="00B0654A"/>
    <w:rsid w:val="00B07E5C"/>
    <w:rsid w:val="00B100CA"/>
    <w:rsid w:val="00B10134"/>
    <w:rsid w:val="00B1091F"/>
    <w:rsid w:val="00B11B3C"/>
    <w:rsid w:val="00B12391"/>
    <w:rsid w:val="00B14D52"/>
    <w:rsid w:val="00B15A40"/>
    <w:rsid w:val="00B1632D"/>
    <w:rsid w:val="00B16912"/>
    <w:rsid w:val="00B1756E"/>
    <w:rsid w:val="00B200FF"/>
    <w:rsid w:val="00B20363"/>
    <w:rsid w:val="00B205A8"/>
    <w:rsid w:val="00B217CC"/>
    <w:rsid w:val="00B234E1"/>
    <w:rsid w:val="00B23921"/>
    <w:rsid w:val="00B23CF7"/>
    <w:rsid w:val="00B24132"/>
    <w:rsid w:val="00B25C3F"/>
    <w:rsid w:val="00B265D2"/>
    <w:rsid w:val="00B273D2"/>
    <w:rsid w:val="00B30C4D"/>
    <w:rsid w:val="00B338A9"/>
    <w:rsid w:val="00B346FB"/>
    <w:rsid w:val="00B36791"/>
    <w:rsid w:val="00B37519"/>
    <w:rsid w:val="00B414E3"/>
    <w:rsid w:val="00B418A1"/>
    <w:rsid w:val="00B41E05"/>
    <w:rsid w:val="00B45144"/>
    <w:rsid w:val="00B45CA8"/>
    <w:rsid w:val="00B50908"/>
    <w:rsid w:val="00B50F6D"/>
    <w:rsid w:val="00B55AEC"/>
    <w:rsid w:val="00B56D5F"/>
    <w:rsid w:val="00B57DA3"/>
    <w:rsid w:val="00B6029E"/>
    <w:rsid w:val="00B60D34"/>
    <w:rsid w:val="00B63A01"/>
    <w:rsid w:val="00B63B6A"/>
    <w:rsid w:val="00B643F0"/>
    <w:rsid w:val="00B64B39"/>
    <w:rsid w:val="00B64C7B"/>
    <w:rsid w:val="00B659FE"/>
    <w:rsid w:val="00B679AB"/>
    <w:rsid w:val="00B67CF7"/>
    <w:rsid w:val="00B73465"/>
    <w:rsid w:val="00B73645"/>
    <w:rsid w:val="00B73BF6"/>
    <w:rsid w:val="00B744FA"/>
    <w:rsid w:val="00B76568"/>
    <w:rsid w:val="00B76DB8"/>
    <w:rsid w:val="00B76FD8"/>
    <w:rsid w:val="00B77234"/>
    <w:rsid w:val="00B77A4A"/>
    <w:rsid w:val="00B811F7"/>
    <w:rsid w:val="00B835EA"/>
    <w:rsid w:val="00B854E6"/>
    <w:rsid w:val="00B875BE"/>
    <w:rsid w:val="00B87C4A"/>
    <w:rsid w:val="00B90692"/>
    <w:rsid w:val="00B92E54"/>
    <w:rsid w:val="00B934CD"/>
    <w:rsid w:val="00B936F5"/>
    <w:rsid w:val="00B93709"/>
    <w:rsid w:val="00B94BC0"/>
    <w:rsid w:val="00B97A2A"/>
    <w:rsid w:val="00BA2832"/>
    <w:rsid w:val="00BA3A4B"/>
    <w:rsid w:val="00BA5DC6"/>
    <w:rsid w:val="00BA6196"/>
    <w:rsid w:val="00BA6A79"/>
    <w:rsid w:val="00BA7DA1"/>
    <w:rsid w:val="00BB1263"/>
    <w:rsid w:val="00BB1F93"/>
    <w:rsid w:val="00BB38FC"/>
    <w:rsid w:val="00BC03A8"/>
    <w:rsid w:val="00BC10AC"/>
    <w:rsid w:val="00BC12BC"/>
    <w:rsid w:val="00BC33CE"/>
    <w:rsid w:val="00BC426C"/>
    <w:rsid w:val="00BC4C44"/>
    <w:rsid w:val="00BC5525"/>
    <w:rsid w:val="00BC5C69"/>
    <w:rsid w:val="00BC6D8C"/>
    <w:rsid w:val="00BC7D8A"/>
    <w:rsid w:val="00BD069D"/>
    <w:rsid w:val="00BD0708"/>
    <w:rsid w:val="00BD0936"/>
    <w:rsid w:val="00BD2BB1"/>
    <w:rsid w:val="00BD3844"/>
    <w:rsid w:val="00BD53FF"/>
    <w:rsid w:val="00BD5D93"/>
    <w:rsid w:val="00BE0236"/>
    <w:rsid w:val="00BE36D8"/>
    <w:rsid w:val="00BE51AE"/>
    <w:rsid w:val="00BE5285"/>
    <w:rsid w:val="00BF0DE3"/>
    <w:rsid w:val="00BF20C4"/>
    <w:rsid w:val="00BF4B27"/>
    <w:rsid w:val="00BF560C"/>
    <w:rsid w:val="00BF5922"/>
    <w:rsid w:val="00BF615B"/>
    <w:rsid w:val="00BF729C"/>
    <w:rsid w:val="00BF7BDB"/>
    <w:rsid w:val="00C00AF8"/>
    <w:rsid w:val="00C01B96"/>
    <w:rsid w:val="00C05824"/>
    <w:rsid w:val="00C063EA"/>
    <w:rsid w:val="00C12780"/>
    <w:rsid w:val="00C135F7"/>
    <w:rsid w:val="00C14BE9"/>
    <w:rsid w:val="00C17A93"/>
    <w:rsid w:val="00C2048F"/>
    <w:rsid w:val="00C20744"/>
    <w:rsid w:val="00C20E87"/>
    <w:rsid w:val="00C20EC5"/>
    <w:rsid w:val="00C21674"/>
    <w:rsid w:val="00C2293D"/>
    <w:rsid w:val="00C2409A"/>
    <w:rsid w:val="00C247D5"/>
    <w:rsid w:val="00C24EDE"/>
    <w:rsid w:val="00C254B3"/>
    <w:rsid w:val="00C27465"/>
    <w:rsid w:val="00C33419"/>
    <w:rsid w:val="00C33642"/>
    <w:rsid w:val="00C33F4E"/>
    <w:rsid w:val="00C34006"/>
    <w:rsid w:val="00C3667A"/>
    <w:rsid w:val="00C367CA"/>
    <w:rsid w:val="00C36D5B"/>
    <w:rsid w:val="00C376D0"/>
    <w:rsid w:val="00C40961"/>
    <w:rsid w:val="00C40EE6"/>
    <w:rsid w:val="00C4105A"/>
    <w:rsid w:val="00C4209E"/>
    <w:rsid w:val="00C426B1"/>
    <w:rsid w:val="00C472D4"/>
    <w:rsid w:val="00C5053D"/>
    <w:rsid w:val="00C50970"/>
    <w:rsid w:val="00C511C8"/>
    <w:rsid w:val="00C515CF"/>
    <w:rsid w:val="00C51E66"/>
    <w:rsid w:val="00C5487B"/>
    <w:rsid w:val="00C55FBB"/>
    <w:rsid w:val="00C567FC"/>
    <w:rsid w:val="00C62804"/>
    <w:rsid w:val="00C64012"/>
    <w:rsid w:val="00C66160"/>
    <w:rsid w:val="00C700D7"/>
    <w:rsid w:val="00C7019B"/>
    <w:rsid w:val="00C70713"/>
    <w:rsid w:val="00C721AC"/>
    <w:rsid w:val="00C7533A"/>
    <w:rsid w:val="00C7601E"/>
    <w:rsid w:val="00C7738D"/>
    <w:rsid w:val="00C84FFB"/>
    <w:rsid w:val="00C90D6A"/>
    <w:rsid w:val="00C93241"/>
    <w:rsid w:val="00C938D7"/>
    <w:rsid w:val="00C93AA6"/>
    <w:rsid w:val="00C940AB"/>
    <w:rsid w:val="00C94385"/>
    <w:rsid w:val="00C948FC"/>
    <w:rsid w:val="00C94A1B"/>
    <w:rsid w:val="00C94A1F"/>
    <w:rsid w:val="00C9505B"/>
    <w:rsid w:val="00C96BC4"/>
    <w:rsid w:val="00CA1585"/>
    <w:rsid w:val="00CA247E"/>
    <w:rsid w:val="00CA2C33"/>
    <w:rsid w:val="00CA36DF"/>
    <w:rsid w:val="00CA4B0A"/>
    <w:rsid w:val="00CA4FB3"/>
    <w:rsid w:val="00CA6134"/>
    <w:rsid w:val="00CB1096"/>
    <w:rsid w:val="00CB1FA5"/>
    <w:rsid w:val="00CB47B0"/>
    <w:rsid w:val="00CB5F5B"/>
    <w:rsid w:val="00CB5F88"/>
    <w:rsid w:val="00CB6D33"/>
    <w:rsid w:val="00CC17F4"/>
    <w:rsid w:val="00CC1C59"/>
    <w:rsid w:val="00CC1CD1"/>
    <w:rsid w:val="00CC4678"/>
    <w:rsid w:val="00CC48AE"/>
    <w:rsid w:val="00CC72B6"/>
    <w:rsid w:val="00CC776F"/>
    <w:rsid w:val="00CC7846"/>
    <w:rsid w:val="00CC78CD"/>
    <w:rsid w:val="00CD001B"/>
    <w:rsid w:val="00CD06D1"/>
    <w:rsid w:val="00CD0BE5"/>
    <w:rsid w:val="00CD0E8A"/>
    <w:rsid w:val="00CD3EB3"/>
    <w:rsid w:val="00CD4E6A"/>
    <w:rsid w:val="00CD594E"/>
    <w:rsid w:val="00CD7E6C"/>
    <w:rsid w:val="00CE1E56"/>
    <w:rsid w:val="00CE38C2"/>
    <w:rsid w:val="00CE39B4"/>
    <w:rsid w:val="00CE3A11"/>
    <w:rsid w:val="00CE3D5A"/>
    <w:rsid w:val="00CE3F06"/>
    <w:rsid w:val="00CE6C8C"/>
    <w:rsid w:val="00CE7867"/>
    <w:rsid w:val="00CF0B0B"/>
    <w:rsid w:val="00CF12AF"/>
    <w:rsid w:val="00CF13CC"/>
    <w:rsid w:val="00CF1E2D"/>
    <w:rsid w:val="00CF236D"/>
    <w:rsid w:val="00CF48D1"/>
    <w:rsid w:val="00CF73B1"/>
    <w:rsid w:val="00D01A94"/>
    <w:rsid w:val="00D01BB6"/>
    <w:rsid w:val="00D0218D"/>
    <w:rsid w:val="00D031C7"/>
    <w:rsid w:val="00D0378B"/>
    <w:rsid w:val="00D04912"/>
    <w:rsid w:val="00D06B2C"/>
    <w:rsid w:val="00D06D2D"/>
    <w:rsid w:val="00D06FC7"/>
    <w:rsid w:val="00D10E44"/>
    <w:rsid w:val="00D13172"/>
    <w:rsid w:val="00D1343A"/>
    <w:rsid w:val="00D1369E"/>
    <w:rsid w:val="00D13E9D"/>
    <w:rsid w:val="00D14C06"/>
    <w:rsid w:val="00D170D3"/>
    <w:rsid w:val="00D20AB2"/>
    <w:rsid w:val="00D22DC8"/>
    <w:rsid w:val="00D25FB5"/>
    <w:rsid w:val="00D330CD"/>
    <w:rsid w:val="00D34A8D"/>
    <w:rsid w:val="00D35389"/>
    <w:rsid w:val="00D35756"/>
    <w:rsid w:val="00D36D9E"/>
    <w:rsid w:val="00D37B09"/>
    <w:rsid w:val="00D41335"/>
    <w:rsid w:val="00D42481"/>
    <w:rsid w:val="00D42623"/>
    <w:rsid w:val="00D42B5D"/>
    <w:rsid w:val="00D43DE8"/>
    <w:rsid w:val="00D44223"/>
    <w:rsid w:val="00D447D6"/>
    <w:rsid w:val="00D45723"/>
    <w:rsid w:val="00D45817"/>
    <w:rsid w:val="00D47505"/>
    <w:rsid w:val="00D47F25"/>
    <w:rsid w:val="00D50696"/>
    <w:rsid w:val="00D52672"/>
    <w:rsid w:val="00D52AE4"/>
    <w:rsid w:val="00D56AA0"/>
    <w:rsid w:val="00D60663"/>
    <w:rsid w:val="00D60D20"/>
    <w:rsid w:val="00D65419"/>
    <w:rsid w:val="00D65B2F"/>
    <w:rsid w:val="00D65C55"/>
    <w:rsid w:val="00D740D9"/>
    <w:rsid w:val="00D74D2B"/>
    <w:rsid w:val="00D75A0C"/>
    <w:rsid w:val="00D765FB"/>
    <w:rsid w:val="00D77097"/>
    <w:rsid w:val="00D86550"/>
    <w:rsid w:val="00D92564"/>
    <w:rsid w:val="00D9317C"/>
    <w:rsid w:val="00D94849"/>
    <w:rsid w:val="00D95428"/>
    <w:rsid w:val="00D9615E"/>
    <w:rsid w:val="00D97B1F"/>
    <w:rsid w:val="00DA02B9"/>
    <w:rsid w:val="00DA1577"/>
    <w:rsid w:val="00DA1676"/>
    <w:rsid w:val="00DA2529"/>
    <w:rsid w:val="00DA3090"/>
    <w:rsid w:val="00DA3093"/>
    <w:rsid w:val="00DA3546"/>
    <w:rsid w:val="00DA4BF1"/>
    <w:rsid w:val="00DA51FB"/>
    <w:rsid w:val="00DA52E1"/>
    <w:rsid w:val="00DA5B1A"/>
    <w:rsid w:val="00DA63E1"/>
    <w:rsid w:val="00DA7753"/>
    <w:rsid w:val="00DB0763"/>
    <w:rsid w:val="00DB130A"/>
    <w:rsid w:val="00DB1AED"/>
    <w:rsid w:val="00DB2EBB"/>
    <w:rsid w:val="00DB337B"/>
    <w:rsid w:val="00DB3703"/>
    <w:rsid w:val="00DB393D"/>
    <w:rsid w:val="00DB4460"/>
    <w:rsid w:val="00DB47F8"/>
    <w:rsid w:val="00DB6B2D"/>
    <w:rsid w:val="00DC0738"/>
    <w:rsid w:val="00DC10A1"/>
    <w:rsid w:val="00DC2361"/>
    <w:rsid w:val="00DC23A4"/>
    <w:rsid w:val="00DC3259"/>
    <w:rsid w:val="00DC361F"/>
    <w:rsid w:val="00DC403A"/>
    <w:rsid w:val="00DC491D"/>
    <w:rsid w:val="00DC616A"/>
    <w:rsid w:val="00DC655F"/>
    <w:rsid w:val="00DC6DDA"/>
    <w:rsid w:val="00DC7E83"/>
    <w:rsid w:val="00DD0B59"/>
    <w:rsid w:val="00DD2C17"/>
    <w:rsid w:val="00DD2D09"/>
    <w:rsid w:val="00DD475E"/>
    <w:rsid w:val="00DD485D"/>
    <w:rsid w:val="00DD76AF"/>
    <w:rsid w:val="00DD7EBD"/>
    <w:rsid w:val="00DE0A99"/>
    <w:rsid w:val="00DE10B4"/>
    <w:rsid w:val="00DE3F40"/>
    <w:rsid w:val="00DE4C8D"/>
    <w:rsid w:val="00DE5B45"/>
    <w:rsid w:val="00DF0810"/>
    <w:rsid w:val="00DF1421"/>
    <w:rsid w:val="00DF17C9"/>
    <w:rsid w:val="00DF2533"/>
    <w:rsid w:val="00DF46DB"/>
    <w:rsid w:val="00DF600D"/>
    <w:rsid w:val="00DF62B6"/>
    <w:rsid w:val="00E00492"/>
    <w:rsid w:val="00E0089D"/>
    <w:rsid w:val="00E0274B"/>
    <w:rsid w:val="00E031E5"/>
    <w:rsid w:val="00E03A5C"/>
    <w:rsid w:val="00E0670E"/>
    <w:rsid w:val="00E070CA"/>
    <w:rsid w:val="00E07225"/>
    <w:rsid w:val="00E10679"/>
    <w:rsid w:val="00E110D8"/>
    <w:rsid w:val="00E112ED"/>
    <w:rsid w:val="00E11570"/>
    <w:rsid w:val="00E11DC3"/>
    <w:rsid w:val="00E15F48"/>
    <w:rsid w:val="00E16002"/>
    <w:rsid w:val="00E16452"/>
    <w:rsid w:val="00E205C8"/>
    <w:rsid w:val="00E22BD3"/>
    <w:rsid w:val="00E22FF1"/>
    <w:rsid w:val="00E239A0"/>
    <w:rsid w:val="00E23E27"/>
    <w:rsid w:val="00E24547"/>
    <w:rsid w:val="00E25A73"/>
    <w:rsid w:val="00E26133"/>
    <w:rsid w:val="00E26AC9"/>
    <w:rsid w:val="00E3042E"/>
    <w:rsid w:val="00E3076B"/>
    <w:rsid w:val="00E32C21"/>
    <w:rsid w:val="00E345CD"/>
    <w:rsid w:val="00E376B6"/>
    <w:rsid w:val="00E37F6A"/>
    <w:rsid w:val="00E40593"/>
    <w:rsid w:val="00E408CB"/>
    <w:rsid w:val="00E40C91"/>
    <w:rsid w:val="00E41C18"/>
    <w:rsid w:val="00E41E92"/>
    <w:rsid w:val="00E425A3"/>
    <w:rsid w:val="00E444D2"/>
    <w:rsid w:val="00E45401"/>
    <w:rsid w:val="00E45D30"/>
    <w:rsid w:val="00E47117"/>
    <w:rsid w:val="00E47905"/>
    <w:rsid w:val="00E47F68"/>
    <w:rsid w:val="00E51DE4"/>
    <w:rsid w:val="00E52173"/>
    <w:rsid w:val="00E5368C"/>
    <w:rsid w:val="00E53E0E"/>
    <w:rsid w:val="00E5409F"/>
    <w:rsid w:val="00E54AC1"/>
    <w:rsid w:val="00E55262"/>
    <w:rsid w:val="00E557AF"/>
    <w:rsid w:val="00E55B8B"/>
    <w:rsid w:val="00E6046B"/>
    <w:rsid w:val="00E60ADC"/>
    <w:rsid w:val="00E60FAC"/>
    <w:rsid w:val="00E6554D"/>
    <w:rsid w:val="00E66BE8"/>
    <w:rsid w:val="00E673AA"/>
    <w:rsid w:val="00E67808"/>
    <w:rsid w:val="00E71703"/>
    <w:rsid w:val="00E720BD"/>
    <w:rsid w:val="00E7328A"/>
    <w:rsid w:val="00E74724"/>
    <w:rsid w:val="00E74AF5"/>
    <w:rsid w:val="00E74F54"/>
    <w:rsid w:val="00E76C0E"/>
    <w:rsid w:val="00E771C6"/>
    <w:rsid w:val="00E7792E"/>
    <w:rsid w:val="00E77B7C"/>
    <w:rsid w:val="00E81A2D"/>
    <w:rsid w:val="00E81B3E"/>
    <w:rsid w:val="00E83A1E"/>
    <w:rsid w:val="00E85F14"/>
    <w:rsid w:val="00E863C1"/>
    <w:rsid w:val="00E900B1"/>
    <w:rsid w:val="00E90333"/>
    <w:rsid w:val="00E93B32"/>
    <w:rsid w:val="00E97A9C"/>
    <w:rsid w:val="00EA11CE"/>
    <w:rsid w:val="00EA19B7"/>
    <w:rsid w:val="00EA23AC"/>
    <w:rsid w:val="00EA2BD5"/>
    <w:rsid w:val="00EA4668"/>
    <w:rsid w:val="00EA4F38"/>
    <w:rsid w:val="00EA5D38"/>
    <w:rsid w:val="00EA6380"/>
    <w:rsid w:val="00EB38D1"/>
    <w:rsid w:val="00EB4ACC"/>
    <w:rsid w:val="00EB50C0"/>
    <w:rsid w:val="00EB6878"/>
    <w:rsid w:val="00EB6EB2"/>
    <w:rsid w:val="00EC0995"/>
    <w:rsid w:val="00EC48CF"/>
    <w:rsid w:val="00EC69D5"/>
    <w:rsid w:val="00EC6A58"/>
    <w:rsid w:val="00ED00F3"/>
    <w:rsid w:val="00ED369F"/>
    <w:rsid w:val="00ED6C32"/>
    <w:rsid w:val="00ED6F4F"/>
    <w:rsid w:val="00ED71D2"/>
    <w:rsid w:val="00ED7C7D"/>
    <w:rsid w:val="00ED7F20"/>
    <w:rsid w:val="00EE1BE5"/>
    <w:rsid w:val="00EE1C51"/>
    <w:rsid w:val="00EE21CA"/>
    <w:rsid w:val="00EE27EA"/>
    <w:rsid w:val="00EE2952"/>
    <w:rsid w:val="00EE2D06"/>
    <w:rsid w:val="00EE63AE"/>
    <w:rsid w:val="00EE6488"/>
    <w:rsid w:val="00EE697D"/>
    <w:rsid w:val="00EF2743"/>
    <w:rsid w:val="00EF27A3"/>
    <w:rsid w:val="00EF2F8A"/>
    <w:rsid w:val="00EF402A"/>
    <w:rsid w:val="00EF511C"/>
    <w:rsid w:val="00EF5B45"/>
    <w:rsid w:val="00EF6081"/>
    <w:rsid w:val="00EF6DBE"/>
    <w:rsid w:val="00F00C6F"/>
    <w:rsid w:val="00F00D4C"/>
    <w:rsid w:val="00F021FA"/>
    <w:rsid w:val="00F02FD8"/>
    <w:rsid w:val="00F03491"/>
    <w:rsid w:val="00F03858"/>
    <w:rsid w:val="00F03A9E"/>
    <w:rsid w:val="00F03A9F"/>
    <w:rsid w:val="00F071E8"/>
    <w:rsid w:val="00F1040B"/>
    <w:rsid w:val="00F10DDF"/>
    <w:rsid w:val="00F10E4C"/>
    <w:rsid w:val="00F1253E"/>
    <w:rsid w:val="00F126A1"/>
    <w:rsid w:val="00F131B9"/>
    <w:rsid w:val="00F131C3"/>
    <w:rsid w:val="00F13950"/>
    <w:rsid w:val="00F13A13"/>
    <w:rsid w:val="00F13B62"/>
    <w:rsid w:val="00F141C8"/>
    <w:rsid w:val="00F216CE"/>
    <w:rsid w:val="00F22833"/>
    <w:rsid w:val="00F25B15"/>
    <w:rsid w:val="00F273FA"/>
    <w:rsid w:val="00F27D8D"/>
    <w:rsid w:val="00F30A20"/>
    <w:rsid w:val="00F30EB9"/>
    <w:rsid w:val="00F31985"/>
    <w:rsid w:val="00F3218C"/>
    <w:rsid w:val="00F331EF"/>
    <w:rsid w:val="00F33356"/>
    <w:rsid w:val="00F34791"/>
    <w:rsid w:val="00F3518E"/>
    <w:rsid w:val="00F352FD"/>
    <w:rsid w:val="00F374E3"/>
    <w:rsid w:val="00F40778"/>
    <w:rsid w:val="00F4140D"/>
    <w:rsid w:val="00F4309A"/>
    <w:rsid w:val="00F44CF5"/>
    <w:rsid w:val="00F456E1"/>
    <w:rsid w:val="00F47466"/>
    <w:rsid w:val="00F511EB"/>
    <w:rsid w:val="00F523AC"/>
    <w:rsid w:val="00F53532"/>
    <w:rsid w:val="00F53693"/>
    <w:rsid w:val="00F53F46"/>
    <w:rsid w:val="00F53FB3"/>
    <w:rsid w:val="00F55AFA"/>
    <w:rsid w:val="00F5789E"/>
    <w:rsid w:val="00F62E97"/>
    <w:rsid w:val="00F6342E"/>
    <w:rsid w:val="00F64209"/>
    <w:rsid w:val="00F70D9E"/>
    <w:rsid w:val="00F71C4C"/>
    <w:rsid w:val="00F7210D"/>
    <w:rsid w:val="00F72765"/>
    <w:rsid w:val="00F729D9"/>
    <w:rsid w:val="00F732A3"/>
    <w:rsid w:val="00F735E5"/>
    <w:rsid w:val="00F74545"/>
    <w:rsid w:val="00F7733F"/>
    <w:rsid w:val="00F8114D"/>
    <w:rsid w:val="00F83256"/>
    <w:rsid w:val="00F84F9F"/>
    <w:rsid w:val="00F8591E"/>
    <w:rsid w:val="00F85A48"/>
    <w:rsid w:val="00F87341"/>
    <w:rsid w:val="00F8757A"/>
    <w:rsid w:val="00F87ED8"/>
    <w:rsid w:val="00F91118"/>
    <w:rsid w:val="00F92829"/>
    <w:rsid w:val="00F93BF5"/>
    <w:rsid w:val="00FA2CC9"/>
    <w:rsid w:val="00FA35EF"/>
    <w:rsid w:val="00FA388E"/>
    <w:rsid w:val="00FA4903"/>
    <w:rsid w:val="00FA6253"/>
    <w:rsid w:val="00FB403A"/>
    <w:rsid w:val="00FB6763"/>
    <w:rsid w:val="00FC0124"/>
    <w:rsid w:val="00FC0282"/>
    <w:rsid w:val="00FC20E3"/>
    <w:rsid w:val="00FC294A"/>
    <w:rsid w:val="00FC40EE"/>
    <w:rsid w:val="00FC41CF"/>
    <w:rsid w:val="00FC754C"/>
    <w:rsid w:val="00FD00A4"/>
    <w:rsid w:val="00FD177C"/>
    <w:rsid w:val="00FD2C87"/>
    <w:rsid w:val="00FD3829"/>
    <w:rsid w:val="00FD4CBD"/>
    <w:rsid w:val="00FD68F5"/>
    <w:rsid w:val="00FE2C64"/>
    <w:rsid w:val="00FE40D4"/>
    <w:rsid w:val="00FE5256"/>
    <w:rsid w:val="00FE6C28"/>
    <w:rsid w:val="00FE70DA"/>
    <w:rsid w:val="00FE7980"/>
    <w:rsid w:val="00FF01A8"/>
    <w:rsid w:val="00FF3E1E"/>
    <w:rsid w:val="00FF4A11"/>
    <w:rsid w:val="00FF5202"/>
    <w:rsid w:val="00FF64AA"/>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First Indent"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4AA"/>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F64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F64AA"/>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F64AA"/>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F64A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F64AA"/>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F64A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F64A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F64A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F64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6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4AA"/>
  </w:style>
  <w:style w:type="paragraph" w:customStyle="1" w:styleId="ParaNum">
    <w:name w:val="ParaNum"/>
    <w:basedOn w:val="Normal"/>
    <w:link w:val="ParaNumChar"/>
    <w:rsid w:val="00FF64AA"/>
    <w:pPr>
      <w:numPr>
        <w:numId w:val="2"/>
      </w:numPr>
      <w:tabs>
        <w:tab w:val="clear" w:pos="1080"/>
        <w:tab w:val="num" w:pos="1440"/>
      </w:tabs>
      <w:spacing w:after="120"/>
    </w:pPr>
  </w:style>
  <w:style w:type="paragraph" w:styleId="EndnoteText">
    <w:name w:val="endnote text"/>
    <w:basedOn w:val="Normal"/>
    <w:semiHidden/>
    <w:rsid w:val="00FF64AA"/>
    <w:rPr>
      <w:sz w:val="20"/>
    </w:rPr>
  </w:style>
  <w:style w:type="character" w:styleId="EndnoteReference">
    <w:name w:val="endnote reference"/>
    <w:semiHidden/>
    <w:rsid w:val="00FF64AA"/>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F64AA"/>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FF64AA"/>
    <w:rPr>
      <w:rFonts w:ascii="Times New Roman" w:hAnsi="Times New Roman"/>
      <w:dstrike w:val="0"/>
      <w:color w:val="auto"/>
      <w:sz w:val="20"/>
      <w:vertAlign w:val="superscript"/>
    </w:rPr>
  </w:style>
  <w:style w:type="paragraph" w:styleId="TOC1">
    <w:name w:val="toc 1"/>
    <w:basedOn w:val="Normal"/>
    <w:next w:val="Normal"/>
    <w:rsid w:val="00FF64AA"/>
    <w:pPr>
      <w:tabs>
        <w:tab w:val="left" w:pos="360"/>
        <w:tab w:val="right" w:leader="dot" w:pos="9360"/>
      </w:tabs>
      <w:suppressAutoHyphens/>
      <w:ind w:left="360" w:right="720" w:hanging="360"/>
    </w:pPr>
    <w:rPr>
      <w:caps/>
      <w:noProof/>
    </w:rPr>
  </w:style>
  <w:style w:type="paragraph" w:styleId="TOC2">
    <w:name w:val="toc 2"/>
    <w:basedOn w:val="Normal"/>
    <w:next w:val="Normal"/>
    <w:rsid w:val="00FF64AA"/>
    <w:pPr>
      <w:tabs>
        <w:tab w:val="left" w:pos="720"/>
        <w:tab w:val="right" w:leader="dot" w:pos="9360"/>
      </w:tabs>
      <w:suppressAutoHyphens/>
      <w:ind w:left="720" w:right="720" w:hanging="360"/>
    </w:pPr>
    <w:rPr>
      <w:noProof/>
    </w:rPr>
  </w:style>
  <w:style w:type="paragraph" w:styleId="TOC3">
    <w:name w:val="toc 3"/>
    <w:basedOn w:val="Normal"/>
    <w:next w:val="Normal"/>
    <w:rsid w:val="00FF64A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F64A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F64A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F64AA"/>
    <w:pPr>
      <w:tabs>
        <w:tab w:val="left" w:pos="2160"/>
        <w:tab w:val="right" w:leader="dot" w:pos="9360"/>
      </w:tabs>
      <w:suppressAutoHyphens/>
      <w:ind w:left="2160" w:hanging="360"/>
    </w:pPr>
    <w:rPr>
      <w:noProof/>
    </w:rPr>
  </w:style>
  <w:style w:type="paragraph" w:styleId="TOC7">
    <w:name w:val="toc 7"/>
    <w:basedOn w:val="Normal"/>
    <w:next w:val="Normal"/>
    <w:autoRedefine/>
    <w:rsid w:val="00FF64AA"/>
    <w:pPr>
      <w:tabs>
        <w:tab w:val="left" w:pos="2520"/>
        <w:tab w:val="right" w:leader="dot" w:pos="9360"/>
      </w:tabs>
      <w:suppressAutoHyphens/>
      <w:ind w:left="2520" w:hanging="360"/>
    </w:pPr>
    <w:rPr>
      <w:noProof/>
    </w:rPr>
  </w:style>
  <w:style w:type="paragraph" w:styleId="TOC8">
    <w:name w:val="toc 8"/>
    <w:basedOn w:val="Normal"/>
    <w:next w:val="Normal"/>
    <w:autoRedefine/>
    <w:rsid w:val="00FF64AA"/>
    <w:pPr>
      <w:tabs>
        <w:tab w:val="left" w:pos="2880"/>
        <w:tab w:val="right" w:leader="dot" w:pos="9360"/>
      </w:tabs>
      <w:suppressAutoHyphens/>
      <w:ind w:left="2880" w:hanging="360"/>
    </w:pPr>
    <w:rPr>
      <w:noProof/>
    </w:rPr>
  </w:style>
  <w:style w:type="paragraph" w:styleId="TOC9">
    <w:name w:val="toc 9"/>
    <w:basedOn w:val="Normal"/>
    <w:next w:val="Normal"/>
    <w:autoRedefine/>
    <w:rsid w:val="00FF64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64AA"/>
    <w:pPr>
      <w:tabs>
        <w:tab w:val="right" w:pos="9360"/>
      </w:tabs>
      <w:suppressAutoHyphens/>
    </w:pPr>
  </w:style>
  <w:style w:type="character" w:customStyle="1" w:styleId="EquationCaption">
    <w:name w:val="_Equation Caption"/>
    <w:rsid w:val="00FF64AA"/>
  </w:style>
  <w:style w:type="paragraph" w:styleId="Header">
    <w:name w:val="header"/>
    <w:basedOn w:val="Normal"/>
    <w:link w:val="HeaderChar"/>
    <w:autoRedefine/>
    <w:rsid w:val="00FF64AA"/>
    <w:pPr>
      <w:spacing w:before="40"/>
    </w:pPr>
    <w:rPr>
      <w:rFonts w:ascii="Arial" w:hAnsi="Arial" w:cs="Arial"/>
      <w:b/>
      <w:sz w:val="96"/>
    </w:rPr>
  </w:style>
  <w:style w:type="paragraph" w:styleId="Footer">
    <w:name w:val="footer"/>
    <w:basedOn w:val="Normal"/>
    <w:link w:val="FooterChar"/>
    <w:uiPriority w:val="99"/>
    <w:rsid w:val="00FF64AA"/>
    <w:pPr>
      <w:tabs>
        <w:tab w:val="center" w:pos="4320"/>
        <w:tab w:val="right" w:pos="8640"/>
      </w:tabs>
    </w:pPr>
  </w:style>
  <w:style w:type="character" w:styleId="PageNumber">
    <w:name w:val="page number"/>
    <w:basedOn w:val="DefaultParagraphFont"/>
    <w:rsid w:val="00FF64AA"/>
  </w:style>
  <w:style w:type="paragraph" w:styleId="BlockText">
    <w:name w:val="Block Text"/>
    <w:basedOn w:val="Normal"/>
    <w:rsid w:val="00FF64AA"/>
    <w:pPr>
      <w:spacing w:after="240"/>
      <w:ind w:left="1440" w:right="1440"/>
    </w:pPr>
  </w:style>
  <w:style w:type="paragraph" w:customStyle="1" w:styleId="Paratitle">
    <w:name w:val="Para title"/>
    <w:basedOn w:val="Normal"/>
    <w:rsid w:val="00FF64AA"/>
    <w:pPr>
      <w:tabs>
        <w:tab w:val="center" w:pos="9270"/>
      </w:tabs>
      <w:spacing w:after="240"/>
    </w:pPr>
    <w:rPr>
      <w:spacing w:val="-2"/>
    </w:rPr>
  </w:style>
  <w:style w:type="paragraph" w:customStyle="1" w:styleId="Bullet">
    <w:name w:val="Bullet"/>
    <w:basedOn w:val="Normal"/>
    <w:rsid w:val="00FF64AA"/>
    <w:pPr>
      <w:tabs>
        <w:tab w:val="left" w:pos="2160"/>
      </w:tabs>
      <w:spacing w:after="220"/>
      <w:ind w:left="2160" w:hanging="720"/>
    </w:pPr>
  </w:style>
  <w:style w:type="paragraph" w:customStyle="1" w:styleId="TableFormat">
    <w:name w:val="TableFormat"/>
    <w:basedOn w:val="Bullet"/>
    <w:rsid w:val="00FF64AA"/>
    <w:pPr>
      <w:tabs>
        <w:tab w:val="clear" w:pos="2160"/>
        <w:tab w:val="left" w:pos="5040"/>
      </w:tabs>
      <w:ind w:left="5040" w:hanging="3600"/>
    </w:pPr>
  </w:style>
  <w:style w:type="paragraph" w:customStyle="1" w:styleId="TOCTitle">
    <w:name w:val="TOC Title"/>
    <w:basedOn w:val="Normal"/>
    <w:rsid w:val="00FF64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64AA"/>
    <w:pPr>
      <w:jc w:val="center"/>
    </w:pPr>
    <w:rPr>
      <w:rFonts w:ascii="Times New Roman Bold" w:hAnsi="Times New Roman Bold"/>
      <w:b/>
      <w:bCs/>
      <w:caps/>
      <w:szCs w:val="22"/>
    </w:rPr>
  </w:style>
  <w:style w:type="character" w:styleId="Hyperlink">
    <w:name w:val="Hyperlink"/>
    <w:rsid w:val="00FF64AA"/>
    <w:rPr>
      <w:color w:val="0000FF"/>
      <w:u w:val="single"/>
    </w:rPr>
  </w:style>
  <w:style w:type="paragraph" w:styleId="BalloonText">
    <w:name w:val="Balloon Text"/>
    <w:basedOn w:val="Normal"/>
    <w:link w:val="BalloonTextChar"/>
    <w:rsid w:val="00FF64AA"/>
    <w:rPr>
      <w:rFonts w:ascii="Segoe UI" w:hAnsi="Segoe UI" w:cs="Segoe UI"/>
      <w:sz w:val="18"/>
      <w:szCs w:val="18"/>
    </w:rPr>
  </w:style>
  <w:style w:type="character" w:customStyle="1" w:styleId="BalloonTextChar">
    <w:name w:val="Balloon Text Char"/>
    <w:basedOn w:val="DefaultParagraphFont"/>
    <w:link w:val="BalloonText"/>
    <w:rsid w:val="00FF64AA"/>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F64AA"/>
    <w:rPr>
      <w:snapToGrid w:val="0"/>
      <w:kern w:val="28"/>
      <w:sz w:val="22"/>
    </w:rPr>
  </w:style>
  <w:style w:type="paragraph" w:styleId="ListParagraph">
    <w:name w:val="List Paragraph"/>
    <w:basedOn w:val="Normal"/>
    <w:uiPriority w:val="34"/>
    <w:qFormat/>
    <w:rsid w:val="000958C9"/>
    <w:pPr>
      <w:spacing w:after="200" w:line="276" w:lineRule="auto"/>
      <w:ind w:left="720"/>
      <w:contextualSpacing/>
    </w:pPr>
  </w:style>
  <w:style w:type="character" w:styleId="CommentReference">
    <w:name w:val="annotation reference"/>
    <w:basedOn w:val="DefaultParagraphFont"/>
    <w:uiPriority w:val="99"/>
    <w:unhideWhenUsed/>
    <w:rsid w:val="000958C9"/>
    <w:rPr>
      <w:sz w:val="16"/>
      <w:szCs w:val="16"/>
    </w:rPr>
  </w:style>
  <w:style w:type="paragraph" w:styleId="CommentText">
    <w:name w:val="annotation text"/>
    <w:basedOn w:val="Normal"/>
    <w:link w:val="CommentTextChar"/>
    <w:uiPriority w:val="99"/>
    <w:unhideWhenUsed/>
    <w:rsid w:val="000958C9"/>
    <w:pPr>
      <w:spacing w:after="200"/>
    </w:pPr>
    <w:rPr>
      <w:sz w:val="20"/>
    </w:rPr>
  </w:style>
  <w:style w:type="character" w:customStyle="1" w:styleId="CommentTextChar">
    <w:name w:val="Comment Text Char"/>
    <w:basedOn w:val="DefaultParagraphFont"/>
    <w:link w:val="CommentText"/>
    <w:uiPriority w:val="99"/>
    <w:rsid w:val="000958C9"/>
    <w:rPr>
      <w:snapToGrid w:val="0"/>
      <w:kern w:val="28"/>
    </w:rPr>
  </w:style>
  <w:style w:type="paragraph" w:styleId="TOCHeading">
    <w:name w:val="TOC Heading"/>
    <w:basedOn w:val="Heading1"/>
    <w:next w:val="Normal"/>
    <w:uiPriority w:val="39"/>
    <w:unhideWhenUsed/>
    <w:qFormat/>
    <w:rsid w:val="000958C9"/>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0958C9"/>
  </w:style>
  <w:style w:type="character" w:customStyle="1" w:styleId="ParaNumChar">
    <w:name w:val="ParaNum Char"/>
    <w:link w:val="ParaNum"/>
    <w:locked/>
    <w:rsid w:val="000958C9"/>
    <w:rPr>
      <w:snapToGrid w:val="0"/>
      <w:kern w:val="28"/>
      <w:sz w:val="22"/>
    </w:rPr>
  </w:style>
  <w:style w:type="paragraph" w:styleId="CommentSubject">
    <w:name w:val="annotation subject"/>
    <w:basedOn w:val="CommentText"/>
    <w:next w:val="CommentText"/>
    <w:link w:val="CommentSubjectChar"/>
    <w:uiPriority w:val="99"/>
    <w:rsid w:val="000958C9"/>
    <w:pPr>
      <w:spacing w:after="0"/>
    </w:pPr>
    <w:rPr>
      <w:b/>
      <w:bCs/>
      <w:snapToGrid/>
    </w:rPr>
  </w:style>
  <w:style w:type="character" w:customStyle="1" w:styleId="CommentSubjectChar">
    <w:name w:val="Comment Subject Char"/>
    <w:basedOn w:val="CommentTextChar"/>
    <w:link w:val="CommentSubject"/>
    <w:uiPriority w:val="99"/>
    <w:rsid w:val="000958C9"/>
    <w:rPr>
      <w:b/>
      <w:bCs/>
      <w:snapToGrid/>
      <w:kern w:val="28"/>
    </w:rPr>
  </w:style>
  <w:style w:type="character" w:customStyle="1" w:styleId="apple-converted-space">
    <w:name w:val="apple-converted-space"/>
    <w:rsid w:val="000958C9"/>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0958C9"/>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958C9"/>
  </w:style>
  <w:style w:type="paragraph" w:customStyle="1" w:styleId="BulletCharChar">
    <w:name w:val="Bullet Char Char"/>
    <w:basedOn w:val="Normal"/>
    <w:link w:val="BulletCharCharChar"/>
    <w:rsid w:val="000958C9"/>
    <w:pPr>
      <w:tabs>
        <w:tab w:val="left" w:pos="2160"/>
      </w:tabs>
      <w:spacing w:after="220" w:line="276" w:lineRule="auto"/>
      <w:ind w:left="2160" w:hanging="720"/>
    </w:pPr>
  </w:style>
  <w:style w:type="character" w:customStyle="1" w:styleId="BulletCharCharChar">
    <w:name w:val="Bullet Char Char Char"/>
    <w:link w:val="BulletCharChar"/>
    <w:rsid w:val="000958C9"/>
    <w:rPr>
      <w:snapToGrid w:val="0"/>
      <w:kern w:val="28"/>
      <w:sz w:val="22"/>
    </w:rPr>
  </w:style>
  <w:style w:type="character" w:customStyle="1" w:styleId="footnote">
    <w:name w:val="footnote"/>
    <w:rsid w:val="000958C9"/>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958C9"/>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0958C9"/>
  </w:style>
  <w:style w:type="paragraph" w:styleId="NormalWeb">
    <w:name w:val="Normal (Web)"/>
    <w:basedOn w:val="Normal"/>
    <w:uiPriority w:val="99"/>
    <w:unhideWhenUsed/>
    <w:rsid w:val="000958C9"/>
    <w:pPr>
      <w:spacing w:after="200" w:line="330" w:lineRule="atLeast"/>
      <w:textAlignment w:val="baseline"/>
    </w:pPr>
    <w:rPr>
      <w:snapToGrid/>
      <w:color w:val="000000"/>
      <w:sz w:val="20"/>
    </w:rPr>
  </w:style>
  <w:style w:type="character" w:customStyle="1" w:styleId="cohovertext">
    <w:name w:val="co_hovertext"/>
    <w:basedOn w:val="DefaultParagraphFont"/>
    <w:rsid w:val="000958C9"/>
  </w:style>
  <w:style w:type="character" w:customStyle="1" w:styleId="cosearchterm">
    <w:name w:val="co_searchterm"/>
    <w:basedOn w:val="DefaultParagraphFont"/>
    <w:rsid w:val="000958C9"/>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0958C9"/>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958C9"/>
    <w:rPr>
      <w:b/>
      <w:snapToGrid w:val="0"/>
      <w:kern w:val="28"/>
      <w:sz w:val="22"/>
    </w:rPr>
  </w:style>
  <w:style w:type="character" w:styleId="FollowedHyperlink">
    <w:name w:val="FollowedHyperlink"/>
    <w:basedOn w:val="DefaultParagraphFont"/>
    <w:uiPriority w:val="99"/>
    <w:rsid w:val="000958C9"/>
    <w:rPr>
      <w:color w:val="954F72" w:themeColor="followedHyperlink"/>
      <w:u w:val="single"/>
    </w:rPr>
  </w:style>
  <w:style w:type="paragraph" w:styleId="Revision">
    <w:name w:val="Revision"/>
    <w:hidden/>
    <w:uiPriority w:val="99"/>
    <w:semiHidden/>
    <w:rsid w:val="000958C9"/>
    <w:rPr>
      <w:snapToGrid w:val="0"/>
      <w:kern w:val="28"/>
      <w:sz w:val="22"/>
      <w:szCs w:val="24"/>
    </w:rPr>
  </w:style>
  <w:style w:type="character" w:styleId="Emphasis">
    <w:name w:val="Emphasis"/>
    <w:basedOn w:val="DefaultParagraphFont"/>
    <w:qFormat/>
    <w:rsid w:val="000958C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C27465"/>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0958C9"/>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0958C9"/>
    <w:rPr>
      <w:b/>
      <w:snapToGrid w:val="0"/>
      <w:kern w:val="28"/>
      <w:sz w:val="22"/>
    </w:rPr>
  </w:style>
  <w:style w:type="character" w:customStyle="1" w:styleId="Heading7Char">
    <w:name w:val="Heading 7 Char"/>
    <w:basedOn w:val="DefaultParagraphFont"/>
    <w:link w:val="Heading7"/>
    <w:rsid w:val="000958C9"/>
    <w:rPr>
      <w:b/>
      <w:snapToGrid w:val="0"/>
      <w:kern w:val="28"/>
      <w:sz w:val="22"/>
    </w:rPr>
  </w:style>
  <w:style w:type="character" w:customStyle="1" w:styleId="Heading8Char">
    <w:name w:val="Heading 8 Char"/>
    <w:basedOn w:val="DefaultParagraphFont"/>
    <w:link w:val="Heading8"/>
    <w:rsid w:val="000958C9"/>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0958C9"/>
    <w:rPr>
      <w:b/>
      <w:snapToGrid w:val="0"/>
      <w:kern w:val="28"/>
      <w:sz w:val="22"/>
    </w:rPr>
  </w:style>
  <w:style w:type="character" w:styleId="Strong">
    <w:name w:val="Strong"/>
    <w:uiPriority w:val="22"/>
    <w:qFormat/>
    <w:rsid w:val="000958C9"/>
    <w:rPr>
      <w:b/>
    </w:rPr>
  </w:style>
  <w:style w:type="character" w:customStyle="1" w:styleId="a">
    <w:name w:val="_"/>
    <w:rsid w:val="000958C9"/>
    <w:rPr>
      <w:rFonts w:ascii="Times New Roman" w:hAnsi="Times New Roman"/>
      <w:sz w:val="24"/>
    </w:rPr>
  </w:style>
  <w:style w:type="paragraph" w:customStyle="1" w:styleId="12PtBullet">
    <w:name w:val="12PtBullet"/>
    <w:basedOn w:val="Normal"/>
    <w:rsid w:val="000958C9"/>
    <w:pPr>
      <w:tabs>
        <w:tab w:val="num" w:pos="720"/>
      </w:tabs>
      <w:ind w:left="720" w:hanging="720"/>
    </w:pPr>
    <w:rPr>
      <w:snapToGrid/>
      <w:sz w:val="24"/>
    </w:rPr>
  </w:style>
  <w:style w:type="character" w:customStyle="1" w:styleId="a0">
    <w:name w:val="a"/>
    <w:rsid w:val="000958C9"/>
    <w:rPr>
      <w:rFonts w:ascii="Times New Roman" w:hAnsi="Times New Roman" w:cs="Times New Roman" w:hint="default"/>
    </w:rPr>
  </w:style>
  <w:style w:type="character" w:customStyle="1" w:styleId="HeaderChar">
    <w:name w:val="Header Char"/>
    <w:basedOn w:val="DefaultParagraphFont"/>
    <w:link w:val="Header"/>
    <w:rsid w:val="005A1A4B"/>
    <w:rPr>
      <w:rFonts w:ascii="Arial" w:hAnsi="Arial" w:cs="Arial"/>
      <w:b/>
      <w:snapToGrid w:val="0"/>
      <w:kern w:val="28"/>
      <w:sz w:val="96"/>
    </w:rPr>
  </w:style>
  <w:style w:type="paragraph" w:customStyle="1" w:styleId="StyleHeading1Heading1Char2Heading1Char1CharHeading1Char">
    <w:name w:val="Style Heading 1Heading 1 Char2Heading 1 Char1 CharHeading 1 Char..."/>
    <w:basedOn w:val="Heading1"/>
    <w:rsid w:val="000958C9"/>
    <w:pPr>
      <w:numPr>
        <w:numId w:val="0"/>
      </w:numPr>
      <w:tabs>
        <w:tab w:val="left" w:pos="720"/>
      </w:tabs>
      <w:spacing w:after="0"/>
    </w:pPr>
    <w:rPr>
      <w:rFonts w:ascii="Times New Roman" w:hAnsi="Times New Roman"/>
      <w:bCs/>
    </w:rPr>
  </w:style>
  <w:style w:type="paragraph" w:customStyle="1" w:styleId="StyleParaNumFirstline0After0pt">
    <w:name w:val="Style ParaNum + First line:  0&quot; After:  0 pt"/>
    <w:basedOn w:val="ParaNum"/>
    <w:rsid w:val="000958C9"/>
    <w:pPr>
      <w:numPr>
        <w:numId w:val="0"/>
      </w:numPr>
      <w:tabs>
        <w:tab w:val="num" w:pos="360"/>
        <w:tab w:val="num" w:pos="1440"/>
      </w:tabs>
      <w:ind w:left="360"/>
    </w:pPr>
  </w:style>
  <w:style w:type="paragraph" w:customStyle="1" w:styleId="StyleParaNumJustifiedAfter0pt">
    <w:name w:val="Style ParaNum + Justified After:  0 pt"/>
    <w:basedOn w:val="ParaNum"/>
    <w:rsid w:val="000958C9"/>
    <w:pPr>
      <w:numPr>
        <w:numId w:val="0"/>
      </w:numPr>
      <w:tabs>
        <w:tab w:val="num" w:pos="360"/>
        <w:tab w:val="num" w:pos="1440"/>
      </w:tabs>
      <w:ind w:left="360" w:hanging="360"/>
      <w:jc w:val="both"/>
    </w:pPr>
  </w:style>
  <w:style w:type="table" w:styleId="TableGrid">
    <w:name w:val="Table Grid"/>
    <w:basedOn w:val="TableNormal"/>
    <w:uiPriority w:val="39"/>
    <w:rsid w:val="00464B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BB126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B1263"/>
    <w:rPr>
      <w:rFonts w:asciiTheme="minorHAnsi" w:eastAsiaTheme="minorEastAsia" w:hAnsiTheme="minorHAnsi" w:cstheme="minorBidi"/>
      <w:snapToGrid w:val="0"/>
      <w:color w:val="5A5A5A" w:themeColor="text1" w:themeTint="A5"/>
      <w:spacing w:val="15"/>
      <w:kern w:val="28"/>
      <w:sz w:val="22"/>
      <w:szCs w:val="22"/>
    </w:rPr>
  </w:style>
  <w:style w:type="character" w:customStyle="1" w:styleId="ptext-2">
    <w:name w:val="ptext-2"/>
    <w:basedOn w:val="DefaultParagraphFont"/>
    <w:rsid w:val="00062C97"/>
  </w:style>
  <w:style w:type="character" w:customStyle="1" w:styleId="ParaNumCharChar1">
    <w:name w:val="ParaNum Char Char1"/>
    <w:locked/>
    <w:rsid w:val="000946C2"/>
    <w:rPr>
      <w:snapToGrid w:val="0"/>
      <w:kern w:val="28"/>
      <w:sz w:val="22"/>
    </w:rPr>
  </w:style>
  <w:style w:type="paragraph" w:customStyle="1" w:styleId="xl63">
    <w:name w:val="xl63"/>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4">
    <w:name w:val="xl64"/>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5">
    <w:name w:val="xl65"/>
    <w:basedOn w:val="Normal"/>
    <w:rsid w:val="00A41A74"/>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66">
    <w:name w:val="xl66"/>
    <w:basedOn w:val="Normal"/>
    <w:rsid w:val="00A41A74"/>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7">
    <w:name w:val="xl67"/>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8">
    <w:name w:val="xl68"/>
    <w:basedOn w:val="Normal"/>
    <w:rsid w:val="00A41A74"/>
    <w:pPr>
      <w:widowControl/>
      <w:pBdr>
        <w:top w:val="single" w:sz="4" w:space="0" w:color="auto"/>
        <w:left w:val="single" w:sz="4" w:space="0" w:color="auto"/>
        <w:bottom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A41A74"/>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0">
    <w:name w:val="xl70"/>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1">
    <w:name w:val="xl71"/>
    <w:basedOn w:val="Normal"/>
    <w:rsid w:val="00A41A74"/>
    <w:pPr>
      <w:widowControl/>
      <w:pBdr>
        <w:top w:val="single" w:sz="4" w:space="0" w:color="auto"/>
        <w:left w:val="single" w:sz="4" w:space="0" w:color="auto"/>
        <w:bottom w:val="single" w:sz="4" w:space="0" w:color="auto"/>
      </w:pBdr>
      <w:spacing w:before="100" w:beforeAutospacing="1" w:after="100" w:afterAutospacing="1"/>
      <w:jc w:val="center"/>
    </w:pPr>
    <w:rPr>
      <w:snapToGrid/>
      <w:kern w:val="0"/>
      <w:sz w:val="24"/>
      <w:szCs w:val="24"/>
    </w:rPr>
  </w:style>
  <w:style w:type="paragraph" w:customStyle="1" w:styleId="xl72">
    <w:name w:val="xl72"/>
    <w:basedOn w:val="Normal"/>
    <w:rsid w:val="00A41A74"/>
    <w:pPr>
      <w:widowControl/>
      <w:pBdr>
        <w:top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73">
    <w:name w:val="xl73"/>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4">
    <w:name w:val="xl74"/>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5">
    <w:name w:val="xl75"/>
    <w:basedOn w:val="Normal"/>
    <w:rsid w:val="00A41A74"/>
    <w:pPr>
      <w:widowControl/>
      <w:spacing w:before="100" w:beforeAutospacing="1" w:after="100" w:afterAutospacing="1"/>
      <w:textAlignment w:val="top"/>
    </w:pPr>
    <w:rPr>
      <w:snapToGrid/>
      <w:kern w:val="0"/>
      <w:sz w:val="24"/>
      <w:szCs w:val="24"/>
    </w:rPr>
  </w:style>
  <w:style w:type="paragraph" w:customStyle="1" w:styleId="xl76">
    <w:name w:val="xl76"/>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7">
    <w:name w:val="xl77"/>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styleId="BodyText">
    <w:name w:val="Body Text"/>
    <w:basedOn w:val="Normal"/>
    <w:link w:val="BodyTextChar"/>
    <w:rsid w:val="00C33642"/>
    <w:pPr>
      <w:spacing w:after="120"/>
    </w:pPr>
  </w:style>
  <w:style w:type="character" w:customStyle="1" w:styleId="BodyTextChar">
    <w:name w:val="Body Text Char"/>
    <w:basedOn w:val="DefaultParagraphFont"/>
    <w:link w:val="BodyText"/>
    <w:rsid w:val="00C33642"/>
    <w:rPr>
      <w:snapToGrid w:val="0"/>
      <w:kern w:val="28"/>
      <w:sz w:val="22"/>
    </w:rPr>
  </w:style>
  <w:style w:type="paragraph" w:styleId="BodyTextFirstIndent">
    <w:name w:val="Body Text First Indent"/>
    <w:basedOn w:val="BodyText"/>
    <w:link w:val="BodyTextFirstIndentChar"/>
    <w:uiPriority w:val="99"/>
    <w:unhideWhenUsed/>
    <w:rsid w:val="00C33642"/>
    <w:pPr>
      <w:widowControl/>
      <w:snapToGrid w:val="0"/>
      <w:spacing w:after="160" w:line="256" w:lineRule="auto"/>
      <w:ind w:firstLine="360"/>
    </w:pPr>
    <w:rPr>
      <w:rFonts w:ascii="Cambria" w:eastAsia="MS Minngs" w:hAnsi="Cambria" w:cstheme="minorBidi"/>
      <w:snapToGrid/>
      <w:kern w:val="0"/>
      <w:szCs w:val="22"/>
      <w:lang w:eastAsia="ja-JP"/>
    </w:rPr>
  </w:style>
  <w:style w:type="character" w:customStyle="1" w:styleId="BodyTextFirstIndentChar">
    <w:name w:val="Body Text First Indent Char"/>
    <w:basedOn w:val="BodyTextChar"/>
    <w:link w:val="BodyTextFirstIndent"/>
    <w:uiPriority w:val="99"/>
    <w:rsid w:val="00C33642"/>
    <w:rPr>
      <w:rFonts w:ascii="Cambria" w:eastAsia="MS Minngs" w:hAnsi="Cambria" w:cstheme="minorBidi"/>
      <w:snapToGrid/>
      <w:kern w:val="28"/>
      <w:sz w:val="22"/>
      <w:szCs w:val="22"/>
      <w:lang w:eastAsia="ja-JP"/>
    </w:rPr>
  </w:style>
  <w:style w:type="paragraph" w:customStyle="1" w:styleId="AttachmentHeading2">
    <w:name w:val="Attachment Heading 2"/>
    <w:basedOn w:val="AttachmentHeading1"/>
    <w:next w:val="AttachmentHeading3"/>
    <w:uiPriority w:val="99"/>
    <w:qFormat/>
    <w:rsid w:val="00C33642"/>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qFormat/>
    <w:rsid w:val="00C33642"/>
    <w:pPr>
      <w:numPr>
        <w:numId w:val="35"/>
      </w:numPr>
      <w:snapToGrid w:val="0"/>
      <w:spacing w:after="240" w:line="480" w:lineRule="auto"/>
      <w:jc w:val="center"/>
      <w:outlineLvl w:val="0"/>
    </w:pPr>
    <w:rPr>
      <w:rFonts w:eastAsiaTheme="majorEastAsia"/>
      <w:b/>
      <w:bCs/>
      <w:kern w:val="28"/>
      <w:sz w:val="22"/>
      <w:szCs w:val="22"/>
    </w:rPr>
  </w:style>
  <w:style w:type="paragraph" w:customStyle="1" w:styleId="AttachmentHeading3">
    <w:name w:val="Attachment Heading 3"/>
    <w:basedOn w:val="AttachmentHeading2"/>
    <w:next w:val="Normal"/>
    <w:uiPriority w:val="99"/>
    <w:qFormat/>
    <w:rsid w:val="00C33642"/>
    <w:pPr>
      <w:keepNext/>
      <w:keepLines/>
      <w:numPr>
        <w:ilvl w:val="2"/>
      </w:numPr>
      <w:tabs>
        <w:tab w:val="num" w:pos="360"/>
        <w:tab w:val="left" w:pos="720"/>
      </w:tabs>
      <w:spacing w:before="240" w:line="240" w:lineRule="auto"/>
      <w:jc w:val="left"/>
      <w:outlineLvl w:val="2"/>
    </w:pPr>
  </w:style>
  <w:style w:type="paragraph" w:customStyle="1" w:styleId="AttachmentHeading4">
    <w:name w:val="Attachment Heading 4"/>
    <w:basedOn w:val="AttachmentHeading3"/>
    <w:next w:val="Normal"/>
    <w:link w:val="AttachmentHeading4Char"/>
    <w:uiPriority w:val="99"/>
    <w:qFormat/>
    <w:rsid w:val="00C33642"/>
    <w:pPr>
      <w:numPr>
        <w:ilvl w:val="3"/>
      </w:numPr>
      <w:tabs>
        <w:tab w:val="num" w:pos="360"/>
      </w:tabs>
      <w:outlineLvl w:val="3"/>
    </w:pPr>
  </w:style>
  <w:style w:type="character" w:customStyle="1" w:styleId="AttachmentHeading4Char">
    <w:name w:val="Attachment Heading 4 Char"/>
    <w:basedOn w:val="DefaultParagraphFont"/>
    <w:link w:val="AttachmentHeading4"/>
    <w:uiPriority w:val="99"/>
    <w:locked/>
    <w:rsid w:val="00C33642"/>
    <w:rPr>
      <w:rFonts w:ascii="Times New Roman Bold" w:eastAsiaTheme="majorEastAsia" w:hAnsi="Times New Roman Bold" w:cs="Times New Roman Bold"/>
      <w:b/>
      <w:bCs/>
      <w:kern w:val="28"/>
      <w:sz w:val="22"/>
      <w:szCs w:val="22"/>
    </w:rPr>
  </w:style>
  <w:style w:type="paragraph" w:customStyle="1" w:styleId="AttachmentHeading5">
    <w:name w:val="Attachment Heading 5"/>
    <w:basedOn w:val="AttachmentHeading4"/>
    <w:next w:val="Normal"/>
    <w:uiPriority w:val="99"/>
    <w:qFormat/>
    <w:rsid w:val="00C33642"/>
    <w:pPr>
      <w:numPr>
        <w:ilvl w:val="4"/>
      </w:numPr>
      <w:tabs>
        <w:tab w:val="num" w:pos="360"/>
      </w:tabs>
      <w:outlineLvl w:val="4"/>
    </w:pPr>
  </w:style>
  <w:style w:type="numbering" w:customStyle="1" w:styleId="AttachmentHeadings">
    <w:name w:val="Attachment Headings"/>
    <w:uiPriority w:val="99"/>
    <w:rsid w:val="00C33642"/>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Body Text First Indent"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4AA"/>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F64A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F64AA"/>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F64AA"/>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F64AA"/>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F64AA"/>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F64A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F64A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F64A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F64A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6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4AA"/>
  </w:style>
  <w:style w:type="paragraph" w:customStyle="1" w:styleId="ParaNum">
    <w:name w:val="ParaNum"/>
    <w:basedOn w:val="Normal"/>
    <w:link w:val="ParaNumChar"/>
    <w:rsid w:val="00FF64AA"/>
    <w:pPr>
      <w:numPr>
        <w:numId w:val="2"/>
      </w:numPr>
      <w:tabs>
        <w:tab w:val="clear" w:pos="1080"/>
        <w:tab w:val="num" w:pos="1440"/>
      </w:tabs>
      <w:spacing w:after="120"/>
    </w:pPr>
  </w:style>
  <w:style w:type="paragraph" w:styleId="EndnoteText">
    <w:name w:val="endnote text"/>
    <w:basedOn w:val="Normal"/>
    <w:semiHidden/>
    <w:rsid w:val="00FF64AA"/>
    <w:rPr>
      <w:sz w:val="20"/>
    </w:rPr>
  </w:style>
  <w:style w:type="character" w:styleId="EndnoteReference">
    <w:name w:val="endnote reference"/>
    <w:semiHidden/>
    <w:rsid w:val="00FF64AA"/>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F64AA"/>
    <w:pPr>
      <w:spacing w:after="120"/>
    </w:pPr>
  </w:style>
  <w:style w:type="character" w:styleId="FootnoteReference">
    <w:name w:val="footnote reference"/>
    <w:aliases w:val="Appel note de bas de p,Style 12,(NECG) Footnote Reference,Style 124,o,fr,Style 3,Style 17,FR,Style 13,Footnote Reference/,Style 6,Style 4,Style 7,Footnote Reference1"/>
    <w:rsid w:val="00FF64AA"/>
    <w:rPr>
      <w:rFonts w:ascii="Times New Roman" w:hAnsi="Times New Roman"/>
      <w:dstrike w:val="0"/>
      <w:color w:val="auto"/>
      <w:sz w:val="20"/>
      <w:vertAlign w:val="superscript"/>
    </w:rPr>
  </w:style>
  <w:style w:type="paragraph" w:styleId="TOC1">
    <w:name w:val="toc 1"/>
    <w:basedOn w:val="Normal"/>
    <w:next w:val="Normal"/>
    <w:rsid w:val="00FF64AA"/>
    <w:pPr>
      <w:tabs>
        <w:tab w:val="left" w:pos="360"/>
        <w:tab w:val="right" w:leader="dot" w:pos="9360"/>
      </w:tabs>
      <w:suppressAutoHyphens/>
      <w:ind w:left="360" w:right="720" w:hanging="360"/>
    </w:pPr>
    <w:rPr>
      <w:caps/>
      <w:noProof/>
    </w:rPr>
  </w:style>
  <w:style w:type="paragraph" w:styleId="TOC2">
    <w:name w:val="toc 2"/>
    <w:basedOn w:val="Normal"/>
    <w:next w:val="Normal"/>
    <w:rsid w:val="00FF64AA"/>
    <w:pPr>
      <w:tabs>
        <w:tab w:val="left" w:pos="720"/>
        <w:tab w:val="right" w:leader="dot" w:pos="9360"/>
      </w:tabs>
      <w:suppressAutoHyphens/>
      <w:ind w:left="720" w:right="720" w:hanging="360"/>
    </w:pPr>
    <w:rPr>
      <w:noProof/>
    </w:rPr>
  </w:style>
  <w:style w:type="paragraph" w:styleId="TOC3">
    <w:name w:val="toc 3"/>
    <w:basedOn w:val="Normal"/>
    <w:next w:val="Normal"/>
    <w:rsid w:val="00FF64A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F64A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F64A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F64AA"/>
    <w:pPr>
      <w:tabs>
        <w:tab w:val="left" w:pos="2160"/>
        <w:tab w:val="right" w:leader="dot" w:pos="9360"/>
      </w:tabs>
      <w:suppressAutoHyphens/>
      <w:ind w:left="2160" w:hanging="360"/>
    </w:pPr>
    <w:rPr>
      <w:noProof/>
    </w:rPr>
  </w:style>
  <w:style w:type="paragraph" w:styleId="TOC7">
    <w:name w:val="toc 7"/>
    <w:basedOn w:val="Normal"/>
    <w:next w:val="Normal"/>
    <w:autoRedefine/>
    <w:rsid w:val="00FF64AA"/>
    <w:pPr>
      <w:tabs>
        <w:tab w:val="left" w:pos="2520"/>
        <w:tab w:val="right" w:leader="dot" w:pos="9360"/>
      </w:tabs>
      <w:suppressAutoHyphens/>
      <w:ind w:left="2520" w:hanging="360"/>
    </w:pPr>
    <w:rPr>
      <w:noProof/>
    </w:rPr>
  </w:style>
  <w:style w:type="paragraph" w:styleId="TOC8">
    <w:name w:val="toc 8"/>
    <w:basedOn w:val="Normal"/>
    <w:next w:val="Normal"/>
    <w:autoRedefine/>
    <w:rsid w:val="00FF64AA"/>
    <w:pPr>
      <w:tabs>
        <w:tab w:val="left" w:pos="2880"/>
        <w:tab w:val="right" w:leader="dot" w:pos="9360"/>
      </w:tabs>
      <w:suppressAutoHyphens/>
      <w:ind w:left="2880" w:hanging="360"/>
    </w:pPr>
    <w:rPr>
      <w:noProof/>
    </w:rPr>
  </w:style>
  <w:style w:type="paragraph" w:styleId="TOC9">
    <w:name w:val="toc 9"/>
    <w:basedOn w:val="Normal"/>
    <w:next w:val="Normal"/>
    <w:autoRedefine/>
    <w:rsid w:val="00FF64A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64AA"/>
    <w:pPr>
      <w:tabs>
        <w:tab w:val="right" w:pos="9360"/>
      </w:tabs>
      <w:suppressAutoHyphens/>
    </w:pPr>
  </w:style>
  <w:style w:type="character" w:customStyle="1" w:styleId="EquationCaption">
    <w:name w:val="_Equation Caption"/>
    <w:rsid w:val="00FF64AA"/>
  </w:style>
  <w:style w:type="paragraph" w:styleId="Header">
    <w:name w:val="header"/>
    <w:basedOn w:val="Normal"/>
    <w:link w:val="HeaderChar"/>
    <w:autoRedefine/>
    <w:rsid w:val="00FF64AA"/>
    <w:pPr>
      <w:spacing w:before="40"/>
    </w:pPr>
    <w:rPr>
      <w:rFonts w:ascii="Arial" w:hAnsi="Arial" w:cs="Arial"/>
      <w:b/>
      <w:sz w:val="96"/>
    </w:rPr>
  </w:style>
  <w:style w:type="paragraph" w:styleId="Footer">
    <w:name w:val="footer"/>
    <w:basedOn w:val="Normal"/>
    <w:link w:val="FooterChar"/>
    <w:uiPriority w:val="99"/>
    <w:rsid w:val="00FF64AA"/>
    <w:pPr>
      <w:tabs>
        <w:tab w:val="center" w:pos="4320"/>
        <w:tab w:val="right" w:pos="8640"/>
      </w:tabs>
    </w:pPr>
  </w:style>
  <w:style w:type="character" w:styleId="PageNumber">
    <w:name w:val="page number"/>
    <w:basedOn w:val="DefaultParagraphFont"/>
    <w:rsid w:val="00FF64AA"/>
  </w:style>
  <w:style w:type="paragraph" w:styleId="BlockText">
    <w:name w:val="Block Text"/>
    <w:basedOn w:val="Normal"/>
    <w:rsid w:val="00FF64AA"/>
    <w:pPr>
      <w:spacing w:after="240"/>
      <w:ind w:left="1440" w:right="1440"/>
    </w:pPr>
  </w:style>
  <w:style w:type="paragraph" w:customStyle="1" w:styleId="Paratitle">
    <w:name w:val="Para title"/>
    <w:basedOn w:val="Normal"/>
    <w:rsid w:val="00FF64AA"/>
    <w:pPr>
      <w:tabs>
        <w:tab w:val="center" w:pos="9270"/>
      </w:tabs>
      <w:spacing w:after="240"/>
    </w:pPr>
    <w:rPr>
      <w:spacing w:val="-2"/>
    </w:rPr>
  </w:style>
  <w:style w:type="paragraph" w:customStyle="1" w:styleId="Bullet">
    <w:name w:val="Bullet"/>
    <w:basedOn w:val="Normal"/>
    <w:rsid w:val="00FF64AA"/>
    <w:pPr>
      <w:tabs>
        <w:tab w:val="left" w:pos="2160"/>
      </w:tabs>
      <w:spacing w:after="220"/>
      <w:ind w:left="2160" w:hanging="720"/>
    </w:pPr>
  </w:style>
  <w:style w:type="paragraph" w:customStyle="1" w:styleId="TableFormat">
    <w:name w:val="TableFormat"/>
    <w:basedOn w:val="Bullet"/>
    <w:rsid w:val="00FF64AA"/>
    <w:pPr>
      <w:tabs>
        <w:tab w:val="clear" w:pos="2160"/>
        <w:tab w:val="left" w:pos="5040"/>
      </w:tabs>
      <w:ind w:left="5040" w:hanging="3600"/>
    </w:pPr>
  </w:style>
  <w:style w:type="paragraph" w:customStyle="1" w:styleId="TOCTitle">
    <w:name w:val="TOC Title"/>
    <w:basedOn w:val="Normal"/>
    <w:rsid w:val="00FF64A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64AA"/>
    <w:pPr>
      <w:jc w:val="center"/>
    </w:pPr>
    <w:rPr>
      <w:rFonts w:ascii="Times New Roman Bold" w:hAnsi="Times New Roman Bold"/>
      <w:b/>
      <w:bCs/>
      <w:caps/>
      <w:szCs w:val="22"/>
    </w:rPr>
  </w:style>
  <w:style w:type="character" w:styleId="Hyperlink">
    <w:name w:val="Hyperlink"/>
    <w:rsid w:val="00FF64AA"/>
    <w:rPr>
      <w:color w:val="0000FF"/>
      <w:u w:val="single"/>
    </w:rPr>
  </w:style>
  <w:style w:type="paragraph" w:styleId="BalloonText">
    <w:name w:val="Balloon Text"/>
    <w:basedOn w:val="Normal"/>
    <w:link w:val="BalloonTextChar"/>
    <w:rsid w:val="00FF64AA"/>
    <w:rPr>
      <w:rFonts w:ascii="Segoe UI" w:hAnsi="Segoe UI" w:cs="Segoe UI"/>
      <w:sz w:val="18"/>
      <w:szCs w:val="18"/>
    </w:rPr>
  </w:style>
  <w:style w:type="character" w:customStyle="1" w:styleId="BalloonTextChar">
    <w:name w:val="Balloon Text Char"/>
    <w:basedOn w:val="DefaultParagraphFont"/>
    <w:link w:val="BalloonText"/>
    <w:rsid w:val="00FF64AA"/>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F64AA"/>
    <w:rPr>
      <w:snapToGrid w:val="0"/>
      <w:kern w:val="28"/>
      <w:sz w:val="22"/>
    </w:rPr>
  </w:style>
  <w:style w:type="paragraph" w:styleId="ListParagraph">
    <w:name w:val="List Paragraph"/>
    <w:basedOn w:val="Normal"/>
    <w:uiPriority w:val="34"/>
    <w:qFormat/>
    <w:rsid w:val="000958C9"/>
    <w:pPr>
      <w:spacing w:after="200" w:line="276" w:lineRule="auto"/>
      <w:ind w:left="720"/>
      <w:contextualSpacing/>
    </w:pPr>
  </w:style>
  <w:style w:type="character" w:styleId="CommentReference">
    <w:name w:val="annotation reference"/>
    <w:basedOn w:val="DefaultParagraphFont"/>
    <w:uiPriority w:val="99"/>
    <w:unhideWhenUsed/>
    <w:rsid w:val="000958C9"/>
    <w:rPr>
      <w:sz w:val="16"/>
      <w:szCs w:val="16"/>
    </w:rPr>
  </w:style>
  <w:style w:type="paragraph" w:styleId="CommentText">
    <w:name w:val="annotation text"/>
    <w:basedOn w:val="Normal"/>
    <w:link w:val="CommentTextChar"/>
    <w:uiPriority w:val="99"/>
    <w:unhideWhenUsed/>
    <w:rsid w:val="000958C9"/>
    <w:pPr>
      <w:spacing w:after="200"/>
    </w:pPr>
    <w:rPr>
      <w:sz w:val="20"/>
    </w:rPr>
  </w:style>
  <w:style w:type="character" w:customStyle="1" w:styleId="CommentTextChar">
    <w:name w:val="Comment Text Char"/>
    <w:basedOn w:val="DefaultParagraphFont"/>
    <w:link w:val="CommentText"/>
    <w:uiPriority w:val="99"/>
    <w:rsid w:val="000958C9"/>
    <w:rPr>
      <w:snapToGrid w:val="0"/>
      <w:kern w:val="28"/>
    </w:rPr>
  </w:style>
  <w:style w:type="paragraph" w:styleId="TOCHeading">
    <w:name w:val="TOC Heading"/>
    <w:basedOn w:val="Heading1"/>
    <w:next w:val="Normal"/>
    <w:uiPriority w:val="39"/>
    <w:unhideWhenUsed/>
    <w:qFormat/>
    <w:rsid w:val="000958C9"/>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0958C9"/>
  </w:style>
  <w:style w:type="character" w:customStyle="1" w:styleId="ParaNumChar">
    <w:name w:val="ParaNum Char"/>
    <w:link w:val="ParaNum"/>
    <w:locked/>
    <w:rsid w:val="000958C9"/>
    <w:rPr>
      <w:snapToGrid w:val="0"/>
      <w:kern w:val="28"/>
      <w:sz w:val="22"/>
    </w:rPr>
  </w:style>
  <w:style w:type="paragraph" w:styleId="CommentSubject">
    <w:name w:val="annotation subject"/>
    <w:basedOn w:val="CommentText"/>
    <w:next w:val="CommentText"/>
    <w:link w:val="CommentSubjectChar"/>
    <w:uiPriority w:val="99"/>
    <w:rsid w:val="000958C9"/>
    <w:pPr>
      <w:spacing w:after="0"/>
    </w:pPr>
    <w:rPr>
      <w:b/>
      <w:bCs/>
      <w:snapToGrid/>
    </w:rPr>
  </w:style>
  <w:style w:type="character" w:customStyle="1" w:styleId="CommentSubjectChar">
    <w:name w:val="Comment Subject Char"/>
    <w:basedOn w:val="CommentTextChar"/>
    <w:link w:val="CommentSubject"/>
    <w:uiPriority w:val="99"/>
    <w:rsid w:val="000958C9"/>
    <w:rPr>
      <w:b/>
      <w:bCs/>
      <w:snapToGrid/>
      <w:kern w:val="28"/>
    </w:rPr>
  </w:style>
  <w:style w:type="character" w:customStyle="1" w:styleId="apple-converted-space">
    <w:name w:val="apple-converted-space"/>
    <w:rsid w:val="000958C9"/>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0958C9"/>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0958C9"/>
  </w:style>
  <w:style w:type="paragraph" w:customStyle="1" w:styleId="BulletCharChar">
    <w:name w:val="Bullet Char Char"/>
    <w:basedOn w:val="Normal"/>
    <w:link w:val="BulletCharCharChar"/>
    <w:rsid w:val="000958C9"/>
    <w:pPr>
      <w:tabs>
        <w:tab w:val="left" w:pos="2160"/>
      </w:tabs>
      <w:spacing w:after="220" w:line="276" w:lineRule="auto"/>
      <w:ind w:left="2160" w:hanging="720"/>
    </w:pPr>
  </w:style>
  <w:style w:type="character" w:customStyle="1" w:styleId="BulletCharCharChar">
    <w:name w:val="Bullet Char Char Char"/>
    <w:link w:val="BulletCharChar"/>
    <w:rsid w:val="000958C9"/>
    <w:rPr>
      <w:snapToGrid w:val="0"/>
      <w:kern w:val="28"/>
      <w:sz w:val="22"/>
    </w:rPr>
  </w:style>
  <w:style w:type="character" w:customStyle="1" w:styleId="footnote">
    <w:name w:val="footnote"/>
    <w:rsid w:val="000958C9"/>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0958C9"/>
    <w:rPr>
      <w:rFonts w:ascii="Times New Roman Bold" w:hAnsi="Times New Roman Bold"/>
      <w:b/>
      <w:caps/>
      <w:snapToGrid w:val="0"/>
      <w:kern w:val="28"/>
      <w:sz w:val="22"/>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0958C9"/>
  </w:style>
  <w:style w:type="paragraph" w:styleId="NormalWeb">
    <w:name w:val="Normal (Web)"/>
    <w:basedOn w:val="Normal"/>
    <w:uiPriority w:val="99"/>
    <w:unhideWhenUsed/>
    <w:rsid w:val="000958C9"/>
    <w:pPr>
      <w:spacing w:after="200" w:line="330" w:lineRule="atLeast"/>
      <w:textAlignment w:val="baseline"/>
    </w:pPr>
    <w:rPr>
      <w:snapToGrid/>
      <w:color w:val="000000"/>
      <w:sz w:val="20"/>
    </w:rPr>
  </w:style>
  <w:style w:type="character" w:customStyle="1" w:styleId="cohovertext">
    <w:name w:val="co_hovertext"/>
    <w:basedOn w:val="DefaultParagraphFont"/>
    <w:rsid w:val="000958C9"/>
  </w:style>
  <w:style w:type="character" w:customStyle="1" w:styleId="cosearchterm">
    <w:name w:val="co_searchterm"/>
    <w:basedOn w:val="DefaultParagraphFont"/>
    <w:rsid w:val="000958C9"/>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0958C9"/>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0958C9"/>
    <w:rPr>
      <w:b/>
      <w:snapToGrid w:val="0"/>
      <w:kern w:val="28"/>
      <w:sz w:val="22"/>
    </w:rPr>
  </w:style>
  <w:style w:type="character" w:styleId="FollowedHyperlink">
    <w:name w:val="FollowedHyperlink"/>
    <w:basedOn w:val="DefaultParagraphFont"/>
    <w:uiPriority w:val="99"/>
    <w:rsid w:val="000958C9"/>
    <w:rPr>
      <w:color w:val="954F72" w:themeColor="followedHyperlink"/>
      <w:u w:val="single"/>
    </w:rPr>
  </w:style>
  <w:style w:type="paragraph" w:styleId="Revision">
    <w:name w:val="Revision"/>
    <w:hidden/>
    <w:uiPriority w:val="99"/>
    <w:semiHidden/>
    <w:rsid w:val="000958C9"/>
    <w:rPr>
      <w:snapToGrid w:val="0"/>
      <w:kern w:val="28"/>
      <w:sz w:val="22"/>
      <w:szCs w:val="24"/>
    </w:rPr>
  </w:style>
  <w:style w:type="character" w:styleId="Emphasis">
    <w:name w:val="Emphasis"/>
    <w:basedOn w:val="DefaultParagraphFont"/>
    <w:qFormat/>
    <w:rsid w:val="000958C9"/>
    <w:rPr>
      <w:i/>
      <w:iC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C27465"/>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0958C9"/>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0958C9"/>
    <w:rPr>
      <w:b/>
      <w:snapToGrid w:val="0"/>
      <w:kern w:val="28"/>
      <w:sz w:val="22"/>
    </w:rPr>
  </w:style>
  <w:style w:type="character" w:customStyle="1" w:styleId="Heading7Char">
    <w:name w:val="Heading 7 Char"/>
    <w:basedOn w:val="DefaultParagraphFont"/>
    <w:link w:val="Heading7"/>
    <w:rsid w:val="000958C9"/>
    <w:rPr>
      <w:b/>
      <w:snapToGrid w:val="0"/>
      <w:kern w:val="28"/>
      <w:sz w:val="22"/>
    </w:rPr>
  </w:style>
  <w:style w:type="character" w:customStyle="1" w:styleId="Heading8Char">
    <w:name w:val="Heading 8 Char"/>
    <w:basedOn w:val="DefaultParagraphFont"/>
    <w:link w:val="Heading8"/>
    <w:rsid w:val="000958C9"/>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0958C9"/>
    <w:rPr>
      <w:b/>
      <w:snapToGrid w:val="0"/>
      <w:kern w:val="28"/>
      <w:sz w:val="22"/>
    </w:rPr>
  </w:style>
  <w:style w:type="character" w:styleId="Strong">
    <w:name w:val="Strong"/>
    <w:uiPriority w:val="22"/>
    <w:qFormat/>
    <w:rsid w:val="000958C9"/>
    <w:rPr>
      <w:b/>
    </w:rPr>
  </w:style>
  <w:style w:type="character" w:customStyle="1" w:styleId="a">
    <w:name w:val="_"/>
    <w:rsid w:val="000958C9"/>
    <w:rPr>
      <w:rFonts w:ascii="Times New Roman" w:hAnsi="Times New Roman"/>
      <w:sz w:val="24"/>
    </w:rPr>
  </w:style>
  <w:style w:type="paragraph" w:customStyle="1" w:styleId="12PtBullet">
    <w:name w:val="12PtBullet"/>
    <w:basedOn w:val="Normal"/>
    <w:rsid w:val="000958C9"/>
    <w:pPr>
      <w:tabs>
        <w:tab w:val="num" w:pos="720"/>
      </w:tabs>
      <w:ind w:left="720" w:hanging="720"/>
    </w:pPr>
    <w:rPr>
      <w:snapToGrid/>
      <w:sz w:val="24"/>
    </w:rPr>
  </w:style>
  <w:style w:type="character" w:customStyle="1" w:styleId="a0">
    <w:name w:val="a"/>
    <w:rsid w:val="000958C9"/>
    <w:rPr>
      <w:rFonts w:ascii="Times New Roman" w:hAnsi="Times New Roman" w:cs="Times New Roman" w:hint="default"/>
    </w:rPr>
  </w:style>
  <w:style w:type="character" w:customStyle="1" w:styleId="HeaderChar">
    <w:name w:val="Header Char"/>
    <w:basedOn w:val="DefaultParagraphFont"/>
    <w:link w:val="Header"/>
    <w:rsid w:val="005A1A4B"/>
    <w:rPr>
      <w:rFonts w:ascii="Arial" w:hAnsi="Arial" w:cs="Arial"/>
      <w:b/>
      <w:snapToGrid w:val="0"/>
      <w:kern w:val="28"/>
      <w:sz w:val="96"/>
    </w:rPr>
  </w:style>
  <w:style w:type="paragraph" w:customStyle="1" w:styleId="StyleHeading1Heading1Char2Heading1Char1CharHeading1Char">
    <w:name w:val="Style Heading 1Heading 1 Char2Heading 1 Char1 CharHeading 1 Char..."/>
    <w:basedOn w:val="Heading1"/>
    <w:rsid w:val="000958C9"/>
    <w:pPr>
      <w:numPr>
        <w:numId w:val="0"/>
      </w:numPr>
      <w:tabs>
        <w:tab w:val="left" w:pos="720"/>
      </w:tabs>
      <w:spacing w:after="0"/>
    </w:pPr>
    <w:rPr>
      <w:rFonts w:ascii="Times New Roman" w:hAnsi="Times New Roman"/>
      <w:bCs/>
    </w:rPr>
  </w:style>
  <w:style w:type="paragraph" w:customStyle="1" w:styleId="StyleParaNumFirstline0After0pt">
    <w:name w:val="Style ParaNum + First line:  0&quot; After:  0 pt"/>
    <w:basedOn w:val="ParaNum"/>
    <w:rsid w:val="000958C9"/>
    <w:pPr>
      <w:numPr>
        <w:numId w:val="0"/>
      </w:numPr>
      <w:tabs>
        <w:tab w:val="num" w:pos="360"/>
        <w:tab w:val="num" w:pos="1440"/>
      </w:tabs>
      <w:ind w:left="360"/>
    </w:pPr>
  </w:style>
  <w:style w:type="paragraph" w:customStyle="1" w:styleId="StyleParaNumJustifiedAfter0pt">
    <w:name w:val="Style ParaNum + Justified After:  0 pt"/>
    <w:basedOn w:val="ParaNum"/>
    <w:rsid w:val="000958C9"/>
    <w:pPr>
      <w:numPr>
        <w:numId w:val="0"/>
      </w:numPr>
      <w:tabs>
        <w:tab w:val="num" w:pos="360"/>
        <w:tab w:val="num" w:pos="1440"/>
      </w:tabs>
      <w:ind w:left="360" w:hanging="360"/>
      <w:jc w:val="both"/>
    </w:pPr>
  </w:style>
  <w:style w:type="table" w:styleId="TableGrid">
    <w:name w:val="Table Grid"/>
    <w:basedOn w:val="TableNormal"/>
    <w:uiPriority w:val="39"/>
    <w:rsid w:val="00464B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BB126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B1263"/>
    <w:rPr>
      <w:rFonts w:asciiTheme="minorHAnsi" w:eastAsiaTheme="minorEastAsia" w:hAnsiTheme="minorHAnsi" w:cstheme="minorBidi"/>
      <w:snapToGrid w:val="0"/>
      <w:color w:val="5A5A5A" w:themeColor="text1" w:themeTint="A5"/>
      <w:spacing w:val="15"/>
      <w:kern w:val="28"/>
      <w:sz w:val="22"/>
      <w:szCs w:val="22"/>
    </w:rPr>
  </w:style>
  <w:style w:type="character" w:customStyle="1" w:styleId="ptext-2">
    <w:name w:val="ptext-2"/>
    <w:basedOn w:val="DefaultParagraphFont"/>
    <w:rsid w:val="00062C97"/>
  </w:style>
  <w:style w:type="character" w:customStyle="1" w:styleId="ParaNumCharChar1">
    <w:name w:val="ParaNum Char Char1"/>
    <w:locked/>
    <w:rsid w:val="000946C2"/>
    <w:rPr>
      <w:snapToGrid w:val="0"/>
      <w:kern w:val="28"/>
      <w:sz w:val="22"/>
    </w:rPr>
  </w:style>
  <w:style w:type="paragraph" w:customStyle="1" w:styleId="xl63">
    <w:name w:val="xl63"/>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4">
    <w:name w:val="xl64"/>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5">
    <w:name w:val="xl65"/>
    <w:basedOn w:val="Normal"/>
    <w:rsid w:val="00A41A74"/>
    <w:pPr>
      <w:widowControl/>
      <w:pBdr>
        <w:top w:val="single" w:sz="4" w:space="0" w:color="auto"/>
        <w:left w:val="single" w:sz="4" w:space="0" w:color="auto"/>
        <w:bottom w:val="single" w:sz="4" w:space="0" w:color="auto"/>
      </w:pBdr>
      <w:spacing w:before="100" w:beforeAutospacing="1" w:after="100" w:afterAutospacing="1"/>
    </w:pPr>
    <w:rPr>
      <w:snapToGrid/>
      <w:kern w:val="0"/>
      <w:sz w:val="24"/>
      <w:szCs w:val="24"/>
    </w:rPr>
  </w:style>
  <w:style w:type="paragraph" w:customStyle="1" w:styleId="xl66">
    <w:name w:val="xl66"/>
    <w:basedOn w:val="Normal"/>
    <w:rsid w:val="00A41A74"/>
    <w:pPr>
      <w:widowControl/>
      <w:pBdr>
        <w:top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67">
    <w:name w:val="xl67"/>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8">
    <w:name w:val="xl68"/>
    <w:basedOn w:val="Normal"/>
    <w:rsid w:val="00A41A74"/>
    <w:pPr>
      <w:widowControl/>
      <w:pBdr>
        <w:top w:val="single" w:sz="4" w:space="0" w:color="auto"/>
        <w:left w:val="single" w:sz="4" w:space="0" w:color="auto"/>
        <w:bottom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A41A74"/>
    <w:pPr>
      <w:widowControl/>
      <w:pBdr>
        <w:top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0">
    <w:name w:val="xl70"/>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1">
    <w:name w:val="xl71"/>
    <w:basedOn w:val="Normal"/>
    <w:rsid w:val="00A41A74"/>
    <w:pPr>
      <w:widowControl/>
      <w:pBdr>
        <w:top w:val="single" w:sz="4" w:space="0" w:color="auto"/>
        <w:left w:val="single" w:sz="4" w:space="0" w:color="auto"/>
        <w:bottom w:val="single" w:sz="4" w:space="0" w:color="auto"/>
      </w:pBdr>
      <w:spacing w:before="100" w:beforeAutospacing="1" w:after="100" w:afterAutospacing="1"/>
      <w:jc w:val="center"/>
    </w:pPr>
    <w:rPr>
      <w:snapToGrid/>
      <w:kern w:val="0"/>
      <w:sz w:val="24"/>
      <w:szCs w:val="24"/>
    </w:rPr>
  </w:style>
  <w:style w:type="paragraph" w:customStyle="1" w:styleId="xl72">
    <w:name w:val="xl72"/>
    <w:basedOn w:val="Normal"/>
    <w:rsid w:val="00A41A74"/>
    <w:pPr>
      <w:widowControl/>
      <w:pBdr>
        <w:top w:val="single" w:sz="4" w:space="0" w:color="auto"/>
        <w:bottom w:val="single" w:sz="4" w:space="0" w:color="auto"/>
        <w:right w:val="single" w:sz="4" w:space="0" w:color="auto"/>
      </w:pBdr>
      <w:spacing w:before="100" w:beforeAutospacing="1" w:after="100" w:afterAutospacing="1"/>
      <w:jc w:val="center"/>
    </w:pPr>
    <w:rPr>
      <w:snapToGrid/>
      <w:kern w:val="0"/>
      <w:sz w:val="24"/>
      <w:szCs w:val="24"/>
    </w:rPr>
  </w:style>
  <w:style w:type="paragraph" w:customStyle="1" w:styleId="xl73">
    <w:name w:val="xl73"/>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4">
    <w:name w:val="xl74"/>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xl75">
    <w:name w:val="xl75"/>
    <w:basedOn w:val="Normal"/>
    <w:rsid w:val="00A41A74"/>
    <w:pPr>
      <w:widowControl/>
      <w:spacing w:before="100" w:beforeAutospacing="1" w:after="100" w:afterAutospacing="1"/>
      <w:textAlignment w:val="top"/>
    </w:pPr>
    <w:rPr>
      <w:snapToGrid/>
      <w:kern w:val="0"/>
      <w:sz w:val="24"/>
      <w:szCs w:val="24"/>
    </w:rPr>
  </w:style>
  <w:style w:type="paragraph" w:customStyle="1" w:styleId="xl76">
    <w:name w:val="xl76"/>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77">
    <w:name w:val="xl77"/>
    <w:basedOn w:val="Normal"/>
    <w:rsid w:val="00A41A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styleId="BodyText">
    <w:name w:val="Body Text"/>
    <w:basedOn w:val="Normal"/>
    <w:link w:val="BodyTextChar"/>
    <w:rsid w:val="00C33642"/>
    <w:pPr>
      <w:spacing w:after="120"/>
    </w:pPr>
  </w:style>
  <w:style w:type="character" w:customStyle="1" w:styleId="BodyTextChar">
    <w:name w:val="Body Text Char"/>
    <w:basedOn w:val="DefaultParagraphFont"/>
    <w:link w:val="BodyText"/>
    <w:rsid w:val="00C33642"/>
    <w:rPr>
      <w:snapToGrid w:val="0"/>
      <w:kern w:val="28"/>
      <w:sz w:val="22"/>
    </w:rPr>
  </w:style>
  <w:style w:type="paragraph" w:styleId="BodyTextFirstIndent">
    <w:name w:val="Body Text First Indent"/>
    <w:basedOn w:val="BodyText"/>
    <w:link w:val="BodyTextFirstIndentChar"/>
    <w:uiPriority w:val="99"/>
    <w:unhideWhenUsed/>
    <w:rsid w:val="00C33642"/>
    <w:pPr>
      <w:widowControl/>
      <w:snapToGrid w:val="0"/>
      <w:spacing w:after="160" w:line="256" w:lineRule="auto"/>
      <w:ind w:firstLine="360"/>
    </w:pPr>
    <w:rPr>
      <w:rFonts w:ascii="Cambria" w:eastAsia="MS Minngs" w:hAnsi="Cambria" w:cstheme="minorBidi"/>
      <w:snapToGrid/>
      <w:kern w:val="0"/>
      <w:szCs w:val="22"/>
      <w:lang w:eastAsia="ja-JP"/>
    </w:rPr>
  </w:style>
  <w:style w:type="character" w:customStyle="1" w:styleId="BodyTextFirstIndentChar">
    <w:name w:val="Body Text First Indent Char"/>
    <w:basedOn w:val="BodyTextChar"/>
    <w:link w:val="BodyTextFirstIndent"/>
    <w:uiPriority w:val="99"/>
    <w:rsid w:val="00C33642"/>
    <w:rPr>
      <w:rFonts w:ascii="Cambria" w:eastAsia="MS Minngs" w:hAnsi="Cambria" w:cstheme="minorBidi"/>
      <w:snapToGrid/>
      <w:kern w:val="28"/>
      <w:sz w:val="22"/>
      <w:szCs w:val="22"/>
      <w:lang w:eastAsia="ja-JP"/>
    </w:rPr>
  </w:style>
  <w:style w:type="paragraph" w:customStyle="1" w:styleId="AttachmentHeading2">
    <w:name w:val="Attachment Heading 2"/>
    <w:basedOn w:val="AttachmentHeading1"/>
    <w:next w:val="AttachmentHeading3"/>
    <w:uiPriority w:val="99"/>
    <w:qFormat/>
    <w:rsid w:val="00C33642"/>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qFormat/>
    <w:rsid w:val="00C33642"/>
    <w:pPr>
      <w:numPr>
        <w:numId w:val="35"/>
      </w:numPr>
      <w:snapToGrid w:val="0"/>
      <w:spacing w:after="240" w:line="480" w:lineRule="auto"/>
      <w:jc w:val="center"/>
      <w:outlineLvl w:val="0"/>
    </w:pPr>
    <w:rPr>
      <w:rFonts w:eastAsiaTheme="majorEastAsia"/>
      <w:b/>
      <w:bCs/>
      <w:kern w:val="28"/>
      <w:sz w:val="22"/>
      <w:szCs w:val="22"/>
    </w:rPr>
  </w:style>
  <w:style w:type="paragraph" w:customStyle="1" w:styleId="AttachmentHeading3">
    <w:name w:val="Attachment Heading 3"/>
    <w:basedOn w:val="AttachmentHeading2"/>
    <w:next w:val="Normal"/>
    <w:uiPriority w:val="99"/>
    <w:qFormat/>
    <w:rsid w:val="00C33642"/>
    <w:pPr>
      <w:keepNext/>
      <w:keepLines/>
      <w:numPr>
        <w:ilvl w:val="2"/>
      </w:numPr>
      <w:tabs>
        <w:tab w:val="num" w:pos="360"/>
        <w:tab w:val="left" w:pos="720"/>
      </w:tabs>
      <w:spacing w:before="240" w:line="240" w:lineRule="auto"/>
      <w:jc w:val="left"/>
      <w:outlineLvl w:val="2"/>
    </w:pPr>
  </w:style>
  <w:style w:type="paragraph" w:customStyle="1" w:styleId="AttachmentHeading4">
    <w:name w:val="Attachment Heading 4"/>
    <w:basedOn w:val="AttachmentHeading3"/>
    <w:next w:val="Normal"/>
    <w:link w:val="AttachmentHeading4Char"/>
    <w:uiPriority w:val="99"/>
    <w:qFormat/>
    <w:rsid w:val="00C33642"/>
    <w:pPr>
      <w:numPr>
        <w:ilvl w:val="3"/>
      </w:numPr>
      <w:tabs>
        <w:tab w:val="num" w:pos="360"/>
      </w:tabs>
      <w:outlineLvl w:val="3"/>
    </w:pPr>
  </w:style>
  <w:style w:type="character" w:customStyle="1" w:styleId="AttachmentHeading4Char">
    <w:name w:val="Attachment Heading 4 Char"/>
    <w:basedOn w:val="DefaultParagraphFont"/>
    <w:link w:val="AttachmentHeading4"/>
    <w:uiPriority w:val="99"/>
    <w:locked/>
    <w:rsid w:val="00C33642"/>
    <w:rPr>
      <w:rFonts w:ascii="Times New Roman Bold" w:eastAsiaTheme="majorEastAsia" w:hAnsi="Times New Roman Bold" w:cs="Times New Roman Bold"/>
      <w:b/>
      <w:bCs/>
      <w:kern w:val="28"/>
      <w:sz w:val="22"/>
      <w:szCs w:val="22"/>
    </w:rPr>
  </w:style>
  <w:style w:type="paragraph" w:customStyle="1" w:styleId="AttachmentHeading5">
    <w:name w:val="Attachment Heading 5"/>
    <w:basedOn w:val="AttachmentHeading4"/>
    <w:next w:val="Normal"/>
    <w:uiPriority w:val="99"/>
    <w:qFormat/>
    <w:rsid w:val="00C33642"/>
    <w:pPr>
      <w:numPr>
        <w:ilvl w:val="4"/>
      </w:numPr>
      <w:tabs>
        <w:tab w:val="num" w:pos="360"/>
      </w:tabs>
      <w:outlineLvl w:val="4"/>
    </w:pPr>
  </w:style>
  <w:style w:type="numbering" w:customStyle="1" w:styleId="AttachmentHeadings">
    <w:name w:val="Attachment Headings"/>
    <w:uiPriority w:val="99"/>
    <w:rsid w:val="00C3364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290">
      <w:bodyDiv w:val="1"/>
      <w:marLeft w:val="0"/>
      <w:marRight w:val="0"/>
      <w:marTop w:val="0"/>
      <w:marBottom w:val="0"/>
      <w:divBdr>
        <w:top w:val="none" w:sz="0" w:space="0" w:color="auto"/>
        <w:left w:val="none" w:sz="0" w:space="0" w:color="auto"/>
        <w:bottom w:val="none" w:sz="0" w:space="0" w:color="auto"/>
        <w:right w:val="none" w:sz="0" w:space="0" w:color="auto"/>
      </w:divBdr>
    </w:div>
    <w:div w:id="325086803">
      <w:bodyDiv w:val="1"/>
      <w:marLeft w:val="0"/>
      <w:marRight w:val="0"/>
      <w:marTop w:val="0"/>
      <w:marBottom w:val="0"/>
      <w:divBdr>
        <w:top w:val="none" w:sz="0" w:space="0" w:color="auto"/>
        <w:left w:val="none" w:sz="0" w:space="0" w:color="auto"/>
        <w:bottom w:val="none" w:sz="0" w:space="0" w:color="auto"/>
        <w:right w:val="none" w:sz="0" w:space="0" w:color="auto"/>
      </w:divBdr>
    </w:div>
    <w:div w:id="480804209">
      <w:bodyDiv w:val="1"/>
      <w:marLeft w:val="0"/>
      <w:marRight w:val="0"/>
      <w:marTop w:val="0"/>
      <w:marBottom w:val="0"/>
      <w:divBdr>
        <w:top w:val="none" w:sz="0" w:space="0" w:color="auto"/>
        <w:left w:val="none" w:sz="0" w:space="0" w:color="auto"/>
        <w:bottom w:val="none" w:sz="0" w:space="0" w:color="auto"/>
        <w:right w:val="none" w:sz="0" w:space="0" w:color="auto"/>
      </w:divBdr>
    </w:div>
    <w:div w:id="12724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2" TargetMode="External"/><Relationship Id="rId13" Type="http://schemas.openxmlformats.org/officeDocument/2006/relationships/hyperlink" Target="mailto:Valerie.Barrish@fcc.gov"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eslie.Barnes@fcc.gov"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ryn.Hinton@fcc.go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fcc.gov/auctions/1000" TargetMode="External"/><Relationship Id="rId23" Type="http://schemas.openxmlformats.org/officeDocument/2006/relationships/header" Target="header4.xml"/><Relationship Id="rId10" Type="http://schemas.openxmlformats.org/officeDocument/2006/relationships/hyperlink" Target="mailto:Erin.Griffith@fc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nda.Sanderson@fcc.gov" TargetMode="External"/><Relationship Id="rId14" Type="http://schemas.openxmlformats.org/officeDocument/2006/relationships/hyperlink" Target="mailto:Charles.Meisch@fcc.go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auctions/10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4669</Words>
  <Characters>23292</Characters>
  <Application>Microsoft Office Word</Application>
  <DocSecurity>0</DocSecurity>
  <Lines>2260</Lines>
  <Paragraphs>1731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26316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2015-12-14T18:42:00Z</cp:lastPrinted>
  <dcterms:created xsi:type="dcterms:W3CDTF">2015-12-21T20:06:00Z</dcterms:created>
  <dcterms:modified xsi:type="dcterms:W3CDTF">2015-12-21T20:06:00Z</dcterms:modified>
  <cp:category> </cp:category>
  <cp:contentStatus> </cp:contentStatus>
</cp:coreProperties>
</file>