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D7E6A" w14:textId="77777777" w:rsidR="002E3689" w:rsidRPr="00EA2CF6" w:rsidRDefault="002E3689" w:rsidP="00982FB5">
      <w:pPr>
        <w:widowControl/>
        <w:jc w:val="right"/>
        <w:rPr>
          <w:b/>
          <w:szCs w:val="22"/>
        </w:rPr>
      </w:pPr>
      <w:bookmarkStart w:id="0" w:name="_GoBack"/>
      <w:bookmarkEnd w:id="0"/>
    </w:p>
    <w:p w14:paraId="07718A41" w14:textId="502EEB68" w:rsidR="00A5565A" w:rsidRPr="005A392D" w:rsidRDefault="000006B4" w:rsidP="00A5565A">
      <w:pPr>
        <w:widowControl/>
        <w:jc w:val="right"/>
        <w:rPr>
          <w:b/>
          <w:snapToGrid/>
          <w:szCs w:val="22"/>
        </w:rPr>
      </w:pPr>
      <w:r w:rsidRPr="005A392D">
        <w:rPr>
          <w:b/>
          <w:szCs w:val="22"/>
        </w:rPr>
        <w:t>DA</w:t>
      </w:r>
      <w:r w:rsidR="00F65354">
        <w:rPr>
          <w:b/>
          <w:szCs w:val="22"/>
        </w:rPr>
        <w:t xml:space="preserve"> 15-1435</w:t>
      </w:r>
    </w:p>
    <w:p w14:paraId="29D18BD3" w14:textId="18CA2CA3" w:rsidR="00A5565A" w:rsidRPr="005A392D" w:rsidRDefault="000006B4" w:rsidP="00A5565A">
      <w:pPr>
        <w:widowControl/>
        <w:spacing w:before="60"/>
        <w:jc w:val="right"/>
        <w:rPr>
          <w:b/>
          <w:szCs w:val="22"/>
        </w:rPr>
      </w:pPr>
      <w:r w:rsidRPr="005A392D">
        <w:rPr>
          <w:b/>
          <w:szCs w:val="22"/>
        </w:rPr>
        <w:t>Released:</w:t>
      </w:r>
      <w:r w:rsidR="00F65354">
        <w:rPr>
          <w:b/>
          <w:szCs w:val="22"/>
        </w:rPr>
        <w:t xml:space="preserve"> December 17</w:t>
      </w:r>
      <w:r w:rsidR="003B3CC5">
        <w:rPr>
          <w:b/>
          <w:szCs w:val="22"/>
        </w:rPr>
        <w:t>, 2015</w:t>
      </w:r>
    </w:p>
    <w:p w14:paraId="66EDD792" w14:textId="77777777" w:rsidR="00A5565A" w:rsidRPr="005A392D" w:rsidRDefault="00A5565A" w:rsidP="00A5565A">
      <w:pPr>
        <w:widowControl/>
        <w:jc w:val="right"/>
        <w:rPr>
          <w:szCs w:val="22"/>
        </w:rPr>
      </w:pPr>
    </w:p>
    <w:p w14:paraId="4D73E58A" w14:textId="072A7AE3" w:rsidR="00A5565A" w:rsidRPr="005A392D" w:rsidRDefault="00A5565A" w:rsidP="00A5565A">
      <w:pPr>
        <w:widowControl/>
        <w:spacing w:after="240"/>
        <w:jc w:val="center"/>
        <w:rPr>
          <w:rFonts w:ascii="Times New Roman Bold" w:hAnsi="Times New Roman Bold"/>
          <w:b/>
          <w:caps/>
          <w:szCs w:val="22"/>
        </w:rPr>
      </w:pPr>
      <w:r w:rsidRPr="005A392D">
        <w:rPr>
          <w:b/>
          <w:szCs w:val="22"/>
        </w:rPr>
        <w:t xml:space="preserve">GUIDANCE REGARDING </w:t>
      </w:r>
      <w:r w:rsidR="000006B4" w:rsidRPr="005A392D">
        <w:rPr>
          <w:b/>
          <w:szCs w:val="22"/>
        </w:rPr>
        <w:t>LICENSE ASSIGNMENTS AND TRANSFERS OF CONTROL DURING THE REVERS</w:t>
      </w:r>
      <w:r w:rsidRPr="005A392D">
        <w:rPr>
          <w:b/>
          <w:szCs w:val="22"/>
        </w:rPr>
        <w:t>E AUCTION, AUCTION 100</w:t>
      </w:r>
      <w:r w:rsidR="000006B4" w:rsidRPr="005A392D">
        <w:rPr>
          <w:b/>
          <w:szCs w:val="22"/>
        </w:rPr>
        <w:t>1</w:t>
      </w:r>
    </w:p>
    <w:p w14:paraId="7239AF61" w14:textId="77777777" w:rsidR="00A5565A" w:rsidRPr="005A392D" w:rsidRDefault="00A5565A" w:rsidP="00A5565A">
      <w:pPr>
        <w:widowControl/>
        <w:jc w:val="center"/>
        <w:rPr>
          <w:b/>
          <w:szCs w:val="22"/>
        </w:rPr>
      </w:pPr>
      <w:r w:rsidRPr="005A392D">
        <w:rPr>
          <w:b/>
          <w:szCs w:val="22"/>
        </w:rPr>
        <w:t>AU Docket No. 14-252</w:t>
      </w:r>
    </w:p>
    <w:p w14:paraId="2A0A0AAF" w14:textId="77777777" w:rsidR="00A5565A" w:rsidRPr="005A392D" w:rsidRDefault="00A5565A" w:rsidP="00A5565A">
      <w:pPr>
        <w:widowControl/>
        <w:jc w:val="center"/>
        <w:rPr>
          <w:b/>
          <w:szCs w:val="22"/>
        </w:rPr>
      </w:pPr>
      <w:r w:rsidRPr="005A392D">
        <w:rPr>
          <w:b/>
          <w:szCs w:val="22"/>
        </w:rPr>
        <w:t>GN Docket No. 12-268</w:t>
      </w:r>
    </w:p>
    <w:p w14:paraId="46583BE8" w14:textId="793B3292" w:rsidR="00A5565A" w:rsidRPr="005A392D" w:rsidRDefault="00A5565A" w:rsidP="00774133">
      <w:pPr>
        <w:widowControl/>
        <w:jc w:val="center"/>
        <w:rPr>
          <w:b/>
          <w:szCs w:val="22"/>
        </w:rPr>
      </w:pPr>
      <w:r w:rsidRPr="005A392D">
        <w:rPr>
          <w:b/>
          <w:szCs w:val="22"/>
        </w:rPr>
        <w:t>WT Docket No. 12-269</w:t>
      </w:r>
    </w:p>
    <w:p w14:paraId="6F1004A5" w14:textId="77777777" w:rsidR="00774133" w:rsidRPr="005A392D" w:rsidRDefault="00774133" w:rsidP="00774133">
      <w:pPr>
        <w:widowControl/>
        <w:jc w:val="center"/>
        <w:rPr>
          <w:b/>
          <w:szCs w:val="22"/>
        </w:rPr>
      </w:pPr>
    </w:p>
    <w:p w14:paraId="548F26A6" w14:textId="77777777" w:rsidR="00774133" w:rsidRPr="005A392D" w:rsidRDefault="00774133" w:rsidP="00774133">
      <w:pPr>
        <w:widowControl/>
        <w:jc w:val="center"/>
        <w:rPr>
          <w:b/>
          <w:szCs w:val="22"/>
        </w:rPr>
      </w:pPr>
    </w:p>
    <w:p w14:paraId="12226154" w14:textId="7D2CDBA3" w:rsidR="00C71B8F" w:rsidRPr="005A392D" w:rsidRDefault="00D457F6" w:rsidP="002541B6">
      <w:pPr>
        <w:ind w:firstLine="720"/>
        <w:rPr>
          <w:szCs w:val="22"/>
        </w:rPr>
      </w:pPr>
      <w:r w:rsidRPr="005A392D">
        <w:rPr>
          <w:szCs w:val="22"/>
        </w:rPr>
        <w:t>1.</w:t>
      </w:r>
      <w:r w:rsidRPr="005A392D">
        <w:rPr>
          <w:szCs w:val="22"/>
        </w:rPr>
        <w:tab/>
      </w:r>
      <w:r w:rsidR="00BA4615" w:rsidRPr="005A392D">
        <w:rPr>
          <w:szCs w:val="22"/>
        </w:rPr>
        <w:t xml:space="preserve">This Public Notice provides guidance regarding </w:t>
      </w:r>
      <w:r w:rsidR="001055B1" w:rsidRPr="005A392D">
        <w:rPr>
          <w:szCs w:val="22"/>
        </w:rPr>
        <w:t xml:space="preserve">reverse </w:t>
      </w:r>
      <w:r w:rsidR="00F0350D" w:rsidRPr="005A392D">
        <w:rPr>
          <w:szCs w:val="22"/>
        </w:rPr>
        <w:t xml:space="preserve">auction participation by parties to </w:t>
      </w:r>
      <w:r w:rsidR="00C278EE" w:rsidRPr="005A392D">
        <w:rPr>
          <w:szCs w:val="22"/>
        </w:rPr>
        <w:t xml:space="preserve">pending </w:t>
      </w:r>
      <w:r w:rsidR="00F0350D" w:rsidRPr="005A392D">
        <w:rPr>
          <w:szCs w:val="22"/>
        </w:rPr>
        <w:t xml:space="preserve">transactions involving </w:t>
      </w:r>
      <w:r w:rsidR="001055B1" w:rsidRPr="005A392D">
        <w:rPr>
          <w:szCs w:val="22"/>
        </w:rPr>
        <w:t>broadcast television licenses</w:t>
      </w:r>
      <w:r w:rsidR="00BA4615" w:rsidRPr="005A392D">
        <w:rPr>
          <w:szCs w:val="22"/>
        </w:rPr>
        <w:t>.</w:t>
      </w:r>
      <w:r w:rsidR="007A7A34" w:rsidRPr="005A392D">
        <w:rPr>
          <w:szCs w:val="22"/>
        </w:rPr>
        <w:t xml:space="preserve"> </w:t>
      </w:r>
      <w:r w:rsidR="00CE7294" w:rsidRPr="005A392D">
        <w:rPr>
          <w:szCs w:val="22"/>
        </w:rPr>
        <w:t xml:space="preserve"> </w:t>
      </w:r>
      <w:r w:rsidR="00664FAD" w:rsidRPr="005A392D">
        <w:rPr>
          <w:szCs w:val="22"/>
        </w:rPr>
        <w:t xml:space="preserve">In the </w:t>
      </w:r>
      <w:r w:rsidR="00664FAD" w:rsidRPr="005A392D">
        <w:rPr>
          <w:i/>
          <w:szCs w:val="22"/>
        </w:rPr>
        <w:t>Auction 1000 Prohibited Communications PN</w:t>
      </w:r>
      <w:r w:rsidR="00664FAD" w:rsidRPr="005A392D">
        <w:rPr>
          <w:szCs w:val="22"/>
        </w:rPr>
        <w:t>,</w:t>
      </w:r>
      <w:r w:rsidR="00BA4615" w:rsidRPr="005A392D">
        <w:rPr>
          <w:rStyle w:val="FootnoteReference"/>
          <w:sz w:val="22"/>
          <w:szCs w:val="22"/>
        </w:rPr>
        <w:footnoteReference w:id="2"/>
      </w:r>
      <w:r w:rsidR="00664FAD" w:rsidRPr="005A392D">
        <w:rPr>
          <w:szCs w:val="22"/>
        </w:rPr>
        <w:t xml:space="preserve"> </w:t>
      </w:r>
      <w:r w:rsidR="00292B9A" w:rsidRPr="005A392D">
        <w:rPr>
          <w:szCs w:val="22"/>
        </w:rPr>
        <w:t xml:space="preserve">the Wireless Telecommunications Bureau </w:t>
      </w:r>
      <w:r w:rsidR="00664FAD" w:rsidRPr="005A392D">
        <w:rPr>
          <w:szCs w:val="22"/>
        </w:rPr>
        <w:t>waive</w:t>
      </w:r>
      <w:r w:rsidR="00292B9A" w:rsidRPr="005A392D">
        <w:rPr>
          <w:szCs w:val="22"/>
        </w:rPr>
        <w:t>d</w:t>
      </w:r>
      <w:r w:rsidR="0064695C" w:rsidRPr="005A392D">
        <w:rPr>
          <w:szCs w:val="22"/>
        </w:rPr>
        <w:t xml:space="preserve"> the bar </w:t>
      </w:r>
      <w:r w:rsidR="00664FAD" w:rsidRPr="005A392D">
        <w:rPr>
          <w:szCs w:val="22"/>
        </w:rPr>
        <w:t xml:space="preserve">on the assignment of </w:t>
      </w:r>
      <w:r w:rsidR="00147576" w:rsidRPr="005A392D">
        <w:rPr>
          <w:szCs w:val="22"/>
        </w:rPr>
        <w:t>a license</w:t>
      </w:r>
      <w:r w:rsidR="00664FAD" w:rsidRPr="005A392D">
        <w:rPr>
          <w:szCs w:val="22"/>
        </w:rPr>
        <w:t xml:space="preserve"> </w:t>
      </w:r>
      <w:r w:rsidRPr="005A392D">
        <w:rPr>
          <w:szCs w:val="22"/>
        </w:rPr>
        <w:t xml:space="preserve">in, </w:t>
      </w:r>
      <w:r w:rsidR="00664FAD" w:rsidRPr="005A392D">
        <w:rPr>
          <w:szCs w:val="22"/>
        </w:rPr>
        <w:t xml:space="preserve">or transfer of control of an applicant </w:t>
      </w:r>
      <w:r w:rsidRPr="005A392D">
        <w:rPr>
          <w:szCs w:val="22"/>
        </w:rPr>
        <w:t xml:space="preserve">for, </w:t>
      </w:r>
      <w:r w:rsidR="00664FAD" w:rsidRPr="005A392D">
        <w:rPr>
          <w:szCs w:val="22"/>
        </w:rPr>
        <w:t xml:space="preserve">the reverse auction, provided that </w:t>
      </w:r>
      <w:r w:rsidR="003B3CC5" w:rsidRPr="005A392D">
        <w:rPr>
          <w:szCs w:val="22"/>
        </w:rPr>
        <w:t xml:space="preserve">(1) </w:t>
      </w:r>
      <w:r w:rsidR="00664FAD" w:rsidRPr="005A392D">
        <w:rPr>
          <w:szCs w:val="22"/>
        </w:rPr>
        <w:t>the assignment or t</w:t>
      </w:r>
      <w:r w:rsidR="003611DB" w:rsidRPr="005A392D">
        <w:rPr>
          <w:szCs w:val="22"/>
        </w:rPr>
        <w:t xml:space="preserve">ransfer application </w:t>
      </w:r>
      <w:r w:rsidR="00D470F4">
        <w:rPr>
          <w:szCs w:val="22"/>
        </w:rPr>
        <w:t>has been</w:t>
      </w:r>
      <w:r w:rsidR="00664FAD" w:rsidRPr="005A392D">
        <w:rPr>
          <w:szCs w:val="22"/>
        </w:rPr>
        <w:t xml:space="preserve"> accepte</w:t>
      </w:r>
      <w:r w:rsidR="003611DB" w:rsidRPr="005A392D">
        <w:rPr>
          <w:szCs w:val="22"/>
        </w:rPr>
        <w:t>d for filing</w:t>
      </w:r>
      <w:r w:rsidR="00664FAD" w:rsidRPr="005A392D">
        <w:rPr>
          <w:szCs w:val="22"/>
        </w:rPr>
        <w:t xml:space="preserve"> as of </w:t>
      </w:r>
      <w:r w:rsidR="0064695C" w:rsidRPr="005A392D">
        <w:rPr>
          <w:szCs w:val="22"/>
        </w:rPr>
        <w:t>January 1</w:t>
      </w:r>
      <w:r w:rsidR="00C84F60" w:rsidRPr="005A392D">
        <w:rPr>
          <w:szCs w:val="22"/>
        </w:rPr>
        <w:t>2</w:t>
      </w:r>
      <w:r w:rsidR="0064695C" w:rsidRPr="005A392D">
        <w:rPr>
          <w:szCs w:val="22"/>
        </w:rPr>
        <w:t xml:space="preserve">, 2016, </w:t>
      </w:r>
      <w:r w:rsidR="00664FAD" w:rsidRPr="005A392D">
        <w:rPr>
          <w:szCs w:val="22"/>
        </w:rPr>
        <w:t xml:space="preserve">the </w:t>
      </w:r>
      <w:r w:rsidR="003611DB" w:rsidRPr="005A392D">
        <w:rPr>
          <w:szCs w:val="22"/>
        </w:rPr>
        <w:t xml:space="preserve">reverse auction application filing deadline, and (2) the assignee or transferee agrees </w:t>
      </w:r>
      <w:r w:rsidR="00664FAD" w:rsidRPr="005A392D">
        <w:rPr>
          <w:szCs w:val="22"/>
        </w:rPr>
        <w:t xml:space="preserve">to be bound by the original applicant’s actions in the auction with respect to the </w:t>
      </w:r>
      <w:r w:rsidR="00664FAD" w:rsidRPr="005A392D">
        <w:rPr>
          <w:rFonts w:eastAsia="Cambria"/>
          <w:szCs w:val="22"/>
        </w:rPr>
        <w:t>license(s)</w:t>
      </w:r>
      <w:r w:rsidR="00664FAD" w:rsidRPr="005A392D">
        <w:rPr>
          <w:szCs w:val="22"/>
        </w:rPr>
        <w:t>.</w:t>
      </w:r>
      <w:r w:rsidR="00BA4615" w:rsidRPr="005A392D">
        <w:rPr>
          <w:szCs w:val="22"/>
        </w:rPr>
        <w:t xml:space="preserve">  </w:t>
      </w:r>
      <w:r w:rsidR="007E1B03" w:rsidRPr="005A392D">
        <w:rPr>
          <w:szCs w:val="22"/>
        </w:rPr>
        <w:t>Thus, subject to these two requirements</w:t>
      </w:r>
      <w:r w:rsidR="008D0CE9" w:rsidRPr="005A392D">
        <w:rPr>
          <w:szCs w:val="22"/>
        </w:rPr>
        <w:t xml:space="preserve"> and Commission approval</w:t>
      </w:r>
      <w:r w:rsidR="007E1B03" w:rsidRPr="005A392D">
        <w:rPr>
          <w:szCs w:val="22"/>
        </w:rPr>
        <w:t>,</w:t>
      </w:r>
      <w:r w:rsidR="001055B1" w:rsidRPr="005A392D">
        <w:rPr>
          <w:szCs w:val="22"/>
        </w:rPr>
        <w:t xml:space="preserve"> </w:t>
      </w:r>
      <w:r w:rsidR="00BA4615" w:rsidRPr="005A392D">
        <w:rPr>
          <w:szCs w:val="22"/>
        </w:rPr>
        <w:t xml:space="preserve">assignments and transfers involving </w:t>
      </w:r>
      <w:r w:rsidR="00703925" w:rsidRPr="005A392D">
        <w:rPr>
          <w:szCs w:val="22"/>
        </w:rPr>
        <w:t xml:space="preserve">participating </w:t>
      </w:r>
      <w:r w:rsidR="00BA4615" w:rsidRPr="005A392D">
        <w:rPr>
          <w:szCs w:val="22"/>
        </w:rPr>
        <w:t xml:space="preserve">licensees </w:t>
      </w:r>
      <w:r w:rsidR="00C278EE" w:rsidRPr="005A392D">
        <w:rPr>
          <w:szCs w:val="22"/>
        </w:rPr>
        <w:t xml:space="preserve">may </w:t>
      </w:r>
      <w:r w:rsidRPr="005A392D">
        <w:rPr>
          <w:szCs w:val="22"/>
        </w:rPr>
        <w:t>be consummated</w:t>
      </w:r>
      <w:r w:rsidR="00C278EE" w:rsidRPr="005A392D">
        <w:rPr>
          <w:szCs w:val="22"/>
        </w:rPr>
        <w:t xml:space="preserve"> </w:t>
      </w:r>
      <w:r w:rsidR="000E3D82" w:rsidRPr="005A392D">
        <w:rPr>
          <w:szCs w:val="22"/>
        </w:rPr>
        <w:t>during</w:t>
      </w:r>
      <w:r w:rsidR="00C278EE" w:rsidRPr="005A392D">
        <w:rPr>
          <w:szCs w:val="22"/>
        </w:rPr>
        <w:t xml:space="preserve"> the </w:t>
      </w:r>
      <w:r w:rsidR="00155F3B" w:rsidRPr="005A392D">
        <w:rPr>
          <w:szCs w:val="22"/>
        </w:rPr>
        <w:t xml:space="preserve">reverse </w:t>
      </w:r>
      <w:r w:rsidR="000E3D82" w:rsidRPr="005A392D">
        <w:rPr>
          <w:szCs w:val="22"/>
        </w:rPr>
        <w:t>auction</w:t>
      </w:r>
      <w:r w:rsidR="00BA4615" w:rsidRPr="005A392D">
        <w:rPr>
          <w:szCs w:val="22"/>
        </w:rPr>
        <w:t>.</w:t>
      </w:r>
      <w:r w:rsidR="00246607" w:rsidRPr="005A392D">
        <w:rPr>
          <w:szCs w:val="22"/>
        </w:rPr>
        <w:t xml:space="preserve">  </w:t>
      </w:r>
    </w:p>
    <w:p w14:paraId="3434F487" w14:textId="77777777" w:rsidR="00C71B8F" w:rsidRPr="005A392D" w:rsidRDefault="00C71B8F" w:rsidP="00C71B8F">
      <w:pPr>
        <w:rPr>
          <w:szCs w:val="22"/>
        </w:rPr>
      </w:pPr>
    </w:p>
    <w:p w14:paraId="7017DF4E" w14:textId="4FB0B34B" w:rsidR="002124E9" w:rsidRPr="002541B6" w:rsidRDefault="00D457F6" w:rsidP="002541B6">
      <w:pPr>
        <w:ind w:firstLine="720"/>
        <w:rPr>
          <w:snapToGrid/>
          <w:kern w:val="0"/>
          <w:szCs w:val="20"/>
        </w:rPr>
      </w:pPr>
      <w:r w:rsidRPr="005A392D">
        <w:rPr>
          <w:szCs w:val="22"/>
        </w:rPr>
        <w:t>2.</w:t>
      </w:r>
      <w:r w:rsidRPr="005A392D">
        <w:rPr>
          <w:szCs w:val="22"/>
        </w:rPr>
        <w:tab/>
      </w:r>
      <w:r w:rsidR="00E02A3E" w:rsidRPr="005A392D">
        <w:rPr>
          <w:szCs w:val="22"/>
        </w:rPr>
        <w:t>Reverse auction participants will utilize the FCC Registration Number (FRN) and related password associated with a station to access the application and bidding systems (collectively, the Auction System)</w:t>
      </w:r>
      <w:r w:rsidR="00A51B69" w:rsidRPr="005A392D">
        <w:rPr>
          <w:szCs w:val="22"/>
        </w:rPr>
        <w:t xml:space="preserve"> with respect to that station</w:t>
      </w:r>
      <w:r w:rsidR="00E02A3E" w:rsidRPr="005A392D">
        <w:rPr>
          <w:szCs w:val="22"/>
        </w:rPr>
        <w:t>.</w:t>
      </w:r>
      <w:r w:rsidR="00E02A3E" w:rsidRPr="005A392D">
        <w:rPr>
          <w:rStyle w:val="FootnoteReference"/>
          <w:sz w:val="22"/>
          <w:szCs w:val="22"/>
        </w:rPr>
        <w:footnoteReference w:id="3"/>
      </w:r>
      <w:r w:rsidR="00E02A3E" w:rsidRPr="005A392D">
        <w:rPr>
          <w:szCs w:val="22"/>
        </w:rPr>
        <w:t xml:space="preserve">  </w:t>
      </w:r>
      <w:r w:rsidR="00BA1865" w:rsidRPr="005A392D">
        <w:rPr>
          <w:szCs w:val="22"/>
        </w:rPr>
        <w:t>In order to ensure stable FRN data for the reverse auction</w:t>
      </w:r>
      <w:r w:rsidR="00E02A3E" w:rsidRPr="005A392D">
        <w:rPr>
          <w:szCs w:val="22"/>
        </w:rPr>
        <w:t xml:space="preserve">, </w:t>
      </w:r>
      <w:r w:rsidR="00BA1865" w:rsidRPr="005A392D">
        <w:rPr>
          <w:szCs w:val="22"/>
        </w:rPr>
        <w:t>we have frozen the FRN data in the Auction System as of December 8, 2015, the opening date for the reverse auction filing window.</w:t>
      </w:r>
      <w:r w:rsidR="00BA1865" w:rsidRPr="005A392D">
        <w:rPr>
          <w:rStyle w:val="FootnoteReference"/>
          <w:sz w:val="22"/>
          <w:szCs w:val="22"/>
        </w:rPr>
        <w:footnoteReference w:id="4"/>
      </w:r>
      <w:r w:rsidR="00BA1865" w:rsidRPr="005A392D">
        <w:rPr>
          <w:szCs w:val="22"/>
        </w:rPr>
        <w:t xml:space="preserve">  </w:t>
      </w:r>
      <w:r w:rsidR="006143C1" w:rsidRPr="005A392D">
        <w:rPr>
          <w:szCs w:val="22"/>
        </w:rPr>
        <w:t>An assignee</w:t>
      </w:r>
      <w:r w:rsidR="00C84F60" w:rsidRPr="005A392D">
        <w:rPr>
          <w:szCs w:val="22"/>
        </w:rPr>
        <w:t>/</w:t>
      </w:r>
      <w:r w:rsidR="006143C1" w:rsidRPr="005A392D">
        <w:rPr>
          <w:szCs w:val="22"/>
        </w:rPr>
        <w:t xml:space="preserve">transferee in a </w:t>
      </w:r>
      <w:r w:rsidR="00793DE8">
        <w:rPr>
          <w:szCs w:val="22"/>
        </w:rPr>
        <w:t xml:space="preserve">pending </w:t>
      </w:r>
      <w:r w:rsidR="00C278EE" w:rsidRPr="005A392D">
        <w:rPr>
          <w:szCs w:val="22"/>
        </w:rPr>
        <w:t xml:space="preserve">transaction that </w:t>
      </w:r>
      <w:r w:rsidR="006143C1" w:rsidRPr="005A392D">
        <w:rPr>
          <w:szCs w:val="22"/>
        </w:rPr>
        <w:t>is approved</w:t>
      </w:r>
      <w:r w:rsidR="00C278EE" w:rsidRPr="005A392D">
        <w:rPr>
          <w:szCs w:val="22"/>
        </w:rPr>
        <w:t xml:space="preserve"> and consummated </w:t>
      </w:r>
      <w:r w:rsidR="00A90ABA" w:rsidRPr="005A392D">
        <w:rPr>
          <w:szCs w:val="22"/>
        </w:rPr>
        <w:t xml:space="preserve">from </w:t>
      </w:r>
      <w:r w:rsidR="002F4E2F">
        <w:rPr>
          <w:szCs w:val="22"/>
        </w:rPr>
        <w:t>December 8, 2015</w:t>
      </w:r>
      <w:r w:rsidR="00AA58EE">
        <w:rPr>
          <w:szCs w:val="22"/>
        </w:rPr>
        <w:t>,</w:t>
      </w:r>
      <w:r w:rsidR="002F4E2F" w:rsidRPr="005A392D">
        <w:rPr>
          <w:szCs w:val="22"/>
        </w:rPr>
        <w:t xml:space="preserve"> </w:t>
      </w:r>
      <w:r w:rsidR="00A90ABA" w:rsidRPr="005A392D">
        <w:rPr>
          <w:szCs w:val="22"/>
        </w:rPr>
        <w:t>through the completion of</w:t>
      </w:r>
      <w:r w:rsidR="00C278EE" w:rsidRPr="005A392D">
        <w:rPr>
          <w:szCs w:val="22"/>
        </w:rPr>
        <w:t xml:space="preserve"> the auction will </w:t>
      </w:r>
      <w:r w:rsidR="006143C1" w:rsidRPr="005A392D">
        <w:rPr>
          <w:szCs w:val="22"/>
        </w:rPr>
        <w:t xml:space="preserve">therefore </w:t>
      </w:r>
      <w:r w:rsidR="00C278EE" w:rsidRPr="005A392D">
        <w:rPr>
          <w:szCs w:val="22"/>
        </w:rPr>
        <w:t xml:space="preserve">have </w:t>
      </w:r>
      <w:r w:rsidR="00F769B5">
        <w:rPr>
          <w:szCs w:val="22"/>
        </w:rPr>
        <w:t xml:space="preserve">two </w:t>
      </w:r>
      <w:r w:rsidR="00C278EE" w:rsidRPr="005A392D">
        <w:rPr>
          <w:szCs w:val="22"/>
        </w:rPr>
        <w:t xml:space="preserve">options </w:t>
      </w:r>
      <w:r w:rsidR="006143C1" w:rsidRPr="005A392D">
        <w:rPr>
          <w:szCs w:val="22"/>
        </w:rPr>
        <w:t>if it wishes to bid to relinquish the spectrum usage rights of a station covered by such a transaction.</w:t>
      </w:r>
      <w:r w:rsidR="00C278EE" w:rsidRPr="005A392D">
        <w:rPr>
          <w:szCs w:val="22"/>
        </w:rPr>
        <w:t xml:space="preserve">  First, </w:t>
      </w:r>
      <w:r w:rsidR="00C84F60" w:rsidRPr="005A392D">
        <w:rPr>
          <w:szCs w:val="22"/>
        </w:rPr>
        <w:t>it may contractually designate</w:t>
      </w:r>
      <w:r w:rsidR="00601F8F" w:rsidRPr="005A392D">
        <w:rPr>
          <w:szCs w:val="22"/>
        </w:rPr>
        <w:t xml:space="preserve"> </w:t>
      </w:r>
      <w:r w:rsidR="00C278EE" w:rsidRPr="005A392D">
        <w:rPr>
          <w:szCs w:val="22"/>
        </w:rPr>
        <w:t xml:space="preserve">the </w:t>
      </w:r>
      <w:r w:rsidR="00C84F60" w:rsidRPr="005A392D">
        <w:rPr>
          <w:szCs w:val="22"/>
        </w:rPr>
        <w:t>assignor/transferor</w:t>
      </w:r>
      <w:r w:rsidR="00601F8F" w:rsidRPr="005A392D">
        <w:rPr>
          <w:szCs w:val="22"/>
        </w:rPr>
        <w:t xml:space="preserve"> </w:t>
      </w:r>
      <w:r w:rsidR="00C84F60" w:rsidRPr="005A392D">
        <w:rPr>
          <w:szCs w:val="22"/>
        </w:rPr>
        <w:t>as</w:t>
      </w:r>
      <w:r w:rsidR="00C278EE" w:rsidRPr="005A392D">
        <w:rPr>
          <w:szCs w:val="22"/>
        </w:rPr>
        <w:t xml:space="preserve"> </w:t>
      </w:r>
      <w:r w:rsidR="00601F8F" w:rsidRPr="005A392D">
        <w:rPr>
          <w:szCs w:val="22"/>
        </w:rPr>
        <w:t>its</w:t>
      </w:r>
      <w:r w:rsidR="00C278EE" w:rsidRPr="005A392D">
        <w:rPr>
          <w:szCs w:val="22"/>
        </w:rPr>
        <w:t xml:space="preserve"> </w:t>
      </w:r>
      <w:r w:rsidR="007F452A" w:rsidRPr="005A392D">
        <w:rPr>
          <w:szCs w:val="22"/>
        </w:rPr>
        <w:t xml:space="preserve">bidding agent </w:t>
      </w:r>
      <w:r w:rsidR="00601F8F" w:rsidRPr="005A392D">
        <w:rPr>
          <w:szCs w:val="22"/>
        </w:rPr>
        <w:t xml:space="preserve">with respect to the </w:t>
      </w:r>
      <w:r w:rsidR="00503616" w:rsidRPr="005A392D">
        <w:rPr>
          <w:szCs w:val="22"/>
        </w:rPr>
        <w:t>covered</w:t>
      </w:r>
      <w:r w:rsidR="00601F8F" w:rsidRPr="005A392D">
        <w:rPr>
          <w:szCs w:val="22"/>
        </w:rPr>
        <w:t xml:space="preserve"> stations.</w:t>
      </w:r>
      <w:r w:rsidR="00D71470" w:rsidRPr="002541B6">
        <w:rPr>
          <w:rStyle w:val="FootnoteReference"/>
          <w:sz w:val="22"/>
          <w:szCs w:val="22"/>
        </w:rPr>
        <w:footnoteReference w:id="5"/>
      </w:r>
      <w:r w:rsidR="00FA0D99">
        <w:rPr>
          <w:szCs w:val="22"/>
        </w:rPr>
        <w:t xml:space="preserve">  </w:t>
      </w:r>
      <w:r w:rsidR="00C278EE" w:rsidRPr="005A392D">
        <w:rPr>
          <w:szCs w:val="22"/>
        </w:rPr>
        <w:t>Second, the parties</w:t>
      </w:r>
      <w:r w:rsidR="00A6619D" w:rsidRPr="005A392D">
        <w:rPr>
          <w:szCs w:val="22"/>
        </w:rPr>
        <w:t xml:space="preserve"> to the transaction</w:t>
      </w:r>
      <w:r w:rsidR="00C278EE" w:rsidRPr="005A392D">
        <w:rPr>
          <w:szCs w:val="22"/>
        </w:rPr>
        <w:t xml:space="preserve"> may agree</w:t>
      </w:r>
      <w:r w:rsidR="00365158" w:rsidRPr="005A392D">
        <w:rPr>
          <w:szCs w:val="22"/>
        </w:rPr>
        <w:t xml:space="preserve"> </w:t>
      </w:r>
      <w:r w:rsidR="00C278EE" w:rsidRPr="005A392D">
        <w:rPr>
          <w:szCs w:val="22"/>
        </w:rPr>
        <w:t xml:space="preserve">that the assignee/transferee will </w:t>
      </w:r>
      <w:r w:rsidR="00C278EE" w:rsidRPr="005A392D">
        <w:rPr>
          <w:szCs w:val="22"/>
        </w:rPr>
        <w:lastRenderedPageBreak/>
        <w:t xml:space="preserve">use the </w:t>
      </w:r>
      <w:r w:rsidR="00BA1865" w:rsidRPr="005A392D">
        <w:rPr>
          <w:szCs w:val="22"/>
        </w:rPr>
        <w:t xml:space="preserve">FRN </w:t>
      </w:r>
      <w:r w:rsidR="00365158" w:rsidRPr="005A392D">
        <w:rPr>
          <w:szCs w:val="22"/>
        </w:rPr>
        <w:t xml:space="preserve">and password </w:t>
      </w:r>
      <w:r w:rsidR="00BA1865" w:rsidRPr="005A392D">
        <w:rPr>
          <w:szCs w:val="22"/>
        </w:rPr>
        <w:t xml:space="preserve">associated with assigned or transferred stations </w:t>
      </w:r>
      <w:r w:rsidR="00E02A3E" w:rsidRPr="005A392D">
        <w:rPr>
          <w:szCs w:val="22"/>
        </w:rPr>
        <w:t>as of December 8, 2015</w:t>
      </w:r>
      <w:r w:rsidR="00300085" w:rsidRPr="005A392D">
        <w:rPr>
          <w:szCs w:val="22"/>
        </w:rPr>
        <w:t xml:space="preserve"> (the “auction FRN”)</w:t>
      </w:r>
      <w:r w:rsidR="00E02A3E" w:rsidRPr="005A392D">
        <w:rPr>
          <w:szCs w:val="22"/>
        </w:rPr>
        <w:t xml:space="preserve"> </w:t>
      </w:r>
      <w:r w:rsidR="00BA1865" w:rsidRPr="005A392D">
        <w:rPr>
          <w:szCs w:val="22"/>
        </w:rPr>
        <w:t xml:space="preserve">for purposes of </w:t>
      </w:r>
      <w:r w:rsidR="00E02A3E" w:rsidRPr="005A392D">
        <w:rPr>
          <w:szCs w:val="22"/>
        </w:rPr>
        <w:t xml:space="preserve">applying for and </w:t>
      </w:r>
      <w:r w:rsidR="00F904F4" w:rsidRPr="005A392D">
        <w:rPr>
          <w:szCs w:val="22"/>
        </w:rPr>
        <w:t xml:space="preserve">participating in the </w:t>
      </w:r>
      <w:r w:rsidR="00E02A3E" w:rsidRPr="005A392D">
        <w:rPr>
          <w:szCs w:val="22"/>
        </w:rPr>
        <w:t xml:space="preserve">reverse </w:t>
      </w:r>
      <w:r w:rsidR="00F904F4" w:rsidRPr="005A392D">
        <w:rPr>
          <w:szCs w:val="22"/>
        </w:rPr>
        <w:t>auction</w:t>
      </w:r>
      <w:r w:rsidR="00CE1453" w:rsidRPr="005A392D">
        <w:rPr>
          <w:szCs w:val="22"/>
        </w:rPr>
        <w:t xml:space="preserve"> with respect to the covered stations</w:t>
      </w:r>
      <w:r w:rsidR="00F904F4" w:rsidRPr="005A392D">
        <w:rPr>
          <w:szCs w:val="22"/>
        </w:rPr>
        <w:t>.</w:t>
      </w:r>
      <w:r w:rsidR="002124E9" w:rsidRPr="005A392D">
        <w:rPr>
          <w:rStyle w:val="FootnoteReference"/>
          <w:sz w:val="22"/>
          <w:szCs w:val="22"/>
        </w:rPr>
        <w:footnoteReference w:id="6"/>
      </w:r>
      <w:r w:rsidR="002124E9" w:rsidRPr="005A392D">
        <w:rPr>
          <w:szCs w:val="22"/>
        </w:rPr>
        <w:t xml:space="preserve">  </w:t>
      </w:r>
      <w:r w:rsidR="00C14A33" w:rsidRPr="005A392D">
        <w:t>The parties must elect one of these options prior to beginning of the prohibited communications period on January 12 and inform the Commission which option they have elected.</w:t>
      </w:r>
      <w:r w:rsidR="00D71470" w:rsidRPr="005A392D">
        <w:rPr>
          <w:szCs w:val="22"/>
        </w:rPr>
        <w:t xml:space="preserve"> </w:t>
      </w:r>
      <w:r w:rsidR="00AA58EE">
        <w:rPr>
          <w:szCs w:val="22"/>
        </w:rPr>
        <w:t xml:space="preserve"> Alternatively, the parties may wait until after the auction to seek approval </w:t>
      </w:r>
      <w:r w:rsidR="00793DE8">
        <w:rPr>
          <w:szCs w:val="22"/>
        </w:rPr>
        <w:t>and</w:t>
      </w:r>
      <w:r w:rsidR="00AA58EE">
        <w:rPr>
          <w:szCs w:val="22"/>
        </w:rPr>
        <w:t xml:space="preserve"> consummate the transaction.</w:t>
      </w:r>
    </w:p>
    <w:p w14:paraId="20108D17" w14:textId="77777777" w:rsidR="002124E9" w:rsidRPr="005A392D" w:rsidRDefault="002124E9" w:rsidP="00C71B8F">
      <w:pPr>
        <w:rPr>
          <w:szCs w:val="22"/>
        </w:rPr>
      </w:pPr>
    </w:p>
    <w:p w14:paraId="1A0BAF1A" w14:textId="4909824B" w:rsidR="00A90ABA" w:rsidRPr="005A392D" w:rsidRDefault="00D457F6" w:rsidP="00B97DE8">
      <w:pPr>
        <w:ind w:firstLine="720"/>
        <w:rPr>
          <w:szCs w:val="22"/>
        </w:rPr>
      </w:pPr>
      <w:r w:rsidRPr="005A392D">
        <w:rPr>
          <w:szCs w:val="22"/>
        </w:rPr>
        <w:t>3.</w:t>
      </w:r>
      <w:r w:rsidRPr="005A392D">
        <w:rPr>
          <w:szCs w:val="22"/>
        </w:rPr>
        <w:tab/>
      </w:r>
      <w:r w:rsidR="002124E9" w:rsidRPr="005A392D">
        <w:rPr>
          <w:szCs w:val="22"/>
        </w:rPr>
        <w:t>W</w:t>
      </w:r>
      <w:r w:rsidR="00CE1453" w:rsidRPr="005A392D">
        <w:rPr>
          <w:szCs w:val="22"/>
        </w:rPr>
        <w:t xml:space="preserve">ith regard to the second option, </w:t>
      </w:r>
      <w:r w:rsidR="002124E9" w:rsidRPr="005A392D">
        <w:rPr>
          <w:szCs w:val="22"/>
        </w:rPr>
        <w:t xml:space="preserve">the auction </w:t>
      </w:r>
      <w:r w:rsidR="00A23F14" w:rsidRPr="005A392D">
        <w:rPr>
          <w:szCs w:val="22"/>
        </w:rPr>
        <w:t xml:space="preserve">FRN </w:t>
      </w:r>
      <w:r w:rsidR="00A90ABA" w:rsidRPr="005A392D">
        <w:rPr>
          <w:szCs w:val="22"/>
        </w:rPr>
        <w:t xml:space="preserve">and password </w:t>
      </w:r>
      <w:r w:rsidR="002124E9" w:rsidRPr="005A392D">
        <w:rPr>
          <w:szCs w:val="22"/>
        </w:rPr>
        <w:t xml:space="preserve">will also </w:t>
      </w:r>
      <w:r w:rsidR="00A23F14" w:rsidRPr="005A392D">
        <w:rPr>
          <w:szCs w:val="22"/>
        </w:rPr>
        <w:t>provi</w:t>
      </w:r>
      <w:r w:rsidR="00A90ABA" w:rsidRPr="005A392D">
        <w:rPr>
          <w:szCs w:val="22"/>
        </w:rPr>
        <w:t xml:space="preserve">de </w:t>
      </w:r>
      <w:r w:rsidR="00A23F14" w:rsidRPr="005A392D">
        <w:rPr>
          <w:szCs w:val="22"/>
        </w:rPr>
        <w:t xml:space="preserve">access </w:t>
      </w:r>
      <w:r w:rsidR="00A23F14" w:rsidRPr="00140682">
        <w:rPr>
          <w:szCs w:val="22"/>
        </w:rPr>
        <w:t xml:space="preserve">to the </w:t>
      </w:r>
      <w:r w:rsidR="002124E9" w:rsidRPr="00140682">
        <w:rPr>
          <w:szCs w:val="22"/>
        </w:rPr>
        <w:t xml:space="preserve">assignor/transferor’s </w:t>
      </w:r>
      <w:r w:rsidR="00A23F14" w:rsidRPr="00140682">
        <w:rPr>
          <w:szCs w:val="22"/>
        </w:rPr>
        <w:t xml:space="preserve">data in Commission licensing </w:t>
      </w:r>
      <w:r w:rsidR="00FF4ABC" w:rsidRPr="00140682">
        <w:rPr>
          <w:szCs w:val="22"/>
        </w:rPr>
        <w:t xml:space="preserve">and other </w:t>
      </w:r>
      <w:r w:rsidR="00A23F14" w:rsidRPr="00140682">
        <w:rPr>
          <w:szCs w:val="22"/>
        </w:rPr>
        <w:t>systems associated with th</w:t>
      </w:r>
      <w:r w:rsidR="002124E9" w:rsidRPr="00140682">
        <w:rPr>
          <w:szCs w:val="22"/>
        </w:rPr>
        <w:t>at</w:t>
      </w:r>
      <w:r w:rsidR="00A23F14" w:rsidRPr="00140682">
        <w:rPr>
          <w:szCs w:val="22"/>
        </w:rPr>
        <w:t xml:space="preserve"> FRN</w:t>
      </w:r>
      <w:r w:rsidR="008353F1" w:rsidRPr="00140682">
        <w:rPr>
          <w:szCs w:val="22"/>
        </w:rPr>
        <w:t>.</w:t>
      </w:r>
      <w:r w:rsidR="00A23F14" w:rsidRPr="00140682">
        <w:rPr>
          <w:rStyle w:val="FootnoteReference"/>
          <w:sz w:val="22"/>
          <w:szCs w:val="22"/>
        </w:rPr>
        <w:footnoteReference w:id="7"/>
      </w:r>
      <w:r w:rsidR="00A23F14" w:rsidRPr="00140682">
        <w:rPr>
          <w:szCs w:val="22"/>
        </w:rPr>
        <w:t xml:space="preserve"> </w:t>
      </w:r>
      <w:r w:rsidR="008353F1" w:rsidRPr="00140682">
        <w:rPr>
          <w:szCs w:val="22"/>
        </w:rPr>
        <w:t xml:space="preserve">We note, however, that </w:t>
      </w:r>
      <w:r w:rsidR="00F769B5" w:rsidRPr="00140682">
        <w:rPr>
          <w:szCs w:val="22"/>
        </w:rPr>
        <w:t xml:space="preserve">the </w:t>
      </w:r>
      <w:r w:rsidR="008353F1" w:rsidRPr="00140682">
        <w:rPr>
          <w:szCs w:val="22"/>
        </w:rPr>
        <w:t>assignor/transferor</w:t>
      </w:r>
      <w:r w:rsidR="008353F1" w:rsidRPr="00140682">
        <w:t xml:space="preserve"> may obtain a new FRN and password for the stations that it retains in order to prevent </w:t>
      </w:r>
      <w:r w:rsidR="008F70AE" w:rsidRPr="00140682">
        <w:t xml:space="preserve">the assignee/transferee </w:t>
      </w:r>
      <w:r w:rsidR="008353F1" w:rsidRPr="00140682">
        <w:t>from accessing the information related to those stations in the FCC’s licensing and other non-auction systems</w:t>
      </w:r>
      <w:r w:rsidR="008353F1" w:rsidRPr="00140682">
        <w:rPr>
          <w:szCs w:val="22"/>
        </w:rPr>
        <w:t>.</w:t>
      </w:r>
      <w:r w:rsidR="008353F1">
        <w:rPr>
          <w:szCs w:val="22"/>
        </w:rPr>
        <w:t xml:space="preserve">  </w:t>
      </w:r>
      <w:r w:rsidR="002124E9" w:rsidRPr="005A392D">
        <w:rPr>
          <w:szCs w:val="22"/>
        </w:rPr>
        <w:t>Additionally, t</w:t>
      </w:r>
      <w:r w:rsidR="00A90ABA" w:rsidRPr="005A392D">
        <w:rPr>
          <w:szCs w:val="22"/>
        </w:rPr>
        <w:t xml:space="preserve">he </w:t>
      </w:r>
      <w:r w:rsidR="002124E9" w:rsidRPr="005A392D">
        <w:rPr>
          <w:szCs w:val="22"/>
        </w:rPr>
        <w:t xml:space="preserve">auction </w:t>
      </w:r>
      <w:r w:rsidR="00A90ABA" w:rsidRPr="005A392D">
        <w:rPr>
          <w:szCs w:val="22"/>
        </w:rPr>
        <w:t xml:space="preserve">FRN and password </w:t>
      </w:r>
      <w:r w:rsidR="002124E9" w:rsidRPr="005A392D">
        <w:rPr>
          <w:szCs w:val="22"/>
        </w:rPr>
        <w:t xml:space="preserve">will </w:t>
      </w:r>
      <w:r w:rsidR="00A90ABA" w:rsidRPr="005A392D">
        <w:rPr>
          <w:szCs w:val="22"/>
        </w:rPr>
        <w:t xml:space="preserve">provide access to the </w:t>
      </w:r>
      <w:r w:rsidR="002124E9" w:rsidRPr="005A392D">
        <w:rPr>
          <w:szCs w:val="22"/>
        </w:rPr>
        <w:t xml:space="preserve">assignor/transferor’s </w:t>
      </w:r>
      <w:r w:rsidR="00A90ABA" w:rsidRPr="005A392D">
        <w:rPr>
          <w:szCs w:val="22"/>
        </w:rPr>
        <w:t xml:space="preserve">bidding information for </w:t>
      </w:r>
      <w:r w:rsidR="002124E9" w:rsidRPr="005A392D">
        <w:rPr>
          <w:szCs w:val="22"/>
        </w:rPr>
        <w:t xml:space="preserve">any stations </w:t>
      </w:r>
      <w:r w:rsidR="00F3165C" w:rsidRPr="005A392D">
        <w:rPr>
          <w:szCs w:val="22"/>
        </w:rPr>
        <w:t>associated with the auction FRN</w:t>
      </w:r>
      <w:r w:rsidR="002124E9" w:rsidRPr="005A392D">
        <w:rPr>
          <w:szCs w:val="22"/>
        </w:rPr>
        <w:t>.</w:t>
      </w:r>
      <w:r w:rsidR="00A90ABA" w:rsidRPr="005A392D">
        <w:rPr>
          <w:szCs w:val="22"/>
        </w:rPr>
        <w:t xml:space="preserve">  Thus, if a</w:t>
      </w:r>
      <w:r w:rsidR="00A23F14" w:rsidRPr="005A392D">
        <w:rPr>
          <w:szCs w:val="22"/>
        </w:rPr>
        <w:t xml:space="preserve"> transaction involves some but not all of the licenses associated with the </w:t>
      </w:r>
      <w:r w:rsidR="00F3165C" w:rsidRPr="005A392D">
        <w:rPr>
          <w:szCs w:val="22"/>
        </w:rPr>
        <w:t xml:space="preserve">auction </w:t>
      </w:r>
      <w:r w:rsidR="00A23F14" w:rsidRPr="005A392D">
        <w:rPr>
          <w:szCs w:val="22"/>
        </w:rPr>
        <w:t xml:space="preserve">FRN, the assignee/transferee </w:t>
      </w:r>
      <w:r w:rsidR="0039329D">
        <w:rPr>
          <w:szCs w:val="22"/>
        </w:rPr>
        <w:t xml:space="preserve">and the assignor/transferor </w:t>
      </w:r>
      <w:r w:rsidR="00C450F5">
        <w:rPr>
          <w:szCs w:val="22"/>
        </w:rPr>
        <w:t>would both have</w:t>
      </w:r>
      <w:r w:rsidR="00A90ABA" w:rsidRPr="005A392D">
        <w:rPr>
          <w:szCs w:val="22"/>
        </w:rPr>
        <w:t xml:space="preserve"> </w:t>
      </w:r>
      <w:r w:rsidR="00A23F14" w:rsidRPr="005A392D">
        <w:rPr>
          <w:szCs w:val="22"/>
        </w:rPr>
        <w:t xml:space="preserve">access to the same bidding information regarding all of the licenses associated with </w:t>
      </w:r>
      <w:r w:rsidR="0039329D">
        <w:rPr>
          <w:szCs w:val="22"/>
        </w:rPr>
        <w:t>that</w:t>
      </w:r>
      <w:r w:rsidR="00A23F14" w:rsidRPr="005A392D">
        <w:rPr>
          <w:szCs w:val="22"/>
        </w:rPr>
        <w:t xml:space="preserve"> </w:t>
      </w:r>
      <w:r w:rsidR="00F3165C" w:rsidRPr="005A392D">
        <w:rPr>
          <w:szCs w:val="22"/>
        </w:rPr>
        <w:t xml:space="preserve">auction </w:t>
      </w:r>
      <w:r w:rsidR="00A23F14" w:rsidRPr="005A392D">
        <w:rPr>
          <w:szCs w:val="22"/>
        </w:rPr>
        <w:t>FRN</w:t>
      </w:r>
      <w:r w:rsidR="00365158" w:rsidRPr="005A392D">
        <w:rPr>
          <w:szCs w:val="22"/>
        </w:rPr>
        <w:t xml:space="preserve"> that are in the reverse auction</w:t>
      </w:r>
      <w:r w:rsidR="00A23F14" w:rsidRPr="005A392D">
        <w:rPr>
          <w:szCs w:val="22"/>
        </w:rPr>
        <w:t>.</w:t>
      </w:r>
      <w:r w:rsidR="00A23F14" w:rsidRPr="005A392D">
        <w:rPr>
          <w:rStyle w:val="FootnoteReference"/>
          <w:sz w:val="22"/>
          <w:szCs w:val="22"/>
        </w:rPr>
        <w:footnoteReference w:id="8"/>
      </w:r>
      <w:r w:rsidR="00A23F14" w:rsidRPr="005A392D">
        <w:rPr>
          <w:szCs w:val="22"/>
        </w:rPr>
        <w:t xml:space="preserve">  </w:t>
      </w:r>
    </w:p>
    <w:p w14:paraId="0F4E5E8F" w14:textId="77777777" w:rsidR="00A90ABA" w:rsidRPr="005A392D" w:rsidRDefault="00A90ABA" w:rsidP="00C71B8F">
      <w:pPr>
        <w:rPr>
          <w:szCs w:val="22"/>
        </w:rPr>
      </w:pPr>
    </w:p>
    <w:p w14:paraId="1772033A" w14:textId="48DB1279" w:rsidR="00A5565A" w:rsidRPr="002541B6" w:rsidRDefault="00D457F6" w:rsidP="002541B6">
      <w:pPr>
        <w:ind w:firstLine="720"/>
        <w:rPr>
          <w:szCs w:val="22"/>
        </w:rPr>
      </w:pPr>
      <w:r w:rsidRPr="005A392D">
        <w:rPr>
          <w:szCs w:val="22"/>
        </w:rPr>
        <w:t>4.</w:t>
      </w:r>
      <w:r w:rsidRPr="005A392D">
        <w:rPr>
          <w:szCs w:val="22"/>
        </w:rPr>
        <w:tab/>
      </w:r>
      <w:r w:rsidR="00483D90" w:rsidRPr="005A392D">
        <w:rPr>
          <w:szCs w:val="22"/>
        </w:rPr>
        <w:t>A</w:t>
      </w:r>
      <w:r w:rsidR="00F3165C" w:rsidRPr="005A392D">
        <w:rPr>
          <w:szCs w:val="22"/>
        </w:rPr>
        <w:t>pproval</w:t>
      </w:r>
      <w:r w:rsidR="006F4A8E" w:rsidRPr="005A392D">
        <w:rPr>
          <w:szCs w:val="22"/>
        </w:rPr>
        <w:t xml:space="preserve"> of any </w:t>
      </w:r>
      <w:r w:rsidR="007E1B03" w:rsidRPr="005A392D">
        <w:rPr>
          <w:szCs w:val="22"/>
        </w:rPr>
        <w:t xml:space="preserve">pending </w:t>
      </w:r>
      <w:r w:rsidR="006F4A8E" w:rsidRPr="005A392D">
        <w:rPr>
          <w:szCs w:val="22"/>
        </w:rPr>
        <w:t xml:space="preserve">transaction </w:t>
      </w:r>
      <w:r w:rsidR="00AA58EE" w:rsidRPr="0031745C">
        <w:rPr>
          <w:szCs w:val="22"/>
        </w:rPr>
        <w:t xml:space="preserve">described in paragraph 1 </w:t>
      </w:r>
      <w:r w:rsidR="007E1B03" w:rsidRPr="005A392D">
        <w:rPr>
          <w:szCs w:val="22"/>
        </w:rPr>
        <w:t xml:space="preserve">will </w:t>
      </w:r>
      <w:r w:rsidR="00300085" w:rsidRPr="005A392D">
        <w:rPr>
          <w:szCs w:val="22"/>
        </w:rPr>
        <w:t xml:space="preserve">therefore </w:t>
      </w:r>
      <w:r w:rsidR="007E1B03" w:rsidRPr="005A392D">
        <w:rPr>
          <w:szCs w:val="22"/>
        </w:rPr>
        <w:t xml:space="preserve">be conditioned </w:t>
      </w:r>
      <w:r w:rsidR="0064290D" w:rsidRPr="005A392D">
        <w:rPr>
          <w:szCs w:val="22"/>
        </w:rPr>
        <w:t xml:space="preserve">on the </w:t>
      </w:r>
      <w:r w:rsidR="00BB51B3" w:rsidRPr="005A392D">
        <w:rPr>
          <w:szCs w:val="22"/>
        </w:rPr>
        <w:t xml:space="preserve">parties’ express agreement </w:t>
      </w:r>
      <w:r w:rsidR="0064290D" w:rsidRPr="005A392D">
        <w:rPr>
          <w:szCs w:val="22"/>
        </w:rPr>
        <w:t>to one of the options set forth above</w:t>
      </w:r>
      <w:r w:rsidR="00C233E5">
        <w:rPr>
          <w:szCs w:val="22"/>
        </w:rPr>
        <w:t>,</w:t>
      </w:r>
      <w:r w:rsidR="004D52B9">
        <w:rPr>
          <w:szCs w:val="22"/>
        </w:rPr>
        <w:t xml:space="preserve"> </w:t>
      </w:r>
      <w:r w:rsidR="00C233E5">
        <w:rPr>
          <w:szCs w:val="22"/>
        </w:rPr>
        <w:t xml:space="preserve">effective </w:t>
      </w:r>
      <w:r w:rsidR="004D52B9">
        <w:rPr>
          <w:szCs w:val="22"/>
        </w:rPr>
        <w:t>upon consummation</w:t>
      </w:r>
      <w:r w:rsidR="0064290D" w:rsidRPr="005A392D">
        <w:rPr>
          <w:szCs w:val="22"/>
        </w:rPr>
        <w:t xml:space="preserve">, </w:t>
      </w:r>
      <w:r w:rsidR="00FF4ABC" w:rsidRPr="005A392D">
        <w:t xml:space="preserve">as well as the parties’ acknowledgment that the Commission is not liable for their use of any </w:t>
      </w:r>
      <w:r w:rsidR="00B37D27">
        <w:t xml:space="preserve">systems or </w:t>
      </w:r>
      <w:r w:rsidR="00FF4ABC" w:rsidRPr="005A392D">
        <w:t xml:space="preserve">information accessed as a result of </w:t>
      </w:r>
      <w:r w:rsidR="00845A05" w:rsidRPr="005A392D">
        <w:t>a</w:t>
      </w:r>
      <w:r w:rsidR="00FF4ABC" w:rsidRPr="005A392D">
        <w:t xml:space="preserve"> shared FRN and password</w:t>
      </w:r>
      <w:r w:rsidR="00845A05" w:rsidRPr="005A392D">
        <w:t xml:space="preserve"> under the second option</w:t>
      </w:r>
      <w:r w:rsidR="0064290D" w:rsidRPr="005A392D">
        <w:rPr>
          <w:szCs w:val="22"/>
        </w:rPr>
        <w:t xml:space="preserve">.  </w:t>
      </w:r>
      <w:r w:rsidR="00C84F60" w:rsidRPr="005A392D">
        <w:rPr>
          <w:szCs w:val="22"/>
        </w:rPr>
        <w:t>The parties may also want to contractually limit the assignee/transferee’s right to access</w:t>
      </w:r>
      <w:r w:rsidR="00FF4ABC" w:rsidRPr="005A392D">
        <w:rPr>
          <w:szCs w:val="22"/>
        </w:rPr>
        <w:t xml:space="preserve"> and/or use</w:t>
      </w:r>
      <w:r w:rsidR="00B678A3">
        <w:rPr>
          <w:szCs w:val="22"/>
        </w:rPr>
        <w:t xml:space="preserve"> </w:t>
      </w:r>
      <w:r w:rsidR="0020639D">
        <w:rPr>
          <w:szCs w:val="22"/>
        </w:rPr>
        <w:t>any such systems or</w:t>
      </w:r>
      <w:r w:rsidR="00C84F60" w:rsidRPr="005A392D">
        <w:rPr>
          <w:szCs w:val="22"/>
        </w:rPr>
        <w:t xml:space="preserve"> information</w:t>
      </w:r>
      <w:r w:rsidR="00567373">
        <w:rPr>
          <w:szCs w:val="22"/>
        </w:rPr>
        <w:t>.</w:t>
      </w:r>
      <w:r w:rsidR="00B678A3">
        <w:rPr>
          <w:szCs w:val="22"/>
        </w:rPr>
        <w:t xml:space="preserve">  </w:t>
      </w:r>
      <w:r w:rsidR="00365158" w:rsidRPr="005A392D">
        <w:rPr>
          <w:szCs w:val="22"/>
        </w:rPr>
        <w:t>Finally, parties to</w:t>
      </w:r>
      <w:r w:rsidR="008356F1" w:rsidRPr="005A392D">
        <w:rPr>
          <w:szCs w:val="22"/>
        </w:rPr>
        <w:t xml:space="preserve"> license</w:t>
      </w:r>
      <w:r w:rsidR="00365158" w:rsidRPr="005A392D">
        <w:rPr>
          <w:szCs w:val="22"/>
        </w:rPr>
        <w:t xml:space="preserve"> </w:t>
      </w:r>
      <w:r w:rsidR="008356F1" w:rsidRPr="005A392D">
        <w:rPr>
          <w:szCs w:val="22"/>
        </w:rPr>
        <w:t>assignments or transfers of control</w:t>
      </w:r>
      <w:r w:rsidR="00365158" w:rsidRPr="005A392D">
        <w:rPr>
          <w:szCs w:val="22"/>
        </w:rPr>
        <w:t xml:space="preserve"> are reminded that they are subject to the rule prohibiting communication of an incentive auction applicant’s bids and bidding strategies</w:t>
      </w:r>
      <w:r w:rsidR="008356F1" w:rsidRPr="005A392D">
        <w:rPr>
          <w:szCs w:val="22"/>
        </w:rPr>
        <w:t>.</w:t>
      </w:r>
      <w:r w:rsidR="00D47714" w:rsidRPr="002541B6">
        <w:rPr>
          <w:rStyle w:val="FootnoteReference"/>
          <w:sz w:val="22"/>
          <w:szCs w:val="22"/>
        </w:rPr>
        <w:footnoteReference w:id="9"/>
      </w:r>
      <w:r w:rsidR="00D47714" w:rsidRPr="005A392D">
        <w:rPr>
          <w:szCs w:val="22"/>
        </w:rPr>
        <w:t xml:space="preserve"> </w:t>
      </w:r>
    </w:p>
    <w:p w14:paraId="53B5ADA1" w14:textId="77777777" w:rsidR="00C71B8F" w:rsidRPr="005A392D" w:rsidRDefault="00C71B8F" w:rsidP="00C71B8F">
      <w:pPr>
        <w:rPr>
          <w:szCs w:val="22"/>
        </w:rPr>
      </w:pPr>
    </w:p>
    <w:p w14:paraId="7C477FA6" w14:textId="502A2CD7" w:rsidR="00C71B8F" w:rsidRDefault="00D457F6" w:rsidP="002541B6">
      <w:pPr>
        <w:ind w:firstLine="720"/>
        <w:rPr>
          <w:szCs w:val="22"/>
        </w:rPr>
      </w:pPr>
      <w:r w:rsidRPr="005A392D">
        <w:rPr>
          <w:szCs w:val="22"/>
        </w:rPr>
        <w:t>5.</w:t>
      </w:r>
      <w:r w:rsidRPr="005A392D">
        <w:rPr>
          <w:szCs w:val="22"/>
        </w:rPr>
        <w:tab/>
      </w:r>
      <w:r w:rsidR="00C71B8F" w:rsidRPr="005A392D">
        <w:rPr>
          <w:szCs w:val="22"/>
        </w:rPr>
        <w:t>For further information, contact</w:t>
      </w:r>
      <w:r w:rsidR="00BB51B3" w:rsidRPr="005A392D">
        <w:rPr>
          <w:szCs w:val="22"/>
        </w:rPr>
        <w:t xml:space="preserve"> </w:t>
      </w:r>
      <w:r w:rsidR="00C15D20">
        <w:t xml:space="preserve">David Brown at (202) 418-1645 or </w:t>
      </w:r>
      <w:hyperlink r:id="rId8" w:history="1">
        <w:r w:rsidR="00C15D20" w:rsidRPr="001D287E">
          <w:rPr>
            <w:rStyle w:val="Hyperlink"/>
          </w:rPr>
          <w:t>david.brown@fcc.gov</w:t>
        </w:r>
      </w:hyperlink>
      <w:r w:rsidR="00C15D20">
        <w:t xml:space="preserve">; or Dorann Bunkin at (202) 418-1636 or </w:t>
      </w:r>
      <w:hyperlink r:id="rId9" w:history="1">
        <w:r w:rsidR="00CE3BE4">
          <w:rPr>
            <w:rStyle w:val="Hyperlink"/>
          </w:rPr>
          <w:t>dorann.bunkin@fcc.gov</w:t>
        </w:r>
      </w:hyperlink>
      <w:r w:rsidR="00C71B8F" w:rsidRPr="005A392D">
        <w:rPr>
          <w:szCs w:val="22"/>
        </w:rPr>
        <w:t>.</w:t>
      </w:r>
      <w:r w:rsidR="00C71B8F" w:rsidRPr="005A392D">
        <w:rPr>
          <w:rStyle w:val="FootnoteReference"/>
          <w:sz w:val="22"/>
          <w:szCs w:val="22"/>
        </w:rPr>
        <w:footnoteReference w:id="10"/>
      </w:r>
    </w:p>
    <w:p w14:paraId="2592CCE6" w14:textId="77777777" w:rsidR="00C15D20" w:rsidRDefault="00C15D20" w:rsidP="00C71B8F">
      <w:pPr>
        <w:rPr>
          <w:szCs w:val="22"/>
        </w:rPr>
      </w:pPr>
    </w:p>
    <w:p w14:paraId="28466CF1" w14:textId="4AE6D735" w:rsidR="00C15D20" w:rsidRPr="002541B6" w:rsidRDefault="00C15D20" w:rsidP="00C15D20">
      <w:pPr>
        <w:rPr>
          <w:snapToGrid/>
          <w:kern w:val="0"/>
          <w:szCs w:val="22"/>
        </w:rPr>
      </w:pPr>
    </w:p>
    <w:p w14:paraId="328D5E98" w14:textId="6ADD4D18" w:rsidR="003B3CC5" w:rsidRPr="001B486B" w:rsidRDefault="003B3CC5" w:rsidP="00E80147">
      <w:pPr>
        <w:jc w:val="center"/>
        <w:rPr>
          <w:b/>
          <w:snapToGrid/>
          <w:kern w:val="0"/>
          <w:szCs w:val="22"/>
        </w:rPr>
      </w:pPr>
      <w:r w:rsidRPr="001B486B">
        <w:rPr>
          <w:b/>
          <w:snapToGrid/>
          <w:kern w:val="0"/>
          <w:szCs w:val="22"/>
        </w:rPr>
        <w:t>–FCC–</w:t>
      </w:r>
    </w:p>
    <w:sectPr w:rsidR="003B3CC5" w:rsidRPr="001B486B" w:rsidSect="00DF08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4DAFD" w14:textId="77777777" w:rsidR="00933C54" w:rsidRDefault="00933C54">
      <w:pPr>
        <w:spacing w:line="20" w:lineRule="exact"/>
      </w:pPr>
    </w:p>
  </w:endnote>
  <w:endnote w:type="continuationSeparator" w:id="0">
    <w:p w14:paraId="149DBDC9" w14:textId="77777777" w:rsidR="00933C54" w:rsidRDefault="00933C54">
      <w:r>
        <w:t xml:space="preserve"> </w:t>
      </w:r>
    </w:p>
  </w:endnote>
  <w:endnote w:type="continuationNotice" w:id="1">
    <w:p w14:paraId="7B6D921E" w14:textId="77777777" w:rsidR="00933C54" w:rsidRDefault="00933C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5E696" w14:textId="77777777" w:rsidR="00A90ABA" w:rsidRDefault="00A90ABA" w:rsidP="0055614C">
    <w:pPr>
      <w:pStyle w:val="Footer"/>
      <w:framePr w:wrap="around" w:vAnchor="text" w:hAnchor="margin" w:xAlign="center" w:y="1"/>
    </w:pPr>
    <w:r>
      <w:fldChar w:fldCharType="begin"/>
    </w:r>
    <w:r>
      <w:instrText xml:space="preserve">PAGE  </w:instrText>
    </w:r>
    <w:r>
      <w:fldChar w:fldCharType="end"/>
    </w:r>
  </w:p>
  <w:p w14:paraId="4EFBFA28" w14:textId="77777777" w:rsidR="00A90ABA" w:rsidRDefault="00A90ABA">
    <w:pPr>
      <w:pStyle w:val="Footer"/>
    </w:pPr>
  </w:p>
  <w:p w14:paraId="33B8BF6D" w14:textId="77777777" w:rsidR="00A90ABA" w:rsidRDefault="00A90AB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5AFBD" w14:textId="051987C0" w:rsidR="00A90ABA" w:rsidRDefault="00A90ABA" w:rsidP="0055614C">
    <w:pPr>
      <w:pStyle w:val="Footer"/>
      <w:framePr w:wrap="around" w:vAnchor="text" w:hAnchor="margin" w:xAlign="center" w:y="1"/>
    </w:pPr>
    <w:r>
      <w:fldChar w:fldCharType="begin"/>
    </w:r>
    <w:r>
      <w:instrText xml:space="preserve">PAGE  </w:instrText>
    </w:r>
    <w:r>
      <w:fldChar w:fldCharType="separate"/>
    </w:r>
    <w:r w:rsidR="00225116">
      <w:rPr>
        <w:noProof/>
      </w:rPr>
      <w:t>2</w:t>
    </w:r>
    <w:r>
      <w:rPr>
        <w:noProof/>
      </w:rPr>
      <w:fldChar w:fldCharType="end"/>
    </w:r>
  </w:p>
  <w:p w14:paraId="1CF3D06F" w14:textId="77777777" w:rsidR="00A90ABA" w:rsidRDefault="00A90ABA" w:rsidP="00CD58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55F0A" w14:textId="77777777" w:rsidR="00536715" w:rsidRDefault="005367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D8AF1" w14:textId="77777777" w:rsidR="00933C54" w:rsidRDefault="00933C54">
      <w:r>
        <w:separator/>
      </w:r>
    </w:p>
  </w:footnote>
  <w:footnote w:type="continuationSeparator" w:id="0">
    <w:p w14:paraId="218B31BF" w14:textId="77777777" w:rsidR="00933C54" w:rsidRDefault="00933C54" w:rsidP="00C721AC">
      <w:pPr>
        <w:spacing w:before="120"/>
        <w:rPr>
          <w:sz w:val="20"/>
        </w:rPr>
      </w:pPr>
      <w:r>
        <w:rPr>
          <w:sz w:val="20"/>
        </w:rPr>
        <w:t xml:space="preserve">(Continued from previous page)  </w:t>
      </w:r>
      <w:r>
        <w:rPr>
          <w:sz w:val="20"/>
        </w:rPr>
        <w:separator/>
      </w:r>
    </w:p>
  </w:footnote>
  <w:footnote w:type="continuationNotice" w:id="1">
    <w:p w14:paraId="452C2370" w14:textId="77777777" w:rsidR="00933C54" w:rsidRDefault="00933C54" w:rsidP="00C721AC">
      <w:pPr>
        <w:jc w:val="right"/>
        <w:rPr>
          <w:sz w:val="20"/>
        </w:rPr>
      </w:pPr>
      <w:r>
        <w:rPr>
          <w:sz w:val="20"/>
        </w:rPr>
        <w:t>(continued….)</w:t>
      </w:r>
    </w:p>
  </w:footnote>
  <w:footnote w:id="2">
    <w:p w14:paraId="6CCCC4B1" w14:textId="77777777" w:rsidR="00A90ABA" w:rsidRPr="005A392D" w:rsidRDefault="00A90ABA" w:rsidP="00BA4615">
      <w:pPr>
        <w:pStyle w:val="FootnoteText"/>
        <w:rPr>
          <w:i/>
          <w:sz w:val="20"/>
          <w:szCs w:val="20"/>
        </w:rPr>
      </w:pPr>
      <w:r w:rsidRPr="005A392D">
        <w:rPr>
          <w:rStyle w:val="FootnoteReference"/>
          <w:szCs w:val="20"/>
        </w:rPr>
        <w:footnoteRef/>
      </w:r>
      <w:r w:rsidRPr="005A392D">
        <w:rPr>
          <w:sz w:val="20"/>
          <w:szCs w:val="20"/>
        </w:rPr>
        <w:t xml:space="preserve"> </w:t>
      </w:r>
      <w:r w:rsidRPr="005A392D">
        <w:rPr>
          <w:i/>
          <w:sz w:val="20"/>
          <w:szCs w:val="20"/>
        </w:rPr>
        <w:t>Guidance Regarding the Prohibition of Certain Communications During the Incentive Auction, Auction 1000</w:t>
      </w:r>
      <w:r w:rsidRPr="005A392D">
        <w:rPr>
          <w:sz w:val="20"/>
          <w:szCs w:val="20"/>
        </w:rPr>
        <w:t>, DA 15-1129, para. 23 (WTB rel. Oct. 6, 2015) (</w:t>
      </w:r>
      <w:r w:rsidRPr="005A392D">
        <w:rPr>
          <w:i/>
          <w:sz w:val="20"/>
          <w:szCs w:val="20"/>
        </w:rPr>
        <w:t>Auction 1000 Prohibited Communications Guidance PN</w:t>
      </w:r>
      <w:r w:rsidRPr="005A392D">
        <w:rPr>
          <w:sz w:val="20"/>
          <w:szCs w:val="20"/>
        </w:rPr>
        <w:t>).</w:t>
      </w:r>
      <w:r w:rsidRPr="005A392D">
        <w:rPr>
          <w:i/>
          <w:sz w:val="20"/>
          <w:szCs w:val="20"/>
        </w:rPr>
        <w:t xml:space="preserve"> </w:t>
      </w:r>
    </w:p>
  </w:footnote>
  <w:footnote w:id="3">
    <w:p w14:paraId="5CF7A700" w14:textId="2F00E49C" w:rsidR="00E02A3E" w:rsidRPr="005A392D" w:rsidRDefault="00E02A3E" w:rsidP="00E02A3E">
      <w:pPr>
        <w:pStyle w:val="FootnoteText"/>
        <w:rPr>
          <w:sz w:val="20"/>
          <w:szCs w:val="20"/>
        </w:rPr>
      </w:pPr>
      <w:r w:rsidRPr="005A392D">
        <w:rPr>
          <w:rStyle w:val="FootnoteReference"/>
          <w:szCs w:val="20"/>
        </w:rPr>
        <w:footnoteRef/>
      </w:r>
      <w:r w:rsidRPr="005A392D">
        <w:rPr>
          <w:sz w:val="20"/>
          <w:szCs w:val="20"/>
        </w:rPr>
        <w:t xml:space="preserve"> </w:t>
      </w:r>
      <w:r w:rsidRPr="005A392D">
        <w:rPr>
          <w:i/>
          <w:sz w:val="20"/>
          <w:szCs w:val="20"/>
        </w:rPr>
        <w:t>See Application Procedures for Broadcast Incentive Auction Scheduled to Begin on March 29, 2016, Technical Formulas for Competitive Bidding</w:t>
      </w:r>
      <w:r w:rsidRPr="005A392D">
        <w:rPr>
          <w:sz w:val="20"/>
          <w:szCs w:val="20"/>
        </w:rPr>
        <w:t xml:space="preserve">, AU Docket No. 14-252, GN Docket No. 12-268, WT Docket No. 12-269, Public Notice, DA 15-1183, para.16 (WTB rel. Oct. 15, 2015).  FRNs may be associated with one or more </w:t>
      </w:r>
      <w:r w:rsidR="00155F3B" w:rsidRPr="005A392D">
        <w:rPr>
          <w:sz w:val="20"/>
          <w:szCs w:val="20"/>
        </w:rPr>
        <w:t>station</w:t>
      </w:r>
      <w:r w:rsidRPr="005A392D">
        <w:rPr>
          <w:sz w:val="20"/>
          <w:szCs w:val="20"/>
        </w:rPr>
        <w:t xml:space="preserve">s.  For example, if three broadcast </w:t>
      </w:r>
      <w:r w:rsidR="00155F3B" w:rsidRPr="005A392D">
        <w:rPr>
          <w:sz w:val="20"/>
          <w:szCs w:val="20"/>
        </w:rPr>
        <w:t>television</w:t>
      </w:r>
      <w:r w:rsidRPr="005A392D">
        <w:rPr>
          <w:sz w:val="20"/>
          <w:szCs w:val="20"/>
        </w:rPr>
        <w:t xml:space="preserve"> stations are licensed to </w:t>
      </w:r>
      <w:r w:rsidR="00155F3B" w:rsidRPr="005A392D">
        <w:rPr>
          <w:sz w:val="20"/>
          <w:szCs w:val="20"/>
        </w:rPr>
        <w:t>the same licensee</w:t>
      </w:r>
      <w:r w:rsidRPr="005A392D">
        <w:rPr>
          <w:sz w:val="20"/>
          <w:szCs w:val="20"/>
        </w:rPr>
        <w:t>, each station may have its own FRN, or the same FRN may be associated with all three stations.</w:t>
      </w:r>
    </w:p>
  </w:footnote>
  <w:footnote w:id="4">
    <w:p w14:paraId="5A409BC1" w14:textId="46E3729A" w:rsidR="00BA1865" w:rsidRPr="005A392D" w:rsidRDefault="00BA1865" w:rsidP="00DB5C2C">
      <w:pPr>
        <w:pStyle w:val="ParaNum"/>
        <w:widowControl/>
        <w:numPr>
          <w:ilvl w:val="0"/>
          <w:numId w:val="0"/>
        </w:numPr>
        <w:snapToGrid w:val="0"/>
        <w:rPr>
          <w:sz w:val="20"/>
          <w:szCs w:val="20"/>
        </w:rPr>
      </w:pPr>
      <w:r w:rsidRPr="005A392D">
        <w:rPr>
          <w:rStyle w:val="FootnoteReference"/>
          <w:szCs w:val="20"/>
        </w:rPr>
        <w:footnoteRef/>
      </w:r>
      <w:r w:rsidRPr="005A392D">
        <w:rPr>
          <w:sz w:val="20"/>
          <w:szCs w:val="20"/>
        </w:rPr>
        <w:t xml:space="preserve"> </w:t>
      </w:r>
      <w:r w:rsidR="00657EF1" w:rsidRPr="005A392D">
        <w:rPr>
          <w:sz w:val="20"/>
          <w:szCs w:val="20"/>
        </w:rPr>
        <w:t>Upon notice of consummation of an ass</w:t>
      </w:r>
      <w:r w:rsidR="008904B5" w:rsidRPr="005A392D">
        <w:rPr>
          <w:sz w:val="20"/>
          <w:szCs w:val="20"/>
        </w:rPr>
        <w:t>ignment or transfer</w:t>
      </w:r>
      <w:r w:rsidR="00C4758F" w:rsidRPr="005A392D">
        <w:rPr>
          <w:sz w:val="20"/>
          <w:szCs w:val="20"/>
        </w:rPr>
        <w:t>,</w:t>
      </w:r>
      <w:r w:rsidR="008904B5" w:rsidRPr="005A392D">
        <w:rPr>
          <w:sz w:val="20"/>
          <w:szCs w:val="20"/>
        </w:rPr>
        <w:t xml:space="preserve"> </w:t>
      </w:r>
      <w:r w:rsidR="00793DE8">
        <w:rPr>
          <w:sz w:val="20"/>
          <w:szCs w:val="20"/>
        </w:rPr>
        <w:t>an</w:t>
      </w:r>
      <w:r w:rsidR="00F277D1" w:rsidRPr="005A392D">
        <w:rPr>
          <w:sz w:val="20"/>
          <w:szCs w:val="20"/>
        </w:rPr>
        <w:t xml:space="preserve"> </w:t>
      </w:r>
      <w:r w:rsidR="00657EF1" w:rsidRPr="005A392D">
        <w:rPr>
          <w:sz w:val="20"/>
          <w:szCs w:val="20"/>
        </w:rPr>
        <w:t xml:space="preserve">FRN </w:t>
      </w:r>
      <w:r w:rsidR="00793DE8">
        <w:rPr>
          <w:sz w:val="20"/>
          <w:szCs w:val="20"/>
        </w:rPr>
        <w:t>will</w:t>
      </w:r>
      <w:r w:rsidR="00657EF1" w:rsidRPr="005A392D">
        <w:rPr>
          <w:sz w:val="20"/>
          <w:szCs w:val="20"/>
        </w:rPr>
        <w:t xml:space="preserve"> </w:t>
      </w:r>
      <w:r w:rsidR="00C4758F" w:rsidRPr="005A392D">
        <w:rPr>
          <w:sz w:val="20"/>
          <w:szCs w:val="20"/>
        </w:rPr>
        <w:t xml:space="preserve">be </w:t>
      </w:r>
      <w:r w:rsidR="00657EF1" w:rsidRPr="005A392D">
        <w:rPr>
          <w:sz w:val="20"/>
          <w:szCs w:val="20"/>
        </w:rPr>
        <w:t>associated with the stations involved in the transactions</w:t>
      </w:r>
      <w:r w:rsidR="00C4758F" w:rsidRPr="005A392D">
        <w:rPr>
          <w:sz w:val="20"/>
          <w:szCs w:val="20"/>
        </w:rPr>
        <w:t xml:space="preserve"> </w:t>
      </w:r>
      <w:r w:rsidR="00F277D1" w:rsidRPr="005A392D">
        <w:rPr>
          <w:sz w:val="20"/>
          <w:szCs w:val="20"/>
        </w:rPr>
        <w:t xml:space="preserve">for </w:t>
      </w:r>
      <w:r w:rsidR="00793DE8">
        <w:rPr>
          <w:sz w:val="20"/>
          <w:szCs w:val="20"/>
        </w:rPr>
        <w:t xml:space="preserve">licensing and other non-auction </w:t>
      </w:r>
      <w:r w:rsidR="00F277D1" w:rsidRPr="005A392D">
        <w:rPr>
          <w:sz w:val="20"/>
          <w:szCs w:val="20"/>
        </w:rPr>
        <w:t>purposes</w:t>
      </w:r>
      <w:r w:rsidR="00C4758F" w:rsidRPr="005A392D">
        <w:rPr>
          <w:sz w:val="20"/>
          <w:szCs w:val="20"/>
        </w:rPr>
        <w:t xml:space="preserve">, but </w:t>
      </w:r>
      <w:r w:rsidRPr="005A392D">
        <w:rPr>
          <w:sz w:val="20"/>
          <w:szCs w:val="20"/>
        </w:rPr>
        <w:t>the Auction System will recognize only the FRN i</w:t>
      </w:r>
      <w:r w:rsidR="00804FFA">
        <w:rPr>
          <w:sz w:val="20"/>
          <w:szCs w:val="20"/>
        </w:rPr>
        <w:t xml:space="preserve">n effect as of December 8, 2015, </w:t>
      </w:r>
      <w:r w:rsidRPr="005A392D">
        <w:rPr>
          <w:sz w:val="20"/>
          <w:szCs w:val="20"/>
        </w:rPr>
        <w:t>for participating license</w:t>
      </w:r>
      <w:r w:rsidR="00155F3B" w:rsidRPr="005A392D">
        <w:rPr>
          <w:sz w:val="20"/>
          <w:szCs w:val="20"/>
        </w:rPr>
        <w:t>e</w:t>
      </w:r>
      <w:r w:rsidRPr="005A392D">
        <w:rPr>
          <w:sz w:val="20"/>
          <w:szCs w:val="20"/>
        </w:rPr>
        <w:t>s and stations.</w:t>
      </w:r>
    </w:p>
  </w:footnote>
  <w:footnote w:id="5">
    <w:p w14:paraId="6047DA9C" w14:textId="38063532" w:rsidR="00D71470" w:rsidRPr="005A392D" w:rsidRDefault="00D71470">
      <w:pPr>
        <w:pStyle w:val="FootnoteText"/>
        <w:rPr>
          <w:sz w:val="20"/>
          <w:szCs w:val="20"/>
        </w:rPr>
      </w:pPr>
      <w:r w:rsidRPr="005A392D">
        <w:rPr>
          <w:rStyle w:val="FootnoteReference"/>
          <w:szCs w:val="20"/>
        </w:rPr>
        <w:footnoteRef/>
      </w:r>
      <w:r w:rsidRPr="005A392D">
        <w:rPr>
          <w:sz w:val="20"/>
          <w:szCs w:val="20"/>
        </w:rPr>
        <w:t xml:space="preserve"> Prior to the beginning of the prohibited communications period on January 12, the assignee/transferee can provide written bidding instructions to the assignor/transferor for this purpose.</w:t>
      </w:r>
    </w:p>
  </w:footnote>
  <w:footnote w:id="6">
    <w:p w14:paraId="20689F20" w14:textId="2FAF54C5" w:rsidR="002124E9" w:rsidRPr="005A392D" w:rsidRDefault="002124E9">
      <w:pPr>
        <w:pStyle w:val="FootnoteText"/>
        <w:rPr>
          <w:sz w:val="20"/>
          <w:szCs w:val="20"/>
        </w:rPr>
      </w:pPr>
      <w:r w:rsidRPr="005A392D">
        <w:rPr>
          <w:rStyle w:val="FootnoteReference"/>
          <w:szCs w:val="20"/>
        </w:rPr>
        <w:footnoteRef/>
      </w:r>
      <w:r w:rsidRPr="005A392D">
        <w:rPr>
          <w:sz w:val="20"/>
          <w:szCs w:val="20"/>
        </w:rPr>
        <w:t xml:space="preserve"> </w:t>
      </w:r>
      <w:r w:rsidR="004D3EF9" w:rsidRPr="005A392D">
        <w:rPr>
          <w:sz w:val="20"/>
          <w:szCs w:val="20"/>
        </w:rPr>
        <w:t>For purposes of bidding</w:t>
      </w:r>
      <w:r w:rsidR="00C84F60" w:rsidRPr="005A392D">
        <w:rPr>
          <w:sz w:val="20"/>
          <w:szCs w:val="20"/>
        </w:rPr>
        <w:t xml:space="preserve">, this would be accomplished by </w:t>
      </w:r>
      <w:r w:rsidR="00365158" w:rsidRPr="005A392D">
        <w:rPr>
          <w:sz w:val="20"/>
          <w:szCs w:val="20"/>
        </w:rPr>
        <w:t xml:space="preserve">making </w:t>
      </w:r>
      <w:r w:rsidR="00C84F60" w:rsidRPr="005A392D">
        <w:rPr>
          <w:sz w:val="20"/>
          <w:szCs w:val="20"/>
        </w:rPr>
        <w:t xml:space="preserve">the assignee/transferee an authorized bidder on the assignor/transferor’s Form 177.  </w:t>
      </w:r>
      <w:r w:rsidR="00300085" w:rsidRPr="005A392D">
        <w:rPr>
          <w:sz w:val="20"/>
          <w:szCs w:val="20"/>
        </w:rPr>
        <w:t>If none of the stations covered by a transaction are participating in the auction, t</w:t>
      </w:r>
      <w:r w:rsidRPr="005A392D">
        <w:rPr>
          <w:sz w:val="20"/>
          <w:szCs w:val="20"/>
        </w:rPr>
        <w:t>he auction FRN need not be shared with the assignee</w:t>
      </w:r>
      <w:r w:rsidR="00A6619D" w:rsidRPr="005A392D">
        <w:rPr>
          <w:sz w:val="20"/>
          <w:szCs w:val="20"/>
        </w:rPr>
        <w:t>/</w:t>
      </w:r>
      <w:r w:rsidRPr="005A392D">
        <w:rPr>
          <w:sz w:val="20"/>
          <w:szCs w:val="20"/>
        </w:rPr>
        <w:t>transferee</w:t>
      </w:r>
      <w:r w:rsidR="00300085" w:rsidRPr="005A392D">
        <w:rPr>
          <w:sz w:val="20"/>
          <w:szCs w:val="20"/>
        </w:rPr>
        <w:t>.  In that case</w:t>
      </w:r>
      <w:r w:rsidRPr="005A392D">
        <w:rPr>
          <w:sz w:val="20"/>
          <w:szCs w:val="20"/>
        </w:rPr>
        <w:t>, the assignee</w:t>
      </w:r>
      <w:r w:rsidR="00415808" w:rsidRPr="005A392D">
        <w:rPr>
          <w:sz w:val="20"/>
          <w:szCs w:val="20"/>
        </w:rPr>
        <w:t>/transferee</w:t>
      </w:r>
      <w:r w:rsidRPr="005A392D">
        <w:rPr>
          <w:sz w:val="20"/>
          <w:szCs w:val="20"/>
        </w:rPr>
        <w:t xml:space="preserve"> would use the</w:t>
      </w:r>
      <w:r w:rsidR="00F277D1" w:rsidRPr="005A392D">
        <w:rPr>
          <w:sz w:val="20"/>
          <w:szCs w:val="20"/>
        </w:rPr>
        <w:t xml:space="preserve"> </w:t>
      </w:r>
      <w:r w:rsidRPr="005A392D">
        <w:rPr>
          <w:sz w:val="20"/>
          <w:szCs w:val="20"/>
        </w:rPr>
        <w:t xml:space="preserve">FRN </w:t>
      </w:r>
      <w:r w:rsidR="004D3EF9" w:rsidRPr="005A392D">
        <w:rPr>
          <w:sz w:val="20"/>
          <w:szCs w:val="20"/>
        </w:rPr>
        <w:t xml:space="preserve">associated with the stations </w:t>
      </w:r>
      <w:r w:rsidRPr="005A392D">
        <w:rPr>
          <w:sz w:val="20"/>
          <w:szCs w:val="20"/>
        </w:rPr>
        <w:t xml:space="preserve">upon consummation of the transaction. </w:t>
      </w:r>
      <w:r w:rsidR="00F277D1" w:rsidRPr="005A392D">
        <w:rPr>
          <w:sz w:val="20"/>
          <w:szCs w:val="20"/>
        </w:rPr>
        <w:t xml:space="preserve"> </w:t>
      </w:r>
      <w:r w:rsidR="00F277D1" w:rsidRPr="005A392D">
        <w:rPr>
          <w:i/>
          <w:sz w:val="20"/>
          <w:szCs w:val="20"/>
        </w:rPr>
        <w:t xml:space="preserve">See </w:t>
      </w:r>
      <w:r w:rsidR="00F277D1" w:rsidRPr="005A392D">
        <w:rPr>
          <w:sz w:val="20"/>
          <w:szCs w:val="20"/>
        </w:rPr>
        <w:t xml:space="preserve">n. 3, </w:t>
      </w:r>
      <w:r w:rsidR="00F277D1" w:rsidRPr="005A392D">
        <w:rPr>
          <w:i/>
          <w:sz w:val="20"/>
          <w:szCs w:val="20"/>
        </w:rPr>
        <w:t>supra</w:t>
      </w:r>
      <w:r w:rsidR="00F277D1" w:rsidRPr="005A392D">
        <w:rPr>
          <w:sz w:val="20"/>
          <w:szCs w:val="20"/>
        </w:rPr>
        <w:t>.</w:t>
      </w:r>
    </w:p>
  </w:footnote>
  <w:footnote w:id="7">
    <w:p w14:paraId="148E8FFD" w14:textId="2CFDF997" w:rsidR="00A90ABA" w:rsidRPr="005A392D" w:rsidRDefault="00A90ABA" w:rsidP="00A23F14">
      <w:pPr>
        <w:pStyle w:val="FootnoteText"/>
        <w:rPr>
          <w:sz w:val="20"/>
          <w:szCs w:val="20"/>
        </w:rPr>
      </w:pPr>
      <w:r w:rsidRPr="005A392D">
        <w:rPr>
          <w:rStyle w:val="FootnoteReference"/>
          <w:szCs w:val="20"/>
        </w:rPr>
        <w:footnoteRef/>
      </w:r>
      <w:r w:rsidRPr="005A392D">
        <w:rPr>
          <w:sz w:val="20"/>
          <w:szCs w:val="20"/>
        </w:rPr>
        <w:t xml:space="preserve"> These systems include but are not limited to the </w:t>
      </w:r>
      <w:r w:rsidR="00C80082" w:rsidRPr="005A392D">
        <w:rPr>
          <w:sz w:val="20"/>
          <w:szCs w:val="20"/>
        </w:rPr>
        <w:t>Lice</w:t>
      </w:r>
      <w:r w:rsidR="00C80082">
        <w:rPr>
          <w:sz w:val="20"/>
          <w:szCs w:val="20"/>
        </w:rPr>
        <w:t>nsing and Management System (</w:t>
      </w:r>
      <w:r w:rsidRPr="005A392D">
        <w:rPr>
          <w:sz w:val="20"/>
          <w:szCs w:val="20"/>
        </w:rPr>
        <w:t>LMS</w:t>
      </w:r>
      <w:r w:rsidR="00C80082">
        <w:rPr>
          <w:sz w:val="20"/>
          <w:szCs w:val="20"/>
        </w:rPr>
        <w:t>)</w:t>
      </w:r>
      <w:r w:rsidRPr="005A392D">
        <w:rPr>
          <w:sz w:val="20"/>
          <w:szCs w:val="20"/>
        </w:rPr>
        <w:t>, the Universal Licensing System (ULS), and the International Bureau Electronic Filing System (IBFS).</w:t>
      </w:r>
    </w:p>
  </w:footnote>
  <w:footnote w:id="8">
    <w:p w14:paraId="3C36A777" w14:textId="625F8477" w:rsidR="00A90ABA" w:rsidRPr="005A392D" w:rsidRDefault="00A90ABA" w:rsidP="00A23F14">
      <w:pPr>
        <w:pStyle w:val="FootnoteText"/>
        <w:rPr>
          <w:sz w:val="20"/>
          <w:szCs w:val="20"/>
        </w:rPr>
      </w:pPr>
      <w:r w:rsidRPr="005A392D">
        <w:rPr>
          <w:rStyle w:val="FootnoteReference"/>
          <w:szCs w:val="20"/>
        </w:rPr>
        <w:footnoteRef/>
      </w:r>
      <w:r w:rsidRPr="005A392D">
        <w:rPr>
          <w:sz w:val="20"/>
          <w:szCs w:val="20"/>
        </w:rPr>
        <w:t xml:space="preserve"> If the transaction involves all of the licenses associated with an FRN, there will be no shared access to bidding information but the assignee/transferee </w:t>
      </w:r>
      <w:r w:rsidR="00415808" w:rsidRPr="005A392D">
        <w:rPr>
          <w:sz w:val="20"/>
          <w:szCs w:val="20"/>
        </w:rPr>
        <w:t xml:space="preserve">utilizing the second option to participate in the auction with respect to some or all of the covered stations </w:t>
      </w:r>
      <w:r w:rsidRPr="005A392D">
        <w:rPr>
          <w:sz w:val="20"/>
          <w:szCs w:val="20"/>
        </w:rPr>
        <w:t xml:space="preserve">will still have access to the </w:t>
      </w:r>
      <w:r w:rsidR="00503616" w:rsidRPr="005A392D">
        <w:rPr>
          <w:sz w:val="20"/>
          <w:szCs w:val="20"/>
        </w:rPr>
        <w:t>assignor/transferor</w:t>
      </w:r>
      <w:r w:rsidRPr="005A392D">
        <w:rPr>
          <w:sz w:val="20"/>
          <w:szCs w:val="20"/>
        </w:rPr>
        <w:t xml:space="preserve">’s data in Commission licensing systems associated with the </w:t>
      </w:r>
      <w:r w:rsidR="00503616" w:rsidRPr="005A392D">
        <w:rPr>
          <w:sz w:val="20"/>
          <w:szCs w:val="20"/>
        </w:rPr>
        <w:t xml:space="preserve">auction </w:t>
      </w:r>
      <w:r w:rsidRPr="005A392D">
        <w:rPr>
          <w:sz w:val="20"/>
          <w:szCs w:val="20"/>
        </w:rPr>
        <w:t>FRN.</w:t>
      </w:r>
    </w:p>
  </w:footnote>
  <w:footnote w:id="9">
    <w:p w14:paraId="03CB2DC8" w14:textId="1EB0528B" w:rsidR="00D47714" w:rsidRPr="005A392D" w:rsidRDefault="00D47714">
      <w:pPr>
        <w:pStyle w:val="FootnoteText"/>
        <w:rPr>
          <w:sz w:val="20"/>
          <w:szCs w:val="20"/>
        </w:rPr>
      </w:pPr>
      <w:r w:rsidRPr="005A392D">
        <w:rPr>
          <w:rStyle w:val="FootnoteReference"/>
          <w:szCs w:val="20"/>
        </w:rPr>
        <w:footnoteRef/>
      </w:r>
      <w:r w:rsidRPr="005A392D">
        <w:rPr>
          <w:sz w:val="20"/>
          <w:szCs w:val="20"/>
        </w:rPr>
        <w:t xml:space="preserve"> </w:t>
      </w:r>
      <w:r w:rsidRPr="005A392D">
        <w:rPr>
          <w:i/>
          <w:sz w:val="20"/>
          <w:szCs w:val="20"/>
        </w:rPr>
        <w:t>See generally Auction 1000 Prohibited Communications Guidance PN</w:t>
      </w:r>
      <w:r w:rsidRPr="005A392D">
        <w:rPr>
          <w:sz w:val="20"/>
          <w:szCs w:val="20"/>
        </w:rPr>
        <w:t>.</w:t>
      </w:r>
      <w:r w:rsidR="00C4758F" w:rsidRPr="005A392D">
        <w:rPr>
          <w:sz w:val="20"/>
          <w:szCs w:val="20"/>
        </w:rPr>
        <w:t xml:space="preserve">  Any shared access to bidding information in the Auction System under the second option above would result from the freezing of the FRN data in the Auction System, </w:t>
      </w:r>
      <w:r w:rsidR="00895167" w:rsidRPr="005A392D">
        <w:rPr>
          <w:sz w:val="20"/>
          <w:szCs w:val="20"/>
        </w:rPr>
        <w:t xml:space="preserve">and therefore </w:t>
      </w:r>
      <w:r w:rsidR="00C4758F" w:rsidRPr="005A392D">
        <w:rPr>
          <w:sz w:val="20"/>
          <w:szCs w:val="20"/>
        </w:rPr>
        <w:t>would not constitute communication by either of the parties within the meaning of the rule.</w:t>
      </w:r>
    </w:p>
  </w:footnote>
  <w:footnote w:id="10">
    <w:p w14:paraId="108AE637" w14:textId="1F7E75EE" w:rsidR="00A90ABA" w:rsidRPr="00EA2CF6" w:rsidRDefault="00A90ABA">
      <w:pPr>
        <w:pStyle w:val="FootnoteText"/>
        <w:rPr>
          <w:sz w:val="20"/>
          <w:szCs w:val="20"/>
        </w:rPr>
      </w:pPr>
      <w:r w:rsidRPr="005A392D">
        <w:rPr>
          <w:rStyle w:val="FootnoteReference"/>
          <w:szCs w:val="20"/>
        </w:rPr>
        <w:footnoteRef/>
      </w:r>
      <w:r w:rsidRPr="005A392D">
        <w:rPr>
          <w:sz w:val="20"/>
          <w:szCs w:val="20"/>
        </w:rPr>
        <w:t xml:space="preserve"> </w:t>
      </w:r>
      <w:r w:rsidR="00BB51B3" w:rsidRPr="005A392D">
        <w:rPr>
          <w:sz w:val="20"/>
          <w:szCs w:val="20"/>
        </w:rPr>
        <w:t>This Public N</w:t>
      </w:r>
      <w:r w:rsidRPr="005A392D">
        <w:rPr>
          <w:sz w:val="20"/>
          <w:szCs w:val="20"/>
        </w:rPr>
        <w:t>otice is being issued pursuant to section 0.31 by the Wireless Telecommunications Burea</w:t>
      </w:r>
      <w:r w:rsidR="008D0CE9" w:rsidRPr="005A392D">
        <w:rPr>
          <w:sz w:val="20"/>
          <w:szCs w:val="20"/>
        </w:rPr>
        <w:t>u</w:t>
      </w:r>
      <w:r w:rsidRPr="005A392D">
        <w:rPr>
          <w:sz w:val="20"/>
          <w:szCs w:val="20"/>
        </w:rPr>
        <w:t xml:space="preserve">, which is a member of the Incentive Auction Task Force.  47 C.F.R. § 0.31.  </w:t>
      </w:r>
      <w:r w:rsidRPr="005A392D">
        <w:rPr>
          <w:i/>
          <w:sz w:val="20"/>
          <w:szCs w:val="20"/>
        </w:rPr>
        <w:t>See Expanding the Economic and Innovation Opportunities of Spectrum Through Incentive Auctions</w:t>
      </w:r>
      <w:r w:rsidRPr="005A392D">
        <w:rPr>
          <w:sz w:val="20"/>
          <w:szCs w:val="20"/>
        </w:rPr>
        <w:t>, GN Docket No. 12-268, Report and Order, 29 FCC Rcd 6567, 6574, para. 15 (2014) (“</w:t>
      </w:r>
      <w:r w:rsidRPr="005A392D">
        <w:rPr>
          <w:i/>
          <w:sz w:val="20"/>
          <w:szCs w:val="20"/>
        </w:rPr>
        <w:t>Incentive Auction R&amp;O</w:t>
      </w:r>
      <w:r w:rsidRPr="005A392D">
        <w:rPr>
          <w:sz w:val="20"/>
          <w:szCs w:val="20"/>
        </w:rPr>
        <w:t>”) (directing Bureau to address routine auction procedures).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426B4" w14:textId="77777777" w:rsidR="00536715" w:rsidRDefault="005367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CF886" w14:textId="77777777" w:rsidR="00536715" w:rsidRDefault="005367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ED4F5C" w14:textId="1090698C" w:rsidR="00A90ABA" w:rsidRPr="00B338A9" w:rsidRDefault="00A90ABA" w:rsidP="00B338A9">
    <w:pPr>
      <w:pStyle w:val="Header"/>
    </w:pPr>
    <w:r w:rsidRPr="00B338A9">
      <w:rPr>
        <w:noProof/>
        <w:sz w:val="24"/>
      </w:rPr>
      <w:drawing>
        <wp:anchor distT="0" distB="0" distL="114300" distR="114300" simplePos="0" relativeHeight="251659264" behindDoc="1" locked="0" layoutInCell="0" allowOverlap="1" wp14:anchorId="09A958E7" wp14:editId="6A98CCDA">
          <wp:simplePos x="0" y="0"/>
          <wp:positionH relativeFrom="column">
            <wp:posOffset>99060</wp:posOffset>
          </wp:positionH>
          <wp:positionV relativeFrom="paragraph">
            <wp:posOffset>137160</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t xml:space="preserve">      </w:t>
    </w:r>
    <w:r w:rsidRPr="00B338A9">
      <w:t>PUBLIC NOTICE</w:t>
    </w:r>
  </w:p>
  <w:p w14:paraId="310A5EA7" w14:textId="0F2DC986" w:rsidR="00A90ABA" w:rsidRDefault="00A90ABA" w:rsidP="00B338A9">
    <w:pPr>
      <w:pStyle w:val="Header"/>
    </w:pPr>
    <w:r>
      <w:rPr>
        <w:b w:val="0"/>
        <w:noProof/>
        <w:snapToGrid/>
      </w:rPr>
      <mc:AlternateContent>
        <mc:Choice Requires="wps">
          <w:drawing>
            <wp:anchor distT="0" distB="0" distL="114300" distR="114300" simplePos="0" relativeHeight="251656192" behindDoc="0" locked="0" layoutInCell="0" allowOverlap="1" wp14:anchorId="6D1B464A" wp14:editId="770281B7">
              <wp:simplePos x="0" y="0"/>
              <wp:positionH relativeFrom="margin">
                <wp:posOffset>95250</wp:posOffset>
              </wp:positionH>
              <wp:positionV relativeFrom="paragraph">
                <wp:posOffset>3175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14:paraId="222FA6EC" w14:textId="77777777" w:rsidR="00A90ABA" w:rsidRDefault="00A90ABA" w:rsidP="00D47505">
                          <w:pPr>
                            <w:rPr>
                              <w:rFonts w:ascii="Arial" w:hAnsi="Arial"/>
                              <w:b/>
                            </w:rPr>
                          </w:pPr>
                          <w:r>
                            <w:rPr>
                              <w:rFonts w:ascii="Arial" w:hAnsi="Arial"/>
                              <w:b/>
                            </w:rPr>
                            <w:t>Federal Communications Commission</w:t>
                          </w:r>
                        </w:p>
                        <w:p w14:paraId="1923814E" w14:textId="77777777" w:rsidR="00A90ABA" w:rsidRDefault="00A90ABA"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245173" w14:textId="77777777" w:rsidR="00A90ABA" w:rsidRDefault="00A90ABA"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D1B464A" id="_x0000_t202" coordsize="21600,21600" o:spt="202" path="m,l,21600r21600,l21600,xe">
              <v:stroke joinstyle="miter"/>
              <v:path gradientshapeok="t" o:connecttype="rect"/>
            </v:shapetype>
            <v:shape id="Text Box 3" o:spid="_x0000_s1026" type="#_x0000_t202" style="position:absolute;margin-left:7.5pt;margin-top:.2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" o:allowincell="f" stroked="f">
              <v:textbox>
                <w:txbxContent>
                  <w:p w14:paraId="222FA6EC" w14:textId="77777777" w:rsidR="00A90ABA" w:rsidRDefault="00A90ABA" w:rsidP="00D47505">
                    <w:pPr>
                      <w:rPr>
                        <w:rFonts w:ascii="Arial" w:hAnsi="Arial"/>
                        <w:b/>
                      </w:rPr>
                    </w:pPr>
                    <w:r>
                      <w:rPr>
                        <w:rFonts w:ascii="Arial" w:hAnsi="Arial"/>
                        <w:b/>
                      </w:rPr>
                      <w:t>Federal Communications Commission</w:t>
                    </w:r>
                  </w:p>
                  <w:p w14:paraId="1923814E" w14:textId="77777777" w:rsidR="00A90ABA" w:rsidRDefault="00A90ABA"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2245173" w14:textId="77777777" w:rsidR="00A90ABA" w:rsidRDefault="00A90ABA" w:rsidP="00D47505">
                    <w:pPr>
                      <w:rPr>
                        <w:rFonts w:ascii="Arial" w:hAnsi="Arial"/>
                        <w:sz w:val="24"/>
                      </w:rPr>
                    </w:pPr>
                    <w:r>
                      <w:rPr>
                        <w:rFonts w:ascii="Arial" w:hAnsi="Arial"/>
                        <w:b/>
                      </w:rPr>
                      <w:t>Washington, D.C. 20554</w:t>
                    </w:r>
                  </w:p>
                </w:txbxContent>
              </v:textbox>
              <w10:wrap anchorx="margin"/>
            </v:shape>
          </w:pict>
        </mc:Fallback>
      </mc:AlternateContent>
    </w:r>
    <w:r>
      <w:rPr>
        <w:b w:val="0"/>
        <w:noProof/>
        <w:snapToGrid/>
      </w:rPr>
      <mc:AlternateContent>
        <mc:Choice Requires="wps">
          <w:drawing>
            <wp:anchor distT="4294967294" distB="4294967294" distL="114300" distR="114300" simplePos="0" relativeHeight="251657216" behindDoc="0" locked="0" layoutInCell="0" allowOverlap="1" wp14:anchorId="46574CD2" wp14:editId="1E2ADD92">
              <wp:simplePos x="0" y="0"/>
              <wp:positionH relativeFrom="margin">
                <wp:align>right</wp:align>
              </wp:positionH>
              <wp:positionV relativeFrom="paragraph">
                <wp:posOffset>720089</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AA369AE" id="Line 4" o:spid="_x0000_s1026" style="position:absolute;z-index:251657216;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" o:allowincell="f">
              <w10:wrap anchorx="margin"/>
            </v:line>
          </w:pict>
        </mc:Fallback>
      </mc:AlternateContent>
    </w:r>
    <w:r>
      <w:rPr>
        <w:b w:val="0"/>
        <w:noProof/>
        <w:snapToGrid/>
      </w:rPr>
      <mc:AlternateContent>
        <mc:Choice Requires="wps">
          <w:drawing>
            <wp:anchor distT="0" distB="0" distL="114300" distR="114300" simplePos="0" relativeHeight="251658240" behindDoc="0" locked="0" layoutInCell="0" allowOverlap="1" wp14:anchorId="6D82F63D" wp14:editId="542D77F2">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wps:spPr>
                    <wps:txbx>
                      <w:txbxContent>
                        <w:p w14:paraId="5464D3EA" w14:textId="6D5B54BE" w:rsidR="00A90ABA" w:rsidRDefault="00A90ABA" w:rsidP="00D47505">
                          <w:pPr>
                            <w:spacing w:before="40"/>
                            <w:jc w:val="right"/>
                            <w:rPr>
                              <w:rFonts w:ascii="Arial" w:hAnsi="Arial"/>
                              <w:b/>
                              <w:sz w:val="16"/>
                            </w:rPr>
                          </w:pPr>
                          <w:r>
                            <w:rPr>
                              <w:rFonts w:ascii="Arial" w:hAnsi="Arial"/>
                              <w:b/>
                              <w:sz w:val="16"/>
                            </w:rPr>
                            <w:t>News Media Information</w:t>
                          </w:r>
                          <w:r w:rsidR="00CE3BE4">
                            <w:rPr>
                              <w:rFonts w:ascii="Arial" w:hAnsi="Arial"/>
                              <w:b/>
                              <w:sz w:val="16"/>
                            </w:rPr>
                            <w:t>:</w:t>
                          </w:r>
                          <w:r>
                            <w:rPr>
                              <w:rFonts w:ascii="Arial" w:hAnsi="Arial"/>
                              <w:b/>
                              <w:sz w:val="16"/>
                            </w:rPr>
                            <w:t xml:space="preserve"> 202</w:t>
                          </w:r>
                          <w:r w:rsidR="00CE3BE4">
                            <w:rPr>
                              <w:rFonts w:ascii="Arial" w:hAnsi="Arial"/>
                              <w:b/>
                              <w:sz w:val="16"/>
                            </w:rPr>
                            <w:t>-</w:t>
                          </w:r>
                          <w:r>
                            <w:rPr>
                              <w:rFonts w:ascii="Arial" w:hAnsi="Arial"/>
                              <w:b/>
                              <w:sz w:val="16"/>
                            </w:rPr>
                            <w:t>418-0500</w:t>
                          </w:r>
                        </w:p>
                        <w:p w14:paraId="3B22A3AE" w14:textId="18A74872" w:rsidR="00A90ABA" w:rsidRDefault="00A90ABA"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225116">
                            <w:rPr>
                              <w:rFonts w:ascii="Arial" w:hAnsi="Arial"/>
                              <w:b/>
                              <w:sz w:val="16"/>
                            </w:rPr>
                            <w:instrText>HYPERLINK "https://www.fcc.gov/"</w:instrText>
                          </w:r>
                          <w:r w:rsidR="00225116">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3AEE24BA" w14:textId="63CEEA58" w:rsidR="00A90ABA" w:rsidRDefault="00A90ABA" w:rsidP="00B338A9">
                          <w:pPr>
                            <w:jc w:val="right"/>
                          </w:pPr>
                          <w:r>
                            <w:rPr>
                              <w:rFonts w:ascii="Arial" w:hAnsi="Arial"/>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" o:allowincell="f" stroked="f">
              <v:textbox inset=",0,,0">
                <w:txbxContent>
                  <w:p w14:paraId="5464D3EA" w14:textId="6D5B54BE" w:rsidR="00A90ABA" w:rsidRDefault="00A90ABA" w:rsidP="00D47505">
                    <w:pPr>
                      <w:spacing w:before="40"/>
                      <w:jc w:val="right"/>
                      <w:rPr>
                        <w:rFonts w:ascii="Arial" w:hAnsi="Arial"/>
                        <w:b/>
                        <w:sz w:val="16"/>
                      </w:rPr>
                    </w:pPr>
                    <w:r>
                      <w:rPr>
                        <w:rFonts w:ascii="Arial" w:hAnsi="Arial"/>
                        <w:b/>
                        <w:sz w:val="16"/>
                      </w:rPr>
                      <w:t>News Media Information</w:t>
                    </w:r>
                    <w:r w:rsidR="00CE3BE4">
                      <w:rPr>
                        <w:rFonts w:ascii="Arial" w:hAnsi="Arial"/>
                        <w:b/>
                        <w:sz w:val="16"/>
                      </w:rPr>
                      <w:t>:</w:t>
                    </w:r>
                    <w:r>
                      <w:rPr>
                        <w:rFonts w:ascii="Arial" w:hAnsi="Arial"/>
                        <w:b/>
                        <w:sz w:val="16"/>
                      </w:rPr>
                      <w:t xml:space="preserve"> 202</w:t>
                    </w:r>
                    <w:r w:rsidR="00CE3BE4">
                      <w:rPr>
                        <w:rFonts w:ascii="Arial" w:hAnsi="Arial"/>
                        <w:b/>
                        <w:sz w:val="16"/>
                      </w:rPr>
                      <w:t>-</w:t>
                    </w:r>
                    <w:r>
                      <w:rPr>
                        <w:rFonts w:ascii="Arial" w:hAnsi="Arial"/>
                        <w:b/>
                        <w:sz w:val="16"/>
                      </w:rPr>
                      <w:t>418-0500</w:t>
                    </w:r>
                  </w:p>
                  <w:p w14:paraId="3B22A3AE" w14:textId="18A74872" w:rsidR="00A90ABA" w:rsidRDefault="00A90ABA"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225116">
                      <w:rPr>
                        <w:rFonts w:ascii="Arial" w:hAnsi="Arial"/>
                        <w:b/>
                        <w:sz w:val="16"/>
                      </w:rPr>
                      <w:instrText>HYPERLINK "https://www.fcc.gov/"</w:instrText>
                    </w:r>
                    <w:r w:rsidR="00225116">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3AEE24BA" w14:textId="63CEEA58" w:rsidR="00A90ABA" w:rsidRDefault="00A90ABA" w:rsidP="00B338A9">
                    <w:pPr>
                      <w:jc w:val="right"/>
                    </w:pPr>
                    <w:r>
                      <w:rPr>
                        <w:rFonts w:ascii="Arial" w:hAnsi="Arial"/>
                        <w:b/>
                        <w:sz w:val="16"/>
                      </w:rP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D994D21"/>
    <w:multiLevelType w:val="hybridMultilevel"/>
    <w:tmpl w:val="F8D0E5FA"/>
    <w:lvl w:ilvl="0" w:tplc="F872BF0E">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 w:numId="9">
    <w:abstractNumId w:val="6"/>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83D"/>
    <w:rsid w:val="000006B4"/>
    <w:rsid w:val="00004D81"/>
    <w:rsid w:val="00021874"/>
    <w:rsid w:val="00026DD5"/>
    <w:rsid w:val="00034807"/>
    <w:rsid w:val="00035398"/>
    <w:rsid w:val="00035FE8"/>
    <w:rsid w:val="00036039"/>
    <w:rsid w:val="00037F90"/>
    <w:rsid w:val="00050730"/>
    <w:rsid w:val="00052DFF"/>
    <w:rsid w:val="00056095"/>
    <w:rsid w:val="00060613"/>
    <w:rsid w:val="00070507"/>
    <w:rsid w:val="00071001"/>
    <w:rsid w:val="000722E4"/>
    <w:rsid w:val="000814F3"/>
    <w:rsid w:val="000817E1"/>
    <w:rsid w:val="00082B93"/>
    <w:rsid w:val="00083A0E"/>
    <w:rsid w:val="000860D5"/>
    <w:rsid w:val="000875BF"/>
    <w:rsid w:val="00092FCE"/>
    <w:rsid w:val="00094647"/>
    <w:rsid w:val="00096A36"/>
    <w:rsid w:val="00096D8C"/>
    <w:rsid w:val="000A6AD3"/>
    <w:rsid w:val="000B7377"/>
    <w:rsid w:val="000C0B65"/>
    <w:rsid w:val="000C2E3D"/>
    <w:rsid w:val="000C3301"/>
    <w:rsid w:val="000D1358"/>
    <w:rsid w:val="000D2367"/>
    <w:rsid w:val="000D6AF7"/>
    <w:rsid w:val="000E05FE"/>
    <w:rsid w:val="000E3D42"/>
    <w:rsid w:val="000E3D82"/>
    <w:rsid w:val="000E62C3"/>
    <w:rsid w:val="000E6B85"/>
    <w:rsid w:val="000F6C18"/>
    <w:rsid w:val="00102FD9"/>
    <w:rsid w:val="001055B1"/>
    <w:rsid w:val="00110A38"/>
    <w:rsid w:val="001155F5"/>
    <w:rsid w:val="0011633A"/>
    <w:rsid w:val="001163C6"/>
    <w:rsid w:val="001202FC"/>
    <w:rsid w:val="00120323"/>
    <w:rsid w:val="00122BD5"/>
    <w:rsid w:val="00123988"/>
    <w:rsid w:val="00132A5A"/>
    <w:rsid w:val="00133F79"/>
    <w:rsid w:val="00135326"/>
    <w:rsid w:val="00140682"/>
    <w:rsid w:val="001439CF"/>
    <w:rsid w:val="00144548"/>
    <w:rsid w:val="00145DD9"/>
    <w:rsid w:val="00147576"/>
    <w:rsid w:val="0015119A"/>
    <w:rsid w:val="0015170B"/>
    <w:rsid w:val="00154C05"/>
    <w:rsid w:val="00155B5F"/>
    <w:rsid w:val="00155F3B"/>
    <w:rsid w:val="001571FF"/>
    <w:rsid w:val="00165235"/>
    <w:rsid w:val="00170060"/>
    <w:rsid w:val="00171222"/>
    <w:rsid w:val="00172DA0"/>
    <w:rsid w:val="001737E0"/>
    <w:rsid w:val="00194A66"/>
    <w:rsid w:val="00194B31"/>
    <w:rsid w:val="0019654E"/>
    <w:rsid w:val="001A1ED9"/>
    <w:rsid w:val="001A3579"/>
    <w:rsid w:val="001A7ED2"/>
    <w:rsid w:val="001B486B"/>
    <w:rsid w:val="001B576B"/>
    <w:rsid w:val="001C7761"/>
    <w:rsid w:val="001C7C54"/>
    <w:rsid w:val="001D1116"/>
    <w:rsid w:val="001D32E4"/>
    <w:rsid w:val="001D3B15"/>
    <w:rsid w:val="001D6BCF"/>
    <w:rsid w:val="001E01CA"/>
    <w:rsid w:val="001E0415"/>
    <w:rsid w:val="001F691C"/>
    <w:rsid w:val="00200420"/>
    <w:rsid w:val="0020639D"/>
    <w:rsid w:val="00206F70"/>
    <w:rsid w:val="002124E9"/>
    <w:rsid w:val="00215FE9"/>
    <w:rsid w:val="00223B28"/>
    <w:rsid w:val="00225116"/>
    <w:rsid w:val="00227694"/>
    <w:rsid w:val="00230D99"/>
    <w:rsid w:val="00234686"/>
    <w:rsid w:val="00234998"/>
    <w:rsid w:val="002400BA"/>
    <w:rsid w:val="00246607"/>
    <w:rsid w:val="002470D3"/>
    <w:rsid w:val="0024739F"/>
    <w:rsid w:val="00250AF3"/>
    <w:rsid w:val="002519EF"/>
    <w:rsid w:val="002541B6"/>
    <w:rsid w:val="00255DF7"/>
    <w:rsid w:val="00261400"/>
    <w:rsid w:val="0027026E"/>
    <w:rsid w:val="00275CF5"/>
    <w:rsid w:val="0028301F"/>
    <w:rsid w:val="00285017"/>
    <w:rsid w:val="00292B9A"/>
    <w:rsid w:val="002A28A5"/>
    <w:rsid w:val="002A2D2E"/>
    <w:rsid w:val="002B35C1"/>
    <w:rsid w:val="002C00E8"/>
    <w:rsid w:val="002C0929"/>
    <w:rsid w:val="002C5CDC"/>
    <w:rsid w:val="002D3BB1"/>
    <w:rsid w:val="002E3689"/>
    <w:rsid w:val="002E4E78"/>
    <w:rsid w:val="002F4E2F"/>
    <w:rsid w:val="00300085"/>
    <w:rsid w:val="003008F2"/>
    <w:rsid w:val="00302E61"/>
    <w:rsid w:val="00303036"/>
    <w:rsid w:val="00310A0E"/>
    <w:rsid w:val="003125FE"/>
    <w:rsid w:val="00313386"/>
    <w:rsid w:val="0031745C"/>
    <w:rsid w:val="0032319E"/>
    <w:rsid w:val="003418D9"/>
    <w:rsid w:val="00343749"/>
    <w:rsid w:val="00346B5A"/>
    <w:rsid w:val="00355441"/>
    <w:rsid w:val="00355639"/>
    <w:rsid w:val="003611DB"/>
    <w:rsid w:val="00361F94"/>
    <w:rsid w:val="00365158"/>
    <w:rsid w:val="00365681"/>
    <w:rsid w:val="003660ED"/>
    <w:rsid w:val="00367103"/>
    <w:rsid w:val="003768D4"/>
    <w:rsid w:val="00376D6D"/>
    <w:rsid w:val="00381B6C"/>
    <w:rsid w:val="00385F50"/>
    <w:rsid w:val="00386C2E"/>
    <w:rsid w:val="00390312"/>
    <w:rsid w:val="00392EA7"/>
    <w:rsid w:val="0039329D"/>
    <w:rsid w:val="003B0550"/>
    <w:rsid w:val="003B3CC5"/>
    <w:rsid w:val="003B694F"/>
    <w:rsid w:val="003C1C7A"/>
    <w:rsid w:val="003D069E"/>
    <w:rsid w:val="003D66A7"/>
    <w:rsid w:val="003D698D"/>
    <w:rsid w:val="003E3B81"/>
    <w:rsid w:val="003F171C"/>
    <w:rsid w:val="00401515"/>
    <w:rsid w:val="00407284"/>
    <w:rsid w:val="004111E9"/>
    <w:rsid w:val="00411D3A"/>
    <w:rsid w:val="00411E2D"/>
    <w:rsid w:val="00412FC5"/>
    <w:rsid w:val="00415808"/>
    <w:rsid w:val="00422276"/>
    <w:rsid w:val="004237AB"/>
    <w:rsid w:val="00423E28"/>
    <w:rsid w:val="004242F1"/>
    <w:rsid w:val="00425B1F"/>
    <w:rsid w:val="00431DC2"/>
    <w:rsid w:val="00440D5D"/>
    <w:rsid w:val="004430F1"/>
    <w:rsid w:val="00445986"/>
    <w:rsid w:val="00445A00"/>
    <w:rsid w:val="00447BB0"/>
    <w:rsid w:val="0045100D"/>
    <w:rsid w:val="00451B0F"/>
    <w:rsid w:val="00457DB2"/>
    <w:rsid w:val="0046207E"/>
    <w:rsid w:val="0046227C"/>
    <w:rsid w:val="00463B09"/>
    <w:rsid w:val="00470E58"/>
    <w:rsid w:val="00471D41"/>
    <w:rsid w:val="00474522"/>
    <w:rsid w:val="00476D1E"/>
    <w:rsid w:val="0047719D"/>
    <w:rsid w:val="00483D90"/>
    <w:rsid w:val="00485F71"/>
    <w:rsid w:val="00496BBC"/>
    <w:rsid w:val="004A171F"/>
    <w:rsid w:val="004A1B55"/>
    <w:rsid w:val="004A4D68"/>
    <w:rsid w:val="004A6A98"/>
    <w:rsid w:val="004B4409"/>
    <w:rsid w:val="004B757A"/>
    <w:rsid w:val="004B7B8F"/>
    <w:rsid w:val="004B7BFF"/>
    <w:rsid w:val="004C2EE3"/>
    <w:rsid w:val="004D3EF9"/>
    <w:rsid w:val="004D52B9"/>
    <w:rsid w:val="004E1D0F"/>
    <w:rsid w:val="004E4A22"/>
    <w:rsid w:val="004E5B62"/>
    <w:rsid w:val="004F1CFC"/>
    <w:rsid w:val="00503616"/>
    <w:rsid w:val="00504A45"/>
    <w:rsid w:val="00511968"/>
    <w:rsid w:val="00521406"/>
    <w:rsid w:val="00525978"/>
    <w:rsid w:val="00533290"/>
    <w:rsid w:val="00534FCB"/>
    <w:rsid w:val="00535715"/>
    <w:rsid w:val="00536715"/>
    <w:rsid w:val="0054041A"/>
    <w:rsid w:val="00542BB3"/>
    <w:rsid w:val="005432F2"/>
    <w:rsid w:val="00547B52"/>
    <w:rsid w:val="00554E80"/>
    <w:rsid w:val="0055614C"/>
    <w:rsid w:val="005619DB"/>
    <w:rsid w:val="00564121"/>
    <w:rsid w:val="00566FBB"/>
    <w:rsid w:val="00567373"/>
    <w:rsid w:val="005724ED"/>
    <w:rsid w:val="0057398B"/>
    <w:rsid w:val="00573BE9"/>
    <w:rsid w:val="005A392D"/>
    <w:rsid w:val="005A3C93"/>
    <w:rsid w:val="005A5C8C"/>
    <w:rsid w:val="005A5E8D"/>
    <w:rsid w:val="005A6047"/>
    <w:rsid w:val="005B3A6C"/>
    <w:rsid w:val="005B3BD0"/>
    <w:rsid w:val="005B7995"/>
    <w:rsid w:val="005C5305"/>
    <w:rsid w:val="005C59F7"/>
    <w:rsid w:val="005C6B2D"/>
    <w:rsid w:val="005C7145"/>
    <w:rsid w:val="005E14C2"/>
    <w:rsid w:val="005F3611"/>
    <w:rsid w:val="005F5614"/>
    <w:rsid w:val="005F6C46"/>
    <w:rsid w:val="00601F8F"/>
    <w:rsid w:val="00602984"/>
    <w:rsid w:val="00603D95"/>
    <w:rsid w:val="006063F8"/>
    <w:rsid w:val="00607BA5"/>
    <w:rsid w:val="0061180A"/>
    <w:rsid w:val="006143C1"/>
    <w:rsid w:val="00623067"/>
    <w:rsid w:val="00625D81"/>
    <w:rsid w:val="00626EB6"/>
    <w:rsid w:val="00633216"/>
    <w:rsid w:val="00640307"/>
    <w:rsid w:val="006404E7"/>
    <w:rsid w:val="0064290D"/>
    <w:rsid w:val="0064695C"/>
    <w:rsid w:val="0065170A"/>
    <w:rsid w:val="006518BB"/>
    <w:rsid w:val="00655457"/>
    <w:rsid w:val="00655D03"/>
    <w:rsid w:val="00657EF1"/>
    <w:rsid w:val="00662EA7"/>
    <w:rsid w:val="00664FAD"/>
    <w:rsid w:val="00665F13"/>
    <w:rsid w:val="00666979"/>
    <w:rsid w:val="00670C9B"/>
    <w:rsid w:val="00673CDB"/>
    <w:rsid w:val="0068011D"/>
    <w:rsid w:val="00683388"/>
    <w:rsid w:val="0068391B"/>
    <w:rsid w:val="00683F84"/>
    <w:rsid w:val="0068630D"/>
    <w:rsid w:val="00691263"/>
    <w:rsid w:val="00691A50"/>
    <w:rsid w:val="006978E1"/>
    <w:rsid w:val="00697B83"/>
    <w:rsid w:val="006A1F49"/>
    <w:rsid w:val="006A3B08"/>
    <w:rsid w:val="006A5AC3"/>
    <w:rsid w:val="006A6691"/>
    <w:rsid w:val="006A6A81"/>
    <w:rsid w:val="006B0DFD"/>
    <w:rsid w:val="006B1456"/>
    <w:rsid w:val="006B68D2"/>
    <w:rsid w:val="006C37D1"/>
    <w:rsid w:val="006D349F"/>
    <w:rsid w:val="006D5D79"/>
    <w:rsid w:val="006E3601"/>
    <w:rsid w:val="006E74AC"/>
    <w:rsid w:val="006E7E66"/>
    <w:rsid w:val="006F4A8E"/>
    <w:rsid w:val="006F7393"/>
    <w:rsid w:val="007012D1"/>
    <w:rsid w:val="0070224F"/>
    <w:rsid w:val="00703925"/>
    <w:rsid w:val="007115F7"/>
    <w:rsid w:val="007158ED"/>
    <w:rsid w:val="00732409"/>
    <w:rsid w:val="0073614C"/>
    <w:rsid w:val="00736C10"/>
    <w:rsid w:val="007412D3"/>
    <w:rsid w:val="00760706"/>
    <w:rsid w:val="00762940"/>
    <w:rsid w:val="00763994"/>
    <w:rsid w:val="0077071B"/>
    <w:rsid w:val="00773527"/>
    <w:rsid w:val="00773EF6"/>
    <w:rsid w:val="00774133"/>
    <w:rsid w:val="007769F0"/>
    <w:rsid w:val="0078352E"/>
    <w:rsid w:val="00785689"/>
    <w:rsid w:val="00786E85"/>
    <w:rsid w:val="0078768E"/>
    <w:rsid w:val="00793DE8"/>
    <w:rsid w:val="0079521C"/>
    <w:rsid w:val="0079754B"/>
    <w:rsid w:val="007A034B"/>
    <w:rsid w:val="007A1E6D"/>
    <w:rsid w:val="007A5C0E"/>
    <w:rsid w:val="007A7353"/>
    <w:rsid w:val="007A7A34"/>
    <w:rsid w:val="007B0EB2"/>
    <w:rsid w:val="007B4FF1"/>
    <w:rsid w:val="007B61B0"/>
    <w:rsid w:val="007B6A98"/>
    <w:rsid w:val="007B7628"/>
    <w:rsid w:val="007C2ED1"/>
    <w:rsid w:val="007C487C"/>
    <w:rsid w:val="007C618F"/>
    <w:rsid w:val="007C7849"/>
    <w:rsid w:val="007D0731"/>
    <w:rsid w:val="007E1B03"/>
    <w:rsid w:val="007F413A"/>
    <w:rsid w:val="007F452A"/>
    <w:rsid w:val="008010D5"/>
    <w:rsid w:val="00804FFA"/>
    <w:rsid w:val="00810B6F"/>
    <w:rsid w:val="00820AAE"/>
    <w:rsid w:val="00822982"/>
    <w:rsid w:val="00822CE0"/>
    <w:rsid w:val="008259A7"/>
    <w:rsid w:val="00833C36"/>
    <w:rsid w:val="0083464C"/>
    <w:rsid w:val="008353F1"/>
    <w:rsid w:val="008356F1"/>
    <w:rsid w:val="008419BE"/>
    <w:rsid w:val="00841AB1"/>
    <w:rsid w:val="00843E1C"/>
    <w:rsid w:val="00844F4E"/>
    <w:rsid w:val="00845A05"/>
    <w:rsid w:val="0084672F"/>
    <w:rsid w:val="00857680"/>
    <w:rsid w:val="008655EE"/>
    <w:rsid w:val="008663DC"/>
    <w:rsid w:val="00876B71"/>
    <w:rsid w:val="00883218"/>
    <w:rsid w:val="008904B5"/>
    <w:rsid w:val="0089347B"/>
    <w:rsid w:val="00895167"/>
    <w:rsid w:val="00897921"/>
    <w:rsid w:val="008A3D78"/>
    <w:rsid w:val="008A41CE"/>
    <w:rsid w:val="008A64FA"/>
    <w:rsid w:val="008B6356"/>
    <w:rsid w:val="008C3B87"/>
    <w:rsid w:val="008C61FD"/>
    <w:rsid w:val="008C68F1"/>
    <w:rsid w:val="008C767B"/>
    <w:rsid w:val="008D0CE9"/>
    <w:rsid w:val="008E2759"/>
    <w:rsid w:val="008F0DEC"/>
    <w:rsid w:val="008F6254"/>
    <w:rsid w:val="008F70AE"/>
    <w:rsid w:val="009007B1"/>
    <w:rsid w:val="00921803"/>
    <w:rsid w:val="00921C29"/>
    <w:rsid w:val="009256EA"/>
    <w:rsid w:val="00926503"/>
    <w:rsid w:val="009266BA"/>
    <w:rsid w:val="00927068"/>
    <w:rsid w:val="009272C5"/>
    <w:rsid w:val="009276E5"/>
    <w:rsid w:val="009314E4"/>
    <w:rsid w:val="0093166F"/>
    <w:rsid w:val="009328F4"/>
    <w:rsid w:val="00933C54"/>
    <w:rsid w:val="00937DE5"/>
    <w:rsid w:val="009437E1"/>
    <w:rsid w:val="00944CD3"/>
    <w:rsid w:val="00944F63"/>
    <w:rsid w:val="00947789"/>
    <w:rsid w:val="0095305C"/>
    <w:rsid w:val="00960B9A"/>
    <w:rsid w:val="009639A8"/>
    <w:rsid w:val="00965837"/>
    <w:rsid w:val="009726D8"/>
    <w:rsid w:val="00974D04"/>
    <w:rsid w:val="0097786A"/>
    <w:rsid w:val="00982FB5"/>
    <w:rsid w:val="00983AFC"/>
    <w:rsid w:val="00985534"/>
    <w:rsid w:val="009912D4"/>
    <w:rsid w:val="00991948"/>
    <w:rsid w:val="00991E01"/>
    <w:rsid w:val="00995296"/>
    <w:rsid w:val="009A128A"/>
    <w:rsid w:val="009A3165"/>
    <w:rsid w:val="009A6061"/>
    <w:rsid w:val="009A7C46"/>
    <w:rsid w:val="009B512D"/>
    <w:rsid w:val="009C15BE"/>
    <w:rsid w:val="009D4886"/>
    <w:rsid w:val="009D7BB9"/>
    <w:rsid w:val="009E5937"/>
    <w:rsid w:val="009F0FDD"/>
    <w:rsid w:val="009F33CE"/>
    <w:rsid w:val="009F47CA"/>
    <w:rsid w:val="009F76DB"/>
    <w:rsid w:val="00A016B2"/>
    <w:rsid w:val="00A06049"/>
    <w:rsid w:val="00A216E7"/>
    <w:rsid w:val="00A21F55"/>
    <w:rsid w:val="00A23F14"/>
    <w:rsid w:val="00A31385"/>
    <w:rsid w:val="00A32C3B"/>
    <w:rsid w:val="00A45F4F"/>
    <w:rsid w:val="00A47907"/>
    <w:rsid w:val="00A51B69"/>
    <w:rsid w:val="00A54D04"/>
    <w:rsid w:val="00A5565A"/>
    <w:rsid w:val="00A55B6A"/>
    <w:rsid w:val="00A55EB2"/>
    <w:rsid w:val="00A600A9"/>
    <w:rsid w:val="00A60FCD"/>
    <w:rsid w:val="00A6619D"/>
    <w:rsid w:val="00A80A16"/>
    <w:rsid w:val="00A815E5"/>
    <w:rsid w:val="00A81EDD"/>
    <w:rsid w:val="00A840EE"/>
    <w:rsid w:val="00A84DD0"/>
    <w:rsid w:val="00A857C0"/>
    <w:rsid w:val="00A90ABA"/>
    <w:rsid w:val="00AA55B7"/>
    <w:rsid w:val="00AA58EE"/>
    <w:rsid w:val="00AA5B9E"/>
    <w:rsid w:val="00AB2407"/>
    <w:rsid w:val="00AB53DF"/>
    <w:rsid w:val="00AC424B"/>
    <w:rsid w:val="00AD4777"/>
    <w:rsid w:val="00AE63D6"/>
    <w:rsid w:val="00AF000E"/>
    <w:rsid w:val="00AF1179"/>
    <w:rsid w:val="00AF1E5E"/>
    <w:rsid w:val="00AF2D50"/>
    <w:rsid w:val="00AF46DC"/>
    <w:rsid w:val="00AF59FA"/>
    <w:rsid w:val="00B00318"/>
    <w:rsid w:val="00B03A07"/>
    <w:rsid w:val="00B07BA7"/>
    <w:rsid w:val="00B07E5C"/>
    <w:rsid w:val="00B14965"/>
    <w:rsid w:val="00B20363"/>
    <w:rsid w:val="00B210C7"/>
    <w:rsid w:val="00B27D95"/>
    <w:rsid w:val="00B338A9"/>
    <w:rsid w:val="00B354AF"/>
    <w:rsid w:val="00B37D27"/>
    <w:rsid w:val="00B441EA"/>
    <w:rsid w:val="00B46265"/>
    <w:rsid w:val="00B54ED8"/>
    <w:rsid w:val="00B60286"/>
    <w:rsid w:val="00B60757"/>
    <w:rsid w:val="00B678A3"/>
    <w:rsid w:val="00B679AB"/>
    <w:rsid w:val="00B72771"/>
    <w:rsid w:val="00B7340B"/>
    <w:rsid w:val="00B76DB8"/>
    <w:rsid w:val="00B80C63"/>
    <w:rsid w:val="00B811F7"/>
    <w:rsid w:val="00B83013"/>
    <w:rsid w:val="00B928A2"/>
    <w:rsid w:val="00B97DE8"/>
    <w:rsid w:val="00BA1865"/>
    <w:rsid w:val="00BA3BCC"/>
    <w:rsid w:val="00BA4615"/>
    <w:rsid w:val="00BA5DC6"/>
    <w:rsid w:val="00BA5E9A"/>
    <w:rsid w:val="00BA6196"/>
    <w:rsid w:val="00BB08D1"/>
    <w:rsid w:val="00BB13E9"/>
    <w:rsid w:val="00BB51B3"/>
    <w:rsid w:val="00BC25EA"/>
    <w:rsid w:val="00BC6D8C"/>
    <w:rsid w:val="00BE2223"/>
    <w:rsid w:val="00BE4142"/>
    <w:rsid w:val="00BE5E3C"/>
    <w:rsid w:val="00C00C00"/>
    <w:rsid w:val="00C02E3E"/>
    <w:rsid w:val="00C14A33"/>
    <w:rsid w:val="00C15D20"/>
    <w:rsid w:val="00C17678"/>
    <w:rsid w:val="00C22632"/>
    <w:rsid w:val="00C233E5"/>
    <w:rsid w:val="00C24188"/>
    <w:rsid w:val="00C278EE"/>
    <w:rsid w:val="00C32940"/>
    <w:rsid w:val="00C34006"/>
    <w:rsid w:val="00C346A6"/>
    <w:rsid w:val="00C356CF"/>
    <w:rsid w:val="00C426B1"/>
    <w:rsid w:val="00C450F5"/>
    <w:rsid w:val="00C47366"/>
    <w:rsid w:val="00C4758F"/>
    <w:rsid w:val="00C66160"/>
    <w:rsid w:val="00C7059C"/>
    <w:rsid w:val="00C71B8F"/>
    <w:rsid w:val="00C721AC"/>
    <w:rsid w:val="00C80082"/>
    <w:rsid w:val="00C82E57"/>
    <w:rsid w:val="00C84F60"/>
    <w:rsid w:val="00C90D6A"/>
    <w:rsid w:val="00C932F2"/>
    <w:rsid w:val="00C94A21"/>
    <w:rsid w:val="00C969BB"/>
    <w:rsid w:val="00CA03FA"/>
    <w:rsid w:val="00CA247E"/>
    <w:rsid w:val="00CA3A0D"/>
    <w:rsid w:val="00CA55DD"/>
    <w:rsid w:val="00CA6A4D"/>
    <w:rsid w:val="00CA7121"/>
    <w:rsid w:val="00CB1B19"/>
    <w:rsid w:val="00CB3714"/>
    <w:rsid w:val="00CB3EAD"/>
    <w:rsid w:val="00CB51F9"/>
    <w:rsid w:val="00CB7D92"/>
    <w:rsid w:val="00CC441F"/>
    <w:rsid w:val="00CC5E5C"/>
    <w:rsid w:val="00CC72B6"/>
    <w:rsid w:val="00CC776F"/>
    <w:rsid w:val="00CD4F21"/>
    <w:rsid w:val="00CD583D"/>
    <w:rsid w:val="00CE1453"/>
    <w:rsid w:val="00CE3BE4"/>
    <w:rsid w:val="00CE7294"/>
    <w:rsid w:val="00CF087D"/>
    <w:rsid w:val="00CF1228"/>
    <w:rsid w:val="00CF78D7"/>
    <w:rsid w:val="00D01A1D"/>
    <w:rsid w:val="00D0218D"/>
    <w:rsid w:val="00D049D2"/>
    <w:rsid w:val="00D054E0"/>
    <w:rsid w:val="00D10731"/>
    <w:rsid w:val="00D10EE3"/>
    <w:rsid w:val="00D13CD0"/>
    <w:rsid w:val="00D13F19"/>
    <w:rsid w:val="00D15DA9"/>
    <w:rsid w:val="00D15ECE"/>
    <w:rsid w:val="00D24040"/>
    <w:rsid w:val="00D24BD9"/>
    <w:rsid w:val="00D25FB5"/>
    <w:rsid w:val="00D2679C"/>
    <w:rsid w:val="00D32890"/>
    <w:rsid w:val="00D427D0"/>
    <w:rsid w:val="00D4354F"/>
    <w:rsid w:val="00D44223"/>
    <w:rsid w:val="00D457F6"/>
    <w:rsid w:val="00D470F4"/>
    <w:rsid w:val="00D47505"/>
    <w:rsid w:val="00D47714"/>
    <w:rsid w:val="00D50242"/>
    <w:rsid w:val="00D5268F"/>
    <w:rsid w:val="00D6007A"/>
    <w:rsid w:val="00D61B7B"/>
    <w:rsid w:val="00D71470"/>
    <w:rsid w:val="00D7190C"/>
    <w:rsid w:val="00D746F3"/>
    <w:rsid w:val="00D82E34"/>
    <w:rsid w:val="00D840ED"/>
    <w:rsid w:val="00D90EB8"/>
    <w:rsid w:val="00D92E80"/>
    <w:rsid w:val="00D95B72"/>
    <w:rsid w:val="00DA1F68"/>
    <w:rsid w:val="00DA2529"/>
    <w:rsid w:val="00DB130A"/>
    <w:rsid w:val="00DB2C14"/>
    <w:rsid w:val="00DB2EBB"/>
    <w:rsid w:val="00DB5C2C"/>
    <w:rsid w:val="00DC10A1"/>
    <w:rsid w:val="00DC655F"/>
    <w:rsid w:val="00DD0B59"/>
    <w:rsid w:val="00DD2139"/>
    <w:rsid w:val="00DD52F4"/>
    <w:rsid w:val="00DD7EBD"/>
    <w:rsid w:val="00DD7FE9"/>
    <w:rsid w:val="00DE016E"/>
    <w:rsid w:val="00DE4C8D"/>
    <w:rsid w:val="00DF0810"/>
    <w:rsid w:val="00DF3339"/>
    <w:rsid w:val="00DF5113"/>
    <w:rsid w:val="00DF62B6"/>
    <w:rsid w:val="00E02A3E"/>
    <w:rsid w:val="00E03C7F"/>
    <w:rsid w:val="00E06FA8"/>
    <w:rsid w:val="00E07225"/>
    <w:rsid w:val="00E205A5"/>
    <w:rsid w:val="00E228A7"/>
    <w:rsid w:val="00E26A5A"/>
    <w:rsid w:val="00E27EE5"/>
    <w:rsid w:val="00E33D0C"/>
    <w:rsid w:val="00E361E3"/>
    <w:rsid w:val="00E465FD"/>
    <w:rsid w:val="00E53487"/>
    <w:rsid w:val="00E5409F"/>
    <w:rsid w:val="00E54487"/>
    <w:rsid w:val="00E56413"/>
    <w:rsid w:val="00E566C4"/>
    <w:rsid w:val="00E6681D"/>
    <w:rsid w:val="00E72F2D"/>
    <w:rsid w:val="00E80147"/>
    <w:rsid w:val="00E809D6"/>
    <w:rsid w:val="00E92121"/>
    <w:rsid w:val="00E956E5"/>
    <w:rsid w:val="00E96295"/>
    <w:rsid w:val="00E97070"/>
    <w:rsid w:val="00EA2CF6"/>
    <w:rsid w:val="00EA7FC4"/>
    <w:rsid w:val="00EB47E9"/>
    <w:rsid w:val="00EB4ACC"/>
    <w:rsid w:val="00EB654C"/>
    <w:rsid w:val="00EB7270"/>
    <w:rsid w:val="00ED2789"/>
    <w:rsid w:val="00ED4815"/>
    <w:rsid w:val="00ED6F33"/>
    <w:rsid w:val="00EE0413"/>
    <w:rsid w:val="00EE08F5"/>
    <w:rsid w:val="00EE1752"/>
    <w:rsid w:val="00EE3F7C"/>
    <w:rsid w:val="00EE43B8"/>
    <w:rsid w:val="00EE6488"/>
    <w:rsid w:val="00EF172A"/>
    <w:rsid w:val="00EF18DA"/>
    <w:rsid w:val="00EF6CE7"/>
    <w:rsid w:val="00EF7B3D"/>
    <w:rsid w:val="00F01F43"/>
    <w:rsid w:val="00F021FA"/>
    <w:rsid w:val="00F025F6"/>
    <w:rsid w:val="00F0350D"/>
    <w:rsid w:val="00F06E74"/>
    <w:rsid w:val="00F125D8"/>
    <w:rsid w:val="00F12F59"/>
    <w:rsid w:val="00F14CB5"/>
    <w:rsid w:val="00F160AB"/>
    <w:rsid w:val="00F24E42"/>
    <w:rsid w:val="00F277D1"/>
    <w:rsid w:val="00F3165C"/>
    <w:rsid w:val="00F324A3"/>
    <w:rsid w:val="00F3362D"/>
    <w:rsid w:val="00F4233F"/>
    <w:rsid w:val="00F43434"/>
    <w:rsid w:val="00F43DAB"/>
    <w:rsid w:val="00F47B54"/>
    <w:rsid w:val="00F56846"/>
    <w:rsid w:val="00F62E97"/>
    <w:rsid w:val="00F64209"/>
    <w:rsid w:val="00F644CE"/>
    <w:rsid w:val="00F65354"/>
    <w:rsid w:val="00F67C80"/>
    <w:rsid w:val="00F71D3E"/>
    <w:rsid w:val="00F726A3"/>
    <w:rsid w:val="00F7295B"/>
    <w:rsid w:val="00F74C97"/>
    <w:rsid w:val="00F769B5"/>
    <w:rsid w:val="00F776F7"/>
    <w:rsid w:val="00F80C26"/>
    <w:rsid w:val="00F822CB"/>
    <w:rsid w:val="00F824C5"/>
    <w:rsid w:val="00F8591E"/>
    <w:rsid w:val="00F86FCF"/>
    <w:rsid w:val="00F904F4"/>
    <w:rsid w:val="00F90BFB"/>
    <w:rsid w:val="00F93BF5"/>
    <w:rsid w:val="00F97C0C"/>
    <w:rsid w:val="00FA0D99"/>
    <w:rsid w:val="00FA2B66"/>
    <w:rsid w:val="00FB525D"/>
    <w:rsid w:val="00FB7144"/>
    <w:rsid w:val="00FC1526"/>
    <w:rsid w:val="00FC259D"/>
    <w:rsid w:val="00FC5733"/>
    <w:rsid w:val="00FD32BF"/>
    <w:rsid w:val="00FD3341"/>
    <w:rsid w:val="00FD4B3D"/>
    <w:rsid w:val="00FD4E44"/>
    <w:rsid w:val="00FD50F0"/>
    <w:rsid w:val="00FD62AA"/>
    <w:rsid w:val="00FE0C4B"/>
    <w:rsid w:val="00FE1B04"/>
    <w:rsid w:val="00FE2C64"/>
    <w:rsid w:val="00FE4D9E"/>
    <w:rsid w:val="00FE5B8E"/>
    <w:rsid w:val="00FE7CCB"/>
    <w:rsid w:val="00FF4ABC"/>
    <w:rsid w:val="00FF527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DAF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D583D"/>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6B68D2"/>
    <w:pPr>
      <w:numPr>
        <w:numId w:val="2"/>
      </w:numPr>
      <w:spacing w:after="120"/>
    </w:pPr>
  </w:style>
  <w:style w:type="paragraph" w:styleId="EndnoteText">
    <w:name w:val="endnote text"/>
    <w:basedOn w:val="Normal"/>
    <w:semiHidden/>
    <w:rsid w:val="00B60757"/>
    <w:rPr>
      <w:sz w:val="20"/>
    </w:rPr>
  </w:style>
  <w:style w:type="character" w:styleId="EndnoteReference">
    <w:name w:val="endnote reference"/>
    <w:semiHidden/>
    <w:rsid w:val="00B60757"/>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
    <w:link w:val="FootnoteTextChar"/>
    <w:uiPriority w:val="99"/>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rsid w:val="00B60757"/>
    <w:pPr>
      <w:tabs>
        <w:tab w:val="left" w:pos="360"/>
        <w:tab w:val="right" w:leader="dot" w:pos="9360"/>
      </w:tabs>
      <w:suppressAutoHyphens/>
      <w:ind w:left="360" w:right="720" w:hanging="360"/>
    </w:pPr>
    <w:rPr>
      <w:caps/>
      <w:noProof/>
    </w:rPr>
  </w:style>
  <w:style w:type="paragraph" w:styleId="TOC2">
    <w:name w:val="toc 2"/>
    <w:basedOn w:val="Normal"/>
    <w:next w:val="Normal"/>
    <w:rsid w:val="00B60757"/>
    <w:pPr>
      <w:tabs>
        <w:tab w:val="left" w:pos="720"/>
        <w:tab w:val="right" w:leader="dot" w:pos="9360"/>
      </w:tabs>
      <w:suppressAutoHyphens/>
      <w:ind w:left="720" w:right="720" w:hanging="360"/>
    </w:pPr>
    <w:rPr>
      <w:noProof/>
    </w:rPr>
  </w:style>
  <w:style w:type="paragraph" w:styleId="TOC3">
    <w:name w:val="toc 3"/>
    <w:basedOn w:val="Normal"/>
    <w:next w:val="Normal"/>
    <w:semiHidden/>
    <w:rsid w:val="00B6075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075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07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07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07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07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07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60757"/>
    <w:pPr>
      <w:tabs>
        <w:tab w:val="right" w:pos="9360"/>
      </w:tabs>
      <w:suppressAutoHyphens/>
    </w:pPr>
  </w:style>
  <w:style w:type="character" w:customStyle="1" w:styleId="EquationCaption">
    <w:name w:val="_Equation Caption"/>
    <w:rsid w:val="00B60757"/>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rsid w:val="00B60757"/>
    <w:pPr>
      <w:tabs>
        <w:tab w:val="center" w:pos="4320"/>
        <w:tab w:val="right" w:pos="8640"/>
      </w:tabs>
    </w:pPr>
  </w:style>
  <w:style w:type="character" w:styleId="PageNumber">
    <w:name w:val="page number"/>
    <w:basedOn w:val="DefaultParagraphFont"/>
    <w:rsid w:val="00B60757"/>
  </w:style>
  <w:style w:type="paragraph" w:styleId="BlockText">
    <w:name w:val="Block Text"/>
    <w:basedOn w:val="Normal"/>
    <w:rsid w:val="00B60757"/>
    <w:pPr>
      <w:spacing w:after="240"/>
      <w:ind w:left="1440" w:right="1440"/>
    </w:pPr>
  </w:style>
  <w:style w:type="paragraph" w:customStyle="1" w:styleId="Paratitle">
    <w:name w:val="Para title"/>
    <w:basedOn w:val="Normal"/>
    <w:rsid w:val="00B60757"/>
    <w:pPr>
      <w:tabs>
        <w:tab w:val="center" w:pos="9270"/>
      </w:tabs>
      <w:spacing w:after="240"/>
    </w:pPr>
    <w:rPr>
      <w:spacing w:val="-2"/>
    </w:rPr>
  </w:style>
  <w:style w:type="paragraph" w:customStyle="1" w:styleId="Bullet">
    <w:name w:val="Bullet"/>
    <w:basedOn w:val="Normal"/>
    <w:rsid w:val="00B60757"/>
    <w:pPr>
      <w:tabs>
        <w:tab w:val="left" w:pos="2160"/>
      </w:tabs>
      <w:spacing w:after="220"/>
      <w:ind w:left="2160" w:hanging="720"/>
    </w:pPr>
  </w:style>
  <w:style w:type="paragraph" w:customStyle="1" w:styleId="TableFormat">
    <w:name w:val="TableFormat"/>
    <w:basedOn w:val="Bullet"/>
    <w:rsid w:val="00B60757"/>
    <w:pPr>
      <w:tabs>
        <w:tab w:val="clear" w:pos="2160"/>
        <w:tab w:val="left" w:pos="5040"/>
      </w:tabs>
      <w:ind w:left="5040" w:hanging="3600"/>
    </w:pPr>
  </w:style>
  <w:style w:type="paragraph" w:customStyle="1" w:styleId="TOCTitle">
    <w:name w:val="TOC Title"/>
    <w:basedOn w:val="Normal"/>
    <w:rsid w:val="00B607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basedOn w:val="DefaultParagraphFont"/>
    <w:link w:val="FootnoteText"/>
    <w:uiPriority w:val="99"/>
    <w:rsid w:val="00CD583D"/>
  </w:style>
  <w:style w:type="character" w:styleId="CommentReference">
    <w:name w:val="annotation reference"/>
    <w:basedOn w:val="DefaultParagraphFont"/>
    <w:uiPriority w:val="99"/>
    <w:unhideWhenUsed/>
    <w:rsid w:val="00762940"/>
    <w:rPr>
      <w:sz w:val="16"/>
      <w:szCs w:val="16"/>
    </w:rPr>
  </w:style>
  <w:style w:type="paragraph" w:styleId="CommentText">
    <w:name w:val="annotation text"/>
    <w:basedOn w:val="Normal"/>
    <w:link w:val="CommentTextChar"/>
    <w:uiPriority w:val="99"/>
    <w:unhideWhenUsed/>
    <w:rsid w:val="00762940"/>
    <w:pPr>
      <w:widowControl/>
      <w:spacing w:after="20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762940"/>
    <w:rPr>
      <w:rFonts w:asciiTheme="minorHAnsi" w:eastAsiaTheme="minorHAnsi" w:hAnsiTheme="minorHAnsi" w:cstheme="minorBidi"/>
    </w:rPr>
  </w:style>
  <w:style w:type="paragraph" w:styleId="CommentSubject">
    <w:name w:val="annotation subject"/>
    <w:basedOn w:val="CommentText"/>
    <w:next w:val="CommentText"/>
    <w:link w:val="CommentSubjectChar"/>
    <w:rsid w:val="00762940"/>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rsid w:val="00762940"/>
    <w:rPr>
      <w:rFonts w:asciiTheme="minorHAnsi" w:eastAsiaTheme="minorHAnsi" w:hAnsiTheme="minorHAnsi" w:cstheme="minorBidi"/>
      <w:b/>
      <w:bCs/>
      <w:snapToGrid w:val="0"/>
      <w:kern w:val="28"/>
    </w:rPr>
  </w:style>
  <w:style w:type="paragraph" w:styleId="Revision">
    <w:name w:val="Revision"/>
    <w:hidden/>
    <w:uiPriority w:val="99"/>
    <w:semiHidden/>
    <w:rsid w:val="00FD62AA"/>
    <w:rPr>
      <w:snapToGrid w:val="0"/>
      <w:kern w:val="28"/>
      <w:sz w:val="22"/>
    </w:rPr>
  </w:style>
  <w:style w:type="paragraph" w:styleId="NormalWeb">
    <w:name w:val="Normal (Web)"/>
    <w:basedOn w:val="Normal"/>
    <w:uiPriority w:val="99"/>
    <w:unhideWhenUsed/>
    <w:rsid w:val="00982FB5"/>
    <w:pPr>
      <w:widowControl/>
    </w:pPr>
    <w:rPr>
      <w:rFonts w:eastAsiaTheme="minorHAnsi"/>
      <w:snapToGrid/>
      <w:kern w:val="0"/>
      <w:sz w:val="24"/>
    </w:rPr>
  </w:style>
  <w:style w:type="character" w:styleId="Emphasis">
    <w:name w:val="Emphasis"/>
    <w:basedOn w:val="DefaultParagraphFont"/>
    <w:uiPriority w:val="20"/>
    <w:qFormat/>
    <w:rsid w:val="00071001"/>
    <w:rPr>
      <w:i/>
      <w:iCs/>
    </w:rPr>
  </w:style>
  <w:style w:type="character" w:styleId="Strong">
    <w:name w:val="Strong"/>
    <w:basedOn w:val="DefaultParagraphFont"/>
    <w:uiPriority w:val="22"/>
    <w:qFormat/>
    <w:rsid w:val="00CE7294"/>
    <w:rPr>
      <w:b/>
      <w:bCs/>
    </w:rPr>
  </w:style>
  <w:style w:type="paragraph" w:styleId="ListParagraph">
    <w:name w:val="List Paragraph"/>
    <w:basedOn w:val="Normal"/>
    <w:rsid w:val="00D457F6"/>
    <w:pPr>
      <w:ind w:left="720"/>
      <w:contextualSpacing/>
    </w:pPr>
  </w:style>
  <w:style w:type="character" w:styleId="FollowedHyperlink">
    <w:name w:val="FollowedHyperlink"/>
    <w:basedOn w:val="DefaultParagraphFont"/>
    <w:rsid w:val="00CE3B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iPriority="99" w:unhideWhenUsed="1"/>
    <w:lsdException w:name="annotation text" w:uiPriority="99" w:unhideWhenUsed="1"/>
    <w:lsdException w:name="header"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iPriority="99"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Revision" w:uiPriority="99"/>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D583D"/>
    <w:pPr>
      <w:keepNext/>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6B68D2"/>
    <w:pPr>
      <w:numPr>
        <w:numId w:val="2"/>
      </w:numPr>
      <w:spacing w:after="120"/>
    </w:pPr>
  </w:style>
  <w:style w:type="paragraph" w:styleId="EndnoteText">
    <w:name w:val="endnote text"/>
    <w:basedOn w:val="Normal"/>
    <w:semiHidden/>
    <w:rsid w:val="00B60757"/>
    <w:rPr>
      <w:sz w:val="20"/>
    </w:rPr>
  </w:style>
  <w:style w:type="character" w:styleId="EndnoteReference">
    <w:name w:val="endnote reference"/>
    <w:semiHidden/>
    <w:rsid w:val="00B60757"/>
    <w:rPr>
      <w:vertAlign w:val="superscript"/>
    </w:rPr>
  </w:style>
  <w:style w:type="paragraph" w:styleId="FootnoteText">
    <w:name w:val="footnote text"/>
    <w:aliases w:val="Footnote Text Char2,Footnote Text Char Char,Footnote Text Char1 Char1 Char,Footnote Text Char4 Char Char Char,Footnote Text Char3 Char1 Char Char Char,Footnote Text Char Char3 Char Char Char Char,Footnote Text Char1,f,fn"/>
    <w:link w:val="FootnoteTextChar"/>
    <w:uiPriority w:val="99"/>
    <w:rsid w:val="000E3D42"/>
    <w:pPr>
      <w:spacing w:after="120"/>
    </w:pPr>
  </w:style>
  <w:style w:type="character" w:styleId="FootnoteReference">
    <w:name w:val="footnote reference"/>
    <w:aliases w:val="Appel note de bas de p,Style 12,(NECG) Footnote Reference,Style 124,o,fr,Style 3,Style 17,FR,Style 13,Footnote Reference/,Style 6,Style 4,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rsid w:val="00B60757"/>
    <w:pPr>
      <w:tabs>
        <w:tab w:val="left" w:pos="360"/>
        <w:tab w:val="right" w:leader="dot" w:pos="9360"/>
      </w:tabs>
      <w:suppressAutoHyphens/>
      <w:ind w:left="360" w:right="720" w:hanging="360"/>
    </w:pPr>
    <w:rPr>
      <w:caps/>
      <w:noProof/>
    </w:rPr>
  </w:style>
  <w:style w:type="paragraph" w:styleId="TOC2">
    <w:name w:val="toc 2"/>
    <w:basedOn w:val="Normal"/>
    <w:next w:val="Normal"/>
    <w:rsid w:val="00B60757"/>
    <w:pPr>
      <w:tabs>
        <w:tab w:val="left" w:pos="720"/>
        <w:tab w:val="right" w:leader="dot" w:pos="9360"/>
      </w:tabs>
      <w:suppressAutoHyphens/>
      <w:ind w:left="720" w:right="720" w:hanging="360"/>
    </w:pPr>
    <w:rPr>
      <w:noProof/>
    </w:rPr>
  </w:style>
  <w:style w:type="paragraph" w:styleId="TOC3">
    <w:name w:val="toc 3"/>
    <w:basedOn w:val="Normal"/>
    <w:next w:val="Normal"/>
    <w:semiHidden/>
    <w:rsid w:val="00B6075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6075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6075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6075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6075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6075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6075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60757"/>
    <w:pPr>
      <w:tabs>
        <w:tab w:val="right" w:pos="9360"/>
      </w:tabs>
      <w:suppressAutoHyphens/>
    </w:pPr>
  </w:style>
  <w:style w:type="character" w:customStyle="1" w:styleId="EquationCaption">
    <w:name w:val="_Equation Caption"/>
    <w:rsid w:val="00B60757"/>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rsid w:val="00B60757"/>
    <w:pPr>
      <w:tabs>
        <w:tab w:val="center" w:pos="4320"/>
        <w:tab w:val="right" w:pos="8640"/>
      </w:tabs>
    </w:pPr>
  </w:style>
  <w:style w:type="character" w:styleId="PageNumber">
    <w:name w:val="page number"/>
    <w:basedOn w:val="DefaultParagraphFont"/>
    <w:rsid w:val="00B60757"/>
  </w:style>
  <w:style w:type="paragraph" w:styleId="BlockText">
    <w:name w:val="Block Text"/>
    <w:basedOn w:val="Normal"/>
    <w:rsid w:val="00B60757"/>
    <w:pPr>
      <w:spacing w:after="240"/>
      <w:ind w:left="1440" w:right="1440"/>
    </w:pPr>
  </w:style>
  <w:style w:type="paragraph" w:customStyle="1" w:styleId="Paratitle">
    <w:name w:val="Para title"/>
    <w:basedOn w:val="Normal"/>
    <w:rsid w:val="00B60757"/>
    <w:pPr>
      <w:tabs>
        <w:tab w:val="center" w:pos="9270"/>
      </w:tabs>
      <w:spacing w:after="240"/>
    </w:pPr>
    <w:rPr>
      <w:spacing w:val="-2"/>
    </w:rPr>
  </w:style>
  <w:style w:type="paragraph" w:customStyle="1" w:styleId="Bullet">
    <w:name w:val="Bullet"/>
    <w:basedOn w:val="Normal"/>
    <w:rsid w:val="00B60757"/>
    <w:pPr>
      <w:tabs>
        <w:tab w:val="left" w:pos="2160"/>
      </w:tabs>
      <w:spacing w:after="220"/>
      <w:ind w:left="2160" w:hanging="720"/>
    </w:pPr>
  </w:style>
  <w:style w:type="paragraph" w:customStyle="1" w:styleId="TableFormat">
    <w:name w:val="TableFormat"/>
    <w:basedOn w:val="Bullet"/>
    <w:rsid w:val="00B60757"/>
    <w:pPr>
      <w:tabs>
        <w:tab w:val="clear" w:pos="2160"/>
        <w:tab w:val="left" w:pos="5040"/>
      </w:tabs>
      <w:ind w:left="5040" w:hanging="3600"/>
    </w:pPr>
  </w:style>
  <w:style w:type="paragraph" w:customStyle="1" w:styleId="TOCTitle">
    <w:name w:val="TOC Title"/>
    <w:basedOn w:val="Normal"/>
    <w:rsid w:val="00B6075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2 Char,Footnote Text Char Char Char,Footnote Text Char1 Char1 Char Char,Footnote Text Char4 Char Char Char Char,Footnote Text Char3 Char1 Char Char Char Char,Footnote Text Char Char3 Char Char Char Char Char,f Char"/>
    <w:basedOn w:val="DefaultParagraphFont"/>
    <w:link w:val="FootnoteText"/>
    <w:uiPriority w:val="99"/>
    <w:rsid w:val="00CD583D"/>
  </w:style>
  <w:style w:type="character" w:styleId="CommentReference">
    <w:name w:val="annotation reference"/>
    <w:basedOn w:val="DefaultParagraphFont"/>
    <w:uiPriority w:val="99"/>
    <w:unhideWhenUsed/>
    <w:rsid w:val="00762940"/>
    <w:rPr>
      <w:sz w:val="16"/>
      <w:szCs w:val="16"/>
    </w:rPr>
  </w:style>
  <w:style w:type="paragraph" w:styleId="CommentText">
    <w:name w:val="annotation text"/>
    <w:basedOn w:val="Normal"/>
    <w:link w:val="CommentTextChar"/>
    <w:uiPriority w:val="99"/>
    <w:unhideWhenUsed/>
    <w:rsid w:val="00762940"/>
    <w:pPr>
      <w:widowControl/>
      <w:spacing w:after="200"/>
    </w:pPr>
    <w:rPr>
      <w:rFonts w:asciiTheme="minorHAnsi" w:eastAsiaTheme="minorHAnsi" w:hAnsiTheme="minorHAnsi" w:cstheme="minorBidi"/>
      <w:snapToGrid/>
      <w:kern w:val="0"/>
      <w:sz w:val="20"/>
    </w:rPr>
  </w:style>
  <w:style w:type="character" w:customStyle="1" w:styleId="CommentTextChar">
    <w:name w:val="Comment Text Char"/>
    <w:basedOn w:val="DefaultParagraphFont"/>
    <w:link w:val="CommentText"/>
    <w:uiPriority w:val="99"/>
    <w:rsid w:val="00762940"/>
    <w:rPr>
      <w:rFonts w:asciiTheme="minorHAnsi" w:eastAsiaTheme="minorHAnsi" w:hAnsiTheme="minorHAnsi" w:cstheme="minorBidi"/>
    </w:rPr>
  </w:style>
  <w:style w:type="paragraph" w:styleId="CommentSubject">
    <w:name w:val="annotation subject"/>
    <w:basedOn w:val="CommentText"/>
    <w:next w:val="CommentText"/>
    <w:link w:val="CommentSubjectChar"/>
    <w:rsid w:val="00762940"/>
    <w:pPr>
      <w:widowControl w:val="0"/>
      <w:spacing w:after="0"/>
    </w:pPr>
    <w:rPr>
      <w:rFonts w:ascii="Times New Roman" w:eastAsia="Times New Roman" w:hAnsi="Times New Roman" w:cs="Times New Roman"/>
      <w:b/>
      <w:bCs/>
      <w:snapToGrid w:val="0"/>
      <w:kern w:val="28"/>
    </w:rPr>
  </w:style>
  <w:style w:type="character" w:customStyle="1" w:styleId="CommentSubjectChar">
    <w:name w:val="Comment Subject Char"/>
    <w:basedOn w:val="CommentTextChar"/>
    <w:link w:val="CommentSubject"/>
    <w:rsid w:val="00762940"/>
    <w:rPr>
      <w:rFonts w:asciiTheme="minorHAnsi" w:eastAsiaTheme="minorHAnsi" w:hAnsiTheme="minorHAnsi" w:cstheme="minorBidi"/>
      <w:b/>
      <w:bCs/>
      <w:snapToGrid w:val="0"/>
      <w:kern w:val="28"/>
    </w:rPr>
  </w:style>
  <w:style w:type="paragraph" w:styleId="Revision">
    <w:name w:val="Revision"/>
    <w:hidden/>
    <w:uiPriority w:val="99"/>
    <w:semiHidden/>
    <w:rsid w:val="00FD62AA"/>
    <w:rPr>
      <w:snapToGrid w:val="0"/>
      <w:kern w:val="28"/>
      <w:sz w:val="22"/>
    </w:rPr>
  </w:style>
  <w:style w:type="paragraph" w:styleId="NormalWeb">
    <w:name w:val="Normal (Web)"/>
    <w:basedOn w:val="Normal"/>
    <w:uiPriority w:val="99"/>
    <w:unhideWhenUsed/>
    <w:rsid w:val="00982FB5"/>
    <w:pPr>
      <w:widowControl/>
    </w:pPr>
    <w:rPr>
      <w:rFonts w:eastAsiaTheme="minorHAnsi"/>
      <w:snapToGrid/>
      <w:kern w:val="0"/>
      <w:sz w:val="24"/>
    </w:rPr>
  </w:style>
  <w:style w:type="character" w:styleId="Emphasis">
    <w:name w:val="Emphasis"/>
    <w:basedOn w:val="DefaultParagraphFont"/>
    <w:uiPriority w:val="20"/>
    <w:qFormat/>
    <w:rsid w:val="00071001"/>
    <w:rPr>
      <w:i/>
      <w:iCs/>
    </w:rPr>
  </w:style>
  <w:style w:type="character" w:styleId="Strong">
    <w:name w:val="Strong"/>
    <w:basedOn w:val="DefaultParagraphFont"/>
    <w:uiPriority w:val="22"/>
    <w:qFormat/>
    <w:rsid w:val="00CE7294"/>
    <w:rPr>
      <w:b/>
      <w:bCs/>
    </w:rPr>
  </w:style>
  <w:style w:type="paragraph" w:styleId="ListParagraph">
    <w:name w:val="List Paragraph"/>
    <w:basedOn w:val="Normal"/>
    <w:rsid w:val="00D457F6"/>
    <w:pPr>
      <w:ind w:left="720"/>
      <w:contextualSpacing/>
    </w:pPr>
  </w:style>
  <w:style w:type="character" w:styleId="FollowedHyperlink">
    <w:name w:val="FollowedHyperlink"/>
    <w:basedOn w:val="DefaultParagraphFont"/>
    <w:rsid w:val="00CE3B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79986">
      <w:bodyDiv w:val="1"/>
      <w:marLeft w:val="0"/>
      <w:marRight w:val="0"/>
      <w:marTop w:val="0"/>
      <w:marBottom w:val="0"/>
      <w:divBdr>
        <w:top w:val="none" w:sz="0" w:space="0" w:color="auto"/>
        <w:left w:val="none" w:sz="0" w:space="0" w:color="auto"/>
        <w:bottom w:val="none" w:sz="0" w:space="0" w:color="auto"/>
        <w:right w:val="none" w:sz="0" w:space="0" w:color="auto"/>
      </w:divBdr>
      <w:divsChild>
        <w:div w:id="675882996">
          <w:marLeft w:val="0"/>
          <w:marRight w:val="0"/>
          <w:marTop w:val="0"/>
          <w:marBottom w:val="0"/>
          <w:divBdr>
            <w:top w:val="none" w:sz="0" w:space="0" w:color="auto"/>
            <w:left w:val="none" w:sz="0" w:space="0" w:color="auto"/>
            <w:bottom w:val="none" w:sz="0" w:space="0" w:color="auto"/>
            <w:right w:val="none" w:sz="0" w:space="0" w:color="auto"/>
          </w:divBdr>
        </w:div>
        <w:div w:id="1266768378">
          <w:marLeft w:val="0"/>
          <w:marRight w:val="0"/>
          <w:marTop w:val="0"/>
          <w:marBottom w:val="0"/>
          <w:divBdr>
            <w:top w:val="none" w:sz="0" w:space="0" w:color="auto"/>
            <w:left w:val="none" w:sz="0" w:space="0" w:color="auto"/>
            <w:bottom w:val="none" w:sz="0" w:space="0" w:color="auto"/>
            <w:right w:val="none" w:sz="0" w:space="0" w:color="auto"/>
          </w:divBdr>
        </w:div>
        <w:div w:id="1597790364">
          <w:marLeft w:val="0"/>
          <w:marRight w:val="0"/>
          <w:marTop w:val="0"/>
          <w:marBottom w:val="0"/>
          <w:divBdr>
            <w:top w:val="none" w:sz="0" w:space="0" w:color="auto"/>
            <w:left w:val="none" w:sz="0" w:space="0" w:color="auto"/>
            <w:bottom w:val="none" w:sz="0" w:space="0" w:color="auto"/>
            <w:right w:val="none" w:sz="0" w:space="0" w:color="auto"/>
          </w:divBdr>
        </w:div>
        <w:div w:id="1828790212">
          <w:marLeft w:val="0"/>
          <w:marRight w:val="0"/>
          <w:marTop w:val="0"/>
          <w:marBottom w:val="0"/>
          <w:divBdr>
            <w:top w:val="none" w:sz="0" w:space="0" w:color="auto"/>
            <w:left w:val="none" w:sz="0" w:space="0" w:color="auto"/>
            <w:bottom w:val="none" w:sz="0" w:space="0" w:color="auto"/>
            <w:right w:val="none" w:sz="0" w:space="0" w:color="auto"/>
          </w:divBdr>
        </w:div>
        <w:div w:id="757168614">
          <w:marLeft w:val="0"/>
          <w:marRight w:val="0"/>
          <w:marTop w:val="0"/>
          <w:marBottom w:val="0"/>
          <w:divBdr>
            <w:top w:val="none" w:sz="0" w:space="0" w:color="auto"/>
            <w:left w:val="none" w:sz="0" w:space="0" w:color="auto"/>
            <w:bottom w:val="none" w:sz="0" w:space="0" w:color="auto"/>
            <w:right w:val="none" w:sz="0" w:space="0" w:color="auto"/>
          </w:divBdr>
        </w:div>
        <w:div w:id="531698215">
          <w:marLeft w:val="0"/>
          <w:marRight w:val="0"/>
          <w:marTop w:val="0"/>
          <w:marBottom w:val="0"/>
          <w:divBdr>
            <w:top w:val="none" w:sz="0" w:space="0" w:color="auto"/>
            <w:left w:val="none" w:sz="0" w:space="0" w:color="auto"/>
            <w:bottom w:val="none" w:sz="0" w:space="0" w:color="auto"/>
            <w:right w:val="none" w:sz="0" w:space="0" w:color="auto"/>
          </w:divBdr>
        </w:div>
        <w:div w:id="1981962692">
          <w:marLeft w:val="0"/>
          <w:marRight w:val="0"/>
          <w:marTop w:val="0"/>
          <w:marBottom w:val="0"/>
          <w:divBdr>
            <w:top w:val="none" w:sz="0" w:space="0" w:color="auto"/>
            <w:left w:val="none" w:sz="0" w:space="0" w:color="auto"/>
            <w:bottom w:val="none" w:sz="0" w:space="0" w:color="auto"/>
            <w:right w:val="none" w:sz="0" w:space="0" w:color="auto"/>
          </w:divBdr>
        </w:div>
        <w:div w:id="1450394589">
          <w:marLeft w:val="0"/>
          <w:marRight w:val="0"/>
          <w:marTop w:val="0"/>
          <w:marBottom w:val="0"/>
          <w:divBdr>
            <w:top w:val="none" w:sz="0" w:space="0" w:color="auto"/>
            <w:left w:val="none" w:sz="0" w:space="0" w:color="auto"/>
            <w:bottom w:val="none" w:sz="0" w:space="0" w:color="auto"/>
            <w:right w:val="none" w:sz="0" w:space="0" w:color="auto"/>
          </w:divBdr>
        </w:div>
        <w:div w:id="89590200">
          <w:marLeft w:val="0"/>
          <w:marRight w:val="0"/>
          <w:marTop w:val="0"/>
          <w:marBottom w:val="0"/>
          <w:divBdr>
            <w:top w:val="none" w:sz="0" w:space="0" w:color="auto"/>
            <w:left w:val="none" w:sz="0" w:space="0" w:color="auto"/>
            <w:bottom w:val="none" w:sz="0" w:space="0" w:color="auto"/>
            <w:right w:val="none" w:sz="0" w:space="0" w:color="auto"/>
          </w:divBdr>
        </w:div>
        <w:div w:id="1693994736">
          <w:marLeft w:val="0"/>
          <w:marRight w:val="0"/>
          <w:marTop w:val="0"/>
          <w:marBottom w:val="0"/>
          <w:divBdr>
            <w:top w:val="none" w:sz="0" w:space="0" w:color="auto"/>
            <w:left w:val="none" w:sz="0" w:space="0" w:color="auto"/>
            <w:bottom w:val="none" w:sz="0" w:space="0" w:color="auto"/>
            <w:right w:val="none" w:sz="0" w:space="0" w:color="auto"/>
          </w:divBdr>
        </w:div>
        <w:div w:id="1984305654">
          <w:marLeft w:val="0"/>
          <w:marRight w:val="0"/>
          <w:marTop w:val="0"/>
          <w:marBottom w:val="0"/>
          <w:divBdr>
            <w:top w:val="none" w:sz="0" w:space="0" w:color="auto"/>
            <w:left w:val="none" w:sz="0" w:space="0" w:color="auto"/>
            <w:bottom w:val="none" w:sz="0" w:space="0" w:color="auto"/>
            <w:right w:val="none" w:sz="0" w:space="0" w:color="auto"/>
          </w:divBdr>
        </w:div>
        <w:div w:id="1899852828">
          <w:marLeft w:val="0"/>
          <w:marRight w:val="0"/>
          <w:marTop w:val="0"/>
          <w:marBottom w:val="0"/>
          <w:divBdr>
            <w:top w:val="none" w:sz="0" w:space="0" w:color="auto"/>
            <w:left w:val="none" w:sz="0" w:space="0" w:color="auto"/>
            <w:bottom w:val="none" w:sz="0" w:space="0" w:color="auto"/>
            <w:right w:val="none" w:sz="0" w:space="0" w:color="auto"/>
          </w:divBdr>
        </w:div>
        <w:div w:id="169101307">
          <w:marLeft w:val="0"/>
          <w:marRight w:val="0"/>
          <w:marTop w:val="0"/>
          <w:marBottom w:val="0"/>
          <w:divBdr>
            <w:top w:val="none" w:sz="0" w:space="0" w:color="auto"/>
            <w:left w:val="none" w:sz="0" w:space="0" w:color="auto"/>
            <w:bottom w:val="none" w:sz="0" w:space="0" w:color="auto"/>
            <w:right w:val="none" w:sz="0" w:space="0" w:color="auto"/>
          </w:divBdr>
        </w:div>
        <w:div w:id="1931574013">
          <w:marLeft w:val="0"/>
          <w:marRight w:val="0"/>
          <w:marTop w:val="0"/>
          <w:marBottom w:val="0"/>
          <w:divBdr>
            <w:top w:val="none" w:sz="0" w:space="0" w:color="auto"/>
            <w:left w:val="none" w:sz="0" w:space="0" w:color="auto"/>
            <w:bottom w:val="none" w:sz="0" w:space="0" w:color="auto"/>
            <w:right w:val="none" w:sz="0" w:space="0" w:color="auto"/>
          </w:divBdr>
        </w:div>
        <w:div w:id="1628898370">
          <w:marLeft w:val="0"/>
          <w:marRight w:val="0"/>
          <w:marTop w:val="0"/>
          <w:marBottom w:val="0"/>
          <w:divBdr>
            <w:top w:val="none" w:sz="0" w:space="0" w:color="auto"/>
            <w:left w:val="none" w:sz="0" w:space="0" w:color="auto"/>
            <w:bottom w:val="none" w:sz="0" w:space="0" w:color="auto"/>
            <w:right w:val="none" w:sz="0" w:space="0" w:color="auto"/>
          </w:divBdr>
        </w:div>
        <w:div w:id="1450049911">
          <w:marLeft w:val="0"/>
          <w:marRight w:val="0"/>
          <w:marTop w:val="0"/>
          <w:marBottom w:val="0"/>
          <w:divBdr>
            <w:top w:val="none" w:sz="0" w:space="0" w:color="auto"/>
            <w:left w:val="none" w:sz="0" w:space="0" w:color="auto"/>
            <w:bottom w:val="none" w:sz="0" w:space="0" w:color="auto"/>
            <w:right w:val="none" w:sz="0" w:space="0" w:color="auto"/>
          </w:divBdr>
        </w:div>
        <w:div w:id="974524920">
          <w:marLeft w:val="0"/>
          <w:marRight w:val="0"/>
          <w:marTop w:val="0"/>
          <w:marBottom w:val="0"/>
          <w:divBdr>
            <w:top w:val="none" w:sz="0" w:space="0" w:color="auto"/>
            <w:left w:val="none" w:sz="0" w:space="0" w:color="auto"/>
            <w:bottom w:val="none" w:sz="0" w:space="0" w:color="auto"/>
            <w:right w:val="none" w:sz="0" w:space="0" w:color="auto"/>
          </w:divBdr>
        </w:div>
        <w:div w:id="1694499490">
          <w:marLeft w:val="0"/>
          <w:marRight w:val="0"/>
          <w:marTop w:val="0"/>
          <w:marBottom w:val="0"/>
          <w:divBdr>
            <w:top w:val="none" w:sz="0" w:space="0" w:color="auto"/>
            <w:left w:val="none" w:sz="0" w:space="0" w:color="auto"/>
            <w:bottom w:val="none" w:sz="0" w:space="0" w:color="auto"/>
            <w:right w:val="none" w:sz="0" w:space="0" w:color="auto"/>
          </w:divBdr>
        </w:div>
      </w:divsChild>
    </w:div>
    <w:div w:id="143277928">
      <w:bodyDiv w:val="1"/>
      <w:marLeft w:val="0"/>
      <w:marRight w:val="0"/>
      <w:marTop w:val="0"/>
      <w:marBottom w:val="0"/>
      <w:divBdr>
        <w:top w:val="none" w:sz="0" w:space="0" w:color="auto"/>
        <w:left w:val="none" w:sz="0" w:space="0" w:color="auto"/>
        <w:bottom w:val="none" w:sz="0" w:space="0" w:color="auto"/>
        <w:right w:val="none" w:sz="0" w:space="0" w:color="auto"/>
      </w:divBdr>
    </w:div>
    <w:div w:id="203758906">
      <w:bodyDiv w:val="1"/>
      <w:marLeft w:val="0"/>
      <w:marRight w:val="0"/>
      <w:marTop w:val="0"/>
      <w:marBottom w:val="0"/>
      <w:divBdr>
        <w:top w:val="none" w:sz="0" w:space="0" w:color="auto"/>
        <w:left w:val="none" w:sz="0" w:space="0" w:color="auto"/>
        <w:bottom w:val="none" w:sz="0" w:space="0" w:color="auto"/>
        <w:right w:val="none" w:sz="0" w:space="0" w:color="auto"/>
      </w:divBdr>
    </w:div>
    <w:div w:id="861430631">
      <w:bodyDiv w:val="1"/>
      <w:marLeft w:val="0"/>
      <w:marRight w:val="0"/>
      <w:marTop w:val="0"/>
      <w:marBottom w:val="0"/>
      <w:divBdr>
        <w:top w:val="none" w:sz="0" w:space="0" w:color="auto"/>
        <w:left w:val="none" w:sz="0" w:space="0" w:color="auto"/>
        <w:bottom w:val="none" w:sz="0" w:space="0" w:color="auto"/>
        <w:right w:val="none" w:sz="0" w:space="0" w:color="auto"/>
      </w:divBdr>
    </w:div>
    <w:div w:id="1427924853">
      <w:bodyDiv w:val="1"/>
      <w:marLeft w:val="0"/>
      <w:marRight w:val="0"/>
      <w:marTop w:val="0"/>
      <w:marBottom w:val="0"/>
      <w:divBdr>
        <w:top w:val="none" w:sz="0" w:space="0" w:color="auto"/>
        <w:left w:val="none" w:sz="0" w:space="0" w:color="auto"/>
        <w:bottom w:val="none" w:sz="0" w:space="0" w:color="auto"/>
        <w:right w:val="none" w:sz="0" w:space="0" w:color="auto"/>
      </w:divBdr>
    </w:div>
    <w:div w:id="1506020724">
      <w:bodyDiv w:val="1"/>
      <w:marLeft w:val="0"/>
      <w:marRight w:val="0"/>
      <w:marTop w:val="0"/>
      <w:marBottom w:val="0"/>
      <w:divBdr>
        <w:top w:val="none" w:sz="0" w:space="0" w:color="auto"/>
        <w:left w:val="none" w:sz="0" w:space="0" w:color="auto"/>
        <w:bottom w:val="none" w:sz="0" w:space="0" w:color="auto"/>
        <w:right w:val="none" w:sz="0" w:space="0" w:color="auto"/>
      </w:divBdr>
    </w:div>
    <w:div w:id="174988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brown@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rann.bunkin@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3620</Characters>
  <Application>Microsoft Office Word</Application>
  <DocSecurity>0</DocSecurity>
  <Lines>61</Lines>
  <Paragraphs>12</Paragraphs>
  <ScaleCrop>false</ScaleCrop>
  <Manager/>
  <Company/>
  <LinksUpToDate>false</LinksUpToDate>
  <CharactersWithSpaces>4274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2015-12-17T21:09:00Z</dcterms:created>
  <dcterms:modified xsi:type="dcterms:W3CDTF">2015-12-17T21:09:00Z</dcterms:modified>
  <cp:category> </cp:category>
  <cp:contentStatus> </cp:contentStatus>
</cp:coreProperties>
</file>