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1AC91" w14:textId="77777777" w:rsidR="004D6FC2" w:rsidRPr="00DB7880" w:rsidRDefault="004D6FC2" w:rsidP="004D6FC2">
      <w:pPr>
        <w:jc w:val="center"/>
        <w:rPr>
          <w:b/>
        </w:rPr>
      </w:pPr>
      <w:bookmarkStart w:id="0" w:name="_GoBack"/>
      <w:bookmarkEnd w:id="0"/>
      <w:r w:rsidRPr="00DB7880">
        <w:rPr>
          <w:rFonts w:ascii="Times New Roman Bold" w:hAnsi="Times New Roman Bold"/>
          <w:b/>
          <w:kern w:val="0"/>
          <w:szCs w:val="22"/>
        </w:rPr>
        <w:t>Before</w:t>
      </w:r>
      <w:r w:rsidRPr="00DB7880">
        <w:rPr>
          <w:b/>
        </w:rPr>
        <w:t xml:space="preserve"> the</w:t>
      </w:r>
    </w:p>
    <w:p w14:paraId="4DA1AC92" w14:textId="77777777" w:rsidR="004D6FC2" w:rsidRPr="00DB7880" w:rsidRDefault="004D6FC2" w:rsidP="004D6FC2">
      <w:pPr>
        <w:pStyle w:val="StyleBoldCentered"/>
      </w:pPr>
      <w:r w:rsidRPr="00DB7880">
        <w:t>F</w:t>
      </w:r>
      <w:r w:rsidRPr="00DB7880">
        <w:rPr>
          <w:caps w:val="0"/>
        </w:rPr>
        <w:t>ederal Communications Commission</w:t>
      </w:r>
    </w:p>
    <w:p w14:paraId="4DA1AC93" w14:textId="77777777" w:rsidR="004D6FC2" w:rsidRPr="00DB7880" w:rsidRDefault="004D6FC2" w:rsidP="004D6FC2">
      <w:pPr>
        <w:pStyle w:val="StyleBoldCentered"/>
      </w:pPr>
      <w:r w:rsidRPr="00DB7880">
        <w:rPr>
          <w:caps w:val="0"/>
        </w:rPr>
        <w:t>Washington, DC 20554</w:t>
      </w:r>
    </w:p>
    <w:p w14:paraId="4DA1AC94" w14:textId="77777777" w:rsidR="004D6FC2" w:rsidRPr="00DB7880" w:rsidRDefault="004D6FC2" w:rsidP="004D6FC2"/>
    <w:tbl>
      <w:tblPr>
        <w:tblW w:w="0" w:type="auto"/>
        <w:tblLayout w:type="fixed"/>
        <w:tblLook w:val="0000" w:firstRow="0" w:lastRow="0" w:firstColumn="0" w:lastColumn="0" w:noHBand="0" w:noVBand="0"/>
      </w:tblPr>
      <w:tblGrid>
        <w:gridCol w:w="4698"/>
        <w:gridCol w:w="630"/>
        <w:gridCol w:w="4248"/>
      </w:tblGrid>
      <w:tr w:rsidR="004D6FC2" w:rsidRPr="00DB7880" w14:paraId="4DA1ACA3" w14:textId="77777777" w:rsidTr="00BF47EA">
        <w:tc>
          <w:tcPr>
            <w:tcW w:w="4698" w:type="dxa"/>
          </w:tcPr>
          <w:p w14:paraId="4DA1AC95" w14:textId="77777777" w:rsidR="004D6FC2" w:rsidRPr="00DB7880" w:rsidRDefault="004D6FC2" w:rsidP="00BF47EA">
            <w:pPr>
              <w:tabs>
                <w:tab w:val="center" w:pos="4680"/>
              </w:tabs>
              <w:suppressAutoHyphens/>
              <w:rPr>
                <w:spacing w:val="-2"/>
              </w:rPr>
            </w:pPr>
            <w:r w:rsidRPr="00DB7880">
              <w:rPr>
                <w:spacing w:val="-2"/>
              </w:rPr>
              <w:t>In the Matter of</w:t>
            </w:r>
          </w:p>
          <w:p w14:paraId="4DA1AC96" w14:textId="77777777" w:rsidR="004D6FC2" w:rsidRPr="00DB7880" w:rsidRDefault="004D6FC2" w:rsidP="00BF47EA">
            <w:pPr>
              <w:tabs>
                <w:tab w:val="left" w:pos="360"/>
                <w:tab w:val="center" w:pos="4680"/>
                <w:tab w:val="right" w:leader="dot" w:pos="9360"/>
              </w:tabs>
              <w:suppressAutoHyphens/>
              <w:ind w:left="360" w:right="720" w:hanging="360"/>
              <w:rPr>
                <w:spacing w:val="-2"/>
              </w:rPr>
            </w:pPr>
          </w:p>
          <w:p w14:paraId="4DA1AC97" w14:textId="77777777" w:rsidR="004D6FC2" w:rsidRPr="00DB7880" w:rsidRDefault="004D6FC2" w:rsidP="00BF47EA">
            <w:pPr>
              <w:autoSpaceDE w:val="0"/>
              <w:autoSpaceDN w:val="0"/>
              <w:adjustRightInd w:val="0"/>
            </w:pPr>
            <w:r w:rsidRPr="00DB7880">
              <w:rPr>
                <w:szCs w:val="22"/>
              </w:rPr>
              <w:t>Constellium Rolled Products Ravenswood, LLC, an indirect, wholly-owned subsidiary of Constellium N.V.</w:t>
            </w:r>
          </w:p>
        </w:tc>
        <w:tc>
          <w:tcPr>
            <w:tcW w:w="630" w:type="dxa"/>
          </w:tcPr>
          <w:p w14:paraId="4DA1AC98" w14:textId="77777777" w:rsidR="004D6FC2" w:rsidRPr="00DB7880" w:rsidRDefault="004D6FC2" w:rsidP="00BF47EA">
            <w:pPr>
              <w:tabs>
                <w:tab w:val="center" w:pos="4680"/>
              </w:tabs>
              <w:suppressAutoHyphens/>
              <w:rPr>
                <w:b/>
                <w:spacing w:val="-2"/>
              </w:rPr>
            </w:pPr>
            <w:r w:rsidRPr="00DB7880">
              <w:rPr>
                <w:b/>
                <w:spacing w:val="-2"/>
              </w:rPr>
              <w:t>)</w:t>
            </w:r>
          </w:p>
          <w:p w14:paraId="4DA1AC99" w14:textId="77777777" w:rsidR="004D6FC2" w:rsidRPr="00DB7880" w:rsidRDefault="004D6FC2" w:rsidP="00BF47EA">
            <w:pPr>
              <w:tabs>
                <w:tab w:val="center" w:pos="4680"/>
              </w:tabs>
              <w:suppressAutoHyphens/>
              <w:rPr>
                <w:b/>
                <w:spacing w:val="-2"/>
              </w:rPr>
            </w:pPr>
            <w:r w:rsidRPr="00DB7880">
              <w:rPr>
                <w:b/>
                <w:spacing w:val="-2"/>
              </w:rPr>
              <w:t>)</w:t>
            </w:r>
          </w:p>
          <w:p w14:paraId="4DA1AC9A" w14:textId="77777777" w:rsidR="004D6FC2" w:rsidRPr="00DB7880" w:rsidRDefault="004D6FC2" w:rsidP="00BF47EA">
            <w:pPr>
              <w:tabs>
                <w:tab w:val="center" w:pos="4680"/>
              </w:tabs>
              <w:suppressAutoHyphens/>
              <w:rPr>
                <w:b/>
                <w:spacing w:val="-2"/>
              </w:rPr>
            </w:pPr>
            <w:r w:rsidRPr="00DB7880">
              <w:rPr>
                <w:b/>
                <w:spacing w:val="-2"/>
              </w:rPr>
              <w:t>)</w:t>
            </w:r>
          </w:p>
          <w:p w14:paraId="4DA1AC9B" w14:textId="77777777" w:rsidR="004D6FC2" w:rsidRPr="00DB7880" w:rsidRDefault="004D6FC2" w:rsidP="00BF47EA">
            <w:pPr>
              <w:tabs>
                <w:tab w:val="center" w:pos="4680"/>
              </w:tabs>
              <w:suppressAutoHyphens/>
              <w:rPr>
                <w:b/>
                <w:spacing w:val="-2"/>
              </w:rPr>
            </w:pPr>
            <w:r w:rsidRPr="00DB7880">
              <w:rPr>
                <w:b/>
                <w:spacing w:val="-2"/>
              </w:rPr>
              <w:t>)</w:t>
            </w:r>
          </w:p>
          <w:p w14:paraId="4DA1AC9C" w14:textId="77777777" w:rsidR="004D6FC2" w:rsidRPr="00DB7880" w:rsidRDefault="004D6FC2" w:rsidP="00BF47EA">
            <w:pPr>
              <w:tabs>
                <w:tab w:val="center" w:pos="4680"/>
              </w:tabs>
              <w:suppressAutoHyphens/>
              <w:rPr>
                <w:b/>
                <w:spacing w:val="-2"/>
              </w:rPr>
            </w:pPr>
            <w:r w:rsidRPr="00DB7880">
              <w:rPr>
                <w:b/>
                <w:spacing w:val="-2"/>
              </w:rPr>
              <w:t>)</w:t>
            </w:r>
          </w:p>
          <w:p w14:paraId="4DA1AC9D" w14:textId="77777777" w:rsidR="004D6FC2" w:rsidRPr="00DB7880" w:rsidRDefault="004D6FC2" w:rsidP="00BF47EA">
            <w:pPr>
              <w:tabs>
                <w:tab w:val="center" w:pos="4680"/>
              </w:tabs>
              <w:suppressAutoHyphens/>
              <w:rPr>
                <w:b/>
                <w:spacing w:val="-2"/>
              </w:rPr>
            </w:pPr>
          </w:p>
        </w:tc>
        <w:tc>
          <w:tcPr>
            <w:tcW w:w="4248" w:type="dxa"/>
          </w:tcPr>
          <w:p w14:paraId="4DA1AC9E" w14:textId="77777777" w:rsidR="004D6FC2" w:rsidRPr="00DB7880" w:rsidRDefault="004D6FC2" w:rsidP="00BF47EA">
            <w:pPr>
              <w:tabs>
                <w:tab w:val="center" w:pos="4680"/>
              </w:tabs>
              <w:suppressAutoHyphens/>
              <w:ind w:left="432"/>
              <w:rPr>
                <w:spacing w:val="-2"/>
                <w:szCs w:val="22"/>
              </w:rPr>
            </w:pPr>
          </w:p>
          <w:p w14:paraId="4DA1AC9F" w14:textId="77777777" w:rsidR="004D6FC2" w:rsidRPr="00DB7880" w:rsidRDefault="004D6FC2" w:rsidP="00BF47EA">
            <w:pPr>
              <w:tabs>
                <w:tab w:val="center" w:pos="4680"/>
              </w:tabs>
              <w:suppressAutoHyphens/>
              <w:ind w:left="432"/>
              <w:rPr>
                <w:spacing w:val="-2"/>
                <w:szCs w:val="22"/>
              </w:rPr>
            </w:pPr>
          </w:p>
          <w:p w14:paraId="4DA1ACA0" w14:textId="77777777" w:rsidR="004D6FC2" w:rsidRPr="00DB7880" w:rsidRDefault="004D6FC2" w:rsidP="00BF47EA">
            <w:pPr>
              <w:tabs>
                <w:tab w:val="center" w:pos="4680"/>
              </w:tabs>
              <w:suppressAutoHyphens/>
              <w:ind w:left="432"/>
              <w:rPr>
                <w:spacing w:val="-2"/>
                <w:szCs w:val="22"/>
              </w:rPr>
            </w:pPr>
            <w:r w:rsidRPr="00DB7880">
              <w:rPr>
                <w:spacing w:val="-2"/>
                <w:szCs w:val="22"/>
              </w:rPr>
              <w:t>File No.:  EB-SED-13-00012123</w:t>
            </w:r>
          </w:p>
          <w:p w14:paraId="4DA1ACA1" w14:textId="77777777" w:rsidR="004D6FC2" w:rsidRPr="00DB7880" w:rsidRDefault="004D6FC2" w:rsidP="00BF47EA">
            <w:pPr>
              <w:ind w:left="432"/>
              <w:rPr>
                <w:spacing w:val="-2"/>
                <w:szCs w:val="22"/>
              </w:rPr>
            </w:pPr>
            <w:r w:rsidRPr="00DB7880">
              <w:rPr>
                <w:spacing w:val="-2"/>
                <w:szCs w:val="22"/>
              </w:rPr>
              <w:t>NAL/Acct. No.:  201432100020</w:t>
            </w:r>
          </w:p>
          <w:p w14:paraId="4DA1ACA2" w14:textId="77777777" w:rsidR="004D6FC2" w:rsidRPr="00DB7880" w:rsidRDefault="004D6FC2" w:rsidP="00BF47EA">
            <w:pPr>
              <w:tabs>
                <w:tab w:val="center" w:pos="4680"/>
              </w:tabs>
              <w:suppressAutoHyphens/>
              <w:ind w:left="432"/>
              <w:rPr>
                <w:snapToGrid/>
                <w:spacing w:val="-2"/>
              </w:rPr>
            </w:pPr>
            <w:r w:rsidRPr="00DB7880">
              <w:rPr>
                <w:szCs w:val="22"/>
              </w:rPr>
              <w:t>FRN:  0005812789</w:t>
            </w:r>
          </w:p>
        </w:tc>
      </w:tr>
    </w:tbl>
    <w:p w14:paraId="4DA1ACA4" w14:textId="77777777" w:rsidR="004D6FC2" w:rsidRPr="00DB7880" w:rsidRDefault="004D6FC2" w:rsidP="004D6FC2">
      <w:pPr>
        <w:jc w:val="center"/>
        <w:outlineLvl w:val="0"/>
        <w:rPr>
          <w:b/>
          <w:szCs w:val="22"/>
        </w:rPr>
      </w:pPr>
      <w:r w:rsidRPr="00DB7880">
        <w:rPr>
          <w:b/>
          <w:szCs w:val="22"/>
        </w:rPr>
        <w:t>ORDER</w:t>
      </w:r>
    </w:p>
    <w:p w14:paraId="4DA1ACA5" w14:textId="77777777" w:rsidR="004D6FC2" w:rsidRPr="00DB7880" w:rsidRDefault="004D6FC2" w:rsidP="004D6FC2">
      <w:pPr>
        <w:tabs>
          <w:tab w:val="left" w:pos="-720"/>
        </w:tabs>
        <w:suppressAutoHyphens/>
        <w:spacing w:line="227" w:lineRule="auto"/>
        <w:rPr>
          <w:spacing w:val="-2"/>
        </w:rPr>
      </w:pPr>
    </w:p>
    <w:p w14:paraId="4DA1ACA6" w14:textId="77777777" w:rsidR="004D6FC2" w:rsidRPr="00DB7880" w:rsidRDefault="004D6FC2" w:rsidP="004D6FC2">
      <w:pPr>
        <w:tabs>
          <w:tab w:val="left" w:pos="720"/>
          <w:tab w:val="right" w:pos="9360"/>
        </w:tabs>
        <w:suppressAutoHyphens/>
        <w:spacing w:line="227" w:lineRule="auto"/>
        <w:rPr>
          <w:spacing w:val="-2"/>
        </w:rPr>
      </w:pPr>
      <w:r w:rsidRPr="00DB7880">
        <w:rPr>
          <w:b/>
          <w:spacing w:val="-2"/>
        </w:rPr>
        <w:t xml:space="preserve">Adopted:  </w:t>
      </w:r>
      <w:r w:rsidR="0003696C">
        <w:rPr>
          <w:b/>
          <w:spacing w:val="-2"/>
        </w:rPr>
        <w:t>December 30, 2015</w:t>
      </w:r>
      <w:r w:rsidRPr="00DB7880">
        <w:rPr>
          <w:b/>
          <w:spacing w:val="-2"/>
        </w:rPr>
        <w:tab/>
        <w:t xml:space="preserve">Released:  </w:t>
      </w:r>
      <w:r w:rsidR="0003696C">
        <w:rPr>
          <w:b/>
          <w:spacing w:val="-2"/>
        </w:rPr>
        <w:t>December 30, 2015</w:t>
      </w:r>
    </w:p>
    <w:p w14:paraId="4DA1ACA7" w14:textId="77777777" w:rsidR="004D6FC2" w:rsidRPr="00DB7880" w:rsidRDefault="004D6FC2" w:rsidP="004D6FC2"/>
    <w:p w14:paraId="4DA1ACA8" w14:textId="77777777" w:rsidR="004D6FC2" w:rsidRPr="00DB7880" w:rsidRDefault="004D6FC2" w:rsidP="004D6FC2">
      <w:pPr>
        <w:rPr>
          <w:spacing w:val="-2"/>
        </w:rPr>
      </w:pPr>
      <w:r w:rsidRPr="00DB7880">
        <w:rPr>
          <w:spacing w:val="-2"/>
          <w:szCs w:val="22"/>
        </w:rPr>
        <w:t>By the Chief, Enforcement Bureau:</w:t>
      </w:r>
    </w:p>
    <w:p w14:paraId="4DA1ACA9" w14:textId="77777777" w:rsidR="004D6FC2" w:rsidRPr="00DB7880" w:rsidRDefault="004D6FC2" w:rsidP="004D6FC2"/>
    <w:p w14:paraId="4DA1ACAA" w14:textId="5CA3FA90" w:rsidR="004D6FC2" w:rsidRPr="00567223" w:rsidRDefault="004D6FC2" w:rsidP="004D6FC2">
      <w:pPr>
        <w:pStyle w:val="ParaNum"/>
        <w:numPr>
          <w:ilvl w:val="0"/>
          <w:numId w:val="23"/>
        </w:numPr>
        <w:tabs>
          <w:tab w:val="clear" w:pos="1080"/>
        </w:tabs>
      </w:pPr>
      <w:r w:rsidRPr="00DB7880">
        <w:rPr>
          <w:szCs w:val="22"/>
        </w:rPr>
        <w:t>The Enforcement Bureau (Bureau) of the Federal Communications Commission (Commission) has entered into a Consent Decree to resolve its investigation into whether Constellium Rolled Products Ravenswood, LLC (Constellium) operated wireless radio stations without Commission authority</w:t>
      </w:r>
      <w:r>
        <w:rPr>
          <w:szCs w:val="22"/>
        </w:rPr>
        <w:t>, failed to timely file for authority to continue to operate these stations,</w:t>
      </w:r>
      <w:r w:rsidRPr="00DB7880">
        <w:rPr>
          <w:szCs w:val="22"/>
        </w:rPr>
        <w:t xml:space="preserve"> and transfer</w:t>
      </w:r>
      <w:r>
        <w:rPr>
          <w:szCs w:val="22"/>
        </w:rPr>
        <w:t xml:space="preserve">red </w:t>
      </w:r>
      <w:r w:rsidRPr="00DB7880">
        <w:rPr>
          <w:szCs w:val="22"/>
        </w:rPr>
        <w:t>control of wireless radio station licenses</w:t>
      </w:r>
      <w:r>
        <w:rPr>
          <w:szCs w:val="22"/>
        </w:rPr>
        <w:t xml:space="preserve"> without prior Commission approval</w:t>
      </w:r>
      <w:r w:rsidRPr="00DB7880">
        <w:rPr>
          <w:szCs w:val="22"/>
        </w:rPr>
        <w:t>.  The Commission’s licensing rules are intended to prevent harmful interference with authorized radio communications services in the United States, and to facilitate the efficient administration of spectrum.  To settle this matter, Constellium admits that it violated the Commission’s licensing rules, will implement a three-year compliance plan designed to ensure future compliance with the Commission’s licensing rules, and will pay a $135,000 civil penalty.</w:t>
      </w:r>
      <w:r w:rsidR="00B6792C">
        <w:rPr>
          <w:szCs w:val="22"/>
        </w:rPr>
        <w:t xml:space="preserve">  </w:t>
      </w:r>
      <w:r w:rsidR="00B6792C" w:rsidRPr="00BC2E20">
        <w:rPr>
          <w:szCs w:val="22"/>
        </w:rPr>
        <w:t>As part of the compliance plan, Constellium will hire and retain a compliance officer, develop a compliance manual, develop and implement compliance training for all covered employees, and submit to the Commission compliance reports at designated intervals.</w:t>
      </w:r>
      <w:r w:rsidR="008936FC">
        <w:rPr>
          <w:szCs w:val="22"/>
        </w:rPr>
        <w:t xml:space="preserve">  </w:t>
      </w:r>
      <w:r w:rsidR="008936FC">
        <w:t>As noted in the Consent Decree, although this figure is lower than the amount originally proposed against Constellium</w:t>
      </w:r>
      <w:r w:rsidR="008936FC">
        <w:rPr>
          <w:i/>
          <w:iCs/>
        </w:rPr>
        <w:t>, </w:t>
      </w:r>
      <w:r w:rsidR="008936FC">
        <w:t>that reduction</w:t>
      </w:r>
      <w:r w:rsidR="008936FC">
        <w:rPr>
          <w:i/>
          <w:iCs/>
        </w:rPr>
        <w:t> </w:t>
      </w:r>
      <w:r w:rsidR="008936FC">
        <w:t>in part reflects the Bureau’s consideration and acceptance of the company’s request that any penalty should be based on the four licenses Constellium ultimately obtained to cover its Private Land Mobile Radio Service (PLMRS) operations, rather than the eight expired PLMRS licenses on which the proposed forfeiture was based, and also reflects that Constellium has accepted additional obligations and expenses by agreeing to a compliance plan.</w:t>
      </w:r>
      <w:r w:rsidR="005749CD">
        <w:t xml:space="preserve">  </w:t>
      </w:r>
      <w:r w:rsidRPr="00DB7880">
        <w:rPr>
          <w:szCs w:val="22"/>
        </w:rPr>
        <w:t xml:space="preserve"> </w:t>
      </w:r>
      <w:r w:rsidR="00AE40ED">
        <w:rPr>
          <w:szCs w:val="22"/>
        </w:rPr>
        <w:t xml:space="preserve"> </w:t>
      </w:r>
    </w:p>
    <w:p w14:paraId="4DA1ACAB" w14:textId="77777777" w:rsidR="004D6FC2" w:rsidRPr="00DB7880" w:rsidRDefault="004D6FC2" w:rsidP="004D6FC2">
      <w:pPr>
        <w:pStyle w:val="ParaNum"/>
        <w:numPr>
          <w:ilvl w:val="0"/>
          <w:numId w:val="23"/>
        </w:numPr>
        <w:tabs>
          <w:tab w:val="clear" w:pos="1080"/>
          <w:tab w:val="left" w:pos="1440"/>
        </w:tabs>
        <w:rPr>
          <w:szCs w:val="22"/>
        </w:rPr>
      </w:pPr>
      <w:r w:rsidRPr="00DB7880">
        <w:rPr>
          <w:szCs w:val="22"/>
        </w:rPr>
        <w:t>After reviewing the terms of the Consent Decree and evaluating the facts before us, we find that the public interest would be served by adopting the Consent Decree and resolving the Notice of Apparent Liability for Forfeiture (NAL) regarding Constellium’s compliance with Sections 301 and 310(d) of the Communications Act of 1934, as amended (Act),</w:t>
      </w:r>
      <w:r w:rsidRPr="00DB7880">
        <w:rPr>
          <w:rStyle w:val="FootnoteReference"/>
          <w:szCs w:val="22"/>
        </w:rPr>
        <w:footnoteReference w:id="2"/>
      </w:r>
      <w:r w:rsidRPr="00DB7880">
        <w:rPr>
          <w:szCs w:val="22"/>
        </w:rPr>
        <w:t xml:space="preserve"> Sections 1.903(a) and 1.948(a) of the Commission’s rules,</w:t>
      </w:r>
      <w:r w:rsidRPr="00DB7880">
        <w:rPr>
          <w:rStyle w:val="FootnoteReference"/>
          <w:szCs w:val="22"/>
        </w:rPr>
        <w:footnoteReference w:id="3"/>
      </w:r>
      <w:r w:rsidRPr="00DB7880">
        <w:rPr>
          <w:szCs w:val="22"/>
        </w:rPr>
        <w:t xml:space="preserve"> and the associated Commission orders requiring licensees to seek authority for any operation that occurs after a license expires</w:t>
      </w:r>
      <w:r>
        <w:rPr>
          <w:szCs w:val="22"/>
        </w:rPr>
        <w:t>,</w:t>
      </w:r>
      <w:r w:rsidRPr="00F47251">
        <w:rPr>
          <w:szCs w:val="22"/>
          <w:vertAlign w:val="superscript"/>
        </w:rPr>
        <w:footnoteReference w:id="4"/>
      </w:r>
      <w:r>
        <w:rPr>
          <w:szCs w:val="22"/>
        </w:rPr>
        <w:t xml:space="preserve"> all pertaining to (i) Constellium’s operation of Private Land Mobile Radio Service (PLMRS) stations without Commission authority, (ii) Constellium’s failure to file timely applications for authority to continue operating these stations, and (iii) </w:t>
      </w:r>
      <w:r w:rsidRPr="00FB3A3B">
        <w:rPr>
          <w:szCs w:val="22"/>
        </w:rPr>
        <w:t xml:space="preserve">its failure to obtain Commission </w:t>
      </w:r>
      <w:r>
        <w:rPr>
          <w:szCs w:val="22"/>
        </w:rPr>
        <w:t xml:space="preserve">consent </w:t>
      </w:r>
      <w:r w:rsidRPr="00FB3A3B">
        <w:rPr>
          <w:szCs w:val="22"/>
        </w:rPr>
        <w:t xml:space="preserve">prior to the transfer of control of </w:t>
      </w:r>
      <w:r>
        <w:rPr>
          <w:szCs w:val="22"/>
        </w:rPr>
        <w:t xml:space="preserve">PLMRS </w:t>
      </w:r>
      <w:r w:rsidRPr="00FB3A3B">
        <w:rPr>
          <w:szCs w:val="22"/>
        </w:rPr>
        <w:t xml:space="preserve">station </w:t>
      </w:r>
      <w:r>
        <w:rPr>
          <w:szCs w:val="22"/>
        </w:rPr>
        <w:t>authorizations</w:t>
      </w:r>
      <w:r w:rsidRPr="00FB3A3B">
        <w:rPr>
          <w:szCs w:val="22"/>
        </w:rPr>
        <w:t>.</w:t>
      </w:r>
    </w:p>
    <w:p w14:paraId="4DA1ACAC" w14:textId="77777777" w:rsidR="004D6FC2" w:rsidRPr="00DB7880" w:rsidRDefault="004D6FC2" w:rsidP="004D6FC2">
      <w:pPr>
        <w:pStyle w:val="ParaNum"/>
        <w:numPr>
          <w:ilvl w:val="0"/>
          <w:numId w:val="23"/>
        </w:numPr>
        <w:tabs>
          <w:tab w:val="clear" w:pos="1080"/>
          <w:tab w:val="left" w:pos="1440"/>
        </w:tabs>
        <w:rPr>
          <w:szCs w:val="22"/>
        </w:rPr>
      </w:pPr>
      <w:r w:rsidRPr="00DB7880">
        <w:rPr>
          <w:szCs w:val="22"/>
        </w:rPr>
        <w:lastRenderedPageBreak/>
        <w:t>In the absence of material new evidence relating to this matter, we do not set for hearing the question of Constellium’s basic qualifications to hold or obtain any Commission license or authorization.</w:t>
      </w:r>
      <w:r w:rsidRPr="00DB7880">
        <w:rPr>
          <w:rStyle w:val="FootnoteReference"/>
          <w:szCs w:val="22"/>
        </w:rPr>
        <w:footnoteReference w:id="5"/>
      </w:r>
    </w:p>
    <w:p w14:paraId="4DA1ACAD" w14:textId="77777777" w:rsidR="004D6FC2" w:rsidRPr="00DB7880" w:rsidRDefault="004D6FC2" w:rsidP="004D6FC2">
      <w:pPr>
        <w:pStyle w:val="ParaNum"/>
        <w:widowControl/>
        <w:numPr>
          <w:ilvl w:val="0"/>
          <w:numId w:val="23"/>
        </w:numPr>
        <w:tabs>
          <w:tab w:val="clear" w:pos="1080"/>
          <w:tab w:val="left" w:pos="1440"/>
        </w:tabs>
        <w:rPr>
          <w:szCs w:val="22"/>
        </w:rPr>
      </w:pPr>
      <w:r w:rsidRPr="00DB7880">
        <w:rPr>
          <w:szCs w:val="22"/>
        </w:rPr>
        <w:t xml:space="preserve">Accordingly, </w:t>
      </w:r>
      <w:r w:rsidRPr="00DB7880">
        <w:rPr>
          <w:b/>
          <w:szCs w:val="22"/>
        </w:rPr>
        <w:t xml:space="preserve">IT IS ORDERED </w:t>
      </w:r>
      <w:r w:rsidRPr="00DB7880">
        <w:rPr>
          <w:szCs w:val="22"/>
        </w:rPr>
        <w:t>that, pursuant to Sections 4(i) and 503(b) of the Act</w:t>
      </w:r>
      <w:r w:rsidRPr="00DB7880">
        <w:rPr>
          <w:rStyle w:val="FootnoteReference"/>
          <w:szCs w:val="22"/>
        </w:rPr>
        <w:footnoteReference w:id="6"/>
      </w:r>
      <w:r w:rsidRPr="00DB7880">
        <w:rPr>
          <w:szCs w:val="22"/>
        </w:rPr>
        <w:t xml:space="preserve"> and the authority delegated by Sections 0.111 and 0.311 of the Commission’s rules,</w:t>
      </w:r>
      <w:r w:rsidRPr="00DB7880">
        <w:rPr>
          <w:rStyle w:val="FootnoteReference"/>
          <w:szCs w:val="22"/>
        </w:rPr>
        <w:footnoteReference w:id="7"/>
      </w:r>
      <w:r w:rsidRPr="00DB7880">
        <w:rPr>
          <w:szCs w:val="22"/>
        </w:rPr>
        <w:t xml:space="preserve"> the attached Consent Decree </w:t>
      </w:r>
      <w:r w:rsidRPr="00DB7880">
        <w:rPr>
          <w:b/>
          <w:szCs w:val="22"/>
        </w:rPr>
        <w:t xml:space="preserve">IS ADOPTED </w:t>
      </w:r>
      <w:r w:rsidRPr="00DB7880">
        <w:rPr>
          <w:szCs w:val="22"/>
        </w:rPr>
        <w:t>and its terms incorporated by reference.</w:t>
      </w:r>
    </w:p>
    <w:p w14:paraId="4DA1ACAE" w14:textId="77777777" w:rsidR="004D6FC2" w:rsidRPr="00DB7880" w:rsidRDefault="004D6FC2" w:rsidP="004D6FC2">
      <w:pPr>
        <w:pStyle w:val="ParaNum"/>
        <w:numPr>
          <w:ilvl w:val="0"/>
          <w:numId w:val="23"/>
        </w:numPr>
        <w:tabs>
          <w:tab w:val="clear" w:pos="1080"/>
          <w:tab w:val="left" w:pos="1440"/>
        </w:tabs>
        <w:rPr>
          <w:b/>
        </w:rPr>
      </w:pPr>
      <w:r w:rsidRPr="00DB7880">
        <w:rPr>
          <w:b/>
        </w:rPr>
        <w:t>IT IS FURTHER ORDERED</w:t>
      </w:r>
      <w:r w:rsidRPr="00DB7880">
        <w:t xml:space="preserve"> that the above-captioned matter </w:t>
      </w:r>
      <w:r w:rsidRPr="00DB7880">
        <w:rPr>
          <w:b/>
        </w:rPr>
        <w:t xml:space="preserve">IS TERMINATED </w:t>
      </w:r>
      <w:r w:rsidRPr="00DB7880">
        <w:t xml:space="preserve">and the NAL </w:t>
      </w:r>
      <w:r w:rsidRPr="00DB7880">
        <w:rPr>
          <w:b/>
        </w:rPr>
        <w:t>IS CANCELED</w:t>
      </w:r>
      <w:r w:rsidRPr="00DB7880">
        <w:t>.</w:t>
      </w:r>
    </w:p>
    <w:p w14:paraId="4DA1ACAF" w14:textId="77777777" w:rsidR="004D6FC2" w:rsidRPr="00DB7880" w:rsidRDefault="004D6FC2" w:rsidP="004D6FC2">
      <w:pPr>
        <w:pStyle w:val="ParaNum"/>
        <w:numPr>
          <w:ilvl w:val="0"/>
          <w:numId w:val="23"/>
        </w:numPr>
        <w:tabs>
          <w:tab w:val="clear" w:pos="1080"/>
          <w:tab w:val="left" w:pos="1440"/>
        </w:tabs>
        <w:rPr>
          <w:szCs w:val="22"/>
        </w:rPr>
      </w:pPr>
      <w:r w:rsidRPr="00DB7880">
        <w:rPr>
          <w:b/>
        </w:rPr>
        <w:t>IT IS FURTHER ORDERED</w:t>
      </w:r>
      <w:r w:rsidRPr="00DB7880">
        <w:t xml:space="preserve"> that a copy of this Order and Consent Decree </w:t>
      </w:r>
      <w:r w:rsidRPr="00567223">
        <w:t xml:space="preserve">shall be sent by first class mail and certified mail, return receipt requested, to Lloyd A. </w:t>
      </w:r>
      <w:r w:rsidRPr="00DB7880">
        <w:rPr>
          <w:szCs w:val="22"/>
        </w:rPr>
        <w:t>Stemple, President and Chief Executive Officer, Constellium Rolled Products Ravenswood, LLC, 859 Century Road, Ravenswood, West Virginia 26164; to Georgina L.O. Feigen, Esq., Butcher Feigen, LLC, 9116 Cranford Drive, Potomac, Maryland 20854; and to David H. Solomon, Esq., Wilkinson Barker Knauer LLP, 1800 M Street, N.W., Suite 800N, Washington, DC 20036.</w:t>
      </w:r>
    </w:p>
    <w:p w14:paraId="4DA1ACB0" w14:textId="77777777" w:rsidR="004D6FC2" w:rsidRPr="00DB7880" w:rsidRDefault="004D6FC2" w:rsidP="004D6FC2">
      <w:pPr>
        <w:pStyle w:val="ParaNum"/>
        <w:numPr>
          <w:ilvl w:val="0"/>
          <w:numId w:val="0"/>
        </w:numPr>
        <w:tabs>
          <w:tab w:val="left" w:pos="1440"/>
        </w:tabs>
        <w:spacing w:after="240"/>
        <w:ind w:left="720"/>
        <w:rPr>
          <w:b/>
        </w:rPr>
      </w:pPr>
    </w:p>
    <w:p w14:paraId="4DA1ACB1" w14:textId="77777777" w:rsidR="004D6FC2" w:rsidRPr="00DB7880" w:rsidRDefault="004D6FC2" w:rsidP="004D6FC2">
      <w:pPr>
        <w:outlineLvl w:val="0"/>
        <w:rPr>
          <w:szCs w:val="22"/>
          <w:lang w:val="fr-FR"/>
        </w:rPr>
      </w:pPr>
      <w:r w:rsidRPr="00DB7880">
        <w:rPr>
          <w:szCs w:val="22"/>
          <w:lang w:val="fr-FR"/>
        </w:rPr>
        <w:tab/>
      </w:r>
      <w:r w:rsidRPr="00DB7880">
        <w:rPr>
          <w:szCs w:val="22"/>
          <w:lang w:val="fr-FR"/>
        </w:rPr>
        <w:tab/>
      </w:r>
      <w:r w:rsidRPr="00DB7880">
        <w:rPr>
          <w:szCs w:val="22"/>
          <w:lang w:val="fr-FR"/>
        </w:rPr>
        <w:tab/>
      </w:r>
      <w:r w:rsidRPr="00DB7880">
        <w:rPr>
          <w:szCs w:val="22"/>
          <w:lang w:val="fr-FR"/>
        </w:rPr>
        <w:tab/>
      </w:r>
      <w:r w:rsidRPr="00DB7880">
        <w:rPr>
          <w:szCs w:val="22"/>
          <w:lang w:val="fr-FR"/>
        </w:rPr>
        <w:tab/>
        <w:t>FEDERAL COMMUNICATIONS COMMISSION</w:t>
      </w:r>
    </w:p>
    <w:p w14:paraId="4DA1ACB2" w14:textId="77777777" w:rsidR="004D6FC2" w:rsidRPr="00DB7880" w:rsidRDefault="004D6FC2" w:rsidP="004D6FC2">
      <w:pPr>
        <w:rPr>
          <w:szCs w:val="22"/>
          <w:lang w:val="fr-FR"/>
        </w:rPr>
      </w:pPr>
    </w:p>
    <w:p w14:paraId="4DA1ACB3" w14:textId="77777777" w:rsidR="004D6FC2" w:rsidRPr="00DB7880" w:rsidRDefault="004D6FC2" w:rsidP="004D6FC2">
      <w:pPr>
        <w:rPr>
          <w:szCs w:val="22"/>
          <w:lang w:val="fr-FR"/>
        </w:rPr>
      </w:pPr>
    </w:p>
    <w:p w14:paraId="4DA1ACB4" w14:textId="77777777" w:rsidR="004D6FC2" w:rsidRPr="00DB7880" w:rsidRDefault="004D6FC2" w:rsidP="004D6FC2">
      <w:pPr>
        <w:rPr>
          <w:szCs w:val="22"/>
          <w:lang w:val="fr-FR"/>
        </w:rPr>
      </w:pPr>
      <w:r w:rsidRPr="00DB7880">
        <w:rPr>
          <w:szCs w:val="22"/>
          <w:lang w:val="fr-FR"/>
        </w:rPr>
        <w:tab/>
      </w:r>
      <w:r w:rsidRPr="00DB7880">
        <w:rPr>
          <w:szCs w:val="22"/>
          <w:lang w:val="fr-FR"/>
        </w:rPr>
        <w:tab/>
      </w:r>
      <w:r w:rsidRPr="00DB7880">
        <w:rPr>
          <w:szCs w:val="22"/>
          <w:lang w:val="fr-FR"/>
        </w:rPr>
        <w:tab/>
      </w:r>
      <w:r w:rsidRPr="00DB7880">
        <w:rPr>
          <w:szCs w:val="22"/>
          <w:lang w:val="fr-FR"/>
        </w:rPr>
        <w:tab/>
      </w:r>
      <w:r w:rsidRPr="00DB7880">
        <w:rPr>
          <w:szCs w:val="22"/>
          <w:lang w:val="fr-FR"/>
        </w:rPr>
        <w:tab/>
      </w:r>
    </w:p>
    <w:p w14:paraId="4DA1ACB5" w14:textId="77777777" w:rsidR="004D6FC2" w:rsidRPr="00DB7880" w:rsidRDefault="004D6FC2" w:rsidP="004D6FC2">
      <w:pPr>
        <w:outlineLvl w:val="0"/>
        <w:rPr>
          <w:szCs w:val="22"/>
          <w:lang w:val="fr-FR"/>
        </w:rPr>
      </w:pPr>
    </w:p>
    <w:p w14:paraId="4DA1ACB6" w14:textId="77777777" w:rsidR="004D6FC2" w:rsidRPr="00DB7880" w:rsidRDefault="004D6FC2" w:rsidP="004D6FC2">
      <w:pPr>
        <w:outlineLvl w:val="0"/>
        <w:rPr>
          <w:szCs w:val="22"/>
          <w:lang w:val="fr-FR"/>
        </w:rPr>
      </w:pPr>
      <w:r w:rsidRPr="00DB7880">
        <w:rPr>
          <w:szCs w:val="22"/>
          <w:lang w:val="fr-FR"/>
        </w:rPr>
        <w:tab/>
      </w:r>
      <w:r w:rsidRPr="00DB7880">
        <w:rPr>
          <w:szCs w:val="22"/>
          <w:lang w:val="fr-FR"/>
        </w:rPr>
        <w:tab/>
      </w:r>
      <w:r w:rsidRPr="00DB7880">
        <w:rPr>
          <w:szCs w:val="22"/>
          <w:lang w:val="fr-FR"/>
        </w:rPr>
        <w:tab/>
      </w:r>
      <w:r w:rsidRPr="00DB7880">
        <w:rPr>
          <w:szCs w:val="22"/>
          <w:lang w:val="fr-FR"/>
        </w:rPr>
        <w:tab/>
      </w:r>
      <w:r w:rsidRPr="00DB7880">
        <w:rPr>
          <w:szCs w:val="22"/>
          <w:lang w:val="fr-FR"/>
        </w:rPr>
        <w:tab/>
        <w:t xml:space="preserve">Travis LeBlanc </w:t>
      </w:r>
    </w:p>
    <w:p w14:paraId="4DA1ACB7" w14:textId="77777777" w:rsidR="004D6FC2" w:rsidRPr="00DB7880" w:rsidRDefault="004D6FC2" w:rsidP="004D6FC2">
      <w:pPr>
        <w:outlineLvl w:val="0"/>
        <w:rPr>
          <w:szCs w:val="22"/>
        </w:rPr>
      </w:pPr>
      <w:r w:rsidRPr="00DB7880">
        <w:rPr>
          <w:szCs w:val="22"/>
          <w:lang w:val="fr-FR"/>
        </w:rPr>
        <w:tab/>
      </w:r>
      <w:r w:rsidRPr="00DB7880">
        <w:rPr>
          <w:szCs w:val="22"/>
          <w:lang w:val="fr-FR"/>
        </w:rPr>
        <w:tab/>
      </w:r>
      <w:r w:rsidRPr="00DB7880">
        <w:rPr>
          <w:szCs w:val="22"/>
          <w:lang w:val="fr-FR"/>
        </w:rPr>
        <w:tab/>
      </w:r>
      <w:r w:rsidRPr="00DB7880">
        <w:rPr>
          <w:szCs w:val="22"/>
          <w:lang w:val="fr-FR"/>
        </w:rPr>
        <w:tab/>
      </w:r>
      <w:r w:rsidRPr="00DB7880">
        <w:rPr>
          <w:szCs w:val="22"/>
          <w:lang w:val="fr-FR"/>
        </w:rPr>
        <w:tab/>
      </w:r>
      <w:r w:rsidRPr="00DB7880">
        <w:rPr>
          <w:szCs w:val="22"/>
        </w:rPr>
        <w:t xml:space="preserve">Chief </w:t>
      </w:r>
    </w:p>
    <w:p w14:paraId="4DA1ACB8" w14:textId="77777777" w:rsidR="004D6FC2" w:rsidRDefault="004D6FC2" w:rsidP="004D6FC2">
      <w:pPr>
        <w:ind w:left="2880" w:firstLine="720"/>
        <w:rPr>
          <w:rFonts w:ascii="Times New Roman Bold" w:hAnsi="Times New Roman Bold"/>
          <w:b/>
          <w:kern w:val="0"/>
        </w:rPr>
        <w:sectPr w:rsidR="004D6FC2" w:rsidSect="001B34A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rsidRPr="00DB7880">
        <w:rPr>
          <w:szCs w:val="22"/>
        </w:rPr>
        <w:t>Enforcement Bureau</w:t>
      </w:r>
    </w:p>
    <w:p w14:paraId="4DA1ACB9" w14:textId="77777777" w:rsidR="00B4706E" w:rsidRPr="00843A5F" w:rsidRDefault="00B4706E" w:rsidP="00B4706E">
      <w:pPr>
        <w:jc w:val="center"/>
        <w:rPr>
          <w:rFonts w:asciiTheme="minorHAnsi" w:eastAsiaTheme="minorHAnsi" w:hAnsiTheme="minorHAnsi" w:cstheme="minorBidi"/>
          <w:b/>
          <w:snapToGrid/>
          <w:kern w:val="0"/>
          <w:szCs w:val="22"/>
        </w:rPr>
      </w:pPr>
      <w:r w:rsidRPr="001B34AE">
        <w:rPr>
          <w:rFonts w:ascii="Times New Roman Bold" w:hAnsi="Times New Roman Bold"/>
          <w:b/>
          <w:kern w:val="0"/>
        </w:rPr>
        <w:t>Before</w:t>
      </w:r>
      <w:r w:rsidRPr="00843A5F">
        <w:rPr>
          <w:b/>
        </w:rPr>
        <w:t xml:space="preserve"> the</w:t>
      </w:r>
    </w:p>
    <w:p w14:paraId="4DA1ACBA" w14:textId="77777777" w:rsidR="00B4706E" w:rsidRPr="00843A5F" w:rsidRDefault="00B4706E" w:rsidP="00B4706E">
      <w:pPr>
        <w:pStyle w:val="StyleBoldCentered"/>
      </w:pPr>
      <w:r w:rsidRPr="00843A5F">
        <w:t>F</w:t>
      </w:r>
      <w:r w:rsidRPr="00843A5F">
        <w:rPr>
          <w:caps w:val="0"/>
        </w:rPr>
        <w:t>ederal Communications Commission</w:t>
      </w:r>
    </w:p>
    <w:p w14:paraId="4DA1ACBB" w14:textId="77777777" w:rsidR="00B4706E" w:rsidRPr="00843A5F" w:rsidRDefault="00B4706E" w:rsidP="00B4706E">
      <w:pPr>
        <w:pStyle w:val="StyleBoldCentered"/>
      </w:pPr>
      <w:r w:rsidRPr="00843A5F">
        <w:rPr>
          <w:caps w:val="0"/>
        </w:rPr>
        <w:t>Washington, DC 20554</w:t>
      </w:r>
    </w:p>
    <w:p w14:paraId="4DA1ACBC" w14:textId="77777777" w:rsidR="00B4706E" w:rsidRPr="00843A5F" w:rsidRDefault="00B4706E" w:rsidP="00B4706E"/>
    <w:tbl>
      <w:tblPr>
        <w:tblW w:w="9541" w:type="dxa"/>
        <w:tblLayout w:type="fixed"/>
        <w:tblLook w:val="0000" w:firstRow="0" w:lastRow="0" w:firstColumn="0" w:lastColumn="0" w:noHBand="0" w:noVBand="0"/>
      </w:tblPr>
      <w:tblGrid>
        <w:gridCol w:w="4681"/>
        <w:gridCol w:w="627"/>
        <w:gridCol w:w="4233"/>
      </w:tblGrid>
      <w:tr w:rsidR="00B4706E" w:rsidRPr="007C0B39" w14:paraId="4DA1ACCD" w14:textId="77777777" w:rsidTr="00B84E55">
        <w:trPr>
          <w:trHeight w:val="1224"/>
        </w:trPr>
        <w:tc>
          <w:tcPr>
            <w:tcW w:w="4681" w:type="dxa"/>
          </w:tcPr>
          <w:p w14:paraId="4DA1ACBD" w14:textId="77777777" w:rsidR="00B4706E" w:rsidRPr="00843A5F" w:rsidRDefault="00B4706E" w:rsidP="00B84E55">
            <w:pPr>
              <w:tabs>
                <w:tab w:val="center" w:pos="4680"/>
              </w:tabs>
              <w:suppressAutoHyphens/>
              <w:rPr>
                <w:spacing w:val="-2"/>
              </w:rPr>
            </w:pPr>
            <w:r w:rsidRPr="00843A5F">
              <w:rPr>
                <w:spacing w:val="-2"/>
              </w:rPr>
              <w:t>In the Matter of</w:t>
            </w:r>
          </w:p>
          <w:p w14:paraId="4DA1ACBE" w14:textId="77777777" w:rsidR="00B4706E" w:rsidRPr="00843A5F" w:rsidRDefault="00B4706E" w:rsidP="00B84E55">
            <w:pPr>
              <w:tabs>
                <w:tab w:val="center" w:pos="4680"/>
              </w:tabs>
              <w:suppressAutoHyphens/>
              <w:rPr>
                <w:spacing w:val="-2"/>
              </w:rPr>
            </w:pPr>
          </w:p>
          <w:p w14:paraId="4DA1ACBF" w14:textId="77777777" w:rsidR="00B4706E" w:rsidRDefault="00B4706E" w:rsidP="00B84E55">
            <w:pPr>
              <w:tabs>
                <w:tab w:val="center" w:pos="4680"/>
              </w:tabs>
              <w:suppressAutoHyphens/>
              <w:rPr>
                <w:szCs w:val="22"/>
              </w:rPr>
            </w:pPr>
            <w:r>
              <w:rPr>
                <w:szCs w:val="22"/>
              </w:rPr>
              <w:t>Constellium Rolled Products Ravenswood, LLC,</w:t>
            </w:r>
          </w:p>
          <w:p w14:paraId="4DA1ACC0" w14:textId="77777777" w:rsidR="00B4706E" w:rsidRDefault="00B4706E" w:rsidP="00B84E55">
            <w:pPr>
              <w:tabs>
                <w:tab w:val="center" w:pos="4680"/>
              </w:tabs>
              <w:suppressAutoHyphens/>
              <w:rPr>
                <w:szCs w:val="22"/>
              </w:rPr>
            </w:pPr>
            <w:r>
              <w:rPr>
                <w:szCs w:val="22"/>
              </w:rPr>
              <w:t>an indirect, wholly-owned subsidiary of</w:t>
            </w:r>
          </w:p>
          <w:p w14:paraId="4DA1ACC1" w14:textId="77777777" w:rsidR="00B4706E" w:rsidRPr="007C0B39" w:rsidRDefault="00B4706E" w:rsidP="00B84E55">
            <w:pPr>
              <w:tabs>
                <w:tab w:val="center" w:pos="4680"/>
              </w:tabs>
              <w:suppressAutoHyphens/>
              <w:rPr>
                <w:spacing w:val="-2"/>
              </w:rPr>
            </w:pPr>
            <w:r>
              <w:rPr>
                <w:szCs w:val="22"/>
              </w:rPr>
              <w:t>Constellium N.V.</w:t>
            </w:r>
          </w:p>
        </w:tc>
        <w:tc>
          <w:tcPr>
            <w:tcW w:w="627" w:type="dxa"/>
          </w:tcPr>
          <w:p w14:paraId="4DA1ACC2" w14:textId="77777777" w:rsidR="00B4706E" w:rsidRPr="007C0B39" w:rsidRDefault="00B4706E" w:rsidP="00B84E55">
            <w:pPr>
              <w:tabs>
                <w:tab w:val="center" w:pos="4680"/>
              </w:tabs>
              <w:suppressAutoHyphens/>
              <w:rPr>
                <w:b/>
                <w:spacing w:val="-2"/>
              </w:rPr>
            </w:pPr>
            <w:r w:rsidRPr="007C0B39">
              <w:rPr>
                <w:b/>
                <w:spacing w:val="-2"/>
              </w:rPr>
              <w:t>)</w:t>
            </w:r>
          </w:p>
          <w:p w14:paraId="4DA1ACC3" w14:textId="77777777" w:rsidR="00B4706E" w:rsidRPr="007C0B39" w:rsidRDefault="00B4706E" w:rsidP="00B84E55">
            <w:pPr>
              <w:tabs>
                <w:tab w:val="center" w:pos="4680"/>
              </w:tabs>
              <w:suppressAutoHyphens/>
              <w:rPr>
                <w:b/>
                <w:spacing w:val="-2"/>
              </w:rPr>
            </w:pPr>
            <w:r w:rsidRPr="007C0B39">
              <w:rPr>
                <w:b/>
                <w:spacing w:val="-2"/>
              </w:rPr>
              <w:t>)</w:t>
            </w:r>
          </w:p>
          <w:p w14:paraId="4DA1ACC4" w14:textId="77777777" w:rsidR="00B4706E" w:rsidRPr="007C0B39" w:rsidRDefault="00B4706E" w:rsidP="00B84E55">
            <w:pPr>
              <w:tabs>
                <w:tab w:val="center" w:pos="4680"/>
              </w:tabs>
              <w:suppressAutoHyphens/>
              <w:rPr>
                <w:b/>
                <w:spacing w:val="-2"/>
              </w:rPr>
            </w:pPr>
            <w:r w:rsidRPr="007C0B39">
              <w:rPr>
                <w:b/>
                <w:spacing w:val="-2"/>
              </w:rPr>
              <w:t>)</w:t>
            </w:r>
          </w:p>
          <w:p w14:paraId="4DA1ACC5" w14:textId="77777777" w:rsidR="00B4706E" w:rsidRPr="007C0B39" w:rsidRDefault="00B4706E" w:rsidP="00B84E55">
            <w:pPr>
              <w:tabs>
                <w:tab w:val="center" w:pos="4680"/>
              </w:tabs>
              <w:suppressAutoHyphens/>
              <w:rPr>
                <w:b/>
                <w:spacing w:val="-2"/>
              </w:rPr>
            </w:pPr>
            <w:r w:rsidRPr="007C0B39">
              <w:rPr>
                <w:b/>
                <w:spacing w:val="-2"/>
              </w:rPr>
              <w:t>)</w:t>
            </w:r>
          </w:p>
          <w:p w14:paraId="4DA1ACC6" w14:textId="77777777" w:rsidR="00B4706E" w:rsidRPr="007C0B39" w:rsidRDefault="00B4706E" w:rsidP="00B84E55">
            <w:pPr>
              <w:tabs>
                <w:tab w:val="center" w:pos="4680"/>
              </w:tabs>
              <w:suppressAutoHyphens/>
              <w:rPr>
                <w:b/>
                <w:spacing w:val="-2"/>
              </w:rPr>
            </w:pPr>
            <w:r w:rsidRPr="007C0B39">
              <w:rPr>
                <w:b/>
                <w:spacing w:val="-2"/>
              </w:rPr>
              <w:t>)</w:t>
            </w:r>
          </w:p>
          <w:p w14:paraId="4DA1ACC7" w14:textId="77777777" w:rsidR="00B4706E" w:rsidRPr="007C0B39" w:rsidRDefault="00B4706E" w:rsidP="00B84E55">
            <w:pPr>
              <w:tabs>
                <w:tab w:val="center" w:pos="4680"/>
              </w:tabs>
              <w:suppressAutoHyphens/>
              <w:rPr>
                <w:spacing w:val="-2"/>
              </w:rPr>
            </w:pPr>
          </w:p>
        </w:tc>
        <w:tc>
          <w:tcPr>
            <w:tcW w:w="4233" w:type="dxa"/>
          </w:tcPr>
          <w:p w14:paraId="4DA1ACC8" w14:textId="77777777" w:rsidR="00B4706E" w:rsidRDefault="00B4706E" w:rsidP="00B84E55">
            <w:pPr>
              <w:tabs>
                <w:tab w:val="center" w:pos="4680"/>
              </w:tabs>
              <w:suppressAutoHyphens/>
              <w:ind w:left="432"/>
              <w:rPr>
                <w:spacing w:val="-2"/>
                <w:szCs w:val="22"/>
              </w:rPr>
            </w:pPr>
          </w:p>
          <w:p w14:paraId="4DA1ACC9" w14:textId="77777777" w:rsidR="00B4706E" w:rsidRDefault="00B4706E" w:rsidP="00B84E55">
            <w:pPr>
              <w:tabs>
                <w:tab w:val="center" w:pos="4680"/>
              </w:tabs>
              <w:suppressAutoHyphens/>
              <w:ind w:left="432"/>
              <w:rPr>
                <w:spacing w:val="-2"/>
                <w:szCs w:val="22"/>
              </w:rPr>
            </w:pPr>
          </w:p>
          <w:p w14:paraId="4DA1ACCA" w14:textId="77777777" w:rsidR="00B4706E" w:rsidRPr="007C0B39" w:rsidRDefault="00B4706E" w:rsidP="00B84E55">
            <w:pPr>
              <w:tabs>
                <w:tab w:val="center" w:pos="4680"/>
              </w:tabs>
              <w:suppressAutoHyphens/>
              <w:ind w:left="432"/>
              <w:rPr>
                <w:spacing w:val="-2"/>
                <w:szCs w:val="22"/>
              </w:rPr>
            </w:pPr>
            <w:r w:rsidRPr="007C0B39">
              <w:rPr>
                <w:spacing w:val="-2"/>
                <w:szCs w:val="22"/>
              </w:rPr>
              <w:t>File No.:</w:t>
            </w:r>
            <w:r>
              <w:rPr>
                <w:spacing w:val="-2"/>
                <w:szCs w:val="22"/>
              </w:rPr>
              <w:t xml:space="preserve">  EB-SED-13-00012123</w:t>
            </w:r>
          </w:p>
          <w:p w14:paraId="4DA1ACCB" w14:textId="77777777" w:rsidR="00B4706E" w:rsidRPr="007C0B39" w:rsidRDefault="00A03540" w:rsidP="00B84E55">
            <w:pPr>
              <w:ind w:left="432"/>
              <w:rPr>
                <w:spacing w:val="-2"/>
                <w:szCs w:val="22"/>
              </w:rPr>
            </w:pPr>
            <w:r>
              <w:rPr>
                <w:spacing w:val="-2"/>
                <w:szCs w:val="22"/>
              </w:rPr>
              <w:t>NAL/</w:t>
            </w:r>
            <w:r w:rsidR="00B4706E" w:rsidRPr="007C0B39">
              <w:rPr>
                <w:spacing w:val="-2"/>
                <w:szCs w:val="22"/>
              </w:rPr>
              <w:t xml:space="preserve">Acct. No.:  </w:t>
            </w:r>
            <w:r w:rsidR="00B4706E">
              <w:rPr>
                <w:spacing w:val="-2"/>
                <w:szCs w:val="22"/>
              </w:rPr>
              <w:t>201432100020</w:t>
            </w:r>
          </w:p>
          <w:p w14:paraId="4DA1ACCC" w14:textId="77777777" w:rsidR="00B4706E" w:rsidRPr="007C0B39" w:rsidRDefault="00B4706E" w:rsidP="00B84E55">
            <w:pPr>
              <w:tabs>
                <w:tab w:val="center" w:pos="4680"/>
              </w:tabs>
              <w:suppressAutoHyphens/>
              <w:ind w:left="432"/>
              <w:rPr>
                <w:spacing w:val="-2"/>
              </w:rPr>
            </w:pPr>
            <w:r w:rsidRPr="007C0B39">
              <w:rPr>
                <w:szCs w:val="22"/>
              </w:rPr>
              <w:t xml:space="preserve">FRN:  </w:t>
            </w:r>
            <w:r>
              <w:rPr>
                <w:szCs w:val="22"/>
              </w:rPr>
              <w:t>0005812789</w:t>
            </w:r>
          </w:p>
        </w:tc>
      </w:tr>
    </w:tbl>
    <w:p w14:paraId="4DA1ACCE" w14:textId="77777777" w:rsidR="00B4706E" w:rsidRPr="007C0B39" w:rsidRDefault="00B4706E" w:rsidP="00B4706E">
      <w:pPr>
        <w:pStyle w:val="StyleBoldCentered"/>
      </w:pPr>
      <w:r w:rsidRPr="007C0B39">
        <w:t>CONSENT DECREE</w:t>
      </w:r>
    </w:p>
    <w:p w14:paraId="4DA1ACCF" w14:textId="77777777" w:rsidR="00B4706E" w:rsidRPr="007C0B39" w:rsidRDefault="00B4706E" w:rsidP="00B4706E">
      <w:pPr>
        <w:pStyle w:val="StyleBoldCentered"/>
      </w:pPr>
    </w:p>
    <w:p w14:paraId="4DA1ACD0" w14:textId="77777777" w:rsidR="00B4706E" w:rsidRPr="007C0B39" w:rsidRDefault="00B4706E" w:rsidP="00B4706E">
      <w:pPr>
        <w:pStyle w:val="ParaNum"/>
      </w:pPr>
      <w:r w:rsidRPr="007C0B39">
        <w:t xml:space="preserve">The Enforcement Bureau of the Federal Communications Commission and </w:t>
      </w:r>
      <w:r>
        <w:t xml:space="preserve">Constellium Rolled Products Ravenswood, LLC (Constellium), </w:t>
      </w:r>
      <w:r w:rsidRPr="007C0B39">
        <w:t xml:space="preserve">by their authorized representatives, hereby enter into this Consent Decree for the purpose of terminating the Enforcement Bureau’s investigation into whether </w:t>
      </w:r>
      <w:r>
        <w:t xml:space="preserve">Constellium </w:t>
      </w:r>
      <w:r w:rsidRPr="007C0B39">
        <w:t xml:space="preserve">violated </w:t>
      </w:r>
      <w:r>
        <w:t>Sections 301 and 310(d) of the Communications Act of 1934, as amended,</w:t>
      </w:r>
      <w:r>
        <w:rPr>
          <w:rStyle w:val="FootnoteReference"/>
        </w:rPr>
        <w:footnoteReference w:id="8"/>
      </w:r>
      <w:r>
        <w:t xml:space="preserve"> Sections 1.903(a) and 1.948(a) of the Commission’s rules,</w:t>
      </w:r>
      <w:r>
        <w:rPr>
          <w:rStyle w:val="FootnoteReference"/>
        </w:rPr>
        <w:footnoteReference w:id="9"/>
      </w:r>
      <w:r>
        <w:t xml:space="preserve"> and the associated Commission orders requiring a licensee to seek authority for any operation that occurs after a license expires,</w:t>
      </w:r>
      <w:r>
        <w:rPr>
          <w:rStyle w:val="FootnoteReference"/>
        </w:rPr>
        <w:footnoteReference w:id="10"/>
      </w:r>
      <w:r>
        <w:t xml:space="preserve"> </w:t>
      </w:r>
      <w:r w:rsidRPr="007C0B39">
        <w:rPr>
          <w:szCs w:val="22"/>
        </w:rPr>
        <w:t xml:space="preserve">in connection with </w:t>
      </w:r>
      <w:r>
        <w:rPr>
          <w:szCs w:val="22"/>
        </w:rPr>
        <w:t>Constellium’s operation of Private Land Mobile Radio Service (PLMRS) stations without Commission authority, Constellium’s failure to timely file for authority to continue operating these stations, and its failure to obtain Commission consent prior to transferring control of PLMRS station authorizations.</w:t>
      </w:r>
    </w:p>
    <w:p w14:paraId="4DA1ACD1" w14:textId="77777777" w:rsidR="00B4706E" w:rsidRPr="007C0B39" w:rsidRDefault="00B4706E" w:rsidP="00B4706E">
      <w:pPr>
        <w:pStyle w:val="Heading1"/>
      </w:pPr>
      <w:r w:rsidRPr="007C0B39">
        <w:t>DEFINITIONS</w:t>
      </w:r>
    </w:p>
    <w:p w14:paraId="4DA1ACD2" w14:textId="77777777" w:rsidR="00B4706E" w:rsidRPr="007C0B39" w:rsidRDefault="00B4706E" w:rsidP="00B4706E">
      <w:pPr>
        <w:pStyle w:val="ParaNum"/>
      </w:pPr>
      <w:r w:rsidRPr="007C0B39">
        <w:t>For the purposes of this Consent Decree, the following definitions shall apply:</w:t>
      </w:r>
    </w:p>
    <w:p w14:paraId="4DA1ACD3" w14:textId="77777777" w:rsidR="00B4706E" w:rsidRPr="007C0B39" w:rsidRDefault="00B4706E" w:rsidP="00B4706E">
      <w:pPr>
        <w:numPr>
          <w:ilvl w:val="0"/>
          <w:numId w:val="8"/>
        </w:numPr>
        <w:tabs>
          <w:tab w:val="clear" w:pos="1224"/>
        </w:tabs>
        <w:spacing w:after="120"/>
        <w:ind w:left="1800" w:hanging="342"/>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11"/>
      </w:r>
    </w:p>
    <w:p w14:paraId="4DA1ACD4" w14:textId="77777777" w:rsidR="00B4706E" w:rsidRPr="007C0B39" w:rsidRDefault="00B4706E" w:rsidP="00B4706E">
      <w:pPr>
        <w:numPr>
          <w:ilvl w:val="0"/>
          <w:numId w:val="8"/>
        </w:numPr>
        <w:tabs>
          <w:tab w:val="clear" w:pos="1224"/>
        </w:tabs>
        <w:spacing w:after="120"/>
        <w:ind w:left="1800" w:hanging="36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14:paraId="4DA1ACD5" w14:textId="77777777" w:rsidR="00B4706E" w:rsidRPr="007C0B39" w:rsidRDefault="00B4706E" w:rsidP="00B4706E">
      <w:pPr>
        <w:numPr>
          <w:ilvl w:val="0"/>
          <w:numId w:val="8"/>
        </w:numPr>
        <w:tabs>
          <w:tab w:val="clear" w:pos="1224"/>
        </w:tabs>
        <w:spacing w:after="120"/>
        <w:ind w:left="1800" w:hanging="360"/>
        <w:rPr>
          <w:szCs w:val="22"/>
        </w:rPr>
      </w:pPr>
      <w:r w:rsidRPr="007C0B39">
        <w:rPr>
          <w:szCs w:val="22"/>
        </w:rPr>
        <w:t>“</w:t>
      </w:r>
      <w:r w:rsidRPr="007C0B39">
        <w:t>Bureau</w:t>
      </w:r>
      <w:r w:rsidRPr="007C0B39">
        <w:rPr>
          <w:szCs w:val="22"/>
        </w:rPr>
        <w:t>” means the Enforcement Bureau of the Federal Communications Commission.</w:t>
      </w:r>
    </w:p>
    <w:p w14:paraId="4DA1ACD6" w14:textId="77777777" w:rsidR="00B4706E" w:rsidRPr="007C0B39" w:rsidRDefault="00B4706E" w:rsidP="00B4706E">
      <w:pPr>
        <w:numPr>
          <w:ilvl w:val="0"/>
          <w:numId w:val="8"/>
        </w:numPr>
        <w:tabs>
          <w:tab w:val="clear" w:pos="1224"/>
        </w:tabs>
        <w:spacing w:after="120"/>
        <w:ind w:left="1800" w:hanging="360"/>
        <w:rPr>
          <w:szCs w:val="22"/>
        </w:rPr>
      </w:pPr>
      <w:r w:rsidRPr="007C0B39">
        <w:rPr>
          <w:szCs w:val="22"/>
        </w:rPr>
        <w:t>“</w:t>
      </w:r>
      <w:r w:rsidRPr="007C0B39">
        <w:t>Commission</w:t>
      </w:r>
      <w:r w:rsidRPr="007C0B39">
        <w:rPr>
          <w:szCs w:val="22"/>
        </w:rPr>
        <w:t>” and “FCC” mean the Federal Communications Commission and all of its bureaus and offices.</w:t>
      </w:r>
    </w:p>
    <w:p w14:paraId="4DA1ACD7" w14:textId="77777777" w:rsidR="00B4706E" w:rsidRPr="007C0B39" w:rsidRDefault="00B4706E" w:rsidP="00B4706E">
      <w:pPr>
        <w:numPr>
          <w:ilvl w:val="0"/>
          <w:numId w:val="8"/>
        </w:numPr>
        <w:tabs>
          <w:tab w:val="clear" w:pos="1224"/>
        </w:tabs>
        <w:spacing w:after="120"/>
        <w:ind w:left="1800" w:hanging="36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 xml:space="preserve">Constellium </w:t>
      </w:r>
      <w:r w:rsidRPr="007C0B39">
        <w:rPr>
          <w:szCs w:val="22"/>
        </w:rPr>
        <w:t xml:space="preserve">is subject by virtue of its business activities, including but not limited to the </w:t>
      </w:r>
      <w:r>
        <w:rPr>
          <w:szCs w:val="22"/>
        </w:rPr>
        <w:t xml:space="preserve">Licensing </w:t>
      </w:r>
      <w:r w:rsidRPr="007C0B39">
        <w:rPr>
          <w:szCs w:val="22"/>
        </w:rPr>
        <w:t>Rules.</w:t>
      </w:r>
    </w:p>
    <w:p w14:paraId="4DA1ACD8" w14:textId="77777777" w:rsidR="00B4706E" w:rsidRDefault="00B4706E" w:rsidP="001B34AE">
      <w:pPr>
        <w:widowControl/>
        <w:numPr>
          <w:ilvl w:val="0"/>
          <w:numId w:val="8"/>
        </w:numPr>
        <w:tabs>
          <w:tab w:val="clear" w:pos="1224"/>
        </w:tabs>
        <w:spacing w:after="120"/>
        <w:ind w:left="1800" w:hanging="346"/>
        <w:rPr>
          <w:szCs w:val="22"/>
        </w:rPr>
      </w:pPr>
      <w:r w:rsidRPr="007C0B39">
        <w:rPr>
          <w:szCs w:val="22"/>
        </w:rPr>
        <w:t>“</w:t>
      </w:r>
      <w:r w:rsidRPr="007C0B39">
        <w:t>Compliance</w:t>
      </w:r>
      <w:r w:rsidRPr="007C0B39">
        <w:rPr>
          <w:szCs w:val="22"/>
        </w:rPr>
        <w:t xml:space="preserve"> Plan” means the compliance obligations, program, and procedures described in this Consent Decree at paragraph </w:t>
      </w:r>
      <w:r>
        <w:rPr>
          <w:szCs w:val="22"/>
        </w:rPr>
        <w:t>13.</w:t>
      </w:r>
    </w:p>
    <w:p w14:paraId="4DA1ACD9" w14:textId="77777777" w:rsidR="00B4706E" w:rsidRPr="007C0B39" w:rsidRDefault="00B4706E" w:rsidP="00B4706E">
      <w:pPr>
        <w:numPr>
          <w:ilvl w:val="0"/>
          <w:numId w:val="8"/>
        </w:numPr>
        <w:tabs>
          <w:tab w:val="clear" w:pos="1224"/>
        </w:tabs>
        <w:spacing w:after="120"/>
        <w:ind w:left="1800" w:hanging="346"/>
        <w:rPr>
          <w:szCs w:val="22"/>
        </w:rPr>
      </w:pPr>
      <w:r>
        <w:rPr>
          <w:szCs w:val="22"/>
        </w:rPr>
        <w:t>“Constellium” means Constellium Rolled Products Ravenswood, LLC, its subsidiaries, as well as its predecessors-in-interest and its successors-in-interest.</w:t>
      </w:r>
    </w:p>
    <w:p w14:paraId="4DA1ACDA" w14:textId="77777777" w:rsidR="00B4706E" w:rsidRPr="007C0B39" w:rsidRDefault="00B4706E" w:rsidP="00B4706E">
      <w:pPr>
        <w:numPr>
          <w:ilvl w:val="0"/>
          <w:numId w:val="8"/>
        </w:numPr>
        <w:tabs>
          <w:tab w:val="clear" w:pos="1224"/>
        </w:tabs>
        <w:spacing w:after="120"/>
        <w:ind w:left="1800" w:hanging="346"/>
        <w:rPr>
          <w:szCs w:val="22"/>
        </w:rPr>
      </w:pPr>
      <w:r w:rsidRPr="007C0B39">
        <w:rPr>
          <w:szCs w:val="22"/>
        </w:rPr>
        <w:t>“</w:t>
      </w:r>
      <w:r w:rsidRPr="007C0B39">
        <w:t>Covered</w:t>
      </w:r>
      <w:r w:rsidRPr="007C0B39">
        <w:rPr>
          <w:szCs w:val="22"/>
        </w:rPr>
        <w:t xml:space="preserve"> </w:t>
      </w:r>
      <w:r w:rsidRPr="007C0B39">
        <w:t>Employees</w:t>
      </w:r>
      <w:r w:rsidRPr="007C0B39">
        <w:rPr>
          <w:szCs w:val="22"/>
        </w:rPr>
        <w:t xml:space="preserve">” means all employees and agents of </w:t>
      </w:r>
      <w:r>
        <w:rPr>
          <w:szCs w:val="22"/>
        </w:rPr>
        <w:t xml:space="preserve">Constellium </w:t>
      </w:r>
      <w:r w:rsidRPr="007C0B39">
        <w:rPr>
          <w:szCs w:val="22"/>
        </w:rPr>
        <w:t xml:space="preserve">who </w:t>
      </w:r>
      <w:r w:rsidR="005C70EB">
        <w:rPr>
          <w:szCs w:val="22"/>
        </w:rPr>
        <w:t xml:space="preserve">perform or </w:t>
      </w:r>
      <w:r w:rsidRPr="007C0B39">
        <w:rPr>
          <w:szCs w:val="22"/>
        </w:rPr>
        <w:t xml:space="preserve">supervise, oversee, or manage the performance of, duties that </w:t>
      </w:r>
      <w:r>
        <w:rPr>
          <w:szCs w:val="22"/>
        </w:rPr>
        <w:t xml:space="preserve">directly </w:t>
      </w:r>
      <w:r w:rsidRPr="007C0B39">
        <w:rPr>
          <w:szCs w:val="22"/>
        </w:rPr>
        <w:t xml:space="preserve">relate to </w:t>
      </w:r>
      <w:r>
        <w:rPr>
          <w:szCs w:val="22"/>
        </w:rPr>
        <w:t>Constellium</w:t>
      </w:r>
      <w:r w:rsidRPr="007C0B39">
        <w:rPr>
          <w:szCs w:val="22"/>
        </w:rPr>
        <w:t xml:space="preserve">’s responsibilities under the </w:t>
      </w:r>
      <w:r>
        <w:rPr>
          <w:szCs w:val="22"/>
        </w:rPr>
        <w:t xml:space="preserve">Licensing </w:t>
      </w:r>
      <w:r w:rsidRPr="007C0B39">
        <w:rPr>
          <w:szCs w:val="22"/>
        </w:rPr>
        <w:t>Rules</w:t>
      </w:r>
      <w:r w:rsidR="005C70EB">
        <w:rPr>
          <w:szCs w:val="22"/>
        </w:rPr>
        <w:t>, unless those duties are limited to the use of the mobile radios</w:t>
      </w:r>
      <w:r w:rsidRPr="007C0B39">
        <w:rPr>
          <w:szCs w:val="22"/>
        </w:rPr>
        <w:t>.</w:t>
      </w:r>
    </w:p>
    <w:p w14:paraId="4DA1ACDB" w14:textId="77777777" w:rsidR="00B4706E" w:rsidRPr="007C0B39" w:rsidRDefault="00B4706E" w:rsidP="00B4706E">
      <w:pPr>
        <w:numPr>
          <w:ilvl w:val="0"/>
          <w:numId w:val="8"/>
        </w:numPr>
        <w:tabs>
          <w:tab w:val="clear" w:pos="1224"/>
        </w:tabs>
        <w:spacing w:after="120"/>
        <w:ind w:left="1800" w:hanging="346"/>
        <w:rPr>
          <w:szCs w:val="22"/>
        </w:rPr>
      </w:pPr>
      <w:r w:rsidRPr="007C0B39">
        <w:rPr>
          <w:szCs w:val="22"/>
        </w:rPr>
        <w:t>“</w:t>
      </w:r>
      <w:r w:rsidRPr="007C0B39">
        <w:t>Effective</w:t>
      </w:r>
      <w:r w:rsidRPr="007C0B39">
        <w:rPr>
          <w:szCs w:val="22"/>
        </w:rPr>
        <w:t xml:space="preserve"> Date” means the date by which both the Bureau and </w:t>
      </w:r>
      <w:r>
        <w:rPr>
          <w:szCs w:val="22"/>
        </w:rPr>
        <w:t xml:space="preserve">Constellium </w:t>
      </w:r>
      <w:r w:rsidRPr="007C0B39">
        <w:rPr>
          <w:szCs w:val="22"/>
        </w:rPr>
        <w:t>have signed the Consent Decree.</w:t>
      </w:r>
    </w:p>
    <w:p w14:paraId="4DA1ACDC" w14:textId="77777777" w:rsidR="00B4706E" w:rsidRDefault="00B4706E" w:rsidP="00B4706E">
      <w:pPr>
        <w:numPr>
          <w:ilvl w:val="0"/>
          <w:numId w:val="8"/>
        </w:numPr>
        <w:tabs>
          <w:tab w:val="clear" w:pos="1224"/>
        </w:tabs>
        <w:spacing w:after="120"/>
        <w:ind w:left="1800" w:hanging="346"/>
        <w:rPr>
          <w:szCs w:val="22"/>
        </w:rPr>
      </w:pPr>
      <w:r w:rsidRPr="007C0B39">
        <w:rPr>
          <w:szCs w:val="22"/>
        </w:rPr>
        <w:t>“</w:t>
      </w:r>
      <w:r w:rsidRPr="00F657B1">
        <w:t>Investigation</w:t>
      </w:r>
      <w:r w:rsidRPr="007C0B39">
        <w:rPr>
          <w:szCs w:val="22"/>
        </w:rPr>
        <w:t xml:space="preserve">” means the investigation </w:t>
      </w:r>
      <w:r>
        <w:rPr>
          <w:szCs w:val="22"/>
        </w:rPr>
        <w:t>into</w:t>
      </w:r>
      <w:r w:rsidRPr="00F657B1">
        <w:rPr>
          <w:szCs w:val="22"/>
        </w:rPr>
        <w:t xml:space="preserve"> </w:t>
      </w:r>
      <w:r>
        <w:rPr>
          <w:szCs w:val="22"/>
        </w:rPr>
        <w:t>Constellium’</w:t>
      </w:r>
      <w:r w:rsidRPr="00F657B1">
        <w:rPr>
          <w:szCs w:val="22"/>
        </w:rPr>
        <w:t>s apparent violation</w:t>
      </w:r>
      <w:r>
        <w:rPr>
          <w:szCs w:val="22"/>
        </w:rPr>
        <w:t xml:space="preserve">s of the Licensing Rules commenced </w:t>
      </w:r>
      <w:r w:rsidRPr="007C0B39">
        <w:rPr>
          <w:szCs w:val="22"/>
        </w:rPr>
        <w:t>by the Bureau</w:t>
      </w:r>
      <w:r>
        <w:rPr>
          <w:szCs w:val="22"/>
        </w:rPr>
        <w:t>’s August 2, 2013, Letter of Inquiry</w:t>
      </w:r>
      <w:r>
        <w:rPr>
          <w:rStyle w:val="FootnoteReference"/>
          <w:szCs w:val="22"/>
        </w:rPr>
        <w:footnoteReference w:id="12"/>
      </w:r>
      <w:r>
        <w:rPr>
          <w:szCs w:val="22"/>
        </w:rPr>
        <w:t xml:space="preserve"> </w:t>
      </w:r>
      <w:r w:rsidRPr="007C0B39">
        <w:rPr>
          <w:szCs w:val="22"/>
        </w:rPr>
        <w:t xml:space="preserve"> in </w:t>
      </w:r>
      <w:r>
        <w:rPr>
          <w:szCs w:val="22"/>
        </w:rPr>
        <w:t>EB-SED-13-00012123 and expanded to include Constellium’s subsequent voluntary disclosure of additional apparent violations.</w:t>
      </w:r>
      <w:r>
        <w:rPr>
          <w:rStyle w:val="FootnoteReference"/>
          <w:szCs w:val="22"/>
        </w:rPr>
        <w:footnoteReference w:id="13"/>
      </w:r>
    </w:p>
    <w:p w14:paraId="4DA1ACDD" w14:textId="77777777" w:rsidR="00B4706E" w:rsidRDefault="00B4706E" w:rsidP="00B4706E">
      <w:pPr>
        <w:numPr>
          <w:ilvl w:val="0"/>
          <w:numId w:val="8"/>
        </w:numPr>
        <w:tabs>
          <w:tab w:val="clear" w:pos="1224"/>
        </w:tabs>
        <w:spacing w:after="120"/>
        <w:ind w:left="1800" w:hanging="346"/>
        <w:rPr>
          <w:szCs w:val="22"/>
        </w:rPr>
      </w:pPr>
      <w:r>
        <w:rPr>
          <w:szCs w:val="22"/>
        </w:rPr>
        <w:t xml:space="preserve">“Licensing Rules” means Sections 301 and 310(d) of the Act, Sections 1.903(a), 1.948 and 1.949(a) of the Rules, the </w:t>
      </w:r>
      <w:r w:rsidRPr="009916C7">
        <w:rPr>
          <w:i/>
          <w:szCs w:val="22"/>
        </w:rPr>
        <w:t>Universal Licensing System Orders</w:t>
      </w:r>
      <w:r>
        <w:rPr>
          <w:szCs w:val="22"/>
        </w:rPr>
        <w:t>, and other Communications Laws that prohibit the use or operation of a wireless radio station without a valid Commission authorization or in a manner inconsistent with such authorization, and the assignment or transfer of control of radio station licenses without prior Commission approval.</w:t>
      </w:r>
    </w:p>
    <w:p w14:paraId="4DA1ACDE" w14:textId="77777777" w:rsidR="00B4706E" w:rsidRPr="007C0B39" w:rsidRDefault="00B4706E" w:rsidP="00B4706E">
      <w:pPr>
        <w:numPr>
          <w:ilvl w:val="0"/>
          <w:numId w:val="8"/>
        </w:numPr>
        <w:tabs>
          <w:tab w:val="clear" w:pos="1224"/>
        </w:tabs>
        <w:spacing w:after="120"/>
        <w:ind w:left="1800" w:hanging="346"/>
        <w:rPr>
          <w:szCs w:val="22"/>
        </w:rPr>
      </w:pPr>
      <w:r>
        <w:rPr>
          <w:szCs w:val="22"/>
        </w:rPr>
        <w:t>“</w:t>
      </w:r>
      <w:r w:rsidRPr="00AE21C4">
        <w:rPr>
          <w:i/>
          <w:szCs w:val="22"/>
        </w:rPr>
        <w:t>NAL</w:t>
      </w:r>
      <w:r>
        <w:rPr>
          <w:szCs w:val="22"/>
        </w:rPr>
        <w:t xml:space="preserve">” means </w:t>
      </w:r>
      <w:r w:rsidRPr="00AE21C4">
        <w:rPr>
          <w:i/>
          <w:szCs w:val="22"/>
        </w:rPr>
        <w:t>Constellium Rolled Products Ravenswood, LLC</w:t>
      </w:r>
      <w:r>
        <w:rPr>
          <w:szCs w:val="22"/>
        </w:rPr>
        <w:t>, Notice of Apparent Liability for Forfeiture, 29 FCC Rcd 6277 (2014).</w:t>
      </w:r>
    </w:p>
    <w:p w14:paraId="4DA1ACDF" w14:textId="77777777" w:rsidR="00B4706E" w:rsidRPr="007C0B39" w:rsidRDefault="00B4706E" w:rsidP="00B4706E">
      <w:pPr>
        <w:numPr>
          <w:ilvl w:val="0"/>
          <w:numId w:val="8"/>
        </w:numPr>
        <w:tabs>
          <w:tab w:val="clear" w:pos="1224"/>
        </w:tabs>
        <w:spacing w:after="120"/>
        <w:ind w:left="1800" w:hanging="346"/>
        <w:rPr>
          <w:szCs w:val="22"/>
        </w:rPr>
      </w:pPr>
      <w:r w:rsidRPr="007C0B39">
        <w:rPr>
          <w:szCs w:val="22"/>
        </w:rPr>
        <w:t>“</w:t>
      </w:r>
      <w:r w:rsidRPr="007C0B39">
        <w:t>Operating</w:t>
      </w:r>
      <w:r w:rsidRPr="007C0B39">
        <w:rPr>
          <w:szCs w:val="22"/>
        </w:rPr>
        <w:t xml:space="preserve"> Procedures” means the standard internal operating procedures and compliance policies established by </w:t>
      </w:r>
      <w:r>
        <w:rPr>
          <w:szCs w:val="22"/>
        </w:rPr>
        <w:t xml:space="preserve">Constellium </w:t>
      </w:r>
      <w:r w:rsidRPr="007C0B39">
        <w:rPr>
          <w:szCs w:val="22"/>
        </w:rPr>
        <w:t>to implement the Compliance Plan.</w:t>
      </w:r>
    </w:p>
    <w:p w14:paraId="4DA1ACE0" w14:textId="77777777" w:rsidR="00B4706E" w:rsidRPr="007C0B39" w:rsidRDefault="00B4706E" w:rsidP="00B4706E">
      <w:pPr>
        <w:numPr>
          <w:ilvl w:val="0"/>
          <w:numId w:val="8"/>
        </w:numPr>
        <w:tabs>
          <w:tab w:val="clear" w:pos="1224"/>
        </w:tabs>
        <w:spacing w:after="120"/>
        <w:ind w:left="1800" w:hanging="346"/>
        <w:rPr>
          <w:szCs w:val="22"/>
        </w:rPr>
      </w:pPr>
      <w:r w:rsidRPr="007C0B39">
        <w:rPr>
          <w:szCs w:val="22"/>
        </w:rPr>
        <w:t>“</w:t>
      </w:r>
      <w:r w:rsidRPr="007C0B39">
        <w:t>Parties</w:t>
      </w:r>
      <w:r w:rsidRPr="007C0B39">
        <w:rPr>
          <w:szCs w:val="22"/>
        </w:rPr>
        <w:t xml:space="preserve">” means </w:t>
      </w:r>
      <w:r>
        <w:rPr>
          <w:szCs w:val="22"/>
        </w:rPr>
        <w:t xml:space="preserve">Constellium </w:t>
      </w:r>
      <w:r w:rsidRPr="007C0B39">
        <w:rPr>
          <w:szCs w:val="22"/>
        </w:rPr>
        <w:t>and the Bureau, each of which is a “Party.”</w:t>
      </w:r>
    </w:p>
    <w:p w14:paraId="4DA1ACE1" w14:textId="77777777" w:rsidR="00B4706E" w:rsidRPr="007C0B39" w:rsidRDefault="00B4706E" w:rsidP="00B4706E">
      <w:pPr>
        <w:numPr>
          <w:ilvl w:val="0"/>
          <w:numId w:val="8"/>
        </w:numPr>
        <w:tabs>
          <w:tab w:val="clear" w:pos="1224"/>
        </w:tabs>
        <w:spacing w:after="120"/>
        <w:ind w:left="1800" w:hanging="346"/>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14:paraId="4DA1ACE2" w14:textId="77777777" w:rsidR="00B4706E" w:rsidRPr="007C0B39" w:rsidRDefault="00B4706E" w:rsidP="00B4706E">
      <w:pPr>
        <w:pStyle w:val="Heading1"/>
        <w:rPr>
          <w:szCs w:val="22"/>
        </w:rPr>
      </w:pPr>
      <w:r w:rsidRPr="007C0B39">
        <w:t>BACKGROUND</w:t>
      </w:r>
    </w:p>
    <w:p w14:paraId="4DA1ACE3" w14:textId="77777777" w:rsidR="00B4706E" w:rsidRPr="00445675" w:rsidRDefault="00B4706E" w:rsidP="001B34AE">
      <w:pPr>
        <w:pStyle w:val="ParaNum"/>
        <w:widowControl/>
        <w:rPr>
          <w:spacing w:val="-2"/>
          <w:szCs w:val="22"/>
        </w:rPr>
      </w:pPr>
      <w:r w:rsidRPr="00445675">
        <w:rPr>
          <w:szCs w:val="22"/>
        </w:rPr>
        <w:t>Section 301 of the Act and Section 1.903(a) of the Rules prohibit the use or operation of any apparatus for the transmission of energy or communications or signals by radio except in accordance with a Commission-granted authorization.</w:t>
      </w:r>
      <w:r w:rsidR="00653706">
        <w:rPr>
          <w:rStyle w:val="FootnoteReference"/>
          <w:szCs w:val="22"/>
        </w:rPr>
        <w:footnoteReference w:id="14"/>
      </w:r>
      <w:r w:rsidRPr="00445675">
        <w:rPr>
          <w:szCs w:val="22"/>
        </w:rPr>
        <w:t xml:space="preserve">  Licensees that want to operate after their licenses’ expiration must affirmatively request continued operating authority from the Commission.</w:t>
      </w:r>
      <w:r w:rsidRPr="00F47251">
        <w:rPr>
          <w:rStyle w:val="FootnoteReference"/>
          <w:color w:val="000000"/>
          <w:szCs w:val="22"/>
        </w:rPr>
        <w:footnoteReference w:id="15"/>
      </w:r>
      <w:r w:rsidRPr="00445675">
        <w:rPr>
          <w:szCs w:val="22"/>
        </w:rPr>
        <w:t xml:space="preserve">  The </w:t>
      </w:r>
      <w:r w:rsidRPr="00445675">
        <w:rPr>
          <w:i/>
          <w:szCs w:val="22"/>
        </w:rPr>
        <w:t xml:space="preserve">Universal Licensing System Orders </w:t>
      </w:r>
      <w:r w:rsidRPr="00445675">
        <w:rPr>
          <w:szCs w:val="22"/>
        </w:rPr>
        <w:t>mandate the filing of certain applications to obtain such authority.</w:t>
      </w:r>
      <w:r w:rsidRPr="001B34AE">
        <w:rPr>
          <w:rStyle w:val="FootnoteReference"/>
        </w:rPr>
        <w:footnoteReference w:id="16"/>
      </w:r>
    </w:p>
    <w:p w14:paraId="4DA1ACE4" w14:textId="77777777" w:rsidR="00B4706E" w:rsidRPr="00445675" w:rsidRDefault="00B4706E" w:rsidP="00B4706E">
      <w:pPr>
        <w:pStyle w:val="ParaNum"/>
        <w:rPr>
          <w:spacing w:val="-2"/>
          <w:szCs w:val="22"/>
        </w:rPr>
      </w:pPr>
      <w:r w:rsidRPr="00451BB9">
        <w:rPr>
          <w:szCs w:val="22"/>
        </w:rPr>
        <w:t>Under Section 310(d) of the Act, a Commission license may not be “transferred, assigned, or disposed of in any manner, voluntarily or involuntarily, directly or indirectly, or by transfer of control of any corporation holding such . . . license” until the licensee has sought and obtained Commission approval.</w:t>
      </w:r>
      <w:r w:rsidRPr="00F47251">
        <w:rPr>
          <w:rStyle w:val="FootnoteReference"/>
          <w:color w:val="000000"/>
          <w:szCs w:val="22"/>
        </w:rPr>
        <w:footnoteReference w:id="17"/>
      </w:r>
      <w:r w:rsidRPr="00451BB9">
        <w:rPr>
          <w:szCs w:val="22"/>
        </w:rPr>
        <w:t xml:space="preserve">  Similarly, Section 1.948(a) of the Rules states that “authorizations in the Wireless Radio Services may be assigned by the licensee to another party, voluntarily or involuntarily, directly or indirectly, or the control of a licensee holding such authorizations may be transferred, only upon application to and approval by the Commission.”</w:t>
      </w:r>
      <w:r w:rsidRPr="00F47251">
        <w:rPr>
          <w:rStyle w:val="FootnoteReference"/>
          <w:color w:val="000000"/>
          <w:szCs w:val="22"/>
        </w:rPr>
        <w:footnoteReference w:id="18"/>
      </w:r>
    </w:p>
    <w:p w14:paraId="4DA1ACE5" w14:textId="77777777" w:rsidR="00B4706E" w:rsidRDefault="00B4706E" w:rsidP="00B4706E">
      <w:pPr>
        <w:pStyle w:val="ParaNum"/>
      </w:pPr>
      <w:r w:rsidRPr="007C0B39">
        <w:t xml:space="preserve"> </w:t>
      </w:r>
      <w:r>
        <w:t>Constellium operated Private Land Mobile Radio Service (PLMRS) stations without the necessary Commission authority, failed to timely file the associated applications for authority to continue operating these stations, and failed to obtain the requisite Commission consent prior to transferring control of PLMRS station authorizations.</w:t>
      </w:r>
      <w:r>
        <w:rPr>
          <w:rStyle w:val="FootnoteReference"/>
        </w:rPr>
        <w:footnoteReference w:id="19"/>
      </w:r>
      <w:r>
        <w:t xml:space="preserve">  On May 29, 2014, the Commission issued the </w:t>
      </w:r>
      <w:r w:rsidRPr="00C4064C">
        <w:rPr>
          <w:i/>
        </w:rPr>
        <w:t>NAL</w:t>
      </w:r>
      <w:r>
        <w:t xml:space="preserve"> for two hundred ninety-four thousand four hundred dollars ($294,400) against Constellium for these apparent violations of Sections 301 and 310(d) of the Act, Sections 1.903(a) and 1.948(a) of the Rules, and the </w:t>
      </w:r>
      <w:r w:rsidRPr="002B7D5D">
        <w:rPr>
          <w:i/>
        </w:rPr>
        <w:t>Universal Licensing System Orders</w:t>
      </w:r>
      <w:r>
        <w:t xml:space="preserve"> and associated rules.</w:t>
      </w:r>
      <w:r>
        <w:rPr>
          <w:rStyle w:val="FootnoteReference"/>
        </w:rPr>
        <w:footnoteReference w:id="20"/>
      </w:r>
      <w:r>
        <w:t xml:space="preserve">  Specifically, the Commission proposed a $256,000 aggregate forfeiture against Constellium for the unauthorized operation of PLMRS stations and its failure to seek Commission authority for its continued station operations.</w:t>
      </w:r>
      <w:r>
        <w:rPr>
          <w:rStyle w:val="FootnoteReference"/>
        </w:rPr>
        <w:footnoteReference w:id="21"/>
      </w:r>
      <w:r>
        <w:t xml:space="preserve">  In addition, the Commission proposed a $38,400 forfeiture against Constellium for its unauthorized transfer of control of the PLMRS station authorizations.</w:t>
      </w:r>
      <w:r>
        <w:rPr>
          <w:rStyle w:val="FootnoteReference"/>
        </w:rPr>
        <w:footnoteReference w:id="22"/>
      </w:r>
    </w:p>
    <w:p w14:paraId="4DA1ACE6" w14:textId="77777777" w:rsidR="00B4706E" w:rsidRPr="007C0B39" w:rsidRDefault="00B4706E" w:rsidP="00B4706E">
      <w:pPr>
        <w:pStyle w:val="ParaNum"/>
      </w:pPr>
      <w:r>
        <w:t>After settlement discussions, the Bureau and Constellium agree to the following terms and conditions of settlement and hereby enter into this Consent Decree as provided below.</w:t>
      </w:r>
      <w:r w:rsidR="00C156DE">
        <w:t xml:space="preserve">  </w:t>
      </w:r>
      <w:r w:rsidR="00CC0133">
        <w:t xml:space="preserve">  </w:t>
      </w:r>
    </w:p>
    <w:p w14:paraId="4DA1ACE7" w14:textId="77777777" w:rsidR="00B4706E" w:rsidRPr="007C0B39" w:rsidRDefault="00B4706E" w:rsidP="00B4706E">
      <w:pPr>
        <w:pStyle w:val="Heading1"/>
      </w:pPr>
      <w:bookmarkStart w:id="1" w:name="FN[FN18]"/>
      <w:bookmarkEnd w:id="1"/>
      <w:r w:rsidRPr="007C0B39">
        <w:t>TERMS OF AGREEMENT</w:t>
      </w:r>
    </w:p>
    <w:p w14:paraId="4DA1ACE8" w14:textId="77777777" w:rsidR="00B4706E" w:rsidRPr="007C0B39" w:rsidRDefault="00B4706E" w:rsidP="00B4706E">
      <w:pPr>
        <w:pStyle w:val="ParaNum"/>
        <w:rPr>
          <w:szCs w:val="22"/>
        </w:rPr>
      </w:pPr>
      <w:r w:rsidRPr="007C0B39">
        <w:rPr>
          <w:b/>
          <w:szCs w:val="22"/>
          <w:u w:val="single"/>
        </w:rPr>
        <w:t>Adopting Order</w:t>
      </w:r>
      <w:r w:rsidRPr="007C0B39">
        <w:rPr>
          <w:szCs w:val="22"/>
        </w:rPr>
        <w:t>.  The provisions of this Consent Decree shall be incorporated by the Bureau in an Adopting Order.</w:t>
      </w:r>
    </w:p>
    <w:p w14:paraId="4DA1ACE9" w14:textId="77777777" w:rsidR="00B4706E" w:rsidRPr="007C0B39" w:rsidRDefault="00B4706E" w:rsidP="00B4706E">
      <w:pPr>
        <w:pStyle w:val="ParaNum"/>
        <w:rPr>
          <w:szCs w:val="22"/>
        </w:rPr>
      </w:pPr>
      <w:r w:rsidRPr="007C0B39">
        <w:rPr>
          <w:b/>
          <w:szCs w:val="22"/>
          <w:u w:val="single"/>
        </w:rPr>
        <w:t>Jurisdiction</w:t>
      </w:r>
      <w:r w:rsidRPr="007C0B39">
        <w:rPr>
          <w:szCs w:val="22"/>
        </w:rPr>
        <w:t xml:space="preserve">.  </w:t>
      </w:r>
      <w:r>
        <w:rPr>
          <w:szCs w:val="22"/>
        </w:rPr>
        <w:t xml:space="preserve">Constellium </w:t>
      </w:r>
      <w:r w:rsidRPr="007C0B39">
        <w:rPr>
          <w:szCs w:val="22"/>
        </w:rPr>
        <w:t xml:space="preserve">agrees that the Bureau has jurisdiction over it and the matters contained in this Consent Decree and has the </w:t>
      </w:r>
      <w:r w:rsidRPr="00ED419F">
        <w:t>authority</w:t>
      </w:r>
      <w:r w:rsidRPr="007C0B39">
        <w:rPr>
          <w:szCs w:val="22"/>
        </w:rPr>
        <w:t xml:space="preserve"> to enter into and adopt this Consent Decree.</w:t>
      </w:r>
    </w:p>
    <w:p w14:paraId="4DA1ACEA" w14:textId="77777777" w:rsidR="00B4706E" w:rsidRPr="007C0B39" w:rsidRDefault="00B4706E" w:rsidP="00B4706E">
      <w:pPr>
        <w:pStyle w:val="ParaNum"/>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14:paraId="4DA1ACEB" w14:textId="77777777" w:rsidR="00B4706E" w:rsidRPr="00C566EC" w:rsidRDefault="00B4706E" w:rsidP="00B4706E">
      <w:pPr>
        <w:pStyle w:val="ParaNum"/>
        <w:rPr>
          <w:szCs w:val="22"/>
        </w:rPr>
      </w:pPr>
      <w:r w:rsidRPr="007C0B39">
        <w:rPr>
          <w:b/>
          <w:szCs w:val="22"/>
          <w:u w:val="single"/>
        </w:rPr>
        <w:t xml:space="preserve">Termination of </w:t>
      </w:r>
      <w:r w:rsidRPr="00F657B1">
        <w:rPr>
          <w:b/>
          <w:szCs w:val="22"/>
          <w:u w:val="single"/>
        </w:rPr>
        <w:t>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w:t>
      </w:r>
      <w:r w:rsidRPr="00F657B1">
        <w:rPr>
          <w:szCs w:val="22"/>
        </w:rPr>
        <w:t>Investigation</w:t>
      </w:r>
      <w:r w:rsidRPr="007C0B39">
        <w:rPr>
          <w:szCs w:val="22"/>
        </w:rPr>
        <w:t xml:space="preserve">.  In consideration for the termination of the </w:t>
      </w:r>
      <w:r w:rsidRPr="00F657B1">
        <w:rPr>
          <w:szCs w:val="22"/>
        </w:rPr>
        <w:t>Investigation</w:t>
      </w:r>
      <w:r w:rsidRPr="007C0B39">
        <w:rPr>
          <w:szCs w:val="22"/>
        </w:rPr>
        <w:t xml:space="preserve">, </w:t>
      </w:r>
      <w:r>
        <w:rPr>
          <w:szCs w:val="22"/>
        </w:rPr>
        <w:t xml:space="preserve">Constellium </w:t>
      </w:r>
      <w:r w:rsidRPr="007C0B39">
        <w:rPr>
          <w:szCs w:val="22"/>
        </w:rPr>
        <w:t xml:space="preserve">agrees to the terms, conditions, and procedures contained herein.  The Bureau further agrees that, in the absence of new material evidence, it will not use the facts developed in the </w:t>
      </w:r>
      <w:r w:rsidRPr="00F657B1">
        <w:rPr>
          <w:szCs w:val="22"/>
        </w:rPr>
        <w:t>Investigation</w:t>
      </w:r>
      <w:r w:rsidRPr="007C0B39">
        <w:rPr>
          <w:szCs w:val="22"/>
        </w:rPr>
        <w:t xml:space="preserve"> through the Effective Date, or the existence of this Consent Decree, to institute, on its own motion, any new proceeding, formal or informal, or take any action on its own motion against </w:t>
      </w:r>
      <w:r>
        <w:rPr>
          <w:szCs w:val="22"/>
        </w:rPr>
        <w:t>Constellium c</w:t>
      </w:r>
      <w:r w:rsidRPr="007C0B39">
        <w:rPr>
          <w:szCs w:val="22"/>
        </w:rPr>
        <w:t xml:space="preserve">oncerning the matters that were the subject of the </w:t>
      </w:r>
      <w:r w:rsidRPr="00F657B1">
        <w:rPr>
          <w:szCs w:val="22"/>
        </w:rPr>
        <w:t>Investigation</w:t>
      </w:r>
      <w:r w:rsidRPr="007C0B39">
        <w:rPr>
          <w:szCs w:val="22"/>
        </w:rPr>
        <w:t xml:space="preserve">.  </w:t>
      </w:r>
      <w:r>
        <w:t xml:space="preserve">The Bureau also agrees that, in the absence of new material evidence, it will not use the facts developed in the </w:t>
      </w:r>
      <w:r w:rsidRPr="00F657B1">
        <w:t>Investigation</w:t>
      </w:r>
      <w:r>
        <w:t xml:space="preserve"> through the Effective Date, or the existence of this Consent Decree, to institute on its own motion any proceeding, formal or informal, or to set for hearing the question of Constellium’s basic qualifications to be a Commission licensee or hold Commission licenses or authorizations.</w:t>
      </w:r>
      <w:r>
        <w:rPr>
          <w:rStyle w:val="FootnoteReference"/>
        </w:rPr>
        <w:footnoteReference w:id="23"/>
      </w:r>
    </w:p>
    <w:p w14:paraId="4DA1ACEC" w14:textId="77777777" w:rsidR="00B4706E" w:rsidRPr="007C0B39" w:rsidRDefault="00B4706E" w:rsidP="00B4706E">
      <w:pPr>
        <w:pStyle w:val="ParaNum"/>
        <w:rPr>
          <w:szCs w:val="22"/>
        </w:rPr>
      </w:pPr>
      <w:r w:rsidRPr="007C0B39">
        <w:rPr>
          <w:b/>
          <w:u w:val="single"/>
        </w:rPr>
        <w:t>Admission of Liability</w:t>
      </w:r>
      <w:r w:rsidRPr="007C0B39">
        <w:t xml:space="preserve">.  </w:t>
      </w:r>
      <w:r>
        <w:t>Constellium a</w:t>
      </w:r>
      <w:r w:rsidRPr="007C0B39">
        <w:t>dmits for the purpose of this Consent Decree and for Commission civil enforcement purposes, and in express reliance on the provisions of paragraph</w:t>
      </w:r>
      <w:r>
        <w:t xml:space="preserve"> 10 </w:t>
      </w:r>
      <w:r w:rsidRPr="007C0B39">
        <w:t>herein,</w:t>
      </w:r>
      <w:r>
        <w:t xml:space="preserve"> that its actions that were the subject of the </w:t>
      </w:r>
      <w:r w:rsidRPr="004A0940">
        <w:rPr>
          <w:i/>
        </w:rPr>
        <w:t>NAL</w:t>
      </w:r>
      <w:r>
        <w:t xml:space="preserve"> violated the Licensing Rules.</w:t>
      </w:r>
    </w:p>
    <w:p w14:paraId="4DA1ACED" w14:textId="77777777" w:rsidR="00B4706E" w:rsidRPr="007C0B39" w:rsidRDefault="00B4706E" w:rsidP="00B4706E">
      <w:pPr>
        <w:pStyle w:val="ParaNum"/>
        <w:rPr>
          <w:szCs w:val="22"/>
        </w:rPr>
      </w:pPr>
      <w:bookmarkStart w:id="2" w:name="_Ref379202869"/>
      <w:r w:rsidRPr="007C0B39">
        <w:rPr>
          <w:b/>
          <w:szCs w:val="22"/>
          <w:u w:val="single"/>
        </w:rPr>
        <w:t>Compliance Officer</w:t>
      </w:r>
      <w:r w:rsidRPr="007C0B39">
        <w:rPr>
          <w:szCs w:val="22"/>
        </w:rPr>
        <w:t xml:space="preserve">.  Within </w:t>
      </w:r>
      <w:r>
        <w:rPr>
          <w:szCs w:val="22"/>
        </w:rPr>
        <w:t xml:space="preserve">sixty (60) </w:t>
      </w:r>
      <w:r w:rsidRPr="007C0B39">
        <w:t>calendar</w:t>
      </w:r>
      <w:r w:rsidRPr="007C0B39">
        <w:rPr>
          <w:szCs w:val="22"/>
        </w:rPr>
        <w:t xml:space="preserve"> days after the Effective Date, </w:t>
      </w:r>
      <w:r>
        <w:rPr>
          <w:szCs w:val="22"/>
        </w:rPr>
        <w:t>Constellium s</w:t>
      </w:r>
      <w:r w:rsidRPr="007C0B39">
        <w:rPr>
          <w:szCs w:val="22"/>
        </w:rPr>
        <w:t xml:space="preserve">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Pr>
          <w:szCs w:val="22"/>
        </w:rPr>
        <w:t xml:space="preserve">Constellium </w:t>
      </w:r>
      <w:r w:rsidRPr="007C0B39">
        <w:rPr>
          <w:szCs w:val="22"/>
        </w:rPr>
        <w:t xml:space="preserve">complies with the terms and conditions of the Compliance Plan and this Consent Decree.  In </w:t>
      </w:r>
      <w:r w:rsidRPr="00ED419F">
        <w:t>addition</w:t>
      </w:r>
      <w:r w:rsidRPr="007C0B39">
        <w:rPr>
          <w:szCs w:val="22"/>
        </w:rPr>
        <w:t xml:space="preserve"> to the general knowledge of the Communications Laws necessary to discharge his or her duties under this Consent Decree, the Compliance Officer shall have specific knowledge of the </w:t>
      </w:r>
      <w:r>
        <w:rPr>
          <w:szCs w:val="22"/>
        </w:rPr>
        <w:t xml:space="preserve">Licensing </w:t>
      </w:r>
      <w:r w:rsidRPr="007C0B39">
        <w:rPr>
          <w:szCs w:val="22"/>
        </w:rPr>
        <w:t>Rules prior to assuming his/her duties.</w:t>
      </w:r>
      <w:bookmarkEnd w:id="2"/>
    </w:p>
    <w:p w14:paraId="4DA1ACEE" w14:textId="77777777" w:rsidR="00B4706E" w:rsidRPr="007C0B39" w:rsidRDefault="00B4706E" w:rsidP="00B4706E">
      <w:pPr>
        <w:pStyle w:val="ParaNum"/>
        <w:rPr>
          <w:szCs w:val="22"/>
        </w:rPr>
      </w:pPr>
      <w:bookmarkStart w:id="3" w:name="_Ref357521857"/>
      <w:r w:rsidRPr="007C0B39">
        <w:rPr>
          <w:b/>
          <w:szCs w:val="22"/>
          <w:u w:val="single"/>
        </w:rPr>
        <w:t>Compliance Plan</w:t>
      </w:r>
      <w:r w:rsidRPr="007C0B39">
        <w:rPr>
          <w:szCs w:val="22"/>
        </w:rPr>
        <w:t xml:space="preserve">.  For purposes of settling the matters set forth herein, </w:t>
      </w:r>
      <w:r>
        <w:rPr>
          <w:szCs w:val="22"/>
        </w:rPr>
        <w:t xml:space="preserve">Constellium </w:t>
      </w:r>
      <w:r w:rsidRPr="007C0B39">
        <w:rPr>
          <w:szCs w:val="22"/>
        </w:rPr>
        <w:t xml:space="preserve">agrees that it shall, within </w:t>
      </w:r>
      <w:r>
        <w:rPr>
          <w:szCs w:val="22"/>
        </w:rPr>
        <w:t xml:space="preserve">ninety (90) </w:t>
      </w:r>
      <w:r w:rsidRPr="007C0B39">
        <w:rPr>
          <w:szCs w:val="22"/>
        </w:rPr>
        <w:t xml:space="preserve">calendar days after the Effective Date, develop and implement a Compliance Plan designed to ensure future compliance with the </w:t>
      </w:r>
      <w:r>
        <w:rPr>
          <w:szCs w:val="22"/>
        </w:rPr>
        <w:t>Licensing Rules a</w:t>
      </w:r>
      <w:r w:rsidRPr="007C0B39">
        <w:rPr>
          <w:szCs w:val="22"/>
        </w:rPr>
        <w:t xml:space="preserve">nd with the terms and conditions of this Consent Decree.  With respect to the </w:t>
      </w:r>
      <w:r>
        <w:rPr>
          <w:szCs w:val="22"/>
        </w:rPr>
        <w:t xml:space="preserve">Licensing </w:t>
      </w:r>
      <w:r w:rsidRPr="007C0B39">
        <w:rPr>
          <w:szCs w:val="22"/>
        </w:rPr>
        <w:t xml:space="preserve">Rules, </w:t>
      </w:r>
      <w:r>
        <w:rPr>
          <w:szCs w:val="22"/>
        </w:rPr>
        <w:t xml:space="preserve">Constellium </w:t>
      </w:r>
      <w:r w:rsidRPr="007C0B39">
        <w:rPr>
          <w:szCs w:val="22"/>
        </w:rPr>
        <w:t>will implement, at a minimum, the following procedures:</w:t>
      </w:r>
      <w:bookmarkEnd w:id="3"/>
    </w:p>
    <w:p w14:paraId="4DA1ACEF" w14:textId="77777777" w:rsidR="00B4706E" w:rsidRPr="007C0B39" w:rsidRDefault="00B4706E" w:rsidP="001B34AE">
      <w:pPr>
        <w:widowControl/>
        <w:numPr>
          <w:ilvl w:val="0"/>
          <w:numId w:val="9"/>
        </w:numPr>
        <w:tabs>
          <w:tab w:val="clear" w:pos="1656"/>
        </w:tabs>
        <w:spacing w:after="120"/>
        <w:ind w:left="1800" w:hanging="346"/>
        <w:rPr>
          <w:szCs w:val="22"/>
        </w:rPr>
      </w:pPr>
      <w:r w:rsidRPr="007C0B39">
        <w:rPr>
          <w:b/>
          <w:szCs w:val="22"/>
          <w:u w:val="single"/>
        </w:rPr>
        <w:t>Operating Procedures</w:t>
      </w:r>
      <w:r>
        <w:rPr>
          <w:szCs w:val="22"/>
        </w:rPr>
        <w:t>.  Within ninety (9</w:t>
      </w:r>
      <w:r w:rsidRPr="007C0B39">
        <w:rPr>
          <w:szCs w:val="22"/>
        </w:rPr>
        <w:t xml:space="preserve">0) calendar days after the Effective Date, </w:t>
      </w:r>
      <w:r>
        <w:rPr>
          <w:szCs w:val="22"/>
        </w:rPr>
        <w:t xml:space="preserve">Constellium </w:t>
      </w:r>
      <w:r w:rsidRPr="007C0B39">
        <w:rPr>
          <w:szCs w:val="22"/>
        </w:rPr>
        <w:t xml:space="preserve">shall establish Operating Procedures that all Covered Employees must follow to help ensure </w:t>
      </w:r>
      <w:r>
        <w:rPr>
          <w:szCs w:val="22"/>
        </w:rPr>
        <w:t>Constellium</w:t>
      </w:r>
      <w:r w:rsidRPr="007C0B39">
        <w:rPr>
          <w:szCs w:val="22"/>
        </w:rPr>
        <w:t xml:space="preserve">’s compliance with the </w:t>
      </w:r>
      <w:r>
        <w:rPr>
          <w:szCs w:val="22"/>
        </w:rPr>
        <w:t>Licensing Rules</w:t>
      </w:r>
      <w:r w:rsidRPr="007C0B39">
        <w:rPr>
          <w:szCs w:val="22"/>
        </w:rPr>
        <w:t>.</w:t>
      </w:r>
      <w:r>
        <w:rPr>
          <w:szCs w:val="22"/>
        </w:rPr>
        <w:t xml:space="preserve">  </w:t>
      </w:r>
      <w:r w:rsidRPr="000B0676">
        <w:rPr>
          <w:szCs w:val="22"/>
        </w:rPr>
        <w:t xml:space="preserve">As part of its Operating Procedures, the Compliance Officer shall designate a Covered Employee </w:t>
      </w:r>
      <w:r>
        <w:rPr>
          <w:szCs w:val="22"/>
        </w:rPr>
        <w:t xml:space="preserve">(or outside counsel or consultant who is knowledgeable in FCC licensing issues) </w:t>
      </w:r>
      <w:r w:rsidRPr="000B0676">
        <w:rPr>
          <w:szCs w:val="22"/>
        </w:rPr>
        <w:t xml:space="preserve">to be responsible for developing and maintaining a database of all FCC licenses held by </w:t>
      </w:r>
      <w:r>
        <w:rPr>
          <w:szCs w:val="22"/>
        </w:rPr>
        <w:t>Constellium</w:t>
      </w:r>
      <w:r w:rsidRPr="000B0676">
        <w:rPr>
          <w:szCs w:val="22"/>
        </w:rPr>
        <w:t xml:space="preserve"> and the expiration date of each such license.  The Compliance Officer shall ensure that </w:t>
      </w:r>
      <w:r>
        <w:rPr>
          <w:szCs w:val="22"/>
        </w:rPr>
        <w:t xml:space="preserve">Constellium </w:t>
      </w:r>
      <w:r w:rsidRPr="000B0676">
        <w:rPr>
          <w:szCs w:val="22"/>
        </w:rPr>
        <w:t>timely files an application for renewal for any FCC license that</w:t>
      </w:r>
      <w:r>
        <w:rPr>
          <w:szCs w:val="22"/>
        </w:rPr>
        <w:t xml:space="preserve"> Constellium </w:t>
      </w:r>
      <w:r w:rsidRPr="000B0676">
        <w:rPr>
          <w:szCs w:val="22"/>
        </w:rPr>
        <w:t>intends to operate after the license’s expiration date.</w:t>
      </w:r>
      <w:r>
        <w:rPr>
          <w:szCs w:val="22"/>
        </w:rPr>
        <w:t xml:space="preserve">  In addition, the Compliance Officer shall ensure that Constellium timely seeks and obtains Commission approval prior to the assignment or transfer of control of any of its FCC licenses.</w:t>
      </w:r>
    </w:p>
    <w:p w14:paraId="4DA1ACF0" w14:textId="77777777" w:rsidR="00B4706E" w:rsidRPr="007C0B39" w:rsidRDefault="00B4706E" w:rsidP="001B34AE">
      <w:pPr>
        <w:widowControl/>
        <w:numPr>
          <w:ilvl w:val="0"/>
          <w:numId w:val="9"/>
        </w:numPr>
        <w:tabs>
          <w:tab w:val="clear" w:pos="1656"/>
        </w:tabs>
        <w:spacing w:after="120"/>
        <w:ind w:left="1800" w:hanging="346"/>
        <w:rPr>
          <w:szCs w:val="22"/>
        </w:rPr>
      </w:pPr>
      <w:r w:rsidRPr="007C0B39">
        <w:rPr>
          <w:b/>
          <w:szCs w:val="22"/>
          <w:u w:val="single"/>
        </w:rPr>
        <w:t>Compliance Manual</w:t>
      </w:r>
      <w:r w:rsidRPr="007C0B39">
        <w:rPr>
          <w:szCs w:val="22"/>
        </w:rPr>
        <w:t xml:space="preserve">.  Within </w:t>
      </w:r>
      <w:r>
        <w:rPr>
          <w:szCs w:val="22"/>
        </w:rPr>
        <w:t xml:space="preserve">ninety </w:t>
      </w:r>
      <w:r w:rsidRPr="007C0B39">
        <w:rPr>
          <w:szCs w:val="22"/>
        </w:rPr>
        <w:t>(</w:t>
      </w:r>
      <w:r>
        <w:rPr>
          <w:szCs w:val="22"/>
        </w:rPr>
        <w:t>9</w:t>
      </w:r>
      <w:r w:rsidRPr="007C0B39">
        <w:rPr>
          <w:szCs w:val="22"/>
        </w:rPr>
        <w:t xml:space="preserve">0) calendar days after the Effective Date, the Compliance Officer shall develop and distribute a Compliance Manual to all Covered Employees.  The Compliance Manual shall explain the </w:t>
      </w:r>
      <w:r>
        <w:rPr>
          <w:szCs w:val="22"/>
        </w:rPr>
        <w:t xml:space="preserve">Licensing </w:t>
      </w:r>
      <w:r w:rsidRPr="007C0B39">
        <w:rPr>
          <w:szCs w:val="22"/>
        </w:rPr>
        <w:t xml:space="preserve">Rules and set forth the Operating Procedures that Covered Employees shall follow to help ensure </w:t>
      </w:r>
      <w:r>
        <w:rPr>
          <w:szCs w:val="22"/>
        </w:rPr>
        <w:t>Constellium</w:t>
      </w:r>
      <w:r w:rsidRPr="007C0B39">
        <w:rPr>
          <w:szCs w:val="22"/>
        </w:rPr>
        <w:t xml:space="preserve">’s compliance with the </w:t>
      </w:r>
      <w:r>
        <w:rPr>
          <w:szCs w:val="22"/>
        </w:rPr>
        <w:t xml:space="preserve">Licensing </w:t>
      </w:r>
      <w:r w:rsidRPr="007C0B39">
        <w:rPr>
          <w:szCs w:val="22"/>
        </w:rPr>
        <w:t xml:space="preserve">Rules.  </w:t>
      </w:r>
      <w:r>
        <w:rPr>
          <w:szCs w:val="22"/>
        </w:rPr>
        <w:t xml:space="preserve">Constellium </w:t>
      </w:r>
      <w:r w:rsidRPr="007C0B39">
        <w:rPr>
          <w:szCs w:val="22"/>
        </w:rPr>
        <w:t xml:space="preserve">shall periodically review and revise the Compliance Manual as necessary to ensure that the information set forth therein remains current and accurate.  </w:t>
      </w:r>
      <w:r>
        <w:rPr>
          <w:szCs w:val="22"/>
        </w:rPr>
        <w:t xml:space="preserve">Constellium </w:t>
      </w:r>
      <w:r w:rsidRPr="007C0B39">
        <w:rPr>
          <w:szCs w:val="22"/>
        </w:rPr>
        <w:t>shall distribute any revisions to the Compliance Manual promptly to all Covered Employees.</w:t>
      </w:r>
    </w:p>
    <w:p w14:paraId="4DA1ACF1" w14:textId="77777777" w:rsidR="00B4706E" w:rsidRPr="007C0B39" w:rsidRDefault="00B4706E" w:rsidP="001B34AE">
      <w:pPr>
        <w:widowControl/>
        <w:numPr>
          <w:ilvl w:val="0"/>
          <w:numId w:val="9"/>
        </w:numPr>
        <w:tabs>
          <w:tab w:val="clear" w:pos="1656"/>
        </w:tabs>
        <w:spacing w:after="120"/>
        <w:ind w:left="1800" w:hanging="346"/>
      </w:pPr>
      <w:r w:rsidRPr="007C0B39">
        <w:rPr>
          <w:b/>
          <w:szCs w:val="22"/>
          <w:u w:val="single"/>
        </w:rPr>
        <w:t>Compliance Training Program</w:t>
      </w:r>
      <w:r w:rsidRPr="007C0B39">
        <w:rPr>
          <w:szCs w:val="22"/>
        </w:rPr>
        <w:t xml:space="preserve">.  </w:t>
      </w:r>
      <w:r>
        <w:rPr>
          <w:szCs w:val="22"/>
        </w:rPr>
        <w:t xml:space="preserve">Constellium </w:t>
      </w:r>
      <w:r w:rsidRPr="007C0B39">
        <w:rPr>
          <w:szCs w:val="22"/>
        </w:rPr>
        <w:t xml:space="preserve">shall establish and implement a Compliance Training Program on compliance with the </w:t>
      </w:r>
      <w:r>
        <w:rPr>
          <w:szCs w:val="22"/>
        </w:rPr>
        <w:t xml:space="preserve">Licensing </w:t>
      </w:r>
      <w:r w:rsidRPr="007C0B39">
        <w:rPr>
          <w:szCs w:val="22"/>
        </w:rPr>
        <w:t xml:space="preserve">Rules and the Operating Procedures.  As part of the Compliance Training Program, Covered Employees shall be advised of </w:t>
      </w:r>
      <w:r>
        <w:rPr>
          <w:szCs w:val="22"/>
        </w:rPr>
        <w:t xml:space="preserve">Constellium’s </w:t>
      </w:r>
      <w:r w:rsidRPr="007C0B39">
        <w:rPr>
          <w:szCs w:val="22"/>
        </w:rPr>
        <w:t xml:space="preserve">obligation to report any noncompliance with the </w:t>
      </w:r>
      <w:r>
        <w:rPr>
          <w:szCs w:val="22"/>
        </w:rPr>
        <w:t xml:space="preserve">Licensing </w:t>
      </w:r>
      <w:r w:rsidRPr="007C0B39">
        <w:rPr>
          <w:szCs w:val="22"/>
        </w:rPr>
        <w:t xml:space="preserve">Rules under paragraph </w:t>
      </w:r>
      <w:r>
        <w:rPr>
          <w:szCs w:val="22"/>
        </w:rPr>
        <w:t xml:space="preserve">14 </w:t>
      </w:r>
      <w:r w:rsidRPr="007C0B39">
        <w:rPr>
          <w:szCs w:val="22"/>
        </w:rPr>
        <w:t xml:space="preserve">of this Consent Decree and shall be instructed on how to disclose noncompliance to the Compliance Officer.  All Covered Employees shall be trained pursuant to the Compliance Training Program within </w:t>
      </w:r>
      <w:r>
        <w:rPr>
          <w:szCs w:val="22"/>
        </w:rPr>
        <w:t xml:space="preserve">ninety </w:t>
      </w:r>
      <w:r w:rsidRPr="007C0B39">
        <w:rPr>
          <w:szCs w:val="22"/>
        </w:rPr>
        <w:t>(</w:t>
      </w:r>
      <w:r>
        <w:rPr>
          <w:szCs w:val="22"/>
        </w:rPr>
        <w:t>9</w:t>
      </w:r>
      <w:r w:rsidRPr="007C0B39">
        <w:rPr>
          <w:szCs w:val="22"/>
        </w:rPr>
        <w:t xml:space="preserve">0) calendar days after the Effective Date, except that any person who becomes a Covered Employee at any time after the initial Compliance Training Program shall be trained within </w:t>
      </w:r>
      <w:r>
        <w:rPr>
          <w:szCs w:val="22"/>
        </w:rPr>
        <w:t xml:space="preserve">sixty </w:t>
      </w:r>
      <w:r w:rsidRPr="007C0B39">
        <w:rPr>
          <w:szCs w:val="22"/>
        </w:rPr>
        <w:t>(</w:t>
      </w:r>
      <w:r>
        <w:rPr>
          <w:szCs w:val="22"/>
        </w:rPr>
        <w:t>6</w:t>
      </w:r>
      <w:r w:rsidRPr="007C0B39">
        <w:rPr>
          <w:szCs w:val="22"/>
        </w:rPr>
        <w:t xml:space="preserve">0) calendar days after the date such person becomes a Covered Employee.  </w:t>
      </w:r>
      <w:r>
        <w:rPr>
          <w:szCs w:val="22"/>
        </w:rPr>
        <w:t xml:space="preserve">Constellium </w:t>
      </w:r>
      <w:r w:rsidRPr="007C0B39">
        <w:rPr>
          <w:szCs w:val="22"/>
        </w:rPr>
        <w:t>shall repeat compliance training on an annual basis, and shall periodically review and revise the Compliance Training Program as necessary to ensure that it remains current and complete and to enhance its effectiveness.</w:t>
      </w:r>
    </w:p>
    <w:p w14:paraId="4DA1ACF2" w14:textId="77777777" w:rsidR="00B4706E" w:rsidRPr="007C0B39" w:rsidRDefault="00B4706E" w:rsidP="00B4706E">
      <w:pPr>
        <w:pStyle w:val="ParaNum"/>
      </w:pPr>
      <w:bookmarkStart w:id="4" w:name="_Ref321323028"/>
      <w:r w:rsidRPr="007C0B39">
        <w:rPr>
          <w:b/>
          <w:u w:val="single"/>
        </w:rPr>
        <w:t>Reporting Noncompliance</w:t>
      </w:r>
      <w:r w:rsidRPr="007C0B39">
        <w:t xml:space="preserve">.  </w:t>
      </w:r>
      <w:r>
        <w:t xml:space="preserve">Constellium </w:t>
      </w:r>
      <w:r w:rsidRPr="007C0B39">
        <w:t xml:space="preserve">shall report any noncompliance with the </w:t>
      </w:r>
      <w:r>
        <w:t xml:space="preserve">Licensing </w:t>
      </w:r>
      <w:r w:rsidRPr="007C0B39">
        <w:t xml:space="preserve">Rules and with the terms and conditions of this Consent Decree within fifteen (15) calendar days after discovery </w:t>
      </w:r>
      <w:r w:rsidR="00E564F4">
        <w:t xml:space="preserve">by the Compliance Officer or a Covered Employee </w:t>
      </w:r>
      <w:r w:rsidRPr="007C0B39">
        <w:t xml:space="preserve">of such noncompliance.  Such reports shall include a detailed explanation of:  (i) each instance of noncompliance; (ii) the steps that </w:t>
      </w:r>
      <w:r>
        <w:t>Constellium h</w:t>
      </w:r>
      <w:r w:rsidRPr="007C0B39">
        <w:t xml:space="preserve">as taken or will take to remedy such noncompliance; (iii) the schedule on which such remedial actions will be taken; and (iv) the steps that </w:t>
      </w:r>
      <w:r>
        <w:t xml:space="preserve">Constellium </w:t>
      </w:r>
      <w:r w:rsidRPr="007C0B39">
        <w:t xml:space="preserve">has taken or will take to prevent the recurrence of any such noncompliance.  All reports of noncompliance shall be submitted to </w:t>
      </w:r>
      <w:r>
        <w:t>the Chief, Spectrum Enforcement Division, Enforcement Bureau, Federal Communications Commission, Room 3-C366, 445 12</w:t>
      </w:r>
      <w:r w:rsidRPr="00456D61">
        <w:rPr>
          <w:vertAlign w:val="superscript"/>
        </w:rPr>
        <w:t>th</w:t>
      </w:r>
      <w:r>
        <w:t xml:space="preserve"> Street, S.W., Washington, DC 20554, with a copy submitted electronically to Kathy Harvey at </w:t>
      </w:r>
      <w:r w:rsidRPr="00456D61">
        <w:t>Kathy.Harvey@fcc.gov</w:t>
      </w:r>
      <w:r w:rsidRPr="007C0B39">
        <w:t>.</w:t>
      </w:r>
      <w:bookmarkEnd w:id="4"/>
    </w:p>
    <w:p w14:paraId="4DA1ACF3" w14:textId="77777777" w:rsidR="00B4706E" w:rsidRPr="007C0B39" w:rsidRDefault="00B4706E" w:rsidP="00B4706E">
      <w:pPr>
        <w:pStyle w:val="ParaNum"/>
        <w:rPr>
          <w:caps/>
        </w:rPr>
      </w:pPr>
      <w:bookmarkStart w:id="5" w:name="_Ref379202892"/>
      <w:r w:rsidRPr="007C0B39">
        <w:rPr>
          <w:b/>
          <w:u w:val="single"/>
        </w:rPr>
        <w:t>Compliance Reports</w:t>
      </w:r>
      <w:r w:rsidRPr="007C0B39">
        <w:t xml:space="preserve">.  </w:t>
      </w:r>
      <w:r>
        <w:t xml:space="preserve">Constellium </w:t>
      </w:r>
      <w:r w:rsidRPr="007C0B39">
        <w:t xml:space="preserve">shall file compliance reports with the Commission </w:t>
      </w:r>
      <w:r>
        <w:t xml:space="preserve">one hundred twenty </w:t>
      </w:r>
      <w:r w:rsidRPr="007C0B39">
        <w:t>(</w:t>
      </w:r>
      <w:r>
        <w:t>12</w:t>
      </w:r>
      <w:r w:rsidRPr="007C0B39">
        <w:t>0) calendar days after the Effective Date, twelve (12) months after the Effective Date, twenty-four (24) months after the Effective Date, and thirty-six (36) months after the Effective Date.</w:t>
      </w:r>
      <w:bookmarkEnd w:id="5"/>
      <w:r w:rsidRPr="007C0B39">
        <w:t xml:space="preserve">  </w:t>
      </w:r>
    </w:p>
    <w:p w14:paraId="4DA1ACF4" w14:textId="77777777" w:rsidR="00B4706E" w:rsidRPr="007C0B39" w:rsidRDefault="00B4706E" w:rsidP="001B34AE">
      <w:pPr>
        <w:widowControl/>
        <w:numPr>
          <w:ilvl w:val="0"/>
          <w:numId w:val="10"/>
        </w:numPr>
        <w:tabs>
          <w:tab w:val="clear" w:pos="1782"/>
        </w:tabs>
        <w:spacing w:after="120"/>
        <w:ind w:left="1800" w:hanging="346"/>
        <w:rPr>
          <w:szCs w:val="22"/>
        </w:rPr>
      </w:pPr>
      <w:r w:rsidRPr="007C0B39">
        <w:rPr>
          <w:szCs w:val="22"/>
        </w:rPr>
        <w:t xml:space="preserve">Each Compliance Report shall include a detailed description of </w:t>
      </w:r>
      <w:r>
        <w:rPr>
          <w:szCs w:val="22"/>
        </w:rPr>
        <w:t>Constellium</w:t>
      </w:r>
      <w:r w:rsidRPr="007C0B39">
        <w:rPr>
          <w:szCs w:val="22"/>
        </w:rPr>
        <w:t xml:space="preserve">’s efforts during the relevant period to comply with the terms and conditions of this Consent Decree and the </w:t>
      </w:r>
      <w:r>
        <w:rPr>
          <w:szCs w:val="22"/>
        </w:rPr>
        <w:t xml:space="preserve">Licensing </w:t>
      </w:r>
      <w:r w:rsidRPr="007C0B39">
        <w:rPr>
          <w:szCs w:val="22"/>
        </w:rPr>
        <w:t xml:space="preserve">Rules.  In addition, each Compliance Report shall include a certification by the Compliance Officer, as an agent of and on behalf of </w:t>
      </w:r>
      <w:r>
        <w:rPr>
          <w:szCs w:val="22"/>
        </w:rPr>
        <w:t>Constellium</w:t>
      </w:r>
      <w:r w:rsidRPr="007C0B39">
        <w:rPr>
          <w:szCs w:val="22"/>
        </w:rPr>
        <w:t xml:space="preserve">, stating that the Compliance Officer has personal knowledge that </w:t>
      </w:r>
      <w:r>
        <w:rPr>
          <w:szCs w:val="22"/>
        </w:rPr>
        <w:t>Constellium</w:t>
      </w:r>
      <w:r w:rsidRPr="007C0B39">
        <w:t>:</w:t>
      </w:r>
      <w:r w:rsidRPr="007C0B39">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Pr>
          <w:szCs w:val="22"/>
        </w:rPr>
        <w:t>1</w:t>
      </w:r>
      <w:r w:rsidR="00405A08">
        <w:rPr>
          <w:szCs w:val="22"/>
        </w:rPr>
        <w:t>4</w:t>
      </w:r>
      <w:r>
        <w:rPr>
          <w:szCs w:val="22"/>
        </w:rPr>
        <w:t xml:space="preserve"> </w:t>
      </w:r>
      <w:r w:rsidRPr="007C0B39">
        <w:rPr>
          <w:szCs w:val="22"/>
        </w:rPr>
        <w:t>of this Consent Decree.</w:t>
      </w:r>
    </w:p>
    <w:p w14:paraId="4DA1ACF5" w14:textId="77777777" w:rsidR="00B4706E" w:rsidRPr="007C0B39" w:rsidRDefault="00B4706E" w:rsidP="001B34AE">
      <w:pPr>
        <w:widowControl/>
        <w:numPr>
          <w:ilvl w:val="0"/>
          <w:numId w:val="10"/>
        </w:numPr>
        <w:tabs>
          <w:tab w:val="clear" w:pos="1782"/>
        </w:tabs>
        <w:spacing w:after="120"/>
        <w:ind w:left="1800" w:hanging="346"/>
        <w:rPr>
          <w:szCs w:val="22"/>
        </w:rPr>
      </w:pPr>
      <w:r w:rsidRPr="007C0B39">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7C0B39">
        <w:rPr>
          <w:rStyle w:val="FootnoteReference"/>
          <w:szCs w:val="22"/>
        </w:rPr>
        <w:footnoteReference w:id="24"/>
      </w:r>
    </w:p>
    <w:p w14:paraId="4DA1ACF6" w14:textId="77777777" w:rsidR="00B4706E" w:rsidRPr="007C0B39" w:rsidRDefault="00B4706E" w:rsidP="001B34AE">
      <w:pPr>
        <w:widowControl/>
        <w:numPr>
          <w:ilvl w:val="0"/>
          <w:numId w:val="10"/>
        </w:numPr>
        <w:tabs>
          <w:tab w:val="clear" w:pos="1782"/>
        </w:tabs>
        <w:spacing w:after="120"/>
        <w:ind w:left="1800" w:hanging="346"/>
        <w:rPr>
          <w:szCs w:val="22"/>
        </w:rPr>
      </w:pPr>
      <w:r w:rsidRPr="007C0B39">
        <w:rPr>
          <w:szCs w:val="22"/>
        </w:rPr>
        <w:t xml:space="preserve">If the Compliance Officer cannot provide the requisite certification, the Compliance Officer, as an agent of and on behalf of </w:t>
      </w:r>
      <w:r>
        <w:rPr>
          <w:szCs w:val="22"/>
        </w:rPr>
        <w:t>Constellium</w:t>
      </w:r>
      <w:r w:rsidRPr="007C0B39">
        <w:rPr>
          <w:szCs w:val="22"/>
        </w:rPr>
        <w:t xml:space="preserve">, shall provide the Commission with a detailed explanation of the reason(s) why and describe fully:  (i) each instance of noncompliance; (ii) the steps that </w:t>
      </w:r>
      <w:r>
        <w:rPr>
          <w:szCs w:val="22"/>
        </w:rPr>
        <w:t xml:space="preserve">Constellium </w:t>
      </w:r>
      <w:r w:rsidRPr="007C0B39">
        <w:rPr>
          <w:szCs w:val="22"/>
        </w:rPr>
        <w:t xml:space="preserve">has taken or will take to remedy such noncompliance, including the schedule on which proposed remedial actions will be taken; and (iii) the steps that </w:t>
      </w:r>
      <w:r>
        <w:rPr>
          <w:szCs w:val="22"/>
        </w:rPr>
        <w:t xml:space="preserve">Constellium </w:t>
      </w:r>
      <w:r w:rsidRPr="007C0B39">
        <w:rPr>
          <w:szCs w:val="22"/>
        </w:rPr>
        <w:t>has taken or will take to prevent the recurrence of any such noncompliance, including the schedule on which such preventive action will be taken.</w:t>
      </w:r>
    </w:p>
    <w:p w14:paraId="4DA1ACF7" w14:textId="77777777" w:rsidR="00B4706E" w:rsidRPr="007C0B39" w:rsidRDefault="00B4706E" w:rsidP="001B34AE">
      <w:pPr>
        <w:widowControl/>
        <w:numPr>
          <w:ilvl w:val="0"/>
          <w:numId w:val="10"/>
        </w:numPr>
        <w:tabs>
          <w:tab w:val="clear" w:pos="1782"/>
        </w:tabs>
        <w:spacing w:after="120"/>
        <w:ind w:left="1800" w:hanging="364"/>
        <w:rPr>
          <w:szCs w:val="22"/>
        </w:rPr>
      </w:pPr>
      <w:r w:rsidRPr="007C0B39">
        <w:rPr>
          <w:szCs w:val="22"/>
        </w:rPr>
        <w:t xml:space="preserve">All Compliance Reports shall be submitted </w:t>
      </w:r>
      <w:r>
        <w:rPr>
          <w:szCs w:val="22"/>
        </w:rPr>
        <w:t>to the Chief, Spectrum Enforcement Division, Enforcement Bureau, Federal Communications Commission, Room 3-C366, 445 12</w:t>
      </w:r>
      <w:r w:rsidRPr="00466EC3">
        <w:rPr>
          <w:szCs w:val="22"/>
          <w:vertAlign w:val="superscript"/>
        </w:rPr>
        <w:t>th</w:t>
      </w:r>
      <w:r>
        <w:rPr>
          <w:szCs w:val="22"/>
        </w:rPr>
        <w:t xml:space="preserve"> Street, S.W., Washington, DC 20554, with a copy submitted electronically to Kathy Harvey at Kathy.Harvey@fcc.gov.</w:t>
      </w:r>
    </w:p>
    <w:p w14:paraId="4DA1ACF8" w14:textId="77777777" w:rsidR="00B4706E" w:rsidRPr="002755D1" w:rsidRDefault="00B4706E" w:rsidP="00B4706E">
      <w:pPr>
        <w:pStyle w:val="ParaNum"/>
      </w:pPr>
      <w:r w:rsidRPr="007C0B39">
        <w:rPr>
          <w:b/>
          <w:szCs w:val="22"/>
          <w:u w:val="single"/>
        </w:rPr>
        <w:t>Termination Date</w:t>
      </w:r>
      <w:r w:rsidRPr="007C0B39">
        <w:rPr>
          <w:szCs w:val="22"/>
        </w:rPr>
        <w:t xml:space="preserve">. </w:t>
      </w:r>
      <w:r w:rsidRPr="007C0B39">
        <w:rPr>
          <w:b/>
          <w:szCs w:val="22"/>
        </w:rPr>
        <w:t xml:space="preserve"> </w:t>
      </w:r>
      <w:r w:rsidRPr="007C0B39">
        <w:rPr>
          <w:szCs w:val="22"/>
        </w:rPr>
        <w:t xml:space="preserve">Unless stated otherwise, the </w:t>
      </w:r>
      <w:r w:rsidRPr="007C0B39">
        <w:t>requirements</w:t>
      </w:r>
      <w:r w:rsidRPr="007C0B39">
        <w:rPr>
          <w:szCs w:val="22"/>
        </w:rPr>
        <w:t xml:space="preserve"> set forth in paragraphs</w:t>
      </w:r>
      <w:r>
        <w:rPr>
          <w:szCs w:val="22"/>
        </w:rPr>
        <w:t xml:space="preserve"> 12 </w:t>
      </w:r>
      <w:r w:rsidRPr="007C0B39">
        <w:rPr>
          <w:szCs w:val="22"/>
        </w:rPr>
        <w:t xml:space="preserve">through </w:t>
      </w:r>
      <w:r>
        <w:rPr>
          <w:szCs w:val="22"/>
        </w:rPr>
        <w:t xml:space="preserve">15 </w:t>
      </w:r>
      <w:r w:rsidRPr="007C0B39">
        <w:rPr>
          <w:szCs w:val="22"/>
        </w:rPr>
        <w:t xml:space="preserve">of this Consent Decree shall expire thirty-six (36) months after the Effective Date.  </w:t>
      </w:r>
      <w:bookmarkStart w:id="6" w:name="_Ref357521957"/>
    </w:p>
    <w:p w14:paraId="4DA1ACF9" w14:textId="77777777" w:rsidR="00B4706E" w:rsidRPr="007C0B39" w:rsidRDefault="00B4706E" w:rsidP="001B34AE">
      <w:pPr>
        <w:pStyle w:val="ParaNum"/>
        <w:widowControl/>
      </w:pPr>
      <w:r>
        <w:rPr>
          <w:b/>
          <w:u w:val="single"/>
        </w:rPr>
        <w:t>Civil</w:t>
      </w:r>
      <w:r w:rsidRPr="00614CF5">
        <w:rPr>
          <w:b/>
          <w:u w:val="single"/>
        </w:rPr>
        <w:t xml:space="preserve"> Penalty</w:t>
      </w:r>
      <w:r>
        <w:t xml:space="preserve">.  Constellium </w:t>
      </w:r>
      <w:r w:rsidRPr="007C0B39">
        <w:t xml:space="preserve">will pay a civil penalty to the United States Treasury in the amount of </w:t>
      </w:r>
      <w:r>
        <w:t>One Hundred Thirty-Five Thousand Dollars ($135,000) within thirty (30) calendar days after the Effective Date.</w:t>
      </w:r>
      <w:r w:rsidR="00275216">
        <w:rPr>
          <w:rStyle w:val="FootnoteReference"/>
        </w:rPr>
        <w:footnoteReference w:id="25"/>
      </w:r>
      <w:r>
        <w:t xml:space="preserve">  Constellium </w:t>
      </w:r>
      <w:r w:rsidRPr="007C0B39">
        <w:t xml:space="preserve">shall send electronic notification of payment to </w:t>
      </w:r>
      <w:r>
        <w:t xml:space="preserve">Kathy Harvey at </w:t>
      </w:r>
      <w:r w:rsidRPr="00614CF5">
        <w:t>Kathy.Harvey@fcc.gov</w:t>
      </w:r>
      <w:r>
        <w:t xml:space="preserve"> and Samantha Peoples at </w:t>
      </w:r>
      <w:r w:rsidRPr="00614CF5">
        <w:t>Sam.Peoples@fcc.gov</w:t>
      </w:r>
      <w:r>
        <w:t xml:space="preserve"> </w:t>
      </w:r>
      <w:r w:rsidRPr="007C0B39">
        <w:t>on the date said payment is made.</w:t>
      </w:r>
      <w:bookmarkEnd w:id="6"/>
      <w:r w:rsidRPr="007C0B39">
        <w:t xml:space="preserve">  </w:t>
      </w:r>
      <w:r w:rsidRPr="007C0B39">
        <w:rPr>
          <w:szCs w:val="22"/>
        </w:rPr>
        <w:t xml:space="preserve">The </w:t>
      </w:r>
      <w:r w:rsidRPr="007C0B39">
        <w:t xml:space="preserve">payment </w:t>
      </w:r>
      <w:r w:rsidRPr="007C0B39">
        <w:rPr>
          <w:szCs w:val="22"/>
        </w:rPr>
        <w:t xml:space="preserve">must be made by check or similar instrument, wire transfer, or credit card, and must include the </w:t>
      </w:r>
      <w:r>
        <w:rPr>
          <w:szCs w:val="22"/>
        </w:rPr>
        <w:t>NAL/</w:t>
      </w:r>
      <w:r w:rsidRPr="007C0B39">
        <w:rPr>
          <w:szCs w:val="22"/>
        </w:rPr>
        <w:t>Account Number and FRN referenced above</w:t>
      </w:r>
      <w:r>
        <w:rPr>
          <w:szCs w:val="22"/>
        </w:rPr>
        <w:t xml:space="preserve">.  </w:t>
      </w:r>
      <w:r w:rsidRPr="007C0B39">
        <w:rPr>
          <w:szCs w:val="22"/>
        </w:rPr>
        <w:t>Regardless of the form of payment, a completed FCC Form 159 (Remittance Advice) must be submitted.</w:t>
      </w:r>
      <w:r w:rsidRPr="007C0B39">
        <w:rPr>
          <w:rStyle w:val="FootnoteReference"/>
          <w:szCs w:val="22"/>
        </w:rPr>
        <w:footnoteReference w:id="26"/>
      </w:r>
      <w:r w:rsidRPr="007C0B39">
        <w:rPr>
          <w:szCs w:val="22"/>
        </w:rPr>
        <w:t xml:space="preserve">  When completing the FCC Form 159, enter the</w:t>
      </w:r>
      <w:r>
        <w:rPr>
          <w:szCs w:val="22"/>
        </w:rPr>
        <w:t xml:space="preserve"> NAL/</w:t>
      </w:r>
      <w:r w:rsidRPr="007C0B39">
        <w:rPr>
          <w:szCs w:val="22"/>
        </w:rPr>
        <w:t xml:space="preserve">Account Number in block number 23A (call sign/other ID) and enter the letters “FORF” in block number 24A (payment type code).  Below are additional instructions </w:t>
      </w:r>
      <w:r>
        <w:rPr>
          <w:szCs w:val="22"/>
        </w:rPr>
        <w:t>that should be followed based on the form of payment selected</w:t>
      </w:r>
      <w:r w:rsidRPr="007C0B39">
        <w:rPr>
          <w:szCs w:val="22"/>
        </w:rPr>
        <w:t>:</w:t>
      </w:r>
    </w:p>
    <w:p w14:paraId="4DA1ACFA" w14:textId="77777777" w:rsidR="00B4706E" w:rsidRPr="007C0B39" w:rsidRDefault="00B4706E" w:rsidP="00B4706E">
      <w:pPr>
        <w:pStyle w:val="ParaNum"/>
        <w:numPr>
          <w:ilvl w:val="0"/>
          <w:numId w:val="11"/>
        </w:numPr>
        <w:rPr>
          <w:rFonts w:eastAsia="MS Mincho"/>
          <w:szCs w:val="22"/>
        </w:rPr>
      </w:pPr>
      <w:r w:rsidRPr="007C0B39">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7C0B39">
        <w:rPr>
          <w:rFonts w:eastAsia="MS Mincho"/>
          <w:szCs w:val="22"/>
        </w:rPr>
        <w:noBreakHyphen/>
        <w:t>MO</w:t>
      </w:r>
      <w:r w:rsidRPr="007C0B39">
        <w:rPr>
          <w:rFonts w:eastAsia="MS Mincho"/>
          <w:szCs w:val="22"/>
        </w:rPr>
        <w:noBreakHyphen/>
        <w:t>C2</w:t>
      </w:r>
      <w:r w:rsidRPr="007C0B39">
        <w:rPr>
          <w:rFonts w:eastAsia="MS Mincho"/>
          <w:szCs w:val="22"/>
        </w:rPr>
        <w:noBreakHyphen/>
        <w:t>GL, 1005 Convention Plaza, St. Louis, MO 63101.</w:t>
      </w:r>
    </w:p>
    <w:p w14:paraId="4DA1ACFB" w14:textId="77777777" w:rsidR="00B4706E" w:rsidRPr="007C0B39" w:rsidRDefault="00B4706E" w:rsidP="00B4706E">
      <w:pPr>
        <w:pStyle w:val="ParaNum"/>
        <w:numPr>
          <w:ilvl w:val="0"/>
          <w:numId w:val="11"/>
        </w:numPr>
        <w:rPr>
          <w:rFonts w:eastAsia="MS Mincho"/>
          <w:szCs w:val="22"/>
        </w:rPr>
      </w:pPr>
      <w:r w:rsidRPr="007C0B3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4DA1ACFC" w14:textId="77777777" w:rsidR="00B4706E" w:rsidRPr="007C0B39" w:rsidRDefault="00B4706E" w:rsidP="001B34AE">
      <w:pPr>
        <w:pStyle w:val="ParaNum"/>
        <w:widowControl/>
        <w:numPr>
          <w:ilvl w:val="0"/>
          <w:numId w:val="11"/>
        </w:numPr>
        <w:rPr>
          <w:rFonts w:eastAsia="MS Mincho"/>
          <w:szCs w:val="22"/>
        </w:rPr>
      </w:pPr>
      <w:r w:rsidRPr="007C0B39">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4DA1ACFD" w14:textId="77777777" w:rsidR="00B4706E" w:rsidRPr="007C0B39" w:rsidRDefault="00B4706E" w:rsidP="00B4706E">
      <w:pPr>
        <w:spacing w:after="120"/>
        <w:rPr>
          <w:rFonts w:eastAsia="MS Mincho"/>
        </w:rPr>
      </w:pPr>
      <w:r w:rsidRPr="007C0B39">
        <w:rPr>
          <w:rFonts w:eastAsia="MS Mincho"/>
        </w:rPr>
        <w:t>Questions regarding payment procedures should be addressed to the Financial Operations Group Help Desk by phone, 1-877-480-3201, or by e-mail, ARINQUIRIES@fcc.gov.</w:t>
      </w:r>
    </w:p>
    <w:p w14:paraId="4DA1ACFE" w14:textId="77777777" w:rsidR="00B4706E" w:rsidRPr="007C0B39" w:rsidRDefault="00B4706E" w:rsidP="00B4706E">
      <w:pPr>
        <w:pStyle w:val="ParaNum"/>
      </w:pPr>
      <w:r w:rsidRPr="007C0B39">
        <w:rPr>
          <w:b/>
          <w:u w:val="single"/>
        </w:rPr>
        <w:t>Waivers</w:t>
      </w:r>
      <w:r w:rsidRPr="007C0B39">
        <w:t xml:space="preserve">.  As of the Effective Date, </w:t>
      </w:r>
      <w:r>
        <w:t xml:space="preserve">Constellium </w:t>
      </w:r>
      <w:r w:rsidRPr="007C0B39">
        <w:t xml:space="preserve">waives any and all rights it may have to seek administrative or judicial reconsideration, review, appeal or stay, or to otherwise challenge or contest the validity of this Consent Decree and the Adopting Order.  </w:t>
      </w:r>
      <w:r>
        <w:t xml:space="preserve">Constellium </w:t>
      </w:r>
      <w:r w:rsidRPr="007C0B39">
        <w:t xml:space="preserve">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 xml:space="preserve">Constellium </w:t>
      </w:r>
      <w:r w:rsidRPr="007C0B39">
        <w:t xml:space="preserve">nor the Commission shall contest the validity of the Consent Decree or the Adopting Order, and </w:t>
      </w:r>
      <w:r>
        <w:t>Constellium s</w:t>
      </w:r>
      <w:r w:rsidRPr="007C0B39">
        <w:t xml:space="preserve">hall waive any statutory right to a trial </w:t>
      </w:r>
      <w:r w:rsidRPr="007C0B39">
        <w:rPr>
          <w:i/>
        </w:rPr>
        <w:t>de novo</w:t>
      </w:r>
      <w:r w:rsidRPr="007C0B39">
        <w:t xml:space="preserve">.  </w:t>
      </w:r>
      <w:r>
        <w:t xml:space="preserve">Constellium </w:t>
      </w:r>
      <w:r w:rsidRPr="007C0B39">
        <w:t>hereby agrees to waive any claims it may otherwise have under the Equal Access to Justice Act</w:t>
      </w:r>
      <w:r w:rsidRPr="007C0B39">
        <w:rPr>
          <w:rStyle w:val="FootnoteReference"/>
          <w:szCs w:val="22"/>
        </w:rPr>
        <w:footnoteReference w:id="27"/>
      </w:r>
      <w:r w:rsidRPr="007C0B39">
        <w:t xml:space="preserve"> relating to the matters addressed in this Consent Decree.</w:t>
      </w:r>
    </w:p>
    <w:p w14:paraId="4DA1ACFF" w14:textId="77777777" w:rsidR="00B4706E" w:rsidRPr="007C0B39" w:rsidRDefault="00B4706E" w:rsidP="00B4706E">
      <w:pPr>
        <w:pStyle w:val="ParaNum"/>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4DA1AD00" w14:textId="77777777" w:rsidR="00B4706E" w:rsidRPr="007C0B39" w:rsidRDefault="00B4706E" w:rsidP="00B4706E">
      <w:pPr>
        <w:pStyle w:val="ParaNum"/>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14:paraId="4DA1AD01" w14:textId="77777777" w:rsidR="00B4706E" w:rsidRPr="007C0B39" w:rsidRDefault="00B4706E" w:rsidP="00B4706E">
      <w:pPr>
        <w:pStyle w:val="ParaNum"/>
      </w:pPr>
      <w:r w:rsidRPr="007C0B39">
        <w:rPr>
          <w:b/>
          <w:u w:val="single"/>
        </w:rPr>
        <w:t>Subsequent Rule or Order</w:t>
      </w:r>
      <w:r w:rsidRPr="007C0B39">
        <w:t xml:space="preserve">.  The Parties agree that if any provision of the Consent Decree conflicts with any subsequent Rule or Order adopted by the Commission (except an Order specifically intended to revise the terms of this Consent Decree to which </w:t>
      </w:r>
      <w:r>
        <w:t xml:space="preserve">Constellium </w:t>
      </w:r>
      <w:r w:rsidRPr="007C0B39">
        <w:t>does not expressly consent) that provision will be superseded by such Rule or Order.</w:t>
      </w:r>
    </w:p>
    <w:p w14:paraId="4DA1AD02" w14:textId="77777777" w:rsidR="00B4706E" w:rsidRPr="007C0B39" w:rsidRDefault="00B4706E" w:rsidP="00B4706E">
      <w:pPr>
        <w:pStyle w:val="ParaNum"/>
      </w:pPr>
      <w:r w:rsidRPr="007C0B39">
        <w:rPr>
          <w:b/>
          <w:u w:val="single"/>
        </w:rPr>
        <w:t>Successors and Assigns</w:t>
      </w:r>
      <w:r w:rsidRPr="007C0B39">
        <w:t xml:space="preserve">.  </w:t>
      </w:r>
      <w:r>
        <w:t xml:space="preserve">Constellium </w:t>
      </w:r>
      <w:r w:rsidRPr="007C0B39">
        <w:t>agrees that the provisions of this Consent Decree shall be binding on its successors, assigns, and transferees.</w:t>
      </w:r>
    </w:p>
    <w:p w14:paraId="4DA1AD03" w14:textId="77777777" w:rsidR="00B4706E" w:rsidRPr="007C0B39" w:rsidRDefault="00B4706E" w:rsidP="00B4706E">
      <w:pPr>
        <w:pStyle w:val="ParaNum"/>
        <w:rPr>
          <w:szCs w:val="22"/>
        </w:rPr>
      </w:pPr>
      <w:r w:rsidRPr="007C0B39">
        <w:rPr>
          <w:b/>
          <w:szCs w:val="22"/>
          <w:u w:val="single"/>
        </w:rPr>
        <w:t>Final Settlement</w:t>
      </w:r>
      <w:r w:rsidRPr="007C0B39">
        <w:rPr>
          <w:szCs w:val="22"/>
        </w:rPr>
        <w:t xml:space="preserve">.  The Parties agree and acknowledge that this Consent Decree shall constitute a final settlement between the Parties with respect to the </w:t>
      </w:r>
      <w:r w:rsidRPr="00F657B1">
        <w:rPr>
          <w:szCs w:val="22"/>
        </w:rPr>
        <w:t>Investigation</w:t>
      </w:r>
      <w:r w:rsidRPr="007C0B39">
        <w:rPr>
          <w:szCs w:val="22"/>
        </w:rPr>
        <w:t>.</w:t>
      </w:r>
      <w:r w:rsidRPr="0004267E">
        <w:rPr>
          <w:szCs w:val="22"/>
        </w:rPr>
        <w:t xml:space="preserve">  </w:t>
      </w:r>
    </w:p>
    <w:p w14:paraId="4DA1AD04" w14:textId="77777777" w:rsidR="00B4706E" w:rsidRPr="007C0B39" w:rsidRDefault="00B4706E" w:rsidP="001B34AE">
      <w:pPr>
        <w:pStyle w:val="ParaNum"/>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14:paraId="4DA1AD05" w14:textId="77777777" w:rsidR="00B4706E" w:rsidRPr="007C0B39" w:rsidRDefault="00B4706E" w:rsidP="001B34AE">
      <w:pPr>
        <w:pStyle w:val="ParaNum"/>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14:paraId="4DA1AD06" w14:textId="77777777" w:rsidR="00B4706E" w:rsidRPr="007C0B39" w:rsidRDefault="00B4706E" w:rsidP="001B34AE">
      <w:pPr>
        <w:pStyle w:val="ParaNum"/>
        <w:widowControl/>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4DA1AD07" w14:textId="77777777" w:rsidR="001943A8" w:rsidRDefault="001943A8">
      <w:pPr>
        <w:widowControl/>
        <w:rPr>
          <w:b/>
          <w:u w:val="single"/>
        </w:rPr>
      </w:pPr>
      <w:r>
        <w:rPr>
          <w:b/>
          <w:u w:val="single"/>
        </w:rPr>
        <w:br w:type="page"/>
      </w:r>
    </w:p>
    <w:p w14:paraId="4DA1AD08" w14:textId="77777777" w:rsidR="00B4706E" w:rsidRPr="007C0B39" w:rsidRDefault="00B4706E" w:rsidP="00B4706E">
      <w:pPr>
        <w:pStyle w:val="ParaNum"/>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4DA1AD09" w14:textId="77777777" w:rsidR="00B4706E" w:rsidRPr="007C0B39" w:rsidRDefault="00B4706E" w:rsidP="00B4706E">
      <w:pPr>
        <w:keepNext/>
        <w:keepLines/>
      </w:pPr>
    </w:p>
    <w:p w14:paraId="4DA1AD0A" w14:textId="77777777" w:rsidR="00B4706E" w:rsidRPr="007C0B39" w:rsidRDefault="00B4706E" w:rsidP="00B4706E">
      <w:pPr>
        <w:keepNext/>
        <w:keepLines/>
      </w:pPr>
    </w:p>
    <w:p w14:paraId="4DA1AD0B" w14:textId="77777777" w:rsidR="00B4706E" w:rsidRPr="007C0B39" w:rsidRDefault="00B4706E" w:rsidP="00B4706E">
      <w:pPr>
        <w:keepNext/>
        <w:keepLines/>
      </w:pPr>
      <w:r w:rsidRPr="007C0B39">
        <w:t>________________________________</w:t>
      </w:r>
    </w:p>
    <w:p w14:paraId="4DA1AD0C" w14:textId="77777777" w:rsidR="00B4706E" w:rsidRPr="007C0B39" w:rsidRDefault="00B4706E" w:rsidP="00B4706E">
      <w:pPr>
        <w:keepNext/>
        <w:keepLines/>
      </w:pPr>
      <w:r>
        <w:t>Travis LeBlanc</w:t>
      </w:r>
    </w:p>
    <w:p w14:paraId="4DA1AD0D" w14:textId="77777777" w:rsidR="00B4706E" w:rsidRPr="007C0B39" w:rsidRDefault="00B4706E" w:rsidP="00B4706E">
      <w:pPr>
        <w:keepNext/>
        <w:keepLines/>
      </w:pPr>
      <w:r>
        <w:t>Chief</w:t>
      </w:r>
    </w:p>
    <w:p w14:paraId="4DA1AD0E" w14:textId="77777777" w:rsidR="00B4706E" w:rsidRPr="007C0B39" w:rsidRDefault="00B4706E" w:rsidP="00B4706E">
      <w:pPr>
        <w:keepNext/>
        <w:keepLines/>
      </w:pPr>
      <w:r w:rsidRPr="007C0B39">
        <w:t>Enforcement Bureau</w:t>
      </w:r>
    </w:p>
    <w:p w14:paraId="4DA1AD0F" w14:textId="77777777" w:rsidR="00B4706E" w:rsidRPr="007C0B39" w:rsidRDefault="00B4706E" w:rsidP="00B4706E">
      <w:pPr>
        <w:keepNext/>
        <w:keepLines/>
      </w:pPr>
    </w:p>
    <w:p w14:paraId="4DA1AD10" w14:textId="77777777" w:rsidR="00B4706E" w:rsidRPr="007C0B39" w:rsidRDefault="00B4706E" w:rsidP="00B4706E">
      <w:pPr>
        <w:keepNext/>
        <w:keepLines/>
      </w:pPr>
    </w:p>
    <w:p w14:paraId="4DA1AD11" w14:textId="77777777" w:rsidR="00B4706E" w:rsidRPr="007C0B39" w:rsidRDefault="00B4706E" w:rsidP="00B4706E">
      <w:pPr>
        <w:keepNext/>
        <w:keepLines/>
      </w:pPr>
      <w:r w:rsidRPr="007C0B39">
        <w:t>________________________________</w:t>
      </w:r>
    </w:p>
    <w:p w14:paraId="4DA1AD12" w14:textId="77777777" w:rsidR="00B4706E" w:rsidRPr="007C0B39" w:rsidRDefault="00B4706E" w:rsidP="00B4706E">
      <w:pPr>
        <w:keepNext/>
        <w:keepLines/>
      </w:pPr>
      <w:r w:rsidRPr="007C0B39">
        <w:t>Date</w:t>
      </w:r>
    </w:p>
    <w:p w14:paraId="4DA1AD13" w14:textId="77777777" w:rsidR="00B4706E" w:rsidRPr="007C0B39" w:rsidRDefault="00B4706E" w:rsidP="00B4706E">
      <w:pPr>
        <w:keepNext/>
        <w:keepLines/>
      </w:pPr>
    </w:p>
    <w:p w14:paraId="4DA1AD14" w14:textId="77777777" w:rsidR="00B4706E" w:rsidRPr="007C0B39" w:rsidRDefault="00B4706E" w:rsidP="00B4706E">
      <w:pPr>
        <w:keepLines/>
      </w:pPr>
    </w:p>
    <w:p w14:paraId="4DA1AD15" w14:textId="77777777" w:rsidR="00B4706E" w:rsidRPr="007C0B39" w:rsidRDefault="00B4706E" w:rsidP="00B4706E">
      <w:pPr>
        <w:keepLines/>
      </w:pPr>
    </w:p>
    <w:p w14:paraId="4DA1AD16" w14:textId="77777777" w:rsidR="00B4706E" w:rsidRPr="007C0B39" w:rsidRDefault="00B4706E" w:rsidP="00B4706E">
      <w:pPr>
        <w:keepLines/>
      </w:pPr>
      <w:r w:rsidRPr="007C0B39">
        <w:t>________________________________</w:t>
      </w:r>
    </w:p>
    <w:p w14:paraId="4DA1AD17" w14:textId="77777777" w:rsidR="00B4706E" w:rsidRPr="007C0B39" w:rsidRDefault="00A03540" w:rsidP="00B4706E">
      <w:pPr>
        <w:keepLines/>
      </w:pPr>
      <w:r>
        <w:t>Lloyd A. Stemple</w:t>
      </w:r>
    </w:p>
    <w:p w14:paraId="4DA1AD18" w14:textId="77777777" w:rsidR="00B4706E" w:rsidRPr="007C0B39" w:rsidRDefault="00CB6B99" w:rsidP="00B4706E">
      <w:pPr>
        <w:keepLines/>
      </w:pPr>
      <w:r>
        <w:t xml:space="preserve">President and </w:t>
      </w:r>
      <w:r w:rsidR="00A03540">
        <w:t>Chief Executive Officer</w:t>
      </w:r>
      <w:r w:rsidR="00B4706E" w:rsidRPr="007C0B39">
        <w:t xml:space="preserve"> </w:t>
      </w:r>
    </w:p>
    <w:p w14:paraId="4DA1AD19" w14:textId="77777777" w:rsidR="00B4706E" w:rsidRPr="007C0B39" w:rsidRDefault="00B4706E" w:rsidP="00B4706E">
      <w:pPr>
        <w:keepLines/>
      </w:pPr>
      <w:r>
        <w:t>Constellium Rolled Products Ravenswood, LLC</w:t>
      </w:r>
    </w:p>
    <w:p w14:paraId="4DA1AD1A" w14:textId="77777777" w:rsidR="00B4706E" w:rsidRPr="007C0B39" w:rsidRDefault="00B4706E" w:rsidP="00B4706E">
      <w:pPr>
        <w:keepLines/>
      </w:pPr>
    </w:p>
    <w:p w14:paraId="4DA1AD1B" w14:textId="77777777" w:rsidR="00B4706E" w:rsidRPr="007C0B39" w:rsidRDefault="00B4706E" w:rsidP="00B4706E">
      <w:pPr>
        <w:keepLines/>
      </w:pPr>
      <w:r w:rsidRPr="007C0B39">
        <w:t>________________________________</w:t>
      </w:r>
    </w:p>
    <w:p w14:paraId="4DA1AD1C" w14:textId="77777777" w:rsidR="00B4706E" w:rsidRPr="002C00E8" w:rsidRDefault="00B4706E" w:rsidP="00B4706E">
      <w:pPr>
        <w:keepLines/>
      </w:pPr>
      <w:r w:rsidRPr="007C0B39">
        <w:t>Date</w:t>
      </w:r>
    </w:p>
    <w:p w14:paraId="4DA1AD1D" w14:textId="77777777" w:rsidR="004C2EE3" w:rsidRDefault="004C2EE3" w:rsidP="001B34AE"/>
    <w:sectPr w:rsidR="004C2EE3" w:rsidSect="001B34AE">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1AD21" w14:textId="77777777" w:rsidR="007351D8" w:rsidRDefault="007351D8">
      <w:pPr>
        <w:spacing w:line="20" w:lineRule="exact"/>
      </w:pPr>
    </w:p>
  </w:endnote>
  <w:endnote w:type="continuationSeparator" w:id="0">
    <w:p w14:paraId="4DA1AD22" w14:textId="77777777" w:rsidR="007351D8" w:rsidRDefault="007351D8">
      <w:r>
        <w:t xml:space="preserve"> </w:t>
      </w:r>
    </w:p>
  </w:endnote>
  <w:endnote w:type="continuationNotice" w:id="1">
    <w:p w14:paraId="4DA1AD23" w14:textId="77777777" w:rsidR="007351D8" w:rsidRDefault="007351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1AD27"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DA1AD28"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1AD29"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DF578E">
      <w:rPr>
        <w:noProof/>
      </w:rPr>
      <w:t>8</w:t>
    </w:r>
    <w:r>
      <w:fldChar w:fldCharType="end"/>
    </w:r>
  </w:p>
  <w:p w14:paraId="4DA1AD2A" w14:textId="77777777" w:rsidR="00D25FB5" w:rsidRDefault="00D25FB5" w:rsidP="001B34A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1AD2D"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1AD1E" w14:textId="77777777" w:rsidR="007351D8" w:rsidRDefault="007351D8">
      <w:r>
        <w:separator/>
      </w:r>
    </w:p>
  </w:footnote>
  <w:footnote w:type="continuationSeparator" w:id="0">
    <w:p w14:paraId="4DA1AD1F" w14:textId="77777777" w:rsidR="007351D8" w:rsidRDefault="007351D8" w:rsidP="00C721AC">
      <w:pPr>
        <w:spacing w:before="120"/>
        <w:rPr>
          <w:sz w:val="20"/>
        </w:rPr>
      </w:pPr>
      <w:r>
        <w:rPr>
          <w:sz w:val="20"/>
        </w:rPr>
        <w:t xml:space="preserve">(Continued from previous page)  </w:t>
      </w:r>
      <w:r>
        <w:rPr>
          <w:sz w:val="20"/>
        </w:rPr>
        <w:separator/>
      </w:r>
    </w:p>
  </w:footnote>
  <w:footnote w:type="continuationNotice" w:id="1">
    <w:p w14:paraId="4DA1AD20" w14:textId="77777777" w:rsidR="007351D8" w:rsidRDefault="007351D8" w:rsidP="00C721AC">
      <w:pPr>
        <w:jc w:val="right"/>
        <w:rPr>
          <w:sz w:val="20"/>
        </w:rPr>
      </w:pPr>
      <w:r>
        <w:rPr>
          <w:sz w:val="20"/>
        </w:rPr>
        <w:t>(continued….)</w:t>
      </w:r>
    </w:p>
  </w:footnote>
  <w:footnote w:id="2">
    <w:p w14:paraId="4DA1AD32" w14:textId="77777777" w:rsidR="004D6FC2" w:rsidRDefault="004D6FC2" w:rsidP="004D6FC2">
      <w:pPr>
        <w:pStyle w:val="FootnoteText"/>
      </w:pPr>
      <w:r>
        <w:rPr>
          <w:rStyle w:val="FootnoteReference"/>
        </w:rPr>
        <w:footnoteRef/>
      </w:r>
      <w:r>
        <w:t xml:space="preserve"> 47 U.S.C. §§ 301, 310(d).</w:t>
      </w:r>
    </w:p>
  </w:footnote>
  <w:footnote w:id="3">
    <w:p w14:paraId="4DA1AD33" w14:textId="77777777" w:rsidR="004D6FC2" w:rsidRDefault="004D6FC2" w:rsidP="004D6FC2">
      <w:pPr>
        <w:pStyle w:val="FootnoteText"/>
      </w:pPr>
      <w:r>
        <w:rPr>
          <w:rStyle w:val="FootnoteReference"/>
        </w:rPr>
        <w:footnoteRef/>
      </w:r>
      <w:r>
        <w:t xml:space="preserve"> 47 C.F.R. §§ 1.903(a), 1.948(a).</w:t>
      </w:r>
    </w:p>
  </w:footnote>
  <w:footnote w:id="4">
    <w:p w14:paraId="4DA1AD34" w14:textId="77777777" w:rsidR="004D6FC2" w:rsidRDefault="004D6FC2" w:rsidP="004D6FC2">
      <w:pPr>
        <w:pStyle w:val="FootnoteText"/>
      </w:pPr>
      <w:r w:rsidRPr="005816FB">
        <w:rPr>
          <w:rStyle w:val="FootnoteReference"/>
        </w:rPr>
        <w:footnoteRef/>
      </w:r>
      <w:r w:rsidRPr="006A1849">
        <w:t xml:space="preserve"> </w:t>
      </w:r>
      <w:r w:rsidRPr="006A1849">
        <w:rPr>
          <w:i/>
        </w:rPr>
        <w:t xml:space="preserve">See Biennial Regulatory Review </w:t>
      </w:r>
      <w:r>
        <w:rPr>
          <w:i/>
        </w:rPr>
        <w:t>–</w:t>
      </w:r>
      <w:r w:rsidRPr="006A1849">
        <w:rPr>
          <w:i/>
        </w:rPr>
        <w:t xml:space="preserve"> Amendment of Parts 0, 1, 13, 22, 24, 26, 27, 80, 87, 90, 95, 97, and 101 of the Commission</w:t>
      </w:r>
      <w:r>
        <w:rPr>
          <w:i/>
        </w:rPr>
        <w:t>’</w:t>
      </w:r>
      <w:r w:rsidRPr="006A1849">
        <w:rPr>
          <w:i/>
        </w:rPr>
        <w:t>s Rules to Facilitate the Development and Use of the Universal Licensing System in the Wireless Telecommunications Services</w:t>
      </w:r>
      <w:r w:rsidRPr="006A1849">
        <w:t>,</w:t>
      </w:r>
      <w:r w:rsidRPr="006A1849">
        <w:rPr>
          <w:i/>
        </w:rPr>
        <w:t xml:space="preserve"> </w:t>
      </w:r>
      <w:r w:rsidRPr="006A1849">
        <w:t xml:space="preserve">Report </w:t>
      </w:r>
      <w:r>
        <w:t>and Order, 13 FCC Rcd 21027 (1998)</w:t>
      </w:r>
      <w:r w:rsidRPr="006A1849">
        <w:t>; Memorandum Opinion and Order on Reconsideration, 14 FCC Rcd 11476, 11485</w:t>
      </w:r>
      <w:r>
        <w:t>–</w:t>
      </w:r>
      <w:r w:rsidRPr="006A1849">
        <w:t>86, para. 22 (1999).</w:t>
      </w:r>
    </w:p>
  </w:footnote>
  <w:footnote w:id="5">
    <w:p w14:paraId="4DA1AD35" w14:textId="77777777" w:rsidR="004D6FC2" w:rsidRPr="00F74D07" w:rsidRDefault="004D6FC2" w:rsidP="004D6FC2">
      <w:pPr>
        <w:pStyle w:val="FootnoteText"/>
      </w:pPr>
      <w:r>
        <w:rPr>
          <w:rStyle w:val="FootnoteReference"/>
        </w:rPr>
        <w:footnoteRef/>
      </w:r>
      <w:r>
        <w:t xml:space="preserve"> </w:t>
      </w:r>
      <w:r>
        <w:rPr>
          <w:i/>
        </w:rPr>
        <w:t xml:space="preserve">See </w:t>
      </w:r>
      <w:r>
        <w:t>47 C.F.R. § 1.93(b).</w:t>
      </w:r>
    </w:p>
  </w:footnote>
  <w:footnote w:id="6">
    <w:p w14:paraId="4DA1AD36" w14:textId="77777777" w:rsidR="004D6FC2" w:rsidRPr="00D84548" w:rsidRDefault="004D6FC2" w:rsidP="004D6FC2">
      <w:pPr>
        <w:pStyle w:val="FootnoteText"/>
      </w:pPr>
      <w:r w:rsidRPr="00D84548">
        <w:rPr>
          <w:rStyle w:val="FootnoteReference"/>
        </w:rPr>
        <w:footnoteRef/>
      </w:r>
      <w:r w:rsidRPr="00D84548">
        <w:t xml:space="preserve"> </w:t>
      </w:r>
      <w:r w:rsidRPr="00D84548">
        <w:rPr>
          <w:szCs w:val="22"/>
        </w:rPr>
        <w:t>47 U.S.C. §§ 154(i), 503(b).</w:t>
      </w:r>
    </w:p>
  </w:footnote>
  <w:footnote w:id="7">
    <w:p w14:paraId="4DA1AD37" w14:textId="77777777" w:rsidR="004D6FC2" w:rsidRDefault="004D6FC2" w:rsidP="004D6FC2">
      <w:pPr>
        <w:pStyle w:val="FootnoteText"/>
      </w:pPr>
      <w:r w:rsidRPr="00D84548">
        <w:rPr>
          <w:rStyle w:val="FootnoteReference"/>
        </w:rPr>
        <w:footnoteRef/>
      </w:r>
      <w:r w:rsidRPr="00D84548">
        <w:t xml:space="preserve"> </w:t>
      </w:r>
      <w:r w:rsidRPr="00D84548">
        <w:rPr>
          <w:szCs w:val="22"/>
        </w:rPr>
        <w:t>47 C.F.R §§ 0.111, 0.311.</w:t>
      </w:r>
    </w:p>
  </w:footnote>
  <w:footnote w:id="8">
    <w:p w14:paraId="4DA1AD38" w14:textId="77777777" w:rsidR="00B4706E" w:rsidRDefault="00B4706E" w:rsidP="00B4706E">
      <w:pPr>
        <w:pStyle w:val="FootnoteText"/>
      </w:pPr>
      <w:r>
        <w:rPr>
          <w:rStyle w:val="FootnoteReference"/>
        </w:rPr>
        <w:footnoteRef/>
      </w:r>
      <w:r>
        <w:t xml:space="preserve"> 47 U.S.C. §§ 301, 310(d).</w:t>
      </w:r>
    </w:p>
  </w:footnote>
  <w:footnote w:id="9">
    <w:p w14:paraId="4DA1AD39" w14:textId="77777777" w:rsidR="00B4706E" w:rsidRDefault="00B4706E" w:rsidP="00B4706E">
      <w:pPr>
        <w:pStyle w:val="FootnoteText"/>
      </w:pPr>
      <w:r>
        <w:rPr>
          <w:rStyle w:val="FootnoteReference"/>
        </w:rPr>
        <w:footnoteRef/>
      </w:r>
      <w:r>
        <w:t xml:space="preserve"> 47 C.F.R. §§ 1.903(a), 1.948(a).</w:t>
      </w:r>
    </w:p>
  </w:footnote>
  <w:footnote w:id="10">
    <w:p w14:paraId="4DA1AD3A" w14:textId="77777777" w:rsidR="00B4706E" w:rsidRDefault="00B4706E" w:rsidP="00B4706E">
      <w:pPr>
        <w:pStyle w:val="FootnoteText"/>
      </w:pPr>
      <w:r>
        <w:rPr>
          <w:rStyle w:val="FootnoteReference"/>
        </w:rPr>
        <w:footnoteRef/>
      </w:r>
      <w:r>
        <w:t xml:space="preserve"> </w:t>
      </w:r>
      <w:r w:rsidRPr="006A1849">
        <w:rPr>
          <w:i/>
        </w:rPr>
        <w:t xml:space="preserve">See Biennial Regulatory Review </w:t>
      </w:r>
      <w:r>
        <w:rPr>
          <w:i/>
        </w:rPr>
        <w:t>–</w:t>
      </w:r>
      <w:r w:rsidRPr="006A1849">
        <w:rPr>
          <w:i/>
        </w:rPr>
        <w:t xml:space="preserve"> Amendment of Parts 0, 1, 13, 22, 24, 26, 27, 80, 87, 90, 95, 97, and 101 of the Commission</w:t>
      </w:r>
      <w:r>
        <w:rPr>
          <w:i/>
        </w:rPr>
        <w:t>’</w:t>
      </w:r>
      <w:r w:rsidRPr="006A1849">
        <w:rPr>
          <w:i/>
        </w:rPr>
        <w:t>s Rules to Facilitate the Development and Use of the Universal Licensing System in the Wireless Telecommunications Services</w:t>
      </w:r>
      <w:r w:rsidRPr="006A1849">
        <w:t>,</w:t>
      </w:r>
      <w:r w:rsidRPr="006A1849">
        <w:rPr>
          <w:i/>
        </w:rPr>
        <w:t xml:space="preserve"> </w:t>
      </w:r>
      <w:r w:rsidRPr="006A1849">
        <w:t>Report and Order, 13 FCC Rcd 21027, 21071, para. 96 (1998) (</w:t>
      </w:r>
      <w:r w:rsidRPr="006A1849">
        <w:rPr>
          <w:i/>
        </w:rPr>
        <w:t>Universal Licensing System Report and Order</w:t>
      </w:r>
      <w:r w:rsidRPr="006A1849">
        <w:t xml:space="preserve">) (adopting, </w:t>
      </w:r>
      <w:r w:rsidRPr="006A1849">
        <w:rPr>
          <w:i/>
        </w:rPr>
        <w:t>inter alia</w:t>
      </w:r>
      <w:r w:rsidRPr="006A1849">
        <w:t>, Section 1.949 of the Rules); Memorandum Opinion and Order on Reconsideration, 14 FCC Rcd 11476, 11485</w:t>
      </w:r>
      <w:r>
        <w:t>–</w:t>
      </w:r>
      <w:r w:rsidRPr="006A1849">
        <w:t>86, para. 22 (1999) (</w:t>
      </w:r>
      <w:r w:rsidRPr="006A1849">
        <w:rPr>
          <w:i/>
        </w:rPr>
        <w:t>Universal Licensing System MO&amp;O</w:t>
      </w:r>
      <w:r w:rsidRPr="006A1849">
        <w:t xml:space="preserve">) (collectively, the </w:t>
      </w:r>
      <w:r w:rsidRPr="006A1849">
        <w:rPr>
          <w:i/>
        </w:rPr>
        <w:t>Universal Licensing System Orders</w:t>
      </w:r>
      <w:r w:rsidRPr="006A1849">
        <w:t>).</w:t>
      </w:r>
    </w:p>
  </w:footnote>
  <w:footnote w:id="11">
    <w:p w14:paraId="4DA1AD3B" w14:textId="77777777" w:rsidR="00B4706E" w:rsidRDefault="00B4706E" w:rsidP="00B4706E">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2">
    <w:p w14:paraId="4DA1AD3C" w14:textId="77777777" w:rsidR="00B4706E" w:rsidRDefault="00B4706E" w:rsidP="00B4706E">
      <w:pPr>
        <w:pStyle w:val="FootnoteText"/>
      </w:pPr>
      <w:r>
        <w:rPr>
          <w:rStyle w:val="FootnoteReference"/>
        </w:rPr>
        <w:footnoteRef/>
      </w:r>
      <w:r>
        <w:t xml:space="preserve"> </w:t>
      </w:r>
      <w:r w:rsidRPr="008F7CDD">
        <w:rPr>
          <w:i/>
        </w:rPr>
        <w:t>See</w:t>
      </w:r>
      <w:r>
        <w:t xml:space="preserve"> Letter from John D. Poutasse, Chief, Spectrum Enforcement Division, FCC Enforcement Bureau, to Georgina L.O. Feigen, Esq., Counsel to Constellium Rolled Products Ravenswood, LLC (Aug. 2, 2013) (on file in EB-SED-13-00012123).</w:t>
      </w:r>
    </w:p>
  </w:footnote>
  <w:footnote w:id="13">
    <w:p w14:paraId="4DA1AD3D" w14:textId="77777777" w:rsidR="00B4706E" w:rsidRDefault="00B4706E" w:rsidP="00B4706E">
      <w:pPr>
        <w:pStyle w:val="FootnoteText"/>
      </w:pPr>
      <w:r>
        <w:rPr>
          <w:rStyle w:val="FootnoteReference"/>
        </w:rPr>
        <w:footnoteRef/>
      </w:r>
      <w:r>
        <w:t xml:space="preserve"> The investigation into unlicensed operation was initiated under File No. EB-SED-13-00008685 while the investigation into the unauthorized transfer of control was initiated under EB-SED-14-00015138; these investigations were consolidated, however, under File No. EB-SED-13-00012123 prior to the release of the </w:t>
      </w:r>
      <w:r w:rsidRPr="00A54EAC">
        <w:rPr>
          <w:i/>
        </w:rPr>
        <w:t>NAL</w:t>
      </w:r>
      <w:r>
        <w:t xml:space="preserve">.  </w:t>
      </w:r>
      <w:r w:rsidRPr="00A54EAC">
        <w:rPr>
          <w:i/>
        </w:rPr>
        <w:t>See</w:t>
      </w:r>
      <w:r>
        <w:t xml:space="preserve"> </w:t>
      </w:r>
      <w:r w:rsidRPr="00A54EAC">
        <w:rPr>
          <w:i/>
        </w:rPr>
        <w:t>NAL</w:t>
      </w:r>
      <w:r>
        <w:t>, 29 FCC Rcd at 6277 n.1.</w:t>
      </w:r>
    </w:p>
  </w:footnote>
  <w:footnote w:id="14">
    <w:p w14:paraId="4DA1AD3E" w14:textId="77777777" w:rsidR="00653706" w:rsidRDefault="00653706">
      <w:pPr>
        <w:pStyle w:val="FootnoteText"/>
      </w:pPr>
      <w:r>
        <w:rPr>
          <w:rStyle w:val="FootnoteReference"/>
        </w:rPr>
        <w:footnoteRef/>
      </w:r>
      <w:r>
        <w:t xml:space="preserve"> 47 U.S.C. § 301; 47 C.F.R. § 1.903(a).</w:t>
      </w:r>
    </w:p>
  </w:footnote>
  <w:footnote w:id="15">
    <w:p w14:paraId="4DA1AD3F" w14:textId="77777777" w:rsidR="00B4706E" w:rsidRDefault="00B4706E" w:rsidP="00B4706E">
      <w:pPr>
        <w:pStyle w:val="FootnoteText"/>
      </w:pPr>
      <w:r w:rsidRPr="005816FB">
        <w:rPr>
          <w:rStyle w:val="FootnoteReference"/>
        </w:rPr>
        <w:footnoteRef/>
      </w:r>
      <w:r w:rsidRPr="006A1849">
        <w:t xml:space="preserve"> </w:t>
      </w:r>
      <w:r w:rsidRPr="006A1849">
        <w:rPr>
          <w:i/>
        </w:rPr>
        <w:t xml:space="preserve">See </w:t>
      </w:r>
      <w:r w:rsidRPr="00F657B1">
        <w:rPr>
          <w:i/>
        </w:rPr>
        <w:t>Universal Licensing System Report and Order</w:t>
      </w:r>
      <w:r w:rsidRPr="00F657B1">
        <w:t>, 13 FCC Rcd at 21071, para. 98</w:t>
      </w:r>
      <w:r w:rsidRPr="006A1849">
        <w:t xml:space="preserve"> (directing licensees that fail to file timely renewal applications to submit a new application or, if necessary, an STA request); </w:t>
      </w:r>
      <w:r w:rsidRPr="006A1849">
        <w:rPr>
          <w:i/>
        </w:rPr>
        <w:t>Universal Licensing System MO&amp;O</w:t>
      </w:r>
      <w:r w:rsidRPr="006A1849">
        <w:t>, 14 FCC Rcd at 11485</w:t>
      </w:r>
      <w:r>
        <w:t>–</w:t>
      </w:r>
      <w:r w:rsidRPr="006A1849">
        <w:t xml:space="preserve">86, para. 22 (permitting, in the alternative, the acceptance and processing of late-filed renewal applications under certain circumstances).  In the </w:t>
      </w:r>
      <w:r w:rsidRPr="006A1849">
        <w:rPr>
          <w:i/>
        </w:rPr>
        <w:t>Universal Licensing System MO&amp;O</w:t>
      </w:r>
      <w:r w:rsidRPr="006A1849">
        <w:t xml:space="preserve">, the Commission expressly held that it could “initiate enforcement action against the licensee </w:t>
      </w:r>
      <w:r w:rsidRPr="006A1849">
        <w:rPr>
          <w:i/>
        </w:rPr>
        <w:t>for untimely filing and unauthorized operation</w:t>
      </w:r>
      <w:r w:rsidRPr="006A1849">
        <w:t xml:space="preserve"> between the expiration of the license and the late renewal filing, including, if appropriate, the imposition of fines or forfeitures for these rule violations.”  </w:t>
      </w:r>
      <w:r w:rsidRPr="006A1849">
        <w:rPr>
          <w:i/>
        </w:rPr>
        <w:t>Id.</w:t>
      </w:r>
      <w:r w:rsidRPr="006A1849">
        <w:t xml:space="preserve"> (emphasis added).  Section 1.949(a) of the Rules requires that licensees wishing to continue operations file renewal applications for wireless radio stations “no later than the expiration date of the authorization for which renewal is sought, and no sooner than 90 days prior to expiration.”  47 C.F.R. § 1.949(a).  If a licensee fails to file a timely renewal application, the Commission requires such licensee to seek temporary or new operating authority.</w:t>
      </w:r>
      <w:r w:rsidRPr="00F657B1">
        <w:t xml:space="preserve">  </w:t>
      </w:r>
      <w:r w:rsidRPr="006A1849">
        <w:t xml:space="preserve"> </w:t>
      </w:r>
    </w:p>
  </w:footnote>
  <w:footnote w:id="16">
    <w:p w14:paraId="4DA1AD40" w14:textId="77777777" w:rsidR="00B4706E" w:rsidRDefault="00B4706E" w:rsidP="00B4706E">
      <w:pPr>
        <w:pStyle w:val="FootnoteText"/>
      </w:pPr>
      <w:r>
        <w:rPr>
          <w:rStyle w:val="FootnoteReference"/>
        </w:rPr>
        <w:footnoteRef/>
      </w:r>
      <w:r>
        <w:t xml:space="preserve"> </w:t>
      </w:r>
      <w:r w:rsidRPr="00C8404A">
        <w:rPr>
          <w:i/>
        </w:rPr>
        <w:t>See supra</w:t>
      </w:r>
      <w:r>
        <w:t xml:space="preserve"> note </w:t>
      </w:r>
      <w:r w:rsidR="00653706">
        <w:t>8</w:t>
      </w:r>
      <w:r>
        <w:t>.</w:t>
      </w:r>
    </w:p>
  </w:footnote>
  <w:footnote w:id="17">
    <w:p w14:paraId="4DA1AD41" w14:textId="77777777" w:rsidR="00B4706E" w:rsidRDefault="00B4706E" w:rsidP="00B4706E">
      <w:pPr>
        <w:pStyle w:val="FootnoteText"/>
      </w:pPr>
      <w:r w:rsidRPr="005816FB">
        <w:rPr>
          <w:rStyle w:val="FootnoteReference"/>
        </w:rPr>
        <w:footnoteRef/>
      </w:r>
      <w:r w:rsidRPr="002D67E1">
        <w:t xml:space="preserve"> 47 U.S.C. § 310(d).</w:t>
      </w:r>
    </w:p>
  </w:footnote>
  <w:footnote w:id="18">
    <w:p w14:paraId="4DA1AD42" w14:textId="77777777" w:rsidR="00B4706E" w:rsidRDefault="00B4706E" w:rsidP="00B4706E">
      <w:pPr>
        <w:pStyle w:val="FootnoteText"/>
      </w:pPr>
      <w:r w:rsidRPr="005816FB">
        <w:rPr>
          <w:rStyle w:val="FootnoteReference"/>
        </w:rPr>
        <w:footnoteRef/>
      </w:r>
      <w:r w:rsidRPr="006A1849">
        <w:t xml:space="preserve"> 47 C.F.R. § 1.948(a).</w:t>
      </w:r>
    </w:p>
  </w:footnote>
  <w:footnote w:id="19">
    <w:p w14:paraId="4DA1AD43" w14:textId="77777777" w:rsidR="00B4706E" w:rsidRDefault="00B4706E" w:rsidP="00B4706E">
      <w:pPr>
        <w:pStyle w:val="FootnoteText"/>
      </w:pPr>
      <w:r>
        <w:rPr>
          <w:rStyle w:val="FootnoteReference"/>
        </w:rPr>
        <w:footnoteRef/>
      </w:r>
      <w:r>
        <w:t xml:space="preserve"> </w:t>
      </w:r>
      <w:r w:rsidRPr="00B959B0">
        <w:rPr>
          <w:i/>
        </w:rPr>
        <w:t>See NAL</w:t>
      </w:r>
      <w:r>
        <w:t>, 29 FCC Rcd at 6278–80, paras. 3–7.</w:t>
      </w:r>
    </w:p>
  </w:footnote>
  <w:footnote w:id="20">
    <w:p w14:paraId="4DA1AD44" w14:textId="77777777" w:rsidR="00B4706E" w:rsidRDefault="00B4706E" w:rsidP="00B4706E">
      <w:pPr>
        <w:pStyle w:val="FootnoteText"/>
      </w:pPr>
      <w:r>
        <w:rPr>
          <w:rStyle w:val="FootnoteReference"/>
        </w:rPr>
        <w:footnoteRef/>
      </w:r>
      <w:r>
        <w:t xml:space="preserve"> </w:t>
      </w:r>
      <w:r w:rsidRPr="002B7D5D">
        <w:rPr>
          <w:i/>
        </w:rPr>
        <w:t>See supra</w:t>
      </w:r>
      <w:r>
        <w:t xml:space="preserve"> note 3.</w:t>
      </w:r>
    </w:p>
  </w:footnote>
  <w:footnote w:id="21">
    <w:p w14:paraId="4DA1AD45" w14:textId="77777777" w:rsidR="00B4706E" w:rsidRDefault="00B4706E" w:rsidP="00B4706E">
      <w:pPr>
        <w:pStyle w:val="FootnoteText"/>
      </w:pPr>
      <w:r>
        <w:rPr>
          <w:rStyle w:val="FootnoteReference"/>
        </w:rPr>
        <w:footnoteRef/>
      </w:r>
      <w:r>
        <w:t xml:space="preserve"> </w:t>
      </w:r>
      <w:r w:rsidRPr="007C5EBE">
        <w:rPr>
          <w:i/>
        </w:rPr>
        <w:t>See NAL</w:t>
      </w:r>
      <w:r>
        <w:t>, 29 FCC Rcd at 6285, para. 15.</w:t>
      </w:r>
    </w:p>
  </w:footnote>
  <w:footnote w:id="22">
    <w:p w14:paraId="4DA1AD46" w14:textId="77777777" w:rsidR="00B4706E" w:rsidRDefault="00B4706E" w:rsidP="00B4706E">
      <w:pPr>
        <w:pStyle w:val="FootnoteText"/>
      </w:pPr>
      <w:r>
        <w:rPr>
          <w:rStyle w:val="FootnoteReference"/>
        </w:rPr>
        <w:footnoteRef/>
      </w:r>
      <w:r>
        <w:t xml:space="preserve"> </w:t>
      </w:r>
      <w:r w:rsidRPr="00345681">
        <w:rPr>
          <w:i/>
        </w:rPr>
        <w:t>See id</w:t>
      </w:r>
      <w:r>
        <w:t>. at 6286–87, para. 17.</w:t>
      </w:r>
    </w:p>
  </w:footnote>
  <w:footnote w:id="23">
    <w:p w14:paraId="4DA1AD47" w14:textId="77777777" w:rsidR="00B4706E" w:rsidRDefault="00B4706E" w:rsidP="00B4706E">
      <w:pPr>
        <w:pStyle w:val="FootnoteText"/>
      </w:pPr>
      <w:r>
        <w:rPr>
          <w:rStyle w:val="FootnoteReference"/>
        </w:rPr>
        <w:footnoteRef/>
      </w:r>
      <w:r>
        <w:t xml:space="preserve"> </w:t>
      </w:r>
      <w:r w:rsidRPr="00C566EC">
        <w:rPr>
          <w:i/>
        </w:rPr>
        <w:t>See</w:t>
      </w:r>
      <w:r>
        <w:t xml:space="preserve"> 47 C.F.R. § 1.93(b).</w:t>
      </w:r>
    </w:p>
  </w:footnote>
  <w:footnote w:id="24">
    <w:p w14:paraId="4DA1AD48" w14:textId="77777777" w:rsidR="00B4706E" w:rsidRDefault="00B4706E" w:rsidP="00B4706E">
      <w:pPr>
        <w:pStyle w:val="FootnoteText"/>
      </w:pPr>
      <w:r w:rsidRPr="00A07FCB">
        <w:rPr>
          <w:rStyle w:val="FootnoteReference"/>
        </w:rPr>
        <w:footnoteRef/>
      </w:r>
      <w:r w:rsidRPr="00A07FCB">
        <w:t xml:space="preserve"> 47 C.F.R. § 1.16.</w:t>
      </w:r>
    </w:p>
  </w:footnote>
  <w:footnote w:id="25">
    <w:p w14:paraId="4DA1AD49" w14:textId="4ACFC1C8" w:rsidR="00275216" w:rsidRDefault="00275216" w:rsidP="00275216">
      <w:pPr>
        <w:pStyle w:val="FootnoteText"/>
      </w:pPr>
      <w:r>
        <w:rPr>
          <w:rStyle w:val="FootnoteReference"/>
        </w:rPr>
        <w:footnoteRef/>
      </w:r>
      <w:r>
        <w:t xml:space="preserve"> The reduction from the proposed forfeiture amount in the </w:t>
      </w:r>
      <w:r>
        <w:rPr>
          <w:i/>
        </w:rPr>
        <w:t xml:space="preserve">NAL </w:t>
      </w:r>
      <w:r>
        <w:t xml:space="preserve">in part reflects the Bureau’s acceptance of Constellium’s request that any penalty should be based on the </w:t>
      </w:r>
      <w:r>
        <w:rPr>
          <w:szCs w:val="22"/>
        </w:rPr>
        <w:t xml:space="preserve">four licenses Constellium ultimately obtained to cover its PLMRS operations rather than the eight expired PLMRS licenses on which the </w:t>
      </w:r>
      <w:r>
        <w:rPr>
          <w:i/>
          <w:szCs w:val="22"/>
        </w:rPr>
        <w:t xml:space="preserve">NAL </w:t>
      </w:r>
      <w:r>
        <w:rPr>
          <w:szCs w:val="22"/>
        </w:rPr>
        <w:t xml:space="preserve">was based.  </w:t>
      </w:r>
      <w:r w:rsidRPr="008967F4">
        <w:rPr>
          <w:i/>
          <w:szCs w:val="22"/>
        </w:rPr>
        <w:t>See</w:t>
      </w:r>
      <w:r>
        <w:rPr>
          <w:szCs w:val="22"/>
        </w:rPr>
        <w:t xml:space="preserve"> Constellium Rolled Products Ravenswood, LLC, Statement Seeking Reduction of Proposed Forfeiture at 15 (June 27, 2014) (on file in EB-SED-13-00012123); </w:t>
      </w:r>
      <w:r>
        <w:rPr>
          <w:i/>
          <w:szCs w:val="22"/>
        </w:rPr>
        <w:t>NAL</w:t>
      </w:r>
      <w:r>
        <w:rPr>
          <w:szCs w:val="22"/>
        </w:rPr>
        <w:t>, 29 FCC Rcd at 6283, para. 12.  The Bureau will continue to use its discretion in the future, however, to make determinations regarding</w:t>
      </w:r>
      <w:r w:rsidR="005811B0">
        <w:rPr>
          <w:szCs w:val="22"/>
        </w:rPr>
        <w:t xml:space="preserve"> the</w:t>
      </w:r>
      <w:r>
        <w:rPr>
          <w:szCs w:val="22"/>
        </w:rPr>
        <w:t xml:space="preserve"> appropriate number of PL</w:t>
      </w:r>
      <w:r w:rsidR="00324C43">
        <w:rPr>
          <w:szCs w:val="22"/>
        </w:rPr>
        <w:t>MRS</w:t>
      </w:r>
      <w:r>
        <w:rPr>
          <w:szCs w:val="22"/>
        </w:rPr>
        <w:t xml:space="preserve"> licenses to use in determining penalty calculations on a case-by-case basis.</w:t>
      </w:r>
      <w:r>
        <w:t xml:space="preserve">  </w:t>
      </w:r>
    </w:p>
  </w:footnote>
  <w:footnote w:id="26">
    <w:p w14:paraId="4DA1AD4A" w14:textId="77777777" w:rsidR="00B4706E" w:rsidRPr="00042447" w:rsidRDefault="00B4706E" w:rsidP="00B4706E">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27">
    <w:p w14:paraId="4DA1AD4B" w14:textId="77777777" w:rsidR="00B4706E" w:rsidRDefault="00B4706E" w:rsidP="00B4706E">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2C1F" w14:textId="77777777" w:rsidR="00671467" w:rsidRDefault="00671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1AD24" w14:textId="77777777" w:rsidR="00D25FB5" w:rsidRDefault="00D25FB5" w:rsidP="00810B6F">
    <w:pPr>
      <w:pStyle w:val="Header"/>
      <w:rPr>
        <w:b w:val="0"/>
      </w:rPr>
    </w:pPr>
    <w:r>
      <w:tab/>
      <w:t>Federal Communications Commission</w:t>
    </w:r>
    <w:r>
      <w:tab/>
    </w:r>
    <w:r w:rsidR="00B4706E" w:rsidRPr="001B34AE">
      <w:t xml:space="preserve">DA </w:t>
    </w:r>
    <w:r w:rsidR="000532A3">
      <w:t>15-1437</w:t>
    </w:r>
  </w:p>
  <w:p w14:paraId="4DA1AD25" w14:textId="77777777" w:rsidR="00D25FB5" w:rsidRDefault="001B34A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DA1AD2E" wp14:editId="4DA1AD2F">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1D283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DA1AD26" w14:textId="77777777" w:rsidR="00D25FB5" w:rsidRPr="001B34AE" w:rsidRDefault="00D25FB5" w:rsidP="001B34AE">
    <w:pPr>
      <w:spacing w:after="389" w:line="100" w:lineRule="exact"/>
      <w:rPr>
        <w:b/>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1AD2B" w14:textId="77777777" w:rsidR="00B4706E" w:rsidRDefault="001B34AE" w:rsidP="00B4706E">
    <w:pPr>
      <w:pStyle w:val="Header"/>
      <w:rPr>
        <w:b w:val="0"/>
      </w:rPr>
    </w:pPr>
    <w:r>
      <w:rPr>
        <w:noProof/>
      </w:rPr>
      <mc:AlternateContent>
        <mc:Choice Requires="wps">
          <w:drawing>
            <wp:anchor distT="0" distB="0" distL="114300" distR="114300" simplePos="0" relativeHeight="251659264" behindDoc="1" locked="0" layoutInCell="0" allowOverlap="1" wp14:anchorId="4DA1AD30" wp14:editId="4DA1AD3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B846BC"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B4706E" w:rsidRPr="00843A5F">
      <w:tab/>
      <w:t>Federal Communications Commission</w:t>
    </w:r>
    <w:r w:rsidR="00B4706E" w:rsidRPr="00843A5F">
      <w:tab/>
    </w:r>
    <w:r w:rsidR="00B4706E" w:rsidRPr="002755D1">
      <w:rPr>
        <w:spacing w:val="-2"/>
      </w:rPr>
      <w:t xml:space="preserve">DA </w:t>
    </w:r>
    <w:r w:rsidR="000532A3">
      <w:rPr>
        <w:spacing w:val="-2"/>
      </w:rPr>
      <w:t>15-1437</w:t>
    </w:r>
  </w:p>
  <w:p w14:paraId="4DA1AD2C" w14:textId="77777777" w:rsidR="00D25FB5" w:rsidRPr="001B34AE" w:rsidRDefault="00D25FB5" w:rsidP="00B47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B4A69FB"/>
    <w:multiLevelType w:val="hybridMultilevel"/>
    <w:tmpl w:val="190EB30E"/>
    <w:lvl w:ilvl="0" w:tplc="E1C4B2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792E70"/>
    <w:multiLevelType w:val="hybridMultilevel"/>
    <w:tmpl w:val="9A8A0870"/>
    <w:lvl w:ilvl="0" w:tplc="7910D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D6878D7"/>
    <w:multiLevelType w:val="multilevel"/>
    <w:tmpl w:val="0FB4D36A"/>
    <w:lvl w:ilvl="0">
      <w:start w:val="1"/>
      <w:numFmt w:val="upperRoman"/>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8E40BA0"/>
    <w:multiLevelType w:val="hybridMultilevel"/>
    <w:tmpl w:val="2AA2F878"/>
    <w:lvl w:ilvl="0" w:tplc="AD6A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7">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8">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4"/>
  </w:num>
  <w:num w:numId="2">
    <w:abstractNumId w:val="15"/>
  </w:num>
  <w:num w:numId="3">
    <w:abstractNumId w:val="6"/>
  </w:num>
  <w:num w:numId="4">
    <w:abstractNumId w:val="13"/>
  </w:num>
  <w:num w:numId="5">
    <w:abstractNumId w:val="5"/>
  </w:num>
  <w:num w:numId="6">
    <w:abstractNumId w:val="0"/>
  </w:num>
  <w:num w:numId="7">
    <w:abstractNumId w:val="17"/>
  </w:num>
  <w:num w:numId="8">
    <w:abstractNumId w:val="2"/>
  </w:num>
  <w:num w:numId="9">
    <w:abstractNumId w:val="18"/>
  </w:num>
  <w:num w:numId="10">
    <w:abstractNumId w:val="1"/>
  </w:num>
  <w:num w:numId="11">
    <w:abstractNumId w:val="8"/>
  </w:num>
  <w:num w:numId="12">
    <w:abstractNumId w:val="16"/>
  </w:num>
  <w:num w:numId="13">
    <w:abstractNumId w:val="15"/>
    <w:lvlOverride w:ilvl="0">
      <w:startOverride w:val="1"/>
    </w:lvlOverride>
  </w:num>
  <w:num w:numId="14">
    <w:abstractNumId w:val="3"/>
  </w:num>
  <w:num w:numId="15">
    <w:abstractNumId w:val="15"/>
    <w:lvlOverride w:ilvl="0">
      <w:startOverride w:val="4"/>
    </w:lvlOverride>
  </w:num>
  <w:num w:numId="16">
    <w:abstractNumId w:val="15"/>
    <w:lvlOverride w:ilvl="0">
      <w:startOverride w:val="22"/>
    </w:lvlOverride>
  </w:num>
  <w:num w:numId="17">
    <w:abstractNumId w:val="15"/>
    <w:lvlOverride w:ilvl="0">
      <w:startOverride w:val="1"/>
    </w:lvlOverride>
  </w:num>
  <w:num w:numId="18">
    <w:abstractNumId w:val="12"/>
  </w:num>
  <w:num w:numId="19">
    <w:abstractNumId w:val="14"/>
  </w:num>
  <w:num w:numId="20">
    <w:abstractNumId w:val="11"/>
  </w:num>
  <w:num w:numId="21">
    <w:abstractNumId w:val="9"/>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6E"/>
    <w:rsid w:val="00001CB4"/>
    <w:rsid w:val="00007F8E"/>
    <w:rsid w:val="00012FB4"/>
    <w:rsid w:val="00014484"/>
    <w:rsid w:val="000216AD"/>
    <w:rsid w:val="00024902"/>
    <w:rsid w:val="000251D3"/>
    <w:rsid w:val="00025470"/>
    <w:rsid w:val="000262C0"/>
    <w:rsid w:val="00026D97"/>
    <w:rsid w:val="00036039"/>
    <w:rsid w:val="0003696C"/>
    <w:rsid w:val="00036B37"/>
    <w:rsid w:val="00037F90"/>
    <w:rsid w:val="00040BB5"/>
    <w:rsid w:val="0004154A"/>
    <w:rsid w:val="0004267E"/>
    <w:rsid w:val="0004645F"/>
    <w:rsid w:val="000514F1"/>
    <w:rsid w:val="00051558"/>
    <w:rsid w:val="000532A3"/>
    <w:rsid w:val="000560A1"/>
    <w:rsid w:val="00061A57"/>
    <w:rsid w:val="00061C0A"/>
    <w:rsid w:val="00064ADC"/>
    <w:rsid w:val="000668DA"/>
    <w:rsid w:val="00067C2A"/>
    <w:rsid w:val="0007059D"/>
    <w:rsid w:val="000728FF"/>
    <w:rsid w:val="00073450"/>
    <w:rsid w:val="00073561"/>
    <w:rsid w:val="00074882"/>
    <w:rsid w:val="00075906"/>
    <w:rsid w:val="00076C13"/>
    <w:rsid w:val="0008718F"/>
    <w:rsid w:val="000875BF"/>
    <w:rsid w:val="00090426"/>
    <w:rsid w:val="00090E63"/>
    <w:rsid w:val="0009561F"/>
    <w:rsid w:val="00096D8C"/>
    <w:rsid w:val="000971AC"/>
    <w:rsid w:val="000A053B"/>
    <w:rsid w:val="000A5F07"/>
    <w:rsid w:val="000B00E8"/>
    <w:rsid w:val="000B0C24"/>
    <w:rsid w:val="000B17A6"/>
    <w:rsid w:val="000B622D"/>
    <w:rsid w:val="000C0B65"/>
    <w:rsid w:val="000C7CD8"/>
    <w:rsid w:val="000D5798"/>
    <w:rsid w:val="000E05FE"/>
    <w:rsid w:val="000E3D42"/>
    <w:rsid w:val="000E655A"/>
    <w:rsid w:val="000E6874"/>
    <w:rsid w:val="0011427B"/>
    <w:rsid w:val="00122296"/>
    <w:rsid w:val="0012234C"/>
    <w:rsid w:val="00122BD5"/>
    <w:rsid w:val="00126CA2"/>
    <w:rsid w:val="001278CC"/>
    <w:rsid w:val="001314FC"/>
    <w:rsid w:val="0013249B"/>
    <w:rsid w:val="00133F79"/>
    <w:rsid w:val="001438DA"/>
    <w:rsid w:val="0015122B"/>
    <w:rsid w:val="0015224A"/>
    <w:rsid w:val="00153AAA"/>
    <w:rsid w:val="00154477"/>
    <w:rsid w:val="00154FE6"/>
    <w:rsid w:val="00155C0B"/>
    <w:rsid w:val="00161D89"/>
    <w:rsid w:val="00176594"/>
    <w:rsid w:val="00182304"/>
    <w:rsid w:val="00186182"/>
    <w:rsid w:val="00190C82"/>
    <w:rsid w:val="0019214A"/>
    <w:rsid w:val="00192265"/>
    <w:rsid w:val="001933D7"/>
    <w:rsid w:val="001943A8"/>
    <w:rsid w:val="00194A66"/>
    <w:rsid w:val="001A5288"/>
    <w:rsid w:val="001B2424"/>
    <w:rsid w:val="001B34AE"/>
    <w:rsid w:val="001B74D4"/>
    <w:rsid w:val="001C1346"/>
    <w:rsid w:val="001C2C21"/>
    <w:rsid w:val="001C4926"/>
    <w:rsid w:val="001C71E0"/>
    <w:rsid w:val="001D2939"/>
    <w:rsid w:val="001D37A4"/>
    <w:rsid w:val="001D41E6"/>
    <w:rsid w:val="001D4CD4"/>
    <w:rsid w:val="001D6BCF"/>
    <w:rsid w:val="001E01CA"/>
    <w:rsid w:val="001E3D70"/>
    <w:rsid w:val="0020274D"/>
    <w:rsid w:val="00206633"/>
    <w:rsid w:val="002077EF"/>
    <w:rsid w:val="00207E47"/>
    <w:rsid w:val="00217CEF"/>
    <w:rsid w:val="00220A10"/>
    <w:rsid w:val="00231EE8"/>
    <w:rsid w:val="002436B5"/>
    <w:rsid w:val="00246786"/>
    <w:rsid w:val="002618DD"/>
    <w:rsid w:val="00262C95"/>
    <w:rsid w:val="00263706"/>
    <w:rsid w:val="00275216"/>
    <w:rsid w:val="002755D1"/>
    <w:rsid w:val="00275CF5"/>
    <w:rsid w:val="00276774"/>
    <w:rsid w:val="00276A71"/>
    <w:rsid w:val="0028301F"/>
    <w:rsid w:val="00285017"/>
    <w:rsid w:val="00286347"/>
    <w:rsid w:val="002907B3"/>
    <w:rsid w:val="00291D68"/>
    <w:rsid w:val="00294430"/>
    <w:rsid w:val="002A2D2E"/>
    <w:rsid w:val="002B1765"/>
    <w:rsid w:val="002B4C80"/>
    <w:rsid w:val="002B5AA5"/>
    <w:rsid w:val="002B7D5D"/>
    <w:rsid w:val="002C00E8"/>
    <w:rsid w:val="002C14B4"/>
    <w:rsid w:val="002C1AC5"/>
    <w:rsid w:val="002C1DDB"/>
    <w:rsid w:val="002C380E"/>
    <w:rsid w:val="002D4E5A"/>
    <w:rsid w:val="002E46B8"/>
    <w:rsid w:val="002E4E09"/>
    <w:rsid w:val="002F0A22"/>
    <w:rsid w:val="002F7012"/>
    <w:rsid w:val="003010FA"/>
    <w:rsid w:val="003027C5"/>
    <w:rsid w:val="00302835"/>
    <w:rsid w:val="00302AC4"/>
    <w:rsid w:val="00302C38"/>
    <w:rsid w:val="00324C43"/>
    <w:rsid w:val="00327FAD"/>
    <w:rsid w:val="003329C5"/>
    <w:rsid w:val="00340066"/>
    <w:rsid w:val="00343749"/>
    <w:rsid w:val="00344C16"/>
    <w:rsid w:val="00345681"/>
    <w:rsid w:val="003533DC"/>
    <w:rsid w:val="003660ED"/>
    <w:rsid w:val="00375E8E"/>
    <w:rsid w:val="00380DAE"/>
    <w:rsid w:val="003851D0"/>
    <w:rsid w:val="0038682B"/>
    <w:rsid w:val="003909A2"/>
    <w:rsid w:val="00392899"/>
    <w:rsid w:val="00394828"/>
    <w:rsid w:val="0039572D"/>
    <w:rsid w:val="003A16E6"/>
    <w:rsid w:val="003B0550"/>
    <w:rsid w:val="003B4047"/>
    <w:rsid w:val="003B59AC"/>
    <w:rsid w:val="003B694F"/>
    <w:rsid w:val="003C2C52"/>
    <w:rsid w:val="003C4A20"/>
    <w:rsid w:val="003C4BCC"/>
    <w:rsid w:val="003D7A7D"/>
    <w:rsid w:val="003F171C"/>
    <w:rsid w:val="003F5CF7"/>
    <w:rsid w:val="0040347E"/>
    <w:rsid w:val="00405A08"/>
    <w:rsid w:val="00412FC5"/>
    <w:rsid w:val="00422276"/>
    <w:rsid w:val="004242F1"/>
    <w:rsid w:val="00426D94"/>
    <w:rsid w:val="004305E9"/>
    <w:rsid w:val="00440A39"/>
    <w:rsid w:val="0044203A"/>
    <w:rsid w:val="004434A9"/>
    <w:rsid w:val="00443717"/>
    <w:rsid w:val="00445675"/>
    <w:rsid w:val="0044595B"/>
    <w:rsid w:val="00445A00"/>
    <w:rsid w:val="00451B0F"/>
    <w:rsid w:val="00453A9E"/>
    <w:rsid w:val="00456D61"/>
    <w:rsid w:val="004620CB"/>
    <w:rsid w:val="00466EC3"/>
    <w:rsid w:val="004676BE"/>
    <w:rsid w:val="00474905"/>
    <w:rsid w:val="0048477F"/>
    <w:rsid w:val="00485C9F"/>
    <w:rsid w:val="00486AAF"/>
    <w:rsid w:val="00486CDB"/>
    <w:rsid w:val="00487DA4"/>
    <w:rsid w:val="004954ED"/>
    <w:rsid w:val="004A0940"/>
    <w:rsid w:val="004A5FBA"/>
    <w:rsid w:val="004A7F18"/>
    <w:rsid w:val="004B2CF9"/>
    <w:rsid w:val="004C10C0"/>
    <w:rsid w:val="004C2EE3"/>
    <w:rsid w:val="004C303F"/>
    <w:rsid w:val="004C4F5F"/>
    <w:rsid w:val="004D2F62"/>
    <w:rsid w:val="004D6FC2"/>
    <w:rsid w:val="004E4A22"/>
    <w:rsid w:val="004E4F32"/>
    <w:rsid w:val="004E5ED4"/>
    <w:rsid w:val="0050695B"/>
    <w:rsid w:val="00511968"/>
    <w:rsid w:val="0051411C"/>
    <w:rsid w:val="0051761D"/>
    <w:rsid w:val="0052112B"/>
    <w:rsid w:val="005328BF"/>
    <w:rsid w:val="00546AD5"/>
    <w:rsid w:val="0055035F"/>
    <w:rsid w:val="00552E46"/>
    <w:rsid w:val="00554498"/>
    <w:rsid w:val="00555C8A"/>
    <w:rsid w:val="0055614C"/>
    <w:rsid w:val="00560DA5"/>
    <w:rsid w:val="00562DFF"/>
    <w:rsid w:val="00565042"/>
    <w:rsid w:val="00566E9B"/>
    <w:rsid w:val="005675C2"/>
    <w:rsid w:val="00572F28"/>
    <w:rsid w:val="005749CD"/>
    <w:rsid w:val="005811B0"/>
    <w:rsid w:val="00582BA0"/>
    <w:rsid w:val="005902EF"/>
    <w:rsid w:val="00593EAD"/>
    <w:rsid w:val="005A5FC7"/>
    <w:rsid w:val="005B1C09"/>
    <w:rsid w:val="005B4F0E"/>
    <w:rsid w:val="005C70EB"/>
    <w:rsid w:val="005D2C62"/>
    <w:rsid w:val="005D5341"/>
    <w:rsid w:val="005D7EB0"/>
    <w:rsid w:val="005E0923"/>
    <w:rsid w:val="005E10F1"/>
    <w:rsid w:val="005E14C2"/>
    <w:rsid w:val="005E6193"/>
    <w:rsid w:val="006053D1"/>
    <w:rsid w:val="00605F22"/>
    <w:rsid w:val="0060622A"/>
    <w:rsid w:val="00607BA5"/>
    <w:rsid w:val="00610208"/>
    <w:rsid w:val="0061180A"/>
    <w:rsid w:val="006128E0"/>
    <w:rsid w:val="00614CF5"/>
    <w:rsid w:val="00615834"/>
    <w:rsid w:val="00622F3B"/>
    <w:rsid w:val="00623967"/>
    <w:rsid w:val="00626EB6"/>
    <w:rsid w:val="0064202F"/>
    <w:rsid w:val="006459B1"/>
    <w:rsid w:val="00646C36"/>
    <w:rsid w:val="00650475"/>
    <w:rsid w:val="00652649"/>
    <w:rsid w:val="0065270B"/>
    <w:rsid w:val="006534CA"/>
    <w:rsid w:val="00653706"/>
    <w:rsid w:val="00655D03"/>
    <w:rsid w:val="00663876"/>
    <w:rsid w:val="00665547"/>
    <w:rsid w:val="00671467"/>
    <w:rsid w:val="00683388"/>
    <w:rsid w:val="00683B2D"/>
    <w:rsid w:val="00683F1F"/>
    <w:rsid w:val="00683F84"/>
    <w:rsid w:val="006918C5"/>
    <w:rsid w:val="0069341E"/>
    <w:rsid w:val="00694F93"/>
    <w:rsid w:val="006A0CCD"/>
    <w:rsid w:val="006A16B3"/>
    <w:rsid w:val="006A551D"/>
    <w:rsid w:val="006A5AA4"/>
    <w:rsid w:val="006A6A81"/>
    <w:rsid w:val="006B3785"/>
    <w:rsid w:val="006B3C40"/>
    <w:rsid w:val="006B4579"/>
    <w:rsid w:val="006C3459"/>
    <w:rsid w:val="006D133D"/>
    <w:rsid w:val="006E207C"/>
    <w:rsid w:val="006E4E12"/>
    <w:rsid w:val="006E58A0"/>
    <w:rsid w:val="006F62F7"/>
    <w:rsid w:val="006F7147"/>
    <w:rsid w:val="006F7393"/>
    <w:rsid w:val="0070112A"/>
    <w:rsid w:val="0070224F"/>
    <w:rsid w:val="00703BD1"/>
    <w:rsid w:val="00710CC1"/>
    <w:rsid w:val="007115F7"/>
    <w:rsid w:val="00712B39"/>
    <w:rsid w:val="00712FE9"/>
    <w:rsid w:val="007351D8"/>
    <w:rsid w:val="00736FBB"/>
    <w:rsid w:val="007563C6"/>
    <w:rsid w:val="007625EE"/>
    <w:rsid w:val="00770B53"/>
    <w:rsid w:val="00772624"/>
    <w:rsid w:val="00772BAC"/>
    <w:rsid w:val="0077779F"/>
    <w:rsid w:val="007807CE"/>
    <w:rsid w:val="0078084A"/>
    <w:rsid w:val="00782F47"/>
    <w:rsid w:val="00785689"/>
    <w:rsid w:val="0078789C"/>
    <w:rsid w:val="007963DF"/>
    <w:rsid w:val="0079754B"/>
    <w:rsid w:val="007A06AF"/>
    <w:rsid w:val="007A1E6D"/>
    <w:rsid w:val="007A541A"/>
    <w:rsid w:val="007B07E6"/>
    <w:rsid w:val="007B0D37"/>
    <w:rsid w:val="007B0E95"/>
    <w:rsid w:val="007B0EB2"/>
    <w:rsid w:val="007B5620"/>
    <w:rsid w:val="007C0B2B"/>
    <w:rsid w:val="007C0B39"/>
    <w:rsid w:val="007C2A15"/>
    <w:rsid w:val="007C4242"/>
    <w:rsid w:val="007C473D"/>
    <w:rsid w:val="007C5EBE"/>
    <w:rsid w:val="007D09E0"/>
    <w:rsid w:val="007D19A5"/>
    <w:rsid w:val="007D2615"/>
    <w:rsid w:val="007D7BED"/>
    <w:rsid w:val="007E2EBD"/>
    <w:rsid w:val="007F2132"/>
    <w:rsid w:val="007F766D"/>
    <w:rsid w:val="0080595D"/>
    <w:rsid w:val="00805BF5"/>
    <w:rsid w:val="00806024"/>
    <w:rsid w:val="008062B4"/>
    <w:rsid w:val="0080718C"/>
    <w:rsid w:val="00810B6F"/>
    <w:rsid w:val="008155A1"/>
    <w:rsid w:val="00822CE0"/>
    <w:rsid w:val="008257A7"/>
    <w:rsid w:val="00830A41"/>
    <w:rsid w:val="00832DE8"/>
    <w:rsid w:val="008335CC"/>
    <w:rsid w:val="0083587E"/>
    <w:rsid w:val="0084096F"/>
    <w:rsid w:val="00841AB1"/>
    <w:rsid w:val="00842EF2"/>
    <w:rsid w:val="00843A5F"/>
    <w:rsid w:val="00852593"/>
    <w:rsid w:val="008608DD"/>
    <w:rsid w:val="0086112D"/>
    <w:rsid w:val="00874EAB"/>
    <w:rsid w:val="008834DE"/>
    <w:rsid w:val="00883524"/>
    <w:rsid w:val="00892757"/>
    <w:rsid w:val="008936FC"/>
    <w:rsid w:val="008967F4"/>
    <w:rsid w:val="008A1C76"/>
    <w:rsid w:val="008A2AD9"/>
    <w:rsid w:val="008A3BFE"/>
    <w:rsid w:val="008A7975"/>
    <w:rsid w:val="008A7AD7"/>
    <w:rsid w:val="008B3A5A"/>
    <w:rsid w:val="008B628C"/>
    <w:rsid w:val="008C68F1"/>
    <w:rsid w:val="008D0460"/>
    <w:rsid w:val="008D3C3F"/>
    <w:rsid w:val="008D6611"/>
    <w:rsid w:val="008D79FA"/>
    <w:rsid w:val="008E3790"/>
    <w:rsid w:val="008E5A04"/>
    <w:rsid w:val="008F2DBF"/>
    <w:rsid w:val="008F7CDD"/>
    <w:rsid w:val="008F7E57"/>
    <w:rsid w:val="00901E3F"/>
    <w:rsid w:val="009068C2"/>
    <w:rsid w:val="00913231"/>
    <w:rsid w:val="009150AB"/>
    <w:rsid w:val="00917286"/>
    <w:rsid w:val="00917991"/>
    <w:rsid w:val="00921803"/>
    <w:rsid w:val="009236DB"/>
    <w:rsid w:val="00926503"/>
    <w:rsid w:val="00926FC4"/>
    <w:rsid w:val="009279FD"/>
    <w:rsid w:val="00927B1B"/>
    <w:rsid w:val="0093006C"/>
    <w:rsid w:val="009341CC"/>
    <w:rsid w:val="00934DD7"/>
    <w:rsid w:val="00936B23"/>
    <w:rsid w:val="00937D33"/>
    <w:rsid w:val="00943A80"/>
    <w:rsid w:val="009476B1"/>
    <w:rsid w:val="00955A9A"/>
    <w:rsid w:val="0096758E"/>
    <w:rsid w:val="00971733"/>
    <w:rsid w:val="009726D8"/>
    <w:rsid w:val="009734EE"/>
    <w:rsid w:val="00980648"/>
    <w:rsid w:val="00982541"/>
    <w:rsid w:val="009850EA"/>
    <w:rsid w:val="00990A5E"/>
    <w:rsid w:val="009916C7"/>
    <w:rsid w:val="00993743"/>
    <w:rsid w:val="009A17A5"/>
    <w:rsid w:val="009B31C8"/>
    <w:rsid w:val="009C3392"/>
    <w:rsid w:val="009C46DE"/>
    <w:rsid w:val="009C5380"/>
    <w:rsid w:val="009C6343"/>
    <w:rsid w:val="009D1C30"/>
    <w:rsid w:val="009D4A2B"/>
    <w:rsid w:val="009D73F1"/>
    <w:rsid w:val="009D7FB5"/>
    <w:rsid w:val="009E1DE8"/>
    <w:rsid w:val="009E2673"/>
    <w:rsid w:val="009E3E2F"/>
    <w:rsid w:val="009E51C5"/>
    <w:rsid w:val="009F76DB"/>
    <w:rsid w:val="00A03540"/>
    <w:rsid w:val="00A06BAB"/>
    <w:rsid w:val="00A11304"/>
    <w:rsid w:val="00A13790"/>
    <w:rsid w:val="00A13EEC"/>
    <w:rsid w:val="00A17DF1"/>
    <w:rsid w:val="00A27FBB"/>
    <w:rsid w:val="00A32C3B"/>
    <w:rsid w:val="00A32FF8"/>
    <w:rsid w:val="00A34BAD"/>
    <w:rsid w:val="00A41AE3"/>
    <w:rsid w:val="00A45B71"/>
    <w:rsid w:val="00A45F4F"/>
    <w:rsid w:val="00A475EF"/>
    <w:rsid w:val="00A51F7B"/>
    <w:rsid w:val="00A547F8"/>
    <w:rsid w:val="00A54EAC"/>
    <w:rsid w:val="00A5613E"/>
    <w:rsid w:val="00A600A9"/>
    <w:rsid w:val="00A66B78"/>
    <w:rsid w:val="00A8149F"/>
    <w:rsid w:val="00A823EB"/>
    <w:rsid w:val="00AA1A67"/>
    <w:rsid w:val="00AA55B7"/>
    <w:rsid w:val="00AA5B9E"/>
    <w:rsid w:val="00AB2407"/>
    <w:rsid w:val="00AB43B3"/>
    <w:rsid w:val="00AB53DF"/>
    <w:rsid w:val="00AB6ADC"/>
    <w:rsid w:val="00AC67DE"/>
    <w:rsid w:val="00AC7DEE"/>
    <w:rsid w:val="00AD0401"/>
    <w:rsid w:val="00AD2CB8"/>
    <w:rsid w:val="00AD552D"/>
    <w:rsid w:val="00AD6D76"/>
    <w:rsid w:val="00AE01C2"/>
    <w:rsid w:val="00AE21C4"/>
    <w:rsid w:val="00AE24D5"/>
    <w:rsid w:val="00AE40ED"/>
    <w:rsid w:val="00AF5507"/>
    <w:rsid w:val="00B0044E"/>
    <w:rsid w:val="00B023FF"/>
    <w:rsid w:val="00B067FE"/>
    <w:rsid w:val="00B07974"/>
    <w:rsid w:val="00B07E5C"/>
    <w:rsid w:val="00B1444F"/>
    <w:rsid w:val="00B213CA"/>
    <w:rsid w:val="00B2646D"/>
    <w:rsid w:val="00B26748"/>
    <w:rsid w:val="00B35E2B"/>
    <w:rsid w:val="00B43FC1"/>
    <w:rsid w:val="00B4634E"/>
    <w:rsid w:val="00B4706E"/>
    <w:rsid w:val="00B51B28"/>
    <w:rsid w:val="00B6792C"/>
    <w:rsid w:val="00B709FD"/>
    <w:rsid w:val="00B7146B"/>
    <w:rsid w:val="00B72DBD"/>
    <w:rsid w:val="00B73A30"/>
    <w:rsid w:val="00B76F47"/>
    <w:rsid w:val="00B810D1"/>
    <w:rsid w:val="00B811F7"/>
    <w:rsid w:val="00B8387C"/>
    <w:rsid w:val="00B86F23"/>
    <w:rsid w:val="00B905A7"/>
    <w:rsid w:val="00B90BEF"/>
    <w:rsid w:val="00B94251"/>
    <w:rsid w:val="00B959B0"/>
    <w:rsid w:val="00BA5DC6"/>
    <w:rsid w:val="00BA6196"/>
    <w:rsid w:val="00BA6E2C"/>
    <w:rsid w:val="00BB440F"/>
    <w:rsid w:val="00BC2E20"/>
    <w:rsid w:val="00BC67CB"/>
    <w:rsid w:val="00BC6D8C"/>
    <w:rsid w:val="00BC7821"/>
    <w:rsid w:val="00BD08D2"/>
    <w:rsid w:val="00BD4EBC"/>
    <w:rsid w:val="00BD5BEC"/>
    <w:rsid w:val="00BD779B"/>
    <w:rsid w:val="00BE103C"/>
    <w:rsid w:val="00BE7E75"/>
    <w:rsid w:val="00BF5002"/>
    <w:rsid w:val="00BF684A"/>
    <w:rsid w:val="00C014DA"/>
    <w:rsid w:val="00C01E1F"/>
    <w:rsid w:val="00C04651"/>
    <w:rsid w:val="00C1217F"/>
    <w:rsid w:val="00C156DE"/>
    <w:rsid w:val="00C236AC"/>
    <w:rsid w:val="00C277CC"/>
    <w:rsid w:val="00C27BF9"/>
    <w:rsid w:val="00C34006"/>
    <w:rsid w:val="00C353B8"/>
    <w:rsid w:val="00C3652C"/>
    <w:rsid w:val="00C4064C"/>
    <w:rsid w:val="00C426B1"/>
    <w:rsid w:val="00C43E4A"/>
    <w:rsid w:val="00C566EC"/>
    <w:rsid w:val="00C575BD"/>
    <w:rsid w:val="00C57F0B"/>
    <w:rsid w:val="00C6383F"/>
    <w:rsid w:val="00C66160"/>
    <w:rsid w:val="00C7140C"/>
    <w:rsid w:val="00C721AC"/>
    <w:rsid w:val="00C72CEB"/>
    <w:rsid w:val="00C841D5"/>
    <w:rsid w:val="00C907ED"/>
    <w:rsid w:val="00C90D6A"/>
    <w:rsid w:val="00CA247E"/>
    <w:rsid w:val="00CA3527"/>
    <w:rsid w:val="00CB6B99"/>
    <w:rsid w:val="00CB73E8"/>
    <w:rsid w:val="00CC0133"/>
    <w:rsid w:val="00CC10AA"/>
    <w:rsid w:val="00CC72B6"/>
    <w:rsid w:val="00CD3870"/>
    <w:rsid w:val="00CD65BF"/>
    <w:rsid w:val="00CD7DC1"/>
    <w:rsid w:val="00CE68FE"/>
    <w:rsid w:val="00CE79A0"/>
    <w:rsid w:val="00CE7D37"/>
    <w:rsid w:val="00CF0301"/>
    <w:rsid w:val="00CF1B2D"/>
    <w:rsid w:val="00D0218D"/>
    <w:rsid w:val="00D044A8"/>
    <w:rsid w:val="00D23CB5"/>
    <w:rsid w:val="00D24CB0"/>
    <w:rsid w:val="00D25FB5"/>
    <w:rsid w:val="00D341FE"/>
    <w:rsid w:val="00D44223"/>
    <w:rsid w:val="00D4452F"/>
    <w:rsid w:val="00D45A54"/>
    <w:rsid w:val="00D503BA"/>
    <w:rsid w:val="00D560CD"/>
    <w:rsid w:val="00D56A4B"/>
    <w:rsid w:val="00D612FE"/>
    <w:rsid w:val="00D627A6"/>
    <w:rsid w:val="00D63A81"/>
    <w:rsid w:val="00D65117"/>
    <w:rsid w:val="00D65355"/>
    <w:rsid w:val="00D66953"/>
    <w:rsid w:val="00D71C62"/>
    <w:rsid w:val="00D80103"/>
    <w:rsid w:val="00D83696"/>
    <w:rsid w:val="00D84F78"/>
    <w:rsid w:val="00D9021A"/>
    <w:rsid w:val="00DA1426"/>
    <w:rsid w:val="00DA176A"/>
    <w:rsid w:val="00DA2529"/>
    <w:rsid w:val="00DA2C64"/>
    <w:rsid w:val="00DB0955"/>
    <w:rsid w:val="00DB0C03"/>
    <w:rsid w:val="00DB130A"/>
    <w:rsid w:val="00DB178E"/>
    <w:rsid w:val="00DB20B5"/>
    <w:rsid w:val="00DB2EBB"/>
    <w:rsid w:val="00DC10A1"/>
    <w:rsid w:val="00DC2111"/>
    <w:rsid w:val="00DC655F"/>
    <w:rsid w:val="00DD0B59"/>
    <w:rsid w:val="00DD1F61"/>
    <w:rsid w:val="00DD4456"/>
    <w:rsid w:val="00DD7EBD"/>
    <w:rsid w:val="00DF1BE3"/>
    <w:rsid w:val="00DF2595"/>
    <w:rsid w:val="00DF578E"/>
    <w:rsid w:val="00DF5DDA"/>
    <w:rsid w:val="00DF62B6"/>
    <w:rsid w:val="00DF747E"/>
    <w:rsid w:val="00E0195B"/>
    <w:rsid w:val="00E01E06"/>
    <w:rsid w:val="00E02214"/>
    <w:rsid w:val="00E02D1D"/>
    <w:rsid w:val="00E03587"/>
    <w:rsid w:val="00E067E9"/>
    <w:rsid w:val="00E07225"/>
    <w:rsid w:val="00E1090A"/>
    <w:rsid w:val="00E109D9"/>
    <w:rsid w:val="00E1401A"/>
    <w:rsid w:val="00E20693"/>
    <w:rsid w:val="00E22653"/>
    <w:rsid w:val="00E24E9F"/>
    <w:rsid w:val="00E2644F"/>
    <w:rsid w:val="00E3009C"/>
    <w:rsid w:val="00E30D3B"/>
    <w:rsid w:val="00E32B72"/>
    <w:rsid w:val="00E40F40"/>
    <w:rsid w:val="00E43C74"/>
    <w:rsid w:val="00E4501C"/>
    <w:rsid w:val="00E46DE1"/>
    <w:rsid w:val="00E5409F"/>
    <w:rsid w:val="00E55D00"/>
    <w:rsid w:val="00E564F4"/>
    <w:rsid w:val="00E5745E"/>
    <w:rsid w:val="00E66F37"/>
    <w:rsid w:val="00E77C7E"/>
    <w:rsid w:val="00E8027E"/>
    <w:rsid w:val="00E861B3"/>
    <w:rsid w:val="00E8630A"/>
    <w:rsid w:val="00EA12C6"/>
    <w:rsid w:val="00EB20A8"/>
    <w:rsid w:val="00ED419F"/>
    <w:rsid w:val="00EE1291"/>
    <w:rsid w:val="00EE2FE0"/>
    <w:rsid w:val="00EE6488"/>
    <w:rsid w:val="00EF1B1B"/>
    <w:rsid w:val="00EF30D3"/>
    <w:rsid w:val="00EF5FE2"/>
    <w:rsid w:val="00F021FA"/>
    <w:rsid w:val="00F02B8E"/>
    <w:rsid w:val="00F071DB"/>
    <w:rsid w:val="00F14CA6"/>
    <w:rsid w:val="00F16CFE"/>
    <w:rsid w:val="00F21F87"/>
    <w:rsid w:val="00F22FBF"/>
    <w:rsid w:val="00F23B6A"/>
    <w:rsid w:val="00F26C20"/>
    <w:rsid w:val="00F3244A"/>
    <w:rsid w:val="00F325AA"/>
    <w:rsid w:val="00F32845"/>
    <w:rsid w:val="00F54C38"/>
    <w:rsid w:val="00F56A65"/>
    <w:rsid w:val="00F60217"/>
    <w:rsid w:val="00F629DB"/>
    <w:rsid w:val="00F62E97"/>
    <w:rsid w:val="00F64209"/>
    <w:rsid w:val="00F657B1"/>
    <w:rsid w:val="00F660CB"/>
    <w:rsid w:val="00F7063C"/>
    <w:rsid w:val="00F764C3"/>
    <w:rsid w:val="00F8143D"/>
    <w:rsid w:val="00F83C6A"/>
    <w:rsid w:val="00F84D86"/>
    <w:rsid w:val="00F8503B"/>
    <w:rsid w:val="00F8748A"/>
    <w:rsid w:val="00F875A1"/>
    <w:rsid w:val="00F9303F"/>
    <w:rsid w:val="00F93BF5"/>
    <w:rsid w:val="00FA5B59"/>
    <w:rsid w:val="00FB1A98"/>
    <w:rsid w:val="00FB3458"/>
    <w:rsid w:val="00FB39CB"/>
    <w:rsid w:val="00FB4615"/>
    <w:rsid w:val="00FD0E89"/>
    <w:rsid w:val="00FD0F9C"/>
    <w:rsid w:val="00FE1916"/>
    <w:rsid w:val="00FE482A"/>
    <w:rsid w:val="00FE5B2B"/>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DA1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ignature" w:uiPriority="99" w:qFormat="1"/>
    <w:lsdException w:name="Default Paragraph Font" w:uiPriority="1"/>
    <w:lsdException w:name="Body Text" w:qFormat="1"/>
    <w:lsdException w:name="Subtitle" w:uiPriority="11" w:qFormat="1"/>
    <w:lsdException w:name="Body Text 2" w:uiPriority="1" w:qFormat="1"/>
    <w:lsdException w:name="Block Text" w:uiPriority="4"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3D1"/>
    <w:pPr>
      <w:widowControl w:val="0"/>
    </w:pPr>
    <w:rPr>
      <w:snapToGrid w:val="0"/>
      <w:kern w:val="28"/>
      <w:sz w:val="22"/>
    </w:rPr>
  </w:style>
  <w:style w:type="paragraph" w:styleId="Heading1">
    <w:name w:val="heading 1"/>
    <w:basedOn w:val="Normal"/>
    <w:next w:val="ParaNum"/>
    <w:link w:val="Heading1Char"/>
    <w:uiPriority w:val="9"/>
    <w:qFormat/>
    <w:rsid w:val="006053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6053D1"/>
    <w:pPr>
      <w:keepNext/>
      <w:numPr>
        <w:ilvl w:val="1"/>
        <w:numId w:val="3"/>
      </w:numPr>
      <w:spacing w:after="120"/>
      <w:outlineLvl w:val="1"/>
    </w:pPr>
    <w:rPr>
      <w:b/>
    </w:rPr>
  </w:style>
  <w:style w:type="paragraph" w:styleId="Heading3">
    <w:name w:val="heading 3"/>
    <w:basedOn w:val="Normal"/>
    <w:next w:val="ParaNum"/>
    <w:link w:val="Heading3Char"/>
    <w:uiPriority w:val="9"/>
    <w:qFormat/>
    <w:rsid w:val="006053D1"/>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6053D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6053D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6053D1"/>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6053D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6053D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
    <w:qFormat/>
    <w:rsid w:val="006053D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0E3D42"/>
    <w:pPr>
      <w:spacing w:after="120"/>
    </w:pPr>
  </w:style>
  <w:style w:type="character" w:styleId="FootnoteReference">
    <w:name w:val="footnote reference"/>
    <w:aliases w:val="Style 4,Style 12,(NECG) Footnote Reference,Appel note de bas de p,Style 124,Style 13,o,fr,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uiPriority w:val="4"/>
    <w:qFormat/>
    <w:rsid w:val="006053D1"/>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link w:val="BulletChar"/>
    <w:qFormat/>
    <w:rsid w:val="006053D1"/>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053D1"/>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B4706E"/>
  </w:style>
  <w:style w:type="paragraph" w:customStyle="1" w:styleId="Paranum0">
    <w:name w:val="Paranum"/>
    <w:uiPriority w:val="99"/>
    <w:rsid w:val="00B4706E"/>
    <w:pPr>
      <w:numPr>
        <w:numId w:val="7"/>
      </w:numPr>
      <w:tabs>
        <w:tab w:val="left" w:pos="1440"/>
      </w:tabs>
      <w:spacing w:after="240"/>
      <w:jc w:val="both"/>
    </w:pPr>
    <w:rPr>
      <w:sz w:val="22"/>
    </w:rPr>
  </w:style>
  <w:style w:type="character" w:customStyle="1" w:styleId="ParanumChar0">
    <w:name w:val="Paranum Char"/>
    <w:uiPriority w:val="99"/>
    <w:rsid w:val="00B4706E"/>
    <w:rPr>
      <w:sz w:val="22"/>
      <w:lang w:val="en-US" w:eastAsia="en-US"/>
    </w:rPr>
  </w:style>
  <w:style w:type="character" w:customStyle="1" w:styleId="ParaNumChar">
    <w:name w:val="ParaNum Char"/>
    <w:link w:val="ParaNum"/>
    <w:locked/>
    <w:rsid w:val="00B4706E"/>
    <w:rPr>
      <w:snapToGrid w:val="0"/>
      <w:kern w:val="28"/>
      <w:sz w:val="22"/>
    </w:rPr>
  </w:style>
  <w:style w:type="character" w:customStyle="1" w:styleId="Heading1Char">
    <w:name w:val="Heading 1 Char"/>
    <w:link w:val="Heading1"/>
    <w:uiPriority w:val="9"/>
    <w:locked/>
    <w:rsid w:val="00B4706E"/>
    <w:rPr>
      <w:rFonts w:ascii="Times New Roman Bold" w:hAnsi="Times New Roman Bold"/>
      <w:b/>
      <w:caps/>
      <w:snapToGrid w:val="0"/>
      <w:kern w:val="28"/>
      <w:sz w:val="22"/>
    </w:rPr>
  </w:style>
  <w:style w:type="character" w:customStyle="1" w:styleId="HeaderChar">
    <w:name w:val="Header Char"/>
    <w:link w:val="Header"/>
    <w:rsid w:val="00B4706E"/>
    <w:rPr>
      <w:b/>
      <w:snapToGrid w:val="0"/>
      <w:kern w:val="28"/>
      <w:sz w:val="22"/>
    </w:rPr>
  </w:style>
  <w:style w:type="paragraph" w:customStyle="1" w:styleId="par1">
    <w:name w:val="par1"/>
    <w:basedOn w:val="Normal"/>
    <w:link w:val="par1Char"/>
    <w:rsid w:val="006053D1"/>
    <w:pPr>
      <w:widowControl/>
      <w:numPr>
        <w:numId w:val="12"/>
      </w:numPr>
      <w:spacing w:after="160" w:line="259" w:lineRule="auto"/>
    </w:pPr>
    <w:rPr>
      <w:rFonts w:asciiTheme="minorHAnsi" w:eastAsiaTheme="minorHAnsi" w:hAnsiTheme="minorHAnsi" w:cstheme="minorBidi"/>
      <w:kern w:val="0"/>
      <w:szCs w:val="22"/>
    </w:rPr>
  </w:style>
  <w:style w:type="paragraph" w:styleId="ListParagraph">
    <w:name w:val="List Paragraph"/>
    <w:basedOn w:val="Normal"/>
    <w:link w:val="ListParagraphChar"/>
    <w:uiPriority w:val="34"/>
    <w:unhideWhenUsed/>
    <w:qFormat/>
    <w:rsid w:val="006053D1"/>
    <w:pPr>
      <w:widowControl/>
      <w:spacing w:after="160" w:line="259" w:lineRule="auto"/>
      <w:ind w:left="720"/>
      <w:contextualSpacing/>
    </w:pPr>
    <w:rPr>
      <w:rFonts w:asciiTheme="minorHAnsi" w:eastAsiaTheme="minorHAnsi" w:hAnsiTheme="minorHAnsi" w:cstheme="minorBidi"/>
      <w:snapToGrid/>
      <w:kern w:val="0"/>
      <w:szCs w:val="22"/>
    </w:rPr>
  </w:style>
  <w:style w:type="character" w:customStyle="1" w:styleId="par1Char">
    <w:name w:val="par1 Char"/>
    <w:link w:val="par1"/>
    <w:locked/>
    <w:rsid w:val="006053D1"/>
    <w:rPr>
      <w:rFonts w:asciiTheme="minorHAnsi" w:eastAsiaTheme="minorHAnsi" w:hAnsiTheme="minorHAnsi" w:cstheme="minorBidi"/>
      <w:snapToGrid w:val="0"/>
      <w:sz w:val="22"/>
      <w:szCs w:val="22"/>
    </w:rPr>
  </w:style>
  <w:style w:type="paragraph" w:styleId="BodyText">
    <w:name w:val="Body Text"/>
    <w:basedOn w:val="Normal"/>
    <w:link w:val="BodyTextChar"/>
    <w:qFormat/>
    <w:rsid w:val="006053D1"/>
    <w:pPr>
      <w:widowControl/>
      <w:spacing w:after="240" w:line="259" w:lineRule="auto"/>
      <w:ind w:firstLine="720"/>
    </w:pPr>
    <w:rPr>
      <w:rFonts w:asciiTheme="minorHAnsi" w:eastAsiaTheme="minorHAnsi" w:hAnsiTheme="minorHAnsi" w:cstheme="minorBidi"/>
      <w:snapToGrid/>
      <w:kern w:val="0"/>
      <w:szCs w:val="22"/>
    </w:rPr>
  </w:style>
  <w:style w:type="character" w:customStyle="1" w:styleId="BodyTextChar">
    <w:name w:val="Body Text Char"/>
    <w:basedOn w:val="DefaultParagraphFont"/>
    <w:link w:val="BodyText"/>
    <w:rsid w:val="006053D1"/>
    <w:rPr>
      <w:rFonts w:asciiTheme="minorHAnsi" w:eastAsiaTheme="minorHAnsi" w:hAnsiTheme="minorHAnsi" w:cstheme="minorBidi"/>
      <w:sz w:val="22"/>
      <w:szCs w:val="22"/>
    </w:rPr>
  </w:style>
  <w:style w:type="paragraph" w:customStyle="1" w:styleId="Heading1A">
    <w:name w:val="Heading 1 A"/>
    <w:next w:val="Normal"/>
    <w:uiPriority w:val="99"/>
    <w:rsid w:val="006053D1"/>
    <w:pPr>
      <w:keepNext/>
      <w:suppressAutoHyphens/>
      <w:spacing w:after="120"/>
      <w:outlineLvl w:val="0"/>
    </w:pPr>
    <w:rPr>
      <w:rFonts w:ascii="Times New Roman Bold" w:hAnsi="Times New Roman Bold"/>
      <w:caps/>
      <w:color w:val="000000"/>
      <w:sz w:val="24"/>
    </w:rPr>
  </w:style>
  <w:style w:type="character" w:styleId="CommentReference">
    <w:name w:val="annotation reference"/>
    <w:basedOn w:val="DefaultParagraphFont"/>
    <w:rsid w:val="006053D1"/>
    <w:rPr>
      <w:sz w:val="16"/>
      <w:szCs w:val="16"/>
    </w:rPr>
  </w:style>
  <w:style w:type="paragraph" w:styleId="CommentText">
    <w:name w:val="annotation text"/>
    <w:basedOn w:val="Normal"/>
    <w:link w:val="CommentTextChar"/>
    <w:rsid w:val="006053D1"/>
    <w:pPr>
      <w:widowControl/>
      <w:spacing w:after="160" w:line="259" w:lineRule="auto"/>
    </w:pPr>
    <w:rPr>
      <w:rFonts w:asciiTheme="minorHAnsi" w:eastAsiaTheme="minorHAnsi" w:hAnsiTheme="minorHAnsi" w:cstheme="minorBidi"/>
      <w:snapToGrid/>
      <w:kern w:val="0"/>
      <w:sz w:val="20"/>
      <w:szCs w:val="22"/>
    </w:rPr>
  </w:style>
  <w:style w:type="character" w:customStyle="1" w:styleId="CommentTextChar">
    <w:name w:val="Comment Text Char"/>
    <w:basedOn w:val="DefaultParagraphFont"/>
    <w:link w:val="CommentText"/>
    <w:rsid w:val="006053D1"/>
    <w:rPr>
      <w:rFonts w:asciiTheme="minorHAnsi" w:eastAsiaTheme="minorHAnsi" w:hAnsiTheme="minorHAnsi" w:cstheme="minorBidi"/>
      <w:szCs w:val="22"/>
    </w:rPr>
  </w:style>
  <w:style w:type="paragraph" w:styleId="CommentSubject">
    <w:name w:val="annotation subject"/>
    <w:basedOn w:val="CommentText"/>
    <w:next w:val="CommentText"/>
    <w:link w:val="CommentSubjectChar"/>
    <w:rsid w:val="006053D1"/>
    <w:rPr>
      <w:b/>
      <w:bCs/>
    </w:rPr>
  </w:style>
  <w:style w:type="character" w:customStyle="1" w:styleId="CommentSubjectChar">
    <w:name w:val="Comment Subject Char"/>
    <w:basedOn w:val="CommentTextChar"/>
    <w:link w:val="CommentSubject"/>
    <w:rsid w:val="006053D1"/>
    <w:rPr>
      <w:rFonts w:asciiTheme="minorHAnsi" w:eastAsiaTheme="minorHAnsi" w:hAnsiTheme="minorHAnsi" w:cstheme="minorBidi"/>
      <w:b/>
      <w:bCs/>
      <w:szCs w:val="22"/>
    </w:rPr>
  </w:style>
  <w:style w:type="paragraph" w:styleId="BalloonText">
    <w:name w:val="Balloon Text"/>
    <w:basedOn w:val="Normal"/>
    <w:link w:val="BalloonTextChar"/>
    <w:rsid w:val="006053D1"/>
    <w:pPr>
      <w:widowControl/>
      <w:spacing w:after="160" w:line="259" w:lineRule="auto"/>
    </w:pPr>
    <w:rPr>
      <w:rFonts w:ascii="Tahoma" w:eastAsiaTheme="minorHAnsi" w:hAnsi="Tahoma" w:cs="Tahoma"/>
      <w:snapToGrid/>
      <w:kern w:val="0"/>
      <w:sz w:val="16"/>
      <w:szCs w:val="16"/>
    </w:rPr>
  </w:style>
  <w:style w:type="character" w:customStyle="1" w:styleId="BalloonTextChar">
    <w:name w:val="Balloon Text Char"/>
    <w:basedOn w:val="DefaultParagraphFont"/>
    <w:link w:val="BalloonText"/>
    <w:rsid w:val="006053D1"/>
    <w:rPr>
      <w:rFonts w:ascii="Tahoma" w:eastAsiaTheme="minorHAnsi" w:hAnsi="Tahoma" w:cs="Tahoma"/>
      <w:sz w:val="16"/>
      <w:szCs w:val="16"/>
    </w:rPr>
  </w:style>
  <w:style w:type="character" w:customStyle="1" w:styleId="FooterChar">
    <w:name w:val="Footer Char"/>
    <w:basedOn w:val="DefaultParagraphFont"/>
    <w:link w:val="Footer"/>
    <w:rsid w:val="006053D1"/>
    <w:rPr>
      <w:snapToGrid w:val="0"/>
      <w:kern w:val="28"/>
      <w:sz w:val="22"/>
    </w:rPr>
  </w:style>
  <w:style w:type="paragraph" w:styleId="Revision">
    <w:name w:val="Revision"/>
    <w:hidden/>
    <w:uiPriority w:val="99"/>
    <w:semiHidden/>
    <w:rsid w:val="006053D1"/>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6053D1"/>
    <w:rPr>
      <w:noProof w:val="0"/>
      <w:lang w:val="en-US" w:eastAsia="en-US" w:bidi="ar-SA"/>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6053D1"/>
    <w:rPr>
      <w:sz w:val="24"/>
      <w:lang w:val="en-US" w:eastAsia="en-US"/>
    </w:rPr>
  </w:style>
  <w:style w:type="character" w:customStyle="1" w:styleId="BulletChar">
    <w:name w:val="Bullet Char"/>
    <w:basedOn w:val="ListParagraphChar"/>
    <w:link w:val="Bullet"/>
    <w:rsid w:val="006053D1"/>
    <w:rPr>
      <w:rFonts w:asciiTheme="minorHAnsi" w:eastAsiaTheme="minorHAnsi" w:hAnsiTheme="minorHAnsi" w:cstheme="minorBidi"/>
      <w:snapToGrid w:val="0"/>
      <w:kern w:val="28"/>
      <w:sz w:val="22"/>
      <w:szCs w:val="22"/>
    </w:rPr>
  </w:style>
  <w:style w:type="paragraph" w:customStyle="1" w:styleId="ListNumbering">
    <w:name w:val="List Numbering"/>
    <w:basedOn w:val="Normal"/>
    <w:qFormat/>
    <w:rsid w:val="006053D1"/>
    <w:pPr>
      <w:widowControl/>
      <w:numPr>
        <w:numId w:val="19"/>
      </w:numPr>
      <w:spacing w:after="240" w:line="259" w:lineRule="auto"/>
    </w:pPr>
    <w:rPr>
      <w:rFonts w:asciiTheme="minorHAnsi" w:hAnsiTheme="minorHAnsi"/>
      <w:snapToGrid/>
      <w:kern w:val="0"/>
    </w:rPr>
  </w:style>
  <w:style w:type="paragraph" w:styleId="BodyText2">
    <w:name w:val="Body Text 2"/>
    <w:basedOn w:val="Normal"/>
    <w:link w:val="BodyText2Char"/>
    <w:uiPriority w:val="1"/>
    <w:qFormat/>
    <w:rsid w:val="006053D1"/>
    <w:pPr>
      <w:widowControl/>
      <w:spacing w:after="160" w:line="480" w:lineRule="auto"/>
      <w:ind w:firstLine="720"/>
    </w:pPr>
    <w:rPr>
      <w:rFonts w:asciiTheme="minorHAnsi" w:eastAsiaTheme="minorHAnsi" w:hAnsiTheme="minorHAnsi" w:cstheme="minorBidi"/>
      <w:snapToGrid/>
      <w:kern w:val="0"/>
      <w:szCs w:val="22"/>
    </w:rPr>
  </w:style>
  <w:style w:type="character" w:customStyle="1" w:styleId="BodyText2Char">
    <w:name w:val="Body Text 2 Char"/>
    <w:basedOn w:val="DefaultParagraphFont"/>
    <w:link w:val="BodyText2"/>
    <w:uiPriority w:val="1"/>
    <w:rsid w:val="006053D1"/>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6053D1"/>
    <w:rPr>
      <w:b/>
      <w:snapToGrid w:val="0"/>
      <w:kern w:val="28"/>
      <w:sz w:val="22"/>
    </w:rPr>
  </w:style>
  <w:style w:type="character" w:customStyle="1" w:styleId="Heading3Char">
    <w:name w:val="Heading 3 Char"/>
    <w:basedOn w:val="DefaultParagraphFont"/>
    <w:link w:val="Heading3"/>
    <w:uiPriority w:val="9"/>
    <w:rsid w:val="006053D1"/>
    <w:rPr>
      <w:b/>
      <w:snapToGrid w:val="0"/>
      <w:kern w:val="28"/>
      <w:sz w:val="22"/>
    </w:rPr>
  </w:style>
  <w:style w:type="character" w:customStyle="1" w:styleId="Heading4Char">
    <w:name w:val="Heading 4 Char"/>
    <w:basedOn w:val="DefaultParagraphFont"/>
    <w:link w:val="Heading4"/>
    <w:uiPriority w:val="9"/>
    <w:rsid w:val="006053D1"/>
    <w:rPr>
      <w:b/>
      <w:snapToGrid w:val="0"/>
      <w:kern w:val="28"/>
      <w:sz w:val="22"/>
    </w:rPr>
  </w:style>
  <w:style w:type="character" w:customStyle="1" w:styleId="Heading5Char">
    <w:name w:val="Heading 5 Char"/>
    <w:basedOn w:val="DefaultParagraphFont"/>
    <w:link w:val="Heading5"/>
    <w:uiPriority w:val="9"/>
    <w:rsid w:val="006053D1"/>
    <w:rPr>
      <w:b/>
      <w:snapToGrid w:val="0"/>
      <w:kern w:val="28"/>
      <w:sz w:val="22"/>
    </w:rPr>
  </w:style>
  <w:style w:type="character" w:customStyle="1" w:styleId="Heading6Char">
    <w:name w:val="Heading 6 Char"/>
    <w:basedOn w:val="DefaultParagraphFont"/>
    <w:link w:val="Heading6"/>
    <w:uiPriority w:val="9"/>
    <w:rsid w:val="006053D1"/>
    <w:rPr>
      <w:b/>
      <w:snapToGrid w:val="0"/>
      <w:kern w:val="28"/>
      <w:sz w:val="22"/>
    </w:rPr>
  </w:style>
  <w:style w:type="character" w:customStyle="1" w:styleId="Heading7Char">
    <w:name w:val="Heading 7 Char"/>
    <w:basedOn w:val="DefaultParagraphFont"/>
    <w:link w:val="Heading7"/>
    <w:uiPriority w:val="9"/>
    <w:rsid w:val="006053D1"/>
    <w:rPr>
      <w:b/>
      <w:snapToGrid w:val="0"/>
      <w:kern w:val="28"/>
      <w:sz w:val="22"/>
    </w:rPr>
  </w:style>
  <w:style w:type="character" w:customStyle="1" w:styleId="Heading8Char">
    <w:name w:val="Heading 8 Char"/>
    <w:basedOn w:val="DefaultParagraphFont"/>
    <w:link w:val="Heading8"/>
    <w:uiPriority w:val="9"/>
    <w:rsid w:val="006053D1"/>
    <w:rPr>
      <w:b/>
      <w:snapToGrid w:val="0"/>
      <w:kern w:val="28"/>
      <w:sz w:val="22"/>
    </w:rPr>
  </w:style>
  <w:style w:type="character" w:customStyle="1" w:styleId="Heading9Char">
    <w:name w:val="Heading 9 Char"/>
    <w:basedOn w:val="DefaultParagraphFont"/>
    <w:link w:val="Heading9"/>
    <w:uiPriority w:val="9"/>
    <w:rsid w:val="006053D1"/>
    <w:rPr>
      <w:b/>
      <w:snapToGrid w:val="0"/>
      <w:kern w:val="28"/>
      <w:sz w:val="22"/>
    </w:rPr>
  </w:style>
  <w:style w:type="paragraph" w:styleId="Caption">
    <w:name w:val="caption"/>
    <w:basedOn w:val="Normal"/>
    <w:next w:val="Normal"/>
    <w:uiPriority w:val="35"/>
    <w:semiHidden/>
    <w:unhideWhenUsed/>
    <w:qFormat/>
    <w:rsid w:val="006053D1"/>
    <w:pPr>
      <w:widowControl/>
      <w:spacing w:after="160" w:line="259" w:lineRule="auto"/>
    </w:pPr>
    <w:rPr>
      <w:rFonts w:asciiTheme="minorHAnsi" w:eastAsiaTheme="minorHAnsi" w:hAnsiTheme="minorHAnsi" w:cstheme="minorBidi"/>
      <w:b/>
      <w:bCs/>
      <w:snapToGrid/>
      <w:kern w:val="0"/>
      <w:szCs w:val="18"/>
    </w:rPr>
  </w:style>
  <w:style w:type="paragraph" w:styleId="Title">
    <w:name w:val="Title"/>
    <w:basedOn w:val="Normal"/>
    <w:next w:val="BodyText"/>
    <w:link w:val="TitleChar"/>
    <w:uiPriority w:val="10"/>
    <w:qFormat/>
    <w:rsid w:val="006053D1"/>
    <w:pPr>
      <w:keepNext/>
      <w:widowControl/>
      <w:spacing w:after="360" w:line="259" w:lineRule="auto"/>
      <w:ind w:left="1440" w:right="1440"/>
      <w:jc w:val="center"/>
    </w:pPr>
    <w:rPr>
      <w:rFonts w:asciiTheme="minorHAnsi" w:eastAsiaTheme="majorEastAsia" w:hAnsiTheme="minorHAnsi" w:cstheme="majorBidi"/>
      <w:snapToGrid/>
      <w:kern w:val="0"/>
      <w:szCs w:val="52"/>
      <w:u w:val="single"/>
    </w:rPr>
  </w:style>
  <w:style w:type="character" w:customStyle="1" w:styleId="TitleChar">
    <w:name w:val="Title Char"/>
    <w:basedOn w:val="DefaultParagraphFont"/>
    <w:link w:val="Title"/>
    <w:uiPriority w:val="10"/>
    <w:rsid w:val="006053D1"/>
    <w:rPr>
      <w:rFonts w:asciiTheme="minorHAnsi" w:eastAsiaTheme="majorEastAsia" w:hAnsiTheme="minorHAnsi" w:cstheme="majorBidi"/>
      <w:sz w:val="22"/>
      <w:szCs w:val="52"/>
      <w:u w:val="single"/>
    </w:rPr>
  </w:style>
  <w:style w:type="paragraph" w:styleId="Signature">
    <w:name w:val="Signature"/>
    <w:basedOn w:val="Normal"/>
    <w:link w:val="SignatureChar"/>
    <w:uiPriority w:val="99"/>
    <w:qFormat/>
    <w:rsid w:val="006053D1"/>
    <w:pPr>
      <w:widowControl/>
      <w:spacing w:after="160" w:line="259" w:lineRule="auto"/>
      <w:ind w:left="4320"/>
    </w:pPr>
    <w:rPr>
      <w:rFonts w:asciiTheme="minorHAnsi" w:eastAsiaTheme="minorHAnsi" w:hAnsiTheme="minorHAnsi" w:cstheme="minorBidi"/>
      <w:snapToGrid/>
      <w:kern w:val="0"/>
      <w:szCs w:val="22"/>
    </w:rPr>
  </w:style>
  <w:style w:type="character" w:customStyle="1" w:styleId="SignatureChar">
    <w:name w:val="Signature Char"/>
    <w:basedOn w:val="DefaultParagraphFont"/>
    <w:link w:val="Signature"/>
    <w:uiPriority w:val="99"/>
    <w:rsid w:val="006053D1"/>
    <w:rPr>
      <w:rFonts w:asciiTheme="minorHAnsi" w:eastAsiaTheme="minorHAnsi" w:hAnsiTheme="minorHAnsi" w:cstheme="minorBidi"/>
      <w:sz w:val="22"/>
      <w:szCs w:val="22"/>
    </w:rPr>
  </w:style>
  <w:style w:type="paragraph" w:styleId="Subtitle">
    <w:name w:val="Subtitle"/>
    <w:basedOn w:val="Normal"/>
    <w:next w:val="BodyText"/>
    <w:link w:val="SubtitleChar"/>
    <w:uiPriority w:val="11"/>
    <w:qFormat/>
    <w:rsid w:val="006053D1"/>
    <w:pPr>
      <w:keepNext/>
      <w:widowControl/>
      <w:numPr>
        <w:ilvl w:val="1"/>
      </w:numPr>
      <w:spacing w:after="240" w:line="259" w:lineRule="auto"/>
      <w:ind w:left="1440" w:right="1440"/>
      <w:jc w:val="center"/>
    </w:pPr>
    <w:rPr>
      <w:rFonts w:asciiTheme="minorHAnsi" w:eastAsiaTheme="majorEastAsia" w:hAnsiTheme="minorHAnsi" w:cstheme="majorBidi"/>
      <w:i/>
      <w:iCs/>
      <w:snapToGrid/>
      <w:kern w:val="0"/>
      <w:szCs w:val="24"/>
    </w:rPr>
  </w:style>
  <w:style w:type="character" w:customStyle="1" w:styleId="SubtitleChar">
    <w:name w:val="Subtitle Char"/>
    <w:basedOn w:val="DefaultParagraphFont"/>
    <w:link w:val="Subtitle"/>
    <w:uiPriority w:val="11"/>
    <w:rsid w:val="006053D1"/>
    <w:rPr>
      <w:rFonts w:asciiTheme="minorHAnsi" w:eastAsiaTheme="majorEastAsia" w:hAnsiTheme="minorHAnsi" w:cstheme="majorBidi"/>
      <w:i/>
      <w:iCs/>
      <w:sz w:val="22"/>
      <w:szCs w:val="24"/>
    </w:rPr>
  </w:style>
  <w:style w:type="paragraph" w:styleId="NoSpacing">
    <w:name w:val="No Spacing"/>
    <w:aliases w:val="LeftAlign"/>
    <w:uiPriority w:val="1"/>
    <w:qFormat/>
    <w:rsid w:val="006053D1"/>
    <w:pPr>
      <w:spacing w:after="240"/>
    </w:pPr>
    <w:rPr>
      <w:rFonts w:eastAsiaTheme="minorHAnsi" w:cstheme="minorBidi"/>
      <w:sz w:val="24"/>
      <w:szCs w:val="22"/>
    </w:rPr>
  </w:style>
  <w:style w:type="character" w:customStyle="1" w:styleId="ListParagraphChar">
    <w:name w:val="List Paragraph Char"/>
    <w:basedOn w:val="DefaultParagraphFont"/>
    <w:link w:val="ListParagraph"/>
    <w:uiPriority w:val="34"/>
    <w:rsid w:val="006053D1"/>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053D1"/>
    <w:pPr>
      <w:widowControl/>
      <w:spacing w:after="160" w:line="259" w:lineRule="auto"/>
      <w:ind w:left="1440" w:right="1440"/>
      <w:jc w:val="both"/>
    </w:pPr>
    <w:rPr>
      <w:rFonts w:asciiTheme="minorHAnsi" w:eastAsiaTheme="minorHAnsi" w:hAnsiTheme="minorHAnsi" w:cstheme="minorBidi"/>
      <w:iCs/>
      <w:snapToGrid/>
      <w:kern w:val="0"/>
      <w:szCs w:val="22"/>
    </w:rPr>
  </w:style>
  <w:style w:type="character" w:customStyle="1" w:styleId="QuoteChar">
    <w:name w:val="Quote Char"/>
    <w:basedOn w:val="DefaultParagraphFont"/>
    <w:link w:val="Quote"/>
    <w:uiPriority w:val="29"/>
    <w:rsid w:val="006053D1"/>
    <w:rPr>
      <w:rFonts w:asciiTheme="minorHAnsi" w:eastAsiaTheme="minorHAnsi" w:hAnsiTheme="minorHAnsi" w:cstheme="minorBidi"/>
      <w:iCs/>
      <w:sz w:val="22"/>
      <w:szCs w:val="22"/>
    </w:rPr>
  </w:style>
  <w:style w:type="paragraph" w:styleId="IntenseQuote">
    <w:name w:val="Intense Quote"/>
    <w:basedOn w:val="Normal"/>
    <w:next w:val="Normal"/>
    <w:link w:val="IntenseQuoteChar"/>
    <w:uiPriority w:val="30"/>
    <w:qFormat/>
    <w:rsid w:val="006053D1"/>
    <w:pPr>
      <w:widowControl/>
      <w:spacing w:before="200" w:after="280" w:line="259" w:lineRule="auto"/>
      <w:ind w:left="936" w:right="936"/>
    </w:pPr>
    <w:rPr>
      <w:rFonts w:asciiTheme="minorHAnsi" w:eastAsiaTheme="minorHAnsi" w:hAnsiTheme="minorHAnsi" w:cstheme="minorBidi"/>
      <w:b/>
      <w:bCs/>
      <w:i/>
      <w:iCs/>
      <w:snapToGrid/>
      <w:kern w:val="0"/>
      <w:szCs w:val="22"/>
    </w:rPr>
  </w:style>
  <w:style w:type="character" w:customStyle="1" w:styleId="IntenseQuoteChar">
    <w:name w:val="Intense Quote Char"/>
    <w:basedOn w:val="DefaultParagraphFont"/>
    <w:link w:val="IntenseQuote"/>
    <w:uiPriority w:val="30"/>
    <w:rsid w:val="006053D1"/>
    <w:rPr>
      <w:rFonts w:asciiTheme="minorHAnsi" w:eastAsiaTheme="minorHAnsi" w:hAnsiTheme="minorHAnsi" w:cstheme="minorBidi"/>
      <w:b/>
      <w:bCs/>
      <w:i/>
      <w:iCs/>
      <w:sz w:val="22"/>
      <w:szCs w:val="22"/>
    </w:rPr>
  </w:style>
  <w:style w:type="character" w:styleId="SubtleEmphasis">
    <w:name w:val="Subtle Emphasis"/>
    <w:basedOn w:val="DefaultParagraphFont"/>
    <w:uiPriority w:val="19"/>
    <w:qFormat/>
    <w:rsid w:val="006053D1"/>
    <w:rPr>
      <w:i/>
      <w:iCs/>
      <w:color w:val="auto"/>
    </w:rPr>
  </w:style>
  <w:style w:type="character" w:styleId="IntenseEmphasis">
    <w:name w:val="Intense Emphasis"/>
    <w:basedOn w:val="DefaultParagraphFont"/>
    <w:uiPriority w:val="21"/>
    <w:qFormat/>
    <w:rsid w:val="006053D1"/>
    <w:rPr>
      <w:b/>
      <w:bCs/>
      <w:i/>
      <w:iCs/>
      <w:color w:val="auto"/>
    </w:rPr>
  </w:style>
  <w:style w:type="character" w:styleId="SubtleReference">
    <w:name w:val="Subtle Reference"/>
    <w:basedOn w:val="DefaultParagraphFont"/>
    <w:uiPriority w:val="31"/>
    <w:qFormat/>
    <w:rsid w:val="006053D1"/>
    <w:rPr>
      <w:smallCaps/>
      <w:color w:val="auto"/>
      <w:u w:val="single"/>
    </w:rPr>
  </w:style>
  <w:style w:type="character" w:styleId="IntenseReference">
    <w:name w:val="Intense Reference"/>
    <w:basedOn w:val="DefaultParagraphFont"/>
    <w:uiPriority w:val="32"/>
    <w:qFormat/>
    <w:rsid w:val="006053D1"/>
    <w:rPr>
      <w:b/>
      <w:bCs/>
      <w:smallCaps/>
      <w:color w:val="auto"/>
      <w:spacing w:val="5"/>
      <w:u w:val="single"/>
    </w:rPr>
  </w:style>
  <w:style w:type="character" w:styleId="BookTitle">
    <w:name w:val="Book Title"/>
    <w:basedOn w:val="DefaultParagraphFont"/>
    <w:uiPriority w:val="33"/>
    <w:qFormat/>
    <w:rsid w:val="006053D1"/>
    <w:rPr>
      <w:b/>
      <w:bCs/>
      <w:smallCaps/>
      <w:spacing w:val="0"/>
    </w:rPr>
  </w:style>
  <w:style w:type="paragraph" w:styleId="TOCHeading">
    <w:name w:val="TOC Heading"/>
    <w:basedOn w:val="Heading1"/>
    <w:next w:val="Normal"/>
    <w:uiPriority w:val="39"/>
    <w:semiHidden/>
    <w:unhideWhenUsed/>
    <w:qFormat/>
    <w:rsid w:val="006053D1"/>
    <w:pPr>
      <w:widowControl/>
      <w:numPr>
        <w:numId w:val="0"/>
      </w:numPr>
      <w:tabs>
        <w:tab w:val="left" w:pos="720"/>
      </w:tabs>
      <w:suppressAutoHyphens w:val="0"/>
      <w:spacing w:after="240" w:line="259" w:lineRule="auto"/>
      <w:outlineLvl w:val="9"/>
    </w:pPr>
    <w:rPr>
      <w:rFonts w:ascii="Times New Roman" w:eastAsiaTheme="majorEastAsia" w:hAnsi="Times New Roman" w:cstheme="majorBidi"/>
      <w:bCs/>
      <w:snapToGrid/>
      <w:kern w:val="0"/>
      <w:szCs w:val="28"/>
    </w:rPr>
  </w:style>
  <w:style w:type="character" w:styleId="Strong">
    <w:name w:val="Strong"/>
    <w:basedOn w:val="DefaultParagraphFont"/>
    <w:uiPriority w:val="22"/>
    <w:qFormat/>
    <w:rsid w:val="006053D1"/>
    <w:rPr>
      <w:b/>
      <w:bCs/>
    </w:rPr>
  </w:style>
  <w:style w:type="character" w:styleId="Emphasis">
    <w:name w:val="Emphasis"/>
    <w:basedOn w:val="DefaultParagraphFont"/>
    <w:uiPriority w:val="20"/>
    <w:qFormat/>
    <w:rsid w:val="006053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ignature" w:uiPriority="99" w:qFormat="1"/>
    <w:lsdException w:name="Default Paragraph Font" w:uiPriority="1"/>
    <w:lsdException w:name="Body Text" w:qFormat="1"/>
    <w:lsdException w:name="Subtitle" w:uiPriority="11" w:qFormat="1"/>
    <w:lsdException w:name="Body Text 2" w:uiPriority="1" w:qFormat="1"/>
    <w:lsdException w:name="Block Text" w:uiPriority="4"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3D1"/>
    <w:pPr>
      <w:widowControl w:val="0"/>
    </w:pPr>
    <w:rPr>
      <w:snapToGrid w:val="0"/>
      <w:kern w:val="28"/>
      <w:sz w:val="22"/>
    </w:rPr>
  </w:style>
  <w:style w:type="paragraph" w:styleId="Heading1">
    <w:name w:val="heading 1"/>
    <w:basedOn w:val="Normal"/>
    <w:next w:val="ParaNum"/>
    <w:link w:val="Heading1Char"/>
    <w:uiPriority w:val="9"/>
    <w:qFormat/>
    <w:rsid w:val="006053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6053D1"/>
    <w:pPr>
      <w:keepNext/>
      <w:numPr>
        <w:ilvl w:val="1"/>
        <w:numId w:val="3"/>
      </w:numPr>
      <w:spacing w:after="120"/>
      <w:outlineLvl w:val="1"/>
    </w:pPr>
    <w:rPr>
      <w:b/>
    </w:rPr>
  </w:style>
  <w:style w:type="paragraph" w:styleId="Heading3">
    <w:name w:val="heading 3"/>
    <w:basedOn w:val="Normal"/>
    <w:next w:val="ParaNum"/>
    <w:link w:val="Heading3Char"/>
    <w:uiPriority w:val="9"/>
    <w:qFormat/>
    <w:rsid w:val="006053D1"/>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6053D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6053D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6053D1"/>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6053D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6053D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
    <w:qFormat/>
    <w:rsid w:val="006053D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0E3D42"/>
    <w:pPr>
      <w:spacing w:after="120"/>
    </w:pPr>
  </w:style>
  <w:style w:type="character" w:styleId="FootnoteReference">
    <w:name w:val="footnote reference"/>
    <w:aliases w:val="Style 4,Style 12,(NECG) Footnote Reference,Appel note de bas de p,Style 124,Style 13,o,fr,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uiPriority w:val="4"/>
    <w:qFormat/>
    <w:rsid w:val="006053D1"/>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link w:val="BulletChar"/>
    <w:qFormat/>
    <w:rsid w:val="006053D1"/>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053D1"/>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B4706E"/>
  </w:style>
  <w:style w:type="paragraph" w:customStyle="1" w:styleId="Paranum0">
    <w:name w:val="Paranum"/>
    <w:uiPriority w:val="99"/>
    <w:rsid w:val="00B4706E"/>
    <w:pPr>
      <w:numPr>
        <w:numId w:val="7"/>
      </w:numPr>
      <w:tabs>
        <w:tab w:val="left" w:pos="1440"/>
      </w:tabs>
      <w:spacing w:after="240"/>
      <w:jc w:val="both"/>
    </w:pPr>
    <w:rPr>
      <w:sz w:val="22"/>
    </w:rPr>
  </w:style>
  <w:style w:type="character" w:customStyle="1" w:styleId="ParanumChar0">
    <w:name w:val="Paranum Char"/>
    <w:uiPriority w:val="99"/>
    <w:rsid w:val="00B4706E"/>
    <w:rPr>
      <w:sz w:val="22"/>
      <w:lang w:val="en-US" w:eastAsia="en-US"/>
    </w:rPr>
  </w:style>
  <w:style w:type="character" w:customStyle="1" w:styleId="ParaNumChar">
    <w:name w:val="ParaNum Char"/>
    <w:link w:val="ParaNum"/>
    <w:locked/>
    <w:rsid w:val="00B4706E"/>
    <w:rPr>
      <w:snapToGrid w:val="0"/>
      <w:kern w:val="28"/>
      <w:sz w:val="22"/>
    </w:rPr>
  </w:style>
  <w:style w:type="character" w:customStyle="1" w:styleId="Heading1Char">
    <w:name w:val="Heading 1 Char"/>
    <w:link w:val="Heading1"/>
    <w:uiPriority w:val="9"/>
    <w:locked/>
    <w:rsid w:val="00B4706E"/>
    <w:rPr>
      <w:rFonts w:ascii="Times New Roman Bold" w:hAnsi="Times New Roman Bold"/>
      <w:b/>
      <w:caps/>
      <w:snapToGrid w:val="0"/>
      <w:kern w:val="28"/>
      <w:sz w:val="22"/>
    </w:rPr>
  </w:style>
  <w:style w:type="character" w:customStyle="1" w:styleId="HeaderChar">
    <w:name w:val="Header Char"/>
    <w:link w:val="Header"/>
    <w:rsid w:val="00B4706E"/>
    <w:rPr>
      <w:b/>
      <w:snapToGrid w:val="0"/>
      <w:kern w:val="28"/>
      <w:sz w:val="22"/>
    </w:rPr>
  </w:style>
  <w:style w:type="paragraph" w:customStyle="1" w:styleId="par1">
    <w:name w:val="par1"/>
    <w:basedOn w:val="Normal"/>
    <w:link w:val="par1Char"/>
    <w:rsid w:val="006053D1"/>
    <w:pPr>
      <w:widowControl/>
      <w:numPr>
        <w:numId w:val="12"/>
      </w:numPr>
      <w:spacing w:after="160" w:line="259" w:lineRule="auto"/>
    </w:pPr>
    <w:rPr>
      <w:rFonts w:asciiTheme="minorHAnsi" w:eastAsiaTheme="minorHAnsi" w:hAnsiTheme="minorHAnsi" w:cstheme="minorBidi"/>
      <w:kern w:val="0"/>
      <w:szCs w:val="22"/>
    </w:rPr>
  </w:style>
  <w:style w:type="paragraph" w:styleId="ListParagraph">
    <w:name w:val="List Paragraph"/>
    <w:basedOn w:val="Normal"/>
    <w:link w:val="ListParagraphChar"/>
    <w:uiPriority w:val="34"/>
    <w:unhideWhenUsed/>
    <w:qFormat/>
    <w:rsid w:val="006053D1"/>
    <w:pPr>
      <w:widowControl/>
      <w:spacing w:after="160" w:line="259" w:lineRule="auto"/>
      <w:ind w:left="720"/>
      <w:contextualSpacing/>
    </w:pPr>
    <w:rPr>
      <w:rFonts w:asciiTheme="minorHAnsi" w:eastAsiaTheme="minorHAnsi" w:hAnsiTheme="minorHAnsi" w:cstheme="minorBidi"/>
      <w:snapToGrid/>
      <w:kern w:val="0"/>
      <w:szCs w:val="22"/>
    </w:rPr>
  </w:style>
  <w:style w:type="character" w:customStyle="1" w:styleId="par1Char">
    <w:name w:val="par1 Char"/>
    <w:link w:val="par1"/>
    <w:locked/>
    <w:rsid w:val="006053D1"/>
    <w:rPr>
      <w:rFonts w:asciiTheme="minorHAnsi" w:eastAsiaTheme="minorHAnsi" w:hAnsiTheme="minorHAnsi" w:cstheme="minorBidi"/>
      <w:snapToGrid w:val="0"/>
      <w:sz w:val="22"/>
      <w:szCs w:val="22"/>
    </w:rPr>
  </w:style>
  <w:style w:type="paragraph" w:styleId="BodyText">
    <w:name w:val="Body Text"/>
    <w:basedOn w:val="Normal"/>
    <w:link w:val="BodyTextChar"/>
    <w:qFormat/>
    <w:rsid w:val="006053D1"/>
    <w:pPr>
      <w:widowControl/>
      <w:spacing w:after="240" w:line="259" w:lineRule="auto"/>
      <w:ind w:firstLine="720"/>
    </w:pPr>
    <w:rPr>
      <w:rFonts w:asciiTheme="minorHAnsi" w:eastAsiaTheme="minorHAnsi" w:hAnsiTheme="minorHAnsi" w:cstheme="minorBidi"/>
      <w:snapToGrid/>
      <w:kern w:val="0"/>
      <w:szCs w:val="22"/>
    </w:rPr>
  </w:style>
  <w:style w:type="character" w:customStyle="1" w:styleId="BodyTextChar">
    <w:name w:val="Body Text Char"/>
    <w:basedOn w:val="DefaultParagraphFont"/>
    <w:link w:val="BodyText"/>
    <w:rsid w:val="006053D1"/>
    <w:rPr>
      <w:rFonts w:asciiTheme="minorHAnsi" w:eastAsiaTheme="minorHAnsi" w:hAnsiTheme="minorHAnsi" w:cstheme="minorBidi"/>
      <w:sz w:val="22"/>
      <w:szCs w:val="22"/>
    </w:rPr>
  </w:style>
  <w:style w:type="paragraph" w:customStyle="1" w:styleId="Heading1A">
    <w:name w:val="Heading 1 A"/>
    <w:next w:val="Normal"/>
    <w:uiPriority w:val="99"/>
    <w:rsid w:val="006053D1"/>
    <w:pPr>
      <w:keepNext/>
      <w:suppressAutoHyphens/>
      <w:spacing w:after="120"/>
      <w:outlineLvl w:val="0"/>
    </w:pPr>
    <w:rPr>
      <w:rFonts w:ascii="Times New Roman Bold" w:hAnsi="Times New Roman Bold"/>
      <w:caps/>
      <w:color w:val="000000"/>
      <w:sz w:val="24"/>
    </w:rPr>
  </w:style>
  <w:style w:type="character" w:styleId="CommentReference">
    <w:name w:val="annotation reference"/>
    <w:basedOn w:val="DefaultParagraphFont"/>
    <w:rsid w:val="006053D1"/>
    <w:rPr>
      <w:sz w:val="16"/>
      <w:szCs w:val="16"/>
    </w:rPr>
  </w:style>
  <w:style w:type="paragraph" w:styleId="CommentText">
    <w:name w:val="annotation text"/>
    <w:basedOn w:val="Normal"/>
    <w:link w:val="CommentTextChar"/>
    <w:rsid w:val="006053D1"/>
    <w:pPr>
      <w:widowControl/>
      <w:spacing w:after="160" w:line="259" w:lineRule="auto"/>
    </w:pPr>
    <w:rPr>
      <w:rFonts w:asciiTheme="minorHAnsi" w:eastAsiaTheme="minorHAnsi" w:hAnsiTheme="minorHAnsi" w:cstheme="minorBidi"/>
      <w:snapToGrid/>
      <w:kern w:val="0"/>
      <w:sz w:val="20"/>
      <w:szCs w:val="22"/>
    </w:rPr>
  </w:style>
  <w:style w:type="character" w:customStyle="1" w:styleId="CommentTextChar">
    <w:name w:val="Comment Text Char"/>
    <w:basedOn w:val="DefaultParagraphFont"/>
    <w:link w:val="CommentText"/>
    <w:rsid w:val="006053D1"/>
    <w:rPr>
      <w:rFonts w:asciiTheme="minorHAnsi" w:eastAsiaTheme="minorHAnsi" w:hAnsiTheme="minorHAnsi" w:cstheme="minorBidi"/>
      <w:szCs w:val="22"/>
    </w:rPr>
  </w:style>
  <w:style w:type="paragraph" w:styleId="CommentSubject">
    <w:name w:val="annotation subject"/>
    <w:basedOn w:val="CommentText"/>
    <w:next w:val="CommentText"/>
    <w:link w:val="CommentSubjectChar"/>
    <w:rsid w:val="006053D1"/>
    <w:rPr>
      <w:b/>
      <w:bCs/>
    </w:rPr>
  </w:style>
  <w:style w:type="character" w:customStyle="1" w:styleId="CommentSubjectChar">
    <w:name w:val="Comment Subject Char"/>
    <w:basedOn w:val="CommentTextChar"/>
    <w:link w:val="CommentSubject"/>
    <w:rsid w:val="006053D1"/>
    <w:rPr>
      <w:rFonts w:asciiTheme="minorHAnsi" w:eastAsiaTheme="minorHAnsi" w:hAnsiTheme="minorHAnsi" w:cstheme="minorBidi"/>
      <w:b/>
      <w:bCs/>
      <w:szCs w:val="22"/>
    </w:rPr>
  </w:style>
  <w:style w:type="paragraph" w:styleId="BalloonText">
    <w:name w:val="Balloon Text"/>
    <w:basedOn w:val="Normal"/>
    <w:link w:val="BalloonTextChar"/>
    <w:rsid w:val="006053D1"/>
    <w:pPr>
      <w:widowControl/>
      <w:spacing w:after="160" w:line="259" w:lineRule="auto"/>
    </w:pPr>
    <w:rPr>
      <w:rFonts w:ascii="Tahoma" w:eastAsiaTheme="minorHAnsi" w:hAnsi="Tahoma" w:cs="Tahoma"/>
      <w:snapToGrid/>
      <w:kern w:val="0"/>
      <w:sz w:val="16"/>
      <w:szCs w:val="16"/>
    </w:rPr>
  </w:style>
  <w:style w:type="character" w:customStyle="1" w:styleId="BalloonTextChar">
    <w:name w:val="Balloon Text Char"/>
    <w:basedOn w:val="DefaultParagraphFont"/>
    <w:link w:val="BalloonText"/>
    <w:rsid w:val="006053D1"/>
    <w:rPr>
      <w:rFonts w:ascii="Tahoma" w:eastAsiaTheme="minorHAnsi" w:hAnsi="Tahoma" w:cs="Tahoma"/>
      <w:sz w:val="16"/>
      <w:szCs w:val="16"/>
    </w:rPr>
  </w:style>
  <w:style w:type="character" w:customStyle="1" w:styleId="FooterChar">
    <w:name w:val="Footer Char"/>
    <w:basedOn w:val="DefaultParagraphFont"/>
    <w:link w:val="Footer"/>
    <w:rsid w:val="006053D1"/>
    <w:rPr>
      <w:snapToGrid w:val="0"/>
      <w:kern w:val="28"/>
      <w:sz w:val="22"/>
    </w:rPr>
  </w:style>
  <w:style w:type="paragraph" w:styleId="Revision">
    <w:name w:val="Revision"/>
    <w:hidden/>
    <w:uiPriority w:val="99"/>
    <w:semiHidden/>
    <w:rsid w:val="006053D1"/>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6053D1"/>
    <w:rPr>
      <w:noProof w:val="0"/>
      <w:lang w:val="en-US" w:eastAsia="en-US" w:bidi="ar-SA"/>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6053D1"/>
    <w:rPr>
      <w:sz w:val="24"/>
      <w:lang w:val="en-US" w:eastAsia="en-US"/>
    </w:rPr>
  </w:style>
  <w:style w:type="character" w:customStyle="1" w:styleId="BulletChar">
    <w:name w:val="Bullet Char"/>
    <w:basedOn w:val="ListParagraphChar"/>
    <w:link w:val="Bullet"/>
    <w:rsid w:val="006053D1"/>
    <w:rPr>
      <w:rFonts w:asciiTheme="minorHAnsi" w:eastAsiaTheme="minorHAnsi" w:hAnsiTheme="minorHAnsi" w:cstheme="minorBidi"/>
      <w:snapToGrid w:val="0"/>
      <w:kern w:val="28"/>
      <w:sz w:val="22"/>
      <w:szCs w:val="22"/>
    </w:rPr>
  </w:style>
  <w:style w:type="paragraph" w:customStyle="1" w:styleId="ListNumbering">
    <w:name w:val="List Numbering"/>
    <w:basedOn w:val="Normal"/>
    <w:qFormat/>
    <w:rsid w:val="006053D1"/>
    <w:pPr>
      <w:widowControl/>
      <w:numPr>
        <w:numId w:val="19"/>
      </w:numPr>
      <w:spacing w:after="240" w:line="259" w:lineRule="auto"/>
    </w:pPr>
    <w:rPr>
      <w:rFonts w:asciiTheme="minorHAnsi" w:hAnsiTheme="minorHAnsi"/>
      <w:snapToGrid/>
      <w:kern w:val="0"/>
    </w:rPr>
  </w:style>
  <w:style w:type="paragraph" w:styleId="BodyText2">
    <w:name w:val="Body Text 2"/>
    <w:basedOn w:val="Normal"/>
    <w:link w:val="BodyText2Char"/>
    <w:uiPriority w:val="1"/>
    <w:qFormat/>
    <w:rsid w:val="006053D1"/>
    <w:pPr>
      <w:widowControl/>
      <w:spacing w:after="160" w:line="480" w:lineRule="auto"/>
      <w:ind w:firstLine="720"/>
    </w:pPr>
    <w:rPr>
      <w:rFonts w:asciiTheme="minorHAnsi" w:eastAsiaTheme="minorHAnsi" w:hAnsiTheme="minorHAnsi" w:cstheme="minorBidi"/>
      <w:snapToGrid/>
      <w:kern w:val="0"/>
      <w:szCs w:val="22"/>
    </w:rPr>
  </w:style>
  <w:style w:type="character" w:customStyle="1" w:styleId="BodyText2Char">
    <w:name w:val="Body Text 2 Char"/>
    <w:basedOn w:val="DefaultParagraphFont"/>
    <w:link w:val="BodyText2"/>
    <w:uiPriority w:val="1"/>
    <w:rsid w:val="006053D1"/>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6053D1"/>
    <w:rPr>
      <w:b/>
      <w:snapToGrid w:val="0"/>
      <w:kern w:val="28"/>
      <w:sz w:val="22"/>
    </w:rPr>
  </w:style>
  <w:style w:type="character" w:customStyle="1" w:styleId="Heading3Char">
    <w:name w:val="Heading 3 Char"/>
    <w:basedOn w:val="DefaultParagraphFont"/>
    <w:link w:val="Heading3"/>
    <w:uiPriority w:val="9"/>
    <w:rsid w:val="006053D1"/>
    <w:rPr>
      <w:b/>
      <w:snapToGrid w:val="0"/>
      <w:kern w:val="28"/>
      <w:sz w:val="22"/>
    </w:rPr>
  </w:style>
  <w:style w:type="character" w:customStyle="1" w:styleId="Heading4Char">
    <w:name w:val="Heading 4 Char"/>
    <w:basedOn w:val="DefaultParagraphFont"/>
    <w:link w:val="Heading4"/>
    <w:uiPriority w:val="9"/>
    <w:rsid w:val="006053D1"/>
    <w:rPr>
      <w:b/>
      <w:snapToGrid w:val="0"/>
      <w:kern w:val="28"/>
      <w:sz w:val="22"/>
    </w:rPr>
  </w:style>
  <w:style w:type="character" w:customStyle="1" w:styleId="Heading5Char">
    <w:name w:val="Heading 5 Char"/>
    <w:basedOn w:val="DefaultParagraphFont"/>
    <w:link w:val="Heading5"/>
    <w:uiPriority w:val="9"/>
    <w:rsid w:val="006053D1"/>
    <w:rPr>
      <w:b/>
      <w:snapToGrid w:val="0"/>
      <w:kern w:val="28"/>
      <w:sz w:val="22"/>
    </w:rPr>
  </w:style>
  <w:style w:type="character" w:customStyle="1" w:styleId="Heading6Char">
    <w:name w:val="Heading 6 Char"/>
    <w:basedOn w:val="DefaultParagraphFont"/>
    <w:link w:val="Heading6"/>
    <w:uiPriority w:val="9"/>
    <w:rsid w:val="006053D1"/>
    <w:rPr>
      <w:b/>
      <w:snapToGrid w:val="0"/>
      <w:kern w:val="28"/>
      <w:sz w:val="22"/>
    </w:rPr>
  </w:style>
  <w:style w:type="character" w:customStyle="1" w:styleId="Heading7Char">
    <w:name w:val="Heading 7 Char"/>
    <w:basedOn w:val="DefaultParagraphFont"/>
    <w:link w:val="Heading7"/>
    <w:uiPriority w:val="9"/>
    <w:rsid w:val="006053D1"/>
    <w:rPr>
      <w:b/>
      <w:snapToGrid w:val="0"/>
      <w:kern w:val="28"/>
      <w:sz w:val="22"/>
    </w:rPr>
  </w:style>
  <w:style w:type="character" w:customStyle="1" w:styleId="Heading8Char">
    <w:name w:val="Heading 8 Char"/>
    <w:basedOn w:val="DefaultParagraphFont"/>
    <w:link w:val="Heading8"/>
    <w:uiPriority w:val="9"/>
    <w:rsid w:val="006053D1"/>
    <w:rPr>
      <w:b/>
      <w:snapToGrid w:val="0"/>
      <w:kern w:val="28"/>
      <w:sz w:val="22"/>
    </w:rPr>
  </w:style>
  <w:style w:type="character" w:customStyle="1" w:styleId="Heading9Char">
    <w:name w:val="Heading 9 Char"/>
    <w:basedOn w:val="DefaultParagraphFont"/>
    <w:link w:val="Heading9"/>
    <w:uiPriority w:val="9"/>
    <w:rsid w:val="006053D1"/>
    <w:rPr>
      <w:b/>
      <w:snapToGrid w:val="0"/>
      <w:kern w:val="28"/>
      <w:sz w:val="22"/>
    </w:rPr>
  </w:style>
  <w:style w:type="paragraph" w:styleId="Caption">
    <w:name w:val="caption"/>
    <w:basedOn w:val="Normal"/>
    <w:next w:val="Normal"/>
    <w:uiPriority w:val="35"/>
    <w:semiHidden/>
    <w:unhideWhenUsed/>
    <w:qFormat/>
    <w:rsid w:val="006053D1"/>
    <w:pPr>
      <w:widowControl/>
      <w:spacing w:after="160" w:line="259" w:lineRule="auto"/>
    </w:pPr>
    <w:rPr>
      <w:rFonts w:asciiTheme="minorHAnsi" w:eastAsiaTheme="minorHAnsi" w:hAnsiTheme="minorHAnsi" w:cstheme="minorBidi"/>
      <w:b/>
      <w:bCs/>
      <w:snapToGrid/>
      <w:kern w:val="0"/>
      <w:szCs w:val="18"/>
    </w:rPr>
  </w:style>
  <w:style w:type="paragraph" w:styleId="Title">
    <w:name w:val="Title"/>
    <w:basedOn w:val="Normal"/>
    <w:next w:val="BodyText"/>
    <w:link w:val="TitleChar"/>
    <w:uiPriority w:val="10"/>
    <w:qFormat/>
    <w:rsid w:val="006053D1"/>
    <w:pPr>
      <w:keepNext/>
      <w:widowControl/>
      <w:spacing w:after="360" w:line="259" w:lineRule="auto"/>
      <w:ind w:left="1440" w:right="1440"/>
      <w:jc w:val="center"/>
    </w:pPr>
    <w:rPr>
      <w:rFonts w:asciiTheme="minorHAnsi" w:eastAsiaTheme="majorEastAsia" w:hAnsiTheme="minorHAnsi" w:cstheme="majorBidi"/>
      <w:snapToGrid/>
      <w:kern w:val="0"/>
      <w:szCs w:val="52"/>
      <w:u w:val="single"/>
    </w:rPr>
  </w:style>
  <w:style w:type="character" w:customStyle="1" w:styleId="TitleChar">
    <w:name w:val="Title Char"/>
    <w:basedOn w:val="DefaultParagraphFont"/>
    <w:link w:val="Title"/>
    <w:uiPriority w:val="10"/>
    <w:rsid w:val="006053D1"/>
    <w:rPr>
      <w:rFonts w:asciiTheme="minorHAnsi" w:eastAsiaTheme="majorEastAsia" w:hAnsiTheme="minorHAnsi" w:cstheme="majorBidi"/>
      <w:sz w:val="22"/>
      <w:szCs w:val="52"/>
      <w:u w:val="single"/>
    </w:rPr>
  </w:style>
  <w:style w:type="paragraph" w:styleId="Signature">
    <w:name w:val="Signature"/>
    <w:basedOn w:val="Normal"/>
    <w:link w:val="SignatureChar"/>
    <w:uiPriority w:val="99"/>
    <w:qFormat/>
    <w:rsid w:val="006053D1"/>
    <w:pPr>
      <w:widowControl/>
      <w:spacing w:after="160" w:line="259" w:lineRule="auto"/>
      <w:ind w:left="4320"/>
    </w:pPr>
    <w:rPr>
      <w:rFonts w:asciiTheme="minorHAnsi" w:eastAsiaTheme="minorHAnsi" w:hAnsiTheme="minorHAnsi" w:cstheme="minorBidi"/>
      <w:snapToGrid/>
      <w:kern w:val="0"/>
      <w:szCs w:val="22"/>
    </w:rPr>
  </w:style>
  <w:style w:type="character" w:customStyle="1" w:styleId="SignatureChar">
    <w:name w:val="Signature Char"/>
    <w:basedOn w:val="DefaultParagraphFont"/>
    <w:link w:val="Signature"/>
    <w:uiPriority w:val="99"/>
    <w:rsid w:val="006053D1"/>
    <w:rPr>
      <w:rFonts w:asciiTheme="minorHAnsi" w:eastAsiaTheme="minorHAnsi" w:hAnsiTheme="minorHAnsi" w:cstheme="minorBidi"/>
      <w:sz w:val="22"/>
      <w:szCs w:val="22"/>
    </w:rPr>
  </w:style>
  <w:style w:type="paragraph" w:styleId="Subtitle">
    <w:name w:val="Subtitle"/>
    <w:basedOn w:val="Normal"/>
    <w:next w:val="BodyText"/>
    <w:link w:val="SubtitleChar"/>
    <w:uiPriority w:val="11"/>
    <w:qFormat/>
    <w:rsid w:val="006053D1"/>
    <w:pPr>
      <w:keepNext/>
      <w:widowControl/>
      <w:numPr>
        <w:ilvl w:val="1"/>
      </w:numPr>
      <w:spacing w:after="240" w:line="259" w:lineRule="auto"/>
      <w:ind w:left="1440" w:right="1440"/>
      <w:jc w:val="center"/>
    </w:pPr>
    <w:rPr>
      <w:rFonts w:asciiTheme="minorHAnsi" w:eastAsiaTheme="majorEastAsia" w:hAnsiTheme="minorHAnsi" w:cstheme="majorBidi"/>
      <w:i/>
      <w:iCs/>
      <w:snapToGrid/>
      <w:kern w:val="0"/>
      <w:szCs w:val="24"/>
    </w:rPr>
  </w:style>
  <w:style w:type="character" w:customStyle="1" w:styleId="SubtitleChar">
    <w:name w:val="Subtitle Char"/>
    <w:basedOn w:val="DefaultParagraphFont"/>
    <w:link w:val="Subtitle"/>
    <w:uiPriority w:val="11"/>
    <w:rsid w:val="006053D1"/>
    <w:rPr>
      <w:rFonts w:asciiTheme="minorHAnsi" w:eastAsiaTheme="majorEastAsia" w:hAnsiTheme="minorHAnsi" w:cstheme="majorBidi"/>
      <w:i/>
      <w:iCs/>
      <w:sz w:val="22"/>
      <w:szCs w:val="24"/>
    </w:rPr>
  </w:style>
  <w:style w:type="paragraph" w:styleId="NoSpacing">
    <w:name w:val="No Spacing"/>
    <w:aliases w:val="LeftAlign"/>
    <w:uiPriority w:val="1"/>
    <w:qFormat/>
    <w:rsid w:val="006053D1"/>
    <w:pPr>
      <w:spacing w:after="240"/>
    </w:pPr>
    <w:rPr>
      <w:rFonts w:eastAsiaTheme="minorHAnsi" w:cstheme="minorBidi"/>
      <w:sz w:val="24"/>
      <w:szCs w:val="22"/>
    </w:rPr>
  </w:style>
  <w:style w:type="character" w:customStyle="1" w:styleId="ListParagraphChar">
    <w:name w:val="List Paragraph Char"/>
    <w:basedOn w:val="DefaultParagraphFont"/>
    <w:link w:val="ListParagraph"/>
    <w:uiPriority w:val="34"/>
    <w:rsid w:val="006053D1"/>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053D1"/>
    <w:pPr>
      <w:widowControl/>
      <w:spacing w:after="160" w:line="259" w:lineRule="auto"/>
      <w:ind w:left="1440" w:right="1440"/>
      <w:jc w:val="both"/>
    </w:pPr>
    <w:rPr>
      <w:rFonts w:asciiTheme="minorHAnsi" w:eastAsiaTheme="minorHAnsi" w:hAnsiTheme="minorHAnsi" w:cstheme="minorBidi"/>
      <w:iCs/>
      <w:snapToGrid/>
      <w:kern w:val="0"/>
      <w:szCs w:val="22"/>
    </w:rPr>
  </w:style>
  <w:style w:type="character" w:customStyle="1" w:styleId="QuoteChar">
    <w:name w:val="Quote Char"/>
    <w:basedOn w:val="DefaultParagraphFont"/>
    <w:link w:val="Quote"/>
    <w:uiPriority w:val="29"/>
    <w:rsid w:val="006053D1"/>
    <w:rPr>
      <w:rFonts w:asciiTheme="minorHAnsi" w:eastAsiaTheme="minorHAnsi" w:hAnsiTheme="minorHAnsi" w:cstheme="minorBidi"/>
      <w:iCs/>
      <w:sz w:val="22"/>
      <w:szCs w:val="22"/>
    </w:rPr>
  </w:style>
  <w:style w:type="paragraph" w:styleId="IntenseQuote">
    <w:name w:val="Intense Quote"/>
    <w:basedOn w:val="Normal"/>
    <w:next w:val="Normal"/>
    <w:link w:val="IntenseQuoteChar"/>
    <w:uiPriority w:val="30"/>
    <w:qFormat/>
    <w:rsid w:val="006053D1"/>
    <w:pPr>
      <w:widowControl/>
      <w:spacing w:before="200" w:after="280" w:line="259" w:lineRule="auto"/>
      <w:ind w:left="936" w:right="936"/>
    </w:pPr>
    <w:rPr>
      <w:rFonts w:asciiTheme="minorHAnsi" w:eastAsiaTheme="minorHAnsi" w:hAnsiTheme="minorHAnsi" w:cstheme="minorBidi"/>
      <w:b/>
      <w:bCs/>
      <w:i/>
      <w:iCs/>
      <w:snapToGrid/>
      <w:kern w:val="0"/>
      <w:szCs w:val="22"/>
    </w:rPr>
  </w:style>
  <w:style w:type="character" w:customStyle="1" w:styleId="IntenseQuoteChar">
    <w:name w:val="Intense Quote Char"/>
    <w:basedOn w:val="DefaultParagraphFont"/>
    <w:link w:val="IntenseQuote"/>
    <w:uiPriority w:val="30"/>
    <w:rsid w:val="006053D1"/>
    <w:rPr>
      <w:rFonts w:asciiTheme="minorHAnsi" w:eastAsiaTheme="minorHAnsi" w:hAnsiTheme="minorHAnsi" w:cstheme="minorBidi"/>
      <w:b/>
      <w:bCs/>
      <w:i/>
      <w:iCs/>
      <w:sz w:val="22"/>
      <w:szCs w:val="22"/>
    </w:rPr>
  </w:style>
  <w:style w:type="character" w:styleId="SubtleEmphasis">
    <w:name w:val="Subtle Emphasis"/>
    <w:basedOn w:val="DefaultParagraphFont"/>
    <w:uiPriority w:val="19"/>
    <w:qFormat/>
    <w:rsid w:val="006053D1"/>
    <w:rPr>
      <w:i/>
      <w:iCs/>
      <w:color w:val="auto"/>
    </w:rPr>
  </w:style>
  <w:style w:type="character" w:styleId="IntenseEmphasis">
    <w:name w:val="Intense Emphasis"/>
    <w:basedOn w:val="DefaultParagraphFont"/>
    <w:uiPriority w:val="21"/>
    <w:qFormat/>
    <w:rsid w:val="006053D1"/>
    <w:rPr>
      <w:b/>
      <w:bCs/>
      <w:i/>
      <w:iCs/>
      <w:color w:val="auto"/>
    </w:rPr>
  </w:style>
  <w:style w:type="character" w:styleId="SubtleReference">
    <w:name w:val="Subtle Reference"/>
    <w:basedOn w:val="DefaultParagraphFont"/>
    <w:uiPriority w:val="31"/>
    <w:qFormat/>
    <w:rsid w:val="006053D1"/>
    <w:rPr>
      <w:smallCaps/>
      <w:color w:val="auto"/>
      <w:u w:val="single"/>
    </w:rPr>
  </w:style>
  <w:style w:type="character" w:styleId="IntenseReference">
    <w:name w:val="Intense Reference"/>
    <w:basedOn w:val="DefaultParagraphFont"/>
    <w:uiPriority w:val="32"/>
    <w:qFormat/>
    <w:rsid w:val="006053D1"/>
    <w:rPr>
      <w:b/>
      <w:bCs/>
      <w:smallCaps/>
      <w:color w:val="auto"/>
      <w:spacing w:val="5"/>
      <w:u w:val="single"/>
    </w:rPr>
  </w:style>
  <w:style w:type="character" w:styleId="BookTitle">
    <w:name w:val="Book Title"/>
    <w:basedOn w:val="DefaultParagraphFont"/>
    <w:uiPriority w:val="33"/>
    <w:qFormat/>
    <w:rsid w:val="006053D1"/>
    <w:rPr>
      <w:b/>
      <w:bCs/>
      <w:smallCaps/>
      <w:spacing w:val="0"/>
    </w:rPr>
  </w:style>
  <w:style w:type="paragraph" w:styleId="TOCHeading">
    <w:name w:val="TOC Heading"/>
    <w:basedOn w:val="Heading1"/>
    <w:next w:val="Normal"/>
    <w:uiPriority w:val="39"/>
    <w:semiHidden/>
    <w:unhideWhenUsed/>
    <w:qFormat/>
    <w:rsid w:val="006053D1"/>
    <w:pPr>
      <w:widowControl/>
      <w:numPr>
        <w:numId w:val="0"/>
      </w:numPr>
      <w:tabs>
        <w:tab w:val="left" w:pos="720"/>
      </w:tabs>
      <w:suppressAutoHyphens w:val="0"/>
      <w:spacing w:after="240" w:line="259" w:lineRule="auto"/>
      <w:outlineLvl w:val="9"/>
    </w:pPr>
    <w:rPr>
      <w:rFonts w:ascii="Times New Roman" w:eastAsiaTheme="majorEastAsia" w:hAnsi="Times New Roman" w:cstheme="majorBidi"/>
      <w:bCs/>
      <w:snapToGrid/>
      <w:kern w:val="0"/>
      <w:szCs w:val="28"/>
    </w:rPr>
  </w:style>
  <w:style w:type="character" w:styleId="Strong">
    <w:name w:val="Strong"/>
    <w:basedOn w:val="DefaultParagraphFont"/>
    <w:uiPriority w:val="22"/>
    <w:qFormat/>
    <w:rsid w:val="006053D1"/>
    <w:rPr>
      <w:b/>
      <w:bCs/>
    </w:rPr>
  </w:style>
  <w:style w:type="character" w:styleId="Emphasis">
    <w:name w:val="Emphasis"/>
    <w:basedOn w:val="DefaultParagraphFont"/>
    <w:uiPriority w:val="20"/>
    <w:qFormat/>
    <w:rsid w:val="006053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95912">
      <w:bodyDiv w:val="1"/>
      <w:marLeft w:val="0"/>
      <w:marRight w:val="0"/>
      <w:marTop w:val="0"/>
      <w:marBottom w:val="0"/>
      <w:divBdr>
        <w:top w:val="none" w:sz="0" w:space="0" w:color="auto"/>
        <w:left w:val="none" w:sz="0" w:space="0" w:color="auto"/>
        <w:bottom w:val="none" w:sz="0" w:space="0" w:color="auto"/>
        <w:right w:val="none" w:sz="0" w:space="0" w:color="auto"/>
      </w:divBdr>
    </w:div>
    <w:div w:id="1470434720">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3753</Words>
  <Characters>21497</Characters>
  <Application>Microsoft Office Word</Application>
  <DocSecurity>0</DocSecurity>
  <Lines>372</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2015-12-30T18:55:00Z</dcterms:created>
  <dcterms:modified xsi:type="dcterms:W3CDTF">2015-12-30T18:55:00Z</dcterms:modified>
  <cp:category> </cp:category>
  <cp:contentStatus> </cp:contentStatus>
</cp:coreProperties>
</file>