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D613" w14:textId="77777777" w:rsidR="004C2EE3" w:rsidRPr="002443D1" w:rsidRDefault="004C2EE3" w:rsidP="00E21D49">
      <w:pPr>
        <w:jc w:val="center"/>
        <w:rPr>
          <w:b/>
          <w:szCs w:val="22"/>
        </w:rPr>
      </w:pPr>
      <w:bookmarkStart w:id="0" w:name="_GoBack"/>
      <w:bookmarkEnd w:id="0"/>
      <w:r w:rsidRPr="002443D1">
        <w:rPr>
          <w:b/>
          <w:szCs w:val="22"/>
        </w:rPr>
        <w:t>Before the</w:t>
      </w:r>
    </w:p>
    <w:p w14:paraId="5A7E6F8B" w14:textId="77777777" w:rsidR="00921803" w:rsidRPr="002443D1" w:rsidRDefault="00921803" w:rsidP="00E21D49">
      <w:pPr>
        <w:pStyle w:val="StyleBoldCentered"/>
        <w:widowControl/>
        <w:rPr>
          <w:rFonts w:ascii="Times New Roman" w:hAnsi="Times New Roman"/>
        </w:rPr>
      </w:pPr>
      <w:r w:rsidRPr="002443D1">
        <w:rPr>
          <w:rFonts w:ascii="Times New Roman" w:hAnsi="Times New Roman"/>
        </w:rPr>
        <w:t>F</w:t>
      </w:r>
      <w:r w:rsidRPr="002443D1">
        <w:rPr>
          <w:rFonts w:ascii="Times New Roman" w:hAnsi="Times New Roman"/>
          <w:caps w:val="0"/>
        </w:rPr>
        <w:t>ederal Communications Commission</w:t>
      </w:r>
    </w:p>
    <w:p w14:paraId="3F89FCC4" w14:textId="77777777" w:rsidR="004C2EE3" w:rsidRPr="002443D1" w:rsidRDefault="00810B6F" w:rsidP="00E21D49">
      <w:pPr>
        <w:pStyle w:val="StyleBoldCentered"/>
        <w:widowControl/>
        <w:rPr>
          <w:rFonts w:ascii="Times New Roman" w:hAnsi="Times New Roman"/>
        </w:rPr>
      </w:pPr>
      <w:r w:rsidRPr="002443D1">
        <w:rPr>
          <w:rFonts w:ascii="Times New Roman" w:hAnsi="Times New Roman"/>
          <w:caps w:val="0"/>
        </w:rPr>
        <w:t>Washington, D.C. 20554</w:t>
      </w:r>
    </w:p>
    <w:p w14:paraId="2BB2B9CE" w14:textId="77777777" w:rsidR="004C2EE3" w:rsidRPr="002443D1" w:rsidRDefault="004C2EE3" w:rsidP="00E21D49">
      <w:pPr>
        <w:rPr>
          <w:szCs w:val="22"/>
        </w:rPr>
      </w:pPr>
    </w:p>
    <w:tbl>
      <w:tblPr>
        <w:tblW w:w="0" w:type="auto"/>
        <w:tblLayout w:type="fixed"/>
        <w:tblLook w:val="0000" w:firstRow="0" w:lastRow="0" w:firstColumn="0" w:lastColumn="0" w:noHBand="0" w:noVBand="0"/>
      </w:tblPr>
      <w:tblGrid>
        <w:gridCol w:w="4698"/>
        <w:gridCol w:w="630"/>
        <w:gridCol w:w="4248"/>
      </w:tblGrid>
      <w:tr w:rsidR="00E66A17" w:rsidRPr="002443D1" w14:paraId="54E8A01A" w14:textId="77777777">
        <w:tc>
          <w:tcPr>
            <w:tcW w:w="4698" w:type="dxa"/>
          </w:tcPr>
          <w:p w14:paraId="028EDC12" w14:textId="77777777" w:rsidR="000309D9" w:rsidRDefault="00B06127" w:rsidP="00B06127">
            <w:pPr>
              <w:ind w:right="-18"/>
              <w:rPr>
                <w:szCs w:val="22"/>
              </w:rPr>
            </w:pPr>
            <w:r w:rsidRPr="00B06127">
              <w:rPr>
                <w:szCs w:val="22"/>
              </w:rPr>
              <w:t>In the Matter of</w:t>
            </w:r>
            <w:r w:rsidR="00D83CF1">
              <w:rPr>
                <w:szCs w:val="22"/>
              </w:rPr>
              <w:t xml:space="preserve"> </w:t>
            </w:r>
          </w:p>
          <w:p w14:paraId="3D9D55E9" w14:textId="77777777" w:rsidR="000309D9" w:rsidRDefault="000309D9" w:rsidP="00B06127">
            <w:pPr>
              <w:ind w:right="-18"/>
              <w:rPr>
                <w:szCs w:val="22"/>
              </w:rPr>
            </w:pPr>
          </w:p>
          <w:p w14:paraId="57F5AE67" w14:textId="77777777" w:rsidR="00B06127" w:rsidRPr="00B06127" w:rsidRDefault="00D83CF1" w:rsidP="00B06127">
            <w:pPr>
              <w:ind w:right="-18"/>
              <w:rPr>
                <w:szCs w:val="22"/>
              </w:rPr>
            </w:pPr>
            <w:r>
              <w:rPr>
                <w:szCs w:val="22"/>
              </w:rPr>
              <w:t>LP</w:t>
            </w:r>
            <w:r w:rsidR="008B3AF9">
              <w:rPr>
                <w:szCs w:val="22"/>
              </w:rPr>
              <w:t>F</w:t>
            </w:r>
            <w:r>
              <w:rPr>
                <w:szCs w:val="22"/>
              </w:rPr>
              <w:t>M MX Group 198</w:t>
            </w:r>
          </w:p>
          <w:p w14:paraId="07307F56" w14:textId="77777777" w:rsidR="00B06127" w:rsidRPr="00B06127" w:rsidRDefault="00B06127" w:rsidP="00B06127">
            <w:pPr>
              <w:ind w:right="-18"/>
              <w:rPr>
                <w:szCs w:val="22"/>
              </w:rPr>
            </w:pPr>
          </w:p>
          <w:p w14:paraId="6A91B884" w14:textId="77777777" w:rsidR="00B06127" w:rsidRPr="00B06127" w:rsidRDefault="00B06127" w:rsidP="00B06127">
            <w:pPr>
              <w:ind w:right="-18"/>
              <w:rPr>
                <w:szCs w:val="22"/>
              </w:rPr>
            </w:pPr>
            <w:r>
              <w:rPr>
                <w:szCs w:val="22"/>
              </w:rPr>
              <w:t>Center for Emerging Media, Inc.</w:t>
            </w:r>
          </w:p>
          <w:p w14:paraId="73609B95" w14:textId="77777777" w:rsidR="00B06127" w:rsidRPr="00B06127" w:rsidRDefault="00B06127" w:rsidP="00B06127">
            <w:pPr>
              <w:ind w:right="-18"/>
              <w:rPr>
                <w:b/>
                <w:szCs w:val="22"/>
              </w:rPr>
            </w:pPr>
          </w:p>
          <w:p w14:paraId="5C3D9817" w14:textId="77777777"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r w:rsidRPr="00B06127">
              <w:rPr>
                <w:szCs w:val="22"/>
              </w:rPr>
              <w:t xml:space="preserve"> </w:t>
            </w:r>
          </w:p>
          <w:p w14:paraId="42009906" w14:textId="77777777" w:rsidR="00B06127" w:rsidRPr="00B06127" w:rsidRDefault="00B06127" w:rsidP="00B06127">
            <w:pPr>
              <w:ind w:right="-18"/>
              <w:rPr>
                <w:szCs w:val="22"/>
              </w:rPr>
            </w:pPr>
          </w:p>
          <w:p w14:paraId="2BFB5FE3" w14:textId="77777777" w:rsidR="00B06127" w:rsidRPr="00B06127" w:rsidRDefault="00B06127" w:rsidP="00B06127">
            <w:pPr>
              <w:ind w:right="-18"/>
              <w:rPr>
                <w:szCs w:val="22"/>
              </w:rPr>
            </w:pPr>
            <w:r w:rsidRPr="00B06127">
              <w:rPr>
                <w:szCs w:val="22"/>
              </w:rPr>
              <w:t>Loyola University Maryland</w:t>
            </w:r>
          </w:p>
          <w:p w14:paraId="659A3FBC" w14:textId="77777777" w:rsidR="00B06127" w:rsidRPr="00B06127" w:rsidRDefault="00B06127" w:rsidP="00B06127">
            <w:pPr>
              <w:ind w:right="-18"/>
              <w:rPr>
                <w:szCs w:val="22"/>
              </w:rPr>
            </w:pPr>
          </w:p>
          <w:p w14:paraId="698BF8F2" w14:textId="77777777"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14:paraId="39DA3A1A" w14:textId="77777777" w:rsidR="00B06127" w:rsidRPr="00B06127" w:rsidRDefault="00B06127" w:rsidP="00B06127">
            <w:pPr>
              <w:ind w:right="-18"/>
              <w:rPr>
                <w:szCs w:val="22"/>
              </w:rPr>
            </w:pPr>
          </w:p>
          <w:p w14:paraId="03F3B74A" w14:textId="77777777" w:rsidR="00B06127" w:rsidRPr="00B06127" w:rsidRDefault="00B06127" w:rsidP="00B06127">
            <w:pPr>
              <w:ind w:right="-18"/>
              <w:rPr>
                <w:szCs w:val="22"/>
              </w:rPr>
            </w:pPr>
            <w:r w:rsidRPr="00B06127">
              <w:rPr>
                <w:szCs w:val="22"/>
              </w:rPr>
              <w:t>The Benedictine Society of Baltimore</w:t>
            </w:r>
            <w:r w:rsidR="00F43745">
              <w:rPr>
                <w:szCs w:val="22"/>
              </w:rPr>
              <w:t xml:space="preserve"> City</w:t>
            </w:r>
          </w:p>
          <w:p w14:paraId="37CB3C11" w14:textId="77777777" w:rsidR="00B06127" w:rsidRPr="00B06127" w:rsidRDefault="00B06127" w:rsidP="00B06127">
            <w:pPr>
              <w:ind w:right="-18"/>
              <w:rPr>
                <w:szCs w:val="22"/>
              </w:rPr>
            </w:pPr>
          </w:p>
          <w:p w14:paraId="0ACC3C22" w14:textId="77777777"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14:paraId="582BA3AA" w14:textId="77777777" w:rsidR="00B06127" w:rsidRPr="00B06127" w:rsidRDefault="00B06127" w:rsidP="00B06127">
            <w:pPr>
              <w:ind w:right="-18"/>
              <w:rPr>
                <w:szCs w:val="22"/>
              </w:rPr>
            </w:pPr>
          </w:p>
          <w:p w14:paraId="1D329D42" w14:textId="77777777" w:rsidR="00B06127" w:rsidRPr="00B06127" w:rsidRDefault="00B06127" w:rsidP="00B06127">
            <w:pPr>
              <w:ind w:right="-18"/>
              <w:rPr>
                <w:szCs w:val="22"/>
              </w:rPr>
            </w:pPr>
            <w:r w:rsidRPr="00B06127">
              <w:rPr>
                <w:szCs w:val="22"/>
              </w:rPr>
              <w:t>The United Workers Association</w:t>
            </w:r>
          </w:p>
          <w:p w14:paraId="39C7A10D" w14:textId="77777777" w:rsidR="00B06127" w:rsidRPr="00B06127" w:rsidRDefault="00B06127" w:rsidP="00B06127">
            <w:pPr>
              <w:ind w:right="-18"/>
              <w:rPr>
                <w:szCs w:val="22"/>
              </w:rPr>
            </w:pPr>
          </w:p>
          <w:p w14:paraId="3A7A52C7" w14:textId="77777777"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14:paraId="01C67B15" w14:textId="77777777" w:rsidR="00B06127" w:rsidRPr="00B06127" w:rsidRDefault="00B06127" w:rsidP="00B06127">
            <w:pPr>
              <w:ind w:right="-18"/>
              <w:rPr>
                <w:szCs w:val="22"/>
              </w:rPr>
            </w:pPr>
          </w:p>
          <w:p w14:paraId="366C7F7D" w14:textId="77777777" w:rsidR="00B06127" w:rsidRPr="00B06127" w:rsidRDefault="00B06127" w:rsidP="00B06127">
            <w:pPr>
              <w:ind w:right="-18"/>
              <w:rPr>
                <w:szCs w:val="22"/>
              </w:rPr>
            </w:pPr>
            <w:r w:rsidRPr="00B06127">
              <w:rPr>
                <w:szCs w:val="22"/>
              </w:rPr>
              <w:t>Johns Hopkins University</w:t>
            </w:r>
          </w:p>
          <w:p w14:paraId="7B63B45A" w14:textId="77777777" w:rsidR="00B06127" w:rsidRPr="00B06127" w:rsidRDefault="00B06127" w:rsidP="00B06127">
            <w:pPr>
              <w:ind w:right="-18"/>
              <w:rPr>
                <w:szCs w:val="22"/>
              </w:rPr>
            </w:pPr>
          </w:p>
          <w:p w14:paraId="3B0ADEA7" w14:textId="77777777" w:rsidR="00B06127" w:rsidRPr="00B06127" w:rsidRDefault="00B06127" w:rsidP="00B06127">
            <w:pPr>
              <w:ind w:right="-18"/>
              <w:rPr>
                <w:szCs w:val="22"/>
              </w:rPr>
            </w:pPr>
            <w:r w:rsidRPr="00B06127">
              <w:rPr>
                <w:szCs w:val="22"/>
              </w:rPr>
              <w:t xml:space="preserve">Application for a Construction Permit for a New LPFM Station at </w:t>
            </w:r>
            <w:r>
              <w:rPr>
                <w:szCs w:val="22"/>
              </w:rPr>
              <w:t>East Baltimore, Maryland</w:t>
            </w:r>
          </w:p>
        </w:tc>
        <w:tc>
          <w:tcPr>
            <w:tcW w:w="630" w:type="dxa"/>
          </w:tcPr>
          <w:p w14:paraId="2B0C6D2F" w14:textId="77777777" w:rsidR="00E66A17" w:rsidRPr="002443D1" w:rsidRDefault="00E66A17" w:rsidP="00E21D49">
            <w:pPr>
              <w:rPr>
                <w:b/>
                <w:szCs w:val="22"/>
              </w:rPr>
            </w:pPr>
            <w:r w:rsidRPr="002443D1">
              <w:rPr>
                <w:b/>
                <w:szCs w:val="22"/>
              </w:rPr>
              <w:t>)</w:t>
            </w:r>
          </w:p>
          <w:p w14:paraId="16C5669D" w14:textId="77777777" w:rsidR="00E66A17" w:rsidRPr="002443D1" w:rsidRDefault="00E66A17" w:rsidP="00E21D49">
            <w:pPr>
              <w:rPr>
                <w:b/>
                <w:szCs w:val="22"/>
              </w:rPr>
            </w:pPr>
            <w:r w:rsidRPr="002443D1">
              <w:rPr>
                <w:b/>
                <w:szCs w:val="22"/>
              </w:rPr>
              <w:t>)</w:t>
            </w:r>
          </w:p>
          <w:p w14:paraId="2DFE53E7" w14:textId="77777777" w:rsidR="00E66A17" w:rsidRPr="002443D1" w:rsidRDefault="00E66A17" w:rsidP="00E21D49">
            <w:pPr>
              <w:rPr>
                <w:b/>
                <w:szCs w:val="22"/>
              </w:rPr>
            </w:pPr>
            <w:r w:rsidRPr="002443D1">
              <w:rPr>
                <w:b/>
                <w:szCs w:val="22"/>
              </w:rPr>
              <w:t>)</w:t>
            </w:r>
          </w:p>
          <w:p w14:paraId="10E5879B" w14:textId="77777777" w:rsidR="00E66A17" w:rsidRPr="002443D1" w:rsidRDefault="00E66A17" w:rsidP="00E21D49">
            <w:pPr>
              <w:rPr>
                <w:b/>
                <w:szCs w:val="22"/>
              </w:rPr>
            </w:pPr>
            <w:r w:rsidRPr="002443D1">
              <w:rPr>
                <w:b/>
                <w:szCs w:val="22"/>
              </w:rPr>
              <w:t>)</w:t>
            </w:r>
          </w:p>
          <w:p w14:paraId="5090121C" w14:textId="77777777" w:rsidR="00E66A17" w:rsidRPr="002443D1" w:rsidRDefault="00E66A17" w:rsidP="00E21D49">
            <w:pPr>
              <w:rPr>
                <w:b/>
                <w:szCs w:val="22"/>
              </w:rPr>
            </w:pPr>
            <w:r w:rsidRPr="002443D1">
              <w:rPr>
                <w:b/>
                <w:szCs w:val="22"/>
              </w:rPr>
              <w:t>)</w:t>
            </w:r>
          </w:p>
          <w:p w14:paraId="42139CFB" w14:textId="77777777" w:rsidR="00E66A17" w:rsidRDefault="00E66A17" w:rsidP="00B06127">
            <w:pPr>
              <w:rPr>
                <w:b/>
                <w:szCs w:val="22"/>
              </w:rPr>
            </w:pPr>
            <w:r w:rsidRPr="002443D1">
              <w:rPr>
                <w:b/>
                <w:szCs w:val="22"/>
              </w:rPr>
              <w:t>)</w:t>
            </w:r>
          </w:p>
          <w:p w14:paraId="057A16BD" w14:textId="77777777" w:rsidR="00B06127" w:rsidRDefault="00B06127" w:rsidP="00B06127">
            <w:pPr>
              <w:rPr>
                <w:b/>
                <w:szCs w:val="22"/>
              </w:rPr>
            </w:pPr>
            <w:r>
              <w:rPr>
                <w:b/>
                <w:szCs w:val="22"/>
              </w:rPr>
              <w:t>)</w:t>
            </w:r>
          </w:p>
          <w:p w14:paraId="37C70410" w14:textId="77777777" w:rsidR="00B06127" w:rsidRDefault="00B06127" w:rsidP="00B06127">
            <w:pPr>
              <w:rPr>
                <w:b/>
                <w:szCs w:val="22"/>
              </w:rPr>
            </w:pPr>
            <w:r>
              <w:rPr>
                <w:b/>
                <w:szCs w:val="22"/>
              </w:rPr>
              <w:t>)</w:t>
            </w:r>
          </w:p>
          <w:p w14:paraId="68F3A484" w14:textId="77777777" w:rsidR="00B06127" w:rsidRDefault="00B06127" w:rsidP="00B06127">
            <w:pPr>
              <w:rPr>
                <w:b/>
                <w:szCs w:val="22"/>
              </w:rPr>
            </w:pPr>
            <w:r>
              <w:rPr>
                <w:b/>
                <w:szCs w:val="22"/>
              </w:rPr>
              <w:t>)</w:t>
            </w:r>
          </w:p>
          <w:p w14:paraId="65FB3976" w14:textId="77777777" w:rsidR="00B06127" w:rsidRDefault="00B06127" w:rsidP="00B06127">
            <w:pPr>
              <w:rPr>
                <w:b/>
                <w:szCs w:val="22"/>
              </w:rPr>
            </w:pPr>
            <w:r>
              <w:rPr>
                <w:b/>
                <w:szCs w:val="22"/>
              </w:rPr>
              <w:t>)</w:t>
            </w:r>
          </w:p>
          <w:p w14:paraId="71D85814" w14:textId="77777777" w:rsidR="00B06127" w:rsidRDefault="00B06127" w:rsidP="00B06127">
            <w:pPr>
              <w:rPr>
                <w:b/>
                <w:szCs w:val="22"/>
              </w:rPr>
            </w:pPr>
            <w:r>
              <w:rPr>
                <w:b/>
                <w:szCs w:val="22"/>
              </w:rPr>
              <w:t>)</w:t>
            </w:r>
          </w:p>
          <w:p w14:paraId="13B7ECE8" w14:textId="77777777" w:rsidR="00B06127" w:rsidRDefault="00B06127" w:rsidP="00B06127">
            <w:pPr>
              <w:rPr>
                <w:b/>
                <w:szCs w:val="22"/>
              </w:rPr>
            </w:pPr>
            <w:r>
              <w:rPr>
                <w:b/>
                <w:szCs w:val="22"/>
              </w:rPr>
              <w:t>)</w:t>
            </w:r>
          </w:p>
          <w:p w14:paraId="12083AA7" w14:textId="77777777" w:rsidR="00B06127" w:rsidRDefault="00B06127" w:rsidP="00B06127">
            <w:pPr>
              <w:rPr>
                <w:b/>
                <w:szCs w:val="22"/>
              </w:rPr>
            </w:pPr>
            <w:r>
              <w:rPr>
                <w:b/>
                <w:szCs w:val="22"/>
              </w:rPr>
              <w:t>)</w:t>
            </w:r>
          </w:p>
          <w:p w14:paraId="60BEDF40" w14:textId="77777777" w:rsidR="00B06127" w:rsidRDefault="00B06127" w:rsidP="00B06127">
            <w:pPr>
              <w:rPr>
                <w:b/>
                <w:szCs w:val="22"/>
              </w:rPr>
            </w:pPr>
            <w:r>
              <w:rPr>
                <w:b/>
                <w:szCs w:val="22"/>
              </w:rPr>
              <w:t>)</w:t>
            </w:r>
          </w:p>
          <w:p w14:paraId="15877823" w14:textId="77777777" w:rsidR="00B06127" w:rsidRDefault="00B06127" w:rsidP="00B06127">
            <w:pPr>
              <w:rPr>
                <w:b/>
                <w:szCs w:val="22"/>
              </w:rPr>
            </w:pPr>
            <w:r>
              <w:rPr>
                <w:b/>
                <w:szCs w:val="22"/>
              </w:rPr>
              <w:t>)</w:t>
            </w:r>
          </w:p>
          <w:p w14:paraId="0918A10C" w14:textId="77777777" w:rsidR="00B06127" w:rsidRDefault="00B06127" w:rsidP="00B06127">
            <w:pPr>
              <w:rPr>
                <w:b/>
                <w:szCs w:val="22"/>
              </w:rPr>
            </w:pPr>
            <w:r>
              <w:rPr>
                <w:b/>
                <w:szCs w:val="22"/>
              </w:rPr>
              <w:t>)</w:t>
            </w:r>
          </w:p>
          <w:p w14:paraId="10E70408" w14:textId="77777777" w:rsidR="00B06127" w:rsidRDefault="00B06127" w:rsidP="00B06127">
            <w:pPr>
              <w:rPr>
                <w:b/>
                <w:szCs w:val="22"/>
              </w:rPr>
            </w:pPr>
            <w:r>
              <w:rPr>
                <w:b/>
                <w:szCs w:val="22"/>
              </w:rPr>
              <w:t>)</w:t>
            </w:r>
          </w:p>
          <w:p w14:paraId="09926301" w14:textId="77777777" w:rsidR="00B06127" w:rsidRDefault="00B06127" w:rsidP="00B06127">
            <w:pPr>
              <w:rPr>
                <w:b/>
                <w:szCs w:val="22"/>
              </w:rPr>
            </w:pPr>
            <w:r>
              <w:rPr>
                <w:b/>
                <w:szCs w:val="22"/>
              </w:rPr>
              <w:t>)</w:t>
            </w:r>
          </w:p>
          <w:p w14:paraId="4FECC466" w14:textId="77777777" w:rsidR="00B06127" w:rsidRDefault="00B06127" w:rsidP="00B06127">
            <w:pPr>
              <w:rPr>
                <w:b/>
                <w:szCs w:val="22"/>
              </w:rPr>
            </w:pPr>
            <w:r>
              <w:rPr>
                <w:b/>
                <w:szCs w:val="22"/>
              </w:rPr>
              <w:t>)</w:t>
            </w:r>
          </w:p>
          <w:p w14:paraId="49376F3F" w14:textId="77777777" w:rsidR="00B06127" w:rsidRDefault="00B06127" w:rsidP="00B06127">
            <w:pPr>
              <w:rPr>
                <w:b/>
                <w:szCs w:val="22"/>
              </w:rPr>
            </w:pPr>
            <w:r>
              <w:rPr>
                <w:b/>
                <w:szCs w:val="22"/>
              </w:rPr>
              <w:t>)</w:t>
            </w:r>
          </w:p>
          <w:p w14:paraId="6EB396D4" w14:textId="77777777" w:rsidR="00B06127" w:rsidRDefault="00B06127" w:rsidP="00B06127">
            <w:pPr>
              <w:rPr>
                <w:b/>
                <w:szCs w:val="22"/>
              </w:rPr>
            </w:pPr>
            <w:r>
              <w:rPr>
                <w:b/>
                <w:szCs w:val="22"/>
              </w:rPr>
              <w:t>)</w:t>
            </w:r>
          </w:p>
          <w:p w14:paraId="7AAE4623" w14:textId="77777777" w:rsidR="00B06127" w:rsidRDefault="00B06127" w:rsidP="00B06127">
            <w:pPr>
              <w:rPr>
                <w:b/>
                <w:szCs w:val="22"/>
              </w:rPr>
            </w:pPr>
            <w:r>
              <w:rPr>
                <w:b/>
                <w:szCs w:val="22"/>
              </w:rPr>
              <w:t>)</w:t>
            </w:r>
          </w:p>
          <w:p w14:paraId="0AC5A820" w14:textId="77777777" w:rsidR="00B06127" w:rsidRDefault="00B06127" w:rsidP="00B06127">
            <w:pPr>
              <w:rPr>
                <w:b/>
                <w:szCs w:val="22"/>
              </w:rPr>
            </w:pPr>
            <w:r>
              <w:rPr>
                <w:b/>
                <w:szCs w:val="22"/>
              </w:rPr>
              <w:t>)</w:t>
            </w:r>
          </w:p>
          <w:p w14:paraId="5BCF8D65" w14:textId="77777777" w:rsidR="00B06127" w:rsidRDefault="00B06127" w:rsidP="00B06127">
            <w:pPr>
              <w:rPr>
                <w:b/>
                <w:szCs w:val="22"/>
              </w:rPr>
            </w:pPr>
            <w:r>
              <w:rPr>
                <w:b/>
                <w:szCs w:val="22"/>
              </w:rPr>
              <w:t>)</w:t>
            </w:r>
          </w:p>
          <w:p w14:paraId="44703741" w14:textId="77777777" w:rsidR="00B06127" w:rsidRDefault="00B06127" w:rsidP="00B06127">
            <w:pPr>
              <w:rPr>
                <w:b/>
                <w:szCs w:val="22"/>
              </w:rPr>
            </w:pPr>
            <w:r>
              <w:rPr>
                <w:b/>
                <w:szCs w:val="22"/>
              </w:rPr>
              <w:t>)</w:t>
            </w:r>
          </w:p>
          <w:p w14:paraId="2004911B" w14:textId="77777777" w:rsidR="00B06127" w:rsidRDefault="00B06127" w:rsidP="00B06127">
            <w:pPr>
              <w:rPr>
                <w:b/>
                <w:szCs w:val="22"/>
              </w:rPr>
            </w:pPr>
            <w:r>
              <w:rPr>
                <w:b/>
                <w:szCs w:val="22"/>
              </w:rPr>
              <w:t>)</w:t>
            </w:r>
          </w:p>
          <w:p w14:paraId="6A3F8023" w14:textId="77777777" w:rsidR="000309D9" w:rsidRDefault="000309D9" w:rsidP="00B06127">
            <w:pPr>
              <w:rPr>
                <w:b/>
                <w:szCs w:val="22"/>
              </w:rPr>
            </w:pPr>
            <w:r>
              <w:rPr>
                <w:b/>
                <w:szCs w:val="22"/>
              </w:rPr>
              <w:t>)</w:t>
            </w:r>
          </w:p>
          <w:p w14:paraId="2123BBEC" w14:textId="77777777" w:rsidR="000309D9" w:rsidRPr="002443D1" w:rsidRDefault="000309D9" w:rsidP="00B06127">
            <w:pPr>
              <w:rPr>
                <w:b/>
                <w:szCs w:val="22"/>
              </w:rPr>
            </w:pPr>
            <w:r>
              <w:rPr>
                <w:b/>
                <w:szCs w:val="22"/>
              </w:rPr>
              <w:t>)</w:t>
            </w:r>
          </w:p>
        </w:tc>
        <w:tc>
          <w:tcPr>
            <w:tcW w:w="4248" w:type="dxa"/>
          </w:tcPr>
          <w:p w14:paraId="72ED1437" w14:textId="77777777" w:rsidR="00E66A17" w:rsidRPr="002443D1" w:rsidRDefault="00E66A17" w:rsidP="00E21D49">
            <w:pPr>
              <w:rPr>
                <w:szCs w:val="22"/>
              </w:rPr>
            </w:pPr>
          </w:p>
          <w:p w14:paraId="0C2D66C3" w14:textId="77777777" w:rsidR="00E66A17" w:rsidRPr="002443D1" w:rsidRDefault="00E66A17" w:rsidP="00E21D49">
            <w:pPr>
              <w:rPr>
                <w:szCs w:val="22"/>
              </w:rPr>
            </w:pPr>
          </w:p>
          <w:p w14:paraId="44CC0627" w14:textId="77777777" w:rsidR="00E66A17" w:rsidRDefault="00E66A17" w:rsidP="00E21D49">
            <w:pPr>
              <w:rPr>
                <w:szCs w:val="22"/>
              </w:rPr>
            </w:pPr>
          </w:p>
          <w:p w14:paraId="6214F2AA" w14:textId="77777777" w:rsidR="000309D9" w:rsidRDefault="000309D9" w:rsidP="00E21D49">
            <w:pPr>
              <w:rPr>
                <w:szCs w:val="22"/>
              </w:rPr>
            </w:pPr>
          </w:p>
          <w:p w14:paraId="58AE3E32" w14:textId="77777777" w:rsidR="000309D9" w:rsidRPr="002443D1" w:rsidRDefault="000309D9" w:rsidP="00E21D49">
            <w:pPr>
              <w:rPr>
                <w:szCs w:val="22"/>
              </w:rPr>
            </w:pPr>
          </w:p>
          <w:p w14:paraId="2F94E738" w14:textId="77777777" w:rsidR="00A13CA2" w:rsidRPr="002443D1" w:rsidRDefault="00A13CA2" w:rsidP="00E21D49">
            <w:pPr>
              <w:rPr>
                <w:szCs w:val="22"/>
              </w:rPr>
            </w:pPr>
          </w:p>
          <w:p w14:paraId="7E772E20" w14:textId="77777777" w:rsidR="00627DE9" w:rsidRPr="002443D1" w:rsidRDefault="00627DE9" w:rsidP="00E21D49">
            <w:pPr>
              <w:rPr>
                <w:szCs w:val="22"/>
              </w:rPr>
            </w:pPr>
            <w:r w:rsidRPr="002443D1">
              <w:rPr>
                <w:szCs w:val="22"/>
              </w:rPr>
              <w:t xml:space="preserve">File No. </w:t>
            </w:r>
            <w:r w:rsidR="00792287" w:rsidRPr="002443D1">
              <w:rPr>
                <w:szCs w:val="22"/>
              </w:rPr>
              <w:t>BNPL-</w:t>
            </w:r>
            <w:r w:rsidR="00DD3DE2" w:rsidRPr="002443D1">
              <w:rPr>
                <w:szCs w:val="22"/>
              </w:rPr>
              <w:t>20131</w:t>
            </w:r>
            <w:r w:rsidR="00B06127">
              <w:rPr>
                <w:szCs w:val="22"/>
              </w:rPr>
              <w:t>11</w:t>
            </w:r>
            <w:r w:rsidR="006039C6">
              <w:rPr>
                <w:szCs w:val="22"/>
              </w:rPr>
              <w:t>2BMA</w:t>
            </w:r>
          </w:p>
          <w:p w14:paraId="3D317936" w14:textId="77777777" w:rsidR="00E66A17" w:rsidRDefault="00E66A17" w:rsidP="00B06127">
            <w:pPr>
              <w:rPr>
                <w:szCs w:val="22"/>
              </w:rPr>
            </w:pPr>
            <w:r w:rsidRPr="002443D1">
              <w:rPr>
                <w:szCs w:val="22"/>
              </w:rPr>
              <w:t xml:space="preserve">Facility ID No. </w:t>
            </w:r>
            <w:r w:rsidR="005A7B5E">
              <w:rPr>
                <w:szCs w:val="22"/>
              </w:rPr>
              <w:t>194219</w:t>
            </w:r>
          </w:p>
          <w:p w14:paraId="2E03E290" w14:textId="77777777" w:rsidR="00B06127" w:rsidRDefault="00B06127" w:rsidP="00B06127">
            <w:pPr>
              <w:rPr>
                <w:szCs w:val="22"/>
              </w:rPr>
            </w:pPr>
          </w:p>
          <w:p w14:paraId="66176EE6" w14:textId="77777777" w:rsidR="00B06127" w:rsidRDefault="00B06127" w:rsidP="00B06127">
            <w:pPr>
              <w:rPr>
                <w:szCs w:val="22"/>
              </w:rPr>
            </w:pPr>
          </w:p>
          <w:p w14:paraId="2C065D6D" w14:textId="77777777" w:rsidR="00B06127" w:rsidRDefault="00B06127" w:rsidP="00B06127">
            <w:pPr>
              <w:rPr>
                <w:szCs w:val="22"/>
              </w:rPr>
            </w:pPr>
          </w:p>
          <w:p w14:paraId="0B3AD958" w14:textId="77777777" w:rsidR="00B06127" w:rsidRPr="002443D1" w:rsidRDefault="006039C6" w:rsidP="00B06127">
            <w:pPr>
              <w:rPr>
                <w:szCs w:val="22"/>
              </w:rPr>
            </w:pPr>
            <w:r>
              <w:rPr>
                <w:szCs w:val="22"/>
              </w:rPr>
              <w:t>File No. BNPL-20131115ANS</w:t>
            </w:r>
          </w:p>
          <w:p w14:paraId="6BB0C807" w14:textId="77777777" w:rsidR="00B06127" w:rsidRDefault="00B06127" w:rsidP="00B06127">
            <w:pPr>
              <w:rPr>
                <w:szCs w:val="22"/>
              </w:rPr>
            </w:pPr>
            <w:r w:rsidRPr="002443D1">
              <w:rPr>
                <w:szCs w:val="22"/>
              </w:rPr>
              <w:t>Facility ID No.</w:t>
            </w:r>
            <w:r w:rsidR="00F43745">
              <w:rPr>
                <w:szCs w:val="22"/>
              </w:rPr>
              <w:t xml:space="preserve"> 196835</w:t>
            </w:r>
            <w:r w:rsidR="005A7B5E">
              <w:rPr>
                <w:szCs w:val="22"/>
              </w:rPr>
              <w:t xml:space="preserve"> </w:t>
            </w:r>
          </w:p>
          <w:p w14:paraId="77F6A42F" w14:textId="77777777" w:rsidR="00B06127" w:rsidRDefault="00B06127" w:rsidP="00B06127">
            <w:pPr>
              <w:rPr>
                <w:szCs w:val="22"/>
              </w:rPr>
            </w:pPr>
          </w:p>
          <w:p w14:paraId="4C0591CA" w14:textId="77777777" w:rsidR="00B06127" w:rsidRDefault="00B06127" w:rsidP="00B06127">
            <w:pPr>
              <w:rPr>
                <w:szCs w:val="22"/>
              </w:rPr>
            </w:pPr>
          </w:p>
          <w:p w14:paraId="0CB6CFD2" w14:textId="77777777" w:rsidR="00B06127" w:rsidRDefault="00B06127" w:rsidP="00B06127">
            <w:pPr>
              <w:rPr>
                <w:szCs w:val="22"/>
              </w:rPr>
            </w:pPr>
          </w:p>
          <w:p w14:paraId="5C4F722B" w14:textId="77777777" w:rsidR="00B06127" w:rsidRPr="002443D1" w:rsidRDefault="00B06127" w:rsidP="00B06127">
            <w:pPr>
              <w:rPr>
                <w:szCs w:val="22"/>
              </w:rPr>
            </w:pPr>
            <w:r w:rsidRPr="002443D1">
              <w:rPr>
                <w:szCs w:val="22"/>
              </w:rPr>
              <w:t>File No. BNPL-2013</w:t>
            </w:r>
            <w:r w:rsidR="006039C6">
              <w:rPr>
                <w:szCs w:val="22"/>
              </w:rPr>
              <w:t>1114ADS</w:t>
            </w:r>
          </w:p>
          <w:p w14:paraId="6EDBD561" w14:textId="77777777" w:rsidR="00B06127" w:rsidRDefault="00B06127" w:rsidP="00B06127">
            <w:pPr>
              <w:rPr>
                <w:szCs w:val="22"/>
              </w:rPr>
            </w:pPr>
            <w:r w:rsidRPr="002443D1">
              <w:rPr>
                <w:szCs w:val="22"/>
              </w:rPr>
              <w:t>Facility ID No.</w:t>
            </w:r>
            <w:r w:rsidR="005A7B5E">
              <w:rPr>
                <w:szCs w:val="22"/>
              </w:rPr>
              <w:t xml:space="preserve"> 192734</w:t>
            </w:r>
          </w:p>
          <w:p w14:paraId="0295CA73" w14:textId="77777777" w:rsidR="00B06127" w:rsidRDefault="00B06127" w:rsidP="00B06127">
            <w:pPr>
              <w:rPr>
                <w:szCs w:val="22"/>
              </w:rPr>
            </w:pPr>
          </w:p>
          <w:p w14:paraId="478459F2" w14:textId="77777777" w:rsidR="00B06127" w:rsidRDefault="00B06127" w:rsidP="00B06127">
            <w:pPr>
              <w:rPr>
                <w:szCs w:val="22"/>
              </w:rPr>
            </w:pPr>
          </w:p>
          <w:p w14:paraId="3B7B6D49" w14:textId="77777777" w:rsidR="00B06127" w:rsidRDefault="00B06127" w:rsidP="00B06127">
            <w:pPr>
              <w:rPr>
                <w:szCs w:val="22"/>
              </w:rPr>
            </w:pPr>
          </w:p>
          <w:p w14:paraId="091C683C" w14:textId="77777777" w:rsidR="00B06127" w:rsidRPr="002443D1" w:rsidRDefault="00B06127" w:rsidP="00B06127">
            <w:pPr>
              <w:rPr>
                <w:szCs w:val="22"/>
              </w:rPr>
            </w:pPr>
            <w:r w:rsidRPr="002443D1">
              <w:rPr>
                <w:szCs w:val="22"/>
              </w:rPr>
              <w:t>File No. BNPL-20131</w:t>
            </w:r>
            <w:r>
              <w:rPr>
                <w:szCs w:val="22"/>
              </w:rPr>
              <w:t>11</w:t>
            </w:r>
            <w:r w:rsidR="006039C6">
              <w:rPr>
                <w:szCs w:val="22"/>
              </w:rPr>
              <w:t>4BEV</w:t>
            </w:r>
          </w:p>
          <w:p w14:paraId="21D769B1" w14:textId="77777777" w:rsidR="00B06127" w:rsidRDefault="00B06127" w:rsidP="00B06127">
            <w:pPr>
              <w:rPr>
                <w:szCs w:val="22"/>
              </w:rPr>
            </w:pPr>
            <w:r w:rsidRPr="002443D1">
              <w:rPr>
                <w:szCs w:val="22"/>
              </w:rPr>
              <w:t>Facility ID No.</w:t>
            </w:r>
            <w:r w:rsidR="005A7B5E">
              <w:rPr>
                <w:szCs w:val="22"/>
              </w:rPr>
              <w:t xml:space="preserve"> 196682</w:t>
            </w:r>
          </w:p>
          <w:p w14:paraId="5FFE5F00" w14:textId="77777777" w:rsidR="00B06127" w:rsidRDefault="00B06127" w:rsidP="00B06127">
            <w:pPr>
              <w:rPr>
                <w:szCs w:val="22"/>
              </w:rPr>
            </w:pPr>
          </w:p>
          <w:p w14:paraId="3C8F6994" w14:textId="77777777" w:rsidR="00B06127" w:rsidRDefault="00B06127" w:rsidP="00B06127">
            <w:pPr>
              <w:rPr>
                <w:szCs w:val="22"/>
              </w:rPr>
            </w:pPr>
          </w:p>
          <w:p w14:paraId="64D21FCA" w14:textId="77777777" w:rsidR="00B06127" w:rsidRDefault="00B06127" w:rsidP="00B06127">
            <w:pPr>
              <w:rPr>
                <w:szCs w:val="22"/>
              </w:rPr>
            </w:pPr>
          </w:p>
          <w:p w14:paraId="6C1A7E18" w14:textId="77777777" w:rsidR="00B06127" w:rsidRPr="002443D1" w:rsidRDefault="00B06127" w:rsidP="00B06127">
            <w:pPr>
              <w:rPr>
                <w:szCs w:val="22"/>
              </w:rPr>
            </w:pPr>
            <w:r w:rsidRPr="002443D1">
              <w:rPr>
                <w:szCs w:val="22"/>
              </w:rPr>
              <w:t>File No. BNPL-20131</w:t>
            </w:r>
            <w:r>
              <w:rPr>
                <w:szCs w:val="22"/>
              </w:rPr>
              <w:t>11</w:t>
            </w:r>
            <w:r w:rsidR="006039C6">
              <w:rPr>
                <w:szCs w:val="22"/>
              </w:rPr>
              <w:t>5ANR</w:t>
            </w:r>
          </w:p>
          <w:p w14:paraId="4F644645" w14:textId="77777777" w:rsidR="00B06127" w:rsidRPr="002443D1" w:rsidRDefault="00B06127" w:rsidP="00B06127">
            <w:pPr>
              <w:rPr>
                <w:szCs w:val="22"/>
              </w:rPr>
            </w:pPr>
            <w:r w:rsidRPr="002443D1">
              <w:rPr>
                <w:szCs w:val="22"/>
              </w:rPr>
              <w:t>Facility ID No</w:t>
            </w:r>
            <w:r w:rsidR="00F35042">
              <w:rPr>
                <w:szCs w:val="22"/>
              </w:rPr>
              <w:t>.</w:t>
            </w:r>
            <w:r w:rsidR="005A7B5E">
              <w:rPr>
                <w:szCs w:val="22"/>
              </w:rPr>
              <w:t xml:space="preserve"> 196810</w:t>
            </w:r>
          </w:p>
        </w:tc>
      </w:tr>
    </w:tbl>
    <w:p w14:paraId="7B52F9E1" w14:textId="77777777" w:rsidR="00AD1DFF" w:rsidRDefault="00AD1DFF" w:rsidP="00E21D49">
      <w:pPr>
        <w:pStyle w:val="StyleBoldCentered"/>
        <w:widowControl/>
      </w:pPr>
    </w:p>
    <w:p w14:paraId="39493748" w14:textId="77777777" w:rsidR="00841AB1" w:rsidRDefault="00827885" w:rsidP="00E21D49">
      <w:pPr>
        <w:pStyle w:val="StyleBoldCentered"/>
        <w:widowControl/>
      </w:pPr>
      <w:r>
        <w:t>ORDER ON RECONSIDERATION</w:t>
      </w:r>
    </w:p>
    <w:p w14:paraId="48DA9973" w14:textId="77777777" w:rsidR="004C2EE3" w:rsidRDefault="004C2EE3" w:rsidP="00E21D49">
      <w:pPr>
        <w:tabs>
          <w:tab w:val="left" w:pos="-720"/>
        </w:tabs>
        <w:suppressAutoHyphens/>
        <w:spacing w:line="227" w:lineRule="auto"/>
        <w:rPr>
          <w:spacing w:val="-2"/>
        </w:rPr>
      </w:pPr>
    </w:p>
    <w:p w14:paraId="053DB7E2" w14:textId="25D7160F" w:rsidR="000309D9" w:rsidRPr="003422B8" w:rsidRDefault="000309D9" w:rsidP="000309D9">
      <w:pPr>
        <w:tabs>
          <w:tab w:val="left" w:pos="720"/>
          <w:tab w:val="right" w:pos="9360"/>
        </w:tabs>
        <w:suppressAutoHyphens/>
        <w:spacing w:line="227" w:lineRule="auto"/>
        <w:rPr>
          <w:spacing w:val="-2"/>
        </w:rPr>
      </w:pPr>
      <w:r w:rsidRPr="003422B8">
        <w:rPr>
          <w:b/>
          <w:spacing w:val="-2"/>
        </w:rPr>
        <w:t xml:space="preserve">Adopted: </w:t>
      </w:r>
      <w:r w:rsidR="001B4D5C">
        <w:rPr>
          <w:b/>
          <w:spacing w:val="-2"/>
        </w:rPr>
        <w:t>December 17, 2015</w:t>
      </w:r>
      <w:r w:rsidRPr="003422B8">
        <w:rPr>
          <w:b/>
          <w:spacing w:val="-2"/>
        </w:rPr>
        <w:t xml:space="preserve"> </w:t>
      </w:r>
      <w:r w:rsidRPr="003422B8">
        <w:rPr>
          <w:b/>
          <w:spacing w:val="-2"/>
        </w:rPr>
        <w:tab/>
        <w:t xml:space="preserve">Released:  </w:t>
      </w:r>
      <w:r w:rsidR="007648E2">
        <w:rPr>
          <w:b/>
          <w:spacing w:val="-2"/>
        </w:rPr>
        <w:t>December 17</w:t>
      </w:r>
      <w:r w:rsidR="001B4D5C">
        <w:rPr>
          <w:b/>
          <w:spacing w:val="-2"/>
        </w:rPr>
        <w:t>, 2015</w:t>
      </w:r>
    </w:p>
    <w:p w14:paraId="2BC40A2E" w14:textId="77777777" w:rsidR="000309D9" w:rsidRDefault="000309D9" w:rsidP="00E21D49">
      <w:pPr>
        <w:rPr>
          <w:szCs w:val="22"/>
        </w:rPr>
      </w:pPr>
    </w:p>
    <w:p w14:paraId="1AC75F94" w14:textId="77777777" w:rsidR="004C2EE3" w:rsidRPr="002443D1" w:rsidRDefault="004C2EE3" w:rsidP="00E21D49">
      <w:pPr>
        <w:rPr>
          <w:spacing w:val="-2"/>
          <w:szCs w:val="22"/>
        </w:rPr>
      </w:pPr>
      <w:r w:rsidRPr="002443D1">
        <w:rPr>
          <w:szCs w:val="22"/>
        </w:rPr>
        <w:t xml:space="preserve">By </w:t>
      </w:r>
      <w:r w:rsidR="004E4A22" w:rsidRPr="002443D1">
        <w:rPr>
          <w:szCs w:val="22"/>
        </w:rPr>
        <w:t>the</w:t>
      </w:r>
      <w:r w:rsidR="002A2D2E" w:rsidRPr="002443D1">
        <w:rPr>
          <w:szCs w:val="22"/>
        </w:rPr>
        <w:t xml:space="preserve"> </w:t>
      </w:r>
      <w:r w:rsidR="00AB609E">
        <w:rPr>
          <w:szCs w:val="22"/>
        </w:rPr>
        <w:t xml:space="preserve">Chief, </w:t>
      </w:r>
      <w:r w:rsidR="00C44ED9">
        <w:rPr>
          <w:spacing w:val="-2"/>
          <w:szCs w:val="22"/>
        </w:rPr>
        <w:t>Media Bureau</w:t>
      </w:r>
      <w:r w:rsidRPr="002443D1">
        <w:rPr>
          <w:spacing w:val="-2"/>
          <w:szCs w:val="22"/>
        </w:rPr>
        <w:t>:</w:t>
      </w:r>
    </w:p>
    <w:p w14:paraId="6DAA7493" w14:textId="77777777" w:rsidR="00412FC5" w:rsidRPr="002443D1" w:rsidRDefault="00412FC5" w:rsidP="00E21D49">
      <w:pPr>
        <w:rPr>
          <w:szCs w:val="22"/>
        </w:rPr>
      </w:pPr>
    </w:p>
    <w:p w14:paraId="3F471401" w14:textId="77777777" w:rsidR="00E11A77" w:rsidRDefault="00E11A77" w:rsidP="0058411F">
      <w:pPr>
        <w:pStyle w:val="ParaNum"/>
        <w:widowControl/>
        <w:rPr>
          <w:szCs w:val="22"/>
        </w:rPr>
      </w:pPr>
      <w:r>
        <w:rPr>
          <w:szCs w:val="22"/>
        </w:rPr>
        <w:t xml:space="preserve">We have before us a Petition for Reconsideration </w:t>
      </w:r>
      <w:r w:rsidR="00453EAB">
        <w:rPr>
          <w:szCs w:val="22"/>
        </w:rPr>
        <w:t xml:space="preserve">(Second Petition) </w:t>
      </w:r>
      <w:r>
        <w:rPr>
          <w:szCs w:val="22"/>
        </w:rPr>
        <w:t xml:space="preserve">filed by Loyola University Maryland (Loyola), seeking </w:t>
      </w:r>
      <w:r w:rsidR="00F46F1A">
        <w:rPr>
          <w:szCs w:val="22"/>
        </w:rPr>
        <w:t>reconsideration</w:t>
      </w:r>
      <w:r>
        <w:rPr>
          <w:szCs w:val="22"/>
        </w:rPr>
        <w:t xml:space="preserve"> of a Commission </w:t>
      </w:r>
      <w:r w:rsidR="00971D8C">
        <w:rPr>
          <w:szCs w:val="22"/>
        </w:rPr>
        <w:t>Memorandum Opinion and Order</w:t>
      </w:r>
      <w:r w:rsidR="00A1610B">
        <w:rPr>
          <w:szCs w:val="22"/>
        </w:rPr>
        <w:t xml:space="preserve"> </w:t>
      </w:r>
      <w:r w:rsidR="00B10A7D">
        <w:rPr>
          <w:szCs w:val="22"/>
        </w:rPr>
        <w:t>(</w:t>
      </w:r>
      <w:r w:rsidR="00453EAB" w:rsidRPr="00453EAB">
        <w:rPr>
          <w:i/>
          <w:szCs w:val="22"/>
        </w:rPr>
        <w:t>Order</w:t>
      </w:r>
      <w:r w:rsidR="00453EAB">
        <w:rPr>
          <w:szCs w:val="22"/>
        </w:rPr>
        <w:t xml:space="preserve">) </w:t>
      </w:r>
      <w:r w:rsidR="00971D8C">
        <w:rPr>
          <w:szCs w:val="22"/>
        </w:rPr>
        <w:t xml:space="preserve">to the extent that it </w:t>
      </w:r>
      <w:r w:rsidR="00A1610B">
        <w:rPr>
          <w:szCs w:val="22"/>
        </w:rPr>
        <w:t>denied in part the P</w:t>
      </w:r>
      <w:r w:rsidR="00453EAB">
        <w:rPr>
          <w:szCs w:val="22"/>
        </w:rPr>
        <w:t>etition to Deny fi</w:t>
      </w:r>
      <w:r w:rsidR="00B10A7D">
        <w:rPr>
          <w:szCs w:val="22"/>
        </w:rPr>
        <w:t>led by Loyola (</w:t>
      </w:r>
      <w:r w:rsidR="00453EAB">
        <w:rPr>
          <w:szCs w:val="22"/>
        </w:rPr>
        <w:t>First Petition).</w:t>
      </w:r>
      <w:r w:rsidR="00971D8C">
        <w:rPr>
          <w:rStyle w:val="FootnoteReference"/>
          <w:szCs w:val="22"/>
        </w:rPr>
        <w:footnoteReference w:id="2"/>
      </w:r>
      <w:r w:rsidR="00453EAB">
        <w:rPr>
          <w:szCs w:val="22"/>
        </w:rPr>
        <w:t xml:space="preserve">  For the reasons set forth below, we dismiss the Second Petition pursuant to Sections 1.106(a) and 1.106(p) of the </w:t>
      </w:r>
      <w:r w:rsidR="007901CB">
        <w:rPr>
          <w:szCs w:val="22"/>
        </w:rPr>
        <w:t>FCC</w:t>
      </w:r>
      <w:r w:rsidR="00B10A7D">
        <w:rPr>
          <w:szCs w:val="22"/>
        </w:rPr>
        <w:t xml:space="preserve"> rules (Rules</w:t>
      </w:r>
      <w:r w:rsidR="00453EAB">
        <w:rPr>
          <w:szCs w:val="22"/>
        </w:rPr>
        <w:t>).</w:t>
      </w:r>
      <w:r w:rsidR="004014D9">
        <w:rPr>
          <w:rStyle w:val="FootnoteReference"/>
          <w:szCs w:val="22"/>
        </w:rPr>
        <w:footnoteReference w:id="3"/>
      </w:r>
    </w:p>
    <w:p w14:paraId="24D733B8" w14:textId="77777777" w:rsidR="00E11A77" w:rsidRPr="00453EAB" w:rsidRDefault="00E11A77" w:rsidP="00E11A77">
      <w:pPr>
        <w:pStyle w:val="ParaNum"/>
        <w:widowControl/>
        <w:numPr>
          <w:ilvl w:val="0"/>
          <w:numId w:val="8"/>
        </w:numPr>
        <w:rPr>
          <w:b/>
          <w:szCs w:val="22"/>
        </w:rPr>
      </w:pPr>
      <w:r w:rsidRPr="00453EAB">
        <w:rPr>
          <w:b/>
          <w:szCs w:val="22"/>
        </w:rPr>
        <w:t>Background</w:t>
      </w:r>
    </w:p>
    <w:p w14:paraId="6EE7ED03" w14:textId="58F2F191" w:rsidR="00554A1F" w:rsidRPr="00554A1F" w:rsidRDefault="00E11A77" w:rsidP="00E11A77">
      <w:pPr>
        <w:pStyle w:val="ParaNum"/>
      </w:pPr>
      <w:r>
        <w:t xml:space="preserve">As discussed in the </w:t>
      </w:r>
      <w:r w:rsidR="00453EAB">
        <w:rPr>
          <w:i/>
        </w:rPr>
        <w:t>Order</w:t>
      </w:r>
      <w:r>
        <w:t xml:space="preserve">, </w:t>
      </w:r>
      <w:r>
        <w:rPr>
          <w:szCs w:val="22"/>
        </w:rPr>
        <w:t>the captioned mutually-</w:t>
      </w:r>
      <w:r w:rsidRPr="0023398A">
        <w:rPr>
          <w:szCs w:val="22"/>
        </w:rPr>
        <w:t xml:space="preserve">exclusive </w:t>
      </w:r>
      <w:r>
        <w:rPr>
          <w:szCs w:val="22"/>
        </w:rPr>
        <w:t xml:space="preserve">(MX) </w:t>
      </w:r>
      <w:r w:rsidRPr="0023398A">
        <w:rPr>
          <w:szCs w:val="22"/>
        </w:rPr>
        <w:t xml:space="preserve">applications of </w:t>
      </w:r>
      <w:r>
        <w:rPr>
          <w:szCs w:val="22"/>
        </w:rPr>
        <w:t xml:space="preserve">Loyola, </w:t>
      </w:r>
      <w:r w:rsidRPr="0023398A">
        <w:rPr>
          <w:szCs w:val="22"/>
        </w:rPr>
        <w:t>Center</w:t>
      </w:r>
      <w:r w:rsidR="00B10A7D">
        <w:rPr>
          <w:szCs w:val="22"/>
        </w:rPr>
        <w:t xml:space="preserve"> for Emerging Media, Inc. (CEM</w:t>
      </w:r>
      <w:r w:rsidRPr="0023398A">
        <w:rPr>
          <w:szCs w:val="22"/>
        </w:rPr>
        <w:t xml:space="preserve">), </w:t>
      </w:r>
      <w:r>
        <w:rPr>
          <w:szCs w:val="22"/>
        </w:rPr>
        <w:t xml:space="preserve">The Benedictine Society of Baltimore City (BSB), The </w:t>
      </w:r>
      <w:r w:rsidR="00B10A7D">
        <w:rPr>
          <w:szCs w:val="22"/>
        </w:rPr>
        <w:lastRenderedPageBreak/>
        <w:t>United Workers Association (UWA</w:t>
      </w:r>
      <w:r>
        <w:rPr>
          <w:szCs w:val="22"/>
        </w:rPr>
        <w:t>), and</w:t>
      </w:r>
      <w:r w:rsidR="00B10A7D">
        <w:rPr>
          <w:szCs w:val="22"/>
        </w:rPr>
        <w:t xml:space="preserve"> Johns Hopkins University (JHU) (</w:t>
      </w:r>
      <w:r>
        <w:rPr>
          <w:szCs w:val="22"/>
        </w:rPr>
        <w:t>Loyola Application,</w:t>
      </w:r>
      <w:r w:rsidR="00B10A7D">
        <w:rPr>
          <w:szCs w:val="22"/>
        </w:rPr>
        <w:t xml:space="preserve"> CEM Application, </w:t>
      </w:r>
      <w:r>
        <w:rPr>
          <w:szCs w:val="22"/>
        </w:rPr>
        <w:t>BSB Application,</w:t>
      </w:r>
      <w:r w:rsidR="00B10A7D">
        <w:rPr>
          <w:szCs w:val="22"/>
        </w:rPr>
        <w:t xml:space="preserve"> UWA Application, and </w:t>
      </w:r>
      <w:r>
        <w:rPr>
          <w:szCs w:val="22"/>
        </w:rPr>
        <w:t>JHU Application, respectively)</w:t>
      </w:r>
      <w:r w:rsidR="005E3D9E">
        <w:rPr>
          <w:szCs w:val="22"/>
        </w:rPr>
        <w:t xml:space="preserve"> </w:t>
      </w:r>
      <w:r w:rsidR="00E85A43">
        <w:rPr>
          <w:szCs w:val="22"/>
        </w:rPr>
        <w:t>were filed during</w:t>
      </w:r>
      <w:r w:rsidR="005E3D9E" w:rsidRPr="0023398A">
        <w:rPr>
          <w:szCs w:val="22"/>
        </w:rPr>
        <w:t xml:space="preserve"> the 2013 LPFM filing window and identified by the Media Bureau</w:t>
      </w:r>
      <w:r w:rsidR="00E85A43">
        <w:rPr>
          <w:szCs w:val="22"/>
        </w:rPr>
        <w:t xml:space="preserve"> (Bureau)</w:t>
      </w:r>
      <w:r w:rsidR="005E3D9E" w:rsidRPr="0023398A">
        <w:rPr>
          <w:szCs w:val="22"/>
        </w:rPr>
        <w:t xml:space="preserve"> as LPFM </w:t>
      </w:r>
      <w:r w:rsidR="005E3D9E">
        <w:rPr>
          <w:szCs w:val="22"/>
        </w:rPr>
        <w:t xml:space="preserve">MX </w:t>
      </w:r>
      <w:r w:rsidR="005E3D9E" w:rsidRPr="0023398A">
        <w:rPr>
          <w:szCs w:val="22"/>
        </w:rPr>
        <w:t>Group 198</w:t>
      </w:r>
      <w:r>
        <w:rPr>
          <w:szCs w:val="22"/>
        </w:rPr>
        <w:t>.</w:t>
      </w:r>
      <w:r>
        <w:rPr>
          <w:rStyle w:val="FootnoteReference"/>
          <w:szCs w:val="22"/>
        </w:rPr>
        <w:footnoteReference w:id="4"/>
      </w:r>
      <w:r w:rsidRPr="0023398A">
        <w:rPr>
          <w:szCs w:val="22"/>
        </w:rPr>
        <w:t xml:space="preserve"> </w:t>
      </w:r>
      <w:r>
        <w:rPr>
          <w:szCs w:val="22"/>
        </w:rPr>
        <w:t xml:space="preserve"> </w:t>
      </w:r>
      <w:r w:rsidR="00C44ED9" w:rsidRPr="008534B8">
        <w:rPr>
          <w:szCs w:val="22"/>
        </w:rPr>
        <w:t xml:space="preserve">On September 5, 2014, the Commission issued a Public Notice in which it conducted a point-system analysis </w:t>
      </w:r>
      <w:r w:rsidR="004014D9">
        <w:rPr>
          <w:szCs w:val="22"/>
        </w:rPr>
        <w:t xml:space="preserve">of this group and </w:t>
      </w:r>
      <w:r w:rsidR="00C44ED9" w:rsidRPr="008534B8">
        <w:rPr>
          <w:szCs w:val="22"/>
        </w:rPr>
        <w:t xml:space="preserve">determined that the applications of CEM, BSB, UWA, JHU, and St. Joseph’s were </w:t>
      </w:r>
      <w:r w:rsidR="00C44ED9">
        <w:rPr>
          <w:szCs w:val="22"/>
        </w:rPr>
        <w:t xml:space="preserve">each </w:t>
      </w:r>
      <w:r w:rsidR="00C44ED9" w:rsidRPr="008534B8">
        <w:rPr>
          <w:szCs w:val="22"/>
        </w:rPr>
        <w:t xml:space="preserve">entitled to a total of five </w:t>
      </w:r>
      <w:r w:rsidR="00C44ED9">
        <w:rPr>
          <w:szCs w:val="22"/>
        </w:rPr>
        <w:t xml:space="preserve">comparative </w:t>
      </w:r>
      <w:r w:rsidR="00C44ED9" w:rsidRPr="008534B8">
        <w:rPr>
          <w:szCs w:val="22"/>
        </w:rPr>
        <w:t>points</w:t>
      </w:r>
      <w:r w:rsidR="00C44ED9">
        <w:rPr>
          <w:szCs w:val="22"/>
        </w:rPr>
        <w:t xml:space="preserve"> pursuant to Section 73.872</w:t>
      </w:r>
      <w:r w:rsidR="00E85A43">
        <w:rPr>
          <w:szCs w:val="22"/>
        </w:rPr>
        <w:t>(b)</w:t>
      </w:r>
      <w:r w:rsidR="00C44ED9">
        <w:rPr>
          <w:szCs w:val="22"/>
        </w:rPr>
        <w:t xml:space="preserve"> of the Rules</w:t>
      </w:r>
      <w:r w:rsidR="00C44ED9" w:rsidRPr="008534B8">
        <w:rPr>
          <w:szCs w:val="22"/>
        </w:rPr>
        <w:t>,</w:t>
      </w:r>
      <w:r w:rsidR="00C44ED9">
        <w:rPr>
          <w:rStyle w:val="FootnoteReference"/>
          <w:szCs w:val="22"/>
        </w:rPr>
        <w:footnoteReference w:id="5"/>
      </w:r>
      <w:r w:rsidR="00C44ED9" w:rsidRPr="008534B8">
        <w:rPr>
          <w:szCs w:val="22"/>
        </w:rPr>
        <w:t xml:space="preserve"> while the applications of Loyola and RFC were </w:t>
      </w:r>
      <w:r w:rsidR="00C44ED9">
        <w:rPr>
          <w:szCs w:val="22"/>
        </w:rPr>
        <w:t xml:space="preserve">each </w:t>
      </w:r>
      <w:r w:rsidR="00C44ED9" w:rsidRPr="008534B8">
        <w:rPr>
          <w:szCs w:val="22"/>
        </w:rPr>
        <w:t>entitled to four points.</w:t>
      </w:r>
      <w:r w:rsidR="00C44ED9">
        <w:rPr>
          <w:rStyle w:val="FootnoteReference"/>
          <w:szCs w:val="22"/>
        </w:rPr>
        <w:footnoteReference w:id="6"/>
      </w:r>
      <w:r w:rsidR="00C44ED9" w:rsidRPr="008534B8">
        <w:rPr>
          <w:szCs w:val="22"/>
        </w:rPr>
        <w:t xml:space="preserve">  The </w:t>
      </w:r>
      <w:r w:rsidR="004014D9">
        <w:rPr>
          <w:i/>
          <w:szCs w:val="22"/>
        </w:rPr>
        <w:t xml:space="preserve">September Public Notice </w:t>
      </w:r>
      <w:r w:rsidR="00C44ED9" w:rsidRPr="008534B8">
        <w:rPr>
          <w:szCs w:val="22"/>
        </w:rPr>
        <w:t>thus identified the applications of CEM, BSB, UWA, JHU, and St. Joseph’s as tentative selectees of LPFM Gr</w:t>
      </w:r>
      <w:r w:rsidR="004014D9">
        <w:rPr>
          <w:szCs w:val="22"/>
        </w:rPr>
        <w:t xml:space="preserve">oup 198 on a time-share basis; </w:t>
      </w:r>
      <w:r w:rsidR="00C44ED9" w:rsidRPr="008534B8">
        <w:rPr>
          <w:szCs w:val="22"/>
        </w:rPr>
        <w:t>began a 30-day period for filing petitions to deny those applications</w:t>
      </w:r>
      <w:r w:rsidR="00E85A43">
        <w:rPr>
          <w:szCs w:val="22"/>
        </w:rPr>
        <w:t>;</w:t>
      </w:r>
      <w:r w:rsidR="00C44ED9" w:rsidRPr="008534B8">
        <w:rPr>
          <w:szCs w:val="22"/>
        </w:rPr>
        <w:t xml:space="preserve"> and began 90-day periods in which </w:t>
      </w:r>
      <w:r w:rsidR="00E85A43">
        <w:rPr>
          <w:szCs w:val="22"/>
        </w:rPr>
        <w:t>all MX</w:t>
      </w:r>
      <w:r w:rsidR="00C44ED9">
        <w:rPr>
          <w:szCs w:val="22"/>
        </w:rPr>
        <w:t xml:space="preserve"> </w:t>
      </w:r>
      <w:r w:rsidR="00C44ED9" w:rsidRPr="008534B8">
        <w:rPr>
          <w:szCs w:val="22"/>
        </w:rPr>
        <w:t xml:space="preserve">applicants could file amendments to resolve their mutual exclusivities or </w:t>
      </w:r>
      <w:r w:rsidR="00C44ED9">
        <w:rPr>
          <w:szCs w:val="22"/>
        </w:rPr>
        <w:t xml:space="preserve">those named as tentative selectees could </w:t>
      </w:r>
      <w:r w:rsidR="00C44ED9" w:rsidRPr="008534B8">
        <w:rPr>
          <w:szCs w:val="22"/>
        </w:rPr>
        <w:t xml:space="preserve">file point-aggregation time-share agreements.  </w:t>
      </w:r>
    </w:p>
    <w:p w14:paraId="527C7DC1" w14:textId="77777777" w:rsidR="00E11A77" w:rsidRPr="005E3D9E" w:rsidRDefault="00C44ED9" w:rsidP="00E11A77">
      <w:pPr>
        <w:pStyle w:val="ParaNum"/>
      </w:pPr>
      <w:r w:rsidRPr="008534B8">
        <w:rPr>
          <w:szCs w:val="22"/>
        </w:rPr>
        <w:t xml:space="preserve">Loyola timely filed </w:t>
      </w:r>
      <w:r>
        <w:rPr>
          <w:szCs w:val="22"/>
        </w:rPr>
        <w:t>the First Petition</w:t>
      </w:r>
      <w:r w:rsidRPr="008534B8">
        <w:rPr>
          <w:szCs w:val="22"/>
        </w:rPr>
        <w:t xml:space="preserve"> in which it argue</w:t>
      </w:r>
      <w:r>
        <w:rPr>
          <w:szCs w:val="22"/>
        </w:rPr>
        <w:t>d</w:t>
      </w:r>
      <w:r w:rsidRPr="008534B8">
        <w:rPr>
          <w:szCs w:val="22"/>
        </w:rPr>
        <w:t xml:space="preserve"> that the Commission erred in: 1) not awarding the Loyola Application a point under the diversity of ownership criterion; and 2) awarding the JHU Application a point under </w:t>
      </w:r>
      <w:r>
        <w:rPr>
          <w:szCs w:val="22"/>
        </w:rPr>
        <w:t>that</w:t>
      </w:r>
      <w:r w:rsidRPr="008534B8">
        <w:rPr>
          <w:szCs w:val="22"/>
        </w:rPr>
        <w:t xml:space="preserve"> criterion.  </w:t>
      </w:r>
      <w:r>
        <w:rPr>
          <w:szCs w:val="22"/>
        </w:rPr>
        <w:t>Subsequently, BSB</w:t>
      </w:r>
      <w:r w:rsidRPr="008534B8">
        <w:rPr>
          <w:szCs w:val="22"/>
        </w:rPr>
        <w:t>, St. Joseph</w:t>
      </w:r>
      <w:r>
        <w:rPr>
          <w:szCs w:val="22"/>
        </w:rPr>
        <w:t>’s</w:t>
      </w:r>
      <w:r w:rsidRPr="008534B8">
        <w:rPr>
          <w:szCs w:val="22"/>
        </w:rPr>
        <w:t xml:space="preserve">, and JHU </w:t>
      </w:r>
      <w:r>
        <w:rPr>
          <w:szCs w:val="22"/>
        </w:rPr>
        <w:t xml:space="preserve">amended their respective applications to </w:t>
      </w:r>
      <w:r w:rsidRPr="008534B8">
        <w:rPr>
          <w:szCs w:val="22"/>
        </w:rPr>
        <w:t>file a</w:t>
      </w:r>
      <w:r w:rsidR="006D31D0">
        <w:rPr>
          <w:szCs w:val="22"/>
        </w:rPr>
        <w:t xml:space="preserve"> points-aggregation</w:t>
      </w:r>
      <w:r w:rsidRPr="008534B8">
        <w:rPr>
          <w:szCs w:val="22"/>
        </w:rPr>
        <w:t xml:space="preserve"> time-share agreement </w:t>
      </w:r>
      <w:r w:rsidR="00B10A7D">
        <w:rPr>
          <w:szCs w:val="22"/>
        </w:rPr>
        <w:t>(First Agreement</w:t>
      </w:r>
      <w:r>
        <w:rPr>
          <w:szCs w:val="22"/>
        </w:rPr>
        <w:t>)</w:t>
      </w:r>
      <w:r w:rsidRPr="008534B8">
        <w:rPr>
          <w:szCs w:val="22"/>
        </w:rPr>
        <w:t>.</w:t>
      </w:r>
      <w:r>
        <w:rPr>
          <w:rStyle w:val="FootnoteReference"/>
          <w:szCs w:val="22"/>
        </w:rPr>
        <w:footnoteReference w:id="7"/>
      </w:r>
      <w:r>
        <w:rPr>
          <w:szCs w:val="22"/>
        </w:rPr>
        <w:t xml:space="preserve">  </w:t>
      </w:r>
    </w:p>
    <w:p w14:paraId="0CF14416" w14:textId="7B2A35D1" w:rsidR="00CE776A" w:rsidRPr="00CE776A" w:rsidRDefault="005E3D9E" w:rsidP="00C229E7">
      <w:pPr>
        <w:pStyle w:val="ParaNum"/>
        <w:widowControl/>
      </w:pPr>
      <w:r w:rsidRPr="00CE776A">
        <w:rPr>
          <w:szCs w:val="22"/>
        </w:rPr>
        <w:t xml:space="preserve">In the </w:t>
      </w:r>
      <w:r w:rsidR="00A1610B" w:rsidRPr="00CE776A">
        <w:rPr>
          <w:i/>
          <w:szCs w:val="22"/>
        </w:rPr>
        <w:t>Order</w:t>
      </w:r>
      <w:r w:rsidRPr="00CE776A">
        <w:rPr>
          <w:szCs w:val="22"/>
        </w:rPr>
        <w:t xml:space="preserve">, the </w:t>
      </w:r>
      <w:r w:rsidR="00A1610B" w:rsidRPr="00CE776A">
        <w:rPr>
          <w:szCs w:val="22"/>
        </w:rPr>
        <w:t>Commission granted the First Petition to the extent that it argued that the JHU Application should not have been a tentative sel</w:t>
      </w:r>
      <w:r w:rsidR="0065098B">
        <w:rPr>
          <w:szCs w:val="22"/>
        </w:rPr>
        <w:t>ectee</w:t>
      </w:r>
      <w:r w:rsidR="00EA4CF4">
        <w:rPr>
          <w:szCs w:val="22"/>
        </w:rPr>
        <w:t>.</w:t>
      </w:r>
      <w:r w:rsidR="0065098B">
        <w:rPr>
          <w:rStyle w:val="FootnoteReference"/>
          <w:szCs w:val="22"/>
        </w:rPr>
        <w:footnoteReference w:id="8"/>
      </w:r>
      <w:r w:rsidR="0065098B">
        <w:rPr>
          <w:szCs w:val="22"/>
        </w:rPr>
        <w:t xml:space="preserve"> </w:t>
      </w:r>
      <w:r w:rsidR="00EA4CF4">
        <w:rPr>
          <w:szCs w:val="22"/>
        </w:rPr>
        <w:t xml:space="preserve"> However, t</w:t>
      </w:r>
      <w:r w:rsidR="000460C0">
        <w:rPr>
          <w:szCs w:val="22"/>
        </w:rPr>
        <w:t xml:space="preserve">he </w:t>
      </w:r>
      <w:r w:rsidR="000460C0">
        <w:rPr>
          <w:i/>
          <w:szCs w:val="22"/>
        </w:rPr>
        <w:t>Order</w:t>
      </w:r>
      <w:r w:rsidR="000460C0">
        <w:rPr>
          <w:szCs w:val="22"/>
        </w:rPr>
        <w:t xml:space="preserve"> affirmed the determination in the </w:t>
      </w:r>
      <w:r w:rsidR="000460C0">
        <w:rPr>
          <w:i/>
          <w:szCs w:val="22"/>
        </w:rPr>
        <w:t>September Public Notice</w:t>
      </w:r>
      <w:r w:rsidR="000460C0">
        <w:rPr>
          <w:szCs w:val="22"/>
        </w:rPr>
        <w:t xml:space="preserve"> that Loyola was not </w:t>
      </w:r>
      <w:r w:rsidR="0070664B">
        <w:rPr>
          <w:szCs w:val="22"/>
        </w:rPr>
        <w:t xml:space="preserve">entitled to a comparative point </w:t>
      </w:r>
      <w:r w:rsidR="00FE5C73">
        <w:rPr>
          <w:szCs w:val="22"/>
        </w:rPr>
        <w:t>because one of its board members</w:t>
      </w:r>
      <w:r w:rsidR="00B81BAB">
        <w:rPr>
          <w:szCs w:val="22"/>
        </w:rPr>
        <w:t xml:space="preserve"> holds attributable interest</w:t>
      </w:r>
      <w:r w:rsidR="00EA4CF4">
        <w:rPr>
          <w:szCs w:val="22"/>
        </w:rPr>
        <w:t>s</w:t>
      </w:r>
      <w:r w:rsidR="00B81BAB">
        <w:rPr>
          <w:szCs w:val="22"/>
        </w:rPr>
        <w:t xml:space="preserve"> in two other broadcast stations.</w:t>
      </w:r>
      <w:r w:rsidR="00B81BAB">
        <w:rPr>
          <w:rStyle w:val="FootnoteReference"/>
          <w:szCs w:val="22"/>
        </w:rPr>
        <w:footnoteReference w:id="9"/>
      </w:r>
      <w:r w:rsidR="00B81BAB">
        <w:rPr>
          <w:szCs w:val="22"/>
        </w:rPr>
        <w:t xml:space="preserve">  The Commission again stated that although Section 73.858(a) provided an attribution exception to the Commission’s LPFM ownership and cross-ownership limits, </w:t>
      </w:r>
      <w:r w:rsidR="00EB3041">
        <w:rPr>
          <w:szCs w:val="22"/>
        </w:rPr>
        <w:t xml:space="preserve">the clear wording of </w:t>
      </w:r>
      <w:r w:rsidR="00EA4CF4">
        <w:rPr>
          <w:szCs w:val="22"/>
        </w:rPr>
        <w:t xml:space="preserve">that rule </w:t>
      </w:r>
      <w:r w:rsidR="00B81BAB">
        <w:rPr>
          <w:szCs w:val="22"/>
        </w:rPr>
        <w:t xml:space="preserve">did not provide an exception </w:t>
      </w:r>
      <w:r w:rsidR="00C275AF">
        <w:rPr>
          <w:szCs w:val="22"/>
        </w:rPr>
        <w:t>to</w:t>
      </w:r>
      <w:r w:rsidR="00B81BAB">
        <w:rPr>
          <w:szCs w:val="22"/>
        </w:rPr>
        <w:t xml:space="preserve"> the attribution rules for the purposes </w:t>
      </w:r>
      <w:r w:rsidR="00C229E7">
        <w:rPr>
          <w:szCs w:val="22"/>
        </w:rPr>
        <w:t xml:space="preserve">of </w:t>
      </w:r>
      <w:r w:rsidR="00B81BAB">
        <w:rPr>
          <w:szCs w:val="22"/>
        </w:rPr>
        <w:t>comparative points under Section 73.872</w:t>
      </w:r>
      <w:r w:rsidR="00C229E7">
        <w:rPr>
          <w:szCs w:val="22"/>
        </w:rPr>
        <w:t>(b)</w:t>
      </w:r>
      <w:r w:rsidR="00B81BAB">
        <w:rPr>
          <w:szCs w:val="22"/>
        </w:rPr>
        <w:t>.</w:t>
      </w:r>
      <w:r w:rsidR="00554A1F">
        <w:rPr>
          <w:rStyle w:val="FootnoteReference"/>
          <w:szCs w:val="22"/>
        </w:rPr>
        <w:footnoteReference w:id="10"/>
      </w:r>
      <w:r w:rsidR="00554A1F">
        <w:rPr>
          <w:szCs w:val="22"/>
        </w:rPr>
        <w:t xml:space="preserve">  </w:t>
      </w:r>
      <w:r w:rsidR="00EB3041">
        <w:rPr>
          <w:szCs w:val="22"/>
        </w:rPr>
        <w:t xml:space="preserve">The </w:t>
      </w:r>
      <w:r w:rsidR="00EB3041">
        <w:rPr>
          <w:i/>
          <w:szCs w:val="22"/>
        </w:rPr>
        <w:t>Order</w:t>
      </w:r>
      <w:r w:rsidR="00EB3041">
        <w:rPr>
          <w:szCs w:val="22"/>
        </w:rPr>
        <w:t xml:space="preserve"> further rejected Loyola’s argument</w:t>
      </w:r>
      <w:r w:rsidR="00B309CE">
        <w:rPr>
          <w:szCs w:val="22"/>
        </w:rPr>
        <w:t>s</w:t>
      </w:r>
      <w:r w:rsidR="00EB3041">
        <w:rPr>
          <w:szCs w:val="22"/>
        </w:rPr>
        <w:t xml:space="preserve"> that </w:t>
      </w:r>
      <w:r w:rsidR="00C229E7">
        <w:rPr>
          <w:szCs w:val="22"/>
        </w:rPr>
        <w:t>it lacked notice of this distinction a</w:t>
      </w:r>
      <w:r w:rsidR="00AA127F">
        <w:rPr>
          <w:szCs w:val="22"/>
        </w:rPr>
        <w:t>nd</w:t>
      </w:r>
      <w:r w:rsidR="00C229E7">
        <w:rPr>
          <w:szCs w:val="22"/>
        </w:rPr>
        <w:t xml:space="preserve"> </w:t>
      </w:r>
      <w:r w:rsidR="00EB3041">
        <w:rPr>
          <w:szCs w:val="22"/>
        </w:rPr>
        <w:t xml:space="preserve">its </w:t>
      </w:r>
      <w:r w:rsidR="00B309CE">
        <w:rPr>
          <w:szCs w:val="22"/>
        </w:rPr>
        <w:t xml:space="preserve">contrary </w:t>
      </w:r>
      <w:r w:rsidR="00EB3041">
        <w:rPr>
          <w:szCs w:val="22"/>
        </w:rPr>
        <w:t>interpretation</w:t>
      </w:r>
      <w:r w:rsidR="00B309CE">
        <w:rPr>
          <w:szCs w:val="22"/>
        </w:rPr>
        <w:t>s</w:t>
      </w:r>
      <w:r w:rsidR="00EB3041">
        <w:rPr>
          <w:szCs w:val="22"/>
        </w:rPr>
        <w:t xml:space="preserve"> of Section 73.858(a) </w:t>
      </w:r>
      <w:r w:rsidR="00B309CE">
        <w:rPr>
          <w:szCs w:val="22"/>
        </w:rPr>
        <w:t xml:space="preserve">and </w:t>
      </w:r>
      <w:r w:rsidR="00EB3041">
        <w:rPr>
          <w:szCs w:val="22"/>
        </w:rPr>
        <w:t>the Instruction</w:t>
      </w:r>
      <w:r w:rsidR="00EA4CF4">
        <w:rPr>
          <w:szCs w:val="22"/>
        </w:rPr>
        <w:t>s</w:t>
      </w:r>
      <w:r w:rsidR="00EB3041">
        <w:rPr>
          <w:szCs w:val="22"/>
        </w:rPr>
        <w:t xml:space="preserve"> for FCC Form 318 (Instruction</w:t>
      </w:r>
      <w:r w:rsidR="00C275AF">
        <w:rPr>
          <w:szCs w:val="22"/>
        </w:rPr>
        <w:t>s</w:t>
      </w:r>
      <w:r w:rsidR="00C229E7">
        <w:rPr>
          <w:szCs w:val="22"/>
        </w:rPr>
        <w:t>).  The Commission</w:t>
      </w:r>
      <w:r w:rsidR="00EB3041">
        <w:rPr>
          <w:szCs w:val="22"/>
        </w:rPr>
        <w:t xml:space="preserve"> </w:t>
      </w:r>
      <w:r w:rsidR="00C229E7">
        <w:rPr>
          <w:szCs w:val="22"/>
        </w:rPr>
        <w:t>found</w:t>
      </w:r>
      <w:r w:rsidR="00EB3041">
        <w:rPr>
          <w:szCs w:val="22"/>
        </w:rPr>
        <w:t xml:space="preserve"> that </w:t>
      </w:r>
      <w:r w:rsidR="00EB3041">
        <w:rPr>
          <w:szCs w:val="22"/>
        </w:rPr>
        <w:lastRenderedPageBreak/>
        <w:t>such a reading contradicted the text of the Rule and would undermine the Commission’s goal of promoting diversity</w:t>
      </w:r>
      <w:r w:rsidR="00767DE0">
        <w:rPr>
          <w:szCs w:val="22"/>
        </w:rPr>
        <w:t xml:space="preserve"> of ownership</w:t>
      </w:r>
      <w:r w:rsidR="00EB3041">
        <w:rPr>
          <w:szCs w:val="22"/>
        </w:rPr>
        <w:t>.</w:t>
      </w:r>
      <w:r w:rsidR="00EB3041">
        <w:rPr>
          <w:rStyle w:val="FootnoteReference"/>
          <w:szCs w:val="22"/>
        </w:rPr>
        <w:footnoteReference w:id="11"/>
      </w:r>
      <w:r w:rsidR="00EB3041">
        <w:rPr>
          <w:szCs w:val="22"/>
        </w:rPr>
        <w:t xml:space="preserve">  </w:t>
      </w:r>
    </w:p>
    <w:p w14:paraId="1ECDB3D8" w14:textId="594FC8B8" w:rsidR="003B6499" w:rsidRPr="00683242" w:rsidRDefault="00A1610B" w:rsidP="009A3ACB">
      <w:pPr>
        <w:pStyle w:val="ParaNum"/>
      </w:pPr>
      <w:r w:rsidRPr="00CE776A">
        <w:rPr>
          <w:szCs w:val="22"/>
        </w:rPr>
        <w:t xml:space="preserve">The </w:t>
      </w:r>
      <w:r w:rsidRPr="00CE776A">
        <w:rPr>
          <w:i/>
          <w:szCs w:val="22"/>
        </w:rPr>
        <w:t>Order</w:t>
      </w:r>
      <w:r w:rsidRPr="00CE776A">
        <w:rPr>
          <w:szCs w:val="22"/>
        </w:rPr>
        <w:t xml:space="preserve"> </w:t>
      </w:r>
      <w:r w:rsidR="00CE776A">
        <w:rPr>
          <w:szCs w:val="22"/>
        </w:rPr>
        <w:t xml:space="preserve">also </w:t>
      </w:r>
      <w:r w:rsidR="00B309CE">
        <w:rPr>
          <w:szCs w:val="22"/>
        </w:rPr>
        <w:t>concluded that</w:t>
      </w:r>
      <w:r w:rsidR="00C17552" w:rsidRPr="00CE776A">
        <w:rPr>
          <w:szCs w:val="22"/>
        </w:rPr>
        <w:t xml:space="preserve"> </w:t>
      </w:r>
      <w:r w:rsidR="00CE776A" w:rsidRPr="00CE776A">
        <w:rPr>
          <w:szCs w:val="22"/>
        </w:rPr>
        <w:t xml:space="preserve">the First Agreement </w:t>
      </w:r>
      <w:r w:rsidR="00B309CE">
        <w:rPr>
          <w:szCs w:val="22"/>
        </w:rPr>
        <w:t xml:space="preserve">was no longer valid </w:t>
      </w:r>
      <w:r w:rsidR="00CE776A" w:rsidRPr="00CE776A">
        <w:rPr>
          <w:szCs w:val="22"/>
        </w:rPr>
        <w:t>because the St. Joseph’s Application</w:t>
      </w:r>
      <w:r w:rsidR="00CE776A">
        <w:rPr>
          <w:szCs w:val="22"/>
        </w:rPr>
        <w:t xml:space="preserve"> </w:t>
      </w:r>
      <w:r w:rsidR="00CE776A" w:rsidRPr="00CE776A">
        <w:rPr>
          <w:szCs w:val="22"/>
        </w:rPr>
        <w:t>had been granted and</w:t>
      </w:r>
      <w:r w:rsidR="0065098B">
        <w:rPr>
          <w:szCs w:val="22"/>
        </w:rPr>
        <w:t xml:space="preserve"> the</w:t>
      </w:r>
      <w:r w:rsidR="00CE776A" w:rsidRPr="00CE776A">
        <w:rPr>
          <w:szCs w:val="22"/>
        </w:rPr>
        <w:t xml:space="preserve"> JHU </w:t>
      </w:r>
      <w:r w:rsidR="0065098B">
        <w:rPr>
          <w:szCs w:val="22"/>
        </w:rPr>
        <w:t xml:space="preserve">Application </w:t>
      </w:r>
      <w:r w:rsidR="00CE776A" w:rsidRPr="00CE776A">
        <w:rPr>
          <w:szCs w:val="22"/>
        </w:rPr>
        <w:t>was no longer a tentative selectee.</w:t>
      </w:r>
      <w:r w:rsidR="0070664B">
        <w:rPr>
          <w:rStyle w:val="FootnoteReference"/>
          <w:szCs w:val="22"/>
        </w:rPr>
        <w:footnoteReference w:id="12"/>
      </w:r>
      <w:r w:rsidR="00CE776A" w:rsidRPr="00CE776A">
        <w:rPr>
          <w:szCs w:val="22"/>
        </w:rPr>
        <w:t xml:space="preserve"> </w:t>
      </w:r>
      <w:r w:rsidR="00CE776A">
        <w:rPr>
          <w:szCs w:val="22"/>
        </w:rPr>
        <w:t xml:space="preserve"> </w:t>
      </w:r>
      <w:r w:rsidR="0070664B">
        <w:rPr>
          <w:szCs w:val="22"/>
        </w:rPr>
        <w:t>Accordingly</w:t>
      </w:r>
      <w:r w:rsidR="003B6499" w:rsidRPr="00CE776A">
        <w:rPr>
          <w:szCs w:val="22"/>
        </w:rPr>
        <w:t xml:space="preserve">, the </w:t>
      </w:r>
      <w:r w:rsidR="00EA4CF4">
        <w:rPr>
          <w:i/>
          <w:szCs w:val="22"/>
        </w:rPr>
        <w:t>Order</w:t>
      </w:r>
      <w:r w:rsidR="003B6499" w:rsidRPr="00CE776A">
        <w:rPr>
          <w:szCs w:val="22"/>
        </w:rPr>
        <w:t xml:space="preserve"> identified the CEM Application, the BSB Application, and the UWA Application as the</w:t>
      </w:r>
      <w:r w:rsidR="00683242" w:rsidRPr="00CE776A">
        <w:rPr>
          <w:szCs w:val="22"/>
        </w:rPr>
        <w:t xml:space="preserve"> new</w:t>
      </w:r>
      <w:r w:rsidR="003B6499" w:rsidRPr="00CE776A">
        <w:rPr>
          <w:szCs w:val="22"/>
        </w:rPr>
        <w:t xml:space="preserve"> tentative selectees of LPFM MX Group 198 and afforded </w:t>
      </w:r>
      <w:r w:rsidR="007901CB">
        <w:rPr>
          <w:szCs w:val="22"/>
        </w:rPr>
        <w:t>these applicants a</w:t>
      </w:r>
      <w:r w:rsidR="00683242" w:rsidRPr="00CE776A">
        <w:rPr>
          <w:szCs w:val="22"/>
        </w:rPr>
        <w:t xml:space="preserve"> 90-day period in which to file a </w:t>
      </w:r>
      <w:r w:rsidR="0065098B">
        <w:rPr>
          <w:szCs w:val="22"/>
        </w:rPr>
        <w:t xml:space="preserve">new </w:t>
      </w:r>
      <w:r w:rsidR="00683242" w:rsidRPr="00CE776A">
        <w:rPr>
          <w:szCs w:val="22"/>
        </w:rPr>
        <w:t>time</w:t>
      </w:r>
      <w:r w:rsidR="0065098B">
        <w:rPr>
          <w:szCs w:val="22"/>
        </w:rPr>
        <w:t>-</w:t>
      </w:r>
      <w:r w:rsidR="00683242" w:rsidRPr="00CE776A">
        <w:rPr>
          <w:szCs w:val="22"/>
        </w:rPr>
        <w:t>share agreement.</w:t>
      </w:r>
      <w:r w:rsidR="0065098B">
        <w:rPr>
          <w:rStyle w:val="FootnoteReference"/>
          <w:szCs w:val="22"/>
        </w:rPr>
        <w:footnoteReference w:id="13"/>
      </w:r>
      <w:r w:rsidR="0065098B">
        <w:rPr>
          <w:szCs w:val="22"/>
        </w:rPr>
        <w:t xml:space="preserve">  The </w:t>
      </w:r>
      <w:r w:rsidR="0065098B">
        <w:rPr>
          <w:i/>
          <w:szCs w:val="22"/>
        </w:rPr>
        <w:t>Order</w:t>
      </w:r>
      <w:r w:rsidR="00B324DA">
        <w:rPr>
          <w:szCs w:val="22"/>
        </w:rPr>
        <w:t>,</w:t>
      </w:r>
      <w:r w:rsidR="0065098B">
        <w:rPr>
          <w:szCs w:val="22"/>
        </w:rPr>
        <w:t xml:space="preserve"> however</w:t>
      </w:r>
      <w:r w:rsidR="00B324DA">
        <w:rPr>
          <w:szCs w:val="22"/>
        </w:rPr>
        <w:t>,</w:t>
      </w:r>
      <w:r w:rsidR="0065098B">
        <w:rPr>
          <w:szCs w:val="22"/>
        </w:rPr>
        <w:t xml:space="preserve"> took no </w:t>
      </w:r>
      <w:r w:rsidR="00FF6589">
        <w:rPr>
          <w:szCs w:val="22"/>
        </w:rPr>
        <w:t xml:space="preserve">final </w:t>
      </w:r>
      <w:r w:rsidR="0065098B">
        <w:rPr>
          <w:szCs w:val="22"/>
        </w:rPr>
        <w:t>action on any of the applications in LPFM MX Group 198.</w:t>
      </w:r>
      <w:r w:rsidR="0065098B">
        <w:rPr>
          <w:rStyle w:val="FootnoteReference"/>
          <w:szCs w:val="22"/>
        </w:rPr>
        <w:footnoteReference w:id="14"/>
      </w:r>
    </w:p>
    <w:p w14:paraId="5479339E" w14:textId="77777777" w:rsidR="000460C0" w:rsidRPr="00B324DA" w:rsidRDefault="00683242" w:rsidP="00F24F50">
      <w:pPr>
        <w:pStyle w:val="ParaNum"/>
      </w:pPr>
      <w:r w:rsidRPr="00807C5A">
        <w:rPr>
          <w:szCs w:val="22"/>
        </w:rPr>
        <w:t xml:space="preserve">In the Second Petition, Loyola </w:t>
      </w:r>
      <w:r w:rsidR="00CE776A" w:rsidRPr="00807C5A">
        <w:rPr>
          <w:szCs w:val="22"/>
        </w:rPr>
        <w:t xml:space="preserve">again </w:t>
      </w:r>
      <w:r w:rsidR="007901CB">
        <w:rPr>
          <w:szCs w:val="22"/>
        </w:rPr>
        <w:t>contends</w:t>
      </w:r>
      <w:r w:rsidRPr="00807C5A">
        <w:rPr>
          <w:szCs w:val="22"/>
        </w:rPr>
        <w:t xml:space="preserve"> that the Commission erred in denying it the com</w:t>
      </w:r>
      <w:r w:rsidR="004A26F4" w:rsidRPr="00807C5A">
        <w:rPr>
          <w:szCs w:val="22"/>
        </w:rPr>
        <w:t>parativ</w:t>
      </w:r>
      <w:r w:rsidR="00A45B4A" w:rsidRPr="00807C5A">
        <w:rPr>
          <w:szCs w:val="22"/>
        </w:rPr>
        <w:t>e</w:t>
      </w:r>
      <w:r w:rsidRPr="00807C5A">
        <w:rPr>
          <w:szCs w:val="22"/>
        </w:rPr>
        <w:t xml:space="preserve"> point </w:t>
      </w:r>
      <w:r w:rsidR="004A26F4" w:rsidRPr="00807C5A">
        <w:rPr>
          <w:szCs w:val="22"/>
        </w:rPr>
        <w:t>under the diversity of ownership criterion.</w:t>
      </w:r>
      <w:r w:rsidR="0099148E">
        <w:rPr>
          <w:rStyle w:val="FootnoteReference"/>
          <w:szCs w:val="22"/>
        </w:rPr>
        <w:footnoteReference w:id="15"/>
      </w:r>
      <w:r w:rsidR="004A26F4" w:rsidRPr="00807C5A">
        <w:rPr>
          <w:szCs w:val="22"/>
        </w:rPr>
        <w:t xml:space="preserve">  </w:t>
      </w:r>
      <w:r w:rsidR="00A45B4A" w:rsidRPr="00807C5A">
        <w:rPr>
          <w:szCs w:val="22"/>
        </w:rPr>
        <w:t xml:space="preserve">It first argues that </w:t>
      </w:r>
      <w:r w:rsidR="003E0586" w:rsidRPr="00807C5A">
        <w:rPr>
          <w:szCs w:val="22"/>
        </w:rPr>
        <w:t>“</w:t>
      </w:r>
      <w:r w:rsidR="00A45B4A" w:rsidRPr="00807C5A">
        <w:rPr>
          <w:szCs w:val="22"/>
        </w:rPr>
        <w:t>[a]pplica</w:t>
      </w:r>
      <w:r w:rsidR="00554A1F" w:rsidRPr="00807C5A">
        <w:rPr>
          <w:szCs w:val="22"/>
        </w:rPr>
        <w:t>n</w:t>
      </w:r>
      <w:r w:rsidR="00A45B4A" w:rsidRPr="00807C5A">
        <w:rPr>
          <w:szCs w:val="22"/>
        </w:rPr>
        <w:t>ts in the current LPFM window were not given explicit notice that a recusal would be ineffective for the diversity of ownership point due to lack of any formal distinction made by the Commission and the plain text of the Instructions.”</w:t>
      </w:r>
      <w:r w:rsidR="00A45B4A">
        <w:rPr>
          <w:rStyle w:val="FootnoteReference"/>
          <w:szCs w:val="22"/>
        </w:rPr>
        <w:footnoteReference w:id="16"/>
      </w:r>
      <w:r w:rsidR="00A45B4A" w:rsidRPr="00807C5A">
        <w:rPr>
          <w:szCs w:val="22"/>
        </w:rPr>
        <w:t xml:space="preserve">  Loyola further states that “as a processing rule, Loyola was entitled to </w:t>
      </w:r>
      <w:r w:rsidR="00554A1F" w:rsidRPr="00807C5A">
        <w:rPr>
          <w:szCs w:val="22"/>
        </w:rPr>
        <w:t>explicit</w:t>
      </w:r>
      <w:r w:rsidR="00A45B4A" w:rsidRPr="00807C5A">
        <w:rPr>
          <w:szCs w:val="22"/>
        </w:rPr>
        <w:t xml:space="preserve"> notice of all application requirements, including that its recusal would not be effective for the purposes of the diversity of ownership point criterion.”</w:t>
      </w:r>
      <w:r w:rsidR="00A45B4A">
        <w:rPr>
          <w:rStyle w:val="FootnoteReference"/>
          <w:szCs w:val="22"/>
        </w:rPr>
        <w:footnoteReference w:id="17"/>
      </w:r>
      <w:r w:rsidR="00807C5A" w:rsidRPr="00807C5A">
        <w:rPr>
          <w:szCs w:val="22"/>
        </w:rPr>
        <w:t xml:space="preserve">  </w:t>
      </w:r>
      <w:r w:rsidR="00807C5A">
        <w:rPr>
          <w:szCs w:val="22"/>
        </w:rPr>
        <w:t>L</w:t>
      </w:r>
      <w:r w:rsidR="000460C0" w:rsidRPr="00807C5A">
        <w:rPr>
          <w:szCs w:val="22"/>
        </w:rPr>
        <w:t xml:space="preserve">oyola also argues, for the first time, that notwithstanding its </w:t>
      </w:r>
      <w:r w:rsidR="004A26F4" w:rsidRPr="00807C5A">
        <w:rPr>
          <w:szCs w:val="22"/>
        </w:rPr>
        <w:t>attributable</w:t>
      </w:r>
      <w:r w:rsidR="000460C0" w:rsidRPr="00807C5A">
        <w:rPr>
          <w:szCs w:val="22"/>
        </w:rPr>
        <w:t xml:space="preserve"> interest, it should receive a diversity ownership po</w:t>
      </w:r>
      <w:r w:rsidR="00807C5A" w:rsidRPr="00807C5A">
        <w:rPr>
          <w:szCs w:val="22"/>
        </w:rPr>
        <w:t>in</w:t>
      </w:r>
      <w:r w:rsidR="000460C0" w:rsidRPr="00807C5A">
        <w:rPr>
          <w:szCs w:val="22"/>
        </w:rPr>
        <w:t>t because “it is not a subsidiary of a parent organ</w:t>
      </w:r>
      <w:r w:rsidR="004A26F4" w:rsidRPr="00807C5A">
        <w:rPr>
          <w:szCs w:val="22"/>
        </w:rPr>
        <w:t>iz</w:t>
      </w:r>
      <w:r w:rsidR="000460C0" w:rsidRPr="00807C5A">
        <w:rPr>
          <w:szCs w:val="22"/>
        </w:rPr>
        <w:t xml:space="preserve">ation that is an active player in the broadcast </w:t>
      </w:r>
      <w:r w:rsidR="004A26F4" w:rsidRPr="00807C5A">
        <w:rPr>
          <w:szCs w:val="22"/>
        </w:rPr>
        <w:t>marketing</w:t>
      </w:r>
      <w:r w:rsidR="000460C0" w:rsidRPr="00807C5A">
        <w:rPr>
          <w:szCs w:val="22"/>
        </w:rPr>
        <w:t xml:space="preserve">” but rather is “a university trying to </w:t>
      </w:r>
      <w:r w:rsidR="004A26F4" w:rsidRPr="00807C5A">
        <w:rPr>
          <w:szCs w:val="22"/>
        </w:rPr>
        <w:t>o</w:t>
      </w:r>
      <w:r w:rsidR="000460C0" w:rsidRPr="00807C5A">
        <w:rPr>
          <w:szCs w:val="22"/>
        </w:rPr>
        <w:t xml:space="preserve">btain its first broadcast station for </w:t>
      </w:r>
      <w:r w:rsidR="005151DA" w:rsidRPr="00807C5A">
        <w:rPr>
          <w:szCs w:val="22"/>
        </w:rPr>
        <w:t>educational</w:t>
      </w:r>
      <w:r w:rsidR="000460C0" w:rsidRPr="00807C5A">
        <w:rPr>
          <w:szCs w:val="22"/>
        </w:rPr>
        <w:t xml:space="preserve"> purposes.  The attributable </w:t>
      </w:r>
      <w:r w:rsidR="005151DA" w:rsidRPr="00807C5A">
        <w:rPr>
          <w:szCs w:val="22"/>
        </w:rPr>
        <w:t>interest</w:t>
      </w:r>
      <w:r w:rsidR="000460C0" w:rsidRPr="00807C5A">
        <w:rPr>
          <w:szCs w:val="22"/>
        </w:rPr>
        <w:t xml:space="preserve"> at issue here . . . is </w:t>
      </w:r>
      <w:r w:rsidR="000460C0" w:rsidRPr="00807C5A">
        <w:rPr>
          <w:i/>
          <w:szCs w:val="22"/>
        </w:rPr>
        <w:t>de minimis</w:t>
      </w:r>
      <w:r w:rsidR="005151DA" w:rsidRPr="00807C5A">
        <w:rPr>
          <w:szCs w:val="22"/>
        </w:rPr>
        <w:t>.”</w:t>
      </w:r>
      <w:r w:rsidR="005151DA">
        <w:rPr>
          <w:rStyle w:val="FootnoteReference"/>
          <w:szCs w:val="22"/>
        </w:rPr>
        <w:footnoteReference w:id="18"/>
      </w:r>
    </w:p>
    <w:p w14:paraId="48BE1F8C" w14:textId="77777777" w:rsidR="00E11A77" w:rsidRPr="00B324DA" w:rsidRDefault="00E11A77" w:rsidP="00E11A77">
      <w:pPr>
        <w:pStyle w:val="ParaNum"/>
        <w:widowControl/>
        <w:numPr>
          <w:ilvl w:val="0"/>
          <w:numId w:val="8"/>
        </w:numPr>
        <w:rPr>
          <w:b/>
          <w:szCs w:val="22"/>
        </w:rPr>
      </w:pPr>
      <w:r w:rsidRPr="00B324DA">
        <w:rPr>
          <w:b/>
          <w:szCs w:val="22"/>
        </w:rPr>
        <w:t>Discussion</w:t>
      </w:r>
    </w:p>
    <w:p w14:paraId="40CD0DF5" w14:textId="77777777" w:rsidR="00165F89" w:rsidRPr="00A22153" w:rsidRDefault="00DF6F43" w:rsidP="00165F89">
      <w:pPr>
        <w:pStyle w:val="ParaNum"/>
        <w:rPr>
          <w:szCs w:val="22"/>
        </w:rPr>
      </w:pPr>
      <w:r w:rsidRPr="00A22153">
        <w:rPr>
          <w:szCs w:val="22"/>
        </w:rPr>
        <w:t>Section 1.106(a</w:t>
      </w:r>
      <w:r w:rsidR="005E3D9E" w:rsidRPr="00A22153">
        <w:rPr>
          <w:szCs w:val="22"/>
        </w:rPr>
        <w:t xml:space="preserve">) </w:t>
      </w:r>
      <w:r w:rsidR="00176A92" w:rsidRPr="00A22153">
        <w:rPr>
          <w:szCs w:val="22"/>
        </w:rPr>
        <w:t xml:space="preserve">of </w:t>
      </w:r>
      <w:r w:rsidR="00A60568">
        <w:rPr>
          <w:szCs w:val="22"/>
        </w:rPr>
        <w:t xml:space="preserve">the </w:t>
      </w:r>
      <w:r w:rsidR="005E3D9E" w:rsidRPr="00A22153">
        <w:rPr>
          <w:szCs w:val="22"/>
        </w:rPr>
        <w:t xml:space="preserve">Rules </w:t>
      </w:r>
      <w:r w:rsidR="00CB6632" w:rsidRPr="00A22153">
        <w:rPr>
          <w:szCs w:val="22"/>
        </w:rPr>
        <w:t>generally prohibits petitions for reconsideration of interlocutory orders.</w:t>
      </w:r>
      <w:r w:rsidR="00CB6632" w:rsidRPr="00A22153">
        <w:rPr>
          <w:rStyle w:val="FootnoteReference"/>
          <w:sz w:val="22"/>
          <w:szCs w:val="22"/>
        </w:rPr>
        <w:footnoteReference w:id="19"/>
      </w:r>
      <w:r w:rsidR="00C44ED9" w:rsidRPr="00A22153">
        <w:rPr>
          <w:szCs w:val="22"/>
        </w:rPr>
        <w:t xml:space="preserve">  </w:t>
      </w:r>
      <w:r w:rsidR="00CB6632" w:rsidRPr="00A22153">
        <w:rPr>
          <w:szCs w:val="22"/>
        </w:rPr>
        <w:t xml:space="preserve">The </w:t>
      </w:r>
      <w:r w:rsidR="00CB6632" w:rsidRPr="00A22153">
        <w:rPr>
          <w:i/>
          <w:szCs w:val="22"/>
        </w:rPr>
        <w:t>Order</w:t>
      </w:r>
      <w:r w:rsidR="00CB6632" w:rsidRPr="00A22153">
        <w:rPr>
          <w:szCs w:val="22"/>
        </w:rPr>
        <w:t xml:space="preserve"> is an interlocutory order because it did not </w:t>
      </w:r>
      <w:r w:rsidR="00807C5A">
        <w:rPr>
          <w:szCs w:val="22"/>
        </w:rPr>
        <w:t>take</w:t>
      </w:r>
      <w:r w:rsidR="00CB6632" w:rsidRPr="00A22153">
        <w:rPr>
          <w:szCs w:val="22"/>
        </w:rPr>
        <w:t xml:space="preserve"> any </w:t>
      </w:r>
      <w:r w:rsidR="00807C5A">
        <w:rPr>
          <w:szCs w:val="22"/>
        </w:rPr>
        <w:t xml:space="preserve">final action on any </w:t>
      </w:r>
      <w:r w:rsidR="00CB6632" w:rsidRPr="00A22153">
        <w:rPr>
          <w:szCs w:val="22"/>
        </w:rPr>
        <w:t>application in LPFM MX Group 198.</w:t>
      </w:r>
      <w:r w:rsidR="00E20F5A" w:rsidRPr="00A22153">
        <w:rPr>
          <w:rStyle w:val="FootnoteReference"/>
          <w:sz w:val="22"/>
          <w:szCs w:val="22"/>
        </w:rPr>
        <w:footnoteReference w:id="20"/>
      </w:r>
      <w:r w:rsidR="00CB6632" w:rsidRPr="00A22153">
        <w:rPr>
          <w:szCs w:val="22"/>
        </w:rPr>
        <w:t xml:space="preserve"> </w:t>
      </w:r>
      <w:r w:rsidR="00A45B4A" w:rsidRPr="00A22153">
        <w:rPr>
          <w:szCs w:val="22"/>
        </w:rPr>
        <w:t xml:space="preserve"> </w:t>
      </w:r>
      <w:r w:rsidR="00CB6632" w:rsidRPr="00A22153">
        <w:rPr>
          <w:szCs w:val="22"/>
        </w:rPr>
        <w:t xml:space="preserve">Consequently, the </w:t>
      </w:r>
      <w:r w:rsidR="00CB6632" w:rsidRPr="00A22153">
        <w:rPr>
          <w:i/>
          <w:szCs w:val="22"/>
        </w:rPr>
        <w:t>Order</w:t>
      </w:r>
      <w:r w:rsidR="00CB6632" w:rsidRPr="00A22153">
        <w:rPr>
          <w:szCs w:val="22"/>
        </w:rPr>
        <w:t xml:space="preserve"> is not subject to reconsideration at this stage, and we will dismiss the Second Petition.</w:t>
      </w:r>
      <w:r w:rsidR="00A45B4A" w:rsidRPr="00A22153">
        <w:rPr>
          <w:rStyle w:val="FootnoteReference"/>
          <w:sz w:val="22"/>
          <w:szCs w:val="22"/>
        </w:rPr>
        <w:footnoteReference w:id="21"/>
      </w:r>
      <w:r w:rsidR="00CB6632" w:rsidRPr="00A22153">
        <w:rPr>
          <w:szCs w:val="22"/>
        </w:rPr>
        <w:t xml:space="preserve">  </w:t>
      </w:r>
    </w:p>
    <w:p w14:paraId="159D5084" w14:textId="4111D6D1" w:rsidR="00A22153" w:rsidRPr="00A22153" w:rsidRDefault="00165F89" w:rsidP="00593D02">
      <w:pPr>
        <w:pStyle w:val="ParaNum"/>
        <w:widowControl/>
        <w:rPr>
          <w:szCs w:val="22"/>
        </w:rPr>
      </w:pPr>
      <w:r w:rsidRPr="00A22153">
        <w:rPr>
          <w:szCs w:val="22"/>
        </w:rPr>
        <w:t xml:space="preserve">Additionally, Section 1.106(p) of the </w:t>
      </w:r>
      <w:r w:rsidR="00807C5A">
        <w:rPr>
          <w:szCs w:val="22"/>
        </w:rPr>
        <w:t>R</w:t>
      </w:r>
      <w:r w:rsidRPr="00A22153">
        <w:rPr>
          <w:szCs w:val="22"/>
        </w:rPr>
        <w:t>ules permits the Bureau to dismiss or deny petitions for reconsideration “that plainly do not warrant consideration by the Commission.”</w:t>
      </w:r>
      <w:r w:rsidR="00153C29" w:rsidRPr="00A22153">
        <w:rPr>
          <w:rStyle w:val="FootnoteReference"/>
          <w:sz w:val="22"/>
          <w:szCs w:val="22"/>
        </w:rPr>
        <w:footnoteReference w:id="22"/>
      </w:r>
      <w:r w:rsidRPr="00A22153">
        <w:rPr>
          <w:szCs w:val="22"/>
        </w:rPr>
        <w:t> </w:t>
      </w:r>
      <w:r w:rsidR="00153C29" w:rsidRPr="00A22153">
        <w:rPr>
          <w:szCs w:val="22"/>
        </w:rPr>
        <w:t xml:space="preserve"> </w:t>
      </w:r>
      <w:r w:rsidR="00AE2539">
        <w:rPr>
          <w:szCs w:val="22"/>
        </w:rPr>
        <w:t xml:space="preserve">Section 1.106(p)(3) </w:t>
      </w:r>
      <w:r w:rsidRPr="00A22153">
        <w:rPr>
          <w:szCs w:val="22"/>
        </w:rPr>
        <w:t>specifies that a petition for reconsideration that relies on “arguments that have been fully considered and rejected by the Commission within the same proceeding” does not warrant consideration.</w:t>
      </w:r>
      <w:r w:rsidR="00153C29" w:rsidRPr="00A22153">
        <w:rPr>
          <w:rStyle w:val="FootnoteReference"/>
          <w:sz w:val="22"/>
          <w:szCs w:val="22"/>
        </w:rPr>
        <w:footnoteReference w:id="23"/>
      </w:r>
      <w:r w:rsidRPr="00A22153">
        <w:rPr>
          <w:szCs w:val="22"/>
        </w:rPr>
        <w:t> </w:t>
      </w:r>
      <w:r w:rsidR="00153C29" w:rsidRPr="00A22153">
        <w:rPr>
          <w:szCs w:val="22"/>
        </w:rPr>
        <w:t xml:space="preserve"> </w:t>
      </w:r>
      <w:r w:rsidR="00B324DA" w:rsidRPr="00A22153">
        <w:rPr>
          <w:szCs w:val="22"/>
        </w:rPr>
        <w:t xml:space="preserve">In the </w:t>
      </w:r>
      <w:r w:rsidR="00B324DA" w:rsidRPr="00A22153">
        <w:rPr>
          <w:i/>
          <w:szCs w:val="22"/>
        </w:rPr>
        <w:t>Order</w:t>
      </w:r>
      <w:r w:rsidR="00B324DA" w:rsidRPr="00A22153">
        <w:rPr>
          <w:szCs w:val="22"/>
        </w:rPr>
        <w:t>,</w:t>
      </w:r>
      <w:r w:rsidR="004A26F4" w:rsidRPr="00A22153">
        <w:rPr>
          <w:szCs w:val="22"/>
        </w:rPr>
        <w:t xml:space="preserve"> </w:t>
      </w:r>
      <w:r w:rsidR="007901CB">
        <w:rPr>
          <w:szCs w:val="22"/>
        </w:rPr>
        <w:t xml:space="preserve">the </w:t>
      </w:r>
      <w:r w:rsidR="004A26F4" w:rsidRPr="00A22153">
        <w:rPr>
          <w:szCs w:val="22"/>
        </w:rPr>
        <w:t xml:space="preserve">Commission considered </w:t>
      </w:r>
      <w:r w:rsidR="00EC233C" w:rsidRPr="00A22153">
        <w:rPr>
          <w:szCs w:val="22"/>
        </w:rPr>
        <w:t>and</w:t>
      </w:r>
      <w:r w:rsidR="004A26F4" w:rsidRPr="00A22153">
        <w:rPr>
          <w:szCs w:val="22"/>
        </w:rPr>
        <w:t xml:space="preserve"> rejected </w:t>
      </w:r>
      <w:r w:rsidR="00B324DA" w:rsidRPr="00A22153">
        <w:rPr>
          <w:szCs w:val="22"/>
        </w:rPr>
        <w:t>Loyola’s</w:t>
      </w:r>
      <w:r w:rsidR="004A26F4" w:rsidRPr="00A22153">
        <w:rPr>
          <w:szCs w:val="22"/>
        </w:rPr>
        <w:t xml:space="preserve"> argument</w:t>
      </w:r>
      <w:r w:rsidR="00B324DA" w:rsidRPr="00A22153">
        <w:rPr>
          <w:szCs w:val="22"/>
        </w:rPr>
        <w:t xml:space="preserve"> that it lacked notice that its recusal pledge would not be effective for the purposes of a diversity of ownership point</w:t>
      </w:r>
      <w:r w:rsidR="004A26F4" w:rsidRPr="00A22153">
        <w:rPr>
          <w:szCs w:val="22"/>
        </w:rPr>
        <w:t xml:space="preserve">, </w:t>
      </w:r>
      <w:r w:rsidR="00B324DA" w:rsidRPr="00A22153">
        <w:rPr>
          <w:szCs w:val="22"/>
        </w:rPr>
        <w:t>stating</w:t>
      </w:r>
      <w:r w:rsidR="004A26F4" w:rsidRPr="00A22153">
        <w:rPr>
          <w:szCs w:val="22"/>
        </w:rPr>
        <w:t xml:space="preserve"> that </w:t>
      </w:r>
      <w:r w:rsidR="00B02BD7" w:rsidRPr="00A22153">
        <w:rPr>
          <w:szCs w:val="22"/>
        </w:rPr>
        <w:t xml:space="preserve">“Section 73.858(a) </w:t>
      </w:r>
      <w:r w:rsidR="00B578AB" w:rsidRPr="00A22153">
        <w:rPr>
          <w:szCs w:val="22"/>
        </w:rPr>
        <w:t>expressly</w:t>
      </w:r>
      <w:r w:rsidR="00B02BD7" w:rsidRPr="00A22153">
        <w:rPr>
          <w:szCs w:val="22"/>
        </w:rPr>
        <w:t xml:space="preserve"> provides for attri</w:t>
      </w:r>
      <w:r w:rsidR="00B578AB" w:rsidRPr="00A22153">
        <w:rPr>
          <w:szCs w:val="22"/>
        </w:rPr>
        <w:t>bution</w:t>
      </w:r>
      <w:r w:rsidR="00B02BD7" w:rsidRPr="00A22153">
        <w:rPr>
          <w:szCs w:val="22"/>
        </w:rPr>
        <w:t xml:space="preserve"> exception only to the Commission’s o</w:t>
      </w:r>
      <w:r w:rsidR="00AC3FF8" w:rsidRPr="00A22153">
        <w:rPr>
          <w:szCs w:val="22"/>
        </w:rPr>
        <w:t>wnership limits . . . and cross-</w:t>
      </w:r>
      <w:r w:rsidR="00B02BD7" w:rsidRPr="00A22153">
        <w:rPr>
          <w:szCs w:val="22"/>
        </w:rPr>
        <w:t xml:space="preserve">ownership </w:t>
      </w:r>
      <w:r w:rsidR="00AC3FF8" w:rsidRPr="00A22153">
        <w:rPr>
          <w:szCs w:val="22"/>
        </w:rPr>
        <w:t>applicant</w:t>
      </w:r>
      <w:r w:rsidR="00B02BD7" w:rsidRPr="00A22153">
        <w:rPr>
          <w:szCs w:val="22"/>
        </w:rPr>
        <w:t xml:space="preserve"> </w:t>
      </w:r>
      <w:r w:rsidR="00AC3FF8" w:rsidRPr="00A22153">
        <w:rPr>
          <w:szCs w:val="22"/>
        </w:rPr>
        <w:t>eligibility</w:t>
      </w:r>
      <w:r w:rsidR="00B02BD7" w:rsidRPr="00A22153">
        <w:rPr>
          <w:szCs w:val="22"/>
        </w:rPr>
        <w:t xml:space="preserve"> </w:t>
      </w:r>
      <w:r w:rsidR="00AC3FF8" w:rsidRPr="00A22153">
        <w:rPr>
          <w:szCs w:val="22"/>
        </w:rPr>
        <w:t>restrictions, and does not provide that the Commission will disregard an applicant’s attributable interests for other purposes.”</w:t>
      </w:r>
      <w:r w:rsidR="00AC3FF8" w:rsidRPr="00A22153">
        <w:rPr>
          <w:rStyle w:val="FootnoteReference"/>
          <w:sz w:val="22"/>
          <w:szCs w:val="22"/>
        </w:rPr>
        <w:footnoteReference w:id="24"/>
      </w:r>
      <w:r w:rsidR="00EC233C" w:rsidRPr="00A22153">
        <w:rPr>
          <w:szCs w:val="22"/>
        </w:rPr>
        <w:t xml:space="preserve">  The Commission</w:t>
      </w:r>
      <w:r w:rsidR="00B02BD7" w:rsidRPr="00A22153">
        <w:rPr>
          <w:szCs w:val="22"/>
        </w:rPr>
        <w:t xml:space="preserve"> further rejected “Loyola’s strained reading of the Instructions.”</w:t>
      </w:r>
      <w:r w:rsidR="00B02BD7" w:rsidRPr="00A22153">
        <w:rPr>
          <w:rStyle w:val="FootnoteReference"/>
          <w:sz w:val="22"/>
          <w:szCs w:val="22"/>
        </w:rPr>
        <w:footnoteReference w:id="25"/>
      </w:r>
      <w:r w:rsidR="00153C29" w:rsidRPr="00A22153">
        <w:rPr>
          <w:szCs w:val="22"/>
        </w:rPr>
        <w:t xml:space="preserve">  Accordingly, as a s</w:t>
      </w:r>
      <w:r w:rsidR="00851A06" w:rsidRPr="00A22153">
        <w:rPr>
          <w:szCs w:val="22"/>
        </w:rPr>
        <w:t>e</w:t>
      </w:r>
      <w:r w:rsidR="00153C29" w:rsidRPr="00A22153">
        <w:rPr>
          <w:szCs w:val="22"/>
        </w:rPr>
        <w:t>pa</w:t>
      </w:r>
      <w:r w:rsidR="00851A06" w:rsidRPr="00A22153">
        <w:rPr>
          <w:szCs w:val="22"/>
        </w:rPr>
        <w:t>ra</w:t>
      </w:r>
      <w:r w:rsidR="00153C29" w:rsidRPr="00A22153">
        <w:rPr>
          <w:szCs w:val="22"/>
        </w:rPr>
        <w:t xml:space="preserve">te and independent basis for dismissing the Second Petition, we find that </w:t>
      </w:r>
      <w:r w:rsidR="00B324DA" w:rsidRPr="00A22153">
        <w:rPr>
          <w:szCs w:val="22"/>
        </w:rPr>
        <w:t xml:space="preserve">it relies on arguments already considered and rejected </w:t>
      </w:r>
      <w:r w:rsidR="00B54C27">
        <w:rPr>
          <w:szCs w:val="22"/>
        </w:rPr>
        <w:t>by the Commission,</w:t>
      </w:r>
      <w:r w:rsidR="00AE2539">
        <w:rPr>
          <w:szCs w:val="22"/>
        </w:rPr>
        <w:t xml:space="preserve"> and does not present any new facts or changed </w:t>
      </w:r>
      <w:r w:rsidR="00B54C27">
        <w:rPr>
          <w:szCs w:val="22"/>
        </w:rPr>
        <w:t>circumstances</w:t>
      </w:r>
      <w:r w:rsidR="00B324DA" w:rsidRPr="00A22153">
        <w:rPr>
          <w:szCs w:val="22"/>
        </w:rPr>
        <w:t>.</w:t>
      </w:r>
      <w:r w:rsidR="00B324DA" w:rsidRPr="00A22153">
        <w:rPr>
          <w:rStyle w:val="FootnoteReference"/>
          <w:sz w:val="22"/>
          <w:szCs w:val="22"/>
        </w:rPr>
        <w:footnoteReference w:id="26"/>
      </w:r>
    </w:p>
    <w:p w14:paraId="4F2689A1" w14:textId="77777777" w:rsidR="0045690A" w:rsidRDefault="00554A1F" w:rsidP="0045690A">
      <w:pPr>
        <w:pStyle w:val="ParaNum"/>
        <w:rPr>
          <w:szCs w:val="22"/>
        </w:rPr>
      </w:pPr>
      <w:r w:rsidRPr="00A22153">
        <w:rPr>
          <w:iCs/>
          <w:szCs w:val="22"/>
        </w:rPr>
        <w:t xml:space="preserve">Finally, </w:t>
      </w:r>
      <w:r w:rsidR="00CD29FA" w:rsidRPr="00A22153">
        <w:rPr>
          <w:color w:val="252525"/>
          <w:szCs w:val="22"/>
        </w:rPr>
        <w:t>Section</w:t>
      </w:r>
      <w:r w:rsidR="00A22153" w:rsidRPr="00A22153">
        <w:rPr>
          <w:color w:val="252525"/>
          <w:szCs w:val="22"/>
        </w:rPr>
        <w:t xml:space="preserve"> </w:t>
      </w:r>
      <w:r w:rsidR="00CD29FA" w:rsidRPr="00A22153">
        <w:rPr>
          <w:rStyle w:val="cosearchterm"/>
          <w:bCs/>
          <w:color w:val="252525"/>
          <w:szCs w:val="22"/>
        </w:rPr>
        <w:t>1</w:t>
      </w:r>
      <w:r w:rsidR="00CD29FA" w:rsidRPr="00A22153">
        <w:rPr>
          <w:color w:val="252525"/>
          <w:szCs w:val="22"/>
        </w:rPr>
        <w:t>.</w:t>
      </w:r>
      <w:r w:rsidR="00CD29FA" w:rsidRPr="00A22153">
        <w:rPr>
          <w:rStyle w:val="cosearchterm"/>
          <w:bCs/>
          <w:color w:val="252525"/>
          <w:szCs w:val="22"/>
        </w:rPr>
        <w:t>106</w:t>
      </w:r>
      <w:r w:rsidR="00CD29FA" w:rsidRPr="00A22153">
        <w:rPr>
          <w:color w:val="252525"/>
          <w:szCs w:val="22"/>
        </w:rPr>
        <w:t>(</w:t>
      </w:r>
      <w:r w:rsidR="00CD29FA" w:rsidRPr="00A22153">
        <w:rPr>
          <w:rStyle w:val="cosearchterm"/>
          <w:bCs/>
          <w:color w:val="252525"/>
          <w:szCs w:val="22"/>
        </w:rPr>
        <w:t>p</w:t>
      </w:r>
      <w:r w:rsidR="00CD29FA" w:rsidRPr="00A22153">
        <w:rPr>
          <w:color w:val="252525"/>
          <w:szCs w:val="22"/>
        </w:rPr>
        <w:t>)(</w:t>
      </w:r>
      <w:r w:rsidR="00CD29FA" w:rsidRPr="00A22153">
        <w:rPr>
          <w:rStyle w:val="cosearchterm"/>
          <w:bCs/>
          <w:color w:val="252525"/>
          <w:szCs w:val="22"/>
        </w:rPr>
        <w:t>2</w:t>
      </w:r>
      <w:r w:rsidR="00CD29FA" w:rsidRPr="00A22153">
        <w:rPr>
          <w:color w:val="252525"/>
          <w:szCs w:val="22"/>
        </w:rPr>
        <w:t>) provides for summary dismissal of “arguments that could have been presented previously to the Commission or its staff but were not.”</w:t>
      </w:r>
      <w:r w:rsidR="00CD29FA" w:rsidRPr="00A22153">
        <w:rPr>
          <w:rStyle w:val="FootnoteReference"/>
          <w:sz w:val="22"/>
          <w:szCs w:val="22"/>
        </w:rPr>
        <w:footnoteReference w:id="27"/>
      </w:r>
      <w:r w:rsidR="00CD29FA" w:rsidRPr="00A22153">
        <w:rPr>
          <w:color w:val="252525"/>
          <w:szCs w:val="22"/>
        </w:rPr>
        <w:t xml:space="preserve"> </w:t>
      </w:r>
      <w:r w:rsidR="00A22153">
        <w:rPr>
          <w:color w:val="252525"/>
          <w:szCs w:val="22"/>
        </w:rPr>
        <w:t xml:space="preserve"> Loyola argues for the first time in the </w:t>
      </w:r>
      <w:r w:rsidR="00A22153" w:rsidRPr="00A22153">
        <w:rPr>
          <w:color w:val="252525"/>
          <w:szCs w:val="22"/>
        </w:rPr>
        <w:t>Second Petition</w:t>
      </w:r>
      <w:r w:rsidR="00A22153">
        <w:rPr>
          <w:i/>
          <w:color w:val="252525"/>
          <w:szCs w:val="22"/>
        </w:rPr>
        <w:t xml:space="preserve"> </w:t>
      </w:r>
      <w:r w:rsidR="00474EC7">
        <w:rPr>
          <w:iCs/>
          <w:szCs w:val="22"/>
        </w:rPr>
        <w:t>t</w:t>
      </w:r>
      <w:r w:rsidR="00CD29FA" w:rsidRPr="00A22153">
        <w:rPr>
          <w:iCs/>
          <w:szCs w:val="22"/>
        </w:rPr>
        <w:t xml:space="preserve">hat </w:t>
      </w:r>
      <w:r w:rsidR="00CD29FA" w:rsidRPr="00A22153">
        <w:rPr>
          <w:i/>
          <w:iCs/>
          <w:szCs w:val="22"/>
        </w:rPr>
        <w:t xml:space="preserve">Salzer </w:t>
      </w:r>
      <w:r w:rsidR="00CD29FA" w:rsidRPr="00A22153">
        <w:rPr>
          <w:iCs/>
          <w:szCs w:val="22"/>
        </w:rPr>
        <w:t xml:space="preserve">and </w:t>
      </w:r>
      <w:r w:rsidR="00CD29FA" w:rsidRPr="00A22153">
        <w:rPr>
          <w:i/>
          <w:iCs/>
          <w:szCs w:val="22"/>
        </w:rPr>
        <w:t>Synergy</w:t>
      </w:r>
      <w:r w:rsidR="00A22153">
        <w:rPr>
          <w:iCs/>
          <w:szCs w:val="22"/>
        </w:rPr>
        <w:t xml:space="preserve"> require the </w:t>
      </w:r>
      <w:r w:rsidR="00474EC7">
        <w:rPr>
          <w:iCs/>
          <w:szCs w:val="22"/>
        </w:rPr>
        <w:t>Commission</w:t>
      </w:r>
      <w:r w:rsidR="00A22153">
        <w:rPr>
          <w:iCs/>
          <w:szCs w:val="22"/>
        </w:rPr>
        <w:t xml:space="preserve"> to award it</w:t>
      </w:r>
      <w:r w:rsidR="00474EC7">
        <w:rPr>
          <w:iCs/>
          <w:szCs w:val="22"/>
        </w:rPr>
        <w:t>s application</w:t>
      </w:r>
      <w:r w:rsidR="00A22153">
        <w:rPr>
          <w:iCs/>
          <w:szCs w:val="22"/>
        </w:rPr>
        <w:t xml:space="preserve"> a point for diversity of ownership, </w:t>
      </w:r>
      <w:r w:rsidR="00CD29FA" w:rsidRPr="00A22153">
        <w:rPr>
          <w:iCs/>
          <w:szCs w:val="22"/>
        </w:rPr>
        <w:t xml:space="preserve">and that granting the Loyola Application would further the goal of promoting diversity of ownership.  </w:t>
      </w:r>
      <w:r w:rsidR="00CD29FA" w:rsidRPr="00A22153">
        <w:rPr>
          <w:color w:val="252525"/>
          <w:szCs w:val="22"/>
        </w:rPr>
        <w:t xml:space="preserve">These arguments could have been presented in the First Petition, but were not, and the Second Petition can </w:t>
      </w:r>
      <w:r w:rsidR="005F7246">
        <w:rPr>
          <w:color w:val="252525"/>
          <w:szCs w:val="22"/>
        </w:rPr>
        <w:t xml:space="preserve">thus </w:t>
      </w:r>
      <w:r w:rsidR="00CD29FA" w:rsidRPr="00A22153">
        <w:rPr>
          <w:color w:val="252525"/>
          <w:szCs w:val="22"/>
        </w:rPr>
        <w:t>be dismissed to the extent it relies on these new arguments.</w:t>
      </w:r>
      <w:r w:rsidR="00CD29FA" w:rsidRPr="00A22153">
        <w:rPr>
          <w:rStyle w:val="FootnoteReference"/>
          <w:sz w:val="22"/>
          <w:szCs w:val="22"/>
        </w:rPr>
        <w:footnoteReference w:id="28"/>
      </w:r>
    </w:p>
    <w:p w14:paraId="147ACFBD" w14:textId="6E1EDC80" w:rsidR="001A56E8" w:rsidRPr="0045690A" w:rsidRDefault="007005C2" w:rsidP="0045690A">
      <w:pPr>
        <w:pStyle w:val="ParaNum"/>
        <w:rPr>
          <w:szCs w:val="22"/>
        </w:rPr>
      </w:pPr>
      <w:r w:rsidRPr="0045690A">
        <w:rPr>
          <w:szCs w:val="22"/>
        </w:rPr>
        <w:t>The 90</w:t>
      </w:r>
      <w:r w:rsidR="001D382D">
        <w:rPr>
          <w:szCs w:val="22"/>
        </w:rPr>
        <w:t>-</w:t>
      </w:r>
      <w:r w:rsidRPr="0045690A">
        <w:rPr>
          <w:szCs w:val="22"/>
        </w:rPr>
        <w:t>day</w:t>
      </w:r>
      <w:r w:rsidR="00DB69BA">
        <w:rPr>
          <w:szCs w:val="22"/>
        </w:rPr>
        <w:t xml:space="preserve"> period</w:t>
      </w:r>
      <w:r w:rsidRPr="0045690A">
        <w:rPr>
          <w:szCs w:val="22"/>
        </w:rPr>
        <w:t xml:space="preserve"> for the </w:t>
      </w:r>
      <w:r w:rsidR="00BC1558">
        <w:rPr>
          <w:szCs w:val="22"/>
        </w:rPr>
        <w:t xml:space="preserve">remaining </w:t>
      </w:r>
      <w:r w:rsidRPr="0045690A">
        <w:rPr>
          <w:szCs w:val="22"/>
        </w:rPr>
        <w:t>tentative selectees in LPFM MX Group 198 to reach a voluntary time-sharing agreement</w:t>
      </w:r>
      <w:r w:rsidR="00DB69BA">
        <w:rPr>
          <w:szCs w:val="22"/>
        </w:rPr>
        <w:t xml:space="preserve"> ended on December 15, 2015</w:t>
      </w:r>
      <w:r w:rsidRPr="0045690A">
        <w:rPr>
          <w:szCs w:val="22"/>
        </w:rPr>
        <w:t>.</w:t>
      </w:r>
      <w:r w:rsidRPr="00851A06">
        <w:rPr>
          <w:rStyle w:val="FootnoteReference"/>
          <w:sz w:val="22"/>
          <w:szCs w:val="22"/>
        </w:rPr>
        <w:footnoteReference w:id="29"/>
      </w:r>
      <w:r w:rsidRPr="0045690A">
        <w:rPr>
          <w:szCs w:val="22"/>
        </w:rPr>
        <w:t xml:space="preserve">  </w:t>
      </w:r>
      <w:r w:rsidR="008E2FA1" w:rsidRPr="0045690A">
        <w:rPr>
          <w:szCs w:val="22"/>
        </w:rPr>
        <w:t xml:space="preserve">On </w:t>
      </w:r>
      <w:r w:rsidR="00DB69BA">
        <w:rPr>
          <w:szCs w:val="22"/>
        </w:rPr>
        <w:t>that day</w:t>
      </w:r>
      <w:r w:rsidR="008E2FA1" w:rsidRPr="0045690A">
        <w:rPr>
          <w:szCs w:val="22"/>
        </w:rPr>
        <w:t xml:space="preserve">, CEM and UWA filed a points-aggregation time-share agreement (Second Agreement).  </w:t>
      </w:r>
      <w:r w:rsidR="00AA35C6" w:rsidRPr="0045690A">
        <w:rPr>
          <w:szCs w:val="22"/>
        </w:rPr>
        <w:t xml:space="preserve">As a result of the Second Agreement, </w:t>
      </w:r>
      <w:r w:rsidR="0025097D" w:rsidRPr="0045690A">
        <w:rPr>
          <w:szCs w:val="22"/>
        </w:rPr>
        <w:t>CEM</w:t>
      </w:r>
      <w:r w:rsidR="00EE0980" w:rsidRPr="0045690A">
        <w:rPr>
          <w:szCs w:val="22"/>
        </w:rPr>
        <w:t xml:space="preserve"> and </w:t>
      </w:r>
      <w:r w:rsidR="0025097D" w:rsidRPr="0045690A">
        <w:rPr>
          <w:szCs w:val="22"/>
        </w:rPr>
        <w:t>UWA</w:t>
      </w:r>
      <w:r w:rsidR="00AA35C6" w:rsidRPr="0045690A">
        <w:rPr>
          <w:szCs w:val="22"/>
        </w:rPr>
        <w:t xml:space="preserve"> have an aggregated 10 comparative points, thus breaking the three-way tie between </w:t>
      </w:r>
      <w:r w:rsidR="008E2FA1" w:rsidRPr="0045690A">
        <w:rPr>
          <w:szCs w:val="22"/>
        </w:rPr>
        <w:t>CEM, UWA, and BSB</w:t>
      </w:r>
      <w:r w:rsidR="00AA35C6" w:rsidRPr="0045690A">
        <w:rPr>
          <w:szCs w:val="22"/>
        </w:rPr>
        <w:t xml:space="preserve"> in favor of </w:t>
      </w:r>
      <w:r w:rsidR="008E2FA1" w:rsidRPr="0045690A">
        <w:rPr>
          <w:szCs w:val="22"/>
        </w:rPr>
        <w:t>CEM and UWA</w:t>
      </w:r>
      <w:r w:rsidR="00AA35C6" w:rsidRPr="0045690A">
        <w:rPr>
          <w:szCs w:val="22"/>
        </w:rPr>
        <w:t xml:space="preserve">.  We have reviewed the </w:t>
      </w:r>
      <w:r w:rsidR="008E2FA1" w:rsidRPr="0045690A">
        <w:rPr>
          <w:szCs w:val="22"/>
        </w:rPr>
        <w:t>Second</w:t>
      </w:r>
      <w:r w:rsidR="00AA35C6" w:rsidRPr="0045690A">
        <w:rPr>
          <w:szCs w:val="22"/>
        </w:rPr>
        <w:t xml:space="preserve"> Agreement and find that it meets the requirements of Section 73.872(c) of the Rules.</w:t>
      </w:r>
      <w:r w:rsidR="00AA35C6" w:rsidRPr="00B324DA">
        <w:rPr>
          <w:rStyle w:val="FootnoteReference"/>
          <w:sz w:val="22"/>
          <w:szCs w:val="22"/>
        </w:rPr>
        <w:footnoteReference w:id="30"/>
      </w:r>
      <w:r w:rsidR="00AA35C6" w:rsidRPr="0045690A">
        <w:rPr>
          <w:szCs w:val="22"/>
        </w:rPr>
        <w:t xml:space="preserve">  Accordingly, we will approve the </w:t>
      </w:r>
      <w:r w:rsidR="008E2FA1" w:rsidRPr="0045690A">
        <w:rPr>
          <w:szCs w:val="22"/>
        </w:rPr>
        <w:t>Second</w:t>
      </w:r>
      <w:r w:rsidR="00AA35C6" w:rsidRPr="0045690A">
        <w:rPr>
          <w:szCs w:val="22"/>
        </w:rPr>
        <w:t xml:space="preserve"> Agreement, grant the </w:t>
      </w:r>
      <w:r w:rsidR="008E2FA1" w:rsidRPr="0045690A">
        <w:rPr>
          <w:szCs w:val="22"/>
        </w:rPr>
        <w:t>CEM</w:t>
      </w:r>
      <w:r w:rsidR="00AA35C6" w:rsidRPr="0045690A">
        <w:rPr>
          <w:szCs w:val="22"/>
        </w:rPr>
        <w:t xml:space="preserve"> Application and the </w:t>
      </w:r>
      <w:r w:rsidR="008E2FA1" w:rsidRPr="0045690A">
        <w:rPr>
          <w:szCs w:val="22"/>
        </w:rPr>
        <w:t>UWA</w:t>
      </w:r>
      <w:r w:rsidR="00AA35C6" w:rsidRPr="0045690A">
        <w:rPr>
          <w:szCs w:val="22"/>
        </w:rPr>
        <w:t xml:space="preserve"> Application</w:t>
      </w:r>
      <w:r w:rsidR="00DB69BA">
        <w:rPr>
          <w:szCs w:val="22"/>
        </w:rPr>
        <w:t xml:space="preserve"> with appropriate conditions</w:t>
      </w:r>
      <w:r w:rsidR="00AA35C6" w:rsidRPr="0045690A">
        <w:rPr>
          <w:szCs w:val="22"/>
        </w:rPr>
        <w:t xml:space="preserve">, and dismiss the mutually-exclusive </w:t>
      </w:r>
      <w:r w:rsidR="008E2FA1" w:rsidRPr="0045690A">
        <w:rPr>
          <w:szCs w:val="22"/>
        </w:rPr>
        <w:t>BSB</w:t>
      </w:r>
      <w:r w:rsidR="00AA35C6" w:rsidRPr="0045690A">
        <w:rPr>
          <w:szCs w:val="22"/>
        </w:rPr>
        <w:t xml:space="preserve"> Application and the non-tentative selectee</w:t>
      </w:r>
      <w:r w:rsidR="008E2FA1" w:rsidRPr="0045690A">
        <w:rPr>
          <w:szCs w:val="22"/>
        </w:rPr>
        <w:t>s</w:t>
      </w:r>
      <w:r w:rsidR="00AA35C6" w:rsidRPr="0045690A">
        <w:rPr>
          <w:szCs w:val="22"/>
        </w:rPr>
        <w:t xml:space="preserve"> </w:t>
      </w:r>
      <w:r w:rsidR="00DB69BA">
        <w:rPr>
          <w:szCs w:val="22"/>
        </w:rPr>
        <w:t>(</w:t>
      </w:r>
      <w:r w:rsidR="008E2FA1" w:rsidRPr="0045690A">
        <w:rPr>
          <w:szCs w:val="22"/>
        </w:rPr>
        <w:t>JHU</w:t>
      </w:r>
      <w:r w:rsidR="00AA35C6" w:rsidRPr="0045690A">
        <w:rPr>
          <w:szCs w:val="22"/>
        </w:rPr>
        <w:t xml:space="preserve"> Application</w:t>
      </w:r>
      <w:r w:rsidR="008E2FA1" w:rsidRPr="0045690A">
        <w:rPr>
          <w:szCs w:val="22"/>
        </w:rPr>
        <w:t xml:space="preserve"> and Loyola Application</w:t>
      </w:r>
      <w:r w:rsidR="00DB69BA">
        <w:rPr>
          <w:szCs w:val="22"/>
        </w:rPr>
        <w:t>)</w:t>
      </w:r>
      <w:r w:rsidR="00AA35C6" w:rsidRPr="0045690A">
        <w:rPr>
          <w:szCs w:val="22"/>
        </w:rPr>
        <w:t>.</w:t>
      </w:r>
      <w:r w:rsidR="00AA35C6" w:rsidRPr="00B324DA">
        <w:rPr>
          <w:rStyle w:val="FootnoteReference"/>
          <w:sz w:val="22"/>
          <w:szCs w:val="22"/>
        </w:rPr>
        <w:footnoteReference w:id="31"/>
      </w:r>
    </w:p>
    <w:p w14:paraId="46804EDD" w14:textId="77777777" w:rsidR="00E11A77" w:rsidRPr="00F46F1A" w:rsidRDefault="00E11A77" w:rsidP="00E11A77">
      <w:pPr>
        <w:pStyle w:val="ParaNum"/>
        <w:widowControl/>
        <w:numPr>
          <w:ilvl w:val="0"/>
          <w:numId w:val="8"/>
        </w:numPr>
        <w:rPr>
          <w:b/>
          <w:szCs w:val="22"/>
        </w:rPr>
      </w:pPr>
      <w:r w:rsidRPr="00F46F1A">
        <w:rPr>
          <w:b/>
          <w:szCs w:val="22"/>
        </w:rPr>
        <w:t>Conclusion</w:t>
      </w:r>
    </w:p>
    <w:p w14:paraId="435E5FE2" w14:textId="77777777" w:rsidR="005E3D9E" w:rsidRPr="00843142" w:rsidRDefault="005E3D9E" w:rsidP="005E3D9E">
      <w:pPr>
        <w:pStyle w:val="ParaNum"/>
      </w:pPr>
      <w:r w:rsidRPr="004B0378">
        <w:t xml:space="preserve">Accordingly, IT IS ORDERED that </w:t>
      </w:r>
      <w:r w:rsidRPr="00F37C3D">
        <w:t xml:space="preserve">the Petition </w:t>
      </w:r>
      <w:r>
        <w:t>for Reconsideration</w:t>
      </w:r>
      <w:r w:rsidRPr="00F37C3D">
        <w:t xml:space="preserve"> filed on October </w:t>
      </w:r>
      <w:r>
        <w:t>16</w:t>
      </w:r>
      <w:r w:rsidRPr="00F37C3D">
        <w:t xml:space="preserve">, 2015, by Loyola University </w:t>
      </w:r>
      <w:r>
        <w:t xml:space="preserve">Maryland </w:t>
      </w:r>
      <w:r w:rsidRPr="00F37C3D">
        <w:t xml:space="preserve">IS </w:t>
      </w:r>
      <w:r>
        <w:t>DISMISSED as an interlocutory appeal</w:t>
      </w:r>
      <w:r w:rsidR="00DF6F43">
        <w:t xml:space="preserve">, pursuant to Section 1.106(a) of the </w:t>
      </w:r>
      <w:r w:rsidR="00FD752B">
        <w:t>R</w:t>
      </w:r>
      <w:r w:rsidR="00DF6F43">
        <w:t>ules,</w:t>
      </w:r>
      <w:r>
        <w:t xml:space="preserve"> and as repetitious</w:t>
      </w:r>
      <w:r w:rsidR="00DF6F43">
        <w:t xml:space="preserve">, </w:t>
      </w:r>
      <w:r w:rsidR="00CE2813">
        <w:t>pursuant</w:t>
      </w:r>
      <w:r w:rsidR="00DF6F43">
        <w:t xml:space="preserve"> to Section 1.1</w:t>
      </w:r>
      <w:r w:rsidR="007B02C0">
        <w:t xml:space="preserve">06(p) of the </w:t>
      </w:r>
      <w:r w:rsidR="00FD752B">
        <w:t>R</w:t>
      </w:r>
      <w:r w:rsidR="007B02C0">
        <w:t>ules.</w:t>
      </w:r>
    </w:p>
    <w:p w14:paraId="169134A6" w14:textId="77777777" w:rsidR="008143C3" w:rsidRPr="00397640" w:rsidRDefault="00397640" w:rsidP="00397640">
      <w:pPr>
        <w:pStyle w:val="ParaNum"/>
        <w:rPr>
          <w:snapToGrid/>
          <w:color w:val="000000"/>
          <w:kern w:val="0"/>
        </w:rPr>
      </w:pPr>
      <w:r>
        <w:t xml:space="preserve">IT IS FURTHER ORDERED that the time-share agreement </w:t>
      </w:r>
      <w:r w:rsidR="0045690A">
        <w:rPr>
          <w:color w:val="000000"/>
        </w:rPr>
        <w:t>filed on December 15, 2015</w:t>
      </w:r>
      <w:r>
        <w:rPr>
          <w:color w:val="000000"/>
        </w:rPr>
        <w:t xml:space="preserve">, by </w:t>
      </w:r>
      <w:r w:rsidR="0045690A" w:rsidRPr="008E2FA1">
        <w:rPr>
          <w:szCs w:val="22"/>
        </w:rPr>
        <w:t>Center for Emerging Media, Inc</w:t>
      </w:r>
      <w:r w:rsidR="0045690A">
        <w:rPr>
          <w:szCs w:val="22"/>
        </w:rPr>
        <w:t>.,</w:t>
      </w:r>
      <w:r>
        <w:t xml:space="preserve"> and </w:t>
      </w:r>
      <w:r w:rsidR="0045690A" w:rsidRPr="008E2FA1">
        <w:rPr>
          <w:szCs w:val="22"/>
        </w:rPr>
        <w:t>The United Workers Association</w:t>
      </w:r>
      <w:r>
        <w:t xml:space="preserve"> IS APPROVED pursuant to </w:t>
      </w:r>
      <w:r w:rsidR="00BC1558">
        <w:t>Section 73.872(c) of the Rules</w:t>
      </w:r>
      <w:r>
        <w:t xml:space="preserve">. </w:t>
      </w:r>
    </w:p>
    <w:p w14:paraId="5B9D8C16" w14:textId="77777777" w:rsidR="0025097D" w:rsidRPr="008E2FA1" w:rsidRDefault="0025097D" w:rsidP="0025097D">
      <w:pPr>
        <w:pStyle w:val="ParaNum"/>
      </w:pPr>
      <w:r w:rsidRPr="008E2FA1">
        <w:t xml:space="preserve">IT FURTHER ORDERED that the applications of </w:t>
      </w:r>
      <w:r w:rsidRPr="008E2FA1">
        <w:rPr>
          <w:szCs w:val="22"/>
        </w:rPr>
        <w:t>Center for Emerging Media, Inc. (File No. BNPL-20131112BMA</w:t>
      </w:r>
      <w:r w:rsidR="008143C3">
        <w:rPr>
          <w:szCs w:val="22"/>
        </w:rPr>
        <w:t xml:space="preserve">) </w:t>
      </w:r>
      <w:r w:rsidRPr="008E2FA1">
        <w:rPr>
          <w:szCs w:val="22"/>
        </w:rPr>
        <w:t>and The United Workers Association (File No. BNPL-20131114BEV) for construction permits for new LPFM stations in Baltimore, Maryland ARE GRANTED</w:t>
      </w:r>
      <w:r w:rsidR="00DB69BA">
        <w:rPr>
          <w:szCs w:val="22"/>
        </w:rPr>
        <w:t>, with appropriate conditions to be shown on the construction permit</w:t>
      </w:r>
      <w:r w:rsidRPr="008E2FA1">
        <w:rPr>
          <w:szCs w:val="22"/>
        </w:rPr>
        <w:t>.</w:t>
      </w:r>
    </w:p>
    <w:p w14:paraId="46140248" w14:textId="35E58451" w:rsidR="0025097D" w:rsidRPr="0025097D" w:rsidRDefault="008E2FA1" w:rsidP="00B26CA3">
      <w:pPr>
        <w:pStyle w:val="ParaNum"/>
      </w:pPr>
      <w:r>
        <w:t>IT IS FURT</w:t>
      </w:r>
      <w:r w:rsidR="001B4D5C">
        <w:t>H</w:t>
      </w:r>
      <w:r>
        <w:t xml:space="preserve">ER ORDERED that the application of </w:t>
      </w:r>
      <w:r w:rsidR="0025097D" w:rsidRPr="008E2FA1">
        <w:rPr>
          <w:szCs w:val="22"/>
        </w:rPr>
        <w:t>The Benedictine Society of Baltimore City (File No. BNPL-20131114ADS)</w:t>
      </w:r>
      <w:r w:rsidR="008143C3">
        <w:rPr>
          <w:szCs w:val="22"/>
        </w:rPr>
        <w:t xml:space="preserve"> </w:t>
      </w:r>
      <w:r w:rsidR="008143C3" w:rsidRPr="004B0378">
        <w:t xml:space="preserve">for a construction permit for a new </w:t>
      </w:r>
      <w:r w:rsidR="008143C3">
        <w:t>LPFM</w:t>
      </w:r>
      <w:r w:rsidR="008143C3" w:rsidRPr="004B0378">
        <w:t xml:space="preserve"> station in </w:t>
      </w:r>
      <w:r w:rsidR="008143C3">
        <w:t>Baltimore, Maryland</w:t>
      </w:r>
      <w:r w:rsidR="008143C3" w:rsidRPr="004B0378">
        <w:t xml:space="preserve">, IS </w:t>
      </w:r>
      <w:r w:rsidR="008143C3">
        <w:t>DISMISSED.</w:t>
      </w:r>
    </w:p>
    <w:p w14:paraId="08A85947" w14:textId="77777777" w:rsidR="005E3D9E" w:rsidRDefault="005E3D9E" w:rsidP="005E3D9E">
      <w:pPr>
        <w:pStyle w:val="ParaNum"/>
      </w:pPr>
      <w:r>
        <w:t>IT IS FURTHER ORDERED that the application of Johns Hopkins University</w:t>
      </w:r>
      <w:r w:rsidRPr="004B0378">
        <w:t xml:space="preserve"> </w:t>
      </w:r>
      <w:r>
        <w:t xml:space="preserve">(File No. BNPL-20131115ANR) </w:t>
      </w:r>
      <w:r w:rsidRPr="004B0378">
        <w:t xml:space="preserve">for a construction permit for a new </w:t>
      </w:r>
      <w:r>
        <w:t>LPFM</w:t>
      </w:r>
      <w:r w:rsidRPr="004B0378">
        <w:t xml:space="preserve"> station in </w:t>
      </w:r>
      <w:r>
        <w:t>Baltimore, Maryland</w:t>
      </w:r>
      <w:r w:rsidRPr="004B0378">
        <w:t xml:space="preserve">, IS </w:t>
      </w:r>
      <w:r>
        <w:t>DISMISSED.</w:t>
      </w:r>
    </w:p>
    <w:p w14:paraId="3D75B975" w14:textId="77777777" w:rsidR="005E3D9E" w:rsidRDefault="005E3D9E" w:rsidP="005E3D9E">
      <w:pPr>
        <w:pStyle w:val="ParaNum"/>
      </w:pPr>
      <w:r>
        <w:t>IT IS FURTHER ORDERED that the application of Loyola University</w:t>
      </w:r>
      <w:r w:rsidR="00F46F1A">
        <w:t xml:space="preserve"> (File No. BNPL-</w:t>
      </w:r>
      <w:r w:rsidR="00F46F1A">
        <w:rPr>
          <w:szCs w:val="22"/>
        </w:rPr>
        <w:t>20131115ANS)</w:t>
      </w:r>
      <w:r w:rsidR="00F46F1A">
        <w:t xml:space="preserve"> </w:t>
      </w:r>
      <w:r w:rsidR="00F46F1A" w:rsidRPr="004B0378">
        <w:t xml:space="preserve">for a construction permit for a new </w:t>
      </w:r>
      <w:r w:rsidR="00F46F1A">
        <w:t>LPFM</w:t>
      </w:r>
      <w:r w:rsidR="008143C3">
        <w:t xml:space="preserve"> station in East </w:t>
      </w:r>
      <w:r w:rsidR="00F46F1A">
        <w:t>Baltimore, Maryland</w:t>
      </w:r>
      <w:r w:rsidR="00F46F1A" w:rsidRPr="004B0378">
        <w:t xml:space="preserve">, IS </w:t>
      </w:r>
      <w:r w:rsidR="00F46F1A">
        <w:t>DISMISSED.</w:t>
      </w:r>
    </w:p>
    <w:p w14:paraId="68588DFA" w14:textId="77777777" w:rsidR="00EE0980" w:rsidRDefault="00EE0980" w:rsidP="00EE0980">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14:paraId="284B8CCF" w14:textId="77777777" w:rsidR="00EE0980" w:rsidRDefault="00EE0980" w:rsidP="00EE0980">
      <w:pPr>
        <w:tabs>
          <w:tab w:val="left" w:pos="0"/>
        </w:tabs>
        <w:suppressAutoHyphens/>
        <w:ind w:firstLine="990"/>
        <w:jc w:val="both"/>
        <w:rPr>
          <w:szCs w:val="22"/>
        </w:rPr>
      </w:pPr>
    </w:p>
    <w:p w14:paraId="7565A4A2" w14:textId="77777777" w:rsidR="00EE0980" w:rsidRDefault="00EE0980" w:rsidP="00EE0980">
      <w:pPr>
        <w:tabs>
          <w:tab w:val="left" w:pos="0"/>
        </w:tabs>
        <w:suppressAutoHyphens/>
        <w:ind w:firstLine="990"/>
        <w:jc w:val="both"/>
        <w:rPr>
          <w:szCs w:val="22"/>
        </w:rPr>
      </w:pPr>
    </w:p>
    <w:p w14:paraId="5769C6F9" w14:textId="77777777" w:rsidR="00EE0980" w:rsidRDefault="00EE0980" w:rsidP="00EE0980">
      <w:pPr>
        <w:tabs>
          <w:tab w:val="left" w:pos="0"/>
        </w:tabs>
        <w:suppressAutoHyphens/>
        <w:ind w:firstLine="990"/>
        <w:jc w:val="both"/>
        <w:rPr>
          <w:szCs w:val="22"/>
        </w:rPr>
      </w:pPr>
    </w:p>
    <w:p w14:paraId="10031C7F" w14:textId="77777777" w:rsidR="00EE0980" w:rsidRDefault="00EE0980" w:rsidP="00EE0980">
      <w:pPr>
        <w:tabs>
          <w:tab w:val="left" w:pos="4320"/>
        </w:tabs>
        <w:suppressAutoHyphens/>
        <w:ind w:firstLine="990"/>
        <w:jc w:val="both"/>
        <w:rPr>
          <w:szCs w:val="22"/>
        </w:rPr>
      </w:pPr>
      <w:r>
        <w:rPr>
          <w:szCs w:val="22"/>
        </w:rPr>
        <w:tab/>
        <w:t xml:space="preserve">William T. Lake  </w:t>
      </w:r>
    </w:p>
    <w:p w14:paraId="6268E60A" w14:textId="77777777" w:rsidR="00EE0980" w:rsidRPr="006358C3" w:rsidRDefault="00EE0980" w:rsidP="00EE0980">
      <w:pPr>
        <w:pStyle w:val="ParaNum"/>
        <w:numPr>
          <w:ilvl w:val="0"/>
          <w:numId w:val="0"/>
        </w:numPr>
        <w:spacing w:after="0"/>
      </w:pPr>
      <w:r>
        <w:t xml:space="preserve">                    </w:t>
      </w:r>
      <w:r>
        <w:tab/>
      </w:r>
      <w:r>
        <w:tab/>
      </w:r>
      <w:r>
        <w:tab/>
      </w:r>
      <w:r>
        <w:tab/>
      </w:r>
      <w:r>
        <w:tab/>
        <w:t>Chief, Media Bureau</w:t>
      </w:r>
    </w:p>
    <w:p w14:paraId="6D4DE66C" w14:textId="77777777" w:rsidR="00EE0980" w:rsidRDefault="00EE0980" w:rsidP="00EE0980">
      <w:pPr>
        <w:pStyle w:val="ParaNum"/>
        <w:numPr>
          <w:ilvl w:val="0"/>
          <w:numId w:val="0"/>
        </w:numPr>
      </w:pPr>
    </w:p>
    <w:sectPr w:rsidR="00EE0980"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EA1A1" w14:textId="77777777" w:rsidR="00A46084" w:rsidRDefault="00A46084">
      <w:pPr>
        <w:spacing w:line="20" w:lineRule="exact"/>
      </w:pPr>
    </w:p>
  </w:endnote>
  <w:endnote w:type="continuationSeparator" w:id="0">
    <w:p w14:paraId="0C42B4E4" w14:textId="77777777" w:rsidR="00A46084" w:rsidRDefault="00A46084">
      <w:r>
        <w:t xml:space="preserve"> </w:t>
      </w:r>
    </w:p>
  </w:endnote>
  <w:endnote w:type="continuationNotice" w:id="1">
    <w:p w14:paraId="1E6458D5" w14:textId="77777777" w:rsidR="00A46084" w:rsidRDefault="00A460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C5B3" w14:textId="77777777" w:rsidR="00B36471" w:rsidRDefault="00B36471" w:rsidP="0055614C">
    <w:pPr>
      <w:pStyle w:val="Footer"/>
      <w:framePr w:wrap="around" w:vAnchor="text" w:hAnchor="margin" w:xAlign="center" w:y="1"/>
    </w:pPr>
    <w:r>
      <w:fldChar w:fldCharType="begin"/>
    </w:r>
    <w:r>
      <w:instrText xml:space="preserve">PAGE  </w:instrText>
    </w:r>
    <w:r>
      <w:fldChar w:fldCharType="end"/>
    </w:r>
  </w:p>
  <w:p w14:paraId="036C607D" w14:textId="77777777" w:rsidR="00B36471" w:rsidRDefault="00B3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FF88" w14:textId="77777777" w:rsidR="00B36471" w:rsidRDefault="00B36471" w:rsidP="0055614C">
    <w:pPr>
      <w:pStyle w:val="Footer"/>
      <w:framePr w:wrap="around" w:vAnchor="text" w:hAnchor="margin" w:xAlign="center" w:y="1"/>
    </w:pPr>
    <w:r>
      <w:fldChar w:fldCharType="begin"/>
    </w:r>
    <w:r>
      <w:instrText xml:space="preserve">PAGE  </w:instrText>
    </w:r>
    <w:r>
      <w:fldChar w:fldCharType="separate"/>
    </w:r>
    <w:r w:rsidR="00CA1368">
      <w:rPr>
        <w:noProof/>
      </w:rPr>
      <w:t>2</w:t>
    </w:r>
    <w:r>
      <w:fldChar w:fldCharType="end"/>
    </w:r>
  </w:p>
  <w:p w14:paraId="3F990881" w14:textId="77777777" w:rsidR="00B36471" w:rsidRDefault="00B3647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A530" w14:textId="77777777" w:rsidR="00B36471" w:rsidRDefault="00B3647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2E822" w14:textId="77777777" w:rsidR="00A46084" w:rsidRDefault="00A46084">
      <w:r>
        <w:separator/>
      </w:r>
    </w:p>
  </w:footnote>
  <w:footnote w:type="continuationSeparator" w:id="0">
    <w:p w14:paraId="58843229" w14:textId="77777777" w:rsidR="00A46084" w:rsidRDefault="00A46084" w:rsidP="00C721AC">
      <w:pPr>
        <w:spacing w:before="120"/>
      </w:pPr>
      <w:r>
        <w:t xml:space="preserve">(Continued from previous page)  </w:t>
      </w:r>
      <w:r>
        <w:separator/>
      </w:r>
    </w:p>
  </w:footnote>
  <w:footnote w:type="continuationNotice" w:id="1">
    <w:p w14:paraId="2AEE3528" w14:textId="77777777" w:rsidR="00A46084" w:rsidRDefault="00A46084" w:rsidP="00C721AC">
      <w:pPr>
        <w:jc w:val="right"/>
      </w:pPr>
      <w:r>
        <w:t>(continued….)</w:t>
      </w:r>
    </w:p>
  </w:footnote>
  <w:footnote w:id="2">
    <w:p w14:paraId="5C141545" w14:textId="77777777" w:rsidR="00971D8C" w:rsidRPr="002071F5" w:rsidRDefault="00971D8C">
      <w:pPr>
        <w:pStyle w:val="FootnoteText"/>
      </w:pPr>
      <w:r w:rsidRPr="002071F5">
        <w:rPr>
          <w:rStyle w:val="FootnoteReference"/>
        </w:rPr>
        <w:footnoteRef/>
      </w:r>
      <w:r w:rsidRPr="002071F5">
        <w:t xml:space="preserve"> </w:t>
      </w:r>
      <w:r w:rsidRPr="002071F5">
        <w:rPr>
          <w:i/>
        </w:rPr>
        <w:t>LPFM MX Group 198</w:t>
      </w:r>
      <w:r w:rsidRPr="002071F5">
        <w:t>, Memorandum Opinion and O</w:t>
      </w:r>
      <w:r w:rsidR="00B10A7D">
        <w:t>rder, 30 FCC Rcd 10540 (2015) (</w:t>
      </w:r>
      <w:r w:rsidRPr="002071F5">
        <w:rPr>
          <w:i/>
        </w:rPr>
        <w:t>Orde</w:t>
      </w:r>
      <w:r w:rsidR="00B10A7D">
        <w:rPr>
          <w:i/>
        </w:rPr>
        <w:t>r</w:t>
      </w:r>
      <w:r w:rsidRPr="002071F5">
        <w:t>).</w:t>
      </w:r>
    </w:p>
  </w:footnote>
  <w:footnote w:id="3">
    <w:p w14:paraId="0980F174" w14:textId="77777777" w:rsidR="004014D9" w:rsidRPr="002071F5" w:rsidRDefault="004014D9">
      <w:pPr>
        <w:pStyle w:val="FootnoteText"/>
      </w:pPr>
      <w:r w:rsidRPr="002071F5">
        <w:rPr>
          <w:rStyle w:val="FootnoteReference"/>
        </w:rPr>
        <w:footnoteRef/>
      </w:r>
      <w:r w:rsidRPr="002071F5">
        <w:t xml:space="preserve"> 47 </w:t>
      </w:r>
      <w:r w:rsidR="00B10A7D">
        <w:t>CFR</w:t>
      </w:r>
      <w:r w:rsidRPr="002071F5">
        <w:t xml:space="preserve"> §§ 1.106(a), 1.106(p).</w:t>
      </w:r>
    </w:p>
  </w:footnote>
  <w:footnote w:id="4">
    <w:p w14:paraId="32BBAC82" w14:textId="77777777" w:rsidR="00E11A77" w:rsidRPr="002071F5" w:rsidRDefault="00E11A77">
      <w:pPr>
        <w:pStyle w:val="FootnoteText"/>
      </w:pPr>
      <w:r w:rsidRPr="002071F5">
        <w:rPr>
          <w:rStyle w:val="FootnoteReference"/>
        </w:rPr>
        <w:footnoteRef/>
      </w:r>
      <w:r w:rsidRPr="002071F5">
        <w:t xml:space="preserve"> </w:t>
      </w:r>
      <w:r w:rsidR="006D31D0" w:rsidRPr="002071F5">
        <w:rPr>
          <w:i/>
        </w:rPr>
        <w:t>See Media Bureau Identifies Mutually Exclusive Applications Filed in the LPFM Window and Announces 60-Day Settlement Period; CDBS Is Now Accepting Form 318 Amendments</w:t>
      </w:r>
      <w:r w:rsidR="006D31D0" w:rsidRPr="002071F5">
        <w:t xml:space="preserve">, Public Notice, 28 FCC Rcd 16713 (MB 2013).  </w:t>
      </w:r>
      <w:r w:rsidRPr="002071F5">
        <w:t xml:space="preserve">LPFM MX Group 198 also </w:t>
      </w:r>
      <w:r w:rsidR="005E3D9E" w:rsidRPr="002071F5">
        <w:t>consisted of applications filed by St. Joseph’s, Sykesville, Roman Catholic Congr</w:t>
      </w:r>
      <w:r w:rsidR="005E6C92">
        <w:t>egation, Inc. (</w:t>
      </w:r>
      <w:r w:rsidR="00E85A43" w:rsidRPr="002071F5">
        <w:t>St. Joseph’s)</w:t>
      </w:r>
      <w:r w:rsidR="005E3D9E" w:rsidRPr="002071F5">
        <w:t>, and Radiant</w:t>
      </w:r>
      <w:r w:rsidR="005E6C92">
        <w:t xml:space="preserve"> Foundation Corporation (</w:t>
      </w:r>
      <w:r w:rsidR="00E85A43" w:rsidRPr="002071F5">
        <w:t>RFC)</w:t>
      </w:r>
      <w:r w:rsidR="005E3D9E" w:rsidRPr="002071F5">
        <w:t xml:space="preserve">.  </w:t>
      </w:r>
      <w:r w:rsidR="006D31D0" w:rsidRPr="002071F5">
        <w:rPr>
          <w:i/>
        </w:rPr>
        <w:t xml:space="preserve">See </w:t>
      </w:r>
      <w:r w:rsidR="005E6C92">
        <w:t>File Nos. BNPL-20131115AIE (</w:t>
      </w:r>
      <w:r w:rsidR="005E3D9E" w:rsidRPr="002071F5">
        <w:t>St. Joseph’s Application</w:t>
      </w:r>
      <w:r w:rsidR="005E6C92">
        <w:t>) and BNPL-20131113BTK (</w:t>
      </w:r>
      <w:r w:rsidR="005E3D9E" w:rsidRPr="002071F5">
        <w:t>RFC Application).</w:t>
      </w:r>
      <w:r w:rsidR="005E3D9E" w:rsidRPr="002071F5">
        <w:rPr>
          <w:i/>
        </w:rPr>
        <w:t xml:space="preserve"> </w:t>
      </w:r>
      <w:r w:rsidR="00453EAB" w:rsidRPr="002071F5">
        <w:rPr>
          <w:i/>
        </w:rPr>
        <w:t xml:space="preserve"> </w:t>
      </w:r>
    </w:p>
  </w:footnote>
  <w:footnote w:id="5">
    <w:p w14:paraId="64D5C7FF" w14:textId="77777777" w:rsidR="00C44ED9" w:rsidRPr="002071F5" w:rsidRDefault="00C44ED9" w:rsidP="00C44ED9">
      <w:pPr>
        <w:pStyle w:val="FootnoteText"/>
      </w:pPr>
      <w:r w:rsidRPr="002071F5">
        <w:rPr>
          <w:rStyle w:val="FootnoteReference"/>
        </w:rPr>
        <w:footnoteRef/>
      </w:r>
      <w:r w:rsidRPr="002071F5">
        <w:t xml:space="preserve"> 47 </w:t>
      </w:r>
      <w:r w:rsidR="00B10A7D">
        <w:t>CFR</w:t>
      </w:r>
      <w:r w:rsidRPr="002071F5">
        <w:t xml:space="preserve"> § 73.872</w:t>
      </w:r>
      <w:r w:rsidR="00E85A43" w:rsidRPr="002071F5">
        <w:t>(b)</w:t>
      </w:r>
      <w:r w:rsidRPr="002071F5">
        <w:t>.</w:t>
      </w:r>
    </w:p>
  </w:footnote>
  <w:footnote w:id="6">
    <w:p w14:paraId="78667A7E" w14:textId="77777777" w:rsidR="00C44ED9" w:rsidRPr="002071F5" w:rsidRDefault="00C44ED9" w:rsidP="00C44ED9">
      <w:pPr>
        <w:pStyle w:val="FootnoteText"/>
      </w:pPr>
      <w:r w:rsidRPr="002071F5">
        <w:rPr>
          <w:rStyle w:val="FootnoteReference"/>
        </w:rPr>
        <w:footnoteRef/>
      </w:r>
      <w:r w:rsidRPr="002071F5">
        <w:t xml:space="preserve"> </w:t>
      </w:r>
      <w:r w:rsidR="004014D9" w:rsidRPr="002071F5">
        <w:rPr>
          <w:i/>
        </w:rPr>
        <w:t>Commission Identifies Tentative Selectees in 111 Groups of Mutually Exclusive Applications Filed in the LPFM Window; Announces a 30-Day Petition to Deny Period and a 90-Day Period to File Voluntary Time-Share Proposals and Major Change Amendments</w:t>
      </w:r>
      <w:r w:rsidR="004014D9" w:rsidRPr="002071F5">
        <w:t>, Public Notice, 29 FCC Rcd 1084</w:t>
      </w:r>
      <w:r w:rsidR="005E6C92">
        <w:t>7 (2014) (</w:t>
      </w:r>
      <w:r w:rsidR="004014D9" w:rsidRPr="002071F5">
        <w:rPr>
          <w:i/>
        </w:rPr>
        <w:t>September Public Notice</w:t>
      </w:r>
      <w:r w:rsidR="004014D9" w:rsidRPr="002071F5">
        <w:t xml:space="preserve">).  </w:t>
      </w:r>
      <w:r w:rsidR="006D31D0" w:rsidRPr="002071F5">
        <w:rPr>
          <w:shd w:val="clear" w:color="auto" w:fill="FFFFFF"/>
        </w:rPr>
        <w:t>The Loyola Application, CEM Application, the BSB Application, the UWA Application, and the JHU Application</w:t>
      </w:r>
      <w:r w:rsidR="006D31D0" w:rsidRPr="002071F5">
        <w:t xml:space="preserve"> e</w:t>
      </w:r>
      <w:r w:rsidRPr="002071F5">
        <w:t xml:space="preserve">ach received a point under each of the following four criteria: </w:t>
      </w:r>
      <w:r w:rsidRPr="002071F5">
        <w:rPr>
          <w:shd w:val="clear" w:color="auto" w:fill="FFFFFF"/>
        </w:rPr>
        <w:t>1) established community presence of at least two years; 2) commitment to originate local programming; 3) commitment to maintain a main studio; and 4) commitment to originate local programming and to maintain a main studio.  The CEM Application, the BSB Application, the UWA Application, and the JHU Application also each received a point under the diversity of own</w:t>
      </w:r>
      <w:r w:rsidR="004014D9" w:rsidRPr="002071F5">
        <w:rPr>
          <w:shd w:val="clear" w:color="auto" w:fill="FFFFFF"/>
        </w:rPr>
        <w:t xml:space="preserve">ership (new entrant) criterion.  </w:t>
      </w:r>
      <w:r w:rsidR="004014D9" w:rsidRPr="002071F5">
        <w:t xml:space="preserve">The Loyola Application was not awarded a point under </w:t>
      </w:r>
      <w:r w:rsidR="006D31D0" w:rsidRPr="002071F5">
        <w:t xml:space="preserve">this final </w:t>
      </w:r>
      <w:r w:rsidR="004014D9" w:rsidRPr="002071F5">
        <w:t>criterion.</w:t>
      </w:r>
      <w:r w:rsidR="00EB3041" w:rsidRPr="002071F5">
        <w:rPr>
          <w:i/>
        </w:rPr>
        <w:t xml:space="preserve">  See </w:t>
      </w:r>
      <w:r w:rsidR="00C229E7" w:rsidRPr="002071F5">
        <w:rPr>
          <w:i/>
        </w:rPr>
        <w:t>id.</w:t>
      </w:r>
      <w:r w:rsidR="00EB3041" w:rsidRPr="002071F5">
        <w:t xml:space="preserve"> at 10850, n.22.</w:t>
      </w:r>
    </w:p>
  </w:footnote>
  <w:footnote w:id="7">
    <w:p w14:paraId="0E763374" w14:textId="77777777" w:rsidR="00C44ED9" w:rsidRPr="002071F5" w:rsidRDefault="00C44ED9" w:rsidP="00C44ED9">
      <w:pPr>
        <w:pStyle w:val="FootnoteText"/>
      </w:pPr>
      <w:r w:rsidRPr="002071F5">
        <w:rPr>
          <w:rStyle w:val="FootnoteReference"/>
        </w:rPr>
        <w:footnoteRef/>
      </w:r>
      <w:r w:rsidRPr="002071F5">
        <w:t xml:space="preserve"> On April 30, 2015, the Bureau dismissed the RFC Application</w:t>
      </w:r>
      <w:r w:rsidR="00CE776A" w:rsidRPr="002071F5">
        <w:t xml:space="preserve">.  </w:t>
      </w:r>
      <w:r w:rsidRPr="002071F5">
        <w:rPr>
          <w:i/>
        </w:rPr>
        <w:t>See Broadcast Actions</w:t>
      </w:r>
      <w:r w:rsidRPr="002071F5">
        <w:t xml:space="preserve">, Public Notice, Report No. 48482 (MB May 5, 2015).  This resulted in the St. Joseph’s Application </w:t>
      </w:r>
      <w:r w:rsidR="00CE776A" w:rsidRPr="002071F5">
        <w:t xml:space="preserve">being granted as a singleton.  </w:t>
      </w:r>
      <w:r w:rsidRPr="002071F5">
        <w:rPr>
          <w:i/>
        </w:rPr>
        <w:t>See Broadcast Actions</w:t>
      </w:r>
      <w:r w:rsidRPr="002071F5">
        <w:t>, Public Notice, Report No. 48512 (MB June 17, 2015).</w:t>
      </w:r>
    </w:p>
  </w:footnote>
  <w:footnote w:id="8">
    <w:p w14:paraId="67A0B065" w14:textId="77777777" w:rsidR="0065098B" w:rsidRPr="002071F5" w:rsidRDefault="0065098B">
      <w:pPr>
        <w:pStyle w:val="FootnoteText"/>
      </w:pPr>
      <w:r w:rsidRPr="002071F5">
        <w:rPr>
          <w:rStyle w:val="FootnoteReference"/>
        </w:rPr>
        <w:footnoteRef/>
      </w:r>
      <w:r w:rsidRPr="002071F5">
        <w:t xml:space="preserve"> </w:t>
      </w:r>
      <w:r w:rsidRPr="002071F5">
        <w:rPr>
          <w:i/>
        </w:rPr>
        <w:t>Order</w:t>
      </w:r>
      <w:r w:rsidRPr="002071F5">
        <w:t>, 30 FCC Rcd at 15043</w:t>
      </w:r>
      <w:r w:rsidR="005E6C92">
        <w:t>,</w:t>
      </w:r>
      <w:r w:rsidRPr="002071F5">
        <w:t xml:space="preserve"> </w:t>
      </w:r>
      <w:r w:rsidR="005E6C92">
        <w:t>paras.</w:t>
      </w:r>
      <w:r w:rsidRPr="002071F5">
        <w:t xml:space="preserve"> 7-8.</w:t>
      </w:r>
    </w:p>
  </w:footnote>
  <w:footnote w:id="9">
    <w:p w14:paraId="1A9C08EE" w14:textId="77777777" w:rsidR="00B81BAB" w:rsidRPr="002071F5" w:rsidRDefault="00B81BAB">
      <w:pPr>
        <w:pStyle w:val="FootnoteText"/>
      </w:pPr>
      <w:r w:rsidRPr="002071F5">
        <w:rPr>
          <w:rStyle w:val="FootnoteReference"/>
        </w:rPr>
        <w:footnoteRef/>
      </w:r>
      <w:r w:rsidRPr="002071F5">
        <w:t xml:space="preserve"> </w:t>
      </w:r>
      <w:r w:rsidR="00EA4CF4" w:rsidRPr="002071F5">
        <w:rPr>
          <w:i/>
        </w:rPr>
        <w:t>Id</w:t>
      </w:r>
      <w:r w:rsidR="00EA4CF4" w:rsidRPr="002071F5">
        <w:t>. at 15042-42</w:t>
      </w:r>
      <w:r w:rsidR="005E6C92">
        <w:t>,</w:t>
      </w:r>
      <w:r w:rsidR="00EA4CF4" w:rsidRPr="002071F5">
        <w:t xml:space="preserve"> </w:t>
      </w:r>
      <w:r w:rsidR="005E6C92">
        <w:t>paras.</w:t>
      </w:r>
      <w:r w:rsidR="00EA4CF4" w:rsidRPr="002071F5">
        <w:t xml:space="preserve"> 5-6.  </w:t>
      </w:r>
    </w:p>
  </w:footnote>
  <w:footnote w:id="10">
    <w:p w14:paraId="6F0F5E10" w14:textId="77777777" w:rsidR="00554A1F" w:rsidRPr="002071F5" w:rsidRDefault="00554A1F">
      <w:pPr>
        <w:pStyle w:val="FootnoteText"/>
      </w:pPr>
      <w:r w:rsidRPr="002071F5">
        <w:rPr>
          <w:rStyle w:val="FootnoteReference"/>
        </w:rPr>
        <w:footnoteRef/>
      </w:r>
      <w:r w:rsidRPr="002071F5">
        <w:t xml:space="preserve"> </w:t>
      </w:r>
      <w:r w:rsidR="00EB3041" w:rsidRPr="002071F5">
        <w:rPr>
          <w:i/>
        </w:rPr>
        <w:t>Id</w:t>
      </w:r>
      <w:r w:rsidR="00EB3041" w:rsidRPr="002071F5">
        <w:t>.</w:t>
      </w:r>
    </w:p>
  </w:footnote>
  <w:footnote w:id="11">
    <w:p w14:paraId="3B987038" w14:textId="77777777" w:rsidR="00EB3041" w:rsidRPr="002071F5" w:rsidRDefault="00EB3041">
      <w:pPr>
        <w:pStyle w:val="FootnoteText"/>
      </w:pPr>
      <w:r w:rsidRPr="002071F5">
        <w:rPr>
          <w:rStyle w:val="FootnoteReference"/>
        </w:rPr>
        <w:footnoteRef/>
      </w:r>
      <w:r w:rsidRPr="002071F5">
        <w:t xml:space="preserve"> </w:t>
      </w:r>
      <w:r w:rsidR="00FF6589" w:rsidRPr="002071F5">
        <w:rPr>
          <w:i/>
        </w:rPr>
        <w:t>Id.</w:t>
      </w:r>
      <w:r w:rsidR="00FF6589" w:rsidRPr="002071F5">
        <w:t xml:space="preserve"> </w:t>
      </w:r>
      <w:r w:rsidRPr="002071F5">
        <w:t>at 10543</w:t>
      </w:r>
      <w:r w:rsidR="005E6C92">
        <w:t xml:space="preserve">, para. </w:t>
      </w:r>
      <w:r w:rsidRPr="002071F5">
        <w:t>6.</w:t>
      </w:r>
    </w:p>
  </w:footnote>
  <w:footnote w:id="12">
    <w:p w14:paraId="6215D71A" w14:textId="77777777" w:rsidR="0070664B" w:rsidRPr="002071F5" w:rsidRDefault="0070664B">
      <w:pPr>
        <w:pStyle w:val="FootnoteText"/>
      </w:pPr>
      <w:r w:rsidRPr="002071F5">
        <w:rPr>
          <w:rStyle w:val="FootnoteReference"/>
        </w:rPr>
        <w:footnoteRef/>
      </w:r>
      <w:r w:rsidRPr="002071F5">
        <w:t xml:space="preserve"> </w:t>
      </w:r>
      <w:r w:rsidR="00FF6589" w:rsidRPr="002071F5">
        <w:rPr>
          <w:i/>
        </w:rPr>
        <w:t>Id.</w:t>
      </w:r>
      <w:r w:rsidR="00FF6589" w:rsidRPr="002071F5">
        <w:t xml:space="preserve"> </w:t>
      </w:r>
      <w:r w:rsidR="00EB3041" w:rsidRPr="002071F5">
        <w:t>at 15044</w:t>
      </w:r>
      <w:r w:rsidR="005E6C92">
        <w:t xml:space="preserve">, para. </w:t>
      </w:r>
      <w:r w:rsidRPr="002071F5">
        <w:t>10.</w:t>
      </w:r>
    </w:p>
  </w:footnote>
  <w:footnote w:id="13">
    <w:p w14:paraId="7AE9FA93" w14:textId="77777777" w:rsidR="0065098B" w:rsidRPr="002071F5" w:rsidRDefault="0065098B">
      <w:pPr>
        <w:pStyle w:val="FootnoteText"/>
      </w:pPr>
      <w:r w:rsidRPr="002071F5">
        <w:rPr>
          <w:rStyle w:val="FootnoteReference"/>
        </w:rPr>
        <w:footnoteRef/>
      </w:r>
      <w:r w:rsidRPr="002071F5">
        <w:t xml:space="preserve"> </w:t>
      </w:r>
      <w:r w:rsidRPr="002071F5">
        <w:rPr>
          <w:i/>
        </w:rPr>
        <w:t>Id.</w:t>
      </w:r>
    </w:p>
  </w:footnote>
  <w:footnote w:id="14">
    <w:p w14:paraId="7D3EDC73" w14:textId="77777777" w:rsidR="0065098B" w:rsidRPr="002071F5" w:rsidRDefault="0065098B">
      <w:pPr>
        <w:pStyle w:val="FootnoteText"/>
      </w:pPr>
      <w:r w:rsidRPr="002071F5">
        <w:rPr>
          <w:rStyle w:val="FootnoteReference"/>
        </w:rPr>
        <w:footnoteRef/>
      </w:r>
      <w:r w:rsidRPr="002071F5">
        <w:t xml:space="preserve"> </w:t>
      </w:r>
      <w:r w:rsidR="00FF6589" w:rsidRPr="002071F5">
        <w:rPr>
          <w:i/>
        </w:rPr>
        <w:t>Id.</w:t>
      </w:r>
      <w:r w:rsidR="00FF6589" w:rsidRPr="002071F5">
        <w:t xml:space="preserve"> </w:t>
      </w:r>
      <w:r w:rsidR="009D6638" w:rsidRPr="002071F5">
        <w:t>at 15044</w:t>
      </w:r>
      <w:r w:rsidR="005E6C92">
        <w:t>, para.</w:t>
      </w:r>
      <w:r w:rsidRPr="002071F5">
        <w:t xml:space="preserve"> 11.</w:t>
      </w:r>
    </w:p>
  </w:footnote>
  <w:footnote w:id="15">
    <w:p w14:paraId="6F9C1C23" w14:textId="77777777" w:rsidR="0099148E" w:rsidRDefault="0099148E">
      <w:pPr>
        <w:pStyle w:val="FootnoteText"/>
      </w:pPr>
      <w:r>
        <w:rPr>
          <w:rStyle w:val="FootnoteReference"/>
        </w:rPr>
        <w:footnoteRef/>
      </w:r>
      <w:r>
        <w:t xml:space="preserve"> BSB filed an Opposition to the Second Petition on October 29, 2015.</w:t>
      </w:r>
    </w:p>
  </w:footnote>
  <w:footnote w:id="16">
    <w:p w14:paraId="52F06E5D" w14:textId="77777777" w:rsidR="00A45B4A" w:rsidRPr="002071F5" w:rsidRDefault="00A45B4A">
      <w:pPr>
        <w:pStyle w:val="FootnoteText"/>
      </w:pPr>
      <w:r w:rsidRPr="002071F5">
        <w:rPr>
          <w:rStyle w:val="FootnoteReference"/>
        </w:rPr>
        <w:footnoteRef/>
      </w:r>
      <w:r w:rsidRPr="002071F5">
        <w:t xml:space="preserve"> Second Petition</w:t>
      </w:r>
      <w:r w:rsidR="003B2AEE" w:rsidRPr="002071F5">
        <w:t xml:space="preserve"> </w:t>
      </w:r>
      <w:r w:rsidRPr="002071F5">
        <w:t>at 3.</w:t>
      </w:r>
    </w:p>
  </w:footnote>
  <w:footnote w:id="17">
    <w:p w14:paraId="6CC6C52B" w14:textId="77777777" w:rsidR="00A45B4A" w:rsidRPr="002071F5" w:rsidRDefault="00A45B4A">
      <w:pPr>
        <w:pStyle w:val="FootnoteText"/>
      </w:pPr>
      <w:r w:rsidRPr="002071F5">
        <w:rPr>
          <w:rStyle w:val="FootnoteReference"/>
        </w:rPr>
        <w:footnoteRef/>
      </w:r>
      <w:r w:rsidRPr="002071F5">
        <w:t xml:space="preserve"> </w:t>
      </w:r>
      <w:r w:rsidR="003E0586" w:rsidRPr="002071F5">
        <w:rPr>
          <w:i/>
        </w:rPr>
        <w:t>Id.</w:t>
      </w:r>
      <w:r w:rsidRPr="002071F5">
        <w:t xml:space="preserve"> at 2-3, </w:t>
      </w:r>
      <w:r w:rsidRPr="002071F5">
        <w:rPr>
          <w:i/>
        </w:rPr>
        <w:t>citing</w:t>
      </w:r>
      <w:r w:rsidRPr="002071F5">
        <w:t xml:space="preserve"> </w:t>
      </w:r>
      <w:r w:rsidRPr="002071F5">
        <w:rPr>
          <w:i/>
        </w:rPr>
        <w:t>Salzer v. FCC</w:t>
      </w:r>
      <w:r w:rsidRPr="002071F5">
        <w:t>, 778 F.2d 869, 875 (D.C. Cir. 1985)</w:t>
      </w:r>
      <w:r w:rsidR="003B2AEE" w:rsidRPr="002071F5">
        <w:t xml:space="preserve"> (</w:t>
      </w:r>
      <w:r w:rsidR="003B2AEE" w:rsidRPr="002071F5">
        <w:rPr>
          <w:i/>
        </w:rPr>
        <w:t>Salzer</w:t>
      </w:r>
      <w:r w:rsidR="003B2AEE" w:rsidRPr="002071F5">
        <w:t>)</w:t>
      </w:r>
      <w:r w:rsidR="005E6C92">
        <w:t>,</w:t>
      </w:r>
      <w:r w:rsidRPr="002071F5">
        <w:t xml:space="preserve"> and </w:t>
      </w:r>
      <w:r w:rsidR="003B2AEE" w:rsidRPr="002071F5">
        <w:rPr>
          <w:i/>
        </w:rPr>
        <w:t>Syn</w:t>
      </w:r>
      <w:r w:rsidRPr="002071F5">
        <w:rPr>
          <w:i/>
        </w:rPr>
        <w:t>er</w:t>
      </w:r>
      <w:r w:rsidR="003B2AEE" w:rsidRPr="002071F5">
        <w:rPr>
          <w:i/>
        </w:rPr>
        <w:t>gy</w:t>
      </w:r>
      <w:r w:rsidRPr="002071F5">
        <w:rPr>
          <w:i/>
        </w:rPr>
        <w:t xml:space="preserve"> Project Inc.</w:t>
      </w:r>
      <w:r w:rsidRPr="002071F5">
        <w:t>, Letter</w:t>
      </w:r>
      <w:r w:rsidR="005E6C92">
        <w:t xml:space="preserve"> Order</w:t>
      </w:r>
      <w:r w:rsidRPr="002071F5">
        <w:t xml:space="preserve">, </w:t>
      </w:r>
      <w:r w:rsidR="003B2AEE" w:rsidRPr="002071F5">
        <w:t>29</w:t>
      </w:r>
      <w:r w:rsidR="006A5C51">
        <w:t xml:space="preserve"> FCC Rcd 9601 (MB 2014) (</w:t>
      </w:r>
      <w:r w:rsidR="003B2AEE" w:rsidRPr="002071F5">
        <w:rPr>
          <w:i/>
        </w:rPr>
        <w:t>Synergy</w:t>
      </w:r>
      <w:r w:rsidR="003B2AEE" w:rsidRPr="002071F5">
        <w:t>).</w:t>
      </w:r>
    </w:p>
  </w:footnote>
  <w:footnote w:id="18">
    <w:p w14:paraId="2086E53B" w14:textId="77777777" w:rsidR="005151DA" w:rsidRPr="002071F5" w:rsidRDefault="005151DA">
      <w:pPr>
        <w:pStyle w:val="FootnoteText"/>
      </w:pPr>
      <w:r w:rsidRPr="002071F5">
        <w:rPr>
          <w:rStyle w:val="FootnoteReference"/>
        </w:rPr>
        <w:footnoteRef/>
      </w:r>
      <w:r w:rsidRPr="002071F5">
        <w:t xml:space="preserve"> Second Petition at 5.</w:t>
      </w:r>
    </w:p>
  </w:footnote>
  <w:footnote w:id="19">
    <w:p w14:paraId="7214BD68" w14:textId="77777777" w:rsidR="00CB6632" w:rsidRPr="002071F5" w:rsidRDefault="00CB6632" w:rsidP="00CB6632">
      <w:pPr>
        <w:pStyle w:val="FootnoteText"/>
      </w:pPr>
      <w:r w:rsidRPr="002071F5">
        <w:rPr>
          <w:rStyle w:val="FootnoteReference"/>
        </w:rPr>
        <w:footnoteRef/>
      </w:r>
      <w:r w:rsidRPr="002071F5">
        <w:t xml:space="preserve"> </w:t>
      </w:r>
      <w:r w:rsidRPr="002071F5">
        <w:rPr>
          <w:i/>
        </w:rPr>
        <w:t xml:space="preserve">See </w:t>
      </w:r>
      <w:r w:rsidRPr="002071F5">
        <w:t xml:space="preserve">47 </w:t>
      </w:r>
      <w:r w:rsidR="00B10A7D">
        <w:t>CFR</w:t>
      </w:r>
      <w:r w:rsidRPr="002071F5">
        <w:t xml:space="preserve"> § 1.106(a).  </w:t>
      </w:r>
      <w:r w:rsidRPr="002071F5">
        <w:rPr>
          <w:i/>
        </w:rPr>
        <w:t xml:space="preserve"> </w:t>
      </w:r>
      <w:r w:rsidRPr="002071F5">
        <w:t xml:space="preserve">  </w:t>
      </w:r>
    </w:p>
  </w:footnote>
  <w:footnote w:id="20">
    <w:p w14:paraId="20B328BB" w14:textId="77777777" w:rsidR="00E20F5A" w:rsidRPr="002071F5" w:rsidRDefault="00E20F5A">
      <w:pPr>
        <w:pStyle w:val="FootnoteText"/>
      </w:pPr>
      <w:r w:rsidRPr="002071F5">
        <w:rPr>
          <w:rStyle w:val="FootnoteReference"/>
        </w:rPr>
        <w:footnoteRef/>
      </w:r>
      <w:r w:rsidRPr="002071F5">
        <w:t xml:space="preserve"> </w:t>
      </w:r>
      <w:r w:rsidRPr="002071F5">
        <w:rPr>
          <w:i/>
        </w:rPr>
        <w:t>See Jet Fuel Broadcasting</w:t>
      </w:r>
      <w:r w:rsidRPr="002071F5">
        <w:t xml:space="preserve">, </w:t>
      </w:r>
      <w:r w:rsidR="00A45B4A" w:rsidRPr="002071F5">
        <w:t>Memorandum</w:t>
      </w:r>
      <w:r w:rsidRPr="002071F5">
        <w:t xml:space="preserve"> Opi</w:t>
      </w:r>
      <w:r w:rsidR="005E6C92">
        <w:t xml:space="preserve">nion and Order, 29 FCC Rcd 2471, para. </w:t>
      </w:r>
      <w:r w:rsidRPr="002071F5">
        <w:t xml:space="preserve">2 </w:t>
      </w:r>
      <w:r w:rsidR="00A45B4A" w:rsidRPr="002071F5">
        <w:t xml:space="preserve">(2014) </w:t>
      </w:r>
      <w:r w:rsidRPr="002071F5">
        <w:t>(“An</w:t>
      </w:r>
      <w:r w:rsidRPr="002071F5">
        <w:rPr>
          <w:rStyle w:val="apple-converted-space"/>
        </w:rPr>
        <w:t> </w:t>
      </w:r>
      <w:r w:rsidRPr="002071F5">
        <w:rPr>
          <w:rStyle w:val="cosearchterm"/>
          <w:bCs/>
        </w:rPr>
        <w:t>interlocutory</w:t>
      </w:r>
      <w:r w:rsidRPr="002071F5">
        <w:rPr>
          <w:rStyle w:val="apple-converted-space"/>
        </w:rPr>
        <w:t> </w:t>
      </w:r>
      <w:r w:rsidRPr="002071F5">
        <w:t>action by definition is non-final, one that neither denies nor dismisses an application nor terminates an applicant's right to participate in the proceeding.  For an agency action to</w:t>
      </w:r>
      <w:r w:rsidRPr="002071F5">
        <w:rPr>
          <w:rStyle w:val="apple-converted-space"/>
        </w:rPr>
        <w:t> </w:t>
      </w:r>
      <w:r w:rsidR="00A45B4A" w:rsidRPr="002071F5">
        <w:t>be ‘</w:t>
      </w:r>
      <w:r w:rsidRPr="002071F5">
        <w:t>final,</w:t>
      </w:r>
      <w:r w:rsidR="00A45B4A" w:rsidRPr="002071F5">
        <w:t>’</w:t>
      </w:r>
      <w:r w:rsidRPr="002071F5">
        <w:t xml:space="preserve"> fi</w:t>
      </w:r>
      <w:r w:rsidR="00A45B4A" w:rsidRPr="002071F5">
        <w:t>rst, the action must mark the ‘consummation’</w:t>
      </w:r>
      <w:r w:rsidRPr="002071F5">
        <w:t xml:space="preserve"> of the agency's decision making process, and not be merely of a tentative or</w:t>
      </w:r>
      <w:r w:rsidRPr="002071F5">
        <w:rPr>
          <w:rStyle w:val="apple-converted-space"/>
        </w:rPr>
        <w:t> </w:t>
      </w:r>
      <w:r w:rsidRPr="002071F5">
        <w:rPr>
          <w:rStyle w:val="cosearchterm"/>
          <w:bCs/>
        </w:rPr>
        <w:t>interlocutory</w:t>
      </w:r>
      <w:r w:rsidRPr="002071F5">
        <w:rPr>
          <w:rStyle w:val="apple-converted-space"/>
        </w:rPr>
        <w:t> </w:t>
      </w:r>
      <w:r w:rsidRPr="002071F5">
        <w:t>nature; and second, the action must be one by which rights or obligations have been determined, or from which legal consequences will flow.”</w:t>
      </w:r>
      <w:r w:rsidR="00A45B4A" w:rsidRPr="002071F5">
        <w:t>)</w:t>
      </w:r>
      <w:r w:rsidRPr="002071F5">
        <w:t xml:space="preserve">  </w:t>
      </w:r>
      <w:r w:rsidRPr="002071F5">
        <w:rPr>
          <w:i/>
        </w:rPr>
        <w:t>See also</w:t>
      </w:r>
      <w:r w:rsidRPr="002071F5">
        <w:t xml:space="preserve"> </w:t>
      </w:r>
      <w:r w:rsidRPr="002071F5">
        <w:rPr>
          <w:i/>
        </w:rPr>
        <w:t>Order</w:t>
      </w:r>
      <w:r w:rsidRPr="002071F5">
        <w:t>, 30 FCC Rcd at 10544</w:t>
      </w:r>
      <w:r w:rsidR="005E6C92">
        <w:t xml:space="preserve">, para. </w:t>
      </w:r>
      <w:r w:rsidRPr="002071F5">
        <w:t>10 (ordering clauses did not grant or dismiss any application).</w:t>
      </w:r>
    </w:p>
  </w:footnote>
  <w:footnote w:id="21">
    <w:p w14:paraId="142E61C8" w14:textId="77777777" w:rsidR="00A45B4A" w:rsidRPr="002071F5" w:rsidRDefault="00A45B4A">
      <w:pPr>
        <w:pStyle w:val="FootnoteText"/>
      </w:pPr>
      <w:r w:rsidRPr="002071F5">
        <w:rPr>
          <w:rStyle w:val="FootnoteReference"/>
        </w:rPr>
        <w:footnoteRef/>
      </w:r>
      <w:r w:rsidRPr="002071F5">
        <w:t xml:space="preserve"> </w:t>
      </w:r>
      <w:r w:rsidRPr="002071F5">
        <w:rPr>
          <w:i/>
        </w:rPr>
        <w:t>See Comparative Consideration of Seve</w:t>
      </w:r>
      <w:r w:rsidR="003B2AEE" w:rsidRPr="002071F5">
        <w:rPr>
          <w:i/>
        </w:rPr>
        <w:t>n</w:t>
      </w:r>
      <w:r w:rsidRPr="002071F5">
        <w:rPr>
          <w:i/>
        </w:rPr>
        <w:t xml:space="preserve"> Groups</w:t>
      </w:r>
      <w:r w:rsidR="00593D02" w:rsidRPr="002071F5">
        <w:rPr>
          <w:i/>
        </w:rPr>
        <w:t xml:space="preserve"> of Mutually Exclusive Applications for Permits to Construct New Noncommercial Educational FM Stations Filed in the February 2010 Window</w:t>
      </w:r>
      <w:r w:rsidRPr="002071F5">
        <w:t>, 30 FCC Rcd 5135, 5147</w:t>
      </w:r>
      <w:r w:rsidR="005E6C92">
        <w:t>,</w:t>
      </w:r>
      <w:r w:rsidRPr="002071F5">
        <w:t xml:space="preserve"> </w:t>
      </w:r>
      <w:r w:rsidR="005E6C92">
        <w:t xml:space="preserve">para. </w:t>
      </w:r>
      <w:r w:rsidRPr="002071F5">
        <w:t>33 (2015) (dismissing petition for reconsideration filed against interlocutory order).</w:t>
      </w:r>
    </w:p>
  </w:footnote>
  <w:footnote w:id="22">
    <w:p w14:paraId="5269F2F2" w14:textId="30E5C539" w:rsidR="00153C29" w:rsidRPr="002071F5" w:rsidRDefault="00153C29">
      <w:pPr>
        <w:pStyle w:val="FootnoteText"/>
      </w:pPr>
      <w:r w:rsidRPr="002071F5">
        <w:rPr>
          <w:rStyle w:val="FootnoteReference"/>
        </w:rPr>
        <w:footnoteRef/>
      </w:r>
      <w:r w:rsidRPr="002071F5">
        <w:t xml:space="preserve"> </w:t>
      </w:r>
      <w:hyperlink r:id="rId1" w:anchor="co_pp_2c830000eaaf5" w:history="1">
        <w:r w:rsidRPr="002071F5">
          <w:rPr>
            <w:snapToGrid w:val="0"/>
            <w:kern w:val="28"/>
          </w:rPr>
          <w:t xml:space="preserve">47 </w:t>
        </w:r>
        <w:r w:rsidR="00B10A7D">
          <w:rPr>
            <w:snapToGrid w:val="0"/>
            <w:kern w:val="28"/>
          </w:rPr>
          <w:t>CFR</w:t>
        </w:r>
        <w:r w:rsidRPr="002071F5">
          <w:rPr>
            <w:snapToGrid w:val="0"/>
            <w:kern w:val="28"/>
          </w:rPr>
          <w:t xml:space="preserve"> § 1.106(p)</w:t>
        </w:r>
      </w:hyperlink>
      <w:r w:rsidRPr="002071F5">
        <w:rPr>
          <w:snapToGrid w:val="0"/>
          <w:kern w:val="28"/>
        </w:rPr>
        <w:t>.</w:t>
      </w:r>
      <w:r w:rsidR="007005C2" w:rsidRPr="002071F5">
        <w:rPr>
          <w:snapToGrid w:val="0"/>
          <w:kern w:val="28"/>
        </w:rPr>
        <w:t xml:space="preserve">  </w:t>
      </w:r>
      <w:r w:rsidRPr="002071F5">
        <w:rPr>
          <w:i/>
          <w:iCs/>
          <w:snapToGrid w:val="0"/>
          <w:kern w:val="28"/>
        </w:rPr>
        <w:t>See </w:t>
      </w:r>
      <w:hyperlink r:id="rId2" w:anchor="co_pp_sp_4493_1606" w:history="1">
        <w:r w:rsidRPr="002071F5">
          <w:rPr>
            <w:i/>
            <w:iCs/>
            <w:snapToGrid w:val="0"/>
            <w:kern w:val="28"/>
          </w:rPr>
          <w:t>Amendment of Certain of the Commission's Part 1 Rules of Practice and Procedure and Part 0 Rules of Commission Organization</w:t>
        </w:r>
        <w:r w:rsidRPr="002071F5">
          <w:rPr>
            <w:snapToGrid w:val="0"/>
            <w:kern w:val="28"/>
          </w:rPr>
          <w:t>, Report and Order, 26 FCC Rcd 1594, 1606</w:t>
        </w:r>
        <w:r w:rsidR="005E6C92">
          <w:rPr>
            <w:snapToGrid w:val="0"/>
            <w:kern w:val="28"/>
          </w:rPr>
          <w:t>,</w:t>
        </w:r>
        <w:r w:rsidRPr="002071F5">
          <w:rPr>
            <w:snapToGrid w:val="0"/>
            <w:kern w:val="28"/>
          </w:rPr>
          <w:t xml:space="preserve"> </w:t>
        </w:r>
        <w:r w:rsidR="005E6C92">
          <w:rPr>
            <w:snapToGrid w:val="0"/>
            <w:kern w:val="28"/>
          </w:rPr>
          <w:t>para.</w:t>
        </w:r>
        <w:r w:rsidRPr="002071F5">
          <w:rPr>
            <w:snapToGrid w:val="0"/>
            <w:kern w:val="28"/>
          </w:rPr>
          <w:t xml:space="preserve"> 27 (2011)</w:t>
        </w:r>
      </w:hyperlink>
      <w:r w:rsidRPr="002071F5">
        <w:rPr>
          <w:snapToGrid w:val="0"/>
          <w:kern w:val="28"/>
        </w:rPr>
        <w:t>.</w:t>
      </w:r>
    </w:p>
  </w:footnote>
  <w:footnote w:id="23">
    <w:p w14:paraId="459A1E15" w14:textId="588282F3" w:rsidR="00153C29" w:rsidRPr="002071F5" w:rsidRDefault="00153C29">
      <w:pPr>
        <w:pStyle w:val="FootnoteText"/>
      </w:pPr>
      <w:r w:rsidRPr="002071F5">
        <w:rPr>
          <w:rStyle w:val="FootnoteReference"/>
        </w:rPr>
        <w:footnoteRef/>
      </w:r>
      <w:r w:rsidRPr="002071F5">
        <w:t xml:space="preserve"> </w:t>
      </w:r>
      <w:hyperlink r:id="rId3" w:anchor="co_pp_44f6000007ee7" w:history="1">
        <w:r w:rsidRPr="002071F5">
          <w:rPr>
            <w:snapToGrid w:val="0"/>
            <w:kern w:val="28"/>
          </w:rPr>
          <w:t xml:space="preserve">47 </w:t>
        </w:r>
        <w:r w:rsidR="00B10A7D">
          <w:rPr>
            <w:snapToGrid w:val="0"/>
            <w:kern w:val="28"/>
          </w:rPr>
          <w:t>CFR</w:t>
        </w:r>
        <w:r w:rsidRPr="002071F5">
          <w:rPr>
            <w:snapToGrid w:val="0"/>
            <w:kern w:val="28"/>
          </w:rPr>
          <w:t xml:space="preserve"> § </w:t>
        </w:r>
        <w:r w:rsidRPr="002071F5">
          <w:rPr>
            <w:bCs/>
            <w:snapToGrid w:val="0"/>
            <w:kern w:val="28"/>
          </w:rPr>
          <w:t>1</w:t>
        </w:r>
        <w:r w:rsidRPr="002071F5">
          <w:rPr>
            <w:snapToGrid w:val="0"/>
            <w:kern w:val="28"/>
          </w:rPr>
          <w:t>.</w:t>
        </w:r>
        <w:r w:rsidRPr="002071F5">
          <w:rPr>
            <w:bCs/>
            <w:snapToGrid w:val="0"/>
            <w:kern w:val="28"/>
          </w:rPr>
          <w:t>106</w:t>
        </w:r>
        <w:r w:rsidRPr="002071F5">
          <w:rPr>
            <w:snapToGrid w:val="0"/>
            <w:kern w:val="28"/>
          </w:rPr>
          <w:t>(</w:t>
        </w:r>
        <w:r w:rsidRPr="002071F5">
          <w:rPr>
            <w:bCs/>
            <w:snapToGrid w:val="0"/>
            <w:kern w:val="28"/>
          </w:rPr>
          <w:t>p</w:t>
        </w:r>
        <w:r w:rsidRPr="002071F5">
          <w:rPr>
            <w:snapToGrid w:val="0"/>
            <w:kern w:val="28"/>
          </w:rPr>
          <w:t>)(</w:t>
        </w:r>
        <w:r w:rsidRPr="002071F5">
          <w:rPr>
            <w:bCs/>
            <w:snapToGrid w:val="0"/>
            <w:kern w:val="28"/>
          </w:rPr>
          <w:t>3</w:t>
        </w:r>
        <w:r w:rsidRPr="002071F5">
          <w:rPr>
            <w:snapToGrid w:val="0"/>
            <w:kern w:val="28"/>
          </w:rPr>
          <w:t>)</w:t>
        </w:r>
      </w:hyperlink>
      <w:r w:rsidRPr="002071F5">
        <w:rPr>
          <w:snapToGrid w:val="0"/>
          <w:kern w:val="28"/>
        </w:rPr>
        <w:t>.</w:t>
      </w:r>
    </w:p>
  </w:footnote>
  <w:footnote w:id="24">
    <w:p w14:paraId="1F7463D4" w14:textId="77777777" w:rsidR="00AC3FF8" w:rsidRPr="002071F5" w:rsidRDefault="00AC3FF8">
      <w:pPr>
        <w:pStyle w:val="FootnoteText"/>
      </w:pPr>
      <w:r w:rsidRPr="002071F5">
        <w:rPr>
          <w:rStyle w:val="FootnoteReference"/>
        </w:rPr>
        <w:footnoteRef/>
      </w:r>
      <w:r w:rsidRPr="002071F5">
        <w:t xml:space="preserve"> Order, 30 FCC Rcd at 10542</w:t>
      </w:r>
      <w:r w:rsidR="005E6C92">
        <w:t>,</w:t>
      </w:r>
      <w:r w:rsidRPr="002071F5">
        <w:t xml:space="preserve"> </w:t>
      </w:r>
      <w:r w:rsidR="005E6C92">
        <w:t xml:space="preserve">para. </w:t>
      </w:r>
      <w:r w:rsidRPr="002071F5">
        <w:t>5.</w:t>
      </w:r>
    </w:p>
  </w:footnote>
  <w:footnote w:id="25">
    <w:p w14:paraId="4F2686CB" w14:textId="77777777" w:rsidR="00B02BD7" w:rsidRPr="002071F5" w:rsidRDefault="00B02BD7">
      <w:pPr>
        <w:pStyle w:val="FootnoteText"/>
      </w:pPr>
      <w:r w:rsidRPr="002071F5">
        <w:rPr>
          <w:rStyle w:val="FootnoteReference"/>
        </w:rPr>
        <w:footnoteRef/>
      </w:r>
      <w:r w:rsidRPr="002071F5">
        <w:t xml:space="preserve"> </w:t>
      </w:r>
      <w:r w:rsidR="00225ED8" w:rsidRPr="002071F5">
        <w:rPr>
          <w:i/>
        </w:rPr>
        <w:t>Id</w:t>
      </w:r>
      <w:r w:rsidR="00225ED8" w:rsidRPr="002071F5">
        <w:t>.</w:t>
      </w:r>
      <w:r w:rsidR="00AC3FF8" w:rsidRPr="002071F5">
        <w:t xml:space="preserve"> at 10543</w:t>
      </w:r>
      <w:r w:rsidR="005E6C92">
        <w:t xml:space="preserve">, para. </w:t>
      </w:r>
      <w:r w:rsidR="00AC3FF8" w:rsidRPr="002071F5">
        <w:t>6.</w:t>
      </w:r>
    </w:p>
  </w:footnote>
  <w:footnote w:id="26">
    <w:p w14:paraId="140DFE3A" w14:textId="77777777" w:rsidR="00B324DA" w:rsidRPr="002071F5" w:rsidRDefault="00B324DA">
      <w:pPr>
        <w:pStyle w:val="FootnoteText"/>
      </w:pPr>
      <w:r w:rsidRPr="002071F5">
        <w:rPr>
          <w:rStyle w:val="FootnoteReference"/>
        </w:rPr>
        <w:footnoteRef/>
      </w:r>
      <w:r w:rsidRPr="002071F5">
        <w:t xml:space="preserve"> </w:t>
      </w:r>
      <w:r w:rsidRPr="002071F5">
        <w:rPr>
          <w:i/>
        </w:rPr>
        <w:t>See</w:t>
      </w:r>
      <w:r w:rsidRPr="002071F5">
        <w:t xml:space="preserve"> </w:t>
      </w:r>
      <w:r w:rsidRPr="002071F5">
        <w:rPr>
          <w:i/>
        </w:rPr>
        <w:t>Anniston Seventh Day Adventist Church</w:t>
      </w:r>
      <w:r w:rsidRPr="002071F5">
        <w:t>, Memorandum Opinion and Order, 30 FCC Rcd 6057 (MB 2015) (dismissing petition for reconsideration pursuant to Section</w:t>
      </w:r>
      <w:r w:rsidR="00AE2539" w:rsidRPr="002071F5">
        <w:t>s</w:t>
      </w:r>
      <w:r w:rsidRPr="002071F5">
        <w:t xml:space="preserve"> </w:t>
      </w:r>
      <w:r w:rsidR="00AE2539" w:rsidRPr="002071F5">
        <w:t xml:space="preserve">1.106(p)(3) and </w:t>
      </w:r>
      <w:r w:rsidRPr="002071F5">
        <w:t>1.106(b)(3)</w:t>
      </w:r>
      <w:r w:rsidR="005E6C92">
        <w:t xml:space="preserve"> of the Rules</w:t>
      </w:r>
      <w:r w:rsidRPr="002071F5">
        <w:t xml:space="preserve"> where it </w:t>
      </w:r>
      <w:r w:rsidR="007005C2" w:rsidRPr="002071F5">
        <w:t>did not present new facts or changed circumstances, but merely raised</w:t>
      </w:r>
      <w:r w:rsidR="00AE2539" w:rsidRPr="002071F5">
        <w:t xml:space="preserve"> the</w:t>
      </w:r>
      <w:r w:rsidR="007005C2" w:rsidRPr="002071F5">
        <w:t xml:space="preserve"> same arguments rejected by the Commission).</w:t>
      </w:r>
      <w:r w:rsidRPr="002071F5">
        <w:t xml:space="preserve"> </w:t>
      </w:r>
    </w:p>
  </w:footnote>
  <w:footnote w:id="27">
    <w:p w14:paraId="77DEC0CC" w14:textId="5665368B" w:rsidR="00CD29FA" w:rsidRPr="002071F5" w:rsidRDefault="00CD29FA">
      <w:pPr>
        <w:pStyle w:val="FootnoteText"/>
      </w:pPr>
      <w:r w:rsidRPr="002071F5">
        <w:rPr>
          <w:rStyle w:val="FootnoteReference"/>
        </w:rPr>
        <w:footnoteRef/>
      </w:r>
      <w:r w:rsidRPr="002071F5">
        <w:t xml:space="preserve"> </w:t>
      </w:r>
      <w:r w:rsidRPr="002071F5">
        <w:rPr>
          <w:i/>
          <w:iCs/>
          <w:snapToGrid w:val="0"/>
          <w:kern w:val="28"/>
        </w:rPr>
        <w:t>See</w:t>
      </w:r>
      <w:r w:rsidRPr="002071F5">
        <w:rPr>
          <w:snapToGrid w:val="0"/>
          <w:kern w:val="28"/>
        </w:rPr>
        <w:t> </w:t>
      </w:r>
      <w:hyperlink r:id="rId4" w:anchor="co_pp_1f3b00002ac06" w:history="1">
        <w:r w:rsidRPr="002071F5">
          <w:rPr>
            <w:snapToGrid w:val="0"/>
            <w:kern w:val="28"/>
          </w:rPr>
          <w:t xml:space="preserve">47 </w:t>
        </w:r>
        <w:r w:rsidR="00B10A7D">
          <w:rPr>
            <w:snapToGrid w:val="0"/>
            <w:kern w:val="28"/>
          </w:rPr>
          <w:t>CFR</w:t>
        </w:r>
        <w:r w:rsidRPr="002071F5">
          <w:rPr>
            <w:snapToGrid w:val="0"/>
            <w:kern w:val="28"/>
          </w:rPr>
          <w:t xml:space="preserve"> § </w:t>
        </w:r>
        <w:r w:rsidRPr="002071F5">
          <w:rPr>
            <w:bCs/>
            <w:snapToGrid w:val="0"/>
            <w:kern w:val="28"/>
          </w:rPr>
          <w:t>1</w:t>
        </w:r>
        <w:r w:rsidRPr="002071F5">
          <w:rPr>
            <w:snapToGrid w:val="0"/>
            <w:kern w:val="28"/>
          </w:rPr>
          <w:t>.</w:t>
        </w:r>
        <w:r w:rsidRPr="002071F5">
          <w:rPr>
            <w:bCs/>
            <w:snapToGrid w:val="0"/>
            <w:kern w:val="28"/>
          </w:rPr>
          <w:t>106</w:t>
        </w:r>
        <w:r w:rsidRPr="002071F5">
          <w:rPr>
            <w:snapToGrid w:val="0"/>
            <w:kern w:val="28"/>
          </w:rPr>
          <w:t>(</w:t>
        </w:r>
        <w:r w:rsidRPr="002071F5">
          <w:rPr>
            <w:bCs/>
            <w:snapToGrid w:val="0"/>
            <w:kern w:val="28"/>
          </w:rPr>
          <w:t>p</w:t>
        </w:r>
        <w:r w:rsidRPr="002071F5">
          <w:rPr>
            <w:snapToGrid w:val="0"/>
            <w:kern w:val="28"/>
          </w:rPr>
          <w:t>)(</w:t>
        </w:r>
        <w:r w:rsidRPr="002071F5">
          <w:rPr>
            <w:bCs/>
            <w:snapToGrid w:val="0"/>
            <w:kern w:val="28"/>
          </w:rPr>
          <w:t>2</w:t>
        </w:r>
        <w:r w:rsidRPr="002071F5">
          <w:rPr>
            <w:snapToGrid w:val="0"/>
            <w:kern w:val="28"/>
          </w:rPr>
          <w:t>)</w:t>
        </w:r>
      </w:hyperlink>
      <w:r w:rsidRPr="002071F5">
        <w:rPr>
          <w:snapToGrid w:val="0"/>
          <w:kern w:val="28"/>
        </w:rPr>
        <w:t>; </w:t>
      </w:r>
      <w:r w:rsidRPr="002071F5">
        <w:rPr>
          <w:i/>
          <w:iCs/>
          <w:snapToGrid w:val="0"/>
          <w:kern w:val="28"/>
        </w:rPr>
        <w:t>see also </w:t>
      </w:r>
      <w:hyperlink r:id="rId5" w:history="1">
        <w:r w:rsidRPr="002071F5">
          <w:rPr>
            <w:i/>
            <w:iCs/>
            <w:snapToGrid w:val="0"/>
            <w:kern w:val="28"/>
          </w:rPr>
          <w:t>Royce International Broadcasting Co.</w:t>
        </w:r>
        <w:r w:rsidRPr="002071F5">
          <w:rPr>
            <w:snapToGrid w:val="0"/>
            <w:kern w:val="28"/>
          </w:rPr>
          <w:t>, Memorandum Opinion and Order, 26 FCC Rcd 9249</w:t>
        </w:r>
        <w:r w:rsidR="005E6C92">
          <w:rPr>
            <w:snapToGrid w:val="0"/>
            <w:kern w:val="28"/>
          </w:rPr>
          <w:t>,</w:t>
        </w:r>
        <w:r w:rsidRPr="002071F5">
          <w:rPr>
            <w:snapToGrid w:val="0"/>
            <w:kern w:val="28"/>
          </w:rPr>
          <w:t xml:space="preserve"> </w:t>
        </w:r>
        <w:r w:rsidR="005E6C92">
          <w:rPr>
            <w:snapToGrid w:val="0"/>
            <w:kern w:val="28"/>
          </w:rPr>
          <w:t>para.</w:t>
        </w:r>
        <w:r w:rsidRPr="002071F5">
          <w:rPr>
            <w:snapToGrid w:val="0"/>
            <w:kern w:val="28"/>
          </w:rPr>
          <w:t xml:space="preserve"> 2 (MB 2011)</w:t>
        </w:r>
      </w:hyperlink>
      <w:r w:rsidRPr="002071F5">
        <w:rPr>
          <w:snapToGrid w:val="0"/>
          <w:kern w:val="28"/>
        </w:rPr>
        <w:t> (The Commission's “[r]ules and precedent clearly provide that [the agency] will not consider petitions for reconsideration which rely on facts or theories that could have been presented earlier in the proceeding.”).</w:t>
      </w:r>
    </w:p>
  </w:footnote>
  <w:footnote w:id="28">
    <w:p w14:paraId="3797481F" w14:textId="6E726FB6" w:rsidR="00CD29FA" w:rsidRPr="002071F5" w:rsidRDefault="00CD29FA">
      <w:pPr>
        <w:pStyle w:val="FootnoteText"/>
      </w:pPr>
      <w:r w:rsidRPr="002071F5">
        <w:rPr>
          <w:rStyle w:val="FootnoteReference"/>
        </w:rPr>
        <w:footnoteRef/>
      </w:r>
      <w:r w:rsidRPr="002071F5">
        <w:t xml:space="preserve"> Additionally, were we to </w:t>
      </w:r>
      <w:r w:rsidR="00A22153" w:rsidRPr="002071F5">
        <w:t>consider</w:t>
      </w:r>
      <w:r w:rsidR="00225ED8" w:rsidRPr="002071F5">
        <w:t xml:space="preserve"> these arguments</w:t>
      </w:r>
      <w:r w:rsidRPr="002071F5">
        <w:t xml:space="preserve">, we would reject them.  </w:t>
      </w:r>
      <w:r w:rsidR="00280F00" w:rsidRPr="002071F5">
        <w:t xml:space="preserve">The Court of Appeals for the D.C. Circuit has held that </w:t>
      </w:r>
      <w:r w:rsidR="00280F00" w:rsidRPr="002071F5">
        <w:rPr>
          <w:szCs w:val="22"/>
        </w:rPr>
        <w:t>“</w:t>
      </w:r>
      <w:r w:rsidR="00280F00" w:rsidRPr="002071F5">
        <w:rPr>
          <w:i/>
          <w:iCs/>
          <w:szCs w:val="22"/>
        </w:rPr>
        <w:t>Salzer's</w:t>
      </w:r>
      <w:r w:rsidR="00280F00" w:rsidRPr="002071F5">
        <w:rPr>
          <w:szCs w:val="22"/>
        </w:rPr>
        <w:t xml:space="preserve"> ‘full and explicit notice’ phrasing . . . </w:t>
      </w:r>
      <w:r w:rsidR="00280F00" w:rsidRPr="002071F5">
        <w:rPr>
          <w:i/>
          <w:iCs/>
          <w:szCs w:val="22"/>
        </w:rPr>
        <w:t>must be appraised in the context of the highly confusing situation that case presented.</w:t>
      </w:r>
      <w:r w:rsidR="00280F00" w:rsidRPr="002071F5">
        <w:rPr>
          <w:szCs w:val="22"/>
        </w:rPr>
        <w:t xml:space="preserve">” </w:t>
      </w:r>
      <w:r w:rsidR="00280F00" w:rsidRPr="002071F5">
        <w:rPr>
          <w:i/>
          <w:iCs/>
        </w:rPr>
        <w:t xml:space="preserve"> Malkan FM Associates v. FCC,</w:t>
      </w:r>
      <w:r w:rsidR="00280F00" w:rsidRPr="002071F5">
        <w:t xml:space="preserve"> 935 F.2d 1313, 1319 (D.C. Cir. 1991) (emphasis added).  </w:t>
      </w:r>
      <w:r w:rsidR="00280F00" w:rsidRPr="002071F5">
        <w:rPr>
          <w:i/>
        </w:rPr>
        <w:t>See also Salzer</w:t>
      </w:r>
      <w:r w:rsidR="00280F00" w:rsidRPr="002071F5">
        <w:t>, 778 F.2d at 875 (holding that applicants did not receive adequate notice of filing requirements</w:t>
      </w:r>
      <w:r w:rsidR="008C7903">
        <w:t xml:space="preserve"> where the Commission was vague about timing and forms for new information submissions</w:t>
      </w:r>
      <w:r w:rsidR="00280F00" w:rsidRPr="002071F5">
        <w:t xml:space="preserve">).  </w:t>
      </w:r>
      <w:r w:rsidR="00EE0980" w:rsidRPr="002071F5">
        <w:rPr>
          <w:i/>
          <w:iCs/>
          <w:szCs w:val="22"/>
        </w:rPr>
        <w:t>Synergy</w:t>
      </w:r>
      <w:r w:rsidR="00EE0980" w:rsidRPr="002071F5">
        <w:rPr>
          <w:iCs/>
          <w:szCs w:val="22"/>
        </w:rPr>
        <w:t xml:space="preserve"> addressed whether a dismissed application with a pending application for review and an application for a new LPFM construction permit were inconsistent applications, and determined that neither the Rules nor the Instructions gave guidance on that issue.  </w:t>
      </w:r>
      <w:r w:rsidR="00EE0980" w:rsidRPr="002071F5">
        <w:rPr>
          <w:i/>
          <w:iCs/>
          <w:szCs w:val="22"/>
        </w:rPr>
        <w:t>Synergy</w:t>
      </w:r>
      <w:r w:rsidR="00EE0980" w:rsidRPr="002071F5">
        <w:rPr>
          <w:iCs/>
          <w:szCs w:val="22"/>
        </w:rPr>
        <w:t xml:space="preserve">, 29 FCC Rcd at 9604.  </w:t>
      </w:r>
      <w:r w:rsidR="00280F00" w:rsidRPr="002071F5">
        <w:rPr>
          <w:szCs w:val="22"/>
        </w:rPr>
        <w:t xml:space="preserve">In contrast to the </w:t>
      </w:r>
      <w:r w:rsidR="001D382D">
        <w:rPr>
          <w:szCs w:val="22"/>
        </w:rPr>
        <w:t>uncertainties</w:t>
      </w:r>
      <w:r w:rsidR="00280F00" w:rsidRPr="002071F5">
        <w:rPr>
          <w:szCs w:val="22"/>
        </w:rPr>
        <w:t xml:space="preserve"> in </w:t>
      </w:r>
      <w:r w:rsidR="00280F00" w:rsidRPr="002071F5">
        <w:rPr>
          <w:i/>
          <w:iCs/>
          <w:szCs w:val="22"/>
        </w:rPr>
        <w:t>Salzer</w:t>
      </w:r>
      <w:r w:rsidR="00EE0980" w:rsidRPr="002071F5">
        <w:rPr>
          <w:i/>
          <w:iCs/>
          <w:szCs w:val="22"/>
        </w:rPr>
        <w:t xml:space="preserve"> </w:t>
      </w:r>
      <w:r w:rsidR="00EE0980" w:rsidRPr="002071F5">
        <w:rPr>
          <w:iCs/>
          <w:szCs w:val="22"/>
        </w:rPr>
        <w:t xml:space="preserve">and </w:t>
      </w:r>
      <w:r w:rsidR="00EE0980" w:rsidRPr="002071F5">
        <w:rPr>
          <w:i/>
          <w:iCs/>
          <w:szCs w:val="22"/>
        </w:rPr>
        <w:t>Syngery</w:t>
      </w:r>
      <w:r w:rsidR="00280F00" w:rsidRPr="002071F5">
        <w:rPr>
          <w:iCs/>
          <w:szCs w:val="22"/>
        </w:rPr>
        <w:t xml:space="preserve">, as noted by the Commission in the </w:t>
      </w:r>
      <w:r w:rsidR="00280F00" w:rsidRPr="002071F5">
        <w:rPr>
          <w:i/>
          <w:iCs/>
          <w:szCs w:val="22"/>
        </w:rPr>
        <w:t>Order</w:t>
      </w:r>
      <w:r w:rsidR="00225ED8" w:rsidRPr="002071F5">
        <w:rPr>
          <w:iCs/>
          <w:szCs w:val="22"/>
        </w:rPr>
        <w:t>: 1)</w:t>
      </w:r>
      <w:r w:rsidR="00280F00" w:rsidRPr="002071F5">
        <w:rPr>
          <w:iCs/>
          <w:szCs w:val="22"/>
        </w:rPr>
        <w:t xml:space="preserve"> the text of Section 73.858(a) made clear that </w:t>
      </w:r>
      <w:r w:rsidR="00225ED8" w:rsidRPr="002071F5">
        <w:rPr>
          <w:iCs/>
          <w:szCs w:val="22"/>
        </w:rPr>
        <w:t>it</w:t>
      </w:r>
      <w:r w:rsidR="00280F00" w:rsidRPr="002071F5">
        <w:rPr>
          <w:iCs/>
          <w:szCs w:val="22"/>
        </w:rPr>
        <w:t xml:space="preserve"> only provided an exception </w:t>
      </w:r>
      <w:r w:rsidR="00225ED8" w:rsidRPr="002071F5">
        <w:rPr>
          <w:iCs/>
          <w:szCs w:val="22"/>
        </w:rPr>
        <w:t xml:space="preserve">to the attribution rules </w:t>
      </w:r>
      <w:r w:rsidR="00280F00" w:rsidRPr="002071F5">
        <w:rPr>
          <w:iCs/>
          <w:szCs w:val="22"/>
        </w:rPr>
        <w:t>for eligibility</w:t>
      </w:r>
      <w:r w:rsidR="00225ED8" w:rsidRPr="002071F5">
        <w:rPr>
          <w:iCs/>
          <w:szCs w:val="22"/>
        </w:rPr>
        <w:t>,</w:t>
      </w:r>
      <w:r w:rsidR="00280F00" w:rsidRPr="002071F5">
        <w:rPr>
          <w:iCs/>
          <w:szCs w:val="22"/>
        </w:rPr>
        <w:t xml:space="preserve"> and </w:t>
      </w:r>
      <w:r w:rsidR="00225ED8" w:rsidRPr="002071F5">
        <w:rPr>
          <w:iCs/>
          <w:szCs w:val="22"/>
        </w:rPr>
        <w:t xml:space="preserve">2) </w:t>
      </w:r>
      <w:r w:rsidR="00EE0980" w:rsidRPr="002071F5">
        <w:rPr>
          <w:iCs/>
          <w:szCs w:val="22"/>
        </w:rPr>
        <w:t xml:space="preserve">there was no ambiguity in the Instructions and </w:t>
      </w:r>
      <w:r w:rsidR="00280F00" w:rsidRPr="002071F5">
        <w:rPr>
          <w:iCs/>
          <w:szCs w:val="22"/>
        </w:rPr>
        <w:t>Loyola’s reading of the Instruction</w:t>
      </w:r>
      <w:r w:rsidR="00EE0980" w:rsidRPr="002071F5">
        <w:rPr>
          <w:iCs/>
          <w:szCs w:val="22"/>
        </w:rPr>
        <w:t xml:space="preserve">s </w:t>
      </w:r>
      <w:r w:rsidR="00280F00" w:rsidRPr="002071F5">
        <w:rPr>
          <w:iCs/>
          <w:szCs w:val="22"/>
        </w:rPr>
        <w:t xml:space="preserve">was unreasonable. </w:t>
      </w:r>
      <w:r w:rsidR="00EE0980" w:rsidRPr="002071F5">
        <w:rPr>
          <w:iCs/>
          <w:szCs w:val="22"/>
        </w:rPr>
        <w:t xml:space="preserve"> </w:t>
      </w:r>
      <w:r w:rsidR="00326548" w:rsidRPr="002071F5">
        <w:rPr>
          <w:iCs/>
          <w:szCs w:val="22"/>
        </w:rPr>
        <w:t>Finally, Loyola</w:t>
      </w:r>
      <w:r w:rsidR="00280F00" w:rsidRPr="002071F5">
        <w:rPr>
          <w:iCs/>
          <w:szCs w:val="22"/>
        </w:rPr>
        <w:t xml:space="preserve"> </w:t>
      </w:r>
      <w:r w:rsidR="007901CB">
        <w:rPr>
          <w:iCs/>
          <w:szCs w:val="22"/>
        </w:rPr>
        <w:t xml:space="preserve">not only </w:t>
      </w:r>
      <w:r w:rsidR="00326548" w:rsidRPr="002071F5">
        <w:rPr>
          <w:iCs/>
          <w:szCs w:val="22"/>
        </w:rPr>
        <w:t>provides no authority for its</w:t>
      </w:r>
      <w:r w:rsidR="00EE0980" w:rsidRPr="002071F5">
        <w:rPr>
          <w:iCs/>
          <w:szCs w:val="22"/>
        </w:rPr>
        <w:t xml:space="preserve"> argument</w:t>
      </w:r>
      <w:r w:rsidR="00326548" w:rsidRPr="002071F5">
        <w:rPr>
          <w:iCs/>
          <w:szCs w:val="22"/>
        </w:rPr>
        <w:t xml:space="preserve"> that a </w:t>
      </w:r>
      <w:r w:rsidR="005E6C92">
        <w:rPr>
          <w:iCs/>
          <w:szCs w:val="22"/>
        </w:rPr>
        <w:t xml:space="preserve">self-declared </w:t>
      </w:r>
      <w:r w:rsidR="00326548" w:rsidRPr="002071F5">
        <w:rPr>
          <w:iCs/>
          <w:szCs w:val="22"/>
        </w:rPr>
        <w:t>“</w:t>
      </w:r>
      <w:r w:rsidR="00326548" w:rsidRPr="002071F5">
        <w:rPr>
          <w:i/>
          <w:iCs/>
          <w:szCs w:val="22"/>
        </w:rPr>
        <w:t>de minimis</w:t>
      </w:r>
      <w:r w:rsidR="00326548" w:rsidRPr="002071F5">
        <w:rPr>
          <w:iCs/>
          <w:szCs w:val="22"/>
        </w:rPr>
        <w:t>” attributable interest</w:t>
      </w:r>
      <w:r w:rsidR="00280F00" w:rsidRPr="002071F5">
        <w:rPr>
          <w:iCs/>
          <w:szCs w:val="22"/>
        </w:rPr>
        <w:t xml:space="preserve"> </w:t>
      </w:r>
      <w:r w:rsidR="00326548" w:rsidRPr="002071F5">
        <w:rPr>
          <w:iCs/>
          <w:szCs w:val="22"/>
        </w:rPr>
        <w:t xml:space="preserve">should not be considered </w:t>
      </w:r>
      <w:r w:rsidR="00EE0980" w:rsidRPr="002071F5">
        <w:rPr>
          <w:iCs/>
          <w:szCs w:val="22"/>
        </w:rPr>
        <w:t>for comparative purposes</w:t>
      </w:r>
      <w:r w:rsidR="00326548" w:rsidRPr="002071F5">
        <w:rPr>
          <w:iCs/>
          <w:szCs w:val="22"/>
        </w:rPr>
        <w:t>,</w:t>
      </w:r>
      <w:r w:rsidR="007901CB">
        <w:rPr>
          <w:iCs/>
          <w:szCs w:val="22"/>
        </w:rPr>
        <w:t xml:space="preserve"> but also fails to explain how the Commission could base a decision on an interpretation that </w:t>
      </w:r>
      <w:r w:rsidR="00326548" w:rsidRPr="002071F5">
        <w:rPr>
          <w:iCs/>
          <w:szCs w:val="22"/>
        </w:rPr>
        <w:t>contradicts th</w:t>
      </w:r>
      <w:r w:rsidR="00C752DA" w:rsidRPr="002071F5">
        <w:rPr>
          <w:iCs/>
          <w:szCs w:val="22"/>
        </w:rPr>
        <w:t>e plain text of Section 73.872(b</w:t>
      </w:r>
      <w:r w:rsidR="00326548" w:rsidRPr="002071F5">
        <w:rPr>
          <w:iCs/>
          <w:szCs w:val="22"/>
        </w:rPr>
        <w:t>)</w:t>
      </w:r>
      <w:r w:rsidR="00C752DA" w:rsidRPr="002071F5">
        <w:rPr>
          <w:iCs/>
          <w:szCs w:val="22"/>
        </w:rPr>
        <w:t>(5)</w:t>
      </w:r>
      <w:r w:rsidR="005E6C92">
        <w:rPr>
          <w:iCs/>
          <w:szCs w:val="22"/>
        </w:rPr>
        <w:t xml:space="preserve"> of the Rules</w:t>
      </w:r>
      <w:r w:rsidR="007F1902" w:rsidRPr="002071F5">
        <w:rPr>
          <w:iCs/>
          <w:szCs w:val="22"/>
        </w:rPr>
        <w:t>.</w:t>
      </w:r>
      <w:r w:rsidR="00C752DA" w:rsidRPr="002071F5">
        <w:rPr>
          <w:iCs/>
          <w:szCs w:val="22"/>
        </w:rPr>
        <w:t xml:space="preserve"> </w:t>
      </w:r>
      <w:r w:rsidR="007F1902" w:rsidRPr="002071F5">
        <w:rPr>
          <w:iCs/>
          <w:szCs w:val="22"/>
        </w:rPr>
        <w:t xml:space="preserve"> </w:t>
      </w:r>
      <w:r w:rsidR="007F1902" w:rsidRPr="002071F5">
        <w:rPr>
          <w:i/>
          <w:iCs/>
          <w:szCs w:val="22"/>
        </w:rPr>
        <w:t>See</w:t>
      </w:r>
      <w:r w:rsidR="007F1902" w:rsidRPr="002071F5">
        <w:rPr>
          <w:iCs/>
          <w:szCs w:val="22"/>
        </w:rPr>
        <w:t xml:space="preserve"> 47 </w:t>
      </w:r>
      <w:r w:rsidR="00B10A7D">
        <w:rPr>
          <w:iCs/>
          <w:szCs w:val="22"/>
        </w:rPr>
        <w:t>CFR</w:t>
      </w:r>
      <w:r w:rsidR="007F1902" w:rsidRPr="002071F5">
        <w:rPr>
          <w:iCs/>
          <w:szCs w:val="22"/>
        </w:rPr>
        <w:t xml:space="preserve"> § 73.872(b)(5) </w:t>
      </w:r>
      <w:r w:rsidR="00C752DA" w:rsidRPr="002071F5">
        <w:rPr>
          <w:iCs/>
          <w:szCs w:val="22"/>
        </w:rPr>
        <w:t xml:space="preserve">(“An applicant must hold </w:t>
      </w:r>
      <w:r w:rsidR="00C752DA" w:rsidRPr="002071F5">
        <w:rPr>
          <w:b/>
          <w:i/>
          <w:iCs/>
          <w:szCs w:val="22"/>
        </w:rPr>
        <w:t>no attributable interest</w:t>
      </w:r>
      <w:r w:rsidR="00C752DA" w:rsidRPr="002071F5">
        <w:rPr>
          <w:iCs/>
          <w:szCs w:val="22"/>
        </w:rPr>
        <w:t xml:space="preserve"> in </w:t>
      </w:r>
      <w:r w:rsidR="00C752DA" w:rsidRPr="002071F5">
        <w:rPr>
          <w:b/>
          <w:i/>
          <w:iCs/>
          <w:szCs w:val="22"/>
        </w:rPr>
        <w:t>any</w:t>
      </w:r>
      <w:r w:rsidR="00C752DA" w:rsidRPr="002071F5">
        <w:rPr>
          <w:iCs/>
          <w:szCs w:val="22"/>
        </w:rPr>
        <w:t xml:space="preserve"> other broadcast station.”) (emphasis added)</w:t>
      </w:r>
      <w:r w:rsidR="00326548" w:rsidRPr="002071F5">
        <w:rPr>
          <w:iCs/>
          <w:szCs w:val="22"/>
        </w:rPr>
        <w:t xml:space="preserve">.  </w:t>
      </w:r>
      <w:r w:rsidR="00326548" w:rsidRPr="002071F5">
        <w:rPr>
          <w:i/>
          <w:iCs/>
          <w:szCs w:val="22"/>
        </w:rPr>
        <w:t>See also Creation of Low Power radio Service</w:t>
      </w:r>
      <w:r w:rsidR="00326548" w:rsidRPr="002071F5">
        <w:rPr>
          <w:iCs/>
          <w:szCs w:val="22"/>
        </w:rPr>
        <w:t>, Fifth Order on Reconsideration and Sixth Report and Order, 27 FCC Rcd 15402, 15473</w:t>
      </w:r>
      <w:r w:rsidR="007901CB">
        <w:rPr>
          <w:iCs/>
          <w:szCs w:val="22"/>
        </w:rPr>
        <w:t>,</w:t>
      </w:r>
      <w:r w:rsidR="00326548" w:rsidRPr="002071F5">
        <w:rPr>
          <w:iCs/>
          <w:szCs w:val="22"/>
        </w:rPr>
        <w:t xml:space="preserve"> </w:t>
      </w:r>
      <w:r w:rsidR="007901CB">
        <w:rPr>
          <w:iCs/>
          <w:szCs w:val="22"/>
        </w:rPr>
        <w:t>para.</w:t>
      </w:r>
      <w:r w:rsidR="00326548" w:rsidRPr="002071F5">
        <w:rPr>
          <w:iCs/>
          <w:szCs w:val="22"/>
        </w:rPr>
        <w:t xml:space="preserve"> 191</w:t>
      </w:r>
      <w:r w:rsidR="00C275AF">
        <w:rPr>
          <w:iCs/>
          <w:szCs w:val="22"/>
        </w:rPr>
        <w:t xml:space="preserve"> (2012)</w:t>
      </w:r>
      <w:r w:rsidR="00326548" w:rsidRPr="002071F5">
        <w:rPr>
          <w:iCs/>
          <w:szCs w:val="22"/>
        </w:rPr>
        <w:t xml:space="preserve"> (“we will award one point to an application that can certify that it has </w:t>
      </w:r>
      <w:r w:rsidR="00326548" w:rsidRPr="002071F5">
        <w:rPr>
          <w:b/>
          <w:i/>
          <w:iCs/>
          <w:szCs w:val="22"/>
        </w:rPr>
        <w:t>no attributable interest</w:t>
      </w:r>
      <w:r w:rsidR="00326548" w:rsidRPr="002071F5">
        <w:rPr>
          <w:iCs/>
          <w:szCs w:val="22"/>
        </w:rPr>
        <w:t xml:space="preserve"> in </w:t>
      </w:r>
      <w:r w:rsidR="00326548" w:rsidRPr="002071F5">
        <w:rPr>
          <w:b/>
          <w:i/>
          <w:iCs/>
          <w:szCs w:val="22"/>
        </w:rPr>
        <w:t>any</w:t>
      </w:r>
      <w:r w:rsidR="00326548" w:rsidRPr="002071F5">
        <w:rPr>
          <w:iCs/>
          <w:szCs w:val="22"/>
        </w:rPr>
        <w:t xml:space="preserve"> broadcast station.”) (emphasis added).</w:t>
      </w:r>
    </w:p>
  </w:footnote>
  <w:footnote w:id="29">
    <w:p w14:paraId="41B6AA66" w14:textId="77777777" w:rsidR="007005C2" w:rsidRPr="002071F5" w:rsidRDefault="007005C2" w:rsidP="007005C2">
      <w:pPr>
        <w:pStyle w:val="FootnoteText"/>
      </w:pPr>
      <w:r w:rsidRPr="002071F5">
        <w:rPr>
          <w:rStyle w:val="FootnoteReference"/>
        </w:rPr>
        <w:footnoteRef/>
      </w:r>
      <w:r w:rsidRPr="002071F5">
        <w:t xml:space="preserve"> </w:t>
      </w:r>
      <w:r w:rsidRPr="002071F5">
        <w:rPr>
          <w:i/>
        </w:rPr>
        <w:t>Order</w:t>
      </w:r>
      <w:r w:rsidR="007901CB">
        <w:t xml:space="preserve">, 30 FCC Rcd at 15044, para. </w:t>
      </w:r>
      <w:r w:rsidRPr="002071F5">
        <w:t xml:space="preserve">10.  </w:t>
      </w:r>
      <w:r w:rsidRPr="002071F5">
        <w:rPr>
          <w:i/>
        </w:rPr>
        <w:t xml:space="preserve">See also </w:t>
      </w:r>
      <w:r w:rsidRPr="002071F5">
        <w:t xml:space="preserve">47 </w:t>
      </w:r>
      <w:r w:rsidR="00B10A7D">
        <w:t>CFR</w:t>
      </w:r>
      <w:r w:rsidRPr="002071F5">
        <w:t xml:space="preserve"> § 73.872(c).    </w:t>
      </w:r>
    </w:p>
  </w:footnote>
  <w:footnote w:id="30">
    <w:p w14:paraId="17B3DC6E" w14:textId="77777777" w:rsidR="00AA35C6" w:rsidRPr="002071F5" w:rsidRDefault="00AA35C6" w:rsidP="00AA35C6">
      <w:pPr>
        <w:pStyle w:val="FootnoteText"/>
      </w:pPr>
      <w:r w:rsidRPr="002071F5">
        <w:rPr>
          <w:rStyle w:val="FootnoteReference"/>
        </w:rPr>
        <w:footnoteRef/>
      </w:r>
      <w:r w:rsidRPr="002071F5">
        <w:t xml:space="preserve"> </w:t>
      </w:r>
      <w:r w:rsidRPr="002071F5">
        <w:rPr>
          <w:i/>
        </w:rPr>
        <w:t>See</w:t>
      </w:r>
      <w:r w:rsidRPr="002071F5">
        <w:t xml:space="preserve"> 47 </w:t>
      </w:r>
      <w:r w:rsidR="00B10A7D">
        <w:t>CFR</w:t>
      </w:r>
      <w:r w:rsidRPr="002071F5">
        <w:t xml:space="preserve"> § 73.872(c).</w:t>
      </w:r>
    </w:p>
  </w:footnote>
  <w:footnote w:id="31">
    <w:p w14:paraId="6A1C257A" w14:textId="77777777" w:rsidR="00AA35C6" w:rsidRPr="002071F5" w:rsidRDefault="00AA35C6" w:rsidP="00AA35C6">
      <w:pPr>
        <w:pStyle w:val="FootnoteText"/>
      </w:pPr>
      <w:r w:rsidRPr="002071F5">
        <w:rPr>
          <w:rStyle w:val="FootnoteReference"/>
        </w:rPr>
        <w:footnoteRef/>
      </w:r>
      <w:r w:rsidRPr="002071F5">
        <w:t xml:space="preserve"> The </w:t>
      </w:r>
      <w:r w:rsidR="005E2FA3" w:rsidRPr="002071F5">
        <w:rPr>
          <w:i/>
        </w:rPr>
        <w:t>September</w:t>
      </w:r>
      <w:r w:rsidRPr="002071F5">
        <w:rPr>
          <w:i/>
        </w:rPr>
        <w:t xml:space="preserve"> Public Notice</w:t>
      </w:r>
      <w:r w:rsidRPr="002071F5">
        <w:t xml:space="preserve"> indicated that non-tentative selectee applications would be dismissed once the tentative selectees’ application</w:t>
      </w:r>
      <w:r w:rsidR="006A5C51">
        <w:t>s</w:t>
      </w:r>
      <w:r w:rsidRPr="002071F5">
        <w:t xml:space="preserve"> had been granted.  </w:t>
      </w:r>
      <w:r w:rsidR="005E2FA3" w:rsidRPr="002071F5">
        <w:rPr>
          <w:i/>
        </w:rPr>
        <w:t>September</w:t>
      </w:r>
      <w:r w:rsidRPr="002071F5">
        <w:rPr>
          <w:i/>
        </w:rPr>
        <w:t xml:space="preserve"> Public Notice</w:t>
      </w:r>
      <w:r w:rsidRPr="002071F5">
        <w:t xml:space="preserve">, 29 FCC Rcd at </w:t>
      </w:r>
      <w:r w:rsidR="002F464D" w:rsidRPr="002071F5">
        <w:t>10</w:t>
      </w:r>
      <w:r w:rsidRPr="002071F5">
        <w:t>8</w:t>
      </w:r>
      <w:r w:rsidR="002F464D" w:rsidRPr="002071F5">
        <w:t>55</w:t>
      </w:r>
      <w:r w:rsidRPr="002071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7041" w14:textId="77777777" w:rsidR="000074EF" w:rsidRDefault="00007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38DC" w14:textId="70FD1F75" w:rsidR="00B36471" w:rsidRDefault="00B36471" w:rsidP="00810B6F">
    <w:pPr>
      <w:pStyle w:val="Header"/>
      <w:rPr>
        <w:b w:val="0"/>
      </w:rPr>
    </w:pPr>
    <w:r>
      <w:tab/>
      <w:t>Federal Communications Commission</w:t>
    </w:r>
    <w:r>
      <w:tab/>
    </w:r>
    <w:r w:rsidR="00827885">
      <w:t>DA</w:t>
    </w:r>
    <w:r>
      <w:t xml:space="preserve"> 15-</w:t>
    </w:r>
    <w:r w:rsidR="008D73FC">
      <w:t>1442</w:t>
    </w:r>
  </w:p>
  <w:p w14:paraId="5C9A51B2" w14:textId="77777777" w:rsidR="00B36471" w:rsidRDefault="009A02E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B72210A" wp14:editId="446A74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0636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5A4D" w14:textId="33365BBE" w:rsidR="008D73FC" w:rsidRPr="008D73FC" w:rsidRDefault="009A02E5" w:rsidP="00810B6F">
    <w:pPr>
      <w:pStyle w:val="Header"/>
      <w:rPr>
        <w:spacing w:val="-2"/>
      </w:rPr>
    </w:pPr>
    <w:r>
      <w:rPr>
        <w:noProof/>
      </w:rPr>
      <mc:AlternateContent>
        <mc:Choice Requires="wps">
          <w:drawing>
            <wp:anchor distT="0" distB="0" distL="114300" distR="114300" simplePos="0" relativeHeight="251658240" behindDoc="1" locked="0" layoutInCell="0" allowOverlap="1" wp14:anchorId="4304DDC5" wp14:editId="2CBCA50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50408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36471">
      <w:tab/>
      <w:t>Federal Communications Commission</w:t>
    </w:r>
    <w:r w:rsidR="00B36471">
      <w:tab/>
    </w:r>
    <w:r w:rsidR="00827885">
      <w:rPr>
        <w:spacing w:val="-2"/>
      </w:rPr>
      <w:t>DA</w:t>
    </w:r>
    <w:r w:rsidR="00B36471">
      <w:rPr>
        <w:spacing w:val="-2"/>
      </w:rPr>
      <w:t xml:space="preserve"> 15-</w:t>
    </w:r>
    <w:r w:rsidR="008D73FC">
      <w:rPr>
        <w:spacing w:val="-2"/>
      </w:rPr>
      <w:t>1442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E87E6E"/>
    <w:multiLevelType w:val="hybridMultilevel"/>
    <w:tmpl w:val="4ED23ED4"/>
    <w:lvl w:ilvl="0" w:tplc="DC982CFC">
      <w:start w:val="7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A282730"/>
    <w:multiLevelType w:val="hybridMultilevel"/>
    <w:tmpl w:val="2BF82870"/>
    <w:lvl w:ilvl="0" w:tplc="7ECE0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904"/>
    <w:rsid w:val="00002B53"/>
    <w:rsid w:val="000074EF"/>
    <w:rsid w:val="00007AA9"/>
    <w:rsid w:val="00014CF4"/>
    <w:rsid w:val="00015E43"/>
    <w:rsid w:val="00020A77"/>
    <w:rsid w:val="0002344D"/>
    <w:rsid w:val="00025535"/>
    <w:rsid w:val="000309D9"/>
    <w:rsid w:val="00035E98"/>
    <w:rsid w:val="00036039"/>
    <w:rsid w:val="00037F90"/>
    <w:rsid w:val="00041DD6"/>
    <w:rsid w:val="00041F00"/>
    <w:rsid w:val="000460C0"/>
    <w:rsid w:val="00050C33"/>
    <w:rsid w:val="00052307"/>
    <w:rsid w:val="00052843"/>
    <w:rsid w:val="00060A53"/>
    <w:rsid w:val="00061834"/>
    <w:rsid w:val="000633EE"/>
    <w:rsid w:val="0007347D"/>
    <w:rsid w:val="00073EBE"/>
    <w:rsid w:val="00085599"/>
    <w:rsid w:val="000875BF"/>
    <w:rsid w:val="000878A9"/>
    <w:rsid w:val="000913F5"/>
    <w:rsid w:val="00092E5C"/>
    <w:rsid w:val="00096D8C"/>
    <w:rsid w:val="000A536E"/>
    <w:rsid w:val="000B1DD5"/>
    <w:rsid w:val="000B5284"/>
    <w:rsid w:val="000B570F"/>
    <w:rsid w:val="000B6DB7"/>
    <w:rsid w:val="000C0B65"/>
    <w:rsid w:val="000C7B27"/>
    <w:rsid w:val="000C7CB8"/>
    <w:rsid w:val="000D1B29"/>
    <w:rsid w:val="000D1FAE"/>
    <w:rsid w:val="000E05FE"/>
    <w:rsid w:val="000E0A7C"/>
    <w:rsid w:val="000E1EB4"/>
    <w:rsid w:val="000E3D42"/>
    <w:rsid w:val="000F087B"/>
    <w:rsid w:val="000F2926"/>
    <w:rsid w:val="000F4F57"/>
    <w:rsid w:val="000F64DB"/>
    <w:rsid w:val="000F792A"/>
    <w:rsid w:val="001014B9"/>
    <w:rsid w:val="00101CE0"/>
    <w:rsid w:val="001037C9"/>
    <w:rsid w:val="00105D13"/>
    <w:rsid w:val="00106A2F"/>
    <w:rsid w:val="001103E9"/>
    <w:rsid w:val="001112BE"/>
    <w:rsid w:val="00112A51"/>
    <w:rsid w:val="0011325A"/>
    <w:rsid w:val="00122925"/>
    <w:rsid w:val="00122BD5"/>
    <w:rsid w:val="00124115"/>
    <w:rsid w:val="00126D3C"/>
    <w:rsid w:val="001302BD"/>
    <w:rsid w:val="00133F79"/>
    <w:rsid w:val="00135C6E"/>
    <w:rsid w:val="0013739A"/>
    <w:rsid w:val="00137A75"/>
    <w:rsid w:val="00144D28"/>
    <w:rsid w:val="00150573"/>
    <w:rsid w:val="00152B09"/>
    <w:rsid w:val="00153928"/>
    <w:rsid w:val="00153C29"/>
    <w:rsid w:val="0015742E"/>
    <w:rsid w:val="00161DC2"/>
    <w:rsid w:val="00165F89"/>
    <w:rsid w:val="0016703D"/>
    <w:rsid w:val="00170DAB"/>
    <w:rsid w:val="0017154F"/>
    <w:rsid w:val="00176A92"/>
    <w:rsid w:val="001856CD"/>
    <w:rsid w:val="0018580D"/>
    <w:rsid w:val="001860D8"/>
    <w:rsid w:val="0019132A"/>
    <w:rsid w:val="001949F2"/>
    <w:rsid w:val="00194A66"/>
    <w:rsid w:val="001A156C"/>
    <w:rsid w:val="001A34C8"/>
    <w:rsid w:val="001A3DD3"/>
    <w:rsid w:val="001A56E8"/>
    <w:rsid w:val="001B4D5C"/>
    <w:rsid w:val="001B6FB8"/>
    <w:rsid w:val="001C0A21"/>
    <w:rsid w:val="001C1906"/>
    <w:rsid w:val="001D1539"/>
    <w:rsid w:val="001D2302"/>
    <w:rsid w:val="001D382D"/>
    <w:rsid w:val="001D5E77"/>
    <w:rsid w:val="001D60EF"/>
    <w:rsid w:val="001D6BCF"/>
    <w:rsid w:val="001D6F66"/>
    <w:rsid w:val="001D7234"/>
    <w:rsid w:val="001E01CA"/>
    <w:rsid w:val="001E3A4C"/>
    <w:rsid w:val="001E4F8D"/>
    <w:rsid w:val="001E57F0"/>
    <w:rsid w:val="001E7E90"/>
    <w:rsid w:val="001F471D"/>
    <w:rsid w:val="001F4889"/>
    <w:rsid w:val="001F61E1"/>
    <w:rsid w:val="001F6C78"/>
    <w:rsid w:val="002006F5"/>
    <w:rsid w:val="002071F5"/>
    <w:rsid w:val="0020726B"/>
    <w:rsid w:val="002118CA"/>
    <w:rsid w:val="00211BCF"/>
    <w:rsid w:val="00214502"/>
    <w:rsid w:val="002158AB"/>
    <w:rsid w:val="0021617E"/>
    <w:rsid w:val="0021761D"/>
    <w:rsid w:val="00224768"/>
    <w:rsid w:val="00225ED8"/>
    <w:rsid w:val="002261A4"/>
    <w:rsid w:val="002262CE"/>
    <w:rsid w:val="0022785D"/>
    <w:rsid w:val="0023203E"/>
    <w:rsid w:val="00232651"/>
    <w:rsid w:val="0023398A"/>
    <w:rsid w:val="00234010"/>
    <w:rsid w:val="00234AFB"/>
    <w:rsid w:val="00237ABC"/>
    <w:rsid w:val="0024002B"/>
    <w:rsid w:val="00243BF4"/>
    <w:rsid w:val="002443D1"/>
    <w:rsid w:val="00250623"/>
    <w:rsid w:val="0025097D"/>
    <w:rsid w:val="00252E16"/>
    <w:rsid w:val="002534D7"/>
    <w:rsid w:val="00255FFF"/>
    <w:rsid w:val="00256042"/>
    <w:rsid w:val="002679A2"/>
    <w:rsid w:val="0027548F"/>
    <w:rsid w:val="00275CF5"/>
    <w:rsid w:val="00276775"/>
    <w:rsid w:val="00277901"/>
    <w:rsid w:val="00280F00"/>
    <w:rsid w:val="0028301F"/>
    <w:rsid w:val="00285017"/>
    <w:rsid w:val="00286E87"/>
    <w:rsid w:val="00292D1F"/>
    <w:rsid w:val="00293A62"/>
    <w:rsid w:val="00294204"/>
    <w:rsid w:val="00296A04"/>
    <w:rsid w:val="00296F10"/>
    <w:rsid w:val="002A09FF"/>
    <w:rsid w:val="002A2D2E"/>
    <w:rsid w:val="002A7619"/>
    <w:rsid w:val="002B2C5F"/>
    <w:rsid w:val="002B4898"/>
    <w:rsid w:val="002B7443"/>
    <w:rsid w:val="002B7FC6"/>
    <w:rsid w:val="002C00E8"/>
    <w:rsid w:val="002C0C6B"/>
    <w:rsid w:val="002C360E"/>
    <w:rsid w:val="002D4606"/>
    <w:rsid w:val="002E4F82"/>
    <w:rsid w:val="002E5828"/>
    <w:rsid w:val="002F0FB0"/>
    <w:rsid w:val="002F3759"/>
    <w:rsid w:val="002F44EC"/>
    <w:rsid w:val="002F464D"/>
    <w:rsid w:val="002F5A1F"/>
    <w:rsid w:val="002F5D21"/>
    <w:rsid w:val="00303244"/>
    <w:rsid w:val="003034E7"/>
    <w:rsid w:val="00310FF7"/>
    <w:rsid w:val="003118EF"/>
    <w:rsid w:val="00312CB5"/>
    <w:rsid w:val="0031390A"/>
    <w:rsid w:val="00313F05"/>
    <w:rsid w:val="0031751C"/>
    <w:rsid w:val="0032036A"/>
    <w:rsid w:val="003221AD"/>
    <w:rsid w:val="00326548"/>
    <w:rsid w:val="00331DF6"/>
    <w:rsid w:val="0033380E"/>
    <w:rsid w:val="0033772A"/>
    <w:rsid w:val="00343749"/>
    <w:rsid w:val="00345EAA"/>
    <w:rsid w:val="0034675F"/>
    <w:rsid w:val="00351760"/>
    <w:rsid w:val="0035295B"/>
    <w:rsid w:val="00360054"/>
    <w:rsid w:val="003614B2"/>
    <w:rsid w:val="003660ED"/>
    <w:rsid w:val="003715ED"/>
    <w:rsid w:val="00371E4D"/>
    <w:rsid w:val="0037747E"/>
    <w:rsid w:val="003826D6"/>
    <w:rsid w:val="00387346"/>
    <w:rsid w:val="00390B82"/>
    <w:rsid w:val="00391657"/>
    <w:rsid w:val="00392367"/>
    <w:rsid w:val="00395531"/>
    <w:rsid w:val="00397640"/>
    <w:rsid w:val="003A04BF"/>
    <w:rsid w:val="003A271B"/>
    <w:rsid w:val="003A28F0"/>
    <w:rsid w:val="003A293C"/>
    <w:rsid w:val="003B0373"/>
    <w:rsid w:val="003B0550"/>
    <w:rsid w:val="003B0957"/>
    <w:rsid w:val="003B2AEE"/>
    <w:rsid w:val="003B3213"/>
    <w:rsid w:val="003B4C56"/>
    <w:rsid w:val="003B4EBF"/>
    <w:rsid w:val="003B6499"/>
    <w:rsid w:val="003B694F"/>
    <w:rsid w:val="003C385B"/>
    <w:rsid w:val="003C69C9"/>
    <w:rsid w:val="003C7443"/>
    <w:rsid w:val="003D2024"/>
    <w:rsid w:val="003D235A"/>
    <w:rsid w:val="003D7D55"/>
    <w:rsid w:val="003E0586"/>
    <w:rsid w:val="003E260E"/>
    <w:rsid w:val="003F0F04"/>
    <w:rsid w:val="003F137E"/>
    <w:rsid w:val="003F171C"/>
    <w:rsid w:val="003F4D1D"/>
    <w:rsid w:val="003F7CDA"/>
    <w:rsid w:val="004014D9"/>
    <w:rsid w:val="00402552"/>
    <w:rsid w:val="00412FC5"/>
    <w:rsid w:val="00414505"/>
    <w:rsid w:val="00421359"/>
    <w:rsid w:val="00422276"/>
    <w:rsid w:val="004242F1"/>
    <w:rsid w:val="004304B5"/>
    <w:rsid w:val="0043453B"/>
    <w:rsid w:val="00435A0C"/>
    <w:rsid w:val="00445A00"/>
    <w:rsid w:val="00451B0F"/>
    <w:rsid w:val="00453EAB"/>
    <w:rsid w:val="0045690A"/>
    <w:rsid w:val="00460CCA"/>
    <w:rsid w:val="0046538B"/>
    <w:rsid w:val="00474EC7"/>
    <w:rsid w:val="004814A6"/>
    <w:rsid w:val="00490081"/>
    <w:rsid w:val="0049288B"/>
    <w:rsid w:val="004957D6"/>
    <w:rsid w:val="0049659A"/>
    <w:rsid w:val="004A26F4"/>
    <w:rsid w:val="004A3ACE"/>
    <w:rsid w:val="004A6A5D"/>
    <w:rsid w:val="004B1BFC"/>
    <w:rsid w:val="004B38A1"/>
    <w:rsid w:val="004B4AD3"/>
    <w:rsid w:val="004B5F41"/>
    <w:rsid w:val="004B5FE1"/>
    <w:rsid w:val="004C2EE3"/>
    <w:rsid w:val="004C47D8"/>
    <w:rsid w:val="004C7B99"/>
    <w:rsid w:val="004E4A22"/>
    <w:rsid w:val="004F276C"/>
    <w:rsid w:val="004F480E"/>
    <w:rsid w:val="00511968"/>
    <w:rsid w:val="005151DA"/>
    <w:rsid w:val="00521FC9"/>
    <w:rsid w:val="00523ED5"/>
    <w:rsid w:val="005315B3"/>
    <w:rsid w:val="00535EE6"/>
    <w:rsid w:val="005367C8"/>
    <w:rsid w:val="00536AEF"/>
    <w:rsid w:val="00537503"/>
    <w:rsid w:val="00537ECA"/>
    <w:rsid w:val="005458BC"/>
    <w:rsid w:val="00550CDF"/>
    <w:rsid w:val="005518BA"/>
    <w:rsid w:val="00553484"/>
    <w:rsid w:val="005544A5"/>
    <w:rsid w:val="00554804"/>
    <w:rsid w:val="00554A1F"/>
    <w:rsid w:val="0055614C"/>
    <w:rsid w:val="005609CF"/>
    <w:rsid w:val="00561452"/>
    <w:rsid w:val="00566535"/>
    <w:rsid w:val="00567A12"/>
    <w:rsid w:val="005775FC"/>
    <w:rsid w:val="005805B8"/>
    <w:rsid w:val="00580ABE"/>
    <w:rsid w:val="0058411F"/>
    <w:rsid w:val="0058538F"/>
    <w:rsid w:val="005916A0"/>
    <w:rsid w:val="00592DF6"/>
    <w:rsid w:val="00593D02"/>
    <w:rsid w:val="00596F40"/>
    <w:rsid w:val="005A18AC"/>
    <w:rsid w:val="005A20C2"/>
    <w:rsid w:val="005A2450"/>
    <w:rsid w:val="005A3974"/>
    <w:rsid w:val="005A78A4"/>
    <w:rsid w:val="005A7B5E"/>
    <w:rsid w:val="005A7C68"/>
    <w:rsid w:val="005B5615"/>
    <w:rsid w:val="005B7770"/>
    <w:rsid w:val="005C0C0E"/>
    <w:rsid w:val="005C699F"/>
    <w:rsid w:val="005E14C2"/>
    <w:rsid w:val="005E2FA3"/>
    <w:rsid w:val="005E3D9E"/>
    <w:rsid w:val="005E3FAC"/>
    <w:rsid w:val="005E4103"/>
    <w:rsid w:val="005E4A6F"/>
    <w:rsid w:val="005E6396"/>
    <w:rsid w:val="005E6C92"/>
    <w:rsid w:val="005F35D9"/>
    <w:rsid w:val="005F3E0A"/>
    <w:rsid w:val="005F4E1B"/>
    <w:rsid w:val="005F59A7"/>
    <w:rsid w:val="005F7246"/>
    <w:rsid w:val="005F7E78"/>
    <w:rsid w:val="00600860"/>
    <w:rsid w:val="006039C6"/>
    <w:rsid w:val="00604241"/>
    <w:rsid w:val="00605A2C"/>
    <w:rsid w:val="00606F6C"/>
    <w:rsid w:val="00607304"/>
    <w:rsid w:val="00607BA5"/>
    <w:rsid w:val="006105FA"/>
    <w:rsid w:val="0061180A"/>
    <w:rsid w:val="00612E9A"/>
    <w:rsid w:val="00616EC5"/>
    <w:rsid w:val="00626EB6"/>
    <w:rsid w:val="00627DE9"/>
    <w:rsid w:val="006316CA"/>
    <w:rsid w:val="00632015"/>
    <w:rsid w:val="00635CE9"/>
    <w:rsid w:val="006464C2"/>
    <w:rsid w:val="0065098B"/>
    <w:rsid w:val="00650E85"/>
    <w:rsid w:val="0065286C"/>
    <w:rsid w:val="006529E2"/>
    <w:rsid w:val="00653650"/>
    <w:rsid w:val="00655D03"/>
    <w:rsid w:val="006666B0"/>
    <w:rsid w:val="0067193A"/>
    <w:rsid w:val="006746AA"/>
    <w:rsid w:val="0068240E"/>
    <w:rsid w:val="00682E27"/>
    <w:rsid w:val="00683242"/>
    <w:rsid w:val="00683388"/>
    <w:rsid w:val="00683F84"/>
    <w:rsid w:val="00695731"/>
    <w:rsid w:val="006A0569"/>
    <w:rsid w:val="006A3FBD"/>
    <w:rsid w:val="006A5C51"/>
    <w:rsid w:val="006A6A81"/>
    <w:rsid w:val="006B2EEA"/>
    <w:rsid w:val="006B49BD"/>
    <w:rsid w:val="006B4A4C"/>
    <w:rsid w:val="006B54F4"/>
    <w:rsid w:val="006C2530"/>
    <w:rsid w:val="006C38CF"/>
    <w:rsid w:val="006C3FB0"/>
    <w:rsid w:val="006C5460"/>
    <w:rsid w:val="006C56C2"/>
    <w:rsid w:val="006C5ABD"/>
    <w:rsid w:val="006C740F"/>
    <w:rsid w:val="006D10A3"/>
    <w:rsid w:val="006D31D0"/>
    <w:rsid w:val="006D5700"/>
    <w:rsid w:val="006D58CA"/>
    <w:rsid w:val="006D6439"/>
    <w:rsid w:val="006E329C"/>
    <w:rsid w:val="006E4F37"/>
    <w:rsid w:val="006F0BB0"/>
    <w:rsid w:val="006F3417"/>
    <w:rsid w:val="006F35D2"/>
    <w:rsid w:val="006F5BAB"/>
    <w:rsid w:val="006F5CD8"/>
    <w:rsid w:val="006F7393"/>
    <w:rsid w:val="007005C2"/>
    <w:rsid w:val="0070224F"/>
    <w:rsid w:val="00702ACE"/>
    <w:rsid w:val="00702BE1"/>
    <w:rsid w:val="007044B1"/>
    <w:rsid w:val="00704B13"/>
    <w:rsid w:val="0070664B"/>
    <w:rsid w:val="007108B2"/>
    <w:rsid w:val="007115F7"/>
    <w:rsid w:val="0071332F"/>
    <w:rsid w:val="007147B5"/>
    <w:rsid w:val="007168B3"/>
    <w:rsid w:val="007171F6"/>
    <w:rsid w:val="00723292"/>
    <w:rsid w:val="00726BE0"/>
    <w:rsid w:val="00734E43"/>
    <w:rsid w:val="00737EAC"/>
    <w:rsid w:val="007467B8"/>
    <w:rsid w:val="00754D43"/>
    <w:rsid w:val="00756417"/>
    <w:rsid w:val="007567EC"/>
    <w:rsid w:val="00760949"/>
    <w:rsid w:val="007648E2"/>
    <w:rsid w:val="00767DE0"/>
    <w:rsid w:val="00770B21"/>
    <w:rsid w:val="007807BA"/>
    <w:rsid w:val="00783EF7"/>
    <w:rsid w:val="00785689"/>
    <w:rsid w:val="00785CD1"/>
    <w:rsid w:val="00786210"/>
    <w:rsid w:val="0078711B"/>
    <w:rsid w:val="007901CB"/>
    <w:rsid w:val="00792287"/>
    <w:rsid w:val="00795C28"/>
    <w:rsid w:val="0079754B"/>
    <w:rsid w:val="007A1E6D"/>
    <w:rsid w:val="007B02C0"/>
    <w:rsid w:val="007B0EB2"/>
    <w:rsid w:val="007B35C9"/>
    <w:rsid w:val="007B7A68"/>
    <w:rsid w:val="007C0574"/>
    <w:rsid w:val="007C3276"/>
    <w:rsid w:val="007D433B"/>
    <w:rsid w:val="007E186F"/>
    <w:rsid w:val="007F1902"/>
    <w:rsid w:val="007F4B30"/>
    <w:rsid w:val="007F64C1"/>
    <w:rsid w:val="00803506"/>
    <w:rsid w:val="00804F45"/>
    <w:rsid w:val="0080791A"/>
    <w:rsid w:val="00807C5A"/>
    <w:rsid w:val="00810B6F"/>
    <w:rsid w:val="008121A6"/>
    <w:rsid w:val="008143C3"/>
    <w:rsid w:val="00815531"/>
    <w:rsid w:val="00822CE0"/>
    <w:rsid w:val="00827885"/>
    <w:rsid w:val="008307C5"/>
    <w:rsid w:val="00830F22"/>
    <w:rsid w:val="00837CEA"/>
    <w:rsid w:val="00841AB1"/>
    <w:rsid w:val="0084279E"/>
    <w:rsid w:val="00843142"/>
    <w:rsid w:val="0084529A"/>
    <w:rsid w:val="00851857"/>
    <w:rsid w:val="00851A06"/>
    <w:rsid w:val="008534B8"/>
    <w:rsid w:val="00867221"/>
    <w:rsid w:val="0086735C"/>
    <w:rsid w:val="0087270A"/>
    <w:rsid w:val="008738F5"/>
    <w:rsid w:val="0087493E"/>
    <w:rsid w:val="00881F67"/>
    <w:rsid w:val="00883697"/>
    <w:rsid w:val="00885637"/>
    <w:rsid w:val="0088566E"/>
    <w:rsid w:val="008866CC"/>
    <w:rsid w:val="00890581"/>
    <w:rsid w:val="00892496"/>
    <w:rsid w:val="008A27C6"/>
    <w:rsid w:val="008A52FE"/>
    <w:rsid w:val="008A5574"/>
    <w:rsid w:val="008B00ED"/>
    <w:rsid w:val="008B3AF9"/>
    <w:rsid w:val="008B4AA4"/>
    <w:rsid w:val="008C0E65"/>
    <w:rsid w:val="008C1831"/>
    <w:rsid w:val="008C1866"/>
    <w:rsid w:val="008C20CC"/>
    <w:rsid w:val="008C68F1"/>
    <w:rsid w:val="008C7903"/>
    <w:rsid w:val="008D3C95"/>
    <w:rsid w:val="008D4811"/>
    <w:rsid w:val="008D73FC"/>
    <w:rsid w:val="008E00BE"/>
    <w:rsid w:val="008E2FA1"/>
    <w:rsid w:val="008E3A7C"/>
    <w:rsid w:val="008E406A"/>
    <w:rsid w:val="008E5FD5"/>
    <w:rsid w:val="008F3C4A"/>
    <w:rsid w:val="008F3DB3"/>
    <w:rsid w:val="008F529E"/>
    <w:rsid w:val="0090562F"/>
    <w:rsid w:val="00907233"/>
    <w:rsid w:val="009106B2"/>
    <w:rsid w:val="00911527"/>
    <w:rsid w:val="00911C52"/>
    <w:rsid w:val="00912FDD"/>
    <w:rsid w:val="00915A62"/>
    <w:rsid w:val="00920606"/>
    <w:rsid w:val="00921803"/>
    <w:rsid w:val="00924C0B"/>
    <w:rsid w:val="00926503"/>
    <w:rsid w:val="00927443"/>
    <w:rsid w:val="009303E9"/>
    <w:rsid w:val="00933FD0"/>
    <w:rsid w:val="0094442B"/>
    <w:rsid w:val="00945DD0"/>
    <w:rsid w:val="00946EE4"/>
    <w:rsid w:val="00946FB4"/>
    <w:rsid w:val="009509EF"/>
    <w:rsid w:val="00961945"/>
    <w:rsid w:val="00962DE2"/>
    <w:rsid w:val="00971D8C"/>
    <w:rsid w:val="009726D8"/>
    <w:rsid w:val="00976EE8"/>
    <w:rsid w:val="00977D00"/>
    <w:rsid w:val="00985566"/>
    <w:rsid w:val="009865BE"/>
    <w:rsid w:val="009877EA"/>
    <w:rsid w:val="0099148E"/>
    <w:rsid w:val="009A02E5"/>
    <w:rsid w:val="009A3ACB"/>
    <w:rsid w:val="009A3F84"/>
    <w:rsid w:val="009B11F1"/>
    <w:rsid w:val="009B4A50"/>
    <w:rsid w:val="009C02AD"/>
    <w:rsid w:val="009C5523"/>
    <w:rsid w:val="009C5E1F"/>
    <w:rsid w:val="009D6638"/>
    <w:rsid w:val="009E52DC"/>
    <w:rsid w:val="009E71BE"/>
    <w:rsid w:val="009F43BC"/>
    <w:rsid w:val="009F76DB"/>
    <w:rsid w:val="009F7B9A"/>
    <w:rsid w:val="00A10779"/>
    <w:rsid w:val="00A10EE8"/>
    <w:rsid w:val="00A116CC"/>
    <w:rsid w:val="00A13CA2"/>
    <w:rsid w:val="00A1529F"/>
    <w:rsid w:val="00A1610B"/>
    <w:rsid w:val="00A22153"/>
    <w:rsid w:val="00A27141"/>
    <w:rsid w:val="00A32C3B"/>
    <w:rsid w:val="00A37190"/>
    <w:rsid w:val="00A400A3"/>
    <w:rsid w:val="00A403D8"/>
    <w:rsid w:val="00A41CCA"/>
    <w:rsid w:val="00A442E5"/>
    <w:rsid w:val="00A45B4A"/>
    <w:rsid w:val="00A45F4F"/>
    <w:rsid w:val="00A46084"/>
    <w:rsid w:val="00A5171B"/>
    <w:rsid w:val="00A544DB"/>
    <w:rsid w:val="00A600A9"/>
    <w:rsid w:val="00A60568"/>
    <w:rsid w:val="00A607A9"/>
    <w:rsid w:val="00A62D13"/>
    <w:rsid w:val="00A67ED7"/>
    <w:rsid w:val="00A71B74"/>
    <w:rsid w:val="00A73DDB"/>
    <w:rsid w:val="00A75276"/>
    <w:rsid w:val="00A75E78"/>
    <w:rsid w:val="00A82CCC"/>
    <w:rsid w:val="00A876DD"/>
    <w:rsid w:val="00A87DDE"/>
    <w:rsid w:val="00A93280"/>
    <w:rsid w:val="00A95AC4"/>
    <w:rsid w:val="00AA127F"/>
    <w:rsid w:val="00AA35C6"/>
    <w:rsid w:val="00AA544B"/>
    <w:rsid w:val="00AA55B7"/>
    <w:rsid w:val="00AA5B9E"/>
    <w:rsid w:val="00AB2407"/>
    <w:rsid w:val="00AB2722"/>
    <w:rsid w:val="00AB53DF"/>
    <w:rsid w:val="00AB609E"/>
    <w:rsid w:val="00AB621F"/>
    <w:rsid w:val="00AC394F"/>
    <w:rsid w:val="00AC3FF8"/>
    <w:rsid w:val="00AC656C"/>
    <w:rsid w:val="00AC6DDE"/>
    <w:rsid w:val="00AD1DFF"/>
    <w:rsid w:val="00AD1F01"/>
    <w:rsid w:val="00AD2F47"/>
    <w:rsid w:val="00AD495B"/>
    <w:rsid w:val="00AD66EA"/>
    <w:rsid w:val="00AE08B3"/>
    <w:rsid w:val="00AE0EE5"/>
    <w:rsid w:val="00AE0FC5"/>
    <w:rsid w:val="00AE2539"/>
    <w:rsid w:val="00AE2DC0"/>
    <w:rsid w:val="00AE64C3"/>
    <w:rsid w:val="00AE6CE9"/>
    <w:rsid w:val="00AF2714"/>
    <w:rsid w:val="00AF3B7E"/>
    <w:rsid w:val="00AF70A9"/>
    <w:rsid w:val="00AF7BA5"/>
    <w:rsid w:val="00B00DEA"/>
    <w:rsid w:val="00B014C6"/>
    <w:rsid w:val="00B02BD7"/>
    <w:rsid w:val="00B03B44"/>
    <w:rsid w:val="00B04B79"/>
    <w:rsid w:val="00B06127"/>
    <w:rsid w:val="00B07E5C"/>
    <w:rsid w:val="00B10A7D"/>
    <w:rsid w:val="00B10C5B"/>
    <w:rsid w:val="00B117D6"/>
    <w:rsid w:val="00B12573"/>
    <w:rsid w:val="00B14AC3"/>
    <w:rsid w:val="00B17F87"/>
    <w:rsid w:val="00B21541"/>
    <w:rsid w:val="00B224FE"/>
    <w:rsid w:val="00B23231"/>
    <w:rsid w:val="00B30808"/>
    <w:rsid w:val="00B309CE"/>
    <w:rsid w:val="00B319B5"/>
    <w:rsid w:val="00B324DA"/>
    <w:rsid w:val="00B35CCB"/>
    <w:rsid w:val="00B36471"/>
    <w:rsid w:val="00B54C27"/>
    <w:rsid w:val="00B56471"/>
    <w:rsid w:val="00B578AB"/>
    <w:rsid w:val="00B6122B"/>
    <w:rsid w:val="00B66E77"/>
    <w:rsid w:val="00B71A7E"/>
    <w:rsid w:val="00B7728F"/>
    <w:rsid w:val="00B77C0F"/>
    <w:rsid w:val="00B811F7"/>
    <w:rsid w:val="00B81BAB"/>
    <w:rsid w:val="00B86770"/>
    <w:rsid w:val="00B94371"/>
    <w:rsid w:val="00B96AD6"/>
    <w:rsid w:val="00B96AFB"/>
    <w:rsid w:val="00B97E6C"/>
    <w:rsid w:val="00BA5844"/>
    <w:rsid w:val="00BA5DC6"/>
    <w:rsid w:val="00BA6196"/>
    <w:rsid w:val="00BA661A"/>
    <w:rsid w:val="00BB01DB"/>
    <w:rsid w:val="00BB0977"/>
    <w:rsid w:val="00BC1558"/>
    <w:rsid w:val="00BC6D8C"/>
    <w:rsid w:val="00BD1EF8"/>
    <w:rsid w:val="00BD1FC8"/>
    <w:rsid w:val="00BD26F4"/>
    <w:rsid w:val="00BD4808"/>
    <w:rsid w:val="00BD7B7C"/>
    <w:rsid w:val="00BE5F3F"/>
    <w:rsid w:val="00BF2BD6"/>
    <w:rsid w:val="00BF2BE0"/>
    <w:rsid w:val="00BF4A9F"/>
    <w:rsid w:val="00BF4C3F"/>
    <w:rsid w:val="00BF51BD"/>
    <w:rsid w:val="00BF5586"/>
    <w:rsid w:val="00BF65B4"/>
    <w:rsid w:val="00BF7702"/>
    <w:rsid w:val="00C033FD"/>
    <w:rsid w:val="00C03C26"/>
    <w:rsid w:val="00C04C91"/>
    <w:rsid w:val="00C070FE"/>
    <w:rsid w:val="00C10EF6"/>
    <w:rsid w:val="00C17250"/>
    <w:rsid w:val="00C172A1"/>
    <w:rsid w:val="00C17552"/>
    <w:rsid w:val="00C21F57"/>
    <w:rsid w:val="00C229E7"/>
    <w:rsid w:val="00C275AF"/>
    <w:rsid w:val="00C276B6"/>
    <w:rsid w:val="00C320E1"/>
    <w:rsid w:val="00C34006"/>
    <w:rsid w:val="00C361F0"/>
    <w:rsid w:val="00C403FB"/>
    <w:rsid w:val="00C4147D"/>
    <w:rsid w:val="00C417CB"/>
    <w:rsid w:val="00C426B1"/>
    <w:rsid w:val="00C431C7"/>
    <w:rsid w:val="00C44ED9"/>
    <w:rsid w:val="00C45B92"/>
    <w:rsid w:val="00C45EE1"/>
    <w:rsid w:val="00C47BB5"/>
    <w:rsid w:val="00C5219A"/>
    <w:rsid w:val="00C54986"/>
    <w:rsid w:val="00C57194"/>
    <w:rsid w:val="00C640AA"/>
    <w:rsid w:val="00C66160"/>
    <w:rsid w:val="00C721AC"/>
    <w:rsid w:val="00C73651"/>
    <w:rsid w:val="00C752DA"/>
    <w:rsid w:val="00C80A7E"/>
    <w:rsid w:val="00C8132F"/>
    <w:rsid w:val="00C90D6A"/>
    <w:rsid w:val="00CA1368"/>
    <w:rsid w:val="00CA247E"/>
    <w:rsid w:val="00CA5513"/>
    <w:rsid w:val="00CA608F"/>
    <w:rsid w:val="00CA7341"/>
    <w:rsid w:val="00CA7C29"/>
    <w:rsid w:val="00CB09C3"/>
    <w:rsid w:val="00CB6034"/>
    <w:rsid w:val="00CB61C5"/>
    <w:rsid w:val="00CB6632"/>
    <w:rsid w:val="00CC622B"/>
    <w:rsid w:val="00CC72B6"/>
    <w:rsid w:val="00CC77B3"/>
    <w:rsid w:val="00CD29FA"/>
    <w:rsid w:val="00CE25BA"/>
    <w:rsid w:val="00CE2813"/>
    <w:rsid w:val="00CE467E"/>
    <w:rsid w:val="00CE5E78"/>
    <w:rsid w:val="00CE776A"/>
    <w:rsid w:val="00CF0CA4"/>
    <w:rsid w:val="00CF0D91"/>
    <w:rsid w:val="00CF1A38"/>
    <w:rsid w:val="00D01A98"/>
    <w:rsid w:val="00D0218D"/>
    <w:rsid w:val="00D03AD7"/>
    <w:rsid w:val="00D13C99"/>
    <w:rsid w:val="00D14616"/>
    <w:rsid w:val="00D16805"/>
    <w:rsid w:val="00D20539"/>
    <w:rsid w:val="00D243ED"/>
    <w:rsid w:val="00D2551A"/>
    <w:rsid w:val="00D25FB5"/>
    <w:rsid w:val="00D35DED"/>
    <w:rsid w:val="00D405B5"/>
    <w:rsid w:val="00D421D2"/>
    <w:rsid w:val="00D44223"/>
    <w:rsid w:val="00D45600"/>
    <w:rsid w:val="00D46138"/>
    <w:rsid w:val="00D4629A"/>
    <w:rsid w:val="00D56E80"/>
    <w:rsid w:val="00D639AF"/>
    <w:rsid w:val="00D72840"/>
    <w:rsid w:val="00D729EB"/>
    <w:rsid w:val="00D7474F"/>
    <w:rsid w:val="00D80517"/>
    <w:rsid w:val="00D83CF1"/>
    <w:rsid w:val="00D87D98"/>
    <w:rsid w:val="00D9144C"/>
    <w:rsid w:val="00DA0D3F"/>
    <w:rsid w:val="00DA2140"/>
    <w:rsid w:val="00DA2529"/>
    <w:rsid w:val="00DA26E8"/>
    <w:rsid w:val="00DA6C98"/>
    <w:rsid w:val="00DA70FE"/>
    <w:rsid w:val="00DB130A"/>
    <w:rsid w:val="00DB2EBB"/>
    <w:rsid w:val="00DB4070"/>
    <w:rsid w:val="00DB69BA"/>
    <w:rsid w:val="00DC0E91"/>
    <w:rsid w:val="00DC10A1"/>
    <w:rsid w:val="00DC39AF"/>
    <w:rsid w:val="00DC655F"/>
    <w:rsid w:val="00DD05CE"/>
    <w:rsid w:val="00DD0B59"/>
    <w:rsid w:val="00DD3DE2"/>
    <w:rsid w:val="00DD7EBD"/>
    <w:rsid w:val="00DE25E9"/>
    <w:rsid w:val="00DE3828"/>
    <w:rsid w:val="00DE39C7"/>
    <w:rsid w:val="00DE3D81"/>
    <w:rsid w:val="00DE5706"/>
    <w:rsid w:val="00DE7652"/>
    <w:rsid w:val="00DF1E9F"/>
    <w:rsid w:val="00DF62B6"/>
    <w:rsid w:val="00DF6F43"/>
    <w:rsid w:val="00E03701"/>
    <w:rsid w:val="00E04ECE"/>
    <w:rsid w:val="00E07225"/>
    <w:rsid w:val="00E11A77"/>
    <w:rsid w:val="00E122EB"/>
    <w:rsid w:val="00E12561"/>
    <w:rsid w:val="00E153D4"/>
    <w:rsid w:val="00E16DDA"/>
    <w:rsid w:val="00E17E46"/>
    <w:rsid w:val="00E20F5A"/>
    <w:rsid w:val="00E21D49"/>
    <w:rsid w:val="00E22BC6"/>
    <w:rsid w:val="00E23B37"/>
    <w:rsid w:val="00E25FD2"/>
    <w:rsid w:val="00E36467"/>
    <w:rsid w:val="00E40C6F"/>
    <w:rsid w:val="00E40FCC"/>
    <w:rsid w:val="00E51741"/>
    <w:rsid w:val="00E5409F"/>
    <w:rsid w:val="00E574A3"/>
    <w:rsid w:val="00E66A17"/>
    <w:rsid w:val="00E74EF3"/>
    <w:rsid w:val="00E80AA5"/>
    <w:rsid w:val="00E80E06"/>
    <w:rsid w:val="00E85A43"/>
    <w:rsid w:val="00E902EF"/>
    <w:rsid w:val="00E94FFB"/>
    <w:rsid w:val="00EA1272"/>
    <w:rsid w:val="00EA229C"/>
    <w:rsid w:val="00EA43E1"/>
    <w:rsid w:val="00EA4CF4"/>
    <w:rsid w:val="00EB3041"/>
    <w:rsid w:val="00EB4159"/>
    <w:rsid w:val="00EB5E29"/>
    <w:rsid w:val="00EC233C"/>
    <w:rsid w:val="00EC4C84"/>
    <w:rsid w:val="00ED0347"/>
    <w:rsid w:val="00ED7710"/>
    <w:rsid w:val="00EE0482"/>
    <w:rsid w:val="00EE0980"/>
    <w:rsid w:val="00EE18D7"/>
    <w:rsid w:val="00EE2BFB"/>
    <w:rsid w:val="00EE3626"/>
    <w:rsid w:val="00EE6120"/>
    <w:rsid w:val="00EE6488"/>
    <w:rsid w:val="00EE6ABE"/>
    <w:rsid w:val="00EE776C"/>
    <w:rsid w:val="00EF1FC0"/>
    <w:rsid w:val="00EF1FCB"/>
    <w:rsid w:val="00F0086A"/>
    <w:rsid w:val="00F021FA"/>
    <w:rsid w:val="00F111C8"/>
    <w:rsid w:val="00F20DDD"/>
    <w:rsid w:val="00F21E4E"/>
    <w:rsid w:val="00F270BE"/>
    <w:rsid w:val="00F35042"/>
    <w:rsid w:val="00F37C3D"/>
    <w:rsid w:val="00F4088A"/>
    <w:rsid w:val="00F43745"/>
    <w:rsid w:val="00F43908"/>
    <w:rsid w:val="00F450F2"/>
    <w:rsid w:val="00F456B4"/>
    <w:rsid w:val="00F45A84"/>
    <w:rsid w:val="00F4659A"/>
    <w:rsid w:val="00F46F1A"/>
    <w:rsid w:val="00F55C13"/>
    <w:rsid w:val="00F57184"/>
    <w:rsid w:val="00F57C7C"/>
    <w:rsid w:val="00F62E97"/>
    <w:rsid w:val="00F64209"/>
    <w:rsid w:val="00F66611"/>
    <w:rsid w:val="00F67BC4"/>
    <w:rsid w:val="00F67E13"/>
    <w:rsid w:val="00F70BAE"/>
    <w:rsid w:val="00F74278"/>
    <w:rsid w:val="00F74A5E"/>
    <w:rsid w:val="00F77987"/>
    <w:rsid w:val="00F779DF"/>
    <w:rsid w:val="00F77F4F"/>
    <w:rsid w:val="00F84455"/>
    <w:rsid w:val="00F86F5F"/>
    <w:rsid w:val="00F93BF5"/>
    <w:rsid w:val="00FA053F"/>
    <w:rsid w:val="00FA0B28"/>
    <w:rsid w:val="00FA13A4"/>
    <w:rsid w:val="00FA43A3"/>
    <w:rsid w:val="00FB3478"/>
    <w:rsid w:val="00FB4CB2"/>
    <w:rsid w:val="00FC050C"/>
    <w:rsid w:val="00FC18FF"/>
    <w:rsid w:val="00FD22CD"/>
    <w:rsid w:val="00FD33D2"/>
    <w:rsid w:val="00FD61B6"/>
    <w:rsid w:val="00FD752B"/>
    <w:rsid w:val="00FE0D0E"/>
    <w:rsid w:val="00FE4E12"/>
    <w:rsid w:val="00FE5C73"/>
    <w:rsid w:val="00FE65DF"/>
    <w:rsid w:val="00FE6CCB"/>
    <w:rsid w:val="00FF0312"/>
    <w:rsid w:val="00FF21B8"/>
    <w:rsid w:val="00FF6161"/>
    <w:rsid w:val="00FF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68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68"/>
    <w:pPr>
      <w:widowControl w:val="0"/>
    </w:pPr>
    <w:rPr>
      <w:snapToGrid w:val="0"/>
      <w:kern w:val="28"/>
      <w:sz w:val="22"/>
    </w:rPr>
  </w:style>
  <w:style w:type="paragraph" w:styleId="Heading1">
    <w:name w:val="heading 1"/>
    <w:basedOn w:val="Normal"/>
    <w:next w:val="ParaNum"/>
    <w:qFormat/>
    <w:rsid w:val="00CA13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1368"/>
    <w:pPr>
      <w:keepNext/>
      <w:numPr>
        <w:ilvl w:val="1"/>
        <w:numId w:val="3"/>
      </w:numPr>
      <w:spacing w:after="120"/>
      <w:outlineLvl w:val="1"/>
    </w:pPr>
    <w:rPr>
      <w:b/>
    </w:rPr>
  </w:style>
  <w:style w:type="paragraph" w:styleId="Heading3">
    <w:name w:val="heading 3"/>
    <w:basedOn w:val="Normal"/>
    <w:next w:val="ParaNum"/>
    <w:qFormat/>
    <w:rsid w:val="00CA1368"/>
    <w:pPr>
      <w:keepNext/>
      <w:numPr>
        <w:ilvl w:val="2"/>
        <w:numId w:val="3"/>
      </w:numPr>
      <w:tabs>
        <w:tab w:val="left" w:pos="2160"/>
      </w:tabs>
      <w:spacing w:after="120"/>
      <w:outlineLvl w:val="2"/>
    </w:pPr>
    <w:rPr>
      <w:b/>
    </w:rPr>
  </w:style>
  <w:style w:type="paragraph" w:styleId="Heading4">
    <w:name w:val="heading 4"/>
    <w:basedOn w:val="Normal"/>
    <w:next w:val="ParaNum"/>
    <w:qFormat/>
    <w:rsid w:val="00CA1368"/>
    <w:pPr>
      <w:keepNext/>
      <w:numPr>
        <w:ilvl w:val="3"/>
        <w:numId w:val="3"/>
      </w:numPr>
      <w:tabs>
        <w:tab w:val="left" w:pos="2880"/>
      </w:tabs>
      <w:spacing w:after="120"/>
      <w:outlineLvl w:val="3"/>
    </w:pPr>
    <w:rPr>
      <w:b/>
    </w:rPr>
  </w:style>
  <w:style w:type="paragraph" w:styleId="Heading5">
    <w:name w:val="heading 5"/>
    <w:basedOn w:val="Normal"/>
    <w:next w:val="ParaNum"/>
    <w:qFormat/>
    <w:rsid w:val="00CA13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1368"/>
    <w:pPr>
      <w:numPr>
        <w:ilvl w:val="5"/>
        <w:numId w:val="3"/>
      </w:numPr>
      <w:tabs>
        <w:tab w:val="left" w:pos="4320"/>
      </w:tabs>
      <w:spacing w:after="120"/>
      <w:outlineLvl w:val="5"/>
    </w:pPr>
    <w:rPr>
      <w:b/>
    </w:rPr>
  </w:style>
  <w:style w:type="paragraph" w:styleId="Heading7">
    <w:name w:val="heading 7"/>
    <w:basedOn w:val="Normal"/>
    <w:next w:val="ParaNum"/>
    <w:qFormat/>
    <w:rsid w:val="00CA13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13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13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1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368"/>
  </w:style>
  <w:style w:type="paragraph" w:customStyle="1" w:styleId="ParaNum">
    <w:name w:val="ParaNum"/>
    <w:basedOn w:val="Normal"/>
    <w:link w:val="ParaNumChar"/>
    <w:rsid w:val="00CA1368"/>
    <w:pPr>
      <w:numPr>
        <w:numId w:val="2"/>
      </w:numPr>
      <w:tabs>
        <w:tab w:val="clear" w:pos="1080"/>
        <w:tab w:val="num" w:pos="1440"/>
      </w:tabs>
      <w:spacing w:after="120"/>
    </w:pPr>
  </w:style>
  <w:style w:type="paragraph" w:styleId="EndnoteText">
    <w:name w:val="endnote text"/>
    <w:basedOn w:val="Normal"/>
    <w:semiHidden/>
    <w:rsid w:val="00CA1368"/>
    <w:rPr>
      <w:sz w:val="20"/>
    </w:rPr>
  </w:style>
  <w:style w:type="character" w:styleId="EndnoteReference">
    <w:name w:val="endnote reference"/>
    <w:semiHidden/>
    <w:rsid w:val="00CA136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A1368"/>
    <w:pPr>
      <w:spacing w:after="120"/>
    </w:pPr>
  </w:style>
  <w:style w:type="character" w:styleId="FootnoteReference">
    <w:name w:val="footnote reference"/>
    <w:aliases w:val="Style 12,(NECG) Footnote Reference,Appel note de bas de p,Style 124,o,fr,Style 3,Style 13,Style 17,FR,Style 4,Footnote Reference/,Style 6"/>
    <w:rsid w:val="00CA1368"/>
    <w:rPr>
      <w:rFonts w:ascii="Times New Roman" w:hAnsi="Times New Roman"/>
      <w:dstrike w:val="0"/>
      <w:color w:val="auto"/>
      <w:sz w:val="20"/>
      <w:vertAlign w:val="superscript"/>
    </w:rPr>
  </w:style>
  <w:style w:type="paragraph" w:styleId="TOC1">
    <w:name w:val="toc 1"/>
    <w:basedOn w:val="Normal"/>
    <w:next w:val="Normal"/>
    <w:semiHidden/>
    <w:rsid w:val="00CA13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1368"/>
    <w:pPr>
      <w:tabs>
        <w:tab w:val="left" w:pos="720"/>
        <w:tab w:val="right" w:leader="dot" w:pos="9360"/>
      </w:tabs>
      <w:suppressAutoHyphens/>
      <w:ind w:left="720" w:right="720" w:hanging="360"/>
    </w:pPr>
    <w:rPr>
      <w:noProof/>
    </w:rPr>
  </w:style>
  <w:style w:type="paragraph" w:styleId="TOC3">
    <w:name w:val="toc 3"/>
    <w:basedOn w:val="Normal"/>
    <w:next w:val="Normal"/>
    <w:semiHidden/>
    <w:rsid w:val="00CA13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13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13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13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13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13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13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1368"/>
    <w:pPr>
      <w:tabs>
        <w:tab w:val="right" w:pos="9360"/>
      </w:tabs>
      <w:suppressAutoHyphens/>
    </w:pPr>
  </w:style>
  <w:style w:type="character" w:customStyle="1" w:styleId="EquationCaption">
    <w:name w:val="_Equation Caption"/>
    <w:rsid w:val="00CA1368"/>
  </w:style>
  <w:style w:type="paragraph" w:styleId="Header">
    <w:name w:val="header"/>
    <w:basedOn w:val="Normal"/>
    <w:autoRedefine/>
    <w:rsid w:val="00CA1368"/>
    <w:pPr>
      <w:tabs>
        <w:tab w:val="center" w:pos="4680"/>
        <w:tab w:val="right" w:pos="9360"/>
      </w:tabs>
    </w:pPr>
    <w:rPr>
      <w:b/>
    </w:rPr>
  </w:style>
  <w:style w:type="paragraph" w:styleId="Footer">
    <w:name w:val="footer"/>
    <w:basedOn w:val="Normal"/>
    <w:rsid w:val="00CA1368"/>
    <w:pPr>
      <w:tabs>
        <w:tab w:val="center" w:pos="4320"/>
        <w:tab w:val="right" w:pos="8640"/>
      </w:tabs>
    </w:pPr>
  </w:style>
  <w:style w:type="character" w:styleId="PageNumber">
    <w:name w:val="page number"/>
    <w:basedOn w:val="DefaultParagraphFont"/>
    <w:rsid w:val="00CA1368"/>
  </w:style>
  <w:style w:type="paragraph" w:styleId="BlockText">
    <w:name w:val="Block Text"/>
    <w:basedOn w:val="Normal"/>
    <w:rsid w:val="00CA1368"/>
    <w:pPr>
      <w:spacing w:after="240"/>
      <w:ind w:left="1440" w:right="1440"/>
    </w:pPr>
  </w:style>
  <w:style w:type="paragraph" w:customStyle="1" w:styleId="Paratitle">
    <w:name w:val="Para title"/>
    <w:basedOn w:val="Normal"/>
    <w:rsid w:val="00CA1368"/>
    <w:pPr>
      <w:tabs>
        <w:tab w:val="center" w:pos="9270"/>
      </w:tabs>
      <w:spacing w:after="240"/>
    </w:pPr>
    <w:rPr>
      <w:spacing w:val="-2"/>
    </w:rPr>
  </w:style>
  <w:style w:type="paragraph" w:customStyle="1" w:styleId="Bullet">
    <w:name w:val="Bullet"/>
    <w:basedOn w:val="Normal"/>
    <w:rsid w:val="00CA1368"/>
    <w:pPr>
      <w:tabs>
        <w:tab w:val="left" w:pos="2160"/>
      </w:tabs>
      <w:spacing w:after="220"/>
      <w:ind w:left="2160" w:hanging="720"/>
    </w:pPr>
  </w:style>
  <w:style w:type="paragraph" w:customStyle="1" w:styleId="TableFormat">
    <w:name w:val="TableFormat"/>
    <w:basedOn w:val="Bullet"/>
    <w:rsid w:val="00CA1368"/>
    <w:pPr>
      <w:tabs>
        <w:tab w:val="clear" w:pos="2160"/>
        <w:tab w:val="left" w:pos="5040"/>
      </w:tabs>
      <w:ind w:left="5040" w:hanging="3600"/>
    </w:pPr>
  </w:style>
  <w:style w:type="paragraph" w:customStyle="1" w:styleId="TOCTitle">
    <w:name w:val="TOC Title"/>
    <w:basedOn w:val="Normal"/>
    <w:rsid w:val="00CA13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1368"/>
    <w:pPr>
      <w:jc w:val="center"/>
    </w:pPr>
    <w:rPr>
      <w:rFonts w:ascii="Times New Roman Bold" w:hAnsi="Times New Roman Bold"/>
      <w:b/>
      <w:bCs/>
      <w:caps/>
      <w:szCs w:val="22"/>
    </w:rPr>
  </w:style>
  <w:style w:type="character" w:styleId="Hyperlink">
    <w:name w:val="Hyperlink"/>
    <w:rsid w:val="00CA136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napToGrid/>
      <w:sz w:val="16"/>
      <w:szCs w:val="16"/>
    </w:rPr>
  </w:style>
  <w:style w:type="character" w:customStyle="1" w:styleId="BalloonTextChar">
    <w:name w:val="Balloon Text Char"/>
    <w:link w:val="BalloonText"/>
    <w:rsid w:val="002B7FC6"/>
    <w:rPr>
      <w:rFonts w:ascii="Tahoma" w:hAnsi="Tahoma" w:cs="Tahoma"/>
      <w:snapToGrid w:val="0"/>
      <w:kern w:val="28"/>
      <w:sz w:val="16"/>
      <w:szCs w:val="16"/>
    </w:rPr>
  </w:style>
  <w:style w:type="character" w:styleId="CommentReference">
    <w:name w:val="annotation reference"/>
    <w:rsid w:val="008F3C4A"/>
    <w:rPr>
      <w:sz w:val="16"/>
      <w:szCs w:val="16"/>
    </w:rPr>
  </w:style>
  <w:style w:type="paragraph" w:styleId="CommentText">
    <w:name w:val="annotation text"/>
    <w:basedOn w:val="Normal"/>
    <w:link w:val="CommentTextChar"/>
    <w:rsid w:val="008F3C4A"/>
    <w:rPr>
      <w:snapToGrid/>
    </w:rPr>
  </w:style>
  <w:style w:type="character" w:customStyle="1" w:styleId="CommentTextChar">
    <w:name w:val="Comment Text Char"/>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rPr>
      <w:snapToGrid/>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uiPriority w:val="20"/>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ocked/>
    <w:rsid w:val="00A75276"/>
    <w:rPr>
      <w:lang w:val="en-US" w:eastAsia="en-US" w:bidi="ar-SA"/>
    </w:rPr>
  </w:style>
  <w:style w:type="character" w:customStyle="1" w:styleId="cosearchterm">
    <w:name w:val="co_searchterm"/>
    <w:basedOn w:val="DefaultParagraphFont"/>
    <w:rsid w:val="00FE6CCB"/>
  </w:style>
  <w:style w:type="character" w:customStyle="1" w:styleId="costarpage">
    <w:name w:val="co_starpage"/>
    <w:basedOn w:val="DefaultParagraphFont"/>
    <w:rsid w:val="00E2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68"/>
    <w:pPr>
      <w:widowControl w:val="0"/>
    </w:pPr>
    <w:rPr>
      <w:snapToGrid w:val="0"/>
      <w:kern w:val="28"/>
      <w:sz w:val="22"/>
    </w:rPr>
  </w:style>
  <w:style w:type="paragraph" w:styleId="Heading1">
    <w:name w:val="heading 1"/>
    <w:basedOn w:val="Normal"/>
    <w:next w:val="ParaNum"/>
    <w:qFormat/>
    <w:rsid w:val="00CA13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1368"/>
    <w:pPr>
      <w:keepNext/>
      <w:numPr>
        <w:ilvl w:val="1"/>
        <w:numId w:val="3"/>
      </w:numPr>
      <w:spacing w:after="120"/>
      <w:outlineLvl w:val="1"/>
    </w:pPr>
    <w:rPr>
      <w:b/>
    </w:rPr>
  </w:style>
  <w:style w:type="paragraph" w:styleId="Heading3">
    <w:name w:val="heading 3"/>
    <w:basedOn w:val="Normal"/>
    <w:next w:val="ParaNum"/>
    <w:qFormat/>
    <w:rsid w:val="00CA1368"/>
    <w:pPr>
      <w:keepNext/>
      <w:numPr>
        <w:ilvl w:val="2"/>
        <w:numId w:val="3"/>
      </w:numPr>
      <w:tabs>
        <w:tab w:val="left" w:pos="2160"/>
      </w:tabs>
      <w:spacing w:after="120"/>
      <w:outlineLvl w:val="2"/>
    </w:pPr>
    <w:rPr>
      <w:b/>
    </w:rPr>
  </w:style>
  <w:style w:type="paragraph" w:styleId="Heading4">
    <w:name w:val="heading 4"/>
    <w:basedOn w:val="Normal"/>
    <w:next w:val="ParaNum"/>
    <w:qFormat/>
    <w:rsid w:val="00CA1368"/>
    <w:pPr>
      <w:keepNext/>
      <w:numPr>
        <w:ilvl w:val="3"/>
        <w:numId w:val="3"/>
      </w:numPr>
      <w:tabs>
        <w:tab w:val="left" w:pos="2880"/>
      </w:tabs>
      <w:spacing w:after="120"/>
      <w:outlineLvl w:val="3"/>
    </w:pPr>
    <w:rPr>
      <w:b/>
    </w:rPr>
  </w:style>
  <w:style w:type="paragraph" w:styleId="Heading5">
    <w:name w:val="heading 5"/>
    <w:basedOn w:val="Normal"/>
    <w:next w:val="ParaNum"/>
    <w:qFormat/>
    <w:rsid w:val="00CA13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1368"/>
    <w:pPr>
      <w:numPr>
        <w:ilvl w:val="5"/>
        <w:numId w:val="3"/>
      </w:numPr>
      <w:tabs>
        <w:tab w:val="left" w:pos="4320"/>
      </w:tabs>
      <w:spacing w:after="120"/>
      <w:outlineLvl w:val="5"/>
    </w:pPr>
    <w:rPr>
      <w:b/>
    </w:rPr>
  </w:style>
  <w:style w:type="paragraph" w:styleId="Heading7">
    <w:name w:val="heading 7"/>
    <w:basedOn w:val="Normal"/>
    <w:next w:val="ParaNum"/>
    <w:qFormat/>
    <w:rsid w:val="00CA13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13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13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1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368"/>
  </w:style>
  <w:style w:type="paragraph" w:customStyle="1" w:styleId="ParaNum">
    <w:name w:val="ParaNum"/>
    <w:basedOn w:val="Normal"/>
    <w:link w:val="ParaNumChar"/>
    <w:rsid w:val="00CA1368"/>
    <w:pPr>
      <w:numPr>
        <w:numId w:val="2"/>
      </w:numPr>
      <w:tabs>
        <w:tab w:val="clear" w:pos="1080"/>
        <w:tab w:val="num" w:pos="1440"/>
      </w:tabs>
      <w:spacing w:after="120"/>
    </w:pPr>
  </w:style>
  <w:style w:type="paragraph" w:styleId="EndnoteText">
    <w:name w:val="endnote text"/>
    <w:basedOn w:val="Normal"/>
    <w:semiHidden/>
    <w:rsid w:val="00CA1368"/>
    <w:rPr>
      <w:sz w:val="20"/>
    </w:rPr>
  </w:style>
  <w:style w:type="character" w:styleId="EndnoteReference">
    <w:name w:val="endnote reference"/>
    <w:semiHidden/>
    <w:rsid w:val="00CA136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CA1368"/>
    <w:pPr>
      <w:spacing w:after="120"/>
    </w:pPr>
  </w:style>
  <w:style w:type="character" w:styleId="FootnoteReference">
    <w:name w:val="footnote reference"/>
    <w:aliases w:val="Style 12,(NECG) Footnote Reference,Appel note de bas de p,Style 124,o,fr,Style 3,Style 13,Style 17,FR,Style 4,Footnote Reference/,Style 6"/>
    <w:rsid w:val="00CA1368"/>
    <w:rPr>
      <w:rFonts w:ascii="Times New Roman" w:hAnsi="Times New Roman"/>
      <w:dstrike w:val="0"/>
      <w:color w:val="auto"/>
      <w:sz w:val="20"/>
      <w:vertAlign w:val="superscript"/>
    </w:rPr>
  </w:style>
  <w:style w:type="paragraph" w:styleId="TOC1">
    <w:name w:val="toc 1"/>
    <w:basedOn w:val="Normal"/>
    <w:next w:val="Normal"/>
    <w:semiHidden/>
    <w:rsid w:val="00CA13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1368"/>
    <w:pPr>
      <w:tabs>
        <w:tab w:val="left" w:pos="720"/>
        <w:tab w:val="right" w:leader="dot" w:pos="9360"/>
      </w:tabs>
      <w:suppressAutoHyphens/>
      <w:ind w:left="720" w:right="720" w:hanging="360"/>
    </w:pPr>
    <w:rPr>
      <w:noProof/>
    </w:rPr>
  </w:style>
  <w:style w:type="paragraph" w:styleId="TOC3">
    <w:name w:val="toc 3"/>
    <w:basedOn w:val="Normal"/>
    <w:next w:val="Normal"/>
    <w:semiHidden/>
    <w:rsid w:val="00CA13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13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13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13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13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13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13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1368"/>
    <w:pPr>
      <w:tabs>
        <w:tab w:val="right" w:pos="9360"/>
      </w:tabs>
      <w:suppressAutoHyphens/>
    </w:pPr>
  </w:style>
  <w:style w:type="character" w:customStyle="1" w:styleId="EquationCaption">
    <w:name w:val="_Equation Caption"/>
    <w:rsid w:val="00CA1368"/>
  </w:style>
  <w:style w:type="paragraph" w:styleId="Header">
    <w:name w:val="header"/>
    <w:basedOn w:val="Normal"/>
    <w:autoRedefine/>
    <w:rsid w:val="00CA1368"/>
    <w:pPr>
      <w:tabs>
        <w:tab w:val="center" w:pos="4680"/>
        <w:tab w:val="right" w:pos="9360"/>
      </w:tabs>
    </w:pPr>
    <w:rPr>
      <w:b/>
    </w:rPr>
  </w:style>
  <w:style w:type="paragraph" w:styleId="Footer">
    <w:name w:val="footer"/>
    <w:basedOn w:val="Normal"/>
    <w:rsid w:val="00CA1368"/>
    <w:pPr>
      <w:tabs>
        <w:tab w:val="center" w:pos="4320"/>
        <w:tab w:val="right" w:pos="8640"/>
      </w:tabs>
    </w:pPr>
  </w:style>
  <w:style w:type="character" w:styleId="PageNumber">
    <w:name w:val="page number"/>
    <w:basedOn w:val="DefaultParagraphFont"/>
    <w:rsid w:val="00CA1368"/>
  </w:style>
  <w:style w:type="paragraph" w:styleId="BlockText">
    <w:name w:val="Block Text"/>
    <w:basedOn w:val="Normal"/>
    <w:rsid w:val="00CA1368"/>
    <w:pPr>
      <w:spacing w:after="240"/>
      <w:ind w:left="1440" w:right="1440"/>
    </w:pPr>
  </w:style>
  <w:style w:type="paragraph" w:customStyle="1" w:styleId="Paratitle">
    <w:name w:val="Para title"/>
    <w:basedOn w:val="Normal"/>
    <w:rsid w:val="00CA1368"/>
    <w:pPr>
      <w:tabs>
        <w:tab w:val="center" w:pos="9270"/>
      </w:tabs>
      <w:spacing w:after="240"/>
    </w:pPr>
    <w:rPr>
      <w:spacing w:val="-2"/>
    </w:rPr>
  </w:style>
  <w:style w:type="paragraph" w:customStyle="1" w:styleId="Bullet">
    <w:name w:val="Bullet"/>
    <w:basedOn w:val="Normal"/>
    <w:rsid w:val="00CA1368"/>
    <w:pPr>
      <w:tabs>
        <w:tab w:val="left" w:pos="2160"/>
      </w:tabs>
      <w:spacing w:after="220"/>
      <w:ind w:left="2160" w:hanging="720"/>
    </w:pPr>
  </w:style>
  <w:style w:type="paragraph" w:customStyle="1" w:styleId="TableFormat">
    <w:name w:val="TableFormat"/>
    <w:basedOn w:val="Bullet"/>
    <w:rsid w:val="00CA1368"/>
    <w:pPr>
      <w:tabs>
        <w:tab w:val="clear" w:pos="2160"/>
        <w:tab w:val="left" w:pos="5040"/>
      </w:tabs>
      <w:ind w:left="5040" w:hanging="3600"/>
    </w:pPr>
  </w:style>
  <w:style w:type="paragraph" w:customStyle="1" w:styleId="TOCTitle">
    <w:name w:val="TOC Title"/>
    <w:basedOn w:val="Normal"/>
    <w:rsid w:val="00CA13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1368"/>
    <w:pPr>
      <w:jc w:val="center"/>
    </w:pPr>
    <w:rPr>
      <w:rFonts w:ascii="Times New Roman Bold" w:hAnsi="Times New Roman Bold"/>
      <w:b/>
      <w:bCs/>
      <w:caps/>
      <w:szCs w:val="22"/>
    </w:rPr>
  </w:style>
  <w:style w:type="character" w:styleId="Hyperlink">
    <w:name w:val="Hyperlink"/>
    <w:rsid w:val="00CA136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napToGrid/>
      <w:sz w:val="16"/>
      <w:szCs w:val="16"/>
    </w:rPr>
  </w:style>
  <w:style w:type="character" w:customStyle="1" w:styleId="BalloonTextChar">
    <w:name w:val="Balloon Text Char"/>
    <w:link w:val="BalloonText"/>
    <w:rsid w:val="002B7FC6"/>
    <w:rPr>
      <w:rFonts w:ascii="Tahoma" w:hAnsi="Tahoma" w:cs="Tahoma"/>
      <w:snapToGrid w:val="0"/>
      <w:kern w:val="28"/>
      <w:sz w:val="16"/>
      <w:szCs w:val="16"/>
    </w:rPr>
  </w:style>
  <w:style w:type="character" w:styleId="CommentReference">
    <w:name w:val="annotation reference"/>
    <w:rsid w:val="008F3C4A"/>
    <w:rPr>
      <w:sz w:val="16"/>
      <w:szCs w:val="16"/>
    </w:rPr>
  </w:style>
  <w:style w:type="paragraph" w:styleId="CommentText">
    <w:name w:val="annotation text"/>
    <w:basedOn w:val="Normal"/>
    <w:link w:val="CommentTextChar"/>
    <w:rsid w:val="008F3C4A"/>
    <w:rPr>
      <w:snapToGrid/>
    </w:rPr>
  </w:style>
  <w:style w:type="character" w:customStyle="1" w:styleId="CommentTextChar">
    <w:name w:val="Comment Text Char"/>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rPr>
      <w:snapToGrid/>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uiPriority w:val="20"/>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ocked/>
    <w:rsid w:val="00A75276"/>
    <w:rPr>
      <w:lang w:val="en-US" w:eastAsia="en-US" w:bidi="ar-SA"/>
    </w:rPr>
  </w:style>
  <w:style w:type="character" w:customStyle="1" w:styleId="cosearchterm">
    <w:name w:val="co_searchterm"/>
    <w:basedOn w:val="DefaultParagraphFont"/>
    <w:rsid w:val="00FE6CCB"/>
  </w:style>
  <w:style w:type="character" w:customStyle="1" w:styleId="costarpage">
    <w:name w:val="co_starpage"/>
    <w:basedOn w:val="DefaultParagraphFont"/>
    <w:rsid w:val="00E2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L&amp;pubNum=1000547&amp;cite=47CFRS1.106&amp;originatingDoc=If1ad955c0d8e11e5b86bd602cb8781fa&amp;refType=RB&amp;originationContext=document&amp;transitionType=DocumentItem&amp;contextData=(sc.Search)" TargetMode="External"/><Relationship Id="rId2" Type="http://schemas.openxmlformats.org/officeDocument/2006/relationships/hyperlink" Target="https://a.next.westlaw.com/Link/Document/FullText?findType=Y&amp;serNum=2024540184&amp;pubNum=0004493&amp;originatingDoc=If1ad955c0d8e11e5b86bd602cb8781fa&amp;refType=CA&amp;fi=co_pp_sp_4493_1606&amp;originationContext=document&amp;transitionType=DocumentItem&amp;contextData=(sc.Search)" TargetMode="External"/><Relationship Id="rId1" Type="http://schemas.openxmlformats.org/officeDocument/2006/relationships/hyperlink" Target="https://a.next.westlaw.com/Link/Document/FullText?findType=L&amp;pubNum=1000547&amp;cite=47CFRS1.106&amp;originatingDoc=If1ad955c0d8e11e5b86bd602cb8781fa&amp;refType=RB&amp;originationContext=document&amp;transitionType=DocumentItem&amp;contextData=(sc.Search)" TargetMode="External"/><Relationship Id="rId5" Type="http://schemas.openxmlformats.org/officeDocument/2006/relationships/hyperlink" Target="https://a.next.westlaw.com/Link/Document/FullText?findType=Y&amp;serNum=2025591139&amp;pubNum=0004493&amp;originatingDoc=I495f07536b2611e28a21ccb9036b2470&amp;refType=CA&amp;originationContext=document&amp;transitionType=DocumentItem&amp;contextData=(sc.Search)" TargetMode="External"/><Relationship Id="rId4" Type="http://schemas.openxmlformats.org/officeDocument/2006/relationships/hyperlink" Target="https://a.next.westlaw.com/Link/Document/FullText?findType=L&amp;pubNum=1000547&amp;cite=47CFRS1.106&amp;originatingDoc=I495f07536b2611e28a21ccb9036b2470&amp;refType=RB&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1590</Words>
  <Characters>8689</Characters>
  <Application>Microsoft Office Word</Application>
  <DocSecurity>0</DocSecurity>
  <Lines>205</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2015-12-17T20:25:00Z</dcterms:created>
  <dcterms:modified xsi:type="dcterms:W3CDTF">2015-12-17T20:25:00Z</dcterms:modified>
  <cp:category> </cp:category>
  <cp:contentStatus> </cp:contentStatus>
</cp:coreProperties>
</file>