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D7E9B" w14:textId="77777777" w:rsidR="004C2EE3" w:rsidRPr="00193A4F" w:rsidRDefault="004C2EE3">
      <w:pPr>
        <w:jc w:val="center"/>
        <w:rPr>
          <w:b/>
          <w:szCs w:val="22"/>
        </w:rPr>
      </w:pPr>
      <w:bookmarkStart w:id="0" w:name="_GoBack"/>
      <w:bookmarkEnd w:id="0"/>
      <w:r w:rsidRPr="00193A4F">
        <w:rPr>
          <w:b/>
          <w:kern w:val="0"/>
          <w:szCs w:val="22"/>
        </w:rPr>
        <w:t>Before</w:t>
      </w:r>
      <w:r w:rsidRPr="00193A4F">
        <w:rPr>
          <w:b/>
          <w:szCs w:val="22"/>
        </w:rPr>
        <w:t xml:space="preserve"> the</w:t>
      </w:r>
    </w:p>
    <w:p w14:paraId="296ED607" w14:textId="77777777" w:rsidR="00921803" w:rsidRPr="00193A4F" w:rsidRDefault="00921803" w:rsidP="00921803">
      <w:pPr>
        <w:pStyle w:val="StyleBoldCentered"/>
        <w:rPr>
          <w:rFonts w:ascii="Times New Roman" w:hAnsi="Times New Roman"/>
        </w:rPr>
      </w:pPr>
      <w:r w:rsidRPr="00193A4F">
        <w:rPr>
          <w:rFonts w:ascii="Times New Roman" w:hAnsi="Times New Roman"/>
        </w:rPr>
        <w:t>F</w:t>
      </w:r>
      <w:r w:rsidRPr="00193A4F">
        <w:rPr>
          <w:rFonts w:ascii="Times New Roman" w:hAnsi="Times New Roman"/>
          <w:caps w:val="0"/>
        </w:rPr>
        <w:t>ederal Communications Commission</w:t>
      </w:r>
    </w:p>
    <w:p w14:paraId="1C159C98" w14:textId="182EE8E6" w:rsidR="004C2EE3" w:rsidRPr="00193A4F" w:rsidRDefault="00810B6F" w:rsidP="00096D8C">
      <w:pPr>
        <w:pStyle w:val="StyleBoldCentered"/>
        <w:rPr>
          <w:rFonts w:ascii="Times New Roman" w:hAnsi="Times New Roman"/>
        </w:rPr>
      </w:pPr>
      <w:r w:rsidRPr="00193A4F">
        <w:rPr>
          <w:rFonts w:ascii="Times New Roman" w:hAnsi="Times New Roman"/>
          <w:caps w:val="0"/>
        </w:rPr>
        <w:t>Washington, DC 20554</w:t>
      </w:r>
    </w:p>
    <w:p w14:paraId="042522BA" w14:textId="77777777" w:rsidR="004C2EE3" w:rsidRPr="00193A4F"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193A4F" w14:paraId="7C142B07" w14:textId="77777777">
        <w:tc>
          <w:tcPr>
            <w:tcW w:w="4698" w:type="dxa"/>
          </w:tcPr>
          <w:p w14:paraId="1FB1F331" w14:textId="77777777" w:rsidR="004C2EE3" w:rsidRPr="00193A4F" w:rsidRDefault="004C2EE3">
            <w:pPr>
              <w:tabs>
                <w:tab w:val="center" w:pos="4680"/>
              </w:tabs>
              <w:suppressAutoHyphens/>
              <w:rPr>
                <w:spacing w:val="-2"/>
                <w:szCs w:val="22"/>
              </w:rPr>
            </w:pPr>
            <w:r w:rsidRPr="00193A4F">
              <w:rPr>
                <w:spacing w:val="-2"/>
                <w:szCs w:val="22"/>
              </w:rPr>
              <w:t>In the Matter of</w:t>
            </w:r>
          </w:p>
          <w:p w14:paraId="08CB6C6E" w14:textId="77777777" w:rsidR="004C2EE3" w:rsidRPr="00193A4F" w:rsidRDefault="004C2EE3">
            <w:pPr>
              <w:tabs>
                <w:tab w:val="center" w:pos="4680"/>
              </w:tabs>
              <w:suppressAutoHyphens/>
              <w:rPr>
                <w:spacing w:val="-2"/>
                <w:szCs w:val="22"/>
              </w:rPr>
            </w:pPr>
          </w:p>
          <w:p w14:paraId="2F04AC91" w14:textId="77777777" w:rsidR="003120F6" w:rsidRPr="003120F6" w:rsidRDefault="003120F6" w:rsidP="003120F6">
            <w:pPr>
              <w:tabs>
                <w:tab w:val="center" w:pos="4680"/>
              </w:tabs>
              <w:suppressAutoHyphens/>
              <w:rPr>
                <w:szCs w:val="22"/>
              </w:rPr>
            </w:pPr>
            <w:r w:rsidRPr="003120F6">
              <w:rPr>
                <w:szCs w:val="22"/>
              </w:rPr>
              <w:t>Pacific Empire Radio Corporation</w:t>
            </w:r>
          </w:p>
          <w:p w14:paraId="615D1442" w14:textId="77777777" w:rsidR="003120F6" w:rsidRPr="003120F6" w:rsidRDefault="003120F6" w:rsidP="003120F6">
            <w:pPr>
              <w:tabs>
                <w:tab w:val="center" w:pos="4680"/>
              </w:tabs>
              <w:suppressAutoHyphens/>
              <w:rPr>
                <w:szCs w:val="22"/>
              </w:rPr>
            </w:pPr>
          </w:p>
          <w:p w14:paraId="4ADF2329" w14:textId="77777777" w:rsidR="003120F6" w:rsidRPr="003120F6" w:rsidRDefault="003120F6" w:rsidP="003120F6">
            <w:pPr>
              <w:tabs>
                <w:tab w:val="center" w:pos="4680"/>
              </w:tabs>
              <w:suppressAutoHyphens/>
              <w:rPr>
                <w:szCs w:val="22"/>
              </w:rPr>
            </w:pPr>
            <w:r w:rsidRPr="003120F6">
              <w:rPr>
                <w:szCs w:val="22"/>
              </w:rPr>
              <w:t>Licensee of:</w:t>
            </w:r>
          </w:p>
          <w:p w14:paraId="6D54A70C" w14:textId="77777777" w:rsidR="003120F6" w:rsidRPr="003120F6" w:rsidRDefault="003120F6" w:rsidP="003120F6">
            <w:pPr>
              <w:tabs>
                <w:tab w:val="center" w:pos="4680"/>
              </w:tabs>
              <w:suppressAutoHyphens/>
              <w:rPr>
                <w:szCs w:val="22"/>
              </w:rPr>
            </w:pPr>
            <w:r w:rsidRPr="003120F6">
              <w:rPr>
                <w:szCs w:val="22"/>
              </w:rPr>
              <w:t>Station KLBM, La Grande, Oregon</w:t>
            </w:r>
          </w:p>
          <w:p w14:paraId="63995851" w14:textId="77777777" w:rsidR="003120F6" w:rsidRPr="003120F6" w:rsidRDefault="003120F6" w:rsidP="003120F6">
            <w:pPr>
              <w:tabs>
                <w:tab w:val="center" w:pos="4680"/>
              </w:tabs>
              <w:suppressAutoHyphens/>
              <w:rPr>
                <w:szCs w:val="22"/>
              </w:rPr>
            </w:pPr>
            <w:r w:rsidRPr="003120F6">
              <w:rPr>
                <w:szCs w:val="22"/>
              </w:rPr>
              <w:t xml:space="preserve">Station KBKR, Baker, Oregon                                   </w:t>
            </w:r>
          </w:p>
          <w:p w14:paraId="0CDDF6EB" w14:textId="77777777" w:rsidR="003120F6" w:rsidRPr="003120F6" w:rsidRDefault="003120F6" w:rsidP="003120F6">
            <w:pPr>
              <w:tabs>
                <w:tab w:val="center" w:pos="4680"/>
              </w:tabs>
              <w:suppressAutoHyphens/>
              <w:rPr>
                <w:szCs w:val="22"/>
              </w:rPr>
            </w:pPr>
            <w:r w:rsidRPr="003120F6">
              <w:rPr>
                <w:szCs w:val="22"/>
              </w:rPr>
              <w:t>Station KUBQ, La Grande, Oregon</w:t>
            </w:r>
          </w:p>
          <w:p w14:paraId="3A564088" w14:textId="77777777" w:rsidR="003120F6" w:rsidRPr="003120F6" w:rsidRDefault="003120F6" w:rsidP="003120F6">
            <w:pPr>
              <w:tabs>
                <w:tab w:val="center" w:pos="4680"/>
              </w:tabs>
              <w:suppressAutoHyphens/>
              <w:rPr>
                <w:szCs w:val="22"/>
              </w:rPr>
            </w:pPr>
            <w:r w:rsidRPr="003120F6">
              <w:rPr>
                <w:szCs w:val="22"/>
              </w:rPr>
              <w:t>Station KKBC-FM, Baker, Oregon</w:t>
            </w:r>
          </w:p>
          <w:p w14:paraId="7F0B7254" w14:textId="7F5DCE5A" w:rsidR="004C2EE3" w:rsidRPr="00193A4F" w:rsidRDefault="003120F6" w:rsidP="003120F6">
            <w:pPr>
              <w:tabs>
                <w:tab w:val="center" w:pos="4680"/>
              </w:tabs>
              <w:suppressAutoHyphens/>
              <w:rPr>
                <w:spacing w:val="-2"/>
                <w:szCs w:val="22"/>
              </w:rPr>
            </w:pPr>
            <w:r w:rsidRPr="003120F6">
              <w:rPr>
                <w:szCs w:val="22"/>
              </w:rPr>
              <w:t xml:space="preserve">Station KRJT, Elgin, Oregon </w:t>
            </w:r>
            <w:r w:rsidR="002D0E6B" w:rsidRPr="00193A4F">
              <w:rPr>
                <w:szCs w:val="22"/>
              </w:rPr>
              <w:t xml:space="preserve"> </w:t>
            </w:r>
          </w:p>
        </w:tc>
        <w:tc>
          <w:tcPr>
            <w:tcW w:w="630" w:type="dxa"/>
          </w:tcPr>
          <w:p w14:paraId="752DED75" w14:textId="77777777" w:rsidR="004C2EE3" w:rsidRPr="00193A4F" w:rsidRDefault="004C2EE3">
            <w:pPr>
              <w:tabs>
                <w:tab w:val="center" w:pos="4680"/>
              </w:tabs>
              <w:suppressAutoHyphens/>
              <w:rPr>
                <w:b/>
                <w:spacing w:val="-2"/>
                <w:szCs w:val="22"/>
              </w:rPr>
            </w:pPr>
            <w:r w:rsidRPr="00193A4F">
              <w:rPr>
                <w:b/>
                <w:spacing w:val="-2"/>
                <w:szCs w:val="22"/>
              </w:rPr>
              <w:t>)</w:t>
            </w:r>
          </w:p>
          <w:p w14:paraId="7DFBA5C0" w14:textId="77777777" w:rsidR="004C2EE3" w:rsidRPr="002A6579" w:rsidRDefault="004C2EE3">
            <w:pPr>
              <w:tabs>
                <w:tab w:val="center" w:pos="4680"/>
              </w:tabs>
              <w:suppressAutoHyphens/>
              <w:rPr>
                <w:b/>
                <w:spacing w:val="-2"/>
                <w:szCs w:val="22"/>
              </w:rPr>
            </w:pPr>
            <w:r w:rsidRPr="00193A4F">
              <w:rPr>
                <w:b/>
                <w:spacing w:val="-2"/>
                <w:szCs w:val="22"/>
              </w:rPr>
              <w:t>)</w:t>
            </w:r>
          </w:p>
          <w:p w14:paraId="3A12A785" w14:textId="77777777" w:rsidR="004C2EE3" w:rsidRPr="002A6579" w:rsidRDefault="004C2EE3">
            <w:pPr>
              <w:tabs>
                <w:tab w:val="center" w:pos="4680"/>
              </w:tabs>
              <w:suppressAutoHyphens/>
              <w:rPr>
                <w:b/>
                <w:spacing w:val="-2"/>
                <w:szCs w:val="22"/>
              </w:rPr>
            </w:pPr>
            <w:r w:rsidRPr="00193A4F">
              <w:rPr>
                <w:b/>
                <w:spacing w:val="-2"/>
                <w:szCs w:val="22"/>
              </w:rPr>
              <w:t>)</w:t>
            </w:r>
          </w:p>
          <w:p w14:paraId="78B15B06" w14:textId="77777777" w:rsidR="004C2EE3" w:rsidRPr="002A6579" w:rsidRDefault="004C2EE3">
            <w:pPr>
              <w:tabs>
                <w:tab w:val="center" w:pos="4680"/>
              </w:tabs>
              <w:suppressAutoHyphens/>
              <w:rPr>
                <w:b/>
                <w:spacing w:val="-2"/>
                <w:szCs w:val="22"/>
              </w:rPr>
            </w:pPr>
            <w:r w:rsidRPr="00193A4F">
              <w:rPr>
                <w:b/>
                <w:spacing w:val="-2"/>
                <w:szCs w:val="22"/>
              </w:rPr>
              <w:t>)</w:t>
            </w:r>
          </w:p>
          <w:p w14:paraId="46FE00D9" w14:textId="77777777" w:rsidR="004C2EE3" w:rsidRPr="002A6579" w:rsidRDefault="004C2EE3" w:rsidP="002D0E6B">
            <w:pPr>
              <w:tabs>
                <w:tab w:val="center" w:pos="4680"/>
              </w:tabs>
              <w:suppressAutoHyphens/>
              <w:rPr>
                <w:b/>
                <w:spacing w:val="-2"/>
                <w:szCs w:val="22"/>
              </w:rPr>
            </w:pPr>
            <w:r w:rsidRPr="00193A4F">
              <w:rPr>
                <w:b/>
                <w:spacing w:val="-2"/>
                <w:szCs w:val="22"/>
              </w:rPr>
              <w:t>)</w:t>
            </w:r>
          </w:p>
          <w:p w14:paraId="19734E7D" w14:textId="77777777" w:rsidR="009B6595" w:rsidRPr="002A6579" w:rsidRDefault="009B6595" w:rsidP="002D0E6B">
            <w:pPr>
              <w:tabs>
                <w:tab w:val="center" w:pos="4680"/>
              </w:tabs>
              <w:suppressAutoHyphens/>
              <w:rPr>
                <w:b/>
                <w:spacing w:val="-2"/>
                <w:szCs w:val="22"/>
              </w:rPr>
            </w:pPr>
            <w:r w:rsidRPr="00193A4F">
              <w:rPr>
                <w:b/>
                <w:spacing w:val="-2"/>
                <w:szCs w:val="22"/>
              </w:rPr>
              <w:t>)</w:t>
            </w:r>
          </w:p>
          <w:p w14:paraId="069BC198" w14:textId="77777777" w:rsidR="009B6595" w:rsidRDefault="009B6595" w:rsidP="002D0E6B">
            <w:pPr>
              <w:tabs>
                <w:tab w:val="center" w:pos="4680"/>
              </w:tabs>
              <w:suppressAutoHyphens/>
              <w:rPr>
                <w:b/>
                <w:spacing w:val="-2"/>
                <w:szCs w:val="22"/>
              </w:rPr>
            </w:pPr>
            <w:r w:rsidRPr="00193A4F">
              <w:rPr>
                <w:b/>
                <w:spacing w:val="-2"/>
                <w:szCs w:val="22"/>
              </w:rPr>
              <w:t>)</w:t>
            </w:r>
          </w:p>
          <w:p w14:paraId="205E9AD8" w14:textId="77777777" w:rsidR="004874B1" w:rsidRDefault="004874B1" w:rsidP="002D0E6B">
            <w:pPr>
              <w:tabs>
                <w:tab w:val="center" w:pos="4680"/>
              </w:tabs>
              <w:suppressAutoHyphens/>
              <w:rPr>
                <w:b/>
                <w:spacing w:val="-2"/>
                <w:szCs w:val="22"/>
              </w:rPr>
            </w:pPr>
            <w:r>
              <w:rPr>
                <w:b/>
                <w:spacing w:val="-2"/>
                <w:szCs w:val="22"/>
              </w:rPr>
              <w:t>)</w:t>
            </w:r>
          </w:p>
          <w:p w14:paraId="5573710A" w14:textId="77777777" w:rsidR="004874B1" w:rsidRDefault="004874B1" w:rsidP="002D0E6B">
            <w:pPr>
              <w:tabs>
                <w:tab w:val="center" w:pos="4680"/>
              </w:tabs>
              <w:suppressAutoHyphens/>
              <w:rPr>
                <w:b/>
                <w:spacing w:val="-2"/>
                <w:szCs w:val="22"/>
              </w:rPr>
            </w:pPr>
            <w:r>
              <w:rPr>
                <w:b/>
                <w:spacing w:val="-2"/>
                <w:szCs w:val="22"/>
              </w:rPr>
              <w:t>)</w:t>
            </w:r>
          </w:p>
          <w:p w14:paraId="7796DA16" w14:textId="4EBCC705" w:rsidR="004874B1" w:rsidRPr="002A6579" w:rsidRDefault="004874B1" w:rsidP="002D0E6B">
            <w:pPr>
              <w:tabs>
                <w:tab w:val="center" w:pos="4680"/>
              </w:tabs>
              <w:suppressAutoHyphens/>
              <w:rPr>
                <w:spacing w:val="-2"/>
                <w:szCs w:val="22"/>
              </w:rPr>
            </w:pPr>
            <w:r>
              <w:rPr>
                <w:b/>
                <w:spacing w:val="-2"/>
                <w:szCs w:val="22"/>
              </w:rPr>
              <w:t>)</w:t>
            </w:r>
          </w:p>
        </w:tc>
        <w:tc>
          <w:tcPr>
            <w:tcW w:w="4248" w:type="dxa"/>
          </w:tcPr>
          <w:p w14:paraId="71398589" w14:textId="77777777" w:rsidR="009B6595" w:rsidRPr="002A6579" w:rsidRDefault="009B6595" w:rsidP="002D0E6B">
            <w:pPr>
              <w:widowControl/>
              <w:tabs>
                <w:tab w:val="center" w:pos="4680"/>
              </w:tabs>
              <w:suppressAutoHyphens/>
              <w:rPr>
                <w:szCs w:val="22"/>
              </w:rPr>
            </w:pPr>
          </w:p>
          <w:p w14:paraId="46C4C93D" w14:textId="77777777" w:rsidR="009B6595" w:rsidRPr="002A6579" w:rsidRDefault="009B6595" w:rsidP="002D0E6B">
            <w:pPr>
              <w:widowControl/>
              <w:tabs>
                <w:tab w:val="center" w:pos="4680"/>
              </w:tabs>
              <w:suppressAutoHyphens/>
              <w:rPr>
                <w:szCs w:val="22"/>
              </w:rPr>
            </w:pPr>
          </w:p>
          <w:p w14:paraId="5B9E161C" w14:textId="77777777" w:rsidR="004874B1" w:rsidRPr="004874B1" w:rsidRDefault="004874B1" w:rsidP="004874B1">
            <w:pPr>
              <w:widowControl/>
              <w:tabs>
                <w:tab w:val="center" w:pos="4680"/>
              </w:tabs>
              <w:suppressAutoHyphens/>
              <w:rPr>
                <w:szCs w:val="22"/>
              </w:rPr>
            </w:pPr>
            <w:r w:rsidRPr="004874B1">
              <w:rPr>
                <w:szCs w:val="22"/>
              </w:rPr>
              <w:t>File No.:  EB-FIELDWR-12-00002389</w:t>
            </w:r>
          </w:p>
          <w:p w14:paraId="5AC324E9" w14:textId="77777777" w:rsidR="004874B1" w:rsidRPr="004874B1" w:rsidRDefault="004874B1" w:rsidP="004874B1">
            <w:pPr>
              <w:widowControl/>
              <w:tabs>
                <w:tab w:val="center" w:pos="4680"/>
              </w:tabs>
              <w:suppressAutoHyphens/>
              <w:rPr>
                <w:szCs w:val="22"/>
              </w:rPr>
            </w:pPr>
            <w:r w:rsidRPr="004874B1">
              <w:rPr>
                <w:szCs w:val="22"/>
              </w:rPr>
              <w:t>NAL/Acct. No.:  201232920001</w:t>
            </w:r>
          </w:p>
          <w:p w14:paraId="0B6BD856" w14:textId="77777777" w:rsidR="004874B1" w:rsidRPr="004874B1" w:rsidRDefault="004874B1" w:rsidP="004874B1">
            <w:pPr>
              <w:widowControl/>
              <w:tabs>
                <w:tab w:val="center" w:pos="4680"/>
              </w:tabs>
              <w:suppressAutoHyphens/>
              <w:rPr>
                <w:szCs w:val="22"/>
              </w:rPr>
            </w:pPr>
            <w:r w:rsidRPr="004874B1">
              <w:rPr>
                <w:szCs w:val="22"/>
              </w:rPr>
              <w:t>FRN:  0006196612</w:t>
            </w:r>
          </w:p>
          <w:p w14:paraId="43571EFA" w14:textId="77777777" w:rsidR="004874B1" w:rsidRPr="004874B1" w:rsidRDefault="004874B1" w:rsidP="004874B1">
            <w:pPr>
              <w:widowControl/>
              <w:tabs>
                <w:tab w:val="center" w:pos="4680"/>
              </w:tabs>
              <w:suppressAutoHyphens/>
              <w:rPr>
                <w:szCs w:val="22"/>
              </w:rPr>
            </w:pPr>
            <w:r w:rsidRPr="004874B1">
              <w:rPr>
                <w:szCs w:val="22"/>
              </w:rPr>
              <w:t xml:space="preserve">Facility ID Nos.:  35047                 </w:t>
            </w:r>
          </w:p>
          <w:p w14:paraId="004C3E75" w14:textId="77777777" w:rsidR="004874B1" w:rsidRPr="004874B1" w:rsidRDefault="004874B1" w:rsidP="004874B1">
            <w:pPr>
              <w:widowControl/>
              <w:tabs>
                <w:tab w:val="center" w:pos="4680"/>
              </w:tabs>
              <w:suppressAutoHyphens/>
              <w:rPr>
                <w:szCs w:val="22"/>
              </w:rPr>
            </w:pPr>
            <w:r w:rsidRPr="004874B1">
              <w:rPr>
                <w:szCs w:val="22"/>
              </w:rPr>
              <w:t xml:space="preserve">                             24794</w:t>
            </w:r>
          </w:p>
          <w:p w14:paraId="0804B59F" w14:textId="77777777" w:rsidR="004874B1" w:rsidRPr="004874B1" w:rsidRDefault="004874B1" w:rsidP="004874B1">
            <w:pPr>
              <w:widowControl/>
              <w:tabs>
                <w:tab w:val="center" w:pos="4680"/>
              </w:tabs>
              <w:suppressAutoHyphens/>
              <w:rPr>
                <w:szCs w:val="22"/>
              </w:rPr>
            </w:pPr>
            <w:r w:rsidRPr="004874B1">
              <w:rPr>
                <w:szCs w:val="22"/>
              </w:rPr>
              <w:t xml:space="preserve">                             24796</w:t>
            </w:r>
          </w:p>
          <w:p w14:paraId="37B84132" w14:textId="77777777" w:rsidR="004874B1" w:rsidRPr="004874B1" w:rsidRDefault="004874B1" w:rsidP="004874B1">
            <w:pPr>
              <w:widowControl/>
              <w:tabs>
                <w:tab w:val="center" w:pos="4680"/>
              </w:tabs>
              <w:suppressAutoHyphens/>
              <w:rPr>
                <w:szCs w:val="22"/>
              </w:rPr>
            </w:pPr>
            <w:r w:rsidRPr="004874B1">
              <w:rPr>
                <w:szCs w:val="22"/>
              </w:rPr>
              <w:t xml:space="preserve">                             24795</w:t>
            </w:r>
          </w:p>
          <w:p w14:paraId="45EBA48A" w14:textId="3B2BEB79" w:rsidR="004C2EE3" w:rsidRPr="00193A4F" w:rsidRDefault="004874B1" w:rsidP="00F5477A">
            <w:pPr>
              <w:widowControl/>
              <w:tabs>
                <w:tab w:val="center" w:pos="4680"/>
              </w:tabs>
              <w:suppressAutoHyphens/>
              <w:rPr>
                <w:snapToGrid/>
                <w:spacing w:val="-2"/>
                <w:szCs w:val="22"/>
              </w:rPr>
            </w:pPr>
            <w:r w:rsidRPr="004874B1">
              <w:rPr>
                <w:szCs w:val="22"/>
              </w:rPr>
              <w:t xml:space="preserve">                             164224</w:t>
            </w:r>
          </w:p>
        </w:tc>
      </w:tr>
    </w:tbl>
    <w:p w14:paraId="2CC3B723" w14:textId="7A1816DC" w:rsidR="004C2EE3" w:rsidRPr="00193A4F" w:rsidRDefault="004C2EE3" w:rsidP="0070224F">
      <w:pPr>
        <w:rPr>
          <w:szCs w:val="22"/>
        </w:rPr>
      </w:pPr>
    </w:p>
    <w:p w14:paraId="6B557C79" w14:textId="77777777" w:rsidR="00841AB1" w:rsidRPr="00193A4F" w:rsidRDefault="00F9736C" w:rsidP="00F021FA">
      <w:pPr>
        <w:pStyle w:val="StyleBoldCentered"/>
        <w:rPr>
          <w:rFonts w:ascii="Times New Roman" w:hAnsi="Times New Roman"/>
        </w:rPr>
      </w:pPr>
      <w:r w:rsidRPr="00193A4F">
        <w:rPr>
          <w:rFonts w:ascii="Times New Roman" w:hAnsi="Times New Roman"/>
        </w:rPr>
        <w:t>MEMORANDUM OPINION AND ORDER</w:t>
      </w:r>
    </w:p>
    <w:p w14:paraId="49952817" w14:textId="77777777" w:rsidR="004C2EE3" w:rsidRPr="00193A4F" w:rsidRDefault="004C2EE3">
      <w:pPr>
        <w:tabs>
          <w:tab w:val="left" w:pos="-720"/>
        </w:tabs>
        <w:suppressAutoHyphens/>
        <w:spacing w:line="227" w:lineRule="auto"/>
        <w:rPr>
          <w:spacing w:val="-2"/>
          <w:szCs w:val="22"/>
        </w:rPr>
      </w:pPr>
    </w:p>
    <w:p w14:paraId="7A2FD70A" w14:textId="484C2C5A" w:rsidR="004C2EE3" w:rsidRPr="00193A4F" w:rsidRDefault="004C2EE3" w:rsidP="00133F79">
      <w:pPr>
        <w:tabs>
          <w:tab w:val="left" w:pos="720"/>
          <w:tab w:val="right" w:pos="9360"/>
        </w:tabs>
        <w:suppressAutoHyphens/>
        <w:spacing w:line="227" w:lineRule="auto"/>
        <w:rPr>
          <w:spacing w:val="-2"/>
          <w:szCs w:val="22"/>
        </w:rPr>
      </w:pPr>
      <w:r w:rsidRPr="00193A4F">
        <w:rPr>
          <w:b/>
          <w:spacing w:val="-2"/>
          <w:szCs w:val="22"/>
        </w:rPr>
        <w:t xml:space="preserve">Adopted:  </w:t>
      </w:r>
      <w:r w:rsidR="000F3142">
        <w:rPr>
          <w:b/>
          <w:szCs w:val="22"/>
        </w:rPr>
        <w:t>February 5, 2015</w:t>
      </w:r>
      <w:r w:rsidRPr="00193A4F">
        <w:rPr>
          <w:b/>
          <w:spacing w:val="-2"/>
          <w:szCs w:val="22"/>
        </w:rPr>
        <w:tab/>
      </w:r>
      <w:r w:rsidR="00822CE0" w:rsidRPr="00193A4F">
        <w:rPr>
          <w:b/>
          <w:spacing w:val="-2"/>
          <w:szCs w:val="22"/>
        </w:rPr>
        <w:t>Released</w:t>
      </w:r>
      <w:r w:rsidRPr="00193A4F">
        <w:rPr>
          <w:b/>
          <w:spacing w:val="-2"/>
          <w:szCs w:val="22"/>
        </w:rPr>
        <w:t>:</w:t>
      </w:r>
      <w:r w:rsidR="00822CE0" w:rsidRPr="00193A4F">
        <w:rPr>
          <w:b/>
          <w:spacing w:val="-2"/>
          <w:szCs w:val="22"/>
        </w:rPr>
        <w:t xml:space="preserve"> </w:t>
      </w:r>
      <w:r w:rsidRPr="00193A4F">
        <w:rPr>
          <w:b/>
          <w:spacing w:val="-2"/>
          <w:szCs w:val="22"/>
        </w:rPr>
        <w:t xml:space="preserve"> </w:t>
      </w:r>
      <w:r w:rsidR="000F3142">
        <w:rPr>
          <w:b/>
          <w:spacing w:val="-2"/>
          <w:szCs w:val="22"/>
        </w:rPr>
        <w:t>February 6, 2015</w:t>
      </w:r>
    </w:p>
    <w:p w14:paraId="18598EED" w14:textId="77777777" w:rsidR="00822CE0" w:rsidRPr="00193A4F" w:rsidRDefault="00822CE0">
      <w:pPr>
        <w:rPr>
          <w:szCs w:val="22"/>
        </w:rPr>
      </w:pPr>
    </w:p>
    <w:p w14:paraId="3ECCC9FA" w14:textId="28D2CB33" w:rsidR="004C2EE3" w:rsidRPr="00193A4F" w:rsidRDefault="004C2EE3">
      <w:pPr>
        <w:rPr>
          <w:spacing w:val="-2"/>
          <w:szCs w:val="22"/>
        </w:rPr>
      </w:pPr>
      <w:r w:rsidRPr="00193A4F">
        <w:rPr>
          <w:szCs w:val="22"/>
        </w:rPr>
        <w:t xml:space="preserve">By </w:t>
      </w:r>
      <w:r w:rsidR="004E4A22" w:rsidRPr="00193A4F">
        <w:rPr>
          <w:szCs w:val="22"/>
        </w:rPr>
        <w:t>the</w:t>
      </w:r>
      <w:r w:rsidR="002A2D2E" w:rsidRPr="00193A4F">
        <w:rPr>
          <w:szCs w:val="22"/>
        </w:rPr>
        <w:t xml:space="preserve"> </w:t>
      </w:r>
      <w:r w:rsidR="00D149BD">
        <w:rPr>
          <w:szCs w:val="22"/>
        </w:rPr>
        <w:t>Regional Director, Western Region</w:t>
      </w:r>
      <w:r w:rsidR="00160A7F" w:rsidRPr="00193A4F">
        <w:rPr>
          <w:szCs w:val="22"/>
        </w:rPr>
        <w:t>, Enforcement Bureau</w:t>
      </w:r>
      <w:r w:rsidRPr="00193A4F">
        <w:rPr>
          <w:spacing w:val="-2"/>
          <w:szCs w:val="22"/>
        </w:rPr>
        <w:t>:</w:t>
      </w:r>
    </w:p>
    <w:p w14:paraId="516D5848" w14:textId="77777777" w:rsidR="00350348" w:rsidRDefault="00350348">
      <w:pPr>
        <w:rPr>
          <w:spacing w:val="-2"/>
          <w:szCs w:val="22"/>
        </w:rPr>
      </w:pPr>
    </w:p>
    <w:p w14:paraId="3C0422E9" w14:textId="2F73CD06" w:rsidR="00297E69" w:rsidRPr="00514A52" w:rsidRDefault="00FD0D34" w:rsidP="00F7113A">
      <w:pPr>
        <w:pStyle w:val="ParaNum"/>
        <w:tabs>
          <w:tab w:val="clear" w:pos="1080"/>
        </w:tabs>
        <w:rPr>
          <w:szCs w:val="22"/>
        </w:rPr>
      </w:pPr>
      <w:r w:rsidRPr="00193A4F">
        <w:rPr>
          <w:szCs w:val="22"/>
        </w:rPr>
        <w:t xml:space="preserve">We deny the </w:t>
      </w:r>
      <w:r w:rsidR="0083291F" w:rsidRPr="00193A4F">
        <w:rPr>
          <w:szCs w:val="22"/>
        </w:rPr>
        <w:t>Petition for Reconsideration filed by</w:t>
      </w:r>
      <w:r w:rsidR="00E23583">
        <w:rPr>
          <w:szCs w:val="22"/>
        </w:rPr>
        <w:t xml:space="preserve"> </w:t>
      </w:r>
      <w:r w:rsidR="00E23583" w:rsidRPr="00E23583">
        <w:rPr>
          <w:szCs w:val="22"/>
        </w:rPr>
        <w:t>Pacific Empire Radio Corporation (Pacific Empire), licensee of Station KLBM, La Grande, Oregon</w:t>
      </w:r>
      <w:r w:rsidR="007D03AE">
        <w:rPr>
          <w:szCs w:val="22"/>
        </w:rPr>
        <w:t>;</w:t>
      </w:r>
      <w:r w:rsidR="00E23583" w:rsidRPr="00E23583">
        <w:rPr>
          <w:szCs w:val="22"/>
        </w:rPr>
        <w:t xml:space="preserve"> Station KBKR, Baker, Oregon</w:t>
      </w:r>
      <w:r w:rsidR="007D03AE">
        <w:rPr>
          <w:szCs w:val="22"/>
        </w:rPr>
        <w:t>;</w:t>
      </w:r>
      <w:r w:rsidR="00E23583" w:rsidRPr="00E23583">
        <w:rPr>
          <w:szCs w:val="22"/>
        </w:rPr>
        <w:t xml:space="preserve"> Station KUBQ, La Grande, Oregon</w:t>
      </w:r>
      <w:r w:rsidR="007D03AE">
        <w:rPr>
          <w:szCs w:val="22"/>
        </w:rPr>
        <w:t>;</w:t>
      </w:r>
      <w:r w:rsidR="00E23583" w:rsidRPr="00E23583">
        <w:rPr>
          <w:szCs w:val="22"/>
        </w:rPr>
        <w:t xml:space="preserve"> Station KKBC-FM, Baker, Oregon</w:t>
      </w:r>
      <w:r w:rsidR="007D03AE">
        <w:rPr>
          <w:szCs w:val="22"/>
        </w:rPr>
        <w:t>;</w:t>
      </w:r>
      <w:r w:rsidR="00E23583" w:rsidRPr="00E23583">
        <w:rPr>
          <w:szCs w:val="22"/>
        </w:rPr>
        <w:t xml:space="preserve"> and Station KRJT, Elgin, Oregon (collectively, the Stations)</w:t>
      </w:r>
      <w:r w:rsidR="00A15C2B">
        <w:rPr>
          <w:szCs w:val="22"/>
        </w:rPr>
        <w:t>,</w:t>
      </w:r>
      <w:r w:rsidR="0083291F" w:rsidRPr="00193A4F">
        <w:rPr>
          <w:szCs w:val="22"/>
        </w:rPr>
        <w:t xml:space="preserve"> seeking reconsideration of </w:t>
      </w:r>
      <w:r w:rsidR="00AA05B6">
        <w:rPr>
          <w:szCs w:val="22"/>
        </w:rPr>
        <w:t xml:space="preserve">the Forfeiture </w:t>
      </w:r>
      <w:r w:rsidR="0083291F" w:rsidRPr="002A6579">
        <w:rPr>
          <w:szCs w:val="22"/>
        </w:rPr>
        <w:t>Order</w:t>
      </w:r>
      <w:r w:rsidRPr="00193A4F">
        <w:rPr>
          <w:szCs w:val="22"/>
        </w:rPr>
        <w:t xml:space="preserve"> issued by the Enforcement Bureau</w:t>
      </w:r>
      <w:r w:rsidR="0010411F">
        <w:rPr>
          <w:szCs w:val="22"/>
        </w:rPr>
        <w:t xml:space="preserve"> (Bureau)</w:t>
      </w:r>
      <w:r w:rsidR="0083291F" w:rsidRPr="00193A4F">
        <w:rPr>
          <w:szCs w:val="22"/>
        </w:rPr>
        <w:t xml:space="preserve">.  In the </w:t>
      </w:r>
      <w:r w:rsidR="006C1DBE">
        <w:rPr>
          <w:szCs w:val="22"/>
        </w:rPr>
        <w:t xml:space="preserve">Forfeiture </w:t>
      </w:r>
      <w:r w:rsidR="0083291F" w:rsidRPr="002A6579">
        <w:rPr>
          <w:szCs w:val="22"/>
        </w:rPr>
        <w:t>Order</w:t>
      </w:r>
      <w:r w:rsidR="00000990" w:rsidRPr="00193A4F">
        <w:rPr>
          <w:szCs w:val="22"/>
        </w:rPr>
        <w:t>,</w:t>
      </w:r>
      <w:r w:rsidR="0083291F" w:rsidRPr="00193A4F">
        <w:rPr>
          <w:szCs w:val="22"/>
        </w:rPr>
        <w:t xml:space="preserve"> the </w:t>
      </w:r>
      <w:r w:rsidRPr="002A6579">
        <w:rPr>
          <w:szCs w:val="22"/>
        </w:rPr>
        <w:t>Bureau</w:t>
      </w:r>
      <w:r w:rsidR="0083291F" w:rsidRPr="00193A4F">
        <w:rPr>
          <w:szCs w:val="22"/>
        </w:rPr>
        <w:t xml:space="preserve"> </w:t>
      </w:r>
      <w:r w:rsidRPr="00193A4F">
        <w:rPr>
          <w:szCs w:val="22"/>
        </w:rPr>
        <w:t xml:space="preserve">imposed a forfeiture of </w:t>
      </w:r>
      <w:r w:rsidR="006C1DBE">
        <w:rPr>
          <w:szCs w:val="22"/>
        </w:rPr>
        <w:t xml:space="preserve">$25,000 </w:t>
      </w:r>
      <w:r w:rsidRPr="00193A4F">
        <w:rPr>
          <w:szCs w:val="22"/>
        </w:rPr>
        <w:t>against</w:t>
      </w:r>
      <w:r w:rsidR="0083291F" w:rsidRPr="00193A4F">
        <w:rPr>
          <w:szCs w:val="22"/>
        </w:rPr>
        <w:t xml:space="preserve"> </w:t>
      </w:r>
      <w:r w:rsidR="004F1DB8" w:rsidRPr="004F1DB8">
        <w:rPr>
          <w:szCs w:val="22"/>
        </w:rPr>
        <w:t xml:space="preserve">Pacific Empire </w:t>
      </w:r>
      <w:r w:rsidR="004F1DB8">
        <w:rPr>
          <w:szCs w:val="22"/>
        </w:rPr>
        <w:t xml:space="preserve">for willfully and repeatedly </w:t>
      </w:r>
      <w:r w:rsidR="004F1DB8" w:rsidRPr="004F1DB8">
        <w:rPr>
          <w:szCs w:val="22"/>
        </w:rPr>
        <w:t>violat</w:t>
      </w:r>
      <w:r w:rsidR="004F1DB8">
        <w:rPr>
          <w:szCs w:val="22"/>
        </w:rPr>
        <w:t>ing</w:t>
      </w:r>
      <w:r w:rsidR="004F1DB8" w:rsidRPr="004F1DB8">
        <w:rPr>
          <w:szCs w:val="22"/>
        </w:rPr>
        <w:t xml:space="preserve"> Section 73.3526 of the Commission’s rules (Rules) by failing to retain multiple issues and programs lists in the local public inspection file for each of the Stations.  </w:t>
      </w:r>
    </w:p>
    <w:p w14:paraId="7D757C21" w14:textId="1A9BFF96" w:rsidR="00FF23D1" w:rsidRPr="00514A52" w:rsidRDefault="00ED1381" w:rsidP="00514A52">
      <w:pPr>
        <w:pStyle w:val="ParaNum"/>
        <w:tabs>
          <w:tab w:val="clear" w:pos="1080"/>
        </w:tabs>
        <w:rPr>
          <w:szCs w:val="22"/>
        </w:rPr>
      </w:pPr>
      <w:r>
        <w:rPr>
          <w:szCs w:val="22"/>
        </w:rPr>
        <w:t>Upon review of the Petition for Reconsideration</w:t>
      </w:r>
      <w:r w:rsidRPr="00ED1381">
        <w:rPr>
          <w:szCs w:val="22"/>
          <w:vertAlign w:val="superscript"/>
        </w:rPr>
        <w:footnoteReference w:id="2"/>
      </w:r>
      <w:r>
        <w:rPr>
          <w:szCs w:val="22"/>
        </w:rPr>
        <w:t xml:space="preserve"> and the entire record,</w:t>
      </w:r>
      <w:r w:rsidR="00FF23D1" w:rsidRPr="00ED1381">
        <w:rPr>
          <w:szCs w:val="22"/>
          <w:vertAlign w:val="superscript"/>
        </w:rPr>
        <w:footnoteReference w:id="3"/>
      </w:r>
      <w:r>
        <w:rPr>
          <w:szCs w:val="22"/>
        </w:rPr>
        <w:t xml:space="preserve"> we find no basis for reconsideration.  </w:t>
      </w:r>
      <w:r w:rsidR="00297E69" w:rsidRPr="00514A52">
        <w:rPr>
          <w:szCs w:val="22"/>
        </w:rPr>
        <w:t xml:space="preserve">Petitions for Reconsideration are granted only in limited circumstances.  </w:t>
      </w:r>
      <w:r w:rsidR="00FF23D1" w:rsidRPr="00514A52">
        <w:rPr>
          <w:szCs w:val="22"/>
        </w:rPr>
        <w:t>Pursuant to Section 405 of the Communications Act of 1934, as amended (Act),</w:t>
      </w:r>
      <w:r w:rsidR="00FF23D1" w:rsidRPr="00297E69">
        <w:rPr>
          <w:szCs w:val="22"/>
          <w:vertAlign w:val="superscript"/>
        </w:rPr>
        <w:footnoteReference w:id="4"/>
      </w:r>
      <w:r w:rsidR="00FF23D1" w:rsidRPr="00514A52">
        <w:rPr>
          <w:szCs w:val="22"/>
        </w:rPr>
        <w:t xml:space="preserve"> and Section 1.106 of the Rules,</w:t>
      </w:r>
      <w:r w:rsidR="00FF23D1" w:rsidRPr="00297E69">
        <w:rPr>
          <w:szCs w:val="22"/>
          <w:vertAlign w:val="superscript"/>
        </w:rPr>
        <w:footnoteReference w:id="5"/>
      </w:r>
      <w:r w:rsidR="00FF23D1" w:rsidRPr="00514A52">
        <w:rPr>
          <w:szCs w:val="22"/>
        </w:rPr>
        <w:t xml:space="preserve"> r</w:t>
      </w:r>
      <w:r w:rsidR="00297E69" w:rsidRPr="00514A52">
        <w:rPr>
          <w:szCs w:val="22"/>
        </w:rPr>
        <w:t>econsideration is appropriate only where the petitioner either demonstrates a material error or omission in the underlying order, or raises additional facts not known or not existing until after the petitioner’s last opportunity to present such matters.</w:t>
      </w:r>
      <w:r w:rsidR="00297E69" w:rsidRPr="00297E69">
        <w:rPr>
          <w:szCs w:val="22"/>
          <w:vertAlign w:val="superscript"/>
        </w:rPr>
        <w:footnoteReference w:id="6"/>
      </w:r>
      <w:r w:rsidR="00297E69" w:rsidRPr="00514A52">
        <w:rPr>
          <w:szCs w:val="22"/>
        </w:rPr>
        <w:t xml:space="preserve">  A Petition for Reconsideration that reiterates arguments that were previously considered and rejected will be denied.</w:t>
      </w:r>
      <w:r w:rsidR="00297E69" w:rsidRPr="00297E69">
        <w:rPr>
          <w:szCs w:val="22"/>
          <w:vertAlign w:val="superscript"/>
        </w:rPr>
        <w:footnoteReference w:id="7"/>
      </w:r>
      <w:r w:rsidR="00297E69" w:rsidRPr="00514A52">
        <w:rPr>
          <w:szCs w:val="22"/>
        </w:rPr>
        <w:t xml:space="preserve">  </w:t>
      </w:r>
      <w:r w:rsidR="00FF23D1" w:rsidRPr="00514A52">
        <w:rPr>
          <w:szCs w:val="22"/>
        </w:rPr>
        <w:t>Pacific Empire</w:t>
      </w:r>
      <w:r w:rsidR="00630A5A" w:rsidRPr="00514A52">
        <w:rPr>
          <w:szCs w:val="22"/>
        </w:rPr>
        <w:t>’s</w:t>
      </w:r>
      <w:r w:rsidR="00FF23D1" w:rsidRPr="00514A52">
        <w:rPr>
          <w:szCs w:val="22"/>
        </w:rPr>
        <w:t xml:space="preserve"> Petition fails to present such </w:t>
      </w:r>
      <w:r w:rsidR="00FF23D1" w:rsidRPr="00514A52">
        <w:rPr>
          <w:szCs w:val="22"/>
        </w:rPr>
        <w:lastRenderedPageBreak/>
        <w:t xml:space="preserve">information warranting reconsideration.  </w:t>
      </w:r>
    </w:p>
    <w:p w14:paraId="67590A20" w14:textId="50ED8214" w:rsidR="00DE47E2" w:rsidRDefault="00FF23D1" w:rsidP="001302CF">
      <w:pPr>
        <w:pStyle w:val="ParaNum"/>
        <w:tabs>
          <w:tab w:val="clear" w:pos="1080"/>
        </w:tabs>
        <w:rPr>
          <w:szCs w:val="22"/>
        </w:rPr>
      </w:pPr>
      <w:r>
        <w:rPr>
          <w:szCs w:val="22"/>
        </w:rPr>
        <w:t xml:space="preserve">Pacific Empire </w:t>
      </w:r>
      <w:r w:rsidRPr="00CE2150">
        <w:rPr>
          <w:szCs w:val="22"/>
        </w:rPr>
        <w:t>does not dispute the violations</w:t>
      </w:r>
      <w:r w:rsidR="00630A5A">
        <w:rPr>
          <w:szCs w:val="22"/>
        </w:rPr>
        <w:t>,</w:t>
      </w:r>
      <w:r w:rsidRPr="00CE2150">
        <w:rPr>
          <w:szCs w:val="22"/>
        </w:rPr>
        <w:t xml:space="preserve"> but </w:t>
      </w:r>
      <w:r w:rsidR="00CB1F25">
        <w:rPr>
          <w:szCs w:val="22"/>
        </w:rPr>
        <w:t>only</w:t>
      </w:r>
      <w:r w:rsidR="00630A5A">
        <w:rPr>
          <w:szCs w:val="22"/>
        </w:rPr>
        <w:t xml:space="preserve"> </w:t>
      </w:r>
      <w:r w:rsidR="00961CEC">
        <w:rPr>
          <w:szCs w:val="22"/>
        </w:rPr>
        <w:t>reiterates</w:t>
      </w:r>
      <w:r w:rsidRPr="00CE2150">
        <w:rPr>
          <w:szCs w:val="22"/>
        </w:rPr>
        <w:t xml:space="preserve"> </w:t>
      </w:r>
      <w:r>
        <w:rPr>
          <w:szCs w:val="22"/>
        </w:rPr>
        <w:t xml:space="preserve">the same </w:t>
      </w:r>
      <w:r w:rsidR="00630A5A">
        <w:rPr>
          <w:szCs w:val="22"/>
        </w:rPr>
        <w:t xml:space="preserve">arguments it presented previously: </w:t>
      </w:r>
      <w:r w:rsidR="007D03AE">
        <w:rPr>
          <w:szCs w:val="22"/>
        </w:rPr>
        <w:t xml:space="preserve"> </w:t>
      </w:r>
      <w:r w:rsidRPr="00CE2150">
        <w:rPr>
          <w:szCs w:val="22"/>
        </w:rPr>
        <w:t xml:space="preserve">that the Commission </w:t>
      </w:r>
      <w:r w:rsidR="00AB3611">
        <w:rPr>
          <w:szCs w:val="22"/>
        </w:rPr>
        <w:t xml:space="preserve">cannot assess fines against small broadcast licensees because the Commission </w:t>
      </w:r>
      <w:r w:rsidR="00630A5A">
        <w:rPr>
          <w:szCs w:val="22"/>
        </w:rPr>
        <w:t xml:space="preserve">allegedly </w:t>
      </w:r>
      <w:r w:rsidRPr="00CE2150">
        <w:rPr>
          <w:szCs w:val="22"/>
        </w:rPr>
        <w:t>never complied with the requirements of the Small Business Regulatory Enforcement Fairness Act of 1996</w:t>
      </w:r>
      <w:r w:rsidR="00CB1F25" w:rsidRPr="00ED1381">
        <w:rPr>
          <w:szCs w:val="22"/>
          <w:vertAlign w:val="superscript"/>
        </w:rPr>
        <w:footnoteReference w:id="8"/>
      </w:r>
      <w:r w:rsidRPr="00CE2150">
        <w:rPr>
          <w:szCs w:val="22"/>
        </w:rPr>
        <w:t xml:space="preserve"> (SBREFA)</w:t>
      </w:r>
      <w:r w:rsidR="00CB1F25">
        <w:rPr>
          <w:szCs w:val="22"/>
        </w:rPr>
        <w:t>;</w:t>
      </w:r>
      <w:r w:rsidR="00CB1F25" w:rsidRPr="00ED1381">
        <w:rPr>
          <w:szCs w:val="22"/>
          <w:vertAlign w:val="superscript"/>
        </w:rPr>
        <w:footnoteReference w:id="9"/>
      </w:r>
      <w:r w:rsidR="00CB1F25" w:rsidRPr="00CE2150">
        <w:rPr>
          <w:szCs w:val="22"/>
        </w:rPr>
        <w:t xml:space="preserve"> </w:t>
      </w:r>
      <w:r w:rsidR="00AB3611">
        <w:rPr>
          <w:szCs w:val="22"/>
        </w:rPr>
        <w:t>that</w:t>
      </w:r>
      <w:r w:rsidR="00630A5A">
        <w:rPr>
          <w:szCs w:val="22"/>
        </w:rPr>
        <w:t xml:space="preserve"> </w:t>
      </w:r>
      <w:r w:rsidR="00AB3611">
        <w:rPr>
          <w:szCs w:val="22"/>
        </w:rPr>
        <w:t>the public file rules are so outdated and irrelevant that assessing fines for violating them is excessive;</w:t>
      </w:r>
      <w:r w:rsidR="00CB1F25" w:rsidRPr="00ED1381">
        <w:rPr>
          <w:szCs w:val="22"/>
          <w:vertAlign w:val="superscript"/>
        </w:rPr>
        <w:footnoteReference w:id="10"/>
      </w:r>
      <w:r w:rsidR="00AB3611">
        <w:rPr>
          <w:szCs w:val="22"/>
        </w:rPr>
        <w:t xml:space="preserve"> and that the amount assessed is inconsistent with precedent</w:t>
      </w:r>
      <w:r w:rsidR="00630A5A">
        <w:rPr>
          <w:szCs w:val="22"/>
        </w:rPr>
        <w:t>.</w:t>
      </w:r>
      <w:r w:rsidR="00CB1F25" w:rsidRPr="00ED1381">
        <w:rPr>
          <w:szCs w:val="22"/>
          <w:vertAlign w:val="superscript"/>
        </w:rPr>
        <w:footnoteReference w:id="11"/>
      </w:r>
      <w:r w:rsidRPr="00CE2150">
        <w:rPr>
          <w:szCs w:val="22"/>
        </w:rPr>
        <w:t xml:space="preserve"> </w:t>
      </w:r>
      <w:r w:rsidR="00630A5A">
        <w:rPr>
          <w:szCs w:val="22"/>
        </w:rPr>
        <w:t xml:space="preserve"> The Bureau addressed and </w:t>
      </w:r>
      <w:r w:rsidR="00983723">
        <w:rPr>
          <w:szCs w:val="22"/>
        </w:rPr>
        <w:t xml:space="preserve">properly </w:t>
      </w:r>
      <w:r w:rsidR="00630A5A">
        <w:rPr>
          <w:szCs w:val="22"/>
        </w:rPr>
        <w:t xml:space="preserve">decided each of these arguments in the Forfeiture Order.  </w:t>
      </w:r>
      <w:r w:rsidR="008F5B45" w:rsidRPr="00514A52">
        <w:rPr>
          <w:szCs w:val="22"/>
        </w:rPr>
        <w:t>There is</w:t>
      </w:r>
      <w:r w:rsidR="00297E69" w:rsidRPr="00514A52">
        <w:rPr>
          <w:szCs w:val="22"/>
        </w:rPr>
        <w:t xml:space="preserve"> </w:t>
      </w:r>
      <w:r w:rsidR="00983723" w:rsidRPr="00514A52">
        <w:rPr>
          <w:szCs w:val="22"/>
        </w:rPr>
        <w:t xml:space="preserve">absolutely </w:t>
      </w:r>
      <w:r w:rsidR="00297E69" w:rsidRPr="00514A52">
        <w:rPr>
          <w:szCs w:val="22"/>
        </w:rPr>
        <w:t xml:space="preserve">no merit </w:t>
      </w:r>
      <w:r w:rsidR="008F5B45" w:rsidRPr="00514A52">
        <w:rPr>
          <w:szCs w:val="22"/>
        </w:rPr>
        <w:t>to</w:t>
      </w:r>
      <w:r w:rsidR="00297E69" w:rsidRPr="00514A52">
        <w:rPr>
          <w:szCs w:val="22"/>
        </w:rPr>
        <w:t xml:space="preserve"> Pacific Empire’s </w:t>
      </w:r>
      <w:r w:rsidR="00961CEC" w:rsidRPr="00514A52">
        <w:rPr>
          <w:szCs w:val="22"/>
        </w:rPr>
        <w:t xml:space="preserve">reiterated </w:t>
      </w:r>
      <w:r w:rsidR="00297E69" w:rsidRPr="00514A52">
        <w:rPr>
          <w:szCs w:val="22"/>
        </w:rPr>
        <w:t xml:space="preserve">argument that the Commission </w:t>
      </w:r>
      <w:r w:rsidR="00983723" w:rsidRPr="00514A52">
        <w:rPr>
          <w:szCs w:val="22"/>
        </w:rPr>
        <w:t>lacks jurisdiction to impose forfeitures against small broadcast licensees.</w:t>
      </w:r>
      <w:r w:rsidR="00297E69" w:rsidRPr="00514A52">
        <w:rPr>
          <w:szCs w:val="22"/>
        </w:rPr>
        <w:t xml:space="preserve">  As explained in the Forfeiture Order, </w:t>
      </w:r>
      <w:r w:rsidR="008F5B45" w:rsidRPr="00514A52">
        <w:rPr>
          <w:szCs w:val="22"/>
        </w:rPr>
        <w:t xml:space="preserve">and recently affirmed by </w:t>
      </w:r>
      <w:r w:rsidR="00297E69" w:rsidRPr="00514A52">
        <w:rPr>
          <w:szCs w:val="22"/>
        </w:rPr>
        <w:t>the Commission</w:t>
      </w:r>
      <w:r w:rsidR="008F5B45" w:rsidRPr="00514A52">
        <w:rPr>
          <w:szCs w:val="22"/>
        </w:rPr>
        <w:t>,</w:t>
      </w:r>
      <w:r w:rsidR="008F5B45" w:rsidRPr="00297E69">
        <w:rPr>
          <w:szCs w:val="22"/>
          <w:vertAlign w:val="superscript"/>
        </w:rPr>
        <w:footnoteReference w:id="12"/>
      </w:r>
      <w:r w:rsidR="008F5B45" w:rsidRPr="00514A52">
        <w:rPr>
          <w:szCs w:val="22"/>
        </w:rPr>
        <w:t xml:space="preserve"> the forfeiture assess</w:t>
      </w:r>
      <w:r w:rsidR="00514A52">
        <w:rPr>
          <w:szCs w:val="22"/>
        </w:rPr>
        <w:t>ment policies of the Commission</w:t>
      </w:r>
      <w:r w:rsidR="00297E69" w:rsidRPr="00514A52">
        <w:rPr>
          <w:szCs w:val="22"/>
        </w:rPr>
        <w:t xml:space="preserve"> as detailed in the </w:t>
      </w:r>
      <w:r w:rsidR="00297E69" w:rsidRPr="00514A52">
        <w:rPr>
          <w:i/>
          <w:szCs w:val="22"/>
        </w:rPr>
        <w:t>Forfeiture Policy Statement</w:t>
      </w:r>
      <w:r w:rsidR="00297E69" w:rsidRPr="00514A52">
        <w:rPr>
          <w:szCs w:val="22"/>
        </w:rPr>
        <w:t xml:space="preserve"> comply with the SBREFA.</w:t>
      </w:r>
      <w:r w:rsidR="001302CF" w:rsidRPr="00297E69">
        <w:rPr>
          <w:szCs w:val="22"/>
          <w:vertAlign w:val="superscript"/>
        </w:rPr>
        <w:footnoteReference w:id="13"/>
      </w:r>
    </w:p>
    <w:p w14:paraId="477D49DD" w14:textId="14BA2B50" w:rsidR="00297E69" w:rsidRPr="001302CF" w:rsidRDefault="00DE47E2" w:rsidP="001302CF">
      <w:pPr>
        <w:pStyle w:val="ParaNum"/>
        <w:tabs>
          <w:tab w:val="clear" w:pos="1080"/>
        </w:tabs>
        <w:rPr>
          <w:szCs w:val="22"/>
        </w:rPr>
      </w:pPr>
      <w:r>
        <w:rPr>
          <w:szCs w:val="22"/>
        </w:rPr>
        <w:t>T</w:t>
      </w:r>
      <w:r w:rsidR="008F5B45" w:rsidRPr="00514A52">
        <w:rPr>
          <w:szCs w:val="22"/>
        </w:rPr>
        <w:t>here is</w:t>
      </w:r>
      <w:r w:rsidR="00C02590">
        <w:rPr>
          <w:szCs w:val="22"/>
        </w:rPr>
        <w:t xml:space="preserve"> also</w:t>
      </w:r>
      <w:r w:rsidR="008F5B45" w:rsidRPr="00514A52">
        <w:rPr>
          <w:szCs w:val="22"/>
        </w:rPr>
        <w:t xml:space="preserve"> no merit to Pacific Empire’s argument that the Bureau did not give reasoned consideration to its </w:t>
      </w:r>
      <w:r w:rsidR="00983723" w:rsidRPr="00514A52">
        <w:rPr>
          <w:szCs w:val="22"/>
        </w:rPr>
        <w:t>argument</w:t>
      </w:r>
      <w:r w:rsidR="0098587B" w:rsidRPr="00514A52">
        <w:rPr>
          <w:szCs w:val="22"/>
        </w:rPr>
        <w:t xml:space="preserve"> that fines should not be assessed for public file violations because the public file rules serve no useful purpose.</w:t>
      </w:r>
      <w:r w:rsidR="0098587B" w:rsidRPr="00297E69">
        <w:rPr>
          <w:szCs w:val="22"/>
          <w:vertAlign w:val="superscript"/>
        </w:rPr>
        <w:footnoteReference w:id="14"/>
      </w:r>
      <w:r w:rsidR="0098587B" w:rsidRPr="00514A52">
        <w:rPr>
          <w:szCs w:val="22"/>
        </w:rPr>
        <w:t xml:space="preserve">  As noted in the Forfeiture Order, the Commission and its Bureaus have consistently assessed fines for violations of the public file rule</w:t>
      </w:r>
      <w:r w:rsidR="00C02590">
        <w:rPr>
          <w:szCs w:val="22"/>
        </w:rPr>
        <w:t>s</w:t>
      </w:r>
      <w:r w:rsidR="0098587B" w:rsidRPr="00514A52">
        <w:rPr>
          <w:szCs w:val="22"/>
        </w:rPr>
        <w:t>, and</w:t>
      </w:r>
      <w:r w:rsidR="00C02590">
        <w:rPr>
          <w:szCs w:val="22"/>
        </w:rPr>
        <w:t>,</w:t>
      </w:r>
      <w:r w:rsidR="0098587B" w:rsidRPr="00514A52">
        <w:rPr>
          <w:szCs w:val="22"/>
        </w:rPr>
        <w:t xml:space="preserve"> indeed</w:t>
      </w:r>
      <w:r w:rsidR="00C02590">
        <w:rPr>
          <w:szCs w:val="22"/>
        </w:rPr>
        <w:t>,</w:t>
      </w:r>
      <w:r w:rsidR="0098587B" w:rsidRPr="00514A52">
        <w:rPr>
          <w:szCs w:val="22"/>
        </w:rPr>
        <w:t xml:space="preserve"> the Commission recently affirmed the importance of the public file rules when it required the online posting of television broadcast li</w:t>
      </w:r>
      <w:r w:rsidR="00514A52">
        <w:rPr>
          <w:szCs w:val="22"/>
        </w:rPr>
        <w:t>censees’ public files</w:t>
      </w:r>
      <w:r w:rsidR="0098587B" w:rsidRPr="00514A52">
        <w:rPr>
          <w:szCs w:val="22"/>
        </w:rPr>
        <w:t xml:space="preserve"> to ensure greater access by the public,</w:t>
      </w:r>
      <w:r w:rsidR="0098587B" w:rsidRPr="00297E69">
        <w:rPr>
          <w:szCs w:val="22"/>
          <w:vertAlign w:val="superscript"/>
        </w:rPr>
        <w:footnoteReference w:id="15"/>
      </w:r>
      <w:r w:rsidR="0098587B" w:rsidRPr="00514A52">
        <w:rPr>
          <w:szCs w:val="22"/>
        </w:rPr>
        <w:t xml:space="preserve"> and then proposed to extend that requirement to </w:t>
      </w:r>
      <w:r w:rsidR="00514A52">
        <w:rPr>
          <w:szCs w:val="22"/>
        </w:rPr>
        <w:t xml:space="preserve">broadcast radio licensees, </w:t>
      </w:r>
      <w:r w:rsidR="0098587B" w:rsidRPr="00514A52">
        <w:rPr>
          <w:szCs w:val="22"/>
        </w:rPr>
        <w:t>cable and satellite TV operators</w:t>
      </w:r>
      <w:r w:rsidR="007D03AE">
        <w:rPr>
          <w:szCs w:val="22"/>
        </w:rPr>
        <w:t>,</w:t>
      </w:r>
      <w:r w:rsidR="0098587B" w:rsidRPr="00514A52">
        <w:rPr>
          <w:szCs w:val="22"/>
        </w:rPr>
        <w:t xml:space="preserve"> and satellite radio licensees.</w:t>
      </w:r>
      <w:r w:rsidR="0098587B" w:rsidRPr="00297E69">
        <w:rPr>
          <w:szCs w:val="22"/>
          <w:vertAlign w:val="superscript"/>
        </w:rPr>
        <w:footnoteReference w:id="16"/>
      </w:r>
      <w:r w:rsidR="00642356" w:rsidRPr="00514A52">
        <w:rPr>
          <w:szCs w:val="22"/>
        </w:rPr>
        <w:t xml:space="preserve">  </w:t>
      </w:r>
      <w:r w:rsidR="00297E69" w:rsidRPr="001302CF">
        <w:rPr>
          <w:szCs w:val="22"/>
        </w:rPr>
        <w:t xml:space="preserve">The Forfeiture Order </w:t>
      </w:r>
      <w:r w:rsidR="00642356" w:rsidRPr="001302CF">
        <w:rPr>
          <w:szCs w:val="22"/>
        </w:rPr>
        <w:t xml:space="preserve">also </w:t>
      </w:r>
      <w:r w:rsidR="00297E69" w:rsidRPr="001302CF">
        <w:rPr>
          <w:szCs w:val="22"/>
        </w:rPr>
        <w:t xml:space="preserve">details the reasons for the </w:t>
      </w:r>
      <w:r w:rsidR="00642356" w:rsidRPr="001302CF">
        <w:rPr>
          <w:szCs w:val="22"/>
        </w:rPr>
        <w:t xml:space="preserve">amount of the </w:t>
      </w:r>
      <w:r w:rsidR="00297E69" w:rsidRPr="001302CF">
        <w:rPr>
          <w:szCs w:val="22"/>
        </w:rPr>
        <w:t xml:space="preserve">forfeiture and explains how the forfeiture: 1) complies with the </w:t>
      </w:r>
      <w:r w:rsidR="00297E69" w:rsidRPr="001302CF">
        <w:rPr>
          <w:i/>
          <w:szCs w:val="22"/>
        </w:rPr>
        <w:t>Forfeiture Policy Statement</w:t>
      </w:r>
      <w:r w:rsidR="00297E69" w:rsidRPr="001302CF">
        <w:rPr>
          <w:szCs w:val="22"/>
        </w:rPr>
        <w:t xml:space="preserve"> as well as the Act and the Rules;</w:t>
      </w:r>
      <w:r w:rsidR="00297E69" w:rsidRPr="00297E69">
        <w:rPr>
          <w:szCs w:val="22"/>
          <w:vertAlign w:val="superscript"/>
        </w:rPr>
        <w:footnoteReference w:id="17"/>
      </w:r>
      <w:r w:rsidR="00297E69" w:rsidRPr="001302CF">
        <w:rPr>
          <w:szCs w:val="22"/>
        </w:rPr>
        <w:t xml:space="preserve"> 2) differs from cases cited by Pacific Empire;</w:t>
      </w:r>
      <w:r w:rsidR="00297E69" w:rsidRPr="00297E69">
        <w:rPr>
          <w:szCs w:val="22"/>
          <w:vertAlign w:val="superscript"/>
        </w:rPr>
        <w:footnoteReference w:id="18"/>
      </w:r>
      <w:r w:rsidR="00297E69" w:rsidRPr="001302CF">
        <w:rPr>
          <w:szCs w:val="22"/>
        </w:rPr>
        <w:t xml:space="preserve"> and 3) is consistent with recent precedent.</w:t>
      </w:r>
      <w:r w:rsidR="00297E69" w:rsidRPr="00297E69">
        <w:rPr>
          <w:szCs w:val="22"/>
          <w:vertAlign w:val="superscript"/>
        </w:rPr>
        <w:footnoteReference w:id="19"/>
      </w:r>
      <w:r w:rsidR="00297E69" w:rsidRPr="001302CF">
        <w:rPr>
          <w:szCs w:val="22"/>
        </w:rPr>
        <w:t xml:space="preserve">  </w:t>
      </w:r>
      <w:r w:rsidR="00335A81">
        <w:rPr>
          <w:szCs w:val="22"/>
        </w:rPr>
        <w:t xml:space="preserve">Thus, </w:t>
      </w:r>
      <w:r w:rsidR="00642356" w:rsidRPr="001302CF">
        <w:rPr>
          <w:szCs w:val="22"/>
        </w:rPr>
        <w:t xml:space="preserve">Pacific Empire </w:t>
      </w:r>
      <w:r w:rsidR="00642356" w:rsidRPr="001302CF">
        <w:rPr>
          <w:szCs w:val="22"/>
        </w:rPr>
        <w:lastRenderedPageBreak/>
        <w:t xml:space="preserve">presented no new facts or arguments.  </w:t>
      </w:r>
    </w:p>
    <w:p w14:paraId="26CB9EDB" w14:textId="53700CAC" w:rsidR="00297E69" w:rsidRDefault="00297E69" w:rsidP="00F7113A">
      <w:pPr>
        <w:pStyle w:val="ParaNum"/>
        <w:tabs>
          <w:tab w:val="clear" w:pos="1080"/>
        </w:tabs>
        <w:rPr>
          <w:szCs w:val="22"/>
        </w:rPr>
      </w:pPr>
      <w:r w:rsidRPr="00297E69">
        <w:rPr>
          <w:szCs w:val="22"/>
        </w:rPr>
        <w:t xml:space="preserve">Upon review, we find that there was no material error made by the </w:t>
      </w:r>
      <w:r>
        <w:rPr>
          <w:szCs w:val="22"/>
        </w:rPr>
        <w:t>Bureau</w:t>
      </w:r>
      <w:r w:rsidRPr="00297E69">
        <w:rPr>
          <w:szCs w:val="22"/>
        </w:rPr>
        <w:t xml:space="preserve"> in the application of Section 503(b) of the Act and Commission precedent to the facts of this case.  We also find that Pacific Empire </w:t>
      </w:r>
      <w:r w:rsidRPr="00297E69">
        <w:rPr>
          <w:bCs/>
          <w:szCs w:val="22"/>
        </w:rPr>
        <w:t xml:space="preserve">raises no new facts.  </w:t>
      </w:r>
      <w:r w:rsidR="00D92ECE">
        <w:rPr>
          <w:bCs/>
          <w:szCs w:val="22"/>
        </w:rPr>
        <w:t xml:space="preserve">We therefore find that the Bureau properly decided the matters raised, and we uphold the Forfeiture Order and </w:t>
      </w:r>
      <w:r w:rsidRPr="00297E69">
        <w:rPr>
          <w:szCs w:val="22"/>
        </w:rPr>
        <w:t xml:space="preserve">deny the Petition </w:t>
      </w:r>
      <w:r w:rsidR="00D92ECE">
        <w:rPr>
          <w:szCs w:val="22"/>
        </w:rPr>
        <w:t xml:space="preserve">for Reconsideration </w:t>
      </w:r>
      <w:r w:rsidRPr="00297E69">
        <w:rPr>
          <w:szCs w:val="22"/>
        </w:rPr>
        <w:t>filed by Pacific Empire.</w:t>
      </w:r>
    </w:p>
    <w:p w14:paraId="51F5E6FF" w14:textId="6475FEAB" w:rsidR="009C3F66" w:rsidRPr="00193A4F" w:rsidRDefault="009C3F66" w:rsidP="006E5991">
      <w:pPr>
        <w:pStyle w:val="ParaNum"/>
        <w:tabs>
          <w:tab w:val="clear" w:pos="1080"/>
        </w:tabs>
      </w:pPr>
      <w:r w:rsidRPr="00193A4F">
        <w:t xml:space="preserve">Accordingly, </w:t>
      </w:r>
      <w:r w:rsidRPr="00193A4F">
        <w:rPr>
          <w:b/>
        </w:rPr>
        <w:t xml:space="preserve">IT IS ORDERED </w:t>
      </w:r>
      <w:r w:rsidRPr="00193A4F">
        <w:t>that, pursuant to Section 405 of the</w:t>
      </w:r>
      <w:r w:rsidR="007D03AE">
        <w:t xml:space="preserve"> </w:t>
      </w:r>
      <w:r w:rsidR="00D26F9D" w:rsidRPr="00193A4F">
        <w:t>Act</w:t>
      </w:r>
      <w:r w:rsidR="00CF4791" w:rsidRPr="00193A4F">
        <w:t xml:space="preserve"> </w:t>
      </w:r>
      <w:r w:rsidRPr="00193A4F">
        <w:t xml:space="preserve">and Section 1.106 of the </w:t>
      </w:r>
      <w:r w:rsidR="00D26F9D" w:rsidRPr="00193A4F">
        <w:t>Rules</w:t>
      </w:r>
      <w:r w:rsidRPr="00193A4F">
        <w:t xml:space="preserve">, the Petition for Reconsideration filed by </w:t>
      </w:r>
      <w:r w:rsidR="00E25164" w:rsidRPr="00E25164">
        <w:t xml:space="preserve">Pacific Empire Radio Corporation </w:t>
      </w:r>
      <w:r w:rsidR="001D7942" w:rsidRPr="00193A4F">
        <w:rPr>
          <w:spacing w:val="-2"/>
        </w:rPr>
        <w:t xml:space="preserve">is </w:t>
      </w:r>
      <w:r w:rsidRPr="00193A4F">
        <w:rPr>
          <w:spacing w:val="-2"/>
        </w:rPr>
        <w:t xml:space="preserve">hereby </w:t>
      </w:r>
      <w:r w:rsidRPr="00193A4F">
        <w:rPr>
          <w:b/>
        </w:rPr>
        <w:t>DENIED</w:t>
      </w:r>
      <w:r w:rsidRPr="00193A4F">
        <w:t>.</w:t>
      </w:r>
      <w:r w:rsidR="00000990" w:rsidRPr="00193A4F">
        <w:rPr>
          <w:rStyle w:val="FootnoteReference"/>
        </w:rPr>
        <w:footnoteReference w:id="20"/>
      </w:r>
    </w:p>
    <w:p w14:paraId="61ABAE95" w14:textId="00E8E92E" w:rsidR="009C3F66" w:rsidRPr="00193A4F" w:rsidRDefault="009C3F66" w:rsidP="006E5991">
      <w:pPr>
        <w:pStyle w:val="ParaNum"/>
        <w:tabs>
          <w:tab w:val="clear" w:pos="1080"/>
        </w:tabs>
      </w:pPr>
      <w:r w:rsidRPr="00193A4F">
        <w:rPr>
          <w:b/>
        </w:rPr>
        <w:t>IT IS FURTHER ORDERED</w:t>
      </w:r>
      <w:r w:rsidRPr="00193A4F">
        <w:t xml:space="preserve"> that, pursuant to Section 503(b) of the </w:t>
      </w:r>
      <w:r w:rsidR="00D26F9D" w:rsidRPr="00193A4F">
        <w:t>Act</w:t>
      </w:r>
      <w:r w:rsidR="00901425" w:rsidRPr="00193A4F">
        <w:t xml:space="preserve"> </w:t>
      </w:r>
      <w:r w:rsidRPr="00193A4F">
        <w:t>and Sections 0.111, 0.311</w:t>
      </w:r>
      <w:r w:rsidR="00D26F9D" w:rsidRPr="00193A4F">
        <w:t>, and 1.80 of the R</w:t>
      </w:r>
      <w:r w:rsidRPr="00193A4F">
        <w:t xml:space="preserve">ules, </w:t>
      </w:r>
      <w:r w:rsidR="00E25164" w:rsidRPr="00E25164">
        <w:t xml:space="preserve">Pacific Empire Radio Corporation </w:t>
      </w:r>
      <w:r w:rsidRPr="00193A4F">
        <w:rPr>
          <w:b/>
        </w:rPr>
        <w:t>IS LIABLE FOR A MONETARY FORFEITURE</w:t>
      </w:r>
      <w:r w:rsidRPr="00193A4F">
        <w:t xml:space="preserve"> of </w:t>
      </w:r>
      <w:r w:rsidR="00E25164">
        <w:t>$25,000</w:t>
      </w:r>
      <w:r w:rsidR="00D26F9D" w:rsidRPr="00193A4F">
        <w:t xml:space="preserve"> for willfully </w:t>
      </w:r>
      <w:r w:rsidR="00D26F9D" w:rsidRPr="002A6579">
        <w:t>and repeatedly</w:t>
      </w:r>
      <w:r w:rsidR="00D26F9D" w:rsidRPr="00193A4F">
        <w:t xml:space="preserve"> violating </w:t>
      </w:r>
      <w:r w:rsidR="00E25164">
        <w:t>Section 73.3526 of the Rules</w:t>
      </w:r>
      <w:r w:rsidRPr="00193A4F">
        <w:t>.</w:t>
      </w:r>
      <w:r w:rsidR="00000990" w:rsidRPr="00193A4F">
        <w:rPr>
          <w:rStyle w:val="FootnoteReference"/>
        </w:rPr>
        <w:footnoteReference w:id="21"/>
      </w:r>
    </w:p>
    <w:p w14:paraId="12558431" w14:textId="4F440190" w:rsidR="0083291F" w:rsidRPr="00193A4F" w:rsidRDefault="0083291F" w:rsidP="006E5991">
      <w:pPr>
        <w:pStyle w:val="ParaNum"/>
        <w:widowControl/>
        <w:tabs>
          <w:tab w:val="clear" w:pos="1080"/>
          <w:tab w:val="left" w:pos="360"/>
        </w:tabs>
        <w:rPr>
          <w:rFonts w:eastAsia="MS Mincho"/>
          <w:color w:val="000000"/>
          <w:szCs w:val="22"/>
        </w:rPr>
      </w:pPr>
      <w:r w:rsidRPr="00193A4F">
        <w:rPr>
          <w:rFonts w:eastAsia="MS Mincho"/>
          <w:szCs w:val="22"/>
        </w:rPr>
        <w:t>Payment of the forfeiture shall be made in the manner provided for in Sectio</w:t>
      </w:r>
      <w:r w:rsidR="00D26F9D" w:rsidRPr="00193A4F">
        <w:rPr>
          <w:rFonts w:eastAsia="MS Mincho"/>
          <w:szCs w:val="22"/>
        </w:rPr>
        <w:t>n 1.80 of the Rules</w:t>
      </w:r>
      <w:r w:rsidRPr="00193A4F">
        <w:rPr>
          <w:rFonts w:eastAsia="MS Mincho"/>
          <w:szCs w:val="22"/>
        </w:rPr>
        <w:t xml:space="preserve"> within thirty (30) calendar days after the release date of this Memorandum Opinion</w:t>
      </w:r>
      <w:r w:rsidR="00901425" w:rsidRPr="00193A4F">
        <w:rPr>
          <w:rFonts w:eastAsia="MS Mincho"/>
          <w:szCs w:val="22"/>
        </w:rPr>
        <w:t xml:space="preserve"> and</w:t>
      </w:r>
      <w:r w:rsidRPr="00193A4F">
        <w:rPr>
          <w:rFonts w:eastAsia="MS Mincho"/>
          <w:szCs w:val="22"/>
        </w:rPr>
        <w:t xml:space="preserve"> Order.</w:t>
      </w:r>
      <w:r w:rsidR="005224CB" w:rsidRPr="00193A4F">
        <w:rPr>
          <w:rStyle w:val="FootnoteReference"/>
          <w:rFonts w:eastAsia="MS Mincho"/>
          <w:szCs w:val="22"/>
        </w:rPr>
        <w:footnoteReference w:id="22"/>
      </w:r>
      <w:r w:rsidRPr="00193A4F">
        <w:rPr>
          <w:rFonts w:eastAsia="MS Mincho"/>
          <w:szCs w:val="22"/>
        </w:rPr>
        <w:t xml:space="preserve">  If the forfeiture is not paid within the period specified, the case may be referred to the U.S. Department of Justice for enforcement of the forfeiture pursuant</w:t>
      </w:r>
      <w:r w:rsidR="00D26F9D" w:rsidRPr="00193A4F">
        <w:rPr>
          <w:rFonts w:eastAsia="MS Mincho"/>
          <w:szCs w:val="22"/>
        </w:rPr>
        <w:t xml:space="preserve"> to Section 504(a) of the Act</w:t>
      </w:r>
      <w:r w:rsidRPr="00193A4F">
        <w:rPr>
          <w:rFonts w:eastAsia="MS Mincho"/>
          <w:szCs w:val="22"/>
        </w:rPr>
        <w:t>.</w:t>
      </w:r>
      <w:r w:rsidR="005224CB" w:rsidRPr="00193A4F">
        <w:rPr>
          <w:rStyle w:val="FootnoteReference"/>
          <w:rFonts w:eastAsia="MS Mincho"/>
          <w:szCs w:val="22"/>
        </w:rPr>
        <w:footnoteReference w:id="23"/>
      </w:r>
      <w:r w:rsidRPr="00193A4F">
        <w:rPr>
          <w:rFonts w:eastAsia="MS Mincho"/>
          <w:szCs w:val="22"/>
        </w:rPr>
        <w:t xml:space="preserve">  </w:t>
      </w:r>
    </w:p>
    <w:p w14:paraId="75BCFB27" w14:textId="1D466515" w:rsidR="0083291F" w:rsidRPr="00193A4F" w:rsidRDefault="00193A4F" w:rsidP="006E5991">
      <w:pPr>
        <w:pStyle w:val="ParaNum"/>
        <w:widowControl/>
        <w:tabs>
          <w:tab w:val="clear" w:pos="1080"/>
        </w:tabs>
        <w:rPr>
          <w:rFonts w:eastAsia="MS Mincho"/>
          <w:szCs w:val="22"/>
        </w:rPr>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sidR="0045072C" w:rsidRPr="0045072C">
        <w:rPr>
          <w:szCs w:val="22"/>
        </w:rPr>
        <w:t xml:space="preserve">Pacific Empire Radio Corporation </w:t>
      </w:r>
      <w:r w:rsidRPr="006D73F2">
        <w:rPr>
          <w:szCs w:val="22"/>
        </w:rPr>
        <w:t xml:space="preserve">shall send electronic notification </w:t>
      </w:r>
      <w:r>
        <w:rPr>
          <w:szCs w:val="22"/>
        </w:rPr>
        <w:t xml:space="preserve">of </w:t>
      </w:r>
      <w:r w:rsidRPr="006D73F2">
        <w:rPr>
          <w:szCs w:val="22"/>
        </w:rPr>
        <w:t xml:space="preserve">payment to </w:t>
      </w:r>
      <w:r w:rsidR="0045072C" w:rsidRPr="0045072C">
        <w:rPr>
          <w:szCs w:val="22"/>
        </w:rPr>
        <w:t xml:space="preserve">WR-Response@fcc.gov </w:t>
      </w:r>
      <w:r w:rsidRPr="006D73F2">
        <w:rPr>
          <w:szCs w:val="22"/>
        </w:rPr>
        <w:t>on the date said payment is made.</w:t>
      </w:r>
      <w:r>
        <w:rPr>
          <w:szCs w:val="22"/>
        </w:rPr>
        <w:t xml:space="preserve">  </w:t>
      </w:r>
      <w:r w:rsidR="0083291F" w:rsidRPr="00193A4F">
        <w:rPr>
          <w:rFonts w:eastAsia="MS Mincho"/>
          <w:szCs w:val="22"/>
        </w:rPr>
        <w:t>Regardless of the form of payment, a completed FCC Form 159 (Remittance Advice) must be submitted.</w:t>
      </w:r>
      <w:r w:rsidR="005224CB" w:rsidRPr="00193A4F">
        <w:rPr>
          <w:rStyle w:val="FootnoteReference"/>
          <w:rFonts w:eastAsia="MS Mincho"/>
          <w:szCs w:val="22"/>
        </w:rPr>
        <w:footnoteReference w:id="24"/>
      </w:r>
      <w:r w:rsidR="0083291F" w:rsidRPr="00193A4F">
        <w:rPr>
          <w:rFonts w:eastAsia="MS Mincho"/>
          <w:szCs w:val="22"/>
        </w:rPr>
        <w:t xml:space="preserve">  When completing the FCC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r w:rsidR="0083291F" w:rsidRPr="00193A4F">
        <w:rPr>
          <w:color w:val="000000"/>
          <w:szCs w:val="22"/>
        </w:rPr>
        <w:t xml:space="preserve">  </w:t>
      </w:r>
    </w:p>
    <w:p w14:paraId="6DFBFF93" w14:textId="77777777" w:rsidR="0083291F" w:rsidRPr="00193A4F" w:rsidRDefault="0083291F" w:rsidP="006E5991">
      <w:pPr>
        <w:pStyle w:val="ParaNum"/>
        <w:keepLines/>
        <w:widowControl/>
        <w:numPr>
          <w:ilvl w:val="0"/>
          <w:numId w:val="8"/>
        </w:numPr>
        <w:tabs>
          <w:tab w:val="clear" w:pos="1080"/>
        </w:tabs>
        <w:rPr>
          <w:rFonts w:eastAsia="MS Mincho"/>
          <w:szCs w:val="22"/>
        </w:rPr>
      </w:pPr>
      <w:r w:rsidRPr="00193A4F">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7788A6B5" w14:textId="77777777" w:rsidR="0083291F" w:rsidRPr="00193A4F" w:rsidRDefault="0083291F" w:rsidP="006E5991">
      <w:pPr>
        <w:pStyle w:val="ParaNum"/>
        <w:keepNext/>
        <w:keepLines/>
        <w:widowControl/>
        <w:numPr>
          <w:ilvl w:val="0"/>
          <w:numId w:val="8"/>
        </w:numPr>
        <w:tabs>
          <w:tab w:val="clear" w:pos="1080"/>
        </w:tabs>
        <w:rPr>
          <w:rFonts w:eastAsia="MS Mincho"/>
          <w:szCs w:val="22"/>
        </w:rPr>
      </w:pPr>
      <w:r w:rsidRPr="00193A4F">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07054C8" w14:textId="77777777" w:rsidR="0083291F" w:rsidRPr="00193A4F" w:rsidRDefault="0083291F" w:rsidP="006E5991">
      <w:pPr>
        <w:pStyle w:val="ParaNum"/>
        <w:widowControl/>
        <w:numPr>
          <w:ilvl w:val="0"/>
          <w:numId w:val="8"/>
        </w:numPr>
        <w:tabs>
          <w:tab w:val="clear" w:pos="1080"/>
        </w:tabs>
        <w:rPr>
          <w:rFonts w:eastAsia="MS Mincho"/>
          <w:szCs w:val="22"/>
        </w:rPr>
      </w:pPr>
      <w:r w:rsidRPr="00193A4F">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00714D35" w14:textId="0F3C2D19" w:rsidR="0083291F" w:rsidRPr="00193A4F" w:rsidRDefault="0083291F" w:rsidP="006E5991">
      <w:pPr>
        <w:pStyle w:val="ParaNum"/>
        <w:widowControl/>
        <w:tabs>
          <w:tab w:val="clear" w:pos="1080"/>
        </w:tabs>
        <w:rPr>
          <w:rFonts w:eastAsia="MS Mincho"/>
          <w:szCs w:val="22"/>
        </w:rPr>
      </w:pPr>
      <w:r w:rsidRPr="00193A4F">
        <w:rPr>
          <w:rFonts w:eastAsia="MS Mincho"/>
          <w:szCs w:val="22"/>
        </w:rPr>
        <w:t>Any request for making full payment over time under an installment plan should be sent to:  Chief Financial Officer—Financial Operations, Federal Communications Commission, 445 12th Street, S.W., Room 1-A625, Washington, D</w:t>
      </w:r>
      <w:r w:rsidR="00D26F9D" w:rsidRPr="00193A4F">
        <w:rPr>
          <w:rFonts w:eastAsia="MS Mincho"/>
          <w:szCs w:val="22"/>
        </w:rPr>
        <w:t>.</w:t>
      </w:r>
      <w:r w:rsidRPr="00193A4F">
        <w:rPr>
          <w:rFonts w:eastAsia="MS Mincho"/>
          <w:szCs w:val="22"/>
        </w:rPr>
        <w:t>C</w:t>
      </w:r>
      <w:r w:rsidR="00D26F9D" w:rsidRPr="00193A4F">
        <w:rPr>
          <w:rFonts w:eastAsia="MS Mincho"/>
          <w:szCs w:val="22"/>
        </w:rPr>
        <w:t>.</w:t>
      </w:r>
      <w:r w:rsidRPr="00193A4F">
        <w:rPr>
          <w:rFonts w:eastAsia="MS Mincho"/>
          <w:szCs w:val="22"/>
        </w:rPr>
        <w:t xml:space="preserve"> 20554.</w:t>
      </w:r>
      <w:r w:rsidR="006C1286" w:rsidRPr="00193A4F">
        <w:rPr>
          <w:rStyle w:val="FootnoteReference"/>
          <w:rFonts w:eastAsia="MS Mincho"/>
          <w:szCs w:val="22"/>
        </w:rPr>
        <w:footnoteReference w:id="25"/>
      </w:r>
      <w:r w:rsidRPr="00193A4F">
        <w:rPr>
          <w:rFonts w:eastAsia="MS Mincho"/>
          <w:szCs w:val="22"/>
        </w:rPr>
        <w:t xml:space="preserve">  </w:t>
      </w:r>
      <w:r w:rsidR="00E815FC" w:rsidRPr="00193A4F">
        <w:rPr>
          <w:rFonts w:eastAsia="MS Mincho"/>
          <w:szCs w:val="22"/>
        </w:rPr>
        <w:t>Q</w:t>
      </w:r>
      <w:r w:rsidRPr="00193A4F">
        <w:rPr>
          <w:rFonts w:eastAsia="MS Mincho"/>
          <w:szCs w:val="22"/>
        </w:rPr>
        <w:t>uestions re</w:t>
      </w:r>
      <w:r w:rsidR="00E815FC" w:rsidRPr="00193A4F">
        <w:rPr>
          <w:rFonts w:eastAsia="MS Mincho"/>
          <w:szCs w:val="22"/>
        </w:rPr>
        <w:t>garding payment procedures s</w:t>
      </w:r>
      <w:r w:rsidRPr="00193A4F">
        <w:rPr>
          <w:rFonts w:eastAsia="MS Mincho"/>
          <w:szCs w:val="22"/>
        </w:rPr>
        <w:t xml:space="preserve">hould </w:t>
      </w:r>
      <w:r w:rsidR="00E815FC" w:rsidRPr="00193A4F">
        <w:rPr>
          <w:rFonts w:eastAsia="MS Mincho"/>
          <w:szCs w:val="22"/>
        </w:rPr>
        <w:t>be directed to</w:t>
      </w:r>
      <w:r w:rsidRPr="00193A4F">
        <w:rPr>
          <w:rFonts w:eastAsia="MS Mincho"/>
          <w:szCs w:val="22"/>
        </w:rPr>
        <w:t xml:space="preserve"> the Financial Operations Group Help Desk by phone, 1-877-480-3201, or by e</w:t>
      </w:r>
      <w:r w:rsidRPr="00193A4F">
        <w:rPr>
          <w:rFonts w:eastAsia="MS Mincho"/>
          <w:szCs w:val="22"/>
        </w:rPr>
        <w:noBreakHyphen/>
        <w:t>mail, ARINQUIRIES@fcc.gov. </w:t>
      </w:r>
    </w:p>
    <w:p w14:paraId="15ABA7D9" w14:textId="571CF7E8" w:rsidR="0083291F" w:rsidRPr="00ED5556" w:rsidRDefault="0083291F" w:rsidP="00ED5556">
      <w:pPr>
        <w:pStyle w:val="ParaNum"/>
        <w:widowControl/>
        <w:tabs>
          <w:tab w:val="clear" w:pos="1080"/>
        </w:tabs>
        <w:rPr>
          <w:b/>
          <w:szCs w:val="22"/>
        </w:rPr>
      </w:pPr>
      <w:r w:rsidRPr="00ED5556">
        <w:rPr>
          <w:b/>
          <w:szCs w:val="22"/>
        </w:rPr>
        <w:t>IT IS FURTHER ORDERED</w:t>
      </w:r>
      <w:r w:rsidRPr="00ED5556">
        <w:rPr>
          <w:szCs w:val="22"/>
        </w:rPr>
        <w:t xml:space="preserve"> </w:t>
      </w:r>
      <w:r w:rsidR="00C94F1E" w:rsidRPr="00ED5556">
        <w:rPr>
          <w:szCs w:val="22"/>
        </w:rPr>
        <w:t>that a copy of this Memorandum Opinion and Order</w:t>
      </w:r>
      <w:r w:rsidR="00C94F1E" w:rsidRPr="00193A4F">
        <w:t xml:space="preserve"> </w:t>
      </w:r>
      <w:r w:rsidR="00193A4F" w:rsidRPr="00ED5556">
        <w:rPr>
          <w:color w:val="000000" w:themeColor="text1"/>
          <w:szCs w:val="22"/>
        </w:rPr>
        <w:t xml:space="preserve">shall be sent by first class mail and certified mail, return receipt requested, to </w:t>
      </w:r>
      <w:r w:rsidR="00ED5556" w:rsidRPr="00ED5556">
        <w:rPr>
          <w:color w:val="000000" w:themeColor="text1"/>
          <w:szCs w:val="22"/>
        </w:rPr>
        <w:t xml:space="preserve">Pacific Empire Radio Corporation, 403 </w:t>
      </w:r>
      <w:r w:rsidR="00D817A3">
        <w:rPr>
          <w:color w:val="000000" w:themeColor="text1"/>
          <w:szCs w:val="22"/>
        </w:rPr>
        <w:t>Capital</w:t>
      </w:r>
      <w:r w:rsidR="00ED5556" w:rsidRPr="00ED5556">
        <w:rPr>
          <w:color w:val="000000" w:themeColor="text1"/>
          <w:szCs w:val="22"/>
        </w:rPr>
        <w:t xml:space="preserve"> Street, Lewiston, Idaho 83501, and to David Tillotson, Esquire, 4606 Charleston Terrace, NW, Washington, D.C. 20007-1911.</w:t>
      </w:r>
    </w:p>
    <w:p w14:paraId="787A5A41" w14:textId="77777777" w:rsidR="002A6579" w:rsidRDefault="002A6579" w:rsidP="0083291F">
      <w:pPr>
        <w:rPr>
          <w:szCs w:val="22"/>
        </w:rPr>
      </w:pPr>
    </w:p>
    <w:p w14:paraId="0CF29B4F" w14:textId="77777777" w:rsidR="004F5280" w:rsidRDefault="004F5280" w:rsidP="0083291F">
      <w:pPr>
        <w:rPr>
          <w:szCs w:val="22"/>
        </w:rPr>
      </w:pPr>
    </w:p>
    <w:p w14:paraId="09AD5671" w14:textId="77777777" w:rsidR="0083291F" w:rsidRPr="002A6579" w:rsidRDefault="0083291F" w:rsidP="0083291F">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sidRPr="002A6579">
        <w:t>FEDERAL COMMUNICATIONS COMMISSION</w:t>
      </w:r>
    </w:p>
    <w:p w14:paraId="18D1D256" w14:textId="77777777" w:rsidR="0083291F" w:rsidRDefault="0083291F" w:rsidP="0083291F">
      <w:pPr>
        <w:rPr>
          <w:szCs w:val="22"/>
        </w:rPr>
      </w:pPr>
    </w:p>
    <w:p w14:paraId="37EFFE11" w14:textId="77777777" w:rsidR="004F5280" w:rsidRPr="00193A4F" w:rsidRDefault="004F5280" w:rsidP="0083291F">
      <w:pPr>
        <w:rPr>
          <w:szCs w:val="22"/>
        </w:rPr>
      </w:pPr>
    </w:p>
    <w:p w14:paraId="52ECFF9A" w14:textId="77777777" w:rsidR="002D0E6B" w:rsidRPr="00193A4F" w:rsidRDefault="002D0E6B" w:rsidP="002D0E6B">
      <w:pPr>
        <w:rPr>
          <w:szCs w:val="22"/>
        </w:rPr>
      </w:pPr>
    </w:p>
    <w:p w14:paraId="2C310521" w14:textId="77777777" w:rsidR="007D03AE" w:rsidRDefault="002D0E6B" w:rsidP="002D0E6B">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p>
    <w:p w14:paraId="69168D30" w14:textId="6F9E84FF" w:rsidR="002D0E6B" w:rsidRPr="00193A4F" w:rsidRDefault="001D331E" w:rsidP="00F5477A">
      <w:pPr>
        <w:ind w:left="3600" w:firstLine="720"/>
        <w:rPr>
          <w:szCs w:val="22"/>
        </w:rPr>
      </w:pPr>
      <w:r>
        <w:rPr>
          <w:szCs w:val="22"/>
        </w:rPr>
        <w:t>Rebecca L. Dorch</w:t>
      </w:r>
    </w:p>
    <w:p w14:paraId="213346E7" w14:textId="11BC54F0" w:rsidR="00160A7F" w:rsidRDefault="00160A7F" w:rsidP="002D0E6B">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sidR="001D331E">
        <w:rPr>
          <w:szCs w:val="22"/>
        </w:rPr>
        <w:t>Regional Director</w:t>
      </w:r>
    </w:p>
    <w:p w14:paraId="5B4C1B33" w14:textId="011333C3" w:rsidR="001D331E" w:rsidRPr="00193A4F" w:rsidRDefault="001D331E" w:rsidP="001D331E">
      <w:pPr>
        <w:ind w:left="3600" w:firstLine="720"/>
        <w:rPr>
          <w:szCs w:val="22"/>
        </w:rPr>
      </w:pPr>
      <w:r>
        <w:rPr>
          <w:szCs w:val="22"/>
        </w:rPr>
        <w:t>Western Region</w:t>
      </w:r>
    </w:p>
    <w:p w14:paraId="6C841894" w14:textId="2D71705C" w:rsidR="00B7594D" w:rsidRPr="006E5991" w:rsidRDefault="00160A7F" w:rsidP="00AD3A50">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t>Enforcement Bureau</w:t>
      </w:r>
    </w:p>
    <w:sectPr w:rsidR="00B7594D" w:rsidRPr="006E5991" w:rsidSect="002A657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952"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37982" w14:textId="77777777" w:rsidR="00113DC7" w:rsidRDefault="00113DC7" w:rsidP="006E5991">
      <w:r>
        <w:separator/>
      </w:r>
    </w:p>
  </w:endnote>
  <w:endnote w:type="continuationSeparator" w:id="0">
    <w:p w14:paraId="264BC888" w14:textId="77777777" w:rsidR="00113DC7" w:rsidRDefault="00113DC7" w:rsidP="00B23CDC">
      <w:r>
        <w:continuationSeparator/>
      </w:r>
    </w:p>
  </w:endnote>
  <w:endnote w:type="continuationNotice" w:id="1">
    <w:p w14:paraId="1D63E3FB" w14:textId="77777777" w:rsidR="00113DC7" w:rsidRDefault="00113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EECA3" w14:textId="77777777" w:rsidR="004A2AEE" w:rsidRDefault="004A2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59198"/>
      <w:docPartObj>
        <w:docPartGallery w:val="Page Numbers (Bottom of Page)"/>
        <w:docPartUnique/>
      </w:docPartObj>
    </w:sdtPr>
    <w:sdtEndPr>
      <w:rPr>
        <w:noProof/>
      </w:rPr>
    </w:sdtEndPr>
    <w:sdtContent>
      <w:p w14:paraId="192BC879" w14:textId="56EB5D83" w:rsidR="0008194C" w:rsidRDefault="0008194C">
        <w:pPr>
          <w:pStyle w:val="Footer"/>
          <w:jc w:val="center"/>
        </w:pPr>
        <w:r>
          <w:fldChar w:fldCharType="begin"/>
        </w:r>
        <w:r>
          <w:instrText xml:space="preserve"> PAGE   \* MERGEFORMAT </w:instrText>
        </w:r>
        <w:r>
          <w:fldChar w:fldCharType="separate"/>
        </w:r>
        <w:r w:rsidR="00EC7EFE">
          <w:rPr>
            <w:noProof/>
          </w:rPr>
          <w:t>2</w:t>
        </w:r>
        <w:r>
          <w:rPr>
            <w:noProof/>
          </w:rPr>
          <w:fldChar w:fldCharType="end"/>
        </w:r>
      </w:p>
    </w:sdtContent>
  </w:sdt>
  <w:p w14:paraId="760C7790" w14:textId="77777777" w:rsidR="0008194C" w:rsidRDefault="00081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1DD9A" w14:textId="77777777" w:rsidR="004A2AEE" w:rsidRDefault="004A2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359A9" w14:textId="77777777" w:rsidR="00113DC7" w:rsidRDefault="00113DC7" w:rsidP="00B23CDC">
      <w:r>
        <w:separator/>
      </w:r>
    </w:p>
  </w:footnote>
  <w:footnote w:type="continuationSeparator" w:id="0">
    <w:p w14:paraId="3FFD31E0" w14:textId="77777777" w:rsidR="00113DC7" w:rsidRPr="006E5991" w:rsidRDefault="00113DC7" w:rsidP="006E5991">
      <w:r>
        <w:continuationSeparator/>
      </w:r>
    </w:p>
  </w:footnote>
  <w:footnote w:type="continuationNotice" w:id="1">
    <w:p w14:paraId="18A14998" w14:textId="77777777" w:rsidR="00113DC7" w:rsidRPr="006E5991" w:rsidRDefault="00113DC7" w:rsidP="006E5991"/>
  </w:footnote>
  <w:footnote w:id="2">
    <w:p w14:paraId="409A2EC1" w14:textId="77777777" w:rsidR="00ED1381" w:rsidRDefault="00ED1381" w:rsidP="00ED1381">
      <w:pPr>
        <w:pStyle w:val="FootnoteText"/>
      </w:pPr>
      <w:r>
        <w:rPr>
          <w:rStyle w:val="FootnoteReference"/>
        </w:rPr>
        <w:footnoteRef/>
      </w:r>
      <w:r>
        <w:t xml:space="preserve"> </w:t>
      </w:r>
      <w:r w:rsidRPr="000B6B4D">
        <w:rPr>
          <w:i/>
        </w:rPr>
        <w:t>See</w:t>
      </w:r>
      <w:r w:rsidRPr="000B6B4D">
        <w:t xml:space="preserve"> </w:t>
      </w:r>
      <w:r w:rsidRPr="00E52DD9">
        <w:rPr>
          <w:i/>
        </w:rPr>
        <w:t>Pacific Empire Radio Corporation</w:t>
      </w:r>
      <w:r w:rsidRPr="000B6B4D">
        <w:t xml:space="preserve">, Petition for Reconsideration (filed </w:t>
      </w:r>
      <w:r>
        <w:t>Feb. 21</w:t>
      </w:r>
      <w:r w:rsidRPr="000B6B4D">
        <w:t>, 2014) (Petition).</w:t>
      </w:r>
    </w:p>
  </w:footnote>
  <w:footnote w:id="3">
    <w:p w14:paraId="53DAE522" w14:textId="68B7B4F0" w:rsidR="00FF23D1" w:rsidRDefault="00FF23D1" w:rsidP="00FF23D1">
      <w:pPr>
        <w:pStyle w:val="FootnoteText"/>
      </w:pPr>
      <w:r>
        <w:rPr>
          <w:rStyle w:val="FootnoteReference"/>
        </w:rPr>
        <w:footnoteRef/>
      </w:r>
      <w:r>
        <w:t xml:space="preserve"> </w:t>
      </w:r>
      <w:r w:rsidR="00203416">
        <w:rPr>
          <w:i/>
        </w:rPr>
        <w:t>See Pacific Empire Radio Corporation,</w:t>
      </w:r>
      <w:r w:rsidR="00203416">
        <w:t xml:space="preserve"> Forfeiture Order, 29 FCC Rcd 1177 (Enf. Bur. 2014) (Forfeiture Order) </w:t>
      </w:r>
      <w:r w:rsidR="00203416" w:rsidRPr="00E52DD9">
        <w:t>Pacific Empire admitted to the Portland Office that the lists were either missing or misplaced due to changes in management.</w:t>
      </w:r>
      <w:r w:rsidR="00203416" w:rsidRPr="00344CAD">
        <w:t xml:space="preserve"> </w:t>
      </w:r>
      <w:r w:rsidR="00203416">
        <w:t xml:space="preserve"> Forfeiture Order, 29 FCC Rcd at 1178, para. 5</w:t>
      </w:r>
      <w:r w:rsidR="007D03AE">
        <w:t xml:space="preserve">; </w:t>
      </w:r>
      <w:hyperlink r:id="rId1" w:history="1">
        <w:r w:rsidR="00203416" w:rsidRPr="00203416">
          <w:rPr>
            <w:i/>
          </w:rPr>
          <w:t>Pacific</w:t>
        </w:r>
      </w:hyperlink>
      <w:hyperlink r:id="rId2" w:history="1">
        <w:r w:rsidR="00203416" w:rsidRPr="00203416">
          <w:rPr>
            <w:i/>
          </w:rPr>
          <w:t> </w:t>
        </w:r>
      </w:hyperlink>
      <w:hyperlink r:id="rId3" w:history="1">
        <w:r w:rsidR="00203416" w:rsidRPr="00203416">
          <w:rPr>
            <w:i/>
          </w:rPr>
          <w:t>Empire</w:t>
        </w:r>
      </w:hyperlink>
      <w:hyperlink r:id="rId4" w:history="1">
        <w:r w:rsidR="00203416" w:rsidRPr="00203416">
          <w:rPr>
            <w:i/>
          </w:rPr>
          <w:t xml:space="preserve"> Radio Corporation</w:t>
        </w:r>
      </w:hyperlink>
      <w:hyperlink r:id="rId5" w:history="1">
        <w:r w:rsidR="00203416" w:rsidRPr="00EE03F8">
          <w:t>, Notice of Apparent Liability for Forfeiture and Order, 27 FCC Rcd 5306 (Enf. Bur. 2012)</w:t>
        </w:r>
      </w:hyperlink>
      <w:r w:rsidR="00203416" w:rsidRPr="00EE03F8">
        <w:t>.</w:t>
      </w:r>
    </w:p>
  </w:footnote>
  <w:footnote w:id="4">
    <w:p w14:paraId="0A48133E" w14:textId="77777777" w:rsidR="00FF23D1" w:rsidRDefault="00FF23D1" w:rsidP="00FF23D1">
      <w:pPr>
        <w:pStyle w:val="FootnoteText"/>
      </w:pPr>
      <w:r>
        <w:rPr>
          <w:rStyle w:val="FootnoteReference"/>
        </w:rPr>
        <w:footnoteRef/>
      </w:r>
      <w:r>
        <w:t xml:space="preserve"> 47 U.S.C. § 405.</w:t>
      </w:r>
    </w:p>
  </w:footnote>
  <w:footnote w:id="5">
    <w:p w14:paraId="0A16ECB8" w14:textId="77777777" w:rsidR="00FF23D1" w:rsidRDefault="00FF23D1" w:rsidP="00FF23D1">
      <w:pPr>
        <w:pStyle w:val="FootnoteText"/>
      </w:pPr>
      <w:r>
        <w:rPr>
          <w:rStyle w:val="FootnoteReference"/>
        </w:rPr>
        <w:footnoteRef/>
      </w:r>
      <w:r>
        <w:t xml:space="preserve"> 47 C.F.R. § 1.106.  </w:t>
      </w:r>
    </w:p>
  </w:footnote>
  <w:footnote w:id="6">
    <w:p w14:paraId="538726D4" w14:textId="77777777" w:rsidR="00297E69" w:rsidRDefault="00297E69" w:rsidP="00297E69">
      <w:pPr>
        <w:pStyle w:val="FootnoteText"/>
      </w:pPr>
      <w:r>
        <w:rPr>
          <w:rStyle w:val="FootnoteReference"/>
        </w:rPr>
        <w:footnoteRef/>
      </w:r>
      <w:r>
        <w:t xml:space="preserve"> </w:t>
      </w:r>
      <w:r>
        <w:rPr>
          <w:i/>
        </w:rPr>
        <w:t xml:space="preserve">See </w:t>
      </w:r>
      <w:r>
        <w:t xml:space="preserve">47 C.F.R. § 1.106(c); </w:t>
      </w:r>
      <w:r>
        <w:rPr>
          <w:i/>
        </w:rPr>
        <w:t>EZ Sacramento, Inc.</w:t>
      </w:r>
      <w:r>
        <w:t>,</w:t>
      </w:r>
      <w:r>
        <w:rPr>
          <w:i/>
        </w:rPr>
        <w:t xml:space="preserve"> </w:t>
      </w:r>
      <w:r>
        <w:t xml:space="preserve">Memorandum Opinion and Order, 15 FCC Rcd 18257, 18257, para. 2 (Enf. Bur. 2000) (citing </w:t>
      </w:r>
      <w:r>
        <w:rPr>
          <w:i/>
        </w:rPr>
        <w:t>WWIZ, Inc.</w:t>
      </w:r>
      <w:r>
        <w:t>,</w:t>
      </w:r>
      <w:r>
        <w:rPr>
          <w:i/>
        </w:rPr>
        <w:t xml:space="preserve"> </w:t>
      </w:r>
      <w:r>
        <w:t xml:space="preserve">Memorandum Opinion and Order, 37 FCC 685, 686 (1964), </w:t>
      </w:r>
      <w:r>
        <w:rPr>
          <w:i/>
        </w:rPr>
        <w:t>aff’d sub. nom. Lorain Journal Co. v. FCC</w:t>
      </w:r>
      <w:r>
        <w:t>,</w:t>
      </w:r>
      <w:r>
        <w:rPr>
          <w:i/>
        </w:rPr>
        <w:t xml:space="preserve"> </w:t>
      </w:r>
      <w:r>
        <w:t xml:space="preserve">351 F.2d 824 (D.C. Cir. 1965), </w:t>
      </w:r>
      <w:r>
        <w:rPr>
          <w:i/>
        </w:rPr>
        <w:t>cert. denied</w:t>
      </w:r>
      <w:r>
        <w:t>,</w:t>
      </w:r>
      <w:r>
        <w:rPr>
          <w:i/>
        </w:rPr>
        <w:t xml:space="preserve"> </w:t>
      </w:r>
      <w:r>
        <w:t xml:space="preserve">383 U.S. 967 (1966)); </w:t>
      </w:r>
      <w:r>
        <w:rPr>
          <w:i/>
        </w:rPr>
        <w:t>see also</w:t>
      </w:r>
      <w:r>
        <w:t xml:space="preserve"> </w:t>
      </w:r>
      <w:r>
        <w:rPr>
          <w:i/>
        </w:rPr>
        <w:t>Ely Radio</w:t>
      </w:r>
      <w:r>
        <w:t>,</w:t>
      </w:r>
      <w:r>
        <w:rPr>
          <w:i/>
        </w:rPr>
        <w:t xml:space="preserve"> LLC</w:t>
      </w:r>
      <w:r>
        <w:t xml:space="preserve">, Memorandum Opinion and Order, 27 FCC Rcd 7608, 7610, para. 6 (Enf. Bur. 2012) (articulating the standard of review for Petitions for Reconsideration).     </w:t>
      </w:r>
    </w:p>
  </w:footnote>
  <w:footnote w:id="7">
    <w:p w14:paraId="02E982E3" w14:textId="77777777" w:rsidR="00297E69" w:rsidRDefault="00297E69" w:rsidP="00297E69">
      <w:pPr>
        <w:pStyle w:val="FootnoteText"/>
      </w:pPr>
      <w:r>
        <w:rPr>
          <w:rStyle w:val="FootnoteReference"/>
        </w:rPr>
        <w:footnoteRef/>
      </w:r>
      <w:r>
        <w:t xml:space="preserve"> </w:t>
      </w:r>
      <w:r>
        <w:rPr>
          <w:i/>
        </w:rPr>
        <w:t>EZ Sacramento, Inc.</w:t>
      </w:r>
      <w:r>
        <w:t>,</w:t>
      </w:r>
      <w:r>
        <w:rPr>
          <w:i/>
        </w:rPr>
        <w:t xml:space="preserve"> </w:t>
      </w:r>
      <w:r>
        <w:t>15 FCC Rcd at 18257, para. 2.</w:t>
      </w:r>
    </w:p>
  </w:footnote>
  <w:footnote w:id="8">
    <w:p w14:paraId="67F8B3C1" w14:textId="77777777" w:rsidR="00CB1F25" w:rsidRPr="004E71DC" w:rsidRDefault="00CB1F25" w:rsidP="00CB1F25">
      <w:pPr>
        <w:pStyle w:val="FootnoteText"/>
      </w:pPr>
      <w:r w:rsidRPr="00014A7B">
        <w:rPr>
          <w:rStyle w:val="FootnoteReference"/>
        </w:rPr>
        <w:footnoteRef/>
      </w:r>
      <w:r w:rsidRPr="004E71DC">
        <w:t xml:space="preserve"> P</w:t>
      </w:r>
      <w:r>
        <w:t>ub</w:t>
      </w:r>
      <w:r w:rsidRPr="004E71DC">
        <w:t>.</w:t>
      </w:r>
      <w:r>
        <w:t xml:space="preserve"> </w:t>
      </w:r>
      <w:r w:rsidRPr="004E71DC">
        <w:t>L.</w:t>
      </w:r>
      <w:r>
        <w:t xml:space="preserve"> No.</w:t>
      </w:r>
      <w:r w:rsidRPr="004E71DC">
        <w:t xml:space="preserve"> 104-121,</w:t>
      </w:r>
      <w:r>
        <w:t xml:space="preserve"> 110 Stat. 847</w:t>
      </w:r>
      <w:r w:rsidRPr="004E71DC">
        <w:t xml:space="preserve"> </w:t>
      </w:r>
      <w:r>
        <w:t>(</w:t>
      </w:r>
      <w:r w:rsidRPr="004E71DC">
        <w:t>Mar</w:t>
      </w:r>
      <w:r>
        <w:t xml:space="preserve">. </w:t>
      </w:r>
      <w:r w:rsidRPr="004E71DC">
        <w:t>29, 1996</w:t>
      </w:r>
      <w:r>
        <w:t>)</w:t>
      </w:r>
      <w:r w:rsidRPr="004E71DC">
        <w:t>, as amended by P</w:t>
      </w:r>
      <w:r>
        <w:t>ub</w:t>
      </w:r>
      <w:r w:rsidRPr="004E71DC">
        <w:t>.</w:t>
      </w:r>
      <w:r>
        <w:t xml:space="preserve"> </w:t>
      </w:r>
      <w:r w:rsidRPr="004E71DC">
        <w:t>L.</w:t>
      </w:r>
      <w:r>
        <w:t xml:space="preserve"> No. 110-28, 121 Stat. 112</w:t>
      </w:r>
      <w:r w:rsidRPr="004E71DC">
        <w:t xml:space="preserve"> </w:t>
      </w:r>
      <w:r>
        <w:t>(</w:t>
      </w:r>
      <w:r w:rsidRPr="004E71DC">
        <w:t>May 25, 2007</w:t>
      </w:r>
      <w:r>
        <w:t>)</w:t>
      </w:r>
      <w:r w:rsidRPr="004E71DC">
        <w:t>.</w:t>
      </w:r>
    </w:p>
  </w:footnote>
  <w:footnote w:id="9">
    <w:p w14:paraId="5061B3E1" w14:textId="77E959B8" w:rsidR="00CB1F25" w:rsidRDefault="00CB1F25" w:rsidP="00CB1F25">
      <w:pPr>
        <w:pStyle w:val="FootnoteText"/>
      </w:pPr>
      <w:r>
        <w:rPr>
          <w:rStyle w:val="FootnoteReference"/>
        </w:rPr>
        <w:footnoteRef/>
      </w:r>
      <w:r>
        <w:t xml:space="preserve"> </w:t>
      </w:r>
      <w:r w:rsidRPr="00CB1F25">
        <w:t>Petition at 2</w:t>
      </w:r>
      <w:r w:rsidR="00C02590">
        <w:t>–</w:t>
      </w:r>
      <w:r w:rsidRPr="00CB1F25">
        <w:t>3.</w:t>
      </w:r>
    </w:p>
  </w:footnote>
  <w:footnote w:id="10">
    <w:p w14:paraId="5DEEE222" w14:textId="4E23D5FD" w:rsidR="00CB1F25" w:rsidRDefault="00CB1F25" w:rsidP="00CB1F25">
      <w:pPr>
        <w:pStyle w:val="FootnoteText"/>
      </w:pPr>
      <w:r>
        <w:rPr>
          <w:rStyle w:val="FootnoteReference"/>
        </w:rPr>
        <w:footnoteRef/>
      </w:r>
      <w:r>
        <w:t xml:space="preserve"> </w:t>
      </w:r>
      <w:r w:rsidRPr="00F7113A">
        <w:rPr>
          <w:i/>
        </w:rPr>
        <w:t>Id</w:t>
      </w:r>
      <w:r w:rsidR="00DE47E2">
        <w:t>.</w:t>
      </w:r>
      <w:r>
        <w:t xml:space="preserve"> at </w:t>
      </w:r>
      <w:r w:rsidRPr="00CB1F25">
        <w:t>3</w:t>
      </w:r>
      <w:r w:rsidR="00C02590">
        <w:t>–</w:t>
      </w:r>
      <w:r>
        <w:t>7</w:t>
      </w:r>
      <w:r w:rsidRPr="00CB1F25">
        <w:t>.</w:t>
      </w:r>
    </w:p>
  </w:footnote>
  <w:footnote w:id="11">
    <w:p w14:paraId="187777DC" w14:textId="00761328" w:rsidR="00CB1F25" w:rsidRDefault="00CB1F25" w:rsidP="00CB1F25">
      <w:pPr>
        <w:pStyle w:val="FootnoteText"/>
      </w:pPr>
      <w:r>
        <w:rPr>
          <w:rStyle w:val="FootnoteReference"/>
        </w:rPr>
        <w:footnoteRef/>
      </w:r>
      <w:r>
        <w:t xml:space="preserve"> </w:t>
      </w:r>
      <w:r w:rsidRPr="00F7113A">
        <w:rPr>
          <w:i/>
        </w:rPr>
        <w:t>Id</w:t>
      </w:r>
      <w:r w:rsidR="00DE47E2">
        <w:t>.</w:t>
      </w:r>
      <w:r>
        <w:t xml:space="preserve"> at 7</w:t>
      </w:r>
      <w:r w:rsidR="00C02590">
        <w:t>–</w:t>
      </w:r>
      <w:r>
        <w:t>10</w:t>
      </w:r>
      <w:r w:rsidRPr="00CB1F25">
        <w:t>.</w:t>
      </w:r>
    </w:p>
  </w:footnote>
  <w:footnote w:id="12">
    <w:p w14:paraId="3EAFF871" w14:textId="7660049D" w:rsidR="008F5B45" w:rsidRPr="00E13984" w:rsidRDefault="008F5B45" w:rsidP="008F5B45">
      <w:pPr>
        <w:pStyle w:val="FootnoteText"/>
      </w:pPr>
      <w:r>
        <w:rPr>
          <w:rStyle w:val="FootnoteReference"/>
        </w:rPr>
        <w:footnoteRef/>
      </w:r>
      <w:r>
        <w:t xml:space="preserve"> </w:t>
      </w:r>
      <w:r>
        <w:rPr>
          <w:i/>
        </w:rPr>
        <w:t>See</w:t>
      </w:r>
      <w:r>
        <w:t xml:space="preserve"> </w:t>
      </w:r>
      <w:r>
        <w:rPr>
          <w:i/>
        </w:rPr>
        <w:t>N</w:t>
      </w:r>
      <w:r w:rsidR="007D03AE">
        <w:rPr>
          <w:i/>
        </w:rPr>
        <w:t>.</w:t>
      </w:r>
      <w:r>
        <w:rPr>
          <w:i/>
        </w:rPr>
        <w:t xml:space="preserve"> Cnty</w:t>
      </w:r>
      <w:r w:rsidR="007D03AE">
        <w:rPr>
          <w:i/>
        </w:rPr>
        <w:t>.</w:t>
      </w:r>
      <w:r>
        <w:rPr>
          <w:i/>
        </w:rPr>
        <w:t xml:space="preserve"> Broad</w:t>
      </w:r>
      <w:r w:rsidR="007D03AE">
        <w:rPr>
          <w:i/>
        </w:rPr>
        <w:t>.</w:t>
      </w:r>
      <w:r>
        <w:rPr>
          <w:i/>
        </w:rPr>
        <w:t xml:space="preserve"> Corp</w:t>
      </w:r>
      <w:r w:rsidR="007D03AE">
        <w:rPr>
          <w:i/>
        </w:rPr>
        <w:t>.</w:t>
      </w:r>
      <w:r>
        <w:rPr>
          <w:i/>
        </w:rPr>
        <w:t xml:space="preserve">, </w:t>
      </w:r>
      <w:r>
        <w:t>Memorandum Opinion and Order, 29 FCC Rcd 13261 (2014).</w:t>
      </w:r>
    </w:p>
  </w:footnote>
  <w:footnote w:id="13">
    <w:p w14:paraId="0ECF99C2" w14:textId="670F8213" w:rsidR="001302CF" w:rsidRPr="0040394E" w:rsidRDefault="001302CF" w:rsidP="001302CF">
      <w:pPr>
        <w:pStyle w:val="FootnoteText"/>
      </w:pPr>
      <w:r>
        <w:rPr>
          <w:rStyle w:val="FootnoteReference"/>
        </w:rPr>
        <w:footnoteRef/>
      </w:r>
      <w:r>
        <w:t xml:space="preserve"> </w:t>
      </w:r>
      <w:r w:rsidRPr="00E13984">
        <w:rPr>
          <w:i/>
        </w:rPr>
        <w:t>See</w:t>
      </w:r>
      <w:r>
        <w:t xml:space="preserve"> </w:t>
      </w:r>
      <w:r w:rsidRPr="00E13984">
        <w:t>Forfe</w:t>
      </w:r>
      <w:r>
        <w:t>iture Order, 29 FCC Rcd at 1178–</w:t>
      </w:r>
      <w:r w:rsidRPr="00E13984">
        <w:t>79, para. 6.</w:t>
      </w:r>
      <w:r>
        <w:t xml:space="preserve">  </w:t>
      </w:r>
      <w:r>
        <w:rPr>
          <w:i/>
        </w:rPr>
        <w:t xml:space="preserve">See also </w:t>
      </w:r>
      <w:r w:rsidRPr="00E13984">
        <w:rPr>
          <w:i/>
        </w:rPr>
        <w:t>The Commission’s Forfeiture Policy Statement and Amendment of Section 1.80 of the Rules to Incorporate the Forfeiture Guidelines</w:t>
      </w:r>
      <w:r w:rsidR="007D03AE">
        <w:t>,</w:t>
      </w:r>
      <w:r w:rsidRPr="00E13984">
        <w:rPr>
          <w:i/>
        </w:rPr>
        <w:t xml:space="preserve"> </w:t>
      </w:r>
      <w:r w:rsidRPr="00E13984">
        <w:t>Report and Order, 12 FCC Rcd 17087, 17</w:t>
      </w:r>
      <w:r>
        <w:t>109</w:t>
      </w:r>
      <w:r w:rsidRPr="00E13984">
        <w:t>, para</w:t>
      </w:r>
      <w:r>
        <w:t>s</w:t>
      </w:r>
      <w:r w:rsidRPr="00E13984">
        <w:t xml:space="preserve">. </w:t>
      </w:r>
      <w:r>
        <w:t xml:space="preserve">51–52 </w:t>
      </w:r>
      <w:r w:rsidRPr="00E13984">
        <w:t xml:space="preserve">(1997), </w:t>
      </w:r>
      <w:r w:rsidRPr="00E13984">
        <w:rPr>
          <w:i/>
        </w:rPr>
        <w:t>recon</w:t>
      </w:r>
      <w:r>
        <w:rPr>
          <w:i/>
        </w:rPr>
        <w:t>s</w:t>
      </w:r>
      <w:r w:rsidRPr="00E13984">
        <w:rPr>
          <w:i/>
        </w:rPr>
        <w:t>. denied</w:t>
      </w:r>
      <w:r w:rsidRPr="00E13984">
        <w:t>, 15 FCC Rcd 303 (1999)</w:t>
      </w:r>
      <w:r w:rsidRPr="00E13984">
        <w:rPr>
          <w:i/>
        </w:rPr>
        <w:t xml:space="preserve"> </w:t>
      </w:r>
      <w:r w:rsidR="007D03AE">
        <w:t>(</w:t>
      </w:r>
      <w:r w:rsidRPr="00E13984">
        <w:rPr>
          <w:i/>
        </w:rPr>
        <w:t>Forfeiture Policy Statement</w:t>
      </w:r>
      <w:r w:rsidR="007D03AE">
        <w:t>)</w:t>
      </w:r>
      <w:r w:rsidRPr="00E13984">
        <w:t xml:space="preserve">.  </w:t>
      </w:r>
    </w:p>
  </w:footnote>
  <w:footnote w:id="14">
    <w:p w14:paraId="45082518" w14:textId="58C19A8B" w:rsidR="0098587B" w:rsidRPr="00474CBC" w:rsidRDefault="0098587B" w:rsidP="0098587B">
      <w:pPr>
        <w:pStyle w:val="FootnoteText"/>
        <w:rPr>
          <w:i/>
        </w:rPr>
      </w:pPr>
      <w:r>
        <w:rPr>
          <w:rStyle w:val="FootnoteReference"/>
        </w:rPr>
        <w:footnoteRef/>
      </w:r>
      <w:r>
        <w:t xml:space="preserve"> As noted in the Forfeiture Order, this argument is </w:t>
      </w:r>
      <w:r w:rsidRPr="00297E69">
        <w:rPr>
          <w:szCs w:val="22"/>
        </w:rPr>
        <w:t xml:space="preserve">premised primarily on a </w:t>
      </w:r>
      <w:r w:rsidR="00642356">
        <w:rPr>
          <w:szCs w:val="22"/>
        </w:rPr>
        <w:t>long</w:t>
      </w:r>
      <w:r w:rsidR="007D03AE">
        <w:rPr>
          <w:szCs w:val="22"/>
        </w:rPr>
        <w:t>-</w:t>
      </w:r>
      <w:r w:rsidR="00642356">
        <w:rPr>
          <w:szCs w:val="22"/>
        </w:rPr>
        <w:t xml:space="preserve">dormant </w:t>
      </w:r>
      <w:r w:rsidR="00C27D9C">
        <w:rPr>
          <w:szCs w:val="22"/>
        </w:rPr>
        <w:t>and recently terminated</w:t>
      </w:r>
      <w:r w:rsidR="00642356">
        <w:rPr>
          <w:szCs w:val="22"/>
        </w:rPr>
        <w:t xml:space="preserve"> </w:t>
      </w:r>
      <w:r w:rsidRPr="00297E69">
        <w:rPr>
          <w:szCs w:val="22"/>
        </w:rPr>
        <w:t>petition for rulemaking</w:t>
      </w:r>
      <w:r w:rsidR="00C27D9C">
        <w:rPr>
          <w:szCs w:val="22"/>
        </w:rPr>
        <w:t>, RM-11332,</w:t>
      </w:r>
      <w:r w:rsidRPr="00297E69">
        <w:rPr>
          <w:szCs w:val="22"/>
        </w:rPr>
        <w:t xml:space="preserve"> that Pacific Empire’s counsel filed over eight years ago</w:t>
      </w:r>
      <w:r>
        <w:rPr>
          <w:szCs w:val="22"/>
        </w:rPr>
        <w:t>.</w:t>
      </w:r>
      <w:r>
        <w:t xml:space="preserve">  </w:t>
      </w:r>
      <w:r w:rsidR="001302CF">
        <w:t>Forfeiture Orde</w:t>
      </w:r>
      <w:r w:rsidR="00F437BD">
        <w:t xml:space="preserve">r, 29 FCC Rcd at 1179, para. 7, </w:t>
      </w:r>
      <w:r w:rsidR="001302CF">
        <w:t xml:space="preserve">n. 22.  </w:t>
      </w:r>
      <w:r w:rsidR="00C27D9C" w:rsidRPr="00514A52">
        <w:rPr>
          <w:i/>
        </w:rPr>
        <w:t>See Termination of Certain Proceedings as Dormant</w:t>
      </w:r>
      <w:r w:rsidR="00C27D9C">
        <w:t xml:space="preserve">, </w:t>
      </w:r>
      <w:r w:rsidR="009D0343">
        <w:t xml:space="preserve">Order, </w:t>
      </w:r>
      <w:r w:rsidR="00C27D9C">
        <w:t>DA</w:t>
      </w:r>
      <w:r w:rsidR="00C02590">
        <w:t xml:space="preserve"> </w:t>
      </w:r>
      <w:r w:rsidR="00C27D9C">
        <w:t>14-1871</w:t>
      </w:r>
      <w:r w:rsidR="00C02590">
        <w:t>,</w:t>
      </w:r>
      <w:r w:rsidR="00DE47E2">
        <w:t xml:space="preserve"> </w:t>
      </w:r>
      <w:r w:rsidR="00DE47E2" w:rsidRPr="00DE47E2">
        <w:t xml:space="preserve">2014 WL 7331973 </w:t>
      </w:r>
      <w:r w:rsidR="00C27D9C">
        <w:t>(</w:t>
      </w:r>
      <w:r w:rsidR="00DE47E2">
        <w:t>CGB</w:t>
      </w:r>
      <w:r w:rsidR="00C27D9C">
        <w:t xml:space="preserve"> Dec. 22, 2014)</w:t>
      </w:r>
      <w:r w:rsidR="00DE47E2">
        <w:t>.</w:t>
      </w:r>
      <w:r w:rsidRPr="00474CBC">
        <w:t xml:space="preserve">  </w:t>
      </w:r>
    </w:p>
  </w:footnote>
  <w:footnote w:id="15">
    <w:p w14:paraId="185F79F9" w14:textId="77777777" w:rsidR="0098587B" w:rsidRPr="00D45B52" w:rsidRDefault="0098587B" w:rsidP="0098587B">
      <w:pPr>
        <w:pStyle w:val="FootnoteText"/>
      </w:pPr>
      <w:r>
        <w:rPr>
          <w:rStyle w:val="FootnoteReference"/>
        </w:rPr>
        <w:footnoteRef/>
      </w:r>
      <w:r>
        <w:t xml:space="preserve"> </w:t>
      </w:r>
      <w:r>
        <w:rPr>
          <w:i/>
        </w:rPr>
        <w:t xml:space="preserve">See </w:t>
      </w:r>
      <w:r w:rsidRPr="00181C97">
        <w:rPr>
          <w:i/>
        </w:rPr>
        <w:t>Standardized and Enhanced Disclosure Requirements For Television Requirements For Television Broadcast Licensee Public Interest Obligations</w:t>
      </w:r>
      <w:r>
        <w:t>, Second Report and Order, 27 FCC Rcd 4535 (2012) (the Commission “</w:t>
      </w:r>
      <w:r w:rsidRPr="00D45B52">
        <w:t>modernize</w:t>
      </w:r>
      <w:r>
        <w:t>[d]</w:t>
      </w:r>
      <w:r w:rsidRPr="00D45B52">
        <w:t xml:space="preserve"> the procedures television broadcasters use to inform the public about how they are serving their communities, by having stations post their public files online in a central, Commission-hosted database, rather than maintaining the files locally at their main studios</w:t>
      </w:r>
      <w:r>
        <w:t xml:space="preserve">”). </w:t>
      </w:r>
    </w:p>
  </w:footnote>
  <w:footnote w:id="16">
    <w:p w14:paraId="21D70D9D" w14:textId="561569AE" w:rsidR="0098587B" w:rsidRDefault="0098587B" w:rsidP="0098587B">
      <w:pPr>
        <w:pStyle w:val="FootnoteText"/>
      </w:pPr>
      <w:r>
        <w:rPr>
          <w:rStyle w:val="FootnoteReference"/>
        </w:rPr>
        <w:footnoteRef/>
      </w:r>
      <w:r>
        <w:t xml:space="preserve"> </w:t>
      </w:r>
      <w:r>
        <w:rPr>
          <w:i/>
        </w:rPr>
        <w:t xml:space="preserve">See </w:t>
      </w:r>
      <w:r w:rsidRPr="00181C97">
        <w:rPr>
          <w:i/>
        </w:rPr>
        <w:t>Expansion of Online Public File Obligations To Cable and Satellite TV Operators and Broadcast and Satellite Radio Licensees</w:t>
      </w:r>
      <w:r>
        <w:t xml:space="preserve">, Notice of Proposed Rulemaking, </w:t>
      </w:r>
      <w:r w:rsidR="009D0343">
        <w:t>29 FCC Rcd 15943 (</w:t>
      </w:r>
      <w:r>
        <w:t>2014) (proposing to</w:t>
      </w:r>
      <w:r w:rsidRPr="00DB528E">
        <w:t xml:space="preserve"> </w:t>
      </w:r>
      <w:r>
        <w:t xml:space="preserve">expand </w:t>
      </w:r>
      <w:r w:rsidRPr="00DB528E">
        <w:t>the requirement that public inspection files be posted to the FCC’s online database</w:t>
      </w:r>
      <w:r>
        <w:t xml:space="preserve"> to cable, satellite, and radio broadcast licensees).</w:t>
      </w:r>
    </w:p>
  </w:footnote>
  <w:footnote w:id="17">
    <w:p w14:paraId="07ECA67F" w14:textId="77777777" w:rsidR="00297E69" w:rsidRDefault="00297E69" w:rsidP="00297E69">
      <w:pPr>
        <w:pStyle w:val="FootnoteText"/>
      </w:pPr>
      <w:r>
        <w:rPr>
          <w:rStyle w:val="FootnoteReference"/>
        </w:rPr>
        <w:footnoteRef/>
      </w:r>
      <w:r>
        <w:t xml:space="preserve"> </w:t>
      </w:r>
      <w:r w:rsidRPr="00474CBC">
        <w:rPr>
          <w:i/>
        </w:rPr>
        <w:t>See</w:t>
      </w:r>
      <w:r w:rsidRPr="001422F0">
        <w:t xml:space="preserve"> Forfeiture Order, 29 FCC Rcd at 117</w:t>
      </w:r>
      <w:r>
        <w:t>9–80, para. 7.</w:t>
      </w:r>
    </w:p>
  </w:footnote>
  <w:footnote w:id="18">
    <w:p w14:paraId="1CBC1946" w14:textId="77777777" w:rsidR="00297E69" w:rsidRDefault="00297E69" w:rsidP="00297E69">
      <w:pPr>
        <w:pStyle w:val="FootnoteText"/>
      </w:pPr>
      <w:r>
        <w:rPr>
          <w:rStyle w:val="FootnoteReference"/>
        </w:rPr>
        <w:footnoteRef/>
      </w:r>
      <w:r>
        <w:t xml:space="preserve"> </w:t>
      </w:r>
      <w:r w:rsidRPr="00474CBC">
        <w:rPr>
          <w:i/>
        </w:rPr>
        <w:t>See</w:t>
      </w:r>
      <w:r w:rsidRPr="001422F0">
        <w:t xml:space="preserve"> Forfeiture Order, 29 FCC Rcd at 1179, </w:t>
      </w:r>
      <w:r>
        <w:t>n.24.</w:t>
      </w:r>
    </w:p>
  </w:footnote>
  <w:footnote w:id="19">
    <w:p w14:paraId="772262AD" w14:textId="77777777" w:rsidR="00297E69" w:rsidRDefault="00297E69" w:rsidP="00297E69">
      <w:pPr>
        <w:pStyle w:val="FootnoteText"/>
      </w:pPr>
      <w:r>
        <w:rPr>
          <w:rStyle w:val="FootnoteReference"/>
        </w:rPr>
        <w:footnoteRef/>
      </w:r>
      <w:r>
        <w:t xml:space="preserve"> </w:t>
      </w:r>
      <w:r w:rsidRPr="00474CBC">
        <w:rPr>
          <w:i/>
        </w:rPr>
        <w:t>See</w:t>
      </w:r>
      <w:r w:rsidRPr="001422F0">
        <w:t xml:space="preserve"> Forfeiture Order, 29 FCC Rcd at 1179, </w:t>
      </w:r>
      <w:r>
        <w:t>n.25.</w:t>
      </w:r>
    </w:p>
  </w:footnote>
  <w:footnote w:id="20">
    <w:p w14:paraId="2AA285A5" w14:textId="12BDF1F5" w:rsidR="00000990" w:rsidRPr="00193A4F" w:rsidRDefault="00000990">
      <w:pPr>
        <w:pStyle w:val="FootnoteText"/>
      </w:pPr>
      <w:r w:rsidRPr="00193A4F">
        <w:rPr>
          <w:rStyle w:val="FootnoteReference"/>
        </w:rPr>
        <w:footnoteRef/>
      </w:r>
      <w:r w:rsidRPr="00193A4F">
        <w:t xml:space="preserve"> 47 U.S.C. § 405; 47 C.F.R. § 1.106.</w:t>
      </w:r>
    </w:p>
  </w:footnote>
  <w:footnote w:id="21">
    <w:p w14:paraId="58528086" w14:textId="6B9D02C7" w:rsidR="00000990" w:rsidRPr="00193A4F" w:rsidRDefault="00000990">
      <w:pPr>
        <w:pStyle w:val="FootnoteText"/>
      </w:pPr>
      <w:r w:rsidRPr="00193A4F">
        <w:rPr>
          <w:rStyle w:val="FootnoteReference"/>
        </w:rPr>
        <w:footnoteRef/>
      </w:r>
      <w:r w:rsidRPr="00193A4F">
        <w:t xml:space="preserve"> </w:t>
      </w:r>
      <w:r w:rsidR="005224CB" w:rsidRPr="00193A4F">
        <w:t xml:space="preserve">47 U.S.C. § 503(b); </w:t>
      </w:r>
      <w:r w:rsidR="00E25164">
        <w:t>47 C.F.R. §§ 0.111, 0.311, 1.80, 73.3526.</w:t>
      </w:r>
    </w:p>
  </w:footnote>
  <w:footnote w:id="22">
    <w:p w14:paraId="06F8F1A4" w14:textId="606C5762" w:rsidR="005224CB" w:rsidRPr="00193A4F" w:rsidRDefault="005224CB">
      <w:pPr>
        <w:pStyle w:val="FootnoteText"/>
      </w:pPr>
      <w:r w:rsidRPr="00193A4F">
        <w:rPr>
          <w:rStyle w:val="FootnoteReference"/>
        </w:rPr>
        <w:footnoteRef/>
      </w:r>
      <w:r w:rsidRPr="00193A4F">
        <w:t xml:space="preserve"> 47 C.F.R. § 1.80.</w:t>
      </w:r>
    </w:p>
  </w:footnote>
  <w:footnote w:id="23">
    <w:p w14:paraId="78114520" w14:textId="06ADEF02" w:rsidR="005224CB" w:rsidRPr="00193A4F" w:rsidRDefault="005224CB">
      <w:pPr>
        <w:pStyle w:val="FootnoteText"/>
      </w:pPr>
      <w:r w:rsidRPr="00193A4F">
        <w:rPr>
          <w:rStyle w:val="FootnoteReference"/>
        </w:rPr>
        <w:footnoteRef/>
      </w:r>
      <w:r w:rsidRPr="00193A4F">
        <w:t xml:space="preserve"> 47 U.S.C. § 504(a).</w:t>
      </w:r>
    </w:p>
  </w:footnote>
  <w:footnote w:id="24">
    <w:p w14:paraId="75B9279F" w14:textId="02BA3F90" w:rsidR="005224CB" w:rsidRPr="00193A4F" w:rsidRDefault="005224CB">
      <w:pPr>
        <w:pStyle w:val="FootnoteText"/>
      </w:pPr>
      <w:r w:rsidRPr="00193A4F">
        <w:rPr>
          <w:rStyle w:val="FootnoteReference"/>
        </w:rPr>
        <w:footnoteRef/>
      </w:r>
      <w:r w:rsidRPr="00193A4F">
        <w:t xml:space="preserve"> </w:t>
      </w:r>
      <w:r w:rsidRPr="00193A4F">
        <w:rPr>
          <w:rFonts w:eastAsia="MS Mincho"/>
        </w:rPr>
        <w:t>An FCC Form 159 and detailed instructions for completing the form may be obtained at http://www.fcc.gov/Forms/Form159/159.pdf.</w:t>
      </w:r>
    </w:p>
  </w:footnote>
  <w:footnote w:id="25">
    <w:p w14:paraId="5BBD6AAE" w14:textId="0954AC1E" w:rsidR="006C1286" w:rsidRDefault="006C1286">
      <w:pPr>
        <w:pStyle w:val="FootnoteText"/>
      </w:pPr>
      <w:r w:rsidRPr="00193A4F">
        <w:rPr>
          <w:rStyle w:val="FootnoteReference"/>
        </w:rPr>
        <w:footnoteRef/>
      </w:r>
      <w:r w:rsidRPr="00193A4F">
        <w:t xml:space="preserve"> </w:t>
      </w:r>
      <w:r w:rsidRPr="00193A4F">
        <w:rPr>
          <w:i/>
        </w:rPr>
        <w:t>See</w:t>
      </w:r>
      <w:r w:rsidRPr="00193A4F">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F338" w14:textId="77777777" w:rsidR="004A2AEE" w:rsidRDefault="004A2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D44B" w14:textId="3DBB45A2" w:rsidR="00193A4F" w:rsidRDefault="00193A4F" w:rsidP="00193A4F">
    <w:pPr>
      <w:pStyle w:val="Header"/>
      <w:rPr>
        <w:b w:val="0"/>
      </w:rPr>
    </w:pPr>
    <w:r w:rsidRPr="002A6579">
      <w:rPr>
        <w:noProof/>
        <w:snapToGrid/>
      </w:rPr>
      <mc:AlternateContent>
        <mc:Choice Requires="wps">
          <w:drawing>
            <wp:anchor distT="0" distB="0" distL="114300" distR="114300" simplePos="0" relativeHeight="251661312" behindDoc="1" locked="0" layoutInCell="0" allowOverlap="1" wp14:anchorId="462D870C" wp14:editId="5BA2AD74">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sidR="003037E3">
      <w:t>DA 15-</w:t>
    </w:r>
    <w:r w:rsidR="000F3142">
      <w:t>144</w:t>
    </w:r>
  </w:p>
  <w:p w14:paraId="2627E7F6" w14:textId="77777777" w:rsidR="00193A4F" w:rsidRDefault="00193A4F" w:rsidP="00193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2CF8B" w14:textId="1797DE90" w:rsidR="00E7655F" w:rsidRDefault="00E7655F" w:rsidP="00E7655F">
    <w:pPr>
      <w:pStyle w:val="Header"/>
      <w:rPr>
        <w:b w:val="0"/>
      </w:rPr>
    </w:pPr>
    <w:r w:rsidRPr="00193A4F">
      <w:rPr>
        <w:noProof/>
        <w:snapToGrid/>
      </w:rPr>
      <mc:AlternateContent>
        <mc:Choice Requires="wps">
          <w:drawing>
            <wp:anchor distT="0" distB="0" distL="114300" distR="114300" simplePos="0" relativeHeight="251659264" behindDoc="1" locked="0" layoutInCell="0" allowOverlap="1" wp14:anchorId="7D90AEE8" wp14:editId="3292E8F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sidR="003037E3">
      <w:rPr>
        <w:spacing w:val="-2"/>
      </w:rPr>
      <w:t>DA 15-</w:t>
    </w:r>
    <w:r w:rsidR="000F3142">
      <w:rPr>
        <w:spacing w:val="-2"/>
      </w:rPr>
      <w:t>144</w:t>
    </w:r>
  </w:p>
  <w:p w14:paraId="2EE065EB" w14:textId="1DD8EDEA" w:rsidR="0009224B" w:rsidRPr="006E5991" w:rsidRDefault="00092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070BBF"/>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left="0" w:hanging="360"/>
      </w:pPr>
      <w:rPr>
        <w:rFonts w:hint="default"/>
      </w:rPr>
    </w:lvl>
    <w:lvl w:ilvl="2" w:tplc="FFFFFFFF">
      <w:start w:val="15"/>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A21FC2"/>
    <w:multiLevelType w:val="hybridMultilevel"/>
    <w:tmpl w:val="2BDE5D32"/>
    <w:lvl w:ilvl="0" w:tplc="ABA43370">
      <w:start w:val="1"/>
      <w:numFmt w:val="decimal"/>
      <w:lvlText w:val="%1."/>
      <w:lvlJc w:val="left"/>
      <w:pPr>
        <w:tabs>
          <w:tab w:val="num" w:pos="1440"/>
        </w:tabs>
        <w:ind w:left="720" w:firstLine="720"/>
      </w:pPr>
      <w:rPr>
        <w:rFonts w:ascii="Times New Roman" w:hAnsi="Times New Roman" w:hint="default"/>
        <w:b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9">
    <w:nsid w:val="61182925"/>
    <w:multiLevelType w:val="singleLevel"/>
    <w:tmpl w:val="C30AE1CA"/>
    <w:lvl w:ilvl="0">
      <w:start w:val="1"/>
      <w:numFmt w:val="decimal"/>
      <w:pStyle w:val="ParaNum"/>
      <w:lvlText w:val="%1."/>
      <w:lvlJc w:val="left"/>
      <w:pPr>
        <w:tabs>
          <w:tab w:val="num" w:pos="1080"/>
        </w:tabs>
        <w:ind w:left="0" w:firstLine="720"/>
      </w:pPr>
      <w:rPr>
        <w:b w:val="0"/>
      </w:rPr>
    </w:lvl>
  </w:abstractNum>
  <w:abstractNum w:abstractNumId="10">
    <w:nsid w:val="64BF427E"/>
    <w:multiLevelType w:val="hybridMultilevel"/>
    <w:tmpl w:val="A8A6567C"/>
    <w:lvl w:ilvl="0" w:tplc="4568F4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B48D2"/>
    <w:multiLevelType w:val="singleLevel"/>
    <w:tmpl w:val="93C2E86E"/>
    <w:lvl w:ilvl="0">
      <w:start w:val="1"/>
      <w:numFmt w:val="decimal"/>
      <w:pStyle w:val="Paranum0"/>
      <w:lvlText w:val="%1."/>
      <w:lvlJc w:val="left"/>
      <w:pPr>
        <w:tabs>
          <w:tab w:val="num" w:pos="1260"/>
        </w:tabs>
        <w:ind w:left="1260" w:hanging="360"/>
      </w:pPr>
      <w:rPr>
        <w:b w:val="0"/>
      </w:r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11"/>
  </w:num>
  <w:num w:numId="8">
    <w:abstractNumId w:val="5"/>
  </w:num>
  <w:num w:numId="9">
    <w:abstractNumId w:val="9"/>
  </w:num>
  <w:num w:numId="10">
    <w:abstractNumId w:val="9"/>
  </w:num>
  <w:num w:numId="11">
    <w:abstractNumId w:val="9"/>
    <w:lvlOverride w:ilvl="0">
      <w:startOverride w:val="1"/>
    </w:lvlOverride>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7"/>
  </w:num>
  <w:num w:numId="21">
    <w:abstractNumId w:val="8"/>
  </w:num>
  <w:num w:numId="22">
    <w:abstractNumId w:val="1"/>
  </w:num>
  <w:num w:numId="23">
    <w:abstractNumId w:val="10"/>
  </w:num>
  <w:num w:numId="24">
    <w:abstractNumId w:val="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6B"/>
    <w:rsid w:val="00000990"/>
    <w:rsid w:val="0000707F"/>
    <w:rsid w:val="0002015A"/>
    <w:rsid w:val="00036039"/>
    <w:rsid w:val="00037F90"/>
    <w:rsid w:val="00070C69"/>
    <w:rsid w:val="0008194C"/>
    <w:rsid w:val="000875BF"/>
    <w:rsid w:val="0009224B"/>
    <w:rsid w:val="00096D8C"/>
    <w:rsid w:val="000A3765"/>
    <w:rsid w:val="000C0B65"/>
    <w:rsid w:val="000C0D26"/>
    <w:rsid w:val="000C16E9"/>
    <w:rsid w:val="000E05FE"/>
    <w:rsid w:val="000E2358"/>
    <w:rsid w:val="000E28BB"/>
    <w:rsid w:val="000E3D42"/>
    <w:rsid w:val="000E7ABB"/>
    <w:rsid w:val="000F3142"/>
    <w:rsid w:val="000F527C"/>
    <w:rsid w:val="0010411F"/>
    <w:rsid w:val="00113DC7"/>
    <w:rsid w:val="00114FA6"/>
    <w:rsid w:val="00122BD5"/>
    <w:rsid w:val="001302CF"/>
    <w:rsid w:val="00133F79"/>
    <w:rsid w:val="00160A7F"/>
    <w:rsid w:val="00162EA6"/>
    <w:rsid w:val="00193A4F"/>
    <w:rsid w:val="00194A66"/>
    <w:rsid w:val="001A7391"/>
    <w:rsid w:val="001B2C60"/>
    <w:rsid w:val="001B6AB2"/>
    <w:rsid w:val="001C0938"/>
    <w:rsid w:val="001D331E"/>
    <w:rsid w:val="001D6BCF"/>
    <w:rsid w:val="001D7942"/>
    <w:rsid w:val="001E01CA"/>
    <w:rsid w:val="002029E3"/>
    <w:rsid w:val="00203416"/>
    <w:rsid w:val="00211EE5"/>
    <w:rsid w:val="00223B5E"/>
    <w:rsid w:val="00242C09"/>
    <w:rsid w:val="00251755"/>
    <w:rsid w:val="00275CF5"/>
    <w:rsid w:val="0028301F"/>
    <w:rsid w:val="00285017"/>
    <w:rsid w:val="00285D0C"/>
    <w:rsid w:val="00297E69"/>
    <w:rsid w:val="002A2D2E"/>
    <w:rsid w:val="002A6579"/>
    <w:rsid w:val="002C00E8"/>
    <w:rsid w:val="002D0E6B"/>
    <w:rsid w:val="002D351E"/>
    <w:rsid w:val="003037E3"/>
    <w:rsid w:val="00303F13"/>
    <w:rsid w:val="003120F6"/>
    <w:rsid w:val="003178AB"/>
    <w:rsid w:val="00321E01"/>
    <w:rsid w:val="00335A81"/>
    <w:rsid w:val="00343749"/>
    <w:rsid w:val="00350348"/>
    <w:rsid w:val="00357336"/>
    <w:rsid w:val="00360C9D"/>
    <w:rsid w:val="003612B0"/>
    <w:rsid w:val="003660ED"/>
    <w:rsid w:val="003B0550"/>
    <w:rsid w:val="003B694F"/>
    <w:rsid w:val="003F171C"/>
    <w:rsid w:val="00402558"/>
    <w:rsid w:val="00412FC5"/>
    <w:rsid w:val="00422276"/>
    <w:rsid w:val="00422D7F"/>
    <w:rsid w:val="004242F1"/>
    <w:rsid w:val="00434BAC"/>
    <w:rsid w:val="00445A00"/>
    <w:rsid w:val="0045072C"/>
    <w:rsid w:val="004519A1"/>
    <w:rsid w:val="00451B0F"/>
    <w:rsid w:val="004577DB"/>
    <w:rsid w:val="00486E95"/>
    <w:rsid w:val="004874B1"/>
    <w:rsid w:val="004A2AEE"/>
    <w:rsid w:val="004A702D"/>
    <w:rsid w:val="004B2A7F"/>
    <w:rsid w:val="004C2EE3"/>
    <w:rsid w:val="004E36FF"/>
    <w:rsid w:val="004E4A22"/>
    <w:rsid w:val="004F1DB8"/>
    <w:rsid w:val="004F5280"/>
    <w:rsid w:val="00511968"/>
    <w:rsid w:val="00514A52"/>
    <w:rsid w:val="005224CB"/>
    <w:rsid w:val="00534310"/>
    <w:rsid w:val="0055614C"/>
    <w:rsid w:val="0055746A"/>
    <w:rsid w:val="005605B5"/>
    <w:rsid w:val="00573650"/>
    <w:rsid w:val="0058372A"/>
    <w:rsid w:val="00586D68"/>
    <w:rsid w:val="005A06DE"/>
    <w:rsid w:val="005B07EC"/>
    <w:rsid w:val="005C02C7"/>
    <w:rsid w:val="005C760D"/>
    <w:rsid w:val="005E14C2"/>
    <w:rsid w:val="005E6DE0"/>
    <w:rsid w:val="005F7D36"/>
    <w:rsid w:val="00607BA5"/>
    <w:rsid w:val="0061180A"/>
    <w:rsid w:val="00620339"/>
    <w:rsid w:val="00626EB6"/>
    <w:rsid w:val="006305B1"/>
    <w:rsid w:val="00630A5A"/>
    <w:rsid w:val="00642356"/>
    <w:rsid w:val="00655D03"/>
    <w:rsid w:val="006770B5"/>
    <w:rsid w:val="00683388"/>
    <w:rsid w:val="00683F84"/>
    <w:rsid w:val="006A593E"/>
    <w:rsid w:val="006A6A81"/>
    <w:rsid w:val="006A6B3E"/>
    <w:rsid w:val="006B2271"/>
    <w:rsid w:val="006C1286"/>
    <w:rsid w:val="006C1DBE"/>
    <w:rsid w:val="006E5991"/>
    <w:rsid w:val="006F6E7B"/>
    <w:rsid w:val="006F7393"/>
    <w:rsid w:val="0070224F"/>
    <w:rsid w:val="007115F7"/>
    <w:rsid w:val="00713A21"/>
    <w:rsid w:val="007225B2"/>
    <w:rsid w:val="007433C9"/>
    <w:rsid w:val="0077084D"/>
    <w:rsid w:val="00785689"/>
    <w:rsid w:val="0079754B"/>
    <w:rsid w:val="007A1E6D"/>
    <w:rsid w:val="007A1F96"/>
    <w:rsid w:val="007B0EB2"/>
    <w:rsid w:val="007B71BE"/>
    <w:rsid w:val="007D03AE"/>
    <w:rsid w:val="007D0E8E"/>
    <w:rsid w:val="007F4FC8"/>
    <w:rsid w:val="00800AA8"/>
    <w:rsid w:val="00800B3C"/>
    <w:rsid w:val="00810B6F"/>
    <w:rsid w:val="00822CE0"/>
    <w:rsid w:val="0083291F"/>
    <w:rsid w:val="00841AB1"/>
    <w:rsid w:val="008469D5"/>
    <w:rsid w:val="00864DA0"/>
    <w:rsid w:val="008908CE"/>
    <w:rsid w:val="008A36DD"/>
    <w:rsid w:val="008A5F2D"/>
    <w:rsid w:val="008A6DD3"/>
    <w:rsid w:val="008C68F1"/>
    <w:rsid w:val="008C7956"/>
    <w:rsid w:val="008E026D"/>
    <w:rsid w:val="008F5B45"/>
    <w:rsid w:val="00901425"/>
    <w:rsid w:val="00916167"/>
    <w:rsid w:val="00916359"/>
    <w:rsid w:val="00917FA4"/>
    <w:rsid w:val="00920075"/>
    <w:rsid w:val="0092117B"/>
    <w:rsid w:val="00921803"/>
    <w:rsid w:val="00926503"/>
    <w:rsid w:val="00933174"/>
    <w:rsid w:val="00933976"/>
    <w:rsid w:val="00961CEC"/>
    <w:rsid w:val="00965C5A"/>
    <w:rsid w:val="00972589"/>
    <w:rsid w:val="009726D8"/>
    <w:rsid w:val="00983723"/>
    <w:rsid w:val="0098587B"/>
    <w:rsid w:val="00991638"/>
    <w:rsid w:val="0099210E"/>
    <w:rsid w:val="009B6595"/>
    <w:rsid w:val="009C3F66"/>
    <w:rsid w:val="009D0343"/>
    <w:rsid w:val="009D7109"/>
    <w:rsid w:val="009D7963"/>
    <w:rsid w:val="009F76DB"/>
    <w:rsid w:val="00A15C2B"/>
    <w:rsid w:val="00A173E4"/>
    <w:rsid w:val="00A2631C"/>
    <w:rsid w:val="00A32C3B"/>
    <w:rsid w:val="00A45F4F"/>
    <w:rsid w:val="00A600A9"/>
    <w:rsid w:val="00A81EDF"/>
    <w:rsid w:val="00A96336"/>
    <w:rsid w:val="00AA05B6"/>
    <w:rsid w:val="00AA55B7"/>
    <w:rsid w:val="00AA5B9E"/>
    <w:rsid w:val="00AB02A7"/>
    <w:rsid w:val="00AB2407"/>
    <w:rsid w:val="00AB3611"/>
    <w:rsid w:val="00AB53DF"/>
    <w:rsid w:val="00AC7A18"/>
    <w:rsid w:val="00AD3A50"/>
    <w:rsid w:val="00AE005D"/>
    <w:rsid w:val="00B07E5C"/>
    <w:rsid w:val="00B1346F"/>
    <w:rsid w:val="00B20659"/>
    <w:rsid w:val="00B23CDC"/>
    <w:rsid w:val="00B37F19"/>
    <w:rsid w:val="00B41958"/>
    <w:rsid w:val="00B47B17"/>
    <w:rsid w:val="00B548EF"/>
    <w:rsid w:val="00B6067E"/>
    <w:rsid w:val="00B7594D"/>
    <w:rsid w:val="00B811F7"/>
    <w:rsid w:val="00B86C07"/>
    <w:rsid w:val="00B9450D"/>
    <w:rsid w:val="00B97820"/>
    <w:rsid w:val="00BA1359"/>
    <w:rsid w:val="00BA4456"/>
    <w:rsid w:val="00BA5DC6"/>
    <w:rsid w:val="00BA6196"/>
    <w:rsid w:val="00BA6ACC"/>
    <w:rsid w:val="00BC037B"/>
    <w:rsid w:val="00BC6D8C"/>
    <w:rsid w:val="00C02590"/>
    <w:rsid w:val="00C1193E"/>
    <w:rsid w:val="00C20BB7"/>
    <w:rsid w:val="00C27D9C"/>
    <w:rsid w:val="00C34006"/>
    <w:rsid w:val="00C35607"/>
    <w:rsid w:val="00C426B1"/>
    <w:rsid w:val="00C43A2F"/>
    <w:rsid w:val="00C63B0B"/>
    <w:rsid w:val="00C66160"/>
    <w:rsid w:val="00C66C7F"/>
    <w:rsid w:val="00C721AC"/>
    <w:rsid w:val="00C9083D"/>
    <w:rsid w:val="00C90D6A"/>
    <w:rsid w:val="00C94F1E"/>
    <w:rsid w:val="00C97E9F"/>
    <w:rsid w:val="00CA247E"/>
    <w:rsid w:val="00CA6277"/>
    <w:rsid w:val="00CA69B4"/>
    <w:rsid w:val="00CB1F25"/>
    <w:rsid w:val="00CC72B6"/>
    <w:rsid w:val="00CE2150"/>
    <w:rsid w:val="00CF26FC"/>
    <w:rsid w:val="00CF4791"/>
    <w:rsid w:val="00D0218D"/>
    <w:rsid w:val="00D10AA4"/>
    <w:rsid w:val="00D149BD"/>
    <w:rsid w:val="00D25FB5"/>
    <w:rsid w:val="00D26F9D"/>
    <w:rsid w:val="00D30AFD"/>
    <w:rsid w:val="00D44223"/>
    <w:rsid w:val="00D66312"/>
    <w:rsid w:val="00D67325"/>
    <w:rsid w:val="00D725F9"/>
    <w:rsid w:val="00D817A3"/>
    <w:rsid w:val="00D92ECE"/>
    <w:rsid w:val="00DA2529"/>
    <w:rsid w:val="00DA5B36"/>
    <w:rsid w:val="00DB130A"/>
    <w:rsid w:val="00DB2EBB"/>
    <w:rsid w:val="00DC10A1"/>
    <w:rsid w:val="00DC655F"/>
    <w:rsid w:val="00DD0B59"/>
    <w:rsid w:val="00DD7EBD"/>
    <w:rsid w:val="00DE1C84"/>
    <w:rsid w:val="00DE1D2E"/>
    <w:rsid w:val="00DE3EBF"/>
    <w:rsid w:val="00DE47E2"/>
    <w:rsid w:val="00DF14E3"/>
    <w:rsid w:val="00DF2E51"/>
    <w:rsid w:val="00DF62B6"/>
    <w:rsid w:val="00E025F4"/>
    <w:rsid w:val="00E07225"/>
    <w:rsid w:val="00E1189D"/>
    <w:rsid w:val="00E23583"/>
    <w:rsid w:val="00E25164"/>
    <w:rsid w:val="00E5362A"/>
    <w:rsid w:val="00E5409F"/>
    <w:rsid w:val="00E550A1"/>
    <w:rsid w:val="00E57EA6"/>
    <w:rsid w:val="00E72A40"/>
    <w:rsid w:val="00E7655F"/>
    <w:rsid w:val="00E815FC"/>
    <w:rsid w:val="00EC0BC7"/>
    <w:rsid w:val="00EC7EFE"/>
    <w:rsid w:val="00ED1381"/>
    <w:rsid w:val="00ED5556"/>
    <w:rsid w:val="00EE6488"/>
    <w:rsid w:val="00EF61B1"/>
    <w:rsid w:val="00F021FA"/>
    <w:rsid w:val="00F052FC"/>
    <w:rsid w:val="00F437BD"/>
    <w:rsid w:val="00F5477A"/>
    <w:rsid w:val="00F548B2"/>
    <w:rsid w:val="00F62E97"/>
    <w:rsid w:val="00F64209"/>
    <w:rsid w:val="00F6699A"/>
    <w:rsid w:val="00F7113A"/>
    <w:rsid w:val="00F86BAB"/>
    <w:rsid w:val="00F90AF8"/>
    <w:rsid w:val="00F93BF5"/>
    <w:rsid w:val="00F966B9"/>
    <w:rsid w:val="00F9736C"/>
    <w:rsid w:val="00FB7248"/>
    <w:rsid w:val="00FD0D34"/>
    <w:rsid w:val="00FF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 w:type="character" w:customStyle="1" w:styleId="FooterChar">
    <w:name w:val="Footer Char"/>
    <w:basedOn w:val="DefaultParagraphFont"/>
    <w:link w:val="Footer"/>
    <w:uiPriority w:val="99"/>
    <w:rsid w:val="0008194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 w:type="character" w:customStyle="1" w:styleId="FooterChar">
    <w:name w:val="Footer Char"/>
    <w:basedOn w:val="DefaultParagraphFont"/>
    <w:link w:val="Footer"/>
    <w:uiPriority w:val="99"/>
    <w:rsid w:val="0008194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Find/Default.wl?rs=dfa1.0&amp;vr=2.0&amp;DB=0004493&amp;FindType=Y&amp;SerialNum=2027753863" TargetMode="External"/><Relationship Id="rId2" Type="http://schemas.openxmlformats.org/officeDocument/2006/relationships/hyperlink" Target="http://www.westlaw.com/Find/Default.wl?rs=dfa1.0&amp;vr=2.0&amp;DB=0004493&amp;FindType=Y&amp;SerialNum=2027753863" TargetMode="External"/><Relationship Id="rId1" Type="http://schemas.openxmlformats.org/officeDocument/2006/relationships/hyperlink" Target="http://www.westlaw.com/Find/Default.wl?rs=dfa1.0&amp;vr=2.0&amp;DB=0004493&amp;FindType=Y&amp;SerialNum=2027753863" TargetMode="External"/><Relationship Id="rId5" Type="http://schemas.openxmlformats.org/officeDocument/2006/relationships/hyperlink" Target="http://www.westlaw.com/Find/Default.wl?rs=dfa1.0&amp;vr=2.0&amp;DB=0004493&amp;FindType=Y&amp;SerialNum=2027753863" TargetMode="External"/><Relationship Id="rId4" Type="http://schemas.openxmlformats.org/officeDocument/2006/relationships/hyperlink" Target="http://www.westlaw.com/Find/Default.wl?rs=dfa1.0&amp;vr=2.0&amp;DB=0004493&amp;FindType=Y&amp;SerialNum=20277538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1229</Words>
  <Characters>6742</Characters>
  <Application>Microsoft Office Word</Application>
  <DocSecurity>0</DocSecurity>
  <Lines>136</Lines>
  <Paragraphs>51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8159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2015-01-31T03:57:00Z</cp:lastPrinted>
  <dcterms:created xsi:type="dcterms:W3CDTF">2015-02-06T02:22:00Z</dcterms:created>
  <dcterms:modified xsi:type="dcterms:W3CDTF">2015-02-06T02:22:00Z</dcterms:modified>
  <cp:category> </cp:category>
  <cp:contentStatus> </cp:contentStatus>
</cp:coreProperties>
</file>