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6F1E4" w14:textId="77777777" w:rsidR="001377FD" w:rsidRPr="006601CF" w:rsidRDefault="001377FD" w:rsidP="001377FD">
      <w:pPr>
        <w:widowControl/>
        <w:jc w:val="center"/>
        <w:rPr>
          <w:b/>
          <w:szCs w:val="22"/>
        </w:rPr>
      </w:pPr>
      <w:bookmarkStart w:id="0" w:name="_GoBack"/>
      <w:bookmarkEnd w:id="0"/>
      <w:r w:rsidRPr="006601CF">
        <w:rPr>
          <w:rFonts w:ascii="Times New Roman Bold" w:hAnsi="Times New Roman Bold"/>
          <w:b/>
          <w:kern w:val="0"/>
          <w:szCs w:val="22"/>
        </w:rPr>
        <w:t>Before</w:t>
      </w:r>
      <w:r w:rsidRPr="006601CF">
        <w:rPr>
          <w:b/>
          <w:szCs w:val="22"/>
        </w:rPr>
        <w:t xml:space="preserve"> the</w:t>
      </w:r>
    </w:p>
    <w:p w14:paraId="0D8AA71A" w14:textId="77777777" w:rsidR="001377FD" w:rsidRPr="006601CF" w:rsidRDefault="001377FD" w:rsidP="001377FD">
      <w:pPr>
        <w:pStyle w:val="StyleBoldCentered"/>
        <w:widowControl/>
      </w:pPr>
      <w:r w:rsidRPr="006601CF">
        <w:t>F</w:t>
      </w:r>
      <w:r w:rsidRPr="006601CF">
        <w:rPr>
          <w:caps w:val="0"/>
        </w:rPr>
        <w:t>ederal Communications Commission</w:t>
      </w:r>
    </w:p>
    <w:p w14:paraId="1B3939CF" w14:textId="77777777" w:rsidR="001377FD" w:rsidRPr="006601CF" w:rsidRDefault="001377FD" w:rsidP="001377FD">
      <w:pPr>
        <w:pStyle w:val="StyleBoldCentered"/>
        <w:widowControl/>
      </w:pPr>
      <w:r w:rsidRPr="006601CF">
        <w:rPr>
          <w:caps w:val="0"/>
        </w:rPr>
        <w:t>Washington, D.C. 20554</w:t>
      </w:r>
    </w:p>
    <w:p w14:paraId="7D6B77DD" w14:textId="77777777" w:rsidR="001377FD" w:rsidRPr="006601CF" w:rsidRDefault="001377FD" w:rsidP="001377FD">
      <w:pPr>
        <w:widowControl/>
        <w:rPr>
          <w:szCs w:val="22"/>
        </w:rPr>
      </w:pPr>
    </w:p>
    <w:p w14:paraId="1EE245EF" w14:textId="77777777" w:rsidR="001377FD" w:rsidRPr="006601CF" w:rsidRDefault="001377FD" w:rsidP="001377FD">
      <w:pPr>
        <w:widowControl/>
        <w:rPr>
          <w:szCs w:val="22"/>
        </w:rPr>
      </w:pPr>
    </w:p>
    <w:tbl>
      <w:tblPr>
        <w:tblW w:w="0" w:type="auto"/>
        <w:tblLayout w:type="fixed"/>
        <w:tblLook w:val="0000" w:firstRow="0" w:lastRow="0" w:firstColumn="0" w:lastColumn="0" w:noHBand="0" w:noVBand="0"/>
      </w:tblPr>
      <w:tblGrid>
        <w:gridCol w:w="4698"/>
        <w:gridCol w:w="630"/>
        <w:gridCol w:w="4248"/>
      </w:tblGrid>
      <w:tr w:rsidR="001377FD" w:rsidRPr="006601CF" w14:paraId="0DE28AAE" w14:textId="77777777" w:rsidTr="001E20DE">
        <w:tc>
          <w:tcPr>
            <w:tcW w:w="4698" w:type="dxa"/>
          </w:tcPr>
          <w:p w14:paraId="69A1A3FC" w14:textId="77777777" w:rsidR="001377FD" w:rsidRPr="006601CF" w:rsidRDefault="001377FD" w:rsidP="00147717">
            <w:pPr>
              <w:widowControl/>
              <w:tabs>
                <w:tab w:val="center" w:pos="4680"/>
              </w:tabs>
              <w:suppressAutoHyphens/>
              <w:rPr>
                <w:spacing w:val="-2"/>
                <w:szCs w:val="22"/>
              </w:rPr>
            </w:pPr>
            <w:r w:rsidRPr="006601CF">
              <w:rPr>
                <w:spacing w:val="-2"/>
                <w:szCs w:val="22"/>
              </w:rPr>
              <w:t>In the Matter of</w:t>
            </w:r>
          </w:p>
          <w:p w14:paraId="791CE34B" w14:textId="77777777" w:rsidR="001377FD" w:rsidRPr="006601CF" w:rsidRDefault="001377FD" w:rsidP="00147717">
            <w:pPr>
              <w:widowControl/>
              <w:tabs>
                <w:tab w:val="center" w:pos="4680"/>
              </w:tabs>
              <w:suppressAutoHyphens/>
              <w:rPr>
                <w:spacing w:val="-2"/>
                <w:szCs w:val="22"/>
              </w:rPr>
            </w:pPr>
          </w:p>
          <w:p w14:paraId="6448B1E6" w14:textId="77777777" w:rsidR="001377FD" w:rsidRPr="006601CF" w:rsidRDefault="001377FD" w:rsidP="00147717">
            <w:pPr>
              <w:widowControl/>
              <w:tabs>
                <w:tab w:val="center" w:pos="4680"/>
              </w:tabs>
              <w:suppressAutoHyphens/>
              <w:rPr>
                <w:spacing w:val="-2"/>
                <w:szCs w:val="22"/>
              </w:rPr>
            </w:pPr>
            <w:r>
              <w:rPr>
                <w:spacing w:val="-2"/>
                <w:szCs w:val="22"/>
              </w:rPr>
              <w:t xml:space="preserve">Applications Filed by Altice N.V. and Cequel Corporation </w:t>
            </w:r>
            <w:r w:rsidRPr="00DD33D4">
              <w:rPr>
                <w:spacing w:val="-2"/>
                <w:szCs w:val="22"/>
              </w:rPr>
              <w:t>d/b/a Suddenlink Communications</w:t>
            </w:r>
            <w:r>
              <w:rPr>
                <w:spacing w:val="-2"/>
                <w:szCs w:val="22"/>
              </w:rPr>
              <w:t xml:space="preserve"> to</w:t>
            </w:r>
            <w:r w:rsidRPr="006601CF">
              <w:rPr>
                <w:spacing w:val="-2"/>
                <w:szCs w:val="22"/>
              </w:rPr>
              <w:t xml:space="preserve"> Transfer Control of</w:t>
            </w:r>
            <w:r>
              <w:rPr>
                <w:spacing w:val="-2"/>
                <w:szCs w:val="22"/>
              </w:rPr>
              <w:t xml:space="preserve"> Authorizations</w:t>
            </w:r>
            <w:r w:rsidRPr="006601CF">
              <w:rPr>
                <w:spacing w:val="-2"/>
                <w:szCs w:val="22"/>
              </w:rPr>
              <w:t xml:space="preserve"> </w:t>
            </w:r>
            <w:r>
              <w:rPr>
                <w:spacing w:val="-2"/>
                <w:szCs w:val="22"/>
              </w:rPr>
              <w:t>from Suddenlink Communications to Altice N.V.</w:t>
            </w:r>
          </w:p>
          <w:p w14:paraId="53DDB5EC" w14:textId="77777777" w:rsidR="001377FD" w:rsidRPr="006601CF" w:rsidRDefault="001377FD" w:rsidP="00147717">
            <w:pPr>
              <w:widowControl/>
              <w:tabs>
                <w:tab w:val="center" w:pos="4680"/>
              </w:tabs>
              <w:suppressAutoHyphens/>
              <w:rPr>
                <w:spacing w:val="-2"/>
                <w:szCs w:val="22"/>
              </w:rPr>
            </w:pPr>
          </w:p>
        </w:tc>
        <w:tc>
          <w:tcPr>
            <w:tcW w:w="630" w:type="dxa"/>
          </w:tcPr>
          <w:p w14:paraId="7B98F1C0" w14:textId="77777777" w:rsidR="001377FD" w:rsidRPr="006601CF" w:rsidRDefault="001377FD" w:rsidP="00147717">
            <w:pPr>
              <w:widowControl/>
              <w:tabs>
                <w:tab w:val="center" w:pos="4680"/>
              </w:tabs>
              <w:suppressAutoHyphens/>
              <w:rPr>
                <w:b/>
                <w:spacing w:val="-2"/>
                <w:szCs w:val="22"/>
              </w:rPr>
            </w:pPr>
            <w:r w:rsidRPr="006601CF">
              <w:rPr>
                <w:b/>
                <w:spacing w:val="-2"/>
                <w:szCs w:val="22"/>
              </w:rPr>
              <w:t>)</w:t>
            </w:r>
          </w:p>
          <w:p w14:paraId="357F5CD8" w14:textId="77777777" w:rsidR="001377FD" w:rsidRPr="006601CF" w:rsidRDefault="001377FD" w:rsidP="00147717">
            <w:pPr>
              <w:widowControl/>
              <w:tabs>
                <w:tab w:val="center" w:pos="4680"/>
              </w:tabs>
              <w:suppressAutoHyphens/>
              <w:rPr>
                <w:b/>
                <w:spacing w:val="-2"/>
                <w:szCs w:val="22"/>
              </w:rPr>
            </w:pPr>
            <w:r w:rsidRPr="006601CF">
              <w:rPr>
                <w:b/>
                <w:spacing w:val="-2"/>
                <w:szCs w:val="22"/>
              </w:rPr>
              <w:t>)</w:t>
            </w:r>
          </w:p>
          <w:p w14:paraId="72199B50" w14:textId="77777777" w:rsidR="001377FD" w:rsidRPr="006601CF" w:rsidRDefault="001377FD" w:rsidP="00147717">
            <w:pPr>
              <w:widowControl/>
              <w:tabs>
                <w:tab w:val="center" w:pos="4680"/>
              </w:tabs>
              <w:suppressAutoHyphens/>
              <w:rPr>
                <w:b/>
                <w:spacing w:val="-2"/>
                <w:szCs w:val="22"/>
              </w:rPr>
            </w:pPr>
            <w:r w:rsidRPr="006601CF">
              <w:rPr>
                <w:b/>
                <w:spacing w:val="-2"/>
                <w:szCs w:val="22"/>
              </w:rPr>
              <w:t>)</w:t>
            </w:r>
          </w:p>
          <w:p w14:paraId="5B684BE4" w14:textId="77777777" w:rsidR="001377FD" w:rsidRPr="006601CF" w:rsidRDefault="001377FD" w:rsidP="00147717">
            <w:pPr>
              <w:widowControl/>
              <w:tabs>
                <w:tab w:val="center" w:pos="4680"/>
              </w:tabs>
              <w:suppressAutoHyphens/>
              <w:rPr>
                <w:b/>
                <w:spacing w:val="-2"/>
                <w:szCs w:val="22"/>
              </w:rPr>
            </w:pPr>
            <w:r w:rsidRPr="006601CF">
              <w:rPr>
                <w:b/>
                <w:spacing w:val="-2"/>
                <w:szCs w:val="22"/>
              </w:rPr>
              <w:t>)</w:t>
            </w:r>
          </w:p>
          <w:p w14:paraId="4B343F2C" w14:textId="77777777" w:rsidR="001377FD" w:rsidRPr="006601CF" w:rsidRDefault="001377FD" w:rsidP="00147717">
            <w:pPr>
              <w:widowControl/>
              <w:tabs>
                <w:tab w:val="center" w:pos="4680"/>
              </w:tabs>
              <w:suppressAutoHyphens/>
              <w:rPr>
                <w:b/>
                <w:spacing w:val="-2"/>
                <w:szCs w:val="22"/>
              </w:rPr>
            </w:pPr>
            <w:r w:rsidRPr="006601CF">
              <w:rPr>
                <w:b/>
                <w:spacing w:val="-2"/>
                <w:szCs w:val="22"/>
              </w:rPr>
              <w:t>)</w:t>
            </w:r>
          </w:p>
          <w:p w14:paraId="2E68508E" w14:textId="77777777" w:rsidR="001377FD" w:rsidRPr="006601CF" w:rsidRDefault="001377FD" w:rsidP="00147717">
            <w:pPr>
              <w:widowControl/>
              <w:tabs>
                <w:tab w:val="center" w:pos="4680"/>
              </w:tabs>
              <w:suppressAutoHyphens/>
              <w:rPr>
                <w:b/>
                <w:spacing w:val="-2"/>
                <w:szCs w:val="22"/>
              </w:rPr>
            </w:pPr>
            <w:r w:rsidRPr="006601CF">
              <w:rPr>
                <w:b/>
                <w:spacing w:val="-2"/>
                <w:szCs w:val="22"/>
              </w:rPr>
              <w:t>)</w:t>
            </w:r>
          </w:p>
          <w:p w14:paraId="72E71BB1" w14:textId="77777777" w:rsidR="001377FD" w:rsidRPr="006601CF" w:rsidRDefault="001377FD" w:rsidP="00147717">
            <w:pPr>
              <w:widowControl/>
              <w:tabs>
                <w:tab w:val="center" w:pos="4680"/>
              </w:tabs>
              <w:suppressAutoHyphens/>
              <w:rPr>
                <w:spacing w:val="-2"/>
                <w:szCs w:val="22"/>
              </w:rPr>
            </w:pPr>
          </w:p>
        </w:tc>
        <w:tc>
          <w:tcPr>
            <w:tcW w:w="4248" w:type="dxa"/>
          </w:tcPr>
          <w:p w14:paraId="271E59C7" w14:textId="77777777" w:rsidR="001377FD" w:rsidRPr="006601CF" w:rsidRDefault="001377FD" w:rsidP="00147717">
            <w:pPr>
              <w:widowControl/>
              <w:tabs>
                <w:tab w:val="center" w:pos="4680"/>
              </w:tabs>
              <w:suppressAutoHyphens/>
              <w:rPr>
                <w:spacing w:val="-2"/>
                <w:szCs w:val="22"/>
              </w:rPr>
            </w:pPr>
          </w:p>
          <w:p w14:paraId="5266E02A" w14:textId="77777777" w:rsidR="001377FD" w:rsidRPr="006601CF" w:rsidRDefault="001377FD" w:rsidP="00147717">
            <w:pPr>
              <w:pStyle w:val="TOAHeading"/>
              <w:widowControl/>
              <w:tabs>
                <w:tab w:val="clear" w:pos="9360"/>
                <w:tab w:val="center" w:pos="4680"/>
              </w:tabs>
              <w:rPr>
                <w:spacing w:val="-2"/>
                <w:szCs w:val="22"/>
              </w:rPr>
            </w:pPr>
          </w:p>
          <w:p w14:paraId="4FB27FED" w14:textId="77777777" w:rsidR="001377FD" w:rsidRPr="006601CF" w:rsidRDefault="001377FD" w:rsidP="00147717">
            <w:pPr>
              <w:widowControl/>
              <w:tabs>
                <w:tab w:val="center" w:pos="4680"/>
              </w:tabs>
              <w:suppressAutoHyphens/>
              <w:rPr>
                <w:spacing w:val="-2"/>
                <w:szCs w:val="22"/>
              </w:rPr>
            </w:pPr>
            <w:r w:rsidRPr="006601CF">
              <w:rPr>
                <w:spacing w:val="-2"/>
                <w:szCs w:val="22"/>
              </w:rPr>
              <w:t>WC Docket No. 15-</w:t>
            </w:r>
            <w:r>
              <w:rPr>
                <w:spacing w:val="-2"/>
                <w:szCs w:val="22"/>
              </w:rPr>
              <w:t>135</w:t>
            </w:r>
          </w:p>
        </w:tc>
      </w:tr>
    </w:tbl>
    <w:p w14:paraId="46EEF80C" w14:textId="77777777" w:rsidR="001377FD" w:rsidRPr="006601CF" w:rsidRDefault="001377FD" w:rsidP="001377FD">
      <w:pPr>
        <w:widowControl/>
        <w:rPr>
          <w:szCs w:val="22"/>
        </w:rPr>
      </w:pPr>
    </w:p>
    <w:p w14:paraId="58AEBF19" w14:textId="77777777" w:rsidR="001377FD" w:rsidRPr="006601CF" w:rsidRDefault="001377FD" w:rsidP="001377FD">
      <w:pPr>
        <w:pStyle w:val="StyleBoldCentered"/>
        <w:widowControl/>
      </w:pPr>
      <w:r w:rsidRPr="006601CF">
        <w:t>Memorandum Opinion and Order</w:t>
      </w:r>
    </w:p>
    <w:p w14:paraId="42E5FAA6" w14:textId="77777777" w:rsidR="001377FD" w:rsidRPr="006601CF" w:rsidRDefault="001377FD" w:rsidP="001377FD">
      <w:pPr>
        <w:widowControl/>
        <w:tabs>
          <w:tab w:val="left" w:pos="-720"/>
        </w:tabs>
        <w:suppressAutoHyphens/>
        <w:spacing w:line="227" w:lineRule="auto"/>
        <w:rPr>
          <w:spacing w:val="-2"/>
          <w:szCs w:val="22"/>
        </w:rPr>
      </w:pPr>
    </w:p>
    <w:p w14:paraId="0BCD809C" w14:textId="471442A2" w:rsidR="001377FD" w:rsidRPr="006601CF" w:rsidRDefault="001377FD" w:rsidP="001377FD">
      <w:pPr>
        <w:widowControl/>
        <w:tabs>
          <w:tab w:val="left" w:pos="720"/>
          <w:tab w:val="right" w:pos="9360"/>
        </w:tabs>
        <w:suppressAutoHyphens/>
        <w:spacing w:line="227" w:lineRule="auto"/>
        <w:rPr>
          <w:spacing w:val="-2"/>
          <w:szCs w:val="22"/>
        </w:rPr>
      </w:pPr>
      <w:r w:rsidRPr="006601CF">
        <w:rPr>
          <w:b/>
          <w:spacing w:val="-2"/>
          <w:szCs w:val="22"/>
        </w:rPr>
        <w:t xml:space="preserve">Adopted:  </w:t>
      </w:r>
      <w:r w:rsidR="00BF2904">
        <w:rPr>
          <w:b/>
          <w:spacing w:val="-2"/>
          <w:szCs w:val="22"/>
        </w:rPr>
        <w:t>December 18</w:t>
      </w:r>
      <w:r w:rsidRPr="006601CF">
        <w:rPr>
          <w:b/>
          <w:spacing w:val="-2"/>
          <w:szCs w:val="22"/>
        </w:rPr>
        <w:t>, 2015</w:t>
      </w:r>
      <w:r w:rsidRPr="006601CF">
        <w:rPr>
          <w:b/>
          <w:spacing w:val="-2"/>
          <w:szCs w:val="22"/>
        </w:rPr>
        <w:tab/>
        <w:t xml:space="preserve">Released:  </w:t>
      </w:r>
      <w:r w:rsidR="00BF2904">
        <w:rPr>
          <w:b/>
          <w:spacing w:val="-2"/>
          <w:szCs w:val="22"/>
        </w:rPr>
        <w:t>December 18</w:t>
      </w:r>
      <w:r w:rsidRPr="006601CF">
        <w:rPr>
          <w:b/>
          <w:spacing w:val="-2"/>
          <w:szCs w:val="22"/>
        </w:rPr>
        <w:t>, 2015</w:t>
      </w:r>
    </w:p>
    <w:p w14:paraId="65CB8D07" w14:textId="77777777" w:rsidR="001377FD" w:rsidRPr="006601CF" w:rsidRDefault="001377FD" w:rsidP="001377FD">
      <w:pPr>
        <w:widowControl/>
        <w:rPr>
          <w:szCs w:val="22"/>
        </w:rPr>
      </w:pPr>
    </w:p>
    <w:p w14:paraId="4CEE33C3" w14:textId="77777777" w:rsidR="001377FD" w:rsidRPr="006601CF" w:rsidRDefault="001377FD" w:rsidP="001377FD">
      <w:pPr>
        <w:widowControl/>
        <w:rPr>
          <w:spacing w:val="-2"/>
          <w:szCs w:val="22"/>
        </w:rPr>
      </w:pPr>
      <w:r w:rsidRPr="006601CF">
        <w:rPr>
          <w:szCs w:val="22"/>
        </w:rPr>
        <w:t xml:space="preserve">By the Chief, Wireline Competition Bureau; Chief, International Bureau; </w:t>
      </w:r>
      <w:r>
        <w:rPr>
          <w:szCs w:val="22"/>
        </w:rPr>
        <w:t xml:space="preserve">Chief, Media Bureau; </w:t>
      </w:r>
      <w:r w:rsidRPr="006601CF">
        <w:rPr>
          <w:szCs w:val="22"/>
        </w:rPr>
        <w:t>and Chief, Wireless Telecommunications Bureau:</w:t>
      </w:r>
    </w:p>
    <w:p w14:paraId="6944A118" w14:textId="77777777" w:rsidR="001377FD" w:rsidRPr="006601CF" w:rsidRDefault="001377FD" w:rsidP="001377FD">
      <w:pPr>
        <w:widowControl/>
        <w:rPr>
          <w:spacing w:val="-2"/>
          <w:szCs w:val="22"/>
        </w:rPr>
      </w:pPr>
    </w:p>
    <w:p w14:paraId="08E50D15" w14:textId="77777777" w:rsidR="001377FD" w:rsidRPr="006601CF" w:rsidRDefault="001377FD" w:rsidP="001E20DE">
      <w:pPr>
        <w:pStyle w:val="Heading1"/>
        <w:widowControl/>
        <w:tabs>
          <w:tab w:val="num" w:pos="720"/>
        </w:tabs>
        <w:spacing w:after="0"/>
        <w:rPr>
          <w:szCs w:val="22"/>
        </w:rPr>
      </w:pPr>
      <w:r w:rsidRPr="006601CF">
        <w:rPr>
          <w:szCs w:val="22"/>
        </w:rPr>
        <w:t>introduction</w:t>
      </w:r>
    </w:p>
    <w:p w14:paraId="56339FAA" w14:textId="77777777" w:rsidR="001377FD" w:rsidRPr="006601CF" w:rsidRDefault="001377FD" w:rsidP="001377FD">
      <w:pPr>
        <w:widowControl/>
        <w:rPr>
          <w:szCs w:val="22"/>
        </w:rPr>
      </w:pPr>
    </w:p>
    <w:p w14:paraId="15813013" w14:textId="076BC8A0" w:rsidR="001377FD" w:rsidRPr="006601CF" w:rsidRDefault="001377FD" w:rsidP="001E20DE">
      <w:pPr>
        <w:pStyle w:val="ParaNum"/>
        <w:widowControl/>
        <w:tabs>
          <w:tab w:val="clear" w:pos="1440"/>
          <w:tab w:val="num" w:pos="1080"/>
        </w:tabs>
        <w:rPr>
          <w:szCs w:val="22"/>
        </w:rPr>
      </w:pPr>
      <w:r>
        <w:rPr>
          <w:szCs w:val="22"/>
        </w:rPr>
        <w:t>Altice N.V. (Altice)</w:t>
      </w:r>
      <w:r w:rsidRPr="006601CF">
        <w:rPr>
          <w:szCs w:val="22"/>
        </w:rPr>
        <w:t xml:space="preserve"> and</w:t>
      </w:r>
      <w:r>
        <w:rPr>
          <w:szCs w:val="22"/>
        </w:rPr>
        <w:t xml:space="preserve"> Cequel Corporation</w:t>
      </w:r>
      <w:r w:rsidRPr="006601CF">
        <w:rPr>
          <w:szCs w:val="22"/>
        </w:rPr>
        <w:t xml:space="preserve"> (</w:t>
      </w:r>
      <w:r>
        <w:rPr>
          <w:szCs w:val="22"/>
        </w:rPr>
        <w:t>Cequel</w:t>
      </w:r>
      <w:r w:rsidRPr="006601CF">
        <w:rPr>
          <w:szCs w:val="22"/>
        </w:rPr>
        <w:t xml:space="preserve">) </w:t>
      </w:r>
      <w:r>
        <w:rPr>
          <w:szCs w:val="22"/>
        </w:rPr>
        <w:t xml:space="preserve">d/b/a Suddenlink Communications (Suddenlink and </w:t>
      </w:r>
      <w:r w:rsidRPr="006601CF">
        <w:rPr>
          <w:szCs w:val="22"/>
        </w:rPr>
        <w:t>together</w:t>
      </w:r>
      <w:r>
        <w:rPr>
          <w:szCs w:val="22"/>
        </w:rPr>
        <w:t xml:space="preserve"> with Altice</w:t>
      </w:r>
      <w:r w:rsidRPr="006601CF">
        <w:rPr>
          <w:szCs w:val="22"/>
        </w:rPr>
        <w:t xml:space="preserve">, </w:t>
      </w:r>
      <w:r>
        <w:rPr>
          <w:szCs w:val="22"/>
        </w:rPr>
        <w:t xml:space="preserve">the </w:t>
      </w:r>
      <w:r w:rsidRPr="006601CF">
        <w:rPr>
          <w:szCs w:val="22"/>
        </w:rPr>
        <w:t>Applicants) filed a series of applications</w:t>
      </w:r>
      <w:r>
        <w:rPr>
          <w:szCs w:val="22"/>
        </w:rPr>
        <w:t xml:space="preserve"> </w:t>
      </w:r>
      <w:r w:rsidR="00873E97">
        <w:rPr>
          <w:szCs w:val="22"/>
        </w:rPr>
        <w:t>pursuant to S</w:t>
      </w:r>
      <w:r w:rsidRPr="006601CF">
        <w:rPr>
          <w:szCs w:val="22"/>
        </w:rPr>
        <w:t xml:space="preserve">ections 214 and 310(d) of the Communications Act of 1934, as amended (Act), seeking </w:t>
      </w:r>
      <w:r>
        <w:rPr>
          <w:szCs w:val="22"/>
        </w:rPr>
        <w:t>consent to</w:t>
      </w:r>
      <w:r w:rsidRPr="006601CF">
        <w:rPr>
          <w:szCs w:val="22"/>
        </w:rPr>
        <w:t xml:space="preserve"> various assignments and the transfer of control of licenses and authorizations</w:t>
      </w:r>
      <w:r>
        <w:rPr>
          <w:szCs w:val="22"/>
        </w:rPr>
        <w:t xml:space="preserve"> held by Cequel’s wholly-</w:t>
      </w:r>
      <w:r w:rsidRPr="006601CF">
        <w:rPr>
          <w:szCs w:val="22"/>
        </w:rPr>
        <w:t xml:space="preserve">owned subsidiaries </w:t>
      </w:r>
      <w:r>
        <w:rPr>
          <w:szCs w:val="22"/>
        </w:rPr>
        <w:t>to Altice</w:t>
      </w:r>
      <w:r w:rsidRPr="006601CF">
        <w:rPr>
          <w:szCs w:val="22"/>
        </w:rPr>
        <w:t>.</w:t>
      </w:r>
      <w:bookmarkStart w:id="1" w:name="_Ref431815747"/>
      <w:r w:rsidRPr="003507EE">
        <w:rPr>
          <w:rStyle w:val="FootnoteReference"/>
          <w:szCs w:val="22"/>
        </w:rPr>
        <w:footnoteReference w:id="2"/>
      </w:r>
      <w:bookmarkEnd w:id="1"/>
      <w:r w:rsidRPr="006601CF">
        <w:rPr>
          <w:szCs w:val="22"/>
        </w:rPr>
        <w:t xml:space="preserve">   </w:t>
      </w:r>
    </w:p>
    <w:p w14:paraId="181E1149" w14:textId="77777777" w:rsidR="001377FD" w:rsidRPr="00084508" w:rsidRDefault="001377FD" w:rsidP="001E20DE">
      <w:pPr>
        <w:pStyle w:val="ParaNum"/>
        <w:tabs>
          <w:tab w:val="clear" w:pos="1440"/>
          <w:tab w:val="num" w:pos="1080"/>
        </w:tabs>
        <w:rPr>
          <w:szCs w:val="22"/>
        </w:rPr>
      </w:pPr>
      <w:r>
        <w:t>On June 24</w:t>
      </w:r>
      <w:r w:rsidRPr="006601CF">
        <w:t xml:space="preserve">, 2015, the Wireline Competition Bureau, International Bureau, </w:t>
      </w:r>
      <w:r>
        <w:t xml:space="preserve">Media Bureau, </w:t>
      </w:r>
      <w:r w:rsidRPr="006601CF">
        <w:t xml:space="preserve">and Wireless Telecommunications Bureau released a Public Notice seeking comment on the proposed </w:t>
      </w:r>
      <w:r>
        <w:t>transaction</w:t>
      </w:r>
      <w:r w:rsidRPr="006601CF">
        <w:t>.</w:t>
      </w:r>
      <w:r w:rsidRPr="003507EE">
        <w:rPr>
          <w:rStyle w:val="FootnoteReference"/>
          <w:szCs w:val="22"/>
        </w:rPr>
        <w:footnoteReference w:id="3"/>
      </w:r>
      <w:r w:rsidRPr="006601CF">
        <w:t xml:space="preserve">  In response to the Public Notice, we received </w:t>
      </w:r>
      <w:r>
        <w:t>a total of five filings</w:t>
      </w:r>
      <w:r w:rsidRPr="006601CF">
        <w:t xml:space="preserve">: </w:t>
      </w:r>
      <w:r>
        <w:t xml:space="preserve">three </w:t>
      </w:r>
      <w:r w:rsidRPr="006601CF">
        <w:t>comment</w:t>
      </w:r>
      <w:r>
        <w:t xml:space="preserve">s </w:t>
      </w:r>
      <w:r>
        <w:lastRenderedPageBreak/>
        <w:t>expressing concern about the transaction</w:t>
      </w:r>
      <w:r w:rsidRPr="006601CF">
        <w:t xml:space="preserve">, </w:t>
      </w:r>
      <w:r>
        <w:t>and two</w:t>
      </w:r>
      <w:r w:rsidRPr="006601CF">
        <w:t xml:space="preserve"> replies.</w:t>
      </w:r>
      <w:r w:rsidRPr="003507EE">
        <w:rPr>
          <w:sz w:val="20"/>
          <w:vertAlign w:val="superscript"/>
        </w:rPr>
        <w:footnoteReference w:id="4"/>
      </w:r>
      <w:r w:rsidRPr="006601CF">
        <w:t xml:space="preserve">  </w:t>
      </w:r>
      <w:r>
        <w:rPr>
          <w:snapToGrid/>
        </w:rPr>
        <w:t xml:space="preserve">On June 29, 2015, the </w:t>
      </w:r>
      <w:r>
        <w:t xml:space="preserve">DOJ, with the concurrence of the U.S. Department of </w:t>
      </w:r>
      <w:r w:rsidRPr="007D5FE4">
        <w:rPr>
          <w:szCs w:val="22"/>
        </w:rPr>
        <w:t>Defense and U.S. Department of Homeland Security</w:t>
      </w:r>
      <w:r>
        <w:rPr>
          <w:szCs w:val="22"/>
        </w:rPr>
        <w:t>,</w:t>
      </w:r>
      <w:r w:rsidRPr="007D5FE4">
        <w:rPr>
          <w:szCs w:val="22"/>
        </w:rPr>
        <w:t xml:space="preserve"> </w:t>
      </w:r>
      <w:r>
        <w:rPr>
          <w:szCs w:val="22"/>
        </w:rPr>
        <w:t xml:space="preserve">filed a letter requesting that the Commission defer action on the applications until these agencies completed their review of </w:t>
      </w:r>
      <w:r w:rsidRPr="007D5FE4">
        <w:rPr>
          <w:szCs w:val="22"/>
        </w:rPr>
        <w:t xml:space="preserve">the </w:t>
      </w:r>
      <w:r>
        <w:rPr>
          <w:szCs w:val="22"/>
        </w:rPr>
        <w:t>transaction</w:t>
      </w:r>
      <w:r w:rsidRPr="007D5FE4">
        <w:rPr>
          <w:szCs w:val="22"/>
        </w:rPr>
        <w:t xml:space="preserve"> for </w:t>
      </w:r>
      <w:r>
        <w:rPr>
          <w:szCs w:val="22"/>
        </w:rPr>
        <w:t xml:space="preserve">matters related to </w:t>
      </w:r>
      <w:r w:rsidRPr="007D5FE4">
        <w:rPr>
          <w:szCs w:val="22"/>
        </w:rPr>
        <w:t>“national security, law enforcement, and public safety issues.</w:t>
      </w:r>
      <w:bookmarkStart w:id="2" w:name="_Ref428792701"/>
      <w:r w:rsidRPr="007D5FE4">
        <w:rPr>
          <w:szCs w:val="22"/>
        </w:rPr>
        <w:t>”</w:t>
      </w:r>
      <w:r w:rsidRPr="007D5FE4">
        <w:rPr>
          <w:rStyle w:val="FootnoteReference"/>
          <w:sz w:val="22"/>
          <w:szCs w:val="22"/>
        </w:rPr>
        <w:footnoteReference w:id="5"/>
      </w:r>
      <w:bookmarkEnd w:id="2"/>
      <w:r w:rsidRPr="006601CF">
        <w:t xml:space="preserve">  </w:t>
      </w:r>
      <w:r w:rsidRPr="00084508">
        <w:rPr>
          <w:szCs w:val="22"/>
        </w:rPr>
        <w:t xml:space="preserve">On </w:t>
      </w:r>
      <w:r>
        <w:rPr>
          <w:szCs w:val="22"/>
        </w:rPr>
        <w:t>December 11</w:t>
      </w:r>
      <w:r w:rsidRPr="00084508">
        <w:rPr>
          <w:szCs w:val="22"/>
        </w:rPr>
        <w:t xml:space="preserve">, 2015, </w:t>
      </w:r>
      <w:r>
        <w:rPr>
          <w:szCs w:val="22"/>
        </w:rPr>
        <w:t xml:space="preserve">the DOJ, including the FBI, and with the concurrence of the U.S. Department of Defense and U.S. Department of Homeland Security </w:t>
      </w:r>
      <w:r w:rsidRPr="007D5FE4">
        <w:rPr>
          <w:szCs w:val="22"/>
        </w:rPr>
        <w:t>(collectively</w:t>
      </w:r>
      <w:r>
        <w:rPr>
          <w:szCs w:val="22"/>
        </w:rPr>
        <w:t>,</w:t>
      </w:r>
      <w:r w:rsidRPr="007D5FE4">
        <w:rPr>
          <w:szCs w:val="22"/>
        </w:rPr>
        <w:t xml:space="preserve"> the Executive Branch Agencies)</w:t>
      </w:r>
      <w:r w:rsidRPr="006E6346">
        <w:rPr>
          <w:szCs w:val="22"/>
        </w:rPr>
        <w:t xml:space="preserve"> submitted a </w:t>
      </w:r>
      <w:r>
        <w:rPr>
          <w:szCs w:val="22"/>
        </w:rPr>
        <w:t>p</w:t>
      </w:r>
      <w:r w:rsidRPr="006E6346">
        <w:rPr>
          <w:szCs w:val="22"/>
        </w:rPr>
        <w:t xml:space="preserve">etition </w:t>
      </w:r>
      <w:r w:rsidRPr="00177E90">
        <w:rPr>
          <w:szCs w:val="22"/>
        </w:rPr>
        <w:t>advis</w:t>
      </w:r>
      <w:r>
        <w:rPr>
          <w:szCs w:val="22"/>
        </w:rPr>
        <w:t>ing</w:t>
      </w:r>
      <w:r w:rsidRPr="00177E90">
        <w:rPr>
          <w:szCs w:val="22"/>
        </w:rPr>
        <w:t xml:space="preserve"> the Commission that they have no objection </w:t>
      </w:r>
      <w:r>
        <w:rPr>
          <w:szCs w:val="22"/>
        </w:rPr>
        <w:t xml:space="preserve">to grant of </w:t>
      </w:r>
      <w:r w:rsidRPr="00177E90">
        <w:rPr>
          <w:szCs w:val="22"/>
        </w:rPr>
        <w:t xml:space="preserve">the </w:t>
      </w:r>
      <w:r>
        <w:rPr>
          <w:szCs w:val="22"/>
        </w:rPr>
        <w:t>Applications</w:t>
      </w:r>
      <w:r w:rsidRPr="00177E90">
        <w:rPr>
          <w:szCs w:val="22"/>
        </w:rPr>
        <w:t xml:space="preserve"> provide</w:t>
      </w:r>
      <w:r>
        <w:rPr>
          <w:szCs w:val="22"/>
        </w:rPr>
        <w:t>d</w:t>
      </w:r>
      <w:r w:rsidRPr="00177E90">
        <w:rPr>
          <w:szCs w:val="22"/>
        </w:rPr>
        <w:t xml:space="preserve"> that we condition </w:t>
      </w:r>
      <w:r>
        <w:rPr>
          <w:szCs w:val="22"/>
        </w:rPr>
        <w:t xml:space="preserve">grant </w:t>
      </w:r>
      <w:r w:rsidRPr="00177E90">
        <w:rPr>
          <w:szCs w:val="22"/>
        </w:rPr>
        <w:t xml:space="preserve">on </w:t>
      </w:r>
      <w:r w:rsidRPr="00384D64">
        <w:rPr>
          <w:szCs w:val="22"/>
        </w:rPr>
        <w:t xml:space="preserve">compliance by Altice </w:t>
      </w:r>
      <w:r>
        <w:rPr>
          <w:szCs w:val="22"/>
        </w:rPr>
        <w:t xml:space="preserve">and Cequel </w:t>
      </w:r>
      <w:r w:rsidRPr="00384D64">
        <w:rPr>
          <w:szCs w:val="22"/>
        </w:rPr>
        <w:t xml:space="preserve">with </w:t>
      </w:r>
      <w:r w:rsidRPr="006D3F12">
        <w:rPr>
          <w:color w:val="000000"/>
        </w:rPr>
        <w:t xml:space="preserve">the commitments and undertakings set forth in the </w:t>
      </w:r>
      <w:r>
        <w:rPr>
          <w:color w:val="000000"/>
        </w:rPr>
        <w:t xml:space="preserve">National Security </w:t>
      </w:r>
      <w:r w:rsidRPr="006D3F12">
        <w:rPr>
          <w:color w:val="000000"/>
        </w:rPr>
        <w:t>Agreement between Altice</w:t>
      </w:r>
      <w:r>
        <w:rPr>
          <w:color w:val="000000"/>
        </w:rPr>
        <w:t>, Cequel,</w:t>
      </w:r>
      <w:r w:rsidRPr="006D3F12">
        <w:rPr>
          <w:color w:val="000000"/>
        </w:rPr>
        <w:t xml:space="preserve"> and </w:t>
      </w:r>
      <w:r>
        <w:rPr>
          <w:color w:val="000000"/>
        </w:rPr>
        <w:t>the DOJ</w:t>
      </w:r>
      <w:r w:rsidRPr="006D3F12">
        <w:rPr>
          <w:color w:val="000000"/>
        </w:rPr>
        <w:t xml:space="preserve">, dated </w:t>
      </w:r>
      <w:r>
        <w:rPr>
          <w:color w:val="000000"/>
        </w:rPr>
        <w:t>December</w:t>
      </w:r>
      <w:r w:rsidRPr="006D3F12">
        <w:rPr>
          <w:color w:val="000000"/>
        </w:rPr>
        <w:t xml:space="preserve"> </w:t>
      </w:r>
      <w:r>
        <w:rPr>
          <w:color w:val="000000"/>
        </w:rPr>
        <w:t>11</w:t>
      </w:r>
      <w:r w:rsidRPr="006D3F12">
        <w:rPr>
          <w:color w:val="000000"/>
        </w:rPr>
        <w:t>, 2015 (</w:t>
      </w:r>
      <w:r>
        <w:rPr>
          <w:color w:val="000000"/>
        </w:rPr>
        <w:t xml:space="preserve">National Security </w:t>
      </w:r>
      <w:r w:rsidRPr="006D3F12">
        <w:rPr>
          <w:color w:val="000000"/>
        </w:rPr>
        <w:t>Agreement).</w:t>
      </w:r>
      <w:r>
        <w:rPr>
          <w:rStyle w:val="FootnoteReference"/>
        </w:rPr>
        <w:footnoteReference w:id="6"/>
      </w:r>
      <w:r w:rsidRPr="00084508">
        <w:rPr>
          <w:szCs w:val="22"/>
        </w:rPr>
        <w:t xml:space="preserve"> </w:t>
      </w:r>
    </w:p>
    <w:p w14:paraId="5489E2D4" w14:textId="77777777" w:rsidR="001377FD" w:rsidRPr="00084508" w:rsidRDefault="001377FD" w:rsidP="001E20DE">
      <w:pPr>
        <w:pStyle w:val="ParaNum"/>
        <w:widowControl/>
        <w:tabs>
          <w:tab w:val="clear" w:pos="1440"/>
          <w:tab w:val="num" w:pos="1080"/>
        </w:tabs>
        <w:rPr>
          <w:szCs w:val="22"/>
        </w:rPr>
      </w:pPr>
      <w:r>
        <w:rPr>
          <w:snapToGrid/>
          <w:szCs w:val="22"/>
        </w:rPr>
        <w:t xml:space="preserve"> We have carefully reviewed the record, including supplemental information filed by the Applicants that we requested.</w:t>
      </w:r>
      <w:r>
        <w:rPr>
          <w:rStyle w:val="FootnoteReference"/>
          <w:snapToGrid/>
          <w:szCs w:val="22"/>
        </w:rPr>
        <w:footnoteReference w:id="7"/>
      </w:r>
      <w:r>
        <w:rPr>
          <w:snapToGrid/>
          <w:szCs w:val="22"/>
        </w:rPr>
        <w:t xml:space="preserve">  </w:t>
      </w:r>
      <w:r w:rsidRPr="00084508">
        <w:rPr>
          <w:snapToGrid/>
          <w:szCs w:val="22"/>
        </w:rPr>
        <w:t xml:space="preserve">Based on our analysis, we find </w:t>
      </w:r>
      <w:r>
        <w:rPr>
          <w:snapToGrid/>
          <w:szCs w:val="22"/>
        </w:rPr>
        <w:t xml:space="preserve">that the likely </w:t>
      </w:r>
      <w:r w:rsidRPr="00384D64">
        <w:rPr>
          <w:snapToGrid/>
          <w:szCs w:val="22"/>
        </w:rPr>
        <w:t>public interest benefits</w:t>
      </w:r>
      <w:r>
        <w:rPr>
          <w:snapToGrid/>
          <w:szCs w:val="22"/>
        </w:rPr>
        <w:t xml:space="preserve"> outweigh any potential public interest harms</w:t>
      </w:r>
      <w:r w:rsidRPr="00384D64">
        <w:rPr>
          <w:snapToGrid/>
          <w:szCs w:val="22"/>
        </w:rPr>
        <w:t xml:space="preserve">.  </w:t>
      </w:r>
      <w:r>
        <w:rPr>
          <w:snapToGrid/>
          <w:szCs w:val="22"/>
        </w:rPr>
        <w:t>Accordingly, we conclude</w:t>
      </w:r>
      <w:r w:rsidRPr="00384D64">
        <w:rPr>
          <w:snapToGrid/>
          <w:szCs w:val="22"/>
        </w:rPr>
        <w:t xml:space="preserve"> </w:t>
      </w:r>
      <w:r>
        <w:rPr>
          <w:snapToGrid/>
          <w:szCs w:val="22"/>
        </w:rPr>
        <w:t xml:space="preserve">that </w:t>
      </w:r>
      <w:r w:rsidRPr="00384D64">
        <w:rPr>
          <w:snapToGrid/>
          <w:szCs w:val="22"/>
        </w:rPr>
        <w:t xml:space="preserve">the </w:t>
      </w:r>
      <w:r>
        <w:rPr>
          <w:snapToGrid/>
          <w:szCs w:val="22"/>
        </w:rPr>
        <w:t>transaction</w:t>
      </w:r>
      <w:r w:rsidRPr="00384D64">
        <w:rPr>
          <w:snapToGrid/>
          <w:szCs w:val="22"/>
        </w:rPr>
        <w:t>, on balance, serves the public interest</w:t>
      </w:r>
      <w:r>
        <w:rPr>
          <w:snapToGrid/>
          <w:szCs w:val="22"/>
        </w:rPr>
        <w:t>,</w:t>
      </w:r>
      <w:r w:rsidRPr="00384D64">
        <w:rPr>
          <w:snapToGrid/>
          <w:szCs w:val="22"/>
        </w:rPr>
        <w:t xml:space="preserve"> and </w:t>
      </w:r>
      <w:r>
        <w:rPr>
          <w:snapToGrid/>
          <w:szCs w:val="22"/>
        </w:rPr>
        <w:t xml:space="preserve">we </w:t>
      </w:r>
      <w:r w:rsidRPr="00384D64">
        <w:rPr>
          <w:szCs w:val="22"/>
        </w:rPr>
        <w:t>consent to the proposed assignments and transfers subject to</w:t>
      </w:r>
      <w:r>
        <w:rPr>
          <w:szCs w:val="22"/>
        </w:rPr>
        <w:t xml:space="preserve"> </w:t>
      </w:r>
      <w:r w:rsidRPr="00084508">
        <w:rPr>
          <w:szCs w:val="22"/>
        </w:rPr>
        <w:t xml:space="preserve">compliance </w:t>
      </w:r>
      <w:r>
        <w:rPr>
          <w:szCs w:val="22"/>
        </w:rPr>
        <w:t xml:space="preserve">by Altice and Cequel </w:t>
      </w:r>
      <w:r w:rsidRPr="00084508">
        <w:rPr>
          <w:szCs w:val="22"/>
        </w:rPr>
        <w:t xml:space="preserve">with the </w:t>
      </w:r>
      <w:r>
        <w:rPr>
          <w:szCs w:val="22"/>
        </w:rPr>
        <w:t>terms of the National Security</w:t>
      </w:r>
      <w:r w:rsidRPr="00084508">
        <w:rPr>
          <w:szCs w:val="22"/>
        </w:rPr>
        <w:t xml:space="preserve"> Agreement</w:t>
      </w:r>
      <w:r>
        <w:rPr>
          <w:szCs w:val="22"/>
        </w:rPr>
        <w:t>.</w:t>
      </w:r>
      <w:r w:rsidRPr="00084508">
        <w:rPr>
          <w:szCs w:val="22"/>
        </w:rPr>
        <w:t xml:space="preserve"> </w:t>
      </w:r>
    </w:p>
    <w:p w14:paraId="48CFB987" w14:textId="77777777" w:rsidR="001377FD" w:rsidRPr="006601CF" w:rsidRDefault="001377FD" w:rsidP="001E20DE">
      <w:pPr>
        <w:pStyle w:val="Heading1"/>
        <w:widowControl/>
        <w:tabs>
          <w:tab w:val="num" w:pos="720"/>
        </w:tabs>
        <w:rPr>
          <w:szCs w:val="22"/>
        </w:rPr>
      </w:pPr>
      <w:bookmarkStart w:id="3" w:name="_Toc232310006"/>
      <w:bookmarkStart w:id="4" w:name="_Toc261897642"/>
      <w:bookmarkStart w:id="5" w:name="_Toc262136932"/>
      <w:r w:rsidRPr="006601CF">
        <w:rPr>
          <w:szCs w:val="22"/>
        </w:rPr>
        <w:t>BACKGROUND</w:t>
      </w:r>
      <w:bookmarkEnd w:id="3"/>
      <w:bookmarkEnd w:id="4"/>
      <w:bookmarkEnd w:id="5"/>
    </w:p>
    <w:p w14:paraId="640D5A11" w14:textId="77777777" w:rsidR="001377FD" w:rsidRPr="006601CF" w:rsidRDefault="001377FD" w:rsidP="001377FD">
      <w:pPr>
        <w:pStyle w:val="Heading2"/>
        <w:widowControl/>
        <w:rPr>
          <w:szCs w:val="22"/>
        </w:rPr>
      </w:pPr>
      <w:bookmarkStart w:id="6" w:name="_Toc232310007"/>
      <w:bookmarkStart w:id="7" w:name="_Toc261897643"/>
      <w:bookmarkStart w:id="8" w:name="_Toc262136933"/>
      <w:r w:rsidRPr="006601CF">
        <w:rPr>
          <w:szCs w:val="22"/>
        </w:rPr>
        <w:t>Description of the Applicants</w:t>
      </w:r>
      <w:bookmarkEnd w:id="6"/>
      <w:bookmarkEnd w:id="7"/>
      <w:bookmarkEnd w:id="8"/>
    </w:p>
    <w:p w14:paraId="6F4518D6" w14:textId="77777777" w:rsidR="001377FD" w:rsidRPr="006601CF" w:rsidRDefault="001377FD" w:rsidP="001377FD">
      <w:pPr>
        <w:pStyle w:val="Heading3"/>
        <w:widowControl/>
        <w:rPr>
          <w:szCs w:val="22"/>
        </w:rPr>
      </w:pPr>
      <w:bookmarkStart w:id="9" w:name="_Toc232310008"/>
      <w:r>
        <w:rPr>
          <w:szCs w:val="22"/>
        </w:rPr>
        <w:t>Altice N.V</w:t>
      </w:r>
      <w:r w:rsidRPr="006601CF">
        <w:rPr>
          <w:szCs w:val="22"/>
        </w:rPr>
        <w:t>.</w:t>
      </w:r>
    </w:p>
    <w:p w14:paraId="48D6C1B4" w14:textId="77777777" w:rsidR="001377FD" w:rsidRPr="00F06BA2" w:rsidRDefault="001377FD" w:rsidP="001E20DE">
      <w:pPr>
        <w:pStyle w:val="ParaNum"/>
        <w:tabs>
          <w:tab w:val="clear" w:pos="1440"/>
          <w:tab w:val="num" w:pos="1080"/>
        </w:tabs>
        <w:rPr>
          <w:bCs/>
        </w:rPr>
      </w:pPr>
      <w:bookmarkStart w:id="10" w:name="_Ref431632188"/>
      <w:r w:rsidRPr="00E948E1">
        <w:rPr>
          <w:bCs/>
        </w:rPr>
        <w:t xml:space="preserve">Altice, </w:t>
      </w:r>
      <w:r>
        <w:rPr>
          <w:bCs/>
        </w:rPr>
        <w:t xml:space="preserve">a publicly-traded holding company incorporated in the Netherlands, operates, </w:t>
      </w:r>
      <w:r w:rsidRPr="00E948E1">
        <w:rPr>
          <w:bCs/>
        </w:rPr>
        <w:t>through its subsidiaries, as a provider of fixed and mobile voice, video, and broa</w:t>
      </w:r>
      <w:r>
        <w:rPr>
          <w:bCs/>
        </w:rPr>
        <w:t>dband services in France, Belgium, Luxembourg, Portugal, Switzerland</w:t>
      </w:r>
      <w:r w:rsidRPr="00E948E1">
        <w:rPr>
          <w:bCs/>
        </w:rPr>
        <w:t>, Israel, the French Caribbean and Indian Ocean regions, and the Dominican Republic.</w:t>
      </w:r>
      <w:r>
        <w:rPr>
          <w:rStyle w:val="FootnoteReference"/>
          <w:bCs/>
        </w:rPr>
        <w:footnoteReference w:id="8"/>
      </w:r>
      <w:r w:rsidRPr="00E948E1">
        <w:rPr>
          <w:bCs/>
        </w:rPr>
        <w:t xml:space="preserve">  Altice serves approximately</w:t>
      </w:r>
      <w:r>
        <w:rPr>
          <w:bCs/>
        </w:rPr>
        <w:t xml:space="preserve"> 34.5 million subscribers world</w:t>
      </w:r>
      <w:r w:rsidRPr="00E948E1">
        <w:rPr>
          <w:bCs/>
        </w:rPr>
        <w:t>wide.</w:t>
      </w:r>
      <w:r>
        <w:rPr>
          <w:rStyle w:val="FootnoteReference"/>
          <w:bCs/>
        </w:rPr>
        <w:footnoteReference w:id="9"/>
      </w:r>
      <w:r w:rsidRPr="00E948E1">
        <w:rPr>
          <w:bCs/>
        </w:rPr>
        <w:t xml:space="preserve">  </w:t>
      </w:r>
      <w:r>
        <w:rPr>
          <w:szCs w:val="24"/>
        </w:rPr>
        <w:t>Neither Altice nor any of its subsidiaries currently has any U.S. operations or a 10 percent or greater interest in any domestic telecommunications carrier.</w:t>
      </w:r>
      <w:r>
        <w:rPr>
          <w:rStyle w:val="FootnoteReference"/>
          <w:szCs w:val="24"/>
        </w:rPr>
        <w:footnoteReference w:id="10"/>
      </w:r>
      <w:r>
        <w:rPr>
          <w:szCs w:val="24"/>
        </w:rPr>
        <w:t xml:space="preserve">  Applicants state that the Commission’s consent to the Application would mark Altice’s entrance into the U.S. market.</w:t>
      </w:r>
      <w:bookmarkEnd w:id="10"/>
      <w:r>
        <w:rPr>
          <w:rStyle w:val="FootnoteReference"/>
          <w:szCs w:val="24"/>
        </w:rPr>
        <w:footnoteReference w:id="11"/>
      </w:r>
      <w:r>
        <w:rPr>
          <w:szCs w:val="24"/>
        </w:rPr>
        <w:t xml:space="preserve"> </w:t>
      </w:r>
    </w:p>
    <w:bookmarkEnd w:id="9"/>
    <w:p w14:paraId="71D1E8E2" w14:textId="77777777" w:rsidR="001377FD" w:rsidRPr="005B2DE6" w:rsidRDefault="001377FD" w:rsidP="001377FD">
      <w:pPr>
        <w:pStyle w:val="Heading3"/>
        <w:widowControl/>
        <w:rPr>
          <w:szCs w:val="22"/>
        </w:rPr>
      </w:pPr>
      <w:r>
        <w:rPr>
          <w:szCs w:val="22"/>
        </w:rPr>
        <w:lastRenderedPageBreak/>
        <w:t>Cequel Corporation d/b/a Suddenlink Communications</w:t>
      </w:r>
      <w:bookmarkStart w:id="11" w:name="_Ref228616549"/>
      <w:r w:rsidRPr="005B2DE6">
        <w:rPr>
          <w:szCs w:val="22"/>
        </w:rPr>
        <w:t xml:space="preserve"> </w:t>
      </w:r>
      <w:bookmarkEnd w:id="11"/>
    </w:p>
    <w:p w14:paraId="1CE025C8" w14:textId="65C4CE3C" w:rsidR="001377FD" w:rsidRPr="005B2DE6" w:rsidRDefault="001377FD" w:rsidP="001E20DE">
      <w:pPr>
        <w:pStyle w:val="ParaNum"/>
        <w:tabs>
          <w:tab w:val="clear" w:pos="1440"/>
          <w:tab w:val="num" w:pos="1080"/>
        </w:tabs>
      </w:pPr>
      <w:r>
        <w:t>Cequel, a Delaware corporation, provides services relevant to the transaction through subsidiaries that collectively do business as Suddenlink.</w:t>
      </w:r>
      <w:r>
        <w:rPr>
          <w:rStyle w:val="FootnoteReference"/>
        </w:rPr>
        <w:footnoteReference w:id="12"/>
      </w:r>
      <w:r>
        <w:t xml:space="preserve">  Suddenlink is the seventh largest cable operator in the United States, providing broadband Internet access, cable television, Voice over Internet Protocol (VoIP), and certain competitive telecommunications services to more than 1.5 million customers in 17 states.  Cequel offers domestic interstate telecommunications services through its affiliate, Cequel Holdings, and offers international telecommunications services through its affiliates, Cebridge Telecom Limited, LLC and Cebridge Telecom TX, L.P.</w:t>
      </w:r>
      <w:r>
        <w:rPr>
          <w:rStyle w:val="FootnoteReference"/>
          <w:szCs w:val="22"/>
        </w:rPr>
        <w:footnoteReference w:id="13"/>
      </w:r>
      <w:r>
        <w:t xml:space="preserve">  Cequel’s operating entities provide interstate telecommunications services and hold certificates to provide certain intrastate telecommunications services in Arizona, Arkansas, California, Kansas, Kentucky, Louisiana, Mississippi, Missouri, Nevada, New Mexico, North Carolina, Ohio, Oklahoma, Texas, Virginia, and West Virginia.</w:t>
      </w:r>
      <w:r>
        <w:rPr>
          <w:rStyle w:val="FootnoteReference"/>
        </w:rPr>
        <w:footnoteReference w:id="14"/>
      </w:r>
      <w:r w:rsidRPr="002279E5">
        <w:t xml:space="preserve"> </w:t>
      </w:r>
      <w:r>
        <w:t xml:space="preserve"> Cequel indirectly controls TCA Communications, LLC, which provides interexchange services in Arkansas, as well as Cequel Communications Access Services, LLC, and its affiliate, Orbis, L.L.C., both of which provide interexchange services nationwide.</w:t>
      </w:r>
      <w:r>
        <w:rPr>
          <w:rStyle w:val="FootnoteReference"/>
        </w:rPr>
        <w:footnoteReference w:id="15"/>
      </w:r>
      <w:r w:rsidRPr="002279E5">
        <w:t xml:space="preserve"> </w:t>
      </w:r>
      <w:r>
        <w:t xml:space="preserve"> The following entities indirectly hold a ten percent or greater interest in Cequel:  CPP Investment Board, a Canadian investment management organization that invests the assets of the Canada Pension Plan (48.3 percent voting and 38.03 percent equity), and BC Partners Holdings Limited (BC Partners), a Guernsey, United Kingdom limited partnership entity (48.3 percent voting and 58.69 percent equity).</w:t>
      </w:r>
    </w:p>
    <w:p w14:paraId="5E1630E9" w14:textId="77777777" w:rsidR="001377FD" w:rsidRPr="006601CF" w:rsidRDefault="001377FD" w:rsidP="001377FD">
      <w:pPr>
        <w:pStyle w:val="Heading2"/>
        <w:widowControl/>
        <w:rPr>
          <w:szCs w:val="22"/>
        </w:rPr>
      </w:pPr>
      <w:bookmarkStart w:id="12" w:name="_Toc232310010"/>
      <w:bookmarkStart w:id="13" w:name="_Toc261897646"/>
      <w:bookmarkStart w:id="14" w:name="_Toc262136936"/>
      <w:r w:rsidRPr="006601CF">
        <w:rPr>
          <w:szCs w:val="22"/>
        </w:rPr>
        <w:t xml:space="preserve">Description of the </w:t>
      </w:r>
      <w:r>
        <w:rPr>
          <w:szCs w:val="22"/>
        </w:rPr>
        <w:t>Transaction</w:t>
      </w:r>
      <w:bookmarkEnd w:id="12"/>
      <w:bookmarkEnd w:id="13"/>
      <w:bookmarkEnd w:id="14"/>
      <w:r w:rsidRPr="006601CF">
        <w:rPr>
          <w:szCs w:val="22"/>
        </w:rPr>
        <w:t xml:space="preserve"> </w:t>
      </w:r>
    </w:p>
    <w:p w14:paraId="145F50E2" w14:textId="77777777" w:rsidR="001377FD" w:rsidRDefault="001377FD" w:rsidP="001E20DE">
      <w:pPr>
        <w:pStyle w:val="ParaNum"/>
        <w:tabs>
          <w:tab w:val="clear" w:pos="1440"/>
          <w:tab w:val="num" w:pos="1080"/>
        </w:tabs>
      </w:pPr>
      <w:r>
        <w:t>On May 19, 2015, Cequel and Altice entered into a Purchase and Sale Agreement (Sale Agreement) pursuant to which Altice will acquire approximately 70 percent of post-transaction Cequel’s voting and equity interests, with CPP Investment Board and BC Partners Holdings Limited retaining approximately 30 percent of the shares of post-transaction Cequel.</w:t>
      </w:r>
      <w:r>
        <w:rPr>
          <w:rStyle w:val="FootnoteReference"/>
          <w:szCs w:val="22"/>
        </w:rPr>
        <w:footnoteReference w:id="16"/>
      </w:r>
      <w:r>
        <w:t xml:space="preserve">  Applicants describe the terms of the Sale Agreement in the Applications as follows.  Prior to consummation, Altice will form a new indirect wholly-owned subsidiary, BidCo US, a Delaware corporation wholly owned by Altice U.S. Holding II S.à.r.l. (Altice US II), a Luxembourg holding company.</w:t>
      </w:r>
      <w:r>
        <w:rPr>
          <w:rStyle w:val="FootnoteReference"/>
          <w:szCs w:val="22"/>
        </w:rPr>
        <w:footnoteReference w:id="17"/>
      </w:r>
      <w:r>
        <w:t xml:space="preserve">  BidCo US will hold approximately 45 percent of Cequel’s shares in exchange for cash and then BidCo US will merge with and into Cequel, with Cequel surviving and converting equity interests in BidCo US into common shares of Cequel.</w:t>
      </w:r>
      <w:r>
        <w:rPr>
          <w:rStyle w:val="FootnoteReference"/>
          <w:szCs w:val="22"/>
        </w:rPr>
        <w:footnoteReference w:id="18"/>
      </w:r>
      <w:r>
        <w:t xml:space="preserve">  Applicants further state that Altice US Holding I S.à.r.l. (Altice US I), a Luxembourg private limited liability company indirectly and wholly owned by Altice, will hold approximately 25 percent of Cequel’s shares acquired from Cequel’s current owners in exchange for cash.</w:t>
      </w:r>
      <w:r>
        <w:rPr>
          <w:rStyle w:val="FootnoteReference"/>
          <w:szCs w:val="22"/>
        </w:rPr>
        <w:footnoteReference w:id="19"/>
      </w:r>
      <w:r>
        <w:t xml:space="preserve">  Applicants submit that Altice US I will wholly own Altice US II and expects to contribute its equity interests in Cequel to Altice US II shortly after the transaction is completed.</w:t>
      </w:r>
      <w:r>
        <w:rPr>
          <w:rStyle w:val="FootnoteReference"/>
          <w:szCs w:val="22"/>
        </w:rPr>
        <w:footnoteReference w:id="20"/>
      </w:r>
      <w:r>
        <w:t xml:space="preserve">  Accordingly, Altice US II, a wholly-owned indirect subsidiary of Altice, will hold a 70 percent equity interest in Cequel.</w:t>
      </w:r>
    </w:p>
    <w:p w14:paraId="27AEB9B5" w14:textId="77777777" w:rsidR="001377FD" w:rsidRPr="00181972" w:rsidRDefault="001377FD" w:rsidP="001E20DE">
      <w:pPr>
        <w:pStyle w:val="ParaNum"/>
        <w:tabs>
          <w:tab w:val="clear" w:pos="1440"/>
          <w:tab w:val="num" w:pos="1080"/>
        </w:tabs>
      </w:pPr>
      <w:bookmarkStart w:id="15" w:name="_Ref432505074"/>
      <w:r>
        <w:t>According to the Applicants, after the transaction</w:t>
      </w:r>
      <w:r w:rsidRPr="005A6AD4">
        <w:t xml:space="preserve"> </w:t>
      </w:r>
      <w:r>
        <w:t xml:space="preserve">is consummated, the following entities and individual will ultimately hold a ten percent or greater interest in Cequel:  CPP Investment Board (direct 15 percent voting, 11.8 percent equity interest); BC Partners (direct 15 percent voting, 18.2 percent equity interest); and Patrick Drahi, a citizen of Israel (indirectly, approximately a </w:t>
      </w:r>
      <w:r w:rsidRPr="004102EB">
        <w:t>44.9 percent voting and equity</w:t>
      </w:r>
      <w:r>
        <w:t xml:space="preserve"> interest through his ownership interest in Altice).</w:t>
      </w:r>
      <w:r>
        <w:rPr>
          <w:rStyle w:val="FootnoteReference"/>
          <w:szCs w:val="22"/>
        </w:rPr>
        <w:footnoteReference w:id="21"/>
      </w:r>
      <w:r w:rsidRPr="00345736">
        <w:t xml:space="preserve"> </w:t>
      </w:r>
      <w:r>
        <w:t xml:space="preserve"> Applicants announced that the transaction is to be financed with $6.7 billion of new and existing debt held by Suddenlink, a $500 million vendor loan note from BC Partners and CPP Investment Board, and $1.2 billion of cash from Altice with the remainder representing the rollover by BC Partners and CPP Investment Board.</w:t>
      </w:r>
      <w:r>
        <w:rPr>
          <w:rStyle w:val="FootnoteReference"/>
        </w:rPr>
        <w:footnoteReference w:id="22"/>
      </w:r>
      <w:bookmarkEnd w:id="15"/>
      <w:r>
        <w:t xml:space="preserve">   </w:t>
      </w:r>
    </w:p>
    <w:p w14:paraId="751712CB" w14:textId="77777777" w:rsidR="001377FD" w:rsidRPr="006601CF" w:rsidRDefault="001377FD" w:rsidP="001E20DE">
      <w:pPr>
        <w:pStyle w:val="Heading1"/>
        <w:widowControl/>
        <w:tabs>
          <w:tab w:val="num" w:pos="720"/>
        </w:tabs>
        <w:rPr>
          <w:szCs w:val="22"/>
        </w:rPr>
      </w:pPr>
      <w:bookmarkStart w:id="16" w:name="_Toc232310012"/>
      <w:bookmarkStart w:id="17" w:name="_Toc261518182"/>
      <w:bookmarkStart w:id="18" w:name="_Toc261897647"/>
      <w:bookmarkStart w:id="19" w:name="_Toc262136937"/>
      <w:r w:rsidRPr="006601CF">
        <w:rPr>
          <w:szCs w:val="22"/>
        </w:rPr>
        <w:t>DISCUSSION</w:t>
      </w:r>
      <w:bookmarkEnd w:id="16"/>
      <w:bookmarkEnd w:id="17"/>
      <w:bookmarkEnd w:id="18"/>
      <w:bookmarkEnd w:id="19"/>
    </w:p>
    <w:p w14:paraId="1138DEE0" w14:textId="77777777" w:rsidR="001377FD" w:rsidRDefault="001377FD" w:rsidP="001377FD">
      <w:pPr>
        <w:pStyle w:val="Heading2"/>
        <w:widowControl/>
        <w:rPr>
          <w:szCs w:val="22"/>
        </w:rPr>
      </w:pPr>
      <w:r w:rsidRPr="006601CF">
        <w:rPr>
          <w:szCs w:val="22"/>
        </w:rPr>
        <w:t>Standard of Review</w:t>
      </w:r>
    </w:p>
    <w:p w14:paraId="4DCAE4DB" w14:textId="171F36AE" w:rsidR="001377FD" w:rsidRDefault="001377FD" w:rsidP="001E20DE">
      <w:pPr>
        <w:pStyle w:val="ParaNum"/>
        <w:tabs>
          <w:tab w:val="clear" w:pos="1440"/>
          <w:tab w:val="num" w:pos="1080"/>
        </w:tabs>
        <w:rPr>
          <w:color w:val="000000"/>
          <w:szCs w:val="22"/>
        </w:rPr>
      </w:pPr>
      <w:r w:rsidRPr="00204383">
        <w:rPr>
          <w:color w:val="000000"/>
          <w:szCs w:val="22"/>
        </w:rPr>
        <w:t>Pursuant t</w:t>
      </w:r>
      <w:r w:rsidR="00873E97">
        <w:rPr>
          <w:color w:val="000000"/>
          <w:szCs w:val="22"/>
        </w:rPr>
        <w:t>o S</w:t>
      </w:r>
      <w:r w:rsidRPr="00204383">
        <w:rPr>
          <w:color w:val="000000"/>
          <w:szCs w:val="22"/>
        </w:rPr>
        <w:t>ections 214(a) and 310(d) of the Act,</w:t>
      </w:r>
      <w:r w:rsidRPr="00204383">
        <w:rPr>
          <w:b/>
          <w:color w:val="000000"/>
          <w:szCs w:val="22"/>
        </w:rPr>
        <w:t xml:space="preserve"> </w:t>
      </w:r>
      <w:r w:rsidRPr="000C6299">
        <w:rPr>
          <w:color w:val="000000"/>
          <w:szCs w:val="22"/>
        </w:rPr>
        <w:t xml:space="preserve">we </w:t>
      </w:r>
      <w:r w:rsidRPr="00204383">
        <w:rPr>
          <w:color w:val="000000"/>
          <w:szCs w:val="22"/>
        </w:rPr>
        <w:t xml:space="preserve">must determine whether the Applicants have </w:t>
      </w:r>
      <w:r w:rsidRPr="00A7217E">
        <w:t>demonstrated</w:t>
      </w:r>
      <w:r w:rsidRPr="00204383">
        <w:rPr>
          <w:color w:val="000000"/>
          <w:szCs w:val="22"/>
        </w:rPr>
        <w:t xml:space="preserve"> that the proposed tran</w:t>
      </w:r>
      <w:r w:rsidRPr="00EF5918">
        <w:rPr>
          <w:color w:val="000000"/>
          <w:szCs w:val="22"/>
        </w:rPr>
        <w:t>sfer of control of licenses and authorizations will serve the public interest, convenience, and necessity.</w:t>
      </w:r>
      <w:r w:rsidRPr="00204383">
        <w:rPr>
          <w:b/>
          <w:color w:val="000000"/>
          <w:szCs w:val="22"/>
        </w:rPr>
        <w:t xml:space="preserve"> </w:t>
      </w:r>
      <w:r w:rsidRPr="00204383">
        <w:rPr>
          <w:color w:val="000000"/>
          <w:szCs w:val="22"/>
        </w:rPr>
        <w:t xml:space="preserve"> In making this determination, we assess whether the proposed transaction complies with the specific provisions of the Act,</w:t>
      </w:r>
      <w:r w:rsidRPr="008047FE">
        <w:rPr>
          <w:rFonts w:eastAsia="MS Mincho"/>
          <w:color w:val="000000"/>
          <w:szCs w:val="22"/>
          <w:vertAlign w:val="superscript"/>
          <w:lang w:eastAsia="ja-JP"/>
        </w:rPr>
        <w:footnoteReference w:id="23"/>
      </w:r>
      <w:r w:rsidRPr="00204383">
        <w:rPr>
          <w:color w:val="000000"/>
          <w:szCs w:val="22"/>
        </w:rPr>
        <w:t xml:space="preserve"> other applicable statutes, and the Commission’s rules.</w:t>
      </w:r>
      <w:r w:rsidRPr="008047FE">
        <w:rPr>
          <w:rFonts w:eastAsia="MS Mincho"/>
          <w:color w:val="000000"/>
          <w:szCs w:val="22"/>
          <w:vertAlign w:val="superscript"/>
          <w:lang w:eastAsia="ja-JP"/>
        </w:rPr>
        <w:footnoteReference w:id="24"/>
      </w:r>
      <w:r w:rsidRPr="00204383">
        <w:rPr>
          <w:color w:val="000000"/>
          <w:szCs w:val="22"/>
        </w:rPr>
        <w:t xml:space="preserve">  If the transaction does not violate a statute or rule, we consider whether the transaction could result in public interest harms by substantially frustrating or impairing the objectives or implementation of the Act or related statutes.</w:t>
      </w:r>
      <w:r w:rsidRPr="008047FE">
        <w:rPr>
          <w:rFonts w:eastAsia="MS Mincho"/>
          <w:color w:val="000000"/>
          <w:szCs w:val="22"/>
          <w:vertAlign w:val="superscript"/>
          <w:lang w:eastAsia="ja-JP"/>
        </w:rPr>
        <w:footnoteReference w:id="25"/>
      </w:r>
      <w:r w:rsidRPr="00204383">
        <w:rPr>
          <w:color w:val="000000"/>
          <w:szCs w:val="22"/>
        </w:rPr>
        <w:t xml:space="preserve">  We then employ a balancing test weighing any </w:t>
      </w:r>
      <w:r w:rsidRPr="00204383">
        <w:rPr>
          <w:snapToGrid/>
          <w:color w:val="000000"/>
          <w:szCs w:val="22"/>
        </w:rPr>
        <w:t>potential</w:t>
      </w:r>
      <w:r w:rsidRPr="00204383">
        <w:rPr>
          <w:color w:val="000000"/>
          <w:szCs w:val="22"/>
        </w:rPr>
        <w:t xml:space="preserve"> public interest harms of the proposed transaction against any potential public interest benefits.</w:t>
      </w:r>
      <w:r w:rsidRPr="008047FE">
        <w:rPr>
          <w:rFonts w:eastAsia="MS Mincho"/>
          <w:color w:val="000000"/>
          <w:szCs w:val="22"/>
          <w:vertAlign w:val="superscript"/>
          <w:lang w:eastAsia="ja-JP"/>
        </w:rPr>
        <w:footnoteReference w:id="26"/>
      </w:r>
      <w:r w:rsidRPr="00204383">
        <w:rPr>
          <w:rFonts w:eastAsia="MS Mincho"/>
          <w:color w:val="000000"/>
          <w:szCs w:val="22"/>
          <w:lang w:eastAsia="ja-JP"/>
        </w:rPr>
        <w:t xml:space="preserve">  </w:t>
      </w:r>
      <w:r w:rsidRPr="00204383">
        <w:rPr>
          <w:color w:val="000000"/>
          <w:szCs w:val="22"/>
        </w:rPr>
        <w:t>The Applicants bear the burden of proving, by a preponderance of the evidence, that t</w:t>
      </w:r>
      <w:r w:rsidRPr="00EF5918">
        <w:rPr>
          <w:color w:val="000000"/>
          <w:szCs w:val="22"/>
        </w:rPr>
        <w:t>he proposed transaction, on balance, serves the public interest.</w:t>
      </w:r>
      <w:r w:rsidRPr="008047FE">
        <w:rPr>
          <w:rStyle w:val="FootnoteReference"/>
          <w:color w:val="000000"/>
          <w:szCs w:val="22"/>
        </w:rPr>
        <w:footnoteReference w:id="27"/>
      </w:r>
      <w:r w:rsidRPr="00204383">
        <w:rPr>
          <w:color w:val="000000"/>
          <w:szCs w:val="22"/>
        </w:rPr>
        <w:t xml:space="preserve">  </w:t>
      </w:r>
    </w:p>
    <w:p w14:paraId="7BBA8936" w14:textId="77777777" w:rsidR="001377FD" w:rsidRPr="00204383" w:rsidRDefault="001377FD" w:rsidP="001E20DE">
      <w:pPr>
        <w:pStyle w:val="ParaNum"/>
        <w:tabs>
          <w:tab w:val="clear" w:pos="1440"/>
          <w:tab w:val="num" w:pos="1080"/>
        </w:tabs>
        <w:rPr>
          <w:color w:val="000000"/>
          <w:szCs w:val="22"/>
        </w:rPr>
      </w:pPr>
      <w:r>
        <w:rPr>
          <w:color w:val="000000"/>
          <w:szCs w:val="22"/>
        </w:rPr>
        <w:t xml:space="preserve">The Commission’s </w:t>
      </w:r>
      <w:r w:rsidRPr="00204383">
        <w:rPr>
          <w:color w:val="000000"/>
          <w:szCs w:val="22"/>
        </w:rPr>
        <w:t>public interest evaluation necessarily encompasses the “broad aims of the Communications Act,” which include, among other things, a deeply rooted preference for preserving and enhancing competition, accelerating private sector deployment of advanced services, promoting a diversity of information sources and services to the public, and generally managing the spectrum in the public interest.</w:t>
      </w:r>
      <w:r w:rsidRPr="008047FE">
        <w:rPr>
          <w:color w:val="000000"/>
          <w:szCs w:val="22"/>
          <w:vertAlign w:val="superscript"/>
        </w:rPr>
        <w:footnoteReference w:id="28"/>
      </w:r>
      <w:r w:rsidRPr="00204383">
        <w:rPr>
          <w:color w:val="000000"/>
          <w:szCs w:val="22"/>
        </w:rPr>
        <w:t xml:space="preserve">  Our public interest analysis also entails assessing whether the proposed transaction would affect the quality of communications services or result in the provision of new or additional services to consumers.</w:t>
      </w:r>
      <w:r w:rsidRPr="008047FE">
        <w:rPr>
          <w:color w:val="000000"/>
          <w:szCs w:val="22"/>
          <w:vertAlign w:val="superscript"/>
        </w:rPr>
        <w:footnoteReference w:id="29"/>
      </w:r>
      <w:r w:rsidRPr="00204383">
        <w:rPr>
          <w:color w:val="000000"/>
          <w:szCs w:val="22"/>
        </w:rPr>
        <w:t xml:space="preserve">  In conducting this analysis, we may consider technological and market changes, and the nature, complexity, and speed of </w:t>
      </w:r>
      <w:r w:rsidRPr="00204383">
        <w:rPr>
          <w:snapToGrid/>
          <w:color w:val="000000"/>
          <w:szCs w:val="22"/>
        </w:rPr>
        <w:t>change</w:t>
      </w:r>
      <w:r w:rsidRPr="00204383">
        <w:rPr>
          <w:color w:val="000000"/>
          <w:szCs w:val="22"/>
        </w:rPr>
        <w:t xml:space="preserve"> of, as well as trends within, the communications industry.</w:t>
      </w:r>
      <w:r w:rsidRPr="008047FE">
        <w:rPr>
          <w:color w:val="000000"/>
          <w:szCs w:val="22"/>
          <w:vertAlign w:val="superscript"/>
        </w:rPr>
        <w:footnoteReference w:id="30"/>
      </w:r>
    </w:p>
    <w:p w14:paraId="3E2ECCC9" w14:textId="77777777" w:rsidR="001377FD" w:rsidRPr="008047FE" w:rsidRDefault="001377FD" w:rsidP="001E20DE">
      <w:pPr>
        <w:pStyle w:val="ParaNum"/>
        <w:tabs>
          <w:tab w:val="clear" w:pos="1440"/>
          <w:tab w:val="num" w:pos="1080"/>
        </w:tabs>
        <w:rPr>
          <w:color w:val="000000"/>
          <w:szCs w:val="22"/>
        </w:rPr>
      </w:pPr>
      <w:r>
        <w:rPr>
          <w:color w:val="000000"/>
          <w:szCs w:val="22"/>
        </w:rPr>
        <w:t xml:space="preserve">The Commission’s </w:t>
      </w:r>
      <w:r w:rsidRPr="008047FE">
        <w:rPr>
          <w:color w:val="000000"/>
          <w:szCs w:val="22"/>
        </w:rPr>
        <w:t>competitive analysis, which forms an important part of the public interest evaluation, is informed by, but not limited to, traditional antitrust principles.</w:t>
      </w:r>
      <w:r w:rsidRPr="008047FE">
        <w:rPr>
          <w:color w:val="000000"/>
          <w:szCs w:val="22"/>
          <w:vertAlign w:val="superscript"/>
        </w:rPr>
        <w:footnoteReference w:id="31"/>
      </w:r>
      <w:r w:rsidRPr="008047FE">
        <w:rPr>
          <w:color w:val="000000"/>
          <w:szCs w:val="22"/>
        </w:rPr>
        <w:t xml:space="preserve">  The Commission and the DOJ each has independent authority to examine the competitive impacts of proposed communications mergers and transactions involving transfers of Commission licenses, but the standards governing the Commission’s competitive review differ somewhat from those applied by the DOJ.</w:t>
      </w:r>
      <w:r w:rsidRPr="008047FE">
        <w:rPr>
          <w:color w:val="000000"/>
          <w:szCs w:val="22"/>
          <w:vertAlign w:val="superscript"/>
        </w:rPr>
        <w:footnoteReference w:id="32"/>
      </w:r>
      <w:r w:rsidRPr="008047FE">
        <w:rPr>
          <w:color w:val="000000"/>
          <w:szCs w:val="22"/>
        </w:rPr>
        <w:t xml:space="preserve">  The Commission, like the DOJ, considers how a transaction would affect competition by defining a relevant market, looking at the market power of incumbent competitors, and analyzing barriers to entry, potential competition, and the efficiencies, if any, that may result from the transaction.</w:t>
      </w:r>
      <w:r w:rsidRPr="008047FE">
        <w:rPr>
          <w:color w:val="000000"/>
          <w:szCs w:val="22"/>
          <w:vertAlign w:val="superscript"/>
        </w:rPr>
        <w:footnoteReference w:id="33"/>
      </w:r>
      <w:r w:rsidRPr="008047FE">
        <w:rPr>
          <w:color w:val="000000"/>
          <w:szCs w:val="22"/>
        </w:rPr>
        <w:t xml:space="preserve">  </w:t>
      </w:r>
    </w:p>
    <w:p w14:paraId="247311B7" w14:textId="77777777" w:rsidR="001377FD" w:rsidRPr="008047FE" w:rsidRDefault="001377FD" w:rsidP="001E20DE">
      <w:pPr>
        <w:pStyle w:val="ParaNum"/>
        <w:tabs>
          <w:tab w:val="clear" w:pos="1440"/>
          <w:tab w:val="num" w:pos="1080"/>
        </w:tabs>
        <w:rPr>
          <w:color w:val="000000"/>
          <w:szCs w:val="22"/>
        </w:rPr>
      </w:pPr>
      <w:r w:rsidRPr="008047FE">
        <w:rPr>
          <w:color w:val="000000"/>
          <w:szCs w:val="22"/>
        </w:rPr>
        <w:t>The DOJ, however, reviews telecommunications mergers pursuant to Section 7 of the Clayton Act, and if it sues to enjoin a merger, it must demonstrate to a court that the merger may substantially lessen competition or tend to create a monopoly.</w:t>
      </w:r>
      <w:bookmarkStart w:id="20" w:name="_Ref419967992"/>
      <w:r w:rsidRPr="008047FE">
        <w:rPr>
          <w:color w:val="000000"/>
          <w:szCs w:val="22"/>
          <w:vertAlign w:val="superscript"/>
        </w:rPr>
        <w:footnoteReference w:id="34"/>
      </w:r>
      <w:bookmarkEnd w:id="20"/>
      <w:r w:rsidRPr="008047FE">
        <w:rPr>
          <w:color w:val="000000"/>
          <w:szCs w:val="22"/>
        </w:rPr>
        <w:t xml:space="preserve">  The DOJ review is consequently limited solely to an examination of the competitive effects of the acquisition, without reference to diversity, localism, or other public interest considerations.</w:t>
      </w:r>
      <w:r w:rsidRPr="008047FE">
        <w:rPr>
          <w:color w:val="000000"/>
          <w:szCs w:val="22"/>
          <w:vertAlign w:val="superscript"/>
        </w:rPr>
        <w:footnoteReference w:id="35"/>
      </w:r>
      <w:r w:rsidRPr="008047FE">
        <w:rPr>
          <w:color w:val="000000"/>
          <w:szCs w:val="22"/>
        </w:rPr>
        <w:t xml:space="preserve">  Moreover, the Commission’s </w:t>
      </w:r>
      <w:r w:rsidRPr="008047FE">
        <w:rPr>
          <w:snapToGrid/>
          <w:color w:val="000000"/>
          <w:szCs w:val="22"/>
        </w:rPr>
        <w:t>competitive</w:t>
      </w:r>
      <w:r w:rsidRPr="008047FE">
        <w:rPr>
          <w:color w:val="000000"/>
          <w:szCs w:val="22"/>
        </w:rPr>
        <w:t xml:space="preserve"> analysis under the public interest standard is broader.  For example, the Commission considers whether a transaction would enhance, rather than merely preserve, existing competition, and often takes a more expansive view of potential and future competition in analyzing that issue.</w:t>
      </w:r>
      <w:r w:rsidRPr="008047FE">
        <w:rPr>
          <w:rStyle w:val="FootnoteReference"/>
          <w:color w:val="000000"/>
          <w:szCs w:val="22"/>
        </w:rPr>
        <w:footnoteReference w:id="36"/>
      </w:r>
      <w:r w:rsidRPr="008047FE">
        <w:rPr>
          <w:color w:val="000000"/>
          <w:szCs w:val="22"/>
        </w:rPr>
        <w:tab/>
      </w:r>
    </w:p>
    <w:p w14:paraId="6D7B5306" w14:textId="2543EA4A" w:rsidR="001377FD" w:rsidRPr="00A7217E" w:rsidRDefault="001377FD" w:rsidP="001E20DE">
      <w:pPr>
        <w:pStyle w:val="ParaNum"/>
        <w:tabs>
          <w:tab w:val="clear" w:pos="1440"/>
          <w:tab w:val="num" w:pos="1080"/>
        </w:tabs>
        <w:rPr>
          <w:color w:val="000000"/>
          <w:szCs w:val="22"/>
        </w:rPr>
      </w:pPr>
      <w:r w:rsidRPr="008047FE">
        <w:rPr>
          <w:color w:val="000000"/>
          <w:szCs w:val="22"/>
        </w:rPr>
        <w:t xml:space="preserve">Finally, </w:t>
      </w:r>
      <w:r>
        <w:rPr>
          <w:color w:val="000000"/>
          <w:szCs w:val="22"/>
        </w:rPr>
        <w:t>the Commission’s</w:t>
      </w:r>
      <w:r w:rsidRPr="008047FE">
        <w:rPr>
          <w:color w:val="000000"/>
          <w:szCs w:val="22"/>
        </w:rPr>
        <w:t xml:space="preserve"> public interest authority enables us, where appropriate, to impose and enforce transaction-related conditions that </w:t>
      </w:r>
      <w:r w:rsidRPr="008047FE">
        <w:rPr>
          <w:rStyle w:val="StyleParaNumTimesNewRoman11ptChar"/>
          <w:color w:val="000000"/>
          <w:szCs w:val="22"/>
        </w:rPr>
        <w:t>ensure</w:t>
      </w:r>
      <w:r w:rsidRPr="008047FE">
        <w:rPr>
          <w:color w:val="000000"/>
          <w:szCs w:val="22"/>
        </w:rPr>
        <w:t xml:space="preserve"> that the public interest is served by the transaction.</w:t>
      </w:r>
      <w:r w:rsidRPr="008047FE">
        <w:rPr>
          <w:rStyle w:val="FootnoteReference"/>
          <w:color w:val="000000"/>
          <w:szCs w:val="22"/>
        </w:rPr>
        <w:footnoteReference w:id="37"/>
      </w:r>
      <w:r w:rsidRPr="008047FE">
        <w:rPr>
          <w:color w:val="000000"/>
          <w:szCs w:val="22"/>
        </w:rPr>
        <w:t xml:space="preserve">  Specifically, Section 303(r) of the Act authorizes the Commission to prescribe restrictions or conditions not inconsistent with law that may be necessary to carry out the provisions of the Act.</w:t>
      </w:r>
      <w:r w:rsidRPr="008047FE">
        <w:rPr>
          <w:rStyle w:val="FootnoteReference"/>
          <w:color w:val="000000"/>
          <w:szCs w:val="22"/>
        </w:rPr>
        <w:footnoteReference w:id="38"/>
      </w:r>
      <w:r w:rsidRPr="008047FE">
        <w:rPr>
          <w:color w:val="000000"/>
          <w:szCs w:val="22"/>
        </w:rPr>
        <w:t xml:space="preserve">  Indeed, our extensive regulatory and enforcement experience enables us, under this public interest authority, to impose and enforce conditions to ensure that the transaction will yield overall public interest benefits.</w:t>
      </w:r>
      <w:r w:rsidRPr="008047FE">
        <w:rPr>
          <w:rStyle w:val="FootnoteReference"/>
          <w:color w:val="000000"/>
          <w:szCs w:val="22"/>
        </w:rPr>
        <w:footnoteReference w:id="39"/>
      </w:r>
      <w:r w:rsidRPr="008047FE">
        <w:rPr>
          <w:color w:val="000000"/>
          <w:szCs w:val="22"/>
        </w:rPr>
        <w:t xml:space="preserve">  In exercising this authority to carry out </w:t>
      </w:r>
      <w:r>
        <w:rPr>
          <w:color w:val="000000"/>
          <w:szCs w:val="22"/>
        </w:rPr>
        <w:t>its</w:t>
      </w:r>
      <w:r w:rsidRPr="008047FE">
        <w:rPr>
          <w:color w:val="000000"/>
          <w:szCs w:val="22"/>
        </w:rPr>
        <w:t xml:space="preserve"> responsibilities under the Act and related statutes, </w:t>
      </w:r>
      <w:r>
        <w:rPr>
          <w:color w:val="000000"/>
          <w:szCs w:val="22"/>
        </w:rPr>
        <w:t>the Commission has</w:t>
      </w:r>
      <w:r w:rsidRPr="008047FE">
        <w:rPr>
          <w:color w:val="000000"/>
          <w:szCs w:val="22"/>
        </w:rPr>
        <w:t xml:space="preserve"> imposed conditions to confirm specific benefits or remedy specific harms likely to arise from transactions.</w:t>
      </w:r>
      <w:r w:rsidRPr="008047FE">
        <w:rPr>
          <w:rStyle w:val="FootnoteReference"/>
          <w:color w:val="000000"/>
          <w:szCs w:val="22"/>
        </w:rPr>
        <w:footnoteReference w:id="40"/>
      </w:r>
    </w:p>
    <w:p w14:paraId="2F2CFA34" w14:textId="77777777" w:rsidR="001377FD" w:rsidRPr="006601CF" w:rsidRDefault="001377FD" w:rsidP="001377FD">
      <w:pPr>
        <w:pStyle w:val="Heading2"/>
        <w:widowControl/>
        <w:rPr>
          <w:szCs w:val="22"/>
        </w:rPr>
      </w:pPr>
      <w:bookmarkStart w:id="21" w:name="_Toc232310014"/>
      <w:bookmarkStart w:id="22" w:name="_Toc261897650"/>
      <w:bookmarkStart w:id="23" w:name="_Toc262136939"/>
      <w:r w:rsidRPr="006601CF">
        <w:rPr>
          <w:szCs w:val="22"/>
        </w:rPr>
        <w:t>Applicants</w:t>
      </w:r>
      <w:r>
        <w:rPr>
          <w:szCs w:val="22"/>
        </w:rPr>
        <w:t>’</w:t>
      </w:r>
      <w:r w:rsidRPr="006601CF">
        <w:rPr>
          <w:szCs w:val="22"/>
        </w:rPr>
        <w:t xml:space="preserve"> Qualifications</w:t>
      </w:r>
      <w:bookmarkEnd w:id="21"/>
      <w:bookmarkEnd w:id="22"/>
      <w:bookmarkEnd w:id="23"/>
    </w:p>
    <w:p w14:paraId="6B875B74" w14:textId="438F2960" w:rsidR="001377FD" w:rsidRPr="006601CF" w:rsidRDefault="001377FD" w:rsidP="001E20DE">
      <w:pPr>
        <w:pStyle w:val="ParaNum"/>
        <w:widowControl/>
        <w:tabs>
          <w:tab w:val="clear" w:pos="1440"/>
          <w:tab w:val="num" w:pos="1080"/>
        </w:tabs>
        <w:rPr>
          <w:szCs w:val="22"/>
        </w:rPr>
      </w:pPr>
      <w:bookmarkStart w:id="24" w:name="_Ref261175603"/>
      <w:bookmarkStart w:id="25" w:name="_Ref230409404"/>
      <w:r w:rsidRPr="006601CF">
        <w:rPr>
          <w:szCs w:val="22"/>
        </w:rPr>
        <w:t>As a threshold matter, we must determine whether the Applicants meet the requisite qualifications to hold and assi</w:t>
      </w:r>
      <w:r w:rsidR="00873E97">
        <w:rPr>
          <w:szCs w:val="22"/>
        </w:rPr>
        <w:t>gn and transfer licenses under S</w:t>
      </w:r>
      <w:r w:rsidRPr="006601CF">
        <w:rPr>
          <w:szCs w:val="22"/>
        </w:rPr>
        <w:t>ection 310(d) of the Act and the Commission</w:t>
      </w:r>
      <w:r>
        <w:rPr>
          <w:szCs w:val="22"/>
        </w:rPr>
        <w:t>’</w:t>
      </w:r>
      <w:r w:rsidRPr="006601CF">
        <w:rPr>
          <w:szCs w:val="22"/>
        </w:rPr>
        <w:t xml:space="preserve">s rules.  In general, when evaluating </w:t>
      </w:r>
      <w:r>
        <w:rPr>
          <w:szCs w:val="22"/>
        </w:rPr>
        <w:t xml:space="preserve">transfers or </w:t>
      </w:r>
      <w:r w:rsidR="00873E97">
        <w:rPr>
          <w:szCs w:val="22"/>
        </w:rPr>
        <w:t>assignments under S</w:t>
      </w:r>
      <w:r w:rsidRPr="006601CF">
        <w:rPr>
          <w:szCs w:val="22"/>
        </w:rPr>
        <w:t>ection 310(d), we do not re-evaluate the qualifications of the transferor</w:t>
      </w:r>
      <w:r>
        <w:rPr>
          <w:szCs w:val="22"/>
        </w:rPr>
        <w:t xml:space="preserve"> or assignor</w:t>
      </w:r>
      <w:r w:rsidRPr="006601CF">
        <w:rPr>
          <w:szCs w:val="22"/>
        </w:rPr>
        <w:t>.</w:t>
      </w:r>
      <w:r w:rsidRPr="00026476">
        <w:rPr>
          <w:rStyle w:val="FootnoteCharacters"/>
          <w:color w:val="000000"/>
          <w:sz w:val="20"/>
          <w:szCs w:val="22"/>
        </w:rPr>
        <w:footnoteReference w:id="41"/>
      </w:r>
      <w:r w:rsidRPr="006601CF">
        <w:rPr>
          <w:szCs w:val="22"/>
        </w:rPr>
        <w:t xml:space="preserve">  Exceptions to this rule occur where, for example, issues related to basic qualifications have been designated for hearing by the Commission or have been sufficiently raised in petitions to warrant the designation of a hearing.</w:t>
      </w:r>
      <w:r w:rsidRPr="003D7948">
        <w:rPr>
          <w:rStyle w:val="FootnoteCharacters"/>
          <w:color w:val="000000"/>
          <w:sz w:val="20"/>
          <w:szCs w:val="22"/>
        </w:rPr>
        <w:footnoteReference w:id="42"/>
      </w:r>
      <w:r w:rsidRPr="006601CF">
        <w:rPr>
          <w:szCs w:val="22"/>
        </w:rPr>
        <w:t xml:space="preserve">  This is not the case here.  Th</w:t>
      </w:r>
      <w:r>
        <w:rPr>
          <w:szCs w:val="22"/>
        </w:rPr>
        <w:t>us, we need not evaluate Suddenlink’s</w:t>
      </w:r>
      <w:r w:rsidRPr="006601CF">
        <w:rPr>
          <w:szCs w:val="22"/>
        </w:rPr>
        <w:t xml:space="preserve"> basic qualifications.  </w:t>
      </w:r>
    </w:p>
    <w:p w14:paraId="42CC64AE" w14:textId="66332486" w:rsidR="001377FD" w:rsidRPr="0054408F" w:rsidRDefault="001377FD" w:rsidP="001E20DE">
      <w:pPr>
        <w:pStyle w:val="ParaNum"/>
        <w:widowControl/>
        <w:tabs>
          <w:tab w:val="clear" w:pos="1440"/>
          <w:tab w:val="num" w:pos="1080"/>
        </w:tabs>
        <w:rPr>
          <w:szCs w:val="22"/>
        </w:rPr>
      </w:pPr>
      <w:bookmarkStart w:id="30" w:name="_Ref261175641"/>
      <w:bookmarkEnd w:id="24"/>
      <w:r w:rsidRPr="006601CF">
        <w:rPr>
          <w:szCs w:val="22"/>
        </w:rPr>
        <w:t xml:space="preserve">Section 310(d) </w:t>
      </w:r>
      <w:r>
        <w:rPr>
          <w:szCs w:val="22"/>
        </w:rPr>
        <w:t xml:space="preserve">also </w:t>
      </w:r>
      <w:r w:rsidRPr="006601CF">
        <w:rPr>
          <w:szCs w:val="22"/>
        </w:rPr>
        <w:t xml:space="preserve">requires that the Commission consider the qualifications of the transferee </w:t>
      </w:r>
      <w:r>
        <w:rPr>
          <w:szCs w:val="22"/>
        </w:rPr>
        <w:t xml:space="preserve">or assignee </w:t>
      </w:r>
      <w:r w:rsidRPr="006601CF">
        <w:rPr>
          <w:szCs w:val="22"/>
        </w:rPr>
        <w:t xml:space="preserve">as if </w:t>
      </w:r>
      <w:r>
        <w:rPr>
          <w:szCs w:val="22"/>
        </w:rPr>
        <w:t xml:space="preserve">it </w:t>
      </w:r>
      <w:r w:rsidRPr="006601CF">
        <w:rPr>
          <w:szCs w:val="22"/>
        </w:rPr>
        <w:t xml:space="preserve">were applying </w:t>
      </w:r>
      <w:r w:rsidR="00873E97">
        <w:rPr>
          <w:szCs w:val="22"/>
        </w:rPr>
        <w:t>for the license directly under S</w:t>
      </w:r>
      <w:r w:rsidRPr="006601CF">
        <w:rPr>
          <w:szCs w:val="22"/>
        </w:rPr>
        <w:t>ection 308 of the Act.</w:t>
      </w:r>
      <w:r w:rsidRPr="003D7948">
        <w:rPr>
          <w:rStyle w:val="FootnoteReference"/>
          <w:szCs w:val="22"/>
        </w:rPr>
        <w:footnoteReference w:id="43"/>
      </w:r>
      <w:r w:rsidRPr="006601CF">
        <w:rPr>
          <w:szCs w:val="22"/>
        </w:rPr>
        <w:t xml:space="preserve">  As part of its public interest inquiry, the Commission must consider whether the applicant has the </w:t>
      </w:r>
      <w:r>
        <w:rPr>
          <w:szCs w:val="22"/>
        </w:rPr>
        <w:t>“</w:t>
      </w:r>
      <w:r w:rsidRPr="006601CF">
        <w:rPr>
          <w:szCs w:val="22"/>
        </w:rPr>
        <w:t>requisite . . . financial, technical, and other qualifications.</w:t>
      </w:r>
      <w:r>
        <w:rPr>
          <w:szCs w:val="22"/>
        </w:rPr>
        <w:t>”</w:t>
      </w:r>
      <w:r w:rsidRPr="003D7948">
        <w:rPr>
          <w:rStyle w:val="FootnoteReference"/>
          <w:color w:val="000000"/>
          <w:szCs w:val="22"/>
        </w:rPr>
        <w:footnoteReference w:id="44"/>
      </w:r>
      <w:r w:rsidRPr="006601CF">
        <w:rPr>
          <w:szCs w:val="22"/>
        </w:rPr>
        <w:t xml:space="preserve">  Among the factors that the Commission considers in its public interest inquiry is whether the applicant has the requisite </w:t>
      </w:r>
      <w:r>
        <w:rPr>
          <w:szCs w:val="22"/>
        </w:rPr>
        <w:t>“</w:t>
      </w:r>
      <w:r w:rsidRPr="006601CF">
        <w:rPr>
          <w:szCs w:val="22"/>
        </w:rPr>
        <w:t>citizenship, character, and financial, technical, and other qualifications.</w:t>
      </w:r>
      <w:r>
        <w:rPr>
          <w:szCs w:val="22"/>
        </w:rPr>
        <w:t>”</w:t>
      </w:r>
      <w:r w:rsidRPr="003D7948">
        <w:rPr>
          <w:sz w:val="20"/>
          <w:szCs w:val="22"/>
          <w:vertAlign w:val="superscript"/>
        </w:rPr>
        <w:footnoteReference w:id="45"/>
      </w:r>
      <w:r w:rsidRPr="006601CF">
        <w:rPr>
          <w:szCs w:val="22"/>
        </w:rPr>
        <w:t xml:space="preserve">  </w:t>
      </w:r>
      <w:r>
        <w:rPr>
          <w:szCs w:val="22"/>
        </w:rPr>
        <w:t xml:space="preserve"> </w:t>
      </w:r>
    </w:p>
    <w:p w14:paraId="363F44A6" w14:textId="35B91365" w:rsidR="001377FD" w:rsidRPr="00DD33D4" w:rsidRDefault="001377FD" w:rsidP="001E20DE">
      <w:pPr>
        <w:pStyle w:val="ParaNum"/>
        <w:widowControl/>
        <w:tabs>
          <w:tab w:val="clear" w:pos="1440"/>
          <w:tab w:val="num" w:pos="1080"/>
        </w:tabs>
        <w:rPr>
          <w:szCs w:val="22"/>
        </w:rPr>
      </w:pPr>
      <w:r>
        <w:t>No commenter has raised substantive concerns regarding Altice’s qualifications to provide service, and w</w:t>
      </w:r>
      <w:r w:rsidRPr="00DD33D4">
        <w:t xml:space="preserve">e find no evidence in the record that Altice is </w:t>
      </w:r>
      <w:r>
        <w:t>unqualified to hold Commission authorizations.</w:t>
      </w:r>
      <w:r w:rsidRPr="00DD33D4">
        <w:t xml:space="preserve">  </w:t>
      </w:r>
      <w:r>
        <w:t>Other than the ordinary market risks that accompany any business transaction, there is no evidence in the record indicating that this transaction will be likely to result in financial harms or distress that would compromise Altice’s ability to maintain and improve broadband and other services in the Suddenlink service territory.</w:t>
      </w:r>
      <w:r>
        <w:rPr>
          <w:rStyle w:val="FootnoteReference"/>
        </w:rPr>
        <w:footnoteReference w:id="46"/>
      </w:r>
      <w:r>
        <w:t xml:space="preserve">  </w:t>
      </w:r>
      <w:r w:rsidRPr="00444816">
        <w:rPr>
          <w:szCs w:val="22"/>
        </w:rPr>
        <w:t>As explained below, there is persuasive evidence in the record that Altice will bring operational expertise, scale, and resources to enable it to maintain and accelerate service offerings for Suddenlink’s customers.</w:t>
      </w:r>
      <w:r w:rsidRPr="00384D64">
        <w:rPr>
          <w:rStyle w:val="FootnoteReference"/>
          <w:sz w:val="22"/>
          <w:szCs w:val="22"/>
        </w:rPr>
        <w:footnoteReference w:id="47"/>
      </w:r>
      <w:r>
        <w:t xml:space="preserve">  Further, no commenters raised concerns regarding Altice’s character or technical qualifications.  </w:t>
      </w:r>
      <w:r w:rsidRPr="00DD33D4">
        <w:t xml:space="preserve">We therefore conclude that Altice </w:t>
      </w:r>
      <w:r>
        <w:t>satisfies the</w:t>
      </w:r>
      <w:r w:rsidR="00873E97">
        <w:t xml:space="preserve"> qualification requirements of S</w:t>
      </w:r>
      <w:r w:rsidRPr="00DD33D4">
        <w:rPr>
          <w:szCs w:val="22"/>
        </w:rPr>
        <w:t>ection 310(d).</w:t>
      </w:r>
    </w:p>
    <w:bookmarkEnd w:id="25"/>
    <w:bookmarkEnd w:id="30"/>
    <w:p w14:paraId="34395B30" w14:textId="77777777" w:rsidR="001377FD" w:rsidRPr="00EC6683" w:rsidRDefault="001377FD" w:rsidP="001377FD">
      <w:pPr>
        <w:pStyle w:val="Heading2"/>
        <w:widowControl/>
        <w:rPr>
          <w:szCs w:val="22"/>
        </w:rPr>
      </w:pPr>
      <w:r w:rsidRPr="006601CF">
        <w:rPr>
          <w:szCs w:val="22"/>
        </w:rPr>
        <w:t>Public Interest Harms and Benefits</w:t>
      </w:r>
    </w:p>
    <w:p w14:paraId="176C13D6" w14:textId="77777777" w:rsidR="001377FD" w:rsidRPr="00EC6683" w:rsidRDefault="001377FD" w:rsidP="001E20DE">
      <w:pPr>
        <w:pStyle w:val="ParaNum"/>
        <w:tabs>
          <w:tab w:val="clear" w:pos="1440"/>
          <w:tab w:val="num" w:pos="1080"/>
        </w:tabs>
      </w:pPr>
      <w:r w:rsidRPr="006601CF">
        <w:t xml:space="preserve">In this section, we consider the potential harms and </w:t>
      </w:r>
      <w:r>
        <w:t>benefits arising from the transaction</w:t>
      </w:r>
      <w:r w:rsidRPr="006601CF">
        <w:t>.  As disc</w:t>
      </w:r>
      <w:r>
        <w:t>ussed below, we find the transaction</w:t>
      </w:r>
      <w:r w:rsidRPr="006601CF">
        <w:t xml:space="preserve"> is likely to result in tangible benefits for customers through </w:t>
      </w:r>
      <w:r w:rsidRPr="00DD33D4">
        <w:t>improved broadband service</w:t>
      </w:r>
      <w:r>
        <w:t xml:space="preserve"> and investment.  Because Altice</w:t>
      </w:r>
      <w:r w:rsidRPr="006601CF">
        <w:t xml:space="preserve"> do</w:t>
      </w:r>
      <w:r>
        <w:t>es</w:t>
      </w:r>
      <w:r w:rsidRPr="006601CF">
        <w:t xml:space="preserve"> not currently </w:t>
      </w:r>
      <w:r>
        <w:t>serve the U.S. market, the transaction</w:t>
      </w:r>
      <w:r w:rsidRPr="006601CF">
        <w:t xml:space="preserve"> does not reduce the number of service providers </w:t>
      </w:r>
      <w:r>
        <w:t>in local, regional, or national markets</w:t>
      </w:r>
      <w:r w:rsidRPr="006601CF">
        <w:t xml:space="preserve">.  </w:t>
      </w:r>
      <w:r w:rsidRPr="006601CF">
        <w:rPr>
          <w:color w:val="000000"/>
        </w:rPr>
        <w:t xml:space="preserve">Applicants filed </w:t>
      </w:r>
      <w:r w:rsidRPr="00DD33D4">
        <w:rPr>
          <w:color w:val="000000"/>
        </w:rPr>
        <w:t>additional evidence</w:t>
      </w:r>
      <w:r>
        <w:rPr>
          <w:color w:val="000000"/>
        </w:rPr>
        <w:t xml:space="preserve"> in the record further supporting the broadband deployment benefits they claim may result from the transaction.</w:t>
      </w:r>
      <w:r>
        <w:rPr>
          <w:rStyle w:val="FootnoteReference"/>
        </w:rPr>
        <w:footnoteReference w:id="48"/>
      </w:r>
      <w:r>
        <w:rPr>
          <w:color w:val="000000"/>
        </w:rPr>
        <w:t xml:space="preserve">  W</w:t>
      </w:r>
      <w:r w:rsidRPr="006601CF">
        <w:rPr>
          <w:color w:val="000000"/>
        </w:rPr>
        <w:t>e find that certain issues raised in comments ar</w:t>
      </w:r>
      <w:r>
        <w:rPr>
          <w:color w:val="000000"/>
        </w:rPr>
        <w:t>e not relevant to the transaction</w:t>
      </w:r>
      <w:r w:rsidRPr="006601CF">
        <w:rPr>
          <w:color w:val="000000"/>
        </w:rPr>
        <w:t xml:space="preserve"> and are therefore outside the scope of our review.</w:t>
      </w:r>
      <w:r>
        <w:rPr>
          <w:rStyle w:val="FootnoteReference"/>
        </w:rPr>
        <w:footnoteReference w:id="49"/>
      </w:r>
      <w:r w:rsidRPr="006601CF">
        <w:rPr>
          <w:color w:val="000000"/>
        </w:rPr>
        <w:t xml:space="preserve">  </w:t>
      </w:r>
      <w:r>
        <w:rPr>
          <w:szCs w:val="22"/>
        </w:rPr>
        <w:t>We conclude that, on balance, the transaction</w:t>
      </w:r>
      <w:r w:rsidRPr="00EC6683">
        <w:rPr>
          <w:szCs w:val="22"/>
        </w:rPr>
        <w:t xml:space="preserve">’s benefits outweigh any potential public interest harms.  </w:t>
      </w:r>
    </w:p>
    <w:p w14:paraId="2841B297" w14:textId="77777777" w:rsidR="001377FD" w:rsidRPr="006601CF" w:rsidRDefault="001377FD" w:rsidP="001377FD">
      <w:pPr>
        <w:pStyle w:val="Heading3"/>
        <w:widowControl/>
        <w:rPr>
          <w:szCs w:val="22"/>
        </w:rPr>
      </w:pPr>
      <w:r w:rsidRPr="006601CF">
        <w:rPr>
          <w:szCs w:val="22"/>
        </w:rPr>
        <w:t>Potential Harms</w:t>
      </w:r>
    </w:p>
    <w:p w14:paraId="7B6D0705" w14:textId="77777777" w:rsidR="001377FD" w:rsidRPr="006601CF" w:rsidRDefault="001377FD" w:rsidP="001377FD">
      <w:pPr>
        <w:pStyle w:val="Heading4"/>
        <w:widowControl/>
        <w:rPr>
          <w:szCs w:val="22"/>
        </w:rPr>
      </w:pPr>
      <w:r w:rsidRPr="006601CF">
        <w:rPr>
          <w:szCs w:val="22"/>
        </w:rPr>
        <w:t>Competition</w:t>
      </w:r>
    </w:p>
    <w:p w14:paraId="20B3458D" w14:textId="77777777" w:rsidR="001377FD" w:rsidRPr="00003631" w:rsidRDefault="001377FD" w:rsidP="001E20DE">
      <w:pPr>
        <w:pStyle w:val="ParaNum"/>
        <w:tabs>
          <w:tab w:val="clear" w:pos="1440"/>
          <w:tab w:val="num" w:pos="1080"/>
        </w:tabs>
        <w:rPr>
          <w:szCs w:val="22"/>
        </w:rPr>
      </w:pPr>
      <w:r w:rsidRPr="006601CF">
        <w:rPr>
          <w:szCs w:val="22"/>
        </w:rPr>
        <w:t>Based on the r</w:t>
      </w:r>
      <w:r>
        <w:rPr>
          <w:szCs w:val="22"/>
        </w:rPr>
        <w:t>ecord evidence, we find the transaction</w:t>
      </w:r>
      <w:r w:rsidRPr="006601CF">
        <w:rPr>
          <w:szCs w:val="22"/>
        </w:rPr>
        <w:t xml:space="preserve"> is unlikely to have adverse </w:t>
      </w:r>
      <w:r>
        <w:rPr>
          <w:szCs w:val="22"/>
        </w:rPr>
        <w:t xml:space="preserve">competitive </w:t>
      </w:r>
      <w:r w:rsidRPr="006601CF">
        <w:rPr>
          <w:szCs w:val="22"/>
        </w:rPr>
        <w:t xml:space="preserve">effects.  In order for a </w:t>
      </w:r>
      <w:r>
        <w:rPr>
          <w:szCs w:val="22"/>
        </w:rPr>
        <w:t xml:space="preserve">transaction </w:t>
      </w:r>
      <w:r w:rsidRPr="006601CF">
        <w:rPr>
          <w:szCs w:val="22"/>
        </w:rPr>
        <w:t xml:space="preserve">to have </w:t>
      </w:r>
      <w:r>
        <w:rPr>
          <w:szCs w:val="22"/>
        </w:rPr>
        <w:t xml:space="preserve">horizontal </w:t>
      </w:r>
      <w:r w:rsidRPr="006601CF">
        <w:rPr>
          <w:szCs w:val="22"/>
        </w:rPr>
        <w:t>effects on competition, the parties must currently provide, or be very likely to provide, similar services within the same relevant geographic market.</w:t>
      </w:r>
      <w:r w:rsidRPr="003D7948">
        <w:rPr>
          <w:sz w:val="20"/>
          <w:szCs w:val="22"/>
          <w:vertAlign w:val="superscript"/>
        </w:rPr>
        <w:footnoteReference w:id="50"/>
      </w:r>
      <w:r w:rsidRPr="006601CF">
        <w:rPr>
          <w:szCs w:val="22"/>
        </w:rPr>
        <w:t xml:space="preserve">  </w:t>
      </w:r>
      <w:r>
        <w:rPr>
          <w:szCs w:val="22"/>
        </w:rPr>
        <w:t xml:space="preserve">In order for a </w:t>
      </w:r>
      <w:r>
        <w:t>transaction to have vertical effects on competition, one of the parties or its competitors must currently provide, or be very likely to provide, goods or services to the other or its competitors.</w:t>
      </w:r>
      <w:r>
        <w:rPr>
          <w:rStyle w:val="FootnoteReference"/>
          <w:szCs w:val="22"/>
        </w:rPr>
        <w:footnoteReference w:id="51"/>
      </w:r>
      <w:r>
        <w:t xml:space="preserve">  </w:t>
      </w:r>
      <w:r w:rsidRPr="006601CF">
        <w:rPr>
          <w:szCs w:val="22"/>
        </w:rPr>
        <w:t>Applicants assert because</w:t>
      </w:r>
      <w:r>
        <w:rPr>
          <w:szCs w:val="22"/>
        </w:rPr>
        <w:t xml:space="preserve"> neither Altice nor any of its subsidiaries currently holds any Commission authorizations or has any domestic operations, they do not compete for customers in the transaction’s relevant market.</w:t>
      </w:r>
      <w:r w:rsidRPr="003D7948">
        <w:rPr>
          <w:rStyle w:val="FootnoteCharacters"/>
          <w:color w:val="000000"/>
          <w:sz w:val="20"/>
          <w:szCs w:val="22"/>
        </w:rPr>
        <w:footnoteReference w:id="52"/>
      </w:r>
      <w:r w:rsidRPr="006601CF">
        <w:rPr>
          <w:szCs w:val="22"/>
        </w:rPr>
        <w:t xml:space="preserve">  </w:t>
      </w:r>
      <w:r>
        <w:rPr>
          <w:szCs w:val="22"/>
        </w:rPr>
        <w:t xml:space="preserve">Since Altice has no current existing interest in any U.S. communications entity, the transaction poses neither horizontal nor vertical concerns.  Specifically, with regard to potential horizontal effects, </w:t>
      </w:r>
      <w:r>
        <w:t xml:space="preserve">the combined post-transaction entity </w:t>
      </w:r>
      <w:r w:rsidRPr="006601CF">
        <w:t xml:space="preserve">will </w:t>
      </w:r>
      <w:r>
        <w:t xml:space="preserve">not </w:t>
      </w:r>
      <w:r w:rsidRPr="006601CF">
        <w:t>hold market power</w:t>
      </w:r>
      <w:r>
        <w:t>, and the proposed transaction will not</w:t>
      </w:r>
      <w:r w:rsidRPr="006601CF">
        <w:t xml:space="preserve"> result in a </w:t>
      </w:r>
      <w:r>
        <w:t xml:space="preserve">significant </w:t>
      </w:r>
      <w:r w:rsidRPr="006601CF">
        <w:t>reduction of competition</w:t>
      </w:r>
      <w:r>
        <w:t xml:space="preserve"> at the local level or, based on any aggregation of subscribers, at a regional or national level</w:t>
      </w:r>
      <w:r w:rsidRPr="006601CF">
        <w:t>.</w:t>
      </w:r>
      <w:r w:rsidRPr="003D7948">
        <w:rPr>
          <w:rStyle w:val="FootnoteReference"/>
          <w:szCs w:val="22"/>
        </w:rPr>
        <w:footnoteReference w:id="53"/>
      </w:r>
      <w:r w:rsidRPr="006601CF">
        <w:t xml:space="preserve">  </w:t>
      </w:r>
      <w:bookmarkStart w:id="31" w:name="FN[FN229]"/>
      <w:bookmarkStart w:id="32" w:name="FN[FN230]"/>
      <w:bookmarkEnd w:id="31"/>
      <w:bookmarkEnd w:id="32"/>
      <w:r w:rsidRPr="00003631">
        <w:rPr>
          <w:szCs w:val="22"/>
        </w:rPr>
        <w:t xml:space="preserve"> </w:t>
      </w:r>
      <w:r w:rsidRPr="00882867">
        <w:t xml:space="preserve">            </w:t>
      </w:r>
    </w:p>
    <w:p w14:paraId="187FFA15" w14:textId="77777777" w:rsidR="001377FD" w:rsidRPr="00B934CA" w:rsidRDefault="001377FD" w:rsidP="001377FD">
      <w:pPr>
        <w:pStyle w:val="Heading4"/>
        <w:widowControl/>
        <w:rPr>
          <w:szCs w:val="22"/>
        </w:rPr>
      </w:pPr>
      <w:r w:rsidRPr="006601CF">
        <w:rPr>
          <w:szCs w:val="22"/>
        </w:rPr>
        <w:t>Other Issues</w:t>
      </w:r>
      <w:r w:rsidRPr="00B934CA">
        <w:rPr>
          <w:szCs w:val="22"/>
        </w:rPr>
        <w:t xml:space="preserve">  </w:t>
      </w:r>
    </w:p>
    <w:p w14:paraId="00A9B287" w14:textId="49F3B84F" w:rsidR="001377FD" w:rsidRPr="00B040B6" w:rsidRDefault="001377FD" w:rsidP="001E20DE">
      <w:pPr>
        <w:pStyle w:val="ParaNum"/>
        <w:tabs>
          <w:tab w:val="clear" w:pos="1440"/>
          <w:tab w:val="num" w:pos="1080"/>
        </w:tabs>
        <w:rPr>
          <w:szCs w:val="22"/>
        </w:rPr>
      </w:pPr>
      <w:bookmarkStart w:id="33" w:name="_Ref431814807"/>
      <w:r w:rsidRPr="00B040B6">
        <w:rPr>
          <w:i/>
          <w:szCs w:val="22"/>
        </w:rPr>
        <w:t xml:space="preserve"> </w:t>
      </w:r>
      <w:r w:rsidRPr="00B040B6">
        <w:rPr>
          <w:szCs w:val="22"/>
        </w:rPr>
        <w:t>T</w:t>
      </w:r>
      <w:r>
        <w:t>he County of Humboldt and Access Humboldt request that we deny the Application, or condition approval on specific conditions that, as a general matter, promote universal access, localism, the open Internet, and general broadband adoption</w:t>
      </w:r>
      <w:r w:rsidRPr="006601CF">
        <w:t>.</w:t>
      </w:r>
      <w:r w:rsidRPr="003507EE">
        <w:rPr>
          <w:sz w:val="20"/>
          <w:vertAlign w:val="superscript"/>
        </w:rPr>
        <w:footnoteReference w:id="54"/>
      </w:r>
      <w:r w:rsidRPr="006601CF">
        <w:t xml:space="preserve">  </w:t>
      </w:r>
      <w:r>
        <w:t>The County of Humboldt also raises an ongoing dispute with Cequel regarding the amount of public, education, and government (PEG) access fees Cequel’s subsidiaries should pay to Humboldt County.</w:t>
      </w:r>
      <w:r>
        <w:rPr>
          <w:rStyle w:val="FootnoteReference"/>
        </w:rPr>
        <w:footnoteReference w:id="55"/>
      </w:r>
      <w:r>
        <w:t xml:space="preserve">  The California Emerging Technology Fund comments that we should, as a general matter, condition grants of mergers or transfers of control on five particular terms that advance affordable broadband rates.</w:t>
      </w:r>
      <w:r w:rsidRPr="003507EE">
        <w:rPr>
          <w:sz w:val="20"/>
          <w:vertAlign w:val="superscript"/>
        </w:rPr>
        <w:footnoteReference w:id="56"/>
      </w:r>
      <w:r w:rsidRPr="006601CF">
        <w:t xml:space="preserve">  </w:t>
      </w:r>
      <w:r w:rsidRPr="00B040B6">
        <w:rPr>
          <w:szCs w:val="22"/>
        </w:rPr>
        <w:t xml:space="preserve">We find that </w:t>
      </w:r>
      <w:r>
        <w:rPr>
          <w:szCs w:val="22"/>
        </w:rPr>
        <w:t>in the case of this particular transaction</w:t>
      </w:r>
      <w:r w:rsidR="0045521A">
        <w:rPr>
          <w:szCs w:val="22"/>
        </w:rPr>
        <w:t>,</w:t>
      </w:r>
      <w:r>
        <w:rPr>
          <w:szCs w:val="22"/>
        </w:rPr>
        <w:t xml:space="preserve"> as reflected in the record before us, </w:t>
      </w:r>
      <w:r w:rsidRPr="00B040B6">
        <w:rPr>
          <w:szCs w:val="22"/>
        </w:rPr>
        <w:t>these issues are outside the scope of our review</w:t>
      </w:r>
      <w:r>
        <w:rPr>
          <w:szCs w:val="22"/>
        </w:rPr>
        <w:t>.  T</w:t>
      </w:r>
      <w:r w:rsidRPr="00B040B6">
        <w:rPr>
          <w:snapToGrid/>
          <w:kern w:val="0"/>
          <w:szCs w:val="22"/>
        </w:rPr>
        <w:t xml:space="preserve">he Commission has rejected requests to impose conditions on applicants in particular </w:t>
      </w:r>
      <w:r>
        <w:rPr>
          <w:snapToGrid/>
          <w:kern w:val="0"/>
          <w:szCs w:val="22"/>
        </w:rPr>
        <w:t>transaction</w:t>
      </w:r>
      <w:r w:rsidRPr="00B040B6">
        <w:rPr>
          <w:snapToGrid/>
          <w:kern w:val="0"/>
          <w:szCs w:val="22"/>
        </w:rPr>
        <w:t>s solely to serve broad-based policy goals.</w:t>
      </w:r>
      <w:r>
        <w:rPr>
          <w:rStyle w:val="FootnoteReference"/>
          <w:snapToGrid/>
          <w:kern w:val="0"/>
          <w:szCs w:val="22"/>
        </w:rPr>
        <w:footnoteReference w:id="57"/>
      </w:r>
      <w:r w:rsidRPr="00B040B6">
        <w:rPr>
          <w:snapToGrid/>
          <w:kern w:val="0"/>
          <w:szCs w:val="22"/>
        </w:rPr>
        <w:t xml:space="preserve">  The Commission has held that it will impose conditions “only to remedy harms that arise from the </w:t>
      </w:r>
      <w:r>
        <w:rPr>
          <w:snapToGrid/>
          <w:kern w:val="0"/>
          <w:szCs w:val="22"/>
        </w:rPr>
        <w:t>transaction</w:t>
      </w:r>
      <w:r w:rsidRPr="00B040B6">
        <w:rPr>
          <w:snapToGrid/>
          <w:kern w:val="0"/>
          <w:szCs w:val="22"/>
        </w:rPr>
        <w:t xml:space="preserve"> (i.e., </w:t>
      </w:r>
      <w:r>
        <w:rPr>
          <w:snapToGrid/>
          <w:kern w:val="0"/>
          <w:szCs w:val="22"/>
        </w:rPr>
        <w:t>transaction</w:t>
      </w:r>
      <w:r w:rsidRPr="00B040B6">
        <w:rPr>
          <w:snapToGrid/>
          <w:kern w:val="0"/>
          <w:szCs w:val="22"/>
        </w:rPr>
        <w:t>-specific harms) and that are related to the Commission’s responsibilities under the Communications Act and related statutes,” and thus “generally will not</w:t>
      </w:r>
      <w:r w:rsidRPr="00B040B6">
        <w:rPr>
          <w:szCs w:val="22"/>
        </w:rPr>
        <w:t xml:space="preserve"> </w:t>
      </w:r>
      <w:r w:rsidRPr="00B040B6">
        <w:rPr>
          <w:snapToGrid/>
          <w:kern w:val="0"/>
          <w:szCs w:val="22"/>
        </w:rPr>
        <w:t xml:space="preserve">impose conditions to remedy pre-existing harms or harms that are unrelated to the </w:t>
      </w:r>
      <w:r>
        <w:rPr>
          <w:snapToGrid/>
          <w:kern w:val="0"/>
          <w:szCs w:val="22"/>
        </w:rPr>
        <w:t>transaction</w:t>
      </w:r>
      <w:r w:rsidRPr="00B040B6">
        <w:rPr>
          <w:snapToGrid/>
          <w:kern w:val="0"/>
          <w:szCs w:val="22"/>
        </w:rPr>
        <w:t>.”</w:t>
      </w:r>
      <w:r>
        <w:rPr>
          <w:rStyle w:val="FootnoteReference"/>
          <w:snapToGrid/>
          <w:kern w:val="0"/>
          <w:szCs w:val="24"/>
        </w:rPr>
        <w:footnoteReference w:id="58"/>
      </w:r>
      <w:bookmarkEnd w:id="33"/>
      <w:r>
        <w:rPr>
          <w:snapToGrid/>
          <w:kern w:val="0"/>
          <w:szCs w:val="22"/>
        </w:rPr>
        <w:t xml:space="preserve">  </w:t>
      </w:r>
    </w:p>
    <w:p w14:paraId="09328FAE" w14:textId="77777777" w:rsidR="001377FD" w:rsidRDefault="001377FD" w:rsidP="001377FD">
      <w:pPr>
        <w:pStyle w:val="Heading3"/>
        <w:widowControl/>
        <w:rPr>
          <w:szCs w:val="22"/>
        </w:rPr>
      </w:pPr>
      <w:r w:rsidRPr="006601CF">
        <w:rPr>
          <w:szCs w:val="22"/>
        </w:rPr>
        <w:t>Potential Benefits</w:t>
      </w:r>
    </w:p>
    <w:p w14:paraId="73BEC73F" w14:textId="77777777" w:rsidR="001377FD" w:rsidRPr="00E33A09" w:rsidRDefault="001377FD" w:rsidP="001E20DE">
      <w:pPr>
        <w:pStyle w:val="ParaNum"/>
        <w:widowControl/>
        <w:tabs>
          <w:tab w:val="clear" w:pos="1440"/>
          <w:tab w:val="num" w:pos="1080"/>
        </w:tabs>
        <w:rPr>
          <w:szCs w:val="22"/>
        </w:rPr>
      </w:pPr>
      <w:bookmarkStart w:id="34" w:name="_Ref432505043"/>
      <w:r w:rsidRPr="006848C9">
        <w:rPr>
          <w:szCs w:val="22"/>
        </w:rPr>
        <w:t xml:space="preserve">The Commission applies several criteria in deciding whether a claimed benefit should be considered in assessing a proposed </w:t>
      </w:r>
      <w:r>
        <w:rPr>
          <w:szCs w:val="22"/>
        </w:rPr>
        <w:t>transaction</w:t>
      </w:r>
      <w:r w:rsidRPr="006848C9">
        <w:rPr>
          <w:szCs w:val="22"/>
        </w:rPr>
        <w:t>.</w:t>
      </w:r>
      <w:r w:rsidRPr="006848C9">
        <w:rPr>
          <w:sz w:val="20"/>
          <w:szCs w:val="22"/>
          <w:vertAlign w:val="superscript"/>
        </w:rPr>
        <w:footnoteReference w:id="59"/>
      </w:r>
      <w:r w:rsidRPr="006848C9">
        <w:rPr>
          <w:szCs w:val="22"/>
        </w:rPr>
        <w:t xml:space="preserve">  First, the benefit must be </w:t>
      </w:r>
      <w:r>
        <w:rPr>
          <w:szCs w:val="22"/>
        </w:rPr>
        <w:t>transaction</w:t>
      </w:r>
      <w:r w:rsidRPr="006848C9">
        <w:rPr>
          <w:szCs w:val="22"/>
        </w:rPr>
        <w:t>-specific.</w:t>
      </w:r>
      <w:r w:rsidRPr="006848C9">
        <w:rPr>
          <w:rStyle w:val="FootnoteReference"/>
          <w:szCs w:val="22"/>
        </w:rPr>
        <w:footnoteReference w:id="60"/>
      </w:r>
      <w:r w:rsidRPr="006848C9">
        <w:rPr>
          <w:szCs w:val="22"/>
        </w:rPr>
        <w:t xml:space="preserve">  Second, the benefit must be verifiable.</w:t>
      </w:r>
      <w:r w:rsidRPr="006848C9">
        <w:rPr>
          <w:rStyle w:val="FootnoteReference"/>
          <w:szCs w:val="22"/>
        </w:rPr>
        <w:footnoteReference w:id="61"/>
      </w:r>
      <w:r w:rsidRPr="006848C9">
        <w:rPr>
          <w:szCs w:val="22"/>
        </w:rPr>
        <w:t xml:space="preserve">  Because much of the information relating to the potential benefits of a </w:t>
      </w:r>
      <w:r>
        <w:rPr>
          <w:szCs w:val="22"/>
        </w:rPr>
        <w:t>transaction</w:t>
      </w:r>
      <w:r w:rsidRPr="006848C9">
        <w:rPr>
          <w:szCs w:val="22"/>
        </w:rPr>
        <w:t xml:space="preserve"> is in the sole possession of the applicants, they are required to provide sufficient evidence supporting each claimed benefit to allow the Commission to verify its likelihood and magnitude.  Third, “the magnitude of benefits must be calculated net of the cost of achieving them.”</w:t>
      </w:r>
      <w:r w:rsidRPr="006848C9">
        <w:rPr>
          <w:sz w:val="20"/>
          <w:szCs w:val="22"/>
          <w:vertAlign w:val="superscript"/>
        </w:rPr>
        <w:footnoteReference w:id="62"/>
      </w:r>
      <w:r w:rsidRPr="006848C9">
        <w:rPr>
          <w:szCs w:val="22"/>
        </w:rPr>
        <w:t xml:space="preserve">  Finally, the Commission applies a “sliding scale approach” to evaluating benefit claims.</w:t>
      </w:r>
      <w:r w:rsidRPr="006848C9">
        <w:rPr>
          <w:sz w:val="20"/>
          <w:szCs w:val="22"/>
          <w:vertAlign w:val="superscript"/>
        </w:rPr>
        <w:footnoteReference w:id="63"/>
      </w:r>
      <w:r w:rsidRPr="006848C9">
        <w:rPr>
          <w:szCs w:val="22"/>
        </w:rPr>
        <w:t xml:space="preserve">  Under this sliding scale approach, where potential harms appear “both substantial and likely, a demonstration of claimed benefits also must reveal a higher degree of magnitude and likelihood than we would otherwise demand.”</w:t>
      </w:r>
      <w:r w:rsidRPr="006848C9">
        <w:rPr>
          <w:rStyle w:val="FootnoteReference"/>
          <w:szCs w:val="22"/>
        </w:rPr>
        <w:footnoteReference w:id="64"/>
      </w:r>
      <w:r w:rsidRPr="006601CF">
        <w:rPr>
          <w:szCs w:val="22"/>
        </w:rPr>
        <w:t xml:space="preserve">  Conversely, where potential harms appear unlikely or less likely and less substanti</w:t>
      </w:r>
      <w:r>
        <w:rPr>
          <w:szCs w:val="22"/>
        </w:rPr>
        <w:t>al, the Commission</w:t>
      </w:r>
      <w:r w:rsidRPr="006601CF">
        <w:rPr>
          <w:szCs w:val="22"/>
        </w:rPr>
        <w:t xml:space="preserve"> will accept a lesser showing of claimed benefits.</w:t>
      </w:r>
      <w:r w:rsidRPr="00895634">
        <w:rPr>
          <w:sz w:val="20"/>
          <w:szCs w:val="22"/>
          <w:vertAlign w:val="superscript"/>
        </w:rPr>
        <w:footnoteReference w:id="65"/>
      </w:r>
    </w:p>
    <w:p w14:paraId="78EEBAB3" w14:textId="77777777" w:rsidR="001377FD" w:rsidRPr="00543D69" w:rsidRDefault="001377FD" w:rsidP="001E20DE">
      <w:pPr>
        <w:pStyle w:val="ParaNum"/>
        <w:tabs>
          <w:tab w:val="clear" w:pos="1440"/>
          <w:tab w:val="num" w:pos="1080"/>
        </w:tabs>
        <w:rPr>
          <w:rFonts w:ascii="Calibri" w:hAnsi="Calibri" w:cs="Calibri"/>
          <w:color w:val="1F497D"/>
        </w:rPr>
      </w:pPr>
      <w:r w:rsidRPr="00D729CD">
        <w:rPr>
          <w:szCs w:val="22"/>
        </w:rPr>
        <w:t xml:space="preserve">Applicants </w:t>
      </w:r>
      <w:r>
        <w:rPr>
          <w:szCs w:val="22"/>
        </w:rPr>
        <w:t xml:space="preserve">assert that the transaction will serve the public interest because it will result in increased investment and improved broadband services in the Suddenlink service territory. </w:t>
      </w:r>
      <w:r w:rsidRPr="00D729CD">
        <w:rPr>
          <w:szCs w:val="22"/>
        </w:rPr>
        <w:t xml:space="preserve"> </w:t>
      </w:r>
      <w:r>
        <w:rPr>
          <w:szCs w:val="22"/>
        </w:rPr>
        <w:t>In support of these claimed transaction</w:t>
      </w:r>
      <w:r w:rsidRPr="00543D69">
        <w:rPr>
          <w:szCs w:val="22"/>
        </w:rPr>
        <w:t xml:space="preserve"> benefits, Applicants focus on Suddenlink’s efforts to enhance its broadband offerings, which Altice states it will expand and continue, and Altice’s history of investing in and accelerating the existing broadband network plans of the service providers acquired by Altice.</w:t>
      </w:r>
      <w:r>
        <w:rPr>
          <w:rStyle w:val="FootnoteReference"/>
          <w:szCs w:val="22"/>
        </w:rPr>
        <w:footnoteReference w:id="66"/>
      </w:r>
      <w:bookmarkEnd w:id="34"/>
      <w:r w:rsidRPr="00543D69">
        <w:rPr>
          <w:szCs w:val="22"/>
        </w:rPr>
        <w:t xml:space="preserve">  </w:t>
      </w:r>
    </w:p>
    <w:p w14:paraId="797D6287" w14:textId="77777777" w:rsidR="001377FD" w:rsidRDefault="001377FD" w:rsidP="005E3AD3">
      <w:pPr>
        <w:pStyle w:val="ParaNum"/>
        <w:widowControl/>
        <w:tabs>
          <w:tab w:val="clear" w:pos="1440"/>
          <w:tab w:val="num" w:pos="1080"/>
        </w:tabs>
        <w:rPr>
          <w:rFonts w:ascii="Calibri" w:hAnsi="Calibri" w:cs="Calibri"/>
          <w:color w:val="1F497D"/>
          <w:szCs w:val="22"/>
        </w:rPr>
      </w:pPr>
      <w:bookmarkStart w:id="35" w:name="_Ref431750250"/>
      <w:r>
        <w:t>Applicants state that Suddenlink is committed to investing in and enhancing its broadband offerings, which includes service to many rural areas.  Applicants explain that almost half of it</w:t>
      </w:r>
      <w:r w:rsidRPr="00BA0C74">
        <w:t>s current ex</w:t>
      </w:r>
      <w:r>
        <w:t>isting network serves</w:t>
      </w:r>
      <w:r w:rsidRPr="00BA0C74">
        <w:t xml:space="preserve"> rural areas, and approximately </w:t>
      </w:r>
      <w:r w:rsidRPr="001B338E">
        <w:t>85 percent of Suddenlink’s nearly 900 cable franchises</w:t>
      </w:r>
      <w:r>
        <w:t xml:space="preserve"> </w:t>
      </w:r>
      <w:r w:rsidRPr="001B338E">
        <w:t>have fewer than 2,000 customer homes per franchise.</w:t>
      </w:r>
      <w:r w:rsidRPr="001B338E">
        <w:rPr>
          <w:rStyle w:val="FootnoteReference"/>
          <w:szCs w:val="22"/>
        </w:rPr>
        <w:footnoteReference w:id="67"/>
      </w:r>
      <w:r>
        <w:t xml:space="preserve">  </w:t>
      </w:r>
      <w:r>
        <w:rPr>
          <w:color w:val="000000"/>
        </w:rPr>
        <w:t xml:space="preserve">Applicants state that </w:t>
      </w:r>
      <w:r w:rsidRPr="0089522B">
        <w:rPr>
          <w:color w:val="000000"/>
          <w:szCs w:val="22"/>
        </w:rPr>
        <w:t>Suddenlink offers a high speed data product to more than 97.5 percent of its homes passed on a nationwide basis</w:t>
      </w:r>
      <w:r>
        <w:rPr>
          <w:color w:val="000000"/>
          <w:szCs w:val="22"/>
        </w:rPr>
        <w:t>:</w:t>
      </w:r>
      <w:r w:rsidRPr="0089522B">
        <w:rPr>
          <w:color w:val="000000"/>
        </w:rPr>
        <w:t xml:space="preserve"> </w:t>
      </w:r>
      <w:r w:rsidRPr="0089522B">
        <w:rPr>
          <w:color w:val="000000"/>
          <w:szCs w:val="22"/>
        </w:rPr>
        <w:t>80 percent of these homes have speeds of 150 Mbps or faster, and another 10 percent have access to speeds of at least 50 Mbps.</w:t>
      </w:r>
      <w:r>
        <w:rPr>
          <w:rStyle w:val="FootnoteReference"/>
          <w:szCs w:val="22"/>
        </w:rPr>
        <w:footnoteReference w:id="68"/>
      </w:r>
      <w:r>
        <w:rPr>
          <w:color w:val="000000"/>
          <w:szCs w:val="22"/>
        </w:rPr>
        <w:t xml:space="preserve">  According to Applicants, a</w:t>
      </w:r>
      <w:r>
        <w:t>pproximately</w:t>
      </w:r>
      <w:r w:rsidRPr="00FB4296">
        <w:t xml:space="preserve"> 90 percent of </w:t>
      </w:r>
      <w:r>
        <w:t xml:space="preserve">homes passed by Suddenlink </w:t>
      </w:r>
      <w:r w:rsidRPr="00FB4296">
        <w:t xml:space="preserve">have speeds available that are at least double the </w:t>
      </w:r>
      <w:r>
        <w:t>Commission</w:t>
      </w:r>
      <w:r w:rsidRPr="00FB4296">
        <w:t>’s current definition of “advanced telecommunications capability.”</w:t>
      </w:r>
      <w:r w:rsidRPr="00FB4296">
        <w:rPr>
          <w:rStyle w:val="FootnoteReference"/>
          <w:color w:val="000000"/>
          <w:szCs w:val="22"/>
        </w:rPr>
        <w:footnoteReference w:id="69"/>
      </w:r>
      <w:r w:rsidRPr="0089522B">
        <w:rPr>
          <w:color w:val="000000"/>
          <w:szCs w:val="22"/>
        </w:rPr>
        <w:t xml:space="preserve"> </w:t>
      </w:r>
      <w:r w:rsidRPr="0089522B">
        <w:rPr>
          <w:rFonts w:ascii="Calibri" w:hAnsi="Calibri" w:cs="Calibri"/>
          <w:color w:val="000000"/>
        </w:rPr>
        <w:t xml:space="preserve">  </w:t>
      </w:r>
      <w:bookmarkEnd w:id="35"/>
      <w:r>
        <w:t xml:space="preserve">  </w:t>
      </w:r>
      <w:r w:rsidRPr="00026A3E">
        <w:rPr>
          <w:szCs w:val="22"/>
        </w:rPr>
        <w:t xml:space="preserve">   </w:t>
      </w:r>
    </w:p>
    <w:p w14:paraId="5A39DED6" w14:textId="77777777" w:rsidR="001377FD" w:rsidRPr="00145CA1" w:rsidRDefault="001377FD" w:rsidP="005E3AD3">
      <w:pPr>
        <w:pStyle w:val="ParaNum"/>
        <w:widowControl/>
        <w:tabs>
          <w:tab w:val="clear" w:pos="1440"/>
          <w:tab w:val="num" w:pos="1080"/>
        </w:tabs>
        <w:rPr>
          <w:rFonts w:ascii="Calibri" w:hAnsi="Calibri" w:cs="Calibri"/>
          <w:color w:val="1F497D"/>
          <w:szCs w:val="22"/>
        </w:rPr>
      </w:pPr>
      <w:r>
        <w:t xml:space="preserve">Altice, Applicants contend, has a proven track record of successfully investing in, and improving the broadband offerings of, the companies it acquires.  Applicants provide </w:t>
      </w:r>
      <w:r w:rsidRPr="001C7D42">
        <w:t>recent examples</w:t>
      </w:r>
      <w:r>
        <w:t xml:space="preserve"> where Altice acquired control of (or acquired) companies in France, Belgium, Luxembourg, Israel, and Portugal,</w:t>
      </w:r>
      <w:r w:rsidRPr="001C7D42">
        <w:t xml:space="preserve"> </w:t>
      </w:r>
      <w:r>
        <w:t>and invested in the networks to ensure their “long-term viability and growth.”</w:t>
      </w:r>
      <w:r w:rsidRPr="00145CA1">
        <w:rPr>
          <w:rStyle w:val="FootnoteReference"/>
          <w:szCs w:val="22"/>
        </w:rPr>
        <w:t xml:space="preserve"> </w:t>
      </w:r>
      <w:r w:rsidRPr="007664B1">
        <w:rPr>
          <w:rStyle w:val="FootnoteReference"/>
          <w:szCs w:val="22"/>
        </w:rPr>
        <w:footnoteReference w:id="70"/>
      </w:r>
      <w:r w:rsidRPr="00145CA1">
        <w:rPr>
          <w:szCs w:val="22"/>
        </w:rPr>
        <w:t xml:space="preserve">  </w:t>
      </w:r>
      <w:r>
        <w:rPr>
          <w:szCs w:val="22"/>
        </w:rPr>
        <w:t xml:space="preserve">Applicants claim that </w:t>
      </w:r>
      <w:r w:rsidRPr="00145CA1">
        <w:rPr>
          <w:szCs w:val="22"/>
        </w:rPr>
        <w:t>Altice’s capital expenditures for these companies surpassed those of the incumbents with which it competes.</w:t>
      </w:r>
      <w:r>
        <w:rPr>
          <w:rStyle w:val="FootnoteReference"/>
          <w:szCs w:val="22"/>
        </w:rPr>
        <w:footnoteReference w:id="71"/>
      </w:r>
      <w:r w:rsidRPr="00145CA1">
        <w:rPr>
          <w:szCs w:val="22"/>
        </w:rPr>
        <w:t xml:space="preserve">  </w:t>
      </w:r>
      <w:r>
        <w:rPr>
          <w:szCs w:val="22"/>
        </w:rPr>
        <w:t>Applicants also assert that Altice has</w:t>
      </w:r>
      <w:r w:rsidRPr="00145CA1">
        <w:rPr>
          <w:szCs w:val="22"/>
        </w:rPr>
        <w:t xml:space="preserve"> </w:t>
      </w:r>
      <w:r>
        <w:t xml:space="preserve">enhanced its broadband networks to increase speeds and </w:t>
      </w:r>
      <w:r w:rsidRPr="00030710">
        <w:t>the number of subscribers that</w:t>
      </w:r>
      <w:r>
        <w:t xml:space="preserve"> </w:t>
      </w:r>
      <w:r w:rsidRPr="00030710">
        <w:t>can benefit from its services</w:t>
      </w:r>
      <w:r w:rsidRPr="00145CA1">
        <w:rPr>
          <w:color w:val="000000"/>
        </w:rPr>
        <w:t>.</w:t>
      </w:r>
      <w:r w:rsidRPr="001643A6">
        <w:rPr>
          <w:rStyle w:val="FootnoteReference"/>
          <w:color w:val="000000"/>
          <w:sz w:val="22"/>
          <w:szCs w:val="22"/>
        </w:rPr>
        <w:footnoteReference w:id="72"/>
      </w:r>
      <w:r w:rsidRPr="00145CA1">
        <w:rPr>
          <w:color w:val="000000"/>
        </w:rPr>
        <w:t xml:space="preserve">  </w:t>
      </w:r>
      <w:r>
        <w:t xml:space="preserve">For example, Applicants claim that after Altice acquired control of </w:t>
      </w:r>
      <w:r w:rsidRPr="00145CA1">
        <w:rPr>
          <w:szCs w:val="22"/>
        </w:rPr>
        <w:t>Numericable</w:t>
      </w:r>
      <w:r>
        <w:rPr>
          <w:szCs w:val="22"/>
        </w:rPr>
        <w:t>, a European cable operator,</w:t>
      </w:r>
      <w:r w:rsidRPr="00145CA1">
        <w:rPr>
          <w:szCs w:val="22"/>
        </w:rPr>
        <w:t xml:space="preserve"> in 2013, </w:t>
      </w:r>
      <w:r>
        <w:rPr>
          <w:szCs w:val="22"/>
        </w:rPr>
        <w:t xml:space="preserve">the network in France was upgraded </w:t>
      </w:r>
      <w:r w:rsidRPr="00145CA1">
        <w:rPr>
          <w:szCs w:val="22"/>
        </w:rPr>
        <w:t>from being able to deliver 1 Mbps in 2013 to between 100-200 Mbps today, and in</w:t>
      </w:r>
      <w:r>
        <w:t xml:space="preserve"> </w:t>
      </w:r>
      <w:r w:rsidRPr="00553847">
        <w:t xml:space="preserve">Belgium and </w:t>
      </w:r>
      <w:r w:rsidRPr="00145CA1">
        <w:rPr>
          <w:szCs w:val="22"/>
        </w:rPr>
        <w:t>Luxembourg from 4 Mbps in 2013 to between 50-200 Mbps today.</w:t>
      </w:r>
      <w:r w:rsidRPr="00553847">
        <w:rPr>
          <w:rStyle w:val="FootnoteReference"/>
          <w:szCs w:val="22"/>
        </w:rPr>
        <w:footnoteReference w:id="73"/>
      </w:r>
      <w:r>
        <w:rPr>
          <w:b/>
          <w:szCs w:val="22"/>
        </w:rPr>
        <w:t xml:space="preserve">  </w:t>
      </w:r>
      <w:r>
        <w:rPr>
          <w:szCs w:val="22"/>
        </w:rPr>
        <w:t>Applicants assert that Altice</w:t>
      </w:r>
      <w:r w:rsidRPr="00145CA1">
        <w:rPr>
          <w:szCs w:val="22"/>
        </w:rPr>
        <w:t xml:space="preserve"> has </w:t>
      </w:r>
      <w:r>
        <w:rPr>
          <w:szCs w:val="22"/>
        </w:rPr>
        <w:t xml:space="preserve">also </w:t>
      </w:r>
      <w:r w:rsidRPr="00145CA1">
        <w:rPr>
          <w:szCs w:val="22"/>
        </w:rPr>
        <w:t>built ou</w:t>
      </w:r>
      <w:r>
        <w:rPr>
          <w:szCs w:val="22"/>
        </w:rPr>
        <w:t>t its networks to increase its</w:t>
      </w:r>
      <w:r w:rsidRPr="00145CA1">
        <w:rPr>
          <w:szCs w:val="22"/>
        </w:rPr>
        <w:t xml:space="preserve"> broadband reach.  For example, </w:t>
      </w:r>
      <w:r>
        <w:rPr>
          <w:szCs w:val="22"/>
        </w:rPr>
        <w:t xml:space="preserve">Applicants claim that </w:t>
      </w:r>
      <w:r w:rsidRPr="00145CA1">
        <w:rPr>
          <w:szCs w:val="22"/>
        </w:rPr>
        <w:t xml:space="preserve">since acquiring control of Numericable, Altice added approximately 100,000 </w:t>
      </w:r>
      <w:r>
        <w:rPr>
          <w:szCs w:val="22"/>
        </w:rPr>
        <w:t>“</w:t>
      </w:r>
      <w:r w:rsidRPr="00145CA1">
        <w:rPr>
          <w:szCs w:val="22"/>
        </w:rPr>
        <w:t>passings</w:t>
      </w:r>
      <w:r>
        <w:rPr>
          <w:szCs w:val="22"/>
        </w:rPr>
        <w:t>”</w:t>
      </w:r>
      <w:r w:rsidRPr="00145CA1">
        <w:rPr>
          <w:szCs w:val="22"/>
        </w:rPr>
        <w:t xml:space="preserve"> in France and approxi</w:t>
      </w:r>
      <w:r>
        <w:rPr>
          <w:szCs w:val="22"/>
        </w:rPr>
        <w:t>mately 100,000</w:t>
      </w:r>
      <w:r w:rsidRPr="00145CA1">
        <w:rPr>
          <w:szCs w:val="22"/>
        </w:rPr>
        <w:t xml:space="preserve"> in Belgium and Luxembourg (combined).</w:t>
      </w:r>
      <w:r w:rsidRPr="0054314D">
        <w:rPr>
          <w:rStyle w:val="FootnoteReference"/>
          <w:szCs w:val="22"/>
        </w:rPr>
        <w:footnoteReference w:id="74"/>
      </w:r>
      <w:r w:rsidRPr="00145CA1">
        <w:rPr>
          <w:szCs w:val="22"/>
          <w:highlight w:val="yellow"/>
        </w:rPr>
        <w:t xml:space="preserve">  </w:t>
      </w:r>
    </w:p>
    <w:p w14:paraId="79269314" w14:textId="77777777" w:rsidR="001377FD" w:rsidRDefault="001377FD" w:rsidP="001E20DE">
      <w:pPr>
        <w:pStyle w:val="ParaNum"/>
        <w:tabs>
          <w:tab w:val="clear" w:pos="1440"/>
          <w:tab w:val="num" w:pos="1080"/>
        </w:tabs>
      </w:pPr>
      <w:bookmarkStart w:id="36" w:name="_Ref431750252"/>
      <w:bookmarkStart w:id="37" w:name="_Ref432505105"/>
      <w:r w:rsidRPr="0089522B">
        <w:t xml:space="preserve">We find </w:t>
      </w:r>
      <w:r>
        <w:t xml:space="preserve">nothing in the record </w:t>
      </w:r>
      <w:r w:rsidRPr="0089522B">
        <w:t>leading us</w:t>
      </w:r>
      <w:r>
        <w:t xml:space="preserve"> to conclude that Altice will deviate from what Applicants describe as a “demonstrated track record” of </w:t>
      </w:r>
      <w:r w:rsidRPr="0054314D">
        <w:t>invest</w:t>
      </w:r>
      <w:r>
        <w:t xml:space="preserve">ing in the </w:t>
      </w:r>
      <w:r w:rsidRPr="0054314D">
        <w:t xml:space="preserve">service providers </w:t>
      </w:r>
      <w:r>
        <w:t xml:space="preserve">Altice acquires, while improving its </w:t>
      </w:r>
      <w:r w:rsidRPr="0054314D">
        <w:t>offerings and competitive position in the market, to the benefit of consumers.</w:t>
      </w:r>
      <w:r>
        <w:rPr>
          <w:rStyle w:val="FootnoteReference"/>
        </w:rPr>
        <w:footnoteReference w:id="75"/>
      </w:r>
      <w:r>
        <w:t xml:space="preserve">  Applicants contend that the transaction</w:t>
      </w:r>
      <w:r w:rsidRPr="0089522B">
        <w:t xml:space="preserve"> would </w:t>
      </w:r>
      <w:r>
        <w:t xml:space="preserve">not </w:t>
      </w:r>
      <w:r w:rsidRPr="0089522B">
        <w:t xml:space="preserve">alter the </w:t>
      </w:r>
      <w:r>
        <w:t>Applicants’</w:t>
      </w:r>
      <w:r w:rsidRPr="0089522B">
        <w:t xml:space="preserve"> existing incentives to improving Suddenlink’s </w:t>
      </w:r>
      <w:r>
        <w:t xml:space="preserve">broadband Internet access services </w:t>
      </w:r>
      <w:r w:rsidRPr="0089522B">
        <w:t>in its service territories</w:t>
      </w:r>
      <w:r>
        <w:t>.</w:t>
      </w:r>
      <w:r w:rsidRPr="0089522B">
        <w:rPr>
          <w:rStyle w:val="FootnoteReference"/>
          <w:color w:val="000000"/>
          <w:sz w:val="22"/>
          <w:szCs w:val="22"/>
        </w:rPr>
        <w:footnoteReference w:id="76"/>
      </w:r>
      <w:r w:rsidRPr="0089522B">
        <w:t xml:space="preserve"> </w:t>
      </w:r>
      <w:r>
        <w:t xml:space="preserve"> Although</w:t>
      </w:r>
      <w:r w:rsidRPr="0089522B">
        <w:t xml:space="preserve"> we </w:t>
      </w:r>
      <w:r>
        <w:t>acknowledge</w:t>
      </w:r>
      <w:r w:rsidRPr="0089522B">
        <w:t xml:space="preserve"> Suddenlink’s </w:t>
      </w:r>
      <w:r>
        <w:t xml:space="preserve">pre-existing </w:t>
      </w:r>
      <w:r w:rsidRPr="0089522B">
        <w:t xml:space="preserve">efforts </w:t>
      </w:r>
      <w:r>
        <w:t>toward</w:t>
      </w:r>
      <w:r w:rsidRPr="0089522B">
        <w:t xml:space="preserve"> its broadband improvement goals,</w:t>
      </w:r>
      <w:r>
        <w:t xml:space="preserve"> we are persuaded that the likelihood of reaching these goals is</w:t>
      </w:r>
      <w:r w:rsidRPr="0089522B">
        <w:t xml:space="preserve"> improved with the support and financial backing of Altice’s global resources. </w:t>
      </w:r>
      <w:r>
        <w:t xml:space="preserve"> </w:t>
      </w:r>
      <w:r w:rsidRPr="00D85083">
        <w:t xml:space="preserve">For example, in the context of Project Gigaspeed, </w:t>
      </w:r>
      <w:r>
        <w:t xml:space="preserve">a four year investment program aimed at making 1 Gbps service available to the vast majority of Suddenlink customers, </w:t>
      </w:r>
      <w:r w:rsidRPr="00D85083">
        <w:t xml:space="preserve">Applicants explain that Suddenlink spent over $35 million in 2014, </w:t>
      </w:r>
      <w:r>
        <w:t xml:space="preserve">and </w:t>
      </w:r>
      <w:r w:rsidRPr="00D85083">
        <w:t xml:space="preserve">forecasts </w:t>
      </w:r>
      <w:r>
        <w:t>spending an additional</w:t>
      </w:r>
      <w:r w:rsidRPr="00D85083">
        <w:t xml:space="preserve"> $80 million </w:t>
      </w:r>
      <w:r>
        <w:t xml:space="preserve">or more </w:t>
      </w:r>
      <w:r w:rsidRPr="00D85083">
        <w:t>in 2015 and more than $90 million in 2016 and 2017 (combined) to realize the progra</w:t>
      </w:r>
      <w:r w:rsidRPr="00292451">
        <w:rPr>
          <w:color w:val="000000"/>
        </w:rPr>
        <w:t>m’s objectives.</w:t>
      </w:r>
      <w:r w:rsidRPr="00292451">
        <w:rPr>
          <w:rStyle w:val="FootnoteReference"/>
          <w:color w:val="000000"/>
          <w:szCs w:val="22"/>
        </w:rPr>
        <w:footnoteReference w:id="77"/>
      </w:r>
      <w:r w:rsidRPr="00292451">
        <w:rPr>
          <w:color w:val="000000"/>
        </w:rPr>
        <w:t xml:space="preserve">  </w:t>
      </w:r>
      <w:r>
        <w:rPr>
          <w:color w:val="000000"/>
        </w:rPr>
        <w:t>Applicants state that Project Gigaspeed will result in the conversion to an all-digital video network in virtually all of the company’s service areas affected by the project.</w:t>
      </w:r>
      <w:r>
        <w:rPr>
          <w:rStyle w:val="FootnoteReference"/>
        </w:rPr>
        <w:footnoteReference w:id="78"/>
      </w:r>
      <w:r>
        <w:rPr>
          <w:color w:val="000000"/>
        </w:rPr>
        <w:t xml:space="preserve">  Applicants further state that the transaction will “ensure that Suddenlink has access to sufficient resources to realize Project Gigaspeed’s objectives.”</w:t>
      </w:r>
      <w:r>
        <w:rPr>
          <w:rStyle w:val="FootnoteReference"/>
        </w:rPr>
        <w:footnoteReference w:id="79"/>
      </w:r>
      <w:r>
        <w:rPr>
          <w:color w:val="000000"/>
        </w:rPr>
        <w:t xml:space="preserve">  Applicants contend that without additional investment from Altice, Suddenlink’s ability to complete Project Gigaspeed is “not assured.”</w:t>
      </w:r>
      <w:r>
        <w:rPr>
          <w:rStyle w:val="FootnoteReference"/>
        </w:rPr>
        <w:footnoteReference w:id="80"/>
      </w:r>
      <w:r>
        <w:rPr>
          <w:color w:val="000000"/>
        </w:rPr>
        <w:t xml:space="preserve">  We disagree with t</w:t>
      </w:r>
      <w:r>
        <w:rPr>
          <w:szCs w:val="22"/>
        </w:rPr>
        <w:t>he speculative concerns of County of Humboldt and Access Humboldt that Altice’s investment and operating experience in distant locations will not inform its ability to improve Suddenlink’s operations.</w:t>
      </w:r>
      <w:r w:rsidRPr="009C490D">
        <w:rPr>
          <w:rStyle w:val="FootnoteReference"/>
          <w:sz w:val="22"/>
          <w:szCs w:val="22"/>
        </w:rPr>
        <w:footnoteReference w:id="81"/>
      </w:r>
      <w:r w:rsidRPr="0067027A">
        <w:rPr>
          <w:szCs w:val="22"/>
        </w:rPr>
        <w:t xml:space="preserve"> </w:t>
      </w:r>
      <w:r>
        <w:rPr>
          <w:szCs w:val="22"/>
        </w:rPr>
        <w:t xml:space="preserve"> </w:t>
      </w:r>
      <w:r w:rsidRPr="000B6DF1">
        <w:rPr>
          <w:szCs w:val="22"/>
        </w:rPr>
        <w:t xml:space="preserve">Altice has acquired and invested in companies in multiple countries, and the record does not contain any evidence that Altice will </w:t>
      </w:r>
      <w:r w:rsidRPr="006D6180">
        <w:rPr>
          <w:szCs w:val="22"/>
        </w:rPr>
        <w:t>fail to undertake the proposed transaction in a manner that requires it to be k</w:t>
      </w:r>
      <w:r w:rsidRPr="003F235A">
        <w:t xml:space="preserve">nowledgeable, responsive, and accountable to the local community.  </w:t>
      </w:r>
      <w:r>
        <w:t xml:space="preserve">Further, </w:t>
      </w:r>
      <w:r w:rsidRPr="00981EFF">
        <w:t>t</w:t>
      </w:r>
      <w:r w:rsidRPr="001A1245">
        <w:rPr>
          <w:szCs w:val="22"/>
        </w:rPr>
        <w:t>here is no evidence in the record that the level of debt Altice</w:t>
      </w:r>
      <w:r w:rsidRPr="001A1245">
        <w:rPr>
          <w:rStyle w:val="apple-converted-space"/>
          <w:szCs w:val="22"/>
        </w:rPr>
        <w:t> </w:t>
      </w:r>
      <w:r w:rsidRPr="001A1245">
        <w:rPr>
          <w:szCs w:val="22"/>
        </w:rPr>
        <w:t>would incur as a result of these transaction</w:t>
      </w:r>
      <w:r>
        <w:rPr>
          <w:szCs w:val="22"/>
        </w:rPr>
        <w:t>s would likely diminish Altice’s ability to invest in the Suddenlink service territory</w:t>
      </w:r>
      <w:r w:rsidRPr="00981EFF">
        <w:rPr>
          <w:szCs w:val="22"/>
        </w:rPr>
        <w:t>.</w:t>
      </w:r>
      <w:r w:rsidRPr="00981EFF">
        <w:rPr>
          <w:rStyle w:val="FootnoteReference"/>
        </w:rPr>
        <w:footnoteReference w:id="82"/>
      </w:r>
      <w:r>
        <w:rPr>
          <w:szCs w:val="22"/>
        </w:rPr>
        <w:t xml:space="preserve">  </w:t>
      </w:r>
      <w:r w:rsidRPr="003F235A">
        <w:t xml:space="preserve">We are </w:t>
      </w:r>
      <w:r>
        <w:rPr>
          <w:color w:val="000000"/>
        </w:rPr>
        <w:t>persuaded, after careful consideration of the record, that the transaction</w:t>
      </w:r>
      <w:r w:rsidRPr="00292451">
        <w:rPr>
          <w:color w:val="000000"/>
        </w:rPr>
        <w:t xml:space="preserve"> will </w:t>
      </w:r>
      <w:r>
        <w:rPr>
          <w:color w:val="000000"/>
        </w:rPr>
        <w:t>facilitate</w:t>
      </w:r>
      <w:r w:rsidRPr="00292451">
        <w:rPr>
          <w:color w:val="000000"/>
        </w:rPr>
        <w:t xml:space="preserve"> Suddenlink’s efforts to </w:t>
      </w:r>
      <w:r>
        <w:rPr>
          <w:color w:val="000000"/>
        </w:rPr>
        <w:t>improve</w:t>
      </w:r>
      <w:r w:rsidRPr="00292451">
        <w:rPr>
          <w:color w:val="000000"/>
        </w:rPr>
        <w:t xml:space="preserve"> broadband and other services to its consumers, many of wh</w:t>
      </w:r>
      <w:r>
        <w:rPr>
          <w:color w:val="000000"/>
        </w:rPr>
        <w:t>om</w:t>
      </w:r>
      <w:r w:rsidRPr="00292451">
        <w:rPr>
          <w:color w:val="000000"/>
        </w:rPr>
        <w:t xml:space="preserve"> are in rural areas.  For these reasons,</w:t>
      </w:r>
      <w:r w:rsidRPr="00292451">
        <w:rPr>
          <w:color w:val="000000"/>
          <w:szCs w:val="22"/>
        </w:rPr>
        <w:t xml:space="preserve"> </w:t>
      </w:r>
      <w:bookmarkEnd w:id="36"/>
      <w:r>
        <w:rPr>
          <w:color w:val="000000"/>
          <w:szCs w:val="22"/>
        </w:rPr>
        <w:t>w</w:t>
      </w:r>
      <w:r>
        <w:t xml:space="preserve">e find that the transaction is likely to </w:t>
      </w:r>
      <w:r w:rsidRPr="006601CF">
        <w:t xml:space="preserve">result in </w:t>
      </w:r>
      <w:r>
        <w:t>benefits to consumers by improving</w:t>
      </w:r>
      <w:r w:rsidRPr="00AA1FD2">
        <w:t xml:space="preserve"> broadband</w:t>
      </w:r>
      <w:r w:rsidRPr="00E22D36">
        <w:t xml:space="preserve"> </w:t>
      </w:r>
      <w:r>
        <w:t>service and investment, thereby serving the public interest.</w:t>
      </w:r>
      <w:r w:rsidRPr="00C00E52">
        <w:rPr>
          <w:rStyle w:val="FootnoteReference"/>
          <w:szCs w:val="22"/>
        </w:rPr>
        <w:footnoteReference w:id="83"/>
      </w:r>
      <w:bookmarkEnd w:id="37"/>
    </w:p>
    <w:p w14:paraId="57E55037" w14:textId="77777777" w:rsidR="001377FD" w:rsidRPr="00E577D7" w:rsidRDefault="001377FD" w:rsidP="001377FD">
      <w:pPr>
        <w:pStyle w:val="Heading2"/>
      </w:pPr>
      <w:bookmarkStart w:id="38" w:name="_Toc359594156"/>
      <w:bookmarkStart w:id="39" w:name="_Toc359596126"/>
      <w:bookmarkStart w:id="40" w:name="_Toc359934493"/>
      <w:bookmarkStart w:id="41" w:name="_Toc360003232"/>
      <w:bookmarkStart w:id="42" w:name="_Toc360021860"/>
      <w:bookmarkStart w:id="43" w:name="_Toc360193415"/>
      <w:bookmarkStart w:id="44" w:name="_Toc360448453"/>
      <w:bookmarkStart w:id="45" w:name="_Toc360543702"/>
      <w:bookmarkStart w:id="46" w:name="_Toc360624815"/>
      <w:bookmarkStart w:id="47" w:name="_Toc360625497"/>
      <w:bookmarkStart w:id="48" w:name="_Toc360630093"/>
      <w:bookmarkStart w:id="49" w:name="_Toc360778169"/>
      <w:bookmarkStart w:id="50" w:name="_Toc360787746"/>
      <w:r w:rsidRPr="00E577D7">
        <w:t>National Security, Law Enforcement, Foreign Policy, and Trade Concerns</w:t>
      </w:r>
      <w:bookmarkEnd w:id="38"/>
      <w:bookmarkEnd w:id="39"/>
      <w:bookmarkEnd w:id="40"/>
      <w:bookmarkEnd w:id="41"/>
      <w:bookmarkEnd w:id="42"/>
      <w:bookmarkEnd w:id="43"/>
      <w:bookmarkEnd w:id="44"/>
      <w:bookmarkEnd w:id="45"/>
      <w:bookmarkEnd w:id="46"/>
      <w:bookmarkEnd w:id="47"/>
      <w:bookmarkEnd w:id="48"/>
      <w:bookmarkEnd w:id="49"/>
      <w:bookmarkEnd w:id="50"/>
    </w:p>
    <w:p w14:paraId="134321D4" w14:textId="77777777" w:rsidR="001377FD" w:rsidRPr="00F84358" w:rsidRDefault="001377FD" w:rsidP="001E20DE">
      <w:pPr>
        <w:pStyle w:val="ParaNum"/>
        <w:tabs>
          <w:tab w:val="clear" w:pos="1440"/>
          <w:tab w:val="num" w:pos="1080"/>
        </w:tabs>
      </w:pPr>
      <w:r w:rsidRPr="00726F2E">
        <w:t xml:space="preserve">When analyzing a transfer of control or assignment application, we also consider any national security, law </w:t>
      </w:r>
      <w:r w:rsidRPr="003F235A">
        <w:t>enforcement</w:t>
      </w:r>
      <w:r w:rsidRPr="00726F2E">
        <w:t>, foreign policy, or trade policy concerns raised by the relevant Executive Branch Agencies.</w:t>
      </w:r>
      <w:r w:rsidRPr="00F84358">
        <w:rPr>
          <w:rStyle w:val="FootnoteReference"/>
          <w:szCs w:val="22"/>
        </w:rPr>
        <w:footnoteReference w:id="84"/>
      </w:r>
      <w:r w:rsidRPr="00726F2E">
        <w:rPr>
          <w:rStyle w:val="FootnoteReference"/>
          <w:szCs w:val="22"/>
        </w:rPr>
        <w:t> </w:t>
      </w:r>
      <w:r w:rsidRPr="00726F2E">
        <w:t xml:space="preserve">  </w:t>
      </w:r>
      <w:r w:rsidRPr="00F84358">
        <w:t>On December 11, 2015, the Executive Branch Agencies submitted a Petition to Adopt Conditions to Authorizations and Licenses</w:t>
      </w:r>
      <w:r w:rsidRPr="0071725E">
        <w:t>.</w:t>
      </w:r>
      <w:r w:rsidRPr="00726F2E">
        <w:rPr>
          <w:rStyle w:val="FootnoteReference"/>
          <w:szCs w:val="22"/>
        </w:rPr>
        <w:footnoteReference w:id="85"/>
      </w:r>
      <w:r w:rsidRPr="00726F2E">
        <w:rPr>
          <w:rStyle w:val="FootnoteReference"/>
          <w:szCs w:val="22"/>
        </w:rPr>
        <w:t xml:space="preserve">  </w:t>
      </w:r>
      <w:r w:rsidRPr="00F84358">
        <w:t xml:space="preserve">The Petition states that the Executive Branch Agencies </w:t>
      </w:r>
      <w:r w:rsidRPr="0071725E">
        <w:t>ha</w:t>
      </w:r>
      <w:r w:rsidRPr="00CB7FBB">
        <w:t>ve no objection to grant of the Application</w:t>
      </w:r>
      <w:r w:rsidRPr="00726F2E">
        <w:t xml:space="preserve">s provided that the Commission conditions its approval on the “assurance of Altice N.V. (Altice) (f/k/a Altice S.A.) and Cequel Corporation (Cequel) (d/b/a Suddenlink Communications) abiding by the commitments and undertakings” in the National Security Agreement between Altice, Cequel, and DOJ.  We find that grant of the Applications, subject to compliance with the National Security Agreement, will serve the public interest, convenience, and necessity.  </w:t>
      </w:r>
    </w:p>
    <w:p w14:paraId="11757F4F" w14:textId="77777777" w:rsidR="001377FD" w:rsidRPr="006601CF" w:rsidRDefault="001377FD" w:rsidP="001E20DE">
      <w:pPr>
        <w:pStyle w:val="Heading1"/>
        <w:widowControl/>
        <w:tabs>
          <w:tab w:val="num" w:pos="720"/>
        </w:tabs>
        <w:rPr>
          <w:szCs w:val="22"/>
        </w:rPr>
      </w:pPr>
      <w:bookmarkStart w:id="51" w:name="_Ref230409139"/>
      <w:bookmarkStart w:id="52" w:name="_Ref228275489"/>
      <w:r w:rsidRPr="006601CF">
        <w:rPr>
          <w:szCs w:val="22"/>
        </w:rPr>
        <w:t>Conclusion</w:t>
      </w:r>
    </w:p>
    <w:p w14:paraId="63A1C380" w14:textId="77777777" w:rsidR="001377FD" w:rsidRDefault="001377FD" w:rsidP="001E20DE">
      <w:pPr>
        <w:pStyle w:val="ParaNum"/>
        <w:widowControl/>
        <w:tabs>
          <w:tab w:val="clear" w:pos="1440"/>
          <w:tab w:val="num" w:pos="1080"/>
        </w:tabs>
        <w:spacing w:after="0"/>
        <w:rPr>
          <w:szCs w:val="22"/>
        </w:rPr>
      </w:pPr>
      <w:r>
        <w:rPr>
          <w:szCs w:val="22"/>
        </w:rPr>
        <w:t>W</w:t>
      </w:r>
      <w:r w:rsidRPr="006601CF">
        <w:rPr>
          <w:szCs w:val="22"/>
        </w:rPr>
        <w:t>e conclude that granting the Applications serves the public interest.</w:t>
      </w:r>
      <w:r w:rsidRPr="003F235A">
        <w:t xml:space="preserve">  </w:t>
      </w:r>
      <w:r>
        <w:rPr>
          <w:szCs w:val="22"/>
        </w:rPr>
        <w:t>B</w:t>
      </w:r>
      <w:r w:rsidRPr="006601CF">
        <w:rPr>
          <w:szCs w:val="22"/>
        </w:rPr>
        <w:t>ased on our careful rev</w:t>
      </w:r>
      <w:r>
        <w:rPr>
          <w:szCs w:val="22"/>
        </w:rPr>
        <w:t xml:space="preserve">iew of the record, we find </w:t>
      </w:r>
      <w:r w:rsidRPr="006601CF">
        <w:rPr>
          <w:szCs w:val="22"/>
        </w:rPr>
        <w:t xml:space="preserve">the </w:t>
      </w:r>
      <w:r>
        <w:rPr>
          <w:szCs w:val="22"/>
        </w:rPr>
        <w:t>transaction</w:t>
      </w:r>
      <w:r w:rsidRPr="006601CF">
        <w:rPr>
          <w:szCs w:val="22"/>
        </w:rPr>
        <w:t xml:space="preserve"> is unlikely to result in any significant public interest harms.  </w:t>
      </w:r>
      <w:r>
        <w:rPr>
          <w:szCs w:val="22"/>
        </w:rPr>
        <w:t>We find that the transaction</w:t>
      </w:r>
      <w:r w:rsidRPr="006601CF">
        <w:rPr>
          <w:szCs w:val="22"/>
        </w:rPr>
        <w:t xml:space="preserve"> is likely to result in </w:t>
      </w:r>
      <w:r>
        <w:rPr>
          <w:szCs w:val="22"/>
        </w:rPr>
        <w:t xml:space="preserve">some </w:t>
      </w:r>
      <w:r w:rsidRPr="006601CF">
        <w:rPr>
          <w:szCs w:val="22"/>
        </w:rPr>
        <w:t>public interest benefits of increased investment in local networks facilities and broadband services</w:t>
      </w:r>
      <w:r>
        <w:rPr>
          <w:szCs w:val="22"/>
        </w:rPr>
        <w:t xml:space="preserve"> in the Suddenlink’s service territory</w:t>
      </w:r>
      <w:r w:rsidRPr="006601CF">
        <w:rPr>
          <w:szCs w:val="22"/>
        </w:rPr>
        <w:t>.  Accordingly,</w:t>
      </w:r>
      <w:r>
        <w:rPr>
          <w:szCs w:val="22"/>
        </w:rPr>
        <w:t xml:space="preserve"> we grant the </w:t>
      </w:r>
      <w:r w:rsidRPr="00384D64">
        <w:rPr>
          <w:szCs w:val="22"/>
        </w:rPr>
        <w:t xml:space="preserve">proposed assignments and transfers subject to </w:t>
      </w:r>
      <w:r w:rsidRPr="00084508">
        <w:rPr>
          <w:szCs w:val="22"/>
        </w:rPr>
        <w:t xml:space="preserve">compliance </w:t>
      </w:r>
      <w:r>
        <w:rPr>
          <w:szCs w:val="22"/>
        </w:rPr>
        <w:t xml:space="preserve">by Altice and Cequel </w:t>
      </w:r>
      <w:r w:rsidRPr="00084508">
        <w:rPr>
          <w:szCs w:val="22"/>
        </w:rPr>
        <w:t xml:space="preserve">with the </w:t>
      </w:r>
      <w:r>
        <w:rPr>
          <w:szCs w:val="22"/>
        </w:rPr>
        <w:t>terms of the National Security</w:t>
      </w:r>
      <w:r w:rsidRPr="00084508">
        <w:rPr>
          <w:szCs w:val="22"/>
        </w:rPr>
        <w:t xml:space="preserve"> Agreement</w:t>
      </w:r>
      <w:r>
        <w:rPr>
          <w:szCs w:val="22"/>
        </w:rPr>
        <w:t>.</w:t>
      </w:r>
      <w:r w:rsidRPr="00084508">
        <w:rPr>
          <w:szCs w:val="22"/>
        </w:rPr>
        <w:t xml:space="preserve"> </w:t>
      </w:r>
      <w:r w:rsidRPr="006601CF">
        <w:rPr>
          <w:szCs w:val="22"/>
        </w:rPr>
        <w:t xml:space="preserve">  </w:t>
      </w:r>
    </w:p>
    <w:p w14:paraId="4FD6027B" w14:textId="77777777" w:rsidR="001377FD" w:rsidRPr="007E5AB8" w:rsidRDefault="001377FD" w:rsidP="001377FD">
      <w:pPr>
        <w:pStyle w:val="ParaNum"/>
        <w:widowControl/>
        <w:numPr>
          <w:ilvl w:val="0"/>
          <w:numId w:val="0"/>
        </w:numPr>
        <w:spacing w:after="0"/>
        <w:rPr>
          <w:szCs w:val="22"/>
        </w:rPr>
      </w:pPr>
    </w:p>
    <w:p w14:paraId="602A019F" w14:textId="77777777" w:rsidR="001377FD" w:rsidRPr="008C5920" w:rsidRDefault="001377FD">
      <w:pPr>
        <w:pStyle w:val="Heading1"/>
        <w:widowControl/>
        <w:rPr>
          <w:szCs w:val="22"/>
        </w:rPr>
      </w:pPr>
      <w:bookmarkStart w:id="53" w:name="_Toc232310024"/>
      <w:bookmarkEnd w:id="51"/>
      <w:bookmarkEnd w:id="52"/>
      <w:r w:rsidRPr="008C5920">
        <w:rPr>
          <w:szCs w:val="22"/>
        </w:rPr>
        <w:t>ORDERING CLAUSES</w:t>
      </w:r>
      <w:bookmarkEnd w:id="53"/>
    </w:p>
    <w:p w14:paraId="468D21E7" w14:textId="080AD0AB" w:rsidR="001377FD" w:rsidRDefault="001377FD" w:rsidP="001E20DE">
      <w:pPr>
        <w:pStyle w:val="ParaNum"/>
        <w:widowControl/>
        <w:tabs>
          <w:tab w:val="clear" w:pos="1440"/>
          <w:tab w:val="num" w:pos="1080"/>
        </w:tabs>
        <w:spacing w:after="0"/>
        <w:rPr>
          <w:szCs w:val="22"/>
        </w:rPr>
      </w:pPr>
      <w:bookmarkStart w:id="54" w:name="_Ref228616763"/>
      <w:r w:rsidRPr="00C552C3">
        <w:rPr>
          <w:szCs w:val="22"/>
        </w:rPr>
        <w:t xml:space="preserve">Accordingly, having reviewed the </w:t>
      </w:r>
      <w:r>
        <w:rPr>
          <w:szCs w:val="22"/>
        </w:rPr>
        <w:t>A</w:t>
      </w:r>
      <w:r w:rsidRPr="00C552C3">
        <w:rPr>
          <w:szCs w:val="22"/>
        </w:rPr>
        <w:t>pplications and the record in this matter, I</w:t>
      </w:r>
      <w:r w:rsidR="00873E97">
        <w:rPr>
          <w:szCs w:val="22"/>
        </w:rPr>
        <w:t>T IS ORDERED that, pursuant to S</w:t>
      </w:r>
      <w:r w:rsidRPr="00C552C3">
        <w:rPr>
          <w:szCs w:val="22"/>
        </w:rPr>
        <w:t>ections 4(i)-(j), 5(c), 214, 30</w:t>
      </w:r>
      <w:r>
        <w:rPr>
          <w:szCs w:val="22"/>
        </w:rPr>
        <w:t>3</w:t>
      </w:r>
      <w:r w:rsidRPr="00C552C3">
        <w:rPr>
          <w:szCs w:val="22"/>
        </w:rPr>
        <w:t>(r), 309, and 310(d) of the Communications Act of 1934, as amended, 47 U.S.C. §§ 154(i)-(j), 155(c)</w:t>
      </w:r>
      <w:r w:rsidR="00873E97">
        <w:rPr>
          <w:szCs w:val="22"/>
        </w:rPr>
        <w:t>, 214, 303(r), 309, 310(d)</w:t>
      </w:r>
      <w:r w:rsidR="00196421">
        <w:rPr>
          <w:szCs w:val="22"/>
        </w:rPr>
        <w:t>,</w:t>
      </w:r>
      <w:r w:rsidR="00873E97">
        <w:rPr>
          <w:szCs w:val="22"/>
        </w:rPr>
        <w:t xml:space="preserve"> and S</w:t>
      </w:r>
      <w:r w:rsidRPr="00C552C3">
        <w:rPr>
          <w:szCs w:val="22"/>
        </w:rPr>
        <w:t xml:space="preserve">ections 0.51, 0.61, 0.91, 0.131, 0.261, 0.283, 0.291, and 0.331 of the Commission’s Rules, 47 C.F.R. §§ 0.51, 0.61, 0.91, 0.131, 0.261, 0.283, 0.291, and 0.331, the </w:t>
      </w:r>
      <w:r>
        <w:rPr>
          <w:szCs w:val="22"/>
        </w:rPr>
        <w:t>A</w:t>
      </w:r>
      <w:r w:rsidRPr="00C552C3">
        <w:rPr>
          <w:szCs w:val="22"/>
        </w:rPr>
        <w:t>pplications to assign and transfer control</w:t>
      </w:r>
      <w:r w:rsidR="00873E97">
        <w:rPr>
          <w:szCs w:val="22"/>
        </w:rPr>
        <w:t xml:space="preserve"> of domestic and international S</w:t>
      </w:r>
      <w:r w:rsidRPr="00C552C3">
        <w:rPr>
          <w:szCs w:val="22"/>
        </w:rPr>
        <w:t>ection 21</w:t>
      </w:r>
      <w:r>
        <w:rPr>
          <w:szCs w:val="22"/>
        </w:rPr>
        <w:t xml:space="preserve">4 authorizations, </w:t>
      </w:r>
      <w:r w:rsidRPr="00C552C3">
        <w:rPr>
          <w:szCs w:val="22"/>
        </w:rPr>
        <w:t xml:space="preserve">wireless licenses, and </w:t>
      </w:r>
      <w:r>
        <w:rPr>
          <w:szCs w:val="22"/>
        </w:rPr>
        <w:t>cable television relay service station</w:t>
      </w:r>
      <w:r w:rsidRPr="00C552C3">
        <w:rPr>
          <w:szCs w:val="22"/>
        </w:rPr>
        <w:t xml:space="preserve"> licenses ARE GRANTED</w:t>
      </w:r>
      <w:r w:rsidRPr="00B248DA">
        <w:t xml:space="preserve"> </w:t>
      </w:r>
      <w:r>
        <w:t>subject to the condition specified herein</w:t>
      </w:r>
      <w:r w:rsidRPr="00C552C3">
        <w:rPr>
          <w:szCs w:val="22"/>
        </w:rPr>
        <w:t>.</w:t>
      </w:r>
    </w:p>
    <w:p w14:paraId="2F5A7F66" w14:textId="77777777" w:rsidR="001377FD" w:rsidRDefault="001377FD" w:rsidP="001377FD">
      <w:pPr>
        <w:pStyle w:val="ParaNum"/>
        <w:widowControl/>
        <w:numPr>
          <w:ilvl w:val="0"/>
          <w:numId w:val="0"/>
        </w:numPr>
        <w:spacing w:after="0"/>
        <w:ind w:left="720"/>
        <w:rPr>
          <w:szCs w:val="22"/>
        </w:rPr>
      </w:pPr>
    </w:p>
    <w:p w14:paraId="3DD635C9" w14:textId="69499798" w:rsidR="001377FD" w:rsidRPr="00D91023" w:rsidRDefault="001377FD" w:rsidP="001E20DE">
      <w:pPr>
        <w:pStyle w:val="ParaNum"/>
        <w:tabs>
          <w:tab w:val="clear" w:pos="1440"/>
          <w:tab w:val="num" w:pos="1080"/>
        </w:tabs>
        <w:spacing w:after="0"/>
        <w:rPr>
          <w:szCs w:val="22"/>
        </w:rPr>
      </w:pPr>
      <w:r w:rsidRPr="007A5D4B">
        <w:rPr>
          <w:szCs w:val="22"/>
        </w:rPr>
        <w:t>IT IS FUR</w:t>
      </w:r>
      <w:r w:rsidR="00873E97">
        <w:rPr>
          <w:szCs w:val="22"/>
        </w:rPr>
        <w:t>THER ORDERED that, pursuant to S</w:t>
      </w:r>
      <w:r w:rsidRPr="007A5D4B">
        <w:rPr>
          <w:szCs w:val="22"/>
        </w:rPr>
        <w:t xml:space="preserve">ections 4(i)–(j) and 214 of the Communications Act of 1934, as amended, 47 U.S.C. §§ 154(i)–(j), 214, </w:t>
      </w:r>
      <w:r w:rsidRPr="00A13D68">
        <w:rPr>
          <w:color w:val="252525"/>
          <w:szCs w:val="22"/>
        </w:rPr>
        <w:t xml:space="preserve">the Petition to Adopt Conditions to Authorizations and Licenses filed by the U.S. Department of </w:t>
      </w:r>
      <w:r w:rsidRPr="00172445">
        <w:rPr>
          <w:color w:val="252525"/>
          <w:szCs w:val="22"/>
        </w:rPr>
        <w:t>Justice, including the Federal B</w:t>
      </w:r>
      <w:r w:rsidRPr="00A13D68">
        <w:rPr>
          <w:color w:val="252525"/>
          <w:szCs w:val="22"/>
        </w:rPr>
        <w:t xml:space="preserve">ureau of Investigation, with the concurrence of the </w:t>
      </w:r>
      <w:r w:rsidRPr="00172445">
        <w:rPr>
          <w:color w:val="252525"/>
          <w:szCs w:val="22"/>
        </w:rPr>
        <w:t>D</w:t>
      </w:r>
      <w:r w:rsidRPr="00A13D68">
        <w:rPr>
          <w:color w:val="252525"/>
          <w:szCs w:val="22"/>
        </w:rPr>
        <w:t xml:space="preserve">epartment of Homeland Security and the U.S. Department of Defense, IS GRANTED. </w:t>
      </w:r>
      <w:r>
        <w:rPr>
          <w:color w:val="252525"/>
          <w:szCs w:val="22"/>
        </w:rPr>
        <w:t xml:space="preserve"> </w:t>
      </w:r>
      <w:r w:rsidRPr="00172445">
        <w:rPr>
          <w:color w:val="252525"/>
          <w:szCs w:val="22"/>
        </w:rPr>
        <w:t>Grant</w:t>
      </w:r>
      <w:r w:rsidRPr="003F235A">
        <w:rPr>
          <w:color w:val="252525"/>
        </w:rPr>
        <w:t xml:space="preserve"> of the </w:t>
      </w:r>
      <w:r>
        <w:rPr>
          <w:color w:val="252525"/>
        </w:rPr>
        <w:t>A</w:t>
      </w:r>
      <w:r w:rsidRPr="003F235A">
        <w:rPr>
          <w:color w:val="252525"/>
        </w:rPr>
        <w:t xml:space="preserve">pplications IS CONDITIONED UPON </w:t>
      </w:r>
      <w:r w:rsidRPr="00A13D68">
        <w:rPr>
          <w:color w:val="252525"/>
          <w:szCs w:val="22"/>
        </w:rPr>
        <w:t xml:space="preserve">the </w:t>
      </w:r>
      <w:r w:rsidRPr="003F235A">
        <w:rPr>
          <w:color w:val="252525"/>
        </w:rPr>
        <w:t xml:space="preserve">compliance by Altice </w:t>
      </w:r>
      <w:r w:rsidRPr="00A13D68">
        <w:rPr>
          <w:color w:val="252525"/>
          <w:szCs w:val="22"/>
        </w:rPr>
        <w:t xml:space="preserve">N.V. </w:t>
      </w:r>
      <w:r w:rsidRPr="003F235A">
        <w:rPr>
          <w:color w:val="252525"/>
        </w:rPr>
        <w:t>and Cequel</w:t>
      </w:r>
      <w:r w:rsidRPr="00A13D68">
        <w:rPr>
          <w:color w:val="252525"/>
          <w:szCs w:val="22"/>
        </w:rPr>
        <w:t xml:space="preserve"> Corporation (d/b/a Suddenlink Communications)</w:t>
      </w:r>
      <w:r w:rsidRPr="003F235A">
        <w:rPr>
          <w:color w:val="252525"/>
        </w:rPr>
        <w:t xml:space="preserve"> with the </w:t>
      </w:r>
      <w:r w:rsidRPr="00A13D68">
        <w:rPr>
          <w:color w:val="252525"/>
          <w:szCs w:val="22"/>
        </w:rPr>
        <w:t>commitments set forth in</w:t>
      </w:r>
      <w:r w:rsidRPr="003F235A">
        <w:rPr>
          <w:color w:val="252525"/>
        </w:rPr>
        <w:t xml:space="preserve"> the </w:t>
      </w:r>
      <w:r w:rsidRPr="00A13D68">
        <w:rPr>
          <w:color w:val="252525"/>
          <w:szCs w:val="22"/>
        </w:rPr>
        <w:t xml:space="preserve">December 11, </w:t>
      </w:r>
      <w:r w:rsidRPr="003F235A">
        <w:rPr>
          <w:color w:val="252525"/>
        </w:rPr>
        <w:t xml:space="preserve">2015 </w:t>
      </w:r>
      <w:r>
        <w:rPr>
          <w:color w:val="252525"/>
          <w:szCs w:val="22"/>
        </w:rPr>
        <w:t>National Security</w:t>
      </w:r>
      <w:r w:rsidRPr="003F235A">
        <w:rPr>
          <w:color w:val="252525"/>
        </w:rPr>
        <w:t xml:space="preserve"> Agreement.</w:t>
      </w:r>
      <w:r w:rsidRPr="00A13D68">
        <w:rPr>
          <w:color w:val="252525"/>
          <w:szCs w:val="22"/>
        </w:rPr>
        <w:t xml:space="preserve"> </w:t>
      </w:r>
      <w:r>
        <w:rPr>
          <w:color w:val="252525"/>
          <w:szCs w:val="22"/>
        </w:rPr>
        <w:t xml:space="preserve"> </w:t>
      </w:r>
      <w:r w:rsidRPr="00A13D68">
        <w:rPr>
          <w:color w:val="252525"/>
          <w:szCs w:val="22"/>
        </w:rPr>
        <w:t>A failure to comply and/or remain in compliance with any of these commitments and undertakings shall constitute a failure to meet a condition of the underlying authorizations and licenses</w:t>
      </w:r>
      <w:r w:rsidR="00196421">
        <w:rPr>
          <w:color w:val="252525"/>
          <w:szCs w:val="22"/>
        </w:rPr>
        <w:t>,</w:t>
      </w:r>
      <w:r w:rsidRPr="00A13D68">
        <w:rPr>
          <w:color w:val="252525"/>
          <w:szCs w:val="22"/>
        </w:rPr>
        <w:t xml:space="preserve"> and thus grounds for declaring the authorizations and licenses terminated without further action on the part of the Commission. </w:t>
      </w:r>
      <w:r>
        <w:rPr>
          <w:color w:val="252525"/>
          <w:szCs w:val="22"/>
        </w:rPr>
        <w:t xml:space="preserve"> </w:t>
      </w:r>
      <w:r w:rsidRPr="00A13D68">
        <w:rPr>
          <w:color w:val="252525"/>
          <w:szCs w:val="22"/>
        </w:rPr>
        <w:t>Failure to meet a condition of the license may also result in monetary sanctions or other enforcement action by the Commission.</w:t>
      </w:r>
    </w:p>
    <w:p w14:paraId="5DDA2FAB" w14:textId="77777777" w:rsidR="001377FD" w:rsidRPr="00C552C3" w:rsidRDefault="001377FD" w:rsidP="001377FD">
      <w:pPr>
        <w:pStyle w:val="ParaNum"/>
        <w:widowControl/>
        <w:numPr>
          <w:ilvl w:val="0"/>
          <w:numId w:val="0"/>
        </w:numPr>
        <w:spacing w:after="0"/>
        <w:ind w:left="720"/>
        <w:rPr>
          <w:szCs w:val="22"/>
        </w:rPr>
      </w:pPr>
    </w:p>
    <w:bookmarkEnd w:id="54"/>
    <w:p w14:paraId="1663902F" w14:textId="59ACE0AE" w:rsidR="001377FD" w:rsidRDefault="001377FD" w:rsidP="001E20DE">
      <w:pPr>
        <w:pStyle w:val="ParaNum"/>
        <w:keepNext/>
        <w:widowControl/>
        <w:tabs>
          <w:tab w:val="clear" w:pos="1440"/>
          <w:tab w:val="num" w:pos="1080"/>
        </w:tabs>
        <w:rPr>
          <w:szCs w:val="22"/>
        </w:rPr>
      </w:pPr>
      <w:r w:rsidRPr="006601CF">
        <w:rPr>
          <w:szCs w:val="22"/>
        </w:rPr>
        <w:t>IT I</w:t>
      </w:r>
      <w:r w:rsidR="00873E97">
        <w:rPr>
          <w:szCs w:val="22"/>
        </w:rPr>
        <w:t>S FURTHER ORDERED, pursuant to S</w:t>
      </w:r>
      <w:r w:rsidRPr="006601CF">
        <w:rPr>
          <w:szCs w:val="22"/>
        </w:rPr>
        <w:t>ection 1.102(b)(1) of the Commission</w:t>
      </w:r>
      <w:r>
        <w:rPr>
          <w:szCs w:val="22"/>
        </w:rPr>
        <w:t>’</w:t>
      </w:r>
      <w:r w:rsidRPr="006601CF">
        <w:rPr>
          <w:szCs w:val="22"/>
        </w:rPr>
        <w:t>s rules, 47 C.F.R. § 1.102(b)(1), that this Memorandum Opinion and Order IS EFFECTIVE upon release.  Petit</w:t>
      </w:r>
      <w:r w:rsidR="00873E97">
        <w:rPr>
          <w:szCs w:val="22"/>
        </w:rPr>
        <w:t>ions for reconsideration under S</w:t>
      </w:r>
      <w:r w:rsidRPr="006601CF">
        <w:rPr>
          <w:szCs w:val="22"/>
        </w:rPr>
        <w:t>ection 1.106 of the Commission</w:t>
      </w:r>
      <w:r>
        <w:rPr>
          <w:szCs w:val="22"/>
        </w:rPr>
        <w:t>’s R</w:t>
      </w:r>
      <w:r w:rsidRPr="006601CF">
        <w:rPr>
          <w:szCs w:val="22"/>
        </w:rPr>
        <w:t>ules, 47 C.F.R. § 1.106, or</w:t>
      </w:r>
      <w:r w:rsidR="00873E97">
        <w:rPr>
          <w:szCs w:val="22"/>
        </w:rPr>
        <w:t xml:space="preserve"> applications for review under S</w:t>
      </w:r>
      <w:r w:rsidRPr="006601CF">
        <w:rPr>
          <w:szCs w:val="22"/>
        </w:rPr>
        <w:t>ection 1.115 of the Commission</w:t>
      </w:r>
      <w:r>
        <w:rPr>
          <w:szCs w:val="22"/>
        </w:rPr>
        <w:t>’</w:t>
      </w:r>
      <w:r w:rsidRPr="006601CF">
        <w:rPr>
          <w:szCs w:val="22"/>
        </w:rPr>
        <w:t>s rules, 47 C.F.R. § 1.115, may be filed within thirty days of the date of public notice</w:t>
      </w:r>
      <w:r w:rsidR="00CE437F">
        <w:rPr>
          <w:szCs w:val="22"/>
        </w:rPr>
        <w:t>,</w:t>
      </w:r>
      <w:r w:rsidR="00CE437F" w:rsidRPr="00CE437F">
        <w:rPr>
          <w:rFonts w:ascii="Calibri" w:hAnsi="Calibri" w:cs="Calibri"/>
          <w:color w:val="1F497D"/>
          <w:szCs w:val="22"/>
        </w:rPr>
        <w:t xml:space="preserve"> </w:t>
      </w:r>
      <w:r w:rsidR="00CE437F" w:rsidRPr="00CE437F">
        <w:rPr>
          <w:szCs w:val="22"/>
        </w:rPr>
        <w:t>i.e., within thirty days of the release date,</w:t>
      </w:r>
      <w:r w:rsidRPr="006601CF">
        <w:rPr>
          <w:szCs w:val="22"/>
        </w:rPr>
        <w:t xml:space="preserve"> of this Memorandum Opinion and Order.</w:t>
      </w:r>
    </w:p>
    <w:p w14:paraId="049F257B" w14:textId="77777777" w:rsidR="001377FD" w:rsidRPr="006601CF" w:rsidRDefault="001377FD" w:rsidP="001377FD">
      <w:pPr>
        <w:keepNext/>
        <w:widowControl/>
        <w:rPr>
          <w:szCs w:val="22"/>
        </w:rPr>
      </w:pPr>
    </w:p>
    <w:p w14:paraId="686DA152" w14:textId="77777777" w:rsidR="001377FD" w:rsidRPr="006601CF" w:rsidRDefault="001377FD" w:rsidP="001377FD">
      <w:pPr>
        <w:keepNext/>
        <w:widowControl/>
        <w:tabs>
          <w:tab w:val="left" w:pos="4680"/>
        </w:tabs>
        <w:rPr>
          <w:szCs w:val="22"/>
        </w:rPr>
      </w:pPr>
      <w:r w:rsidRPr="006601CF">
        <w:rPr>
          <w:szCs w:val="22"/>
        </w:rPr>
        <w:tab/>
        <w:t>FEDERAL COMMUNICATIONS COMMISSION</w:t>
      </w:r>
    </w:p>
    <w:p w14:paraId="50D2A520" w14:textId="77777777" w:rsidR="001377FD" w:rsidRPr="006601CF" w:rsidRDefault="001377FD" w:rsidP="001377FD">
      <w:pPr>
        <w:keepNext/>
        <w:widowControl/>
        <w:rPr>
          <w:szCs w:val="22"/>
        </w:rPr>
      </w:pPr>
    </w:p>
    <w:p w14:paraId="3C158A67" w14:textId="77777777" w:rsidR="001377FD" w:rsidRPr="006601CF" w:rsidRDefault="001377FD" w:rsidP="001377FD">
      <w:pPr>
        <w:keepNext/>
        <w:widowControl/>
        <w:rPr>
          <w:szCs w:val="22"/>
        </w:rPr>
      </w:pPr>
    </w:p>
    <w:p w14:paraId="216B59BA" w14:textId="77777777" w:rsidR="001377FD" w:rsidRPr="006601CF" w:rsidRDefault="001377FD" w:rsidP="001377FD">
      <w:pPr>
        <w:keepNext/>
        <w:widowControl/>
        <w:rPr>
          <w:szCs w:val="22"/>
        </w:rPr>
      </w:pPr>
    </w:p>
    <w:p w14:paraId="2E5DF2E9" w14:textId="77777777" w:rsidR="001377FD" w:rsidRPr="006601CF" w:rsidRDefault="001377FD" w:rsidP="001377FD">
      <w:pPr>
        <w:keepNext/>
        <w:widowControl/>
        <w:rPr>
          <w:szCs w:val="22"/>
        </w:rPr>
      </w:pPr>
    </w:p>
    <w:p w14:paraId="653CB347" w14:textId="77777777" w:rsidR="001377FD" w:rsidRPr="006601CF" w:rsidRDefault="001377FD" w:rsidP="001377FD">
      <w:pPr>
        <w:keepNext/>
        <w:widowControl/>
        <w:tabs>
          <w:tab w:val="left" w:pos="4680"/>
        </w:tabs>
        <w:rPr>
          <w:szCs w:val="22"/>
          <w:lang w:val="fr-FR"/>
        </w:rPr>
      </w:pPr>
      <w:r w:rsidRPr="006601CF">
        <w:rPr>
          <w:szCs w:val="22"/>
        </w:rPr>
        <w:tab/>
        <w:t xml:space="preserve">Matthew </w:t>
      </w:r>
      <w:r>
        <w:rPr>
          <w:szCs w:val="22"/>
        </w:rPr>
        <w:t xml:space="preserve">S. </w:t>
      </w:r>
      <w:r w:rsidRPr="006601CF">
        <w:rPr>
          <w:szCs w:val="22"/>
        </w:rPr>
        <w:t>DelNero</w:t>
      </w:r>
      <w:r w:rsidRPr="006601CF">
        <w:rPr>
          <w:szCs w:val="22"/>
          <w:lang w:val="fr-FR"/>
        </w:rPr>
        <w:tab/>
      </w:r>
    </w:p>
    <w:p w14:paraId="64B69471" w14:textId="77777777" w:rsidR="001377FD" w:rsidRPr="006601CF" w:rsidRDefault="001377FD" w:rsidP="001377FD">
      <w:pPr>
        <w:keepNext/>
        <w:widowControl/>
        <w:tabs>
          <w:tab w:val="left" w:pos="4680"/>
        </w:tabs>
        <w:rPr>
          <w:szCs w:val="22"/>
          <w:lang w:val="fr-FR"/>
        </w:rPr>
      </w:pPr>
      <w:r w:rsidRPr="006601CF">
        <w:rPr>
          <w:szCs w:val="22"/>
          <w:lang w:val="fr-FR"/>
        </w:rPr>
        <w:tab/>
      </w:r>
      <w:r w:rsidRPr="006601CF">
        <w:rPr>
          <w:szCs w:val="22"/>
        </w:rPr>
        <w:t>Chief, Wireline Competition Bureau</w:t>
      </w:r>
    </w:p>
    <w:p w14:paraId="4B69913C" w14:textId="77777777" w:rsidR="001377FD" w:rsidRPr="006601CF" w:rsidRDefault="001377FD" w:rsidP="001377FD">
      <w:pPr>
        <w:keepNext/>
        <w:widowControl/>
        <w:tabs>
          <w:tab w:val="left" w:pos="4680"/>
        </w:tabs>
        <w:rPr>
          <w:szCs w:val="22"/>
          <w:lang w:val="fr-FR"/>
        </w:rPr>
      </w:pPr>
    </w:p>
    <w:p w14:paraId="2BF59100" w14:textId="77777777" w:rsidR="001377FD" w:rsidRPr="006601CF" w:rsidRDefault="001377FD" w:rsidP="001377FD">
      <w:pPr>
        <w:keepNext/>
        <w:widowControl/>
        <w:tabs>
          <w:tab w:val="left" w:pos="4680"/>
        </w:tabs>
        <w:rPr>
          <w:szCs w:val="22"/>
          <w:lang w:val="fr-FR"/>
        </w:rPr>
      </w:pPr>
    </w:p>
    <w:p w14:paraId="06C87D8D" w14:textId="77777777" w:rsidR="001377FD" w:rsidRPr="006601CF" w:rsidRDefault="001377FD" w:rsidP="001377FD">
      <w:pPr>
        <w:keepNext/>
        <w:widowControl/>
        <w:tabs>
          <w:tab w:val="left" w:pos="4680"/>
        </w:tabs>
        <w:rPr>
          <w:szCs w:val="22"/>
          <w:lang w:val="fr-FR"/>
        </w:rPr>
      </w:pPr>
    </w:p>
    <w:p w14:paraId="548547D0" w14:textId="77777777" w:rsidR="001377FD" w:rsidRPr="006601CF" w:rsidRDefault="001377FD" w:rsidP="001377FD">
      <w:pPr>
        <w:keepNext/>
        <w:widowControl/>
        <w:tabs>
          <w:tab w:val="left" w:pos="4680"/>
        </w:tabs>
        <w:rPr>
          <w:szCs w:val="22"/>
          <w:lang w:val="fr-FR"/>
        </w:rPr>
      </w:pPr>
      <w:r w:rsidRPr="006601CF">
        <w:rPr>
          <w:szCs w:val="22"/>
          <w:lang w:val="fr-FR"/>
        </w:rPr>
        <w:tab/>
      </w:r>
    </w:p>
    <w:p w14:paraId="1820DC3E" w14:textId="77777777" w:rsidR="001377FD" w:rsidRPr="006601CF" w:rsidRDefault="001377FD" w:rsidP="001377FD">
      <w:pPr>
        <w:keepNext/>
        <w:widowControl/>
        <w:tabs>
          <w:tab w:val="left" w:pos="4680"/>
        </w:tabs>
        <w:rPr>
          <w:szCs w:val="22"/>
        </w:rPr>
      </w:pPr>
      <w:r w:rsidRPr="006601CF">
        <w:rPr>
          <w:szCs w:val="22"/>
          <w:lang w:val="fr-FR"/>
        </w:rPr>
        <w:tab/>
        <w:t>Mindel De La Torre</w:t>
      </w:r>
    </w:p>
    <w:p w14:paraId="3FADFCA8" w14:textId="77777777" w:rsidR="001377FD" w:rsidRPr="006601CF" w:rsidRDefault="001377FD" w:rsidP="001377FD">
      <w:pPr>
        <w:keepNext/>
        <w:widowControl/>
        <w:tabs>
          <w:tab w:val="left" w:pos="4680"/>
        </w:tabs>
        <w:rPr>
          <w:szCs w:val="22"/>
        </w:rPr>
      </w:pPr>
      <w:r w:rsidRPr="006601CF">
        <w:rPr>
          <w:szCs w:val="22"/>
          <w:lang w:val="fr-FR"/>
        </w:rPr>
        <w:tab/>
      </w:r>
      <w:r w:rsidRPr="006601CF">
        <w:rPr>
          <w:szCs w:val="22"/>
        </w:rPr>
        <w:t>Chief, International Bureau</w:t>
      </w:r>
    </w:p>
    <w:p w14:paraId="10C29379" w14:textId="77777777" w:rsidR="001377FD" w:rsidRDefault="001377FD" w:rsidP="001377FD">
      <w:pPr>
        <w:keepNext/>
        <w:widowControl/>
        <w:tabs>
          <w:tab w:val="left" w:pos="4680"/>
        </w:tabs>
        <w:rPr>
          <w:szCs w:val="22"/>
        </w:rPr>
      </w:pPr>
    </w:p>
    <w:p w14:paraId="13A045A7" w14:textId="77777777" w:rsidR="001377FD" w:rsidRDefault="001377FD" w:rsidP="001377FD">
      <w:pPr>
        <w:keepNext/>
        <w:widowControl/>
        <w:tabs>
          <w:tab w:val="left" w:pos="4680"/>
        </w:tabs>
        <w:rPr>
          <w:szCs w:val="22"/>
        </w:rPr>
      </w:pPr>
    </w:p>
    <w:p w14:paraId="069CD018" w14:textId="77777777" w:rsidR="001377FD" w:rsidRDefault="001377FD" w:rsidP="001377FD">
      <w:pPr>
        <w:keepNext/>
        <w:widowControl/>
        <w:tabs>
          <w:tab w:val="left" w:pos="4680"/>
        </w:tabs>
        <w:rPr>
          <w:szCs w:val="22"/>
        </w:rPr>
      </w:pPr>
    </w:p>
    <w:p w14:paraId="48E7D394" w14:textId="77777777" w:rsidR="001377FD" w:rsidRPr="006601CF" w:rsidRDefault="001377FD" w:rsidP="001377FD">
      <w:pPr>
        <w:keepNext/>
        <w:widowControl/>
        <w:tabs>
          <w:tab w:val="left" w:pos="4680"/>
        </w:tabs>
        <w:rPr>
          <w:szCs w:val="22"/>
        </w:rPr>
      </w:pPr>
    </w:p>
    <w:p w14:paraId="00ACAAB6" w14:textId="77777777" w:rsidR="001377FD" w:rsidRDefault="001377FD" w:rsidP="001377FD">
      <w:pPr>
        <w:keepNext/>
        <w:widowControl/>
        <w:tabs>
          <w:tab w:val="left" w:pos="4680"/>
        </w:tabs>
        <w:rPr>
          <w:szCs w:val="22"/>
        </w:rPr>
      </w:pPr>
      <w:r>
        <w:rPr>
          <w:szCs w:val="22"/>
        </w:rPr>
        <w:tab/>
        <w:t>William T. Lake</w:t>
      </w:r>
    </w:p>
    <w:p w14:paraId="7B1DC8B4" w14:textId="77777777" w:rsidR="001377FD" w:rsidRPr="006601CF" w:rsidRDefault="001377FD" w:rsidP="001377FD">
      <w:pPr>
        <w:keepNext/>
        <w:widowControl/>
        <w:tabs>
          <w:tab w:val="left" w:pos="4680"/>
        </w:tabs>
        <w:rPr>
          <w:szCs w:val="22"/>
        </w:rPr>
      </w:pPr>
      <w:r>
        <w:rPr>
          <w:szCs w:val="22"/>
        </w:rPr>
        <w:tab/>
        <w:t>Chief, Media Bureau</w:t>
      </w:r>
    </w:p>
    <w:p w14:paraId="40A99143" w14:textId="77777777" w:rsidR="001377FD" w:rsidRPr="006601CF" w:rsidRDefault="001377FD" w:rsidP="001377FD">
      <w:pPr>
        <w:keepNext/>
        <w:widowControl/>
        <w:tabs>
          <w:tab w:val="left" w:pos="4680"/>
        </w:tabs>
        <w:rPr>
          <w:szCs w:val="22"/>
        </w:rPr>
      </w:pPr>
    </w:p>
    <w:p w14:paraId="44367DB3" w14:textId="77777777" w:rsidR="001377FD" w:rsidRPr="006601CF" w:rsidRDefault="001377FD" w:rsidP="001377FD">
      <w:pPr>
        <w:keepNext/>
        <w:widowControl/>
        <w:tabs>
          <w:tab w:val="left" w:pos="4680"/>
        </w:tabs>
        <w:rPr>
          <w:szCs w:val="22"/>
        </w:rPr>
      </w:pPr>
    </w:p>
    <w:p w14:paraId="79810501" w14:textId="77777777" w:rsidR="001377FD" w:rsidRDefault="001377FD" w:rsidP="001377FD">
      <w:pPr>
        <w:keepNext/>
        <w:widowControl/>
        <w:tabs>
          <w:tab w:val="left" w:pos="4680"/>
        </w:tabs>
        <w:rPr>
          <w:szCs w:val="22"/>
        </w:rPr>
      </w:pPr>
      <w:r>
        <w:rPr>
          <w:szCs w:val="22"/>
        </w:rPr>
        <w:tab/>
      </w:r>
    </w:p>
    <w:p w14:paraId="65A9F46B" w14:textId="77777777" w:rsidR="001377FD" w:rsidRPr="006601CF" w:rsidRDefault="001377FD" w:rsidP="001377FD">
      <w:pPr>
        <w:keepNext/>
        <w:widowControl/>
        <w:tabs>
          <w:tab w:val="left" w:pos="4680"/>
        </w:tabs>
        <w:rPr>
          <w:szCs w:val="22"/>
        </w:rPr>
      </w:pPr>
    </w:p>
    <w:p w14:paraId="44128CDB" w14:textId="77777777" w:rsidR="001377FD" w:rsidRPr="006601CF" w:rsidRDefault="001377FD" w:rsidP="001377FD">
      <w:pPr>
        <w:keepNext/>
        <w:widowControl/>
        <w:tabs>
          <w:tab w:val="left" w:pos="4680"/>
        </w:tabs>
        <w:rPr>
          <w:szCs w:val="22"/>
        </w:rPr>
      </w:pPr>
      <w:r w:rsidRPr="006601CF">
        <w:rPr>
          <w:szCs w:val="22"/>
        </w:rPr>
        <w:tab/>
        <w:t xml:space="preserve">Roger </w:t>
      </w:r>
      <w:r>
        <w:rPr>
          <w:szCs w:val="22"/>
        </w:rPr>
        <w:t xml:space="preserve">C. </w:t>
      </w:r>
      <w:r w:rsidRPr="006601CF">
        <w:rPr>
          <w:szCs w:val="22"/>
        </w:rPr>
        <w:t>Sherman</w:t>
      </w:r>
    </w:p>
    <w:p w14:paraId="16B27B30" w14:textId="77777777" w:rsidR="001377FD" w:rsidRDefault="001377FD" w:rsidP="001377FD">
      <w:pPr>
        <w:keepNext/>
        <w:widowControl/>
        <w:tabs>
          <w:tab w:val="left" w:pos="4680"/>
        </w:tabs>
        <w:rPr>
          <w:szCs w:val="22"/>
        </w:rPr>
      </w:pPr>
      <w:r w:rsidRPr="006601CF">
        <w:rPr>
          <w:szCs w:val="22"/>
        </w:rPr>
        <w:tab/>
        <w:t>Chief, Wireless Telecommunications Bureau</w:t>
      </w:r>
    </w:p>
    <w:p w14:paraId="582C9ACE" w14:textId="77777777" w:rsidR="001377FD" w:rsidRPr="006601CF" w:rsidRDefault="001377FD" w:rsidP="001377FD">
      <w:pPr>
        <w:keepNext/>
        <w:widowControl/>
        <w:tabs>
          <w:tab w:val="left" w:pos="4680"/>
        </w:tabs>
        <w:rPr>
          <w:szCs w:val="22"/>
        </w:rPr>
      </w:pPr>
    </w:p>
    <w:p w14:paraId="423BBDC8" w14:textId="77777777" w:rsidR="001377FD" w:rsidRPr="006601CF" w:rsidRDefault="001377FD" w:rsidP="001377FD">
      <w:pPr>
        <w:widowControl/>
        <w:rPr>
          <w:szCs w:val="22"/>
        </w:rPr>
      </w:pPr>
      <w:r w:rsidRPr="006601CF">
        <w:rPr>
          <w:szCs w:val="22"/>
        </w:rPr>
        <w:br w:type="page"/>
      </w:r>
    </w:p>
    <w:p w14:paraId="08EC7F8C" w14:textId="77777777" w:rsidR="001377FD" w:rsidRPr="006601CF" w:rsidRDefault="001377FD" w:rsidP="001377FD">
      <w:pPr>
        <w:widowControl/>
        <w:tabs>
          <w:tab w:val="left" w:pos="3915"/>
          <w:tab w:val="center" w:pos="4680"/>
        </w:tabs>
        <w:jc w:val="center"/>
        <w:rPr>
          <w:snapToGrid/>
          <w:color w:val="000000"/>
          <w:kern w:val="0"/>
          <w:szCs w:val="22"/>
        </w:rPr>
      </w:pPr>
      <w:r w:rsidRPr="006601CF">
        <w:rPr>
          <w:rFonts w:ascii="Times New Roman Bold" w:hAnsi="Times New Roman Bold"/>
          <w:b/>
          <w:kern w:val="0"/>
          <w:szCs w:val="22"/>
        </w:rPr>
        <w:t>APPENDIX</w:t>
      </w:r>
    </w:p>
    <w:p w14:paraId="73E5C1D2" w14:textId="77777777" w:rsidR="001377FD" w:rsidRPr="006601CF" w:rsidRDefault="001377FD" w:rsidP="001377FD">
      <w:pPr>
        <w:keepNext/>
        <w:widowControl/>
        <w:rPr>
          <w:snapToGrid/>
          <w:color w:val="000000"/>
          <w:kern w:val="0"/>
          <w:szCs w:val="22"/>
        </w:rPr>
      </w:pPr>
    </w:p>
    <w:p w14:paraId="50499CAF" w14:textId="77777777" w:rsidR="001377FD" w:rsidRPr="009F55A7" w:rsidRDefault="001377FD" w:rsidP="001377FD">
      <w:pPr>
        <w:keepNext/>
        <w:widowControl/>
        <w:rPr>
          <w:snapToGrid/>
          <w:color w:val="000000"/>
          <w:kern w:val="0"/>
          <w:szCs w:val="22"/>
        </w:rPr>
      </w:pPr>
      <w:r w:rsidRPr="009F55A7">
        <w:rPr>
          <w:b/>
          <w:snapToGrid/>
          <w:color w:val="000000"/>
          <w:kern w:val="0"/>
          <w:szCs w:val="22"/>
        </w:rPr>
        <w:t>SECTION 214 AUTHORIZATIONS</w:t>
      </w:r>
    </w:p>
    <w:p w14:paraId="330CC81B" w14:textId="77777777" w:rsidR="001377FD" w:rsidRPr="009F55A7" w:rsidRDefault="001377FD" w:rsidP="001377FD">
      <w:pPr>
        <w:keepNext/>
        <w:widowControl/>
        <w:rPr>
          <w:snapToGrid/>
          <w:color w:val="000000"/>
          <w:kern w:val="0"/>
          <w:szCs w:val="22"/>
        </w:rPr>
      </w:pPr>
    </w:p>
    <w:p w14:paraId="0C65882E" w14:textId="77777777" w:rsidR="001377FD" w:rsidRPr="009F55A7" w:rsidRDefault="001377FD" w:rsidP="001377FD">
      <w:pPr>
        <w:keepNext/>
        <w:widowControl/>
        <w:ind w:firstLine="720"/>
        <w:rPr>
          <w:b/>
          <w:snapToGrid/>
          <w:color w:val="000000"/>
          <w:kern w:val="0"/>
          <w:szCs w:val="22"/>
        </w:rPr>
      </w:pPr>
      <w:r w:rsidRPr="009F55A7">
        <w:rPr>
          <w:b/>
          <w:snapToGrid/>
          <w:color w:val="000000"/>
          <w:kern w:val="0"/>
          <w:szCs w:val="22"/>
        </w:rPr>
        <w:t>A.</w:t>
      </w:r>
      <w:r w:rsidRPr="009F55A7">
        <w:rPr>
          <w:b/>
          <w:snapToGrid/>
          <w:color w:val="000000"/>
          <w:kern w:val="0"/>
          <w:szCs w:val="22"/>
        </w:rPr>
        <w:tab/>
        <w:t>International</w:t>
      </w:r>
    </w:p>
    <w:p w14:paraId="2E26146B" w14:textId="77777777" w:rsidR="001377FD" w:rsidRPr="009F55A7" w:rsidRDefault="001377FD" w:rsidP="001377FD">
      <w:pPr>
        <w:keepNext/>
        <w:widowControl/>
        <w:rPr>
          <w:snapToGrid/>
          <w:color w:val="000000"/>
          <w:kern w:val="0"/>
          <w:szCs w:val="22"/>
        </w:rPr>
      </w:pPr>
    </w:p>
    <w:p w14:paraId="05EA2032" w14:textId="1F1974C6" w:rsidR="001377FD" w:rsidRPr="00227281" w:rsidRDefault="001377FD" w:rsidP="001377FD">
      <w:pPr>
        <w:widowControl/>
        <w:spacing w:after="240"/>
        <w:ind w:firstLine="720"/>
        <w:rPr>
          <w:snapToGrid/>
          <w:color w:val="000000"/>
          <w:kern w:val="0"/>
        </w:rPr>
      </w:pPr>
      <w:r w:rsidRPr="004432B3">
        <w:rPr>
          <w:snapToGrid/>
          <w:color w:val="000000"/>
          <w:kern w:val="0"/>
        </w:rPr>
        <w:t>The application</w:t>
      </w:r>
      <w:r>
        <w:rPr>
          <w:snapToGrid/>
          <w:color w:val="000000"/>
          <w:kern w:val="0"/>
        </w:rPr>
        <w:t>s</w:t>
      </w:r>
      <w:r w:rsidRPr="004432B3">
        <w:rPr>
          <w:snapToGrid/>
          <w:color w:val="000000"/>
          <w:kern w:val="0"/>
        </w:rPr>
        <w:t xml:space="preserve"> for consent to the transfer of co</w:t>
      </w:r>
      <w:r w:rsidR="00873E97">
        <w:rPr>
          <w:snapToGrid/>
          <w:color w:val="000000"/>
          <w:kern w:val="0"/>
        </w:rPr>
        <w:t>ntrol of certain international S</w:t>
      </w:r>
      <w:r w:rsidRPr="004432B3">
        <w:rPr>
          <w:snapToGrid/>
          <w:color w:val="000000"/>
          <w:kern w:val="0"/>
        </w:rPr>
        <w:t xml:space="preserve">ection 214 authorizations from </w:t>
      </w:r>
      <w:r>
        <w:rPr>
          <w:snapToGrid/>
          <w:color w:val="000000"/>
          <w:kern w:val="0"/>
        </w:rPr>
        <w:t xml:space="preserve">Cequel </w:t>
      </w:r>
      <w:r w:rsidRPr="004432B3">
        <w:rPr>
          <w:snapToGrid/>
          <w:color w:val="000000"/>
          <w:kern w:val="0"/>
        </w:rPr>
        <w:t xml:space="preserve">to </w:t>
      </w:r>
      <w:r>
        <w:rPr>
          <w:snapToGrid/>
          <w:color w:val="000000"/>
          <w:kern w:val="0"/>
        </w:rPr>
        <w:t>Altice</w:t>
      </w:r>
      <w:r w:rsidRPr="004432B3">
        <w:rPr>
          <w:snapToGrid/>
          <w:color w:val="000000"/>
          <w:kern w:val="0"/>
        </w:rPr>
        <w:t xml:space="preserve"> </w:t>
      </w:r>
      <w:r>
        <w:rPr>
          <w:snapToGrid/>
          <w:color w:val="000000"/>
          <w:kern w:val="0"/>
        </w:rPr>
        <w:t>are granted.</w:t>
      </w:r>
    </w:p>
    <w:tbl>
      <w:tblPr>
        <w:tblW w:w="9738" w:type="dxa"/>
        <w:tblLook w:val="01E0" w:firstRow="1" w:lastRow="1" w:firstColumn="1" w:lastColumn="1" w:noHBand="0" w:noVBand="0"/>
      </w:tblPr>
      <w:tblGrid>
        <w:gridCol w:w="2880"/>
        <w:gridCol w:w="3888"/>
        <w:gridCol w:w="2970"/>
      </w:tblGrid>
      <w:tr w:rsidR="001377FD" w:rsidRPr="009F55A7" w14:paraId="39F52EEF" w14:textId="77777777" w:rsidTr="001E20DE">
        <w:tc>
          <w:tcPr>
            <w:tcW w:w="2880" w:type="dxa"/>
          </w:tcPr>
          <w:p w14:paraId="01E1D10B" w14:textId="77777777" w:rsidR="001377FD" w:rsidRPr="009F55A7" w:rsidRDefault="001377FD" w:rsidP="00147717">
            <w:pPr>
              <w:widowControl/>
              <w:rPr>
                <w:b/>
                <w:snapToGrid/>
                <w:color w:val="000000"/>
                <w:kern w:val="0"/>
                <w:szCs w:val="22"/>
              </w:rPr>
            </w:pPr>
            <w:r w:rsidRPr="009F55A7">
              <w:rPr>
                <w:b/>
                <w:snapToGrid/>
                <w:color w:val="000000"/>
                <w:kern w:val="0"/>
                <w:szCs w:val="22"/>
                <w:u w:val="single"/>
              </w:rPr>
              <w:t>File Number</w:t>
            </w:r>
          </w:p>
        </w:tc>
        <w:tc>
          <w:tcPr>
            <w:tcW w:w="3888" w:type="dxa"/>
          </w:tcPr>
          <w:p w14:paraId="4F1D5349" w14:textId="77777777" w:rsidR="001377FD" w:rsidRPr="009F55A7" w:rsidRDefault="001377FD" w:rsidP="00147717">
            <w:pPr>
              <w:widowControl/>
              <w:rPr>
                <w:b/>
                <w:snapToGrid/>
                <w:color w:val="000000"/>
                <w:kern w:val="0"/>
                <w:szCs w:val="22"/>
              </w:rPr>
            </w:pPr>
            <w:r w:rsidRPr="009F55A7">
              <w:rPr>
                <w:b/>
                <w:snapToGrid/>
                <w:color w:val="000000"/>
                <w:kern w:val="0"/>
                <w:szCs w:val="22"/>
                <w:u w:val="single"/>
              </w:rPr>
              <w:t>Authorization Holder</w:t>
            </w:r>
          </w:p>
        </w:tc>
        <w:tc>
          <w:tcPr>
            <w:tcW w:w="2970" w:type="dxa"/>
          </w:tcPr>
          <w:p w14:paraId="3310EB85" w14:textId="77777777" w:rsidR="001377FD" w:rsidRPr="009F55A7" w:rsidRDefault="001377FD" w:rsidP="00147717">
            <w:pPr>
              <w:widowControl/>
              <w:rPr>
                <w:b/>
                <w:snapToGrid/>
                <w:color w:val="000000"/>
                <w:kern w:val="0"/>
                <w:szCs w:val="22"/>
                <w:u w:val="single"/>
              </w:rPr>
            </w:pPr>
            <w:r w:rsidRPr="009F55A7">
              <w:rPr>
                <w:b/>
                <w:snapToGrid/>
                <w:color w:val="000000"/>
                <w:kern w:val="0"/>
                <w:szCs w:val="22"/>
                <w:u w:val="single"/>
              </w:rPr>
              <w:t>Authorization Number</w:t>
            </w:r>
          </w:p>
          <w:p w14:paraId="2B280930" w14:textId="77777777" w:rsidR="001377FD" w:rsidRPr="009F55A7" w:rsidRDefault="001377FD" w:rsidP="00147717">
            <w:pPr>
              <w:widowControl/>
              <w:rPr>
                <w:b/>
                <w:snapToGrid/>
                <w:color w:val="000000"/>
                <w:kern w:val="0"/>
                <w:szCs w:val="22"/>
                <w:u w:val="single"/>
              </w:rPr>
            </w:pPr>
          </w:p>
        </w:tc>
      </w:tr>
      <w:tr w:rsidR="001377FD" w:rsidRPr="009F55A7" w14:paraId="1BF6DD93" w14:textId="77777777" w:rsidTr="001E20DE">
        <w:tc>
          <w:tcPr>
            <w:tcW w:w="2880" w:type="dxa"/>
          </w:tcPr>
          <w:p w14:paraId="0E165F05" w14:textId="77777777" w:rsidR="001377FD" w:rsidRPr="009F55A7" w:rsidRDefault="001377FD" w:rsidP="00147717">
            <w:pPr>
              <w:widowControl/>
              <w:rPr>
                <w:snapToGrid/>
                <w:color w:val="000000"/>
                <w:kern w:val="0"/>
                <w:szCs w:val="22"/>
              </w:rPr>
            </w:pPr>
            <w:r w:rsidRPr="009F55A7">
              <w:rPr>
                <w:snapToGrid/>
                <w:color w:val="000000"/>
                <w:kern w:val="0"/>
                <w:szCs w:val="22"/>
              </w:rPr>
              <w:t>ITC-T/C-20150603-00138</w:t>
            </w:r>
          </w:p>
          <w:p w14:paraId="0B47EE47" w14:textId="77777777" w:rsidR="001377FD" w:rsidRDefault="001377FD" w:rsidP="00147717">
            <w:pPr>
              <w:widowControl/>
              <w:rPr>
                <w:snapToGrid/>
                <w:color w:val="000000"/>
                <w:kern w:val="0"/>
                <w:szCs w:val="22"/>
              </w:rPr>
            </w:pPr>
          </w:p>
          <w:p w14:paraId="618CDAC1" w14:textId="77777777" w:rsidR="001377FD" w:rsidRPr="009F55A7" w:rsidRDefault="001377FD" w:rsidP="00147717">
            <w:pPr>
              <w:widowControl/>
              <w:rPr>
                <w:snapToGrid/>
                <w:color w:val="000000"/>
                <w:kern w:val="0"/>
                <w:szCs w:val="22"/>
              </w:rPr>
            </w:pPr>
            <w:r w:rsidRPr="009F55A7">
              <w:rPr>
                <w:snapToGrid/>
                <w:color w:val="000000"/>
                <w:kern w:val="0"/>
                <w:szCs w:val="22"/>
              </w:rPr>
              <w:t>ITC-T/C-20150603-00139</w:t>
            </w:r>
            <w:r w:rsidRPr="009F55A7">
              <w:rPr>
                <w:snapToGrid/>
                <w:color w:val="1F497D"/>
                <w:kern w:val="0"/>
                <w:szCs w:val="22"/>
              </w:rPr>
              <w:tab/>
            </w:r>
          </w:p>
        </w:tc>
        <w:tc>
          <w:tcPr>
            <w:tcW w:w="3888" w:type="dxa"/>
          </w:tcPr>
          <w:p w14:paraId="73B10A75" w14:textId="77777777" w:rsidR="001377FD" w:rsidRDefault="001377FD" w:rsidP="00147717">
            <w:pPr>
              <w:widowControl/>
              <w:rPr>
                <w:snapToGrid/>
                <w:kern w:val="0"/>
                <w:szCs w:val="22"/>
              </w:rPr>
            </w:pPr>
            <w:r w:rsidRPr="009F55A7">
              <w:rPr>
                <w:snapToGrid/>
                <w:kern w:val="0"/>
                <w:szCs w:val="22"/>
              </w:rPr>
              <w:t xml:space="preserve">Cebridge Telecom Limited, LLC </w:t>
            </w:r>
          </w:p>
          <w:p w14:paraId="69EB1D5E" w14:textId="77777777" w:rsidR="001377FD" w:rsidRDefault="001377FD" w:rsidP="00147717">
            <w:pPr>
              <w:widowControl/>
              <w:rPr>
                <w:snapToGrid/>
                <w:kern w:val="0"/>
                <w:szCs w:val="22"/>
              </w:rPr>
            </w:pPr>
          </w:p>
          <w:p w14:paraId="7BD28A84" w14:textId="77777777" w:rsidR="001377FD" w:rsidRPr="009F55A7" w:rsidRDefault="001377FD" w:rsidP="00147717">
            <w:pPr>
              <w:widowControl/>
              <w:rPr>
                <w:snapToGrid/>
                <w:kern w:val="0"/>
                <w:szCs w:val="22"/>
              </w:rPr>
            </w:pPr>
            <w:r w:rsidRPr="009F55A7">
              <w:rPr>
                <w:snapToGrid/>
                <w:kern w:val="0"/>
                <w:szCs w:val="22"/>
              </w:rPr>
              <w:t>Cebridge Telecom TX, L.P.</w:t>
            </w:r>
          </w:p>
          <w:p w14:paraId="5718F552" w14:textId="77777777" w:rsidR="001377FD" w:rsidRPr="009F55A7" w:rsidRDefault="001377FD" w:rsidP="00147717">
            <w:pPr>
              <w:widowControl/>
              <w:rPr>
                <w:snapToGrid/>
                <w:kern w:val="0"/>
                <w:szCs w:val="22"/>
              </w:rPr>
            </w:pPr>
          </w:p>
        </w:tc>
        <w:tc>
          <w:tcPr>
            <w:tcW w:w="2970" w:type="dxa"/>
          </w:tcPr>
          <w:p w14:paraId="73881EEE" w14:textId="77777777" w:rsidR="001377FD" w:rsidRPr="009F55A7" w:rsidRDefault="001377FD" w:rsidP="00147717">
            <w:pPr>
              <w:widowControl/>
              <w:rPr>
                <w:snapToGrid/>
                <w:kern w:val="0"/>
                <w:szCs w:val="22"/>
              </w:rPr>
            </w:pPr>
            <w:r w:rsidRPr="009F55A7">
              <w:rPr>
                <w:snapToGrid/>
                <w:kern w:val="0"/>
                <w:szCs w:val="22"/>
              </w:rPr>
              <w:t>ITC-214-20051216-00526</w:t>
            </w:r>
          </w:p>
          <w:p w14:paraId="48178FFD" w14:textId="77777777" w:rsidR="001377FD" w:rsidRDefault="001377FD" w:rsidP="00147717">
            <w:pPr>
              <w:widowControl/>
              <w:rPr>
                <w:snapToGrid/>
                <w:kern w:val="0"/>
                <w:szCs w:val="22"/>
              </w:rPr>
            </w:pPr>
          </w:p>
          <w:p w14:paraId="4AFBBCBE" w14:textId="77777777" w:rsidR="001377FD" w:rsidRPr="009F55A7" w:rsidRDefault="001377FD" w:rsidP="00147717">
            <w:pPr>
              <w:widowControl/>
              <w:rPr>
                <w:snapToGrid/>
                <w:kern w:val="0"/>
                <w:szCs w:val="22"/>
              </w:rPr>
            </w:pPr>
            <w:r w:rsidRPr="009F55A7">
              <w:rPr>
                <w:snapToGrid/>
                <w:kern w:val="0"/>
                <w:szCs w:val="22"/>
              </w:rPr>
              <w:t>ITC-214-20060330-00173</w:t>
            </w:r>
          </w:p>
          <w:p w14:paraId="3684AB14" w14:textId="77777777" w:rsidR="001377FD" w:rsidRPr="009F55A7" w:rsidRDefault="001377FD" w:rsidP="00147717">
            <w:pPr>
              <w:widowControl/>
              <w:rPr>
                <w:snapToGrid/>
                <w:kern w:val="0"/>
                <w:szCs w:val="22"/>
              </w:rPr>
            </w:pPr>
          </w:p>
          <w:p w14:paraId="1AA3E0E1" w14:textId="77777777" w:rsidR="001377FD" w:rsidRPr="009F55A7" w:rsidRDefault="001377FD" w:rsidP="00147717">
            <w:pPr>
              <w:widowControl/>
              <w:rPr>
                <w:snapToGrid/>
                <w:kern w:val="0"/>
                <w:szCs w:val="22"/>
              </w:rPr>
            </w:pPr>
          </w:p>
        </w:tc>
      </w:tr>
    </w:tbl>
    <w:p w14:paraId="689F0EF7" w14:textId="77777777" w:rsidR="001377FD" w:rsidRPr="009F55A7" w:rsidRDefault="001377FD" w:rsidP="001377FD">
      <w:pPr>
        <w:keepNext/>
        <w:widowControl/>
        <w:ind w:firstLine="720"/>
        <w:rPr>
          <w:b/>
          <w:snapToGrid/>
          <w:color w:val="000000"/>
          <w:kern w:val="0"/>
          <w:szCs w:val="22"/>
        </w:rPr>
      </w:pPr>
      <w:r w:rsidRPr="009F55A7">
        <w:rPr>
          <w:b/>
          <w:snapToGrid/>
          <w:color w:val="000000"/>
          <w:kern w:val="0"/>
          <w:szCs w:val="22"/>
        </w:rPr>
        <w:t>B.</w:t>
      </w:r>
      <w:r w:rsidRPr="009F55A7">
        <w:rPr>
          <w:b/>
          <w:snapToGrid/>
          <w:color w:val="000000"/>
          <w:kern w:val="0"/>
          <w:szCs w:val="22"/>
        </w:rPr>
        <w:tab/>
        <w:t>Domestic</w:t>
      </w:r>
    </w:p>
    <w:p w14:paraId="390E0D45" w14:textId="77777777" w:rsidR="001377FD" w:rsidRPr="009F55A7" w:rsidRDefault="001377FD" w:rsidP="001377FD">
      <w:pPr>
        <w:keepNext/>
        <w:widowControl/>
        <w:rPr>
          <w:snapToGrid/>
          <w:color w:val="000000"/>
          <w:kern w:val="0"/>
          <w:szCs w:val="22"/>
        </w:rPr>
      </w:pPr>
    </w:p>
    <w:p w14:paraId="6B1FED5A" w14:textId="77777777" w:rsidR="001377FD" w:rsidRPr="009F55A7" w:rsidRDefault="001377FD" w:rsidP="001377FD">
      <w:pPr>
        <w:keepNext/>
        <w:widowControl/>
        <w:ind w:firstLine="720"/>
        <w:rPr>
          <w:color w:val="000000"/>
          <w:szCs w:val="22"/>
        </w:rPr>
      </w:pPr>
      <w:r w:rsidRPr="006601CF">
        <w:rPr>
          <w:color w:val="000000"/>
          <w:szCs w:val="22"/>
        </w:rPr>
        <w:t xml:space="preserve">The application for approval to transfer control of domestic </w:t>
      </w:r>
      <w:r w:rsidR="00873E97">
        <w:rPr>
          <w:color w:val="000000"/>
          <w:szCs w:val="22"/>
        </w:rPr>
        <w:t xml:space="preserve">Section </w:t>
      </w:r>
      <w:r w:rsidRPr="006601CF">
        <w:rPr>
          <w:color w:val="000000"/>
          <w:szCs w:val="22"/>
        </w:rPr>
        <w:t>214 authorizations is granted.</w:t>
      </w:r>
    </w:p>
    <w:tbl>
      <w:tblPr>
        <w:tblW w:w="9744" w:type="dxa"/>
        <w:tblLook w:val="01E0" w:firstRow="1" w:lastRow="1" w:firstColumn="1" w:lastColumn="1" w:noHBand="0" w:noVBand="0"/>
      </w:tblPr>
      <w:tblGrid>
        <w:gridCol w:w="2882"/>
        <w:gridCol w:w="3890"/>
        <w:gridCol w:w="2972"/>
      </w:tblGrid>
      <w:tr w:rsidR="001377FD" w:rsidRPr="009F55A7" w14:paraId="0E655015" w14:textId="77777777" w:rsidTr="001E20DE">
        <w:trPr>
          <w:trHeight w:val="297"/>
        </w:trPr>
        <w:tc>
          <w:tcPr>
            <w:tcW w:w="2882" w:type="dxa"/>
          </w:tcPr>
          <w:p w14:paraId="42E17501" w14:textId="77777777" w:rsidR="001377FD" w:rsidRPr="009F55A7" w:rsidRDefault="001377FD" w:rsidP="00147717">
            <w:pPr>
              <w:widowControl/>
              <w:rPr>
                <w:snapToGrid/>
                <w:color w:val="000000"/>
                <w:kern w:val="0"/>
                <w:szCs w:val="22"/>
              </w:rPr>
            </w:pPr>
          </w:p>
        </w:tc>
        <w:tc>
          <w:tcPr>
            <w:tcW w:w="3890" w:type="dxa"/>
          </w:tcPr>
          <w:p w14:paraId="5E528300" w14:textId="77777777" w:rsidR="001377FD" w:rsidRPr="009F55A7" w:rsidRDefault="001377FD" w:rsidP="00147717">
            <w:pPr>
              <w:widowControl/>
              <w:rPr>
                <w:snapToGrid/>
                <w:color w:val="000000"/>
                <w:kern w:val="0"/>
                <w:szCs w:val="22"/>
              </w:rPr>
            </w:pPr>
          </w:p>
        </w:tc>
        <w:tc>
          <w:tcPr>
            <w:tcW w:w="2972" w:type="dxa"/>
          </w:tcPr>
          <w:p w14:paraId="1E787676" w14:textId="77777777" w:rsidR="001377FD" w:rsidRPr="009F55A7" w:rsidRDefault="001377FD" w:rsidP="00147717">
            <w:pPr>
              <w:widowControl/>
              <w:rPr>
                <w:snapToGrid/>
                <w:color w:val="000000"/>
                <w:kern w:val="0"/>
                <w:szCs w:val="22"/>
              </w:rPr>
            </w:pPr>
          </w:p>
        </w:tc>
      </w:tr>
    </w:tbl>
    <w:p w14:paraId="5FBDE67B" w14:textId="77777777" w:rsidR="001377FD" w:rsidRDefault="001377FD" w:rsidP="001377FD">
      <w:pPr>
        <w:keepNext/>
        <w:widowControl/>
        <w:rPr>
          <w:b/>
          <w:snapToGrid/>
          <w:color w:val="000000"/>
          <w:kern w:val="0"/>
          <w:szCs w:val="22"/>
        </w:rPr>
      </w:pPr>
      <w:r w:rsidRPr="009F55A7">
        <w:rPr>
          <w:b/>
          <w:snapToGrid/>
          <w:color w:val="000000"/>
          <w:kern w:val="0"/>
          <w:szCs w:val="22"/>
        </w:rPr>
        <w:t xml:space="preserve">SECTION 310(d) </w:t>
      </w:r>
      <w:r>
        <w:rPr>
          <w:b/>
          <w:snapToGrid/>
          <w:color w:val="000000"/>
          <w:kern w:val="0"/>
          <w:szCs w:val="22"/>
        </w:rPr>
        <w:t xml:space="preserve">WIRELESS </w:t>
      </w:r>
      <w:r w:rsidRPr="009F55A7">
        <w:rPr>
          <w:b/>
          <w:snapToGrid/>
          <w:color w:val="000000"/>
          <w:kern w:val="0"/>
          <w:szCs w:val="22"/>
        </w:rPr>
        <w:t>APPLICATIONS</w:t>
      </w:r>
    </w:p>
    <w:p w14:paraId="133FE703" w14:textId="77777777" w:rsidR="001377FD" w:rsidRDefault="001377FD" w:rsidP="001377FD">
      <w:pPr>
        <w:keepNext/>
        <w:widowControl/>
        <w:rPr>
          <w:b/>
          <w:snapToGrid/>
          <w:color w:val="000000"/>
          <w:kern w:val="0"/>
          <w:szCs w:val="22"/>
        </w:rPr>
      </w:pPr>
    </w:p>
    <w:p w14:paraId="158E07E7" w14:textId="2EA19E62" w:rsidR="001377FD" w:rsidRPr="004432B3" w:rsidRDefault="001377FD" w:rsidP="001377FD">
      <w:pPr>
        <w:widowControl/>
        <w:spacing w:after="240"/>
        <w:ind w:firstLine="720"/>
        <w:rPr>
          <w:snapToGrid/>
          <w:color w:val="000000"/>
          <w:kern w:val="0"/>
        </w:rPr>
      </w:pPr>
      <w:r w:rsidRPr="004432B3">
        <w:rPr>
          <w:snapToGrid/>
          <w:color w:val="000000"/>
          <w:kern w:val="0"/>
        </w:rPr>
        <w:t>The application</w:t>
      </w:r>
      <w:r>
        <w:rPr>
          <w:snapToGrid/>
          <w:color w:val="000000"/>
          <w:kern w:val="0"/>
        </w:rPr>
        <w:t>s</w:t>
      </w:r>
      <w:r w:rsidRPr="004432B3">
        <w:rPr>
          <w:snapToGrid/>
          <w:color w:val="000000"/>
          <w:kern w:val="0"/>
        </w:rPr>
        <w:t xml:space="preserve"> for consent to the assignment of license</w:t>
      </w:r>
      <w:r>
        <w:rPr>
          <w:snapToGrid/>
          <w:color w:val="000000"/>
          <w:kern w:val="0"/>
        </w:rPr>
        <w:t>s</w:t>
      </w:r>
      <w:r w:rsidR="00873E97">
        <w:rPr>
          <w:snapToGrid/>
          <w:color w:val="000000"/>
          <w:kern w:val="0"/>
        </w:rPr>
        <w:t xml:space="preserve"> under S</w:t>
      </w:r>
      <w:r w:rsidRPr="004432B3">
        <w:rPr>
          <w:snapToGrid/>
          <w:color w:val="000000"/>
          <w:kern w:val="0"/>
        </w:rPr>
        <w:t xml:space="preserve">ection 310(d) </w:t>
      </w:r>
      <w:r>
        <w:rPr>
          <w:snapToGrid/>
          <w:color w:val="000000"/>
          <w:kern w:val="0"/>
        </w:rPr>
        <w:t>of the Act are granted</w:t>
      </w:r>
      <w:r w:rsidRPr="004432B3">
        <w:rPr>
          <w:snapToGrid/>
          <w:color w:val="000000"/>
          <w:kern w:val="0"/>
        </w:rPr>
        <w:t>.</w:t>
      </w:r>
    </w:p>
    <w:tbl>
      <w:tblPr>
        <w:tblW w:w="10002" w:type="dxa"/>
        <w:tblInd w:w="93" w:type="dxa"/>
        <w:tblLayout w:type="fixed"/>
        <w:tblLook w:val="04A0" w:firstRow="1" w:lastRow="0" w:firstColumn="1" w:lastColumn="0" w:noHBand="0" w:noVBand="1"/>
      </w:tblPr>
      <w:tblGrid>
        <w:gridCol w:w="1995"/>
        <w:gridCol w:w="882"/>
        <w:gridCol w:w="4158"/>
        <w:gridCol w:w="612"/>
        <w:gridCol w:w="1473"/>
        <w:gridCol w:w="882"/>
      </w:tblGrid>
      <w:tr w:rsidR="001377FD" w:rsidRPr="009F55A7" w14:paraId="249D3A39" w14:textId="77777777" w:rsidTr="001E20DE">
        <w:trPr>
          <w:gridAfter w:val="1"/>
          <w:wAfter w:w="882" w:type="dxa"/>
          <w:trHeight w:val="300"/>
        </w:trPr>
        <w:tc>
          <w:tcPr>
            <w:tcW w:w="1995" w:type="dxa"/>
            <w:tcBorders>
              <w:top w:val="nil"/>
              <w:left w:val="nil"/>
              <w:bottom w:val="nil"/>
              <w:right w:val="nil"/>
            </w:tcBorders>
            <w:shd w:val="clear" w:color="auto" w:fill="auto"/>
            <w:noWrap/>
            <w:vAlign w:val="bottom"/>
          </w:tcPr>
          <w:p w14:paraId="04D1EA09" w14:textId="77777777" w:rsidR="001377FD" w:rsidRPr="009F55A7" w:rsidRDefault="001377FD" w:rsidP="00147717">
            <w:pPr>
              <w:widowControl/>
              <w:ind w:hanging="93"/>
              <w:rPr>
                <w:b/>
                <w:bCs/>
                <w:snapToGrid/>
                <w:color w:val="000000"/>
                <w:kern w:val="0"/>
                <w:szCs w:val="22"/>
                <w:u w:val="single"/>
              </w:rPr>
            </w:pPr>
            <w:r w:rsidRPr="009F55A7">
              <w:rPr>
                <w:b/>
                <w:bCs/>
                <w:snapToGrid/>
                <w:color w:val="000000"/>
                <w:kern w:val="0"/>
                <w:szCs w:val="22"/>
                <w:u w:val="single"/>
              </w:rPr>
              <w:t>File Number</w:t>
            </w:r>
          </w:p>
          <w:p w14:paraId="040C08D4" w14:textId="77777777" w:rsidR="001377FD" w:rsidRPr="009F55A7" w:rsidRDefault="001377FD" w:rsidP="00147717">
            <w:pPr>
              <w:widowControl/>
              <w:ind w:hanging="93"/>
              <w:rPr>
                <w:bCs/>
                <w:snapToGrid/>
                <w:color w:val="000000"/>
                <w:kern w:val="0"/>
                <w:szCs w:val="22"/>
              </w:rPr>
            </w:pPr>
          </w:p>
        </w:tc>
        <w:tc>
          <w:tcPr>
            <w:tcW w:w="5040" w:type="dxa"/>
            <w:gridSpan w:val="2"/>
            <w:tcBorders>
              <w:top w:val="nil"/>
              <w:left w:val="nil"/>
              <w:bottom w:val="nil"/>
              <w:right w:val="nil"/>
            </w:tcBorders>
            <w:shd w:val="clear" w:color="auto" w:fill="auto"/>
            <w:noWrap/>
            <w:vAlign w:val="bottom"/>
          </w:tcPr>
          <w:p w14:paraId="5CBB7146" w14:textId="77777777" w:rsidR="001377FD" w:rsidRPr="009F55A7" w:rsidRDefault="001377FD" w:rsidP="00147717">
            <w:pPr>
              <w:widowControl/>
              <w:ind w:left="954" w:hanging="90"/>
              <w:rPr>
                <w:b/>
                <w:bCs/>
                <w:snapToGrid/>
                <w:color w:val="000000"/>
                <w:kern w:val="0"/>
                <w:szCs w:val="22"/>
                <w:u w:val="single"/>
              </w:rPr>
            </w:pPr>
            <w:r w:rsidRPr="009F55A7">
              <w:rPr>
                <w:b/>
                <w:bCs/>
                <w:snapToGrid/>
                <w:color w:val="000000"/>
                <w:kern w:val="0"/>
                <w:szCs w:val="22"/>
                <w:u w:val="single"/>
              </w:rPr>
              <w:t>Licensee</w:t>
            </w:r>
          </w:p>
          <w:p w14:paraId="1DF5767B" w14:textId="77777777" w:rsidR="001377FD" w:rsidRPr="009F55A7" w:rsidRDefault="001377FD" w:rsidP="00147717">
            <w:pPr>
              <w:widowControl/>
              <w:ind w:left="864"/>
              <w:rPr>
                <w:b/>
                <w:bCs/>
                <w:snapToGrid/>
                <w:color w:val="000000"/>
                <w:kern w:val="0"/>
                <w:szCs w:val="22"/>
                <w:u w:val="single"/>
              </w:rPr>
            </w:pPr>
          </w:p>
        </w:tc>
        <w:tc>
          <w:tcPr>
            <w:tcW w:w="2085" w:type="dxa"/>
            <w:gridSpan w:val="2"/>
            <w:tcBorders>
              <w:top w:val="nil"/>
              <w:left w:val="nil"/>
              <w:bottom w:val="nil"/>
              <w:right w:val="nil"/>
            </w:tcBorders>
            <w:shd w:val="clear" w:color="auto" w:fill="auto"/>
            <w:noWrap/>
            <w:vAlign w:val="bottom"/>
          </w:tcPr>
          <w:p w14:paraId="6CCEFD4F" w14:textId="77777777" w:rsidR="001377FD" w:rsidRPr="009F55A7" w:rsidRDefault="001377FD" w:rsidP="00147717">
            <w:pPr>
              <w:widowControl/>
              <w:ind w:left="504"/>
              <w:rPr>
                <w:b/>
                <w:bCs/>
                <w:snapToGrid/>
                <w:color w:val="000000"/>
                <w:kern w:val="0"/>
                <w:szCs w:val="22"/>
                <w:u w:val="single"/>
              </w:rPr>
            </w:pPr>
            <w:r w:rsidRPr="009F55A7">
              <w:rPr>
                <w:b/>
                <w:bCs/>
                <w:snapToGrid/>
                <w:color w:val="000000"/>
                <w:kern w:val="0"/>
                <w:szCs w:val="22"/>
                <w:u w:val="single"/>
              </w:rPr>
              <w:t>Lead Call Sign</w:t>
            </w:r>
          </w:p>
          <w:p w14:paraId="5BD8BB7B" w14:textId="77777777" w:rsidR="001377FD" w:rsidRPr="009F55A7" w:rsidRDefault="001377FD" w:rsidP="00147717">
            <w:pPr>
              <w:widowControl/>
              <w:rPr>
                <w:b/>
                <w:bCs/>
                <w:snapToGrid/>
                <w:color w:val="000000"/>
                <w:kern w:val="0"/>
                <w:szCs w:val="22"/>
                <w:u w:val="single"/>
              </w:rPr>
            </w:pPr>
          </w:p>
        </w:tc>
      </w:tr>
      <w:tr w:rsidR="001377FD" w:rsidRPr="009F55A7" w14:paraId="7863D661" w14:textId="77777777" w:rsidTr="001E20DE">
        <w:trPr>
          <w:gridAfter w:val="1"/>
          <w:wAfter w:w="882" w:type="dxa"/>
          <w:trHeight w:val="300"/>
        </w:trPr>
        <w:tc>
          <w:tcPr>
            <w:tcW w:w="1995" w:type="dxa"/>
            <w:tcBorders>
              <w:top w:val="nil"/>
              <w:left w:val="nil"/>
              <w:bottom w:val="nil"/>
              <w:right w:val="nil"/>
            </w:tcBorders>
            <w:shd w:val="clear" w:color="auto" w:fill="auto"/>
            <w:noWrap/>
            <w:vAlign w:val="bottom"/>
          </w:tcPr>
          <w:p w14:paraId="3ECF5CB2" w14:textId="77777777" w:rsidR="001377FD" w:rsidRPr="009F55A7" w:rsidRDefault="001377FD" w:rsidP="00147717">
            <w:pPr>
              <w:widowControl/>
              <w:ind w:hanging="93"/>
              <w:rPr>
                <w:b/>
                <w:bCs/>
                <w:snapToGrid/>
                <w:color w:val="000000"/>
                <w:kern w:val="0"/>
                <w:szCs w:val="22"/>
                <w:u w:val="single"/>
              </w:rPr>
            </w:pPr>
            <w:r w:rsidRPr="009F55A7">
              <w:rPr>
                <w:bCs/>
                <w:snapToGrid/>
                <w:color w:val="000000"/>
                <w:kern w:val="0"/>
                <w:szCs w:val="22"/>
              </w:rPr>
              <w:t>0006818013</w:t>
            </w:r>
          </w:p>
        </w:tc>
        <w:tc>
          <w:tcPr>
            <w:tcW w:w="5040" w:type="dxa"/>
            <w:gridSpan w:val="2"/>
            <w:tcBorders>
              <w:top w:val="nil"/>
              <w:left w:val="nil"/>
              <w:bottom w:val="nil"/>
              <w:right w:val="nil"/>
            </w:tcBorders>
            <w:shd w:val="clear" w:color="auto" w:fill="auto"/>
            <w:noWrap/>
            <w:vAlign w:val="bottom"/>
          </w:tcPr>
          <w:p w14:paraId="3423F726" w14:textId="77777777" w:rsidR="001377FD" w:rsidRPr="009F55A7" w:rsidRDefault="001377FD" w:rsidP="00147717">
            <w:pPr>
              <w:widowControl/>
              <w:ind w:left="954" w:hanging="90"/>
              <w:rPr>
                <w:b/>
                <w:bCs/>
                <w:snapToGrid/>
                <w:color w:val="000000"/>
                <w:kern w:val="0"/>
                <w:szCs w:val="22"/>
                <w:u w:val="single"/>
              </w:rPr>
            </w:pPr>
            <w:r w:rsidRPr="009F55A7">
              <w:rPr>
                <w:bCs/>
                <w:snapToGrid/>
                <w:color w:val="000000"/>
                <w:kern w:val="0"/>
                <w:szCs w:val="22"/>
              </w:rPr>
              <w:t>Cequel III Communications I, LLC</w:t>
            </w:r>
          </w:p>
        </w:tc>
        <w:tc>
          <w:tcPr>
            <w:tcW w:w="2085" w:type="dxa"/>
            <w:gridSpan w:val="2"/>
            <w:tcBorders>
              <w:top w:val="nil"/>
              <w:left w:val="nil"/>
              <w:bottom w:val="nil"/>
              <w:right w:val="nil"/>
            </w:tcBorders>
            <w:shd w:val="clear" w:color="auto" w:fill="auto"/>
            <w:noWrap/>
            <w:vAlign w:val="bottom"/>
          </w:tcPr>
          <w:p w14:paraId="62CD4884" w14:textId="77777777" w:rsidR="001377FD" w:rsidRPr="009F55A7" w:rsidRDefault="001377FD" w:rsidP="00147717">
            <w:pPr>
              <w:widowControl/>
              <w:ind w:left="-108" w:firstLine="612"/>
              <w:rPr>
                <w:b/>
                <w:bCs/>
                <w:snapToGrid/>
                <w:color w:val="000000"/>
                <w:kern w:val="0"/>
                <w:szCs w:val="22"/>
                <w:u w:val="single"/>
              </w:rPr>
            </w:pPr>
            <w:r w:rsidRPr="009F55A7">
              <w:rPr>
                <w:bCs/>
                <w:snapToGrid/>
                <w:color w:val="000000"/>
                <w:kern w:val="0"/>
                <w:szCs w:val="22"/>
              </w:rPr>
              <w:t>WQKL824</w:t>
            </w:r>
          </w:p>
        </w:tc>
      </w:tr>
      <w:tr w:rsidR="001377FD" w:rsidRPr="009F55A7" w14:paraId="6CF6E459" w14:textId="77777777" w:rsidTr="001E20DE">
        <w:trPr>
          <w:trHeight w:val="297"/>
        </w:trPr>
        <w:tc>
          <w:tcPr>
            <w:tcW w:w="2877" w:type="dxa"/>
            <w:gridSpan w:val="2"/>
            <w:tcBorders>
              <w:left w:val="nil"/>
              <w:bottom w:val="nil"/>
              <w:right w:val="nil"/>
            </w:tcBorders>
            <w:shd w:val="clear" w:color="auto" w:fill="auto"/>
            <w:noWrap/>
            <w:vAlign w:val="bottom"/>
          </w:tcPr>
          <w:p w14:paraId="29242CB1" w14:textId="77777777" w:rsidR="001377FD" w:rsidRPr="009F55A7" w:rsidRDefault="001377FD" w:rsidP="00147717">
            <w:pPr>
              <w:widowControl/>
              <w:ind w:hanging="93"/>
              <w:rPr>
                <w:bCs/>
                <w:snapToGrid/>
                <w:color w:val="000000"/>
                <w:kern w:val="0"/>
                <w:szCs w:val="22"/>
              </w:rPr>
            </w:pPr>
          </w:p>
        </w:tc>
        <w:tc>
          <w:tcPr>
            <w:tcW w:w="4770" w:type="dxa"/>
            <w:gridSpan w:val="2"/>
            <w:tcBorders>
              <w:left w:val="nil"/>
              <w:bottom w:val="nil"/>
              <w:right w:val="nil"/>
            </w:tcBorders>
            <w:shd w:val="clear" w:color="auto" w:fill="auto"/>
            <w:noWrap/>
            <w:vAlign w:val="bottom"/>
          </w:tcPr>
          <w:p w14:paraId="6BD35A0A" w14:textId="77777777" w:rsidR="001377FD" w:rsidRPr="009F55A7" w:rsidRDefault="001377FD" w:rsidP="00147717">
            <w:pPr>
              <w:widowControl/>
              <w:ind w:left="-108"/>
              <w:rPr>
                <w:bCs/>
                <w:snapToGrid/>
                <w:color w:val="000000"/>
                <w:kern w:val="0"/>
                <w:szCs w:val="22"/>
              </w:rPr>
            </w:pPr>
          </w:p>
        </w:tc>
        <w:tc>
          <w:tcPr>
            <w:tcW w:w="2355" w:type="dxa"/>
            <w:gridSpan w:val="2"/>
            <w:tcBorders>
              <w:top w:val="nil"/>
              <w:left w:val="nil"/>
              <w:bottom w:val="nil"/>
              <w:right w:val="nil"/>
            </w:tcBorders>
            <w:shd w:val="clear" w:color="auto" w:fill="auto"/>
            <w:noWrap/>
            <w:vAlign w:val="bottom"/>
          </w:tcPr>
          <w:p w14:paraId="2632265F" w14:textId="77777777" w:rsidR="001377FD" w:rsidRPr="009F55A7" w:rsidDel="00AD4C0E" w:rsidRDefault="001377FD" w:rsidP="00147717">
            <w:pPr>
              <w:widowControl/>
              <w:ind w:left="-108"/>
              <w:rPr>
                <w:bCs/>
                <w:snapToGrid/>
                <w:color w:val="000000"/>
                <w:kern w:val="0"/>
                <w:szCs w:val="22"/>
              </w:rPr>
            </w:pPr>
          </w:p>
        </w:tc>
      </w:tr>
      <w:tr w:rsidR="001377FD" w:rsidRPr="009F55A7" w14:paraId="7091C5F4" w14:textId="77777777" w:rsidTr="001E20DE">
        <w:trPr>
          <w:trHeight w:val="300"/>
        </w:trPr>
        <w:tc>
          <w:tcPr>
            <w:tcW w:w="2877" w:type="dxa"/>
            <w:gridSpan w:val="2"/>
            <w:tcBorders>
              <w:top w:val="nil"/>
              <w:left w:val="nil"/>
              <w:bottom w:val="nil"/>
              <w:right w:val="nil"/>
            </w:tcBorders>
            <w:shd w:val="clear" w:color="auto" w:fill="auto"/>
            <w:noWrap/>
            <w:vAlign w:val="bottom"/>
          </w:tcPr>
          <w:p w14:paraId="56A3225E" w14:textId="77777777" w:rsidR="001377FD" w:rsidRPr="009F55A7" w:rsidRDefault="001377FD" w:rsidP="00147717">
            <w:pPr>
              <w:widowControl/>
              <w:ind w:hanging="93"/>
              <w:rPr>
                <w:bCs/>
                <w:snapToGrid/>
                <w:color w:val="000000"/>
                <w:kern w:val="0"/>
                <w:szCs w:val="22"/>
              </w:rPr>
            </w:pPr>
            <w:r w:rsidRPr="009F55A7">
              <w:rPr>
                <w:bCs/>
                <w:snapToGrid/>
                <w:color w:val="000000"/>
                <w:kern w:val="0"/>
                <w:szCs w:val="22"/>
              </w:rPr>
              <w:t>0006821045</w:t>
            </w:r>
          </w:p>
        </w:tc>
        <w:tc>
          <w:tcPr>
            <w:tcW w:w="4770" w:type="dxa"/>
            <w:gridSpan w:val="2"/>
            <w:tcBorders>
              <w:top w:val="nil"/>
              <w:left w:val="nil"/>
              <w:bottom w:val="nil"/>
              <w:right w:val="nil"/>
            </w:tcBorders>
            <w:shd w:val="clear" w:color="auto" w:fill="auto"/>
            <w:noWrap/>
            <w:vAlign w:val="bottom"/>
          </w:tcPr>
          <w:p w14:paraId="4B6A49B0" w14:textId="77777777" w:rsidR="001377FD" w:rsidRPr="009F55A7" w:rsidRDefault="001377FD" w:rsidP="00147717">
            <w:pPr>
              <w:widowControl/>
              <w:ind w:left="-18"/>
              <w:rPr>
                <w:bCs/>
                <w:snapToGrid/>
                <w:color w:val="000000"/>
                <w:kern w:val="0"/>
                <w:szCs w:val="22"/>
              </w:rPr>
            </w:pPr>
            <w:r w:rsidRPr="009F55A7">
              <w:rPr>
                <w:bCs/>
                <w:snapToGrid/>
                <w:color w:val="000000"/>
                <w:kern w:val="0"/>
                <w:szCs w:val="22"/>
              </w:rPr>
              <w:t>Cequel III Communications II, LLC</w:t>
            </w:r>
          </w:p>
        </w:tc>
        <w:tc>
          <w:tcPr>
            <w:tcW w:w="2355" w:type="dxa"/>
            <w:gridSpan w:val="2"/>
            <w:tcBorders>
              <w:top w:val="nil"/>
              <w:left w:val="nil"/>
              <w:bottom w:val="nil"/>
              <w:right w:val="nil"/>
            </w:tcBorders>
            <w:shd w:val="clear" w:color="auto" w:fill="auto"/>
            <w:noWrap/>
            <w:vAlign w:val="bottom"/>
          </w:tcPr>
          <w:p w14:paraId="4799C119" w14:textId="77777777" w:rsidR="001377FD" w:rsidRPr="009F55A7" w:rsidRDefault="001377FD" w:rsidP="00147717">
            <w:pPr>
              <w:widowControl/>
              <w:ind w:left="-108"/>
              <w:rPr>
                <w:bCs/>
                <w:snapToGrid/>
                <w:color w:val="000000"/>
                <w:kern w:val="0"/>
                <w:szCs w:val="22"/>
              </w:rPr>
            </w:pPr>
            <w:r w:rsidRPr="009F55A7">
              <w:rPr>
                <w:bCs/>
                <w:snapToGrid/>
                <w:color w:val="000000"/>
                <w:kern w:val="0"/>
                <w:szCs w:val="22"/>
              </w:rPr>
              <w:t>WQDI918</w:t>
            </w:r>
          </w:p>
        </w:tc>
      </w:tr>
      <w:tr w:rsidR="001377FD" w:rsidRPr="009F55A7" w14:paraId="056FD157" w14:textId="77777777" w:rsidTr="001E20DE">
        <w:trPr>
          <w:trHeight w:val="300"/>
        </w:trPr>
        <w:tc>
          <w:tcPr>
            <w:tcW w:w="2877" w:type="dxa"/>
            <w:gridSpan w:val="2"/>
            <w:tcBorders>
              <w:top w:val="nil"/>
              <w:left w:val="nil"/>
              <w:bottom w:val="nil"/>
              <w:right w:val="nil"/>
            </w:tcBorders>
            <w:shd w:val="clear" w:color="auto" w:fill="auto"/>
            <w:noWrap/>
            <w:vAlign w:val="bottom"/>
          </w:tcPr>
          <w:p w14:paraId="236414BC" w14:textId="77777777" w:rsidR="001377FD" w:rsidRPr="009F55A7" w:rsidRDefault="001377FD" w:rsidP="00147717">
            <w:pPr>
              <w:widowControl/>
              <w:ind w:hanging="93"/>
              <w:rPr>
                <w:bCs/>
                <w:snapToGrid/>
                <w:color w:val="000000"/>
                <w:kern w:val="0"/>
                <w:szCs w:val="22"/>
              </w:rPr>
            </w:pPr>
          </w:p>
        </w:tc>
        <w:tc>
          <w:tcPr>
            <w:tcW w:w="4770" w:type="dxa"/>
            <w:gridSpan w:val="2"/>
            <w:tcBorders>
              <w:top w:val="nil"/>
              <w:left w:val="nil"/>
              <w:bottom w:val="nil"/>
              <w:right w:val="nil"/>
            </w:tcBorders>
            <w:shd w:val="clear" w:color="auto" w:fill="auto"/>
            <w:noWrap/>
            <w:vAlign w:val="bottom"/>
          </w:tcPr>
          <w:p w14:paraId="517C23C6" w14:textId="77777777" w:rsidR="001377FD" w:rsidRPr="009F55A7" w:rsidRDefault="001377FD" w:rsidP="00147717">
            <w:pPr>
              <w:widowControl/>
              <w:ind w:left="-108"/>
              <w:rPr>
                <w:bCs/>
                <w:snapToGrid/>
                <w:color w:val="000000"/>
                <w:kern w:val="0"/>
                <w:szCs w:val="22"/>
              </w:rPr>
            </w:pPr>
          </w:p>
        </w:tc>
        <w:tc>
          <w:tcPr>
            <w:tcW w:w="2355" w:type="dxa"/>
            <w:gridSpan w:val="2"/>
            <w:tcBorders>
              <w:top w:val="nil"/>
              <w:left w:val="nil"/>
              <w:bottom w:val="nil"/>
              <w:right w:val="nil"/>
            </w:tcBorders>
            <w:shd w:val="clear" w:color="auto" w:fill="auto"/>
            <w:noWrap/>
            <w:vAlign w:val="bottom"/>
          </w:tcPr>
          <w:p w14:paraId="2275349B" w14:textId="77777777" w:rsidR="001377FD" w:rsidRPr="009F55A7" w:rsidRDefault="001377FD" w:rsidP="00147717">
            <w:pPr>
              <w:widowControl/>
              <w:ind w:left="-108"/>
              <w:rPr>
                <w:bCs/>
                <w:snapToGrid/>
                <w:color w:val="000000"/>
                <w:kern w:val="0"/>
                <w:szCs w:val="22"/>
              </w:rPr>
            </w:pPr>
          </w:p>
        </w:tc>
      </w:tr>
      <w:tr w:rsidR="001377FD" w:rsidRPr="009F55A7" w14:paraId="5BE16695" w14:textId="77777777" w:rsidTr="001E20DE">
        <w:trPr>
          <w:trHeight w:val="300"/>
        </w:trPr>
        <w:tc>
          <w:tcPr>
            <w:tcW w:w="2877" w:type="dxa"/>
            <w:gridSpan w:val="2"/>
            <w:tcBorders>
              <w:top w:val="nil"/>
              <w:left w:val="nil"/>
              <w:bottom w:val="nil"/>
              <w:right w:val="nil"/>
            </w:tcBorders>
            <w:shd w:val="clear" w:color="auto" w:fill="auto"/>
            <w:noWrap/>
          </w:tcPr>
          <w:p w14:paraId="2DBE9E78" w14:textId="77777777" w:rsidR="001377FD" w:rsidRPr="009F55A7" w:rsidRDefault="001377FD" w:rsidP="00147717">
            <w:pPr>
              <w:widowControl/>
              <w:ind w:hanging="93"/>
              <w:rPr>
                <w:bCs/>
                <w:snapToGrid/>
                <w:color w:val="000000"/>
                <w:kern w:val="0"/>
                <w:szCs w:val="22"/>
              </w:rPr>
            </w:pPr>
            <w:r>
              <w:rPr>
                <w:bCs/>
                <w:snapToGrid/>
                <w:color w:val="000000"/>
                <w:kern w:val="0"/>
                <w:szCs w:val="22"/>
              </w:rPr>
              <w:t>0006820236</w:t>
            </w:r>
          </w:p>
        </w:tc>
        <w:tc>
          <w:tcPr>
            <w:tcW w:w="4770" w:type="dxa"/>
            <w:gridSpan w:val="2"/>
            <w:tcBorders>
              <w:top w:val="nil"/>
              <w:left w:val="nil"/>
              <w:bottom w:val="nil"/>
              <w:right w:val="nil"/>
            </w:tcBorders>
            <w:shd w:val="clear" w:color="auto" w:fill="auto"/>
            <w:noWrap/>
            <w:vAlign w:val="bottom"/>
          </w:tcPr>
          <w:p w14:paraId="04D22D5A" w14:textId="77777777" w:rsidR="001377FD" w:rsidRPr="009F55A7" w:rsidRDefault="001377FD" w:rsidP="00147717">
            <w:pPr>
              <w:widowControl/>
              <w:rPr>
                <w:bCs/>
                <w:snapToGrid/>
                <w:color w:val="000000"/>
                <w:kern w:val="0"/>
                <w:szCs w:val="22"/>
              </w:rPr>
            </w:pPr>
            <w:r w:rsidRPr="009F55A7">
              <w:rPr>
                <w:bCs/>
                <w:snapToGrid/>
                <w:color w:val="000000"/>
                <w:kern w:val="0"/>
                <w:szCs w:val="22"/>
              </w:rPr>
              <w:t>Classic Cable of Oklahoma Inc</w:t>
            </w:r>
            <w:r>
              <w:rPr>
                <w:bCs/>
                <w:snapToGrid/>
                <w:color w:val="000000"/>
                <w:kern w:val="0"/>
                <w:szCs w:val="22"/>
              </w:rPr>
              <w:t>.</w:t>
            </w:r>
            <w:r w:rsidRPr="009F55A7">
              <w:rPr>
                <w:bCs/>
                <w:snapToGrid/>
                <w:color w:val="000000"/>
                <w:kern w:val="0"/>
                <w:szCs w:val="22"/>
              </w:rPr>
              <w:t xml:space="preserve"> dba </w:t>
            </w:r>
            <w:r>
              <w:rPr>
                <w:bCs/>
                <w:snapToGrid/>
                <w:color w:val="000000"/>
                <w:kern w:val="0"/>
                <w:szCs w:val="22"/>
              </w:rPr>
              <w:t>Cebridge Connections</w:t>
            </w:r>
          </w:p>
        </w:tc>
        <w:tc>
          <w:tcPr>
            <w:tcW w:w="2355" w:type="dxa"/>
            <w:gridSpan w:val="2"/>
            <w:tcBorders>
              <w:top w:val="nil"/>
              <w:left w:val="nil"/>
              <w:bottom w:val="nil"/>
              <w:right w:val="nil"/>
            </w:tcBorders>
            <w:shd w:val="clear" w:color="auto" w:fill="auto"/>
            <w:noWrap/>
          </w:tcPr>
          <w:p w14:paraId="0E227B50" w14:textId="77777777" w:rsidR="001377FD" w:rsidRPr="009F55A7" w:rsidRDefault="001377FD" w:rsidP="00147717">
            <w:pPr>
              <w:widowControl/>
              <w:ind w:left="-108"/>
              <w:rPr>
                <w:bCs/>
                <w:snapToGrid/>
                <w:color w:val="000000"/>
                <w:kern w:val="0"/>
                <w:szCs w:val="22"/>
              </w:rPr>
            </w:pPr>
            <w:r>
              <w:rPr>
                <w:bCs/>
                <w:snapToGrid/>
                <w:color w:val="000000"/>
                <w:kern w:val="0"/>
                <w:szCs w:val="22"/>
              </w:rPr>
              <w:t>WQ3H315</w:t>
            </w:r>
          </w:p>
        </w:tc>
      </w:tr>
      <w:tr w:rsidR="001377FD" w:rsidRPr="009F55A7" w14:paraId="6615C8EB" w14:textId="77777777" w:rsidTr="001E20DE">
        <w:trPr>
          <w:trHeight w:val="159"/>
        </w:trPr>
        <w:tc>
          <w:tcPr>
            <w:tcW w:w="2877" w:type="dxa"/>
            <w:gridSpan w:val="2"/>
            <w:tcBorders>
              <w:left w:val="nil"/>
              <w:right w:val="nil"/>
            </w:tcBorders>
            <w:shd w:val="clear" w:color="auto" w:fill="auto"/>
            <w:noWrap/>
            <w:vAlign w:val="bottom"/>
          </w:tcPr>
          <w:p w14:paraId="712936A5" w14:textId="77777777" w:rsidR="001377FD" w:rsidRPr="009F55A7" w:rsidRDefault="001377FD" w:rsidP="00147717">
            <w:pPr>
              <w:widowControl/>
              <w:ind w:hanging="93"/>
              <w:rPr>
                <w:bCs/>
                <w:snapToGrid/>
                <w:color w:val="000000"/>
                <w:kern w:val="0"/>
                <w:szCs w:val="22"/>
              </w:rPr>
            </w:pPr>
          </w:p>
        </w:tc>
        <w:tc>
          <w:tcPr>
            <w:tcW w:w="4770" w:type="dxa"/>
            <w:gridSpan w:val="2"/>
            <w:tcBorders>
              <w:left w:val="nil"/>
              <w:right w:val="nil"/>
            </w:tcBorders>
            <w:shd w:val="clear" w:color="auto" w:fill="auto"/>
            <w:noWrap/>
            <w:vAlign w:val="bottom"/>
          </w:tcPr>
          <w:p w14:paraId="552253F2" w14:textId="77777777" w:rsidR="001377FD" w:rsidRPr="009F55A7" w:rsidRDefault="001377FD" w:rsidP="00147717">
            <w:pPr>
              <w:widowControl/>
              <w:ind w:left="-108"/>
              <w:rPr>
                <w:bCs/>
                <w:snapToGrid/>
                <w:color w:val="000000"/>
                <w:kern w:val="0"/>
                <w:szCs w:val="22"/>
              </w:rPr>
            </w:pPr>
          </w:p>
        </w:tc>
        <w:tc>
          <w:tcPr>
            <w:tcW w:w="2355" w:type="dxa"/>
            <w:gridSpan w:val="2"/>
            <w:tcBorders>
              <w:top w:val="nil"/>
              <w:left w:val="nil"/>
              <w:bottom w:val="nil"/>
              <w:right w:val="nil"/>
            </w:tcBorders>
            <w:shd w:val="clear" w:color="auto" w:fill="auto"/>
            <w:noWrap/>
            <w:vAlign w:val="bottom"/>
          </w:tcPr>
          <w:p w14:paraId="20FB5C6F" w14:textId="77777777" w:rsidR="001377FD" w:rsidRPr="009F55A7" w:rsidRDefault="001377FD" w:rsidP="00147717">
            <w:pPr>
              <w:widowControl/>
              <w:ind w:left="-108"/>
              <w:rPr>
                <w:bCs/>
                <w:snapToGrid/>
                <w:color w:val="000000"/>
                <w:kern w:val="0"/>
                <w:szCs w:val="22"/>
              </w:rPr>
            </w:pPr>
          </w:p>
        </w:tc>
      </w:tr>
      <w:tr w:rsidR="001377FD" w:rsidRPr="009F55A7" w14:paraId="06E0EE1F" w14:textId="77777777" w:rsidTr="001E20DE">
        <w:trPr>
          <w:trHeight w:val="159"/>
        </w:trPr>
        <w:tc>
          <w:tcPr>
            <w:tcW w:w="2877" w:type="dxa"/>
            <w:gridSpan w:val="2"/>
            <w:vMerge w:val="restart"/>
            <w:tcBorders>
              <w:left w:val="nil"/>
              <w:right w:val="nil"/>
            </w:tcBorders>
            <w:shd w:val="clear" w:color="auto" w:fill="auto"/>
            <w:noWrap/>
          </w:tcPr>
          <w:p w14:paraId="6CC9BADB" w14:textId="77777777" w:rsidR="001377FD" w:rsidRPr="009F55A7" w:rsidRDefault="001377FD" w:rsidP="00147717">
            <w:pPr>
              <w:widowControl/>
              <w:ind w:hanging="93"/>
              <w:rPr>
                <w:bCs/>
                <w:snapToGrid/>
                <w:color w:val="000000"/>
                <w:kern w:val="0"/>
                <w:szCs w:val="22"/>
              </w:rPr>
            </w:pPr>
            <w:r w:rsidRPr="009F55A7">
              <w:rPr>
                <w:bCs/>
                <w:snapToGrid/>
                <w:color w:val="000000"/>
                <w:kern w:val="0"/>
                <w:szCs w:val="22"/>
              </w:rPr>
              <w:t>00068202</w:t>
            </w:r>
            <w:r>
              <w:rPr>
                <w:bCs/>
                <w:snapToGrid/>
                <w:color w:val="000000"/>
                <w:kern w:val="0"/>
                <w:szCs w:val="22"/>
              </w:rPr>
              <w:t>4</w:t>
            </w:r>
            <w:r w:rsidRPr="009F55A7">
              <w:rPr>
                <w:bCs/>
                <w:snapToGrid/>
                <w:color w:val="000000"/>
                <w:kern w:val="0"/>
                <w:szCs w:val="22"/>
              </w:rPr>
              <w:t>6</w:t>
            </w:r>
          </w:p>
        </w:tc>
        <w:tc>
          <w:tcPr>
            <w:tcW w:w="4770" w:type="dxa"/>
            <w:gridSpan w:val="2"/>
            <w:vMerge w:val="restart"/>
            <w:tcBorders>
              <w:left w:val="nil"/>
              <w:right w:val="nil"/>
            </w:tcBorders>
            <w:shd w:val="clear" w:color="auto" w:fill="auto"/>
            <w:noWrap/>
          </w:tcPr>
          <w:p w14:paraId="12125B72" w14:textId="77777777" w:rsidR="001377FD" w:rsidRPr="009F55A7" w:rsidRDefault="001377FD" w:rsidP="00147717">
            <w:pPr>
              <w:widowControl/>
              <w:rPr>
                <w:bCs/>
                <w:snapToGrid/>
                <w:color w:val="000000"/>
                <w:kern w:val="0"/>
                <w:szCs w:val="22"/>
              </w:rPr>
            </w:pPr>
            <w:r w:rsidRPr="009F55A7">
              <w:rPr>
                <w:bCs/>
                <w:snapToGrid/>
                <w:color w:val="000000"/>
                <w:kern w:val="0"/>
                <w:szCs w:val="22"/>
              </w:rPr>
              <w:t>Friendship Cable of Texas</w:t>
            </w:r>
            <w:r>
              <w:rPr>
                <w:bCs/>
                <w:snapToGrid/>
                <w:color w:val="000000"/>
                <w:kern w:val="0"/>
                <w:szCs w:val="22"/>
              </w:rPr>
              <w:t>,</w:t>
            </w:r>
            <w:r w:rsidRPr="009F55A7">
              <w:rPr>
                <w:bCs/>
                <w:snapToGrid/>
                <w:color w:val="000000"/>
                <w:kern w:val="0"/>
                <w:szCs w:val="22"/>
              </w:rPr>
              <w:t xml:space="preserve"> Inc</w:t>
            </w:r>
            <w:r>
              <w:rPr>
                <w:bCs/>
                <w:snapToGrid/>
                <w:color w:val="000000"/>
                <w:kern w:val="0"/>
                <w:szCs w:val="22"/>
              </w:rPr>
              <w:t>.</w:t>
            </w:r>
            <w:r w:rsidRPr="009F55A7">
              <w:rPr>
                <w:bCs/>
                <w:snapToGrid/>
                <w:color w:val="000000"/>
                <w:kern w:val="0"/>
                <w:szCs w:val="22"/>
              </w:rPr>
              <w:t xml:space="preserve"> </w:t>
            </w:r>
          </w:p>
        </w:tc>
        <w:tc>
          <w:tcPr>
            <w:tcW w:w="2355" w:type="dxa"/>
            <w:gridSpan w:val="2"/>
            <w:tcBorders>
              <w:top w:val="nil"/>
              <w:left w:val="nil"/>
              <w:bottom w:val="nil"/>
              <w:right w:val="nil"/>
            </w:tcBorders>
            <w:shd w:val="clear" w:color="auto" w:fill="auto"/>
            <w:noWrap/>
            <w:vAlign w:val="bottom"/>
          </w:tcPr>
          <w:p w14:paraId="654AEFDD" w14:textId="77777777" w:rsidR="001377FD" w:rsidRPr="009F55A7" w:rsidRDefault="001377FD" w:rsidP="00147717">
            <w:pPr>
              <w:widowControl/>
              <w:ind w:left="-108"/>
              <w:rPr>
                <w:bCs/>
                <w:snapToGrid/>
                <w:color w:val="000000"/>
                <w:kern w:val="0"/>
                <w:szCs w:val="22"/>
              </w:rPr>
            </w:pPr>
            <w:r w:rsidRPr="009F55A7">
              <w:rPr>
                <w:bCs/>
                <w:snapToGrid/>
                <w:color w:val="000000"/>
                <w:kern w:val="0"/>
                <w:szCs w:val="22"/>
              </w:rPr>
              <w:t>WQLN547</w:t>
            </w:r>
          </w:p>
        </w:tc>
      </w:tr>
      <w:tr w:rsidR="001377FD" w:rsidRPr="009F55A7" w14:paraId="3AFCE525" w14:textId="77777777" w:rsidTr="001E20DE">
        <w:trPr>
          <w:trHeight w:val="159"/>
        </w:trPr>
        <w:tc>
          <w:tcPr>
            <w:tcW w:w="2877" w:type="dxa"/>
            <w:gridSpan w:val="2"/>
            <w:vMerge/>
            <w:tcBorders>
              <w:left w:val="nil"/>
              <w:right w:val="nil"/>
            </w:tcBorders>
            <w:shd w:val="clear" w:color="auto" w:fill="auto"/>
            <w:noWrap/>
            <w:vAlign w:val="bottom"/>
          </w:tcPr>
          <w:p w14:paraId="7E1BBFE6" w14:textId="77777777" w:rsidR="001377FD" w:rsidRPr="009F55A7" w:rsidRDefault="001377FD" w:rsidP="00147717">
            <w:pPr>
              <w:widowControl/>
              <w:ind w:hanging="93"/>
              <w:rPr>
                <w:bCs/>
                <w:snapToGrid/>
                <w:color w:val="000000"/>
                <w:kern w:val="0"/>
                <w:szCs w:val="22"/>
              </w:rPr>
            </w:pPr>
          </w:p>
        </w:tc>
        <w:tc>
          <w:tcPr>
            <w:tcW w:w="4770" w:type="dxa"/>
            <w:gridSpan w:val="2"/>
            <w:vMerge/>
            <w:tcBorders>
              <w:left w:val="nil"/>
              <w:right w:val="nil"/>
            </w:tcBorders>
            <w:shd w:val="clear" w:color="auto" w:fill="auto"/>
            <w:noWrap/>
            <w:vAlign w:val="bottom"/>
          </w:tcPr>
          <w:p w14:paraId="099DD3F1" w14:textId="77777777" w:rsidR="001377FD" w:rsidRPr="009F55A7" w:rsidRDefault="001377FD" w:rsidP="00147717">
            <w:pPr>
              <w:widowControl/>
              <w:ind w:left="-108"/>
              <w:rPr>
                <w:bCs/>
                <w:snapToGrid/>
                <w:color w:val="000000"/>
                <w:kern w:val="0"/>
                <w:szCs w:val="22"/>
              </w:rPr>
            </w:pPr>
          </w:p>
        </w:tc>
        <w:tc>
          <w:tcPr>
            <w:tcW w:w="2355" w:type="dxa"/>
            <w:gridSpan w:val="2"/>
            <w:tcBorders>
              <w:top w:val="nil"/>
              <w:left w:val="nil"/>
              <w:bottom w:val="nil"/>
              <w:right w:val="nil"/>
            </w:tcBorders>
            <w:shd w:val="clear" w:color="auto" w:fill="auto"/>
            <w:noWrap/>
            <w:vAlign w:val="bottom"/>
          </w:tcPr>
          <w:p w14:paraId="06D881EC" w14:textId="77777777" w:rsidR="001377FD" w:rsidRPr="009F55A7" w:rsidRDefault="001377FD" w:rsidP="00147717">
            <w:pPr>
              <w:widowControl/>
              <w:ind w:left="-108"/>
              <w:rPr>
                <w:bCs/>
                <w:snapToGrid/>
                <w:color w:val="000000"/>
                <w:kern w:val="0"/>
                <w:szCs w:val="22"/>
              </w:rPr>
            </w:pPr>
          </w:p>
        </w:tc>
      </w:tr>
      <w:tr w:rsidR="001377FD" w:rsidRPr="009F55A7" w14:paraId="5C64B722" w14:textId="77777777" w:rsidTr="001E20DE">
        <w:trPr>
          <w:trHeight w:val="159"/>
        </w:trPr>
        <w:tc>
          <w:tcPr>
            <w:tcW w:w="2877" w:type="dxa"/>
            <w:gridSpan w:val="2"/>
            <w:tcBorders>
              <w:left w:val="nil"/>
              <w:right w:val="nil"/>
            </w:tcBorders>
            <w:shd w:val="clear" w:color="auto" w:fill="auto"/>
            <w:noWrap/>
            <w:vAlign w:val="bottom"/>
          </w:tcPr>
          <w:p w14:paraId="12EF8EF1" w14:textId="77777777" w:rsidR="001377FD" w:rsidRPr="009F55A7" w:rsidRDefault="001377FD" w:rsidP="00147717">
            <w:pPr>
              <w:widowControl/>
              <w:ind w:hanging="93"/>
              <w:rPr>
                <w:bCs/>
                <w:snapToGrid/>
                <w:color w:val="000000"/>
                <w:kern w:val="0"/>
                <w:szCs w:val="22"/>
              </w:rPr>
            </w:pPr>
          </w:p>
        </w:tc>
        <w:tc>
          <w:tcPr>
            <w:tcW w:w="4770" w:type="dxa"/>
            <w:gridSpan w:val="2"/>
            <w:tcBorders>
              <w:left w:val="nil"/>
              <w:right w:val="nil"/>
            </w:tcBorders>
            <w:shd w:val="clear" w:color="auto" w:fill="auto"/>
            <w:noWrap/>
            <w:vAlign w:val="bottom"/>
          </w:tcPr>
          <w:p w14:paraId="0B4B6681" w14:textId="77777777" w:rsidR="001377FD" w:rsidRPr="009F55A7" w:rsidRDefault="001377FD" w:rsidP="00147717">
            <w:pPr>
              <w:widowControl/>
              <w:ind w:left="-108"/>
              <w:rPr>
                <w:bCs/>
                <w:snapToGrid/>
                <w:color w:val="000000"/>
                <w:kern w:val="0"/>
                <w:szCs w:val="22"/>
              </w:rPr>
            </w:pPr>
          </w:p>
        </w:tc>
        <w:tc>
          <w:tcPr>
            <w:tcW w:w="2355" w:type="dxa"/>
            <w:gridSpan w:val="2"/>
            <w:tcBorders>
              <w:top w:val="nil"/>
              <w:left w:val="nil"/>
              <w:bottom w:val="nil"/>
              <w:right w:val="nil"/>
            </w:tcBorders>
            <w:shd w:val="clear" w:color="auto" w:fill="auto"/>
            <w:noWrap/>
            <w:vAlign w:val="bottom"/>
          </w:tcPr>
          <w:p w14:paraId="66A82A1E" w14:textId="77777777" w:rsidR="001377FD" w:rsidRPr="009F55A7" w:rsidRDefault="001377FD" w:rsidP="00147717">
            <w:pPr>
              <w:widowControl/>
              <w:ind w:left="-108"/>
              <w:rPr>
                <w:bCs/>
                <w:snapToGrid/>
                <w:color w:val="000000"/>
                <w:kern w:val="0"/>
                <w:szCs w:val="22"/>
              </w:rPr>
            </w:pPr>
          </w:p>
        </w:tc>
      </w:tr>
      <w:tr w:rsidR="001377FD" w:rsidRPr="009F55A7" w14:paraId="46F786D9" w14:textId="77777777" w:rsidTr="001E20DE">
        <w:trPr>
          <w:trHeight w:val="159"/>
        </w:trPr>
        <w:tc>
          <w:tcPr>
            <w:tcW w:w="2877" w:type="dxa"/>
            <w:gridSpan w:val="2"/>
            <w:tcBorders>
              <w:left w:val="nil"/>
              <w:right w:val="nil"/>
            </w:tcBorders>
            <w:shd w:val="clear" w:color="auto" w:fill="auto"/>
            <w:noWrap/>
            <w:vAlign w:val="bottom"/>
          </w:tcPr>
          <w:p w14:paraId="1ED28552" w14:textId="77777777" w:rsidR="001377FD" w:rsidRPr="009F55A7" w:rsidRDefault="001377FD" w:rsidP="00147717">
            <w:pPr>
              <w:widowControl/>
              <w:ind w:hanging="93"/>
              <w:rPr>
                <w:bCs/>
                <w:snapToGrid/>
                <w:color w:val="000000"/>
                <w:kern w:val="0"/>
                <w:szCs w:val="22"/>
              </w:rPr>
            </w:pPr>
            <w:r w:rsidRPr="009F55A7">
              <w:rPr>
                <w:bCs/>
                <w:snapToGrid/>
                <w:color w:val="000000"/>
                <w:kern w:val="0"/>
                <w:szCs w:val="22"/>
              </w:rPr>
              <w:t>0006820257</w:t>
            </w:r>
          </w:p>
        </w:tc>
        <w:tc>
          <w:tcPr>
            <w:tcW w:w="4770" w:type="dxa"/>
            <w:gridSpan w:val="2"/>
            <w:tcBorders>
              <w:left w:val="nil"/>
              <w:right w:val="nil"/>
            </w:tcBorders>
            <w:shd w:val="clear" w:color="auto" w:fill="auto"/>
            <w:noWrap/>
            <w:vAlign w:val="bottom"/>
          </w:tcPr>
          <w:p w14:paraId="0D5158D5" w14:textId="77777777" w:rsidR="001377FD" w:rsidRPr="009F55A7" w:rsidRDefault="001377FD" w:rsidP="00147717">
            <w:pPr>
              <w:widowControl/>
              <w:ind w:left="-18"/>
              <w:rPr>
                <w:bCs/>
                <w:snapToGrid/>
                <w:color w:val="000000"/>
                <w:kern w:val="0"/>
                <w:szCs w:val="22"/>
              </w:rPr>
            </w:pPr>
            <w:r w:rsidRPr="009F55A7">
              <w:rPr>
                <w:bCs/>
                <w:snapToGrid/>
                <w:color w:val="000000"/>
                <w:kern w:val="0"/>
                <w:szCs w:val="22"/>
              </w:rPr>
              <w:t>NPG Cable</w:t>
            </w:r>
            <w:r>
              <w:rPr>
                <w:bCs/>
                <w:snapToGrid/>
                <w:color w:val="000000"/>
                <w:kern w:val="0"/>
                <w:szCs w:val="22"/>
              </w:rPr>
              <w:t>,</w:t>
            </w:r>
            <w:r w:rsidRPr="009F55A7">
              <w:rPr>
                <w:bCs/>
                <w:snapToGrid/>
                <w:color w:val="000000"/>
                <w:kern w:val="0"/>
                <w:szCs w:val="22"/>
              </w:rPr>
              <w:t xml:space="preserve"> LLC </w:t>
            </w:r>
          </w:p>
        </w:tc>
        <w:tc>
          <w:tcPr>
            <w:tcW w:w="2355" w:type="dxa"/>
            <w:gridSpan w:val="2"/>
            <w:tcBorders>
              <w:top w:val="nil"/>
              <w:left w:val="nil"/>
              <w:bottom w:val="nil"/>
              <w:right w:val="nil"/>
            </w:tcBorders>
            <w:shd w:val="clear" w:color="auto" w:fill="auto"/>
            <w:noWrap/>
            <w:vAlign w:val="bottom"/>
          </w:tcPr>
          <w:p w14:paraId="04C9A625" w14:textId="77777777" w:rsidR="001377FD" w:rsidRPr="009F55A7" w:rsidRDefault="001377FD" w:rsidP="00147717">
            <w:pPr>
              <w:widowControl/>
              <w:ind w:left="-108"/>
              <w:rPr>
                <w:bCs/>
                <w:snapToGrid/>
                <w:color w:val="000000"/>
                <w:kern w:val="0"/>
                <w:szCs w:val="22"/>
              </w:rPr>
            </w:pPr>
            <w:r w:rsidRPr="009F55A7">
              <w:rPr>
                <w:bCs/>
                <w:snapToGrid/>
                <w:color w:val="000000"/>
                <w:kern w:val="0"/>
                <w:szCs w:val="22"/>
              </w:rPr>
              <w:t>WQHJ681</w:t>
            </w:r>
          </w:p>
        </w:tc>
      </w:tr>
      <w:tr w:rsidR="001377FD" w:rsidRPr="009F55A7" w14:paraId="2C1CC2AB" w14:textId="77777777" w:rsidTr="001E20DE">
        <w:trPr>
          <w:trHeight w:val="159"/>
        </w:trPr>
        <w:tc>
          <w:tcPr>
            <w:tcW w:w="2877" w:type="dxa"/>
            <w:gridSpan w:val="2"/>
            <w:tcBorders>
              <w:left w:val="nil"/>
              <w:right w:val="nil"/>
            </w:tcBorders>
            <w:shd w:val="clear" w:color="auto" w:fill="auto"/>
            <w:noWrap/>
            <w:vAlign w:val="bottom"/>
          </w:tcPr>
          <w:p w14:paraId="20FD0F85" w14:textId="77777777" w:rsidR="001377FD" w:rsidRPr="009F55A7" w:rsidRDefault="001377FD" w:rsidP="00147717">
            <w:pPr>
              <w:widowControl/>
              <w:ind w:hanging="93"/>
              <w:rPr>
                <w:bCs/>
                <w:snapToGrid/>
                <w:color w:val="000000"/>
                <w:kern w:val="0"/>
                <w:szCs w:val="22"/>
              </w:rPr>
            </w:pPr>
          </w:p>
        </w:tc>
        <w:tc>
          <w:tcPr>
            <w:tcW w:w="4770" w:type="dxa"/>
            <w:gridSpan w:val="2"/>
            <w:tcBorders>
              <w:left w:val="nil"/>
              <w:right w:val="nil"/>
            </w:tcBorders>
            <w:shd w:val="clear" w:color="auto" w:fill="auto"/>
            <w:noWrap/>
            <w:vAlign w:val="bottom"/>
          </w:tcPr>
          <w:p w14:paraId="27492F3E" w14:textId="77777777" w:rsidR="001377FD" w:rsidRPr="009F55A7" w:rsidRDefault="001377FD" w:rsidP="00147717">
            <w:pPr>
              <w:widowControl/>
              <w:ind w:left="-108"/>
              <w:rPr>
                <w:bCs/>
                <w:snapToGrid/>
                <w:color w:val="000000"/>
                <w:kern w:val="0"/>
                <w:szCs w:val="22"/>
              </w:rPr>
            </w:pPr>
          </w:p>
        </w:tc>
        <w:tc>
          <w:tcPr>
            <w:tcW w:w="2355" w:type="dxa"/>
            <w:gridSpan w:val="2"/>
            <w:tcBorders>
              <w:top w:val="nil"/>
              <w:left w:val="nil"/>
              <w:bottom w:val="nil"/>
              <w:right w:val="nil"/>
            </w:tcBorders>
            <w:shd w:val="clear" w:color="auto" w:fill="auto"/>
            <w:noWrap/>
            <w:vAlign w:val="bottom"/>
          </w:tcPr>
          <w:p w14:paraId="3DA633C4" w14:textId="77777777" w:rsidR="001377FD" w:rsidRPr="009F55A7" w:rsidRDefault="001377FD" w:rsidP="00147717">
            <w:pPr>
              <w:widowControl/>
              <w:ind w:left="-108"/>
              <w:rPr>
                <w:bCs/>
                <w:snapToGrid/>
                <w:color w:val="000000"/>
                <w:kern w:val="0"/>
                <w:szCs w:val="22"/>
              </w:rPr>
            </w:pPr>
          </w:p>
        </w:tc>
      </w:tr>
      <w:tr w:rsidR="001377FD" w:rsidRPr="009F55A7" w14:paraId="0976F8EB" w14:textId="77777777" w:rsidTr="001E20DE">
        <w:trPr>
          <w:trHeight w:val="159"/>
        </w:trPr>
        <w:tc>
          <w:tcPr>
            <w:tcW w:w="2877" w:type="dxa"/>
            <w:gridSpan w:val="2"/>
            <w:vMerge w:val="restart"/>
            <w:tcBorders>
              <w:left w:val="nil"/>
              <w:right w:val="nil"/>
            </w:tcBorders>
            <w:shd w:val="clear" w:color="auto" w:fill="auto"/>
            <w:noWrap/>
          </w:tcPr>
          <w:p w14:paraId="6664D324" w14:textId="77777777" w:rsidR="001377FD" w:rsidRPr="009F55A7" w:rsidRDefault="001377FD" w:rsidP="00147717">
            <w:pPr>
              <w:widowControl/>
              <w:ind w:hanging="93"/>
              <w:rPr>
                <w:bCs/>
                <w:snapToGrid/>
                <w:color w:val="000000"/>
                <w:kern w:val="0"/>
                <w:szCs w:val="22"/>
              </w:rPr>
            </w:pPr>
            <w:r w:rsidRPr="009F55A7">
              <w:rPr>
                <w:bCs/>
                <w:snapToGrid/>
                <w:color w:val="000000"/>
                <w:kern w:val="0"/>
                <w:szCs w:val="22"/>
              </w:rPr>
              <w:t>0006820287</w:t>
            </w:r>
          </w:p>
          <w:p w14:paraId="4504EEAF" w14:textId="77777777" w:rsidR="001377FD" w:rsidRPr="009F55A7" w:rsidRDefault="001377FD" w:rsidP="00147717">
            <w:pPr>
              <w:widowControl/>
              <w:ind w:hanging="93"/>
              <w:rPr>
                <w:bCs/>
                <w:snapToGrid/>
                <w:color w:val="000000"/>
                <w:kern w:val="0"/>
                <w:szCs w:val="22"/>
              </w:rPr>
            </w:pPr>
          </w:p>
        </w:tc>
        <w:tc>
          <w:tcPr>
            <w:tcW w:w="4770" w:type="dxa"/>
            <w:gridSpan w:val="2"/>
            <w:vMerge w:val="restart"/>
            <w:tcBorders>
              <w:left w:val="nil"/>
              <w:right w:val="nil"/>
            </w:tcBorders>
            <w:shd w:val="clear" w:color="auto" w:fill="auto"/>
            <w:noWrap/>
          </w:tcPr>
          <w:p w14:paraId="69458AE9" w14:textId="77777777" w:rsidR="001377FD" w:rsidRPr="009F55A7" w:rsidRDefault="001377FD" w:rsidP="00147717">
            <w:pPr>
              <w:widowControl/>
              <w:rPr>
                <w:bCs/>
                <w:snapToGrid/>
                <w:color w:val="000000"/>
                <w:kern w:val="0"/>
                <w:szCs w:val="22"/>
              </w:rPr>
            </w:pPr>
            <w:r w:rsidRPr="009F55A7">
              <w:rPr>
                <w:bCs/>
                <w:snapToGrid/>
                <w:color w:val="000000"/>
                <w:kern w:val="0"/>
                <w:szCs w:val="22"/>
              </w:rPr>
              <w:t>U</w:t>
            </w:r>
            <w:r>
              <w:rPr>
                <w:bCs/>
                <w:snapToGrid/>
                <w:color w:val="000000"/>
                <w:kern w:val="0"/>
                <w:szCs w:val="22"/>
              </w:rPr>
              <w:t>niversal</w:t>
            </w:r>
            <w:r w:rsidRPr="009F55A7">
              <w:rPr>
                <w:bCs/>
                <w:snapToGrid/>
                <w:color w:val="000000"/>
                <w:kern w:val="0"/>
                <w:szCs w:val="22"/>
              </w:rPr>
              <w:t xml:space="preserve"> C</w:t>
            </w:r>
            <w:r>
              <w:rPr>
                <w:bCs/>
                <w:snapToGrid/>
                <w:color w:val="000000"/>
                <w:kern w:val="0"/>
                <w:szCs w:val="22"/>
              </w:rPr>
              <w:t>able</w:t>
            </w:r>
            <w:r w:rsidRPr="009F55A7">
              <w:rPr>
                <w:bCs/>
                <w:snapToGrid/>
                <w:color w:val="000000"/>
                <w:kern w:val="0"/>
                <w:szCs w:val="22"/>
              </w:rPr>
              <w:t xml:space="preserve"> H</w:t>
            </w:r>
            <w:r>
              <w:rPr>
                <w:bCs/>
                <w:snapToGrid/>
                <w:color w:val="000000"/>
                <w:kern w:val="0"/>
                <w:szCs w:val="22"/>
              </w:rPr>
              <w:t>oldings</w:t>
            </w:r>
            <w:r w:rsidRPr="009F55A7">
              <w:rPr>
                <w:bCs/>
                <w:snapToGrid/>
                <w:color w:val="000000"/>
                <w:kern w:val="0"/>
                <w:szCs w:val="22"/>
              </w:rPr>
              <w:t>, I</w:t>
            </w:r>
            <w:r>
              <w:rPr>
                <w:bCs/>
                <w:snapToGrid/>
                <w:color w:val="000000"/>
                <w:kern w:val="0"/>
                <w:szCs w:val="22"/>
              </w:rPr>
              <w:t>nc.</w:t>
            </w:r>
            <w:r w:rsidRPr="009F55A7">
              <w:rPr>
                <w:bCs/>
                <w:snapToGrid/>
                <w:color w:val="000000"/>
                <w:kern w:val="0"/>
                <w:szCs w:val="22"/>
              </w:rPr>
              <w:t xml:space="preserve">  </w:t>
            </w:r>
          </w:p>
        </w:tc>
        <w:tc>
          <w:tcPr>
            <w:tcW w:w="2355" w:type="dxa"/>
            <w:gridSpan w:val="2"/>
            <w:tcBorders>
              <w:top w:val="nil"/>
              <w:left w:val="nil"/>
              <w:bottom w:val="nil"/>
              <w:right w:val="nil"/>
            </w:tcBorders>
            <w:shd w:val="clear" w:color="auto" w:fill="auto"/>
            <w:noWrap/>
            <w:vAlign w:val="bottom"/>
          </w:tcPr>
          <w:p w14:paraId="2BEEF698" w14:textId="77777777" w:rsidR="001377FD" w:rsidRPr="009F55A7" w:rsidRDefault="001377FD" w:rsidP="00147717">
            <w:pPr>
              <w:widowControl/>
              <w:ind w:left="-108"/>
              <w:rPr>
                <w:bCs/>
                <w:snapToGrid/>
                <w:color w:val="000000"/>
                <w:kern w:val="0"/>
                <w:szCs w:val="22"/>
              </w:rPr>
            </w:pPr>
            <w:r w:rsidRPr="009F55A7">
              <w:rPr>
                <w:bCs/>
                <w:snapToGrid/>
                <w:color w:val="000000"/>
                <w:kern w:val="0"/>
                <w:szCs w:val="22"/>
              </w:rPr>
              <w:t>WQTT821</w:t>
            </w:r>
          </w:p>
        </w:tc>
      </w:tr>
      <w:tr w:rsidR="001377FD" w:rsidRPr="009F55A7" w14:paraId="6CF496AF" w14:textId="77777777" w:rsidTr="001E20DE">
        <w:trPr>
          <w:trHeight w:val="60"/>
        </w:trPr>
        <w:tc>
          <w:tcPr>
            <w:tcW w:w="2877" w:type="dxa"/>
            <w:gridSpan w:val="2"/>
            <w:vMerge/>
            <w:tcBorders>
              <w:left w:val="nil"/>
              <w:right w:val="nil"/>
            </w:tcBorders>
            <w:shd w:val="clear" w:color="auto" w:fill="auto"/>
            <w:noWrap/>
            <w:vAlign w:val="bottom"/>
          </w:tcPr>
          <w:p w14:paraId="3437FEBA" w14:textId="77777777" w:rsidR="001377FD" w:rsidRPr="009F55A7" w:rsidRDefault="001377FD" w:rsidP="00147717">
            <w:pPr>
              <w:widowControl/>
              <w:ind w:hanging="93"/>
              <w:rPr>
                <w:bCs/>
                <w:snapToGrid/>
                <w:color w:val="000000"/>
                <w:kern w:val="0"/>
                <w:szCs w:val="22"/>
              </w:rPr>
            </w:pPr>
          </w:p>
        </w:tc>
        <w:tc>
          <w:tcPr>
            <w:tcW w:w="4770" w:type="dxa"/>
            <w:gridSpan w:val="2"/>
            <w:vMerge/>
            <w:tcBorders>
              <w:left w:val="nil"/>
              <w:right w:val="nil"/>
            </w:tcBorders>
            <w:shd w:val="clear" w:color="auto" w:fill="auto"/>
            <w:noWrap/>
            <w:vAlign w:val="bottom"/>
          </w:tcPr>
          <w:p w14:paraId="6333F79D" w14:textId="77777777" w:rsidR="001377FD" w:rsidRPr="009F55A7" w:rsidRDefault="001377FD" w:rsidP="00147717">
            <w:pPr>
              <w:widowControl/>
              <w:rPr>
                <w:bCs/>
                <w:snapToGrid/>
                <w:color w:val="000000"/>
                <w:kern w:val="0"/>
                <w:szCs w:val="22"/>
              </w:rPr>
            </w:pPr>
          </w:p>
        </w:tc>
        <w:tc>
          <w:tcPr>
            <w:tcW w:w="2355" w:type="dxa"/>
            <w:gridSpan w:val="2"/>
            <w:tcBorders>
              <w:top w:val="nil"/>
              <w:left w:val="nil"/>
              <w:bottom w:val="nil"/>
              <w:right w:val="nil"/>
            </w:tcBorders>
            <w:shd w:val="clear" w:color="auto" w:fill="auto"/>
            <w:noWrap/>
            <w:vAlign w:val="bottom"/>
          </w:tcPr>
          <w:p w14:paraId="5BAF3E44" w14:textId="77777777" w:rsidR="001377FD" w:rsidRPr="009F55A7" w:rsidRDefault="001377FD" w:rsidP="00147717">
            <w:pPr>
              <w:widowControl/>
              <w:rPr>
                <w:bCs/>
                <w:snapToGrid/>
                <w:color w:val="000000"/>
                <w:kern w:val="0"/>
                <w:szCs w:val="22"/>
              </w:rPr>
            </w:pPr>
          </w:p>
        </w:tc>
      </w:tr>
    </w:tbl>
    <w:p w14:paraId="7E45AB8F" w14:textId="77777777" w:rsidR="001377FD" w:rsidRDefault="001377FD" w:rsidP="001377FD">
      <w:pPr>
        <w:widowControl/>
        <w:ind w:right="720"/>
        <w:rPr>
          <w:b/>
          <w:snapToGrid/>
          <w:kern w:val="0"/>
          <w:szCs w:val="22"/>
          <w:u w:val="single"/>
        </w:rPr>
      </w:pPr>
    </w:p>
    <w:p w14:paraId="51D3940B" w14:textId="77777777" w:rsidR="001377FD" w:rsidRDefault="001377FD" w:rsidP="001377FD">
      <w:pPr>
        <w:widowControl/>
        <w:rPr>
          <w:b/>
          <w:snapToGrid/>
          <w:kern w:val="0"/>
          <w:szCs w:val="22"/>
          <w:u w:val="single"/>
        </w:rPr>
      </w:pPr>
      <w:r>
        <w:rPr>
          <w:b/>
          <w:snapToGrid/>
          <w:kern w:val="0"/>
          <w:szCs w:val="22"/>
          <w:u w:val="single"/>
        </w:rPr>
        <w:br w:type="page"/>
      </w:r>
    </w:p>
    <w:p w14:paraId="3CE35704" w14:textId="77777777" w:rsidR="001377FD" w:rsidRPr="009F55A7" w:rsidRDefault="001377FD" w:rsidP="001377FD">
      <w:pPr>
        <w:widowControl/>
        <w:ind w:right="720"/>
        <w:rPr>
          <w:b/>
          <w:snapToGrid/>
          <w:kern w:val="0"/>
          <w:szCs w:val="22"/>
          <w:u w:val="single"/>
        </w:rPr>
      </w:pPr>
    </w:p>
    <w:p w14:paraId="788E194E" w14:textId="77777777" w:rsidR="001377FD" w:rsidRPr="00841D75" w:rsidRDefault="001377FD" w:rsidP="001377FD">
      <w:pPr>
        <w:widowControl/>
        <w:rPr>
          <w:b/>
          <w:snapToGrid/>
          <w:color w:val="000000"/>
          <w:kern w:val="0"/>
          <w:szCs w:val="22"/>
        </w:rPr>
      </w:pPr>
      <w:bookmarkStart w:id="55" w:name="sp_999_4"/>
      <w:bookmarkStart w:id="56" w:name="SDU_4"/>
      <w:bookmarkStart w:id="57" w:name="citeas((Cite_as:_26_F.C.C.R._13372,_*133"/>
      <w:bookmarkEnd w:id="55"/>
      <w:bookmarkEnd w:id="56"/>
      <w:bookmarkEnd w:id="57"/>
      <w:r w:rsidRPr="00841D75">
        <w:rPr>
          <w:b/>
          <w:snapToGrid/>
          <w:color w:val="000000"/>
          <w:kern w:val="0"/>
          <w:szCs w:val="22"/>
        </w:rPr>
        <w:t>PART 78 -- CABLE TELEVISION RELAY SERVICES (CARS)</w:t>
      </w:r>
    </w:p>
    <w:p w14:paraId="7E6DB1E7" w14:textId="77777777" w:rsidR="001377FD" w:rsidRPr="00841D75" w:rsidRDefault="001377FD" w:rsidP="001377FD">
      <w:pPr>
        <w:widowControl/>
        <w:rPr>
          <w:snapToGrid/>
          <w:color w:val="000000"/>
          <w:kern w:val="0"/>
          <w:szCs w:val="22"/>
        </w:rPr>
      </w:pPr>
    </w:p>
    <w:tbl>
      <w:tblPr>
        <w:tblW w:w="0" w:type="auto"/>
        <w:tblLayout w:type="fixed"/>
        <w:tblLook w:val="04A0" w:firstRow="1" w:lastRow="0" w:firstColumn="1" w:lastColumn="0" w:noHBand="0" w:noVBand="1"/>
      </w:tblPr>
      <w:tblGrid>
        <w:gridCol w:w="2963"/>
        <w:gridCol w:w="4320"/>
        <w:gridCol w:w="1991"/>
      </w:tblGrid>
      <w:tr w:rsidR="001377FD" w:rsidRPr="00841D75" w14:paraId="695700EF" w14:textId="77777777" w:rsidTr="001E20DE">
        <w:trPr>
          <w:trHeight w:val="310"/>
        </w:trPr>
        <w:tc>
          <w:tcPr>
            <w:tcW w:w="2963" w:type="dxa"/>
            <w:shd w:val="clear" w:color="auto" w:fill="auto"/>
            <w:noWrap/>
          </w:tcPr>
          <w:p w14:paraId="514EF2C3" w14:textId="77777777" w:rsidR="001377FD" w:rsidRPr="00841D75" w:rsidRDefault="001377FD" w:rsidP="00147717">
            <w:pPr>
              <w:widowControl/>
              <w:ind w:hanging="93"/>
              <w:rPr>
                <w:b/>
                <w:bCs/>
                <w:snapToGrid/>
                <w:color w:val="000000"/>
                <w:kern w:val="0"/>
                <w:szCs w:val="22"/>
                <w:u w:val="single"/>
              </w:rPr>
            </w:pPr>
            <w:r w:rsidRPr="00841D75">
              <w:rPr>
                <w:b/>
                <w:bCs/>
                <w:snapToGrid/>
                <w:color w:val="000000"/>
                <w:kern w:val="0"/>
                <w:szCs w:val="22"/>
                <w:u w:val="single"/>
              </w:rPr>
              <w:t>File Number</w:t>
            </w:r>
          </w:p>
          <w:p w14:paraId="5CC408D1" w14:textId="77777777" w:rsidR="001377FD" w:rsidRPr="00841D75" w:rsidRDefault="001377FD" w:rsidP="00147717">
            <w:pPr>
              <w:widowControl/>
              <w:ind w:hanging="93"/>
              <w:rPr>
                <w:bCs/>
                <w:snapToGrid/>
                <w:color w:val="000000"/>
                <w:kern w:val="0"/>
                <w:szCs w:val="22"/>
              </w:rPr>
            </w:pPr>
          </w:p>
        </w:tc>
        <w:tc>
          <w:tcPr>
            <w:tcW w:w="4320" w:type="dxa"/>
            <w:shd w:val="clear" w:color="auto" w:fill="auto"/>
            <w:noWrap/>
          </w:tcPr>
          <w:p w14:paraId="67931BEE" w14:textId="77777777" w:rsidR="001377FD" w:rsidRPr="00841D75" w:rsidRDefault="001377FD" w:rsidP="00147717">
            <w:pPr>
              <w:widowControl/>
              <w:rPr>
                <w:b/>
                <w:bCs/>
                <w:snapToGrid/>
                <w:color w:val="000000"/>
                <w:kern w:val="0"/>
                <w:szCs w:val="22"/>
                <w:u w:val="single"/>
              </w:rPr>
            </w:pPr>
            <w:r w:rsidRPr="00841D75">
              <w:rPr>
                <w:b/>
                <w:bCs/>
                <w:snapToGrid/>
                <w:color w:val="000000"/>
                <w:kern w:val="0"/>
                <w:szCs w:val="22"/>
                <w:u w:val="single"/>
              </w:rPr>
              <w:t>Licensee</w:t>
            </w:r>
          </w:p>
          <w:p w14:paraId="11A369C8" w14:textId="77777777" w:rsidR="001377FD" w:rsidRPr="00841D75" w:rsidRDefault="001377FD" w:rsidP="00147717">
            <w:pPr>
              <w:widowControl/>
              <w:rPr>
                <w:b/>
                <w:bCs/>
                <w:snapToGrid/>
                <w:color w:val="000000"/>
                <w:kern w:val="0"/>
                <w:szCs w:val="22"/>
                <w:u w:val="single"/>
              </w:rPr>
            </w:pPr>
          </w:p>
        </w:tc>
        <w:tc>
          <w:tcPr>
            <w:tcW w:w="1991" w:type="dxa"/>
            <w:shd w:val="clear" w:color="auto" w:fill="auto"/>
            <w:noWrap/>
          </w:tcPr>
          <w:p w14:paraId="451DDBD9" w14:textId="77777777" w:rsidR="001377FD" w:rsidRPr="00841D75" w:rsidRDefault="001377FD" w:rsidP="00147717">
            <w:pPr>
              <w:widowControl/>
              <w:ind w:left="349"/>
              <w:rPr>
                <w:b/>
                <w:bCs/>
                <w:snapToGrid/>
                <w:color w:val="000000"/>
                <w:kern w:val="0"/>
                <w:szCs w:val="22"/>
                <w:u w:val="single"/>
              </w:rPr>
            </w:pPr>
            <w:r w:rsidRPr="00841D75">
              <w:rPr>
                <w:b/>
                <w:bCs/>
                <w:snapToGrid/>
                <w:color w:val="000000"/>
                <w:kern w:val="0"/>
                <w:szCs w:val="22"/>
                <w:u w:val="single"/>
              </w:rPr>
              <w:t>Lead Call Sign</w:t>
            </w:r>
          </w:p>
          <w:p w14:paraId="2587E488" w14:textId="77777777" w:rsidR="001377FD" w:rsidRPr="00841D75" w:rsidRDefault="001377FD" w:rsidP="00147717">
            <w:pPr>
              <w:widowControl/>
              <w:rPr>
                <w:b/>
                <w:bCs/>
                <w:snapToGrid/>
                <w:color w:val="000000"/>
                <w:kern w:val="0"/>
                <w:szCs w:val="22"/>
                <w:u w:val="single"/>
              </w:rPr>
            </w:pPr>
          </w:p>
        </w:tc>
      </w:tr>
      <w:tr w:rsidR="001377FD" w:rsidRPr="00841D75" w14:paraId="63400FBC" w14:textId="77777777" w:rsidTr="001E20DE">
        <w:trPr>
          <w:trHeight w:val="164"/>
        </w:trPr>
        <w:tc>
          <w:tcPr>
            <w:tcW w:w="2963" w:type="dxa"/>
            <w:shd w:val="clear" w:color="auto" w:fill="auto"/>
            <w:noWrap/>
          </w:tcPr>
          <w:p w14:paraId="49CBAE42"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CAR-20150617AA-09</w:t>
            </w:r>
          </w:p>
          <w:p w14:paraId="25E90739"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CAR-20150617AB-09</w:t>
            </w:r>
          </w:p>
          <w:p w14:paraId="77C6E919"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CAR-20150617AC-09</w:t>
            </w:r>
          </w:p>
        </w:tc>
        <w:tc>
          <w:tcPr>
            <w:tcW w:w="4320" w:type="dxa"/>
            <w:shd w:val="clear" w:color="auto" w:fill="auto"/>
            <w:noWrap/>
          </w:tcPr>
          <w:p w14:paraId="24E96AA8" w14:textId="77777777" w:rsidR="001377FD" w:rsidRPr="00841D75" w:rsidRDefault="001377FD" w:rsidP="00147717">
            <w:pPr>
              <w:widowControl/>
              <w:rPr>
                <w:bCs/>
                <w:snapToGrid/>
                <w:color w:val="000000"/>
                <w:kern w:val="0"/>
                <w:szCs w:val="22"/>
              </w:rPr>
            </w:pPr>
            <w:r w:rsidRPr="00841D75">
              <w:rPr>
                <w:bCs/>
                <w:snapToGrid/>
                <w:color w:val="000000"/>
                <w:kern w:val="0"/>
                <w:szCs w:val="22"/>
              </w:rPr>
              <w:t>Cebridge Acquisition, L.P.</w:t>
            </w:r>
          </w:p>
        </w:tc>
        <w:tc>
          <w:tcPr>
            <w:tcW w:w="1991" w:type="dxa"/>
            <w:shd w:val="clear" w:color="auto" w:fill="auto"/>
            <w:noWrap/>
          </w:tcPr>
          <w:p w14:paraId="29AD6B33" w14:textId="77777777" w:rsidR="001377FD" w:rsidRPr="00841D75" w:rsidRDefault="001377FD" w:rsidP="00147717">
            <w:pPr>
              <w:widowControl/>
              <w:ind w:left="799"/>
              <w:rPr>
                <w:bCs/>
                <w:snapToGrid/>
                <w:color w:val="000000"/>
                <w:kern w:val="0"/>
                <w:szCs w:val="22"/>
              </w:rPr>
            </w:pPr>
            <w:r w:rsidRPr="00841D75">
              <w:rPr>
                <w:bCs/>
                <w:snapToGrid/>
                <w:color w:val="000000"/>
                <w:kern w:val="0"/>
                <w:szCs w:val="22"/>
              </w:rPr>
              <w:t>WBC-783</w:t>
            </w:r>
          </w:p>
          <w:p w14:paraId="7CF657E5" w14:textId="77777777" w:rsidR="001377FD" w:rsidRPr="00841D75" w:rsidRDefault="001377FD" w:rsidP="00147717">
            <w:pPr>
              <w:widowControl/>
              <w:ind w:left="799"/>
              <w:rPr>
                <w:bCs/>
                <w:snapToGrid/>
                <w:color w:val="000000"/>
                <w:kern w:val="0"/>
                <w:szCs w:val="22"/>
              </w:rPr>
            </w:pPr>
            <w:r w:rsidRPr="00841D75">
              <w:rPr>
                <w:bCs/>
                <w:snapToGrid/>
                <w:color w:val="000000"/>
                <w:kern w:val="0"/>
                <w:szCs w:val="22"/>
              </w:rPr>
              <w:t>WHA-63</w:t>
            </w:r>
          </w:p>
          <w:p w14:paraId="1196DA44" w14:textId="77777777" w:rsidR="001377FD" w:rsidRPr="00841D75" w:rsidRDefault="001377FD" w:rsidP="00147717">
            <w:pPr>
              <w:widowControl/>
              <w:ind w:left="799"/>
              <w:rPr>
                <w:bCs/>
                <w:snapToGrid/>
                <w:color w:val="000000"/>
                <w:kern w:val="0"/>
                <w:szCs w:val="22"/>
              </w:rPr>
            </w:pPr>
            <w:r w:rsidRPr="00841D75">
              <w:rPr>
                <w:bCs/>
                <w:snapToGrid/>
                <w:color w:val="000000"/>
                <w:kern w:val="0"/>
                <w:szCs w:val="22"/>
              </w:rPr>
              <w:t>WLY-810</w:t>
            </w:r>
          </w:p>
        </w:tc>
      </w:tr>
      <w:tr w:rsidR="001377FD" w:rsidRPr="00841D75" w14:paraId="634A92AB" w14:textId="77777777" w:rsidTr="001E20DE">
        <w:trPr>
          <w:trHeight w:val="164"/>
        </w:trPr>
        <w:tc>
          <w:tcPr>
            <w:tcW w:w="2963" w:type="dxa"/>
            <w:shd w:val="clear" w:color="auto" w:fill="auto"/>
            <w:noWrap/>
          </w:tcPr>
          <w:p w14:paraId="2BA87F82" w14:textId="77777777" w:rsidR="001377FD" w:rsidRPr="00841D75" w:rsidRDefault="001377FD" w:rsidP="00147717">
            <w:pPr>
              <w:widowControl/>
              <w:ind w:hanging="93"/>
              <w:rPr>
                <w:bCs/>
                <w:snapToGrid/>
                <w:color w:val="000000"/>
                <w:kern w:val="0"/>
                <w:szCs w:val="22"/>
              </w:rPr>
            </w:pPr>
          </w:p>
        </w:tc>
        <w:tc>
          <w:tcPr>
            <w:tcW w:w="4320" w:type="dxa"/>
            <w:shd w:val="clear" w:color="auto" w:fill="auto"/>
            <w:noWrap/>
          </w:tcPr>
          <w:p w14:paraId="7A305A64" w14:textId="77777777" w:rsidR="001377FD" w:rsidRPr="00841D75" w:rsidRDefault="001377FD" w:rsidP="00147717">
            <w:pPr>
              <w:widowControl/>
              <w:rPr>
                <w:bCs/>
                <w:snapToGrid/>
                <w:color w:val="000000"/>
                <w:kern w:val="0"/>
                <w:szCs w:val="22"/>
              </w:rPr>
            </w:pPr>
          </w:p>
        </w:tc>
        <w:tc>
          <w:tcPr>
            <w:tcW w:w="1991" w:type="dxa"/>
            <w:shd w:val="clear" w:color="auto" w:fill="auto"/>
            <w:noWrap/>
          </w:tcPr>
          <w:p w14:paraId="2C08A910" w14:textId="77777777" w:rsidR="001377FD" w:rsidRPr="00841D75" w:rsidRDefault="001377FD" w:rsidP="00147717">
            <w:pPr>
              <w:widowControl/>
              <w:ind w:left="799"/>
              <w:rPr>
                <w:bCs/>
                <w:snapToGrid/>
                <w:color w:val="000000"/>
                <w:kern w:val="0"/>
                <w:szCs w:val="22"/>
              </w:rPr>
            </w:pPr>
          </w:p>
        </w:tc>
      </w:tr>
      <w:tr w:rsidR="001377FD" w:rsidRPr="00841D75" w14:paraId="121A037B" w14:textId="77777777" w:rsidTr="001E20DE">
        <w:trPr>
          <w:trHeight w:val="164"/>
        </w:trPr>
        <w:tc>
          <w:tcPr>
            <w:tcW w:w="2963" w:type="dxa"/>
            <w:shd w:val="clear" w:color="auto" w:fill="auto"/>
            <w:noWrap/>
          </w:tcPr>
          <w:p w14:paraId="3EE98B61"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CAR-20150617AD-09</w:t>
            </w:r>
          </w:p>
        </w:tc>
        <w:tc>
          <w:tcPr>
            <w:tcW w:w="4320" w:type="dxa"/>
            <w:shd w:val="clear" w:color="auto" w:fill="auto"/>
            <w:noWrap/>
          </w:tcPr>
          <w:p w14:paraId="2094D93D" w14:textId="77777777" w:rsidR="001377FD" w:rsidRPr="00841D75" w:rsidRDefault="001377FD" w:rsidP="00147717">
            <w:pPr>
              <w:widowControl/>
              <w:rPr>
                <w:bCs/>
                <w:snapToGrid/>
                <w:color w:val="000000"/>
                <w:kern w:val="0"/>
                <w:szCs w:val="22"/>
              </w:rPr>
            </w:pPr>
            <w:r w:rsidRPr="00841D75">
              <w:rPr>
                <w:bCs/>
                <w:snapToGrid/>
                <w:color w:val="000000"/>
                <w:kern w:val="0"/>
                <w:szCs w:val="22"/>
              </w:rPr>
              <w:t>Cebridge Acquisition, LLC</w:t>
            </w:r>
          </w:p>
        </w:tc>
        <w:tc>
          <w:tcPr>
            <w:tcW w:w="1991" w:type="dxa"/>
            <w:shd w:val="clear" w:color="auto" w:fill="auto"/>
            <w:noWrap/>
          </w:tcPr>
          <w:p w14:paraId="095EBA34" w14:textId="77777777" w:rsidR="001377FD" w:rsidRPr="00841D75" w:rsidRDefault="001377FD" w:rsidP="00147717">
            <w:pPr>
              <w:widowControl/>
              <w:ind w:left="799"/>
              <w:rPr>
                <w:bCs/>
                <w:snapToGrid/>
                <w:color w:val="000000"/>
                <w:kern w:val="0"/>
                <w:szCs w:val="22"/>
              </w:rPr>
            </w:pPr>
            <w:r w:rsidRPr="00841D75">
              <w:rPr>
                <w:bCs/>
                <w:snapToGrid/>
                <w:color w:val="000000"/>
                <w:kern w:val="0"/>
                <w:szCs w:val="22"/>
              </w:rPr>
              <w:t>WLY-869</w:t>
            </w:r>
          </w:p>
        </w:tc>
      </w:tr>
      <w:tr w:rsidR="001377FD" w:rsidRPr="00841D75" w14:paraId="7AE0C9F8" w14:textId="77777777" w:rsidTr="001E20DE">
        <w:trPr>
          <w:trHeight w:val="279"/>
        </w:trPr>
        <w:tc>
          <w:tcPr>
            <w:tcW w:w="2963" w:type="dxa"/>
            <w:shd w:val="clear" w:color="auto" w:fill="auto"/>
            <w:noWrap/>
          </w:tcPr>
          <w:p w14:paraId="0B044E11" w14:textId="77777777" w:rsidR="001377FD" w:rsidRPr="00841D75" w:rsidRDefault="001377FD" w:rsidP="00147717">
            <w:pPr>
              <w:widowControl/>
              <w:ind w:hanging="93"/>
              <w:rPr>
                <w:bCs/>
                <w:snapToGrid/>
                <w:color w:val="000000"/>
                <w:kern w:val="0"/>
                <w:szCs w:val="22"/>
              </w:rPr>
            </w:pPr>
          </w:p>
        </w:tc>
        <w:tc>
          <w:tcPr>
            <w:tcW w:w="4320" w:type="dxa"/>
            <w:shd w:val="clear" w:color="auto" w:fill="auto"/>
            <w:noWrap/>
          </w:tcPr>
          <w:p w14:paraId="3F33A77C" w14:textId="77777777" w:rsidR="001377FD" w:rsidRPr="00841D75" w:rsidRDefault="001377FD" w:rsidP="00147717">
            <w:pPr>
              <w:widowControl/>
              <w:rPr>
                <w:bCs/>
                <w:snapToGrid/>
                <w:color w:val="000000"/>
                <w:kern w:val="0"/>
                <w:szCs w:val="22"/>
              </w:rPr>
            </w:pPr>
          </w:p>
        </w:tc>
        <w:tc>
          <w:tcPr>
            <w:tcW w:w="1991" w:type="dxa"/>
            <w:shd w:val="clear" w:color="auto" w:fill="auto"/>
            <w:noWrap/>
          </w:tcPr>
          <w:p w14:paraId="3BAD1A90" w14:textId="77777777" w:rsidR="001377FD" w:rsidRPr="00841D75" w:rsidRDefault="001377FD" w:rsidP="00147717">
            <w:pPr>
              <w:widowControl/>
              <w:ind w:left="799"/>
              <w:rPr>
                <w:bCs/>
                <w:snapToGrid/>
                <w:color w:val="000000"/>
                <w:kern w:val="0"/>
                <w:szCs w:val="22"/>
              </w:rPr>
            </w:pPr>
          </w:p>
        </w:tc>
      </w:tr>
      <w:tr w:rsidR="001377FD" w:rsidRPr="00841D75" w14:paraId="5B031D73" w14:textId="77777777" w:rsidTr="001E20DE">
        <w:trPr>
          <w:trHeight w:val="279"/>
        </w:trPr>
        <w:tc>
          <w:tcPr>
            <w:tcW w:w="2963" w:type="dxa"/>
            <w:shd w:val="clear" w:color="auto" w:fill="auto"/>
            <w:noWrap/>
          </w:tcPr>
          <w:p w14:paraId="1CB1301F"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CAR-20150617AE-09</w:t>
            </w:r>
          </w:p>
          <w:p w14:paraId="548FE702"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CAR-20150617AF-09</w:t>
            </w:r>
          </w:p>
          <w:p w14:paraId="2F9E1816"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CAR-20150617AG-09</w:t>
            </w:r>
          </w:p>
          <w:p w14:paraId="5F0ECE18"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CAR-20150617AH-09</w:t>
            </w:r>
          </w:p>
          <w:p w14:paraId="56056135"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CAR-20150617AI-09</w:t>
            </w:r>
          </w:p>
          <w:p w14:paraId="276F1D13"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CAR-20150617AJ-09</w:t>
            </w:r>
          </w:p>
          <w:p w14:paraId="6CBB2E2D"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CAR-20150617AK-09</w:t>
            </w:r>
          </w:p>
          <w:p w14:paraId="63E7711A"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CAR-20150617AL-09</w:t>
            </w:r>
          </w:p>
          <w:p w14:paraId="40EADCEB"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CAR-20150617AM-09</w:t>
            </w:r>
          </w:p>
          <w:p w14:paraId="0D2A017C"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CAR-20150617AN-09</w:t>
            </w:r>
          </w:p>
          <w:p w14:paraId="1F87AAEB"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CAR-20150617AO-09</w:t>
            </w:r>
          </w:p>
          <w:p w14:paraId="32B4CE0B"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CAR-20150617AP-09</w:t>
            </w:r>
          </w:p>
        </w:tc>
        <w:tc>
          <w:tcPr>
            <w:tcW w:w="4320" w:type="dxa"/>
            <w:shd w:val="clear" w:color="auto" w:fill="auto"/>
            <w:noWrap/>
          </w:tcPr>
          <w:p w14:paraId="5D513936" w14:textId="77777777" w:rsidR="001377FD" w:rsidRPr="00841D75" w:rsidRDefault="001377FD" w:rsidP="00147717">
            <w:pPr>
              <w:widowControl/>
              <w:rPr>
                <w:snapToGrid/>
                <w:kern w:val="0"/>
                <w:szCs w:val="22"/>
              </w:rPr>
            </w:pPr>
            <w:r w:rsidRPr="00841D75">
              <w:rPr>
                <w:bCs/>
                <w:snapToGrid/>
                <w:color w:val="000000"/>
                <w:kern w:val="0"/>
                <w:szCs w:val="22"/>
              </w:rPr>
              <w:t>Cequel II Communications I, LLC</w:t>
            </w:r>
          </w:p>
        </w:tc>
        <w:tc>
          <w:tcPr>
            <w:tcW w:w="1991" w:type="dxa"/>
            <w:shd w:val="clear" w:color="auto" w:fill="auto"/>
            <w:noWrap/>
          </w:tcPr>
          <w:p w14:paraId="100CB5D2" w14:textId="77777777" w:rsidR="001377FD" w:rsidRPr="00841D75" w:rsidRDefault="001377FD" w:rsidP="00147717">
            <w:pPr>
              <w:widowControl/>
              <w:ind w:left="799"/>
              <w:rPr>
                <w:bCs/>
                <w:snapToGrid/>
                <w:color w:val="000000"/>
                <w:kern w:val="0"/>
                <w:szCs w:val="22"/>
              </w:rPr>
            </w:pPr>
            <w:r w:rsidRPr="00841D75">
              <w:rPr>
                <w:bCs/>
                <w:snapToGrid/>
                <w:color w:val="000000"/>
                <w:kern w:val="0"/>
                <w:szCs w:val="22"/>
              </w:rPr>
              <w:t>WGV-972</w:t>
            </w:r>
          </w:p>
          <w:p w14:paraId="52A7EDAA" w14:textId="77777777" w:rsidR="001377FD" w:rsidRPr="00841D75" w:rsidRDefault="001377FD" w:rsidP="00147717">
            <w:pPr>
              <w:widowControl/>
              <w:ind w:left="799"/>
              <w:rPr>
                <w:bCs/>
                <w:snapToGrid/>
                <w:color w:val="000000"/>
                <w:kern w:val="0"/>
                <w:szCs w:val="22"/>
              </w:rPr>
            </w:pPr>
            <w:r w:rsidRPr="00841D75">
              <w:rPr>
                <w:bCs/>
                <w:snapToGrid/>
                <w:color w:val="000000"/>
                <w:kern w:val="0"/>
                <w:szCs w:val="22"/>
              </w:rPr>
              <w:t>WGV-973</w:t>
            </w:r>
            <w:r w:rsidRPr="00841D75">
              <w:rPr>
                <w:bCs/>
                <w:snapToGrid/>
                <w:color w:val="000000"/>
                <w:kern w:val="0"/>
                <w:szCs w:val="22"/>
              </w:rPr>
              <w:br/>
              <w:t>WGZ-480</w:t>
            </w:r>
            <w:r w:rsidRPr="00841D75">
              <w:rPr>
                <w:bCs/>
                <w:snapToGrid/>
                <w:color w:val="000000"/>
                <w:kern w:val="0"/>
                <w:szCs w:val="22"/>
              </w:rPr>
              <w:br/>
              <w:t>WHZ-401</w:t>
            </w:r>
            <w:r w:rsidRPr="00841D75">
              <w:rPr>
                <w:bCs/>
                <w:snapToGrid/>
                <w:color w:val="000000"/>
                <w:kern w:val="0"/>
                <w:szCs w:val="22"/>
              </w:rPr>
              <w:br/>
              <w:t>WHZ-690</w:t>
            </w:r>
            <w:r w:rsidRPr="00841D75">
              <w:rPr>
                <w:bCs/>
                <w:snapToGrid/>
                <w:color w:val="000000"/>
                <w:kern w:val="0"/>
                <w:szCs w:val="22"/>
              </w:rPr>
              <w:br/>
              <w:t>WLY-228</w:t>
            </w:r>
            <w:r w:rsidRPr="00841D75">
              <w:rPr>
                <w:bCs/>
                <w:snapToGrid/>
                <w:color w:val="000000"/>
                <w:kern w:val="0"/>
                <w:szCs w:val="22"/>
              </w:rPr>
              <w:br/>
              <w:t>WLY-605</w:t>
            </w:r>
            <w:r w:rsidRPr="00841D75">
              <w:rPr>
                <w:bCs/>
                <w:snapToGrid/>
                <w:color w:val="000000"/>
                <w:kern w:val="0"/>
                <w:szCs w:val="22"/>
              </w:rPr>
              <w:br/>
              <w:t>WLY-856</w:t>
            </w:r>
            <w:r w:rsidRPr="00841D75">
              <w:rPr>
                <w:bCs/>
                <w:snapToGrid/>
                <w:color w:val="000000"/>
                <w:kern w:val="0"/>
                <w:szCs w:val="22"/>
              </w:rPr>
              <w:br/>
              <w:t>WLY-862</w:t>
            </w:r>
          </w:p>
          <w:p w14:paraId="0F556B54" w14:textId="77777777" w:rsidR="001377FD" w:rsidRPr="00841D75" w:rsidRDefault="001377FD" w:rsidP="00147717">
            <w:pPr>
              <w:widowControl/>
              <w:ind w:left="799"/>
              <w:rPr>
                <w:bCs/>
                <w:snapToGrid/>
                <w:color w:val="000000"/>
                <w:kern w:val="0"/>
                <w:szCs w:val="22"/>
              </w:rPr>
            </w:pPr>
            <w:r w:rsidRPr="00841D75">
              <w:rPr>
                <w:bCs/>
                <w:snapToGrid/>
                <w:color w:val="000000"/>
                <w:kern w:val="0"/>
                <w:szCs w:val="22"/>
              </w:rPr>
              <w:t>WLY-867</w:t>
            </w:r>
            <w:r w:rsidRPr="00841D75">
              <w:rPr>
                <w:bCs/>
                <w:snapToGrid/>
                <w:color w:val="000000"/>
                <w:kern w:val="0"/>
                <w:szCs w:val="22"/>
              </w:rPr>
              <w:br/>
              <w:t>WLY-868</w:t>
            </w:r>
            <w:r w:rsidRPr="00841D75">
              <w:rPr>
                <w:bCs/>
                <w:snapToGrid/>
                <w:color w:val="000000"/>
                <w:kern w:val="0"/>
                <w:szCs w:val="22"/>
              </w:rPr>
              <w:br/>
              <w:t>WLY-884</w:t>
            </w:r>
          </w:p>
        </w:tc>
      </w:tr>
      <w:tr w:rsidR="001377FD" w:rsidRPr="00841D75" w14:paraId="2565693E" w14:textId="77777777" w:rsidTr="001E20DE">
        <w:trPr>
          <w:trHeight w:val="164"/>
        </w:trPr>
        <w:tc>
          <w:tcPr>
            <w:tcW w:w="2963" w:type="dxa"/>
            <w:shd w:val="clear" w:color="auto" w:fill="auto"/>
            <w:noWrap/>
          </w:tcPr>
          <w:p w14:paraId="218DBDDD" w14:textId="77777777" w:rsidR="001377FD" w:rsidRPr="00841D75" w:rsidRDefault="001377FD" w:rsidP="00147717">
            <w:pPr>
              <w:widowControl/>
              <w:ind w:hanging="93"/>
              <w:rPr>
                <w:bCs/>
                <w:snapToGrid/>
                <w:color w:val="000000"/>
                <w:kern w:val="0"/>
                <w:szCs w:val="22"/>
              </w:rPr>
            </w:pPr>
          </w:p>
        </w:tc>
        <w:tc>
          <w:tcPr>
            <w:tcW w:w="4320" w:type="dxa"/>
            <w:shd w:val="clear" w:color="auto" w:fill="auto"/>
            <w:noWrap/>
          </w:tcPr>
          <w:p w14:paraId="55B98F24" w14:textId="77777777" w:rsidR="001377FD" w:rsidRPr="00841D75" w:rsidRDefault="001377FD" w:rsidP="00147717">
            <w:pPr>
              <w:widowControl/>
              <w:rPr>
                <w:bCs/>
                <w:snapToGrid/>
                <w:color w:val="000000"/>
                <w:kern w:val="0"/>
                <w:szCs w:val="22"/>
              </w:rPr>
            </w:pPr>
          </w:p>
        </w:tc>
        <w:tc>
          <w:tcPr>
            <w:tcW w:w="1991" w:type="dxa"/>
            <w:shd w:val="clear" w:color="auto" w:fill="auto"/>
            <w:noWrap/>
          </w:tcPr>
          <w:p w14:paraId="4AB53956" w14:textId="77777777" w:rsidR="001377FD" w:rsidRPr="00841D75" w:rsidRDefault="001377FD" w:rsidP="00147717">
            <w:pPr>
              <w:widowControl/>
              <w:ind w:left="799"/>
              <w:rPr>
                <w:bCs/>
                <w:snapToGrid/>
                <w:color w:val="000000"/>
                <w:kern w:val="0"/>
                <w:szCs w:val="22"/>
              </w:rPr>
            </w:pPr>
          </w:p>
        </w:tc>
      </w:tr>
      <w:tr w:rsidR="001377FD" w:rsidRPr="00841D75" w14:paraId="04C4AA13" w14:textId="77777777" w:rsidTr="001E20DE">
        <w:trPr>
          <w:trHeight w:val="164"/>
        </w:trPr>
        <w:tc>
          <w:tcPr>
            <w:tcW w:w="2963" w:type="dxa"/>
            <w:shd w:val="clear" w:color="auto" w:fill="auto"/>
            <w:noWrap/>
          </w:tcPr>
          <w:p w14:paraId="3E833090"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CAR-20150617AQ-09</w:t>
            </w:r>
          </w:p>
          <w:p w14:paraId="49EAD143"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CAR-20150617AR-09</w:t>
            </w:r>
          </w:p>
        </w:tc>
        <w:tc>
          <w:tcPr>
            <w:tcW w:w="4320" w:type="dxa"/>
            <w:shd w:val="clear" w:color="auto" w:fill="auto"/>
            <w:noWrap/>
          </w:tcPr>
          <w:p w14:paraId="506AE615" w14:textId="77777777" w:rsidR="001377FD" w:rsidRPr="00841D75" w:rsidRDefault="001377FD" w:rsidP="00147717">
            <w:pPr>
              <w:widowControl/>
              <w:rPr>
                <w:bCs/>
                <w:snapToGrid/>
                <w:color w:val="000000"/>
                <w:kern w:val="0"/>
                <w:szCs w:val="22"/>
              </w:rPr>
            </w:pPr>
            <w:r w:rsidRPr="00841D75">
              <w:rPr>
                <w:bCs/>
                <w:snapToGrid/>
                <w:color w:val="000000"/>
                <w:kern w:val="0"/>
                <w:szCs w:val="22"/>
              </w:rPr>
              <w:t>Classic Cable of Oklahoma, Inc.</w:t>
            </w:r>
          </w:p>
        </w:tc>
        <w:tc>
          <w:tcPr>
            <w:tcW w:w="1991" w:type="dxa"/>
            <w:shd w:val="clear" w:color="auto" w:fill="auto"/>
            <w:noWrap/>
          </w:tcPr>
          <w:p w14:paraId="30099F4D" w14:textId="77777777" w:rsidR="001377FD" w:rsidRPr="00841D75" w:rsidRDefault="001377FD" w:rsidP="00147717">
            <w:pPr>
              <w:widowControl/>
              <w:ind w:left="799"/>
              <w:rPr>
                <w:bCs/>
                <w:snapToGrid/>
                <w:color w:val="000000"/>
                <w:kern w:val="0"/>
                <w:szCs w:val="22"/>
              </w:rPr>
            </w:pPr>
            <w:r w:rsidRPr="00841D75">
              <w:rPr>
                <w:bCs/>
                <w:snapToGrid/>
                <w:color w:val="000000"/>
                <w:kern w:val="0"/>
                <w:szCs w:val="22"/>
              </w:rPr>
              <w:t>WGZ-440</w:t>
            </w:r>
          </w:p>
          <w:p w14:paraId="7C31277C" w14:textId="77777777" w:rsidR="001377FD" w:rsidRPr="00841D75" w:rsidRDefault="001377FD" w:rsidP="00147717">
            <w:pPr>
              <w:widowControl/>
              <w:ind w:left="799"/>
              <w:rPr>
                <w:bCs/>
                <w:snapToGrid/>
                <w:color w:val="000000"/>
                <w:kern w:val="0"/>
                <w:szCs w:val="22"/>
              </w:rPr>
            </w:pPr>
            <w:r w:rsidRPr="00841D75">
              <w:rPr>
                <w:bCs/>
                <w:snapToGrid/>
                <w:color w:val="000000"/>
                <w:kern w:val="0"/>
                <w:szCs w:val="22"/>
              </w:rPr>
              <w:t>WLY-567</w:t>
            </w:r>
          </w:p>
        </w:tc>
      </w:tr>
      <w:tr w:rsidR="001377FD" w:rsidRPr="00841D75" w14:paraId="2FA24DEE" w14:textId="77777777" w:rsidTr="001E20DE">
        <w:trPr>
          <w:trHeight w:val="164"/>
        </w:trPr>
        <w:tc>
          <w:tcPr>
            <w:tcW w:w="2963" w:type="dxa"/>
            <w:shd w:val="clear" w:color="auto" w:fill="auto"/>
            <w:noWrap/>
          </w:tcPr>
          <w:p w14:paraId="07BD4F48" w14:textId="77777777" w:rsidR="001377FD" w:rsidRPr="00841D75" w:rsidRDefault="001377FD" w:rsidP="00147717">
            <w:pPr>
              <w:widowControl/>
              <w:ind w:hanging="93"/>
              <w:rPr>
                <w:bCs/>
                <w:snapToGrid/>
                <w:color w:val="000000"/>
                <w:kern w:val="0"/>
                <w:szCs w:val="22"/>
              </w:rPr>
            </w:pPr>
          </w:p>
        </w:tc>
        <w:tc>
          <w:tcPr>
            <w:tcW w:w="4320" w:type="dxa"/>
            <w:shd w:val="clear" w:color="auto" w:fill="auto"/>
            <w:noWrap/>
          </w:tcPr>
          <w:p w14:paraId="04972F5D" w14:textId="77777777" w:rsidR="001377FD" w:rsidRPr="00841D75" w:rsidRDefault="001377FD" w:rsidP="00147717">
            <w:pPr>
              <w:widowControl/>
              <w:rPr>
                <w:bCs/>
                <w:snapToGrid/>
                <w:color w:val="000000"/>
                <w:kern w:val="0"/>
                <w:szCs w:val="22"/>
              </w:rPr>
            </w:pPr>
          </w:p>
        </w:tc>
        <w:tc>
          <w:tcPr>
            <w:tcW w:w="1991" w:type="dxa"/>
            <w:shd w:val="clear" w:color="auto" w:fill="auto"/>
            <w:noWrap/>
          </w:tcPr>
          <w:p w14:paraId="3700AAB9" w14:textId="77777777" w:rsidR="001377FD" w:rsidRPr="00841D75" w:rsidRDefault="001377FD" w:rsidP="00147717">
            <w:pPr>
              <w:widowControl/>
              <w:ind w:left="799"/>
              <w:rPr>
                <w:bCs/>
                <w:snapToGrid/>
                <w:color w:val="000000"/>
                <w:kern w:val="0"/>
                <w:szCs w:val="22"/>
              </w:rPr>
            </w:pPr>
          </w:p>
        </w:tc>
      </w:tr>
      <w:tr w:rsidR="001377FD" w:rsidRPr="00841D75" w14:paraId="32651104" w14:textId="77777777" w:rsidTr="001E20DE">
        <w:trPr>
          <w:trHeight w:val="164"/>
        </w:trPr>
        <w:tc>
          <w:tcPr>
            <w:tcW w:w="2963" w:type="dxa"/>
            <w:shd w:val="clear" w:color="auto" w:fill="auto"/>
            <w:noWrap/>
          </w:tcPr>
          <w:p w14:paraId="00946B52"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CAR-20150617AS-09</w:t>
            </w:r>
          </w:p>
          <w:p w14:paraId="58E5E3AE"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CAR-20150617AT-09</w:t>
            </w:r>
          </w:p>
        </w:tc>
        <w:tc>
          <w:tcPr>
            <w:tcW w:w="4320" w:type="dxa"/>
            <w:shd w:val="clear" w:color="auto" w:fill="auto"/>
            <w:noWrap/>
          </w:tcPr>
          <w:p w14:paraId="065C8194" w14:textId="77777777" w:rsidR="001377FD" w:rsidRPr="00841D75" w:rsidRDefault="001377FD" w:rsidP="00147717">
            <w:pPr>
              <w:widowControl/>
              <w:rPr>
                <w:bCs/>
                <w:snapToGrid/>
                <w:color w:val="000000"/>
                <w:kern w:val="0"/>
                <w:szCs w:val="22"/>
              </w:rPr>
            </w:pPr>
            <w:r w:rsidRPr="00841D75">
              <w:rPr>
                <w:bCs/>
                <w:snapToGrid/>
                <w:color w:val="000000"/>
                <w:kern w:val="0"/>
                <w:szCs w:val="22"/>
              </w:rPr>
              <w:t>Friendship Cable of Texas, Inc.</w:t>
            </w:r>
          </w:p>
        </w:tc>
        <w:tc>
          <w:tcPr>
            <w:tcW w:w="1991" w:type="dxa"/>
            <w:shd w:val="clear" w:color="auto" w:fill="auto"/>
            <w:noWrap/>
          </w:tcPr>
          <w:p w14:paraId="25E3B0E8" w14:textId="77777777" w:rsidR="001377FD" w:rsidRPr="00841D75" w:rsidRDefault="001377FD" w:rsidP="00147717">
            <w:pPr>
              <w:widowControl/>
              <w:ind w:left="799"/>
              <w:rPr>
                <w:bCs/>
                <w:snapToGrid/>
                <w:color w:val="000000"/>
                <w:kern w:val="0"/>
                <w:szCs w:val="22"/>
              </w:rPr>
            </w:pPr>
            <w:r w:rsidRPr="00841D75">
              <w:rPr>
                <w:bCs/>
                <w:snapToGrid/>
                <w:color w:val="000000"/>
                <w:kern w:val="0"/>
                <w:szCs w:val="22"/>
              </w:rPr>
              <w:t>WHZ-951</w:t>
            </w:r>
          </w:p>
          <w:p w14:paraId="2B067938" w14:textId="77777777" w:rsidR="001377FD" w:rsidRPr="00841D75" w:rsidRDefault="001377FD" w:rsidP="00147717">
            <w:pPr>
              <w:widowControl/>
              <w:ind w:left="799"/>
              <w:rPr>
                <w:bCs/>
                <w:snapToGrid/>
                <w:color w:val="000000"/>
                <w:kern w:val="0"/>
                <w:szCs w:val="22"/>
              </w:rPr>
            </w:pPr>
            <w:r w:rsidRPr="00841D75">
              <w:rPr>
                <w:bCs/>
                <w:snapToGrid/>
                <w:color w:val="000000"/>
                <w:kern w:val="0"/>
                <w:szCs w:val="22"/>
              </w:rPr>
              <w:t>WLY-352</w:t>
            </w:r>
          </w:p>
        </w:tc>
      </w:tr>
      <w:tr w:rsidR="001377FD" w:rsidRPr="00841D75" w14:paraId="136B60CF" w14:textId="77777777" w:rsidTr="001E20DE">
        <w:trPr>
          <w:trHeight w:val="164"/>
        </w:trPr>
        <w:tc>
          <w:tcPr>
            <w:tcW w:w="2963" w:type="dxa"/>
            <w:shd w:val="clear" w:color="auto" w:fill="auto"/>
            <w:noWrap/>
          </w:tcPr>
          <w:p w14:paraId="6A4A9EB7" w14:textId="77777777" w:rsidR="001377FD" w:rsidRPr="00841D75" w:rsidRDefault="001377FD" w:rsidP="00147717">
            <w:pPr>
              <w:widowControl/>
              <w:ind w:hanging="93"/>
              <w:rPr>
                <w:bCs/>
                <w:snapToGrid/>
                <w:color w:val="000000"/>
                <w:kern w:val="0"/>
                <w:szCs w:val="22"/>
              </w:rPr>
            </w:pPr>
          </w:p>
        </w:tc>
        <w:tc>
          <w:tcPr>
            <w:tcW w:w="4320" w:type="dxa"/>
            <w:shd w:val="clear" w:color="auto" w:fill="auto"/>
            <w:noWrap/>
          </w:tcPr>
          <w:p w14:paraId="4BB7D1A2" w14:textId="77777777" w:rsidR="001377FD" w:rsidRPr="00841D75" w:rsidRDefault="001377FD" w:rsidP="00147717">
            <w:pPr>
              <w:widowControl/>
              <w:rPr>
                <w:bCs/>
                <w:snapToGrid/>
                <w:color w:val="000000"/>
                <w:kern w:val="0"/>
                <w:szCs w:val="22"/>
              </w:rPr>
            </w:pPr>
          </w:p>
        </w:tc>
        <w:tc>
          <w:tcPr>
            <w:tcW w:w="1991" w:type="dxa"/>
            <w:shd w:val="clear" w:color="auto" w:fill="auto"/>
            <w:noWrap/>
          </w:tcPr>
          <w:p w14:paraId="65F2170E" w14:textId="77777777" w:rsidR="001377FD" w:rsidRPr="00841D75" w:rsidRDefault="001377FD" w:rsidP="00147717">
            <w:pPr>
              <w:widowControl/>
              <w:ind w:left="799"/>
              <w:rPr>
                <w:bCs/>
                <w:snapToGrid/>
                <w:color w:val="000000"/>
                <w:kern w:val="0"/>
                <w:szCs w:val="22"/>
              </w:rPr>
            </w:pPr>
          </w:p>
        </w:tc>
      </w:tr>
      <w:tr w:rsidR="001377FD" w:rsidRPr="00841D75" w14:paraId="1CA0D8DD" w14:textId="77777777" w:rsidTr="001E20DE">
        <w:trPr>
          <w:trHeight w:val="164"/>
        </w:trPr>
        <w:tc>
          <w:tcPr>
            <w:tcW w:w="2963" w:type="dxa"/>
            <w:shd w:val="clear" w:color="auto" w:fill="auto"/>
            <w:noWrap/>
          </w:tcPr>
          <w:p w14:paraId="196DAE2F"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CAR-20150617AU-09</w:t>
            </w:r>
          </w:p>
          <w:p w14:paraId="1FBFF168"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CAR-20150617AV-09</w:t>
            </w:r>
          </w:p>
          <w:p w14:paraId="219CDC54"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CAR-20150617AW-09</w:t>
            </w:r>
          </w:p>
          <w:p w14:paraId="19BD492D"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CAR-20150617AX-09</w:t>
            </w:r>
          </w:p>
          <w:p w14:paraId="0DAD01D7"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CAR-20150617AY-09</w:t>
            </w:r>
          </w:p>
          <w:p w14:paraId="412C5B50"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CAR-20150617AZ-09</w:t>
            </w:r>
          </w:p>
          <w:p w14:paraId="5DB7ED78"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CAR-20150617BA-09</w:t>
            </w:r>
          </w:p>
          <w:p w14:paraId="741DF386" w14:textId="77777777" w:rsidR="001377FD" w:rsidRPr="00841D75" w:rsidRDefault="001377FD" w:rsidP="00147717">
            <w:pPr>
              <w:widowControl/>
              <w:ind w:hanging="93"/>
              <w:rPr>
                <w:bCs/>
                <w:snapToGrid/>
                <w:color w:val="000000"/>
                <w:kern w:val="0"/>
                <w:szCs w:val="22"/>
              </w:rPr>
            </w:pPr>
            <w:r w:rsidRPr="00841D75">
              <w:rPr>
                <w:bCs/>
                <w:snapToGrid/>
                <w:color w:val="000000"/>
                <w:kern w:val="0"/>
                <w:szCs w:val="22"/>
              </w:rPr>
              <w:t>CAR-20150617BB-09</w:t>
            </w:r>
          </w:p>
        </w:tc>
        <w:tc>
          <w:tcPr>
            <w:tcW w:w="4320" w:type="dxa"/>
            <w:shd w:val="clear" w:color="auto" w:fill="auto"/>
            <w:noWrap/>
          </w:tcPr>
          <w:p w14:paraId="3C146134" w14:textId="77777777" w:rsidR="001377FD" w:rsidRPr="00841D75" w:rsidRDefault="001377FD" w:rsidP="00147717">
            <w:pPr>
              <w:widowControl/>
              <w:rPr>
                <w:bCs/>
                <w:snapToGrid/>
                <w:color w:val="000000"/>
                <w:kern w:val="0"/>
                <w:szCs w:val="22"/>
              </w:rPr>
            </w:pPr>
            <w:r w:rsidRPr="00841D75">
              <w:rPr>
                <w:bCs/>
                <w:snapToGrid/>
                <w:color w:val="000000"/>
                <w:kern w:val="0"/>
                <w:szCs w:val="22"/>
              </w:rPr>
              <w:t>NPG Cable, LLC</w:t>
            </w:r>
          </w:p>
        </w:tc>
        <w:tc>
          <w:tcPr>
            <w:tcW w:w="1991" w:type="dxa"/>
            <w:shd w:val="clear" w:color="auto" w:fill="auto"/>
            <w:noWrap/>
          </w:tcPr>
          <w:p w14:paraId="74E1D5BD" w14:textId="77777777" w:rsidR="001377FD" w:rsidRPr="00841D75" w:rsidRDefault="001377FD" w:rsidP="00147717">
            <w:pPr>
              <w:widowControl/>
              <w:ind w:left="799"/>
              <w:rPr>
                <w:bCs/>
                <w:snapToGrid/>
                <w:color w:val="000000"/>
                <w:kern w:val="0"/>
                <w:szCs w:val="22"/>
              </w:rPr>
            </w:pPr>
            <w:r w:rsidRPr="00841D75">
              <w:rPr>
                <w:bCs/>
                <w:snapToGrid/>
                <w:color w:val="000000"/>
                <w:kern w:val="0"/>
                <w:szCs w:val="22"/>
              </w:rPr>
              <w:t>WLY-268</w:t>
            </w:r>
            <w:r w:rsidRPr="00841D75">
              <w:rPr>
                <w:bCs/>
                <w:snapToGrid/>
                <w:color w:val="000000"/>
                <w:kern w:val="0"/>
                <w:szCs w:val="22"/>
              </w:rPr>
              <w:br/>
              <w:t>WLY-534</w:t>
            </w:r>
          </w:p>
          <w:p w14:paraId="16D1A94D" w14:textId="77777777" w:rsidR="001377FD" w:rsidRPr="00841D75" w:rsidRDefault="001377FD" w:rsidP="00147717">
            <w:pPr>
              <w:widowControl/>
              <w:ind w:left="799"/>
              <w:rPr>
                <w:bCs/>
                <w:snapToGrid/>
                <w:color w:val="000000"/>
                <w:kern w:val="0"/>
                <w:szCs w:val="22"/>
              </w:rPr>
            </w:pPr>
            <w:r w:rsidRPr="00841D75">
              <w:rPr>
                <w:bCs/>
                <w:snapToGrid/>
                <w:color w:val="000000"/>
                <w:kern w:val="0"/>
                <w:szCs w:val="22"/>
              </w:rPr>
              <w:t>WLY-733</w:t>
            </w:r>
          </w:p>
          <w:p w14:paraId="0458A959" w14:textId="77777777" w:rsidR="001377FD" w:rsidRPr="00841D75" w:rsidRDefault="001377FD" w:rsidP="00147717">
            <w:pPr>
              <w:widowControl/>
              <w:ind w:left="799"/>
              <w:rPr>
                <w:bCs/>
                <w:snapToGrid/>
                <w:color w:val="000000"/>
                <w:kern w:val="0"/>
                <w:szCs w:val="22"/>
              </w:rPr>
            </w:pPr>
            <w:r w:rsidRPr="00841D75">
              <w:rPr>
                <w:bCs/>
                <w:snapToGrid/>
                <w:color w:val="000000"/>
                <w:kern w:val="0"/>
                <w:szCs w:val="22"/>
              </w:rPr>
              <w:t>WLY-736</w:t>
            </w:r>
          </w:p>
          <w:p w14:paraId="58655B8D" w14:textId="77777777" w:rsidR="001377FD" w:rsidRPr="00841D75" w:rsidRDefault="001377FD" w:rsidP="00147717">
            <w:pPr>
              <w:widowControl/>
              <w:ind w:left="799"/>
              <w:rPr>
                <w:bCs/>
                <w:snapToGrid/>
                <w:color w:val="000000"/>
                <w:kern w:val="0"/>
                <w:szCs w:val="22"/>
              </w:rPr>
            </w:pPr>
            <w:r w:rsidRPr="00841D75">
              <w:rPr>
                <w:bCs/>
                <w:snapToGrid/>
                <w:color w:val="000000"/>
                <w:kern w:val="0"/>
                <w:szCs w:val="22"/>
              </w:rPr>
              <w:t>WLY-853</w:t>
            </w:r>
          </w:p>
          <w:p w14:paraId="43760E1C" w14:textId="77777777" w:rsidR="001377FD" w:rsidRPr="00841D75" w:rsidRDefault="001377FD" w:rsidP="00147717">
            <w:pPr>
              <w:widowControl/>
              <w:ind w:left="799"/>
              <w:rPr>
                <w:bCs/>
                <w:snapToGrid/>
                <w:color w:val="000000"/>
                <w:kern w:val="0"/>
                <w:szCs w:val="22"/>
              </w:rPr>
            </w:pPr>
            <w:r w:rsidRPr="00841D75">
              <w:rPr>
                <w:bCs/>
                <w:snapToGrid/>
                <w:color w:val="000000"/>
                <w:kern w:val="0"/>
                <w:szCs w:val="22"/>
              </w:rPr>
              <w:t>WLY-910</w:t>
            </w:r>
          </w:p>
          <w:p w14:paraId="23081281" w14:textId="77777777" w:rsidR="001377FD" w:rsidRPr="00841D75" w:rsidRDefault="001377FD" w:rsidP="00147717">
            <w:pPr>
              <w:widowControl/>
              <w:ind w:left="799"/>
              <w:rPr>
                <w:bCs/>
                <w:snapToGrid/>
                <w:color w:val="000000"/>
                <w:kern w:val="0"/>
                <w:szCs w:val="22"/>
              </w:rPr>
            </w:pPr>
            <w:r w:rsidRPr="00841D75">
              <w:rPr>
                <w:bCs/>
                <w:snapToGrid/>
                <w:color w:val="000000"/>
                <w:kern w:val="0"/>
                <w:szCs w:val="22"/>
              </w:rPr>
              <w:t>WLY-911</w:t>
            </w:r>
          </w:p>
          <w:p w14:paraId="07BA9989" w14:textId="77777777" w:rsidR="001377FD" w:rsidRPr="00841D75" w:rsidRDefault="001377FD" w:rsidP="00147717">
            <w:pPr>
              <w:widowControl/>
              <w:ind w:left="799"/>
              <w:rPr>
                <w:bCs/>
                <w:snapToGrid/>
                <w:color w:val="000000"/>
                <w:kern w:val="0"/>
                <w:szCs w:val="22"/>
              </w:rPr>
            </w:pPr>
            <w:r w:rsidRPr="00841D75">
              <w:rPr>
                <w:bCs/>
                <w:snapToGrid/>
                <w:color w:val="000000"/>
                <w:kern w:val="0"/>
                <w:szCs w:val="22"/>
              </w:rPr>
              <w:t>WLY-912</w:t>
            </w:r>
          </w:p>
        </w:tc>
      </w:tr>
    </w:tbl>
    <w:p w14:paraId="61AC63AF" w14:textId="77777777" w:rsidR="001377FD" w:rsidRPr="006601CF" w:rsidRDefault="001377FD" w:rsidP="001377FD">
      <w:pPr>
        <w:keepNext/>
        <w:widowControl/>
        <w:ind w:firstLine="720"/>
        <w:rPr>
          <w:szCs w:val="22"/>
        </w:rPr>
      </w:pPr>
    </w:p>
    <w:p w14:paraId="2D7922C4" w14:textId="77777777" w:rsidR="001377FD" w:rsidRPr="006601CF" w:rsidRDefault="001377FD" w:rsidP="001377FD">
      <w:pPr>
        <w:pStyle w:val="Heading1"/>
        <w:widowControl/>
        <w:numPr>
          <w:ilvl w:val="0"/>
          <w:numId w:val="0"/>
        </w:numPr>
        <w:ind w:left="720" w:hanging="720"/>
        <w:rPr>
          <w:szCs w:val="22"/>
        </w:rPr>
      </w:pPr>
    </w:p>
    <w:p w14:paraId="1B378C27" w14:textId="77777777" w:rsidR="001377FD" w:rsidRPr="00D5063E" w:rsidRDefault="001377FD" w:rsidP="001377FD">
      <w:pPr>
        <w:pStyle w:val="ParaNum"/>
        <w:numPr>
          <w:ilvl w:val="0"/>
          <w:numId w:val="0"/>
        </w:numPr>
        <w:ind w:left="720"/>
      </w:pPr>
    </w:p>
    <w:p w14:paraId="3D086A91" w14:textId="77777777" w:rsidR="002C00E8" w:rsidRPr="002C00E8" w:rsidRDefault="002C00E8" w:rsidP="001E20DE">
      <w:pPr>
        <w:pStyle w:val="Heading1"/>
        <w:numPr>
          <w:ilvl w:val="0"/>
          <w:numId w:val="0"/>
        </w:numPr>
        <w:ind w:left="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192CD" w14:textId="77777777" w:rsidR="00345C2B" w:rsidRDefault="00345C2B">
      <w:pPr>
        <w:spacing w:line="20" w:lineRule="exact"/>
      </w:pPr>
    </w:p>
  </w:endnote>
  <w:endnote w:type="continuationSeparator" w:id="0">
    <w:p w14:paraId="20D24F1D" w14:textId="77777777" w:rsidR="00345C2B" w:rsidRDefault="00345C2B">
      <w:r>
        <w:t xml:space="preserve"> </w:t>
      </w:r>
    </w:p>
  </w:endnote>
  <w:endnote w:type="continuationNotice" w:id="1">
    <w:p w14:paraId="7550E70A" w14:textId="77777777" w:rsidR="00345C2B" w:rsidRDefault="00345C2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393AD"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16546A3"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00E6"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211F30">
      <w:rPr>
        <w:noProof/>
      </w:rPr>
      <w:t>2</w:t>
    </w:r>
    <w:r>
      <w:fldChar w:fldCharType="end"/>
    </w:r>
  </w:p>
  <w:p w14:paraId="7FFF3E6F"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9D690"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74150" w14:textId="77777777" w:rsidR="00345C2B" w:rsidRDefault="00345C2B">
      <w:r>
        <w:separator/>
      </w:r>
    </w:p>
  </w:footnote>
  <w:footnote w:type="continuationSeparator" w:id="0">
    <w:p w14:paraId="3C54D617" w14:textId="77777777" w:rsidR="00345C2B" w:rsidRDefault="00345C2B" w:rsidP="00C721AC">
      <w:pPr>
        <w:spacing w:before="120"/>
        <w:rPr>
          <w:sz w:val="20"/>
        </w:rPr>
      </w:pPr>
      <w:r>
        <w:rPr>
          <w:sz w:val="20"/>
        </w:rPr>
        <w:t xml:space="preserve">(Continued from previous page)  </w:t>
      </w:r>
      <w:r>
        <w:rPr>
          <w:sz w:val="20"/>
        </w:rPr>
        <w:separator/>
      </w:r>
    </w:p>
  </w:footnote>
  <w:footnote w:type="continuationNotice" w:id="1">
    <w:p w14:paraId="0458238F" w14:textId="0AB75EFA" w:rsidR="00345C2B" w:rsidRDefault="00345C2B" w:rsidP="00C721AC">
      <w:pPr>
        <w:jc w:val="right"/>
        <w:rPr>
          <w:sz w:val="20"/>
        </w:rPr>
      </w:pPr>
      <w:r>
        <w:rPr>
          <w:sz w:val="20"/>
        </w:rPr>
        <w:t>(continued…)</w:t>
      </w:r>
    </w:p>
  </w:footnote>
  <w:footnote w:id="2">
    <w:p w14:paraId="06ED1193" w14:textId="587960B5" w:rsidR="001377FD" w:rsidRPr="00C240CB" w:rsidRDefault="001377FD" w:rsidP="001377FD">
      <w:pPr>
        <w:pStyle w:val="FootnoteText"/>
        <w:rPr>
          <w:i/>
        </w:rPr>
      </w:pPr>
      <w:r w:rsidRPr="00C240CB">
        <w:rPr>
          <w:rStyle w:val="FootnoteReference"/>
        </w:rPr>
        <w:footnoteRef/>
      </w:r>
      <w:r w:rsidRPr="00C240CB">
        <w:t xml:space="preserve"> </w:t>
      </w:r>
      <w:r>
        <w:t xml:space="preserve">47 U.S.C §§ 214, 310(d).  </w:t>
      </w:r>
      <w:r w:rsidRPr="00C240CB">
        <w:rPr>
          <w:i/>
        </w:rPr>
        <w:t>See</w:t>
      </w:r>
      <w:r w:rsidRPr="00C240CB">
        <w:t xml:space="preserve"> </w:t>
      </w:r>
      <w:r w:rsidRPr="0071359A">
        <w:t>Applications for Authority Pursuant to Section 214 of the Communications Act of 1934, as Amended, to Transfer Control of Authorizations from Cequel Corporation to Altice S.A.,</w:t>
      </w:r>
      <w:r w:rsidRPr="00C240CB">
        <w:t xml:space="preserve"> WC Docket No. 15-135 (filed June 3, 2015) (</w:t>
      </w:r>
      <w:r w:rsidRPr="00D96E47">
        <w:t>Application</w:t>
      </w:r>
      <w:r>
        <w:t>s</w:t>
      </w:r>
      <w:r w:rsidRPr="00D96E47">
        <w:t>).</w:t>
      </w:r>
      <w:r>
        <w:t xml:space="preserve">  Applicants filed updated</w:t>
      </w:r>
      <w:r w:rsidRPr="00C240CB">
        <w:t xml:space="preserve"> ownership information on J</w:t>
      </w:r>
      <w:r>
        <w:t>une 18, 2015 and August 10, 2015</w:t>
      </w:r>
      <w:r w:rsidRPr="00C240CB">
        <w:t xml:space="preserve">.  </w:t>
      </w:r>
      <w:r w:rsidRPr="00C240CB">
        <w:rPr>
          <w:i/>
        </w:rPr>
        <w:t xml:space="preserve">See </w:t>
      </w:r>
      <w:r w:rsidRPr="00C240CB">
        <w:t>Letter from K.C. Halm, Counsel to Cequel, to Marlene H. Dortch, Secretary, FCC, WC Docket No. 15-135 (filed June 18, 2015); Letter from Craig L. Rosenthal, Counsel for Cequel</w:t>
      </w:r>
      <w:r>
        <w:t>,</w:t>
      </w:r>
      <w:r w:rsidRPr="00C240CB">
        <w:t xml:space="preserve"> to Marlene H. Dortch, Secretary, FCC, WC Docket No. 15-135</w:t>
      </w:r>
      <w:r w:rsidR="0017268E">
        <w:t>, at 1</w:t>
      </w:r>
      <w:r w:rsidRPr="00C240CB">
        <w:t xml:space="preserve"> (filed Aug. 10, 20</w:t>
      </w:r>
      <w:r>
        <w:t>15) (Applicants’ Aug. 10</w:t>
      </w:r>
      <w:r w:rsidRPr="00C240CB">
        <w:t xml:space="preserve"> Update)</w:t>
      </w:r>
      <w:r w:rsidR="0017268E">
        <w:t xml:space="preserve"> </w:t>
      </w:r>
      <w:r w:rsidR="0017268E" w:rsidRPr="00C240CB">
        <w:t>(replacing, as one of the original Applicants, Altice S.A. with Altice N.V.)</w:t>
      </w:r>
      <w:r w:rsidRPr="00C240CB">
        <w:t>.  Applicants filed a</w:t>
      </w:r>
      <w:r>
        <w:t>dditional information regarding broadband deployment and investment</w:t>
      </w:r>
      <w:r w:rsidRPr="00C240CB">
        <w:t xml:space="preserve"> on September 28, 2015.  </w:t>
      </w:r>
      <w:r w:rsidRPr="00C240CB">
        <w:rPr>
          <w:i/>
        </w:rPr>
        <w:t xml:space="preserve">See </w:t>
      </w:r>
      <w:r w:rsidRPr="00C240CB">
        <w:t xml:space="preserve">Letter from </w:t>
      </w:r>
      <w:r>
        <w:t>Steven J. Horvitz</w:t>
      </w:r>
      <w:r w:rsidRPr="00C240CB">
        <w:t xml:space="preserve">, Counsel </w:t>
      </w:r>
      <w:r w:rsidR="0017268E">
        <w:t>to</w:t>
      </w:r>
      <w:r w:rsidRPr="00C240CB">
        <w:t xml:space="preserve"> Cequel, to Marlene H. Dortch, Secretary, FCC, WC Do</w:t>
      </w:r>
      <w:r>
        <w:t>cket No. 15-135 (filed Sept. 28,</w:t>
      </w:r>
      <w:r w:rsidRPr="00C240CB">
        <w:t xml:space="preserve"> 2015) (Applicants’ Sept</w:t>
      </w:r>
      <w:r>
        <w:t>.</w:t>
      </w:r>
      <w:r w:rsidRPr="00C240CB">
        <w:t xml:space="preserve"> 28 Supplement).</w:t>
      </w:r>
    </w:p>
  </w:footnote>
  <w:footnote w:id="3">
    <w:p w14:paraId="4FC7E029" w14:textId="4A1D6B49" w:rsidR="001377FD" w:rsidRPr="00C240CB" w:rsidRDefault="001377FD" w:rsidP="001377FD">
      <w:pPr>
        <w:pStyle w:val="FootnoteText"/>
      </w:pPr>
      <w:r w:rsidRPr="00C240CB">
        <w:rPr>
          <w:rStyle w:val="FootnoteReference"/>
        </w:rPr>
        <w:footnoteRef/>
      </w:r>
      <w:r w:rsidRPr="00C240CB">
        <w:t xml:space="preserve"> </w:t>
      </w:r>
      <w:r w:rsidRPr="00C240CB">
        <w:rPr>
          <w:i/>
        </w:rPr>
        <w:t>Applications Filed for Transfer of Control of Cequel Corporation d/b/a Suddenlink Communications to Altice S.A.</w:t>
      </w:r>
      <w:r w:rsidRPr="00C240CB">
        <w:t>, WC Docket No. 15-135, Public Notice, 30 FCC Rcd 6442 (W</w:t>
      </w:r>
      <w:r>
        <w:t xml:space="preserve">ireline Comp. Bur., International Bur., Media Bur., </w:t>
      </w:r>
      <w:r w:rsidRPr="00C240CB">
        <w:t>W</w:t>
      </w:r>
      <w:r>
        <w:t xml:space="preserve">ireless </w:t>
      </w:r>
      <w:r w:rsidRPr="00C240CB">
        <w:t>T</w:t>
      </w:r>
      <w:r>
        <w:t xml:space="preserve">elecom. </w:t>
      </w:r>
      <w:r w:rsidRPr="00C240CB">
        <w:t>B</w:t>
      </w:r>
      <w:r>
        <w:t>ur.</w:t>
      </w:r>
      <w:r w:rsidRPr="00C240CB">
        <w:t xml:space="preserve"> 2015)</w:t>
      </w:r>
      <w:r>
        <w:t xml:space="preserve"> (</w:t>
      </w:r>
      <w:r w:rsidRPr="00A13D68">
        <w:rPr>
          <w:i/>
        </w:rPr>
        <w:t>Suddenlink Public Notice</w:t>
      </w:r>
      <w:r>
        <w:t>) (listing all authorizations and licenses to be transferred or assigned)</w:t>
      </w:r>
      <w:r w:rsidRPr="00C240CB">
        <w:t>.</w:t>
      </w:r>
      <w:r>
        <w:t xml:space="preserve">  Applicants state that they have received approval from all state regulatory authorities in states that are reviewing the transaction except California.  Applicants’ Sept. 28 Supplement at 5.  </w:t>
      </w:r>
      <w:r w:rsidRPr="00D346BA">
        <w:t xml:space="preserve">Our review </w:t>
      </w:r>
      <w:r>
        <w:t xml:space="preserve">of applications filed with the Commission does not affect any ongoing independent proceedings on the proposed transaction at the state or local level, nor do we intend any finding in this Memorandum Opinion and Order to pre-judge such governmental entities’ independent consideration of matters before them under applicable state law or precedent, which may differ from our standard of review.  We note that on June 19, 2015, the U.S. Department of Justice (DOJ) granted early termination of its pre-merger review under the Hart-Scott-Rodino Antitrust Improvement Act of 1975.  Early Termination Notice, </w:t>
      </w:r>
      <w:r w:rsidRPr="009B17F4">
        <w:t>https://www.ftc.gov/enforcement/premerger-notification-program/early-termination-notices/20151146</w:t>
      </w:r>
      <w:r>
        <w:t>.</w:t>
      </w:r>
    </w:p>
  </w:footnote>
  <w:footnote w:id="4">
    <w:p w14:paraId="41EF61BB" w14:textId="77777777" w:rsidR="001377FD" w:rsidRPr="00C240CB" w:rsidRDefault="001377FD" w:rsidP="001377FD">
      <w:pPr>
        <w:pStyle w:val="FootnoteText"/>
        <w:rPr>
          <w:u w:val="single"/>
        </w:rPr>
      </w:pPr>
      <w:r w:rsidRPr="00C240CB">
        <w:rPr>
          <w:rStyle w:val="FootnoteReference"/>
        </w:rPr>
        <w:footnoteRef/>
      </w:r>
      <w:r w:rsidRPr="00C240CB">
        <w:t xml:space="preserve"> </w:t>
      </w:r>
      <w:r w:rsidRPr="00C240CB">
        <w:rPr>
          <w:i/>
        </w:rPr>
        <w:t>See</w:t>
      </w:r>
      <w:r w:rsidRPr="00C240CB">
        <w:t xml:space="preserve"> Comments of County of Humboldt, WC Docket No. 15-135 (filed Jul. 21, 2015) (County of Humboldt Comments); Comments of the California Emerging Technology Fund, WC Docket No. 15-135 (filed Jul. 24, 2015) (CETF </w:t>
      </w:r>
      <w:r>
        <w:t xml:space="preserve">Comments); </w:t>
      </w:r>
      <w:r w:rsidRPr="00C240CB">
        <w:t>Comments of MFRConsulting, WC Docket No. 15-135</w:t>
      </w:r>
      <w:r>
        <w:t>, at 1-2</w:t>
      </w:r>
      <w:r w:rsidRPr="00C240CB">
        <w:t xml:space="preserve"> (filed Oct. 2, 2015)</w:t>
      </w:r>
      <w:r>
        <w:t xml:space="preserve"> (MFRConsulting Comments); </w:t>
      </w:r>
      <w:r w:rsidRPr="00C240CB">
        <w:t xml:space="preserve">Reply Comments of Altice and Cequel Corporation, WC Docket No. 15-135 (filed Aug. 10, 2015) (Applicants’ Reply); Reply Comments of Access Humboldt, WC Docket No. 15-135 (filed Aug. 10, 2015) (Access Humboldt Reply).   </w:t>
      </w:r>
    </w:p>
  </w:footnote>
  <w:footnote w:id="5">
    <w:p w14:paraId="17851ECC" w14:textId="50F69F18" w:rsidR="001377FD" w:rsidRPr="00C240CB" w:rsidRDefault="001377FD" w:rsidP="001377FD">
      <w:pPr>
        <w:pStyle w:val="FootnoteText"/>
      </w:pPr>
      <w:r w:rsidRPr="00C240CB">
        <w:rPr>
          <w:rStyle w:val="FootnoteReference"/>
        </w:rPr>
        <w:footnoteRef/>
      </w:r>
      <w:r w:rsidRPr="00C240CB">
        <w:t xml:space="preserve"> </w:t>
      </w:r>
      <w:r w:rsidRPr="00C240CB">
        <w:rPr>
          <w:i/>
        </w:rPr>
        <w:t xml:space="preserve">See </w:t>
      </w:r>
      <w:r w:rsidRPr="00C240CB">
        <w:t xml:space="preserve">Letter from Kristin A. Taylor, Attorney, </w:t>
      </w:r>
      <w:r w:rsidR="0017268E">
        <w:t>DOJ</w:t>
      </w:r>
      <w:r w:rsidRPr="00C240CB">
        <w:t xml:space="preserve">, to Marlene H. Dortch, Secretary, FCC, WC Docket No. 15-135 (filed Jun. 29, 2015). </w:t>
      </w:r>
    </w:p>
  </w:footnote>
  <w:footnote w:id="6">
    <w:p w14:paraId="68FB461C" w14:textId="77777777" w:rsidR="001377FD" w:rsidRDefault="001377FD" w:rsidP="001377FD">
      <w:pPr>
        <w:pStyle w:val="FootnoteText"/>
      </w:pPr>
      <w:r>
        <w:rPr>
          <w:rStyle w:val="FootnoteReference"/>
        </w:rPr>
        <w:footnoteRef/>
      </w:r>
      <w:r>
        <w:t xml:space="preserve"> </w:t>
      </w:r>
      <w:r w:rsidRPr="005366C5">
        <w:rPr>
          <w:i/>
        </w:rPr>
        <w:t>See infra</w:t>
      </w:r>
      <w:r>
        <w:t xml:space="preserve"> Section III.D.</w:t>
      </w:r>
    </w:p>
  </w:footnote>
  <w:footnote w:id="7">
    <w:p w14:paraId="0ABD7D63" w14:textId="77777777" w:rsidR="001377FD" w:rsidRDefault="001377FD" w:rsidP="001377FD">
      <w:pPr>
        <w:pStyle w:val="FootnoteText"/>
      </w:pPr>
      <w:r>
        <w:rPr>
          <w:rStyle w:val="FootnoteReference"/>
        </w:rPr>
        <w:footnoteRef/>
      </w:r>
      <w:r>
        <w:t xml:space="preserve"> </w:t>
      </w:r>
      <w:r w:rsidRPr="00C240CB">
        <w:rPr>
          <w:i/>
        </w:rPr>
        <w:t xml:space="preserve">See supra </w:t>
      </w:r>
      <w:r w:rsidRPr="00C240CB">
        <w:t>n.</w:t>
      </w:r>
      <w:r w:rsidRPr="00C240CB">
        <w:fldChar w:fldCharType="begin"/>
      </w:r>
      <w:r w:rsidRPr="00C240CB">
        <w:instrText xml:space="preserve"> NOTEREF _Ref431815747 \h  \* MERGEFORMAT </w:instrText>
      </w:r>
      <w:r w:rsidRPr="00C240CB">
        <w:fldChar w:fldCharType="separate"/>
      </w:r>
      <w:r>
        <w:t>1</w:t>
      </w:r>
      <w:r w:rsidRPr="00C240CB">
        <w:fldChar w:fldCharType="end"/>
      </w:r>
      <w:r w:rsidRPr="00C240CB">
        <w:t>.</w:t>
      </w:r>
    </w:p>
  </w:footnote>
  <w:footnote w:id="8">
    <w:p w14:paraId="227FF0F2" w14:textId="12849230" w:rsidR="001377FD" w:rsidRPr="00C240CB" w:rsidRDefault="001377FD" w:rsidP="001377FD">
      <w:pPr>
        <w:pStyle w:val="FootnoteText"/>
      </w:pPr>
      <w:r w:rsidRPr="00C240CB">
        <w:rPr>
          <w:rStyle w:val="FootnoteReference"/>
        </w:rPr>
        <w:footnoteRef/>
      </w:r>
      <w:r w:rsidRPr="00C240CB">
        <w:t xml:space="preserve"> Application</w:t>
      </w:r>
      <w:r>
        <w:t>s</w:t>
      </w:r>
      <w:r w:rsidRPr="00C240CB">
        <w:t xml:space="preserve"> at 4.</w:t>
      </w:r>
    </w:p>
  </w:footnote>
  <w:footnote w:id="9">
    <w:p w14:paraId="214B2D50" w14:textId="4FE50D3A" w:rsidR="001377FD" w:rsidRPr="00C240CB" w:rsidRDefault="001377FD" w:rsidP="001377FD">
      <w:pPr>
        <w:pStyle w:val="FootnoteText"/>
      </w:pPr>
      <w:r w:rsidRPr="00C240CB">
        <w:rPr>
          <w:rStyle w:val="FootnoteReference"/>
        </w:rPr>
        <w:footnoteRef/>
      </w:r>
      <w:r w:rsidRPr="00C240CB">
        <w:t xml:space="preserve"> </w:t>
      </w:r>
      <w:r w:rsidR="0017268E" w:rsidRPr="00C240CB">
        <w:rPr>
          <w:i/>
        </w:rPr>
        <w:t>Id.</w:t>
      </w:r>
      <w:r>
        <w:t xml:space="preserve"> </w:t>
      </w:r>
    </w:p>
  </w:footnote>
  <w:footnote w:id="10">
    <w:p w14:paraId="5C160EC8" w14:textId="77777777" w:rsidR="001377FD" w:rsidRPr="00C240CB" w:rsidRDefault="001377FD" w:rsidP="001377FD">
      <w:pPr>
        <w:pStyle w:val="FootnoteText"/>
        <w:rPr>
          <w:i/>
        </w:rPr>
      </w:pPr>
      <w:r w:rsidRPr="00C240CB">
        <w:rPr>
          <w:rStyle w:val="FootnoteReference"/>
        </w:rPr>
        <w:footnoteRef/>
      </w:r>
      <w:r w:rsidRPr="00C240CB">
        <w:t xml:space="preserve"> </w:t>
      </w:r>
      <w:r w:rsidRPr="00C240CB">
        <w:rPr>
          <w:i/>
        </w:rPr>
        <w:t>Id.</w:t>
      </w:r>
    </w:p>
  </w:footnote>
  <w:footnote w:id="11">
    <w:p w14:paraId="5541FBC0" w14:textId="59F71F07" w:rsidR="001377FD" w:rsidRPr="00384D64" w:rsidRDefault="001377FD" w:rsidP="001377FD">
      <w:pPr>
        <w:pStyle w:val="FootnoteText"/>
        <w:rPr>
          <w:i/>
        </w:rPr>
      </w:pPr>
      <w:r>
        <w:rPr>
          <w:rStyle w:val="FootnoteReference"/>
        </w:rPr>
        <w:footnoteRef/>
      </w:r>
      <w:r>
        <w:t xml:space="preserve"> </w:t>
      </w:r>
      <w:r>
        <w:rPr>
          <w:szCs w:val="22"/>
        </w:rPr>
        <w:t>On October 14</w:t>
      </w:r>
      <w:r w:rsidRPr="00975138">
        <w:rPr>
          <w:szCs w:val="22"/>
        </w:rPr>
        <w:t xml:space="preserve">, 2015, Altice </w:t>
      </w:r>
      <w:r>
        <w:rPr>
          <w:szCs w:val="22"/>
        </w:rPr>
        <w:t xml:space="preserve">filed a series of applications for the transfer of control of Cablevision Systems Corporation (Cablevision) and certain subsidiaries to Altice.  </w:t>
      </w:r>
      <w:r w:rsidRPr="004E34FE">
        <w:rPr>
          <w:i/>
        </w:rPr>
        <w:t>See</w:t>
      </w:r>
      <w:r w:rsidRPr="004E34FE">
        <w:t xml:space="preserve"> </w:t>
      </w:r>
      <w:r w:rsidRPr="0017268E">
        <w:t>Applications for Authority Pursuant to Section 214 of the Communications Act of 1934, as Amended, to Transfer Control of Authorizations from Cablevision Systems Corporation to Altice N.V.</w:t>
      </w:r>
      <w:r w:rsidRPr="004E34FE">
        <w:t>, WC Docket No. 15-</w:t>
      </w:r>
      <w:r>
        <w:t>257 (filed Oct. 14</w:t>
      </w:r>
      <w:r w:rsidRPr="004E34FE">
        <w:t>, 2015).</w:t>
      </w:r>
      <w:r>
        <w:t xml:space="preserve">  </w:t>
      </w:r>
      <w:r>
        <w:rPr>
          <w:szCs w:val="22"/>
        </w:rPr>
        <w:t>MFRConsulting submitted late-filed comments arguing, in part, that our review of the Suddenlink Application</w:t>
      </w:r>
      <w:r w:rsidR="00E6706B">
        <w:rPr>
          <w:szCs w:val="22"/>
        </w:rPr>
        <w:t>s</w:t>
      </w:r>
      <w:r>
        <w:rPr>
          <w:szCs w:val="22"/>
        </w:rPr>
        <w:t xml:space="preserve"> should be delayed, and the Commission should review Altice’s purchase of Suddenlink and announced purchase of Cablevision together.  </w:t>
      </w:r>
      <w:r w:rsidRPr="00C240CB">
        <w:rPr>
          <w:i/>
        </w:rPr>
        <w:t xml:space="preserve">See </w:t>
      </w:r>
      <w:r>
        <w:t>MFRConsulting Comments</w:t>
      </w:r>
      <w:r w:rsidRPr="00C240CB">
        <w:t xml:space="preserve"> </w:t>
      </w:r>
      <w:r>
        <w:t>at 1-2</w:t>
      </w:r>
      <w:r w:rsidRPr="00C240CB">
        <w:t>.</w:t>
      </w:r>
      <w:r>
        <w:t xml:space="preserve">  MFRConsulting did not include a motion to accept its late filing, but</w:t>
      </w:r>
      <w:r>
        <w:rPr>
          <w:szCs w:val="22"/>
        </w:rPr>
        <w:t xml:space="preserve"> we have considered its process-related filing nonetheless.  </w:t>
      </w:r>
      <w:r w:rsidRPr="00384D64">
        <w:rPr>
          <w:i/>
        </w:rPr>
        <w:t>See</w:t>
      </w:r>
      <w:r>
        <w:t xml:space="preserve"> 47 C.F.R. § 1.46(a).  </w:t>
      </w:r>
      <w:r w:rsidRPr="005258F3">
        <w:t>In reaching our decision here, w</w:t>
      </w:r>
      <w:r w:rsidRPr="003F235A">
        <w:t xml:space="preserve">e </w:t>
      </w:r>
      <w:r w:rsidRPr="003F235A">
        <w:rPr>
          <w:rStyle w:val="apple-converted-space"/>
        </w:rPr>
        <w:t xml:space="preserve">reviewed </w:t>
      </w:r>
      <w:r w:rsidRPr="003F235A">
        <w:t>the</w:t>
      </w:r>
      <w:r w:rsidRPr="003F235A">
        <w:rPr>
          <w:rStyle w:val="apple-converted-space"/>
        </w:rPr>
        <w:t xml:space="preserve"> record </w:t>
      </w:r>
      <w:r w:rsidRPr="003F235A">
        <w:t>evidence to determine if the proposed</w:t>
      </w:r>
      <w:r w:rsidRPr="003F235A">
        <w:rPr>
          <w:rStyle w:val="apple-converted-space"/>
        </w:rPr>
        <w:t> transaction </w:t>
      </w:r>
      <w:r w:rsidRPr="003F235A">
        <w:t xml:space="preserve">would serve “the public interest, convenience, and necessity.”  47 U.S.C. § 214(a).  </w:t>
      </w:r>
      <w:r w:rsidRPr="00371505">
        <w:t xml:space="preserve">Our review in this order is distinct and independent </w:t>
      </w:r>
      <w:r>
        <w:t xml:space="preserve">from, and involves different authorizations, applicants, services, and geographic areas than, </w:t>
      </w:r>
      <w:r w:rsidRPr="00371505">
        <w:t>the Commission’s</w:t>
      </w:r>
      <w:r>
        <w:t xml:space="preserve"> </w:t>
      </w:r>
      <w:r w:rsidRPr="00371505">
        <w:t xml:space="preserve">review of Altice’s application to purchase Cablevision, which </w:t>
      </w:r>
      <w:r w:rsidRPr="00F24E0E">
        <w:t>the Commission will consider based on the record developed in that proceeding</w:t>
      </w:r>
      <w:r>
        <w:t>.</w:t>
      </w:r>
      <w:r>
        <w:rPr>
          <w:szCs w:val="22"/>
        </w:rPr>
        <w:t xml:space="preserve">  </w:t>
      </w:r>
      <w:r>
        <w:rPr>
          <w:i/>
          <w:szCs w:val="22"/>
        </w:rPr>
        <w:t xml:space="preserve">See </w:t>
      </w:r>
      <w:r w:rsidRPr="00C240CB">
        <w:t>Applicants’ Sept</w:t>
      </w:r>
      <w:r>
        <w:t>.</w:t>
      </w:r>
      <w:r w:rsidRPr="00C240CB">
        <w:t xml:space="preserve"> 28 Supplement</w:t>
      </w:r>
      <w:r>
        <w:t xml:space="preserve"> at 5.</w:t>
      </w:r>
      <w:r w:rsidRPr="00CF462D">
        <w:t xml:space="preserve"> </w:t>
      </w:r>
      <w:r>
        <w:t xml:space="preserve"> We do not consider, however, MFRConsulting’s recent untimely filing in this proceeding (also filed in the Altice-Cablevision proceeding) raising for the first time arguments on the merits regarding Altice’s business model and whether it comports with the public interest.    Comments of MFRConsulting, WC Docket Nos. 15-135, 15-257 (filed Dec. 7, 2015).  A party seeking to raise new issues after the pleading cycle has closed must show good cause as to why it was not possible to have raised the issues previously and must also file comments within 15 days after any new facts are discovered.  </w:t>
      </w:r>
      <w:r>
        <w:rPr>
          <w:i/>
        </w:rPr>
        <w:t>See</w:t>
      </w:r>
      <w:r>
        <w:t xml:space="preserve"> </w:t>
      </w:r>
      <w:r>
        <w:rPr>
          <w:i/>
        </w:rPr>
        <w:t>Suddenlink Public Notice</w:t>
      </w:r>
      <w:r w:rsidR="004C6214">
        <w:t>, 30 FCC Rcd</w:t>
      </w:r>
      <w:r>
        <w:t xml:space="preserve"> at 6</w:t>
      </w:r>
      <w:r w:rsidR="004C6214">
        <w:t>447</w:t>
      </w:r>
      <w:r>
        <w:t>.  MFRConsulting did not file a motion to accept its comments filed more than four months after the close of the pleading cycle, nor did it allege good cause as to why it was not possible to raise the issues previously.  We therefore disregard its December 7 filing but note, in any event, that we address the financial qualifications of Altice in this transaction below at paras. 15, 22-23</w:t>
      </w:r>
      <w:r w:rsidRPr="00BD7661">
        <w:t>.</w:t>
      </w:r>
    </w:p>
  </w:footnote>
  <w:footnote w:id="12">
    <w:p w14:paraId="5F63E092" w14:textId="77777777" w:rsidR="001377FD" w:rsidRPr="00C240CB" w:rsidRDefault="001377FD" w:rsidP="001377FD">
      <w:pPr>
        <w:pStyle w:val="FootnoteText"/>
        <w:rPr>
          <w:i/>
        </w:rPr>
      </w:pPr>
      <w:r w:rsidRPr="00C240CB">
        <w:rPr>
          <w:rStyle w:val="FootnoteReference"/>
        </w:rPr>
        <w:footnoteRef/>
      </w:r>
      <w:r w:rsidRPr="00C240CB">
        <w:t xml:space="preserve"> </w:t>
      </w:r>
      <w:r>
        <w:t xml:space="preserve">Applications at </w:t>
      </w:r>
      <w:r w:rsidRPr="00C240CB">
        <w:t>4-5.</w:t>
      </w:r>
    </w:p>
  </w:footnote>
  <w:footnote w:id="13">
    <w:p w14:paraId="15AB297E" w14:textId="77777777" w:rsidR="001377FD" w:rsidRPr="00C240CB" w:rsidRDefault="001377FD" w:rsidP="001377FD">
      <w:pPr>
        <w:pStyle w:val="FootnoteText"/>
      </w:pPr>
      <w:r w:rsidRPr="00C240CB">
        <w:rPr>
          <w:rStyle w:val="FootnoteReference"/>
        </w:rPr>
        <w:footnoteRef/>
      </w:r>
      <w:r w:rsidRPr="00C240CB">
        <w:t xml:space="preserve"> </w:t>
      </w:r>
      <w:r w:rsidRPr="006041D4">
        <w:rPr>
          <w:i/>
        </w:rPr>
        <w:t>See</w:t>
      </w:r>
      <w:r w:rsidRPr="006041D4">
        <w:t xml:space="preserve"> IBFS File Nos. ITC-214-20051216-00526 and ITC-214-20060330-00173</w:t>
      </w:r>
      <w:r w:rsidRPr="00C240CB">
        <w:t xml:space="preserve">.  </w:t>
      </w:r>
    </w:p>
  </w:footnote>
  <w:footnote w:id="14">
    <w:p w14:paraId="62638231" w14:textId="77777777" w:rsidR="001377FD" w:rsidRPr="00C240CB" w:rsidRDefault="001377FD" w:rsidP="001377FD">
      <w:pPr>
        <w:pStyle w:val="FootnoteText"/>
      </w:pPr>
      <w:r w:rsidRPr="00C240CB">
        <w:rPr>
          <w:rStyle w:val="FootnoteReference"/>
        </w:rPr>
        <w:footnoteRef/>
      </w:r>
      <w:r w:rsidRPr="00C240CB">
        <w:t xml:space="preserve"> Application</w:t>
      </w:r>
      <w:r>
        <w:t>s</w:t>
      </w:r>
      <w:r w:rsidRPr="00C240CB">
        <w:t xml:space="preserve"> at 5.</w:t>
      </w:r>
    </w:p>
  </w:footnote>
  <w:footnote w:id="15">
    <w:p w14:paraId="1E866D37" w14:textId="77777777" w:rsidR="001377FD" w:rsidRPr="00C240CB" w:rsidRDefault="001377FD" w:rsidP="001377FD">
      <w:pPr>
        <w:pStyle w:val="FootnoteText"/>
        <w:rPr>
          <w:i/>
        </w:rPr>
      </w:pPr>
      <w:r w:rsidRPr="00C240CB">
        <w:rPr>
          <w:rStyle w:val="FootnoteReference"/>
        </w:rPr>
        <w:footnoteRef/>
      </w:r>
      <w:r w:rsidRPr="00C240CB">
        <w:t xml:space="preserve"> </w:t>
      </w:r>
      <w:r w:rsidRPr="00C240CB">
        <w:rPr>
          <w:i/>
        </w:rPr>
        <w:t>Id.</w:t>
      </w:r>
    </w:p>
  </w:footnote>
  <w:footnote w:id="16">
    <w:p w14:paraId="2618A189" w14:textId="77777777" w:rsidR="001377FD" w:rsidRPr="00C240CB" w:rsidRDefault="001377FD" w:rsidP="001377FD">
      <w:pPr>
        <w:pStyle w:val="FootnoteText"/>
      </w:pPr>
      <w:r w:rsidRPr="00C240CB">
        <w:rPr>
          <w:rStyle w:val="FootnoteReference"/>
        </w:rPr>
        <w:footnoteRef/>
      </w:r>
      <w:r w:rsidRPr="00C240CB">
        <w:t xml:space="preserve"> </w:t>
      </w:r>
      <w:r w:rsidRPr="00C240CB">
        <w:rPr>
          <w:i/>
        </w:rPr>
        <w:t>Id</w:t>
      </w:r>
      <w:r w:rsidRPr="00C240CB">
        <w:t>.</w:t>
      </w:r>
    </w:p>
  </w:footnote>
  <w:footnote w:id="17">
    <w:p w14:paraId="19F9D459" w14:textId="77777777" w:rsidR="001377FD" w:rsidRPr="00C240CB" w:rsidRDefault="001377FD" w:rsidP="001377FD">
      <w:pPr>
        <w:pStyle w:val="FootnoteText"/>
      </w:pPr>
      <w:r w:rsidRPr="00C240CB">
        <w:rPr>
          <w:rStyle w:val="FootnoteReference"/>
        </w:rPr>
        <w:footnoteRef/>
      </w:r>
      <w:r w:rsidRPr="00C240CB">
        <w:t xml:space="preserve"> </w:t>
      </w:r>
      <w:r w:rsidRPr="00C240CB">
        <w:rPr>
          <w:i/>
        </w:rPr>
        <w:t>Id</w:t>
      </w:r>
      <w:r>
        <w:t>. at 5-6.  Applicants note that</w:t>
      </w:r>
      <w:r w:rsidRPr="00C240CB">
        <w:t xml:space="preserve"> BidCo US may have a different name when formed.</w:t>
      </w:r>
      <w:r>
        <w:t xml:space="preserve">  </w:t>
      </w:r>
      <w:r w:rsidRPr="001A24A4">
        <w:rPr>
          <w:i/>
        </w:rPr>
        <w:t>Id</w:t>
      </w:r>
      <w:r>
        <w:t>.</w:t>
      </w:r>
    </w:p>
  </w:footnote>
  <w:footnote w:id="18">
    <w:p w14:paraId="20540A10" w14:textId="77777777" w:rsidR="001377FD" w:rsidRPr="00C240CB" w:rsidRDefault="001377FD" w:rsidP="001377FD">
      <w:pPr>
        <w:pStyle w:val="FootnoteText"/>
      </w:pPr>
      <w:r w:rsidRPr="00C240CB">
        <w:rPr>
          <w:rStyle w:val="FootnoteReference"/>
        </w:rPr>
        <w:footnoteRef/>
      </w:r>
      <w:r w:rsidRPr="00C240CB">
        <w:t xml:space="preserve"> </w:t>
      </w:r>
      <w:r w:rsidRPr="00C240CB">
        <w:rPr>
          <w:i/>
        </w:rPr>
        <w:t>Id</w:t>
      </w:r>
      <w:r w:rsidRPr="00C240CB">
        <w:t>.</w:t>
      </w:r>
      <w:r w:rsidRPr="00C240CB">
        <w:tab/>
      </w:r>
    </w:p>
  </w:footnote>
  <w:footnote w:id="19">
    <w:p w14:paraId="5312D656" w14:textId="27045658" w:rsidR="001377FD" w:rsidRPr="005B61E1" w:rsidRDefault="001377FD" w:rsidP="001377FD">
      <w:pPr>
        <w:pStyle w:val="FootnoteText"/>
      </w:pPr>
      <w:r w:rsidRPr="00C240CB">
        <w:rPr>
          <w:rStyle w:val="FootnoteReference"/>
        </w:rPr>
        <w:footnoteRef/>
      </w:r>
      <w:r w:rsidRPr="00C240CB">
        <w:t xml:space="preserve"> </w:t>
      </w:r>
      <w:r>
        <w:rPr>
          <w:i/>
        </w:rPr>
        <w:t>Id.</w:t>
      </w:r>
    </w:p>
  </w:footnote>
  <w:footnote w:id="20">
    <w:p w14:paraId="14B588DF" w14:textId="77777777" w:rsidR="001377FD" w:rsidRPr="00C240CB" w:rsidRDefault="001377FD" w:rsidP="001377FD">
      <w:pPr>
        <w:pStyle w:val="FootnoteText"/>
      </w:pPr>
      <w:r w:rsidRPr="00C240CB">
        <w:rPr>
          <w:rStyle w:val="FootnoteReference"/>
        </w:rPr>
        <w:footnoteRef/>
      </w:r>
      <w:r w:rsidRPr="00C240CB">
        <w:t xml:space="preserve"> </w:t>
      </w:r>
      <w:r w:rsidRPr="00C240CB">
        <w:rPr>
          <w:i/>
        </w:rPr>
        <w:t>Id</w:t>
      </w:r>
      <w:r w:rsidRPr="00C240CB">
        <w:t>.</w:t>
      </w:r>
    </w:p>
  </w:footnote>
  <w:footnote w:id="21">
    <w:p w14:paraId="13508E82" w14:textId="6C714722" w:rsidR="001377FD" w:rsidRPr="00C240CB" w:rsidRDefault="001377FD" w:rsidP="001377FD">
      <w:pPr>
        <w:pStyle w:val="FootnoteText"/>
      </w:pPr>
      <w:r w:rsidRPr="00C240CB">
        <w:rPr>
          <w:rStyle w:val="FootnoteReference"/>
        </w:rPr>
        <w:footnoteRef/>
      </w:r>
      <w:r w:rsidRPr="00C240CB">
        <w:t xml:space="preserve"> Applicants provided detailed organizational charts depicting pre-closing and post-closing ownership chains.  </w:t>
      </w:r>
      <w:r w:rsidRPr="00C240CB">
        <w:rPr>
          <w:i/>
        </w:rPr>
        <w:t>Id</w:t>
      </w:r>
      <w:r w:rsidRPr="00C240CB">
        <w:t>.</w:t>
      </w:r>
      <w:r>
        <w:t xml:space="preserve"> </w:t>
      </w:r>
      <w:r w:rsidRPr="00C240CB">
        <w:t>at Att</w:t>
      </w:r>
      <w:r w:rsidR="004C6214">
        <w:t>ach</w:t>
      </w:r>
      <w:r w:rsidRPr="00C240CB">
        <w:t xml:space="preserve">. A; </w:t>
      </w:r>
      <w:r w:rsidRPr="00C240CB">
        <w:rPr>
          <w:i/>
        </w:rPr>
        <w:t>see also</w:t>
      </w:r>
      <w:r>
        <w:t xml:space="preserve"> Applicants’ Aug. 10</w:t>
      </w:r>
      <w:r w:rsidRPr="00C240CB">
        <w:t xml:space="preserve"> Update at Exh. A.</w:t>
      </w:r>
    </w:p>
  </w:footnote>
  <w:footnote w:id="22">
    <w:p w14:paraId="1477CD3F" w14:textId="67B23E76" w:rsidR="001377FD" w:rsidRDefault="001377FD" w:rsidP="001377FD">
      <w:pPr>
        <w:pStyle w:val="FootnoteText"/>
      </w:pPr>
      <w:r>
        <w:rPr>
          <w:rStyle w:val="FootnoteReference"/>
        </w:rPr>
        <w:footnoteRef/>
      </w:r>
      <w:r>
        <w:t xml:space="preserve"> </w:t>
      </w:r>
      <w:r w:rsidRPr="00E43554">
        <w:rPr>
          <w:color w:val="000000"/>
        </w:rPr>
        <w:t xml:space="preserve">Altice Press Release, “Altice Enters US Market with Acquisition of Suddenlink,” May 20, 2015, </w:t>
      </w:r>
      <w:hyperlink r:id="rId1" w:history="1">
        <w:r w:rsidRPr="00E43554">
          <w:rPr>
            <w:rStyle w:val="Hyperlink"/>
            <w:color w:val="000000"/>
          </w:rPr>
          <w:t>http://altice.net/wp-content/uploads/2015/05/689389.pdf</w:t>
        </w:r>
      </w:hyperlink>
      <w:r w:rsidRPr="00E43554">
        <w:rPr>
          <w:color w:val="000000"/>
        </w:rPr>
        <w:t>.</w:t>
      </w:r>
    </w:p>
  </w:footnote>
  <w:footnote w:id="23">
    <w:p w14:paraId="35BE09BD" w14:textId="32E398F3" w:rsidR="001377FD" w:rsidRPr="00AB140F" w:rsidRDefault="001377FD" w:rsidP="001377FD">
      <w:pPr>
        <w:pStyle w:val="FootnoteText"/>
      </w:pPr>
      <w:r w:rsidRPr="00AB140F">
        <w:rPr>
          <w:rStyle w:val="FootnoteReference"/>
        </w:rPr>
        <w:footnoteRef/>
      </w:r>
      <w:r w:rsidRPr="00AB140F">
        <w:t xml:space="preserve"> </w:t>
      </w:r>
      <w:r w:rsidRPr="00AB140F">
        <w:rPr>
          <w:rStyle w:val="FootnoteTextChar2Char1"/>
        </w:rPr>
        <w:t xml:space="preserve">Section 310(d) requires that </w:t>
      </w:r>
      <w:r w:rsidRPr="00AB140F">
        <w:t>we</w:t>
      </w:r>
      <w:r w:rsidRPr="00AB140F">
        <w:rPr>
          <w:rStyle w:val="FootnoteTextChar2Char1"/>
        </w:rPr>
        <w:t xml:space="preserve"> consider applications as if the proposed transferee were applying for the licenses directly.  47 U.S.C. § </w:t>
      </w:r>
      <w:r w:rsidRPr="00AB140F">
        <w:t>310(d).</w:t>
      </w:r>
      <w:r w:rsidRPr="00AB140F">
        <w:rPr>
          <w:rStyle w:val="FootnoteTextChar2Char1"/>
        </w:rPr>
        <w:t xml:space="preserve">  </w:t>
      </w:r>
      <w:r w:rsidRPr="00AB140F">
        <w:rPr>
          <w:rStyle w:val="FootnoteTextChar2Char1"/>
          <w:i/>
        </w:rPr>
        <w:t>See</w:t>
      </w:r>
      <w:r>
        <w:rPr>
          <w:rStyle w:val="FootnoteTextChar2Char1"/>
          <w:i/>
        </w:rPr>
        <w:t xml:space="preserve"> </w:t>
      </w:r>
      <w:r w:rsidRPr="001106B2">
        <w:rPr>
          <w:i/>
        </w:rPr>
        <w:t>Applications of AT&amp;T, Inc. and DIRECTV for Consent to Assign or Transfer Control of Licenses and Authorizations</w:t>
      </w:r>
      <w:r w:rsidRPr="001106B2">
        <w:t xml:space="preserve">, </w:t>
      </w:r>
      <w:r>
        <w:t xml:space="preserve">MB Docket </w:t>
      </w:r>
      <w:r w:rsidR="004C6214">
        <w:t xml:space="preserve">No. </w:t>
      </w:r>
      <w:r>
        <w:t>14-90</w:t>
      </w:r>
      <w:r w:rsidR="004C6214">
        <w:t>,</w:t>
      </w:r>
      <w:r>
        <w:t xml:space="preserve"> Memorandum Opinion and </w:t>
      </w:r>
      <w:r w:rsidRPr="001106B2">
        <w:t>Order,</w:t>
      </w:r>
      <w:r>
        <w:t xml:space="preserve"> 30 FCC Rcd 9131, 9139</w:t>
      </w:r>
      <w:r w:rsidR="004C6214">
        <w:t>, para. 18</w:t>
      </w:r>
      <w:r>
        <w:t xml:space="preserve"> n.35 (2015) (</w:t>
      </w:r>
      <w:r>
        <w:rPr>
          <w:i/>
        </w:rPr>
        <w:t>AT&amp;T/DIRECTV Order</w:t>
      </w:r>
      <w:r>
        <w:t xml:space="preserve">); </w:t>
      </w:r>
      <w:r w:rsidRPr="00C240CB">
        <w:rPr>
          <w:i/>
          <w:color w:val="000000"/>
        </w:rPr>
        <w:t>AT&amp;T Inc. and BellSouth Corporation Application for Transfer of Control</w:t>
      </w:r>
      <w:r w:rsidRPr="00C240CB">
        <w:rPr>
          <w:color w:val="000000"/>
        </w:rPr>
        <w:t>, WC Docket No. 06-74, Memorandum Opinion and Order, 22 FCC Rcd 5662, 5672, para. 19 (2007) (</w:t>
      </w:r>
      <w:r w:rsidRPr="00C240CB">
        <w:rPr>
          <w:i/>
          <w:color w:val="000000"/>
        </w:rPr>
        <w:t>AT&amp;T/BellSouth Order</w:t>
      </w:r>
      <w:r w:rsidRPr="00C240CB">
        <w:rPr>
          <w:color w:val="000000"/>
        </w:rPr>
        <w:t>)</w:t>
      </w:r>
      <w:r w:rsidRPr="00AB140F">
        <w:t xml:space="preserve">. </w:t>
      </w:r>
    </w:p>
  </w:footnote>
  <w:footnote w:id="24">
    <w:p w14:paraId="56886A3B" w14:textId="77777777" w:rsidR="001377FD" w:rsidRPr="00AB140F" w:rsidRDefault="001377FD" w:rsidP="001377FD">
      <w:pPr>
        <w:pStyle w:val="FootnoteText"/>
      </w:pPr>
      <w:r w:rsidRPr="00AB140F">
        <w:rPr>
          <w:rStyle w:val="FootnoteReference"/>
        </w:rPr>
        <w:footnoteRef/>
      </w:r>
      <w:r w:rsidRPr="00AB140F">
        <w:rPr>
          <w:i/>
        </w:rPr>
        <w:t xml:space="preserve"> See </w:t>
      </w:r>
      <w:r>
        <w:rPr>
          <w:i/>
        </w:rPr>
        <w:t xml:space="preserve">AT&amp;T/DIRECTV Order, </w:t>
      </w:r>
      <w:r w:rsidRPr="00E014C4">
        <w:t xml:space="preserve">30 FCC Rcd </w:t>
      </w:r>
      <w:r>
        <w:t xml:space="preserve">at </w:t>
      </w:r>
      <w:r w:rsidRPr="00E014C4">
        <w:t>9139-40</w:t>
      </w:r>
      <w:r>
        <w:t xml:space="preserve">, para. 18 (and cases cited therein); </w:t>
      </w:r>
      <w:r w:rsidRPr="00C240CB">
        <w:rPr>
          <w:i/>
          <w:color w:val="000000"/>
        </w:rPr>
        <w:t>Applications filed by Qwest Communications International Inc. and CenturyTel, Inc. d/b/a CenturyLink for Consent to Transfer Control</w:t>
      </w:r>
      <w:r w:rsidRPr="00C240CB">
        <w:rPr>
          <w:color w:val="000000"/>
        </w:rPr>
        <w:t>, WC Docket No. 10-110, Memorandum Opinion and Order, 26 FCC Rcd 4194, 4199, para. 7 (2011)</w:t>
      </w:r>
      <w:r>
        <w:rPr>
          <w:color w:val="000000"/>
        </w:rPr>
        <w:t>.</w:t>
      </w:r>
    </w:p>
  </w:footnote>
  <w:footnote w:id="25">
    <w:p w14:paraId="4A6039B7" w14:textId="77777777" w:rsidR="001377FD" w:rsidRPr="00AB140F" w:rsidRDefault="001377FD" w:rsidP="001377FD">
      <w:pPr>
        <w:pStyle w:val="FootnoteText"/>
      </w:pPr>
      <w:r w:rsidRPr="00AB140F">
        <w:rPr>
          <w:rStyle w:val="FootnoteReference"/>
        </w:rPr>
        <w:footnoteRef/>
      </w:r>
      <w:r w:rsidRPr="00AB140F">
        <w:rPr>
          <w:i/>
        </w:rPr>
        <w:t xml:space="preserve"> See </w:t>
      </w:r>
      <w:r>
        <w:rPr>
          <w:i/>
        </w:rPr>
        <w:t xml:space="preserve">AT&amp;T/DIRECTV Order, </w:t>
      </w:r>
      <w:r w:rsidRPr="00497284">
        <w:t xml:space="preserve">30 FCC Rcd </w:t>
      </w:r>
      <w:r>
        <w:t xml:space="preserve">at </w:t>
      </w:r>
      <w:r w:rsidRPr="00497284">
        <w:t>91</w:t>
      </w:r>
      <w:r>
        <w:t>39-</w:t>
      </w:r>
      <w:r w:rsidRPr="00497284">
        <w:t>40</w:t>
      </w:r>
      <w:r>
        <w:t>, para. 18 (and cases cited therein)</w:t>
      </w:r>
      <w:r w:rsidRPr="00AB140F">
        <w:rPr>
          <w:i/>
        </w:rPr>
        <w:t>.</w:t>
      </w:r>
    </w:p>
  </w:footnote>
  <w:footnote w:id="26">
    <w:p w14:paraId="68930AFA" w14:textId="77777777" w:rsidR="001377FD" w:rsidRPr="00AB140F" w:rsidRDefault="001377FD" w:rsidP="001377FD">
      <w:pPr>
        <w:pStyle w:val="FootnoteText"/>
        <w:rPr>
          <w:i/>
        </w:rPr>
      </w:pPr>
      <w:r w:rsidRPr="00AB140F">
        <w:rPr>
          <w:rStyle w:val="FootnoteReference"/>
        </w:rPr>
        <w:footnoteRef/>
      </w:r>
      <w:r w:rsidRPr="00AB140F">
        <w:rPr>
          <w:i/>
        </w:rPr>
        <w:t xml:space="preserve"> See </w:t>
      </w:r>
      <w:r>
        <w:rPr>
          <w:i/>
        </w:rPr>
        <w:t>id</w:t>
      </w:r>
      <w:r w:rsidRPr="00AB140F">
        <w:t>.</w:t>
      </w:r>
    </w:p>
  </w:footnote>
  <w:footnote w:id="27">
    <w:p w14:paraId="6C190F6E" w14:textId="77777777" w:rsidR="001377FD" w:rsidRPr="00AB140F" w:rsidRDefault="001377FD" w:rsidP="001377FD">
      <w:pPr>
        <w:pStyle w:val="FootnoteText"/>
      </w:pPr>
      <w:r w:rsidRPr="00AB140F">
        <w:rPr>
          <w:rStyle w:val="FootnoteReference"/>
        </w:rPr>
        <w:footnoteRef/>
      </w:r>
      <w:r w:rsidRPr="00AB140F">
        <w:t xml:space="preserve"> </w:t>
      </w:r>
      <w:r w:rsidRPr="00AB140F">
        <w:rPr>
          <w:rStyle w:val="FootnoteTextChar"/>
          <w:i/>
        </w:rPr>
        <w:t xml:space="preserve">See </w:t>
      </w:r>
      <w:r w:rsidRPr="00AB140F">
        <w:rPr>
          <w:i/>
        </w:rPr>
        <w:t>id.</w:t>
      </w:r>
    </w:p>
  </w:footnote>
  <w:footnote w:id="28">
    <w:p w14:paraId="1871DD68" w14:textId="77777777" w:rsidR="001377FD" w:rsidRPr="00AB140F" w:rsidRDefault="001377FD" w:rsidP="001377FD">
      <w:pPr>
        <w:pStyle w:val="FootnoteText"/>
      </w:pPr>
      <w:r w:rsidRPr="00AB140F">
        <w:rPr>
          <w:vertAlign w:val="superscript"/>
        </w:rPr>
        <w:footnoteRef/>
      </w:r>
      <w:r w:rsidRPr="00AB140F">
        <w:t xml:space="preserve"> </w:t>
      </w:r>
      <w:r w:rsidRPr="00AB140F">
        <w:rPr>
          <w:rStyle w:val="FootnoteTextChar"/>
          <w:i/>
        </w:rPr>
        <w:t xml:space="preserve">See </w:t>
      </w:r>
      <w:r>
        <w:rPr>
          <w:rStyle w:val="FootnoteTextChar"/>
          <w:i/>
        </w:rPr>
        <w:t>id</w:t>
      </w:r>
      <w:r w:rsidRPr="00AB140F">
        <w:t>.</w:t>
      </w:r>
      <w:r>
        <w:t xml:space="preserve"> at 9140, para. 19.</w:t>
      </w:r>
    </w:p>
  </w:footnote>
  <w:footnote w:id="29">
    <w:p w14:paraId="6347AEBA" w14:textId="77777777" w:rsidR="001377FD" w:rsidRPr="00AB140F" w:rsidRDefault="001377FD" w:rsidP="001377FD">
      <w:pPr>
        <w:pStyle w:val="FootnoteText"/>
      </w:pPr>
      <w:r w:rsidRPr="00AB140F">
        <w:rPr>
          <w:rStyle w:val="FootnoteReference"/>
        </w:rPr>
        <w:footnoteRef/>
      </w:r>
      <w:r w:rsidRPr="00AB140F">
        <w:t xml:space="preserve"> </w:t>
      </w:r>
      <w:r w:rsidRPr="00AB140F">
        <w:rPr>
          <w:i/>
        </w:rPr>
        <w:t>See</w:t>
      </w:r>
      <w:r>
        <w:rPr>
          <w:i/>
        </w:rPr>
        <w:t xml:space="preserve"> id</w:t>
      </w:r>
      <w:r w:rsidRPr="00AB140F">
        <w:t>.</w:t>
      </w:r>
    </w:p>
  </w:footnote>
  <w:footnote w:id="30">
    <w:p w14:paraId="50070E81" w14:textId="77777777" w:rsidR="001377FD" w:rsidRPr="00AB140F" w:rsidRDefault="001377FD" w:rsidP="001377FD">
      <w:pPr>
        <w:pStyle w:val="FootnoteText"/>
      </w:pPr>
      <w:r w:rsidRPr="00AB140F">
        <w:rPr>
          <w:rStyle w:val="FootnoteReference"/>
        </w:rPr>
        <w:footnoteRef/>
      </w:r>
      <w:r w:rsidRPr="00AB140F">
        <w:t xml:space="preserve"> </w:t>
      </w:r>
      <w:r w:rsidRPr="00AB140F">
        <w:rPr>
          <w:i/>
        </w:rPr>
        <w:t>See id.</w:t>
      </w:r>
    </w:p>
  </w:footnote>
  <w:footnote w:id="31">
    <w:p w14:paraId="39C44B26" w14:textId="77777777" w:rsidR="001377FD" w:rsidRPr="00AB140F" w:rsidRDefault="001377FD" w:rsidP="001377FD">
      <w:pPr>
        <w:pStyle w:val="FootnoteText"/>
      </w:pPr>
      <w:r w:rsidRPr="00AB140F">
        <w:rPr>
          <w:rStyle w:val="FootnoteReference"/>
        </w:rPr>
        <w:footnoteRef/>
      </w:r>
      <w:r w:rsidRPr="00AB140F">
        <w:rPr>
          <w:i/>
        </w:rPr>
        <w:t xml:space="preserve"> See </w:t>
      </w:r>
      <w:r>
        <w:rPr>
          <w:i/>
        </w:rPr>
        <w:t>id.</w:t>
      </w:r>
      <w:r>
        <w:t xml:space="preserve"> at 9140-41, para. 20 (and cases cited therein</w:t>
      </w:r>
      <w:r w:rsidRPr="001E20DE">
        <w:t>)</w:t>
      </w:r>
      <w:r w:rsidRPr="00AB140F">
        <w:t>.</w:t>
      </w:r>
    </w:p>
  </w:footnote>
  <w:footnote w:id="32">
    <w:p w14:paraId="3A83B3F1" w14:textId="77777777" w:rsidR="001377FD" w:rsidRPr="00AB140F" w:rsidRDefault="001377FD" w:rsidP="001377FD">
      <w:pPr>
        <w:pStyle w:val="FootnoteText"/>
      </w:pPr>
      <w:r w:rsidRPr="00AB140F">
        <w:rPr>
          <w:vertAlign w:val="superscript"/>
        </w:rPr>
        <w:footnoteRef/>
      </w:r>
      <w:r w:rsidRPr="00AB140F">
        <w:t xml:space="preserve"> </w:t>
      </w:r>
      <w:r w:rsidRPr="00AB140F">
        <w:rPr>
          <w:i/>
        </w:rPr>
        <w:t>See, e.g.</w:t>
      </w:r>
      <w:r w:rsidRPr="00AB140F">
        <w:t>,</w:t>
      </w:r>
      <w:r w:rsidRPr="00AB140F">
        <w:rPr>
          <w:i/>
        </w:rPr>
        <w:t xml:space="preserve"> id. </w:t>
      </w:r>
    </w:p>
  </w:footnote>
  <w:footnote w:id="33">
    <w:p w14:paraId="699AF4CC" w14:textId="77777777" w:rsidR="001377FD" w:rsidRPr="00AB140F" w:rsidRDefault="001377FD" w:rsidP="001377FD">
      <w:pPr>
        <w:pStyle w:val="FootnoteText"/>
        <w:rPr>
          <w:i/>
        </w:rPr>
      </w:pPr>
      <w:r w:rsidRPr="00AB140F">
        <w:rPr>
          <w:rStyle w:val="FootnoteReference"/>
        </w:rPr>
        <w:footnoteRef/>
      </w:r>
      <w:r w:rsidRPr="00AB140F">
        <w:t xml:space="preserve"> </w:t>
      </w:r>
      <w:r w:rsidRPr="00AB140F">
        <w:rPr>
          <w:i/>
        </w:rPr>
        <w:t xml:space="preserve">See </w:t>
      </w:r>
      <w:r>
        <w:rPr>
          <w:i/>
        </w:rPr>
        <w:t>id</w:t>
      </w:r>
      <w:r w:rsidRPr="00AB140F">
        <w:t>.</w:t>
      </w:r>
      <w:r>
        <w:t xml:space="preserve"> </w:t>
      </w:r>
    </w:p>
  </w:footnote>
  <w:footnote w:id="34">
    <w:p w14:paraId="78AE248D" w14:textId="77777777" w:rsidR="001377FD" w:rsidRPr="00AB140F" w:rsidRDefault="001377FD" w:rsidP="001377FD">
      <w:pPr>
        <w:pStyle w:val="FootnoteText"/>
      </w:pPr>
      <w:r w:rsidRPr="00AB140F">
        <w:rPr>
          <w:rStyle w:val="FootnoteReference"/>
        </w:rPr>
        <w:footnoteRef/>
      </w:r>
      <w:r w:rsidRPr="00AB140F">
        <w:t xml:space="preserve"> 15 U.S.C. § 18; </w:t>
      </w:r>
      <w:r w:rsidRPr="00AB140F">
        <w:rPr>
          <w:i/>
        </w:rPr>
        <w:t>see also</w:t>
      </w:r>
      <w:r w:rsidRPr="00AB140F">
        <w:t xml:space="preserve"> </w:t>
      </w:r>
      <w:r>
        <w:rPr>
          <w:i/>
        </w:rPr>
        <w:t xml:space="preserve">AT&amp;T/DIRECTV Order, </w:t>
      </w:r>
      <w:r w:rsidRPr="00497284">
        <w:t xml:space="preserve">30 FCC Rcd </w:t>
      </w:r>
      <w:r>
        <w:t xml:space="preserve">at </w:t>
      </w:r>
      <w:r w:rsidRPr="00497284">
        <w:t>914</w:t>
      </w:r>
      <w:r>
        <w:t>1, para. 21 (and cases cited therein</w:t>
      </w:r>
      <w:r w:rsidRPr="001E20DE">
        <w:t>).</w:t>
      </w:r>
    </w:p>
  </w:footnote>
  <w:footnote w:id="35">
    <w:p w14:paraId="4BBD2B62" w14:textId="77777777" w:rsidR="001377FD" w:rsidRPr="00AB140F" w:rsidRDefault="001377FD" w:rsidP="001377FD">
      <w:pPr>
        <w:pStyle w:val="FootnoteText"/>
      </w:pPr>
      <w:r w:rsidRPr="00AB140F">
        <w:rPr>
          <w:rStyle w:val="FootnoteReference"/>
        </w:rPr>
        <w:footnoteRef/>
      </w:r>
      <w:r w:rsidRPr="00AB140F">
        <w:t xml:space="preserve"> </w:t>
      </w:r>
      <w:r w:rsidRPr="00AB140F">
        <w:rPr>
          <w:i/>
        </w:rPr>
        <w:t xml:space="preserve">See </w:t>
      </w:r>
      <w:r>
        <w:rPr>
          <w:i/>
        </w:rPr>
        <w:t xml:space="preserve">AT&amp;T/DIRECTV Order, </w:t>
      </w:r>
      <w:r w:rsidRPr="00497284">
        <w:t xml:space="preserve">30 FCC Rcd </w:t>
      </w:r>
      <w:r>
        <w:t xml:space="preserve">at </w:t>
      </w:r>
      <w:r w:rsidRPr="00497284">
        <w:t>914</w:t>
      </w:r>
      <w:r>
        <w:t>1, para. 21 (and cases cited therein</w:t>
      </w:r>
      <w:r w:rsidRPr="001E20DE">
        <w:t>)</w:t>
      </w:r>
      <w:r>
        <w:rPr>
          <w:i/>
        </w:rPr>
        <w:t xml:space="preserve">. </w:t>
      </w:r>
    </w:p>
  </w:footnote>
  <w:footnote w:id="36">
    <w:p w14:paraId="333639AD" w14:textId="77777777" w:rsidR="001377FD" w:rsidRPr="00AB140F" w:rsidRDefault="001377FD" w:rsidP="001377FD">
      <w:pPr>
        <w:pStyle w:val="FootnoteText"/>
      </w:pPr>
      <w:r w:rsidRPr="00AB140F">
        <w:rPr>
          <w:rStyle w:val="FootnoteReference"/>
        </w:rPr>
        <w:footnoteRef/>
      </w:r>
      <w:r w:rsidRPr="00AB140F">
        <w:t xml:space="preserve"> </w:t>
      </w:r>
      <w:r w:rsidRPr="00AB140F">
        <w:rPr>
          <w:i/>
        </w:rPr>
        <w:t xml:space="preserve">See </w:t>
      </w:r>
      <w:r>
        <w:rPr>
          <w:i/>
        </w:rPr>
        <w:t>id.</w:t>
      </w:r>
    </w:p>
  </w:footnote>
  <w:footnote w:id="37">
    <w:p w14:paraId="424F6AFA" w14:textId="77777777" w:rsidR="001377FD" w:rsidRPr="00AB140F" w:rsidRDefault="001377FD" w:rsidP="001377FD">
      <w:pPr>
        <w:pStyle w:val="FootnoteText"/>
      </w:pPr>
      <w:r w:rsidRPr="00AB140F">
        <w:rPr>
          <w:rStyle w:val="FootnoteReference"/>
        </w:rPr>
        <w:footnoteRef/>
      </w:r>
      <w:r w:rsidRPr="00AB140F">
        <w:t xml:space="preserve"> </w:t>
      </w:r>
      <w:r w:rsidRPr="00AB140F">
        <w:rPr>
          <w:i/>
        </w:rPr>
        <w:t xml:space="preserve">See </w:t>
      </w:r>
      <w:r>
        <w:rPr>
          <w:i/>
        </w:rPr>
        <w:t>id.</w:t>
      </w:r>
      <w:r>
        <w:t xml:space="preserve"> at 9141, para. 22</w:t>
      </w:r>
      <w:r>
        <w:rPr>
          <w:i/>
        </w:rPr>
        <w:t>;</w:t>
      </w:r>
      <w:r w:rsidRPr="00AB140F">
        <w:t xml:space="preserve"> </w:t>
      </w:r>
      <w:r w:rsidRPr="00AB140F">
        <w:rPr>
          <w:i/>
        </w:rPr>
        <w:t>see also Application of WorldCom, Inc. and MCI Communications Corporation for Transfer of Control of MCI Communications Corporation to WorldCom, Inc.</w:t>
      </w:r>
      <w:r w:rsidRPr="00AB140F">
        <w:t xml:space="preserve">, CC Docket No. 97-211, Memorandum Opinion and Order, 13 FCC Rcd 18025, 18032, </w:t>
      </w:r>
      <w:r>
        <w:t>para.</w:t>
      </w:r>
      <w:r w:rsidRPr="00AB140F">
        <w:t xml:space="preserve"> 10 (1998) (</w:t>
      </w:r>
      <w:r>
        <w:rPr>
          <w:i/>
        </w:rPr>
        <w:t>WorldCom/</w:t>
      </w:r>
      <w:r w:rsidRPr="00AB140F">
        <w:rPr>
          <w:i/>
        </w:rPr>
        <w:t>MCI Order</w:t>
      </w:r>
      <w:r w:rsidRPr="00AB140F">
        <w:t>) (stating that the Commission may attach conditions to the transfers).</w:t>
      </w:r>
    </w:p>
  </w:footnote>
  <w:footnote w:id="38">
    <w:p w14:paraId="7BC7DD72" w14:textId="77777777" w:rsidR="001377FD" w:rsidRPr="00AB140F" w:rsidRDefault="001377FD" w:rsidP="001377FD">
      <w:pPr>
        <w:pStyle w:val="FootnoteText"/>
      </w:pPr>
      <w:r w:rsidRPr="00AB140F">
        <w:rPr>
          <w:rStyle w:val="FootnoteReference"/>
        </w:rPr>
        <w:footnoteRef/>
      </w:r>
      <w:r w:rsidRPr="00AB140F">
        <w:t xml:space="preserve"> 47 U.S.C. § 303(r).  </w:t>
      </w:r>
      <w:r w:rsidRPr="00AB140F">
        <w:rPr>
          <w:i/>
        </w:rPr>
        <w:t>See</w:t>
      </w:r>
      <w:r w:rsidRPr="000B628C">
        <w:rPr>
          <w:i/>
        </w:rPr>
        <w:t xml:space="preserve"> </w:t>
      </w:r>
      <w:r>
        <w:rPr>
          <w:i/>
        </w:rPr>
        <w:t xml:space="preserve">AT&amp;T/DIRECTV Order, </w:t>
      </w:r>
      <w:r w:rsidRPr="00497284">
        <w:t xml:space="preserve">30 FCC Rcd </w:t>
      </w:r>
      <w:r>
        <w:t xml:space="preserve">at </w:t>
      </w:r>
      <w:r w:rsidRPr="00497284">
        <w:t>914</w:t>
      </w:r>
      <w:r>
        <w:t>1, para. 22 (and cases cited therein);</w:t>
      </w:r>
      <w:r w:rsidRPr="00AB140F">
        <w:t xml:space="preserve"> </w:t>
      </w:r>
      <w:r>
        <w:rPr>
          <w:i/>
        </w:rPr>
        <w:t>WorldCom/</w:t>
      </w:r>
      <w:r w:rsidRPr="00AB140F">
        <w:rPr>
          <w:i/>
        </w:rPr>
        <w:t>MCI Order</w:t>
      </w:r>
      <w:r w:rsidRPr="00AB140F">
        <w:t xml:space="preserve">, 13 FCC Rcd at 18032, </w:t>
      </w:r>
      <w:r>
        <w:t>para.</w:t>
      </w:r>
      <w:r w:rsidRPr="00AB140F">
        <w:t xml:space="preserve"> 10 (citing </w:t>
      </w:r>
      <w:r w:rsidRPr="00AB140F">
        <w:rPr>
          <w:i/>
        </w:rPr>
        <w:t>FCC v. Nat’l Citizens Comm. for Broad.</w:t>
      </w:r>
      <w:r w:rsidRPr="00AB140F">
        <w:t xml:space="preserve">, 436 U.S. 775 (1978) (upholding broadcast-newspaper cross-ownership rules adopted pursuant to Section 303(r))); </w:t>
      </w:r>
      <w:r w:rsidRPr="00AB140F">
        <w:rPr>
          <w:i/>
        </w:rPr>
        <w:t>United States v. Southwestern Cable Co</w:t>
      </w:r>
      <w:r w:rsidRPr="00AB140F">
        <w:t xml:space="preserve">., 392 U.S. 157, 178 (1968) (holding that Section 303(r) permits the Commission to order a cable company not to carry broadcast signal beyond station’s primary market); </w:t>
      </w:r>
      <w:r w:rsidRPr="00AB140F">
        <w:rPr>
          <w:i/>
        </w:rPr>
        <w:t>United Video, Inc. v. FCC</w:t>
      </w:r>
      <w:r w:rsidRPr="00AB140F">
        <w:t>, 890 F.2d 1173, 1182-83 (D.C. Cir. 1989) (affirming syndicated exclusivity rules adopted pursuant to Section 303(r) authority).</w:t>
      </w:r>
    </w:p>
  </w:footnote>
  <w:footnote w:id="39">
    <w:p w14:paraId="3D875C72" w14:textId="77777777" w:rsidR="001377FD" w:rsidRPr="00AB140F" w:rsidRDefault="001377FD" w:rsidP="001377FD">
      <w:pPr>
        <w:pStyle w:val="FootnoteText"/>
      </w:pPr>
      <w:r w:rsidRPr="00AB140F">
        <w:rPr>
          <w:rStyle w:val="FootnoteReference"/>
        </w:rPr>
        <w:footnoteRef/>
      </w:r>
      <w:r w:rsidRPr="00AB140F">
        <w:t xml:space="preserve"> </w:t>
      </w:r>
      <w:r w:rsidRPr="00AB140F">
        <w:rPr>
          <w:i/>
        </w:rPr>
        <w:t xml:space="preserve">See </w:t>
      </w:r>
      <w:r>
        <w:rPr>
          <w:i/>
        </w:rPr>
        <w:t xml:space="preserve">AT&amp;T/DIRECTV Order, </w:t>
      </w:r>
      <w:r w:rsidRPr="00497284">
        <w:t xml:space="preserve">30 FCC Rcd </w:t>
      </w:r>
      <w:r>
        <w:t xml:space="preserve">at </w:t>
      </w:r>
      <w:r w:rsidRPr="00497284">
        <w:t>914</w:t>
      </w:r>
      <w:r>
        <w:t>1, para. 22 (and cases cited therein</w:t>
      </w:r>
      <w:r w:rsidRPr="00E4217E">
        <w:t>).</w:t>
      </w:r>
      <w:r>
        <w:rPr>
          <w:i/>
        </w:rPr>
        <w:t xml:space="preserve"> </w:t>
      </w:r>
    </w:p>
  </w:footnote>
  <w:footnote w:id="40">
    <w:p w14:paraId="0CF248F9" w14:textId="77777777" w:rsidR="001377FD" w:rsidRPr="00AB140F" w:rsidRDefault="001377FD" w:rsidP="001377FD">
      <w:pPr>
        <w:pStyle w:val="FootnoteText"/>
      </w:pPr>
      <w:r w:rsidRPr="00AB140F">
        <w:rPr>
          <w:rStyle w:val="FootnoteReference"/>
        </w:rPr>
        <w:footnoteRef/>
      </w:r>
      <w:r w:rsidRPr="00AB140F">
        <w:t xml:space="preserve"> </w:t>
      </w:r>
      <w:r w:rsidRPr="00AB140F">
        <w:rPr>
          <w:i/>
        </w:rPr>
        <w:t xml:space="preserve">See </w:t>
      </w:r>
      <w:r>
        <w:rPr>
          <w:i/>
        </w:rPr>
        <w:t xml:space="preserve">id. </w:t>
      </w:r>
    </w:p>
  </w:footnote>
  <w:footnote w:id="41">
    <w:p w14:paraId="45E63DD7" w14:textId="77777777" w:rsidR="001377FD" w:rsidRPr="00C240CB" w:rsidRDefault="001377FD" w:rsidP="001377FD">
      <w:pPr>
        <w:pStyle w:val="FootnoteText"/>
        <w:rPr>
          <w:color w:val="000000"/>
        </w:rPr>
      </w:pPr>
      <w:r w:rsidRPr="00C240CB">
        <w:rPr>
          <w:rStyle w:val="FootnoteReference"/>
          <w:color w:val="000000"/>
        </w:rPr>
        <w:footnoteRef/>
      </w:r>
      <w:r w:rsidRPr="00C240CB">
        <w:rPr>
          <w:color w:val="000000"/>
        </w:rPr>
        <w:t xml:space="preserve"> </w:t>
      </w:r>
      <w:r w:rsidRPr="00C240CB">
        <w:rPr>
          <w:i/>
          <w:color w:val="000000"/>
        </w:rPr>
        <w:t>See</w:t>
      </w:r>
      <w:r w:rsidRPr="00C240CB">
        <w:rPr>
          <w:color w:val="000000"/>
        </w:rPr>
        <w:t xml:space="preserve">, </w:t>
      </w:r>
      <w:r w:rsidRPr="00C240CB">
        <w:rPr>
          <w:i/>
          <w:color w:val="000000"/>
        </w:rPr>
        <w:t>e.g.</w:t>
      </w:r>
      <w:r w:rsidRPr="00C240CB">
        <w:rPr>
          <w:color w:val="000000"/>
        </w:rPr>
        <w:t xml:space="preserve">, </w:t>
      </w:r>
      <w:r w:rsidRPr="00C240CB">
        <w:rPr>
          <w:i/>
          <w:color w:val="000000"/>
        </w:rPr>
        <w:t>Applications of Sprint Nextel Corporation and Clearwire Corporation for Consent to Transfer Control of Licenses, Leases and Authorizations</w:t>
      </w:r>
      <w:r w:rsidRPr="00C240CB">
        <w:rPr>
          <w:color w:val="000000"/>
        </w:rPr>
        <w:t>, WT Docket No. 08-94, Memorandum Opinion and Order and Declaratory Ruling, 23 FCC Rcd 17570, 17582</w:t>
      </w:r>
      <w:r w:rsidRPr="00C240CB">
        <w:rPr>
          <w:color w:val="000000"/>
        </w:rPr>
        <w:noBreakHyphen/>
        <w:t>83, para. 23 (2008) (</w:t>
      </w:r>
      <w:r w:rsidRPr="00C240CB">
        <w:rPr>
          <w:i/>
          <w:color w:val="000000"/>
        </w:rPr>
        <w:t>Sprint Nextel/Clearwire Order</w:t>
      </w:r>
      <w:r w:rsidRPr="00C240CB">
        <w:rPr>
          <w:color w:val="000000"/>
        </w:rPr>
        <w:t xml:space="preserve">); </w:t>
      </w:r>
      <w:r w:rsidRPr="00C240CB">
        <w:rPr>
          <w:i/>
          <w:snapToGrid w:val="0"/>
          <w:kern w:val="28"/>
        </w:rPr>
        <w:t xml:space="preserve">Applications of Cellco Partnership d/b/a Verizon Wireless and Atlantis Holdings LLC For Consent To Transfer Control of Licenses, Authorizations, and Spectrum Manager and </w:t>
      </w:r>
      <w:r w:rsidRPr="00C240CB">
        <w:rPr>
          <w:i/>
          <w:iCs/>
          <w:snapToGrid w:val="0"/>
          <w:kern w:val="28"/>
        </w:rPr>
        <w:t xml:space="preserve">De Facto </w:t>
      </w:r>
      <w:r w:rsidRPr="00C240CB">
        <w:rPr>
          <w:i/>
          <w:snapToGrid w:val="0"/>
          <w:kern w:val="28"/>
        </w:rPr>
        <w:t>Transfer Leasing Arrangements</w:t>
      </w:r>
      <w:r w:rsidRPr="00C240CB">
        <w:rPr>
          <w:snapToGrid w:val="0"/>
          <w:kern w:val="28"/>
        </w:rPr>
        <w:t>, WT Docket No. 08-95</w:t>
      </w:r>
      <w:r w:rsidRPr="00C240CB">
        <w:rPr>
          <w:snapToGrid w:val="0"/>
          <w:color w:val="000000"/>
          <w:kern w:val="28"/>
          <w:shd w:val="clear" w:color="auto" w:fill="FFFFFF"/>
        </w:rPr>
        <w:t xml:space="preserve">, </w:t>
      </w:r>
      <w:r w:rsidRPr="00C240CB">
        <w:rPr>
          <w:iCs/>
          <w:snapToGrid w:val="0"/>
          <w:color w:val="000000"/>
          <w:kern w:val="28"/>
          <w:shd w:val="clear" w:color="auto" w:fill="FFFFFF"/>
        </w:rPr>
        <w:t>Memorandum Opinion and Order and Declaratory Ruling</w:t>
      </w:r>
      <w:r w:rsidRPr="00C240CB">
        <w:rPr>
          <w:snapToGrid w:val="0"/>
          <w:color w:val="000000"/>
          <w:kern w:val="28"/>
          <w:shd w:val="clear" w:color="auto" w:fill="FFFFFF"/>
        </w:rPr>
        <w:t>, 23 FCC Rcd 17444, 17</w:t>
      </w:r>
      <w:r>
        <w:rPr>
          <w:snapToGrid w:val="0"/>
          <w:color w:val="000000"/>
          <w:kern w:val="28"/>
          <w:shd w:val="clear" w:color="auto" w:fill="FFFFFF"/>
        </w:rPr>
        <w:t>4</w:t>
      </w:r>
      <w:r w:rsidRPr="00C240CB">
        <w:rPr>
          <w:snapToGrid w:val="0"/>
          <w:color w:val="000000"/>
          <w:kern w:val="28"/>
          <w:shd w:val="clear" w:color="auto" w:fill="FFFFFF"/>
        </w:rPr>
        <w:t>64, para. 31 (2008) (</w:t>
      </w:r>
      <w:bookmarkStart w:id="26" w:name="SR;15134"/>
      <w:bookmarkEnd w:id="26"/>
      <w:r w:rsidRPr="00C240CB">
        <w:rPr>
          <w:i/>
          <w:snapToGrid w:val="0"/>
          <w:color w:val="000000"/>
          <w:kern w:val="28"/>
          <w:shd w:val="clear" w:color="auto" w:fill="FFFFFF"/>
        </w:rPr>
        <w:t>Verizon Wireless/ALLTEL Order</w:t>
      </w:r>
      <w:r w:rsidRPr="00C240CB">
        <w:rPr>
          <w:snapToGrid w:val="0"/>
          <w:color w:val="000000"/>
          <w:kern w:val="28"/>
          <w:shd w:val="clear" w:color="auto" w:fill="FFFFFF"/>
        </w:rPr>
        <w:t>)</w:t>
      </w:r>
      <w:bookmarkStart w:id="27" w:name="SR;15135"/>
      <w:bookmarkStart w:id="28" w:name="SR;15136"/>
      <w:bookmarkStart w:id="29" w:name="SR;15137"/>
      <w:bookmarkEnd w:id="27"/>
      <w:bookmarkEnd w:id="28"/>
      <w:bookmarkEnd w:id="29"/>
      <w:r w:rsidRPr="00C240CB">
        <w:rPr>
          <w:color w:val="000000"/>
        </w:rPr>
        <w:t>.</w:t>
      </w:r>
    </w:p>
  </w:footnote>
  <w:footnote w:id="42">
    <w:p w14:paraId="2CDF4297" w14:textId="77777777" w:rsidR="001377FD" w:rsidRPr="00C240CB" w:rsidRDefault="001377FD" w:rsidP="001377FD">
      <w:pPr>
        <w:pStyle w:val="FootnoteText"/>
        <w:rPr>
          <w:color w:val="000000"/>
        </w:rPr>
      </w:pPr>
      <w:r w:rsidRPr="00C240CB">
        <w:rPr>
          <w:rStyle w:val="FootnoteReference"/>
          <w:color w:val="000000"/>
        </w:rPr>
        <w:footnoteRef/>
      </w:r>
      <w:r w:rsidRPr="00C240CB">
        <w:rPr>
          <w:color w:val="000000"/>
        </w:rPr>
        <w:t xml:space="preserve"> </w:t>
      </w:r>
      <w:r w:rsidRPr="00C240CB">
        <w:rPr>
          <w:i/>
          <w:color w:val="000000"/>
        </w:rPr>
        <w:t>See</w:t>
      </w:r>
      <w:r w:rsidRPr="00C240CB">
        <w:rPr>
          <w:color w:val="000000"/>
        </w:rPr>
        <w:t xml:space="preserve">, </w:t>
      </w:r>
      <w:r w:rsidRPr="00C240CB">
        <w:rPr>
          <w:i/>
          <w:color w:val="000000"/>
        </w:rPr>
        <w:t>e.g.</w:t>
      </w:r>
      <w:r w:rsidRPr="00C240CB">
        <w:rPr>
          <w:color w:val="000000"/>
        </w:rPr>
        <w:t xml:space="preserve">, </w:t>
      </w:r>
      <w:r w:rsidRPr="00C240CB">
        <w:rPr>
          <w:i/>
          <w:color w:val="000000"/>
        </w:rPr>
        <w:t>Sprint Nextel/Clearwire Order</w:t>
      </w:r>
      <w:r w:rsidRPr="00C240CB">
        <w:rPr>
          <w:color w:val="000000"/>
        </w:rPr>
        <w:t>, 23 FCC Rcd at 17582</w:t>
      </w:r>
      <w:r w:rsidRPr="00C240CB">
        <w:rPr>
          <w:color w:val="000000"/>
        </w:rPr>
        <w:noBreakHyphen/>
        <w:t xml:space="preserve">83, para. 23; </w:t>
      </w:r>
      <w:r w:rsidRPr="00C240CB">
        <w:rPr>
          <w:i/>
          <w:color w:val="000000"/>
        </w:rPr>
        <w:t>Verizon Wireless/ALLTEL Order</w:t>
      </w:r>
      <w:r w:rsidRPr="00C240CB">
        <w:rPr>
          <w:color w:val="000000"/>
        </w:rPr>
        <w:t>, 23 FCC Rcd at 17464, para. 31.</w:t>
      </w:r>
    </w:p>
  </w:footnote>
  <w:footnote w:id="43">
    <w:p w14:paraId="0C0A5A66" w14:textId="77777777" w:rsidR="001377FD" w:rsidRPr="00C240CB" w:rsidRDefault="001377FD" w:rsidP="001377FD">
      <w:pPr>
        <w:pStyle w:val="FootnoteText"/>
      </w:pPr>
      <w:r w:rsidRPr="00C240CB">
        <w:rPr>
          <w:rStyle w:val="FootnoteReference"/>
        </w:rPr>
        <w:footnoteRef/>
      </w:r>
      <w:r w:rsidRPr="00C240CB">
        <w:t xml:space="preserve"> </w:t>
      </w:r>
      <w:r w:rsidRPr="00C240CB">
        <w:rPr>
          <w:color w:val="000000"/>
        </w:rPr>
        <w:t>47 U.S.C. § 310(d).</w:t>
      </w:r>
    </w:p>
  </w:footnote>
  <w:footnote w:id="44">
    <w:p w14:paraId="043AAFBC" w14:textId="77777777" w:rsidR="001377FD" w:rsidRPr="00C240CB" w:rsidRDefault="001377FD" w:rsidP="001377FD">
      <w:pPr>
        <w:pStyle w:val="FootnoteText"/>
        <w:rPr>
          <w:bCs/>
          <w:iCs/>
          <w:color w:val="000000"/>
        </w:rPr>
      </w:pPr>
      <w:r w:rsidRPr="00C240CB">
        <w:rPr>
          <w:rStyle w:val="FootnoteReference"/>
          <w:color w:val="000000"/>
        </w:rPr>
        <w:footnoteRef/>
      </w:r>
      <w:r w:rsidRPr="00C240CB">
        <w:rPr>
          <w:color w:val="000000"/>
        </w:rPr>
        <w:t xml:space="preserve"> 47 U.S.C. § 308; </w:t>
      </w:r>
      <w:r w:rsidRPr="00C240CB">
        <w:rPr>
          <w:i/>
          <w:iCs/>
          <w:color w:val="000000"/>
        </w:rPr>
        <w:t xml:space="preserve">AT&amp;T/BellSouth Order, </w:t>
      </w:r>
      <w:r w:rsidRPr="00C240CB">
        <w:rPr>
          <w:color w:val="000000"/>
        </w:rPr>
        <w:t xml:space="preserve">22 FCC Rcd at 5756, para. 190.  </w:t>
      </w:r>
      <w:r w:rsidRPr="00C240CB">
        <w:rPr>
          <w:i/>
          <w:color w:val="000000"/>
        </w:rPr>
        <w:t>See Applications of Ameritech Corp., Transferor, and SBC Communications Inc., Transferee</w:t>
      </w:r>
      <w:r w:rsidRPr="00C240CB">
        <w:rPr>
          <w:color w:val="000000"/>
        </w:rPr>
        <w:t>, CC Docket No. 98-141, Memorandum Opinion and Order, 14 FCC Rcd 14712, 14947-48, para. 568 (1999)</w:t>
      </w:r>
      <w:r w:rsidRPr="00C240CB">
        <w:rPr>
          <w:bCs/>
          <w:iCs/>
          <w:color w:val="000000"/>
        </w:rPr>
        <w:t xml:space="preserve">; </w:t>
      </w:r>
      <w:r w:rsidRPr="00C240CB">
        <w:rPr>
          <w:i/>
          <w:iCs/>
          <w:color w:val="000000"/>
        </w:rPr>
        <w:t xml:space="preserve">see </w:t>
      </w:r>
      <w:r>
        <w:rPr>
          <w:i/>
          <w:iCs/>
          <w:color w:val="000000"/>
        </w:rPr>
        <w:t xml:space="preserve">also </w:t>
      </w:r>
      <w:r w:rsidRPr="00C240CB">
        <w:rPr>
          <w:color w:val="000000"/>
        </w:rPr>
        <w:t>47 U.S.C. § 310(d).</w:t>
      </w:r>
    </w:p>
  </w:footnote>
  <w:footnote w:id="45">
    <w:p w14:paraId="5A746702" w14:textId="77777777" w:rsidR="001377FD" w:rsidRPr="00C240CB" w:rsidRDefault="001377FD" w:rsidP="001377FD">
      <w:pPr>
        <w:pStyle w:val="FootnoteText"/>
        <w:rPr>
          <w:color w:val="000000"/>
        </w:rPr>
      </w:pPr>
      <w:r w:rsidRPr="00C240CB">
        <w:rPr>
          <w:rStyle w:val="FootnoteReference"/>
          <w:color w:val="000000"/>
        </w:rPr>
        <w:footnoteRef/>
      </w:r>
      <w:r w:rsidRPr="00C240CB">
        <w:rPr>
          <w:color w:val="000000"/>
        </w:rPr>
        <w:t xml:space="preserve"> 47 U.S.C. §§ 308(b) (“All applications for station licenses, or modifications or renewals thereof, shall set forth such facts as the Commission by regulation may prescribe as to the citizenship, character, and financial, technical, and other qualifications of the applicant to operate the station . . .”), 310(d); 47 C.F.R. § 63.03(c)(1)(v) (stating that the Commission, acting through the Chief of the Wireline Competition Bureau, may determine that an application “requires further analysis to determine whether a proposed transfer of control would serve the public interest”).  </w:t>
      </w:r>
      <w:r w:rsidRPr="00C240CB">
        <w:rPr>
          <w:i/>
          <w:color w:val="000000"/>
        </w:rPr>
        <w:t>S</w:t>
      </w:r>
      <w:r w:rsidRPr="00C240CB">
        <w:rPr>
          <w:i/>
          <w:iCs/>
          <w:color w:val="000000"/>
        </w:rPr>
        <w:t xml:space="preserve">ee AT&amp;T/BellSouth Order, </w:t>
      </w:r>
      <w:r w:rsidRPr="00C240CB">
        <w:rPr>
          <w:color w:val="000000"/>
        </w:rPr>
        <w:t xml:space="preserve">22 FCC Rcd at 5756, para. 191; </w:t>
      </w:r>
      <w:r w:rsidRPr="00C240CB">
        <w:rPr>
          <w:i/>
          <w:iCs/>
          <w:color w:val="000000"/>
        </w:rPr>
        <w:t>Applications of SBC Communications Inc. and BellSouth Corporation for Consent to Transfer of Control or Assignment of Licenses and Authorizations</w:t>
      </w:r>
      <w:r w:rsidRPr="00C240CB">
        <w:rPr>
          <w:color w:val="000000"/>
        </w:rPr>
        <w:t>, WT Docket No. 00-81, Memorandum Opinion and Order, 15 FCC</w:t>
      </w:r>
      <w:r>
        <w:rPr>
          <w:color w:val="000000"/>
        </w:rPr>
        <w:t xml:space="preserve"> Rcd 25459, 25465, para. 14 (Wireless Telecom. Bur., International Bur.</w:t>
      </w:r>
      <w:r w:rsidRPr="00C240CB">
        <w:rPr>
          <w:color w:val="000000"/>
        </w:rPr>
        <w:t xml:space="preserve"> 2000).</w:t>
      </w:r>
    </w:p>
  </w:footnote>
  <w:footnote w:id="46">
    <w:p w14:paraId="3EA09BE8" w14:textId="5FAEB3D1" w:rsidR="001377FD" w:rsidRDefault="001377FD" w:rsidP="001377FD">
      <w:pPr>
        <w:pStyle w:val="FootnoteText"/>
      </w:pPr>
      <w:r>
        <w:rPr>
          <w:rStyle w:val="FootnoteReference"/>
        </w:rPr>
        <w:footnoteRef/>
      </w:r>
      <w:r>
        <w:t xml:space="preserve"> </w:t>
      </w:r>
      <w:r w:rsidRPr="00103418">
        <w:rPr>
          <w:i/>
        </w:rPr>
        <w:t>See Applications Filed by Frontier Communications Corporation and Verizon Communications Inc. for Assignment or Transfer of Control</w:t>
      </w:r>
      <w:r w:rsidRPr="00103418">
        <w:t xml:space="preserve">, WC Docket </w:t>
      </w:r>
      <w:r>
        <w:t xml:space="preserve">No. </w:t>
      </w:r>
      <w:r w:rsidRPr="00103418">
        <w:t>09-95, Memorandum Opinion and Order, 25 FCC Rcd</w:t>
      </w:r>
      <w:r>
        <w:t xml:space="preserve"> 5972,</w:t>
      </w:r>
      <w:r w:rsidRPr="00103418">
        <w:t xml:space="preserve">  59</w:t>
      </w:r>
      <w:r>
        <w:t>80-83</w:t>
      </w:r>
      <w:r w:rsidRPr="00103418">
        <w:t>, paras. 18-2</w:t>
      </w:r>
      <w:r>
        <w:t>4</w:t>
      </w:r>
      <w:r w:rsidRPr="00103418">
        <w:t xml:space="preserve"> (2010)</w:t>
      </w:r>
      <w:r>
        <w:t xml:space="preserve"> </w:t>
      </w:r>
      <w:r w:rsidRPr="00103418">
        <w:t xml:space="preserve">(explaining that the Commission accepts that all </w:t>
      </w:r>
      <w:r>
        <w:t>transaction</w:t>
      </w:r>
      <w:r w:rsidRPr="00103418">
        <w:t xml:space="preserve">s carry risks and that all companies are vulnerable to unforeseen events, but that Frontier, as the acquiring company, demonstrated that it was likely to be able to expand broadband and meet service quality commitments based on financial conditions at the time it entered into the </w:t>
      </w:r>
      <w:r>
        <w:t>transaction</w:t>
      </w:r>
      <w:r w:rsidRPr="00103418">
        <w:t>).</w:t>
      </w:r>
    </w:p>
  </w:footnote>
  <w:footnote w:id="47">
    <w:p w14:paraId="3289E780" w14:textId="77777777" w:rsidR="001377FD" w:rsidRPr="00046970" w:rsidRDefault="001377FD" w:rsidP="001377FD">
      <w:pPr>
        <w:pStyle w:val="FootnoteText"/>
      </w:pPr>
      <w:r>
        <w:rPr>
          <w:rStyle w:val="FootnoteReference"/>
        </w:rPr>
        <w:footnoteRef/>
      </w:r>
      <w:r>
        <w:t xml:space="preserve"> </w:t>
      </w:r>
      <w:r>
        <w:rPr>
          <w:i/>
        </w:rPr>
        <w:t>See infra</w:t>
      </w:r>
      <w:r>
        <w:t xml:space="preserve"> paras. </w:t>
      </w:r>
      <w:r>
        <w:fldChar w:fldCharType="begin"/>
      </w:r>
      <w:r>
        <w:instrText xml:space="preserve"> REF _Ref432505043 \r \h </w:instrText>
      </w:r>
      <w:r>
        <w:fldChar w:fldCharType="separate"/>
      </w:r>
      <w:r>
        <w:t>19</w:t>
      </w:r>
      <w:r>
        <w:fldChar w:fldCharType="end"/>
      </w:r>
      <w:r>
        <w:t>-</w:t>
      </w:r>
      <w:r>
        <w:fldChar w:fldCharType="begin"/>
      </w:r>
      <w:r>
        <w:instrText xml:space="preserve"> REF _Ref432505105 \r \h </w:instrText>
      </w:r>
      <w:r>
        <w:fldChar w:fldCharType="separate"/>
      </w:r>
      <w:r>
        <w:t>23</w:t>
      </w:r>
      <w:r>
        <w:fldChar w:fldCharType="end"/>
      </w:r>
      <w:r>
        <w:t>; Application at 6-7; Applicants’ Reply at 7.</w:t>
      </w:r>
    </w:p>
  </w:footnote>
  <w:footnote w:id="48">
    <w:p w14:paraId="6F82F9A1" w14:textId="77777777" w:rsidR="001377FD" w:rsidRPr="00C240CB" w:rsidRDefault="001377FD" w:rsidP="001377FD">
      <w:pPr>
        <w:pStyle w:val="FootnoteText"/>
      </w:pPr>
      <w:r w:rsidRPr="00C240CB">
        <w:rPr>
          <w:rStyle w:val="FootnoteReference"/>
        </w:rPr>
        <w:footnoteRef/>
      </w:r>
      <w:r w:rsidRPr="00C240CB">
        <w:t xml:space="preserve"> </w:t>
      </w:r>
      <w:r w:rsidRPr="00C240CB">
        <w:rPr>
          <w:i/>
        </w:rPr>
        <w:t xml:space="preserve">See </w:t>
      </w:r>
      <w:r>
        <w:t>Applicants’ Sept. 28</w:t>
      </w:r>
      <w:r w:rsidRPr="00C240CB">
        <w:t xml:space="preserve"> Supplement.</w:t>
      </w:r>
    </w:p>
  </w:footnote>
  <w:footnote w:id="49">
    <w:p w14:paraId="0EAF976B" w14:textId="77777777" w:rsidR="001377FD" w:rsidRPr="00C240CB" w:rsidRDefault="001377FD" w:rsidP="001377FD">
      <w:pPr>
        <w:pStyle w:val="FootnoteText"/>
      </w:pPr>
      <w:r w:rsidRPr="00C240CB">
        <w:rPr>
          <w:rStyle w:val="FootnoteReference"/>
        </w:rPr>
        <w:footnoteRef/>
      </w:r>
      <w:r w:rsidRPr="00C240CB">
        <w:t xml:space="preserve"> </w:t>
      </w:r>
      <w:r w:rsidRPr="00C240CB">
        <w:rPr>
          <w:i/>
        </w:rPr>
        <w:t xml:space="preserve">See infra </w:t>
      </w:r>
      <w:r>
        <w:t>para.</w:t>
      </w:r>
      <w:r w:rsidRPr="00C240CB">
        <w:t xml:space="preserve"> </w:t>
      </w:r>
      <w:r w:rsidRPr="00C240CB">
        <w:fldChar w:fldCharType="begin"/>
      </w:r>
      <w:r w:rsidRPr="00C240CB">
        <w:instrText xml:space="preserve"> REF _Ref431814807 \r \h  \* MERGEFORMAT </w:instrText>
      </w:r>
      <w:r w:rsidRPr="00C240CB">
        <w:fldChar w:fldCharType="separate"/>
      </w:r>
      <w:r>
        <w:t>18</w:t>
      </w:r>
      <w:r w:rsidRPr="00C240CB">
        <w:fldChar w:fldCharType="end"/>
      </w:r>
      <w:r>
        <w:t>.</w:t>
      </w:r>
    </w:p>
  </w:footnote>
  <w:footnote w:id="50">
    <w:p w14:paraId="01509627" w14:textId="77777777" w:rsidR="001377FD" w:rsidRPr="00C240CB" w:rsidRDefault="001377FD" w:rsidP="001377FD">
      <w:pPr>
        <w:pStyle w:val="FootnoteText"/>
      </w:pPr>
      <w:r w:rsidRPr="00C240CB">
        <w:rPr>
          <w:rStyle w:val="FootnoteReference"/>
        </w:rPr>
        <w:footnoteRef/>
      </w:r>
      <w:r w:rsidRPr="00C240CB">
        <w:t xml:space="preserve"> The Commission has stated that </w:t>
      </w:r>
      <w:r w:rsidRPr="00C240CB">
        <w:rPr>
          <w:color w:val="000000"/>
        </w:rPr>
        <w:t xml:space="preserve">a </w:t>
      </w:r>
      <w:r>
        <w:rPr>
          <w:color w:val="000000"/>
        </w:rPr>
        <w:t>transaction</w:t>
      </w:r>
      <w:r w:rsidRPr="00C240CB">
        <w:rPr>
          <w:color w:val="000000"/>
        </w:rPr>
        <w:t xml:space="preserve"> is considered to be horizontal when the parties to the </w:t>
      </w:r>
      <w:r>
        <w:rPr>
          <w:color w:val="000000"/>
        </w:rPr>
        <w:t>transaction</w:t>
      </w:r>
      <w:r w:rsidRPr="00C240CB">
        <w:rPr>
          <w:color w:val="000000"/>
        </w:rPr>
        <w:t xml:space="preserve"> sell products that are in the same relevant product and geographic markets.  </w:t>
      </w:r>
      <w:r w:rsidRPr="00C240CB">
        <w:rPr>
          <w:i/>
          <w:color w:val="000000"/>
        </w:rPr>
        <w:t>See</w:t>
      </w:r>
      <w:r w:rsidRPr="00C240CB">
        <w:rPr>
          <w:color w:val="000000"/>
        </w:rPr>
        <w:t xml:space="preserve">, </w:t>
      </w:r>
      <w:r w:rsidRPr="00C240CB">
        <w:rPr>
          <w:i/>
          <w:color w:val="000000"/>
        </w:rPr>
        <w:t>e.g.</w:t>
      </w:r>
      <w:r w:rsidRPr="00C240CB">
        <w:rPr>
          <w:color w:val="000000"/>
        </w:rPr>
        <w:t>,</w:t>
      </w:r>
      <w:r w:rsidRPr="00C240CB">
        <w:rPr>
          <w:iCs/>
          <w:color w:val="000000"/>
        </w:rPr>
        <w:t xml:space="preserve"> </w:t>
      </w:r>
      <w:r w:rsidRPr="00C240CB">
        <w:rPr>
          <w:i/>
          <w:iCs/>
          <w:color w:val="000000"/>
        </w:rPr>
        <w:t xml:space="preserve">AT&amp;T/BellSouth Order, </w:t>
      </w:r>
      <w:r w:rsidRPr="00C240CB">
        <w:rPr>
          <w:color w:val="000000"/>
        </w:rPr>
        <w:t>22 FCC Rcd at 5675, para. 23 &amp; n.82.</w:t>
      </w:r>
    </w:p>
  </w:footnote>
  <w:footnote w:id="51">
    <w:p w14:paraId="0B9D0514" w14:textId="64BA8450" w:rsidR="001377FD" w:rsidRDefault="001377FD" w:rsidP="001377FD">
      <w:pPr>
        <w:pStyle w:val="FootnoteText"/>
      </w:pPr>
      <w:r>
        <w:rPr>
          <w:rStyle w:val="FootnoteReference"/>
        </w:rPr>
        <w:footnoteRef/>
      </w:r>
      <w:r>
        <w:t xml:space="preserve"> </w:t>
      </w:r>
      <w:r>
        <w:rPr>
          <w:i/>
        </w:rPr>
        <w:t>See</w:t>
      </w:r>
      <w:r>
        <w:t xml:space="preserve"> </w:t>
      </w:r>
      <w:r w:rsidRPr="00AB140F">
        <w:rPr>
          <w:i/>
        </w:rPr>
        <w:t>Applications of Comcast Corporation, General Electric Company, and NBC Universal, Inc. for Consent to Assign Licenses and Transfer Control of Licensees</w:t>
      </w:r>
      <w:r w:rsidRPr="00AB140F">
        <w:t>, MB Docket No. 10-56, Memorandum Opinion and Order, 26 FCC Rcd 4238, 42</w:t>
      </w:r>
      <w:r>
        <w:t>50</w:t>
      </w:r>
      <w:r w:rsidR="004C6214">
        <w:t>,</w:t>
      </w:r>
      <w:r>
        <w:t xml:space="preserve"> para. 27 (2011); </w:t>
      </w:r>
      <w:r>
        <w:rPr>
          <w:i/>
        </w:rPr>
        <w:t xml:space="preserve">Applications for Consent to the Transfer of Control of Licenses, XM Satellite Radio Holdings Inc., Transferor, to </w:t>
      </w:r>
      <w:r>
        <w:rPr>
          <w:i/>
          <w:spacing w:val="-2"/>
        </w:rPr>
        <w:t xml:space="preserve">Sirius Satellite Radio Inc., </w:t>
      </w:r>
      <w:r>
        <w:rPr>
          <w:i/>
        </w:rPr>
        <w:t>Transferee</w:t>
      </w:r>
      <w:r>
        <w:t xml:space="preserve">, </w:t>
      </w:r>
      <w:r w:rsidR="000F21CF">
        <w:t xml:space="preserve">MB Docket No. 07-57, </w:t>
      </w:r>
      <w:r>
        <w:t>Memorandum Opinion and Order and Report and Order, 23 FCC Rcd 12348, 12367</w:t>
      </w:r>
      <w:r w:rsidR="000F21CF">
        <w:t>,</w:t>
      </w:r>
      <w:r>
        <w:t xml:space="preserve"> para. 36 (2008); </w:t>
      </w:r>
      <w:r>
        <w:rPr>
          <w:smallCaps/>
        </w:rPr>
        <w:t>Kip Viscusi, John M. Vernon and Joseph E. Harrington, Jr., Econ. of Reg. and Antitrust 192, 233</w:t>
      </w:r>
      <w:r>
        <w:t xml:space="preserve"> (3d ed. 2000).</w:t>
      </w:r>
    </w:p>
  </w:footnote>
  <w:footnote w:id="52">
    <w:p w14:paraId="21D87881" w14:textId="77777777" w:rsidR="001377FD" w:rsidRPr="00C240CB" w:rsidRDefault="001377FD" w:rsidP="001377FD">
      <w:pPr>
        <w:pStyle w:val="FootnoteText"/>
        <w:rPr>
          <w:color w:val="000000"/>
        </w:rPr>
      </w:pPr>
      <w:r w:rsidRPr="00C240CB">
        <w:rPr>
          <w:rStyle w:val="FootnoteCharacters"/>
          <w:color w:val="000000"/>
        </w:rPr>
        <w:footnoteRef/>
      </w:r>
      <w:r>
        <w:rPr>
          <w:color w:val="000000"/>
        </w:rPr>
        <w:t xml:space="preserve"> Applications</w:t>
      </w:r>
      <w:r w:rsidRPr="00C240CB">
        <w:rPr>
          <w:color w:val="000000"/>
        </w:rPr>
        <w:t xml:space="preserve"> at 14-15, 18.</w:t>
      </w:r>
    </w:p>
  </w:footnote>
  <w:footnote w:id="53">
    <w:p w14:paraId="0893C099" w14:textId="6272CE46" w:rsidR="001377FD" w:rsidRPr="00C240CB" w:rsidRDefault="001377FD" w:rsidP="001377FD">
      <w:pPr>
        <w:pStyle w:val="FootnoteText"/>
      </w:pPr>
      <w:r w:rsidRPr="00C240CB">
        <w:rPr>
          <w:rStyle w:val="FootnoteReference"/>
        </w:rPr>
        <w:footnoteRef/>
      </w:r>
      <w:r w:rsidRPr="00C240CB">
        <w:t xml:space="preserve"> </w:t>
      </w:r>
      <w:r w:rsidRPr="00C240CB">
        <w:rPr>
          <w:i/>
          <w:iCs/>
        </w:rPr>
        <w:t>See</w:t>
      </w:r>
      <w:r w:rsidRPr="00C240CB">
        <w:t xml:space="preserve"> </w:t>
      </w:r>
      <w:r>
        <w:rPr>
          <w:i/>
        </w:rPr>
        <w:t>AT&amp;T/DIRECTV Order</w:t>
      </w:r>
      <w:r>
        <w:t xml:space="preserve">, 30 FCC Rcd at 9187, 9190, paras. 146-47, 155 </w:t>
      </w:r>
      <w:r w:rsidRPr="00C240CB">
        <w:t xml:space="preserve">(finding that although the </w:t>
      </w:r>
      <w:r>
        <w:t>transaction</w:t>
      </w:r>
      <w:r w:rsidRPr="00C240CB">
        <w:t xml:space="preserve"> would result in some loss of competition between AT&amp;T and DIRECTV, which provided overlapping video services, the </w:t>
      </w:r>
      <w:r>
        <w:t>transaction</w:t>
      </w:r>
      <w:r w:rsidRPr="00C240CB">
        <w:t xml:space="preserve"> did not result in harmful horizontal effects because the parties focused their marketing efforts on customers of cable companies, which they considered to be their primary competitors, and because AT&amp;T’s wireline and DIRECTV’s satellite video services were not “particularly close substitutes”).  </w:t>
      </w:r>
    </w:p>
  </w:footnote>
  <w:footnote w:id="54">
    <w:p w14:paraId="2750739B" w14:textId="77777777" w:rsidR="001377FD" w:rsidRPr="00C240CB" w:rsidRDefault="001377FD" w:rsidP="001377FD">
      <w:pPr>
        <w:pStyle w:val="FootnoteText"/>
      </w:pPr>
      <w:r w:rsidRPr="00C240CB">
        <w:rPr>
          <w:rStyle w:val="FootnoteReference"/>
        </w:rPr>
        <w:footnoteRef/>
      </w:r>
      <w:r w:rsidRPr="00C240CB">
        <w:t xml:space="preserve"> C</w:t>
      </w:r>
      <w:r>
        <w:t xml:space="preserve">ounty of Humboldt Comments at 1; </w:t>
      </w:r>
      <w:r w:rsidRPr="00C240CB">
        <w:t>Access Humboldt Reply at 2.</w:t>
      </w:r>
    </w:p>
  </w:footnote>
  <w:footnote w:id="55">
    <w:p w14:paraId="546FBE1D" w14:textId="5254C1E4" w:rsidR="001377FD" w:rsidRDefault="001377FD" w:rsidP="001377FD">
      <w:pPr>
        <w:pStyle w:val="FootnoteText"/>
      </w:pPr>
      <w:r>
        <w:rPr>
          <w:rStyle w:val="FootnoteReference"/>
        </w:rPr>
        <w:footnoteRef/>
      </w:r>
      <w:r>
        <w:t xml:space="preserve"> County of Humboldt Comments at 1; Applicants</w:t>
      </w:r>
      <w:r w:rsidR="000F21CF">
        <w:t>’</w:t>
      </w:r>
      <w:r>
        <w:t xml:space="preserve"> Reply at 6. </w:t>
      </w:r>
    </w:p>
  </w:footnote>
  <w:footnote w:id="56">
    <w:p w14:paraId="5DDD3497" w14:textId="77777777" w:rsidR="001377FD" w:rsidRPr="00C240CB" w:rsidRDefault="001377FD" w:rsidP="001377FD">
      <w:pPr>
        <w:pStyle w:val="FootnoteText"/>
      </w:pPr>
      <w:r w:rsidRPr="00C240CB">
        <w:rPr>
          <w:rStyle w:val="FootnoteReference"/>
        </w:rPr>
        <w:footnoteRef/>
      </w:r>
      <w:r w:rsidRPr="00C240CB">
        <w:t xml:space="preserve"> CETF Comments at 2-4.</w:t>
      </w:r>
    </w:p>
  </w:footnote>
  <w:footnote w:id="57">
    <w:p w14:paraId="0A37631E" w14:textId="4B438C40" w:rsidR="001377FD" w:rsidRPr="00C240CB" w:rsidRDefault="001377FD" w:rsidP="001377FD">
      <w:pPr>
        <w:pStyle w:val="FootnoteText"/>
      </w:pPr>
      <w:r w:rsidRPr="00C240CB">
        <w:rPr>
          <w:rStyle w:val="FootnoteReference"/>
        </w:rPr>
        <w:footnoteRef/>
      </w:r>
      <w:r w:rsidRPr="00C240CB">
        <w:t xml:space="preserve"> </w:t>
      </w:r>
      <w:r w:rsidRPr="00C240CB">
        <w:rPr>
          <w:i/>
        </w:rPr>
        <w:t xml:space="preserve">See </w:t>
      </w:r>
      <w:r>
        <w:rPr>
          <w:i/>
        </w:rPr>
        <w:t xml:space="preserve">AT&amp;T/DIRECTV Order, </w:t>
      </w:r>
      <w:r w:rsidRPr="00497284">
        <w:t xml:space="preserve">30 FCC Rcd </w:t>
      </w:r>
      <w:r>
        <w:t>at 9195</w:t>
      </w:r>
      <w:r w:rsidR="000F21CF">
        <w:t>, para. 170</w:t>
      </w:r>
      <w:r>
        <w:t xml:space="preserve"> n.476;</w:t>
      </w:r>
      <w:r w:rsidRPr="00C240CB">
        <w:t xml:space="preserve"> </w:t>
      </w:r>
      <w:r w:rsidRPr="00C240CB">
        <w:rPr>
          <w:i/>
        </w:rPr>
        <w:t xml:space="preserve">see also </w:t>
      </w:r>
      <w:r w:rsidRPr="00885636">
        <w:rPr>
          <w:i/>
          <w:snapToGrid w:val="0"/>
          <w:kern w:val="28"/>
        </w:rPr>
        <w:t xml:space="preserve">Applications of Softbank Corp., Starburst II, Inc., Sprint Nextel Corporation, and Clearwire Corporation for Consent to Transfer Control of Licenses and Authorizations; Petitions for Reconsideration of Applications of Clearwire Corporation for </w:t>
      </w:r>
      <w:r w:rsidRPr="00885636">
        <w:rPr>
          <w:i/>
          <w:iCs/>
          <w:snapToGrid w:val="0"/>
          <w:kern w:val="28"/>
        </w:rPr>
        <w:t xml:space="preserve">Pro Forma </w:t>
      </w:r>
      <w:r w:rsidRPr="00885636">
        <w:rPr>
          <w:i/>
          <w:snapToGrid w:val="0"/>
          <w:kern w:val="28"/>
        </w:rPr>
        <w:t>Transfer of Control</w:t>
      </w:r>
      <w:r w:rsidRPr="00885636">
        <w:rPr>
          <w:snapToGrid w:val="0"/>
          <w:kern w:val="28"/>
        </w:rPr>
        <w:t>, IB Docket No. 12-343, Memorandum Opinion and Order, </w:t>
      </w:r>
      <w:r w:rsidRPr="00885636">
        <w:rPr>
          <w:iCs/>
          <w:snapToGrid w:val="0"/>
          <w:kern w:val="28"/>
        </w:rPr>
        <w:t>Declaratory Ruling, and Order on Reconsideration</w:t>
      </w:r>
      <w:r w:rsidRPr="00885636">
        <w:rPr>
          <w:snapToGrid w:val="0"/>
          <w:kern w:val="28"/>
        </w:rPr>
        <w:t xml:space="preserve">, 28 FCC Rcd 9642, </w:t>
      </w:r>
      <w:r>
        <w:rPr>
          <w:snapToGrid w:val="0"/>
          <w:kern w:val="28"/>
        </w:rPr>
        <w:t>9674</w:t>
      </w:r>
      <w:r w:rsidR="000F21CF">
        <w:rPr>
          <w:snapToGrid w:val="0"/>
          <w:kern w:val="28"/>
        </w:rPr>
        <w:t>, para. 81</w:t>
      </w:r>
      <w:r w:rsidRPr="00885636">
        <w:rPr>
          <w:snapToGrid w:val="0"/>
          <w:kern w:val="28"/>
        </w:rPr>
        <w:t xml:space="preserve"> (2013)</w:t>
      </w:r>
      <w:r w:rsidRPr="00C240CB">
        <w:rPr>
          <w:snapToGrid w:val="0"/>
          <w:kern w:val="28"/>
        </w:rPr>
        <w:t>.</w:t>
      </w:r>
    </w:p>
  </w:footnote>
  <w:footnote w:id="58">
    <w:p w14:paraId="09E23CB6" w14:textId="0E1291F8" w:rsidR="001377FD" w:rsidRPr="00C240CB" w:rsidRDefault="001377FD" w:rsidP="001377FD">
      <w:pPr>
        <w:widowControl/>
        <w:spacing w:after="120"/>
        <w:rPr>
          <w:snapToGrid/>
          <w:color w:val="252525"/>
          <w:kern w:val="0"/>
          <w:sz w:val="20"/>
        </w:rPr>
      </w:pPr>
      <w:r w:rsidRPr="00C240CB">
        <w:rPr>
          <w:rStyle w:val="FootnoteReference"/>
        </w:rPr>
        <w:footnoteRef/>
      </w:r>
      <w:r w:rsidRPr="00C240CB">
        <w:rPr>
          <w:sz w:val="20"/>
        </w:rPr>
        <w:t xml:space="preserve"> </w:t>
      </w:r>
      <w:r w:rsidRPr="00C240CB">
        <w:rPr>
          <w:i/>
          <w:iCs/>
          <w:snapToGrid/>
          <w:kern w:val="0"/>
          <w:sz w:val="20"/>
        </w:rPr>
        <w:t>Applications of Cellco P’ship d/b/a Verizon Wireless &amp; Atlantis Holdings LLC</w:t>
      </w:r>
      <w:r w:rsidRPr="00C240CB">
        <w:rPr>
          <w:snapToGrid/>
          <w:kern w:val="0"/>
          <w:sz w:val="20"/>
        </w:rPr>
        <w:t xml:space="preserve">, </w:t>
      </w:r>
      <w:r w:rsidRPr="00C240CB">
        <w:rPr>
          <w:color w:val="252525"/>
          <w:sz w:val="20"/>
        </w:rPr>
        <w:t xml:space="preserve">WT Docket No. 08-95, </w:t>
      </w:r>
      <w:r>
        <w:rPr>
          <w:snapToGrid/>
          <w:kern w:val="0"/>
          <w:sz w:val="20"/>
        </w:rPr>
        <w:t>Memorandum Opinion and</w:t>
      </w:r>
      <w:r w:rsidRPr="00C240CB">
        <w:rPr>
          <w:snapToGrid/>
          <w:kern w:val="0"/>
          <w:sz w:val="20"/>
        </w:rPr>
        <w:t xml:space="preserve"> Order and Declaratory Ruling, 23 FCC Rcd 17444, 17463</w:t>
      </w:r>
      <w:r>
        <w:rPr>
          <w:snapToGrid/>
          <w:kern w:val="0"/>
          <w:sz w:val="20"/>
        </w:rPr>
        <w:t>, para. 30</w:t>
      </w:r>
      <w:r w:rsidRPr="00C240CB">
        <w:rPr>
          <w:snapToGrid/>
          <w:kern w:val="0"/>
          <w:sz w:val="20"/>
        </w:rPr>
        <w:t xml:space="preserve"> (2008); </w:t>
      </w:r>
      <w:r w:rsidRPr="00C240CB">
        <w:rPr>
          <w:i/>
          <w:iCs/>
          <w:snapToGrid/>
          <w:kern w:val="0"/>
          <w:sz w:val="20"/>
        </w:rPr>
        <w:t>see also</w:t>
      </w:r>
      <w:r w:rsidRPr="00C240CB">
        <w:rPr>
          <w:snapToGrid/>
          <w:kern w:val="0"/>
          <w:sz w:val="20"/>
        </w:rPr>
        <w:t xml:space="preserve"> </w:t>
      </w:r>
      <w:r w:rsidRPr="00E014C4">
        <w:rPr>
          <w:i/>
          <w:sz w:val="20"/>
        </w:rPr>
        <w:t xml:space="preserve">AT&amp;T/DIRECTV Order, </w:t>
      </w:r>
      <w:r>
        <w:rPr>
          <w:sz w:val="20"/>
        </w:rPr>
        <w:t xml:space="preserve">30 FCC Rcd </w:t>
      </w:r>
      <w:r w:rsidRPr="00E014C4">
        <w:rPr>
          <w:sz w:val="20"/>
        </w:rPr>
        <w:t>at 9233</w:t>
      </w:r>
      <w:r>
        <w:rPr>
          <w:sz w:val="20"/>
        </w:rPr>
        <w:t>, para. 264</w:t>
      </w:r>
      <w:r w:rsidRPr="00E014C4">
        <w:rPr>
          <w:sz w:val="20"/>
        </w:rPr>
        <w:t>;</w:t>
      </w:r>
      <w:r>
        <w:t xml:space="preserve"> </w:t>
      </w:r>
      <w:r w:rsidRPr="00C240CB">
        <w:rPr>
          <w:i/>
          <w:iCs/>
          <w:snapToGrid/>
          <w:kern w:val="0"/>
          <w:sz w:val="20"/>
        </w:rPr>
        <w:t>Domestic Section 214 Application Filed for the Transfer of Control of Hawaiian Telcom, Inc. &amp;</w:t>
      </w:r>
      <w:r w:rsidRPr="00C240CB">
        <w:rPr>
          <w:snapToGrid/>
          <w:kern w:val="0"/>
          <w:sz w:val="20"/>
        </w:rPr>
        <w:t xml:space="preserve"> </w:t>
      </w:r>
      <w:r w:rsidRPr="00C240CB">
        <w:rPr>
          <w:i/>
          <w:iCs/>
          <w:snapToGrid/>
          <w:kern w:val="0"/>
          <w:sz w:val="20"/>
        </w:rPr>
        <w:t>Hawaiian Telcom Servs. Co., Inc., Debtors-in-Possession</w:t>
      </w:r>
      <w:r w:rsidRPr="00C240CB">
        <w:rPr>
          <w:snapToGrid/>
          <w:kern w:val="0"/>
          <w:sz w:val="20"/>
        </w:rPr>
        <w:t xml:space="preserve">, </w:t>
      </w:r>
      <w:r w:rsidRPr="00C240CB">
        <w:rPr>
          <w:color w:val="252525"/>
          <w:sz w:val="20"/>
        </w:rPr>
        <w:t xml:space="preserve">WC Docket No. 10-41, </w:t>
      </w:r>
      <w:r w:rsidRPr="00C240CB">
        <w:rPr>
          <w:snapToGrid/>
          <w:kern w:val="0"/>
          <w:sz w:val="20"/>
        </w:rPr>
        <w:t>Public Notice, 25 FCC Rcd 13149, 13151 (W</w:t>
      </w:r>
      <w:r>
        <w:rPr>
          <w:snapToGrid/>
          <w:kern w:val="0"/>
          <w:sz w:val="20"/>
        </w:rPr>
        <w:t xml:space="preserve">ireline </w:t>
      </w:r>
      <w:r w:rsidRPr="00C240CB">
        <w:rPr>
          <w:snapToGrid/>
          <w:kern w:val="0"/>
          <w:sz w:val="20"/>
        </w:rPr>
        <w:t>C</w:t>
      </w:r>
      <w:r>
        <w:rPr>
          <w:snapToGrid/>
          <w:kern w:val="0"/>
          <w:sz w:val="20"/>
        </w:rPr>
        <w:t xml:space="preserve">omp. </w:t>
      </w:r>
      <w:r w:rsidRPr="00C240CB">
        <w:rPr>
          <w:snapToGrid/>
          <w:kern w:val="0"/>
          <w:sz w:val="20"/>
        </w:rPr>
        <w:t>B</w:t>
      </w:r>
      <w:r>
        <w:rPr>
          <w:snapToGrid/>
          <w:kern w:val="0"/>
          <w:sz w:val="20"/>
        </w:rPr>
        <w:t>ur.</w:t>
      </w:r>
      <w:r w:rsidRPr="00C240CB">
        <w:rPr>
          <w:snapToGrid/>
          <w:kern w:val="0"/>
          <w:sz w:val="20"/>
        </w:rPr>
        <w:t xml:space="preserve"> 2010); </w:t>
      </w:r>
      <w:r w:rsidRPr="00C240CB">
        <w:rPr>
          <w:i/>
          <w:iCs/>
          <w:snapToGrid/>
          <w:kern w:val="0"/>
          <w:sz w:val="20"/>
        </w:rPr>
        <w:t xml:space="preserve">Applications for Consent to the Assignment </w:t>
      </w:r>
      <w:r w:rsidR="000F21CF">
        <w:rPr>
          <w:i/>
          <w:iCs/>
          <w:snapToGrid/>
          <w:kern w:val="0"/>
          <w:sz w:val="20"/>
        </w:rPr>
        <w:t>and</w:t>
      </w:r>
      <w:r w:rsidRPr="00C240CB">
        <w:rPr>
          <w:i/>
          <w:iCs/>
          <w:snapToGrid/>
          <w:kern w:val="0"/>
          <w:sz w:val="20"/>
        </w:rPr>
        <w:t>/or Transfer of Control of Licenses</w:t>
      </w:r>
      <w:r w:rsidR="000F21CF">
        <w:rPr>
          <w:i/>
          <w:iCs/>
          <w:snapToGrid/>
          <w:kern w:val="0"/>
          <w:sz w:val="20"/>
        </w:rPr>
        <w:t>,</w:t>
      </w:r>
      <w:r w:rsidRPr="00C240CB">
        <w:rPr>
          <w:i/>
          <w:iCs/>
          <w:snapToGrid/>
          <w:kern w:val="0"/>
          <w:sz w:val="20"/>
        </w:rPr>
        <w:t xml:space="preserve"> Time</w:t>
      </w:r>
      <w:r w:rsidRPr="00C240CB">
        <w:rPr>
          <w:snapToGrid/>
          <w:kern w:val="0"/>
          <w:sz w:val="20"/>
        </w:rPr>
        <w:t xml:space="preserve"> </w:t>
      </w:r>
      <w:r w:rsidRPr="00C240CB">
        <w:rPr>
          <w:i/>
          <w:iCs/>
          <w:snapToGrid/>
          <w:kern w:val="0"/>
          <w:sz w:val="20"/>
        </w:rPr>
        <w:t xml:space="preserve">Warner Inc., </w:t>
      </w:r>
      <w:r w:rsidR="000F21CF">
        <w:rPr>
          <w:i/>
          <w:iCs/>
          <w:snapToGrid/>
          <w:kern w:val="0"/>
          <w:sz w:val="20"/>
        </w:rPr>
        <w:t>and</w:t>
      </w:r>
      <w:r w:rsidRPr="00C240CB">
        <w:rPr>
          <w:i/>
          <w:iCs/>
          <w:snapToGrid/>
          <w:kern w:val="0"/>
          <w:sz w:val="20"/>
        </w:rPr>
        <w:t xml:space="preserve"> its Subsidiaries</w:t>
      </w:r>
      <w:r w:rsidR="000F21CF">
        <w:rPr>
          <w:i/>
          <w:iCs/>
          <w:snapToGrid/>
          <w:kern w:val="0"/>
          <w:sz w:val="20"/>
        </w:rPr>
        <w:t>, to Time Warner Cable Inc., and its subsidiaries</w:t>
      </w:r>
      <w:r w:rsidR="000F21CF">
        <w:rPr>
          <w:iCs/>
          <w:snapToGrid/>
          <w:kern w:val="0"/>
          <w:sz w:val="20"/>
        </w:rPr>
        <w:t>,</w:t>
      </w:r>
      <w:r w:rsidRPr="00C240CB">
        <w:rPr>
          <w:snapToGrid/>
          <w:kern w:val="0"/>
          <w:sz w:val="20"/>
        </w:rPr>
        <w:t xml:space="preserve"> </w:t>
      </w:r>
      <w:r w:rsidRPr="00C240CB">
        <w:rPr>
          <w:snapToGrid/>
          <w:color w:val="252525"/>
          <w:kern w:val="0"/>
          <w:sz w:val="20"/>
        </w:rPr>
        <w:t xml:space="preserve">MB Docket No. 08-120, </w:t>
      </w:r>
      <w:r w:rsidRPr="00012FEE">
        <w:rPr>
          <w:snapToGrid/>
          <w:color w:val="252525"/>
          <w:kern w:val="0"/>
          <w:sz w:val="20"/>
        </w:rPr>
        <w:t>WC Docket No. 08-157</w:t>
      </w:r>
      <w:r w:rsidRPr="00C240CB">
        <w:rPr>
          <w:snapToGrid/>
          <w:color w:val="252525"/>
          <w:kern w:val="0"/>
          <w:sz w:val="20"/>
        </w:rPr>
        <w:t>,</w:t>
      </w:r>
      <w:r w:rsidRPr="00C240CB">
        <w:rPr>
          <w:snapToGrid/>
          <w:kern w:val="0"/>
          <w:sz w:val="20"/>
        </w:rPr>
        <w:t xml:space="preserve"> </w:t>
      </w:r>
      <w:r>
        <w:rPr>
          <w:snapToGrid/>
          <w:kern w:val="0"/>
          <w:sz w:val="20"/>
        </w:rPr>
        <w:t xml:space="preserve">Memorandum Opinion and Order, </w:t>
      </w:r>
      <w:r w:rsidRPr="00C240CB">
        <w:rPr>
          <w:snapToGrid/>
          <w:kern w:val="0"/>
          <w:sz w:val="20"/>
        </w:rPr>
        <w:t>24 FCC Rcd 879, 887</w:t>
      </w:r>
      <w:r>
        <w:rPr>
          <w:snapToGrid/>
          <w:kern w:val="0"/>
          <w:sz w:val="20"/>
        </w:rPr>
        <w:t>, para 13</w:t>
      </w:r>
      <w:r w:rsidRPr="00C240CB">
        <w:rPr>
          <w:snapToGrid/>
          <w:kern w:val="0"/>
          <w:sz w:val="20"/>
        </w:rPr>
        <w:t xml:space="preserve"> (M</w:t>
      </w:r>
      <w:r>
        <w:rPr>
          <w:snapToGrid/>
          <w:kern w:val="0"/>
          <w:sz w:val="20"/>
        </w:rPr>
        <w:t xml:space="preserve">edia </w:t>
      </w:r>
      <w:r w:rsidRPr="00C240CB">
        <w:rPr>
          <w:snapToGrid/>
          <w:kern w:val="0"/>
          <w:sz w:val="20"/>
        </w:rPr>
        <w:t>B</w:t>
      </w:r>
      <w:r>
        <w:rPr>
          <w:snapToGrid/>
          <w:kern w:val="0"/>
          <w:sz w:val="20"/>
        </w:rPr>
        <w:t>ur.</w:t>
      </w:r>
      <w:r w:rsidRPr="00C240CB">
        <w:rPr>
          <w:snapToGrid/>
          <w:kern w:val="0"/>
          <w:sz w:val="20"/>
        </w:rPr>
        <w:t>, W</w:t>
      </w:r>
      <w:r>
        <w:rPr>
          <w:snapToGrid/>
          <w:kern w:val="0"/>
          <w:sz w:val="20"/>
        </w:rPr>
        <w:t xml:space="preserve">ireline </w:t>
      </w:r>
      <w:r w:rsidRPr="00C240CB">
        <w:rPr>
          <w:snapToGrid/>
          <w:kern w:val="0"/>
          <w:sz w:val="20"/>
        </w:rPr>
        <w:t>C</w:t>
      </w:r>
      <w:r>
        <w:rPr>
          <w:snapToGrid/>
          <w:kern w:val="0"/>
          <w:sz w:val="20"/>
        </w:rPr>
        <w:t xml:space="preserve">omp. </w:t>
      </w:r>
      <w:r w:rsidRPr="00C240CB">
        <w:rPr>
          <w:snapToGrid/>
          <w:kern w:val="0"/>
          <w:sz w:val="20"/>
        </w:rPr>
        <w:t>B</w:t>
      </w:r>
      <w:r>
        <w:rPr>
          <w:snapToGrid/>
          <w:kern w:val="0"/>
          <w:sz w:val="20"/>
        </w:rPr>
        <w:t>ur.</w:t>
      </w:r>
      <w:r w:rsidRPr="00C240CB">
        <w:rPr>
          <w:snapToGrid/>
          <w:kern w:val="0"/>
          <w:sz w:val="20"/>
        </w:rPr>
        <w:t>, W</w:t>
      </w:r>
      <w:r>
        <w:rPr>
          <w:snapToGrid/>
          <w:kern w:val="0"/>
          <w:sz w:val="20"/>
        </w:rPr>
        <w:t xml:space="preserve">ireless </w:t>
      </w:r>
      <w:r w:rsidRPr="00C240CB">
        <w:rPr>
          <w:snapToGrid/>
          <w:kern w:val="0"/>
          <w:sz w:val="20"/>
        </w:rPr>
        <w:t>T</w:t>
      </w:r>
      <w:r>
        <w:rPr>
          <w:snapToGrid/>
          <w:kern w:val="0"/>
          <w:sz w:val="20"/>
        </w:rPr>
        <w:t xml:space="preserve">elecom. </w:t>
      </w:r>
      <w:r w:rsidRPr="00C240CB">
        <w:rPr>
          <w:snapToGrid/>
          <w:kern w:val="0"/>
          <w:sz w:val="20"/>
        </w:rPr>
        <w:t>B</w:t>
      </w:r>
      <w:r>
        <w:rPr>
          <w:snapToGrid/>
          <w:kern w:val="0"/>
          <w:sz w:val="20"/>
        </w:rPr>
        <w:t xml:space="preserve">ur., </w:t>
      </w:r>
      <w:r w:rsidRPr="00C240CB">
        <w:rPr>
          <w:snapToGrid/>
          <w:kern w:val="0"/>
          <w:sz w:val="20"/>
        </w:rPr>
        <w:t>I</w:t>
      </w:r>
      <w:r>
        <w:rPr>
          <w:snapToGrid/>
          <w:kern w:val="0"/>
          <w:sz w:val="20"/>
        </w:rPr>
        <w:t xml:space="preserve">nternational </w:t>
      </w:r>
      <w:r w:rsidRPr="00C240CB">
        <w:rPr>
          <w:snapToGrid/>
          <w:kern w:val="0"/>
          <w:sz w:val="20"/>
        </w:rPr>
        <w:t>B</w:t>
      </w:r>
      <w:r>
        <w:rPr>
          <w:snapToGrid/>
          <w:kern w:val="0"/>
          <w:sz w:val="20"/>
        </w:rPr>
        <w:t>ur.</w:t>
      </w:r>
      <w:r w:rsidRPr="00C240CB">
        <w:rPr>
          <w:snapToGrid/>
          <w:kern w:val="0"/>
          <w:sz w:val="20"/>
        </w:rPr>
        <w:t xml:space="preserve"> 2009) (“[T]he Commission has held that it will impose conditions only to remedy harms that arise from the </w:t>
      </w:r>
      <w:r>
        <w:rPr>
          <w:snapToGrid/>
          <w:kern w:val="0"/>
          <w:sz w:val="20"/>
        </w:rPr>
        <w:t>transaction</w:t>
      </w:r>
      <w:r w:rsidRPr="00C240CB">
        <w:rPr>
          <w:snapToGrid/>
          <w:kern w:val="0"/>
          <w:sz w:val="20"/>
        </w:rPr>
        <w:t xml:space="preserve"> (i.e., </w:t>
      </w:r>
      <w:r>
        <w:rPr>
          <w:snapToGrid/>
          <w:kern w:val="0"/>
          <w:sz w:val="20"/>
        </w:rPr>
        <w:t>transaction</w:t>
      </w:r>
      <w:r w:rsidRPr="00C240CB">
        <w:rPr>
          <w:snapToGrid/>
          <w:kern w:val="0"/>
          <w:sz w:val="20"/>
        </w:rPr>
        <w:t>-specific harms) and that are reasonably related to the Commission's responsibilities under the Communications Act and related statutes”)</w:t>
      </w:r>
      <w:r w:rsidRPr="00C240CB">
        <w:rPr>
          <w:sz w:val="20"/>
        </w:rPr>
        <w:t>.</w:t>
      </w:r>
    </w:p>
  </w:footnote>
  <w:footnote w:id="59">
    <w:p w14:paraId="473FB82E" w14:textId="77777777" w:rsidR="001377FD" w:rsidRPr="00C240CB" w:rsidRDefault="001377FD" w:rsidP="001377FD">
      <w:pPr>
        <w:pStyle w:val="FootnoteText"/>
      </w:pPr>
      <w:r w:rsidRPr="00C240CB">
        <w:rPr>
          <w:rStyle w:val="FootnoteReference"/>
        </w:rPr>
        <w:footnoteRef/>
      </w:r>
      <w:r w:rsidRPr="00C240CB">
        <w:t xml:space="preserve"> </w:t>
      </w:r>
      <w:r w:rsidRPr="00C240CB">
        <w:rPr>
          <w:i/>
        </w:rPr>
        <w:t>See</w:t>
      </w:r>
      <w:r>
        <w:rPr>
          <w:i/>
        </w:rPr>
        <w:t xml:space="preserve"> AT&amp;T/DIRECTV Order, </w:t>
      </w:r>
      <w:r w:rsidRPr="00497284">
        <w:t>30 FCC Rcd</w:t>
      </w:r>
      <w:r>
        <w:t xml:space="preserve"> at 9237, para. 273;</w:t>
      </w:r>
      <w:r w:rsidRPr="00C240CB">
        <w:rPr>
          <w:i/>
          <w:color w:val="000000"/>
        </w:rPr>
        <w:t xml:space="preserve"> AT&amp;T/BellSouth Order</w:t>
      </w:r>
      <w:r w:rsidRPr="00C240CB">
        <w:rPr>
          <w:color w:val="000000"/>
        </w:rPr>
        <w:t>, 22 FCC Rcd at 5760, para. 200</w:t>
      </w:r>
      <w:r w:rsidRPr="00C240CB">
        <w:t xml:space="preserve">.  </w:t>
      </w:r>
    </w:p>
  </w:footnote>
  <w:footnote w:id="60">
    <w:p w14:paraId="7289A10A" w14:textId="4814406D" w:rsidR="001377FD" w:rsidRPr="00C240CB" w:rsidRDefault="001377FD" w:rsidP="001377FD">
      <w:pPr>
        <w:pStyle w:val="FootnoteText"/>
      </w:pPr>
      <w:r w:rsidRPr="00C240CB">
        <w:rPr>
          <w:rStyle w:val="FootnoteReference"/>
        </w:rPr>
        <w:footnoteRef/>
      </w:r>
      <w:r w:rsidRPr="00C240CB">
        <w:t xml:space="preserve"> </w:t>
      </w:r>
      <w:r w:rsidRPr="00C240CB">
        <w:rPr>
          <w:i/>
        </w:rPr>
        <w:t xml:space="preserve">See </w:t>
      </w:r>
      <w:r>
        <w:rPr>
          <w:i/>
        </w:rPr>
        <w:t xml:space="preserve">AT&amp;T/DIRECTV Order, </w:t>
      </w:r>
      <w:r w:rsidRPr="00497284">
        <w:t xml:space="preserve">30 FCC Rcd </w:t>
      </w:r>
      <w:r>
        <w:t xml:space="preserve">at 9237, para. 273; </w:t>
      </w:r>
      <w:r w:rsidRPr="00C240CB">
        <w:rPr>
          <w:i/>
        </w:rPr>
        <w:t>Applications for Transfer of Control of Licenses from Comcast Corp. and AT&amp;T Corp., Transferors, to AT&amp;T Comcast Corp., Transferee</w:t>
      </w:r>
      <w:r w:rsidRPr="00C240CB">
        <w:t xml:space="preserve">, </w:t>
      </w:r>
      <w:r w:rsidR="008F4CCE">
        <w:t xml:space="preserve">MB Docket No. 02-70, </w:t>
      </w:r>
      <w:r w:rsidRPr="00C240CB">
        <w:t>Memorandum Opinion and Order, 17 FCC Rcd 23246, 23310, para. 165 (2002) (disregarding purported harms that are speculative and not merger specific).</w:t>
      </w:r>
    </w:p>
  </w:footnote>
  <w:footnote w:id="61">
    <w:p w14:paraId="24F3DECA" w14:textId="77777777" w:rsidR="001377FD" w:rsidRPr="00C240CB" w:rsidRDefault="001377FD" w:rsidP="001377FD">
      <w:pPr>
        <w:pStyle w:val="FootnoteText"/>
      </w:pPr>
      <w:r w:rsidRPr="00C240CB">
        <w:rPr>
          <w:rStyle w:val="FootnoteReference"/>
        </w:rPr>
        <w:footnoteRef/>
      </w:r>
      <w:r w:rsidRPr="00C240CB">
        <w:t xml:space="preserve"> </w:t>
      </w:r>
      <w:r w:rsidRPr="00C240CB">
        <w:rPr>
          <w:i/>
        </w:rPr>
        <w:t xml:space="preserve">See </w:t>
      </w:r>
      <w:r>
        <w:rPr>
          <w:i/>
        </w:rPr>
        <w:t xml:space="preserve">AT&amp;T/DIRECTV Order, </w:t>
      </w:r>
      <w:r w:rsidRPr="00497284">
        <w:t xml:space="preserve">30 FCC Rcd </w:t>
      </w:r>
      <w:r>
        <w:t xml:space="preserve">at 9237, para. 274. </w:t>
      </w:r>
    </w:p>
  </w:footnote>
  <w:footnote w:id="62">
    <w:p w14:paraId="3AB6C36D" w14:textId="65A9B738" w:rsidR="001377FD" w:rsidRPr="00C240CB" w:rsidRDefault="001377FD" w:rsidP="001377FD">
      <w:pPr>
        <w:pStyle w:val="FootnoteText"/>
      </w:pPr>
      <w:r w:rsidRPr="00C240CB">
        <w:rPr>
          <w:rStyle w:val="FootnoteReference"/>
        </w:rPr>
        <w:footnoteRef/>
      </w:r>
      <w:r w:rsidRPr="00C240CB">
        <w:t xml:space="preserve"> </w:t>
      </w:r>
      <w:r w:rsidRPr="00C240CB">
        <w:rPr>
          <w:i/>
          <w:iCs/>
        </w:rPr>
        <w:t>See</w:t>
      </w:r>
      <w:r w:rsidRPr="00C240CB">
        <w:t xml:space="preserve"> </w:t>
      </w:r>
      <w:r w:rsidRPr="00C240CB">
        <w:rPr>
          <w:i/>
        </w:rPr>
        <w:t>id</w:t>
      </w:r>
      <w:r w:rsidRPr="00C240CB">
        <w:t xml:space="preserve">. </w:t>
      </w:r>
      <w:r w:rsidR="00B87C4B">
        <w:t>at 92</w:t>
      </w:r>
      <w:r>
        <w:t>37-38, para. 275.</w:t>
      </w:r>
      <w:r w:rsidRPr="00C240CB">
        <w:t xml:space="preserve"> </w:t>
      </w:r>
    </w:p>
  </w:footnote>
  <w:footnote w:id="63">
    <w:p w14:paraId="1073F07C" w14:textId="19E705D2" w:rsidR="001377FD" w:rsidRPr="00C240CB" w:rsidRDefault="001377FD" w:rsidP="001377FD">
      <w:pPr>
        <w:pStyle w:val="FootnoteText"/>
      </w:pPr>
      <w:r w:rsidRPr="00C240CB">
        <w:rPr>
          <w:rStyle w:val="FootnoteReference"/>
        </w:rPr>
        <w:footnoteRef/>
      </w:r>
      <w:r w:rsidRPr="00C240CB">
        <w:t xml:space="preserve"> </w:t>
      </w:r>
      <w:r w:rsidRPr="00C240CB">
        <w:rPr>
          <w:i/>
          <w:iCs/>
        </w:rPr>
        <w:t>See</w:t>
      </w:r>
      <w:r>
        <w:rPr>
          <w:iCs/>
        </w:rPr>
        <w:t xml:space="preserve"> </w:t>
      </w:r>
      <w:r w:rsidR="0071359A">
        <w:rPr>
          <w:i/>
          <w:iCs/>
        </w:rPr>
        <w:t>id</w:t>
      </w:r>
      <w:r w:rsidR="0071359A">
        <w:rPr>
          <w:iCs/>
        </w:rPr>
        <w:t>.</w:t>
      </w:r>
      <w:r w:rsidRPr="00497284">
        <w:t xml:space="preserve"> </w:t>
      </w:r>
      <w:r>
        <w:t>at 9238, para. 276</w:t>
      </w:r>
      <w:r w:rsidRPr="00C240CB">
        <w:rPr>
          <w:iCs/>
        </w:rPr>
        <w:t xml:space="preserve">. </w:t>
      </w:r>
      <w:r w:rsidRPr="00C240CB">
        <w:rPr>
          <w:i/>
          <w:iCs/>
        </w:rPr>
        <w:t xml:space="preserve"> </w:t>
      </w:r>
      <w:r w:rsidRPr="00C240CB">
        <w:t xml:space="preserve">  </w:t>
      </w:r>
    </w:p>
  </w:footnote>
  <w:footnote w:id="64">
    <w:p w14:paraId="4ADD8E40" w14:textId="77777777" w:rsidR="001377FD" w:rsidRPr="00C240CB" w:rsidRDefault="001377FD" w:rsidP="001377FD">
      <w:pPr>
        <w:pStyle w:val="FootnoteText"/>
      </w:pPr>
      <w:r w:rsidRPr="00C240CB">
        <w:rPr>
          <w:rStyle w:val="FootnoteReference"/>
        </w:rPr>
        <w:footnoteRef/>
      </w:r>
      <w:r w:rsidRPr="00C240CB">
        <w:t xml:space="preserve"> </w:t>
      </w:r>
      <w:r w:rsidRPr="00C240CB">
        <w:rPr>
          <w:i/>
        </w:rPr>
        <w:t>See</w:t>
      </w:r>
      <w:r w:rsidRPr="00C240CB">
        <w:t xml:space="preserve"> </w:t>
      </w:r>
      <w:r w:rsidRPr="00C240CB">
        <w:rPr>
          <w:i/>
        </w:rPr>
        <w:t>id</w:t>
      </w:r>
      <w:r w:rsidRPr="00C240CB">
        <w:t>.</w:t>
      </w:r>
    </w:p>
  </w:footnote>
  <w:footnote w:id="65">
    <w:p w14:paraId="30A718D9" w14:textId="77777777" w:rsidR="001377FD" w:rsidRPr="00C240CB" w:rsidRDefault="001377FD" w:rsidP="001377FD">
      <w:pPr>
        <w:pStyle w:val="FootnoteText"/>
      </w:pPr>
      <w:r w:rsidRPr="00C240CB">
        <w:rPr>
          <w:rStyle w:val="FootnoteReference"/>
        </w:rPr>
        <w:footnoteRef/>
      </w:r>
      <w:r w:rsidRPr="00C240CB">
        <w:t xml:space="preserve"> </w:t>
      </w:r>
      <w:r w:rsidRPr="00C240CB">
        <w:rPr>
          <w:i/>
          <w:iCs/>
        </w:rPr>
        <w:t>See</w:t>
      </w:r>
      <w:r>
        <w:rPr>
          <w:i/>
          <w:iCs/>
        </w:rPr>
        <w:t xml:space="preserve"> </w:t>
      </w:r>
      <w:r w:rsidRPr="00C240CB">
        <w:rPr>
          <w:i/>
          <w:iCs/>
        </w:rPr>
        <w:t>id</w:t>
      </w:r>
      <w:r w:rsidRPr="00C240CB">
        <w:rPr>
          <w:iCs/>
        </w:rPr>
        <w:t xml:space="preserve">.  </w:t>
      </w:r>
      <w:r w:rsidRPr="00C240CB">
        <w:t xml:space="preserve">  </w:t>
      </w:r>
    </w:p>
  </w:footnote>
  <w:footnote w:id="66">
    <w:p w14:paraId="15711061" w14:textId="1DC251D4" w:rsidR="001377FD" w:rsidRPr="00C240CB" w:rsidRDefault="001377FD" w:rsidP="001377FD">
      <w:pPr>
        <w:pStyle w:val="FootnoteText"/>
      </w:pPr>
      <w:r w:rsidRPr="00C240CB">
        <w:rPr>
          <w:rStyle w:val="FootnoteReference"/>
        </w:rPr>
        <w:footnoteRef/>
      </w:r>
      <w:r w:rsidRPr="00C240CB">
        <w:t xml:space="preserve"> </w:t>
      </w:r>
      <w:r w:rsidRPr="004606D7">
        <w:rPr>
          <w:i/>
        </w:rPr>
        <w:t>See, e.g.</w:t>
      </w:r>
      <w:r>
        <w:t xml:space="preserve">, </w:t>
      </w:r>
      <w:r w:rsidRPr="004606D7">
        <w:t>Applicants’</w:t>
      </w:r>
      <w:r>
        <w:t xml:space="preserve"> Sept. 28</w:t>
      </w:r>
      <w:r w:rsidRPr="00C240CB">
        <w:t xml:space="preserve"> Supplement at 2-4; Application</w:t>
      </w:r>
      <w:r w:rsidR="00CD0878">
        <w:t>s</w:t>
      </w:r>
      <w:r w:rsidRPr="00C240CB">
        <w:t xml:space="preserve"> at 6-8; Applicants’ Reply at 5.</w:t>
      </w:r>
    </w:p>
  </w:footnote>
  <w:footnote w:id="67">
    <w:p w14:paraId="2D8E2105" w14:textId="3917766C" w:rsidR="001377FD" w:rsidRPr="00C240CB" w:rsidRDefault="001377FD" w:rsidP="001377FD">
      <w:pPr>
        <w:widowControl/>
        <w:autoSpaceDE w:val="0"/>
        <w:autoSpaceDN w:val="0"/>
        <w:adjustRightInd w:val="0"/>
        <w:spacing w:after="120"/>
        <w:rPr>
          <w:snapToGrid/>
          <w:kern w:val="0"/>
          <w:sz w:val="20"/>
        </w:rPr>
      </w:pPr>
      <w:r w:rsidRPr="00C240CB">
        <w:rPr>
          <w:rStyle w:val="FootnoteReference"/>
        </w:rPr>
        <w:footnoteRef/>
      </w:r>
      <w:r w:rsidRPr="00C240CB">
        <w:rPr>
          <w:sz w:val="20"/>
        </w:rPr>
        <w:t xml:space="preserve"> Applicants’ Sept</w:t>
      </w:r>
      <w:r>
        <w:rPr>
          <w:sz w:val="20"/>
        </w:rPr>
        <w:t>.</w:t>
      </w:r>
      <w:r w:rsidRPr="00C240CB">
        <w:rPr>
          <w:sz w:val="20"/>
        </w:rPr>
        <w:t xml:space="preserve"> 28 Supplement at 2.  Applicants state that “over 43 percent of Suddenlink homes passed are located in rural areas – i.e., outside of urban areas in communities with populations of less than 25,000 persons.”  </w:t>
      </w:r>
      <w:r w:rsidRPr="00C240CB">
        <w:rPr>
          <w:i/>
          <w:sz w:val="20"/>
        </w:rPr>
        <w:t xml:space="preserve">Id. </w:t>
      </w:r>
      <w:r w:rsidRPr="00C240CB">
        <w:rPr>
          <w:sz w:val="20"/>
        </w:rPr>
        <w:t>(citing</w:t>
      </w:r>
      <w:r w:rsidRPr="00C240CB">
        <w:rPr>
          <w:b/>
          <w:sz w:val="20"/>
        </w:rPr>
        <w:t xml:space="preserve"> </w:t>
      </w:r>
      <w:r w:rsidRPr="00C240CB">
        <w:rPr>
          <w:i/>
          <w:iCs/>
          <w:snapToGrid/>
          <w:kern w:val="0"/>
          <w:sz w:val="20"/>
        </w:rPr>
        <w:t xml:space="preserve">Modernizing the E-Rate </w:t>
      </w:r>
      <w:r w:rsidR="00524910">
        <w:rPr>
          <w:i/>
          <w:iCs/>
          <w:snapToGrid/>
          <w:kern w:val="0"/>
          <w:sz w:val="20"/>
        </w:rPr>
        <w:t>Progra</w:t>
      </w:r>
      <w:r w:rsidRPr="00C240CB">
        <w:rPr>
          <w:i/>
          <w:iCs/>
          <w:snapToGrid/>
          <w:kern w:val="0"/>
          <w:sz w:val="20"/>
        </w:rPr>
        <w:t>m for Schools and Libraries</w:t>
      </w:r>
      <w:r w:rsidR="00524910">
        <w:rPr>
          <w:i/>
          <w:iCs/>
          <w:snapToGrid/>
          <w:kern w:val="0"/>
          <w:sz w:val="20"/>
        </w:rPr>
        <w:t>; Connect America Fund</w:t>
      </w:r>
      <w:r w:rsidRPr="00C240CB">
        <w:rPr>
          <w:i/>
          <w:iCs/>
          <w:snapToGrid/>
          <w:kern w:val="0"/>
          <w:sz w:val="20"/>
        </w:rPr>
        <w:t>,</w:t>
      </w:r>
      <w:r w:rsidRPr="00C240CB">
        <w:rPr>
          <w:snapToGrid/>
          <w:kern w:val="0"/>
          <w:sz w:val="20"/>
        </w:rPr>
        <w:t xml:space="preserve"> </w:t>
      </w:r>
      <w:r w:rsidRPr="00C240CB">
        <w:rPr>
          <w:color w:val="252525"/>
          <w:sz w:val="20"/>
        </w:rPr>
        <w:t xml:space="preserve">WC Docket Nos. 13-184, 10-90, </w:t>
      </w:r>
      <w:r w:rsidRPr="00C240CB">
        <w:rPr>
          <w:snapToGrid/>
          <w:kern w:val="0"/>
          <w:sz w:val="20"/>
        </w:rPr>
        <w:t xml:space="preserve">Second Report and Order and Order on Reconsideration, 29 FCC Rcd 15538, </w:t>
      </w:r>
      <w:r w:rsidR="00524910">
        <w:rPr>
          <w:snapToGrid/>
          <w:kern w:val="0"/>
          <w:sz w:val="20"/>
        </w:rPr>
        <w:t>15594-95,</w:t>
      </w:r>
      <w:r w:rsidRPr="00C240CB">
        <w:rPr>
          <w:snapToGrid/>
          <w:kern w:val="0"/>
          <w:sz w:val="20"/>
        </w:rPr>
        <w:t xml:space="preserve"> paras. 140-41 (2015) (defining areas with populations of less than 25,000 as “rural,” as adjusted by Census Bureau data, for purposes of E-rate disbursements)</w:t>
      </w:r>
      <w:r>
        <w:rPr>
          <w:snapToGrid/>
          <w:kern w:val="0"/>
          <w:sz w:val="20"/>
        </w:rPr>
        <w:t>)</w:t>
      </w:r>
      <w:r w:rsidRPr="00C240CB">
        <w:rPr>
          <w:snapToGrid/>
          <w:kern w:val="0"/>
          <w:sz w:val="20"/>
        </w:rPr>
        <w:t>.</w:t>
      </w:r>
    </w:p>
  </w:footnote>
  <w:footnote w:id="68">
    <w:p w14:paraId="4095971B" w14:textId="77777777" w:rsidR="001377FD" w:rsidRPr="00C240CB" w:rsidRDefault="001377FD" w:rsidP="001377FD">
      <w:pPr>
        <w:pStyle w:val="FootnoteText"/>
      </w:pPr>
      <w:r w:rsidRPr="00C240CB">
        <w:rPr>
          <w:rStyle w:val="FootnoteReference"/>
        </w:rPr>
        <w:footnoteRef/>
      </w:r>
      <w:r w:rsidRPr="00C240CB">
        <w:t xml:space="preserve"> Applicants’ Sept</w:t>
      </w:r>
      <w:r>
        <w:t>.</w:t>
      </w:r>
      <w:r w:rsidRPr="00C240CB">
        <w:t xml:space="preserve"> 28 Supplement at 2.</w:t>
      </w:r>
    </w:p>
  </w:footnote>
  <w:footnote w:id="69">
    <w:p w14:paraId="45D2BBED" w14:textId="61755378" w:rsidR="001377FD" w:rsidRPr="00C240CB" w:rsidRDefault="001377FD" w:rsidP="001377FD">
      <w:pPr>
        <w:pStyle w:val="FootnoteText"/>
      </w:pPr>
      <w:r w:rsidRPr="00C240CB">
        <w:rPr>
          <w:rStyle w:val="FootnoteReference"/>
        </w:rPr>
        <w:footnoteRef/>
      </w:r>
      <w:r w:rsidRPr="00C240CB">
        <w:rPr>
          <w:b/>
        </w:rPr>
        <w:t xml:space="preserve"> </w:t>
      </w:r>
      <w:r w:rsidRPr="00C240CB">
        <w:rPr>
          <w:i/>
        </w:rPr>
        <w:t>Id.; see also</w:t>
      </w:r>
      <w:r w:rsidRPr="00C240CB">
        <w:t xml:space="preserve"> </w:t>
      </w:r>
      <w:r w:rsidRPr="0044368C">
        <w:rPr>
          <w:i/>
        </w:rPr>
        <w:t>Deployment of Advanced Telecommunications Capability to All Americans</w:t>
      </w:r>
      <w:r>
        <w:rPr>
          <w:i/>
        </w:rPr>
        <w:t xml:space="preserve"> in a Reasonable and Timely Fashion, and Possible Steps to Accelerate Such Deployment Pursuant to Section 706 of the Telecommunications Act of 1996, as Amended by the Broadband Data Improvement Act</w:t>
      </w:r>
      <w:r w:rsidRPr="00C240CB">
        <w:t xml:space="preserve">, GN Docket No. 14-186, </w:t>
      </w:r>
      <w:r w:rsidRPr="0044368C">
        <w:t>2015 Broadband Progress Report and Notice of Inquiry on Immediate Action to Accelerate Deployment</w:t>
      </w:r>
      <w:r w:rsidRPr="00C240CB">
        <w:t xml:space="preserve">, 30 FCC Rcd 1375, </w:t>
      </w:r>
      <w:r w:rsidR="0041520C">
        <w:t xml:space="preserve">1377, </w:t>
      </w:r>
      <w:r w:rsidRPr="00C240CB">
        <w:t xml:space="preserve">para. </w:t>
      </w:r>
      <w:r w:rsidR="0041520C">
        <w:t>3</w:t>
      </w:r>
      <w:r>
        <w:t xml:space="preserve"> (</w:t>
      </w:r>
      <w:r w:rsidRPr="00C240CB">
        <w:t>2015) (finding that having “advanced telecommunications capability” requires access to actual download speeds of “at least 25 Mbps and actual upload speeds of at least 3 Mbps”).</w:t>
      </w:r>
    </w:p>
  </w:footnote>
  <w:footnote w:id="70">
    <w:p w14:paraId="40805A20" w14:textId="77777777" w:rsidR="001377FD" w:rsidRPr="00C240CB" w:rsidRDefault="001377FD" w:rsidP="001377FD">
      <w:pPr>
        <w:pStyle w:val="ParaNum"/>
        <w:numPr>
          <w:ilvl w:val="0"/>
          <w:numId w:val="0"/>
        </w:numPr>
        <w:rPr>
          <w:color w:val="1F497D"/>
          <w:sz w:val="20"/>
        </w:rPr>
      </w:pPr>
      <w:r w:rsidRPr="00C240CB">
        <w:rPr>
          <w:rStyle w:val="FootnoteReference"/>
        </w:rPr>
        <w:footnoteRef/>
      </w:r>
      <w:r w:rsidRPr="00C240CB">
        <w:rPr>
          <w:sz w:val="20"/>
        </w:rPr>
        <w:t xml:space="preserve"> </w:t>
      </w:r>
      <w:r>
        <w:rPr>
          <w:sz w:val="20"/>
        </w:rPr>
        <w:t xml:space="preserve">Applicants’ Sept. 28 Supplement at 4.  </w:t>
      </w:r>
      <w:r w:rsidRPr="00C240CB">
        <w:rPr>
          <w:sz w:val="20"/>
        </w:rPr>
        <w:t xml:space="preserve">   </w:t>
      </w:r>
      <w:r w:rsidRPr="00C240CB">
        <w:rPr>
          <w:sz w:val="20"/>
          <w:highlight w:val="green"/>
        </w:rPr>
        <w:t xml:space="preserve">            </w:t>
      </w:r>
    </w:p>
  </w:footnote>
  <w:footnote w:id="71">
    <w:p w14:paraId="170E4E1A" w14:textId="77777777" w:rsidR="001377FD" w:rsidRPr="00C240CB" w:rsidRDefault="001377FD" w:rsidP="001377FD">
      <w:pPr>
        <w:pStyle w:val="FootnoteText"/>
      </w:pPr>
      <w:r w:rsidRPr="00C240CB">
        <w:rPr>
          <w:rStyle w:val="FootnoteReference"/>
        </w:rPr>
        <w:footnoteRef/>
      </w:r>
      <w:r w:rsidRPr="00C240CB">
        <w:t xml:space="preserve"> </w:t>
      </w:r>
      <w:r>
        <w:rPr>
          <w:i/>
        </w:rPr>
        <w:t>Id</w:t>
      </w:r>
      <w:r w:rsidRPr="00C240CB">
        <w:t>.</w:t>
      </w:r>
    </w:p>
  </w:footnote>
  <w:footnote w:id="72">
    <w:p w14:paraId="1AD6F212" w14:textId="6D0FFE3B" w:rsidR="001377FD" w:rsidRPr="00C240CB" w:rsidRDefault="001377FD" w:rsidP="001377FD">
      <w:pPr>
        <w:pStyle w:val="FootnoteText"/>
      </w:pPr>
      <w:r w:rsidRPr="00C240CB">
        <w:rPr>
          <w:rStyle w:val="FootnoteReference"/>
        </w:rPr>
        <w:footnoteRef/>
      </w:r>
      <w:r w:rsidRPr="00C240CB">
        <w:t xml:space="preserve"> Application</w:t>
      </w:r>
      <w:r>
        <w:t>s</w:t>
      </w:r>
      <w:r w:rsidRPr="00C240CB">
        <w:t xml:space="preserve"> </w:t>
      </w:r>
      <w:r w:rsidRPr="00C240CB">
        <w:rPr>
          <w:color w:val="000000"/>
        </w:rPr>
        <w:t xml:space="preserve">at 7 (stating that Altice has “considerable” experience of successfully investing in broadband service providers </w:t>
      </w:r>
      <w:r w:rsidRPr="00C240CB">
        <w:rPr>
          <w:color w:val="231F20"/>
        </w:rPr>
        <w:t>“through investments in network infrastructure, which has resulted in higher b</w:t>
      </w:r>
      <w:r>
        <w:rPr>
          <w:color w:val="231F20"/>
        </w:rPr>
        <w:t xml:space="preserve">roadband speeds for subscribers . . . </w:t>
      </w:r>
      <w:r w:rsidRPr="00C240CB">
        <w:rPr>
          <w:color w:val="231F20"/>
        </w:rPr>
        <w:t>accelerations in existing planned network investment and deployment, bringing imp</w:t>
      </w:r>
      <w:r>
        <w:rPr>
          <w:color w:val="231F20"/>
        </w:rPr>
        <w:t>roved services to market faster</w:t>
      </w:r>
      <w:r w:rsidRPr="00C240CB">
        <w:rPr>
          <w:color w:val="231F20"/>
        </w:rPr>
        <w:t xml:space="preserve"> . . . [a]nd in still other cases, it has resulted in the expansion of service offerings, thereby expanding consumer choices and enhancing competition”)</w:t>
      </w:r>
      <w:r w:rsidRPr="00C240CB">
        <w:rPr>
          <w:i/>
        </w:rPr>
        <w:t>.</w:t>
      </w:r>
    </w:p>
  </w:footnote>
  <w:footnote w:id="73">
    <w:p w14:paraId="43115FFA" w14:textId="77777777" w:rsidR="001377FD" w:rsidRPr="00C240CB" w:rsidRDefault="001377FD" w:rsidP="001377FD">
      <w:pPr>
        <w:pStyle w:val="ParaNum"/>
        <w:widowControl/>
        <w:numPr>
          <w:ilvl w:val="0"/>
          <w:numId w:val="0"/>
        </w:numPr>
        <w:rPr>
          <w:sz w:val="20"/>
        </w:rPr>
      </w:pPr>
      <w:r w:rsidRPr="00C240CB">
        <w:rPr>
          <w:rStyle w:val="FootnoteReference"/>
        </w:rPr>
        <w:footnoteRef/>
      </w:r>
      <w:r w:rsidRPr="00C240CB">
        <w:rPr>
          <w:sz w:val="20"/>
        </w:rPr>
        <w:t xml:space="preserve"> Applicants’ Sept</w:t>
      </w:r>
      <w:r>
        <w:rPr>
          <w:sz w:val="20"/>
        </w:rPr>
        <w:t>.</w:t>
      </w:r>
      <w:r w:rsidRPr="00C240CB">
        <w:rPr>
          <w:sz w:val="20"/>
        </w:rPr>
        <w:t xml:space="preserve"> 28 Supplement at 4.  Applicants note that Altice also had similar outcomes in other recent acquisitions such as Hot in Israel (upgraded the network to deliver download speeds from 3-7 Mbps in 2011 to 30-200 Mbps today) and</w:t>
      </w:r>
      <w:r>
        <w:rPr>
          <w:sz w:val="20"/>
        </w:rPr>
        <w:t xml:space="preserve"> another company,</w:t>
      </w:r>
      <w:r w:rsidRPr="00C41949">
        <w:rPr>
          <w:sz w:val="20"/>
        </w:rPr>
        <w:t xml:space="preserve"> </w:t>
      </w:r>
      <w:r>
        <w:rPr>
          <w:sz w:val="20"/>
        </w:rPr>
        <w:t>Cabovisão in Portugal (upgraded</w:t>
      </w:r>
      <w:r w:rsidRPr="00C240CB">
        <w:rPr>
          <w:sz w:val="20"/>
        </w:rPr>
        <w:t xml:space="preserve"> 94 percent of its network to deliver speeds of up to 360 Mbps). </w:t>
      </w:r>
    </w:p>
  </w:footnote>
  <w:footnote w:id="74">
    <w:p w14:paraId="0C9BBF95" w14:textId="4299F7E2" w:rsidR="001377FD" w:rsidRPr="00C240CB" w:rsidRDefault="001377FD" w:rsidP="001377FD">
      <w:pPr>
        <w:pStyle w:val="FootnoteText"/>
        <w:tabs>
          <w:tab w:val="left" w:pos="854"/>
        </w:tabs>
      </w:pPr>
      <w:r w:rsidRPr="00C240CB">
        <w:rPr>
          <w:rStyle w:val="FootnoteReference"/>
        </w:rPr>
        <w:footnoteRef/>
      </w:r>
      <w:r w:rsidRPr="00C240CB">
        <w:t xml:space="preserve"> Applicant</w:t>
      </w:r>
      <w:r w:rsidR="00B87C4B">
        <w:t>s also note that, since Altice</w:t>
      </w:r>
      <w:r w:rsidRPr="00C240CB">
        <w:t xml:space="preserve"> acq</w:t>
      </w:r>
      <w:r w:rsidR="00B87C4B">
        <w:t>uired it</w:t>
      </w:r>
      <w:r>
        <w:t xml:space="preserve"> in 2011, the number of</w:t>
      </w:r>
      <w:r w:rsidRPr="00C240CB">
        <w:t xml:space="preserve"> </w:t>
      </w:r>
      <w:r>
        <w:t xml:space="preserve">homes passed in Israel </w:t>
      </w:r>
      <w:r w:rsidRPr="00C240CB">
        <w:t xml:space="preserve">for Hot increased by approximately 100,000.  </w:t>
      </w:r>
      <w:r w:rsidRPr="004606D7">
        <w:rPr>
          <w:i/>
        </w:rPr>
        <w:t>Id.</w:t>
      </w:r>
      <w:r>
        <w:t xml:space="preserve"> </w:t>
      </w:r>
      <w:r w:rsidRPr="00C240CB">
        <w:t>at 5.</w:t>
      </w:r>
    </w:p>
  </w:footnote>
  <w:footnote w:id="75">
    <w:p w14:paraId="4E116EBA" w14:textId="77777777" w:rsidR="001377FD" w:rsidRPr="004F104A" w:rsidRDefault="001377FD" w:rsidP="001377FD">
      <w:pPr>
        <w:pStyle w:val="FootnoteText"/>
      </w:pPr>
      <w:r>
        <w:rPr>
          <w:rStyle w:val="FootnoteReference"/>
        </w:rPr>
        <w:footnoteRef/>
      </w:r>
      <w:r>
        <w:t xml:space="preserve"> </w:t>
      </w:r>
      <w:r>
        <w:rPr>
          <w:i/>
        </w:rPr>
        <w:t>Id.</w:t>
      </w:r>
      <w:r>
        <w:t xml:space="preserve"> at 4.</w:t>
      </w:r>
    </w:p>
  </w:footnote>
  <w:footnote w:id="76">
    <w:p w14:paraId="0DD1A6DF" w14:textId="428E1284" w:rsidR="001377FD" w:rsidRPr="00C240CB" w:rsidRDefault="001377FD" w:rsidP="001377FD">
      <w:pPr>
        <w:pStyle w:val="FootnoteText"/>
      </w:pPr>
      <w:r w:rsidRPr="00C240CB">
        <w:rPr>
          <w:rStyle w:val="FootnoteReference"/>
        </w:rPr>
        <w:footnoteRef/>
      </w:r>
      <w:r w:rsidRPr="00C240CB">
        <w:t xml:space="preserve"> Applicants’ Reply at 5.</w:t>
      </w:r>
    </w:p>
  </w:footnote>
  <w:footnote w:id="77">
    <w:p w14:paraId="3EFB6F8F" w14:textId="77777777" w:rsidR="001377FD" w:rsidRPr="00F92613" w:rsidRDefault="001377FD" w:rsidP="001377FD">
      <w:pPr>
        <w:pStyle w:val="FootnoteText"/>
      </w:pPr>
      <w:r w:rsidRPr="00C240CB">
        <w:rPr>
          <w:rStyle w:val="FootnoteReference"/>
        </w:rPr>
        <w:footnoteRef/>
      </w:r>
      <w:r w:rsidRPr="00C240CB">
        <w:t xml:space="preserve"> Applicants’ Sept</w:t>
      </w:r>
      <w:r>
        <w:t>.</w:t>
      </w:r>
      <w:r w:rsidRPr="00C240CB">
        <w:t xml:space="preserve"> 28 Supplement at 3.</w:t>
      </w:r>
    </w:p>
  </w:footnote>
  <w:footnote w:id="78">
    <w:p w14:paraId="4EF3A3C7" w14:textId="77777777" w:rsidR="001377FD" w:rsidRDefault="001377FD" w:rsidP="001377FD">
      <w:pPr>
        <w:pStyle w:val="FootnoteText"/>
      </w:pPr>
      <w:r>
        <w:rPr>
          <w:rStyle w:val="FootnoteReference"/>
        </w:rPr>
        <w:footnoteRef/>
      </w:r>
      <w:r>
        <w:t xml:space="preserve"> </w:t>
      </w:r>
      <w:r w:rsidRPr="00550516">
        <w:rPr>
          <w:i/>
        </w:rPr>
        <w:t>Id</w:t>
      </w:r>
      <w:r>
        <w:t xml:space="preserve">. </w:t>
      </w:r>
    </w:p>
  </w:footnote>
  <w:footnote w:id="79">
    <w:p w14:paraId="73DEF988" w14:textId="77777777" w:rsidR="001377FD" w:rsidRDefault="001377FD" w:rsidP="001377FD">
      <w:pPr>
        <w:pStyle w:val="FootnoteText"/>
      </w:pPr>
      <w:r>
        <w:rPr>
          <w:rStyle w:val="FootnoteReference"/>
        </w:rPr>
        <w:footnoteRef/>
      </w:r>
      <w:r>
        <w:t xml:space="preserve"> </w:t>
      </w:r>
      <w:r w:rsidRPr="0038567E">
        <w:rPr>
          <w:i/>
        </w:rPr>
        <w:t>Id</w:t>
      </w:r>
      <w:r>
        <w:t>.</w:t>
      </w:r>
    </w:p>
  </w:footnote>
  <w:footnote w:id="80">
    <w:p w14:paraId="4C17DA5B" w14:textId="77777777" w:rsidR="001377FD" w:rsidRDefault="001377FD" w:rsidP="001377FD">
      <w:pPr>
        <w:pStyle w:val="FootnoteText"/>
      </w:pPr>
      <w:r>
        <w:rPr>
          <w:rStyle w:val="FootnoteReference"/>
        </w:rPr>
        <w:footnoteRef/>
      </w:r>
      <w:r>
        <w:t xml:space="preserve"> Applications at 8 (“Cequel, for its part, will continue to be operated by highly experienced, well-qualified management, operational and technical personnel.  But, at the same time, Cequel will have access to the operational and managerial resources of Altice.  Post-Transaction, management will be able to share best practices and draw upon the substantial combined experience of their respective management teams.”).  </w:t>
      </w:r>
      <w:r w:rsidRPr="00A00B48">
        <w:rPr>
          <w:i/>
        </w:rPr>
        <w:t>Id.</w:t>
      </w:r>
      <w:r>
        <w:t xml:space="preserve"> </w:t>
      </w:r>
    </w:p>
  </w:footnote>
  <w:footnote w:id="81">
    <w:p w14:paraId="4A20A9F4" w14:textId="6EE8D19B" w:rsidR="001377FD" w:rsidRPr="00C240CB" w:rsidRDefault="001377FD" w:rsidP="001377FD">
      <w:pPr>
        <w:pStyle w:val="FootnoteText"/>
      </w:pPr>
      <w:r w:rsidRPr="00C240CB">
        <w:rPr>
          <w:rStyle w:val="FootnoteReference"/>
        </w:rPr>
        <w:footnoteRef/>
      </w:r>
      <w:r w:rsidRPr="00C240CB">
        <w:t xml:space="preserve"> Comments of County of Humboldt at 1</w:t>
      </w:r>
      <w:r>
        <w:t xml:space="preserve"> (“We fail to see how [Altice’s] experience in Europe and the Dominican Republic provides adequate assurance of their compliance with local ordinances in California</w:t>
      </w:r>
      <w:r w:rsidRPr="00C240CB">
        <w:t>.</w:t>
      </w:r>
      <w:r>
        <w:t xml:space="preserve">”).  </w:t>
      </w:r>
      <w:r w:rsidRPr="009C490D">
        <w:rPr>
          <w:szCs w:val="22"/>
        </w:rPr>
        <w:t>Similarly, Access Humboldt states “Altice’s purchase of controlling interest in Suddenlink will transfer private ownership for essential communications infrastructure in Humboldt County to even more distant owners, which is against the public interest.”</w:t>
      </w:r>
      <w:r w:rsidRPr="00142093">
        <w:t xml:space="preserve"> </w:t>
      </w:r>
      <w:r>
        <w:t xml:space="preserve"> </w:t>
      </w:r>
      <w:r w:rsidRPr="00C240CB">
        <w:t>Reply Comments of Access Humboldt at 1.</w:t>
      </w:r>
    </w:p>
  </w:footnote>
  <w:footnote w:id="82">
    <w:p w14:paraId="6224C7C3" w14:textId="74BE135A" w:rsidR="001377FD" w:rsidRPr="00CF462D" w:rsidRDefault="001377FD" w:rsidP="001377FD">
      <w:pPr>
        <w:pStyle w:val="FootnoteText"/>
      </w:pPr>
      <w:r w:rsidRPr="00C240CB">
        <w:rPr>
          <w:rStyle w:val="FootnoteReference"/>
        </w:rPr>
        <w:footnoteRef/>
      </w:r>
      <w:r w:rsidRPr="00C240CB">
        <w:t xml:space="preserve"> Although MFRConsulting raises issues regarding the “consequences of high debt load” </w:t>
      </w:r>
      <w:r>
        <w:t>it alleges</w:t>
      </w:r>
      <w:r w:rsidRPr="00C240CB">
        <w:t xml:space="preserve"> will result from th</w:t>
      </w:r>
      <w:r>
        <w:t>e transaction</w:t>
      </w:r>
      <w:r w:rsidRPr="00C240CB">
        <w:t xml:space="preserve">, </w:t>
      </w:r>
      <w:r>
        <w:t xml:space="preserve">it offers no support for the assertion that the debts incurred in financing the transaction will imperil Altice’s future ability to invest in improvements or new technologies to the benefit of all customers.  </w:t>
      </w:r>
      <w:r w:rsidRPr="00A96CBD">
        <w:rPr>
          <w:i/>
        </w:rPr>
        <w:t>See</w:t>
      </w:r>
      <w:r>
        <w:t xml:space="preserve"> Comments of MFR Consulting at 1-4.  To the contrary, </w:t>
      </w:r>
      <w:r w:rsidRPr="00C240CB">
        <w:t xml:space="preserve">we find </w:t>
      </w:r>
      <w:r>
        <w:t xml:space="preserve">nothing in the record evidence to support a finding </w:t>
      </w:r>
      <w:r w:rsidRPr="00C240CB">
        <w:t xml:space="preserve">that Altice </w:t>
      </w:r>
      <w:r>
        <w:t>is not financially qualified to hold the Commission authorizations it seeks in the Application</w:t>
      </w:r>
      <w:r w:rsidR="00B44F56">
        <w:t>s</w:t>
      </w:r>
      <w:r w:rsidRPr="00C240CB">
        <w:t xml:space="preserve">.   </w:t>
      </w:r>
      <w:r>
        <w:t xml:space="preserve"> </w:t>
      </w:r>
    </w:p>
  </w:footnote>
  <w:footnote w:id="83">
    <w:p w14:paraId="381060AD" w14:textId="77777777" w:rsidR="001377FD" w:rsidRPr="00C240CB" w:rsidRDefault="001377FD" w:rsidP="001377FD">
      <w:pPr>
        <w:pStyle w:val="FootnoteText"/>
      </w:pPr>
      <w:r w:rsidRPr="00C240CB">
        <w:rPr>
          <w:rStyle w:val="FootnoteReference"/>
        </w:rPr>
        <w:footnoteRef/>
      </w:r>
      <w:r w:rsidRPr="00C240CB">
        <w:t xml:space="preserve"> </w:t>
      </w:r>
      <w:r>
        <w:t>We also recognize that the transaction</w:t>
      </w:r>
      <w:r w:rsidRPr="00C240CB">
        <w:t xml:space="preserve"> has the potential </w:t>
      </w:r>
      <w:r>
        <w:t>to benefit</w:t>
      </w:r>
      <w:r w:rsidRPr="00C240CB">
        <w:t xml:space="preserve"> consumers, as </w:t>
      </w:r>
      <w:r>
        <w:t>a general matter, because of</w:t>
      </w:r>
      <w:r w:rsidRPr="00C240CB">
        <w:t xml:space="preserve"> synergies that may result from Altice acquiring control of Suddenlink.  </w:t>
      </w:r>
      <w:r>
        <w:t>However, Applicants have not presented record evidence of</w:t>
      </w:r>
      <w:r w:rsidRPr="00C240CB">
        <w:t xml:space="preserve"> verifiable, tangible benefits res</w:t>
      </w:r>
      <w:r>
        <w:t xml:space="preserve">ulting from synergies (other than improving broadband service and investment, discussed </w:t>
      </w:r>
      <w:r w:rsidRPr="000B46AF">
        <w:rPr>
          <w:i/>
        </w:rPr>
        <w:t>supra</w:t>
      </w:r>
      <w:r>
        <w:t xml:space="preserve"> Section III.C.2) and</w:t>
      </w:r>
      <w:r w:rsidRPr="00C240CB">
        <w:t xml:space="preserve"> </w:t>
      </w:r>
      <w:r>
        <w:t>w</w:t>
      </w:r>
      <w:r w:rsidRPr="00C240CB">
        <w:t xml:space="preserve">e </w:t>
      </w:r>
      <w:r>
        <w:t xml:space="preserve">therefore </w:t>
      </w:r>
      <w:r w:rsidRPr="00C240CB">
        <w:t xml:space="preserve">do not rely upon </w:t>
      </w:r>
      <w:r>
        <w:t>a general finding of synergies in this order.</w:t>
      </w:r>
      <w:r w:rsidRPr="00C240CB">
        <w:t xml:space="preserve">  </w:t>
      </w:r>
    </w:p>
  </w:footnote>
  <w:footnote w:id="84">
    <w:p w14:paraId="6759A8B5" w14:textId="318E6E64" w:rsidR="001377FD" w:rsidRDefault="001377FD" w:rsidP="001377FD">
      <w:pPr>
        <w:pStyle w:val="FootnoteText"/>
      </w:pPr>
      <w:r>
        <w:rPr>
          <w:rStyle w:val="FootnoteReference"/>
        </w:rPr>
        <w:footnoteRef/>
      </w:r>
      <w:r>
        <w:t xml:space="preserve"> </w:t>
      </w:r>
      <w:r w:rsidRPr="00316A29">
        <w:rPr>
          <w:i/>
        </w:rPr>
        <w:t>See</w:t>
      </w:r>
      <w:r w:rsidRPr="00316A29">
        <w:t xml:space="preserve"> </w:t>
      </w:r>
      <w:r>
        <w:rPr>
          <w:i/>
        </w:rPr>
        <w:t xml:space="preserve">Rules and Policies on Foreign Participation in the U.S. Telecommunications Market, </w:t>
      </w:r>
      <w:r>
        <w:t xml:space="preserve">IB Docket No. 97-142, </w:t>
      </w:r>
      <w:r w:rsidRPr="00316A29">
        <w:t xml:space="preserve">12 FCC Rcd </w:t>
      </w:r>
      <w:r>
        <w:t xml:space="preserve">23891, </w:t>
      </w:r>
      <w:r w:rsidRPr="00316A29">
        <w:t xml:space="preserve">23918-21, </w:t>
      </w:r>
      <w:r>
        <w:t>paras.</w:t>
      </w:r>
      <w:r w:rsidRPr="00316A29">
        <w:t xml:space="preserve"> 59-66</w:t>
      </w:r>
      <w:r w:rsidRPr="005B61E1">
        <w:rPr>
          <w:i/>
        </w:rPr>
        <w:t xml:space="preserve"> </w:t>
      </w:r>
      <w:r w:rsidR="009D7098">
        <w:t>(1997)</w:t>
      </w:r>
      <w:r>
        <w:t xml:space="preserve">; </w:t>
      </w:r>
      <w:r>
        <w:rPr>
          <w:i/>
        </w:rPr>
        <w:t>see also Review of Foreign Ownership Policies for Common Carrier and Aeronautical Radio Licensees under Section 310(b)(4) of the Communications Act of 1934, as Amended</w:t>
      </w:r>
      <w:r w:rsidRPr="00141660">
        <w:rPr>
          <w:i/>
        </w:rPr>
        <w:t xml:space="preserve">, </w:t>
      </w:r>
      <w:r w:rsidRPr="00141660">
        <w:t xml:space="preserve">28 FCC Rcd </w:t>
      </w:r>
      <w:r>
        <w:t>5741,</w:t>
      </w:r>
      <w:r w:rsidRPr="00141660">
        <w:t xml:space="preserve"> 5792</w:t>
      </w:r>
      <w:r w:rsidR="001A6934">
        <w:t>, para. 95</w:t>
      </w:r>
      <w:r w:rsidRPr="00141660">
        <w:t xml:space="preserve"> n.255</w:t>
      </w:r>
      <w:r w:rsidR="009D7098">
        <w:t xml:space="preserve"> (2013) </w:t>
      </w:r>
      <w:r w:rsidRPr="00141660">
        <w:t>(“The Commission has previously held that, rega</w:t>
      </w:r>
      <w:r w:rsidR="00873E97">
        <w:t>rdless of the applicability of S</w:t>
      </w:r>
      <w:r w:rsidRPr="00141660">
        <w:t>ections 310(a) and 310(b), the Commission co</w:t>
      </w:r>
      <w:r w:rsidR="00873E97">
        <w:t>nsiders, pursuant to S</w:t>
      </w:r>
      <w:r w:rsidRPr="00141660">
        <w:t>ections 308</w:t>
      </w:r>
      <w:r w:rsidRPr="00316A29">
        <w:t xml:space="preserve"> and 310(d) of the Act, national security, law enforcement, foreign policy and trade policy concerns when analyzing an application in which foreign ownership is involved.”).</w:t>
      </w:r>
    </w:p>
  </w:footnote>
  <w:footnote w:id="85">
    <w:p w14:paraId="75AA1C1D" w14:textId="77777777" w:rsidR="001377FD" w:rsidRDefault="001377FD" w:rsidP="001377FD">
      <w:pPr>
        <w:pStyle w:val="FootnoteText"/>
      </w:pPr>
      <w:r>
        <w:rPr>
          <w:rStyle w:val="FootnoteReference"/>
        </w:rPr>
        <w:footnoteRef/>
      </w:r>
      <w:r>
        <w:t xml:space="preserve"> Petition to Adopt Conditions to Authorizations and Licenses filed by of the U.S Department of Justice, WC Docket No. 15-135 (filed Dec. 11, 2015), attaching National Security Agreement (Petition).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64B54" w14:textId="77777777" w:rsidR="00140F40" w:rsidRDefault="00140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881D" w14:textId="481A157D" w:rsidR="00D25FB5" w:rsidRDefault="00D25FB5" w:rsidP="00810B6F">
    <w:pPr>
      <w:pStyle w:val="Header"/>
      <w:rPr>
        <w:b w:val="0"/>
      </w:rPr>
    </w:pPr>
    <w:r>
      <w:tab/>
      <w:t>Federal Communications Commission</w:t>
    </w:r>
    <w:r>
      <w:tab/>
    </w:r>
    <w:r w:rsidR="00252F08">
      <w:t>DA 15-1451</w:t>
    </w:r>
  </w:p>
  <w:p w14:paraId="61437283" w14:textId="77777777" w:rsidR="00D25FB5" w:rsidRDefault="00211F30">
    <w:pPr>
      <w:tabs>
        <w:tab w:val="left" w:pos="-720"/>
      </w:tabs>
      <w:suppressAutoHyphens/>
      <w:spacing w:line="19" w:lineRule="exact"/>
      <w:rPr>
        <w:spacing w:val="-2"/>
      </w:rPr>
    </w:pPr>
    <w:r>
      <w:rPr>
        <w:noProof/>
      </w:rPr>
      <w:pict w14:anchorId="1C6B670E">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738CEB58"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75FEA" w14:textId="258EFADE" w:rsidR="00D25FB5" w:rsidRDefault="00211F30" w:rsidP="00810B6F">
    <w:pPr>
      <w:pStyle w:val="Header"/>
      <w:rPr>
        <w:b w:val="0"/>
      </w:rPr>
    </w:pPr>
    <w:r>
      <w:rPr>
        <w:noProof/>
      </w:rPr>
      <w:pict w14:anchorId="05305730">
        <v:rect id="Rectangle 3" o:spid="_x0000_s2049" style="position:absolute;margin-left:.6pt;margin-top:12.65pt;width:468pt;height:.95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252F08">
      <w:t>DA 15-1451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C86A0572"/>
    <w:lvl w:ilvl="0">
      <w:start w:val="1"/>
      <w:numFmt w:val="decimal"/>
      <w:pStyle w:val="ParaNum"/>
      <w:lvlText w:val="%1."/>
      <w:lvlJc w:val="left"/>
      <w:pPr>
        <w:tabs>
          <w:tab w:val="num" w:pos="1080"/>
        </w:tabs>
        <w:ind w:left="0" w:firstLine="720"/>
      </w:pPr>
      <w:rPr>
        <w:rFonts w:ascii="Times New Roman" w:hAnsi="Times New Roman"/>
        <w:color w:val="auto"/>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377FD"/>
    <w:rsid w:val="00000524"/>
    <w:rsid w:val="00003631"/>
    <w:rsid w:val="00003657"/>
    <w:rsid w:val="00005D2A"/>
    <w:rsid w:val="00012FEE"/>
    <w:rsid w:val="000144E6"/>
    <w:rsid w:val="000147A2"/>
    <w:rsid w:val="000202BA"/>
    <w:rsid w:val="00021868"/>
    <w:rsid w:val="00026476"/>
    <w:rsid w:val="00026926"/>
    <w:rsid w:val="00026A3E"/>
    <w:rsid w:val="00030710"/>
    <w:rsid w:val="000323DF"/>
    <w:rsid w:val="00036039"/>
    <w:rsid w:val="00037F90"/>
    <w:rsid w:val="0004077B"/>
    <w:rsid w:val="00042097"/>
    <w:rsid w:val="00043B53"/>
    <w:rsid w:val="00044FD4"/>
    <w:rsid w:val="00046970"/>
    <w:rsid w:val="00047F1D"/>
    <w:rsid w:val="00050017"/>
    <w:rsid w:val="000519EB"/>
    <w:rsid w:val="00051E64"/>
    <w:rsid w:val="0005282B"/>
    <w:rsid w:val="0005374F"/>
    <w:rsid w:val="00054C25"/>
    <w:rsid w:val="0005546B"/>
    <w:rsid w:val="00056915"/>
    <w:rsid w:val="00061D56"/>
    <w:rsid w:val="00062DB1"/>
    <w:rsid w:val="00064BA5"/>
    <w:rsid w:val="000674A4"/>
    <w:rsid w:val="000733E5"/>
    <w:rsid w:val="0007417A"/>
    <w:rsid w:val="00077328"/>
    <w:rsid w:val="000779C2"/>
    <w:rsid w:val="00077B2F"/>
    <w:rsid w:val="00084508"/>
    <w:rsid w:val="00085B2A"/>
    <w:rsid w:val="000875BF"/>
    <w:rsid w:val="00087FAD"/>
    <w:rsid w:val="00094F8D"/>
    <w:rsid w:val="00096D8C"/>
    <w:rsid w:val="000A2056"/>
    <w:rsid w:val="000A7952"/>
    <w:rsid w:val="000A7AE8"/>
    <w:rsid w:val="000B46AF"/>
    <w:rsid w:val="000B6DF1"/>
    <w:rsid w:val="000C0B65"/>
    <w:rsid w:val="000C3340"/>
    <w:rsid w:val="000D54C9"/>
    <w:rsid w:val="000E05FE"/>
    <w:rsid w:val="000E3D42"/>
    <w:rsid w:val="000F21CF"/>
    <w:rsid w:val="000F47C9"/>
    <w:rsid w:val="000F6B9B"/>
    <w:rsid w:val="0010122E"/>
    <w:rsid w:val="001018EB"/>
    <w:rsid w:val="0010194F"/>
    <w:rsid w:val="00102C4E"/>
    <w:rsid w:val="001032A3"/>
    <w:rsid w:val="001049A4"/>
    <w:rsid w:val="00104C65"/>
    <w:rsid w:val="0010733E"/>
    <w:rsid w:val="001113F5"/>
    <w:rsid w:val="00112A76"/>
    <w:rsid w:val="00122BD5"/>
    <w:rsid w:val="00122C57"/>
    <w:rsid w:val="001234D2"/>
    <w:rsid w:val="00124C14"/>
    <w:rsid w:val="00130C0F"/>
    <w:rsid w:val="00132CBB"/>
    <w:rsid w:val="00133369"/>
    <w:rsid w:val="00133F79"/>
    <w:rsid w:val="001348F0"/>
    <w:rsid w:val="0013624D"/>
    <w:rsid w:val="00137059"/>
    <w:rsid w:val="001377FD"/>
    <w:rsid w:val="00140F40"/>
    <w:rsid w:val="00141485"/>
    <w:rsid w:val="00141660"/>
    <w:rsid w:val="00142093"/>
    <w:rsid w:val="00143792"/>
    <w:rsid w:val="00145CA1"/>
    <w:rsid w:val="00145FC2"/>
    <w:rsid w:val="001460F5"/>
    <w:rsid w:val="001471A9"/>
    <w:rsid w:val="00147717"/>
    <w:rsid w:val="00150374"/>
    <w:rsid w:val="00152D17"/>
    <w:rsid w:val="00152E66"/>
    <w:rsid w:val="00154891"/>
    <w:rsid w:val="00164324"/>
    <w:rsid w:val="001643A6"/>
    <w:rsid w:val="001654FF"/>
    <w:rsid w:val="001703E1"/>
    <w:rsid w:val="00170E8E"/>
    <w:rsid w:val="00172445"/>
    <w:rsid w:val="0017268E"/>
    <w:rsid w:val="001743D6"/>
    <w:rsid w:val="00174553"/>
    <w:rsid w:val="00175F59"/>
    <w:rsid w:val="00177DB0"/>
    <w:rsid w:val="00177E90"/>
    <w:rsid w:val="001802F3"/>
    <w:rsid w:val="00181972"/>
    <w:rsid w:val="0018431F"/>
    <w:rsid w:val="0018503F"/>
    <w:rsid w:val="00194A66"/>
    <w:rsid w:val="001950EA"/>
    <w:rsid w:val="00195B72"/>
    <w:rsid w:val="00196421"/>
    <w:rsid w:val="00196DE4"/>
    <w:rsid w:val="001A1CFF"/>
    <w:rsid w:val="001A24A4"/>
    <w:rsid w:val="001A3461"/>
    <w:rsid w:val="001A6934"/>
    <w:rsid w:val="001A770E"/>
    <w:rsid w:val="001B338E"/>
    <w:rsid w:val="001B5780"/>
    <w:rsid w:val="001B5D69"/>
    <w:rsid w:val="001B6EE3"/>
    <w:rsid w:val="001B7B2E"/>
    <w:rsid w:val="001C4674"/>
    <w:rsid w:val="001C7D42"/>
    <w:rsid w:val="001D3CE4"/>
    <w:rsid w:val="001D66E2"/>
    <w:rsid w:val="001D6BCF"/>
    <w:rsid w:val="001D762E"/>
    <w:rsid w:val="001E01CA"/>
    <w:rsid w:val="001E1285"/>
    <w:rsid w:val="001E20DE"/>
    <w:rsid w:val="001E3BC8"/>
    <w:rsid w:val="001E40BB"/>
    <w:rsid w:val="001E5781"/>
    <w:rsid w:val="001E6BE4"/>
    <w:rsid w:val="001E7396"/>
    <w:rsid w:val="001E7808"/>
    <w:rsid w:val="001E799E"/>
    <w:rsid w:val="001F026D"/>
    <w:rsid w:val="001F0CCA"/>
    <w:rsid w:val="001F60AD"/>
    <w:rsid w:val="001F7591"/>
    <w:rsid w:val="002063F3"/>
    <w:rsid w:val="00207C2A"/>
    <w:rsid w:val="00211F30"/>
    <w:rsid w:val="00216A09"/>
    <w:rsid w:val="00217493"/>
    <w:rsid w:val="00221B47"/>
    <w:rsid w:val="00227281"/>
    <w:rsid w:val="00230A2D"/>
    <w:rsid w:val="002324BA"/>
    <w:rsid w:val="00234104"/>
    <w:rsid w:val="00234F95"/>
    <w:rsid w:val="002431CF"/>
    <w:rsid w:val="00245FD4"/>
    <w:rsid w:val="00246FC5"/>
    <w:rsid w:val="00247479"/>
    <w:rsid w:val="002529C6"/>
    <w:rsid w:val="00252F08"/>
    <w:rsid w:val="00254223"/>
    <w:rsid w:val="00255D96"/>
    <w:rsid w:val="002606CE"/>
    <w:rsid w:val="002609F8"/>
    <w:rsid w:val="002612DB"/>
    <w:rsid w:val="00261AAE"/>
    <w:rsid w:val="00263E85"/>
    <w:rsid w:val="0026426A"/>
    <w:rsid w:val="002650E0"/>
    <w:rsid w:val="00267121"/>
    <w:rsid w:val="002714C5"/>
    <w:rsid w:val="00275033"/>
    <w:rsid w:val="00275CF5"/>
    <w:rsid w:val="00277158"/>
    <w:rsid w:val="00277B2C"/>
    <w:rsid w:val="00282CFD"/>
    <w:rsid w:val="0028301F"/>
    <w:rsid w:val="00283156"/>
    <w:rsid w:val="00285017"/>
    <w:rsid w:val="00292451"/>
    <w:rsid w:val="002A293B"/>
    <w:rsid w:val="002A2D2E"/>
    <w:rsid w:val="002A3228"/>
    <w:rsid w:val="002A351C"/>
    <w:rsid w:val="002A3626"/>
    <w:rsid w:val="002A5DCA"/>
    <w:rsid w:val="002B270F"/>
    <w:rsid w:val="002C00E8"/>
    <w:rsid w:val="002C1069"/>
    <w:rsid w:val="002C163B"/>
    <w:rsid w:val="002C29DA"/>
    <w:rsid w:val="002C3DEE"/>
    <w:rsid w:val="002C5077"/>
    <w:rsid w:val="002C5645"/>
    <w:rsid w:val="002E04DD"/>
    <w:rsid w:val="002E2313"/>
    <w:rsid w:val="002E45F4"/>
    <w:rsid w:val="002E46A8"/>
    <w:rsid w:val="002E65B2"/>
    <w:rsid w:val="002E7774"/>
    <w:rsid w:val="003021E2"/>
    <w:rsid w:val="00302D57"/>
    <w:rsid w:val="00303A31"/>
    <w:rsid w:val="00305706"/>
    <w:rsid w:val="00312ACE"/>
    <w:rsid w:val="00315038"/>
    <w:rsid w:val="00317CB4"/>
    <w:rsid w:val="0032089F"/>
    <w:rsid w:val="003267C1"/>
    <w:rsid w:val="00326B7C"/>
    <w:rsid w:val="00326ED9"/>
    <w:rsid w:val="0033261B"/>
    <w:rsid w:val="00332894"/>
    <w:rsid w:val="003356A4"/>
    <w:rsid w:val="00337E63"/>
    <w:rsid w:val="00343749"/>
    <w:rsid w:val="00344F5C"/>
    <w:rsid w:val="00345736"/>
    <w:rsid w:val="00345C2B"/>
    <w:rsid w:val="003507EE"/>
    <w:rsid w:val="003647D4"/>
    <w:rsid w:val="003660ED"/>
    <w:rsid w:val="003700FC"/>
    <w:rsid w:val="0037016C"/>
    <w:rsid w:val="00371505"/>
    <w:rsid w:val="00371C5D"/>
    <w:rsid w:val="00375A00"/>
    <w:rsid w:val="00381D58"/>
    <w:rsid w:val="00382CA6"/>
    <w:rsid w:val="00384615"/>
    <w:rsid w:val="00384D64"/>
    <w:rsid w:val="0038567E"/>
    <w:rsid w:val="003918BA"/>
    <w:rsid w:val="00392537"/>
    <w:rsid w:val="00392B4D"/>
    <w:rsid w:val="003946E0"/>
    <w:rsid w:val="003B0550"/>
    <w:rsid w:val="003B37BB"/>
    <w:rsid w:val="003B5604"/>
    <w:rsid w:val="003B5815"/>
    <w:rsid w:val="003B608D"/>
    <w:rsid w:val="003B694F"/>
    <w:rsid w:val="003C3567"/>
    <w:rsid w:val="003C4FD2"/>
    <w:rsid w:val="003C5C47"/>
    <w:rsid w:val="003C5EF8"/>
    <w:rsid w:val="003C6827"/>
    <w:rsid w:val="003C7600"/>
    <w:rsid w:val="003D4B82"/>
    <w:rsid w:val="003D5D24"/>
    <w:rsid w:val="003D7013"/>
    <w:rsid w:val="003D72CA"/>
    <w:rsid w:val="003D7673"/>
    <w:rsid w:val="003D7948"/>
    <w:rsid w:val="003E0A31"/>
    <w:rsid w:val="003E0FBB"/>
    <w:rsid w:val="003E1527"/>
    <w:rsid w:val="003E6668"/>
    <w:rsid w:val="003F06D0"/>
    <w:rsid w:val="003F171C"/>
    <w:rsid w:val="003F175B"/>
    <w:rsid w:val="003F235A"/>
    <w:rsid w:val="00402745"/>
    <w:rsid w:val="00403FE7"/>
    <w:rsid w:val="00405810"/>
    <w:rsid w:val="004102EB"/>
    <w:rsid w:val="00412988"/>
    <w:rsid w:val="00412B85"/>
    <w:rsid w:val="00412FC5"/>
    <w:rsid w:val="0041520C"/>
    <w:rsid w:val="00416C15"/>
    <w:rsid w:val="00420E41"/>
    <w:rsid w:val="00422276"/>
    <w:rsid w:val="00423753"/>
    <w:rsid w:val="0042384D"/>
    <w:rsid w:val="004242F1"/>
    <w:rsid w:val="00425309"/>
    <w:rsid w:val="00425C13"/>
    <w:rsid w:val="00433009"/>
    <w:rsid w:val="004348CF"/>
    <w:rsid w:val="004367B6"/>
    <w:rsid w:val="00437A0E"/>
    <w:rsid w:val="0044152A"/>
    <w:rsid w:val="00441F3C"/>
    <w:rsid w:val="00442865"/>
    <w:rsid w:val="00442B73"/>
    <w:rsid w:val="0044368C"/>
    <w:rsid w:val="00444816"/>
    <w:rsid w:val="00445A00"/>
    <w:rsid w:val="004469C8"/>
    <w:rsid w:val="0044731E"/>
    <w:rsid w:val="004500C7"/>
    <w:rsid w:val="004512C3"/>
    <w:rsid w:val="00451B0F"/>
    <w:rsid w:val="004524C7"/>
    <w:rsid w:val="0045521A"/>
    <w:rsid w:val="004606D7"/>
    <w:rsid w:val="0046106A"/>
    <w:rsid w:val="00461DB9"/>
    <w:rsid w:val="00464463"/>
    <w:rsid w:val="00465200"/>
    <w:rsid w:val="004660EE"/>
    <w:rsid w:val="00474781"/>
    <w:rsid w:val="00476550"/>
    <w:rsid w:val="00481301"/>
    <w:rsid w:val="004828E4"/>
    <w:rsid w:val="00483627"/>
    <w:rsid w:val="00485A09"/>
    <w:rsid w:val="00492B7E"/>
    <w:rsid w:val="0049485B"/>
    <w:rsid w:val="00495793"/>
    <w:rsid w:val="004A0409"/>
    <w:rsid w:val="004A42B7"/>
    <w:rsid w:val="004A517C"/>
    <w:rsid w:val="004B11C2"/>
    <w:rsid w:val="004B5750"/>
    <w:rsid w:val="004B7703"/>
    <w:rsid w:val="004C1853"/>
    <w:rsid w:val="004C2EE3"/>
    <w:rsid w:val="004C4119"/>
    <w:rsid w:val="004C4CD1"/>
    <w:rsid w:val="004C6214"/>
    <w:rsid w:val="004C6C33"/>
    <w:rsid w:val="004D4A4F"/>
    <w:rsid w:val="004D657F"/>
    <w:rsid w:val="004E450D"/>
    <w:rsid w:val="004E4A22"/>
    <w:rsid w:val="004E7018"/>
    <w:rsid w:val="004F0F55"/>
    <w:rsid w:val="004F104A"/>
    <w:rsid w:val="004F2838"/>
    <w:rsid w:val="004F6B4F"/>
    <w:rsid w:val="004F7DCB"/>
    <w:rsid w:val="00503D19"/>
    <w:rsid w:val="00511968"/>
    <w:rsid w:val="00512ABF"/>
    <w:rsid w:val="005170CB"/>
    <w:rsid w:val="005177C1"/>
    <w:rsid w:val="00520B9A"/>
    <w:rsid w:val="00520E76"/>
    <w:rsid w:val="00524910"/>
    <w:rsid w:val="005258F3"/>
    <w:rsid w:val="0052648E"/>
    <w:rsid w:val="0052698B"/>
    <w:rsid w:val="00526C9A"/>
    <w:rsid w:val="00526D3A"/>
    <w:rsid w:val="00530770"/>
    <w:rsid w:val="00531B9A"/>
    <w:rsid w:val="0053380D"/>
    <w:rsid w:val="005366C5"/>
    <w:rsid w:val="00536FA2"/>
    <w:rsid w:val="0054314D"/>
    <w:rsid w:val="00543D69"/>
    <w:rsid w:val="0054408F"/>
    <w:rsid w:val="00550147"/>
    <w:rsid w:val="00550516"/>
    <w:rsid w:val="00551185"/>
    <w:rsid w:val="0055192E"/>
    <w:rsid w:val="005531AA"/>
    <w:rsid w:val="00553847"/>
    <w:rsid w:val="005545C4"/>
    <w:rsid w:val="0055614C"/>
    <w:rsid w:val="005566D6"/>
    <w:rsid w:val="005603F7"/>
    <w:rsid w:val="00560F17"/>
    <w:rsid w:val="005630DF"/>
    <w:rsid w:val="00566172"/>
    <w:rsid w:val="00567302"/>
    <w:rsid w:val="005762E3"/>
    <w:rsid w:val="00582ADC"/>
    <w:rsid w:val="0058686B"/>
    <w:rsid w:val="005871D3"/>
    <w:rsid w:val="0059064E"/>
    <w:rsid w:val="00590D6F"/>
    <w:rsid w:val="00595CD4"/>
    <w:rsid w:val="00595D30"/>
    <w:rsid w:val="00596297"/>
    <w:rsid w:val="005A044B"/>
    <w:rsid w:val="005A6AD4"/>
    <w:rsid w:val="005A7B7E"/>
    <w:rsid w:val="005B2DE6"/>
    <w:rsid w:val="005B4251"/>
    <w:rsid w:val="005B429E"/>
    <w:rsid w:val="005B5237"/>
    <w:rsid w:val="005B59FA"/>
    <w:rsid w:val="005B61E1"/>
    <w:rsid w:val="005B65AD"/>
    <w:rsid w:val="005D44F3"/>
    <w:rsid w:val="005E14C2"/>
    <w:rsid w:val="005E2BB2"/>
    <w:rsid w:val="005E3AD3"/>
    <w:rsid w:val="005E4A60"/>
    <w:rsid w:val="005E6231"/>
    <w:rsid w:val="005F0050"/>
    <w:rsid w:val="005F0EFD"/>
    <w:rsid w:val="005F620E"/>
    <w:rsid w:val="00600139"/>
    <w:rsid w:val="006012E9"/>
    <w:rsid w:val="0060409F"/>
    <w:rsid w:val="006041D4"/>
    <w:rsid w:val="00607BA5"/>
    <w:rsid w:val="0061180A"/>
    <w:rsid w:val="00614539"/>
    <w:rsid w:val="00620CDC"/>
    <w:rsid w:val="006250FD"/>
    <w:rsid w:val="00625D33"/>
    <w:rsid w:val="00626354"/>
    <w:rsid w:val="00626DF9"/>
    <w:rsid w:val="00626EB6"/>
    <w:rsid w:val="00627010"/>
    <w:rsid w:val="006304AB"/>
    <w:rsid w:val="00631EA1"/>
    <w:rsid w:val="0063454E"/>
    <w:rsid w:val="006373E0"/>
    <w:rsid w:val="006430DB"/>
    <w:rsid w:val="00647E12"/>
    <w:rsid w:val="00651B2B"/>
    <w:rsid w:val="00652A50"/>
    <w:rsid w:val="00655D03"/>
    <w:rsid w:val="00656F0A"/>
    <w:rsid w:val="006574A0"/>
    <w:rsid w:val="006601CF"/>
    <w:rsid w:val="00660A81"/>
    <w:rsid w:val="0066581E"/>
    <w:rsid w:val="00665BD0"/>
    <w:rsid w:val="00667759"/>
    <w:rsid w:val="0067027A"/>
    <w:rsid w:val="0067230E"/>
    <w:rsid w:val="006753F2"/>
    <w:rsid w:val="00681513"/>
    <w:rsid w:val="00683388"/>
    <w:rsid w:val="006835FF"/>
    <w:rsid w:val="00683F84"/>
    <w:rsid w:val="006848C9"/>
    <w:rsid w:val="0068787F"/>
    <w:rsid w:val="0069050F"/>
    <w:rsid w:val="006A05D6"/>
    <w:rsid w:val="006A14CB"/>
    <w:rsid w:val="006A69DA"/>
    <w:rsid w:val="006A6A81"/>
    <w:rsid w:val="006A7581"/>
    <w:rsid w:val="006A7ABF"/>
    <w:rsid w:val="006B26F3"/>
    <w:rsid w:val="006C2BBC"/>
    <w:rsid w:val="006C61FE"/>
    <w:rsid w:val="006D0658"/>
    <w:rsid w:val="006D065D"/>
    <w:rsid w:val="006D3477"/>
    <w:rsid w:val="006D3F12"/>
    <w:rsid w:val="006D5A9D"/>
    <w:rsid w:val="006D6180"/>
    <w:rsid w:val="006E3788"/>
    <w:rsid w:val="006E388E"/>
    <w:rsid w:val="006E45C2"/>
    <w:rsid w:val="006E55BA"/>
    <w:rsid w:val="006E6346"/>
    <w:rsid w:val="006F2810"/>
    <w:rsid w:val="006F57E0"/>
    <w:rsid w:val="006F5864"/>
    <w:rsid w:val="006F6003"/>
    <w:rsid w:val="006F7358"/>
    <w:rsid w:val="006F7393"/>
    <w:rsid w:val="0070144E"/>
    <w:rsid w:val="00701636"/>
    <w:rsid w:val="00701DF8"/>
    <w:rsid w:val="0070224F"/>
    <w:rsid w:val="00705C4B"/>
    <w:rsid w:val="007067ED"/>
    <w:rsid w:val="00707205"/>
    <w:rsid w:val="007115F7"/>
    <w:rsid w:val="007122D1"/>
    <w:rsid w:val="0071359A"/>
    <w:rsid w:val="00714513"/>
    <w:rsid w:val="00714EC5"/>
    <w:rsid w:val="00715227"/>
    <w:rsid w:val="00716456"/>
    <w:rsid w:val="00716E2E"/>
    <w:rsid w:val="0071725E"/>
    <w:rsid w:val="007224FE"/>
    <w:rsid w:val="00722E63"/>
    <w:rsid w:val="00724C84"/>
    <w:rsid w:val="00726F2E"/>
    <w:rsid w:val="00730E7C"/>
    <w:rsid w:val="0073270A"/>
    <w:rsid w:val="00734D95"/>
    <w:rsid w:val="0073718D"/>
    <w:rsid w:val="00746247"/>
    <w:rsid w:val="00751793"/>
    <w:rsid w:val="007577B8"/>
    <w:rsid w:val="007628A8"/>
    <w:rsid w:val="00762A74"/>
    <w:rsid w:val="00763AF1"/>
    <w:rsid w:val="00764A02"/>
    <w:rsid w:val="007664B1"/>
    <w:rsid w:val="00766EC9"/>
    <w:rsid w:val="00766EE0"/>
    <w:rsid w:val="00767717"/>
    <w:rsid w:val="00770914"/>
    <w:rsid w:val="00771F3A"/>
    <w:rsid w:val="00772610"/>
    <w:rsid w:val="007824F6"/>
    <w:rsid w:val="00783256"/>
    <w:rsid w:val="00785689"/>
    <w:rsid w:val="0079038B"/>
    <w:rsid w:val="00790884"/>
    <w:rsid w:val="00791D25"/>
    <w:rsid w:val="00791E3D"/>
    <w:rsid w:val="0079298A"/>
    <w:rsid w:val="00794AC3"/>
    <w:rsid w:val="0079754B"/>
    <w:rsid w:val="007A1E6D"/>
    <w:rsid w:val="007A22D8"/>
    <w:rsid w:val="007A5D4B"/>
    <w:rsid w:val="007A709E"/>
    <w:rsid w:val="007A71F1"/>
    <w:rsid w:val="007B0EB2"/>
    <w:rsid w:val="007B32E4"/>
    <w:rsid w:val="007C115F"/>
    <w:rsid w:val="007C21AB"/>
    <w:rsid w:val="007C2D3C"/>
    <w:rsid w:val="007D5FE4"/>
    <w:rsid w:val="007D74ED"/>
    <w:rsid w:val="007E07C4"/>
    <w:rsid w:val="007E190A"/>
    <w:rsid w:val="007E5AB8"/>
    <w:rsid w:val="007F5352"/>
    <w:rsid w:val="00800B30"/>
    <w:rsid w:val="00801548"/>
    <w:rsid w:val="00801A2F"/>
    <w:rsid w:val="00804D8A"/>
    <w:rsid w:val="00807000"/>
    <w:rsid w:val="00810B6F"/>
    <w:rsid w:val="00810F3E"/>
    <w:rsid w:val="008113D6"/>
    <w:rsid w:val="0081734A"/>
    <w:rsid w:val="008177C2"/>
    <w:rsid w:val="00821510"/>
    <w:rsid w:val="00821C30"/>
    <w:rsid w:val="00821CB3"/>
    <w:rsid w:val="00822CE0"/>
    <w:rsid w:val="00825002"/>
    <w:rsid w:val="00826FA6"/>
    <w:rsid w:val="008279CB"/>
    <w:rsid w:val="00831787"/>
    <w:rsid w:val="00832700"/>
    <w:rsid w:val="00832E9D"/>
    <w:rsid w:val="00834942"/>
    <w:rsid w:val="008366D8"/>
    <w:rsid w:val="00837C65"/>
    <w:rsid w:val="00841AB1"/>
    <w:rsid w:val="008444B9"/>
    <w:rsid w:val="0084475D"/>
    <w:rsid w:val="00845EDA"/>
    <w:rsid w:val="00847558"/>
    <w:rsid w:val="00851933"/>
    <w:rsid w:val="00860036"/>
    <w:rsid w:val="008652CF"/>
    <w:rsid w:val="00865E4C"/>
    <w:rsid w:val="00873E97"/>
    <w:rsid w:val="008761DA"/>
    <w:rsid w:val="0087719D"/>
    <w:rsid w:val="00880D58"/>
    <w:rsid w:val="00885326"/>
    <w:rsid w:val="00885477"/>
    <w:rsid w:val="00885636"/>
    <w:rsid w:val="00894211"/>
    <w:rsid w:val="0089522B"/>
    <w:rsid w:val="00895634"/>
    <w:rsid w:val="008A0745"/>
    <w:rsid w:val="008A2163"/>
    <w:rsid w:val="008A3E8C"/>
    <w:rsid w:val="008B206B"/>
    <w:rsid w:val="008C0CE3"/>
    <w:rsid w:val="008C23D0"/>
    <w:rsid w:val="008C2E1B"/>
    <w:rsid w:val="008C5249"/>
    <w:rsid w:val="008C5920"/>
    <w:rsid w:val="008C68F1"/>
    <w:rsid w:val="008C7744"/>
    <w:rsid w:val="008D1D2B"/>
    <w:rsid w:val="008D20C5"/>
    <w:rsid w:val="008D6CFA"/>
    <w:rsid w:val="008D7DDC"/>
    <w:rsid w:val="008E1EF5"/>
    <w:rsid w:val="008E4E11"/>
    <w:rsid w:val="008E5B27"/>
    <w:rsid w:val="008E6CC9"/>
    <w:rsid w:val="008F1474"/>
    <w:rsid w:val="008F1EDE"/>
    <w:rsid w:val="008F4CCE"/>
    <w:rsid w:val="008F5F25"/>
    <w:rsid w:val="009007F5"/>
    <w:rsid w:val="00902147"/>
    <w:rsid w:val="00904D13"/>
    <w:rsid w:val="0090798C"/>
    <w:rsid w:val="009113D6"/>
    <w:rsid w:val="009119DC"/>
    <w:rsid w:val="00921803"/>
    <w:rsid w:val="00923531"/>
    <w:rsid w:val="00924BFD"/>
    <w:rsid w:val="009256F7"/>
    <w:rsid w:val="00926503"/>
    <w:rsid w:val="00932D01"/>
    <w:rsid w:val="009347B2"/>
    <w:rsid w:val="00935072"/>
    <w:rsid w:val="00941D3F"/>
    <w:rsid w:val="009444C2"/>
    <w:rsid w:val="00945661"/>
    <w:rsid w:val="00946830"/>
    <w:rsid w:val="00951156"/>
    <w:rsid w:val="009538DA"/>
    <w:rsid w:val="0096331B"/>
    <w:rsid w:val="009708B6"/>
    <w:rsid w:val="00970FB5"/>
    <w:rsid w:val="009726D8"/>
    <w:rsid w:val="0097500D"/>
    <w:rsid w:val="00975138"/>
    <w:rsid w:val="009762CC"/>
    <w:rsid w:val="00981EFF"/>
    <w:rsid w:val="00992E08"/>
    <w:rsid w:val="009A2E55"/>
    <w:rsid w:val="009A3D65"/>
    <w:rsid w:val="009A4691"/>
    <w:rsid w:val="009B012C"/>
    <w:rsid w:val="009B03C9"/>
    <w:rsid w:val="009B17F4"/>
    <w:rsid w:val="009B60BD"/>
    <w:rsid w:val="009B7716"/>
    <w:rsid w:val="009C490D"/>
    <w:rsid w:val="009C7DA7"/>
    <w:rsid w:val="009D3421"/>
    <w:rsid w:val="009D7098"/>
    <w:rsid w:val="009E71A4"/>
    <w:rsid w:val="009F1020"/>
    <w:rsid w:val="009F1A27"/>
    <w:rsid w:val="009F40DA"/>
    <w:rsid w:val="009F55A7"/>
    <w:rsid w:val="009F76DB"/>
    <w:rsid w:val="00A00B48"/>
    <w:rsid w:val="00A01F0F"/>
    <w:rsid w:val="00A01FB0"/>
    <w:rsid w:val="00A02F53"/>
    <w:rsid w:val="00A0306D"/>
    <w:rsid w:val="00A06307"/>
    <w:rsid w:val="00A124B2"/>
    <w:rsid w:val="00A13116"/>
    <w:rsid w:val="00A13D68"/>
    <w:rsid w:val="00A15109"/>
    <w:rsid w:val="00A15C36"/>
    <w:rsid w:val="00A16836"/>
    <w:rsid w:val="00A1716A"/>
    <w:rsid w:val="00A17B34"/>
    <w:rsid w:val="00A23FBD"/>
    <w:rsid w:val="00A32A46"/>
    <w:rsid w:val="00A32AE9"/>
    <w:rsid w:val="00A32C3B"/>
    <w:rsid w:val="00A33DFC"/>
    <w:rsid w:val="00A35A40"/>
    <w:rsid w:val="00A37AEB"/>
    <w:rsid w:val="00A44D0E"/>
    <w:rsid w:val="00A45F4F"/>
    <w:rsid w:val="00A467B7"/>
    <w:rsid w:val="00A467C6"/>
    <w:rsid w:val="00A50BAB"/>
    <w:rsid w:val="00A514D8"/>
    <w:rsid w:val="00A51CC4"/>
    <w:rsid w:val="00A51EAE"/>
    <w:rsid w:val="00A551E3"/>
    <w:rsid w:val="00A556B8"/>
    <w:rsid w:val="00A5668B"/>
    <w:rsid w:val="00A56B32"/>
    <w:rsid w:val="00A600A9"/>
    <w:rsid w:val="00A60FCE"/>
    <w:rsid w:val="00A65820"/>
    <w:rsid w:val="00A71179"/>
    <w:rsid w:val="00A7217E"/>
    <w:rsid w:val="00A74C1D"/>
    <w:rsid w:val="00A74C92"/>
    <w:rsid w:val="00A74F9E"/>
    <w:rsid w:val="00A75DC9"/>
    <w:rsid w:val="00A850D5"/>
    <w:rsid w:val="00A96CBD"/>
    <w:rsid w:val="00AA1FD2"/>
    <w:rsid w:val="00AA2C08"/>
    <w:rsid w:val="00AA55B7"/>
    <w:rsid w:val="00AA5B9E"/>
    <w:rsid w:val="00AA6B05"/>
    <w:rsid w:val="00AB2407"/>
    <w:rsid w:val="00AB408F"/>
    <w:rsid w:val="00AB53DF"/>
    <w:rsid w:val="00AB5969"/>
    <w:rsid w:val="00AE1D3E"/>
    <w:rsid w:val="00AE2199"/>
    <w:rsid w:val="00AE5274"/>
    <w:rsid w:val="00AF02F3"/>
    <w:rsid w:val="00AF73B9"/>
    <w:rsid w:val="00B040B6"/>
    <w:rsid w:val="00B04D37"/>
    <w:rsid w:val="00B04E48"/>
    <w:rsid w:val="00B07E5C"/>
    <w:rsid w:val="00B11305"/>
    <w:rsid w:val="00B16768"/>
    <w:rsid w:val="00B17341"/>
    <w:rsid w:val="00B20255"/>
    <w:rsid w:val="00B21278"/>
    <w:rsid w:val="00B22871"/>
    <w:rsid w:val="00B248DA"/>
    <w:rsid w:val="00B25927"/>
    <w:rsid w:val="00B34040"/>
    <w:rsid w:val="00B3546E"/>
    <w:rsid w:val="00B35F77"/>
    <w:rsid w:val="00B36F54"/>
    <w:rsid w:val="00B37417"/>
    <w:rsid w:val="00B40DBB"/>
    <w:rsid w:val="00B44F56"/>
    <w:rsid w:val="00B546D7"/>
    <w:rsid w:val="00B5627E"/>
    <w:rsid w:val="00B60E3E"/>
    <w:rsid w:val="00B67DD7"/>
    <w:rsid w:val="00B71B3F"/>
    <w:rsid w:val="00B73E01"/>
    <w:rsid w:val="00B806BE"/>
    <w:rsid w:val="00B811F7"/>
    <w:rsid w:val="00B8152E"/>
    <w:rsid w:val="00B815C0"/>
    <w:rsid w:val="00B87C4B"/>
    <w:rsid w:val="00B934CA"/>
    <w:rsid w:val="00B934D1"/>
    <w:rsid w:val="00B93C5A"/>
    <w:rsid w:val="00BA0C74"/>
    <w:rsid w:val="00BA339A"/>
    <w:rsid w:val="00BA37C0"/>
    <w:rsid w:val="00BA5DC6"/>
    <w:rsid w:val="00BA6196"/>
    <w:rsid w:val="00BA66A0"/>
    <w:rsid w:val="00BA77C9"/>
    <w:rsid w:val="00BB2B52"/>
    <w:rsid w:val="00BB3C8E"/>
    <w:rsid w:val="00BC6605"/>
    <w:rsid w:val="00BC6C1A"/>
    <w:rsid w:val="00BC6D8C"/>
    <w:rsid w:val="00BD48A3"/>
    <w:rsid w:val="00BD4D84"/>
    <w:rsid w:val="00BD540D"/>
    <w:rsid w:val="00BD630D"/>
    <w:rsid w:val="00BD7661"/>
    <w:rsid w:val="00BE1E9A"/>
    <w:rsid w:val="00BF0A40"/>
    <w:rsid w:val="00BF2904"/>
    <w:rsid w:val="00BF310A"/>
    <w:rsid w:val="00BF5003"/>
    <w:rsid w:val="00BF785D"/>
    <w:rsid w:val="00BF7CB0"/>
    <w:rsid w:val="00C00E52"/>
    <w:rsid w:val="00C03BC9"/>
    <w:rsid w:val="00C07A19"/>
    <w:rsid w:val="00C11853"/>
    <w:rsid w:val="00C13139"/>
    <w:rsid w:val="00C15E96"/>
    <w:rsid w:val="00C163BE"/>
    <w:rsid w:val="00C16C9B"/>
    <w:rsid w:val="00C1710A"/>
    <w:rsid w:val="00C20216"/>
    <w:rsid w:val="00C22E46"/>
    <w:rsid w:val="00C240CB"/>
    <w:rsid w:val="00C24DC8"/>
    <w:rsid w:val="00C26929"/>
    <w:rsid w:val="00C33CCC"/>
    <w:rsid w:val="00C34006"/>
    <w:rsid w:val="00C41949"/>
    <w:rsid w:val="00C426B1"/>
    <w:rsid w:val="00C43250"/>
    <w:rsid w:val="00C552C3"/>
    <w:rsid w:val="00C56CF7"/>
    <w:rsid w:val="00C66160"/>
    <w:rsid w:val="00C709AC"/>
    <w:rsid w:val="00C721AC"/>
    <w:rsid w:val="00C73066"/>
    <w:rsid w:val="00C74587"/>
    <w:rsid w:val="00C74763"/>
    <w:rsid w:val="00C83397"/>
    <w:rsid w:val="00C83503"/>
    <w:rsid w:val="00C87EEB"/>
    <w:rsid w:val="00C90D6A"/>
    <w:rsid w:val="00C90E77"/>
    <w:rsid w:val="00C93756"/>
    <w:rsid w:val="00C970F3"/>
    <w:rsid w:val="00CA247E"/>
    <w:rsid w:val="00CA41CE"/>
    <w:rsid w:val="00CB2F17"/>
    <w:rsid w:val="00CB4434"/>
    <w:rsid w:val="00CB4A87"/>
    <w:rsid w:val="00CB6E98"/>
    <w:rsid w:val="00CB79C1"/>
    <w:rsid w:val="00CB7FBB"/>
    <w:rsid w:val="00CC1D96"/>
    <w:rsid w:val="00CC6E2F"/>
    <w:rsid w:val="00CC72B6"/>
    <w:rsid w:val="00CD0878"/>
    <w:rsid w:val="00CD3604"/>
    <w:rsid w:val="00CD5835"/>
    <w:rsid w:val="00CE0015"/>
    <w:rsid w:val="00CE0AFC"/>
    <w:rsid w:val="00CE1958"/>
    <w:rsid w:val="00CE35BC"/>
    <w:rsid w:val="00CE437F"/>
    <w:rsid w:val="00CE5113"/>
    <w:rsid w:val="00CE51B8"/>
    <w:rsid w:val="00CE6298"/>
    <w:rsid w:val="00CE728D"/>
    <w:rsid w:val="00CE76A7"/>
    <w:rsid w:val="00CF462D"/>
    <w:rsid w:val="00D0218D"/>
    <w:rsid w:val="00D03D7C"/>
    <w:rsid w:val="00D07DEB"/>
    <w:rsid w:val="00D10DB9"/>
    <w:rsid w:val="00D12DCD"/>
    <w:rsid w:val="00D15937"/>
    <w:rsid w:val="00D206C8"/>
    <w:rsid w:val="00D21350"/>
    <w:rsid w:val="00D22D9C"/>
    <w:rsid w:val="00D23AAA"/>
    <w:rsid w:val="00D25FB5"/>
    <w:rsid w:val="00D30BBD"/>
    <w:rsid w:val="00D346BA"/>
    <w:rsid w:val="00D44223"/>
    <w:rsid w:val="00D47B04"/>
    <w:rsid w:val="00D5063E"/>
    <w:rsid w:val="00D51381"/>
    <w:rsid w:val="00D63C5C"/>
    <w:rsid w:val="00D676AA"/>
    <w:rsid w:val="00D73F0B"/>
    <w:rsid w:val="00D775D2"/>
    <w:rsid w:val="00D77799"/>
    <w:rsid w:val="00D777EF"/>
    <w:rsid w:val="00D8476F"/>
    <w:rsid w:val="00D85083"/>
    <w:rsid w:val="00D90773"/>
    <w:rsid w:val="00D91023"/>
    <w:rsid w:val="00D91989"/>
    <w:rsid w:val="00D92784"/>
    <w:rsid w:val="00D92D6D"/>
    <w:rsid w:val="00D93A0C"/>
    <w:rsid w:val="00D95042"/>
    <w:rsid w:val="00D96793"/>
    <w:rsid w:val="00D96C7D"/>
    <w:rsid w:val="00D96E47"/>
    <w:rsid w:val="00D97FA3"/>
    <w:rsid w:val="00DA1886"/>
    <w:rsid w:val="00DA2529"/>
    <w:rsid w:val="00DA57F4"/>
    <w:rsid w:val="00DB130A"/>
    <w:rsid w:val="00DB2D91"/>
    <w:rsid w:val="00DB2EBB"/>
    <w:rsid w:val="00DB5C2B"/>
    <w:rsid w:val="00DB7EFD"/>
    <w:rsid w:val="00DC013A"/>
    <w:rsid w:val="00DC10A1"/>
    <w:rsid w:val="00DC4D27"/>
    <w:rsid w:val="00DC5099"/>
    <w:rsid w:val="00DC64DC"/>
    <w:rsid w:val="00DC655F"/>
    <w:rsid w:val="00DC69ED"/>
    <w:rsid w:val="00DD0B59"/>
    <w:rsid w:val="00DD33D4"/>
    <w:rsid w:val="00DD3AD5"/>
    <w:rsid w:val="00DD7EBD"/>
    <w:rsid w:val="00DE1068"/>
    <w:rsid w:val="00DE3403"/>
    <w:rsid w:val="00DE7BAF"/>
    <w:rsid w:val="00DF1518"/>
    <w:rsid w:val="00DF30DF"/>
    <w:rsid w:val="00DF62B6"/>
    <w:rsid w:val="00DF760D"/>
    <w:rsid w:val="00E02ED9"/>
    <w:rsid w:val="00E06DE0"/>
    <w:rsid w:val="00E07225"/>
    <w:rsid w:val="00E07A40"/>
    <w:rsid w:val="00E15247"/>
    <w:rsid w:val="00E22721"/>
    <w:rsid w:val="00E22D36"/>
    <w:rsid w:val="00E27EA6"/>
    <w:rsid w:val="00E3016E"/>
    <w:rsid w:val="00E31B18"/>
    <w:rsid w:val="00E356D7"/>
    <w:rsid w:val="00E4217E"/>
    <w:rsid w:val="00E43554"/>
    <w:rsid w:val="00E43A59"/>
    <w:rsid w:val="00E44B8A"/>
    <w:rsid w:val="00E46F43"/>
    <w:rsid w:val="00E5323C"/>
    <w:rsid w:val="00E5409F"/>
    <w:rsid w:val="00E55069"/>
    <w:rsid w:val="00E577D7"/>
    <w:rsid w:val="00E60E10"/>
    <w:rsid w:val="00E6377D"/>
    <w:rsid w:val="00E6706B"/>
    <w:rsid w:val="00E72B2B"/>
    <w:rsid w:val="00E72CBA"/>
    <w:rsid w:val="00E7544B"/>
    <w:rsid w:val="00E809AE"/>
    <w:rsid w:val="00E83F38"/>
    <w:rsid w:val="00E84181"/>
    <w:rsid w:val="00E841EB"/>
    <w:rsid w:val="00E87D50"/>
    <w:rsid w:val="00E948E1"/>
    <w:rsid w:val="00E949EB"/>
    <w:rsid w:val="00E95610"/>
    <w:rsid w:val="00E965D7"/>
    <w:rsid w:val="00EA3C22"/>
    <w:rsid w:val="00EA4263"/>
    <w:rsid w:val="00EA48D8"/>
    <w:rsid w:val="00EA4A32"/>
    <w:rsid w:val="00EA5399"/>
    <w:rsid w:val="00EA64B7"/>
    <w:rsid w:val="00EB02AC"/>
    <w:rsid w:val="00EB0B0E"/>
    <w:rsid w:val="00EB1B31"/>
    <w:rsid w:val="00EB42F8"/>
    <w:rsid w:val="00EB4ECD"/>
    <w:rsid w:val="00EC0C17"/>
    <w:rsid w:val="00EC1224"/>
    <w:rsid w:val="00EC21D0"/>
    <w:rsid w:val="00EC3C97"/>
    <w:rsid w:val="00EC6683"/>
    <w:rsid w:val="00ED04F2"/>
    <w:rsid w:val="00ED24D8"/>
    <w:rsid w:val="00EE15AD"/>
    <w:rsid w:val="00EE4E86"/>
    <w:rsid w:val="00EE62A2"/>
    <w:rsid w:val="00EE6488"/>
    <w:rsid w:val="00EE784D"/>
    <w:rsid w:val="00EF5A94"/>
    <w:rsid w:val="00F013C1"/>
    <w:rsid w:val="00F015E1"/>
    <w:rsid w:val="00F021FA"/>
    <w:rsid w:val="00F02D81"/>
    <w:rsid w:val="00F06889"/>
    <w:rsid w:val="00F068B1"/>
    <w:rsid w:val="00F06BA2"/>
    <w:rsid w:val="00F108A4"/>
    <w:rsid w:val="00F11339"/>
    <w:rsid w:val="00F121F5"/>
    <w:rsid w:val="00F13E55"/>
    <w:rsid w:val="00F13FDD"/>
    <w:rsid w:val="00F2229C"/>
    <w:rsid w:val="00F22588"/>
    <w:rsid w:val="00F235F2"/>
    <w:rsid w:val="00F24E0E"/>
    <w:rsid w:val="00F26D09"/>
    <w:rsid w:val="00F30907"/>
    <w:rsid w:val="00F31A51"/>
    <w:rsid w:val="00F35741"/>
    <w:rsid w:val="00F37E67"/>
    <w:rsid w:val="00F40047"/>
    <w:rsid w:val="00F43DFC"/>
    <w:rsid w:val="00F45EAE"/>
    <w:rsid w:val="00F51580"/>
    <w:rsid w:val="00F62E97"/>
    <w:rsid w:val="00F64209"/>
    <w:rsid w:val="00F66534"/>
    <w:rsid w:val="00F6681B"/>
    <w:rsid w:val="00F702E5"/>
    <w:rsid w:val="00F7339D"/>
    <w:rsid w:val="00F7736C"/>
    <w:rsid w:val="00F8091E"/>
    <w:rsid w:val="00F82653"/>
    <w:rsid w:val="00F836D7"/>
    <w:rsid w:val="00F839C1"/>
    <w:rsid w:val="00F84358"/>
    <w:rsid w:val="00F866CF"/>
    <w:rsid w:val="00F8752E"/>
    <w:rsid w:val="00F901C6"/>
    <w:rsid w:val="00F92613"/>
    <w:rsid w:val="00F93374"/>
    <w:rsid w:val="00F93BF5"/>
    <w:rsid w:val="00F97461"/>
    <w:rsid w:val="00FA0179"/>
    <w:rsid w:val="00FA338C"/>
    <w:rsid w:val="00FA3E5D"/>
    <w:rsid w:val="00FA423D"/>
    <w:rsid w:val="00FA6646"/>
    <w:rsid w:val="00FA6690"/>
    <w:rsid w:val="00FB1F42"/>
    <w:rsid w:val="00FB24AF"/>
    <w:rsid w:val="00FB4296"/>
    <w:rsid w:val="00FB543E"/>
    <w:rsid w:val="00FC18FF"/>
    <w:rsid w:val="00FC7770"/>
    <w:rsid w:val="00FD11D8"/>
    <w:rsid w:val="00FD46F2"/>
    <w:rsid w:val="00FD5C79"/>
    <w:rsid w:val="00FD605E"/>
    <w:rsid w:val="00FE4202"/>
    <w:rsid w:val="00FF0974"/>
    <w:rsid w:val="00FF2864"/>
    <w:rsid w:val="00FF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345C2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45C2B"/>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2,Footnote Text Char Char1 Char,Footnote Text Char2 Char2 Char Char,Footnote Text Char Char1 Char Char Char,Footnote Text Char1 Char1 Char Char Char Char,Footnote Text Char2 Char Char,fn,fn Char1,Footnote Text Char1"/>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Style 6,Footnote Reference/,Style 7,Style 4,Style 34,Style 9,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Characters">
    <w:name w:val="Footnote Characters"/>
    <w:rsid w:val="001377FD"/>
    <w:rPr>
      <w:vertAlign w:val="superscript"/>
    </w:rPr>
  </w:style>
  <w:style w:type="character" w:customStyle="1" w:styleId="FootnoteTextChar">
    <w:name w:val="Footnote Text Char"/>
    <w:aliases w:val="Footnote Text Char2 Char2 Char,Footnote Text Char Char1 Char Char,Footnote Text Char2 Char2 Char Char Char,Footnote Text Char Char1 Char Char Char Char,Footnote Text Char1 Char1 Char Char Char Char Char,fn Char,fn Char1 Char"/>
    <w:link w:val="FootnoteText"/>
    <w:uiPriority w:val="99"/>
    <w:rsid w:val="001377FD"/>
  </w:style>
  <w:style w:type="character" w:customStyle="1" w:styleId="Heading1Char">
    <w:name w:val="Heading 1 Char"/>
    <w:link w:val="Heading1"/>
    <w:rsid w:val="001377FD"/>
    <w:rPr>
      <w:rFonts w:ascii="Times New Roman Bold" w:hAnsi="Times New Roman Bold"/>
      <w:b/>
      <w:caps/>
      <w:snapToGrid w:val="0"/>
      <w:kern w:val="28"/>
      <w:sz w:val="22"/>
    </w:rPr>
  </w:style>
  <w:style w:type="character" w:customStyle="1" w:styleId="ParaNumChar">
    <w:name w:val="ParaNum Char"/>
    <w:link w:val="ParaNum"/>
    <w:locked/>
    <w:rsid w:val="001377FD"/>
    <w:rPr>
      <w:snapToGrid w:val="0"/>
      <w:kern w:val="28"/>
      <w:sz w:val="22"/>
    </w:rPr>
  </w:style>
  <w:style w:type="character" w:customStyle="1" w:styleId="Heading2Char">
    <w:name w:val="Heading 2 Char"/>
    <w:link w:val="Heading2"/>
    <w:rsid w:val="001377FD"/>
    <w:rPr>
      <w:b/>
      <w:snapToGrid w:val="0"/>
      <w:kern w:val="28"/>
      <w:sz w:val="22"/>
    </w:rPr>
  </w:style>
  <w:style w:type="character" w:customStyle="1" w:styleId="apple-converted-space">
    <w:name w:val="apple-converted-space"/>
    <w:rsid w:val="001377FD"/>
  </w:style>
  <w:style w:type="paragraph" w:styleId="BalloonText">
    <w:name w:val="Balloon Text"/>
    <w:basedOn w:val="Normal"/>
    <w:link w:val="BalloonTextChar"/>
    <w:rsid w:val="001377FD"/>
    <w:rPr>
      <w:rFonts w:ascii="Segoe UI" w:hAnsi="Segoe UI" w:cs="Segoe UI"/>
      <w:sz w:val="18"/>
      <w:szCs w:val="18"/>
    </w:rPr>
  </w:style>
  <w:style w:type="character" w:customStyle="1" w:styleId="BalloonTextChar">
    <w:name w:val="Balloon Text Char"/>
    <w:link w:val="BalloonText"/>
    <w:rsid w:val="001377FD"/>
    <w:rPr>
      <w:rFonts w:ascii="Segoe UI" w:hAnsi="Segoe UI" w:cs="Segoe UI"/>
      <w:snapToGrid w:val="0"/>
      <w:kern w:val="28"/>
      <w:sz w:val="18"/>
      <w:szCs w:val="18"/>
    </w:rPr>
  </w:style>
  <w:style w:type="character" w:styleId="CommentReference">
    <w:name w:val="annotation reference"/>
    <w:uiPriority w:val="99"/>
    <w:rsid w:val="001377FD"/>
    <w:rPr>
      <w:sz w:val="16"/>
      <w:szCs w:val="16"/>
    </w:rPr>
  </w:style>
  <w:style w:type="paragraph" w:styleId="CommentText">
    <w:name w:val="annotation text"/>
    <w:basedOn w:val="Normal"/>
    <w:link w:val="CommentTextChar"/>
    <w:uiPriority w:val="99"/>
    <w:rsid w:val="001377FD"/>
    <w:rPr>
      <w:sz w:val="20"/>
    </w:rPr>
  </w:style>
  <w:style w:type="character" w:customStyle="1" w:styleId="CommentTextChar">
    <w:name w:val="Comment Text Char"/>
    <w:link w:val="CommentText"/>
    <w:uiPriority w:val="99"/>
    <w:rsid w:val="001377FD"/>
    <w:rPr>
      <w:snapToGrid w:val="0"/>
      <w:kern w:val="28"/>
    </w:rPr>
  </w:style>
  <w:style w:type="paragraph" w:styleId="CommentSubject">
    <w:name w:val="annotation subject"/>
    <w:basedOn w:val="CommentText"/>
    <w:next w:val="CommentText"/>
    <w:link w:val="CommentSubjectChar"/>
    <w:rsid w:val="001377FD"/>
    <w:rPr>
      <w:b/>
      <w:bCs/>
    </w:rPr>
  </w:style>
  <w:style w:type="character" w:customStyle="1" w:styleId="CommentSubjectChar">
    <w:name w:val="Comment Subject Char"/>
    <w:link w:val="CommentSubject"/>
    <w:rsid w:val="001377FD"/>
    <w:rPr>
      <w:b/>
      <w:bCs/>
      <w:snapToGrid w:val="0"/>
      <w:kern w:val="28"/>
    </w:rPr>
  </w:style>
  <w:style w:type="paragraph" w:styleId="Revision">
    <w:name w:val="Revision"/>
    <w:hidden/>
    <w:uiPriority w:val="99"/>
    <w:semiHidden/>
    <w:rsid w:val="001377FD"/>
    <w:rPr>
      <w:snapToGrid w:val="0"/>
      <w:kern w:val="28"/>
      <w:sz w:val="22"/>
    </w:rPr>
  </w:style>
  <w:style w:type="paragraph" w:styleId="ListParagraph">
    <w:name w:val="List Paragraph"/>
    <w:basedOn w:val="Normal"/>
    <w:uiPriority w:val="34"/>
    <w:qFormat/>
    <w:rsid w:val="001377FD"/>
    <w:pPr>
      <w:widowControl/>
      <w:spacing w:after="200" w:line="276" w:lineRule="auto"/>
      <w:ind w:left="720"/>
      <w:contextualSpacing/>
    </w:pPr>
    <w:rPr>
      <w:rFonts w:ascii="Calibri" w:eastAsia="Calibri" w:hAnsi="Calibri"/>
      <w:snapToGrid/>
      <w:kern w:val="0"/>
      <w:szCs w:val="22"/>
    </w:rPr>
  </w:style>
  <w:style w:type="character" w:styleId="FollowedHyperlink">
    <w:name w:val="FollowedHyperlink"/>
    <w:rsid w:val="001377FD"/>
    <w:rPr>
      <w:color w:val="954F72"/>
      <w:u w:val="single"/>
    </w:rPr>
  </w:style>
  <w:style w:type="character" w:customStyle="1" w:styleId="FooterChar">
    <w:name w:val="Footer Char"/>
    <w:link w:val="Footer"/>
    <w:uiPriority w:val="99"/>
    <w:rsid w:val="001377FD"/>
    <w:rPr>
      <w:snapToGrid w:val="0"/>
      <w:kern w:val="28"/>
      <w:sz w:val="22"/>
    </w:rPr>
  </w:style>
  <w:style w:type="character" w:styleId="Emphasis">
    <w:name w:val="Emphasis"/>
    <w:uiPriority w:val="20"/>
    <w:qFormat/>
    <w:rsid w:val="001377FD"/>
    <w:rPr>
      <w:i/>
      <w:iCs/>
    </w:rPr>
  </w:style>
  <w:style w:type="character" w:customStyle="1" w:styleId="cosearchwithinterm4">
    <w:name w:val="co_searchwithinterm4"/>
    <w:rsid w:val="001377FD"/>
    <w:rPr>
      <w:b/>
      <w:bCs/>
    </w:rPr>
  </w:style>
  <w:style w:type="character" w:customStyle="1" w:styleId="copinpointicon">
    <w:name w:val="co_pinpointicon"/>
    <w:rsid w:val="001377FD"/>
  </w:style>
  <w:style w:type="character" w:customStyle="1" w:styleId="cosearchterm">
    <w:name w:val="co_searchterm"/>
    <w:rsid w:val="001377FD"/>
  </w:style>
  <w:style w:type="character" w:customStyle="1" w:styleId="itxtrst">
    <w:name w:val="itxtrst"/>
    <w:rsid w:val="001377FD"/>
  </w:style>
  <w:style w:type="character" w:customStyle="1" w:styleId="FootnoteTextChar2Char1">
    <w:name w:val="Footnote Text Char2 Char1"/>
    <w:aliases w:val="Footnote Text Char Char Char1,Footnote Text Char4 Char1 Char Char1,Footnote Text Char2 Char1 Char Char Char1,Footnote Text Char Char Char1 Char Char Char1,Footnote Text Char2 Char Char1 Char Char Char Char2 Char"/>
    <w:rsid w:val="001377FD"/>
    <w:rPr>
      <w:lang w:val="en-US" w:eastAsia="en-US"/>
    </w:rPr>
  </w:style>
  <w:style w:type="paragraph" w:customStyle="1" w:styleId="StyleParaNumTimesNewRoman11pt">
    <w:name w:val="Style ParaNum + Times New Roman 11 pt"/>
    <w:basedOn w:val="ParaNum"/>
    <w:link w:val="StyleParaNumTimesNewRoman11ptChar"/>
    <w:autoRedefine/>
    <w:rsid w:val="00345C2B"/>
    <w:pPr>
      <w:widowControl/>
      <w:numPr>
        <w:numId w:val="0"/>
      </w:numPr>
      <w:tabs>
        <w:tab w:val="num" w:pos="360"/>
        <w:tab w:val="left" w:pos="1440"/>
      </w:tabs>
      <w:ind w:left="360" w:hanging="360"/>
    </w:pPr>
  </w:style>
  <w:style w:type="character" w:customStyle="1" w:styleId="StyleParaNumTimesNewRoman11ptChar">
    <w:name w:val="Style ParaNum + Times New Roman 11 pt Char"/>
    <w:link w:val="StyleParaNumTimesNewRoman11pt"/>
    <w:rsid w:val="001377F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87669">
      <w:bodyDiv w:val="1"/>
      <w:marLeft w:val="0"/>
      <w:marRight w:val="0"/>
      <w:marTop w:val="0"/>
      <w:marBottom w:val="0"/>
      <w:divBdr>
        <w:top w:val="none" w:sz="0" w:space="0" w:color="auto"/>
        <w:left w:val="none" w:sz="0" w:space="0" w:color="auto"/>
        <w:bottom w:val="none" w:sz="0" w:space="0" w:color="auto"/>
        <w:right w:val="none" w:sz="0" w:space="0" w:color="auto"/>
      </w:divBdr>
    </w:div>
    <w:div w:id="640618335">
      <w:bodyDiv w:val="1"/>
      <w:marLeft w:val="0"/>
      <w:marRight w:val="0"/>
      <w:marTop w:val="0"/>
      <w:marBottom w:val="0"/>
      <w:divBdr>
        <w:top w:val="none" w:sz="0" w:space="0" w:color="auto"/>
        <w:left w:val="none" w:sz="0" w:space="0" w:color="auto"/>
        <w:bottom w:val="none" w:sz="0" w:space="0" w:color="auto"/>
        <w:right w:val="none" w:sz="0" w:space="0" w:color="auto"/>
      </w:divBdr>
      <w:divsChild>
        <w:div w:id="34892910">
          <w:marLeft w:val="0"/>
          <w:marRight w:val="0"/>
          <w:marTop w:val="0"/>
          <w:marBottom w:val="0"/>
          <w:divBdr>
            <w:top w:val="none" w:sz="0" w:space="0" w:color="auto"/>
            <w:left w:val="none" w:sz="0" w:space="0" w:color="auto"/>
            <w:bottom w:val="none" w:sz="0" w:space="0" w:color="auto"/>
            <w:right w:val="none" w:sz="0" w:space="0" w:color="auto"/>
          </w:divBdr>
        </w:div>
        <w:div w:id="340862534">
          <w:marLeft w:val="0"/>
          <w:marRight w:val="0"/>
          <w:marTop w:val="0"/>
          <w:marBottom w:val="0"/>
          <w:divBdr>
            <w:top w:val="none" w:sz="0" w:space="0" w:color="auto"/>
            <w:left w:val="none" w:sz="0" w:space="0" w:color="auto"/>
            <w:bottom w:val="none" w:sz="0" w:space="0" w:color="auto"/>
            <w:right w:val="none" w:sz="0" w:space="0" w:color="auto"/>
          </w:divBdr>
        </w:div>
        <w:div w:id="359596926">
          <w:marLeft w:val="0"/>
          <w:marRight w:val="0"/>
          <w:marTop w:val="0"/>
          <w:marBottom w:val="0"/>
          <w:divBdr>
            <w:top w:val="none" w:sz="0" w:space="0" w:color="auto"/>
            <w:left w:val="none" w:sz="0" w:space="0" w:color="auto"/>
            <w:bottom w:val="none" w:sz="0" w:space="0" w:color="auto"/>
            <w:right w:val="none" w:sz="0" w:space="0" w:color="auto"/>
          </w:divBdr>
        </w:div>
        <w:div w:id="532965117">
          <w:marLeft w:val="0"/>
          <w:marRight w:val="0"/>
          <w:marTop w:val="0"/>
          <w:marBottom w:val="0"/>
          <w:divBdr>
            <w:top w:val="none" w:sz="0" w:space="0" w:color="auto"/>
            <w:left w:val="none" w:sz="0" w:space="0" w:color="auto"/>
            <w:bottom w:val="none" w:sz="0" w:space="0" w:color="auto"/>
            <w:right w:val="none" w:sz="0" w:space="0" w:color="auto"/>
          </w:divBdr>
        </w:div>
        <w:div w:id="583301600">
          <w:marLeft w:val="0"/>
          <w:marRight w:val="0"/>
          <w:marTop w:val="0"/>
          <w:marBottom w:val="0"/>
          <w:divBdr>
            <w:top w:val="none" w:sz="0" w:space="0" w:color="auto"/>
            <w:left w:val="none" w:sz="0" w:space="0" w:color="auto"/>
            <w:bottom w:val="none" w:sz="0" w:space="0" w:color="auto"/>
            <w:right w:val="none" w:sz="0" w:space="0" w:color="auto"/>
          </w:divBdr>
        </w:div>
        <w:div w:id="1157190492">
          <w:marLeft w:val="0"/>
          <w:marRight w:val="0"/>
          <w:marTop w:val="0"/>
          <w:marBottom w:val="0"/>
          <w:divBdr>
            <w:top w:val="none" w:sz="0" w:space="0" w:color="auto"/>
            <w:left w:val="none" w:sz="0" w:space="0" w:color="auto"/>
            <w:bottom w:val="none" w:sz="0" w:space="0" w:color="auto"/>
            <w:right w:val="none" w:sz="0" w:space="0" w:color="auto"/>
          </w:divBdr>
        </w:div>
        <w:div w:id="1163350010">
          <w:marLeft w:val="0"/>
          <w:marRight w:val="0"/>
          <w:marTop w:val="0"/>
          <w:marBottom w:val="0"/>
          <w:divBdr>
            <w:top w:val="none" w:sz="0" w:space="0" w:color="auto"/>
            <w:left w:val="none" w:sz="0" w:space="0" w:color="auto"/>
            <w:bottom w:val="none" w:sz="0" w:space="0" w:color="auto"/>
            <w:right w:val="none" w:sz="0" w:space="0" w:color="auto"/>
          </w:divBdr>
        </w:div>
        <w:div w:id="1187258463">
          <w:marLeft w:val="0"/>
          <w:marRight w:val="0"/>
          <w:marTop w:val="0"/>
          <w:marBottom w:val="0"/>
          <w:divBdr>
            <w:top w:val="none" w:sz="0" w:space="0" w:color="auto"/>
            <w:left w:val="none" w:sz="0" w:space="0" w:color="auto"/>
            <w:bottom w:val="none" w:sz="0" w:space="0" w:color="auto"/>
            <w:right w:val="none" w:sz="0" w:space="0" w:color="auto"/>
          </w:divBdr>
        </w:div>
        <w:div w:id="1205948418">
          <w:marLeft w:val="0"/>
          <w:marRight w:val="0"/>
          <w:marTop w:val="0"/>
          <w:marBottom w:val="0"/>
          <w:divBdr>
            <w:top w:val="none" w:sz="0" w:space="0" w:color="auto"/>
            <w:left w:val="none" w:sz="0" w:space="0" w:color="auto"/>
            <w:bottom w:val="none" w:sz="0" w:space="0" w:color="auto"/>
            <w:right w:val="none" w:sz="0" w:space="0" w:color="auto"/>
          </w:divBdr>
        </w:div>
        <w:div w:id="1209223031">
          <w:marLeft w:val="0"/>
          <w:marRight w:val="0"/>
          <w:marTop w:val="0"/>
          <w:marBottom w:val="0"/>
          <w:divBdr>
            <w:top w:val="none" w:sz="0" w:space="0" w:color="auto"/>
            <w:left w:val="none" w:sz="0" w:space="0" w:color="auto"/>
            <w:bottom w:val="none" w:sz="0" w:space="0" w:color="auto"/>
            <w:right w:val="none" w:sz="0" w:space="0" w:color="auto"/>
          </w:divBdr>
        </w:div>
        <w:div w:id="1443038970">
          <w:marLeft w:val="0"/>
          <w:marRight w:val="0"/>
          <w:marTop w:val="0"/>
          <w:marBottom w:val="0"/>
          <w:divBdr>
            <w:top w:val="none" w:sz="0" w:space="0" w:color="auto"/>
            <w:left w:val="none" w:sz="0" w:space="0" w:color="auto"/>
            <w:bottom w:val="none" w:sz="0" w:space="0" w:color="auto"/>
            <w:right w:val="none" w:sz="0" w:space="0" w:color="auto"/>
          </w:divBdr>
        </w:div>
        <w:div w:id="1551458078">
          <w:marLeft w:val="0"/>
          <w:marRight w:val="0"/>
          <w:marTop w:val="0"/>
          <w:marBottom w:val="0"/>
          <w:divBdr>
            <w:top w:val="none" w:sz="0" w:space="0" w:color="auto"/>
            <w:left w:val="none" w:sz="0" w:space="0" w:color="auto"/>
            <w:bottom w:val="none" w:sz="0" w:space="0" w:color="auto"/>
            <w:right w:val="none" w:sz="0" w:space="0" w:color="auto"/>
          </w:divBdr>
        </w:div>
        <w:div w:id="1601136949">
          <w:marLeft w:val="0"/>
          <w:marRight w:val="0"/>
          <w:marTop w:val="0"/>
          <w:marBottom w:val="0"/>
          <w:divBdr>
            <w:top w:val="none" w:sz="0" w:space="0" w:color="auto"/>
            <w:left w:val="none" w:sz="0" w:space="0" w:color="auto"/>
            <w:bottom w:val="none" w:sz="0" w:space="0" w:color="auto"/>
            <w:right w:val="none" w:sz="0" w:space="0" w:color="auto"/>
          </w:divBdr>
        </w:div>
        <w:div w:id="1656181224">
          <w:marLeft w:val="0"/>
          <w:marRight w:val="0"/>
          <w:marTop w:val="0"/>
          <w:marBottom w:val="0"/>
          <w:divBdr>
            <w:top w:val="none" w:sz="0" w:space="0" w:color="auto"/>
            <w:left w:val="none" w:sz="0" w:space="0" w:color="auto"/>
            <w:bottom w:val="none" w:sz="0" w:space="0" w:color="auto"/>
            <w:right w:val="none" w:sz="0" w:space="0" w:color="auto"/>
          </w:divBdr>
        </w:div>
        <w:div w:id="1898473932">
          <w:marLeft w:val="0"/>
          <w:marRight w:val="0"/>
          <w:marTop w:val="0"/>
          <w:marBottom w:val="0"/>
          <w:divBdr>
            <w:top w:val="none" w:sz="0" w:space="0" w:color="auto"/>
            <w:left w:val="none" w:sz="0" w:space="0" w:color="auto"/>
            <w:bottom w:val="none" w:sz="0" w:space="0" w:color="auto"/>
            <w:right w:val="none" w:sz="0" w:space="0" w:color="auto"/>
          </w:divBdr>
        </w:div>
      </w:divsChild>
    </w:div>
    <w:div w:id="773866304">
      <w:bodyDiv w:val="1"/>
      <w:marLeft w:val="0"/>
      <w:marRight w:val="0"/>
      <w:marTop w:val="0"/>
      <w:marBottom w:val="0"/>
      <w:divBdr>
        <w:top w:val="none" w:sz="0" w:space="0" w:color="auto"/>
        <w:left w:val="none" w:sz="0" w:space="0" w:color="auto"/>
        <w:bottom w:val="none" w:sz="0" w:space="0" w:color="auto"/>
        <w:right w:val="none" w:sz="0" w:space="0" w:color="auto"/>
      </w:divBdr>
    </w:div>
    <w:div w:id="1257637773">
      <w:bodyDiv w:val="1"/>
      <w:marLeft w:val="0"/>
      <w:marRight w:val="0"/>
      <w:marTop w:val="0"/>
      <w:marBottom w:val="0"/>
      <w:divBdr>
        <w:top w:val="none" w:sz="0" w:space="0" w:color="auto"/>
        <w:left w:val="none" w:sz="0" w:space="0" w:color="auto"/>
        <w:bottom w:val="none" w:sz="0" w:space="0" w:color="auto"/>
        <w:right w:val="none" w:sz="0" w:space="0" w:color="auto"/>
      </w:divBdr>
    </w:div>
    <w:div w:id="1261990133">
      <w:bodyDiv w:val="1"/>
      <w:marLeft w:val="0"/>
      <w:marRight w:val="0"/>
      <w:marTop w:val="0"/>
      <w:marBottom w:val="0"/>
      <w:divBdr>
        <w:top w:val="none" w:sz="0" w:space="0" w:color="auto"/>
        <w:left w:val="none" w:sz="0" w:space="0" w:color="auto"/>
        <w:bottom w:val="none" w:sz="0" w:space="0" w:color="auto"/>
        <w:right w:val="none" w:sz="0" w:space="0" w:color="auto"/>
      </w:divBdr>
      <w:divsChild>
        <w:div w:id="1383628210">
          <w:marLeft w:val="0"/>
          <w:marRight w:val="0"/>
          <w:marTop w:val="0"/>
          <w:marBottom w:val="0"/>
          <w:divBdr>
            <w:top w:val="none" w:sz="0" w:space="0" w:color="auto"/>
            <w:left w:val="single" w:sz="6" w:space="0" w:color="BBBBBB"/>
            <w:bottom w:val="single" w:sz="6" w:space="0" w:color="BBBBBB"/>
            <w:right w:val="single" w:sz="6" w:space="0" w:color="BBBBBB"/>
          </w:divBdr>
          <w:divsChild>
            <w:div w:id="736631632">
              <w:marLeft w:val="0"/>
              <w:marRight w:val="0"/>
              <w:marTop w:val="0"/>
              <w:marBottom w:val="0"/>
              <w:divBdr>
                <w:top w:val="none" w:sz="0" w:space="0" w:color="auto"/>
                <w:left w:val="none" w:sz="0" w:space="0" w:color="auto"/>
                <w:bottom w:val="none" w:sz="0" w:space="0" w:color="auto"/>
                <w:right w:val="none" w:sz="0" w:space="0" w:color="auto"/>
              </w:divBdr>
              <w:divsChild>
                <w:div w:id="895627782">
                  <w:marLeft w:val="0"/>
                  <w:marRight w:val="0"/>
                  <w:marTop w:val="0"/>
                  <w:marBottom w:val="0"/>
                  <w:divBdr>
                    <w:top w:val="none" w:sz="0" w:space="0" w:color="auto"/>
                    <w:left w:val="none" w:sz="0" w:space="0" w:color="auto"/>
                    <w:bottom w:val="none" w:sz="0" w:space="0" w:color="auto"/>
                    <w:right w:val="none" w:sz="0" w:space="0" w:color="auto"/>
                  </w:divBdr>
                  <w:divsChild>
                    <w:div w:id="416825123">
                      <w:marLeft w:val="0"/>
                      <w:marRight w:val="0"/>
                      <w:marTop w:val="0"/>
                      <w:marBottom w:val="0"/>
                      <w:divBdr>
                        <w:top w:val="none" w:sz="0" w:space="0" w:color="auto"/>
                        <w:left w:val="none" w:sz="0" w:space="0" w:color="auto"/>
                        <w:bottom w:val="none" w:sz="0" w:space="0" w:color="auto"/>
                        <w:right w:val="none" w:sz="0" w:space="0" w:color="auto"/>
                      </w:divBdr>
                      <w:divsChild>
                        <w:div w:id="2091388516">
                          <w:marLeft w:val="0"/>
                          <w:marRight w:val="0"/>
                          <w:marTop w:val="0"/>
                          <w:marBottom w:val="0"/>
                          <w:divBdr>
                            <w:top w:val="none" w:sz="0" w:space="0" w:color="auto"/>
                            <w:left w:val="none" w:sz="0" w:space="0" w:color="auto"/>
                            <w:bottom w:val="none" w:sz="0" w:space="0" w:color="auto"/>
                            <w:right w:val="none" w:sz="0" w:space="0" w:color="auto"/>
                          </w:divBdr>
                          <w:divsChild>
                            <w:div w:id="1409571156">
                              <w:marLeft w:val="0"/>
                              <w:marRight w:val="0"/>
                              <w:marTop w:val="0"/>
                              <w:marBottom w:val="0"/>
                              <w:divBdr>
                                <w:top w:val="none" w:sz="0" w:space="0" w:color="auto"/>
                                <w:left w:val="none" w:sz="0" w:space="0" w:color="auto"/>
                                <w:bottom w:val="none" w:sz="0" w:space="0" w:color="auto"/>
                                <w:right w:val="none" w:sz="0" w:space="0" w:color="auto"/>
                              </w:divBdr>
                              <w:divsChild>
                                <w:div w:id="1787504898">
                                  <w:marLeft w:val="0"/>
                                  <w:marRight w:val="0"/>
                                  <w:marTop w:val="0"/>
                                  <w:marBottom w:val="0"/>
                                  <w:divBdr>
                                    <w:top w:val="none" w:sz="0" w:space="0" w:color="auto"/>
                                    <w:left w:val="none" w:sz="0" w:space="0" w:color="auto"/>
                                    <w:bottom w:val="none" w:sz="0" w:space="0" w:color="auto"/>
                                    <w:right w:val="none" w:sz="0" w:space="0" w:color="auto"/>
                                  </w:divBdr>
                                  <w:divsChild>
                                    <w:div w:id="1760831924">
                                      <w:marLeft w:val="0"/>
                                      <w:marRight w:val="0"/>
                                      <w:marTop w:val="0"/>
                                      <w:marBottom w:val="0"/>
                                      <w:divBdr>
                                        <w:top w:val="none" w:sz="0" w:space="0" w:color="auto"/>
                                        <w:left w:val="none" w:sz="0" w:space="0" w:color="auto"/>
                                        <w:bottom w:val="none" w:sz="0" w:space="0" w:color="auto"/>
                                        <w:right w:val="none" w:sz="0" w:space="0" w:color="auto"/>
                                      </w:divBdr>
                                      <w:divsChild>
                                        <w:div w:id="1483505268">
                                          <w:marLeft w:val="1200"/>
                                          <w:marRight w:val="1200"/>
                                          <w:marTop w:val="0"/>
                                          <w:marBottom w:val="0"/>
                                          <w:divBdr>
                                            <w:top w:val="none" w:sz="0" w:space="0" w:color="auto"/>
                                            <w:left w:val="none" w:sz="0" w:space="0" w:color="auto"/>
                                            <w:bottom w:val="none" w:sz="0" w:space="0" w:color="auto"/>
                                            <w:right w:val="none" w:sz="0" w:space="0" w:color="auto"/>
                                          </w:divBdr>
                                          <w:divsChild>
                                            <w:div w:id="1184779729">
                                              <w:marLeft w:val="0"/>
                                              <w:marRight w:val="0"/>
                                              <w:marTop w:val="0"/>
                                              <w:marBottom w:val="0"/>
                                              <w:divBdr>
                                                <w:top w:val="none" w:sz="0" w:space="0" w:color="auto"/>
                                                <w:left w:val="none" w:sz="0" w:space="0" w:color="auto"/>
                                                <w:bottom w:val="none" w:sz="0" w:space="0" w:color="auto"/>
                                                <w:right w:val="none" w:sz="0" w:space="0" w:color="auto"/>
                                              </w:divBdr>
                                              <w:divsChild>
                                                <w:div w:id="635257135">
                                                  <w:marLeft w:val="0"/>
                                                  <w:marRight w:val="0"/>
                                                  <w:marTop w:val="0"/>
                                                  <w:marBottom w:val="0"/>
                                                  <w:divBdr>
                                                    <w:top w:val="none" w:sz="0" w:space="0" w:color="auto"/>
                                                    <w:left w:val="none" w:sz="0" w:space="0" w:color="auto"/>
                                                    <w:bottom w:val="none" w:sz="0" w:space="0" w:color="auto"/>
                                                    <w:right w:val="none" w:sz="0" w:space="0" w:color="auto"/>
                                                  </w:divBdr>
                                                  <w:divsChild>
                                                    <w:div w:id="1476486996">
                                                      <w:marLeft w:val="0"/>
                                                      <w:marRight w:val="0"/>
                                                      <w:marTop w:val="0"/>
                                                      <w:marBottom w:val="0"/>
                                                      <w:divBdr>
                                                        <w:top w:val="none" w:sz="0" w:space="0" w:color="auto"/>
                                                        <w:left w:val="none" w:sz="0" w:space="0" w:color="auto"/>
                                                        <w:bottom w:val="none" w:sz="0" w:space="0" w:color="auto"/>
                                                        <w:right w:val="none" w:sz="0" w:space="0" w:color="auto"/>
                                                      </w:divBdr>
                                                      <w:divsChild>
                                                        <w:div w:id="1494417807">
                                                          <w:marLeft w:val="0"/>
                                                          <w:marRight w:val="0"/>
                                                          <w:marTop w:val="0"/>
                                                          <w:marBottom w:val="0"/>
                                                          <w:divBdr>
                                                            <w:top w:val="none" w:sz="0" w:space="0" w:color="auto"/>
                                                            <w:left w:val="none" w:sz="0" w:space="0" w:color="auto"/>
                                                            <w:bottom w:val="none" w:sz="0" w:space="0" w:color="auto"/>
                                                            <w:right w:val="none" w:sz="0" w:space="0" w:color="auto"/>
                                                          </w:divBdr>
                                                        </w:div>
                                                        <w:div w:id="16206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1764264">
      <w:bodyDiv w:val="1"/>
      <w:marLeft w:val="0"/>
      <w:marRight w:val="0"/>
      <w:marTop w:val="0"/>
      <w:marBottom w:val="0"/>
      <w:divBdr>
        <w:top w:val="none" w:sz="0" w:space="0" w:color="auto"/>
        <w:left w:val="none" w:sz="0" w:space="0" w:color="auto"/>
        <w:bottom w:val="none" w:sz="0" w:space="0" w:color="auto"/>
        <w:right w:val="none" w:sz="0" w:space="0" w:color="auto"/>
      </w:divBdr>
      <w:divsChild>
        <w:div w:id="1841043606">
          <w:marLeft w:val="0"/>
          <w:marRight w:val="0"/>
          <w:marTop w:val="0"/>
          <w:marBottom w:val="0"/>
          <w:divBdr>
            <w:top w:val="none" w:sz="0" w:space="0" w:color="auto"/>
            <w:left w:val="single" w:sz="6" w:space="0" w:color="BBBBBB"/>
            <w:bottom w:val="single" w:sz="6" w:space="0" w:color="BBBBBB"/>
            <w:right w:val="single" w:sz="6" w:space="0" w:color="BBBBBB"/>
          </w:divBdr>
          <w:divsChild>
            <w:div w:id="1971595176">
              <w:marLeft w:val="0"/>
              <w:marRight w:val="0"/>
              <w:marTop w:val="0"/>
              <w:marBottom w:val="0"/>
              <w:divBdr>
                <w:top w:val="none" w:sz="0" w:space="0" w:color="auto"/>
                <w:left w:val="none" w:sz="0" w:space="0" w:color="auto"/>
                <w:bottom w:val="none" w:sz="0" w:space="0" w:color="auto"/>
                <w:right w:val="none" w:sz="0" w:space="0" w:color="auto"/>
              </w:divBdr>
              <w:divsChild>
                <w:div w:id="2056193998">
                  <w:marLeft w:val="0"/>
                  <w:marRight w:val="0"/>
                  <w:marTop w:val="0"/>
                  <w:marBottom w:val="0"/>
                  <w:divBdr>
                    <w:top w:val="none" w:sz="0" w:space="0" w:color="auto"/>
                    <w:left w:val="none" w:sz="0" w:space="0" w:color="auto"/>
                    <w:bottom w:val="none" w:sz="0" w:space="0" w:color="auto"/>
                    <w:right w:val="none" w:sz="0" w:space="0" w:color="auto"/>
                  </w:divBdr>
                  <w:divsChild>
                    <w:div w:id="112944959">
                      <w:marLeft w:val="0"/>
                      <w:marRight w:val="0"/>
                      <w:marTop w:val="0"/>
                      <w:marBottom w:val="0"/>
                      <w:divBdr>
                        <w:top w:val="none" w:sz="0" w:space="0" w:color="auto"/>
                        <w:left w:val="none" w:sz="0" w:space="0" w:color="auto"/>
                        <w:bottom w:val="none" w:sz="0" w:space="0" w:color="auto"/>
                        <w:right w:val="none" w:sz="0" w:space="0" w:color="auto"/>
                      </w:divBdr>
                      <w:divsChild>
                        <w:div w:id="210266213">
                          <w:marLeft w:val="0"/>
                          <w:marRight w:val="0"/>
                          <w:marTop w:val="0"/>
                          <w:marBottom w:val="0"/>
                          <w:divBdr>
                            <w:top w:val="none" w:sz="0" w:space="0" w:color="auto"/>
                            <w:left w:val="none" w:sz="0" w:space="0" w:color="auto"/>
                            <w:bottom w:val="none" w:sz="0" w:space="0" w:color="auto"/>
                            <w:right w:val="none" w:sz="0" w:space="0" w:color="auto"/>
                          </w:divBdr>
                          <w:divsChild>
                            <w:div w:id="1526871491">
                              <w:marLeft w:val="0"/>
                              <w:marRight w:val="0"/>
                              <w:marTop w:val="0"/>
                              <w:marBottom w:val="0"/>
                              <w:divBdr>
                                <w:top w:val="none" w:sz="0" w:space="0" w:color="auto"/>
                                <w:left w:val="none" w:sz="0" w:space="0" w:color="auto"/>
                                <w:bottom w:val="none" w:sz="0" w:space="0" w:color="auto"/>
                                <w:right w:val="none" w:sz="0" w:space="0" w:color="auto"/>
                              </w:divBdr>
                              <w:divsChild>
                                <w:div w:id="1044526977">
                                  <w:marLeft w:val="0"/>
                                  <w:marRight w:val="0"/>
                                  <w:marTop w:val="0"/>
                                  <w:marBottom w:val="0"/>
                                  <w:divBdr>
                                    <w:top w:val="none" w:sz="0" w:space="0" w:color="auto"/>
                                    <w:left w:val="none" w:sz="0" w:space="0" w:color="auto"/>
                                    <w:bottom w:val="none" w:sz="0" w:space="0" w:color="auto"/>
                                    <w:right w:val="none" w:sz="0" w:space="0" w:color="auto"/>
                                  </w:divBdr>
                                  <w:divsChild>
                                    <w:div w:id="1935937155">
                                      <w:marLeft w:val="0"/>
                                      <w:marRight w:val="0"/>
                                      <w:marTop w:val="0"/>
                                      <w:marBottom w:val="0"/>
                                      <w:divBdr>
                                        <w:top w:val="none" w:sz="0" w:space="0" w:color="auto"/>
                                        <w:left w:val="none" w:sz="0" w:space="0" w:color="auto"/>
                                        <w:bottom w:val="none" w:sz="0" w:space="0" w:color="auto"/>
                                        <w:right w:val="none" w:sz="0" w:space="0" w:color="auto"/>
                                      </w:divBdr>
                                      <w:divsChild>
                                        <w:div w:id="825323067">
                                          <w:marLeft w:val="1200"/>
                                          <w:marRight w:val="1200"/>
                                          <w:marTop w:val="0"/>
                                          <w:marBottom w:val="0"/>
                                          <w:divBdr>
                                            <w:top w:val="none" w:sz="0" w:space="0" w:color="auto"/>
                                            <w:left w:val="none" w:sz="0" w:space="0" w:color="auto"/>
                                            <w:bottom w:val="none" w:sz="0" w:space="0" w:color="auto"/>
                                            <w:right w:val="none" w:sz="0" w:space="0" w:color="auto"/>
                                          </w:divBdr>
                                          <w:divsChild>
                                            <w:div w:id="545607456">
                                              <w:marLeft w:val="0"/>
                                              <w:marRight w:val="0"/>
                                              <w:marTop w:val="0"/>
                                              <w:marBottom w:val="0"/>
                                              <w:divBdr>
                                                <w:top w:val="none" w:sz="0" w:space="0" w:color="auto"/>
                                                <w:left w:val="none" w:sz="0" w:space="0" w:color="auto"/>
                                                <w:bottom w:val="none" w:sz="0" w:space="0" w:color="auto"/>
                                                <w:right w:val="none" w:sz="0" w:space="0" w:color="auto"/>
                                              </w:divBdr>
                                              <w:divsChild>
                                                <w:div w:id="1665160979">
                                                  <w:marLeft w:val="0"/>
                                                  <w:marRight w:val="0"/>
                                                  <w:marTop w:val="0"/>
                                                  <w:marBottom w:val="0"/>
                                                  <w:divBdr>
                                                    <w:top w:val="none" w:sz="0" w:space="0" w:color="auto"/>
                                                    <w:left w:val="none" w:sz="0" w:space="0" w:color="auto"/>
                                                    <w:bottom w:val="none" w:sz="0" w:space="0" w:color="auto"/>
                                                    <w:right w:val="none" w:sz="0" w:space="0" w:color="auto"/>
                                                  </w:divBdr>
                                                  <w:divsChild>
                                                    <w:div w:id="827139664">
                                                      <w:marLeft w:val="0"/>
                                                      <w:marRight w:val="0"/>
                                                      <w:marTop w:val="0"/>
                                                      <w:marBottom w:val="0"/>
                                                      <w:divBdr>
                                                        <w:top w:val="none" w:sz="0" w:space="0" w:color="auto"/>
                                                        <w:left w:val="none" w:sz="0" w:space="0" w:color="auto"/>
                                                        <w:bottom w:val="none" w:sz="0" w:space="0" w:color="auto"/>
                                                        <w:right w:val="none" w:sz="0" w:space="0" w:color="auto"/>
                                                      </w:divBdr>
                                                      <w:divsChild>
                                                        <w:div w:id="110252432">
                                                          <w:marLeft w:val="0"/>
                                                          <w:marRight w:val="0"/>
                                                          <w:marTop w:val="0"/>
                                                          <w:marBottom w:val="0"/>
                                                          <w:divBdr>
                                                            <w:top w:val="none" w:sz="0" w:space="0" w:color="auto"/>
                                                            <w:left w:val="none" w:sz="0" w:space="0" w:color="auto"/>
                                                            <w:bottom w:val="none" w:sz="0" w:space="0" w:color="auto"/>
                                                            <w:right w:val="none" w:sz="0" w:space="0" w:color="auto"/>
                                                          </w:divBdr>
                                                        </w:div>
                                                        <w:div w:id="4418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9883506">
      <w:bodyDiv w:val="1"/>
      <w:marLeft w:val="0"/>
      <w:marRight w:val="0"/>
      <w:marTop w:val="0"/>
      <w:marBottom w:val="0"/>
      <w:divBdr>
        <w:top w:val="none" w:sz="0" w:space="0" w:color="auto"/>
        <w:left w:val="none" w:sz="0" w:space="0" w:color="auto"/>
        <w:bottom w:val="none" w:sz="0" w:space="0" w:color="auto"/>
        <w:right w:val="none" w:sz="0" w:space="0" w:color="auto"/>
      </w:divBdr>
      <w:divsChild>
        <w:div w:id="46808991">
          <w:marLeft w:val="0"/>
          <w:marRight w:val="0"/>
          <w:marTop w:val="0"/>
          <w:marBottom w:val="0"/>
          <w:divBdr>
            <w:top w:val="none" w:sz="0" w:space="0" w:color="auto"/>
            <w:left w:val="none" w:sz="0" w:space="0" w:color="auto"/>
            <w:bottom w:val="none" w:sz="0" w:space="0" w:color="auto"/>
            <w:right w:val="none" w:sz="0" w:space="0" w:color="auto"/>
          </w:divBdr>
        </w:div>
        <w:div w:id="73935834">
          <w:marLeft w:val="0"/>
          <w:marRight w:val="0"/>
          <w:marTop w:val="0"/>
          <w:marBottom w:val="0"/>
          <w:divBdr>
            <w:top w:val="none" w:sz="0" w:space="0" w:color="auto"/>
            <w:left w:val="none" w:sz="0" w:space="0" w:color="auto"/>
            <w:bottom w:val="none" w:sz="0" w:space="0" w:color="auto"/>
            <w:right w:val="none" w:sz="0" w:space="0" w:color="auto"/>
          </w:divBdr>
        </w:div>
        <w:div w:id="162360253">
          <w:marLeft w:val="0"/>
          <w:marRight w:val="0"/>
          <w:marTop w:val="0"/>
          <w:marBottom w:val="0"/>
          <w:divBdr>
            <w:top w:val="none" w:sz="0" w:space="0" w:color="auto"/>
            <w:left w:val="none" w:sz="0" w:space="0" w:color="auto"/>
            <w:bottom w:val="none" w:sz="0" w:space="0" w:color="auto"/>
            <w:right w:val="none" w:sz="0" w:space="0" w:color="auto"/>
          </w:divBdr>
        </w:div>
        <w:div w:id="167058956">
          <w:marLeft w:val="0"/>
          <w:marRight w:val="0"/>
          <w:marTop w:val="0"/>
          <w:marBottom w:val="0"/>
          <w:divBdr>
            <w:top w:val="none" w:sz="0" w:space="0" w:color="auto"/>
            <w:left w:val="none" w:sz="0" w:space="0" w:color="auto"/>
            <w:bottom w:val="none" w:sz="0" w:space="0" w:color="auto"/>
            <w:right w:val="none" w:sz="0" w:space="0" w:color="auto"/>
          </w:divBdr>
        </w:div>
        <w:div w:id="329063422">
          <w:marLeft w:val="0"/>
          <w:marRight w:val="0"/>
          <w:marTop w:val="0"/>
          <w:marBottom w:val="0"/>
          <w:divBdr>
            <w:top w:val="none" w:sz="0" w:space="0" w:color="auto"/>
            <w:left w:val="none" w:sz="0" w:space="0" w:color="auto"/>
            <w:bottom w:val="none" w:sz="0" w:space="0" w:color="auto"/>
            <w:right w:val="none" w:sz="0" w:space="0" w:color="auto"/>
          </w:divBdr>
        </w:div>
        <w:div w:id="487751017">
          <w:marLeft w:val="0"/>
          <w:marRight w:val="0"/>
          <w:marTop w:val="0"/>
          <w:marBottom w:val="0"/>
          <w:divBdr>
            <w:top w:val="none" w:sz="0" w:space="0" w:color="auto"/>
            <w:left w:val="none" w:sz="0" w:space="0" w:color="auto"/>
            <w:bottom w:val="none" w:sz="0" w:space="0" w:color="auto"/>
            <w:right w:val="none" w:sz="0" w:space="0" w:color="auto"/>
          </w:divBdr>
        </w:div>
        <w:div w:id="550459312">
          <w:marLeft w:val="0"/>
          <w:marRight w:val="0"/>
          <w:marTop w:val="0"/>
          <w:marBottom w:val="0"/>
          <w:divBdr>
            <w:top w:val="none" w:sz="0" w:space="0" w:color="auto"/>
            <w:left w:val="none" w:sz="0" w:space="0" w:color="auto"/>
            <w:bottom w:val="none" w:sz="0" w:space="0" w:color="auto"/>
            <w:right w:val="none" w:sz="0" w:space="0" w:color="auto"/>
          </w:divBdr>
        </w:div>
        <w:div w:id="577137723">
          <w:marLeft w:val="0"/>
          <w:marRight w:val="0"/>
          <w:marTop w:val="0"/>
          <w:marBottom w:val="0"/>
          <w:divBdr>
            <w:top w:val="none" w:sz="0" w:space="0" w:color="auto"/>
            <w:left w:val="none" w:sz="0" w:space="0" w:color="auto"/>
            <w:bottom w:val="none" w:sz="0" w:space="0" w:color="auto"/>
            <w:right w:val="none" w:sz="0" w:space="0" w:color="auto"/>
          </w:divBdr>
        </w:div>
        <w:div w:id="600838967">
          <w:marLeft w:val="0"/>
          <w:marRight w:val="0"/>
          <w:marTop w:val="0"/>
          <w:marBottom w:val="0"/>
          <w:divBdr>
            <w:top w:val="none" w:sz="0" w:space="0" w:color="auto"/>
            <w:left w:val="none" w:sz="0" w:space="0" w:color="auto"/>
            <w:bottom w:val="none" w:sz="0" w:space="0" w:color="auto"/>
            <w:right w:val="none" w:sz="0" w:space="0" w:color="auto"/>
          </w:divBdr>
        </w:div>
        <w:div w:id="635373168">
          <w:marLeft w:val="0"/>
          <w:marRight w:val="0"/>
          <w:marTop w:val="0"/>
          <w:marBottom w:val="0"/>
          <w:divBdr>
            <w:top w:val="none" w:sz="0" w:space="0" w:color="auto"/>
            <w:left w:val="none" w:sz="0" w:space="0" w:color="auto"/>
            <w:bottom w:val="none" w:sz="0" w:space="0" w:color="auto"/>
            <w:right w:val="none" w:sz="0" w:space="0" w:color="auto"/>
          </w:divBdr>
        </w:div>
        <w:div w:id="666131971">
          <w:marLeft w:val="0"/>
          <w:marRight w:val="0"/>
          <w:marTop w:val="0"/>
          <w:marBottom w:val="0"/>
          <w:divBdr>
            <w:top w:val="none" w:sz="0" w:space="0" w:color="auto"/>
            <w:left w:val="none" w:sz="0" w:space="0" w:color="auto"/>
            <w:bottom w:val="none" w:sz="0" w:space="0" w:color="auto"/>
            <w:right w:val="none" w:sz="0" w:space="0" w:color="auto"/>
          </w:divBdr>
        </w:div>
        <w:div w:id="688532361">
          <w:marLeft w:val="0"/>
          <w:marRight w:val="0"/>
          <w:marTop w:val="0"/>
          <w:marBottom w:val="0"/>
          <w:divBdr>
            <w:top w:val="none" w:sz="0" w:space="0" w:color="auto"/>
            <w:left w:val="none" w:sz="0" w:space="0" w:color="auto"/>
            <w:bottom w:val="none" w:sz="0" w:space="0" w:color="auto"/>
            <w:right w:val="none" w:sz="0" w:space="0" w:color="auto"/>
          </w:divBdr>
        </w:div>
        <w:div w:id="755513266">
          <w:marLeft w:val="0"/>
          <w:marRight w:val="0"/>
          <w:marTop w:val="0"/>
          <w:marBottom w:val="0"/>
          <w:divBdr>
            <w:top w:val="none" w:sz="0" w:space="0" w:color="auto"/>
            <w:left w:val="none" w:sz="0" w:space="0" w:color="auto"/>
            <w:bottom w:val="none" w:sz="0" w:space="0" w:color="auto"/>
            <w:right w:val="none" w:sz="0" w:space="0" w:color="auto"/>
          </w:divBdr>
        </w:div>
        <w:div w:id="799497163">
          <w:marLeft w:val="0"/>
          <w:marRight w:val="0"/>
          <w:marTop w:val="0"/>
          <w:marBottom w:val="0"/>
          <w:divBdr>
            <w:top w:val="none" w:sz="0" w:space="0" w:color="auto"/>
            <w:left w:val="none" w:sz="0" w:space="0" w:color="auto"/>
            <w:bottom w:val="none" w:sz="0" w:space="0" w:color="auto"/>
            <w:right w:val="none" w:sz="0" w:space="0" w:color="auto"/>
          </w:divBdr>
        </w:div>
        <w:div w:id="802232815">
          <w:marLeft w:val="0"/>
          <w:marRight w:val="0"/>
          <w:marTop w:val="0"/>
          <w:marBottom w:val="0"/>
          <w:divBdr>
            <w:top w:val="none" w:sz="0" w:space="0" w:color="auto"/>
            <w:left w:val="none" w:sz="0" w:space="0" w:color="auto"/>
            <w:bottom w:val="none" w:sz="0" w:space="0" w:color="auto"/>
            <w:right w:val="none" w:sz="0" w:space="0" w:color="auto"/>
          </w:divBdr>
        </w:div>
        <w:div w:id="818232358">
          <w:marLeft w:val="0"/>
          <w:marRight w:val="0"/>
          <w:marTop w:val="0"/>
          <w:marBottom w:val="0"/>
          <w:divBdr>
            <w:top w:val="none" w:sz="0" w:space="0" w:color="auto"/>
            <w:left w:val="none" w:sz="0" w:space="0" w:color="auto"/>
            <w:bottom w:val="none" w:sz="0" w:space="0" w:color="auto"/>
            <w:right w:val="none" w:sz="0" w:space="0" w:color="auto"/>
          </w:divBdr>
        </w:div>
        <w:div w:id="874805224">
          <w:marLeft w:val="0"/>
          <w:marRight w:val="0"/>
          <w:marTop w:val="0"/>
          <w:marBottom w:val="0"/>
          <w:divBdr>
            <w:top w:val="none" w:sz="0" w:space="0" w:color="auto"/>
            <w:left w:val="none" w:sz="0" w:space="0" w:color="auto"/>
            <w:bottom w:val="none" w:sz="0" w:space="0" w:color="auto"/>
            <w:right w:val="none" w:sz="0" w:space="0" w:color="auto"/>
          </w:divBdr>
        </w:div>
        <w:div w:id="907882453">
          <w:marLeft w:val="0"/>
          <w:marRight w:val="0"/>
          <w:marTop w:val="0"/>
          <w:marBottom w:val="0"/>
          <w:divBdr>
            <w:top w:val="none" w:sz="0" w:space="0" w:color="auto"/>
            <w:left w:val="none" w:sz="0" w:space="0" w:color="auto"/>
            <w:bottom w:val="none" w:sz="0" w:space="0" w:color="auto"/>
            <w:right w:val="none" w:sz="0" w:space="0" w:color="auto"/>
          </w:divBdr>
        </w:div>
        <w:div w:id="926232635">
          <w:marLeft w:val="0"/>
          <w:marRight w:val="0"/>
          <w:marTop w:val="0"/>
          <w:marBottom w:val="0"/>
          <w:divBdr>
            <w:top w:val="none" w:sz="0" w:space="0" w:color="auto"/>
            <w:left w:val="none" w:sz="0" w:space="0" w:color="auto"/>
            <w:bottom w:val="none" w:sz="0" w:space="0" w:color="auto"/>
            <w:right w:val="none" w:sz="0" w:space="0" w:color="auto"/>
          </w:divBdr>
        </w:div>
        <w:div w:id="932396901">
          <w:marLeft w:val="0"/>
          <w:marRight w:val="0"/>
          <w:marTop w:val="0"/>
          <w:marBottom w:val="0"/>
          <w:divBdr>
            <w:top w:val="none" w:sz="0" w:space="0" w:color="auto"/>
            <w:left w:val="none" w:sz="0" w:space="0" w:color="auto"/>
            <w:bottom w:val="none" w:sz="0" w:space="0" w:color="auto"/>
            <w:right w:val="none" w:sz="0" w:space="0" w:color="auto"/>
          </w:divBdr>
        </w:div>
        <w:div w:id="937982178">
          <w:marLeft w:val="0"/>
          <w:marRight w:val="0"/>
          <w:marTop w:val="0"/>
          <w:marBottom w:val="0"/>
          <w:divBdr>
            <w:top w:val="none" w:sz="0" w:space="0" w:color="auto"/>
            <w:left w:val="none" w:sz="0" w:space="0" w:color="auto"/>
            <w:bottom w:val="none" w:sz="0" w:space="0" w:color="auto"/>
            <w:right w:val="none" w:sz="0" w:space="0" w:color="auto"/>
          </w:divBdr>
        </w:div>
        <w:div w:id="1017999869">
          <w:marLeft w:val="0"/>
          <w:marRight w:val="0"/>
          <w:marTop w:val="0"/>
          <w:marBottom w:val="0"/>
          <w:divBdr>
            <w:top w:val="none" w:sz="0" w:space="0" w:color="auto"/>
            <w:left w:val="none" w:sz="0" w:space="0" w:color="auto"/>
            <w:bottom w:val="none" w:sz="0" w:space="0" w:color="auto"/>
            <w:right w:val="none" w:sz="0" w:space="0" w:color="auto"/>
          </w:divBdr>
        </w:div>
        <w:div w:id="1055592838">
          <w:marLeft w:val="0"/>
          <w:marRight w:val="0"/>
          <w:marTop w:val="0"/>
          <w:marBottom w:val="0"/>
          <w:divBdr>
            <w:top w:val="none" w:sz="0" w:space="0" w:color="auto"/>
            <w:left w:val="none" w:sz="0" w:space="0" w:color="auto"/>
            <w:bottom w:val="none" w:sz="0" w:space="0" w:color="auto"/>
            <w:right w:val="none" w:sz="0" w:space="0" w:color="auto"/>
          </w:divBdr>
        </w:div>
        <w:div w:id="1074429515">
          <w:marLeft w:val="0"/>
          <w:marRight w:val="0"/>
          <w:marTop w:val="0"/>
          <w:marBottom w:val="0"/>
          <w:divBdr>
            <w:top w:val="none" w:sz="0" w:space="0" w:color="auto"/>
            <w:left w:val="none" w:sz="0" w:space="0" w:color="auto"/>
            <w:bottom w:val="none" w:sz="0" w:space="0" w:color="auto"/>
            <w:right w:val="none" w:sz="0" w:space="0" w:color="auto"/>
          </w:divBdr>
        </w:div>
        <w:div w:id="1103915641">
          <w:marLeft w:val="0"/>
          <w:marRight w:val="0"/>
          <w:marTop w:val="0"/>
          <w:marBottom w:val="0"/>
          <w:divBdr>
            <w:top w:val="none" w:sz="0" w:space="0" w:color="auto"/>
            <w:left w:val="none" w:sz="0" w:space="0" w:color="auto"/>
            <w:bottom w:val="none" w:sz="0" w:space="0" w:color="auto"/>
            <w:right w:val="none" w:sz="0" w:space="0" w:color="auto"/>
          </w:divBdr>
        </w:div>
        <w:div w:id="1125537469">
          <w:marLeft w:val="0"/>
          <w:marRight w:val="0"/>
          <w:marTop w:val="0"/>
          <w:marBottom w:val="0"/>
          <w:divBdr>
            <w:top w:val="none" w:sz="0" w:space="0" w:color="auto"/>
            <w:left w:val="none" w:sz="0" w:space="0" w:color="auto"/>
            <w:bottom w:val="none" w:sz="0" w:space="0" w:color="auto"/>
            <w:right w:val="none" w:sz="0" w:space="0" w:color="auto"/>
          </w:divBdr>
        </w:div>
        <w:div w:id="1166478169">
          <w:marLeft w:val="0"/>
          <w:marRight w:val="0"/>
          <w:marTop w:val="0"/>
          <w:marBottom w:val="0"/>
          <w:divBdr>
            <w:top w:val="none" w:sz="0" w:space="0" w:color="auto"/>
            <w:left w:val="none" w:sz="0" w:space="0" w:color="auto"/>
            <w:bottom w:val="none" w:sz="0" w:space="0" w:color="auto"/>
            <w:right w:val="none" w:sz="0" w:space="0" w:color="auto"/>
          </w:divBdr>
        </w:div>
        <w:div w:id="1274509805">
          <w:marLeft w:val="0"/>
          <w:marRight w:val="0"/>
          <w:marTop w:val="0"/>
          <w:marBottom w:val="0"/>
          <w:divBdr>
            <w:top w:val="none" w:sz="0" w:space="0" w:color="auto"/>
            <w:left w:val="none" w:sz="0" w:space="0" w:color="auto"/>
            <w:bottom w:val="none" w:sz="0" w:space="0" w:color="auto"/>
            <w:right w:val="none" w:sz="0" w:space="0" w:color="auto"/>
          </w:divBdr>
        </w:div>
        <w:div w:id="1275791492">
          <w:marLeft w:val="0"/>
          <w:marRight w:val="0"/>
          <w:marTop w:val="0"/>
          <w:marBottom w:val="0"/>
          <w:divBdr>
            <w:top w:val="none" w:sz="0" w:space="0" w:color="auto"/>
            <w:left w:val="none" w:sz="0" w:space="0" w:color="auto"/>
            <w:bottom w:val="none" w:sz="0" w:space="0" w:color="auto"/>
            <w:right w:val="none" w:sz="0" w:space="0" w:color="auto"/>
          </w:divBdr>
        </w:div>
        <w:div w:id="1289583698">
          <w:marLeft w:val="0"/>
          <w:marRight w:val="0"/>
          <w:marTop w:val="0"/>
          <w:marBottom w:val="0"/>
          <w:divBdr>
            <w:top w:val="none" w:sz="0" w:space="0" w:color="auto"/>
            <w:left w:val="none" w:sz="0" w:space="0" w:color="auto"/>
            <w:bottom w:val="none" w:sz="0" w:space="0" w:color="auto"/>
            <w:right w:val="none" w:sz="0" w:space="0" w:color="auto"/>
          </w:divBdr>
        </w:div>
        <w:div w:id="1291547868">
          <w:marLeft w:val="0"/>
          <w:marRight w:val="0"/>
          <w:marTop w:val="0"/>
          <w:marBottom w:val="0"/>
          <w:divBdr>
            <w:top w:val="none" w:sz="0" w:space="0" w:color="auto"/>
            <w:left w:val="none" w:sz="0" w:space="0" w:color="auto"/>
            <w:bottom w:val="none" w:sz="0" w:space="0" w:color="auto"/>
            <w:right w:val="none" w:sz="0" w:space="0" w:color="auto"/>
          </w:divBdr>
        </w:div>
        <w:div w:id="1329021091">
          <w:marLeft w:val="0"/>
          <w:marRight w:val="0"/>
          <w:marTop w:val="0"/>
          <w:marBottom w:val="0"/>
          <w:divBdr>
            <w:top w:val="none" w:sz="0" w:space="0" w:color="auto"/>
            <w:left w:val="none" w:sz="0" w:space="0" w:color="auto"/>
            <w:bottom w:val="none" w:sz="0" w:space="0" w:color="auto"/>
            <w:right w:val="none" w:sz="0" w:space="0" w:color="auto"/>
          </w:divBdr>
        </w:div>
        <w:div w:id="1330794970">
          <w:marLeft w:val="0"/>
          <w:marRight w:val="0"/>
          <w:marTop w:val="0"/>
          <w:marBottom w:val="0"/>
          <w:divBdr>
            <w:top w:val="none" w:sz="0" w:space="0" w:color="auto"/>
            <w:left w:val="none" w:sz="0" w:space="0" w:color="auto"/>
            <w:bottom w:val="none" w:sz="0" w:space="0" w:color="auto"/>
            <w:right w:val="none" w:sz="0" w:space="0" w:color="auto"/>
          </w:divBdr>
        </w:div>
        <w:div w:id="1438941099">
          <w:marLeft w:val="0"/>
          <w:marRight w:val="0"/>
          <w:marTop w:val="0"/>
          <w:marBottom w:val="0"/>
          <w:divBdr>
            <w:top w:val="none" w:sz="0" w:space="0" w:color="auto"/>
            <w:left w:val="none" w:sz="0" w:space="0" w:color="auto"/>
            <w:bottom w:val="none" w:sz="0" w:space="0" w:color="auto"/>
            <w:right w:val="none" w:sz="0" w:space="0" w:color="auto"/>
          </w:divBdr>
        </w:div>
        <w:div w:id="1486775585">
          <w:marLeft w:val="0"/>
          <w:marRight w:val="0"/>
          <w:marTop w:val="0"/>
          <w:marBottom w:val="0"/>
          <w:divBdr>
            <w:top w:val="none" w:sz="0" w:space="0" w:color="auto"/>
            <w:left w:val="none" w:sz="0" w:space="0" w:color="auto"/>
            <w:bottom w:val="none" w:sz="0" w:space="0" w:color="auto"/>
            <w:right w:val="none" w:sz="0" w:space="0" w:color="auto"/>
          </w:divBdr>
        </w:div>
        <w:div w:id="1604532929">
          <w:marLeft w:val="0"/>
          <w:marRight w:val="0"/>
          <w:marTop w:val="0"/>
          <w:marBottom w:val="0"/>
          <w:divBdr>
            <w:top w:val="none" w:sz="0" w:space="0" w:color="auto"/>
            <w:left w:val="none" w:sz="0" w:space="0" w:color="auto"/>
            <w:bottom w:val="none" w:sz="0" w:space="0" w:color="auto"/>
            <w:right w:val="none" w:sz="0" w:space="0" w:color="auto"/>
          </w:divBdr>
        </w:div>
        <w:div w:id="1649164958">
          <w:marLeft w:val="0"/>
          <w:marRight w:val="0"/>
          <w:marTop w:val="0"/>
          <w:marBottom w:val="0"/>
          <w:divBdr>
            <w:top w:val="none" w:sz="0" w:space="0" w:color="auto"/>
            <w:left w:val="none" w:sz="0" w:space="0" w:color="auto"/>
            <w:bottom w:val="none" w:sz="0" w:space="0" w:color="auto"/>
            <w:right w:val="none" w:sz="0" w:space="0" w:color="auto"/>
          </w:divBdr>
        </w:div>
        <w:div w:id="1662393106">
          <w:marLeft w:val="0"/>
          <w:marRight w:val="0"/>
          <w:marTop w:val="0"/>
          <w:marBottom w:val="0"/>
          <w:divBdr>
            <w:top w:val="none" w:sz="0" w:space="0" w:color="auto"/>
            <w:left w:val="none" w:sz="0" w:space="0" w:color="auto"/>
            <w:bottom w:val="none" w:sz="0" w:space="0" w:color="auto"/>
            <w:right w:val="none" w:sz="0" w:space="0" w:color="auto"/>
          </w:divBdr>
        </w:div>
        <w:div w:id="1804614834">
          <w:marLeft w:val="0"/>
          <w:marRight w:val="0"/>
          <w:marTop w:val="0"/>
          <w:marBottom w:val="0"/>
          <w:divBdr>
            <w:top w:val="none" w:sz="0" w:space="0" w:color="auto"/>
            <w:left w:val="none" w:sz="0" w:space="0" w:color="auto"/>
            <w:bottom w:val="none" w:sz="0" w:space="0" w:color="auto"/>
            <w:right w:val="none" w:sz="0" w:space="0" w:color="auto"/>
          </w:divBdr>
        </w:div>
        <w:div w:id="1893155937">
          <w:marLeft w:val="0"/>
          <w:marRight w:val="0"/>
          <w:marTop w:val="0"/>
          <w:marBottom w:val="0"/>
          <w:divBdr>
            <w:top w:val="none" w:sz="0" w:space="0" w:color="auto"/>
            <w:left w:val="none" w:sz="0" w:space="0" w:color="auto"/>
            <w:bottom w:val="none" w:sz="0" w:space="0" w:color="auto"/>
            <w:right w:val="none" w:sz="0" w:space="0" w:color="auto"/>
          </w:divBdr>
        </w:div>
        <w:div w:id="1916819553">
          <w:marLeft w:val="0"/>
          <w:marRight w:val="0"/>
          <w:marTop w:val="0"/>
          <w:marBottom w:val="0"/>
          <w:divBdr>
            <w:top w:val="none" w:sz="0" w:space="0" w:color="auto"/>
            <w:left w:val="none" w:sz="0" w:space="0" w:color="auto"/>
            <w:bottom w:val="none" w:sz="0" w:space="0" w:color="auto"/>
            <w:right w:val="none" w:sz="0" w:space="0" w:color="auto"/>
          </w:divBdr>
        </w:div>
        <w:div w:id="1956210322">
          <w:marLeft w:val="0"/>
          <w:marRight w:val="0"/>
          <w:marTop w:val="0"/>
          <w:marBottom w:val="0"/>
          <w:divBdr>
            <w:top w:val="none" w:sz="0" w:space="0" w:color="auto"/>
            <w:left w:val="none" w:sz="0" w:space="0" w:color="auto"/>
            <w:bottom w:val="none" w:sz="0" w:space="0" w:color="auto"/>
            <w:right w:val="none" w:sz="0" w:space="0" w:color="auto"/>
          </w:divBdr>
        </w:div>
      </w:divsChild>
    </w:div>
    <w:div w:id="20855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tice.net/wp-content/uploads/2015/05/68938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4271</Words>
  <Characters>25280</Characters>
  <Application>Microsoft Office Word</Application>
  <DocSecurity>0</DocSecurity>
  <Lines>530</Lines>
  <Paragraphs>163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29568</CharactersWithSpaces>
  <SharedDoc>false</SharedDoc>
  <HyperlinkBase> </HyperlinkBase>
  <HLinks>
    <vt:vector size="6" baseType="variant">
      <vt:variant>
        <vt:i4>3801215</vt:i4>
      </vt:variant>
      <vt:variant>
        <vt:i4>3</vt:i4>
      </vt:variant>
      <vt:variant>
        <vt:i4>0</vt:i4>
      </vt:variant>
      <vt:variant>
        <vt:i4>5</vt:i4>
      </vt:variant>
      <vt:variant>
        <vt:lpwstr>http://altice.net/wp-content/uploads/2015/05/689389.pdf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2015-12-18T15:53:00Z</dcterms:created>
  <dcterms:modified xsi:type="dcterms:W3CDTF">2015-12-18T15:53:00Z</dcterms:modified>
  <cp:category> </cp:category>
  <cp:contentStatus> </cp:contentStatus>
</cp:coreProperties>
</file>