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3A9D" w14:textId="77777777" w:rsidR="00C55938" w:rsidRPr="00B3729A" w:rsidRDefault="00900676" w:rsidP="00340CEE">
      <w:pPr>
        <w:tabs>
          <w:tab w:val="left" w:pos="0"/>
        </w:tabs>
        <w:suppressAutoHyphens/>
        <w:ind w:left="5040" w:hanging="5040"/>
        <w:rPr>
          <w:sz w:val="22"/>
          <w:szCs w:val="22"/>
        </w:rPr>
      </w:pPr>
      <w:bookmarkStart w:id="0" w:name="_GoBack"/>
      <w:bookmarkEnd w:id="0"/>
      <w:r w:rsidRPr="00B3729A">
        <w:rPr>
          <w:sz w:val="22"/>
          <w:szCs w:val="22"/>
        </w:rPr>
        <w:t>Mr. Tylor Stone</w:t>
      </w:r>
    </w:p>
    <w:p w14:paraId="45438BFA" w14:textId="77777777" w:rsidR="00900676" w:rsidRPr="00B3729A" w:rsidRDefault="00900676" w:rsidP="00340CEE">
      <w:pPr>
        <w:tabs>
          <w:tab w:val="left" w:pos="0"/>
        </w:tabs>
        <w:suppressAutoHyphens/>
        <w:ind w:left="5040" w:hanging="5040"/>
        <w:rPr>
          <w:sz w:val="22"/>
          <w:szCs w:val="22"/>
        </w:rPr>
      </w:pPr>
      <w:r w:rsidRPr="00B3729A">
        <w:rPr>
          <w:sz w:val="22"/>
          <w:szCs w:val="22"/>
        </w:rPr>
        <w:t>A Home For Everyone</w:t>
      </w:r>
    </w:p>
    <w:p w14:paraId="4B5DC1DF" w14:textId="77777777" w:rsidR="00900676" w:rsidRPr="00B3729A" w:rsidRDefault="00900676" w:rsidP="00340CEE">
      <w:pPr>
        <w:tabs>
          <w:tab w:val="left" w:pos="0"/>
        </w:tabs>
        <w:suppressAutoHyphens/>
        <w:ind w:left="5040" w:hanging="5040"/>
        <w:rPr>
          <w:sz w:val="22"/>
          <w:szCs w:val="22"/>
        </w:rPr>
      </w:pPr>
      <w:r w:rsidRPr="00B3729A">
        <w:rPr>
          <w:sz w:val="22"/>
          <w:szCs w:val="22"/>
        </w:rPr>
        <w:t>240 2</w:t>
      </w:r>
      <w:r w:rsidRPr="00B3729A">
        <w:rPr>
          <w:sz w:val="22"/>
          <w:szCs w:val="22"/>
          <w:vertAlign w:val="superscript"/>
        </w:rPr>
        <w:t>nd</w:t>
      </w:r>
      <w:r w:rsidRPr="00B3729A">
        <w:rPr>
          <w:sz w:val="22"/>
          <w:szCs w:val="22"/>
        </w:rPr>
        <w:t xml:space="preserve"> Avenue SW</w:t>
      </w:r>
    </w:p>
    <w:p w14:paraId="66E36FDC" w14:textId="77777777" w:rsidR="00900676" w:rsidRPr="00B3729A" w:rsidRDefault="00900676" w:rsidP="00340CEE">
      <w:pPr>
        <w:tabs>
          <w:tab w:val="left" w:pos="0"/>
        </w:tabs>
        <w:suppressAutoHyphens/>
        <w:ind w:left="5040" w:hanging="5040"/>
        <w:rPr>
          <w:sz w:val="22"/>
          <w:szCs w:val="22"/>
        </w:rPr>
      </w:pPr>
      <w:r w:rsidRPr="00B3729A">
        <w:rPr>
          <w:sz w:val="22"/>
          <w:szCs w:val="22"/>
        </w:rPr>
        <w:t>Albany, OR 97321</w:t>
      </w:r>
    </w:p>
    <w:p w14:paraId="3E4741AF" w14:textId="77777777" w:rsidR="00900676" w:rsidRPr="00B3729A" w:rsidRDefault="00900676" w:rsidP="00340CEE">
      <w:pPr>
        <w:tabs>
          <w:tab w:val="left" w:pos="0"/>
        </w:tabs>
        <w:suppressAutoHyphens/>
        <w:ind w:left="5040" w:hanging="5040"/>
        <w:rPr>
          <w:sz w:val="22"/>
          <w:szCs w:val="22"/>
        </w:rPr>
      </w:pPr>
    </w:p>
    <w:p w14:paraId="4EAFAC97" w14:textId="77777777" w:rsidR="00900676" w:rsidRPr="00B3729A" w:rsidRDefault="00C83982" w:rsidP="00340CEE">
      <w:pPr>
        <w:tabs>
          <w:tab w:val="left" w:pos="0"/>
        </w:tabs>
        <w:suppressAutoHyphens/>
        <w:ind w:left="5040" w:hanging="5040"/>
        <w:rPr>
          <w:sz w:val="22"/>
          <w:szCs w:val="22"/>
        </w:rPr>
      </w:pPr>
      <w:r w:rsidRPr="00B3729A">
        <w:rPr>
          <w:sz w:val="22"/>
          <w:szCs w:val="22"/>
        </w:rPr>
        <w:t>Ms. Leanna McKendree</w:t>
      </w:r>
    </w:p>
    <w:p w14:paraId="447D0AC6" w14:textId="77777777" w:rsidR="00C83982" w:rsidRPr="00B3729A" w:rsidRDefault="00C83982" w:rsidP="00340CEE">
      <w:pPr>
        <w:tabs>
          <w:tab w:val="left" w:pos="0"/>
        </w:tabs>
        <w:suppressAutoHyphens/>
        <w:ind w:left="5040" w:hanging="5040"/>
        <w:rPr>
          <w:sz w:val="22"/>
          <w:szCs w:val="22"/>
        </w:rPr>
      </w:pPr>
      <w:r w:rsidRPr="00B3729A">
        <w:rPr>
          <w:sz w:val="22"/>
          <w:szCs w:val="22"/>
        </w:rPr>
        <w:t>Blue Stone Media Activists</w:t>
      </w:r>
    </w:p>
    <w:p w14:paraId="0C1339AE" w14:textId="77777777" w:rsidR="00C83982" w:rsidRPr="00B3729A" w:rsidRDefault="00C83982" w:rsidP="00340CEE">
      <w:pPr>
        <w:tabs>
          <w:tab w:val="left" w:pos="0"/>
        </w:tabs>
        <w:suppressAutoHyphens/>
        <w:ind w:left="5040" w:hanging="5040"/>
        <w:rPr>
          <w:sz w:val="22"/>
          <w:szCs w:val="22"/>
        </w:rPr>
      </w:pPr>
      <w:r w:rsidRPr="00B3729A">
        <w:rPr>
          <w:sz w:val="22"/>
          <w:szCs w:val="22"/>
        </w:rPr>
        <w:t>4610 Highway 20, #12</w:t>
      </w:r>
    </w:p>
    <w:p w14:paraId="58988354" w14:textId="77777777" w:rsidR="00C83982" w:rsidRPr="00B3729A" w:rsidRDefault="00C83982" w:rsidP="00340CEE">
      <w:pPr>
        <w:tabs>
          <w:tab w:val="left" w:pos="0"/>
        </w:tabs>
        <w:suppressAutoHyphens/>
        <w:ind w:left="5040" w:hanging="5040"/>
        <w:rPr>
          <w:sz w:val="22"/>
          <w:szCs w:val="22"/>
        </w:rPr>
      </w:pPr>
      <w:r w:rsidRPr="00B3729A">
        <w:rPr>
          <w:sz w:val="22"/>
          <w:szCs w:val="22"/>
        </w:rPr>
        <w:t>Sweet Home, OR 97386</w:t>
      </w:r>
    </w:p>
    <w:p w14:paraId="6DF3136A" w14:textId="77777777" w:rsidR="00C83982" w:rsidRPr="00B3729A" w:rsidRDefault="00C83982" w:rsidP="00340CEE">
      <w:pPr>
        <w:tabs>
          <w:tab w:val="left" w:pos="0"/>
        </w:tabs>
        <w:suppressAutoHyphens/>
        <w:ind w:left="5040" w:hanging="5040"/>
        <w:rPr>
          <w:sz w:val="22"/>
          <w:szCs w:val="22"/>
        </w:rPr>
      </w:pPr>
    </w:p>
    <w:p w14:paraId="213CCAE9" w14:textId="77777777" w:rsidR="00C83982" w:rsidRPr="00B3729A" w:rsidRDefault="00C83982" w:rsidP="00340CEE">
      <w:pPr>
        <w:tabs>
          <w:tab w:val="left" w:pos="0"/>
        </w:tabs>
        <w:suppressAutoHyphens/>
        <w:ind w:left="5040" w:hanging="5040"/>
        <w:rPr>
          <w:sz w:val="22"/>
          <w:szCs w:val="22"/>
        </w:rPr>
      </w:pPr>
      <w:r w:rsidRPr="00B3729A">
        <w:rPr>
          <w:sz w:val="22"/>
          <w:szCs w:val="22"/>
        </w:rPr>
        <w:t>Ms. Sonya McKendree</w:t>
      </w:r>
    </w:p>
    <w:p w14:paraId="34411ACC" w14:textId="77777777" w:rsidR="00C83982" w:rsidRPr="00B3729A" w:rsidRDefault="00C83982" w:rsidP="00340CEE">
      <w:pPr>
        <w:tabs>
          <w:tab w:val="left" w:pos="0"/>
        </w:tabs>
        <w:suppressAutoHyphens/>
        <w:ind w:left="5040" w:hanging="5040"/>
        <w:rPr>
          <w:sz w:val="22"/>
          <w:szCs w:val="22"/>
        </w:rPr>
      </w:pPr>
      <w:r w:rsidRPr="00B3729A">
        <w:rPr>
          <w:sz w:val="22"/>
          <w:szCs w:val="22"/>
        </w:rPr>
        <w:t>Cascadia Sound Waves</w:t>
      </w:r>
    </w:p>
    <w:p w14:paraId="40ADC8E5" w14:textId="77777777" w:rsidR="00C83982" w:rsidRPr="00B3729A" w:rsidRDefault="00C83982" w:rsidP="00340CEE">
      <w:pPr>
        <w:tabs>
          <w:tab w:val="left" w:pos="0"/>
        </w:tabs>
        <w:suppressAutoHyphens/>
        <w:ind w:left="5040" w:hanging="5040"/>
        <w:rPr>
          <w:sz w:val="22"/>
          <w:szCs w:val="22"/>
        </w:rPr>
      </w:pPr>
      <w:r w:rsidRPr="00B3729A">
        <w:rPr>
          <w:sz w:val="22"/>
          <w:szCs w:val="22"/>
        </w:rPr>
        <w:t>4610 Highway 20, #3</w:t>
      </w:r>
    </w:p>
    <w:p w14:paraId="6600C94A" w14:textId="77777777" w:rsidR="00C83982" w:rsidRPr="00B3729A" w:rsidRDefault="00C83982" w:rsidP="00340CEE">
      <w:pPr>
        <w:tabs>
          <w:tab w:val="left" w:pos="0"/>
        </w:tabs>
        <w:suppressAutoHyphens/>
        <w:ind w:left="5040" w:hanging="5040"/>
        <w:rPr>
          <w:sz w:val="22"/>
          <w:szCs w:val="22"/>
        </w:rPr>
      </w:pPr>
      <w:r w:rsidRPr="00B3729A">
        <w:rPr>
          <w:sz w:val="22"/>
          <w:szCs w:val="22"/>
        </w:rPr>
        <w:t>Sweet Home, OR 97386</w:t>
      </w:r>
    </w:p>
    <w:p w14:paraId="4736FC64" w14:textId="77777777" w:rsidR="00C83982" w:rsidRPr="00B3729A" w:rsidRDefault="00C83982" w:rsidP="00340CEE">
      <w:pPr>
        <w:tabs>
          <w:tab w:val="left" w:pos="0"/>
        </w:tabs>
        <w:suppressAutoHyphens/>
        <w:ind w:left="5040" w:hanging="5040"/>
        <w:rPr>
          <w:sz w:val="22"/>
          <w:szCs w:val="22"/>
        </w:rPr>
      </w:pPr>
    </w:p>
    <w:p w14:paraId="237D605F" w14:textId="77777777" w:rsidR="00C83982" w:rsidRPr="00B3729A" w:rsidRDefault="00C83982" w:rsidP="00340CEE">
      <w:pPr>
        <w:tabs>
          <w:tab w:val="left" w:pos="0"/>
        </w:tabs>
        <w:suppressAutoHyphens/>
        <w:ind w:left="5040" w:hanging="5040"/>
        <w:rPr>
          <w:sz w:val="22"/>
          <w:szCs w:val="22"/>
        </w:rPr>
      </w:pPr>
      <w:r w:rsidRPr="00B3729A">
        <w:rPr>
          <w:sz w:val="22"/>
          <w:szCs w:val="22"/>
        </w:rPr>
        <w:t>Ms. Joelle Lund</w:t>
      </w:r>
    </w:p>
    <w:p w14:paraId="1BE6E066" w14:textId="77777777" w:rsidR="00C83982" w:rsidRPr="00B3729A" w:rsidRDefault="00C83982" w:rsidP="00340CEE">
      <w:pPr>
        <w:tabs>
          <w:tab w:val="left" w:pos="0"/>
        </w:tabs>
        <w:suppressAutoHyphens/>
        <w:ind w:left="5040" w:hanging="5040"/>
        <w:rPr>
          <w:sz w:val="22"/>
          <w:szCs w:val="22"/>
        </w:rPr>
      </w:pPr>
      <w:r w:rsidRPr="00B3729A">
        <w:rPr>
          <w:sz w:val="22"/>
          <w:szCs w:val="22"/>
        </w:rPr>
        <w:t>Central Oregon Spiritual Awareness</w:t>
      </w:r>
    </w:p>
    <w:p w14:paraId="033B7243" w14:textId="77777777" w:rsidR="00C83982" w:rsidRPr="00B3729A" w:rsidRDefault="00C83982" w:rsidP="00340CEE">
      <w:pPr>
        <w:tabs>
          <w:tab w:val="left" w:pos="0"/>
        </w:tabs>
        <w:suppressAutoHyphens/>
        <w:ind w:left="5040" w:hanging="5040"/>
        <w:rPr>
          <w:sz w:val="22"/>
          <w:szCs w:val="22"/>
        </w:rPr>
      </w:pPr>
      <w:r w:rsidRPr="00B3729A">
        <w:rPr>
          <w:sz w:val="22"/>
          <w:szCs w:val="22"/>
        </w:rPr>
        <w:t>17300 Brandt Drive</w:t>
      </w:r>
    </w:p>
    <w:p w14:paraId="1A9B3994" w14:textId="77777777" w:rsidR="00C83982" w:rsidRPr="00B3729A" w:rsidRDefault="00C83982" w:rsidP="00340CEE">
      <w:pPr>
        <w:tabs>
          <w:tab w:val="left" w:pos="0"/>
        </w:tabs>
        <w:suppressAutoHyphens/>
        <w:ind w:left="5040" w:hanging="5040"/>
        <w:rPr>
          <w:sz w:val="22"/>
          <w:szCs w:val="22"/>
        </w:rPr>
      </w:pPr>
      <w:r w:rsidRPr="00B3729A">
        <w:rPr>
          <w:sz w:val="22"/>
          <w:szCs w:val="22"/>
        </w:rPr>
        <w:t>Bend, OR 97707</w:t>
      </w:r>
    </w:p>
    <w:p w14:paraId="4FFC8FF3" w14:textId="77777777" w:rsidR="00C83982" w:rsidRPr="00B3729A" w:rsidRDefault="00C83982" w:rsidP="00340CEE">
      <w:pPr>
        <w:tabs>
          <w:tab w:val="left" w:pos="0"/>
        </w:tabs>
        <w:suppressAutoHyphens/>
        <w:ind w:left="5040" w:hanging="5040"/>
        <w:rPr>
          <w:sz w:val="22"/>
          <w:szCs w:val="22"/>
        </w:rPr>
      </w:pPr>
    </w:p>
    <w:p w14:paraId="272B3C10" w14:textId="77777777" w:rsidR="00C83982" w:rsidRPr="00B3729A" w:rsidRDefault="00C83982" w:rsidP="00340CEE">
      <w:pPr>
        <w:tabs>
          <w:tab w:val="left" w:pos="0"/>
        </w:tabs>
        <w:suppressAutoHyphens/>
        <w:ind w:left="5040" w:hanging="5040"/>
        <w:rPr>
          <w:sz w:val="22"/>
          <w:szCs w:val="22"/>
        </w:rPr>
      </w:pPr>
      <w:r w:rsidRPr="00B3729A">
        <w:rPr>
          <w:sz w:val="22"/>
          <w:szCs w:val="22"/>
        </w:rPr>
        <w:t>Ms. Dona McKendree</w:t>
      </w:r>
    </w:p>
    <w:p w14:paraId="40AC0309" w14:textId="77777777" w:rsidR="00C83982" w:rsidRPr="00B3729A" w:rsidRDefault="00C83982" w:rsidP="00340CEE">
      <w:pPr>
        <w:tabs>
          <w:tab w:val="left" w:pos="0"/>
        </w:tabs>
        <w:suppressAutoHyphens/>
        <w:ind w:left="5040" w:hanging="5040"/>
        <w:rPr>
          <w:sz w:val="22"/>
          <w:szCs w:val="22"/>
        </w:rPr>
      </w:pPr>
      <w:r w:rsidRPr="00B3729A">
        <w:rPr>
          <w:sz w:val="22"/>
          <w:szCs w:val="22"/>
        </w:rPr>
        <w:t>Futurist Prophetic Advancement</w:t>
      </w:r>
    </w:p>
    <w:p w14:paraId="21FD4637" w14:textId="77777777" w:rsidR="00C83982" w:rsidRPr="00B3729A" w:rsidRDefault="00C83982" w:rsidP="00340CEE">
      <w:pPr>
        <w:tabs>
          <w:tab w:val="left" w:pos="0"/>
        </w:tabs>
        <w:suppressAutoHyphens/>
        <w:ind w:left="5040" w:hanging="5040"/>
        <w:rPr>
          <w:sz w:val="22"/>
          <w:szCs w:val="22"/>
        </w:rPr>
      </w:pPr>
      <w:r w:rsidRPr="00B3729A">
        <w:rPr>
          <w:sz w:val="22"/>
          <w:szCs w:val="22"/>
        </w:rPr>
        <w:t>28968 Dixie Lane</w:t>
      </w:r>
    </w:p>
    <w:p w14:paraId="0C7B6C92" w14:textId="77777777" w:rsidR="00C83982" w:rsidRPr="00B3729A" w:rsidRDefault="00C83982" w:rsidP="00340CEE">
      <w:pPr>
        <w:tabs>
          <w:tab w:val="left" w:pos="0"/>
        </w:tabs>
        <w:suppressAutoHyphens/>
        <w:ind w:left="5040" w:hanging="5040"/>
        <w:rPr>
          <w:sz w:val="22"/>
          <w:szCs w:val="22"/>
        </w:rPr>
      </w:pPr>
      <w:r w:rsidRPr="00B3729A">
        <w:rPr>
          <w:sz w:val="22"/>
          <w:szCs w:val="22"/>
        </w:rPr>
        <w:t>Sweet Home, OR 97386</w:t>
      </w:r>
    </w:p>
    <w:p w14:paraId="7600E68A" w14:textId="77777777" w:rsidR="00C83982" w:rsidRPr="00B3729A" w:rsidRDefault="00C83982" w:rsidP="00340CEE">
      <w:pPr>
        <w:tabs>
          <w:tab w:val="left" w:pos="0"/>
        </w:tabs>
        <w:suppressAutoHyphens/>
        <w:ind w:left="5040" w:hanging="5040"/>
        <w:rPr>
          <w:sz w:val="22"/>
          <w:szCs w:val="22"/>
        </w:rPr>
      </w:pPr>
    </w:p>
    <w:p w14:paraId="1B99439B" w14:textId="77777777" w:rsidR="00C83982" w:rsidRPr="00B3729A" w:rsidRDefault="00C83982" w:rsidP="00340CEE">
      <w:pPr>
        <w:tabs>
          <w:tab w:val="left" w:pos="0"/>
        </w:tabs>
        <w:suppressAutoHyphens/>
        <w:ind w:left="5040" w:hanging="5040"/>
        <w:rPr>
          <w:sz w:val="22"/>
          <w:szCs w:val="22"/>
        </w:rPr>
      </w:pPr>
      <w:r w:rsidRPr="00B3729A">
        <w:rPr>
          <w:sz w:val="22"/>
          <w:szCs w:val="22"/>
        </w:rPr>
        <w:t>Mr. Walter Lund</w:t>
      </w:r>
    </w:p>
    <w:p w14:paraId="61C3545E" w14:textId="77777777" w:rsidR="00C83982" w:rsidRPr="00B3729A" w:rsidRDefault="00C83982" w:rsidP="00340CEE">
      <w:pPr>
        <w:tabs>
          <w:tab w:val="left" w:pos="0"/>
        </w:tabs>
        <w:suppressAutoHyphens/>
        <w:ind w:left="5040" w:hanging="5040"/>
        <w:rPr>
          <w:sz w:val="22"/>
          <w:szCs w:val="22"/>
        </w:rPr>
      </w:pPr>
      <w:r w:rsidRPr="00B3729A">
        <w:rPr>
          <w:sz w:val="22"/>
          <w:szCs w:val="22"/>
        </w:rPr>
        <w:t>Health Freedom for All</w:t>
      </w:r>
    </w:p>
    <w:p w14:paraId="1D8889CB" w14:textId="77777777" w:rsidR="00C83982" w:rsidRPr="00B3729A" w:rsidRDefault="00C83982" w:rsidP="00340CEE">
      <w:pPr>
        <w:tabs>
          <w:tab w:val="left" w:pos="0"/>
        </w:tabs>
        <w:suppressAutoHyphens/>
        <w:ind w:left="5040" w:hanging="5040"/>
        <w:rPr>
          <w:sz w:val="22"/>
          <w:szCs w:val="22"/>
        </w:rPr>
      </w:pPr>
      <w:r w:rsidRPr="00B3729A">
        <w:rPr>
          <w:sz w:val="22"/>
          <w:szCs w:val="22"/>
        </w:rPr>
        <w:t>39662 Mt. Hope</w:t>
      </w:r>
    </w:p>
    <w:p w14:paraId="1A1AFCF3" w14:textId="77777777" w:rsidR="00C83982" w:rsidRPr="00B3729A" w:rsidRDefault="00C83982" w:rsidP="00340CEE">
      <w:pPr>
        <w:tabs>
          <w:tab w:val="left" w:pos="0"/>
        </w:tabs>
        <w:suppressAutoHyphens/>
        <w:ind w:left="5040" w:hanging="5040"/>
        <w:rPr>
          <w:sz w:val="22"/>
          <w:szCs w:val="22"/>
        </w:rPr>
      </w:pPr>
      <w:r w:rsidRPr="00B3729A">
        <w:rPr>
          <w:sz w:val="22"/>
          <w:szCs w:val="22"/>
        </w:rPr>
        <w:t>Lebanon, OR 97355</w:t>
      </w:r>
    </w:p>
    <w:p w14:paraId="1866C5B4" w14:textId="77777777" w:rsidR="00C83982" w:rsidRPr="00B3729A" w:rsidRDefault="00C83982" w:rsidP="00340CEE">
      <w:pPr>
        <w:tabs>
          <w:tab w:val="left" w:pos="0"/>
        </w:tabs>
        <w:suppressAutoHyphens/>
        <w:ind w:left="5040" w:hanging="5040"/>
        <w:rPr>
          <w:sz w:val="22"/>
          <w:szCs w:val="22"/>
        </w:rPr>
      </w:pPr>
    </w:p>
    <w:p w14:paraId="39BB528C" w14:textId="77777777" w:rsidR="00C83982" w:rsidRPr="00B3729A" w:rsidRDefault="00C83982" w:rsidP="00340CEE">
      <w:pPr>
        <w:tabs>
          <w:tab w:val="left" w:pos="0"/>
        </w:tabs>
        <w:suppressAutoHyphens/>
        <w:ind w:left="5040" w:hanging="5040"/>
        <w:rPr>
          <w:sz w:val="22"/>
          <w:szCs w:val="22"/>
        </w:rPr>
      </w:pPr>
      <w:r w:rsidRPr="00B3729A">
        <w:rPr>
          <w:sz w:val="22"/>
          <w:szCs w:val="22"/>
        </w:rPr>
        <w:t>Mr. Stan Barr</w:t>
      </w:r>
    </w:p>
    <w:p w14:paraId="625A9BA0" w14:textId="77777777" w:rsidR="00C83982" w:rsidRPr="00B3729A" w:rsidRDefault="00C83982" w:rsidP="00340CEE">
      <w:pPr>
        <w:tabs>
          <w:tab w:val="left" w:pos="0"/>
        </w:tabs>
        <w:suppressAutoHyphens/>
        <w:ind w:left="5040" w:hanging="5040"/>
        <w:rPr>
          <w:sz w:val="22"/>
          <w:szCs w:val="22"/>
        </w:rPr>
      </w:pPr>
      <w:r w:rsidRPr="00B3729A">
        <w:rPr>
          <w:sz w:val="22"/>
          <w:szCs w:val="22"/>
        </w:rPr>
        <w:t>Second Chance Ministry</w:t>
      </w:r>
    </w:p>
    <w:p w14:paraId="49113000" w14:textId="77777777" w:rsidR="00C83982" w:rsidRPr="00B3729A" w:rsidRDefault="00C83982" w:rsidP="00340CEE">
      <w:pPr>
        <w:tabs>
          <w:tab w:val="left" w:pos="0"/>
        </w:tabs>
        <w:suppressAutoHyphens/>
        <w:ind w:left="5040" w:hanging="5040"/>
        <w:rPr>
          <w:sz w:val="22"/>
          <w:szCs w:val="22"/>
        </w:rPr>
      </w:pPr>
      <w:r w:rsidRPr="00B3729A">
        <w:rPr>
          <w:sz w:val="22"/>
          <w:szCs w:val="22"/>
        </w:rPr>
        <w:t>35266 Oakview Road</w:t>
      </w:r>
    </w:p>
    <w:p w14:paraId="336B58E7" w14:textId="77777777" w:rsidR="00C83982" w:rsidRPr="00B3729A" w:rsidRDefault="00C83982" w:rsidP="00340CEE">
      <w:pPr>
        <w:tabs>
          <w:tab w:val="left" w:pos="0"/>
        </w:tabs>
        <w:suppressAutoHyphens/>
        <w:ind w:left="5040" w:hanging="5040"/>
        <w:rPr>
          <w:sz w:val="22"/>
          <w:szCs w:val="22"/>
        </w:rPr>
      </w:pPr>
      <w:r w:rsidRPr="00B3729A">
        <w:rPr>
          <w:sz w:val="22"/>
          <w:szCs w:val="22"/>
        </w:rPr>
        <w:t>Brownsville, OR 97327</w:t>
      </w:r>
    </w:p>
    <w:p w14:paraId="383E54C9" w14:textId="77777777" w:rsidR="00C83982" w:rsidRPr="00B3729A" w:rsidRDefault="00C83982" w:rsidP="00340CEE">
      <w:pPr>
        <w:tabs>
          <w:tab w:val="left" w:pos="0"/>
        </w:tabs>
        <w:suppressAutoHyphens/>
        <w:ind w:left="5040" w:hanging="5040"/>
        <w:rPr>
          <w:sz w:val="22"/>
          <w:szCs w:val="22"/>
        </w:rPr>
      </w:pPr>
    </w:p>
    <w:p w14:paraId="4A4765B5" w14:textId="77777777" w:rsidR="00C83982" w:rsidRPr="00B3729A" w:rsidRDefault="00C83982" w:rsidP="00340CEE">
      <w:pPr>
        <w:tabs>
          <w:tab w:val="left" w:pos="0"/>
        </w:tabs>
        <w:suppressAutoHyphens/>
        <w:ind w:left="5040" w:hanging="5040"/>
        <w:rPr>
          <w:sz w:val="22"/>
          <w:szCs w:val="22"/>
        </w:rPr>
      </w:pPr>
      <w:r w:rsidRPr="00B3729A">
        <w:rPr>
          <w:sz w:val="22"/>
          <w:szCs w:val="22"/>
        </w:rPr>
        <w:t>Mrs. Colleen Lund</w:t>
      </w:r>
    </w:p>
    <w:p w14:paraId="30159D8F" w14:textId="77777777" w:rsidR="00C83982" w:rsidRPr="00B3729A" w:rsidRDefault="00C83982" w:rsidP="00340CEE">
      <w:pPr>
        <w:tabs>
          <w:tab w:val="left" w:pos="0"/>
        </w:tabs>
        <w:suppressAutoHyphens/>
        <w:ind w:left="5040" w:hanging="5040"/>
        <w:rPr>
          <w:sz w:val="22"/>
          <w:szCs w:val="22"/>
        </w:rPr>
      </w:pPr>
      <w:r w:rsidRPr="00B3729A">
        <w:rPr>
          <w:sz w:val="22"/>
          <w:szCs w:val="22"/>
        </w:rPr>
        <w:t>Sweet Home All for One and One for All</w:t>
      </w:r>
    </w:p>
    <w:p w14:paraId="484A3165" w14:textId="77777777" w:rsidR="00C83982" w:rsidRPr="00B3729A" w:rsidRDefault="00C83982" w:rsidP="00340CEE">
      <w:pPr>
        <w:tabs>
          <w:tab w:val="left" w:pos="0"/>
        </w:tabs>
        <w:suppressAutoHyphens/>
        <w:ind w:left="5040" w:hanging="5040"/>
        <w:rPr>
          <w:sz w:val="22"/>
          <w:szCs w:val="22"/>
        </w:rPr>
      </w:pPr>
      <w:r w:rsidRPr="00B3729A">
        <w:rPr>
          <w:sz w:val="22"/>
          <w:szCs w:val="22"/>
        </w:rPr>
        <w:t>4610 Highway 20, #13B</w:t>
      </w:r>
    </w:p>
    <w:p w14:paraId="6155BD3E" w14:textId="77777777" w:rsidR="00C83982" w:rsidRPr="00B3729A" w:rsidRDefault="00C83982" w:rsidP="00C83982">
      <w:pPr>
        <w:tabs>
          <w:tab w:val="left" w:pos="0"/>
        </w:tabs>
        <w:suppressAutoHyphens/>
        <w:ind w:left="5040" w:hanging="5040"/>
        <w:rPr>
          <w:sz w:val="22"/>
          <w:szCs w:val="22"/>
        </w:rPr>
      </w:pPr>
      <w:r w:rsidRPr="00B3729A">
        <w:rPr>
          <w:sz w:val="22"/>
          <w:szCs w:val="22"/>
        </w:rPr>
        <w:t>Sweet Home, Oregon 97386</w:t>
      </w:r>
    </w:p>
    <w:p w14:paraId="3149CD4A" w14:textId="77777777" w:rsidR="00C83982" w:rsidRPr="00B3729A" w:rsidRDefault="00C83982" w:rsidP="00340CEE">
      <w:pPr>
        <w:tabs>
          <w:tab w:val="left" w:pos="0"/>
        </w:tabs>
        <w:suppressAutoHyphens/>
        <w:ind w:left="5040" w:hanging="5040"/>
        <w:rPr>
          <w:sz w:val="22"/>
          <w:szCs w:val="22"/>
        </w:rPr>
      </w:pPr>
    </w:p>
    <w:p w14:paraId="77555A95" w14:textId="77777777" w:rsidR="00C83982" w:rsidRPr="00B3729A" w:rsidRDefault="00C83982" w:rsidP="00340CEE">
      <w:pPr>
        <w:tabs>
          <w:tab w:val="left" w:pos="0"/>
        </w:tabs>
        <w:suppressAutoHyphens/>
        <w:ind w:left="5040" w:hanging="5040"/>
        <w:rPr>
          <w:sz w:val="22"/>
          <w:szCs w:val="22"/>
        </w:rPr>
      </w:pPr>
      <w:r w:rsidRPr="00B3729A">
        <w:rPr>
          <w:sz w:val="22"/>
          <w:szCs w:val="22"/>
        </w:rPr>
        <w:t>Ms. Megan Pierce</w:t>
      </w:r>
    </w:p>
    <w:p w14:paraId="20810A01" w14:textId="77777777" w:rsidR="00C83982" w:rsidRPr="00B3729A" w:rsidRDefault="00C83982" w:rsidP="00340CEE">
      <w:pPr>
        <w:tabs>
          <w:tab w:val="left" w:pos="0"/>
        </w:tabs>
        <w:suppressAutoHyphens/>
        <w:ind w:left="5040" w:hanging="5040"/>
        <w:rPr>
          <w:sz w:val="22"/>
          <w:szCs w:val="22"/>
        </w:rPr>
      </w:pPr>
      <w:r w:rsidRPr="00B3729A">
        <w:rPr>
          <w:sz w:val="22"/>
          <w:szCs w:val="22"/>
        </w:rPr>
        <w:t>The Bride of Christ as One</w:t>
      </w:r>
    </w:p>
    <w:p w14:paraId="11699638" w14:textId="77777777" w:rsidR="00C83982" w:rsidRPr="00B3729A" w:rsidRDefault="00C83982" w:rsidP="00340CEE">
      <w:pPr>
        <w:tabs>
          <w:tab w:val="left" w:pos="0"/>
        </w:tabs>
        <w:suppressAutoHyphens/>
        <w:ind w:left="5040" w:hanging="5040"/>
        <w:rPr>
          <w:sz w:val="22"/>
          <w:szCs w:val="22"/>
        </w:rPr>
      </w:pPr>
      <w:r w:rsidRPr="00B3729A">
        <w:rPr>
          <w:sz w:val="22"/>
          <w:szCs w:val="22"/>
        </w:rPr>
        <w:t>4610 Highway 20, #16</w:t>
      </w:r>
    </w:p>
    <w:p w14:paraId="1AB48B42" w14:textId="77777777" w:rsidR="00C83982" w:rsidRPr="00B3729A" w:rsidRDefault="00C83982" w:rsidP="00340CEE">
      <w:pPr>
        <w:tabs>
          <w:tab w:val="left" w:pos="0"/>
        </w:tabs>
        <w:suppressAutoHyphens/>
        <w:ind w:left="5040" w:hanging="5040"/>
        <w:rPr>
          <w:sz w:val="22"/>
          <w:szCs w:val="22"/>
        </w:rPr>
      </w:pPr>
      <w:r w:rsidRPr="00B3729A">
        <w:rPr>
          <w:sz w:val="22"/>
          <w:szCs w:val="22"/>
        </w:rPr>
        <w:t>Sweet Home, Oregon 97355</w:t>
      </w:r>
    </w:p>
    <w:p w14:paraId="1B4F1D33" w14:textId="77777777" w:rsidR="00C83982" w:rsidRPr="00B3729A" w:rsidRDefault="00C83982" w:rsidP="00012755">
      <w:pPr>
        <w:tabs>
          <w:tab w:val="left" w:pos="0"/>
        </w:tabs>
        <w:suppressAutoHyphens/>
        <w:ind w:left="5040" w:hanging="5040"/>
        <w:rPr>
          <w:sz w:val="22"/>
          <w:szCs w:val="22"/>
        </w:rPr>
      </w:pPr>
    </w:p>
    <w:p w14:paraId="451FE62C" w14:textId="77777777" w:rsidR="00012755" w:rsidRPr="00B3729A" w:rsidRDefault="00340CEE" w:rsidP="00012755">
      <w:pPr>
        <w:tabs>
          <w:tab w:val="left" w:pos="0"/>
        </w:tabs>
        <w:suppressAutoHyphens/>
        <w:ind w:left="5040" w:hanging="5040"/>
        <w:rPr>
          <w:sz w:val="22"/>
          <w:szCs w:val="22"/>
        </w:rPr>
      </w:pPr>
      <w:r w:rsidRPr="00B3729A">
        <w:rPr>
          <w:sz w:val="22"/>
          <w:szCs w:val="22"/>
        </w:rPr>
        <w:lastRenderedPageBreak/>
        <w:t xml:space="preserve">                                                                     </w:t>
      </w:r>
      <w:r w:rsidR="00BB5F24" w:rsidRPr="00B3729A">
        <w:rPr>
          <w:sz w:val="22"/>
          <w:szCs w:val="22"/>
        </w:rPr>
        <w:tab/>
      </w:r>
      <w:r w:rsidRPr="00B3729A">
        <w:rPr>
          <w:sz w:val="22"/>
          <w:szCs w:val="22"/>
        </w:rPr>
        <w:t xml:space="preserve"> In re:</w:t>
      </w:r>
      <w:r w:rsidR="00BB5F24" w:rsidRPr="00B3729A">
        <w:rPr>
          <w:sz w:val="22"/>
          <w:szCs w:val="22"/>
        </w:rPr>
        <w:t xml:space="preserve"> </w:t>
      </w:r>
      <w:r w:rsidR="00BB5F24" w:rsidRPr="00B3729A">
        <w:rPr>
          <w:sz w:val="22"/>
          <w:szCs w:val="22"/>
        </w:rPr>
        <w:tab/>
      </w:r>
      <w:r w:rsidR="007636D5" w:rsidRPr="00B3729A">
        <w:rPr>
          <w:sz w:val="22"/>
          <w:szCs w:val="22"/>
        </w:rPr>
        <w:t>A Home for Everyone</w:t>
      </w:r>
    </w:p>
    <w:p w14:paraId="73CE0C1C" w14:textId="77777777" w:rsidR="00340CEE" w:rsidRPr="00B3729A" w:rsidRDefault="00340CEE" w:rsidP="00DF4A68">
      <w:pPr>
        <w:tabs>
          <w:tab w:val="left" w:pos="0"/>
        </w:tabs>
        <w:suppressAutoHyphens/>
        <w:ind w:left="4320" w:hanging="4320"/>
        <w:rPr>
          <w:sz w:val="22"/>
          <w:szCs w:val="22"/>
        </w:rPr>
      </w:pPr>
      <w:r w:rsidRPr="00B3729A">
        <w:rPr>
          <w:sz w:val="22"/>
          <w:szCs w:val="22"/>
        </w:rPr>
        <w:tab/>
      </w:r>
      <w:r w:rsidR="00D916B0" w:rsidRPr="00B3729A">
        <w:rPr>
          <w:sz w:val="22"/>
          <w:szCs w:val="22"/>
        </w:rPr>
        <w:tab/>
      </w:r>
      <w:r w:rsidR="00BB5F24" w:rsidRPr="00B3729A">
        <w:rPr>
          <w:sz w:val="22"/>
          <w:szCs w:val="22"/>
        </w:rPr>
        <w:tab/>
      </w:r>
      <w:r w:rsidR="00D916B0" w:rsidRPr="00B3729A">
        <w:rPr>
          <w:sz w:val="22"/>
          <w:szCs w:val="22"/>
        </w:rPr>
        <w:t>New LPFM</w:t>
      </w:r>
      <w:r w:rsidRPr="00B3729A">
        <w:rPr>
          <w:sz w:val="22"/>
          <w:szCs w:val="22"/>
        </w:rPr>
        <w:t xml:space="preserve">, </w:t>
      </w:r>
      <w:r w:rsidR="00CC07BC" w:rsidRPr="00B3729A">
        <w:rPr>
          <w:sz w:val="22"/>
          <w:szCs w:val="22"/>
        </w:rPr>
        <w:t>Lebanon, O</w:t>
      </w:r>
      <w:r w:rsidR="00873884" w:rsidRPr="00B3729A">
        <w:rPr>
          <w:sz w:val="22"/>
          <w:szCs w:val="22"/>
        </w:rPr>
        <w:t>R</w:t>
      </w:r>
    </w:p>
    <w:p w14:paraId="42B37E1D" w14:textId="77777777" w:rsidR="00340CEE" w:rsidRPr="00B3729A" w:rsidRDefault="00340CEE" w:rsidP="00340CEE">
      <w:pPr>
        <w:tabs>
          <w:tab w:val="center" w:pos="4680"/>
        </w:tabs>
        <w:suppressAutoHyphens/>
        <w:rPr>
          <w:sz w:val="22"/>
          <w:szCs w:val="22"/>
        </w:rPr>
      </w:pPr>
      <w:r w:rsidRPr="00B3729A">
        <w:rPr>
          <w:sz w:val="22"/>
          <w:szCs w:val="22"/>
        </w:rPr>
        <w:tab/>
      </w:r>
      <w:r w:rsidRPr="00B3729A">
        <w:rPr>
          <w:sz w:val="22"/>
          <w:szCs w:val="22"/>
        </w:rPr>
        <w:tab/>
      </w:r>
      <w:r w:rsidR="00BB5F24" w:rsidRPr="00B3729A">
        <w:rPr>
          <w:sz w:val="22"/>
          <w:szCs w:val="22"/>
        </w:rPr>
        <w:tab/>
      </w:r>
      <w:r w:rsidRPr="00B3729A">
        <w:rPr>
          <w:sz w:val="22"/>
          <w:szCs w:val="22"/>
        </w:rPr>
        <w:t xml:space="preserve">Facility ID No. </w:t>
      </w:r>
      <w:r w:rsidR="007636D5" w:rsidRPr="00B3729A">
        <w:rPr>
          <w:sz w:val="22"/>
          <w:szCs w:val="22"/>
        </w:rPr>
        <w:t>195688</w:t>
      </w:r>
    </w:p>
    <w:p w14:paraId="7AFA06C2" w14:textId="77777777" w:rsidR="00340CEE" w:rsidRPr="00B3729A" w:rsidRDefault="00340CEE" w:rsidP="00340CEE">
      <w:pPr>
        <w:tabs>
          <w:tab w:val="center" w:pos="4680"/>
        </w:tabs>
        <w:suppressAutoHyphens/>
        <w:rPr>
          <w:sz w:val="22"/>
          <w:szCs w:val="22"/>
        </w:rPr>
      </w:pPr>
      <w:r w:rsidRPr="00B3729A">
        <w:rPr>
          <w:sz w:val="22"/>
          <w:szCs w:val="22"/>
        </w:rPr>
        <w:tab/>
      </w:r>
      <w:r w:rsidRPr="00B3729A">
        <w:rPr>
          <w:sz w:val="22"/>
          <w:szCs w:val="22"/>
        </w:rPr>
        <w:tab/>
      </w:r>
      <w:r w:rsidR="00BB5F24" w:rsidRPr="00B3729A">
        <w:rPr>
          <w:sz w:val="22"/>
          <w:szCs w:val="22"/>
        </w:rPr>
        <w:tab/>
      </w:r>
      <w:r w:rsidR="00EE52B4" w:rsidRPr="00B3729A">
        <w:rPr>
          <w:sz w:val="22"/>
          <w:szCs w:val="22"/>
        </w:rPr>
        <w:t xml:space="preserve">File No. </w:t>
      </w:r>
      <w:r w:rsidR="00AE2914" w:rsidRPr="00B3729A">
        <w:rPr>
          <w:sz w:val="22"/>
          <w:szCs w:val="22"/>
        </w:rPr>
        <w:t>BNPL-</w:t>
      </w:r>
      <w:r w:rsidR="00012755" w:rsidRPr="00B3729A">
        <w:rPr>
          <w:sz w:val="22"/>
          <w:szCs w:val="22"/>
        </w:rPr>
        <w:t>2013111</w:t>
      </w:r>
      <w:r w:rsidR="007636D5" w:rsidRPr="00B3729A">
        <w:rPr>
          <w:sz w:val="22"/>
          <w:szCs w:val="22"/>
        </w:rPr>
        <w:t>2CGV</w:t>
      </w:r>
    </w:p>
    <w:p w14:paraId="64E233B7"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r>
    </w:p>
    <w:p w14:paraId="54E6DB68"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Blue Stone Media Activists</w:t>
      </w:r>
    </w:p>
    <w:p w14:paraId="377BFC26"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New LPFM, Bend, O</w:t>
      </w:r>
      <w:r w:rsidR="00873884" w:rsidRPr="00B3729A">
        <w:rPr>
          <w:sz w:val="22"/>
          <w:szCs w:val="22"/>
        </w:rPr>
        <w:t>R</w:t>
      </w:r>
    </w:p>
    <w:p w14:paraId="2A850FB4"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Facility ID No. 195944</w:t>
      </w:r>
    </w:p>
    <w:p w14:paraId="4DB83452"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File No. BNPL-20131113AHP</w:t>
      </w:r>
    </w:p>
    <w:p w14:paraId="2EBC1604" w14:textId="77777777" w:rsidR="007636D5" w:rsidRPr="00B3729A" w:rsidRDefault="007636D5" w:rsidP="00340CEE">
      <w:pPr>
        <w:tabs>
          <w:tab w:val="center" w:pos="4680"/>
        </w:tabs>
        <w:suppressAutoHyphens/>
        <w:rPr>
          <w:sz w:val="22"/>
          <w:szCs w:val="22"/>
        </w:rPr>
      </w:pPr>
    </w:p>
    <w:p w14:paraId="00A56455"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Cascadia Sound Waves</w:t>
      </w:r>
    </w:p>
    <w:p w14:paraId="6406D24A"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New LPFM, Cascadia, OR</w:t>
      </w:r>
    </w:p>
    <w:p w14:paraId="74BE50AD"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Facility ID No. 195367</w:t>
      </w:r>
    </w:p>
    <w:p w14:paraId="4429E273"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t>File No. BNPL-20131112BEO</w:t>
      </w:r>
    </w:p>
    <w:p w14:paraId="15E13B4F" w14:textId="77777777" w:rsidR="007636D5" w:rsidRPr="00B3729A" w:rsidRDefault="007636D5" w:rsidP="00340CEE">
      <w:pPr>
        <w:tabs>
          <w:tab w:val="center" w:pos="4680"/>
        </w:tabs>
        <w:suppressAutoHyphens/>
        <w:rPr>
          <w:sz w:val="22"/>
          <w:szCs w:val="22"/>
        </w:rPr>
      </w:pPr>
      <w:r w:rsidRPr="00B3729A">
        <w:rPr>
          <w:sz w:val="22"/>
          <w:szCs w:val="22"/>
        </w:rPr>
        <w:tab/>
      </w:r>
      <w:r w:rsidRPr="00B3729A">
        <w:rPr>
          <w:sz w:val="22"/>
          <w:szCs w:val="22"/>
        </w:rPr>
        <w:tab/>
      </w:r>
      <w:r w:rsidRPr="00B3729A">
        <w:rPr>
          <w:sz w:val="22"/>
          <w:szCs w:val="22"/>
        </w:rPr>
        <w:tab/>
      </w:r>
    </w:p>
    <w:p w14:paraId="7CACFDE4" w14:textId="77777777" w:rsidR="007636D5" w:rsidRPr="00B3729A" w:rsidRDefault="007636D5" w:rsidP="007636D5">
      <w:pPr>
        <w:tabs>
          <w:tab w:val="center" w:pos="4680"/>
        </w:tabs>
        <w:suppressAutoHyphens/>
        <w:ind w:left="5760"/>
        <w:rPr>
          <w:sz w:val="22"/>
          <w:szCs w:val="22"/>
        </w:rPr>
      </w:pPr>
      <w:r w:rsidRPr="00B3729A">
        <w:rPr>
          <w:sz w:val="22"/>
          <w:szCs w:val="22"/>
        </w:rPr>
        <w:t>Central Oregon Spiritual Awareness Advocates</w:t>
      </w:r>
    </w:p>
    <w:p w14:paraId="13951CE0" w14:textId="77777777" w:rsidR="007636D5" w:rsidRPr="00B3729A" w:rsidRDefault="007636D5" w:rsidP="007636D5">
      <w:pPr>
        <w:tabs>
          <w:tab w:val="center" w:pos="4680"/>
        </w:tabs>
        <w:suppressAutoHyphens/>
        <w:ind w:left="5760"/>
        <w:rPr>
          <w:sz w:val="22"/>
          <w:szCs w:val="22"/>
        </w:rPr>
      </w:pPr>
      <w:r w:rsidRPr="00B3729A">
        <w:rPr>
          <w:sz w:val="22"/>
          <w:szCs w:val="22"/>
        </w:rPr>
        <w:t>New LPFM, Bend, O</w:t>
      </w:r>
      <w:r w:rsidR="00873884" w:rsidRPr="00B3729A">
        <w:rPr>
          <w:sz w:val="22"/>
          <w:szCs w:val="22"/>
        </w:rPr>
        <w:t>R</w:t>
      </w:r>
    </w:p>
    <w:p w14:paraId="5A817964" w14:textId="77777777" w:rsidR="007636D5" w:rsidRPr="00B3729A" w:rsidRDefault="007636D5" w:rsidP="007636D5">
      <w:pPr>
        <w:tabs>
          <w:tab w:val="center" w:pos="4680"/>
        </w:tabs>
        <w:suppressAutoHyphens/>
        <w:ind w:left="5760"/>
        <w:rPr>
          <w:sz w:val="22"/>
          <w:szCs w:val="22"/>
        </w:rPr>
      </w:pPr>
      <w:r w:rsidRPr="00B3729A">
        <w:rPr>
          <w:sz w:val="22"/>
          <w:szCs w:val="22"/>
        </w:rPr>
        <w:t>Facility ID No. 195728</w:t>
      </w:r>
    </w:p>
    <w:p w14:paraId="341ADE20" w14:textId="77777777" w:rsidR="007636D5" w:rsidRPr="00B3729A" w:rsidRDefault="007636D5" w:rsidP="007636D5">
      <w:pPr>
        <w:tabs>
          <w:tab w:val="center" w:pos="4680"/>
        </w:tabs>
        <w:suppressAutoHyphens/>
        <w:ind w:left="5760"/>
        <w:rPr>
          <w:sz w:val="22"/>
          <w:szCs w:val="22"/>
        </w:rPr>
      </w:pPr>
      <w:r w:rsidRPr="00B3729A">
        <w:rPr>
          <w:sz w:val="22"/>
          <w:szCs w:val="22"/>
        </w:rPr>
        <w:t>File No. BNPL-20131113AEF</w:t>
      </w:r>
    </w:p>
    <w:p w14:paraId="05C84194" w14:textId="77777777" w:rsidR="007636D5" w:rsidRPr="00B3729A" w:rsidRDefault="007636D5" w:rsidP="007636D5">
      <w:pPr>
        <w:tabs>
          <w:tab w:val="center" w:pos="4680"/>
        </w:tabs>
        <w:suppressAutoHyphens/>
        <w:ind w:left="5760"/>
        <w:rPr>
          <w:sz w:val="22"/>
          <w:szCs w:val="22"/>
        </w:rPr>
      </w:pPr>
    </w:p>
    <w:p w14:paraId="6E8876F9" w14:textId="77777777" w:rsidR="007636D5" w:rsidRPr="00B3729A" w:rsidRDefault="00B00985" w:rsidP="007636D5">
      <w:pPr>
        <w:tabs>
          <w:tab w:val="center" w:pos="4680"/>
        </w:tabs>
        <w:suppressAutoHyphens/>
        <w:ind w:left="5760"/>
        <w:rPr>
          <w:sz w:val="22"/>
          <w:szCs w:val="22"/>
        </w:rPr>
      </w:pPr>
      <w:r w:rsidRPr="00B3729A">
        <w:rPr>
          <w:sz w:val="22"/>
          <w:szCs w:val="22"/>
        </w:rPr>
        <w:t>Futurist</w:t>
      </w:r>
      <w:r w:rsidR="007636D5" w:rsidRPr="00B3729A">
        <w:rPr>
          <w:sz w:val="22"/>
          <w:szCs w:val="22"/>
        </w:rPr>
        <w:t xml:space="preserve"> Prophetic Advancement</w:t>
      </w:r>
    </w:p>
    <w:p w14:paraId="04490EBE" w14:textId="77777777" w:rsidR="007636D5" w:rsidRPr="00B3729A" w:rsidRDefault="007636D5" w:rsidP="007636D5">
      <w:pPr>
        <w:tabs>
          <w:tab w:val="center" w:pos="4680"/>
        </w:tabs>
        <w:suppressAutoHyphens/>
        <w:ind w:left="5760"/>
        <w:rPr>
          <w:sz w:val="22"/>
          <w:szCs w:val="22"/>
        </w:rPr>
      </w:pPr>
      <w:r w:rsidRPr="00B3729A">
        <w:rPr>
          <w:sz w:val="22"/>
          <w:szCs w:val="22"/>
        </w:rPr>
        <w:t xml:space="preserve">New LPFM, </w:t>
      </w:r>
      <w:r w:rsidR="006A6687" w:rsidRPr="00B3729A">
        <w:rPr>
          <w:sz w:val="22"/>
          <w:szCs w:val="22"/>
        </w:rPr>
        <w:t>Madras, O</w:t>
      </w:r>
      <w:r w:rsidR="00873884" w:rsidRPr="00B3729A">
        <w:rPr>
          <w:sz w:val="22"/>
          <w:szCs w:val="22"/>
        </w:rPr>
        <w:t>R</w:t>
      </w:r>
    </w:p>
    <w:p w14:paraId="01C7523D" w14:textId="77777777" w:rsidR="006A6687" w:rsidRPr="00B3729A" w:rsidRDefault="006A6687" w:rsidP="007636D5">
      <w:pPr>
        <w:tabs>
          <w:tab w:val="center" w:pos="4680"/>
        </w:tabs>
        <w:suppressAutoHyphens/>
        <w:ind w:left="5760"/>
        <w:rPr>
          <w:sz w:val="22"/>
          <w:szCs w:val="22"/>
        </w:rPr>
      </w:pPr>
      <w:r w:rsidRPr="00B3729A">
        <w:rPr>
          <w:sz w:val="22"/>
          <w:szCs w:val="22"/>
        </w:rPr>
        <w:t>Facility ID No. 196948</w:t>
      </w:r>
    </w:p>
    <w:p w14:paraId="56AA9F03" w14:textId="77777777" w:rsidR="006A6687" w:rsidRPr="00B3729A" w:rsidRDefault="006A6687" w:rsidP="007636D5">
      <w:pPr>
        <w:tabs>
          <w:tab w:val="center" w:pos="4680"/>
        </w:tabs>
        <w:suppressAutoHyphens/>
        <w:ind w:left="5760"/>
        <w:rPr>
          <w:sz w:val="22"/>
          <w:szCs w:val="22"/>
        </w:rPr>
      </w:pPr>
      <w:r w:rsidRPr="00B3729A">
        <w:rPr>
          <w:sz w:val="22"/>
          <w:szCs w:val="22"/>
        </w:rPr>
        <w:t>File No. BNPL-20131114ANG</w:t>
      </w:r>
    </w:p>
    <w:p w14:paraId="6AA3206A" w14:textId="77777777" w:rsidR="007636D5" w:rsidRPr="00B3729A" w:rsidRDefault="007636D5" w:rsidP="007636D5">
      <w:pPr>
        <w:tabs>
          <w:tab w:val="center" w:pos="4680"/>
        </w:tabs>
        <w:suppressAutoHyphens/>
        <w:ind w:left="5760"/>
        <w:rPr>
          <w:sz w:val="22"/>
          <w:szCs w:val="22"/>
        </w:rPr>
      </w:pPr>
    </w:p>
    <w:p w14:paraId="0F1F69B0" w14:textId="77777777" w:rsidR="007636D5" w:rsidRPr="00B3729A" w:rsidRDefault="007636D5" w:rsidP="007636D5">
      <w:pPr>
        <w:tabs>
          <w:tab w:val="center" w:pos="4680"/>
        </w:tabs>
        <w:suppressAutoHyphens/>
        <w:ind w:left="5760"/>
        <w:rPr>
          <w:sz w:val="22"/>
          <w:szCs w:val="22"/>
        </w:rPr>
      </w:pPr>
      <w:r w:rsidRPr="00B3729A">
        <w:rPr>
          <w:sz w:val="22"/>
          <w:szCs w:val="22"/>
        </w:rPr>
        <w:t>Health Freedom For All</w:t>
      </w:r>
    </w:p>
    <w:p w14:paraId="43263CFC" w14:textId="77777777" w:rsidR="007636D5" w:rsidRPr="00B3729A" w:rsidRDefault="006A6687" w:rsidP="007636D5">
      <w:pPr>
        <w:tabs>
          <w:tab w:val="center" w:pos="4680"/>
        </w:tabs>
        <w:suppressAutoHyphens/>
        <w:ind w:left="5760"/>
        <w:rPr>
          <w:sz w:val="22"/>
          <w:szCs w:val="22"/>
        </w:rPr>
      </w:pPr>
      <w:r w:rsidRPr="00B3729A">
        <w:rPr>
          <w:sz w:val="22"/>
          <w:szCs w:val="22"/>
        </w:rPr>
        <w:t>New LPFM, Sweet Home, O</w:t>
      </w:r>
      <w:r w:rsidR="00873884" w:rsidRPr="00B3729A">
        <w:rPr>
          <w:sz w:val="22"/>
          <w:szCs w:val="22"/>
        </w:rPr>
        <w:t>R</w:t>
      </w:r>
    </w:p>
    <w:p w14:paraId="2CFE644B" w14:textId="77777777" w:rsidR="006A6687" w:rsidRPr="00B3729A" w:rsidRDefault="006A6687" w:rsidP="006A6687">
      <w:pPr>
        <w:tabs>
          <w:tab w:val="center" w:pos="4680"/>
        </w:tabs>
        <w:suppressAutoHyphens/>
        <w:ind w:left="5760"/>
        <w:rPr>
          <w:sz w:val="22"/>
          <w:szCs w:val="22"/>
        </w:rPr>
      </w:pPr>
      <w:r w:rsidRPr="00B3729A">
        <w:rPr>
          <w:sz w:val="22"/>
          <w:szCs w:val="22"/>
        </w:rPr>
        <w:t>Facility ID No. 195664</w:t>
      </w:r>
    </w:p>
    <w:p w14:paraId="365A556F" w14:textId="77777777" w:rsidR="006A6687" w:rsidRPr="00B3729A" w:rsidRDefault="006A6687" w:rsidP="006A6687">
      <w:pPr>
        <w:tabs>
          <w:tab w:val="center" w:pos="4680"/>
        </w:tabs>
        <w:suppressAutoHyphens/>
        <w:ind w:left="5760"/>
        <w:rPr>
          <w:sz w:val="22"/>
          <w:szCs w:val="22"/>
        </w:rPr>
      </w:pPr>
      <w:r w:rsidRPr="00B3729A">
        <w:rPr>
          <w:sz w:val="22"/>
          <w:szCs w:val="22"/>
        </w:rPr>
        <w:t>File No. BNPL-20131112CGR</w:t>
      </w:r>
    </w:p>
    <w:p w14:paraId="428C420A" w14:textId="77777777" w:rsidR="007636D5" w:rsidRPr="00B3729A" w:rsidRDefault="007636D5" w:rsidP="007636D5">
      <w:pPr>
        <w:tabs>
          <w:tab w:val="center" w:pos="4680"/>
        </w:tabs>
        <w:suppressAutoHyphens/>
        <w:ind w:left="5760"/>
        <w:rPr>
          <w:sz w:val="22"/>
          <w:szCs w:val="22"/>
        </w:rPr>
      </w:pPr>
    </w:p>
    <w:p w14:paraId="19CE54C0" w14:textId="77777777" w:rsidR="007636D5" w:rsidRPr="00B3729A" w:rsidRDefault="007636D5" w:rsidP="007636D5">
      <w:pPr>
        <w:tabs>
          <w:tab w:val="center" w:pos="4680"/>
        </w:tabs>
        <w:suppressAutoHyphens/>
        <w:ind w:left="5760"/>
        <w:rPr>
          <w:sz w:val="22"/>
          <w:szCs w:val="22"/>
        </w:rPr>
      </w:pPr>
      <w:r w:rsidRPr="00B3729A">
        <w:rPr>
          <w:sz w:val="22"/>
          <w:szCs w:val="22"/>
        </w:rPr>
        <w:t>Second Chance Ministry</w:t>
      </w:r>
    </w:p>
    <w:p w14:paraId="1B95F86F" w14:textId="77777777" w:rsidR="007636D5" w:rsidRPr="00B3729A" w:rsidRDefault="006A6687" w:rsidP="007636D5">
      <w:pPr>
        <w:tabs>
          <w:tab w:val="center" w:pos="4680"/>
        </w:tabs>
        <w:suppressAutoHyphens/>
        <w:ind w:left="5760"/>
        <w:rPr>
          <w:sz w:val="22"/>
          <w:szCs w:val="22"/>
        </w:rPr>
      </w:pPr>
      <w:r w:rsidRPr="00B3729A">
        <w:rPr>
          <w:sz w:val="22"/>
          <w:szCs w:val="22"/>
        </w:rPr>
        <w:t>New LPFM, Brownsville, O</w:t>
      </w:r>
      <w:r w:rsidR="00873884" w:rsidRPr="00B3729A">
        <w:rPr>
          <w:sz w:val="22"/>
          <w:szCs w:val="22"/>
        </w:rPr>
        <w:t>R</w:t>
      </w:r>
    </w:p>
    <w:p w14:paraId="63687404" w14:textId="77777777" w:rsidR="006A6687" w:rsidRPr="00B3729A" w:rsidRDefault="006A6687" w:rsidP="007636D5">
      <w:pPr>
        <w:tabs>
          <w:tab w:val="center" w:pos="4680"/>
        </w:tabs>
        <w:suppressAutoHyphens/>
        <w:ind w:left="5760"/>
        <w:rPr>
          <w:sz w:val="22"/>
          <w:szCs w:val="22"/>
        </w:rPr>
      </w:pPr>
      <w:r w:rsidRPr="00B3729A">
        <w:rPr>
          <w:sz w:val="22"/>
          <w:szCs w:val="22"/>
        </w:rPr>
        <w:t>Facility ID No. 195752</w:t>
      </w:r>
    </w:p>
    <w:p w14:paraId="3937B869" w14:textId="77777777" w:rsidR="006A6687" w:rsidRPr="00B3729A" w:rsidRDefault="006A6687" w:rsidP="007636D5">
      <w:pPr>
        <w:tabs>
          <w:tab w:val="center" w:pos="4680"/>
        </w:tabs>
        <w:suppressAutoHyphens/>
        <w:ind w:left="5760"/>
        <w:rPr>
          <w:sz w:val="22"/>
          <w:szCs w:val="22"/>
        </w:rPr>
      </w:pPr>
      <w:r w:rsidRPr="00B3729A">
        <w:rPr>
          <w:sz w:val="22"/>
          <w:szCs w:val="22"/>
        </w:rPr>
        <w:t>File No. BNPL-20131112CGT</w:t>
      </w:r>
    </w:p>
    <w:p w14:paraId="29AA70C2" w14:textId="77777777" w:rsidR="007636D5" w:rsidRPr="00B3729A" w:rsidRDefault="007636D5" w:rsidP="007636D5">
      <w:pPr>
        <w:tabs>
          <w:tab w:val="center" w:pos="4680"/>
        </w:tabs>
        <w:suppressAutoHyphens/>
        <w:ind w:left="5760"/>
        <w:rPr>
          <w:sz w:val="22"/>
          <w:szCs w:val="22"/>
        </w:rPr>
      </w:pPr>
    </w:p>
    <w:p w14:paraId="0AB48970" w14:textId="77777777" w:rsidR="007636D5" w:rsidRPr="00B3729A" w:rsidRDefault="007636D5" w:rsidP="007636D5">
      <w:pPr>
        <w:tabs>
          <w:tab w:val="center" w:pos="4680"/>
        </w:tabs>
        <w:suppressAutoHyphens/>
        <w:ind w:left="5760"/>
        <w:rPr>
          <w:sz w:val="22"/>
          <w:szCs w:val="22"/>
        </w:rPr>
      </w:pPr>
      <w:r w:rsidRPr="00B3729A">
        <w:rPr>
          <w:sz w:val="22"/>
          <w:szCs w:val="22"/>
        </w:rPr>
        <w:t>Sweet Home All for One and One for All</w:t>
      </w:r>
    </w:p>
    <w:p w14:paraId="4B0941B0" w14:textId="77777777" w:rsidR="007636D5" w:rsidRPr="00B3729A" w:rsidRDefault="006A6687" w:rsidP="007636D5">
      <w:pPr>
        <w:tabs>
          <w:tab w:val="center" w:pos="4680"/>
        </w:tabs>
        <w:suppressAutoHyphens/>
        <w:ind w:left="5760"/>
        <w:rPr>
          <w:sz w:val="22"/>
          <w:szCs w:val="22"/>
        </w:rPr>
      </w:pPr>
      <w:r w:rsidRPr="00B3729A">
        <w:rPr>
          <w:sz w:val="22"/>
          <w:szCs w:val="22"/>
        </w:rPr>
        <w:t>New LPFM, Sweet Home, O</w:t>
      </w:r>
      <w:r w:rsidR="00873884" w:rsidRPr="00B3729A">
        <w:rPr>
          <w:sz w:val="22"/>
          <w:szCs w:val="22"/>
        </w:rPr>
        <w:t>R</w:t>
      </w:r>
    </w:p>
    <w:p w14:paraId="3D29D906" w14:textId="77777777" w:rsidR="006A6687" w:rsidRPr="00B3729A" w:rsidRDefault="006A6687" w:rsidP="007636D5">
      <w:pPr>
        <w:tabs>
          <w:tab w:val="center" w:pos="4680"/>
        </w:tabs>
        <w:suppressAutoHyphens/>
        <w:ind w:left="5760"/>
        <w:rPr>
          <w:sz w:val="22"/>
          <w:szCs w:val="22"/>
        </w:rPr>
      </w:pPr>
      <w:r w:rsidRPr="00B3729A">
        <w:rPr>
          <w:sz w:val="22"/>
          <w:szCs w:val="22"/>
        </w:rPr>
        <w:t>Facility ID No.</w:t>
      </w:r>
      <w:r w:rsidR="00BC33BF" w:rsidRPr="00B3729A">
        <w:rPr>
          <w:sz w:val="22"/>
          <w:szCs w:val="22"/>
        </w:rPr>
        <w:t xml:space="preserve"> 195614</w:t>
      </w:r>
    </w:p>
    <w:p w14:paraId="09779E17" w14:textId="77777777" w:rsidR="006A6687" w:rsidRPr="00B3729A" w:rsidRDefault="006A6687" w:rsidP="006A6687">
      <w:pPr>
        <w:tabs>
          <w:tab w:val="center" w:pos="4680"/>
        </w:tabs>
        <w:suppressAutoHyphens/>
        <w:ind w:left="6480" w:hanging="720"/>
        <w:rPr>
          <w:sz w:val="22"/>
          <w:szCs w:val="22"/>
        </w:rPr>
      </w:pPr>
      <w:r w:rsidRPr="00B3729A">
        <w:rPr>
          <w:sz w:val="22"/>
          <w:szCs w:val="22"/>
        </w:rPr>
        <w:t>File No. BNPL-20131112CGN</w:t>
      </w:r>
    </w:p>
    <w:p w14:paraId="4CF882D7" w14:textId="77777777" w:rsidR="007636D5" w:rsidRPr="00B3729A" w:rsidRDefault="007636D5" w:rsidP="007636D5">
      <w:pPr>
        <w:tabs>
          <w:tab w:val="center" w:pos="4680"/>
        </w:tabs>
        <w:suppressAutoHyphens/>
        <w:ind w:left="5760"/>
        <w:rPr>
          <w:sz w:val="22"/>
          <w:szCs w:val="22"/>
        </w:rPr>
      </w:pPr>
    </w:p>
    <w:p w14:paraId="74C04B91" w14:textId="77777777" w:rsidR="007636D5" w:rsidRPr="00B3729A" w:rsidRDefault="007636D5" w:rsidP="007636D5">
      <w:pPr>
        <w:tabs>
          <w:tab w:val="center" w:pos="4680"/>
        </w:tabs>
        <w:suppressAutoHyphens/>
        <w:ind w:left="5760"/>
        <w:rPr>
          <w:sz w:val="22"/>
          <w:szCs w:val="22"/>
        </w:rPr>
      </w:pPr>
      <w:r w:rsidRPr="00B3729A">
        <w:rPr>
          <w:sz w:val="22"/>
          <w:szCs w:val="22"/>
        </w:rPr>
        <w:t>The Bride of Christ As One</w:t>
      </w:r>
    </w:p>
    <w:p w14:paraId="101FF53C" w14:textId="77777777" w:rsidR="00BB5F24" w:rsidRPr="00B3729A" w:rsidRDefault="006A6687" w:rsidP="006A6687">
      <w:pPr>
        <w:ind w:left="5760"/>
        <w:rPr>
          <w:sz w:val="22"/>
          <w:szCs w:val="22"/>
        </w:rPr>
      </w:pPr>
      <w:r w:rsidRPr="00B3729A">
        <w:rPr>
          <w:sz w:val="22"/>
          <w:szCs w:val="22"/>
        </w:rPr>
        <w:t>New LPFM, Sweet Home, O</w:t>
      </w:r>
      <w:r w:rsidR="00873884" w:rsidRPr="00B3729A">
        <w:rPr>
          <w:sz w:val="22"/>
          <w:szCs w:val="22"/>
        </w:rPr>
        <w:t>R</w:t>
      </w:r>
    </w:p>
    <w:p w14:paraId="350FC681" w14:textId="77777777" w:rsidR="006A6687" w:rsidRPr="00B3729A" w:rsidRDefault="006A6687" w:rsidP="006A6687">
      <w:pPr>
        <w:ind w:left="5760"/>
        <w:rPr>
          <w:sz w:val="22"/>
          <w:szCs w:val="22"/>
        </w:rPr>
      </w:pPr>
      <w:r w:rsidRPr="00B3729A">
        <w:rPr>
          <w:sz w:val="22"/>
          <w:szCs w:val="22"/>
        </w:rPr>
        <w:t>Facility ID No.</w:t>
      </w:r>
      <w:r w:rsidR="00BC33BF" w:rsidRPr="00B3729A">
        <w:rPr>
          <w:sz w:val="22"/>
          <w:szCs w:val="22"/>
        </w:rPr>
        <w:t xml:space="preserve"> 195628</w:t>
      </w:r>
    </w:p>
    <w:p w14:paraId="393F162F" w14:textId="77777777" w:rsidR="006A6687" w:rsidRPr="00B3729A" w:rsidRDefault="006A6687" w:rsidP="006A6687">
      <w:pPr>
        <w:ind w:left="5760"/>
        <w:rPr>
          <w:sz w:val="22"/>
          <w:szCs w:val="22"/>
        </w:rPr>
      </w:pPr>
      <w:r w:rsidRPr="00B3729A">
        <w:rPr>
          <w:sz w:val="22"/>
          <w:szCs w:val="22"/>
        </w:rPr>
        <w:t>File No.</w:t>
      </w:r>
      <w:r w:rsidR="00BC33BF" w:rsidRPr="00B3729A">
        <w:rPr>
          <w:sz w:val="22"/>
          <w:szCs w:val="22"/>
        </w:rPr>
        <w:t xml:space="preserve"> BNPL-20131112CGP</w:t>
      </w:r>
    </w:p>
    <w:p w14:paraId="4442E250" w14:textId="77777777" w:rsidR="00873884" w:rsidRPr="00B3729A" w:rsidRDefault="009F3786" w:rsidP="009F3786">
      <w:pPr>
        <w:rPr>
          <w:sz w:val="22"/>
          <w:szCs w:val="22"/>
        </w:rPr>
      </w:pPr>
      <w:r w:rsidRPr="00B3729A">
        <w:rPr>
          <w:sz w:val="22"/>
          <w:szCs w:val="22"/>
        </w:rPr>
        <w:tab/>
      </w:r>
      <w:r w:rsidRPr="00B3729A">
        <w:rPr>
          <w:sz w:val="22"/>
          <w:szCs w:val="22"/>
        </w:rPr>
        <w:tab/>
      </w:r>
      <w:r w:rsidRPr="00B3729A">
        <w:rPr>
          <w:sz w:val="22"/>
          <w:szCs w:val="22"/>
        </w:rPr>
        <w:tab/>
      </w:r>
      <w:r w:rsidRPr="00B3729A">
        <w:rPr>
          <w:sz w:val="22"/>
          <w:szCs w:val="22"/>
        </w:rPr>
        <w:tab/>
      </w:r>
      <w:r w:rsidRPr="00B3729A">
        <w:rPr>
          <w:sz w:val="22"/>
          <w:szCs w:val="22"/>
        </w:rPr>
        <w:tab/>
      </w:r>
      <w:r w:rsidR="00340CEE" w:rsidRPr="00B3729A">
        <w:rPr>
          <w:sz w:val="22"/>
          <w:szCs w:val="22"/>
        </w:rPr>
        <w:tab/>
      </w:r>
      <w:r w:rsidR="00BB5F24" w:rsidRPr="00B3729A">
        <w:rPr>
          <w:sz w:val="22"/>
          <w:szCs w:val="22"/>
        </w:rPr>
        <w:tab/>
      </w:r>
      <w:r w:rsidR="00BB5F24" w:rsidRPr="00B3729A">
        <w:rPr>
          <w:sz w:val="22"/>
          <w:szCs w:val="22"/>
        </w:rPr>
        <w:tab/>
      </w:r>
    </w:p>
    <w:p w14:paraId="54F0FDB7" w14:textId="77777777" w:rsidR="009F3786" w:rsidRPr="00B3729A" w:rsidRDefault="00FF2593" w:rsidP="00873884">
      <w:pPr>
        <w:ind w:left="5040" w:firstLine="720"/>
        <w:rPr>
          <w:b/>
          <w:sz w:val="22"/>
          <w:szCs w:val="22"/>
        </w:rPr>
      </w:pPr>
      <w:r w:rsidRPr="00B3729A">
        <w:rPr>
          <w:b/>
          <w:sz w:val="22"/>
          <w:szCs w:val="22"/>
        </w:rPr>
        <w:t>Petition</w:t>
      </w:r>
      <w:r w:rsidR="007636D5" w:rsidRPr="00B3729A">
        <w:rPr>
          <w:b/>
          <w:sz w:val="22"/>
          <w:szCs w:val="22"/>
        </w:rPr>
        <w:t>s</w:t>
      </w:r>
      <w:r w:rsidR="002678E6" w:rsidRPr="00B3729A">
        <w:rPr>
          <w:b/>
          <w:sz w:val="22"/>
          <w:szCs w:val="22"/>
        </w:rPr>
        <w:t xml:space="preserve"> for Reconsideration</w:t>
      </w:r>
    </w:p>
    <w:p w14:paraId="3C42297A" w14:textId="77777777" w:rsidR="00FA3924" w:rsidRPr="00B3729A" w:rsidRDefault="00FA3924" w:rsidP="009F3786">
      <w:pPr>
        <w:rPr>
          <w:b/>
          <w:sz w:val="22"/>
          <w:szCs w:val="22"/>
        </w:rPr>
      </w:pPr>
    </w:p>
    <w:p w14:paraId="513DF88C" w14:textId="77777777" w:rsidR="00873884" w:rsidRPr="00B3729A" w:rsidRDefault="00873884" w:rsidP="009F3786">
      <w:pPr>
        <w:rPr>
          <w:sz w:val="22"/>
          <w:szCs w:val="22"/>
        </w:rPr>
      </w:pPr>
    </w:p>
    <w:p w14:paraId="5174FAC9" w14:textId="77777777" w:rsidR="00873884" w:rsidRPr="00B3729A" w:rsidRDefault="00873884" w:rsidP="009F3786">
      <w:pPr>
        <w:rPr>
          <w:sz w:val="22"/>
          <w:szCs w:val="22"/>
        </w:rPr>
      </w:pPr>
    </w:p>
    <w:p w14:paraId="0FC5C864" w14:textId="77777777" w:rsidR="009F3786" w:rsidRPr="00B3729A" w:rsidRDefault="009F3786" w:rsidP="009F3786">
      <w:pPr>
        <w:rPr>
          <w:sz w:val="22"/>
          <w:szCs w:val="22"/>
        </w:rPr>
      </w:pPr>
      <w:r w:rsidRPr="00B3729A">
        <w:rPr>
          <w:sz w:val="22"/>
          <w:szCs w:val="22"/>
        </w:rPr>
        <w:lastRenderedPageBreak/>
        <w:t xml:space="preserve">Dear </w:t>
      </w:r>
      <w:r w:rsidR="0058635A" w:rsidRPr="00B3729A">
        <w:rPr>
          <w:sz w:val="22"/>
          <w:szCs w:val="22"/>
        </w:rPr>
        <w:t>Applicants</w:t>
      </w:r>
      <w:r w:rsidR="002678E6" w:rsidRPr="00B3729A">
        <w:rPr>
          <w:sz w:val="22"/>
          <w:szCs w:val="22"/>
        </w:rPr>
        <w:t>:</w:t>
      </w:r>
    </w:p>
    <w:p w14:paraId="31A54FDD" w14:textId="77777777" w:rsidR="009F3786" w:rsidRPr="00B3729A" w:rsidRDefault="009F3786" w:rsidP="009F3786">
      <w:pPr>
        <w:rPr>
          <w:sz w:val="22"/>
          <w:szCs w:val="22"/>
        </w:rPr>
      </w:pPr>
    </w:p>
    <w:p w14:paraId="2DF59938" w14:textId="09A464CC" w:rsidR="00A715CB" w:rsidRPr="00B3729A" w:rsidRDefault="00A715CB" w:rsidP="009F3786">
      <w:pPr>
        <w:rPr>
          <w:sz w:val="22"/>
          <w:szCs w:val="22"/>
        </w:rPr>
      </w:pPr>
      <w:r w:rsidRPr="00B3729A">
        <w:rPr>
          <w:sz w:val="22"/>
          <w:szCs w:val="22"/>
        </w:rPr>
        <w:tab/>
        <w:t>We have before us nine Petitions for Reconsid</w:t>
      </w:r>
      <w:r w:rsidR="0091438C" w:rsidRPr="00B3729A">
        <w:rPr>
          <w:sz w:val="22"/>
          <w:szCs w:val="22"/>
        </w:rPr>
        <w:t>er</w:t>
      </w:r>
      <w:r w:rsidR="00896723">
        <w:rPr>
          <w:sz w:val="22"/>
          <w:szCs w:val="22"/>
        </w:rPr>
        <w:t>ation filed on March 30, 2015 (</w:t>
      </w:r>
      <w:r w:rsidRPr="00B3729A">
        <w:rPr>
          <w:sz w:val="22"/>
          <w:szCs w:val="22"/>
        </w:rPr>
        <w:t>Petitions) by A Home for Everyone</w:t>
      </w:r>
      <w:r w:rsidR="00896723">
        <w:rPr>
          <w:sz w:val="22"/>
          <w:szCs w:val="22"/>
        </w:rPr>
        <w:t xml:space="preserve"> (Home</w:t>
      </w:r>
      <w:r w:rsidR="00007395" w:rsidRPr="00B3729A">
        <w:rPr>
          <w:sz w:val="22"/>
          <w:szCs w:val="22"/>
        </w:rPr>
        <w:t>)</w:t>
      </w:r>
      <w:r w:rsidRPr="00B3729A">
        <w:rPr>
          <w:sz w:val="22"/>
          <w:szCs w:val="22"/>
        </w:rPr>
        <w:t>, Blue Stone Media Activists</w:t>
      </w:r>
      <w:r w:rsidR="00896723">
        <w:rPr>
          <w:sz w:val="22"/>
          <w:szCs w:val="22"/>
        </w:rPr>
        <w:t xml:space="preserve"> (</w:t>
      </w:r>
      <w:r w:rsidR="00007395" w:rsidRPr="00B3729A">
        <w:rPr>
          <w:sz w:val="22"/>
          <w:szCs w:val="22"/>
        </w:rPr>
        <w:t>Blue Stone)</w:t>
      </w:r>
      <w:r w:rsidRPr="00B3729A">
        <w:rPr>
          <w:sz w:val="22"/>
          <w:szCs w:val="22"/>
        </w:rPr>
        <w:t>, Cascadia Sound Waves</w:t>
      </w:r>
      <w:r w:rsidR="00896723">
        <w:rPr>
          <w:sz w:val="22"/>
          <w:szCs w:val="22"/>
        </w:rPr>
        <w:t xml:space="preserve"> (Cascadia</w:t>
      </w:r>
      <w:r w:rsidR="00007395" w:rsidRPr="00B3729A">
        <w:rPr>
          <w:sz w:val="22"/>
          <w:szCs w:val="22"/>
        </w:rPr>
        <w:t>)</w:t>
      </w:r>
      <w:r w:rsidRPr="00B3729A">
        <w:rPr>
          <w:sz w:val="22"/>
          <w:szCs w:val="22"/>
        </w:rPr>
        <w:t>, Central Oregon Spiritual</w:t>
      </w:r>
      <w:r w:rsidR="00B00985" w:rsidRPr="00B3729A">
        <w:rPr>
          <w:sz w:val="22"/>
          <w:szCs w:val="22"/>
        </w:rPr>
        <w:t xml:space="preserve"> Awareness Advocates</w:t>
      </w:r>
      <w:r w:rsidR="00896723">
        <w:rPr>
          <w:sz w:val="22"/>
          <w:szCs w:val="22"/>
        </w:rPr>
        <w:t xml:space="preserve"> (Central Oregon</w:t>
      </w:r>
      <w:r w:rsidR="00007395" w:rsidRPr="00B3729A">
        <w:rPr>
          <w:sz w:val="22"/>
          <w:szCs w:val="22"/>
        </w:rPr>
        <w:t>)</w:t>
      </w:r>
      <w:r w:rsidR="00B00985" w:rsidRPr="00B3729A">
        <w:rPr>
          <w:sz w:val="22"/>
          <w:szCs w:val="22"/>
        </w:rPr>
        <w:t>, Futurist</w:t>
      </w:r>
      <w:r w:rsidRPr="00B3729A">
        <w:rPr>
          <w:sz w:val="22"/>
          <w:szCs w:val="22"/>
        </w:rPr>
        <w:t xml:space="preserve"> Prophetic Advancement</w:t>
      </w:r>
      <w:r w:rsidR="00896723">
        <w:rPr>
          <w:sz w:val="22"/>
          <w:szCs w:val="22"/>
        </w:rPr>
        <w:t xml:space="preserve"> (Futurist</w:t>
      </w:r>
      <w:r w:rsidR="00007395" w:rsidRPr="00B3729A">
        <w:rPr>
          <w:sz w:val="22"/>
          <w:szCs w:val="22"/>
        </w:rPr>
        <w:t>)</w:t>
      </w:r>
      <w:r w:rsidRPr="00B3729A">
        <w:rPr>
          <w:sz w:val="22"/>
          <w:szCs w:val="22"/>
        </w:rPr>
        <w:t>, Health Freedom For All</w:t>
      </w:r>
      <w:r w:rsidR="00896723">
        <w:rPr>
          <w:sz w:val="22"/>
          <w:szCs w:val="22"/>
        </w:rPr>
        <w:t xml:space="preserve"> (</w:t>
      </w:r>
      <w:r w:rsidR="00795509" w:rsidRPr="00B3729A">
        <w:rPr>
          <w:sz w:val="22"/>
          <w:szCs w:val="22"/>
        </w:rPr>
        <w:t>Health)</w:t>
      </w:r>
      <w:r w:rsidRPr="00B3729A">
        <w:rPr>
          <w:sz w:val="22"/>
          <w:szCs w:val="22"/>
        </w:rPr>
        <w:t>, Second Chance Ministry</w:t>
      </w:r>
      <w:r w:rsidR="00896723">
        <w:rPr>
          <w:sz w:val="22"/>
          <w:szCs w:val="22"/>
        </w:rPr>
        <w:t xml:space="preserve"> (</w:t>
      </w:r>
      <w:r w:rsidR="00795509" w:rsidRPr="00B3729A">
        <w:rPr>
          <w:sz w:val="22"/>
          <w:szCs w:val="22"/>
        </w:rPr>
        <w:t>Second Chan</w:t>
      </w:r>
      <w:r w:rsidR="00683BED" w:rsidRPr="00B3729A">
        <w:rPr>
          <w:sz w:val="22"/>
          <w:szCs w:val="22"/>
        </w:rPr>
        <w:t>c</w:t>
      </w:r>
      <w:r w:rsidR="00896723">
        <w:rPr>
          <w:sz w:val="22"/>
          <w:szCs w:val="22"/>
        </w:rPr>
        <w:t>e)</w:t>
      </w:r>
      <w:r w:rsidRPr="00B3729A">
        <w:rPr>
          <w:sz w:val="22"/>
          <w:szCs w:val="22"/>
        </w:rPr>
        <w:t>, Sweet Home All f</w:t>
      </w:r>
      <w:r w:rsidR="00365007" w:rsidRPr="00B3729A">
        <w:rPr>
          <w:sz w:val="22"/>
          <w:szCs w:val="22"/>
        </w:rPr>
        <w:t>or One and One for All</w:t>
      </w:r>
      <w:r w:rsidR="00896723">
        <w:rPr>
          <w:sz w:val="22"/>
          <w:szCs w:val="22"/>
        </w:rPr>
        <w:t xml:space="preserve"> (</w:t>
      </w:r>
      <w:r w:rsidR="00795509" w:rsidRPr="00B3729A">
        <w:rPr>
          <w:sz w:val="22"/>
          <w:szCs w:val="22"/>
        </w:rPr>
        <w:t>Sweet Home)</w:t>
      </w:r>
      <w:r w:rsidR="00365007" w:rsidRPr="00B3729A">
        <w:rPr>
          <w:sz w:val="22"/>
          <w:szCs w:val="22"/>
        </w:rPr>
        <w:t xml:space="preserve">, and The </w:t>
      </w:r>
      <w:r w:rsidRPr="00B3729A">
        <w:rPr>
          <w:sz w:val="22"/>
          <w:szCs w:val="22"/>
        </w:rPr>
        <w:t>Bride of Christ As One</w:t>
      </w:r>
      <w:r w:rsidR="00896723">
        <w:rPr>
          <w:sz w:val="22"/>
          <w:szCs w:val="22"/>
        </w:rPr>
        <w:t xml:space="preserve"> (Bride</w:t>
      </w:r>
      <w:r w:rsidR="00795509" w:rsidRPr="00B3729A">
        <w:rPr>
          <w:sz w:val="22"/>
          <w:szCs w:val="22"/>
        </w:rPr>
        <w:t>)</w:t>
      </w:r>
      <w:r w:rsidR="00B979BD" w:rsidRPr="00B3729A">
        <w:rPr>
          <w:sz w:val="22"/>
          <w:szCs w:val="22"/>
        </w:rPr>
        <w:t xml:space="preserve"> </w:t>
      </w:r>
      <w:r w:rsidRPr="00B3729A">
        <w:rPr>
          <w:sz w:val="22"/>
          <w:szCs w:val="22"/>
        </w:rPr>
        <w:t>(coll</w:t>
      </w:r>
      <w:r w:rsidR="000A6B73" w:rsidRPr="00B3729A">
        <w:rPr>
          <w:sz w:val="22"/>
          <w:szCs w:val="22"/>
        </w:rPr>
        <w:t>ec</w:t>
      </w:r>
      <w:r w:rsidR="00896723">
        <w:rPr>
          <w:sz w:val="22"/>
          <w:szCs w:val="22"/>
        </w:rPr>
        <w:t xml:space="preserve">tively, </w:t>
      </w:r>
      <w:r w:rsidR="00010D05" w:rsidRPr="00B3729A">
        <w:rPr>
          <w:sz w:val="22"/>
          <w:szCs w:val="22"/>
        </w:rPr>
        <w:t xml:space="preserve">Lund </w:t>
      </w:r>
      <w:r w:rsidR="001434C9" w:rsidRPr="00B3729A">
        <w:rPr>
          <w:sz w:val="22"/>
          <w:szCs w:val="22"/>
        </w:rPr>
        <w:t>Corporations</w:t>
      </w:r>
      <w:r w:rsidRPr="00B3729A">
        <w:rPr>
          <w:sz w:val="22"/>
          <w:szCs w:val="22"/>
        </w:rPr>
        <w:t>), seeking reconsiderati</w:t>
      </w:r>
      <w:r w:rsidR="00896723">
        <w:rPr>
          <w:sz w:val="22"/>
          <w:szCs w:val="22"/>
        </w:rPr>
        <w:t>on of the Media Bureau (Bureau</w:t>
      </w:r>
      <w:r w:rsidRPr="00B3729A">
        <w:rPr>
          <w:sz w:val="22"/>
          <w:szCs w:val="22"/>
        </w:rPr>
        <w:t>) dismissal</w:t>
      </w:r>
      <w:r w:rsidR="000A6B73" w:rsidRPr="00EF3A19">
        <w:rPr>
          <w:rStyle w:val="FootnoteReference"/>
          <w:rFonts w:ascii="Times New Roman" w:hAnsi="Times New Roman"/>
          <w:sz w:val="22"/>
        </w:rPr>
        <w:footnoteReference w:id="2"/>
      </w:r>
      <w:r w:rsidRPr="00B3729A">
        <w:rPr>
          <w:sz w:val="22"/>
          <w:szCs w:val="22"/>
        </w:rPr>
        <w:t xml:space="preserve"> of their applications for co</w:t>
      </w:r>
      <w:r w:rsidR="00082B77" w:rsidRPr="00B3729A">
        <w:rPr>
          <w:sz w:val="22"/>
          <w:szCs w:val="22"/>
        </w:rPr>
        <w:t xml:space="preserve">nstruction permits for new LPFM </w:t>
      </w:r>
      <w:r w:rsidR="00896723">
        <w:rPr>
          <w:sz w:val="22"/>
          <w:szCs w:val="22"/>
        </w:rPr>
        <w:t>stations in Oregon (</w:t>
      </w:r>
      <w:r w:rsidRPr="00B3729A">
        <w:rPr>
          <w:sz w:val="22"/>
          <w:szCs w:val="22"/>
        </w:rPr>
        <w:t>Applications).</w:t>
      </w:r>
      <w:r w:rsidR="00683BED" w:rsidRPr="00EF3A19">
        <w:rPr>
          <w:rStyle w:val="FootnoteReference"/>
          <w:rFonts w:ascii="Times New Roman" w:hAnsi="Times New Roman"/>
          <w:sz w:val="22"/>
        </w:rPr>
        <w:footnoteReference w:id="3"/>
      </w:r>
      <w:r w:rsidRPr="00B3729A">
        <w:rPr>
          <w:sz w:val="22"/>
          <w:szCs w:val="22"/>
        </w:rPr>
        <w:t xml:space="preserve"> </w:t>
      </w:r>
      <w:r w:rsidR="00B979BD" w:rsidRPr="00B3729A">
        <w:rPr>
          <w:sz w:val="22"/>
          <w:szCs w:val="22"/>
        </w:rPr>
        <w:t xml:space="preserve"> </w:t>
      </w:r>
      <w:r w:rsidRPr="00B3729A">
        <w:rPr>
          <w:sz w:val="22"/>
          <w:szCs w:val="22"/>
        </w:rPr>
        <w:t xml:space="preserve">For the reasons set forth below, </w:t>
      </w:r>
      <w:r w:rsidR="00AD2EA2" w:rsidRPr="00B3729A">
        <w:rPr>
          <w:sz w:val="22"/>
          <w:szCs w:val="22"/>
        </w:rPr>
        <w:t>we</w:t>
      </w:r>
      <w:r w:rsidR="00095705" w:rsidRPr="00B3729A">
        <w:rPr>
          <w:sz w:val="22"/>
          <w:szCs w:val="22"/>
        </w:rPr>
        <w:t xml:space="preserve"> grant the Petitions in part and deny them in all other respects</w:t>
      </w:r>
      <w:r w:rsidR="00AD2EA2" w:rsidRPr="00B3729A">
        <w:rPr>
          <w:sz w:val="22"/>
          <w:szCs w:val="22"/>
        </w:rPr>
        <w:t>.</w:t>
      </w:r>
    </w:p>
    <w:p w14:paraId="4203BB35" w14:textId="77777777" w:rsidR="002F2FD1" w:rsidRPr="00B3729A" w:rsidRDefault="002F2FD1" w:rsidP="008C6F16">
      <w:pPr>
        <w:tabs>
          <w:tab w:val="left" w:pos="0"/>
        </w:tabs>
        <w:suppressAutoHyphens/>
        <w:rPr>
          <w:sz w:val="22"/>
          <w:szCs w:val="22"/>
        </w:rPr>
      </w:pPr>
    </w:p>
    <w:p w14:paraId="2431AD22" w14:textId="18667B7C" w:rsidR="00795509" w:rsidRPr="00B3729A" w:rsidRDefault="00CF275C" w:rsidP="00F426D0">
      <w:pPr>
        <w:ind w:right="-360" w:firstLine="720"/>
        <w:rPr>
          <w:sz w:val="22"/>
          <w:szCs w:val="22"/>
        </w:rPr>
      </w:pPr>
      <w:r w:rsidRPr="00B3729A">
        <w:rPr>
          <w:b/>
          <w:sz w:val="22"/>
          <w:szCs w:val="22"/>
        </w:rPr>
        <w:t>Background.</w:t>
      </w:r>
      <w:r w:rsidR="00783877" w:rsidRPr="00B3729A">
        <w:rPr>
          <w:sz w:val="22"/>
          <w:szCs w:val="22"/>
        </w:rPr>
        <w:t xml:space="preserve">  </w:t>
      </w:r>
      <w:r w:rsidR="0034283B" w:rsidRPr="00B3729A">
        <w:rPr>
          <w:sz w:val="22"/>
          <w:szCs w:val="22"/>
        </w:rPr>
        <w:t>Robert Lund, a</w:t>
      </w:r>
      <w:r w:rsidR="00834CDF" w:rsidRPr="00B3729A">
        <w:rPr>
          <w:sz w:val="22"/>
          <w:szCs w:val="22"/>
        </w:rPr>
        <w:t>n</w:t>
      </w:r>
      <w:r w:rsidR="0034283B" w:rsidRPr="00B3729A">
        <w:rPr>
          <w:sz w:val="22"/>
          <w:szCs w:val="22"/>
        </w:rPr>
        <w:t xml:space="preserve"> </w:t>
      </w:r>
      <w:r w:rsidR="00834CDF" w:rsidRPr="00B3729A">
        <w:rPr>
          <w:sz w:val="22"/>
          <w:szCs w:val="22"/>
        </w:rPr>
        <w:t xml:space="preserve">engineering </w:t>
      </w:r>
      <w:r w:rsidR="0034283B" w:rsidRPr="00B3729A">
        <w:rPr>
          <w:sz w:val="22"/>
          <w:szCs w:val="22"/>
        </w:rPr>
        <w:t xml:space="preserve">consultant, prepared and filed the Applications during the 2013 LPFM filing window.  </w:t>
      </w:r>
      <w:r w:rsidR="00F426D0" w:rsidRPr="00B3729A">
        <w:rPr>
          <w:sz w:val="22"/>
          <w:szCs w:val="22"/>
        </w:rPr>
        <w:t xml:space="preserve">Each </w:t>
      </w:r>
      <w:r w:rsidR="00992AC1" w:rsidRPr="00B3729A">
        <w:rPr>
          <w:sz w:val="22"/>
          <w:szCs w:val="22"/>
        </w:rPr>
        <w:t xml:space="preserve">of </w:t>
      </w:r>
      <w:r w:rsidR="005B169C" w:rsidRPr="00B3729A">
        <w:rPr>
          <w:sz w:val="22"/>
          <w:szCs w:val="22"/>
        </w:rPr>
        <w:t xml:space="preserve">the </w:t>
      </w:r>
      <w:r w:rsidR="00010D05" w:rsidRPr="00B3729A">
        <w:rPr>
          <w:sz w:val="22"/>
          <w:szCs w:val="22"/>
        </w:rPr>
        <w:t xml:space="preserve">Lund </w:t>
      </w:r>
      <w:r w:rsidR="001434C9" w:rsidRPr="00B3729A">
        <w:rPr>
          <w:sz w:val="22"/>
          <w:szCs w:val="22"/>
        </w:rPr>
        <w:t>Corporations</w:t>
      </w:r>
      <w:r w:rsidR="00880300">
        <w:rPr>
          <w:sz w:val="22"/>
          <w:szCs w:val="22"/>
        </w:rPr>
        <w:t>—</w:t>
      </w:r>
      <w:r w:rsidR="00105ECE" w:rsidRPr="00B3729A">
        <w:rPr>
          <w:sz w:val="22"/>
          <w:szCs w:val="22"/>
        </w:rPr>
        <w:t>which were all</w:t>
      </w:r>
      <w:r w:rsidR="00F426D0" w:rsidRPr="00B3729A">
        <w:rPr>
          <w:sz w:val="22"/>
          <w:szCs w:val="22"/>
        </w:rPr>
        <w:t xml:space="preserve"> incorporated </w:t>
      </w:r>
      <w:r w:rsidR="00105ECE" w:rsidRPr="00B3729A">
        <w:rPr>
          <w:sz w:val="22"/>
          <w:szCs w:val="22"/>
        </w:rPr>
        <w:t>between S</w:t>
      </w:r>
      <w:r w:rsidR="00880300">
        <w:rPr>
          <w:sz w:val="22"/>
          <w:szCs w:val="22"/>
        </w:rPr>
        <w:t>eptember and November of 2013—</w:t>
      </w:r>
      <w:r w:rsidR="005B169C" w:rsidRPr="00B3729A">
        <w:rPr>
          <w:sz w:val="22"/>
          <w:szCs w:val="22"/>
        </w:rPr>
        <w:t>submitted articles of incorporation to the Oregon Secretary of State</w:t>
      </w:r>
      <w:r w:rsidR="00896723">
        <w:rPr>
          <w:sz w:val="22"/>
          <w:szCs w:val="22"/>
        </w:rPr>
        <w:t xml:space="preserve"> (OSOS</w:t>
      </w:r>
      <w:r w:rsidR="004701F2" w:rsidRPr="00B3729A">
        <w:rPr>
          <w:sz w:val="22"/>
          <w:szCs w:val="22"/>
        </w:rPr>
        <w:t>)</w:t>
      </w:r>
      <w:r w:rsidR="00105ECE" w:rsidRPr="00B3729A">
        <w:rPr>
          <w:sz w:val="22"/>
          <w:szCs w:val="22"/>
        </w:rPr>
        <w:t xml:space="preserve"> that named</w:t>
      </w:r>
      <w:r w:rsidR="008945C6" w:rsidRPr="00B3729A">
        <w:rPr>
          <w:sz w:val="22"/>
          <w:szCs w:val="22"/>
        </w:rPr>
        <w:t xml:space="preserve"> one director </w:t>
      </w:r>
      <w:r w:rsidR="00EA2BF9" w:rsidRPr="00B3729A">
        <w:rPr>
          <w:sz w:val="22"/>
          <w:szCs w:val="22"/>
        </w:rPr>
        <w:t xml:space="preserve">for each corporation </w:t>
      </w:r>
      <w:r w:rsidR="008945C6" w:rsidRPr="00B3729A">
        <w:rPr>
          <w:sz w:val="22"/>
          <w:szCs w:val="22"/>
        </w:rPr>
        <w:t xml:space="preserve">and </w:t>
      </w:r>
      <w:r w:rsidR="00105ECE" w:rsidRPr="00B3729A">
        <w:rPr>
          <w:sz w:val="22"/>
          <w:szCs w:val="22"/>
        </w:rPr>
        <w:t>classified</w:t>
      </w:r>
      <w:r w:rsidR="008945C6" w:rsidRPr="00B3729A">
        <w:rPr>
          <w:sz w:val="22"/>
          <w:szCs w:val="22"/>
        </w:rPr>
        <w:t xml:space="preserve"> </w:t>
      </w:r>
      <w:r w:rsidR="00EA2BF9" w:rsidRPr="00B3729A">
        <w:rPr>
          <w:sz w:val="22"/>
          <w:szCs w:val="22"/>
        </w:rPr>
        <w:t xml:space="preserve">each of </w:t>
      </w:r>
      <w:r w:rsidR="008945C6" w:rsidRPr="00B3729A">
        <w:rPr>
          <w:sz w:val="22"/>
          <w:szCs w:val="22"/>
        </w:rPr>
        <w:t xml:space="preserve">the </w:t>
      </w:r>
      <w:r w:rsidR="00EA2BF9" w:rsidRPr="00B3729A">
        <w:rPr>
          <w:sz w:val="22"/>
          <w:szCs w:val="22"/>
        </w:rPr>
        <w:t>entities being formed</w:t>
      </w:r>
      <w:r w:rsidR="008945C6" w:rsidRPr="00B3729A">
        <w:rPr>
          <w:sz w:val="22"/>
          <w:szCs w:val="22"/>
        </w:rPr>
        <w:t xml:space="preserve"> as a </w:t>
      </w:r>
      <w:r w:rsidR="00105ECE" w:rsidRPr="00B3729A">
        <w:rPr>
          <w:sz w:val="22"/>
          <w:szCs w:val="22"/>
        </w:rPr>
        <w:t>“</w:t>
      </w:r>
      <w:r w:rsidR="008945C6" w:rsidRPr="00B3729A">
        <w:rPr>
          <w:sz w:val="22"/>
          <w:szCs w:val="22"/>
        </w:rPr>
        <w:t>public benefit corporation</w:t>
      </w:r>
      <w:r w:rsidR="005B169C" w:rsidRPr="00B3729A">
        <w:rPr>
          <w:sz w:val="22"/>
          <w:szCs w:val="22"/>
        </w:rPr>
        <w:t>.</w:t>
      </w:r>
      <w:r w:rsidR="00105ECE" w:rsidRPr="00B3729A">
        <w:rPr>
          <w:sz w:val="22"/>
          <w:szCs w:val="22"/>
        </w:rPr>
        <w:t>”</w:t>
      </w:r>
      <w:r w:rsidR="00037D0C" w:rsidRPr="00EF3A19">
        <w:rPr>
          <w:rStyle w:val="FootnoteReference"/>
          <w:rFonts w:ascii="Times New Roman" w:hAnsi="Times New Roman"/>
          <w:sz w:val="22"/>
        </w:rPr>
        <w:footnoteReference w:id="4"/>
      </w:r>
      <w:r w:rsidR="005B169C" w:rsidRPr="00B3729A">
        <w:rPr>
          <w:sz w:val="22"/>
          <w:szCs w:val="22"/>
        </w:rPr>
        <w:t xml:space="preserve"> </w:t>
      </w:r>
      <w:r w:rsidR="005764A2" w:rsidRPr="00B3729A">
        <w:rPr>
          <w:sz w:val="22"/>
          <w:szCs w:val="22"/>
        </w:rPr>
        <w:t xml:space="preserve"> </w:t>
      </w:r>
      <w:r w:rsidR="00105ECE" w:rsidRPr="00B3729A">
        <w:rPr>
          <w:sz w:val="22"/>
          <w:szCs w:val="22"/>
        </w:rPr>
        <w:t>L</w:t>
      </w:r>
      <w:r w:rsidR="00F426D0" w:rsidRPr="00B3729A">
        <w:rPr>
          <w:sz w:val="22"/>
          <w:szCs w:val="22"/>
        </w:rPr>
        <w:t xml:space="preserve">ikewise, </w:t>
      </w:r>
      <w:r w:rsidR="00795509" w:rsidRPr="00B3729A">
        <w:rPr>
          <w:sz w:val="22"/>
          <w:szCs w:val="22"/>
        </w:rPr>
        <w:t xml:space="preserve">the Applications identified </w:t>
      </w:r>
      <w:r w:rsidR="00105ECE" w:rsidRPr="00B3729A">
        <w:rPr>
          <w:sz w:val="22"/>
          <w:szCs w:val="22"/>
        </w:rPr>
        <w:t xml:space="preserve">the </w:t>
      </w:r>
      <w:r w:rsidR="00EA2BF9" w:rsidRPr="00B3729A">
        <w:rPr>
          <w:sz w:val="22"/>
          <w:szCs w:val="22"/>
        </w:rPr>
        <w:t>respective</w:t>
      </w:r>
      <w:r w:rsidR="00105ECE" w:rsidRPr="00B3729A">
        <w:rPr>
          <w:sz w:val="22"/>
          <w:szCs w:val="22"/>
        </w:rPr>
        <w:t xml:space="preserve"> sole </w:t>
      </w:r>
      <w:r w:rsidR="00795509" w:rsidRPr="00B3729A">
        <w:rPr>
          <w:sz w:val="22"/>
          <w:szCs w:val="22"/>
        </w:rPr>
        <w:t>director</w:t>
      </w:r>
      <w:r w:rsidR="00EA2BF9" w:rsidRPr="00B3729A">
        <w:rPr>
          <w:sz w:val="22"/>
          <w:szCs w:val="22"/>
        </w:rPr>
        <w:t>s</w:t>
      </w:r>
      <w:r w:rsidR="00795509" w:rsidRPr="00B3729A">
        <w:rPr>
          <w:sz w:val="22"/>
          <w:szCs w:val="22"/>
        </w:rPr>
        <w:t xml:space="preserve"> </w:t>
      </w:r>
      <w:r w:rsidR="00EA2BF9" w:rsidRPr="00B3729A">
        <w:rPr>
          <w:sz w:val="22"/>
          <w:szCs w:val="22"/>
        </w:rPr>
        <w:t>as holding</w:t>
      </w:r>
      <w:r w:rsidR="00795509" w:rsidRPr="00B3729A">
        <w:rPr>
          <w:sz w:val="22"/>
          <w:szCs w:val="22"/>
        </w:rPr>
        <w:t xml:space="preserve"> 100% of </w:t>
      </w:r>
      <w:r w:rsidR="00EA2BF9" w:rsidRPr="00B3729A">
        <w:rPr>
          <w:sz w:val="22"/>
          <w:szCs w:val="22"/>
        </w:rPr>
        <w:t>each</w:t>
      </w:r>
      <w:r w:rsidR="00795509" w:rsidRPr="00B3729A">
        <w:rPr>
          <w:sz w:val="22"/>
          <w:szCs w:val="22"/>
        </w:rPr>
        <w:t xml:space="preserve"> board’s voting share.</w:t>
      </w:r>
      <w:r w:rsidR="00795509" w:rsidRPr="00EF3A19">
        <w:rPr>
          <w:rStyle w:val="FootnoteReference"/>
          <w:rFonts w:ascii="Times New Roman" w:hAnsi="Times New Roman"/>
          <w:sz w:val="22"/>
        </w:rPr>
        <w:footnoteReference w:id="5"/>
      </w:r>
      <w:r w:rsidR="00105ECE" w:rsidRPr="00B3729A">
        <w:rPr>
          <w:sz w:val="22"/>
          <w:szCs w:val="22"/>
        </w:rPr>
        <w:t xml:space="preserve">  </w:t>
      </w:r>
    </w:p>
    <w:p w14:paraId="20CBB2C4" w14:textId="77777777" w:rsidR="00795509" w:rsidRPr="00B3729A" w:rsidRDefault="00795509" w:rsidP="0091438C">
      <w:pPr>
        <w:ind w:right="-360" w:firstLine="720"/>
        <w:rPr>
          <w:sz w:val="22"/>
          <w:szCs w:val="22"/>
        </w:rPr>
      </w:pPr>
    </w:p>
    <w:p w14:paraId="4195D2A2" w14:textId="482E9F69" w:rsidR="00C029E0" w:rsidRPr="00B3729A" w:rsidRDefault="004701F2" w:rsidP="00E20AA2">
      <w:pPr>
        <w:widowControl/>
        <w:ind w:firstLine="720"/>
        <w:rPr>
          <w:sz w:val="22"/>
          <w:szCs w:val="22"/>
        </w:rPr>
      </w:pPr>
      <w:r w:rsidRPr="00B3729A">
        <w:rPr>
          <w:sz w:val="22"/>
          <w:szCs w:val="22"/>
        </w:rPr>
        <w:t>T</w:t>
      </w:r>
      <w:r w:rsidR="00154B82" w:rsidRPr="00B3729A">
        <w:rPr>
          <w:sz w:val="22"/>
          <w:szCs w:val="22"/>
        </w:rPr>
        <w:t xml:space="preserve">he </w:t>
      </w:r>
      <w:r w:rsidR="00DA5044" w:rsidRPr="00B3729A">
        <w:rPr>
          <w:i/>
          <w:sz w:val="22"/>
          <w:szCs w:val="22"/>
        </w:rPr>
        <w:t>Dismissal</w:t>
      </w:r>
      <w:r w:rsidR="005C31CC" w:rsidRPr="00B3729A">
        <w:rPr>
          <w:i/>
          <w:sz w:val="22"/>
          <w:szCs w:val="22"/>
        </w:rPr>
        <w:t xml:space="preserve"> </w:t>
      </w:r>
      <w:r w:rsidR="00154B82" w:rsidRPr="00B3729A">
        <w:rPr>
          <w:i/>
          <w:sz w:val="22"/>
          <w:szCs w:val="22"/>
        </w:rPr>
        <w:t>Letter</w:t>
      </w:r>
      <w:r w:rsidR="00AD2EA2" w:rsidRPr="00B3729A">
        <w:rPr>
          <w:i/>
          <w:sz w:val="22"/>
          <w:szCs w:val="22"/>
        </w:rPr>
        <w:t>s</w:t>
      </w:r>
      <w:r w:rsidRPr="00B3729A">
        <w:rPr>
          <w:sz w:val="22"/>
          <w:szCs w:val="22"/>
        </w:rPr>
        <w:t xml:space="preserve"> stated that, </w:t>
      </w:r>
      <w:r w:rsidR="0091438C" w:rsidRPr="00B3729A">
        <w:rPr>
          <w:sz w:val="22"/>
          <w:szCs w:val="22"/>
        </w:rPr>
        <w:t xml:space="preserve">according to </w:t>
      </w:r>
      <w:r w:rsidR="001349B5" w:rsidRPr="00B3729A">
        <w:rPr>
          <w:sz w:val="22"/>
          <w:szCs w:val="22"/>
        </w:rPr>
        <w:t xml:space="preserve">the records of the </w:t>
      </w:r>
      <w:r w:rsidR="0091438C" w:rsidRPr="00B3729A">
        <w:rPr>
          <w:sz w:val="22"/>
          <w:szCs w:val="22"/>
        </w:rPr>
        <w:t>O</w:t>
      </w:r>
      <w:r w:rsidRPr="00B3729A">
        <w:rPr>
          <w:sz w:val="22"/>
          <w:szCs w:val="22"/>
        </w:rPr>
        <w:t>SOS</w:t>
      </w:r>
      <w:r w:rsidR="0091438C" w:rsidRPr="00B3729A">
        <w:rPr>
          <w:sz w:val="22"/>
          <w:szCs w:val="22"/>
        </w:rPr>
        <w:t>,</w:t>
      </w:r>
      <w:r w:rsidR="00885B88" w:rsidRPr="00B3729A">
        <w:rPr>
          <w:sz w:val="22"/>
          <w:szCs w:val="22"/>
        </w:rPr>
        <w:t xml:space="preserve"> </w:t>
      </w:r>
      <w:r w:rsidR="0091438C" w:rsidRPr="00B3729A">
        <w:rPr>
          <w:sz w:val="22"/>
          <w:szCs w:val="22"/>
        </w:rPr>
        <w:t xml:space="preserve">the </w:t>
      </w:r>
      <w:r w:rsidR="00010D05" w:rsidRPr="00B3729A">
        <w:rPr>
          <w:sz w:val="22"/>
          <w:szCs w:val="22"/>
        </w:rPr>
        <w:t xml:space="preserve">Lund </w:t>
      </w:r>
      <w:r w:rsidRPr="00B3729A">
        <w:rPr>
          <w:sz w:val="22"/>
          <w:szCs w:val="22"/>
        </w:rPr>
        <w:t xml:space="preserve">Corporations </w:t>
      </w:r>
      <w:r w:rsidR="001349B5" w:rsidRPr="00B3729A">
        <w:rPr>
          <w:sz w:val="22"/>
          <w:szCs w:val="22"/>
        </w:rPr>
        <w:t>were administratively dissolved in</w:t>
      </w:r>
      <w:r w:rsidR="0091438C" w:rsidRPr="00B3729A">
        <w:rPr>
          <w:sz w:val="22"/>
          <w:szCs w:val="22"/>
        </w:rPr>
        <w:t xml:space="preserve"> January </w:t>
      </w:r>
      <w:r w:rsidR="00BA0BD7" w:rsidRPr="00B3729A">
        <w:rPr>
          <w:sz w:val="22"/>
          <w:szCs w:val="22"/>
        </w:rPr>
        <w:t>2015.</w:t>
      </w:r>
      <w:r w:rsidR="005C1F3D" w:rsidRPr="00EF3A19">
        <w:rPr>
          <w:rStyle w:val="FootnoteReference"/>
          <w:rFonts w:ascii="Times New Roman" w:hAnsi="Times New Roman"/>
          <w:sz w:val="22"/>
        </w:rPr>
        <w:footnoteReference w:id="6"/>
      </w:r>
      <w:r w:rsidR="005C31CC" w:rsidRPr="00B3729A">
        <w:rPr>
          <w:sz w:val="22"/>
          <w:szCs w:val="22"/>
        </w:rPr>
        <w:t xml:space="preserve"> </w:t>
      </w:r>
      <w:r w:rsidR="00F426D0" w:rsidRPr="00B3729A">
        <w:rPr>
          <w:sz w:val="22"/>
          <w:szCs w:val="22"/>
        </w:rPr>
        <w:t xml:space="preserve"> Thus,</w:t>
      </w:r>
      <w:r w:rsidR="00BA0BD7" w:rsidRPr="00B3729A">
        <w:rPr>
          <w:sz w:val="22"/>
          <w:szCs w:val="22"/>
        </w:rPr>
        <w:t xml:space="preserve"> </w:t>
      </w:r>
      <w:r w:rsidRPr="00B3729A">
        <w:rPr>
          <w:sz w:val="22"/>
          <w:szCs w:val="22"/>
        </w:rPr>
        <w:t xml:space="preserve">the </w:t>
      </w:r>
      <w:r w:rsidR="001349B5" w:rsidRPr="00B3729A">
        <w:rPr>
          <w:i/>
          <w:sz w:val="22"/>
          <w:szCs w:val="22"/>
        </w:rPr>
        <w:t>Dismissal Letter</w:t>
      </w:r>
      <w:r w:rsidRPr="00B3729A">
        <w:rPr>
          <w:i/>
          <w:sz w:val="22"/>
          <w:szCs w:val="22"/>
        </w:rPr>
        <w:t>s</w:t>
      </w:r>
      <w:r w:rsidR="001349B5" w:rsidRPr="00B3729A">
        <w:rPr>
          <w:i/>
          <w:sz w:val="22"/>
          <w:szCs w:val="22"/>
        </w:rPr>
        <w:t xml:space="preserve"> </w:t>
      </w:r>
      <w:r w:rsidR="001349B5" w:rsidRPr="00B3729A">
        <w:rPr>
          <w:sz w:val="22"/>
          <w:szCs w:val="22"/>
        </w:rPr>
        <w:t xml:space="preserve">held that </w:t>
      </w:r>
      <w:r w:rsidR="00BA0BD7" w:rsidRPr="00B3729A">
        <w:rPr>
          <w:sz w:val="22"/>
          <w:szCs w:val="22"/>
        </w:rPr>
        <w:t xml:space="preserve">the </w:t>
      </w:r>
      <w:r w:rsidR="00010D05" w:rsidRPr="00B3729A">
        <w:rPr>
          <w:sz w:val="22"/>
          <w:szCs w:val="22"/>
        </w:rPr>
        <w:t>Lund Corporations</w:t>
      </w:r>
      <w:r w:rsidR="0091438C" w:rsidRPr="00B3729A">
        <w:rPr>
          <w:sz w:val="22"/>
          <w:szCs w:val="22"/>
        </w:rPr>
        <w:t xml:space="preserve"> </w:t>
      </w:r>
      <w:r w:rsidRPr="00B3729A">
        <w:rPr>
          <w:sz w:val="22"/>
          <w:szCs w:val="22"/>
        </w:rPr>
        <w:t>were no longer eligible to hold LPFM authorizations</w:t>
      </w:r>
      <w:r w:rsidR="00F426D0" w:rsidRPr="00B3729A">
        <w:rPr>
          <w:sz w:val="22"/>
          <w:szCs w:val="22"/>
        </w:rPr>
        <w:t xml:space="preserve"> and dismissed the Application</w:t>
      </w:r>
      <w:r w:rsidR="001349B5" w:rsidRPr="00B3729A">
        <w:rPr>
          <w:sz w:val="22"/>
          <w:szCs w:val="22"/>
        </w:rPr>
        <w:t>s</w:t>
      </w:r>
      <w:r w:rsidR="00F426D0" w:rsidRPr="00B3729A">
        <w:rPr>
          <w:sz w:val="22"/>
          <w:szCs w:val="22"/>
        </w:rPr>
        <w:t>.</w:t>
      </w:r>
      <w:r w:rsidR="005C1F3D" w:rsidRPr="00EF3A19">
        <w:rPr>
          <w:rStyle w:val="FootnoteReference"/>
          <w:rFonts w:ascii="Times New Roman" w:hAnsi="Times New Roman"/>
          <w:sz w:val="22"/>
        </w:rPr>
        <w:footnoteReference w:id="7"/>
      </w:r>
      <w:r w:rsidRPr="00B3729A">
        <w:rPr>
          <w:sz w:val="22"/>
          <w:szCs w:val="22"/>
        </w:rPr>
        <w:t xml:space="preserve">  </w:t>
      </w:r>
      <w:r w:rsidR="00AD2EA2" w:rsidRPr="00B3729A">
        <w:rPr>
          <w:sz w:val="22"/>
          <w:szCs w:val="22"/>
        </w:rPr>
        <w:t xml:space="preserve">In the Petitions, the </w:t>
      </w:r>
      <w:r w:rsidR="00010D05" w:rsidRPr="00B3729A">
        <w:rPr>
          <w:sz w:val="22"/>
          <w:szCs w:val="22"/>
        </w:rPr>
        <w:t xml:space="preserve">Lund </w:t>
      </w:r>
      <w:r w:rsidR="00457B2B" w:rsidRPr="00B3729A">
        <w:rPr>
          <w:sz w:val="22"/>
          <w:szCs w:val="22"/>
        </w:rPr>
        <w:t>Corporations</w:t>
      </w:r>
      <w:r w:rsidRPr="00B3729A">
        <w:rPr>
          <w:sz w:val="22"/>
          <w:szCs w:val="22"/>
        </w:rPr>
        <w:t xml:space="preserve"> argue</w:t>
      </w:r>
      <w:r w:rsidR="00AD2EA2" w:rsidRPr="00B3729A">
        <w:rPr>
          <w:sz w:val="22"/>
          <w:szCs w:val="22"/>
        </w:rPr>
        <w:t xml:space="preserve"> that</w:t>
      </w:r>
      <w:r w:rsidR="0091438C" w:rsidRPr="00B3729A">
        <w:rPr>
          <w:sz w:val="22"/>
          <w:szCs w:val="22"/>
        </w:rPr>
        <w:t xml:space="preserve"> the Bureau erred</w:t>
      </w:r>
      <w:r w:rsidR="00BA0BD7" w:rsidRPr="00B3729A">
        <w:rPr>
          <w:sz w:val="22"/>
          <w:szCs w:val="22"/>
        </w:rPr>
        <w:t xml:space="preserve"> </w:t>
      </w:r>
      <w:r w:rsidR="005C31CC" w:rsidRPr="00B3729A">
        <w:rPr>
          <w:sz w:val="22"/>
          <w:szCs w:val="22"/>
        </w:rPr>
        <w:t>in its dismiss</w:t>
      </w:r>
      <w:r w:rsidRPr="00B3729A">
        <w:rPr>
          <w:sz w:val="22"/>
          <w:szCs w:val="22"/>
        </w:rPr>
        <w:t>ing</w:t>
      </w:r>
      <w:r w:rsidR="005C31CC" w:rsidRPr="00B3729A">
        <w:rPr>
          <w:sz w:val="22"/>
          <w:szCs w:val="22"/>
        </w:rPr>
        <w:t xml:space="preserve"> the Applications </w:t>
      </w:r>
      <w:r w:rsidR="00BA0BD7" w:rsidRPr="00B3729A">
        <w:rPr>
          <w:sz w:val="22"/>
          <w:szCs w:val="22"/>
        </w:rPr>
        <w:t>be</w:t>
      </w:r>
      <w:r w:rsidR="007C399C" w:rsidRPr="00B3729A">
        <w:rPr>
          <w:sz w:val="22"/>
          <w:szCs w:val="22"/>
        </w:rPr>
        <w:t xml:space="preserve">cause: </w:t>
      </w:r>
      <w:r w:rsidR="00C141F4" w:rsidRPr="00B3729A">
        <w:rPr>
          <w:sz w:val="22"/>
          <w:szCs w:val="22"/>
        </w:rPr>
        <w:t>1) Section 73.853(b)</w:t>
      </w:r>
      <w:r w:rsidRPr="00B3729A">
        <w:rPr>
          <w:sz w:val="22"/>
          <w:szCs w:val="22"/>
        </w:rPr>
        <w:t xml:space="preserve"> of the Commission’s Rules (Rules)</w:t>
      </w:r>
      <w:r w:rsidR="00C141F4" w:rsidRPr="00B3729A">
        <w:rPr>
          <w:sz w:val="22"/>
          <w:szCs w:val="22"/>
        </w:rPr>
        <w:t xml:space="preserve"> is concerned with </w:t>
      </w:r>
      <w:r w:rsidR="00D30CF4" w:rsidRPr="00B3729A">
        <w:rPr>
          <w:sz w:val="22"/>
          <w:szCs w:val="22"/>
        </w:rPr>
        <w:t>“</w:t>
      </w:r>
      <w:r w:rsidR="00BA0BD7" w:rsidRPr="00B3729A">
        <w:rPr>
          <w:sz w:val="22"/>
          <w:szCs w:val="22"/>
        </w:rPr>
        <w:t>localism eligibility,</w:t>
      </w:r>
      <w:r w:rsidR="00D30CF4" w:rsidRPr="00B3729A">
        <w:rPr>
          <w:sz w:val="22"/>
          <w:szCs w:val="22"/>
        </w:rPr>
        <w:t>”</w:t>
      </w:r>
      <w:r w:rsidR="00BA0BD7" w:rsidRPr="00B3729A">
        <w:rPr>
          <w:sz w:val="22"/>
          <w:szCs w:val="22"/>
        </w:rPr>
        <w:t xml:space="preserve"> and not the </w:t>
      </w:r>
      <w:r w:rsidR="00010D05" w:rsidRPr="00B3729A">
        <w:rPr>
          <w:sz w:val="22"/>
          <w:szCs w:val="22"/>
        </w:rPr>
        <w:t>Lund Corporations</w:t>
      </w:r>
      <w:r w:rsidR="00BA0BD7" w:rsidRPr="00B3729A">
        <w:rPr>
          <w:sz w:val="22"/>
          <w:szCs w:val="22"/>
        </w:rPr>
        <w:t>’ corporate status;</w:t>
      </w:r>
      <w:r w:rsidR="005C31CC" w:rsidRPr="00EF3A19">
        <w:rPr>
          <w:rStyle w:val="FootnoteReference"/>
          <w:rFonts w:ascii="Times New Roman" w:hAnsi="Times New Roman"/>
          <w:sz w:val="22"/>
        </w:rPr>
        <w:footnoteReference w:id="8"/>
      </w:r>
      <w:r w:rsidR="007C399C" w:rsidRPr="00B3729A">
        <w:rPr>
          <w:sz w:val="22"/>
          <w:szCs w:val="22"/>
        </w:rPr>
        <w:t xml:space="preserve"> and </w:t>
      </w:r>
      <w:r w:rsidR="00BA0BD7" w:rsidRPr="00B3729A">
        <w:rPr>
          <w:sz w:val="22"/>
          <w:szCs w:val="22"/>
        </w:rPr>
        <w:t xml:space="preserve">2) </w:t>
      </w:r>
      <w:r w:rsidR="007C399C" w:rsidRPr="00B3729A">
        <w:rPr>
          <w:sz w:val="22"/>
          <w:szCs w:val="22"/>
        </w:rPr>
        <w:t xml:space="preserve">although </w:t>
      </w:r>
      <w:r w:rsidR="00BA0BD7" w:rsidRPr="00B3729A">
        <w:rPr>
          <w:sz w:val="22"/>
          <w:szCs w:val="22"/>
        </w:rPr>
        <w:t xml:space="preserve">the </w:t>
      </w:r>
      <w:r w:rsidR="00010D05" w:rsidRPr="00B3729A">
        <w:rPr>
          <w:sz w:val="22"/>
          <w:szCs w:val="22"/>
        </w:rPr>
        <w:t>Lund</w:t>
      </w:r>
      <w:r w:rsidR="007C399C" w:rsidRPr="00B3729A">
        <w:rPr>
          <w:sz w:val="22"/>
          <w:szCs w:val="22"/>
        </w:rPr>
        <w:t xml:space="preserve"> </w:t>
      </w:r>
      <w:r w:rsidRPr="00B3729A">
        <w:rPr>
          <w:sz w:val="22"/>
          <w:szCs w:val="22"/>
        </w:rPr>
        <w:t>Corporations</w:t>
      </w:r>
      <w:r w:rsidR="00BA0BD7" w:rsidRPr="00B3729A">
        <w:rPr>
          <w:sz w:val="22"/>
          <w:szCs w:val="22"/>
        </w:rPr>
        <w:t xml:space="preserve"> were “administratively dissolved” in January 2015, </w:t>
      </w:r>
      <w:r w:rsidR="007C399C" w:rsidRPr="00B3729A">
        <w:rPr>
          <w:sz w:val="22"/>
          <w:szCs w:val="22"/>
        </w:rPr>
        <w:t>they</w:t>
      </w:r>
      <w:r w:rsidR="00BA0BD7" w:rsidRPr="00B3729A">
        <w:rPr>
          <w:sz w:val="22"/>
          <w:szCs w:val="22"/>
        </w:rPr>
        <w:t xml:space="preserve"> have since been reinstated.</w:t>
      </w:r>
      <w:r w:rsidR="005C31CC" w:rsidRPr="00EF3A19">
        <w:rPr>
          <w:rStyle w:val="FootnoteReference"/>
          <w:rFonts w:ascii="Times New Roman" w:hAnsi="Times New Roman"/>
          <w:sz w:val="22"/>
        </w:rPr>
        <w:footnoteReference w:id="9"/>
      </w:r>
    </w:p>
    <w:p w14:paraId="2BBE6AFE" w14:textId="77777777" w:rsidR="00AD2EA2" w:rsidRPr="00B3729A" w:rsidRDefault="00BA0BD7" w:rsidP="000A57A1">
      <w:pPr>
        <w:ind w:right="-360" w:firstLine="720"/>
        <w:rPr>
          <w:sz w:val="22"/>
          <w:szCs w:val="22"/>
        </w:rPr>
      </w:pPr>
      <w:r w:rsidRPr="00B3729A">
        <w:rPr>
          <w:sz w:val="22"/>
          <w:szCs w:val="22"/>
        </w:rPr>
        <w:t xml:space="preserve"> </w:t>
      </w:r>
    </w:p>
    <w:p w14:paraId="431B5975" w14:textId="10E5A20C" w:rsidR="00E5241E" w:rsidRPr="00B3729A" w:rsidRDefault="00A605DC" w:rsidP="00E5241E">
      <w:pPr>
        <w:widowControl/>
        <w:ind w:firstLine="720"/>
        <w:rPr>
          <w:sz w:val="22"/>
          <w:szCs w:val="22"/>
        </w:rPr>
      </w:pPr>
      <w:r w:rsidRPr="00B3729A">
        <w:rPr>
          <w:sz w:val="22"/>
          <w:szCs w:val="22"/>
        </w:rPr>
        <w:t xml:space="preserve">In September of 2014, </w:t>
      </w:r>
      <w:r w:rsidR="009A4EB5" w:rsidRPr="00B3729A">
        <w:rPr>
          <w:sz w:val="22"/>
          <w:szCs w:val="22"/>
        </w:rPr>
        <w:t xml:space="preserve">a representative from </w:t>
      </w:r>
      <w:r w:rsidRPr="00B3729A">
        <w:rPr>
          <w:sz w:val="22"/>
          <w:szCs w:val="22"/>
        </w:rPr>
        <w:t>the Oregon Department of Justice</w:t>
      </w:r>
      <w:r w:rsidR="009A4EB5" w:rsidRPr="00B3729A">
        <w:rPr>
          <w:sz w:val="22"/>
          <w:szCs w:val="22"/>
        </w:rPr>
        <w:t>, Civil Enforcement Division, Charitable Activities Section</w:t>
      </w:r>
      <w:r w:rsidRPr="00B3729A">
        <w:rPr>
          <w:sz w:val="22"/>
          <w:szCs w:val="22"/>
        </w:rPr>
        <w:t xml:space="preserve"> (ODOJ) contacted the Bureau to indicate that </w:t>
      </w:r>
      <w:r w:rsidR="00651FE0">
        <w:rPr>
          <w:sz w:val="22"/>
          <w:szCs w:val="22"/>
        </w:rPr>
        <w:t>the ODOJ</w:t>
      </w:r>
      <w:r w:rsidRPr="00B3729A">
        <w:rPr>
          <w:sz w:val="22"/>
          <w:szCs w:val="22"/>
        </w:rPr>
        <w:t xml:space="preserve"> was investigating the Lund Corporations t</w:t>
      </w:r>
      <w:r w:rsidR="00F91DD6" w:rsidRPr="00B3729A">
        <w:rPr>
          <w:sz w:val="22"/>
          <w:szCs w:val="22"/>
        </w:rPr>
        <w:t xml:space="preserve">o determine whether they </w:t>
      </w:r>
      <w:r w:rsidR="00B72E6F" w:rsidRPr="00B3729A">
        <w:rPr>
          <w:sz w:val="22"/>
          <w:szCs w:val="22"/>
        </w:rPr>
        <w:t>complied with Oregon state law and who controlled the entities</w:t>
      </w:r>
      <w:r w:rsidR="00F91DD6" w:rsidRPr="00B3729A">
        <w:rPr>
          <w:sz w:val="22"/>
          <w:szCs w:val="22"/>
        </w:rPr>
        <w:t xml:space="preserve">. </w:t>
      </w:r>
      <w:r w:rsidRPr="00B3729A">
        <w:rPr>
          <w:sz w:val="22"/>
          <w:szCs w:val="22"/>
        </w:rPr>
        <w:t xml:space="preserve"> </w:t>
      </w:r>
      <w:r w:rsidR="003E2494" w:rsidRPr="00B3729A">
        <w:rPr>
          <w:sz w:val="22"/>
          <w:szCs w:val="22"/>
        </w:rPr>
        <w:t xml:space="preserve">The Bureau agreed to cooperate with the ODOJ and </w:t>
      </w:r>
      <w:r w:rsidR="00557CAB" w:rsidRPr="00B3729A">
        <w:rPr>
          <w:sz w:val="22"/>
          <w:szCs w:val="22"/>
        </w:rPr>
        <w:t xml:space="preserve">the two agencies agreed to </w:t>
      </w:r>
      <w:r w:rsidR="003E2494" w:rsidRPr="00B3729A">
        <w:rPr>
          <w:sz w:val="22"/>
          <w:szCs w:val="22"/>
        </w:rPr>
        <w:t>share an</w:t>
      </w:r>
      <w:r w:rsidR="00557CAB" w:rsidRPr="00B3729A">
        <w:rPr>
          <w:sz w:val="22"/>
          <w:szCs w:val="22"/>
        </w:rPr>
        <w:t>y</w:t>
      </w:r>
      <w:r w:rsidR="003E2494" w:rsidRPr="00B3729A">
        <w:rPr>
          <w:sz w:val="22"/>
          <w:szCs w:val="22"/>
        </w:rPr>
        <w:t xml:space="preserve"> information their respective investigations yielded.</w:t>
      </w:r>
      <w:r w:rsidR="003E2494" w:rsidRPr="00EF3A19">
        <w:rPr>
          <w:rStyle w:val="FootnoteReference"/>
          <w:rFonts w:ascii="Times New Roman" w:hAnsi="Times New Roman"/>
          <w:sz w:val="22"/>
        </w:rPr>
        <w:footnoteReference w:id="10"/>
      </w:r>
      <w:r w:rsidR="003E2494" w:rsidRPr="00B3729A">
        <w:rPr>
          <w:sz w:val="22"/>
          <w:szCs w:val="22"/>
        </w:rPr>
        <w:t xml:space="preserve">  </w:t>
      </w:r>
      <w:r w:rsidR="00982155" w:rsidRPr="00B3729A">
        <w:rPr>
          <w:sz w:val="22"/>
          <w:szCs w:val="22"/>
        </w:rPr>
        <w:t>O</w:t>
      </w:r>
      <w:r w:rsidR="0034283B" w:rsidRPr="00B3729A">
        <w:rPr>
          <w:sz w:val="22"/>
          <w:szCs w:val="22"/>
        </w:rPr>
        <w:t xml:space="preserve">n June 2, 2015, </w:t>
      </w:r>
      <w:r w:rsidR="00F91DD6" w:rsidRPr="00B3729A">
        <w:rPr>
          <w:sz w:val="22"/>
          <w:szCs w:val="22"/>
        </w:rPr>
        <w:t xml:space="preserve">at the request of the Commission, the ODOJ submitted a letter </w:t>
      </w:r>
      <w:r w:rsidR="007E592C" w:rsidRPr="00B3729A">
        <w:rPr>
          <w:sz w:val="22"/>
          <w:szCs w:val="22"/>
        </w:rPr>
        <w:t xml:space="preserve">(attached) </w:t>
      </w:r>
      <w:r w:rsidR="00F91DD6" w:rsidRPr="00B3729A">
        <w:rPr>
          <w:sz w:val="22"/>
          <w:szCs w:val="22"/>
        </w:rPr>
        <w:t>discussing its findings that</w:t>
      </w:r>
      <w:r w:rsidR="00C029E0" w:rsidRPr="00B3729A">
        <w:rPr>
          <w:sz w:val="22"/>
          <w:szCs w:val="22"/>
        </w:rPr>
        <w:t xml:space="preserve"> </w:t>
      </w:r>
      <w:r w:rsidR="00BA1FC0" w:rsidRPr="00B3729A">
        <w:rPr>
          <w:sz w:val="22"/>
          <w:szCs w:val="22"/>
        </w:rPr>
        <w:t xml:space="preserve">the </w:t>
      </w:r>
      <w:r w:rsidR="00010D05" w:rsidRPr="00B3729A">
        <w:rPr>
          <w:sz w:val="22"/>
          <w:szCs w:val="22"/>
        </w:rPr>
        <w:t xml:space="preserve">Lund </w:t>
      </w:r>
      <w:r w:rsidR="004701F2" w:rsidRPr="00B3729A">
        <w:rPr>
          <w:sz w:val="22"/>
          <w:szCs w:val="22"/>
        </w:rPr>
        <w:t>Corporations</w:t>
      </w:r>
      <w:r w:rsidR="00FA300C" w:rsidRPr="00B3729A">
        <w:rPr>
          <w:sz w:val="22"/>
          <w:szCs w:val="22"/>
        </w:rPr>
        <w:t xml:space="preserve"> do not conform </w:t>
      </w:r>
      <w:r w:rsidR="00B7552E" w:rsidRPr="00B3729A">
        <w:rPr>
          <w:sz w:val="22"/>
          <w:szCs w:val="22"/>
        </w:rPr>
        <w:t>to</w:t>
      </w:r>
      <w:r w:rsidR="00FA300C" w:rsidRPr="00B3729A">
        <w:rPr>
          <w:sz w:val="22"/>
          <w:szCs w:val="22"/>
        </w:rPr>
        <w:t xml:space="preserve"> Oregon law, even though they are actively registered with the </w:t>
      </w:r>
      <w:r w:rsidR="004701F2" w:rsidRPr="00B3729A">
        <w:rPr>
          <w:sz w:val="22"/>
          <w:szCs w:val="22"/>
        </w:rPr>
        <w:t>OSOS</w:t>
      </w:r>
      <w:r w:rsidR="00FA300C" w:rsidRPr="00B3729A">
        <w:rPr>
          <w:sz w:val="22"/>
          <w:szCs w:val="22"/>
        </w:rPr>
        <w:t>.</w:t>
      </w:r>
      <w:r w:rsidR="007A335C" w:rsidRPr="00EF3A19">
        <w:rPr>
          <w:rStyle w:val="FootnoteReference"/>
          <w:rFonts w:ascii="Times New Roman" w:hAnsi="Times New Roman"/>
          <w:sz w:val="22"/>
        </w:rPr>
        <w:footnoteReference w:id="11"/>
      </w:r>
      <w:r w:rsidR="00FA300C" w:rsidRPr="00B3729A">
        <w:rPr>
          <w:sz w:val="22"/>
          <w:szCs w:val="22"/>
        </w:rPr>
        <w:t xml:space="preserve">  </w:t>
      </w:r>
      <w:r w:rsidR="00010D05" w:rsidRPr="00B3729A">
        <w:rPr>
          <w:sz w:val="22"/>
          <w:szCs w:val="22"/>
        </w:rPr>
        <w:t>The</w:t>
      </w:r>
      <w:r w:rsidR="0051121F" w:rsidRPr="00B3729A">
        <w:rPr>
          <w:sz w:val="22"/>
          <w:szCs w:val="22"/>
        </w:rPr>
        <w:t xml:space="preserve"> ODOJ Letter </w:t>
      </w:r>
      <w:r w:rsidR="00E5241E" w:rsidRPr="00B3729A">
        <w:rPr>
          <w:sz w:val="22"/>
          <w:szCs w:val="22"/>
        </w:rPr>
        <w:t>states that</w:t>
      </w:r>
      <w:r w:rsidR="00472283" w:rsidRPr="00B3729A">
        <w:rPr>
          <w:sz w:val="22"/>
          <w:szCs w:val="22"/>
        </w:rPr>
        <w:t xml:space="preserve"> </w:t>
      </w:r>
      <w:r w:rsidR="00E5241E" w:rsidRPr="00B3729A">
        <w:rPr>
          <w:sz w:val="22"/>
          <w:szCs w:val="22"/>
        </w:rPr>
        <w:t xml:space="preserve">Oregon Revised </w:t>
      </w:r>
      <w:r w:rsidR="004701F2" w:rsidRPr="00B3729A">
        <w:rPr>
          <w:sz w:val="22"/>
          <w:szCs w:val="22"/>
        </w:rPr>
        <w:t>Statutes</w:t>
      </w:r>
      <w:r w:rsidR="00896723">
        <w:rPr>
          <w:sz w:val="22"/>
          <w:szCs w:val="22"/>
        </w:rPr>
        <w:t xml:space="preserve"> (ORS</w:t>
      </w:r>
      <w:r w:rsidR="00E5241E" w:rsidRPr="00B3729A">
        <w:rPr>
          <w:sz w:val="22"/>
          <w:szCs w:val="22"/>
        </w:rPr>
        <w:t xml:space="preserve">) </w:t>
      </w:r>
      <w:r w:rsidR="007F36FA" w:rsidRPr="00B3729A">
        <w:rPr>
          <w:sz w:val="22"/>
          <w:szCs w:val="22"/>
        </w:rPr>
        <w:t xml:space="preserve">§ </w:t>
      </w:r>
      <w:r w:rsidR="00E5241E" w:rsidRPr="00B3729A">
        <w:rPr>
          <w:sz w:val="22"/>
          <w:szCs w:val="22"/>
        </w:rPr>
        <w:t>65.307(1) requires that the board of directors of a public benefit corporation</w:t>
      </w:r>
      <w:r w:rsidR="00880300">
        <w:rPr>
          <w:sz w:val="22"/>
          <w:szCs w:val="22"/>
        </w:rPr>
        <w:t>—</w:t>
      </w:r>
      <w:r w:rsidR="00E5241E" w:rsidRPr="00B3729A">
        <w:rPr>
          <w:sz w:val="22"/>
          <w:szCs w:val="22"/>
        </w:rPr>
        <w:t xml:space="preserve">such as the Lund </w:t>
      </w:r>
      <w:r w:rsidR="004701F2" w:rsidRPr="00B3729A">
        <w:rPr>
          <w:sz w:val="22"/>
          <w:szCs w:val="22"/>
        </w:rPr>
        <w:t>Corporations</w:t>
      </w:r>
      <w:r w:rsidR="00880300">
        <w:rPr>
          <w:sz w:val="22"/>
          <w:szCs w:val="22"/>
        </w:rPr>
        <w:t>—</w:t>
      </w:r>
      <w:r w:rsidR="00E5241E" w:rsidRPr="00B3729A">
        <w:rPr>
          <w:sz w:val="22"/>
          <w:szCs w:val="22"/>
        </w:rPr>
        <w:t>must consist of three or more individuals</w:t>
      </w:r>
      <w:r w:rsidR="008D2A6C" w:rsidRPr="00B3729A">
        <w:rPr>
          <w:sz w:val="22"/>
          <w:szCs w:val="22"/>
        </w:rPr>
        <w:t>.</w:t>
      </w:r>
      <w:r w:rsidR="00037D0C" w:rsidRPr="00EF3A19">
        <w:rPr>
          <w:rStyle w:val="FootnoteReference"/>
          <w:rFonts w:ascii="Times New Roman" w:hAnsi="Times New Roman"/>
          <w:sz w:val="22"/>
        </w:rPr>
        <w:footnoteReference w:id="12"/>
      </w:r>
      <w:r w:rsidR="00D40B69" w:rsidRPr="00B3729A">
        <w:rPr>
          <w:sz w:val="22"/>
          <w:szCs w:val="22"/>
        </w:rPr>
        <w:t xml:space="preserve"> </w:t>
      </w:r>
      <w:r w:rsidR="00980BAA" w:rsidRPr="00B3729A">
        <w:rPr>
          <w:sz w:val="22"/>
          <w:szCs w:val="22"/>
        </w:rPr>
        <w:t xml:space="preserve"> </w:t>
      </w:r>
      <w:r w:rsidR="00E5241E" w:rsidRPr="00B3729A">
        <w:rPr>
          <w:sz w:val="22"/>
          <w:szCs w:val="22"/>
        </w:rPr>
        <w:t xml:space="preserve">Furthermore, the Lund </w:t>
      </w:r>
      <w:r w:rsidR="004701F2" w:rsidRPr="00B3729A">
        <w:rPr>
          <w:sz w:val="22"/>
          <w:szCs w:val="22"/>
        </w:rPr>
        <w:t>Corporations</w:t>
      </w:r>
      <w:r w:rsidR="00E5241E" w:rsidRPr="00B3729A">
        <w:rPr>
          <w:sz w:val="22"/>
          <w:szCs w:val="22"/>
        </w:rPr>
        <w:t xml:space="preserve"> never held meetings to elect a complete initial slate of directors.</w:t>
      </w:r>
      <w:r w:rsidR="00E5241E" w:rsidRPr="00EF3A19">
        <w:rPr>
          <w:rStyle w:val="FootnoteReference"/>
          <w:rFonts w:ascii="Times New Roman" w:hAnsi="Times New Roman"/>
          <w:sz w:val="22"/>
        </w:rPr>
        <w:footnoteReference w:id="13"/>
      </w:r>
      <w:r w:rsidR="00E5241E" w:rsidRPr="00B3729A">
        <w:rPr>
          <w:sz w:val="22"/>
          <w:szCs w:val="22"/>
        </w:rPr>
        <w:t xml:space="preserve">  Thus, at the time the Application</w:t>
      </w:r>
      <w:r w:rsidR="004701F2" w:rsidRPr="00B3729A">
        <w:rPr>
          <w:sz w:val="22"/>
          <w:szCs w:val="22"/>
        </w:rPr>
        <w:t>s</w:t>
      </w:r>
      <w:r w:rsidR="00E5241E" w:rsidRPr="00B3729A">
        <w:rPr>
          <w:sz w:val="22"/>
          <w:szCs w:val="22"/>
        </w:rPr>
        <w:t xml:space="preserve"> were filed, the Lund </w:t>
      </w:r>
      <w:r w:rsidR="00457B2B" w:rsidRPr="00B3729A">
        <w:rPr>
          <w:sz w:val="22"/>
          <w:szCs w:val="22"/>
        </w:rPr>
        <w:t>Corporations</w:t>
      </w:r>
      <w:r w:rsidR="00E5241E" w:rsidRPr="00B3729A">
        <w:rPr>
          <w:sz w:val="22"/>
          <w:szCs w:val="22"/>
        </w:rPr>
        <w:t xml:space="preserve"> did not comply with ORS </w:t>
      </w:r>
      <w:r w:rsidR="007F36FA" w:rsidRPr="00B3729A">
        <w:rPr>
          <w:sz w:val="22"/>
          <w:szCs w:val="22"/>
        </w:rPr>
        <w:t xml:space="preserve">§ </w:t>
      </w:r>
      <w:r w:rsidR="00E5241E" w:rsidRPr="00B3729A">
        <w:rPr>
          <w:sz w:val="22"/>
          <w:szCs w:val="22"/>
        </w:rPr>
        <w:t>65.307(1) and the organization of the Lund Corporations “was never properly completed.”</w:t>
      </w:r>
      <w:r w:rsidR="00E5241E" w:rsidRPr="00EF3A19">
        <w:rPr>
          <w:rStyle w:val="FootnoteReference"/>
          <w:rFonts w:ascii="Times New Roman" w:hAnsi="Times New Roman"/>
          <w:sz w:val="22"/>
        </w:rPr>
        <w:footnoteReference w:id="14"/>
      </w:r>
      <w:r w:rsidR="00E5241E" w:rsidRPr="00B3729A">
        <w:rPr>
          <w:sz w:val="22"/>
          <w:szCs w:val="22"/>
        </w:rPr>
        <w:t xml:space="preserve">  </w:t>
      </w:r>
    </w:p>
    <w:p w14:paraId="0B43A66A" w14:textId="77777777" w:rsidR="00E5241E" w:rsidRPr="00B3729A" w:rsidRDefault="00E5241E" w:rsidP="00E5241E">
      <w:pPr>
        <w:widowControl/>
        <w:ind w:firstLine="720"/>
        <w:rPr>
          <w:sz w:val="22"/>
          <w:szCs w:val="22"/>
        </w:rPr>
      </w:pPr>
    </w:p>
    <w:p w14:paraId="3D53D9DE" w14:textId="0053BF09" w:rsidR="003103FA" w:rsidRPr="00B3729A" w:rsidRDefault="00D40B69" w:rsidP="00E5241E">
      <w:pPr>
        <w:widowControl/>
        <w:ind w:firstLine="720"/>
        <w:rPr>
          <w:sz w:val="22"/>
          <w:szCs w:val="22"/>
        </w:rPr>
      </w:pPr>
      <w:r w:rsidRPr="00B3729A">
        <w:rPr>
          <w:sz w:val="22"/>
          <w:szCs w:val="22"/>
        </w:rPr>
        <w:t>The ODOJ Letter also notes that</w:t>
      </w:r>
      <w:r w:rsidR="007F36FA" w:rsidRPr="00B3729A">
        <w:rPr>
          <w:sz w:val="22"/>
          <w:szCs w:val="22"/>
        </w:rPr>
        <w:t xml:space="preserve">, shortly after ODOJ sent letters to certain of the Lund Corporations concerning registration requirements, each of </w:t>
      </w:r>
      <w:r w:rsidRPr="00B3729A">
        <w:rPr>
          <w:sz w:val="22"/>
          <w:szCs w:val="22"/>
        </w:rPr>
        <w:t xml:space="preserve">the </w:t>
      </w:r>
      <w:r w:rsidR="00010D05" w:rsidRPr="00B3729A">
        <w:rPr>
          <w:sz w:val="22"/>
          <w:szCs w:val="22"/>
        </w:rPr>
        <w:t xml:space="preserve">Lund </w:t>
      </w:r>
      <w:r w:rsidR="00457B2B" w:rsidRPr="00B3729A">
        <w:rPr>
          <w:sz w:val="22"/>
          <w:szCs w:val="22"/>
        </w:rPr>
        <w:t xml:space="preserve">Corporations </w:t>
      </w:r>
      <w:r w:rsidR="00E5241E" w:rsidRPr="00B3729A">
        <w:rPr>
          <w:sz w:val="22"/>
          <w:szCs w:val="22"/>
        </w:rPr>
        <w:t>filed Articles of Amendments</w:t>
      </w:r>
      <w:r w:rsidR="00896723">
        <w:rPr>
          <w:sz w:val="22"/>
          <w:szCs w:val="22"/>
        </w:rPr>
        <w:t xml:space="preserve"> (</w:t>
      </w:r>
      <w:r w:rsidR="009045B5" w:rsidRPr="00B3729A">
        <w:rPr>
          <w:sz w:val="22"/>
          <w:szCs w:val="22"/>
        </w:rPr>
        <w:t>Amendments)</w:t>
      </w:r>
      <w:r w:rsidR="00E5241E" w:rsidRPr="00B3729A">
        <w:rPr>
          <w:sz w:val="22"/>
          <w:szCs w:val="22"/>
        </w:rPr>
        <w:t xml:space="preserve"> with the </w:t>
      </w:r>
      <w:r w:rsidR="00880300">
        <w:rPr>
          <w:sz w:val="22"/>
          <w:szCs w:val="22"/>
        </w:rPr>
        <w:t>O</w:t>
      </w:r>
      <w:r w:rsidR="00E5241E" w:rsidRPr="00B3729A">
        <w:rPr>
          <w:sz w:val="22"/>
          <w:szCs w:val="22"/>
        </w:rPr>
        <w:t>SOS to co</w:t>
      </w:r>
      <w:r w:rsidR="00B45BF4" w:rsidRPr="00B3729A">
        <w:rPr>
          <w:sz w:val="22"/>
          <w:szCs w:val="22"/>
        </w:rPr>
        <w:t>n</w:t>
      </w:r>
      <w:r w:rsidR="00E5241E" w:rsidRPr="00B3729A">
        <w:rPr>
          <w:sz w:val="22"/>
          <w:szCs w:val="22"/>
        </w:rPr>
        <w:t>vert</w:t>
      </w:r>
      <w:r w:rsidRPr="00B3729A">
        <w:rPr>
          <w:sz w:val="22"/>
          <w:szCs w:val="22"/>
        </w:rPr>
        <w:t xml:space="preserve"> from public benefit corporation</w:t>
      </w:r>
      <w:r w:rsidR="00E5241E" w:rsidRPr="00B3729A">
        <w:rPr>
          <w:sz w:val="22"/>
          <w:szCs w:val="22"/>
        </w:rPr>
        <w:t>s</w:t>
      </w:r>
      <w:r w:rsidRPr="00B3729A">
        <w:rPr>
          <w:sz w:val="22"/>
          <w:szCs w:val="22"/>
        </w:rPr>
        <w:t xml:space="preserve"> to religious corporation</w:t>
      </w:r>
      <w:r w:rsidR="00E5241E" w:rsidRPr="00B3729A">
        <w:rPr>
          <w:sz w:val="22"/>
          <w:szCs w:val="22"/>
        </w:rPr>
        <w:t>s</w:t>
      </w:r>
      <w:r w:rsidRPr="00B3729A">
        <w:rPr>
          <w:sz w:val="22"/>
          <w:szCs w:val="22"/>
        </w:rPr>
        <w:t>.</w:t>
      </w:r>
      <w:r w:rsidRPr="00EF3A19">
        <w:rPr>
          <w:rStyle w:val="FootnoteReference"/>
          <w:rFonts w:ascii="Times New Roman" w:hAnsi="Times New Roman"/>
          <w:sz w:val="22"/>
        </w:rPr>
        <w:footnoteReference w:id="15"/>
      </w:r>
      <w:r w:rsidR="00DF6E22" w:rsidRPr="00B3729A">
        <w:rPr>
          <w:sz w:val="22"/>
          <w:szCs w:val="22"/>
        </w:rPr>
        <w:t xml:space="preserve">  </w:t>
      </w:r>
      <w:r w:rsidR="009045B5" w:rsidRPr="00B3729A">
        <w:rPr>
          <w:sz w:val="22"/>
          <w:szCs w:val="22"/>
        </w:rPr>
        <w:t>Moreover, the ODOJ Letter finds that the Amendments did not cure the defects in the structure of the Lund Corporations because, as single-member public benefit corporations, the Lund Corporations never had a three-person bo</w:t>
      </w:r>
      <w:r w:rsidR="00964679" w:rsidRPr="00B3729A">
        <w:rPr>
          <w:sz w:val="22"/>
          <w:szCs w:val="22"/>
        </w:rPr>
        <w:t>ard</w:t>
      </w:r>
      <w:r w:rsidR="009045B5" w:rsidRPr="00B3729A">
        <w:rPr>
          <w:sz w:val="22"/>
          <w:szCs w:val="22"/>
        </w:rPr>
        <w:t xml:space="preserve"> that could authorize the conversion to a religious corporation.</w:t>
      </w:r>
      <w:r w:rsidR="009045B5" w:rsidRPr="00EF3A19">
        <w:rPr>
          <w:rStyle w:val="FootnoteReference"/>
          <w:rFonts w:ascii="Times New Roman" w:hAnsi="Times New Roman"/>
          <w:sz w:val="22"/>
        </w:rPr>
        <w:footnoteReference w:id="16"/>
      </w:r>
    </w:p>
    <w:p w14:paraId="54D9FDAD" w14:textId="77777777" w:rsidR="007257E1" w:rsidRPr="00B3729A" w:rsidRDefault="007257E1" w:rsidP="00E5241E">
      <w:pPr>
        <w:widowControl/>
        <w:ind w:firstLine="720"/>
        <w:rPr>
          <w:sz w:val="22"/>
          <w:szCs w:val="22"/>
        </w:rPr>
      </w:pPr>
    </w:p>
    <w:p w14:paraId="49E5C27E" w14:textId="24A144E2" w:rsidR="00475461" w:rsidRPr="00B3729A" w:rsidRDefault="00DF6E22" w:rsidP="00DF6E22">
      <w:pPr>
        <w:widowControl/>
        <w:ind w:firstLine="720"/>
        <w:rPr>
          <w:sz w:val="22"/>
          <w:szCs w:val="22"/>
        </w:rPr>
      </w:pPr>
      <w:r w:rsidRPr="00B3729A">
        <w:rPr>
          <w:sz w:val="22"/>
          <w:szCs w:val="22"/>
        </w:rPr>
        <w:t>Finally</w:t>
      </w:r>
      <w:r w:rsidR="005B169C" w:rsidRPr="00B3729A">
        <w:rPr>
          <w:sz w:val="22"/>
          <w:szCs w:val="22"/>
        </w:rPr>
        <w:t>, t</w:t>
      </w:r>
      <w:r w:rsidR="00FA300C" w:rsidRPr="00B3729A">
        <w:rPr>
          <w:sz w:val="22"/>
          <w:szCs w:val="22"/>
        </w:rPr>
        <w:t xml:space="preserve">he </w:t>
      </w:r>
      <w:r w:rsidR="0034283B" w:rsidRPr="00B3729A">
        <w:rPr>
          <w:sz w:val="22"/>
          <w:szCs w:val="22"/>
        </w:rPr>
        <w:t>O</w:t>
      </w:r>
      <w:r w:rsidR="00FA300C" w:rsidRPr="00B3729A">
        <w:rPr>
          <w:sz w:val="22"/>
          <w:szCs w:val="22"/>
        </w:rPr>
        <w:t>DOJ Letter</w:t>
      </w:r>
      <w:r w:rsidR="00860BD0" w:rsidRPr="00B3729A">
        <w:rPr>
          <w:sz w:val="22"/>
          <w:szCs w:val="22"/>
        </w:rPr>
        <w:t xml:space="preserve"> states that </w:t>
      </w:r>
      <w:r w:rsidR="00866AED" w:rsidRPr="00B3729A">
        <w:rPr>
          <w:sz w:val="22"/>
          <w:szCs w:val="22"/>
        </w:rPr>
        <w:t>an ODOJ</w:t>
      </w:r>
      <w:r w:rsidR="00F91DD6" w:rsidRPr="00B3729A">
        <w:rPr>
          <w:sz w:val="22"/>
          <w:szCs w:val="22"/>
        </w:rPr>
        <w:t xml:space="preserve"> </w:t>
      </w:r>
      <w:r w:rsidR="00860BD0" w:rsidRPr="00B3729A">
        <w:rPr>
          <w:sz w:val="22"/>
          <w:szCs w:val="22"/>
        </w:rPr>
        <w:t xml:space="preserve">investigation </w:t>
      </w:r>
      <w:r w:rsidR="002D4CA9" w:rsidRPr="00B3729A">
        <w:rPr>
          <w:sz w:val="22"/>
          <w:szCs w:val="22"/>
        </w:rPr>
        <w:t xml:space="preserve">found </w:t>
      </w:r>
      <w:r w:rsidR="00860BD0" w:rsidRPr="00B3729A">
        <w:rPr>
          <w:sz w:val="22"/>
          <w:szCs w:val="22"/>
        </w:rPr>
        <w:t xml:space="preserve">that </w:t>
      </w:r>
      <w:r w:rsidR="004440E4" w:rsidRPr="00B3729A">
        <w:rPr>
          <w:sz w:val="22"/>
          <w:szCs w:val="22"/>
        </w:rPr>
        <w:t>the Lund Corporations “are effectively controlled by Robert Lund and that he orchestrated [their] activities”</w:t>
      </w:r>
      <w:r w:rsidR="004440E4" w:rsidRPr="00EF3A19">
        <w:rPr>
          <w:rStyle w:val="FootnoteReference"/>
          <w:rFonts w:ascii="Times New Roman" w:hAnsi="Times New Roman"/>
          <w:sz w:val="22"/>
        </w:rPr>
        <w:footnoteReference w:id="17"/>
      </w:r>
      <w:r w:rsidR="005B169C" w:rsidRPr="00B3729A">
        <w:rPr>
          <w:sz w:val="22"/>
          <w:szCs w:val="22"/>
        </w:rPr>
        <w:t xml:space="preserve"> </w:t>
      </w:r>
      <w:r w:rsidR="004440E4" w:rsidRPr="00B3729A">
        <w:rPr>
          <w:sz w:val="22"/>
          <w:szCs w:val="22"/>
        </w:rPr>
        <w:t xml:space="preserve"> </w:t>
      </w:r>
      <w:r w:rsidR="00F91DD6" w:rsidRPr="00B3729A">
        <w:rPr>
          <w:sz w:val="22"/>
          <w:szCs w:val="22"/>
        </w:rPr>
        <w:t xml:space="preserve">and that </w:t>
      </w:r>
      <w:r w:rsidR="002D4CA9" w:rsidRPr="00B3729A">
        <w:rPr>
          <w:sz w:val="22"/>
          <w:szCs w:val="22"/>
        </w:rPr>
        <w:t>“</w:t>
      </w:r>
      <w:r w:rsidR="004440E4" w:rsidRPr="00B3729A">
        <w:rPr>
          <w:sz w:val="22"/>
          <w:szCs w:val="22"/>
        </w:rPr>
        <w:t>[p</w:t>
      </w:r>
      <w:r w:rsidR="002D4CA9" w:rsidRPr="00B3729A">
        <w:rPr>
          <w:sz w:val="22"/>
          <w:szCs w:val="22"/>
        </w:rPr>
        <w:t>]</w:t>
      </w:r>
      <w:r w:rsidR="004440E4" w:rsidRPr="00B3729A">
        <w:rPr>
          <w:sz w:val="22"/>
          <w:szCs w:val="22"/>
        </w:rPr>
        <w:t xml:space="preserve">ossibly, given their shell-like nature, the Lund Corporations may have been formed to circumvent [Commission] licensing restrictions limiting the ability of persons to have an interest in more than one </w:t>
      </w:r>
      <w:r w:rsidR="002D4CA9" w:rsidRPr="00B3729A">
        <w:rPr>
          <w:sz w:val="22"/>
          <w:szCs w:val="22"/>
        </w:rPr>
        <w:t xml:space="preserve">[LPFM] </w:t>
      </w:r>
      <w:r w:rsidR="004440E4" w:rsidRPr="00B3729A">
        <w:rPr>
          <w:sz w:val="22"/>
          <w:szCs w:val="22"/>
        </w:rPr>
        <w:t>license</w:t>
      </w:r>
      <w:r w:rsidR="009045B5" w:rsidRPr="00B3729A">
        <w:rPr>
          <w:sz w:val="22"/>
          <w:szCs w:val="22"/>
        </w:rPr>
        <w:t>.</w:t>
      </w:r>
      <w:r w:rsidR="004440E4" w:rsidRPr="00B3729A">
        <w:rPr>
          <w:sz w:val="22"/>
          <w:szCs w:val="22"/>
        </w:rPr>
        <w:t>”</w:t>
      </w:r>
      <w:r w:rsidR="005B169C" w:rsidRPr="00EF3A19">
        <w:rPr>
          <w:rStyle w:val="FootnoteReference"/>
          <w:rFonts w:ascii="Times New Roman" w:hAnsi="Times New Roman"/>
          <w:sz w:val="22"/>
        </w:rPr>
        <w:footnoteReference w:id="18"/>
      </w:r>
      <w:r w:rsidR="00CC3ABC" w:rsidRPr="00B3729A">
        <w:rPr>
          <w:sz w:val="22"/>
          <w:szCs w:val="22"/>
        </w:rPr>
        <w:t xml:space="preserve">  This finding is based on interviews with the </w:t>
      </w:r>
      <w:r w:rsidR="00AE1EBD" w:rsidRPr="00B3729A">
        <w:rPr>
          <w:sz w:val="22"/>
          <w:szCs w:val="22"/>
        </w:rPr>
        <w:t xml:space="preserve">nominal </w:t>
      </w:r>
      <w:r w:rsidR="00CC3ABC" w:rsidRPr="00B3729A">
        <w:rPr>
          <w:sz w:val="22"/>
          <w:szCs w:val="22"/>
        </w:rPr>
        <w:t xml:space="preserve">directors of </w:t>
      </w:r>
      <w:r w:rsidR="00186055" w:rsidRPr="00B3729A">
        <w:rPr>
          <w:sz w:val="22"/>
          <w:szCs w:val="22"/>
        </w:rPr>
        <w:t>several</w:t>
      </w:r>
      <w:r w:rsidR="00CC3ABC" w:rsidRPr="00B3729A">
        <w:rPr>
          <w:sz w:val="22"/>
          <w:szCs w:val="22"/>
        </w:rPr>
        <w:t xml:space="preserve"> of the </w:t>
      </w:r>
      <w:r w:rsidR="00010D05" w:rsidRPr="00B3729A">
        <w:rPr>
          <w:sz w:val="22"/>
          <w:szCs w:val="22"/>
        </w:rPr>
        <w:t>Lund Corporations</w:t>
      </w:r>
      <w:r w:rsidR="005C49F3" w:rsidRPr="00B3729A">
        <w:rPr>
          <w:sz w:val="22"/>
          <w:szCs w:val="22"/>
        </w:rPr>
        <w:t xml:space="preserve">, wherein they </w:t>
      </w:r>
      <w:r w:rsidR="002D4CA9" w:rsidRPr="00B3729A">
        <w:rPr>
          <w:sz w:val="22"/>
          <w:szCs w:val="22"/>
        </w:rPr>
        <w:t xml:space="preserve">provided information indicating </w:t>
      </w:r>
      <w:r w:rsidR="005C49F3" w:rsidRPr="00B3729A">
        <w:rPr>
          <w:sz w:val="22"/>
          <w:szCs w:val="22"/>
        </w:rPr>
        <w:t>that Lund created and controlled each of the Lund Corporations</w:t>
      </w:r>
      <w:r w:rsidR="00B61B7C" w:rsidRPr="00B3729A">
        <w:rPr>
          <w:sz w:val="22"/>
          <w:szCs w:val="22"/>
        </w:rPr>
        <w:t xml:space="preserve"> in which they were listed as the sole </w:t>
      </w:r>
      <w:r w:rsidR="00D77B4A">
        <w:rPr>
          <w:sz w:val="22"/>
          <w:szCs w:val="22"/>
        </w:rPr>
        <w:t>directors</w:t>
      </w:r>
      <w:r w:rsidRPr="00B3729A">
        <w:rPr>
          <w:sz w:val="22"/>
          <w:szCs w:val="22"/>
        </w:rPr>
        <w:t>.</w:t>
      </w:r>
      <w:r w:rsidR="0077228A" w:rsidRPr="00EF3A19">
        <w:rPr>
          <w:rStyle w:val="FootnoteReference"/>
          <w:rFonts w:ascii="Times New Roman" w:hAnsi="Times New Roman"/>
          <w:sz w:val="22"/>
        </w:rPr>
        <w:footnoteReference w:id="19"/>
      </w:r>
      <w:r w:rsidR="001349B5" w:rsidRPr="00B3729A">
        <w:rPr>
          <w:sz w:val="22"/>
          <w:szCs w:val="22"/>
        </w:rPr>
        <w:t xml:space="preserve"> </w:t>
      </w:r>
      <w:r w:rsidR="007C399C" w:rsidRPr="00B3729A">
        <w:rPr>
          <w:sz w:val="22"/>
          <w:szCs w:val="22"/>
        </w:rPr>
        <w:t xml:space="preserve"> </w:t>
      </w:r>
    </w:p>
    <w:p w14:paraId="0E634427" w14:textId="77777777" w:rsidR="004701F2" w:rsidRPr="00B3729A" w:rsidRDefault="004701F2" w:rsidP="00DF6E22">
      <w:pPr>
        <w:widowControl/>
        <w:ind w:firstLine="720"/>
        <w:rPr>
          <w:sz w:val="22"/>
          <w:szCs w:val="22"/>
        </w:rPr>
      </w:pPr>
    </w:p>
    <w:p w14:paraId="113A409F" w14:textId="00A4E958" w:rsidR="00B15A5E" w:rsidRPr="00B3729A" w:rsidRDefault="00B15A5E" w:rsidP="00DF6E22">
      <w:pPr>
        <w:widowControl/>
        <w:ind w:firstLine="720"/>
        <w:rPr>
          <w:sz w:val="22"/>
          <w:szCs w:val="22"/>
        </w:rPr>
      </w:pPr>
      <w:r w:rsidRPr="00B3729A">
        <w:rPr>
          <w:sz w:val="22"/>
          <w:szCs w:val="22"/>
        </w:rPr>
        <w:t>On July 21, 2015, the Bureau issued a Letter of Inquiry</w:t>
      </w:r>
      <w:r w:rsidR="00896723">
        <w:rPr>
          <w:sz w:val="22"/>
          <w:szCs w:val="22"/>
        </w:rPr>
        <w:t xml:space="preserve"> (</w:t>
      </w:r>
      <w:r w:rsidR="007C399C" w:rsidRPr="00B3729A">
        <w:rPr>
          <w:sz w:val="22"/>
          <w:szCs w:val="22"/>
        </w:rPr>
        <w:t>LOI</w:t>
      </w:r>
      <w:r w:rsidR="00EF3A19">
        <w:rPr>
          <w:sz w:val="22"/>
          <w:szCs w:val="22"/>
        </w:rPr>
        <w:t>s</w:t>
      </w:r>
      <w:r w:rsidR="007C399C" w:rsidRPr="00B3729A">
        <w:rPr>
          <w:sz w:val="22"/>
          <w:szCs w:val="22"/>
        </w:rPr>
        <w:t>)</w:t>
      </w:r>
      <w:r w:rsidRPr="00B3729A">
        <w:rPr>
          <w:sz w:val="22"/>
          <w:szCs w:val="22"/>
        </w:rPr>
        <w:t xml:space="preserve"> to </w:t>
      </w:r>
      <w:r w:rsidR="007C399C" w:rsidRPr="00B3729A">
        <w:rPr>
          <w:sz w:val="22"/>
          <w:szCs w:val="22"/>
        </w:rPr>
        <w:t xml:space="preserve">each of </w:t>
      </w:r>
      <w:r w:rsidRPr="00B3729A">
        <w:rPr>
          <w:sz w:val="22"/>
          <w:szCs w:val="22"/>
        </w:rPr>
        <w:t xml:space="preserve">the Lund </w:t>
      </w:r>
      <w:r w:rsidR="00457B2B" w:rsidRPr="00B3729A">
        <w:rPr>
          <w:sz w:val="22"/>
          <w:szCs w:val="22"/>
        </w:rPr>
        <w:t>Corporations</w:t>
      </w:r>
      <w:r w:rsidRPr="00B3729A">
        <w:rPr>
          <w:sz w:val="22"/>
          <w:szCs w:val="22"/>
        </w:rPr>
        <w:t xml:space="preserve">, affording </w:t>
      </w:r>
      <w:r w:rsidR="007C399C" w:rsidRPr="00B3729A">
        <w:rPr>
          <w:sz w:val="22"/>
          <w:szCs w:val="22"/>
        </w:rPr>
        <w:t>them</w:t>
      </w:r>
      <w:r w:rsidRPr="00B3729A">
        <w:rPr>
          <w:sz w:val="22"/>
          <w:szCs w:val="22"/>
        </w:rPr>
        <w:t xml:space="preserve"> a 30-day opportunity to respond to the allegations raised in the ODOJ Letter.  </w:t>
      </w:r>
      <w:r w:rsidR="00834CDF" w:rsidRPr="00B3729A">
        <w:rPr>
          <w:sz w:val="22"/>
          <w:szCs w:val="22"/>
        </w:rPr>
        <w:t xml:space="preserve">On August 21, 2015, counsel for the Lund </w:t>
      </w:r>
      <w:r w:rsidR="00457B2B" w:rsidRPr="00B3729A">
        <w:rPr>
          <w:sz w:val="22"/>
          <w:szCs w:val="22"/>
        </w:rPr>
        <w:t>Corporations</w:t>
      </w:r>
      <w:r w:rsidR="00834CDF" w:rsidRPr="00B3729A">
        <w:rPr>
          <w:sz w:val="22"/>
          <w:szCs w:val="22"/>
        </w:rPr>
        <w:t xml:space="preserve"> submitted a request for an additional 30</w:t>
      </w:r>
      <w:r w:rsidR="00860BD0" w:rsidRPr="00B3729A">
        <w:rPr>
          <w:sz w:val="22"/>
          <w:szCs w:val="22"/>
        </w:rPr>
        <w:t xml:space="preserve"> </w:t>
      </w:r>
      <w:r w:rsidR="00834CDF" w:rsidRPr="00B3729A">
        <w:rPr>
          <w:sz w:val="22"/>
          <w:szCs w:val="22"/>
        </w:rPr>
        <w:t>days in which to file a response</w:t>
      </w:r>
      <w:r w:rsidR="00083E23" w:rsidRPr="00B3729A">
        <w:rPr>
          <w:sz w:val="22"/>
          <w:szCs w:val="22"/>
        </w:rPr>
        <w:t>, which the Bureau granted</w:t>
      </w:r>
      <w:r w:rsidR="00834CDF" w:rsidRPr="00B3729A">
        <w:rPr>
          <w:sz w:val="22"/>
          <w:szCs w:val="22"/>
        </w:rPr>
        <w:t>.</w:t>
      </w:r>
      <w:r w:rsidR="00834CDF" w:rsidRPr="00EF3A19">
        <w:rPr>
          <w:rStyle w:val="FootnoteReference"/>
          <w:rFonts w:ascii="Times New Roman" w:hAnsi="Times New Roman"/>
          <w:sz w:val="22"/>
        </w:rPr>
        <w:footnoteReference w:id="20"/>
      </w:r>
      <w:r w:rsidR="00992AC1" w:rsidRPr="00B3729A">
        <w:rPr>
          <w:sz w:val="22"/>
          <w:szCs w:val="22"/>
        </w:rPr>
        <w:t xml:space="preserve">  </w:t>
      </w:r>
      <w:r w:rsidR="00EB506E" w:rsidRPr="00B3729A">
        <w:rPr>
          <w:sz w:val="22"/>
          <w:szCs w:val="22"/>
        </w:rPr>
        <w:t>On September 25, counsel for the Lund Corporations submitted a request for a further extension of time, until October 19, 2015, and that request was granted.</w:t>
      </w:r>
      <w:r w:rsidR="00EB506E" w:rsidRPr="00EF3A19">
        <w:rPr>
          <w:rStyle w:val="FootnoteReference"/>
          <w:rFonts w:ascii="Times New Roman" w:hAnsi="Times New Roman"/>
          <w:sz w:val="22"/>
        </w:rPr>
        <w:footnoteReference w:id="21"/>
      </w:r>
      <w:r w:rsidR="00EB506E" w:rsidRPr="00B3729A">
        <w:rPr>
          <w:sz w:val="22"/>
          <w:szCs w:val="22"/>
        </w:rPr>
        <w:t xml:space="preserve">  </w:t>
      </w:r>
      <w:r w:rsidR="001745F1" w:rsidRPr="00B3729A">
        <w:rPr>
          <w:sz w:val="22"/>
          <w:szCs w:val="22"/>
        </w:rPr>
        <w:t>On October 22, 2015, counsel for the Lund Corporations submitted a third extension request, seeking an extension until November 25, 2015.</w:t>
      </w:r>
      <w:r w:rsidR="001745F1" w:rsidRPr="00EF3A19">
        <w:rPr>
          <w:rStyle w:val="FootnoteReference"/>
          <w:rFonts w:ascii="Times New Roman" w:hAnsi="Times New Roman"/>
          <w:sz w:val="22"/>
        </w:rPr>
        <w:footnoteReference w:id="22"/>
      </w:r>
      <w:r w:rsidR="001745F1" w:rsidRPr="00B3729A">
        <w:rPr>
          <w:sz w:val="22"/>
          <w:szCs w:val="22"/>
        </w:rPr>
        <w:t xml:space="preserve">  In response, the Bureau granted an extension until October </w:t>
      </w:r>
      <w:r w:rsidR="00CC51EB" w:rsidRPr="00B3729A">
        <w:rPr>
          <w:sz w:val="22"/>
          <w:szCs w:val="22"/>
        </w:rPr>
        <w:t>3</w:t>
      </w:r>
      <w:r w:rsidR="001745F1" w:rsidRPr="00B3729A">
        <w:rPr>
          <w:sz w:val="22"/>
          <w:szCs w:val="22"/>
        </w:rPr>
        <w:t>0, 2015, and warned that no further extensions would be allowed.</w:t>
      </w:r>
      <w:r w:rsidR="001745F1" w:rsidRPr="00EF3A19">
        <w:rPr>
          <w:rStyle w:val="FootnoteReference"/>
          <w:rFonts w:ascii="Times New Roman" w:hAnsi="Times New Roman"/>
          <w:sz w:val="22"/>
        </w:rPr>
        <w:footnoteReference w:id="23"/>
      </w:r>
      <w:r w:rsidR="001745F1" w:rsidRPr="00B3729A">
        <w:rPr>
          <w:sz w:val="22"/>
          <w:szCs w:val="22"/>
        </w:rPr>
        <w:t xml:space="preserve">  </w:t>
      </w:r>
    </w:p>
    <w:p w14:paraId="2E0E6C35" w14:textId="77777777" w:rsidR="00CC51EB" w:rsidRPr="00B3729A" w:rsidRDefault="00CC51EB" w:rsidP="00DF6E22">
      <w:pPr>
        <w:widowControl/>
        <w:ind w:firstLine="720"/>
        <w:rPr>
          <w:sz w:val="22"/>
          <w:szCs w:val="22"/>
        </w:rPr>
      </w:pPr>
    </w:p>
    <w:p w14:paraId="7A59FEB3" w14:textId="481C4A1B" w:rsidR="00CC51EB" w:rsidRPr="00B3729A" w:rsidRDefault="00CC51EB" w:rsidP="00506301">
      <w:pPr>
        <w:widowControl/>
        <w:autoSpaceDE w:val="0"/>
        <w:autoSpaceDN w:val="0"/>
        <w:adjustRightInd w:val="0"/>
        <w:ind w:firstLine="720"/>
        <w:rPr>
          <w:sz w:val="22"/>
          <w:szCs w:val="22"/>
        </w:rPr>
      </w:pPr>
      <w:r w:rsidRPr="00B3729A">
        <w:rPr>
          <w:sz w:val="22"/>
          <w:szCs w:val="22"/>
        </w:rPr>
        <w:t>On October 30, 2015, Lund submitted a l</w:t>
      </w:r>
      <w:r w:rsidR="00896723">
        <w:rPr>
          <w:sz w:val="22"/>
          <w:szCs w:val="22"/>
        </w:rPr>
        <w:t>etter in response to the LOIs (</w:t>
      </w:r>
      <w:r w:rsidRPr="00B3729A">
        <w:rPr>
          <w:sz w:val="22"/>
          <w:szCs w:val="22"/>
        </w:rPr>
        <w:t>L</w:t>
      </w:r>
      <w:r w:rsidR="00E7064B" w:rsidRPr="00B3729A">
        <w:rPr>
          <w:sz w:val="22"/>
          <w:szCs w:val="22"/>
        </w:rPr>
        <w:t>und</w:t>
      </w:r>
      <w:r w:rsidR="00896723">
        <w:rPr>
          <w:sz w:val="22"/>
          <w:szCs w:val="22"/>
        </w:rPr>
        <w:t xml:space="preserve"> Response</w:t>
      </w:r>
      <w:r w:rsidRPr="00B3729A">
        <w:rPr>
          <w:sz w:val="22"/>
          <w:szCs w:val="22"/>
        </w:rPr>
        <w:t>).</w:t>
      </w:r>
      <w:r w:rsidR="000C090A" w:rsidRPr="00B3729A">
        <w:rPr>
          <w:sz w:val="22"/>
          <w:szCs w:val="22"/>
        </w:rPr>
        <w:t xml:space="preserve">  </w:t>
      </w:r>
      <w:r w:rsidR="001D126D" w:rsidRPr="00B3729A">
        <w:rPr>
          <w:sz w:val="22"/>
          <w:szCs w:val="22"/>
        </w:rPr>
        <w:t xml:space="preserve">Lund states that </w:t>
      </w:r>
      <w:r w:rsidR="00506301" w:rsidRPr="00B3729A">
        <w:rPr>
          <w:sz w:val="22"/>
          <w:szCs w:val="22"/>
        </w:rPr>
        <w:t>e</w:t>
      </w:r>
      <w:r w:rsidR="000C1614" w:rsidRPr="00B3729A">
        <w:rPr>
          <w:sz w:val="22"/>
          <w:szCs w:val="22"/>
        </w:rPr>
        <w:t xml:space="preserve">ach of the Lund Corporations remains in good standing with the OSOS, that the OSOS “is not within the </w:t>
      </w:r>
      <w:r w:rsidR="00470D1B" w:rsidRPr="00B3729A">
        <w:rPr>
          <w:sz w:val="22"/>
          <w:szCs w:val="22"/>
        </w:rPr>
        <w:t>jurisdiction</w:t>
      </w:r>
      <w:r w:rsidR="000C1614" w:rsidRPr="00B3729A">
        <w:rPr>
          <w:sz w:val="22"/>
          <w:szCs w:val="22"/>
        </w:rPr>
        <w:t xml:space="preserve"> of the [ODOJ],” and that the ODOJ Letter is “a legal </w:t>
      </w:r>
      <w:r w:rsidR="000C1614" w:rsidRPr="00B3729A">
        <w:rPr>
          <w:i/>
          <w:sz w:val="22"/>
          <w:szCs w:val="22"/>
        </w:rPr>
        <w:t xml:space="preserve">opinion, </w:t>
      </w:r>
      <w:r w:rsidR="000C1614" w:rsidRPr="00B3729A">
        <w:rPr>
          <w:sz w:val="22"/>
          <w:szCs w:val="22"/>
        </w:rPr>
        <w:t>not a legal adjudication</w:t>
      </w:r>
      <w:r w:rsidR="0037647C" w:rsidRPr="00B3729A">
        <w:rPr>
          <w:sz w:val="22"/>
          <w:szCs w:val="22"/>
        </w:rPr>
        <w:t>.</w:t>
      </w:r>
      <w:r w:rsidR="000C1614" w:rsidRPr="00B3729A">
        <w:rPr>
          <w:sz w:val="22"/>
          <w:szCs w:val="22"/>
        </w:rPr>
        <w:t>”</w:t>
      </w:r>
      <w:r w:rsidR="000C1614" w:rsidRPr="00B3729A">
        <w:rPr>
          <w:rStyle w:val="FootnoteReference"/>
          <w:rFonts w:ascii="Times New Roman" w:hAnsi="Times New Roman"/>
          <w:sz w:val="22"/>
          <w:szCs w:val="22"/>
        </w:rPr>
        <w:footnoteReference w:id="24"/>
      </w:r>
      <w:r w:rsidR="00971862" w:rsidRPr="00B3729A">
        <w:rPr>
          <w:sz w:val="22"/>
          <w:szCs w:val="22"/>
        </w:rPr>
        <w:t xml:space="preserve">  </w:t>
      </w:r>
      <w:r w:rsidR="003A7C60" w:rsidRPr="00B3729A">
        <w:rPr>
          <w:sz w:val="22"/>
          <w:szCs w:val="22"/>
        </w:rPr>
        <w:t xml:space="preserve">Regarding his alleged control of the Lund Corporations, </w:t>
      </w:r>
      <w:r w:rsidR="00971862" w:rsidRPr="00B3729A">
        <w:rPr>
          <w:sz w:val="22"/>
          <w:szCs w:val="22"/>
        </w:rPr>
        <w:t xml:space="preserve">Lund states that </w:t>
      </w:r>
      <w:r w:rsidR="00470D1B" w:rsidRPr="00B3729A">
        <w:rPr>
          <w:sz w:val="22"/>
          <w:szCs w:val="22"/>
        </w:rPr>
        <w:t>“</w:t>
      </w:r>
      <w:r w:rsidR="00470D1B" w:rsidRPr="00B3729A">
        <w:rPr>
          <w:snapToGrid/>
          <w:sz w:val="22"/>
          <w:szCs w:val="22"/>
        </w:rPr>
        <w:t>all the letter contains is allegation after</w:t>
      </w:r>
      <w:r w:rsidR="003A7C60" w:rsidRPr="00B3729A">
        <w:rPr>
          <w:snapToGrid/>
          <w:sz w:val="22"/>
          <w:szCs w:val="22"/>
        </w:rPr>
        <w:t xml:space="preserve"> a</w:t>
      </w:r>
      <w:r w:rsidR="00470D1B" w:rsidRPr="00B3729A">
        <w:rPr>
          <w:snapToGrid/>
          <w:sz w:val="22"/>
          <w:szCs w:val="22"/>
        </w:rPr>
        <w:t>llegation, supported only by hearsay, all of which should not even be admissible.”</w:t>
      </w:r>
      <w:r w:rsidR="003A7C60" w:rsidRPr="00B3729A">
        <w:rPr>
          <w:rStyle w:val="FootnoteReference"/>
          <w:rFonts w:ascii="Times New Roman" w:hAnsi="Times New Roman"/>
          <w:snapToGrid/>
          <w:sz w:val="22"/>
          <w:szCs w:val="22"/>
        </w:rPr>
        <w:footnoteReference w:id="25"/>
      </w:r>
      <w:r w:rsidR="00470D1B" w:rsidRPr="00B3729A">
        <w:rPr>
          <w:snapToGrid/>
          <w:sz w:val="22"/>
          <w:szCs w:val="22"/>
        </w:rPr>
        <w:t xml:space="preserve"> </w:t>
      </w:r>
      <w:r w:rsidR="00E7064B" w:rsidRPr="00B3729A">
        <w:rPr>
          <w:snapToGrid/>
          <w:sz w:val="22"/>
          <w:szCs w:val="22"/>
        </w:rPr>
        <w:t xml:space="preserve"> He further states that “these allegations as to</w:t>
      </w:r>
      <w:r w:rsidR="00506301" w:rsidRPr="00B3729A">
        <w:rPr>
          <w:snapToGrid/>
          <w:sz w:val="22"/>
          <w:szCs w:val="22"/>
        </w:rPr>
        <w:t xml:space="preserve"> </w:t>
      </w:r>
      <w:r w:rsidR="00E7064B" w:rsidRPr="00B3729A">
        <w:rPr>
          <w:snapToGrid/>
          <w:sz w:val="22"/>
          <w:szCs w:val="22"/>
        </w:rPr>
        <w:t>‘excessive involvement’ of Robert Lund were already answered previously in response to</w:t>
      </w:r>
      <w:r w:rsidR="00506301" w:rsidRPr="00B3729A">
        <w:rPr>
          <w:snapToGrid/>
          <w:sz w:val="22"/>
          <w:szCs w:val="22"/>
        </w:rPr>
        <w:t xml:space="preserve"> </w:t>
      </w:r>
      <w:r w:rsidR="00E7064B" w:rsidRPr="00B3729A">
        <w:rPr>
          <w:snapToGrid/>
          <w:sz w:val="22"/>
          <w:szCs w:val="22"/>
        </w:rPr>
        <w:t>[the Prometheus Objection].”</w:t>
      </w:r>
      <w:r w:rsidR="00E7064B" w:rsidRPr="00B3729A">
        <w:rPr>
          <w:rStyle w:val="FootnoteReference"/>
          <w:rFonts w:ascii="Times New Roman" w:hAnsi="Times New Roman"/>
          <w:snapToGrid/>
          <w:sz w:val="22"/>
          <w:szCs w:val="22"/>
        </w:rPr>
        <w:footnoteReference w:id="26"/>
      </w:r>
      <w:r w:rsidR="000C1614" w:rsidRPr="00B3729A">
        <w:rPr>
          <w:sz w:val="22"/>
          <w:szCs w:val="22"/>
        </w:rPr>
        <w:t xml:space="preserve"> </w:t>
      </w:r>
      <w:r w:rsidR="00E7064B" w:rsidRPr="00B3729A">
        <w:rPr>
          <w:sz w:val="22"/>
          <w:szCs w:val="22"/>
        </w:rPr>
        <w:t xml:space="preserve"> </w:t>
      </w:r>
      <w:r w:rsidR="00613433" w:rsidRPr="00B3729A">
        <w:rPr>
          <w:sz w:val="22"/>
          <w:szCs w:val="22"/>
        </w:rPr>
        <w:t xml:space="preserve">Attached to the </w:t>
      </w:r>
      <w:r w:rsidR="00506301" w:rsidRPr="00B3729A">
        <w:rPr>
          <w:sz w:val="22"/>
          <w:szCs w:val="22"/>
        </w:rPr>
        <w:t>Lund R</w:t>
      </w:r>
      <w:r w:rsidR="00613433" w:rsidRPr="00B3729A">
        <w:rPr>
          <w:sz w:val="22"/>
          <w:szCs w:val="22"/>
        </w:rPr>
        <w:t>esponse are</w:t>
      </w:r>
      <w:r w:rsidR="008E34AB" w:rsidRPr="00B3729A">
        <w:rPr>
          <w:sz w:val="22"/>
          <w:szCs w:val="22"/>
        </w:rPr>
        <w:t xml:space="preserve"> declarations from six of the Lund Corporations</w:t>
      </w:r>
      <w:r w:rsidR="00506301" w:rsidRPr="00B3729A">
        <w:rPr>
          <w:sz w:val="22"/>
          <w:szCs w:val="22"/>
        </w:rPr>
        <w:t>’</w:t>
      </w:r>
      <w:r w:rsidR="008E34AB" w:rsidRPr="00B3729A">
        <w:rPr>
          <w:sz w:val="22"/>
          <w:szCs w:val="22"/>
        </w:rPr>
        <w:t xml:space="preserve"> directors which were submitted in </w:t>
      </w:r>
      <w:r w:rsidR="00E906DD" w:rsidRPr="00B3729A">
        <w:rPr>
          <w:sz w:val="22"/>
          <w:szCs w:val="22"/>
        </w:rPr>
        <w:t xml:space="preserve">August of 2014 in </w:t>
      </w:r>
      <w:r w:rsidR="008E34AB" w:rsidRPr="00B3729A">
        <w:rPr>
          <w:sz w:val="22"/>
          <w:szCs w:val="22"/>
        </w:rPr>
        <w:t>response to the Prometheus Objection</w:t>
      </w:r>
      <w:r w:rsidR="00E906DD" w:rsidRPr="00B3729A">
        <w:rPr>
          <w:sz w:val="22"/>
          <w:szCs w:val="22"/>
        </w:rPr>
        <w:t>: Stanley Warren Barr from Second Chance; Collen Lund from Sweet Home; Sonya McKendree from Cascadia; Walter Lund from Health Freedom; Joelle Lund from Central Oregon; and Taylor Stone</w:t>
      </w:r>
      <w:r w:rsidR="0037647C" w:rsidRPr="00B3729A">
        <w:rPr>
          <w:sz w:val="22"/>
          <w:szCs w:val="22"/>
        </w:rPr>
        <w:t xml:space="preserve"> </w:t>
      </w:r>
      <w:r w:rsidR="00E906DD" w:rsidRPr="00B3729A">
        <w:rPr>
          <w:sz w:val="22"/>
          <w:szCs w:val="22"/>
        </w:rPr>
        <w:t>from Home.</w:t>
      </w:r>
      <w:r w:rsidR="00E906DD" w:rsidRPr="00B3729A">
        <w:rPr>
          <w:rStyle w:val="FootnoteReference"/>
          <w:rFonts w:ascii="Times New Roman" w:hAnsi="Times New Roman"/>
          <w:sz w:val="22"/>
          <w:szCs w:val="22"/>
        </w:rPr>
        <w:t xml:space="preserve"> </w:t>
      </w:r>
      <w:r w:rsidR="00E906DD" w:rsidRPr="00B3729A">
        <w:rPr>
          <w:rStyle w:val="FootnoteReference"/>
          <w:rFonts w:ascii="Times New Roman" w:hAnsi="Times New Roman"/>
          <w:sz w:val="22"/>
          <w:szCs w:val="22"/>
        </w:rPr>
        <w:footnoteReference w:id="27"/>
      </w:r>
      <w:r w:rsidR="00E906DD" w:rsidRPr="00B3729A">
        <w:rPr>
          <w:sz w:val="22"/>
          <w:szCs w:val="22"/>
        </w:rPr>
        <w:t xml:space="preserve"> </w:t>
      </w:r>
      <w:r w:rsidR="008E34AB" w:rsidRPr="00B3729A">
        <w:rPr>
          <w:sz w:val="22"/>
          <w:szCs w:val="22"/>
        </w:rPr>
        <w:t>Also attached to the Lund Response are</w:t>
      </w:r>
      <w:r w:rsidR="00613433" w:rsidRPr="00B3729A">
        <w:rPr>
          <w:sz w:val="22"/>
          <w:szCs w:val="22"/>
        </w:rPr>
        <w:t xml:space="preserve"> copie</w:t>
      </w:r>
      <w:r w:rsidR="00162D8B" w:rsidRPr="00B3729A">
        <w:rPr>
          <w:sz w:val="22"/>
          <w:szCs w:val="22"/>
        </w:rPr>
        <w:t xml:space="preserve">s of </w:t>
      </w:r>
      <w:r w:rsidR="006E5F00" w:rsidRPr="00B3729A">
        <w:rPr>
          <w:sz w:val="22"/>
          <w:szCs w:val="22"/>
        </w:rPr>
        <w:t xml:space="preserve">various oppositions filed </w:t>
      </w:r>
      <w:r w:rsidR="00E906DD" w:rsidRPr="00B3729A">
        <w:rPr>
          <w:sz w:val="22"/>
          <w:szCs w:val="22"/>
        </w:rPr>
        <w:t xml:space="preserve">in August of 2014 </w:t>
      </w:r>
      <w:r w:rsidR="006E5F00" w:rsidRPr="00B3729A">
        <w:rPr>
          <w:sz w:val="22"/>
          <w:szCs w:val="22"/>
        </w:rPr>
        <w:t xml:space="preserve">by five of </w:t>
      </w:r>
      <w:r w:rsidR="008E34AB" w:rsidRPr="00B3729A">
        <w:rPr>
          <w:sz w:val="22"/>
          <w:szCs w:val="22"/>
        </w:rPr>
        <w:t xml:space="preserve">the </w:t>
      </w:r>
      <w:r w:rsidR="006E5F00" w:rsidRPr="00B3729A">
        <w:rPr>
          <w:sz w:val="22"/>
          <w:szCs w:val="22"/>
        </w:rPr>
        <w:t>Lund Corporations</w:t>
      </w:r>
      <w:r w:rsidR="00E906DD" w:rsidRPr="00B3729A">
        <w:rPr>
          <w:sz w:val="22"/>
          <w:szCs w:val="22"/>
        </w:rPr>
        <w:t xml:space="preserve"> </w:t>
      </w:r>
      <w:r w:rsidR="00880300">
        <w:rPr>
          <w:sz w:val="22"/>
          <w:szCs w:val="22"/>
        </w:rPr>
        <w:t>(</w:t>
      </w:r>
      <w:r w:rsidR="00880300" w:rsidRPr="00B3729A">
        <w:rPr>
          <w:sz w:val="22"/>
          <w:szCs w:val="22"/>
        </w:rPr>
        <w:t>Central Oregon, Futurist, Cascadia, Health, and Second Chance</w:t>
      </w:r>
      <w:r w:rsidR="00880300">
        <w:rPr>
          <w:sz w:val="22"/>
          <w:szCs w:val="22"/>
        </w:rPr>
        <w:t>)</w:t>
      </w:r>
      <w:r w:rsidR="00880300" w:rsidRPr="00B3729A">
        <w:rPr>
          <w:sz w:val="22"/>
          <w:szCs w:val="22"/>
        </w:rPr>
        <w:t xml:space="preserve"> </w:t>
      </w:r>
      <w:r w:rsidR="00E906DD" w:rsidRPr="00B3729A">
        <w:rPr>
          <w:sz w:val="22"/>
          <w:szCs w:val="22"/>
        </w:rPr>
        <w:t>in response to the Prometheus Objection</w:t>
      </w:r>
      <w:r w:rsidR="006E5F00" w:rsidRPr="00B3729A">
        <w:rPr>
          <w:sz w:val="22"/>
          <w:szCs w:val="22"/>
        </w:rPr>
        <w:t>.</w:t>
      </w:r>
      <w:r w:rsidR="00894DF8" w:rsidRPr="00B3729A">
        <w:rPr>
          <w:rStyle w:val="FootnoteReference"/>
          <w:rFonts w:ascii="Times New Roman" w:hAnsi="Times New Roman"/>
          <w:sz w:val="22"/>
          <w:szCs w:val="22"/>
        </w:rPr>
        <w:footnoteReference w:id="28"/>
      </w:r>
    </w:p>
    <w:p w14:paraId="2A9DC983" w14:textId="77777777" w:rsidR="006F30B6" w:rsidRPr="00B3729A" w:rsidRDefault="006F30B6" w:rsidP="00EF3A19">
      <w:pPr>
        <w:widowControl/>
        <w:autoSpaceDE w:val="0"/>
        <w:autoSpaceDN w:val="0"/>
        <w:adjustRightInd w:val="0"/>
        <w:ind w:firstLine="720"/>
        <w:rPr>
          <w:sz w:val="22"/>
          <w:szCs w:val="22"/>
        </w:rPr>
      </w:pPr>
    </w:p>
    <w:p w14:paraId="35C8AE35" w14:textId="62C8D34E" w:rsidR="00975C56" w:rsidRPr="00B3729A" w:rsidRDefault="00DE7F3D">
      <w:pPr>
        <w:widowControl/>
        <w:ind w:firstLine="720"/>
        <w:rPr>
          <w:sz w:val="22"/>
          <w:szCs w:val="22"/>
        </w:rPr>
      </w:pPr>
      <w:r w:rsidRPr="00B3729A">
        <w:rPr>
          <w:b/>
          <w:sz w:val="22"/>
          <w:szCs w:val="22"/>
        </w:rPr>
        <w:t>Discussion</w:t>
      </w:r>
      <w:r w:rsidRPr="00B3729A">
        <w:rPr>
          <w:sz w:val="22"/>
          <w:szCs w:val="22"/>
        </w:rPr>
        <w:t xml:space="preserve">.  </w:t>
      </w:r>
      <w:r w:rsidR="000A6B73" w:rsidRPr="00B3729A">
        <w:rPr>
          <w:sz w:val="22"/>
          <w:szCs w:val="22"/>
        </w:rPr>
        <w:t xml:space="preserve">The Commission will consider a </w:t>
      </w:r>
      <w:bookmarkStart w:id="1" w:name="SR;929"/>
      <w:bookmarkEnd w:id="1"/>
      <w:r w:rsidR="000A6B73" w:rsidRPr="00B3729A">
        <w:rPr>
          <w:sz w:val="22"/>
          <w:szCs w:val="22"/>
        </w:rPr>
        <w:t>petition for reconsideration</w:t>
      </w:r>
      <w:bookmarkStart w:id="2" w:name="SR;931"/>
      <w:bookmarkEnd w:id="2"/>
      <w:r w:rsidR="000A6B73" w:rsidRPr="00B3729A">
        <w:rPr>
          <w:sz w:val="22"/>
          <w:szCs w:val="22"/>
        </w:rPr>
        <w:t xml:space="preserve"> only when the petitioner shows either a material error in the Commission's original order, or raises additional facts, not known or existing at the time of the petitioner's last opportunity to present such matters.</w:t>
      </w:r>
      <w:bookmarkStart w:id="3" w:name="FN[FN13]"/>
      <w:bookmarkEnd w:id="3"/>
      <w:r w:rsidR="000A6B73" w:rsidRPr="00B3729A">
        <w:rPr>
          <w:sz w:val="22"/>
          <w:szCs w:val="22"/>
          <w:vertAlign w:val="superscript"/>
        </w:rPr>
        <w:footnoteReference w:id="29"/>
      </w:r>
      <w:r w:rsidR="000A6B73" w:rsidRPr="00B3729A">
        <w:rPr>
          <w:sz w:val="22"/>
          <w:szCs w:val="22"/>
        </w:rPr>
        <w:t xml:space="preserve">  </w:t>
      </w:r>
      <w:r w:rsidR="00513F0E" w:rsidRPr="00B3729A">
        <w:rPr>
          <w:sz w:val="22"/>
          <w:szCs w:val="22"/>
        </w:rPr>
        <w:t>With one minor exception discussed in the next paragraph, t</w:t>
      </w:r>
      <w:r w:rsidR="000A6B73" w:rsidRPr="00B3729A">
        <w:rPr>
          <w:sz w:val="22"/>
          <w:szCs w:val="22"/>
        </w:rPr>
        <w:t xml:space="preserve">he </w:t>
      </w:r>
      <w:r w:rsidR="00010D05" w:rsidRPr="00B3729A">
        <w:rPr>
          <w:sz w:val="22"/>
          <w:szCs w:val="22"/>
        </w:rPr>
        <w:t xml:space="preserve">Lund </w:t>
      </w:r>
      <w:r w:rsidR="00256D48" w:rsidRPr="00B3729A">
        <w:rPr>
          <w:sz w:val="22"/>
          <w:szCs w:val="22"/>
        </w:rPr>
        <w:t>Corporations</w:t>
      </w:r>
      <w:r w:rsidR="000A6B73" w:rsidRPr="00B3729A">
        <w:rPr>
          <w:sz w:val="22"/>
          <w:szCs w:val="22"/>
        </w:rPr>
        <w:t xml:space="preserve"> have not met this burden.</w:t>
      </w:r>
    </w:p>
    <w:p w14:paraId="6ECFEAD6" w14:textId="77777777" w:rsidR="001A67FF" w:rsidRPr="00B3729A" w:rsidRDefault="001A67FF" w:rsidP="000A6B73">
      <w:pPr>
        <w:widowControl/>
        <w:ind w:firstLine="720"/>
        <w:rPr>
          <w:sz w:val="22"/>
          <w:szCs w:val="22"/>
        </w:rPr>
      </w:pPr>
    </w:p>
    <w:p w14:paraId="44A9F4AF" w14:textId="5C8D7B64" w:rsidR="0037647C" w:rsidRPr="00B3729A" w:rsidRDefault="00095705" w:rsidP="00980BAA">
      <w:pPr>
        <w:widowControl/>
        <w:ind w:firstLine="720"/>
        <w:rPr>
          <w:sz w:val="22"/>
          <w:szCs w:val="22"/>
        </w:rPr>
      </w:pPr>
      <w:r w:rsidRPr="00B3729A">
        <w:rPr>
          <w:sz w:val="22"/>
          <w:szCs w:val="22"/>
        </w:rPr>
        <w:t xml:space="preserve">As an initial matter, we agree with Petitioners that the </w:t>
      </w:r>
      <w:r w:rsidRPr="00B3729A">
        <w:rPr>
          <w:i/>
          <w:sz w:val="22"/>
          <w:szCs w:val="22"/>
        </w:rPr>
        <w:t xml:space="preserve">Dismissal Letters </w:t>
      </w:r>
      <w:r w:rsidRPr="00B3729A">
        <w:rPr>
          <w:sz w:val="22"/>
          <w:szCs w:val="22"/>
        </w:rPr>
        <w:t xml:space="preserve">cited to Section 73.853(b) and to this extent grant the Petitions.  At issue in this case </w:t>
      </w:r>
      <w:r w:rsidR="007E592C" w:rsidRPr="00B3729A">
        <w:rPr>
          <w:sz w:val="22"/>
          <w:szCs w:val="22"/>
        </w:rPr>
        <w:t>(</w:t>
      </w:r>
      <w:r w:rsidRPr="00B3729A">
        <w:rPr>
          <w:sz w:val="22"/>
          <w:szCs w:val="22"/>
        </w:rPr>
        <w:t xml:space="preserve">as correctly described in the </w:t>
      </w:r>
      <w:r w:rsidRPr="00B3729A">
        <w:rPr>
          <w:i/>
          <w:sz w:val="22"/>
          <w:szCs w:val="22"/>
        </w:rPr>
        <w:t>Dismissal Letters</w:t>
      </w:r>
      <w:r w:rsidR="007E592C" w:rsidRPr="00B3729A">
        <w:rPr>
          <w:sz w:val="22"/>
          <w:szCs w:val="22"/>
        </w:rPr>
        <w:t>)</w:t>
      </w:r>
      <w:r w:rsidRPr="00B3729A">
        <w:rPr>
          <w:i/>
          <w:sz w:val="22"/>
          <w:szCs w:val="22"/>
        </w:rPr>
        <w:t xml:space="preserve"> </w:t>
      </w:r>
      <w:r w:rsidRPr="00B3729A">
        <w:rPr>
          <w:sz w:val="22"/>
          <w:szCs w:val="22"/>
        </w:rPr>
        <w:t>is whether the Lund Corporations satisfied the corporate eligibility requirement set forth in Section 73.853(a).</w:t>
      </w:r>
      <w:r w:rsidRPr="00EF3A19">
        <w:rPr>
          <w:rStyle w:val="FootnoteReference"/>
          <w:rFonts w:ascii="Times New Roman" w:hAnsi="Times New Roman"/>
          <w:sz w:val="22"/>
        </w:rPr>
        <w:footnoteReference w:id="30"/>
      </w:r>
      <w:r w:rsidRPr="00B3729A">
        <w:rPr>
          <w:sz w:val="22"/>
          <w:szCs w:val="22"/>
        </w:rPr>
        <w:t xml:space="preserve">  </w:t>
      </w:r>
      <w:r w:rsidR="00187576" w:rsidRPr="00B3729A">
        <w:rPr>
          <w:sz w:val="22"/>
          <w:szCs w:val="22"/>
        </w:rPr>
        <w:t>LPFM applicants</w:t>
      </w:r>
      <w:r w:rsidR="0093385E" w:rsidRPr="00B3729A">
        <w:rPr>
          <w:sz w:val="22"/>
          <w:szCs w:val="22"/>
        </w:rPr>
        <w:t xml:space="preserve"> must</w:t>
      </w:r>
      <w:r w:rsidR="00F26C53" w:rsidRPr="00B3729A">
        <w:rPr>
          <w:sz w:val="22"/>
          <w:szCs w:val="22"/>
        </w:rPr>
        <w:t xml:space="preserve"> submit an exhibit identifying the state in which the </w:t>
      </w:r>
      <w:r w:rsidR="00187576" w:rsidRPr="00B3729A">
        <w:rPr>
          <w:sz w:val="22"/>
          <w:szCs w:val="22"/>
        </w:rPr>
        <w:t>organization</w:t>
      </w:r>
      <w:r w:rsidR="00F26C53" w:rsidRPr="00B3729A">
        <w:rPr>
          <w:sz w:val="22"/>
          <w:szCs w:val="22"/>
        </w:rPr>
        <w:t xml:space="preserve"> is incorporated or otherwise recognized.</w:t>
      </w:r>
      <w:r w:rsidR="00F26C53" w:rsidRPr="00EF3A19">
        <w:rPr>
          <w:rStyle w:val="FootnoteReference"/>
          <w:rFonts w:ascii="Times New Roman" w:hAnsi="Times New Roman"/>
          <w:sz w:val="22"/>
        </w:rPr>
        <w:footnoteReference w:id="31"/>
      </w:r>
      <w:r w:rsidR="00187576" w:rsidRPr="00B3729A">
        <w:rPr>
          <w:sz w:val="22"/>
          <w:szCs w:val="22"/>
        </w:rPr>
        <w:t xml:space="preserve">  </w:t>
      </w:r>
      <w:r w:rsidR="00256D48" w:rsidRPr="00B3729A">
        <w:rPr>
          <w:sz w:val="22"/>
          <w:szCs w:val="22"/>
        </w:rPr>
        <w:t>The Commission has stated that an LPFM applicant must be recognized as a nonprofit entity at the time it files its application,</w:t>
      </w:r>
      <w:r w:rsidR="00033EC1" w:rsidRPr="00EF3A19">
        <w:rPr>
          <w:rStyle w:val="FootnoteReference"/>
          <w:rFonts w:ascii="Times New Roman" w:hAnsi="Times New Roman"/>
          <w:sz w:val="22"/>
        </w:rPr>
        <w:footnoteReference w:id="32"/>
      </w:r>
      <w:r w:rsidR="00256D48" w:rsidRPr="00B3729A">
        <w:rPr>
          <w:sz w:val="22"/>
          <w:szCs w:val="22"/>
        </w:rPr>
        <w:t xml:space="preserve"> and for applicants claiming to be corporations, they must be properly incorporated at that time.</w:t>
      </w:r>
      <w:r w:rsidR="00256D48" w:rsidRPr="00EF3A19">
        <w:rPr>
          <w:rStyle w:val="FootnoteReference"/>
          <w:rFonts w:ascii="Times New Roman" w:hAnsi="Times New Roman"/>
          <w:sz w:val="22"/>
        </w:rPr>
        <w:footnoteReference w:id="33"/>
      </w:r>
      <w:r w:rsidR="00256D48" w:rsidRPr="00B3729A">
        <w:rPr>
          <w:sz w:val="22"/>
          <w:szCs w:val="22"/>
        </w:rPr>
        <w:t xml:space="preserve">  </w:t>
      </w:r>
      <w:r w:rsidR="003103FA" w:rsidRPr="00B3729A">
        <w:rPr>
          <w:sz w:val="22"/>
          <w:szCs w:val="22"/>
        </w:rPr>
        <w:t xml:space="preserve">The ODOJ Letter demonstrates that the Lund </w:t>
      </w:r>
      <w:r w:rsidR="00033EC1" w:rsidRPr="00B3729A">
        <w:rPr>
          <w:sz w:val="22"/>
          <w:szCs w:val="22"/>
        </w:rPr>
        <w:t>Corporations</w:t>
      </w:r>
      <w:r w:rsidR="003103FA" w:rsidRPr="00B3729A">
        <w:rPr>
          <w:sz w:val="22"/>
          <w:szCs w:val="22"/>
        </w:rPr>
        <w:t xml:space="preserve"> were </w:t>
      </w:r>
      <w:r w:rsidR="00033EC1" w:rsidRPr="00B3729A">
        <w:rPr>
          <w:sz w:val="22"/>
          <w:szCs w:val="22"/>
        </w:rPr>
        <w:t xml:space="preserve">not </w:t>
      </w:r>
      <w:r w:rsidR="005C49F3" w:rsidRPr="00B3729A">
        <w:rPr>
          <w:sz w:val="22"/>
          <w:szCs w:val="22"/>
        </w:rPr>
        <w:t>valid</w:t>
      </w:r>
      <w:r w:rsidR="003103FA" w:rsidRPr="00B3729A">
        <w:rPr>
          <w:sz w:val="22"/>
          <w:szCs w:val="22"/>
        </w:rPr>
        <w:t xml:space="preserve"> </w:t>
      </w:r>
      <w:r w:rsidR="005C49F3" w:rsidRPr="00B3729A">
        <w:rPr>
          <w:sz w:val="22"/>
          <w:szCs w:val="22"/>
        </w:rPr>
        <w:t xml:space="preserve">corporations under </w:t>
      </w:r>
      <w:r w:rsidR="003103FA" w:rsidRPr="00B3729A">
        <w:rPr>
          <w:sz w:val="22"/>
          <w:szCs w:val="22"/>
        </w:rPr>
        <w:t xml:space="preserve">Oregon </w:t>
      </w:r>
      <w:r w:rsidR="005C49F3" w:rsidRPr="00B3729A">
        <w:rPr>
          <w:sz w:val="22"/>
          <w:szCs w:val="22"/>
        </w:rPr>
        <w:t xml:space="preserve">law </w:t>
      </w:r>
      <w:r w:rsidR="003103FA" w:rsidRPr="00B3729A">
        <w:rPr>
          <w:sz w:val="22"/>
          <w:szCs w:val="22"/>
        </w:rPr>
        <w:t>at the time t</w:t>
      </w:r>
      <w:r w:rsidR="005C49F3" w:rsidRPr="00B3729A">
        <w:rPr>
          <w:sz w:val="22"/>
          <w:szCs w:val="22"/>
        </w:rPr>
        <w:t xml:space="preserve">hat the Applications were filed, and that the Amendments failed to correct the defects in their corporate structures.  </w:t>
      </w:r>
    </w:p>
    <w:p w14:paraId="1A37D55F" w14:textId="77777777" w:rsidR="0060175E" w:rsidRPr="00B3729A" w:rsidRDefault="0060175E" w:rsidP="00980BAA">
      <w:pPr>
        <w:widowControl/>
        <w:ind w:firstLine="720"/>
        <w:rPr>
          <w:sz w:val="22"/>
          <w:szCs w:val="22"/>
        </w:rPr>
      </w:pPr>
    </w:p>
    <w:p w14:paraId="39710DCD" w14:textId="3AF503A0" w:rsidR="00FD4EE4" w:rsidRPr="00B3729A" w:rsidRDefault="00613433" w:rsidP="00980BAA">
      <w:pPr>
        <w:widowControl/>
        <w:ind w:firstLine="720"/>
        <w:rPr>
          <w:sz w:val="22"/>
          <w:szCs w:val="22"/>
        </w:rPr>
      </w:pPr>
      <w:r w:rsidRPr="00B3729A">
        <w:rPr>
          <w:sz w:val="22"/>
          <w:szCs w:val="22"/>
        </w:rPr>
        <w:t xml:space="preserve">We reject Lund’s suggestion that the ODOJ </w:t>
      </w:r>
      <w:r w:rsidR="0037647C" w:rsidRPr="00B3729A">
        <w:rPr>
          <w:sz w:val="22"/>
          <w:szCs w:val="22"/>
        </w:rPr>
        <w:t xml:space="preserve">Letter </w:t>
      </w:r>
      <w:r w:rsidRPr="00B3729A">
        <w:rPr>
          <w:sz w:val="22"/>
          <w:szCs w:val="22"/>
        </w:rPr>
        <w:t>is</w:t>
      </w:r>
      <w:r w:rsidR="003A7C60" w:rsidRPr="00B3729A">
        <w:rPr>
          <w:sz w:val="22"/>
          <w:szCs w:val="22"/>
        </w:rPr>
        <w:t xml:space="preserve"> merely</w:t>
      </w:r>
      <w:r w:rsidR="0037647C" w:rsidRPr="00B3729A">
        <w:rPr>
          <w:sz w:val="22"/>
          <w:szCs w:val="22"/>
        </w:rPr>
        <w:t xml:space="preserve"> advisory</w:t>
      </w:r>
      <w:r w:rsidR="009A4EB5" w:rsidRPr="00B3729A">
        <w:rPr>
          <w:sz w:val="22"/>
          <w:szCs w:val="22"/>
        </w:rPr>
        <w:t>.</w:t>
      </w:r>
      <w:r w:rsidR="00BC6E73" w:rsidRPr="00B3729A">
        <w:rPr>
          <w:sz w:val="22"/>
          <w:szCs w:val="22"/>
        </w:rPr>
        <w:t xml:space="preserve"> </w:t>
      </w:r>
      <w:r w:rsidR="00B3729A" w:rsidRPr="00B3729A">
        <w:rPr>
          <w:sz w:val="22"/>
          <w:szCs w:val="22"/>
        </w:rPr>
        <w:t xml:space="preserve"> </w:t>
      </w:r>
      <w:r w:rsidR="00BC6E73" w:rsidRPr="00B3729A">
        <w:rPr>
          <w:sz w:val="22"/>
          <w:szCs w:val="22"/>
        </w:rPr>
        <w:t xml:space="preserve">The ODOJ </w:t>
      </w:r>
      <w:r w:rsidR="00506301" w:rsidRPr="00B3729A">
        <w:rPr>
          <w:sz w:val="22"/>
          <w:szCs w:val="22"/>
        </w:rPr>
        <w:t>Letter</w:t>
      </w:r>
      <w:r w:rsidR="00BC6E73" w:rsidRPr="00B3729A">
        <w:rPr>
          <w:sz w:val="22"/>
          <w:szCs w:val="22"/>
        </w:rPr>
        <w:t xml:space="preserve"> was issued by the Charitable Service Division, which overse</w:t>
      </w:r>
      <w:r w:rsidR="00A80BB0">
        <w:rPr>
          <w:sz w:val="22"/>
          <w:szCs w:val="22"/>
        </w:rPr>
        <w:t>e</w:t>
      </w:r>
      <w:r w:rsidR="00BC6E73" w:rsidRPr="00B3729A">
        <w:rPr>
          <w:sz w:val="22"/>
          <w:szCs w:val="22"/>
        </w:rPr>
        <w:t xml:space="preserve">s nonprofit entities’ compliance with Oregon Law and explicitly states that the Lund Applications “are facially </w:t>
      </w:r>
      <w:r w:rsidR="002A46C3">
        <w:rPr>
          <w:sz w:val="22"/>
          <w:szCs w:val="22"/>
        </w:rPr>
        <w:t>inconsistent with Oregon legal requirements</w:t>
      </w:r>
      <w:r w:rsidR="00BC6E73" w:rsidRPr="00B3729A">
        <w:rPr>
          <w:sz w:val="22"/>
          <w:szCs w:val="22"/>
        </w:rPr>
        <w:t>”</w:t>
      </w:r>
      <w:r w:rsidR="0041347A">
        <w:rPr>
          <w:sz w:val="22"/>
          <w:szCs w:val="22"/>
        </w:rPr>
        <w:t xml:space="preserve"> because the Lund Corporations “were non-conforming with Oregon state law when their respective FCC LPFM applications were submitted.”</w:t>
      </w:r>
      <w:r w:rsidR="00BC6E73" w:rsidRPr="00B3729A">
        <w:rPr>
          <w:rStyle w:val="FootnoteReference"/>
          <w:rFonts w:ascii="Times New Roman" w:hAnsi="Times New Roman"/>
          <w:sz w:val="22"/>
          <w:szCs w:val="22"/>
        </w:rPr>
        <w:footnoteReference w:id="34"/>
      </w:r>
      <w:r w:rsidR="009A4EB5" w:rsidRPr="00B3729A">
        <w:rPr>
          <w:sz w:val="22"/>
          <w:szCs w:val="22"/>
        </w:rPr>
        <w:t xml:space="preserve">  </w:t>
      </w:r>
      <w:r w:rsidR="00BC6E73" w:rsidRPr="00B3729A">
        <w:rPr>
          <w:sz w:val="22"/>
          <w:szCs w:val="22"/>
        </w:rPr>
        <w:t xml:space="preserve">Moreover, the Commission </w:t>
      </w:r>
      <w:r w:rsidR="00AA3001">
        <w:rPr>
          <w:sz w:val="22"/>
          <w:szCs w:val="22"/>
        </w:rPr>
        <w:t>may</w:t>
      </w:r>
      <w:r w:rsidR="00BC6E73" w:rsidRPr="00B3729A">
        <w:rPr>
          <w:sz w:val="22"/>
          <w:szCs w:val="22"/>
        </w:rPr>
        <w:t xml:space="preserve"> take official notice of government records</w:t>
      </w:r>
      <w:r w:rsidR="00A80BB0">
        <w:rPr>
          <w:rStyle w:val="FootnoteReference"/>
          <w:szCs w:val="22"/>
        </w:rPr>
        <w:footnoteReference w:id="35"/>
      </w:r>
      <w:r w:rsidR="00BC6E73" w:rsidRPr="00B3729A">
        <w:rPr>
          <w:sz w:val="22"/>
          <w:szCs w:val="22"/>
        </w:rPr>
        <w:t xml:space="preserve"> and defer to state agency findings.</w:t>
      </w:r>
      <w:r w:rsidR="00BC6E73" w:rsidRPr="00B3729A">
        <w:rPr>
          <w:rStyle w:val="FootnoteReference"/>
          <w:rFonts w:ascii="Times New Roman" w:hAnsi="Times New Roman"/>
          <w:sz w:val="22"/>
          <w:szCs w:val="22"/>
        </w:rPr>
        <w:footnoteReference w:id="36"/>
      </w:r>
      <w:r w:rsidR="00BC6E73" w:rsidRPr="00B3729A">
        <w:rPr>
          <w:sz w:val="22"/>
          <w:szCs w:val="22"/>
        </w:rPr>
        <w:t xml:space="preserve">  </w:t>
      </w:r>
      <w:r w:rsidR="0041347A">
        <w:rPr>
          <w:sz w:val="22"/>
          <w:szCs w:val="22"/>
        </w:rPr>
        <w:t>If Lund believes the ODOJ Letter is erroneous, he may pursue a remedy in state court, which is the appropriate forum to resolve matters of state law.</w:t>
      </w:r>
      <w:r w:rsidR="0041347A">
        <w:rPr>
          <w:rStyle w:val="FootnoteReference"/>
          <w:szCs w:val="22"/>
        </w:rPr>
        <w:footnoteReference w:id="37"/>
      </w:r>
      <w:r w:rsidR="0041347A">
        <w:rPr>
          <w:sz w:val="22"/>
          <w:szCs w:val="22"/>
        </w:rPr>
        <w:t xml:space="preserve">  </w:t>
      </w:r>
      <w:r w:rsidR="00A80BB0">
        <w:rPr>
          <w:sz w:val="22"/>
          <w:szCs w:val="22"/>
        </w:rPr>
        <w:t>As the ODOJ Letter shows</w:t>
      </w:r>
      <w:r w:rsidR="00243440" w:rsidRPr="00B3729A">
        <w:rPr>
          <w:sz w:val="22"/>
          <w:szCs w:val="22"/>
        </w:rPr>
        <w:t xml:space="preserve">, mere compliance with the filing requirements of the OSOS does not indicate that the Lund Corporations have met the legal requirements of a </w:t>
      </w:r>
      <w:r w:rsidR="00B3729A" w:rsidRPr="00B3729A">
        <w:rPr>
          <w:sz w:val="22"/>
          <w:szCs w:val="22"/>
        </w:rPr>
        <w:t xml:space="preserve">nonprofit </w:t>
      </w:r>
      <w:r w:rsidR="00243440" w:rsidRPr="00B3729A">
        <w:rPr>
          <w:sz w:val="22"/>
          <w:szCs w:val="22"/>
        </w:rPr>
        <w:t xml:space="preserve">corporation under Oregon law.  </w:t>
      </w:r>
      <w:r w:rsidR="00033EC1" w:rsidRPr="00B3729A">
        <w:rPr>
          <w:sz w:val="22"/>
          <w:szCs w:val="22"/>
        </w:rPr>
        <w:t>We</w:t>
      </w:r>
      <w:r w:rsidR="00EB506E" w:rsidRPr="00B3729A">
        <w:rPr>
          <w:sz w:val="22"/>
          <w:szCs w:val="22"/>
        </w:rPr>
        <w:t xml:space="preserve"> accordingly </w:t>
      </w:r>
      <w:r w:rsidR="000E609B" w:rsidRPr="00B3729A">
        <w:rPr>
          <w:sz w:val="22"/>
          <w:szCs w:val="22"/>
        </w:rPr>
        <w:t>uphold</w:t>
      </w:r>
      <w:r w:rsidR="00033EC1" w:rsidRPr="00B3729A">
        <w:rPr>
          <w:sz w:val="22"/>
          <w:szCs w:val="22"/>
        </w:rPr>
        <w:t xml:space="preserve"> the dismissal of the Applications on this basis and </w:t>
      </w:r>
      <w:r w:rsidR="0058635A" w:rsidRPr="00B3729A">
        <w:rPr>
          <w:sz w:val="22"/>
          <w:szCs w:val="22"/>
        </w:rPr>
        <w:t>deny the Petitions.</w:t>
      </w:r>
    </w:p>
    <w:p w14:paraId="412B4744" w14:textId="77777777" w:rsidR="00FE669A" w:rsidRPr="00B3729A" w:rsidRDefault="00FE669A" w:rsidP="00980BAA">
      <w:pPr>
        <w:widowControl/>
        <w:ind w:firstLine="720"/>
        <w:rPr>
          <w:i/>
          <w:sz w:val="22"/>
          <w:szCs w:val="22"/>
        </w:rPr>
      </w:pPr>
    </w:p>
    <w:p w14:paraId="3EC07CDE" w14:textId="35AD48AA" w:rsidR="00746BDF" w:rsidRPr="00B3729A" w:rsidRDefault="004E323F" w:rsidP="004C0BE6">
      <w:pPr>
        <w:widowControl/>
        <w:ind w:firstLine="720"/>
        <w:rPr>
          <w:sz w:val="22"/>
          <w:szCs w:val="22"/>
        </w:rPr>
      </w:pPr>
      <w:r w:rsidRPr="00B3729A">
        <w:rPr>
          <w:i/>
          <w:sz w:val="22"/>
          <w:szCs w:val="22"/>
        </w:rPr>
        <w:t>Inconsistent Application</w:t>
      </w:r>
      <w:r w:rsidR="007C399C" w:rsidRPr="00B3729A">
        <w:rPr>
          <w:i/>
          <w:sz w:val="22"/>
          <w:szCs w:val="22"/>
        </w:rPr>
        <w:t xml:space="preserve"> Rule</w:t>
      </w:r>
      <w:r w:rsidR="007C399C" w:rsidRPr="00B3729A">
        <w:rPr>
          <w:sz w:val="22"/>
          <w:szCs w:val="22"/>
        </w:rPr>
        <w:t xml:space="preserve">.  The ODOJ Letter also </w:t>
      </w:r>
      <w:r w:rsidR="00964679" w:rsidRPr="00B3729A">
        <w:rPr>
          <w:sz w:val="22"/>
          <w:szCs w:val="22"/>
        </w:rPr>
        <w:t xml:space="preserve">makes a </w:t>
      </w:r>
      <w:r w:rsidR="00964679" w:rsidRPr="00B3729A">
        <w:rPr>
          <w:i/>
          <w:sz w:val="22"/>
          <w:szCs w:val="22"/>
        </w:rPr>
        <w:t xml:space="preserve">prima facie </w:t>
      </w:r>
      <w:r w:rsidR="00964679" w:rsidRPr="00B3729A">
        <w:rPr>
          <w:sz w:val="22"/>
          <w:szCs w:val="22"/>
        </w:rPr>
        <w:t xml:space="preserve">case </w:t>
      </w:r>
      <w:r w:rsidR="007C399C" w:rsidRPr="00B3729A">
        <w:rPr>
          <w:sz w:val="22"/>
          <w:szCs w:val="22"/>
        </w:rPr>
        <w:t xml:space="preserve">that the Lund </w:t>
      </w:r>
      <w:r w:rsidR="009926EB" w:rsidRPr="00B3729A">
        <w:rPr>
          <w:sz w:val="22"/>
          <w:szCs w:val="22"/>
        </w:rPr>
        <w:t>Corporations were not independent entities, but were in fact all controlled by Lund</w:t>
      </w:r>
      <w:r w:rsidR="009926EB" w:rsidRPr="00B3729A">
        <w:rPr>
          <w:snapToGrid/>
          <w:sz w:val="22"/>
          <w:szCs w:val="22"/>
          <w:vertAlign w:val="superscript"/>
        </w:rPr>
        <w:footnoteReference w:id="38"/>
      </w:r>
      <w:r w:rsidR="008532B0" w:rsidRPr="00B3729A">
        <w:rPr>
          <w:sz w:val="22"/>
          <w:szCs w:val="22"/>
        </w:rPr>
        <w:t xml:space="preserve"> and that he is the real party in interest behind each of the Applications.</w:t>
      </w:r>
      <w:r w:rsidR="008532B0" w:rsidRPr="00EF3A19">
        <w:rPr>
          <w:rStyle w:val="FootnoteReference"/>
          <w:rFonts w:ascii="Times New Roman" w:hAnsi="Times New Roman"/>
          <w:sz w:val="22"/>
        </w:rPr>
        <w:footnoteReference w:id="39"/>
      </w:r>
      <w:r w:rsidR="00E20AA2" w:rsidRPr="00B3729A">
        <w:rPr>
          <w:sz w:val="22"/>
          <w:szCs w:val="22"/>
        </w:rPr>
        <w:t xml:space="preserve">  </w:t>
      </w:r>
      <w:r w:rsidR="0060175E" w:rsidRPr="00B3729A">
        <w:rPr>
          <w:sz w:val="22"/>
          <w:szCs w:val="22"/>
        </w:rPr>
        <w:t xml:space="preserve">We reject Lund’s suggestion that the ODOJ Letter is </w:t>
      </w:r>
      <w:r w:rsidR="007A3FB9">
        <w:rPr>
          <w:sz w:val="22"/>
          <w:szCs w:val="22"/>
        </w:rPr>
        <w:t xml:space="preserve">based on </w:t>
      </w:r>
      <w:r w:rsidR="0060175E" w:rsidRPr="00B3729A">
        <w:rPr>
          <w:sz w:val="22"/>
          <w:szCs w:val="22"/>
        </w:rPr>
        <w:t>hearsay.</w:t>
      </w:r>
      <w:r w:rsidR="00F30A57" w:rsidRPr="00B3729A">
        <w:rPr>
          <w:sz w:val="22"/>
          <w:szCs w:val="22"/>
        </w:rPr>
        <w:t xml:space="preserve">  The statements made to the ODOJ by the</w:t>
      </w:r>
      <w:r w:rsidR="00A80BB0">
        <w:rPr>
          <w:sz w:val="22"/>
          <w:szCs w:val="22"/>
        </w:rPr>
        <w:t xml:space="preserve"> putative</w:t>
      </w:r>
      <w:r w:rsidR="00F30A57" w:rsidRPr="00B3729A">
        <w:rPr>
          <w:sz w:val="22"/>
          <w:szCs w:val="22"/>
        </w:rPr>
        <w:t xml:space="preserve"> directors of the Lund Corporations were made during a government investigation and </w:t>
      </w:r>
      <w:r w:rsidR="00B3729A" w:rsidRPr="00B3729A">
        <w:rPr>
          <w:sz w:val="22"/>
          <w:szCs w:val="22"/>
        </w:rPr>
        <w:t>are admissible as exceptions to the rule against hearsay</w:t>
      </w:r>
      <w:r w:rsidR="00F30A57" w:rsidRPr="00B3729A">
        <w:rPr>
          <w:sz w:val="22"/>
          <w:szCs w:val="22"/>
        </w:rPr>
        <w:t>.</w:t>
      </w:r>
      <w:r w:rsidR="00F30A57" w:rsidRPr="00B3729A">
        <w:rPr>
          <w:rStyle w:val="FootnoteReference"/>
          <w:rFonts w:ascii="Times New Roman" w:hAnsi="Times New Roman"/>
          <w:sz w:val="22"/>
          <w:szCs w:val="22"/>
        </w:rPr>
        <w:footnoteReference w:id="40"/>
      </w:r>
      <w:r w:rsidR="0060175E" w:rsidRPr="00B3729A">
        <w:rPr>
          <w:sz w:val="22"/>
          <w:szCs w:val="22"/>
        </w:rPr>
        <w:t xml:space="preserve">  </w:t>
      </w:r>
      <w:r w:rsidR="007A3FB9">
        <w:rPr>
          <w:sz w:val="22"/>
          <w:szCs w:val="22"/>
        </w:rPr>
        <w:t>With respect</w:t>
      </w:r>
      <w:r w:rsidR="00300A30" w:rsidRPr="00B3729A">
        <w:rPr>
          <w:sz w:val="22"/>
          <w:szCs w:val="22"/>
        </w:rPr>
        <w:t xml:space="preserve"> to the declarations </w:t>
      </w:r>
      <w:r w:rsidR="0060175E" w:rsidRPr="00B3729A">
        <w:rPr>
          <w:sz w:val="22"/>
          <w:szCs w:val="22"/>
        </w:rPr>
        <w:t xml:space="preserve">and oppositions </w:t>
      </w:r>
      <w:r w:rsidR="00300A30" w:rsidRPr="00B3729A">
        <w:rPr>
          <w:sz w:val="22"/>
          <w:szCs w:val="22"/>
        </w:rPr>
        <w:t xml:space="preserve">provided in the </w:t>
      </w:r>
      <w:r w:rsidR="00E906DD" w:rsidRPr="00B3729A">
        <w:rPr>
          <w:sz w:val="22"/>
          <w:szCs w:val="22"/>
        </w:rPr>
        <w:t>Lund Response</w:t>
      </w:r>
      <w:r w:rsidR="007A3FB9">
        <w:rPr>
          <w:sz w:val="22"/>
          <w:szCs w:val="22"/>
        </w:rPr>
        <w:t>, t</w:t>
      </w:r>
      <w:r w:rsidR="00300A30" w:rsidRPr="00B3729A">
        <w:rPr>
          <w:sz w:val="22"/>
          <w:szCs w:val="22"/>
        </w:rPr>
        <w:t>hey were submitted before the ODOJ Letter and do not respond to the allegations raised</w:t>
      </w:r>
      <w:r w:rsidR="0060175E" w:rsidRPr="00B3729A">
        <w:rPr>
          <w:sz w:val="22"/>
          <w:szCs w:val="22"/>
        </w:rPr>
        <w:t xml:space="preserve"> therein or in the LOIs.</w:t>
      </w:r>
    </w:p>
    <w:p w14:paraId="351C3073" w14:textId="77777777" w:rsidR="00746BDF" w:rsidRPr="00B3729A" w:rsidRDefault="00746BDF" w:rsidP="004C0BE6">
      <w:pPr>
        <w:widowControl/>
        <w:ind w:firstLine="720"/>
        <w:rPr>
          <w:sz w:val="22"/>
          <w:szCs w:val="22"/>
        </w:rPr>
      </w:pPr>
    </w:p>
    <w:p w14:paraId="3459D4B8" w14:textId="4A97E38A" w:rsidR="007C399C" w:rsidRPr="00B3729A" w:rsidRDefault="00964679" w:rsidP="004C0BE6">
      <w:pPr>
        <w:widowControl/>
        <w:ind w:firstLine="720"/>
        <w:rPr>
          <w:sz w:val="22"/>
          <w:szCs w:val="22"/>
        </w:rPr>
      </w:pPr>
      <w:r w:rsidRPr="00B3729A">
        <w:rPr>
          <w:sz w:val="22"/>
          <w:szCs w:val="22"/>
        </w:rPr>
        <w:t>Based on this record, we conclude</w:t>
      </w:r>
      <w:r w:rsidR="00FE25AC" w:rsidRPr="00B3729A">
        <w:rPr>
          <w:sz w:val="22"/>
          <w:szCs w:val="22"/>
        </w:rPr>
        <w:t xml:space="preserve"> </w:t>
      </w:r>
      <w:r w:rsidR="009926EB" w:rsidRPr="00B3729A">
        <w:rPr>
          <w:sz w:val="22"/>
          <w:szCs w:val="22"/>
        </w:rPr>
        <w:t xml:space="preserve">that the Lund </w:t>
      </w:r>
      <w:r w:rsidR="00012FE3" w:rsidRPr="00B3729A">
        <w:rPr>
          <w:sz w:val="22"/>
          <w:szCs w:val="22"/>
        </w:rPr>
        <w:t>Corporations were created</w:t>
      </w:r>
      <w:r w:rsidR="009926EB" w:rsidRPr="00B3729A">
        <w:rPr>
          <w:sz w:val="22"/>
          <w:szCs w:val="22"/>
        </w:rPr>
        <w:t xml:space="preserve"> in an attempt to circumvent Section 73.855(a) of the Rules, which prohibits a party from holding an attributable interest in more than one LPFM authorization.</w:t>
      </w:r>
      <w:r w:rsidR="009926EB" w:rsidRPr="00EF3A19">
        <w:rPr>
          <w:rStyle w:val="FootnoteReference"/>
          <w:rFonts w:ascii="Times New Roman" w:hAnsi="Times New Roman"/>
          <w:sz w:val="22"/>
        </w:rPr>
        <w:footnoteReference w:id="41"/>
      </w:r>
      <w:r w:rsidR="00012FE3" w:rsidRPr="00B3729A">
        <w:rPr>
          <w:sz w:val="22"/>
          <w:szCs w:val="22"/>
        </w:rPr>
        <w:t xml:space="preserve">  </w:t>
      </w:r>
      <w:r w:rsidR="00782806" w:rsidRPr="00B3729A">
        <w:rPr>
          <w:sz w:val="22"/>
          <w:szCs w:val="22"/>
        </w:rPr>
        <w:t xml:space="preserve">Because Lund was the real party in interest behind </w:t>
      </w:r>
      <w:r w:rsidR="00AC29A8" w:rsidRPr="00B3729A">
        <w:rPr>
          <w:sz w:val="22"/>
          <w:szCs w:val="22"/>
        </w:rPr>
        <w:t>the Lund Corporation</w:t>
      </w:r>
      <w:r w:rsidR="00162AF2" w:rsidRPr="00B3729A">
        <w:rPr>
          <w:sz w:val="22"/>
          <w:szCs w:val="22"/>
        </w:rPr>
        <w:t>s</w:t>
      </w:r>
      <w:r w:rsidR="00782806" w:rsidRPr="00B3729A">
        <w:rPr>
          <w:sz w:val="22"/>
          <w:szCs w:val="22"/>
        </w:rPr>
        <w:t xml:space="preserve">, he held an </w:t>
      </w:r>
      <w:r w:rsidR="00AC29A8" w:rsidRPr="00B3729A">
        <w:rPr>
          <w:sz w:val="22"/>
          <w:szCs w:val="22"/>
        </w:rPr>
        <w:t>attributable</w:t>
      </w:r>
      <w:r w:rsidR="00782806" w:rsidRPr="00B3729A">
        <w:rPr>
          <w:sz w:val="22"/>
          <w:szCs w:val="22"/>
        </w:rPr>
        <w:t xml:space="preserve"> interest in each of th</w:t>
      </w:r>
      <w:r w:rsidR="00AC29A8" w:rsidRPr="00B3729A">
        <w:rPr>
          <w:sz w:val="22"/>
          <w:szCs w:val="22"/>
        </w:rPr>
        <w:t>em</w:t>
      </w:r>
      <w:r w:rsidR="00AA3001">
        <w:rPr>
          <w:sz w:val="22"/>
          <w:szCs w:val="22"/>
        </w:rPr>
        <w:t xml:space="preserve"> at the time of application filing</w:t>
      </w:r>
      <w:r w:rsidR="00782806" w:rsidRPr="00B3729A">
        <w:rPr>
          <w:sz w:val="22"/>
          <w:szCs w:val="22"/>
        </w:rPr>
        <w:t>.</w:t>
      </w:r>
      <w:r w:rsidR="00AC29A8" w:rsidRPr="00EF3A19">
        <w:rPr>
          <w:rStyle w:val="FootnoteReference"/>
          <w:rFonts w:ascii="Times New Roman" w:hAnsi="Times New Roman"/>
          <w:sz w:val="22"/>
        </w:rPr>
        <w:footnoteReference w:id="42"/>
      </w:r>
      <w:r w:rsidR="00782806" w:rsidRPr="00B3729A">
        <w:rPr>
          <w:sz w:val="22"/>
          <w:szCs w:val="22"/>
        </w:rPr>
        <w:t xml:space="preserve">  </w:t>
      </w:r>
      <w:r w:rsidR="00012FE3" w:rsidRPr="00B3729A">
        <w:rPr>
          <w:sz w:val="22"/>
          <w:szCs w:val="22"/>
        </w:rPr>
        <w:t xml:space="preserve">Accordingly, </w:t>
      </w:r>
      <w:r w:rsidR="008532B0" w:rsidRPr="00B3729A">
        <w:rPr>
          <w:sz w:val="22"/>
          <w:szCs w:val="22"/>
        </w:rPr>
        <w:t>the Applications</w:t>
      </w:r>
      <w:r w:rsidR="00AC29A8" w:rsidRPr="00B3729A">
        <w:rPr>
          <w:sz w:val="22"/>
          <w:szCs w:val="22"/>
        </w:rPr>
        <w:t xml:space="preserve"> could not </w:t>
      </w:r>
      <w:r w:rsidR="008532B0" w:rsidRPr="00B3729A">
        <w:rPr>
          <w:sz w:val="22"/>
          <w:szCs w:val="22"/>
        </w:rPr>
        <w:t>be granted because they were inconsistent applications.</w:t>
      </w:r>
      <w:r w:rsidR="008532B0" w:rsidRPr="00EF3A19">
        <w:rPr>
          <w:rStyle w:val="FootnoteReference"/>
          <w:rFonts w:ascii="Times New Roman" w:hAnsi="Times New Roman"/>
          <w:sz w:val="22"/>
        </w:rPr>
        <w:footnoteReference w:id="43"/>
      </w:r>
      <w:r w:rsidR="008532B0" w:rsidRPr="00B3729A">
        <w:rPr>
          <w:sz w:val="22"/>
          <w:szCs w:val="22"/>
        </w:rPr>
        <w:t xml:space="preserve">  W</w:t>
      </w:r>
      <w:r w:rsidR="00012FE3" w:rsidRPr="00B3729A">
        <w:rPr>
          <w:sz w:val="22"/>
          <w:szCs w:val="22"/>
        </w:rPr>
        <w:t xml:space="preserve">e </w:t>
      </w:r>
      <w:r w:rsidR="008532B0" w:rsidRPr="00B3729A">
        <w:rPr>
          <w:sz w:val="22"/>
          <w:szCs w:val="22"/>
        </w:rPr>
        <w:t xml:space="preserve">thus </w:t>
      </w:r>
      <w:r w:rsidR="00012FE3" w:rsidRPr="00B3729A">
        <w:rPr>
          <w:sz w:val="22"/>
          <w:szCs w:val="22"/>
        </w:rPr>
        <w:t xml:space="preserve">affirm the dismissal of the Applications </w:t>
      </w:r>
      <w:r w:rsidR="004E323F" w:rsidRPr="00B3729A">
        <w:rPr>
          <w:sz w:val="22"/>
          <w:szCs w:val="22"/>
        </w:rPr>
        <w:t>as inconsistent applications</w:t>
      </w:r>
      <w:r w:rsidR="00012FE3" w:rsidRPr="00B3729A">
        <w:rPr>
          <w:sz w:val="22"/>
          <w:szCs w:val="22"/>
        </w:rPr>
        <w:t xml:space="preserve"> as well. </w:t>
      </w:r>
      <w:r w:rsidR="009926EB" w:rsidRPr="00B3729A">
        <w:rPr>
          <w:sz w:val="22"/>
          <w:szCs w:val="22"/>
        </w:rPr>
        <w:t xml:space="preserve">    </w:t>
      </w:r>
    </w:p>
    <w:p w14:paraId="75426896" w14:textId="77777777" w:rsidR="007C399C" w:rsidRPr="00B3729A" w:rsidRDefault="007C399C" w:rsidP="004C0BE6">
      <w:pPr>
        <w:widowControl/>
        <w:ind w:firstLine="720"/>
        <w:rPr>
          <w:sz w:val="22"/>
          <w:szCs w:val="22"/>
        </w:rPr>
      </w:pPr>
    </w:p>
    <w:p w14:paraId="0FB34937" w14:textId="60B4B8A0" w:rsidR="005D7598" w:rsidRPr="00B3729A" w:rsidRDefault="000E22A3" w:rsidP="004C0BE6">
      <w:pPr>
        <w:widowControl/>
        <w:ind w:firstLine="720"/>
        <w:rPr>
          <w:color w:val="000000"/>
          <w:sz w:val="22"/>
          <w:szCs w:val="22"/>
        </w:rPr>
      </w:pPr>
      <w:r w:rsidRPr="00B3729A">
        <w:rPr>
          <w:sz w:val="22"/>
          <w:szCs w:val="22"/>
        </w:rPr>
        <w:t xml:space="preserve"> </w:t>
      </w:r>
      <w:r w:rsidR="00C969F5" w:rsidRPr="00B3729A">
        <w:rPr>
          <w:b/>
          <w:color w:val="000000"/>
          <w:sz w:val="22"/>
          <w:szCs w:val="22"/>
        </w:rPr>
        <w:t>Conclusion/Actions.</w:t>
      </w:r>
      <w:r w:rsidR="00C969F5" w:rsidRPr="00B3729A">
        <w:rPr>
          <w:color w:val="000000"/>
          <w:sz w:val="22"/>
          <w:szCs w:val="22"/>
        </w:rPr>
        <w:t xml:space="preserve">  </w:t>
      </w:r>
      <w:r w:rsidR="0058635A" w:rsidRPr="00B3729A">
        <w:rPr>
          <w:color w:val="000000"/>
          <w:sz w:val="22"/>
          <w:szCs w:val="22"/>
        </w:rPr>
        <w:t>Accordingly, f</w:t>
      </w:r>
      <w:r w:rsidR="005D7598" w:rsidRPr="00B3729A">
        <w:rPr>
          <w:color w:val="000000"/>
          <w:sz w:val="22"/>
          <w:szCs w:val="22"/>
        </w:rPr>
        <w:t xml:space="preserve">or the reasons set forth above, IT IS ORDERED, that </w:t>
      </w:r>
      <w:r w:rsidR="00C55938" w:rsidRPr="00B3729A">
        <w:rPr>
          <w:color w:val="000000"/>
          <w:sz w:val="22"/>
          <w:szCs w:val="22"/>
        </w:rPr>
        <w:t>the Petition</w:t>
      </w:r>
      <w:r w:rsidR="00AD2EA2" w:rsidRPr="00B3729A">
        <w:rPr>
          <w:color w:val="000000"/>
          <w:sz w:val="22"/>
          <w:szCs w:val="22"/>
        </w:rPr>
        <w:t>s</w:t>
      </w:r>
      <w:r w:rsidR="00C55938" w:rsidRPr="00B3729A">
        <w:rPr>
          <w:color w:val="000000"/>
          <w:sz w:val="22"/>
          <w:szCs w:val="22"/>
        </w:rPr>
        <w:t xml:space="preserve"> for Reconsideration</w:t>
      </w:r>
      <w:r w:rsidR="005318A5" w:rsidRPr="00B3729A">
        <w:rPr>
          <w:color w:val="000000"/>
          <w:sz w:val="22"/>
          <w:szCs w:val="22"/>
        </w:rPr>
        <w:t xml:space="preserve"> </w:t>
      </w:r>
      <w:r w:rsidR="002D09ED" w:rsidRPr="00B3729A">
        <w:rPr>
          <w:color w:val="000000"/>
          <w:sz w:val="22"/>
          <w:szCs w:val="22"/>
        </w:rPr>
        <w:t xml:space="preserve">filed </w:t>
      </w:r>
      <w:r w:rsidR="00AD2EA2" w:rsidRPr="00B3729A">
        <w:rPr>
          <w:color w:val="000000"/>
          <w:sz w:val="22"/>
          <w:szCs w:val="22"/>
        </w:rPr>
        <w:t xml:space="preserve">by </w:t>
      </w:r>
      <w:r w:rsidR="00AD2EA2" w:rsidRPr="00B3729A">
        <w:rPr>
          <w:sz w:val="22"/>
          <w:szCs w:val="22"/>
        </w:rPr>
        <w:t>A Home for Everyone (File No</w:t>
      </w:r>
      <w:r w:rsidR="006F2BF9" w:rsidRPr="00B3729A">
        <w:rPr>
          <w:sz w:val="22"/>
          <w:szCs w:val="22"/>
        </w:rPr>
        <w:t>. BNPL-20131112CGV)</w:t>
      </w:r>
      <w:r w:rsidR="00AD2EA2" w:rsidRPr="00B3729A">
        <w:rPr>
          <w:sz w:val="22"/>
          <w:szCs w:val="22"/>
        </w:rPr>
        <w:t xml:space="preserve">, Blue Stone Media Activists (File No. </w:t>
      </w:r>
      <w:r w:rsidR="006F2BF9" w:rsidRPr="00B3729A">
        <w:rPr>
          <w:sz w:val="22"/>
          <w:szCs w:val="22"/>
        </w:rPr>
        <w:t>BNPL-20131113AHP</w:t>
      </w:r>
      <w:r w:rsidR="00AD2EA2" w:rsidRPr="00B3729A">
        <w:rPr>
          <w:sz w:val="22"/>
          <w:szCs w:val="22"/>
        </w:rPr>
        <w:t xml:space="preserve">), Cascadia Sound Waves (File No. </w:t>
      </w:r>
      <w:r w:rsidR="006F2BF9" w:rsidRPr="00B3729A">
        <w:rPr>
          <w:sz w:val="22"/>
          <w:szCs w:val="22"/>
        </w:rPr>
        <w:t>BNPL-20131112BEO</w:t>
      </w:r>
      <w:r w:rsidR="00AD2EA2" w:rsidRPr="00B3729A">
        <w:rPr>
          <w:sz w:val="22"/>
          <w:szCs w:val="22"/>
        </w:rPr>
        <w:t>), Central Oregon Spiritual Awareness Advocates (File No.</w:t>
      </w:r>
      <w:r w:rsidR="006F2BF9" w:rsidRPr="00B3729A">
        <w:rPr>
          <w:sz w:val="22"/>
          <w:szCs w:val="22"/>
        </w:rPr>
        <w:t xml:space="preserve"> BNPL-20131113AEF</w:t>
      </w:r>
      <w:r w:rsidR="00B00985" w:rsidRPr="00B3729A">
        <w:rPr>
          <w:sz w:val="22"/>
          <w:szCs w:val="22"/>
        </w:rPr>
        <w:t>), Futurist</w:t>
      </w:r>
      <w:r w:rsidR="00AD2EA2" w:rsidRPr="00B3729A">
        <w:rPr>
          <w:sz w:val="22"/>
          <w:szCs w:val="22"/>
        </w:rPr>
        <w:t xml:space="preserve"> Prophetic Advancement (File No. </w:t>
      </w:r>
      <w:r w:rsidR="006F2BF9" w:rsidRPr="00B3729A">
        <w:rPr>
          <w:sz w:val="22"/>
          <w:szCs w:val="22"/>
        </w:rPr>
        <w:t>BNPL-20131114ANG</w:t>
      </w:r>
      <w:r w:rsidR="00AD2EA2" w:rsidRPr="00B3729A">
        <w:rPr>
          <w:sz w:val="22"/>
          <w:szCs w:val="22"/>
        </w:rPr>
        <w:t xml:space="preserve">), Health Freedom For All (File No. </w:t>
      </w:r>
      <w:r w:rsidR="006F2BF9" w:rsidRPr="00B3729A">
        <w:rPr>
          <w:sz w:val="22"/>
          <w:szCs w:val="22"/>
        </w:rPr>
        <w:t>BNPL-20131112CGR</w:t>
      </w:r>
      <w:r w:rsidR="00AD2EA2" w:rsidRPr="00B3729A">
        <w:rPr>
          <w:sz w:val="22"/>
          <w:szCs w:val="22"/>
        </w:rPr>
        <w:t xml:space="preserve">), Second Chance Ministry (File No. </w:t>
      </w:r>
      <w:r w:rsidR="006F2BF9" w:rsidRPr="00B3729A">
        <w:rPr>
          <w:sz w:val="22"/>
          <w:szCs w:val="22"/>
        </w:rPr>
        <w:t>BNPL-20131112CGT</w:t>
      </w:r>
      <w:r w:rsidR="00AD2EA2" w:rsidRPr="00B3729A">
        <w:rPr>
          <w:sz w:val="22"/>
          <w:szCs w:val="22"/>
        </w:rPr>
        <w:t xml:space="preserve">), Sweet Home All for One and One for All (File No. </w:t>
      </w:r>
      <w:r w:rsidR="006F2BF9" w:rsidRPr="00B3729A">
        <w:rPr>
          <w:sz w:val="22"/>
          <w:szCs w:val="22"/>
        </w:rPr>
        <w:t>BNPL-20131112CGN</w:t>
      </w:r>
      <w:r w:rsidR="00AD2EA2" w:rsidRPr="00B3729A">
        <w:rPr>
          <w:sz w:val="22"/>
          <w:szCs w:val="22"/>
        </w:rPr>
        <w:t xml:space="preserve">), and The Bride of Christ As One (File No. </w:t>
      </w:r>
      <w:r w:rsidR="006F2BF9" w:rsidRPr="00B3729A">
        <w:rPr>
          <w:sz w:val="22"/>
          <w:szCs w:val="22"/>
        </w:rPr>
        <w:t>BNPL-20131112CGP</w:t>
      </w:r>
      <w:r w:rsidR="00AD2EA2" w:rsidRPr="00B3729A">
        <w:rPr>
          <w:sz w:val="22"/>
          <w:szCs w:val="22"/>
        </w:rPr>
        <w:t xml:space="preserve">) </w:t>
      </w:r>
      <w:r w:rsidR="002D09ED" w:rsidRPr="00B3729A">
        <w:rPr>
          <w:color w:val="000000"/>
          <w:sz w:val="22"/>
          <w:szCs w:val="22"/>
        </w:rPr>
        <w:t xml:space="preserve">on </w:t>
      </w:r>
      <w:r w:rsidR="00C55938" w:rsidRPr="00B3729A">
        <w:rPr>
          <w:color w:val="000000"/>
          <w:sz w:val="22"/>
          <w:szCs w:val="22"/>
        </w:rPr>
        <w:t>March</w:t>
      </w:r>
      <w:r w:rsidR="00FC49C4" w:rsidRPr="00B3729A">
        <w:rPr>
          <w:color w:val="000000"/>
          <w:sz w:val="22"/>
          <w:szCs w:val="22"/>
        </w:rPr>
        <w:t xml:space="preserve"> </w:t>
      </w:r>
      <w:r w:rsidR="00C55938" w:rsidRPr="00B3729A">
        <w:rPr>
          <w:color w:val="000000"/>
          <w:sz w:val="22"/>
          <w:szCs w:val="22"/>
        </w:rPr>
        <w:t>3</w:t>
      </w:r>
      <w:r w:rsidR="00AD2EA2" w:rsidRPr="00B3729A">
        <w:rPr>
          <w:color w:val="000000"/>
          <w:sz w:val="22"/>
          <w:szCs w:val="22"/>
        </w:rPr>
        <w:t>0</w:t>
      </w:r>
      <w:r w:rsidR="00FC49C4" w:rsidRPr="00B3729A">
        <w:rPr>
          <w:color w:val="000000"/>
          <w:sz w:val="22"/>
          <w:szCs w:val="22"/>
        </w:rPr>
        <w:t xml:space="preserve">, 2015, </w:t>
      </w:r>
      <w:r w:rsidR="00AD2EA2" w:rsidRPr="00B3729A">
        <w:rPr>
          <w:color w:val="000000"/>
          <w:sz w:val="22"/>
          <w:szCs w:val="22"/>
        </w:rPr>
        <w:t>ARE</w:t>
      </w:r>
      <w:r w:rsidR="004C0BE6" w:rsidRPr="00B3729A">
        <w:rPr>
          <w:color w:val="000000"/>
          <w:sz w:val="22"/>
          <w:szCs w:val="22"/>
        </w:rPr>
        <w:t xml:space="preserve"> </w:t>
      </w:r>
      <w:r w:rsidR="007E592C" w:rsidRPr="00B3729A">
        <w:rPr>
          <w:color w:val="000000"/>
          <w:sz w:val="22"/>
          <w:szCs w:val="22"/>
        </w:rPr>
        <w:t xml:space="preserve">GRANTED IN PART and OTHERWISE ARE </w:t>
      </w:r>
      <w:r w:rsidR="00612D71" w:rsidRPr="00B3729A">
        <w:rPr>
          <w:color w:val="000000"/>
          <w:sz w:val="22"/>
          <w:szCs w:val="22"/>
        </w:rPr>
        <w:t>DENIED</w:t>
      </w:r>
      <w:r w:rsidR="0058635A" w:rsidRPr="00B3729A">
        <w:rPr>
          <w:color w:val="000000"/>
          <w:sz w:val="22"/>
          <w:szCs w:val="22"/>
        </w:rPr>
        <w:t>.</w:t>
      </w:r>
      <w:r w:rsidR="004C0BE6" w:rsidRPr="00B3729A">
        <w:rPr>
          <w:color w:val="000000"/>
          <w:sz w:val="22"/>
          <w:szCs w:val="22"/>
        </w:rPr>
        <w:t xml:space="preserve"> </w:t>
      </w:r>
    </w:p>
    <w:p w14:paraId="6C0C8D3B" w14:textId="77777777" w:rsidR="0044125E" w:rsidRPr="00B3729A" w:rsidRDefault="0044125E" w:rsidP="009F3786">
      <w:pPr>
        <w:pStyle w:val="BodyText"/>
        <w:rPr>
          <w:szCs w:val="22"/>
        </w:rPr>
      </w:pPr>
    </w:p>
    <w:p w14:paraId="389310DD" w14:textId="77777777" w:rsidR="009F3786" w:rsidRPr="00B3729A" w:rsidRDefault="009F3786" w:rsidP="009F3786">
      <w:pPr>
        <w:pStyle w:val="BodyText"/>
        <w:rPr>
          <w:szCs w:val="22"/>
        </w:rPr>
      </w:pPr>
      <w:r w:rsidRPr="00B3729A">
        <w:rPr>
          <w:szCs w:val="22"/>
        </w:rPr>
        <w:tab/>
      </w:r>
      <w:r w:rsidRPr="00B3729A">
        <w:rPr>
          <w:szCs w:val="22"/>
        </w:rPr>
        <w:tab/>
      </w:r>
      <w:r w:rsidRPr="00B3729A">
        <w:rPr>
          <w:szCs w:val="22"/>
        </w:rPr>
        <w:tab/>
      </w:r>
      <w:r w:rsidRPr="00B3729A">
        <w:rPr>
          <w:szCs w:val="22"/>
        </w:rPr>
        <w:tab/>
      </w:r>
      <w:r w:rsidRPr="00B3729A">
        <w:rPr>
          <w:szCs w:val="22"/>
        </w:rPr>
        <w:tab/>
      </w:r>
      <w:r w:rsidR="00DF5464" w:rsidRPr="00B3729A">
        <w:rPr>
          <w:szCs w:val="22"/>
        </w:rPr>
        <w:tab/>
      </w:r>
      <w:r w:rsidR="00DF5464" w:rsidRPr="00B3729A">
        <w:rPr>
          <w:szCs w:val="22"/>
        </w:rPr>
        <w:tab/>
      </w:r>
      <w:r w:rsidRPr="00B3729A">
        <w:rPr>
          <w:szCs w:val="22"/>
        </w:rPr>
        <w:t>Sincerely,</w:t>
      </w:r>
    </w:p>
    <w:p w14:paraId="7CFAAEA5" w14:textId="77777777" w:rsidR="009F3786" w:rsidRPr="00B3729A" w:rsidRDefault="009F3786" w:rsidP="009F3786">
      <w:pPr>
        <w:pStyle w:val="BodyText"/>
        <w:rPr>
          <w:szCs w:val="22"/>
        </w:rPr>
      </w:pPr>
    </w:p>
    <w:p w14:paraId="380AF145" w14:textId="77777777" w:rsidR="001A31B0" w:rsidRPr="00B3729A" w:rsidRDefault="001A31B0" w:rsidP="009F3786">
      <w:pPr>
        <w:pStyle w:val="BodyText"/>
        <w:rPr>
          <w:szCs w:val="22"/>
        </w:rPr>
      </w:pPr>
    </w:p>
    <w:p w14:paraId="16D6AB53" w14:textId="77777777" w:rsidR="009F3786" w:rsidRPr="00B3729A" w:rsidRDefault="009F3786" w:rsidP="009F3786">
      <w:pPr>
        <w:pStyle w:val="BodyText"/>
        <w:rPr>
          <w:szCs w:val="22"/>
        </w:rPr>
      </w:pPr>
    </w:p>
    <w:p w14:paraId="44775F07" w14:textId="77777777" w:rsidR="009F3786" w:rsidRPr="00B3729A" w:rsidRDefault="009F3786" w:rsidP="009F3786">
      <w:pPr>
        <w:pStyle w:val="BodyText"/>
        <w:rPr>
          <w:szCs w:val="22"/>
        </w:rPr>
      </w:pPr>
      <w:r w:rsidRPr="00B3729A">
        <w:rPr>
          <w:szCs w:val="22"/>
        </w:rPr>
        <w:tab/>
      </w:r>
      <w:r w:rsidRPr="00B3729A">
        <w:rPr>
          <w:szCs w:val="22"/>
        </w:rPr>
        <w:tab/>
      </w:r>
      <w:r w:rsidRPr="00B3729A">
        <w:rPr>
          <w:szCs w:val="22"/>
        </w:rPr>
        <w:tab/>
      </w:r>
      <w:r w:rsidRPr="00B3729A">
        <w:rPr>
          <w:szCs w:val="22"/>
        </w:rPr>
        <w:tab/>
      </w:r>
      <w:r w:rsidRPr="00B3729A">
        <w:rPr>
          <w:szCs w:val="22"/>
        </w:rPr>
        <w:tab/>
      </w:r>
      <w:r w:rsidR="00DF5464" w:rsidRPr="00B3729A">
        <w:rPr>
          <w:szCs w:val="22"/>
        </w:rPr>
        <w:tab/>
      </w:r>
      <w:r w:rsidR="00DF5464" w:rsidRPr="00B3729A">
        <w:rPr>
          <w:szCs w:val="22"/>
        </w:rPr>
        <w:tab/>
      </w:r>
      <w:r w:rsidRPr="00B3729A">
        <w:rPr>
          <w:szCs w:val="22"/>
        </w:rPr>
        <w:t xml:space="preserve">Peter H. Doyle </w:t>
      </w:r>
    </w:p>
    <w:p w14:paraId="32855B26" w14:textId="77777777" w:rsidR="009F3786" w:rsidRPr="00B3729A" w:rsidRDefault="009F3786" w:rsidP="009F3786">
      <w:pPr>
        <w:pStyle w:val="BodyText"/>
        <w:rPr>
          <w:szCs w:val="22"/>
        </w:rPr>
      </w:pPr>
      <w:r w:rsidRPr="00B3729A">
        <w:rPr>
          <w:szCs w:val="22"/>
        </w:rPr>
        <w:tab/>
      </w:r>
      <w:r w:rsidRPr="00B3729A">
        <w:rPr>
          <w:szCs w:val="22"/>
        </w:rPr>
        <w:tab/>
      </w:r>
      <w:r w:rsidRPr="00B3729A">
        <w:rPr>
          <w:szCs w:val="22"/>
        </w:rPr>
        <w:tab/>
      </w:r>
      <w:r w:rsidRPr="00B3729A">
        <w:rPr>
          <w:szCs w:val="22"/>
        </w:rPr>
        <w:tab/>
      </w:r>
      <w:r w:rsidRPr="00B3729A">
        <w:rPr>
          <w:szCs w:val="22"/>
        </w:rPr>
        <w:tab/>
      </w:r>
      <w:r w:rsidR="00DF5464" w:rsidRPr="00B3729A">
        <w:rPr>
          <w:szCs w:val="22"/>
        </w:rPr>
        <w:tab/>
      </w:r>
      <w:r w:rsidR="00DF5464" w:rsidRPr="00B3729A">
        <w:rPr>
          <w:szCs w:val="22"/>
        </w:rPr>
        <w:tab/>
      </w:r>
      <w:r w:rsidR="00994A42" w:rsidRPr="00B3729A">
        <w:rPr>
          <w:szCs w:val="22"/>
        </w:rPr>
        <w:t xml:space="preserve">Chief, </w:t>
      </w:r>
      <w:r w:rsidRPr="00B3729A">
        <w:rPr>
          <w:szCs w:val="22"/>
        </w:rPr>
        <w:t>Audio Division</w:t>
      </w:r>
    </w:p>
    <w:p w14:paraId="41067ED8" w14:textId="77777777" w:rsidR="00901EE2" w:rsidRPr="00B3729A" w:rsidRDefault="009F3786" w:rsidP="001D3887">
      <w:pPr>
        <w:rPr>
          <w:sz w:val="22"/>
          <w:szCs w:val="22"/>
          <w:lang w:val="es-ES_tradnl"/>
        </w:rPr>
      </w:pPr>
      <w:r w:rsidRPr="00B3729A">
        <w:rPr>
          <w:sz w:val="22"/>
          <w:szCs w:val="22"/>
        </w:rPr>
        <w:tab/>
      </w:r>
      <w:r w:rsidRPr="00B3729A">
        <w:rPr>
          <w:sz w:val="22"/>
          <w:szCs w:val="22"/>
        </w:rPr>
        <w:tab/>
      </w:r>
      <w:r w:rsidRPr="00B3729A">
        <w:rPr>
          <w:sz w:val="22"/>
          <w:szCs w:val="22"/>
        </w:rPr>
        <w:tab/>
      </w:r>
      <w:r w:rsidRPr="00B3729A">
        <w:rPr>
          <w:sz w:val="22"/>
          <w:szCs w:val="22"/>
        </w:rPr>
        <w:tab/>
      </w:r>
      <w:r w:rsidRPr="00B3729A">
        <w:rPr>
          <w:sz w:val="22"/>
          <w:szCs w:val="22"/>
        </w:rPr>
        <w:tab/>
      </w:r>
      <w:r w:rsidR="00DF5464" w:rsidRPr="00B3729A">
        <w:rPr>
          <w:sz w:val="22"/>
          <w:szCs w:val="22"/>
        </w:rPr>
        <w:tab/>
      </w:r>
      <w:r w:rsidR="00DF5464" w:rsidRPr="00B3729A">
        <w:rPr>
          <w:sz w:val="22"/>
          <w:szCs w:val="22"/>
        </w:rPr>
        <w:tab/>
      </w:r>
      <w:r w:rsidRPr="00B3729A">
        <w:rPr>
          <w:sz w:val="22"/>
          <w:szCs w:val="22"/>
          <w:lang w:val="es-ES_tradnl"/>
        </w:rPr>
        <w:t>Media Bureau</w:t>
      </w:r>
    </w:p>
    <w:p w14:paraId="313D0D98" w14:textId="77777777" w:rsidR="00900676" w:rsidRPr="00B3729A" w:rsidRDefault="00900676" w:rsidP="001D3887">
      <w:pPr>
        <w:rPr>
          <w:sz w:val="22"/>
          <w:szCs w:val="22"/>
          <w:lang w:val="es-ES_tradnl"/>
        </w:rPr>
      </w:pPr>
    </w:p>
    <w:p w14:paraId="0E3F53FE" w14:textId="77777777" w:rsidR="00900676" w:rsidRPr="00B3729A" w:rsidRDefault="00900676" w:rsidP="00900676">
      <w:pPr>
        <w:tabs>
          <w:tab w:val="left" w:pos="0"/>
        </w:tabs>
        <w:suppressAutoHyphens/>
        <w:rPr>
          <w:sz w:val="22"/>
          <w:szCs w:val="22"/>
          <w:lang w:val="es-ES_tradnl"/>
        </w:rPr>
      </w:pPr>
      <w:r w:rsidRPr="00B3729A">
        <w:rPr>
          <w:sz w:val="22"/>
          <w:szCs w:val="22"/>
          <w:lang w:val="es-ES_tradnl"/>
        </w:rPr>
        <w:t>cc:</w:t>
      </w:r>
      <w:r w:rsidRPr="00B3729A">
        <w:rPr>
          <w:sz w:val="22"/>
          <w:szCs w:val="22"/>
          <w:lang w:val="es-ES_tradnl"/>
        </w:rPr>
        <w:tab/>
        <w:t>Dan J. Alpert, Esq.</w:t>
      </w:r>
    </w:p>
    <w:p w14:paraId="2E85ED99" w14:textId="77777777" w:rsidR="00900676" w:rsidRPr="00B3729A" w:rsidRDefault="00900676" w:rsidP="00900676">
      <w:pPr>
        <w:tabs>
          <w:tab w:val="left" w:pos="0"/>
        </w:tabs>
        <w:suppressAutoHyphens/>
        <w:rPr>
          <w:sz w:val="22"/>
          <w:szCs w:val="22"/>
        </w:rPr>
      </w:pPr>
      <w:r w:rsidRPr="00B3729A">
        <w:rPr>
          <w:sz w:val="22"/>
          <w:szCs w:val="22"/>
          <w:lang w:val="es-ES_tradnl"/>
        </w:rPr>
        <w:tab/>
      </w:r>
      <w:r w:rsidRPr="00B3729A">
        <w:rPr>
          <w:sz w:val="22"/>
          <w:szCs w:val="22"/>
        </w:rPr>
        <w:t>The Law Offices of Dan J. Alpert</w:t>
      </w:r>
    </w:p>
    <w:p w14:paraId="62F8D481" w14:textId="77777777" w:rsidR="00900676" w:rsidRPr="00B3729A" w:rsidRDefault="00900676" w:rsidP="00900676">
      <w:pPr>
        <w:tabs>
          <w:tab w:val="left" w:pos="0"/>
        </w:tabs>
        <w:suppressAutoHyphens/>
        <w:rPr>
          <w:sz w:val="22"/>
          <w:szCs w:val="22"/>
        </w:rPr>
      </w:pPr>
      <w:r w:rsidRPr="00B3729A">
        <w:rPr>
          <w:sz w:val="22"/>
          <w:szCs w:val="22"/>
        </w:rPr>
        <w:tab/>
        <w:t>2120 N. 21</w:t>
      </w:r>
      <w:r w:rsidRPr="00B3729A">
        <w:rPr>
          <w:sz w:val="22"/>
          <w:szCs w:val="22"/>
          <w:vertAlign w:val="superscript"/>
        </w:rPr>
        <w:t>st</w:t>
      </w:r>
      <w:r w:rsidRPr="00B3729A">
        <w:rPr>
          <w:sz w:val="22"/>
          <w:szCs w:val="22"/>
        </w:rPr>
        <w:t xml:space="preserve"> Road</w:t>
      </w:r>
    </w:p>
    <w:p w14:paraId="7EFD5577" w14:textId="77777777" w:rsidR="00900676" w:rsidRPr="00B3729A" w:rsidRDefault="00900676" w:rsidP="00900676">
      <w:pPr>
        <w:tabs>
          <w:tab w:val="left" w:pos="0"/>
        </w:tabs>
        <w:suppressAutoHyphens/>
        <w:rPr>
          <w:sz w:val="22"/>
          <w:szCs w:val="22"/>
        </w:rPr>
      </w:pPr>
      <w:r w:rsidRPr="00B3729A">
        <w:rPr>
          <w:sz w:val="22"/>
          <w:szCs w:val="22"/>
        </w:rPr>
        <w:tab/>
        <w:t>Arlington, VA 22201</w:t>
      </w:r>
    </w:p>
    <w:p w14:paraId="57C4B90E" w14:textId="77777777" w:rsidR="00012FE3" w:rsidRPr="00B3729A" w:rsidRDefault="00012FE3" w:rsidP="00900676">
      <w:pPr>
        <w:tabs>
          <w:tab w:val="left" w:pos="0"/>
        </w:tabs>
        <w:suppressAutoHyphens/>
        <w:rPr>
          <w:sz w:val="22"/>
          <w:szCs w:val="22"/>
        </w:rPr>
      </w:pPr>
    </w:p>
    <w:p w14:paraId="30FC2D9F" w14:textId="77777777" w:rsidR="00012FE3" w:rsidRPr="00B3729A" w:rsidRDefault="00012FE3" w:rsidP="00900676">
      <w:pPr>
        <w:tabs>
          <w:tab w:val="left" w:pos="0"/>
        </w:tabs>
        <w:suppressAutoHyphens/>
        <w:rPr>
          <w:sz w:val="22"/>
          <w:szCs w:val="22"/>
        </w:rPr>
      </w:pPr>
      <w:r w:rsidRPr="00B3729A">
        <w:rPr>
          <w:sz w:val="22"/>
          <w:szCs w:val="22"/>
        </w:rPr>
        <w:tab/>
        <w:t>Mr. Robert Lund</w:t>
      </w:r>
    </w:p>
    <w:p w14:paraId="556EF6F1" w14:textId="77777777" w:rsidR="00012FE3" w:rsidRPr="00B3729A" w:rsidRDefault="00012FE3" w:rsidP="00900676">
      <w:pPr>
        <w:tabs>
          <w:tab w:val="left" w:pos="0"/>
        </w:tabs>
        <w:suppressAutoHyphens/>
        <w:rPr>
          <w:sz w:val="22"/>
          <w:szCs w:val="22"/>
        </w:rPr>
      </w:pPr>
      <w:r w:rsidRPr="00B3729A">
        <w:rPr>
          <w:sz w:val="22"/>
          <w:szCs w:val="22"/>
        </w:rPr>
        <w:tab/>
        <w:t>P.O. Box 151</w:t>
      </w:r>
    </w:p>
    <w:p w14:paraId="1D044EA6" w14:textId="77777777" w:rsidR="00012FE3" w:rsidRPr="00B3729A" w:rsidRDefault="00012FE3" w:rsidP="00900676">
      <w:pPr>
        <w:tabs>
          <w:tab w:val="left" w:pos="0"/>
        </w:tabs>
        <w:suppressAutoHyphens/>
        <w:rPr>
          <w:sz w:val="22"/>
          <w:szCs w:val="22"/>
        </w:rPr>
      </w:pPr>
      <w:r w:rsidRPr="00B3729A">
        <w:rPr>
          <w:sz w:val="22"/>
          <w:szCs w:val="22"/>
        </w:rPr>
        <w:tab/>
        <w:t>Albany, OR 97321</w:t>
      </w:r>
    </w:p>
    <w:p w14:paraId="4949FAA4" w14:textId="77777777" w:rsidR="00012FE3" w:rsidRPr="00B3729A" w:rsidRDefault="00012FE3" w:rsidP="00900676">
      <w:pPr>
        <w:tabs>
          <w:tab w:val="left" w:pos="0"/>
        </w:tabs>
        <w:suppressAutoHyphens/>
        <w:rPr>
          <w:sz w:val="22"/>
          <w:szCs w:val="22"/>
        </w:rPr>
      </w:pPr>
    </w:p>
    <w:p w14:paraId="3621323B" w14:textId="77777777" w:rsidR="00012FE3" w:rsidRPr="00B3729A" w:rsidRDefault="00012FE3" w:rsidP="00900676">
      <w:pPr>
        <w:tabs>
          <w:tab w:val="left" w:pos="0"/>
        </w:tabs>
        <w:suppressAutoHyphens/>
        <w:rPr>
          <w:sz w:val="22"/>
          <w:szCs w:val="22"/>
        </w:rPr>
      </w:pPr>
      <w:r w:rsidRPr="00B3729A">
        <w:rPr>
          <w:sz w:val="22"/>
          <w:szCs w:val="22"/>
        </w:rPr>
        <w:tab/>
        <w:t>Mr. Richard C. Eads</w:t>
      </w:r>
    </w:p>
    <w:p w14:paraId="3290D44E" w14:textId="77777777" w:rsidR="00012FE3" w:rsidRPr="00B3729A" w:rsidRDefault="00012FE3" w:rsidP="00900676">
      <w:pPr>
        <w:tabs>
          <w:tab w:val="left" w:pos="0"/>
        </w:tabs>
        <w:suppressAutoHyphens/>
        <w:rPr>
          <w:sz w:val="22"/>
          <w:szCs w:val="22"/>
        </w:rPr>
      </w:pPr>
      <w:r w:rsidRPr="00B3729A">
        <w:rPr>
          <w:sz w:val="22"/>
          <w:szCs w:val="22"/>
        </w:rPr>
        <w:tab/>
        <w:t>Eads Broadcasting Corporation</w:t>
      </w:r>
    </w:p>
    <w:p w14:paraId="792D8A20" w14:textId="77777777" w:rsidR="00012FE3" w:rsidRPr="00B3729A" w:rsidRDefault="00012FE3" w:rsidP="00900676">
      <w:pPr>
        <w:tabs>
          <w:tab w:val="left" w:pos="0"/>
        </w:tabs>
        <w:suppressAutoHyphens/>
        <w:rPr>
          <w:sz w:val="22"/>
          <w:szCs w:val="22"/>
        </w:rPr>
      </w:pPr>
      <w:r w:rsidRPr="00B3729A">
        <w:rPr>
          <w:sz w:val="22"/>
          <w:szCs w:val="22"/>
        </w:rPr>
        <w:tab/>
        <w:t>36991 KGAL Drive</w:t>
      </w:r>
    </w:p>
    <w:p w14:paraId="6318ED00" w14:textId="77777777" w:rsidR="00012FE3" w:rsidRPr="00B3729A" w:rsidRDefault="00012FE3" w:rsidP="00900676">
      <w:pPr>
        <w:tabs>
          <w:tab w:val="left" w:pos="0"/>
        </w:tabs>
        <w:suppressAutoHyphens/>
        <w:rPr>
          <w:sz w:val="22"/>
          <w:szCs w:val="22"/>
        </w:rPr>
      </w:pPr>
      <w:r w:rsidRPr="00B3729A">
        <w:rPr>
          <w:sz w:val="22"/>
          <w:szCs w:val="22"/>
        </w:rPr>
        <w:tab/>
        <w:t>Lebanon, OR 97355</w:t>
      </w:r>
    </w:p>
    <w:p w14:paraId="4E49111C" w14:textId="77777777" w:rsidR="00012FE3" w:rsidRPr="00B3729A" w:rsidRDefault="00012FE3" w:rsidP="00900676">
      <w:pPr>
        <w:tabs>
          <w:tab w:val="left" w:pos="0"/>
        </w:tabs>
        <w:suppressAutoHyphens/>
        <w:rPr>
          <w:sz w:val="22"/>
          <w:szCs w:val="22"/>
        </w:rPr>
      </w:pPr>
    </w:p>
    <w:p w14:paraId="64223F87" w14:textId="77777777" w:rsidR="00012FE3" w:rsidRPr="00B3729A" w:rsidRDefault="00012FE3" w:rsidP="00900676">
      <w:pPr>
        <w:tabs>
          <w:tab w:val="left" w:pos="0"/>
        </w:tabs>
        <w:suppressAutoHyphens/>
        <w:rPr>
          <w:sz w:val="22"/>
          <w:szCs w:val="22"/>
        </w:rPr>
      </w:pPr>
      <w:r w:rsidRPr="00B3729A">
        <w:rPr>
          <w:sz w:val="22"/>
          <w:szCs w:val="22"/>
        </w:rPr>
        <w:tab/>
        <w:t>Dennis J. Kelly, Esq.</w:t>
      </w:r>
    </w:p>
    <w:p w14:paraId="10EC0E83" w14:textId="77777777" w:rsidR="00012FE3" w:rsidRPr="00B3729A" w:rsidRDefault="00012FE3" w:rsidP="00900676">
      <w:pPr>
        <w:tabs>
          <w:tab w:val="left" w:pos="0"/>
        </w:tabs>
        <w:suppressAutoHyphens/>
        <w:rPr>
          <w:sz w:val="22"/>
          <w:szCs w:val="22"/>
        </w:rPr>
      </w:pPr>
      <w:r w:rsidRPr="00B3729A">
        <w:rPr>
          <w:sz w:val="22"/>
          <w:szCs w:val="22"/>
        </w:rPr>
        <w:tab/>
        <w:t>The Law Office of Dennis J. Kelly</w:t>
      </w:r>
    </w:p>
    <w:p w14:paraId="4AF583B7" w14:textId="77777777" w:rsidR="00012FE3" w:rsidRPr="00B3729A" w:rsidRDefault="00012FE3" w:rsidP="00900676">
      <w:pPr>
        <w:tabs>
          <w:tab w:val="left" w:pos="0"/>
        </w:tabs>
        <w:suppressAutoHyphens/>
        <w:rPr>
          <w:sz w:val="22"/>
          <w:szCs w:val="22"/>
        </w:rPr>
      </w:pPr>
      <w:r w:rsidRPr="00B3729A">
        <w:rPr>
          <w:sz w:val="22"/>
          <w:szCs w:val="22"/>
        </w:rPr>
        <w:tab/>
        <w:t>P.O. Box 4117</w:t>
      </w:r>
    </w:p>
    <w:p w14:paraId="47CAF24D" w14:textId="77777777" w:rsidR="00012FE3" w:rsidRPr="00B3729A" w:rsidRDefault="00012FE3" w:rsidP="00900676">
      <w:pPr>
        <w:tabs>
          <w:tab w:val="left" w:pos="0"/>
        </w:tabs>
        <w:suppressAutoHyphens/>
        <w:rPr>
          <w:sz w:val="22"/>
          <w:szCs w:val="22"/>
        </w:rPr>
      </w:pPr>
      <w:r w:rsidRPr="00B3729A">
        <w:rPr>
          <w:sz w:val="22"/>
          <w:szCs w:val="22"/>
        </w:rPr>
        <w:tab/>
        <w:t>Washington, DC 20016</w:t>
      </w:r>
    </w:p>
    <w:p w14:paraId="4FBE4040" w14:textId="77777777" w:rsidR="00012FE3" w:rsidRPr="00B3729A" w:rsidRDefault="00012FE3" w:rsidP="00900676">
      <w:pPr>
        <w:tabs>
          <w:tab w:val="left" w:pos="0"/>
        </w:tabs>
        <w:suppressAutoHyphens/>
        <w:rPr>
          <w:sz w:val="22"/>
          <w:szCs w:val="22"/>
        </w:rPr>
      </w:pPr>
    </w:p>
    <w:p w14:paraId="50B3ADA4" w14:textId="77777777" w:rsidR="00012FE3" w:rsidRPr="00B3729A" w:rsidRDefault="00012FE3" w:rsidP="00900676">
      <w:pPr>
        <w:tabs>
          <w:tab w:val="left" w:pos="0"/>
        </w:tabs>
        <w:suppressAutoHyphens/>
        <w:rPr>
          <w:sz w:val="22"/>
          <w:szCs w:val="22"/>
        </w:rPr>
      </w:pPr>
      <w:r w:rsidRPr="00B3729A">
        <w:rPr>
          <w:sz w:val="22"/>
          <w:szCs w:val="22"/>
        </w:rPr>
        <w:tab/>
        <w:t>Prometheus Radio Project</w:t>
      </w:r>
    </w:p>
    <w:p w14:paraId="181956FB" w14:textId="77777777" w:rsidR="00012FE3" w:rsidRPr="00B3729A" w:rsidRDefault="00012FE3" w:rsidP="00900676">
      <w:pPr>
        <w:tabs>
          <w:tab w:val="left" w:pos="0"/>
        </w:tabs>
        <w:suppressAutoHyphens/>
        <w:rPr>
          <w:sz w:val="22"/>
          <w:szCs w:val="22"/>
        </w:rPr>
      </w:pPr>
      <w:r w:rsidRPr="00B3729A">
        <w:rPr>
          <w:sz w:val="22"/>
          <w:szCs w:val="22"/>
        </w:rPr>
        <w:tab/>
        <w:t>P.O. Box 42158</w:t>
      </w:r>
    </w:p>
    <w:p w14:paraId="1F2A8BF7" w14:textId="77777777" w:rsidR="00012FE3" w:rsidRDefault="00012FE3" w:rsidP="00900676">
      <w:pPr>
        <w:tabs>
          <w:tab w:val="left" w:pos="0"/>
        </w:tabs>
        <w:suppressAutoHyphens/>
        <w:rPr>
          <w:sz w:val="22"/>
          <w:szCs w:val="22"/>
        </w:rPr>
      </w:pPr>
      <w:r w:rsidRPr="00B3729A">
        <w:rPr>
          <w:sz w:val="22"/>
          <w:szCs w:val="22"/>
        </w:rPr>
        <w:tab/>
      </w:r>
      <w:r w:rsidR="007E2855" w:rsidRPr="00B3729A">
        <w:rPr>
          <w:sz w:val="22"/>
          <w:szCs w:val="22"/>
        </w:rPr>
        <w:t>Philadelphia</w:t>
      </w:r>
      <w:r w:rsidRPr="00B3729A">
        <w:rPr>
          <w:sz w:val="22"/>
          <w:szCs w:val="22"/>
        </w:rPr>
        <w:t>, PA 19101</w:t>
      </w:r>
    </w:p>
    <w:p w14:paraId="2860EE5A" w14:textId="77777777" w:rsidR="006B5D4B" w:rsidRDefault="006B5D4B" w:rsidP="00900676">
      <w:pPr>
        <w:tabs>
          <w:tab w:val="left" w:pos="0"/>
        </w:tabs>
        <w:suppressAutoHyphens/>
        <w:rPr>
          <w:sz w:val="22"/>
          <w:szCs w:val="22"/>
        </w:rPr>
      </w:pPr>
    </w:p>
    <w:p w14:paraId="29A4B2C3" w14:textId="788F7C85" w:rsidR="006B5D4B" w:rsidRDefault="006B5D4B" w:rsidP="00900676">
      <w:pPr>
        <w:tabs>
          <w:tab w:val="left" w:pos="0"/>
        </w:tabs>
        <w:suppressAutoHyphens/>
        <w:rPr>
          <w:sz w:val="22"/>
          <w:szCs w:val="22"/>
        </w:rPr>
      </w:pPr>
      <w:r>
        <w:rPr>
          <w:sz w:val="22"/>
          <w:szCs w:val="22"/>
        </w:rPr>
        <w:tab/>
        <w:t>Elizabeth M. Grant, Esq.</w:t>
      </w:r>
    </w:p>
    <w:p w14:paraId="4BD2FF0D" w14:textId="38E4CBC5" w:rsidR="006B5D4B" w:rsidRDefault="006B5D4B" w:rsidP="00900676">
      <w:pPr>
        <w:tabs>
          <w:tab w:val="left" w:pos="0"/>
        </w:tabs>
        <w:suppressAutoHyphens/>
        <w:rPr>
          <w:sz w:val="22"/>
          <w:szCs w:val="22"/>
        </w:rPr>
      </w:pPr>
      <w:r>
        <w:rPr>
          <w:sz w:val="22"/>
          <w:szCs w:val="22"/>
        </w:rPr>
        <w:tab/>
        <w:t xml:space="preserve">Charitable </w:t>
      </w:r>
      <w:r w:rsidR="00187A33">
        <w:rPr>
          <w:sz w:val="22"/>
          <w:szCs w:val="22"/>
        </w:rPr>
        <w:t>Activities</w:t>
      </w:r>
      <w:r>
        <w:rPr>
          <w:sz w:val="22"/>
          <w:szCs w:val="22"/>
        </w:rPr>
        <w:t xml:space="preserve"> Section</w:t>
      </w:r>
    </w:p>
    <w:p w14:paraId="5474A02E" w14:textId="2928196A" w:rsidR="00187A33" w:rsidRDefault="00187A33" w:rsidP="00900676">
      <w:pPr>
        <w:tabs>
          <w:tab w:val="left" w:pos="0"/>
        </w:tabs>
        <w:suppressAutoHyphens/>
        <w:rPr>
          <w:sz w:val="22"/>
          <w:szCs w:val="22"/>
        </w:rPr>
      </w:pPr>
      <w:r>
        <w:rPr>
          <w:sz w:val="22"/>
          <w:szCs w:val="22"/>
        </w:rPr>
        <w:tab/>
        <w:t>Civil Enforcement Division</w:t>
      </w:r>
    </w:p>
    <w:p w14:paraId="2E67FC5D" w14:textId="4EB8AB06" w:rsidR="006B5D4B" w:rsidRDefault="006B5D4B" w:rsidP="00900676">
      <w:pPr>
        <w:tabs>
          <w:tab w:val="left" w:pos="0"/>
        </w:tabs>
        <w:suppressAutoHyphens/>
        <w:rPr>
          <w:sz w:val="22"/>
          <w:szCs w:val="22"/>
        </w:rPr>
      </w:pPr>
      <w:r>
        <w:rPr>
          <w:sz w:val="22"/>
          <w:szCs w:val="22"/>
        </w:rPr>
        <w:tab/>
      </w:r>
      <w:r w:rsidR="00C975E6">
        <w:rPr>
          <w:sz w:val="22"/>
          <w:szCs w:val="22"/>
        </w:rPr>
        <w:t xml:space="preserve">State of Oregon, </w:t>
      </w:r>
      <w:r>
        <w:rPr>
          <w:sz w:val="22"/>
          <w:szCs w:val="22"/>
        </w:rPr>
        <w:t>Department of Justice</w:t>
      </w:r>
    </w:p>
    <w:p w14:paraId="7E8F27E6" w14:textId="0243DE3A" w:rsidR="006B5D4B" w:rsidRDefault="006B5D4B" w:rsidP="00900676">
      <w:pPr>
        <w:tabs>
          <w:tab w:val="left" w:pos="0"/>
        </w:tabs>
        <w:suppressAutoHyphens/>
        <w:rPr>
          <w:sz w:val="22"/>
          <w:szCs w:val="22"/>
        </w:rPr>
      </w:pPr>
      <w:r>
        <w:rPr>
          <w:sz w:val="22"/>
          <w:szCs w:val="22"/>
        </w:rPr>
        <w:tab/>
        <w:t>1515 SW Fifth Ave., Suite 410</w:t>
      </w:r>
    </w:p>
    <w:p w14:paraId="0860BD1E" w14:textId="21256319" w:rsidR="006B5D4B" w:rsidRPr="00B3729A" w:rsidRDefault="006B5D4B" w:rsidP="00900676">
      <w:pPr>
        <w:tabs>
          <w:tab w:val="left" w:pos="0"/>
        </w:tabs>
        <w:suppressAutoHyphens/>
        <w:rPr>
          <w:sz w:val="22"/>
          <w:szCs w:val="22"/>
        </w:rPr>
      </w:pPr>
      <w:r>
        <w:rPr>
          <w:sz w:val="22"/>
          <w:szCs w:val="22"/>
        </w:rPr>
        <w:tab/>
        <w:t>Portland, OR 97201</w:t>
      </w:r>
    </w:p>
    <w:p w14:paraId="3E483FB9" w14:textId="77777777" w:rsidR="00900676" w:rsidRDefault="00900676" w:rsidP="00900676">
      <w:pPr>
        <w:tabs>
          <w:tab w:val="left" w:pos="0"/>
        </w:tabs>
        <w:suppressAutoHyphens/>
        <w:rPr>
          <w:sz w:val="22"/>
          <w:szCs w:val="22"/>
        </w:rPr>
      </w:pPr>
    </w:p>
    <w:p w14:paraId="74C17080" w14:textId="77777777" w:rsidR="00900676" w:rsidRDefault="00900676" w:rsidP="00900676">
      <w:pPr>
        <w:tabs>
          <w:tab w:val="left" w:pos="0"/>
        </w:tabs>
        <w:suppressAutoHyphens/>
        <w:rPr>
          <w:sz w:val="22"/>
          <w:szCs w:val="22"/>
        </w:rPr>
      </w:pPr>
    </w:p>
    <w:p w14:paraId="3C05C59A" w14:textId="77777777" w:rsidR="00900676" w:rsidRPr="00FE6F5A" w:rsidRDefault="00900676" w:rsidP="001D3887">
      <w:pPr>
        <w:rPr>
          <w:sz w:val="22"/>
        </w:rPr>
      </w:pPr>
    </w:p>
    <w:sectPr w:rsidR="00900676" w:rsidRPr="00FE6F5A" w:rsidSect="007C7ED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216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CF44B" w14:textId="77777777" w:rsidR="002B2E4C" w:rsidRDefault="002B2E4C">
      <w:r>
        <w:separator/>
      </w:r>
    </w:p>
  </w:endnote>
  <w:endnote w:type="continuationSeparator" w:id="0">
    <w:p w14:paraId="2139035B" w14:textId="77777777" w:rsidR="002B2E4C" w:rsidRDefault="002B2E4C">
      <w:r>
        <w:continuationSeparator/>
      </w:r>
    </w:p>
  </w:endnote>
  <w:endnote w:type="continuationNotice" w:id="1">
    <w:p w14:paraId="47E6A1A1" w14:textId="77777777" w:rsidR="002B2E4C" w:rsidRDefault="002B2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6DC7" w14:textId="77777777" w:rsidR="00AD69AF" w:rsidRDefault="00AD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C29A1" w14:textId="77777777" w:rsidR="00AD69AF" w:rsidRDefault="00AD6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20C6" w14:textId="77777777" w:rsidR="00AD69AF" w:rsidRDefault="00AD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C4A">
      <w:rPr>
        <w:rStyle w:val="PageNumber"/>
        <w:noProof/>
      </w:rPr>
      <w:t>2</w:t>
    </w:r>
    <w:r>
      <w:rPr>
        <w:rStyle w:val="PageNumber"/>
      </w:rPr>
      <w:fldChar w:fldCharType="end"/>
    </w:r>
  </w:p>
  <w:p w14:paraId="22FF0AB9" w14:textId="77777777" w:rsidR="00AD69AF" w:rsidRDefault="00AD69AF">
    <w:pPr>
      <w:spacing w:before="140" w:line="100" w:lineRule="exact"/>
      <w:rPr>
        <w:sz w:val="10"/>
      </w:rPr>
    </w:pPr>
  </w:p>
  <w:p w14:paraId="2D4B16ED" w14:textId="77777777" w:rsidR="00AD69AF" w:rsidRDefault="00AD69AF">
    <w:pPr>
      <w:suppressAutoHyphens/>
      <w:spacing w:line="227" w:lineRule="auto"/>
      <w:jc w:val="both"/>
    </w:pPr>
  </w:p>
  <w:p w14:paraId="34BB5305" w14:textId="77777777" w:rsidR="00AD69AF" w:rsidRDefault="00AD69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4601" w14:textId="77777777" w:rsidR="00B66582" w:rsidRDefault="00B66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659B" w14:textId="77777777" w:rsidR="002B2E4C" w:rsidRDefault="002B2E4C">
      <w:r>
        <w:separator/>
      </w:r>
    </w:p>
  </w:footnote>
  <w:footnote w:type="continuationSeparator" w:id="0">
    <w:p w14:paraId="4366F459" w14:textId="77777777" w:rsidR="002B2E4C" w:rsidRPr="00AB7C2B" w:rsidRDefault="002B2E4C" w:rsidP="00AB7C2B">
      <w:pPr>
        <w:spacing w:before="120"/>
        <w:rPr>
          <w:sz w:val="20"/>
        </w:rPr>
      </w:pPr>
      <w:r>
        <w:rPr>
          <w:sz w:val="20"/>
        </w:rPr>
        <w:t xml:space="preserve">(Continued from previous page)  </w:t>
      </w:r>
      <w:r>
        <w:rPr>
          <w:sz w:val="20"/>
        </w:rPr>
        <w:separator/>
      </w:r>
    </w:p>
  </w:footnote>
  <w:footnote w:type="continuationNotice" w:id="1">
    <w:p w14:paraId="5003F56A" w14:textId="77777777" w:rsidR="002B2E4C" w:rsidRPr="00AB7C2B" w:rsidRDefault="002B2E4C" w:rsidP="00AB7C2B">
      <w:pPr>
        <w:jc w:val="right"/>
        <w:rPr>
          <w:sz w:val="20"/>
        </w:rPr>
      </w:pPr>
      <w:r>
        <w:rPr>
          <w:sz w:val="20"/>
        </w:rPr>
        <w:t>(continued….)</w:t>
      </w:r>
    </w:p>
  </w:footnote>
  <w:footnote w:id="2">
    <w:p w14:paraId="3C4CB8BA" w14:textId="5B45CFE4"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A Home for Everyone</w:t>
      </w:r>
      <w:r w:rsidRPr="002E56C8">
        <w:t>, Letter</w:t>
      </w:r>
      <w:r w:rsidR="00880300" w:rsidRPr="002E56C8">
        <w:t xml:space="preserve"> Order</w:t>
      </w:r>
      <w:r w:rsidRPr="002E56C8">
        <w:t xml:space="preserve">, Ref. No. 1800B3 (MB Feb. 25, 2015); </w:t>
      </w:r>
      <w:r w:rsidRPr="002E56C8">
        <w:rPr>
          <w:i/>
        </w:rPr>
        <w:t>Blue Stone Media Activists</w:t>
      </w:r>
      <w:r w:rsidRPr="002E56C8">
        <w:t xml:space="preserve">, </w:t>
      </w:r>
      <w:r w:rsidR="00880300" w:rsidRPr="002E56C8">
        <w:t>Letter Order</w:t>
      </w:r>
      <w:r w:rsidRPr="002E56C8">
        <w:t>, Ref. No. 1800B3 (MB Feb. 25, 2015);</w:t>
      </w:r>
      <w:r w:rsidRPr="002E56C8">
        <w:rPr>
          <w:i/>
        </w:rPr>
        <w:t xml:space="preserve"> Cascadia Sound Waves</w:t>
      </w:r>
      <w:r w:rsidRPr="002E56C8">
        <w:t xml:space="preserve">, </w:t>
      </w:r>
      <w:r w:rsidR="00880300" w:rsidRPr="002E56C8">
        <w:t>Letter Order</w:t>
      </w:r>
      <w:r w:rsidRPr="002E56C8">
        <w:t>, Ref. No. 1800B3 (MB Feb. 25, 2015);</w:t>
      </w:r>
      <w:r w:rsidRPr="002E56C8">
        <w:rPr>
          <w:i/>
        </w:rPr>
        <w:t xml:space="preserve"> Central Oregon Spiritual Awareness Advocates</w:t>
      </w:r>
      <w:r w:rsidRPr="002E56C8">
        <w:t xml:space="preserve">, </w:t>
      </w:r>
      <w:r w:rsidR="00880300" w:rsidRPr="002E56C8">
        <w:t>Letter Order</w:t>
      </w:r>
      <w:r w:rsidRPr="002E56C8">
        <w:t>, Ref. No. 1800B3 (MB Feb. 25, 2015);</w:t>
      </w:r>
      <w:r w:rsidRPr="002E56C8">
        <w:rPr>
          <w:i/>
        </w:rPr>
        <w:t xml:space="preserve"> Futurist Prophetic Advancement</w:t>
      </w:r>
      <w:r w:rsidRPr="002E56C8">
        <w:t xml:space="preserve">, </w:t>
      </w:r>
      <w:r w:rsidR="00880300" w:rsidRPr="002E56C8">
        <w:t>Letter Order</w:t>
      </w:r>
      <w:r w:rsidRPr="002E56C8">
        <w:t xml:space="preserve">, Ref. No. 1800B3 (MB Feb. 25, 2015); </w:t>
      </w:r>
      <w:r w:rsidRPr="002E56C8">
        <w:rPr>
          <w:i/>
        </w:rPr>
        <w:t>Health Freedom For All</w:t>
      </w:r>
      <w:r w:rsidRPr="002E56C8">
        <w:t xml:space="preserve">, </w:t>
      </w:r>
      <w:r w:rsidR="00880300" w:rsidRPr="002E56C8">
        <w:t>Letter Order</w:t>
      </w:r>
      <w:r w:rsidRPr="002E56C8">
        <w:t>, Ref. No. 1800B3 (MB Feb. 25, 2015);</w:t>
      </w:r>
      <w:r w:rsidRPr="002E56C8">
        <w:rPr>
          <w:i/>
        </w:rPr>
        <w:t xml:space="preserve"> Second Chance Ministry</w:t>
      </w:r>
      <w:r w:rsidRPr="002E56C8">
        <w:t xml:space="preserve">, </w:t>
      </w:r>
      <w:r w:rsidR="00880300" w:rsidRPr="002E56C8">
        <w:t>Letter Order</w:t>
      </w:r>
      <w:r w:rsidRPr="002E56C8">
        <w:t>, Ref. No. 1800B3 (MB Feb. 25, 2015);</w:t>
      </w:r>
      <w:r w:rsidRPr="002E56C8">
        <w:rPr>
          <w:i/>
        </w:rPr>
        <w:t xml:space="preserve"> Sweet Home All for One and One for All</w:t>
      </w:r>
      <w:r w:rsidRPr="002E56C8">
        <w:t xml:space="preserve">, </w:t>
      </w:r>
      <w:r w:rsidR="00880300" w:rsidRPr="002E56C8">
        <w:t>Letter Order</w:t>
      </w:r>
      <w:r w:rsidRPr="002E56C8">
        <w:t>, Ref. No. 1800B3 (MB Feb. 25, 2015);</w:t>
      </w:r>
      <w:r w:rsidRPr="002E56C8">
        <w:rPr>
          <w:i/>
        </w:rPr>
        <w:t xml:space="preserve"> The Bride of Christ As One</w:t>
      </w:r>
      <w:r w:rsidRPr="002E56C8">
        <w:t xml:space="preserve">, </w:t>
      </w:r>
      <w:r w:rsidR="00880300" w:rsidRPr="002E56C8">
        <w:t>Letter Order</w:t>
      </w:r>
      <w:r w:rsidRPr="002E56C8">
        <w:t>, Ref. No. 1800B3 (MB</w:t>
      </w:r>
      <w:r w:rsidR="00896723" w:rsidRPr="002E56C8">
        <w:t xml:space="preserve"> Feb. 25, 2015) (collectively, </w:t>
      </w:r>
      <w:r w:rsidRPr="002E56C8">
        <w:rPr>
          <w:i/>
        </w:rPr>
        <w:t>Dismissal Letters</w:t>
      </w:r>
      <w:r w:rsidRPr="002E56C8">
        <w:t>).</w:t>
      </w:r>
    </w:p>
  </w:footnote>
  <w:footnote w:id="3">
    <w:p w14:paraId="665794A1" w14:textId="1AF48FCE" w:rsidR="00AD69AF" w:rsidRPr="002E56C8" w:rsidRDefault="00AD69AF" w:rsidP="00737DDC">
      <w:pPr>
        <w:pStyle w:val="FootnoteText"/>
      </w:pPr>
      <w:r w:rsidRPr="002E56C8">
        <w:rPr>
          <w:rStyle w:val="FootnoteReference"/>
          <w:rFonts w:ascii="Times New Roman" w:hAnsi="Times New Roman"/>
        </w:rPr>
        <w:footnoteRef/>
      </w:r>
      <w:r w:rsidRPr="002E56C8">
        <w:t xml:space="preserve"> On December 12, 2013, Prometheus Radio Project (</w:t>
      </w:r>
      <w:r w:rsidR="00896723" w:rsidRPr="002E56C8">
        <w:t>Prometheus</w:t>
      </w:r>
      <w:r w:rsidRPr="002E56C8">
        <w:t>) filed an Informal Objection</w:t>
      </w:r>
      <w:r w:rsidR="00896723" w:rsidRPr="002E56C8">
        <w:t xml:space="preserve"> (Prometheus Objection)</w:t>
      </w:r>
      <w:r w:rsidRPr="002E56C8">
        <w:t xml:space="preserve"> to the applications of Cascadia, Central Oregon, Futurist, Health, Second Chance, Sweet Home, and Bride.  On January 12, 2014, Eads Broadcasting Corporation filed an Informal Objection to the applications of Home, Health, Sweet Home, and Bride.  Cascadia, Central Oregon, Futurist, Health, Second Chanc</w:t>
      </w:r>
      <w:r w:rsidR="00613433" w:rsidRPr="002E56C8">
        <w:t>e, Sweet Home, and Bride filed o</w:t>
      </w:r>
      <w:r w:rsidRPr="002E56C8">
        <w:t>ppositions on August 7, 2014.  Prometheus filed replies to these oppositions on September 11, 2014.</w:t>
      </w:r>
    </w:p>
  </w:footnote>
  <w:footnote w:id="4">
    <w:p w14:paraId="48EDD541" w14:textId="2CAAB2E1" w:rsidR="00AD69AF" w:rsidRPr="002E56C8" w:rsidRDefault="00AD69AF" w:rsidP="00737DDC">
      <w:pPr>
        <w:pStyle w:val="FootnoteText"/>
      </w:pPr>
      <w:r w:rsidRPr="002E56C8">
        <w:rPr>
          <w:rStyle w:val="FootnoteReference"/>
          <w:rFonts w:ascii="Times New Roman" w:hAnsi="Times New Roman"/>
        </w:rPr>
        <w:footnoteRef/>
      </w:r>
      <w:r w:rsidRPr="002E56C8">
        <w:t xml:space="preserve"> Applications at Attach</w:t>
      </w:r>
      <w:r w:rsidR="001C50A6" w:rsidRPr="002E56C8">
        <w:t>.</w:t>
      </w:r>
      <w:r w:rsidRPr="002E56C8">
        <w:t xml:space="preserve"> 2.  Home listed Tylor Stone; Blue Stone listed Leanna McKendree; Cascadia listed Sonya McKendree; Central Oregon listed Joelle Lund; Futurist listed Donna McKendree; Health listed Walter Lund; Second Chance listed Stan Barr; Sweet Home listed Colleen Lund; and Bride listed Megan Pierce.</w:t>
      </w:r>
    </w:p>
  </w:footnote>
  <w:footnote w:id="5">
    <w:p w14:paraId="671B069D" w14:textId="77777777"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xml:space="preserve"> at Section II, Question 3.a.</w:t>
      </w:r>
    </w:p>
  </w:footnote>
  <w:footnote w:id="6">
    <w:p w14:paraId="12D9935F" w14:textId="77777777"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Dismissal Letters</w:t>
      </w:r>
      <w:r w:rsidRPr="002E56C8">
        <w:t xml:space="preserve"> at 1.</w:t>
      </w:r>
    </w:p>
  </w:footnote>
  <w:footnote w:id="7">
    <w:p w14:paraId="3FF7714A" w14:textId="2DC66880"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xml:space="preserve">, </w:t>
      </w:r>
      <w:r w:rsidRPr="002E56C8">
        <w:rPr>
          <w:i/>
        </w:rPr>
        <w:t xml:space="preserve">citing </w:t>
      </w:r>
      <w:r w:rsidRPr="002E56C8">
        <w:t xml:space="preserve">47 </w:t>
      </w:r>
      <w:r w:rsidR="00861AC8" w:rsidRPr="002E56C8">
        <w:t>CFR</w:t>
      </w:r>
      <w:r w:rsidRPr="002E56C8">
        <w:t xml:space="preserve"> § 73.853(b).</w:t>
      </w:r>
    </w:p>
  </w:footnote>
  <w:footnote w:id="8">
    <w:p w14:paraId="12C1EC31" w14:textId="77777777" w:rsidR="00AD69AF" w:rsidRPr="002E56C8" w:rsidRDefault="00AD69AF" w:rsidP="00737DDC">
      <w:pPr>
        <w:pStyle w:val="FootnoteText"/>
      </w:pPr>
      <w:r w:rsidRPr="002E56C8">
        <w:rPr>
          <w:rStyle w:val="FootnoteReference"/>
          <w:rFonts w:ascii="Times New Roman" w:hAnsi="Times New Roman"/>
        </w:rPr>
        <w:footnoteRef/>
      </w:r>
      <w:r w:rsidRPr="002E56C8">
        <w:t xml:space="preserve"> Petitions at 1-2.</w:t>
      </w:r>
    </w:p>
  </w:footnote>
  <w:footnote w:id="9">
    <w:p w14:paraId="348ED224" w14:textId="69BECA34"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xml:space="preserve"> at 3-5.  In support of this assertion, the Petitions provide: (1) references to two Oregon statutes that define administrative dissolution and state that when reinstatement is effective, it relates back to the date of the administrative dissolution as if the dissolution had never occurred; (2) copies of the Lund Corporations’ applications for reinstatement / reactivation; (3) certificates of existence from the OSOS; and (4) a letter from Andrew J. Bean, an Oregon attorney, explaining the law of administrative dissolution of corporations in Oregon, and concluding that the legal effect of administrative dissolution is “minimal or non-existent under Oregon state law.”  </w:t>
      </w:r>
      <w:r w:rsidRPr="002E56C8">
        <w:rPr>
          <w:i/>
        </w:rPr>
        <w:t>Id</w:t>
      </w:r>
      <w:r w:rsidR="001C50A6" w:rsidRPr="002E56C8">
        <w:t>. at 3-4, and Attach</w:t>
      </w:r>
      <w:r w:rsidRPr="002E56C8">
        <w:t>s</w:t>
      </w:r>
      <w:r w:rsidR="001C50A6" w:rsidRPr="002E56C8">
        <w:t>.</w:t>
      </w:r>
      <w:r w:rsidRPr="002E56C8">
        <w:t xml:space="preserve"> 2-4.</w:t>
      </w:r>
    </w:p>
  </w:footnote>
  <w:footnote w:id="10">
    <w:p w14:paraId="66208DB6" w14:textId="186CC935" w:rsidR="00AD69AF" w:rsidRPr="002E56C8" w:rsidRDefault="00AD69AF" w:rsidP="00737DDC">
      <w:pPr>
        <w:pStyle w:val="FootnoteText"/>
      </w:pPr>
      <w:r w:rsidRPr="002E56C8">
        <w:rPr>
          <w:rStyle w:val="FootnoteReference"/>
          <w:rFonts w:ascii="Times New Roman" w:hAnsi="Times New Roman"/>
        </w:rPr>
        <w:footnoteRef/>
      </w:r>
      <w:r w:rsidRPr="002E56C8">
        <w:t xml:space="preserve"> The Rules on </w:t>
      </w:r>
      <w:r w:rsidRPr="002E56C8">
        <w:rPr>
          <w:i/>
        </w:rPr>
        <w:t xml:space="preserve">ex parte </w:t>
      </w:r>
      <w:r w:rsidRPr="002E56C8">
        <w:t xml:space="preserve">presentations permit the Commission staff to receive such information from the ODOJ because it was part of an investigation into possible violations of the Rules.  </w:t>
      </w:r>
      <w:r w:rsidRPr="002E56C8">
        <w:rPr>
          <w:i/>
        </w:rPr>
        <w:t xml:space="preserve">See </w:t>
      </w:r>
      <w:r w:rsidRPr="002E56C8">
        <w:t xml:space="preserve">47 </w:t>
      </w:r>
      <w:r w:rsidR="00861AC8" w:rsidRPr="002E56C8">
        <w:t>CFR</w:t>
      </w:r>
      <w:r w:rsidRPr="002E56C8">
        <w:t xml:space="preserve"> § 1.204(a)(10)(ii) (“The Commission or its staff may determine that service or public notice would interfere with the effective conduct of an investigation and dispense with the service and public notice requirements.”).</w:t>
      </w:r>
    </w:p>
  </w:footnote>
  <w:footnote w:id="11">
    <w:p w14:paraId="09E968C5" w14:textId="5F24E710" w:rsidR="00AD69AF" w:rsidRPr="002E56C8" w:rsidRDefault="00AD69AF" w:rsidP="00737DDC">
      <w:pPr>
        <w:pStyle w:val="FootnoteText"/>
      </w:pPr>
      <w:r w:rsidRPr="002E56C8">
        <w:rPr>
          <w:rStyle w:val="FootnoteReference"/>
          <w:rFonts w:ascii="Times New Roman" w:hAnsi="Times New Roman"/>
        </w:rPr>
        <w:footnoteRef/>
      </w:r>
      <w:r w:rsidRPr="002E56C8">
        <w:t xml:space="preserve"> Letter from Elizabeth M. Grant, State of Oregon Department of Justice, to Chairman Thomas Wheeler, Federal Communications C</w:t>
      </w:r>
      <w:r w:rsidR="00896723" w:rsidRPr="002E56C8">
        <w:t>ommission (June 12, 2015) (</w:t>
      </w:r>
      <w:r w:rsidRPr="002E56C8">
        <w:t xml:space="preserve">ODOJ Letter).  The ODOJ Letter references several other organizations </w:t>
      </w:r>
      <w:r w:rsidR="00880300" w:rsidRPr="002E56C8">
        <w:t>with ties to</w:t>
      </w:r>
      <w:r w:rsidRPr="002E56C8">
        <w:t xml:space="preserve"> Lund</w:t>
      </w:r>
      <w:r w:rsidR="00880300" w:rsidRPr="002E56C8">
        <w:t>,</w:t>
      </w:r>
      <w:r w:rsidRPr="002E56C8">
        <w:t xml:space="preserve"> in addition to the nine Lund Applications discussed here.</w:t>
      </w:r>
    </w:p>
  </w:footnote>
  <w:footnote w:id="12">
    <w:p w14:paraId="5A650563" w14:textId="101BB795"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xml:space="preserve"> at 2, </w:t>
      </w:r>
      <w:r w:rsidRPr="002E56C8">
        <w:rPr>
          <w:i/>
        </w:rPr>
        <w:t>citing</w:t>
      </w:r>
      <w:r w:rsidRPr="002E56C8">
        <w:t xml:space="preserve"> ORS § 65.307 (“A board of directors must consist of one or more individuals for a mutual benefit or religious corporation and three or more individuals for a public benefit corporation, with the number specified or fixed in accordance with the articles of incorporation or bylaws.”).</w:t>
      </w:r>
    </w:p>
  </w:footnote>
  <w:footnote w:id="13">
    <w:p w14:paraId="708C8D2A" w14:textId="125E805C" w:rsidR="00AD69AF" w:rsidRPr="002E56C8" w:rsidRDefault="00AD69AF" w:rsidP="00737DDC">
      <w:pPr>
        <w:pStyle w:val="FootnoteText"/>
      </w:pPr>
      <w:r w:rsidRPr="002E56C8">
        <w:rPr>
          <w:rStyle w:val="FootnoteReference"/>
          <w:rFonts w:ascii="Times New Roman" w:hAnsi="Times New Roman"/>
        </w:rPr>
        <w:footnoteRef/>
      </w:r>
      <w:r w:rsidRPr="002E56C8">
        <w:t xml:space="preserve"> ODOJ Letter at 2, </w:t>
      </w:r>
      <w:r w:rsidRPr="002E56C8">
        <w:rPr>
          <w:i/>
        </w:rPr>
        <w:t xml:space="preserve">citing </w:t>
      </w:r>
      <w:r w:rsidRPr="002E56C8">
        <w:t>ORS § 65.057</w:t>
      </w:r>
    </w:p>
  </w:footnote>
  <w:footnote w:id="14">
    <w:p w14:paraId="5B107B2B" w14:textId="77777777" w:rsidR="00AD69AF" w:rsidRPr="002E56C8" w:rsidRDefault="00AD69AF" w:rsidP="00737DDC">
      <w:pPr>
        <w:pStyle w:val="FootnoteText"/>
      </w:pPr>
      <w:r w:rsidRPr="002E56C8">
        <w:rPr>
          <w:rStyle w:val="FootnoteReference"/>
          <w:rFonts w:ascii="Times New Roman" w:hAnsi="Times New Roman"/>
        </w:rPr>
        <w:footnoteRef/>
      </w:r>
      <w:r w:rsidRPr="002E56C8">
        <w:t xml:space="preserve"> ODOJ Letter at 2.</w:t>
      </w:r>
    </w:p>
  </w:footnote>
  <w:footnote w:id="15">
    <w:p w14:paraId="225204A7" w14:textId="4D8AB40C"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at 3.  ODOJ sent three letters on September 16, 2014, to Robert Lund as the registered agent for three of the corporations and a fourth letter to another registered agent.  The Amendments were filed on September 23, 2014.  The Amendments may be found by accessing the OSOS website at http://egov.sos.state.or.us/br/pkg_web_name_srch_inq.login</w:t>
      </w:r>
      <w:r w:rsidR="00B3729A" w:rsidRPr="002E56C8">
        <w:rPr>
          <w:rStyle w:val="Hyperlink"/>
          <w:color w:val="auto"/>
          <w:u w:val="none"/>
        </w:rPr>
        <w:t>.</w:t>
      </w:r>
      <w:r w:rsidRPr="002E56C8">
        <w:t xml:space="preserve">  Although the Amendments purported to convert each corporation to a religious corporation, the ODOJ Letter notes that many of the corporations do not appear to have religious purposes.  </w:t>
      </w:r>
      <w:r w:rsidRPr="002E56C8">
        <w:rPr>
          <w:i/>
        </w:rPr>
        <w:t>Id.</w:t>
      </w:r>
      <w:r w:rsidRPr="002E56C8">
        <w:t xml:space="preserve"> at 3 n.2. </w:t>
      </w:r>
    </w:p>
  </w:footnote>
  <w:footnote w:id="16">
    <w:p w14:paraId="3F8940F3" w14:textId="77777777"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at 3.</w:t>
      </w:r>
    </w:p>
  </w:footnote>
  <w:footnote w:id="17">
    <w:p w14:paraId="629FFF55" w14:textId="1D1C6521"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 xml:space="preserve">Id. </w:t>
      </w:r>
      <w:r w:rsidRPr="002E56C8">
        <w:t>at 4.</w:t>
      </w:r>
    </w:p>
  </w:footnote>
  <w:footnote w:id="18">
    <w:p w14:paraId="0F8D92A8" w14:textId="55CA7B79"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Id</w:t>
      </w:r>
      <w:r w:rsidRPr="002E56C8">
        <w:t xml:space="preserve">. at 3.  </w:t>
      </w:r>
      <w:r w:rsidRPr="002E56C8">
        <w:rPr>
          <w:i/>
        </w:rPr>
        <w:t xml:space="preserve">See also </w:t>
      </w:r>
      <w:r w:rsidRPr="002E56C8">
        <w:t xml:space="preserve">47 </w:t>
      </w:r>
      <w:r w:rsidR="00861AC8" w:rsidRPr="002E56C8">
        <w:t>CFR</w:t>
      </w:r>
      <w:r w:rsidRPr="002E56C8">
        <w:t xml:space="preserve"> § 73.855(a) (“No authorization for an LPFM station shall be granted to any party if the grant of that authorization will result in any such party holding an attributable interest in two or more LPFM stations.”).</w:t>
      </w:r>
    </w:p>
  </w:footnote>
  <w:footnote w:id="19">
    <w:p w14:paraId="453FEB7B" w14:textId="6E6199F7" w:rsidR="00AD69AF" w:rsidRPr="002E56C8" w:rsidRDefault="00AD69AF" w:rsidP="00737DDC">
      <w:pPr>
        <w:pStyle w:val="FootnoteText"/>
      </w:pPr>
      <w:r w:rsidRPr="002E56C8">
        <w:rPr>
          <w:rStyle w:val="FootnoteReference"/>
          <w:rFonts w:ascii="Times New Roman" w:hAnsi="Times New Roman"/>
        </w:rPr>
        <w:footnoteRef/>
      </w:r>
      <w:r w:rsidRPr="002E56C8">
        <w:t xml:space="preserve"> ODOJ Letter at 3-6.  Lund appears to be the only person associated with the Lund Corporations who has experience with FCC filings and broadcast operations.  </w:t>
      </w:r>
      <w:r w:rsidRPr="002E56C8">
        <w:rPr>
          <w:i/>
        </w:rPr>
        <w:t>See</w:t>
      </w:r>
      <w:r w:rsidRPr="002E56C8">
        <w:t xml:space="preserve"> Commission records for Station KRAD-LP, Millersburg, Oregon (</w:t>
      </w:r>
      <w:r w:rsidRPr="002E56C8">
        <w:rPr>
          <w:i/>
        </w:rPr>
        <w:t>e.g.</w:t>
      </w:r>
      <w:r w:rsidRPr="002E56C8">
        <w:t xml:space="preserve">, File No. BNPL-20010615BDY).  Lund </w:t>
      </w:r>
      <w:r w:rsidR="00D77B4A" w:rsidRPr="002E56C8">
        <w:t>“has an ownership interest in all but one or two of the trailers</w:t>
      </w:r>
      <w:r w:rsidRPr="002E56C8">
        <w:t xml:space="preserve"> in the trailer park</w:t>
      </w:r>
      <w:r w:rsidR="00D77B4A" w:rsidRPr="002E56C8">
        <w:t>”</w:t>
      </w:r>
      <w:r w:rsidRPr="002E56C8">
        <w:t xml:space="preserve"> in Sweet Home, Oregon where several of the nominal directors lived, and he is related to certain other directors who lived elsewhere.  ODOJ Letter at 4.</w:t>
      </w:r>
    </w:p>
  </w:footnote>
  <w:footnote w:id="20">
    <w:p w14:paraId="4039AD38" w14:textId="44E2264F" w:rsidR="00AD69AF" w:rsidRPr="002E56C8" w:rsidRDefault="00AD69AF">
      <w:pPr>
        <w:pStyle w:val="FootnoteText"/>
      </w:pPr>
      <w:r w:rsidRPr="002E56C8">
        <w:rPr>
          <w:rStyle w:val="FootnoteReference"/>
          <w:rFonts w:ascii="Times New Roman" w:hAnsi="Times New Roman"/>
        </w:rPr>
        <w:footnoteRef/>
      </w:r>
      <w:r w:rsidRPr="002E56C8">
        <w:t xml:space="preserve"> Email from Dan J. Alpert, Esq., to </w:t>
      </w:r>
      <w:r w:rsidR="002B0804" w:rsidRPr="002E56C8">
        <w:t>Alexander T. Sanjenis, Esq., Attorney, Audio Division, Media Bureau, FCC</w:t>
      </w:r>
      <w:r w:rsidRPr="002E56C8">
        <w:t xml:space="preserve"> (Aug. </w:t>
      </w:r>
      <w:r w:rsidR="002B0804" w:rsidRPr="002E56C8">
        <w:t xml:space="preserve">21, 2015, 12:36 </w:t>
      </w:r>
      <w:r w:rsidRPr="002E56C8">
        <w:t>EST); Email from Alexander T. Sanjenis, Esq. to Dan J. Alper</w:t>
      </w:r>
      <w:r w:rsidR="002B0804" w:rsidRPr="002E56C8">
        <w:t xml:space="preserve">t, Esq. (Aug. 21, 2015 11:50 </w:t>
      </w:r>
      <w:r w:rsidRPr="002E56C8">
        <w:t xml:space="preserve">EST).  On September 25, 2015, counsel for the Lund Corporations requested yet another extension of time, until October 19, 2015, which the Bureau also granted.  </w:t>
      </w:r>
    </w:p>
  </w:footnote>
  <w:footnote w:id="21">
    <w:p w14:paraId="7FB70785" w14:textId="2B1A5140" w:rsidR="00AD69AF" w:rsidRPr="002E56C8" w:rsidRDefault="00AD69AF" w:rsidP="00737DDC">
      <w:pPr>
        <w:pStyle w:val="FootnoteText"/>
      </w:pPr>
      <w:r w:rsidRPr="002E56C8">
        <w:rPr>
          <w:rStyle w:val="FootnoteReference"/>
          <w:rFonts w:ascii="Times New Roman" w:hAnsi="Times New Roman"/>
        </w:rPr>
        <w:footnoteRef/>
      </w:r>
      <w:r w:rsidRPr="002E56C8">
        <w:t xml:space="preserve"> Email from Dan J. Alpert, Esq.</w:t>
      </w:r>
      <w:r w:rsidR="002B0804" w:rsidRPr="002E56C8">
        <w:t>,</w:t>
      </w:r>
      <w:r w:rsidRPr="002E56C8">
        <w:t xml:space="preserve"> to Alexander T. Sanjen</w:t>
      </w:r>
      <w:r w:rsidR="002B0804" w:rsidRPr="002E56C8">
        <w:t>is, Esq., Attorney, Audio Division, Media Bureau, FCC (Sep. 25, 2015, 1:48</w:t>
      </w:r>
      <w:r w:rsidRPr="002E56C8">
        <w:t xml:space="preserve"> EST); Email from </w:t>
      </w:r>
      <w:r w:rsidR="002B0804" w:rsidRPr="002E56C8">
        <w:t>Alexander T. Sanjenis, Esq., Attorney, Audio Division, Media Bureau, FCC</w:t>
      </w:r>
      <w:r w:rsidRPr="002E56C8">
        <w:t>, to Dan J</w:t>
      </w:r>
      <w:r w:rsidR="002B0804" w:rsidRPr="002E56C8">
        <w:t xml:space="preserve">. Alpert, Esq. (Sep. 27, 2015 22:38 </w:t>
      </w:r>
      <w:r w:rsidRPr="002E56C8">
        <w:t>EST).</w:t>
      </w:r>
    </w:p>
  </w:footnote>
  <w:footnote w:id="22">
    <w:p w14:paraId="7A96C4FB" w14:textId="5F7EB67D" w:rsidR="00AD69AF" w:rsidRPr="002E56C8" w:rsidRDefault="00AD69AF" w:rsidP="00737DDC">
      <w:pPr>
        <w:pStyle w:val="FootnoteText"/>
      </w:pPr>
      <w:r w:rsidRPr="002E56C8">
        <w:rPr>
          <w:rStyle w:val="FootnoteReference"/>
          <w:rFonts w:ascii="Times New Roman" w:hAnsi="Times New Roman"/>
        </w:rPr>
        <w:footnoteRef/>
      </w:r>
      <w:r w:rsidRPr="002E56C8">
        <w:t xml:space="preserve"> Email from Dan J. Alpert, Esq., to </w:t>
      </w:r>
      <w:r w:rsidR="002B0804" w:rsidRPr="002E56C8">
        <w:t>Alexander T. Sanjenis, Esq., Attorney, Audio Division, Media Bureau, FCC (Oct. 22, 2015, 17:03</w:t>
      </w:r>
      <w:r w:rsidRPr="002E56C8">
        <w:t xml:space="preserve"> EST).</w:t>
      </w:r>
    </w:p>
  </w:footnote>
  <w:footnote w:id="23">
    <w:p w14:paraId="444E9872" w14:textId="2AFA7EF3" w:rsidR="00AD69AF" w:rsidRPr="002E56C8" w:rsidRDefault="00AD69AF" w:rsidP="00737DDC">
      <w:pPr>
        <w:pStyle w:val="FootnoteText"/>
      </w:pPr>
      <w:r w:rsidRPr="002E56C8">
        <w:rPr>
          <w:rStyle w:val="FootnoteReference"/>
          <w:rFonts w:ascii="Times New Roman" w:hAnsi="Times New Roman"/>
        </w:rPr>
        <w:footnoteRef/>
      </w:r>
      <w:r w:rsidRPr="002E56C8">
        <w:t xml:space="preserve"> Email from Tom Hutton,</w:t>
      </w:r>
      <w:r w:rsidR="002B0804" w:rsidRPr="002E56C8">
        <w:t xml:space="preserve"> Esq., Deputy Division Chief, Audio Division, Media Bureau, FCC</w:t>
      </w:r>
      <w:r w:rsidRPr="002E56C8">
        <w:t>, to Dan J. Alper</w:t>
      </w:r>
      <w:r w:rsidR="002B0804" w:rsidRPr="002E56C8">
        <w:t>t, Esq. (Oct. 23, 2015, 10:19</w:t>
      </w:r>
      <w:r w:rsidRPr="002E56C8">
        <w:t xml:space="preserve"> EST).</w:t>
      </w:r>
    </w:p>
  </w:footnote>
  <w:footnote w:id="24">
    <w:p w14:paraId="387DAD2F" w14:textId="4EDC4D3A" w:rsidR="000C1614" w:rsidRPr="002E56C8" w:rsidRDefault="000C1614">
      <w:pPr>
        <w:pStyle w:val="FootnoteText"/>
      </w:pPr>
      <w:r w:rsidRPr="002E56C8">
        <w:rPr>
          <w:rStyle w:val="FootnoteReference"/>
          <w:rFonts w:ascii="Times New Roman" w:hAnsi="Times New Roman"/>
        </w:rPr>
        <w:footnoteRef/>
      </w:r>
      <w:r w:rsidRPr="002E56C8">
        <w:t xml:space="preserve"> L</w:t>
      </w:r>
      <w:r w:rsidR="00E7064B" w:rsidRPr="002E56C8">
        <w:t>und</w:t>
      </w:r>
      <w:r w:rsidR="00470D1B" w:rsidRPr="002E56C8">
        <w:t xml:space="preserve"> Response at 1</w:t>
      </w:r>
      <w:r w:rsidR="0037647C" w:rsidRPr="002E56C8">
        <w:t xml:space="preserve"> (emphasis in original).</w:t>
      </w:r>
    </w:p>
  </w:footnote>
  <w:footnote w:id="25">
    <w:p w14:paraId="424F68F2" w14:textId="5ADBB4B3" w:rsidR="003A7C60" w:rsidRPr="002E56C8" w:rsidRDefault="003A7C60">
      <w:pPr>
        <w:pStyle w:val="FootnoteText"/>
      </w:pPr>
      <w:r w:rsidRPr="002E56C8">
        <w:rPr>
          <w:rStyle w:val="FootnoteReference"/>
          <w:rFonts w:ascii="Times New Roman" w:hAnsi="Times New Roman"/>
        </w:rPr>
        <w:footnoteRef/>
      </w:r>
      <w:r w:rsidRPr="002E56C8">
        <w:t xml:space="preserve"> </w:t>
      </w:r>
      <w:r w:rsidR="00506301" w:rsidRPr="002E56C8">
        <w:rPr>
          <w:i/>
        </w:rPr>
        <w:t>Id.</w:t>
      </w:r>
      <w:r w:rsidRPr="002E56C8">
        <w:t xml:space="preserve"> at 2.</w:t>
      </w:r>
    </w:p>
  </w:footnote>
  <w:footnote w:id="26">
    <w:p w14:paraId="60BD84CF" w14:textId="1101FFF1" w:rsidR="00E7064B" w:rsidRPr="002E56C8" w:rsidRDefault="00E7064B">
      <w:pPr>
        <w:pStyle w:val="FootnoteText"/>
      </w:pPr>
      <w:r w:rsidRPr="002E56C8">
        <w:rPr>
          <w:rStyle w:val="FootnoteReference"/>
          <w:rFonts w:ascii="Times New Roman" w:hAnsi="Times New Roman"/>
        </w:rPr>
        <w:footnoteRef/>
      </w:r>
      <w:r w:rsidRPr="002E56C8">
        <w:t xml:space="preserve"> </w:t>
      </w:r>
      <w:r w:rsidRPr="002E56C8">
        <w:rPr>
          <w:i/>
        </w:rPr>
        <w:t>Id</w:t>
      </w:r>
      <w:r w:rsidRPr="002E56C8">
        <w:t>.</w:t>
      </w:r>
    </w:p>
  </w:footnote>
  <w:footnote w:id="27">
    <w:p w14:paraId="7FA6C63E" w14:textId="344BD34A" w:rsidR="00E906DD" w:rsidRPr="002E56C8" w:rsidRDefault="00E906DD" w:rsidP="00E906DD">
      <w:pPr>
        <w:pStyle w:val="FootnoteText"/>
      </w:pPr>
      <w:r w:rsidRPr="002E56C8">
        <w:rPr>
          <w:rStyle w:val="FootnoteReference"/>
          <w:rFonts w:ascii="Times New Roman" w:hAnsi="Times New Roman"/>
        </w:rPr>
        <w:footnoteRef/>
      </w:r>
      <w:r w:rsidRPr="002E56C8">
        <w:t xml:space="preserve"> </w:t>
      </w:r>
      <w:r w:rsidR="00506301" w:rsidRPr="002E56C8">
        <w:rPr>
          <w:i/>
        </w:rPr>
        <w:t>Id.</w:t>
      </w:r>
      <w:r w:rsidR="001C50A6" w:rsidRPr="002E56C8">
        <w:t xml:space="preserve"> at Attach.</w:t>
      </w:r>
      <w:r w:rsidRPr="002E56C8">
        <w:t xml:space="preserve"> 2.  </w:t>
      </w:r>
    </w:p>
  </w:footnote>
  <w:footnote w:id="28">
    <w:p w14:paraId="5A00B902" w14:textId="023734E3" w:rsidR="00894DF8" w:rsidRPr="002E56C8" w:rsidRDefault="00894DF8">
      <w:pPr>
        <w:pStyle w:val="FootnoteText"/>
      </w:pPr>
      <w:r w:rsidRPr="002E56C8">
        <w:rPr>
          <w:rStyle w:val="FootnoteReference"/>
          <w:rFonts w:ascii="Times New Roman" w:hAnsi="Times New Roman"/>
        </w:rPr>
        <w:footnoteRef/>
      </w:r>
      <w:r w:rsidRPr="002E56C8">
        <w:t xml:space="preserve"> </w:t>
      </w:r>
      <w:r w:rsidR="00506301" w:rsidRPr="002E56C8">
        <w:rPr>
          <w:i/>
        </w:rPr>
        <w:t>Id.</w:t>
      </w:r>
      <w:r w:rsidR="001C50A6" w:rsidRPr="002E56C8">
        <w:t xml:space="preserve"> at Attach</w:t>
      </w:r>
      <w:r w:rsidRPr="002E56C8">
        <w:t>s</w:t>
      </w:r>
      <w:r w:rsidR="001C50A6" w:rsidRPr="002E56C8">
        <w:t>.</w:t>
      </w:r>
      <w:r w:rsidRPr="002E56C8">
        <w:t xml:space="preserve"> 3, 4, 5, 6, and 7.  </w:t>
      </w:r>
      <w:r w:rsidR="008E34AB" w:rsidRPr="002E56C8">
        <w:t>Also included is a copy of a sixth</w:t>
      </w:r>
      <w:r w:rsidRPr="002E56C8">
        <w:t xml:space="preserve"> opposition dated August 5, 2014, submitted by Sweet Home House of Prayer in response to </w:t>
      </w:r>
      <w:r w:rsidR="00896723" w:rsidRPr="002E56C8">
        <w:t>the Prometheus</w:t>
      </w:r>
      <w:r w:rsidRPr="002E56C8">
        <w:t xml:space="preserve"> Objection.  </w:t>
      </w:r>
      <w:r w:rsidRPr="002E56C8">
        <w:rPr>
          <w:i/>
        </w:rPr>
        <w:t>Id</w:t>
      </w:r>
      <w:r w:rsidR="001C50A6" w:rsidRPr="002E56C8">
        <w:t>. at Attach.</w:t>
      </w:r>
      <w:r w:rsidRPr="002E56C8">
        <w:t xml:space="preserve"> 8.  The Commission’s records do not reflect that it was previously filed.  Moreover, Sweet Home House of Prayer’s application was dismissed on </w:t>
      </w:r>
      <w:r w:rsidR="005B1257" w:rsidRPr="002E56C8">
        <w:t>February</w:t>
      </w:r>
      <w:r w:rsidRPr="002E56C8">
        <w:t xml:space="preserve"> 2, 2015, and no petition for reconsideration of that action has been filed.  </w:t>
      </w:r>
      <w:r w:rsidRPr="002E56C8">
        <w:rPr>
          <w:i/>
        </w:rPr>
        <w:t xml:space="preserve">See </w:t>
      </w:r>
      <w:r w:rsidRPr="002E56C8">
        <w:t>File No. BNPL-20131112CGJ.</w:t>
      </w:r>
      <w:r w:rsidR="0037647C" w:rsidRPr="002E56C8">
        <w:t xml:space="preserve">  </w:t>
      </w:r>
    </w:p>
  </w:footnote>
  <w:footnote w:id="29">
    <w:p w14:paraId="27A4A05A" w14:textId="70B374BB" w:rsidR="00AD69AF" w:rsidRPr="002E56C8" w:rsidRDefault="00AD69AF">
      <w:pPr>
        <w:pStyle w:val="FootnoteText"/>
      </w:pPr>
      <w:r w:rsidRPr="002E56C8">
        <w:rPr>
          <w:rStyle w:val="FootnoteReference"/>
          <w:rFonts w:ascii="Times New Roman" w:hAnsi="Times New Roman"/>
        </w:rPr>
        <w:footnoteRef/>
      </w:r>
      <w:r w:rsidRPr="002E56C8">
        <w:t xml:space="preserve"> </w:t>
      </w:r>
      <w:r w:rsidRPr="002E56C8">
        <w:rPr>
          <w:i/>
          <w:iCs/>
        </w:rPr>
        <w:t>See</w:t>
      </w:r>
      <w:r w:rsidRPr="002E56C8">
        <w:t xml:space="preserve"> 47 </w:t>
      </w:r>
      <w:r w:rsidR="00861AC8" w:rsidRPr="002E56C8">
        <w:t>CFR</w:t>
      </w:r>
      <w:r w:rsidRPr="002E56C8">
        <w:t xml:space="preserve"> § 1.106(c), (d); </w:t>
      </w:r>
      <w:r w:rsidRPr="002E56C8">
        <w:rPr>
          <w:i/>
          <w:iCs/>
        </w:rPr>
        <w:t>see also WWIZ, Inc.</w:t>
      </w:r>
      <w:r w:rsidRPr="002E56C8">
        <w:t xml:space="preserve">, Memorandum Opinion and Order, 37 FCC 685, 686 (1964), </w:t>
      </w:r>
      <w:r w:rsidRPr="002E56C8">
        <w:rPr>
          <w:i/>
          <w:iCs/>
        </w:rPr>
        <w:t>aff'd sub nom. Lorain Journal Co. v. FCC</w:t>
      </w:r>
      <w:r w:rsidRPr="002E56C8">
        <w:t xml:space="preserve">, 351 F.2d 824 (D.C. Cir. 1965), </w:t>
      </w:r>
      <w:r w:rsidRPr="002E56C8">
        <w:rPr>
          <w:i/>
          <w:iCs/>
        </w:rPr>
        <w:t>cert. denied</w:t>
      </w:r>
      <w:r w:rsidRPr="002E56C8">
        <w:t>, 387 U.S. 967 (1966).</w:t>
      </w:r>
    </w:p>
  </w:footnote>
  <w:footnote w:id="30">
    <w:p w14:paraId="71A852DE" w14:textId="10B2E894" w:rsidR="00AD69AF" w:rsidRPr="002E56C8" w:rsidRDefault="00AD69AF" w:rsidP="00737DDC">
      <w:pPr>
        <w:pStyle w:val="FootnoteText"/>
        <w:rPr>
          <w:i/>
        </w:rPr>
      </w:pPr>
      <w:r w:rsidRPr="002E56C8">
        <w:rPr>
          <w:rStyle w:val="FootnoteReference"/>
          <w:rFonts w:ascii="Times New Roman" w:hAnsi="Times New Roman"/>
        </w:rPr>
        <w:footnoteRef/>
      </w:r>
      <w:r w:rsidRPr="002E56C8">
        <w:t xml:space="preserve"> </w:t>
      </w:r>
      <w:r w:rsidRPr="002E56C8">
        <w:rPr>
          <w:i/>
        </w:rPr>
        <w:t xml:space="preserve">See </w:t>
      </w:r>
      <w:r w:rsidRPr="002E56C8">
        <w:t xml:space="preserve">47 </w:t>
      </w:r>
      <w:r w:rsidR="00861AC8" w:rsidRPr="002E56C8">
        <w:t>CFR</w:t>
      </w:r>
      <w:r w:rsidRPr="002E56C8">
        <w:t xml:space="preserve"> § 73.853(a).</w:t>
      </w:r>
    </w:p>
  </w:footnote>
  <w:footnote w:id="31">
    <w:p w14:paraId="617FF500" w14:textId="77777777" w:rsidR="00AD69AF" w:rsidRPr="002E56C8" w:rsidRDefault="00AD69AF">
      <w:pPr>
        <w:pStyle w:val="FootnoteText"/>
      </w:pPr>
      <w:r w:rsidRPr="002E56C8">
        <w:rPr>
          <w:rStyle w:val="FootnoteReference"/>
          <w:rFonts w:ascii="Times New Roman" w:hAnsi="Times New Roman"/>
        </w:rPr>
        <w:footnoteRef/>
      </w:r>
      <w:r w:rsidRPr="002E56C8">
        <w:t xml:space="preserve"> Applications at Note to Section II, Question 2 (“If the applicant is incorporated, the exhibit must include the state and date of applicant's incorporation.”).</w:t>
      </w:r>
    </w:p>
  </w:footnote>
  <w:footnote w:id="32">
    <w:p w14:paraId="281E3381" w14:textId="77777777" w:rsidR="00AD69AF" w:rsidRPr="002E56C8" w:rsidRDefault="00AD69AF">
      <w:pPr>
        <w:pStyle w:val="FootnoteText"/>
      </w:pPr>
      <w:r w:rsidRPr="002E56C8">
        <w:rPr>
          <w:rStyle w:val="FootnoteReference"/>
          <w:rFonts w:ascii="Times New Roman" w:hAnsi="Times New Roman"/>
        </w:rPr>
        <w:footnoteRef/>
      </w:r>
      <w:r w:rsidRPr="002E56C8">
        <w:t xml:space="preserve"> </w:t>
      </w:r>
      <w:r w:rsidRPr="002E56C8">
        <w:rPr>
          <w:rStyle w:val="Emphasis"/>
          <w:b w:val="0"/>
          <w:i/>
        </w:rPr>
        <w:t>Applications for Review of Decisions Regarding Six Applications for Low Power</w:t>
      </w:r>
      <w:r w:rsidRPr="002E56C8">
        <w:rPr>
          <w:rStyle w:val="apple-converted-space"/>
          <w:b/>
          <w:i/>
          <w:iCs/>
        </w:rPr>
        <w:t> </w:t>
      </w:r>
      <w:r w:rsidRPr="002E56C8">
        <w:rPr>
          <w:rStyle w:val="cosearchterm"/>
          <w:bCs/>
          <w:i/>
          <w:iCs/>
        </w:rPr>
        <w:t>FM Stations</w:t>
      </w:r>
      <w:r w:rsidRPr="002E56C8">
        <w:rPr>
          <w:rStyle w:val="cosearchterm"/>
          <w:bCs/>
          <w:iCs/>
        </w:rPr>
        <w:t>,</w:t>
      </w:r>
      <w:r w:rsidRPr="002E56C8">
        <w:rPr>
          <w:b/>
        </w:rPr>
        <w:t xml:space="preserve"> </w:t>
      </w:r>
      <w:r w:rsidRPr="002E56C8">
        <w:t>Memorandum Opinion and Order, 28 FCC Rcd 13390, 13396 (2013)</w:t>
      </w:r>
      <w:r w:rsidRPr="002E56C8">
        <w:rPr>
          <w:rStyle w:val="apple-converted-space"/>
        </w:rPr>
        <w:t> </w:t>
      </w:r>
      <w:r w:rsidRPr="002E56C8">
        <w:t>(“an LPFM applicant's status as a valid non-profit organization at the time it files its application is fundamental to our determination of the applicant's qualifications to hold an LPFM authorization”).</w:t>
      </w:r>
    </w:p>
  </w:footnote>
  <w:footnote w:id="33">
    <w:p w14:paraId="29AA93B0" w14:textId="0E794D80" w:rsidR="00AD69AF" w:rsidRPr="002E56C8" w:rsidRDefault="00AD69AF">
      <w:pPr>
        <w:pStyle w:val="FootnoteText"/>
      </w:pPr>
      <w:r w:rsidRPr="002E56C8">
        <w:rPr>
          <w:rStyle w:val="FootnoteReference"/>
          <w:rFonts w:ascii="Times New Roman" w:hAnsi="Times New Roman"/>
        </w:rPr>
        <w:footnoteRef/>
      </w:r>
      <w:r w:rsidRPr="002E56C8">
        <w:t xml:space="preserve"> </w:t>
      </w:r>
      <w:r w:rsidRPr="002E56C8">
        <w:rPr>
          <w:i/>
        </w:rPr>
        <w:t>Malibu FM Emergency and Cmty. Broad., Inc</w:t>
      </w:r>
      <w:r w:rsidRPr="002E56C8">
        <w:t>., Memorandum Opinion and Order, 30 FCC Rcd 7705 (2015) (affirming dismissal of LPFM applicant that had not completed incorporation process with State of California at the time it filed its application).</w:t>
      </w:r>
    </w:p>
  </w:footnote>
  <w:footnote w:id="34">
    <w:p w14:paraId="13E6BE39" w14:textId="76AE12FF" w:rsidR="00BC6E73" w:rsidRPr="002E56C8" w:rsidRDefault="00BC6E73">
      <w:pPr>
        <w:pStyle w:val="FootnoteText"/>
      </w:pPr>
      <w:r w:rsidRPr="002E56C8">
        <w:rPr>
          <w:rStyle w:val="FootnoteReference"/>
          <w:rFonts w:ascii="Times New Roman" w:hAnsi="Times New Roman"/>
        </w:rPr>
        <w:footnoteRef/>
      </w:r>
      <w:r w:rsidR="00F761FC" w:rsidRPr="002E56C8">
        <w:t xml:space="preserve"> ODOJ Letter at 6</w:t>
      </w:r>
      <w:r w:rsidRPr="002E56C8">
        <w:t>.</w:t>
      </w:r>
    </w:p>
  </w:footnote>
  <w:footnote w:id="35">
    <w:p w14:paraId="38859C96" w14:textId="68B9A6F6" w:rsidR="00A80BB0" w:rsidRPr="002E56C8" w:rsidRDefault="00A80BB0">
      <w:pPr>
        <w:pStyle w:val="FootnoteText"/>
      </w:pPr>
      <w:r w:rsidRPr="002E56C8">
        <w:rPr>
          <w:rStyle w:val="FootnoteReference"/>
          <w:rFonts w:ascii="Times New Roman" w:hAnsi="Times New Roman"/>
        </w:rPr>
        <w:footnoteRef/>
      </w:r>
      <w:r w:rsidRPr="002E56C8">
        <w:t xml:space="preserve"> </w:t>
      </w:r>
      <w:r w:rsidRPr="002E56C8">
        <w:rPr>
          <w:i/>
          <w:iCs/>
          <w:kern w:val="28"/>
        </w:rPr>
        <w:t>See</w:t>
      </w:r>
      <w:r w:rsidRPr="002E56C8">
        <w:rPr>
          <w:kern w:val="28"/>
        </w:rPr>
        <w:t> </w:t>
      </w:r>
      <w:r w:rsidRPr="002E56C8">
        <w:rPr>
          <w:i/>
          <w:kern w:val="28"/>
        </w:rPr>
        <w:t>Citadel Broadcasting Company</w:t>
      </w:r>
      <w:r w:rsidRPr="002E56C8">
        <w:rPr>
          <w:kern w:val="28"/>
        </w:rPr>
        <w:t>, </w:t>
      </w:r>
      <w:r w:rsidRPr="002E56C8">
        <w:rPr>
          <w:i/>
          <w:iCs/>
          <w:kern w:val="28"/>
        </w:rPr>
        <w:t>Memorandum Opinion and</w:t>
      </w:r>
      <w:r w:rsidRPr="002E56C8">
        <w:rPr>
          <w:kern w:val="28"/>
        </w:rPr>
        <w:t> </w:t>
      </w:r>
      <w:r w:rsidRPr="002E56C8">
        <w:rPr>
          <w:i/>
          <w:kern w:val="28"/>
        </w:rPr>
        <w:t>Order</w:t>
      </w:r>
      <w:r w:rsidRPr="002E56C8">
        <w:rPr>
          <w:kern w:val="28"/>
        </w:rPr>
        <w:t xml:space="preserve">, 22 FCC Rcd 7083, 7094 ¶21 (2007) (taking official notice of public records from the New York Attorney General).  </w:t>
      </w:r>
      <w:r w:rsidRPr="002E56C8">
        <w:rPr>
          <w:i/>
          <w:kern w:val="28"/>
        </w:rPr>
        <w:t>See also</w:t>
      </w:r>
      <w:r w:rsidRPr="002E56C8">
        <w:rPr>
          <w:kern w:val="28"/>
        </w:rPr>
        <w:t xml:space="preserve"> </w:t>
      </w:r>
      <w:r w:rsidRPr="002E56C8">
        <w:rPr>
          <w:i/>
          <w:kern w:val="28"/>
        </w:rPr>
        <w:t>David L. Titus</w:t>
      </w:r>
      <w:r w:rsidRPr="002E56C8">
        <w:rPr>
          <w:kern w:val="28"/>
        </w:rPr>
        <w:t xml:space="preserve">, Decision, 29 FCC Rcd 14066 (2014) at 14072 (evidence in record includes a Seattle Police Department bulletin and a treatment summary from a sex offender program) and at 14073 n.65 (taking official notice of sex offender’s petition to restore his civil rights and terminate his obligation to register as a sex offender, and state court decision denying the petition); </w:t>
      </w:r>
      <w:r w:rsidRPr="002E56C8">
        <w:rPr>
          <w:i/>
          <w:iCs/>
        </w:rPr>
        <w:t>Blues and Gospel Heritage Ass’n</w:t>
      </w:r>
      <w:r w:rsidRPr="002E56C8">
        <w:t xml:space="preserve">, </w:t>
      </w:r>
      <w:r w:rsidR="00880300" w:rsidRPr="002E56C8">
        <w:t>Letter Order</w:t>
      </w:r>
      <w:r w:rsidRPr="002E56C8">
        <w:t xml:space="preserve">, 25 FCC Rcd 8472, 8474 n.16 (MB 2010) (staff takes official notice of Mississippi state corporate records); </w:t>
      </w:r>
      <w:r w:rsidRPr="002E56C8">
        <w:rPr>
          <w:i/>
          <w:kern w:val="28"/>
        </w:rPr>
        <w:t>Malin Christian Church, Inc</w:t>
      </w:r>
      <w:r w:rsidRPr="002E56C8">
        <w:rPr>
          <w:kern w:val="28"/>
        </w:rPr>
        <w:t xml:space="preserve">., </w:t>
      </w:r>
      <w:r w:rsidR="00880300" w:rsidRPr="002E56C8">
        <w:t>Letter Order</w:t>
      </w:r>
      <w:r w:rsidRPr="002E56C8">
        <w:rPr>
          <w:kern w:val="28"/>
        </w:rPr>
        <w:t>, 25 FCC Rcd 915, 916 (MB 2010) (taking official notice of state records, state court decision, and letter from Bureau of Land Management).</w:t>
      </w:r>
    </w:p>
  </w:footnote>
  <w:footnote w:id="36">
    <w:p w14:paraId="7D32070C" w14:textId="36F6D1F1" w:rsidR="00BC6E73" w:rsidRPr="002E56C8" w:rsidRDefault="00BC6E73" w:rsidP="00BC6E73">
      <w:pPr>
        <w:pStyle w:val="FootnoteText"/>
      </w:pPr>
      <w:r w:rsidRPr="002E56C8">
        <w:rPr>
          <w:rStyle w:val="FootnoteReference"/>
          <w:rFonts w:ascii="Times New Roman" w:hAnsi="Times New Roman"/>
        </w:rPr>
        <w:footnoteRef/>
      </w:r>
      <w:r w:rsidRPr="002E56C8">
        <w:t xml:space="preserve"> </w:t>
      </w:r>
      <w:r w:rsidR="0041347A" w:rsidRPr="002E56C8">
        <w:rPr>
          <w:i/>
        </w:rPr>
        <w:t xml:space="preserve">See, e.g., </w:t>
      </w:r>
      <w:r w:rsidR="004B473D" w:rsidRPr="002E56C8">
        <w:rPr>
          <w:i/>
        </w:rPr>
        <w:t>Bienville Parish Sch</w:t>
      </w:r>
      <w:r w:rsidR="00813861" w:rsidRPr="002E56C8">
        <w:rPr>
          <w:i/>
        </w:rPr>
        <w:t>.</w:t>
      </w:r>
      <w:r w:rsidR="004B473D" w:rsidRPr="002E56C8">
        <w:rPr>
          <w:i/>
        </w:rPr>
        <w:t xml:space="preserve"> B</w:t>
      </w:r>
      <w:r w:rsidR="00813861" w:rsidRPr="002E56C8">
        <w:rPr>
          <w:i/>
        </w:rPr>
        <w:t>d.</w:t>
      </w:r>
      <w:r w:rsidR="004B473D" w:rsidRPr="002E56C8">
        <w:rPr>
          <w:i/>
        </w:rPr>
        <w:t xml:space="preserve"> et. al</w:t>
      </w:r>
      <w:r w:rsidR="004B473D" w:rsidRPr="002E56C8">
        <w:t>., Order, 21 FCC Rcd 1234</w:t>
      </w:r>
      <w:r w:rsidR="0041347A" w:rsidRPr="002E56C8">
        <w:t>, 1239 ¶6 (WCB 2006)</w:t>
      </w:r>
      <w:r w:rsidR="00DA6AF8" w:rsidRPr="002E56C8">
        <w:t xml:space="preserve"> (deferring to state attorney general’s advisory opinion)</w:t>
      </w:r>
      <w:r w:rsidR="0041347A" w:rsidRPr="002E56C8">
        <w:t>.</w:t>
      </w:r>
    </w:p>
  </w:footnote>
  <w:footnote w:id="37">
    <w:p w14:paraId="7936AD38" w14:textId="3C6A1A96" w:rsidR="0041347A" w:rsidRPr="002E56C8" w:rsidRDefault="0041347A">
      <w:pPr>
        <w:pStyle w:val="FootnoteText"/>
      </w:pPr>
      <w:r w:rsidRPr="002E56C8">
        <w:rPr>
          <w:rStyle w:val="FootnoteReference"/>
          <w:rFonts w:ascii="Times New Roman" w:hAnsi="Times New Roman"/>
        </w:rPr>
        <w:footnoteRef/>
      </w:r>
      <w:r w:rsidRPr="002E56C8">
        <w:t xml:space="preserve"> </w:t>
      </w:r>
      <w:r w:rsidRPr="002E56C8">
        <w:rPr>
          <w:i/>
        </w:rPr>
        <w:t xml:space="preserve">See Northwest Broad., Inc., </w:t>
      </w:r>
      <w:r w:rsidRPr="002E56C8">
        <w:t xml:space="preserve">Memorandum Opinion and Order, 12 FCC Rcd 3289, 3293 ¶14 (1997); </w:t>
      </w:r>
      <w:r w:rsidRPr="002E56C8">
        <w:rPr>
          <w:i/>
        </w:rPr>
        <w:t>see also</w:t>
      </w:r>
      <w:r w:rsidRPr="002E56C8">
        <w:t xml:space="preserve"> </w:t>
      </w:r>
      <w:r w:rsidRPr="002E56C8">
        <w:rPr>
          <w:i/>
        </w:rPr>
        <w:t>North Am. Broad. Co.</w:t>
      </w:r>
      <w:r w:rsidRPr="002E56C8">
        <w:t>, Memorandum Opinion and Order, 15 FCC 2d 979, 983, ¶10 (1969)</w:t>
      </w:r>
      <w:r w:rsidR="00FA73DF" w:rsidRPr="002E56C8">
        <w:t>.</w:t>
      </w:r>
    </w:p>
  </w:footnote>
  <w:footnote w:id="38">
    <w:p w14:paraId="0FF086C8" w14:textId="77777777" w:rsidR="00AD69AF" w:rsidRPr="002E56C8" w:rsidRDefault="00AD69AF" w:rsidP="00737DDC">
      <w:pPr>
        <w:pStyle w:val="FootnoteText"/>
      </w:pPr>
      <w:r w:rsidRPr="002E56C8">
        <w:rPr>
          <w:rStyle w:val="FootnoteReference"/>
          <w:rFonts w:ascii="Times New Roman" w:hAnsi="Times New Roman"/>
        </w:rPr>
        <w:footnoteRef/>
      </w:r>
      <w:r w:rsidRPr="002E56C8">
        <w:t xml:space="preserve"> </w:t>
      </w:r>
      <w:r w:rsidRPr="002E56C8">
        <w:rPr>
          <w:i/>
        </w:rPr>
        <w:t>See Edwin L. Edwards, Sr.</w:t>
      </w:r>
      <w:r w:rsidRPr="002E56C8">
        <w:t xml:space="preserve">, Memorandum Opinion and Order and Notice of Apparent Liability, 16 FCC Rcd 22236, 22248 (2001), </w:t>
      </w:r>
      <w:r w:rsidRPr="002E56C8">
        <w:rPr>
          <w:i/>
        </w:rPr>
        <w:t>aff’d sub nom. Rainbow/PUSH Coalition v. FCC</w:t>
      </w:r>
      <w:r w:rsidRPr="002E56C8">
        <w:t xml:space="preserve">, 330 F.3d 539 (D.C. Cir. 2003) (“[W]e find that Kelley and Rainbow have set forth specific allegations of fact sufficient to show that certain of the current transactions in this proceeding have resulted in Sinclair exercising </w:t>
      </w:r>
      <w:r w:rsidRPr="002E56C8">
        <w:rPr>
          <w:i/>
        </w:rPr>
        <w:t>de facto</w:t>
      </w:r>
      <w:r w:rsidRPr="002E56C8">
        <w:t xml:space="preserve"> control over Glencairn in violation of Section 310(d) of the Communications Act.”).  In assessing the locus of control, the Commission examines who establishes an entity’s basic operating polices with respect to programming, personnel, and finances.  </w:t>
      </w:r>
      <w:r w:rsidRPr="002E56C8">
        <w:rPr>
          <w:i/>
        </w:rPr>
        <w:t>See WGPR, Inc.</w:t>
      </w:r>
      <w:r w:rsidRPr="002E56C8">
        <w:t xml:space="preserve">, Memorandum Opinion and Order, 10 FCC Rcd 8140, 8142-46 (1995), </w:t>
      </w:r>
      <w:r w:rsidRPr="002E56C8">
        <w:rPr>
          <w:i/>
        </w:rPr>
        <w:t>vacated on other grounds sub nom. Serafyn v. FCC</w:t>
      </w:r>
      <w:r w:rsidRPr="002E56C8">
        <w:t>, 149 F.3d 1213 (D.C. Cir. 1998);</w:t>
      </w:r>
      <w:r w:rsidRPr="002E56C8">
        <w:rPr>
          <w:i/>
        </w:rPr>
        <w:t xml:space="preserve"> Choctaw Broad. Corp.</w:t>
      </w:r>
      <w:r w:rsidRPr="002E56C8">
        <w:t xml:space="preserve">, Memorandum Opinion and Order, 12 FCC Rcd 8534, 8538-39 (1997).  </w:t>
      </w:r>
    </w:p>
  </w:footnote>
  <w:footnote w:id="39">
    <w:p w14:paraId="196F50D8" w14:textId="0A47839D" w:rsidR="00AD69AF" w:rsidRPr="002E56C8" w:rsidRDefault="00AD69AF" w:rsidP="00737DDC">
      <w:pPr>
        <w:pStyle w:val="FootnoteText"/>
      </w:pPr>
      <w:r w:rsidRPr="002E56C8">
        <w:rPr>
          <w:rStyle w:val="FootnoteReference"/>
          <w:rFonts w:ascii="Times New Roman" w:hAnsi="Times New Roman"/>
        </w:rPr>
        <w:footnoteRef/>
      </w:r>
      <w:r w:rsidRPr="002E56C8">
        <w:t xml:space="preserve"> In a</w:t>
      </w:r>
      <w:r w:rsidRPr="002E56C8">
        <w:rPr>
          <w:rStyle w:val="apple-converted-space"/>
        </w:rPr>
        <w:t> </w:t>
      </w:r>
      <w:r w:rsidRPr="002E56C8">
        <w:rPr>
          <w:rStyle w:val="cosearchterm"/>
          <w:bCs/>
        </w:rPr>
        <w:t>real</w:t>
      </w:r>
      <w:r w:rsidRPr="002E56C8">
        <w:t>-</w:t>
      </w:r>
      <w:r w:rsidRPr="002E56C8">
        <w:rPr>
          <w:rStyle w:val="cosearchterm"/>
          <w:bCs/>
        </w:rPr>
        <w:t>party</w:t>
      </w:r>
      <w:r w:rsidRPr="002E56C8">
        <w:t>-</w:t>
      </w:r>
      <w:r w:rsidRPr="002E56C8">
        <w:rPr>
          <w:rStyle w:val="cosearchterm"/>
          <w:bCs/>
        </w:rPr>
        <w:t>in</w:t>
      </w:r>
      <w:r w:rsidRPr="002E56C8">
        <w:t>-</w:t>
      </w:r>
      <w:r w:rsidRPr="002E56C8">
        <w:rPr>
          <w:rStyle w:val="cosearchterm"/>
          <w:bCs/>
        </w:rPr>
        <w:t>interest</w:t>
      </w:r>
      <w:r w:rsidRPr="002E56C8">
        <w:rPr>
          <w:rStyle w:val="apple-converted-space"/>
        </w:rPr>
        <w:t> </w:t>
      </w:r>
      <w:r w:rsidRPr="002E56C8">
        <w:t xml:space="preserve">inquiry, the focus is whether a third person has an undisclosed ownership interest in an application or will be in a position to actually or potentially control the applicant.  </w:t>
      </w:r>
      <w:r w:rsidRPr="002E56C8">
        <w:rPr>
          <w:rStyle w:val="Emphasis"/>
          <w:b w:val="0"/>
          <w:i/>
        </w:rPr>
        <w:t>See</w:t>
      </w:r>
      <w:r w:rsidRPr="002E56C8">
        <w:rPr>
          <w:rStyle w:val="apple-converted-space"/>
          <w:i/>
          <w:iCs/>
        </w:rPr>
        <w:t> </w:t>
      </w:r>
      <w:r w:rsidRPr="002E56C8">
        <w:rPr>
          <w:rStyle w:val="Emphasis"/>
          <w:b w:val="0"/>
          <w:i/>
        </w:rPr>
        <w:t>Georgia Public Telecomm. Comm.</w:t>
      </w:r>
      <w:r w:rsidRPr="002E56C8">
        <w:rPr>
          <w:rStyle w:val="Emphasis"/>
          <w:b w:val="0"/>
        </w:rPr>
        <w:t>,</w:t>
      </w:r>
      <w:r w:rsidRPr="002E56C8">
        <w:rPr>
          <w:rStyle w:val="apple-converted-space"/>
        </w:rPr>
        <w:t xml:space="preserve"> Memorandum Opinion and Order, </w:t>
      </w:r>
      <w:r w:rsidRPr="002E56C8">
        <w:t>7 FCC Rcd 7996, 7998 (1992),</w:t>
      </w:r>
      <w:r w:rsidRPr="002E56C8">
        <w:rPr>
          <w:rStyle w:val="apple-converted-space"/>
        </w:rPr>
        <w:t> </w:t>
      </w:r>
      <w:r w:rsidRPr="002E56C8">
        <w:rPr>
          <w:rStyle w:val="Emphasis"/>
          <w:b w:val="0"/>
          <w:i/>
        </w:rPr>
        <w:t>citing</w:t>
      </w:r>
      <w:r w:rsidRPr="002E56C8">
        <w:rPr>
          <w:rStyle w:val="apple-converted-space"/>
          <w:i/>
          <w:iCs/>
        </w:rPr>
        <w:t> </w:t>
      </w:r>
      <w:r w:rsidRPr="002E56C8">
        <w:rPr>
          <w:rStyle w:val="Emphasis"/>
          <w:b w:val="0"/>
          <w:i/>
        </w:rPr>
        <w:t>Astroline Commc’ns. Co. v. FCC</w:t>
      </w:r>
      <w:r w:rsidRPr="002E56C8">
        <w:t>, 857 F.2d 1556, 1564 (D.C. Cir. 1998);</w:t>
      </w:r>
      <w:r w:rsidRPr="002E56C8">
        <w:rPr>
          <w:rStyle w:val="apple-converted-space"/>
        </w:rPr>
        <w:t> </w:t>
      </w:r>
      <w:r w:rsidRPr="002E56C8">
        <w:rPr>
          <w:rStyle w:val="Emphasis"/>
          <w:b w:val="0"/>
          <w:i/>
        </w:rPr>
        <w:t xml:space="preserve">KOWL, Inc., </w:t>
      </w:r>
      <w:r w:rsidRPr="002E56C8">
        <w:t>Memorandum Opinion and Order, 49 FCC 2d 962 (1974)</w:t>
      </w:r>
      <w:r w:rsidRPr="002E56C8">
        <w:rPr>
          <w:rStyle w:val="apple-converted-space"/>
        </w:rPr>
        <w:t> </w:t>
      </w:r>
      <w:r w:rsidRPr="002E56C8">
        <w:t>(same, citing</w:t>
      </w:r>
      <w:r w:rsidRPr="002E56C8">
        <w:rPr>
          <w:rStyle w:val="apple-converted-space"/>
        </w:rPr>
        <w:t> </w:t>
      </w:r>
      <w:r w:rsidRPr="002E56C8">
        <w:rPr>
          <w:rStyle w:val="Emphasis"/>
          <w:b w:val="0"/>
          <w:i/>
        </w:rPr>
        <w:t>Creek County Broad. Co.</w:t>
      </w:r>
      <w:r w:rsidRPr="002E56C8">
        <w:rPr>
          <w:i/>
        </w:rPr>
        <w:t>,</w:t>
      </w:r>
      <w:r w:rsidRPr="002E56C8">
        <w:t xml:space="preserve"> 31 FCC 2d 462, 22 RR 2d 891 (1971)</w:t>
      </w:r>
      <w:r w:rsidRPr="002E56C8">
        <w:rPr>
          <w:rStyle w:val="apple-converted-space"/>
        </w:rPr>
        <w:t> </w:t>
      </w:r>
      <w:r w:rsidRPr="002E56C8">
        <w:t>and</w:t>
      </w:r>
      <w:r w:rsidRPr="002E56C8">
        <w:rPr>
          <w:rStyle w:val="apple-converted-space"/>
        </w:rPr>
        <w:t> </w:t>
      </w:r>
      <w:r w:rsidRPr="002E56C8">
        <w:rPr>
          <w:rStyle w:val="Emphasis"/>
          <w:b w:val="0"/>
          <w:i/>
        </w:rPr>
        <w:t>Sumiton Broad. Co.,</w:t>
      </w:r>
      <w:r w:rsidRPr="002E56C8">
        <w:rPr>
          <w:rStyle w:val="apple-converted-space"/>
        </w:rPr>
        <w:t> </w:t>
      </w:r>
      <w:r w:rsidRPr="002E56C8">
        <w:t>15 FCC 2d 400, 14 RR 2d 1000 (1968).  The ODOJ Letter states in part:</w:t>
      </w:r>
    </w:p>
    <w:p w14:paraId="4E4A0FA8" w14:textId="4EAF2143" w:rsidR="00AD69AF" w:rsidRPr="002E56C8" w:rsidRDefault="00AD69AF" w:rsidP="00737DDC">
      <w:pPr>
        <w:pStyle w:val="FootnoteText"/>
        <w:ind w:left="720" w:right="720"/>
      </w:pPr>
      <w:r w:rsidRPr="002E56C8">
        <w:t>This explanation [that Lund effectively controls the Lund Corporations] is consistent with information this office obtained in our interviews of several persons identified as the corporate director for a number of the Lund Corporations.  They indicated that Robert Lund initiated the discussion regarding LPFM licenses and forming nonprofit corporations to obtain such licenses.  Lund prepared the articles of incorporation for each entity, secured the nominal key person’s signature on each of the respective articles, and filed the articles of incorporation with the Oregon Secretary of State for each entity.  The nominal directors we interviewed indicated that they did not pay the corporate filing fees.  In at least one instance, the nominal director did not even know an LPFM radio station license application had been filed on behalf of the corporation with which she is associated until after being notified that the license had been granted.</w:t>
      </w:r>
    </w:p>
    <w:p w14:paraId="0A81EEBB" w14:textId="04A9BE98" w:rsidR="00AD69AF" w:rsidRPr="002E56C8" w:rsidRDefault="00AD69AF" w:rsidP="00737DDC">
      <w:pPr>
        <w:pStyle w:val="FootnoteText"/>
      </w:pPr>
      <w:r w:rsidRPr="002E56C8">
        <w:t>ODOJ Letter at 4.</w:t>
      </w:r>
    </w:p>
  </w:footnote>
  <w:footnote w:id="40">
    <w:p w14:paraId="7CD3A357" w14:textId="5A1CE421" w:rsidR="00F30A57" w:rsidRPr="002E56C8" w:rsidRDefault="00F30A57">
      <w:pPr>
        <w:pStyle w:val="FootnoteText"/>
      </w:pPr>
      <w:r w:rsidRPr="002E56C8">
        <w:rPr>
          <w:rStyle w:val="FootnoteReference"/>
          <w:rFonts w:ascii="Times New Roman" w:hAnsi="Times New Roman"/>
        </w:rPr>
        <w:footnoteRef/>
      </w:r>
      <w:r w:rsidRPr="002E56C8">
        <w:t xml:space="preserve"> </w:t>
      </w:r>
      <w:r w:rsidR="00243440" w:rsidRPr="002E56C8">
        <w:t>Fed R. Evid. 803(8).</w:t>
      </w:r>
      <w:r w:rsidR="00A302A9" w:rsidRPr="002E56C8">
        <w:t xml:space="preserve">  </w:t>
      </w:r>
      <w:r w:rsidR="00A302A9" w:rsidRPr="002E56C8">
        <w:rPr>
          <w:i/>
        </w:rPr>
        <w:t>See also Nancy Naleszkiewicz</w:t>
      </w:r>
      <w:r w:rsidR="00A302A9" w:rsidRPr="002E56C8">
        <w:t>, Memorandum Opinion and Order, 10 FCC Rcd 1083,</w:t>
      </w:r>
      <w:r w:rsidR="00D81FB4" w:rsidRPr="002E56C8">
        <w:t xml:space="preserve"> Appendix</w:t>
      </w:r>
      <w:r w:rsidR="00A302A9" w:rsidRPr="002E56C8">
        <w:t xml:space="preserve"> n</w:t>
      </w:r>
      <w:r w:rsidR="00F55A01" w:rsidRPr="002E56C8">
        <w:t>.</w:t>
      </w:r>
      <w:r w:rsidR="00A302A9" w:rsidRPr="002E56C8">
        <w:t>18</w:t>
      </w:r>
      <w:r w:rsidR="00B3729A" w:rsidRPr="002E56C8">
        <w:t xml:space="preserve"> (1995)</w:t>
      </w:r>
      <w:r w:rsidR="00A302A9" w:rsidRPr="002E56C8">
        <w:t xml:space="preserve"> (prosecutor’s conclusory opinion admissible under Rule 803(8) because it was “an official's finding based on an investigation conducted pursuant to authority granted by law”).</w:t>
      </w:r>
    </w:p>
  </w:footnote>
  <w:footnote w:id="41">
    <w:p w14:paraId="5E7D2C0F" w14:textId="6DE52152" w:rsidR="00AD69AF" w:rsidRPr="002E56C8" w:rsidRDefault="00AD69AF">
      <w:pPr>
        <w:pStyle w:val="FootnoteText"/>
      </w:pPr>
      <w:r w:rsidRPr="002E56C8">
        <w:rPr>
          <w:rStyle w:val="FootnoteReference"/>
          <w:rFonts w:ascii="Times New Roman" w:hAnsi="Times New Roman"/>
        </w:rPr>
        <w:footnoteRef/>
      </w:r>
      <w:r w:rsidRPr="002E56C8">
        <w:t xml:space="preserve"> 47 </w:t>
      </w:r>
      <w:r w:rsidR="00861AC8" w:rsidRPr="002E56C8">
        <w:t>CFR</w:t>
      </w:r>
      <w:r w:rsidRPr="002E56C8">
        <w:t xml:space="preserve"> § 73.855(a).</w:t>
      </w:r>
    </w:p>
  </w:footnote>
  <w:footnote w:id="42">
    <w:p w14:paraId="03102122" w14:textId="3A106170" w:rsidR="00AD69AF" w:rsidRPr="002E56C8" w:rsidRDefault="00AD69AF">
      <w:pPr>
        <w:pStyle w:val="FootnoteText"/>
      </w:pPr>
      <w:r w:rsidRPr="002E56C8">
        <w:rPr>
          <w:rStyle w:val="FootnoteReference"/>
          <w:rFonts w:ascii="Times New Roman" w:hAnsi="Times New Roman"/>
        </w:rPr>
        <w:footnoteRef/>
      </w:r>
      <w:r w:rsidRPr="002E56C8">
        <w:t xml:space="preserve"> </w:t>
      </w:r>
      <w:r w:rsidRPr="002E56C8">
        <w:rPr>
          <w:i/>
        </w:rPr>
        <w:t xml:space="preserve">See </w:t>
      </w:r>
      <w:r w:rsidRPr="002E56C8">
        <w:t>Instructions to FCC Form 318, Section II, Question 3 (“the term ‘party to the application’ includes any individual or entity whose ownership or positional interest in the applicant is ‘attributable.’  An ‘attributable interest’ is an ownership interest in or in relation to an applicant or licensee which will give its holder that degree of influence or control over the applicant or licensee sufficient to implicate the Commis</w:t>
      </w:r>
      <w:r w:rsidR="007A3FB9" w:rsidRPr="002E56C8">
        <w:t>sion's multiple ownership rules.”</w:t>
      </w:r>
      <w:r w:rsidRPr="002E56C8">
        <w:t xml:space="preserve">).  </w:t>
      </w:r>
      <w:r w:rsidRPr="002E56C8">
        <w:rPr>
          <w:i/>
        </w:rPr>
        <w:t xml:space="preserve">See also </w:t>
      </w:r>
      <w:r w:rsidRPr="002E56C8">
        <w:t xml:space="preserve">47 </w:t>
      </w:r>
      <w:r w:rsidR="00861AC8" w:rsidRPr="002E56C8">
        <w:t>CFR</w:t>
      </w:r>
      <w:r w:rsidRPr="002E56C8">
        <w:t xml:space="preserve"> § 73.858.  </w:t>
      </w:r>
    </w:p>
  </w:footnote>
  <w:footnote w:id="43">
    <w:p w14:paraId="1CD3B520" w14:textId="205A5578" w:rsidR="00AD69AF" w:rsidRPr="002E56C8" w:rsidRDefault="00AD69AF">
      <w:pPr>
        <w:pStyle w:val="FootnoteText"/>
      </w:pPr>
      <w:r w:rsidRPr="002E56C8">
        <w:rPr>
          <w:rStyle w:val="FootnoteReference"/>
          <w:rFonts w:ascii="Times New Roman" w:hAnsi="Times New Roman"/>
        </w:rPr>
        <w:footnoteRef/>
      </w:r>
      <w:r w:rsidRPr="002E56C8">
        <w:t xml:space="preserve"> </w:t>
      </w:r>
      <w:r w:rsidRPr="002E56C8">
        <w:rPr>
          <w:i/>
        </w:rPr>
        <w:t>See Hispanic Broad. Inst., Inc</w:t>
      </w:r>
      <w:r w:rsidRPr="002E56C8">
        <w:t xml:space="preserve">., Memorandum Opinion and Order, </w:t>
      </w:r>
      <w:r w:rsidR="00DF5258" w:rsidRPr="002E56C8">
        <w:t>30 FCC Rcd 10560, 10562, para.</w:t>
      </w:r>
      <w:r w:rsidRPr="002E56C8">
        <w:t xml:space="preserve"> 4 (2015) (affirming dismissal of inconsistent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0D04" w14:textId="77777777" w:rsidR="00B66582" w:rsidRDefault="00B66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5576C" w14:textId="77777777" w:rsidR="00AD69AF" w:rsidRDefault="00AD69AF">
    <w:pPr>
      <w:tabs>
        <w:tab w:val="center" w:pos="4680"/>
        <w:tab w:val="right" w:pos="9360"/>
      </w:tabs>
      <w:suppressAutoHyphens/>
      <w:spacing w:line="227" w:lineRule="auto"/>
      <w:jc w:val="both"/>
      <w:rPr>
        <w:rFonts w:ascii="Calisto MT" w:hAnsi="Calisto MT"/>
        <w:spacing w:val="-2"/>
      </w:rPr>
    </w:pPr>
  </w:p>
  <w:p w14:paraId="756790D0" w14:textId="77777777" w:rsidR="00AD69AF" w:rsidRDefault="00AD69AF">
    <w:pPr>
      <w:tabs>
        <w:tab w:val="left" w:pos="-720"/>
      </w:tabs>
      <w:suppressAutoHyphens/>
      <w:spacing w:line="19" w:lineRule="exact"/>
      <w:jc w:val="both"/>
      <w:rPr>
        <w:sz w:val="10"/>
      </w:rPr>
    </w:pPr>
  </w:p>
  <w:p w14:paraId="212B7FD0" w14:textId="77777777" w:rsidR="00AD69AF" w:rsidRDefault="00AD69AF">
    <w:pPr>
      <w:tabs>
        <w:tab w:val="left" w:pos="-720"/>
      </w:tabs>
      <w:suppressAutoHyphens/>
      <w:spacing w:line="19" w:lineRule="exact"/>
      <w:jc w:val="both"/>
      <w:rPr>
        <w:sz w:val="10"/>
      </w:rPr>
    </w:pPr>
  </w:p>
  <w:p w14:paraId="1CD318F8" w14:textId="77777777" w:rsidR="00AD69AF" w:rsidRDefault="00AD69AF">
    <w:pPr>
      <w:tabs>
        <w:tab w:val="left" w:pos="-720"/>
      </w:tabs>
      <w:suppressAutoHyphens/>
      <w:spacing w:line="19" w:lineRule="exact"/>
      <w:jc w:val="both"/>
      <w:rPr>
        <w:sz w:val="10"/>
      </w:rPr>
    </w:pPr>
  </w:p>
  <w:p w14:paraId="6971A3BB" w14:textId="77777777" w:rsidR="00AD69AF" w:rsidRDefault="00AD69AF">
    <w:pPr>
      <w:tabs>
        <w:tab w:val="left" w:pos="-720"/>
      </w:tabs>
      <w:suppressAutoHyphens/>
      <w:spacing w:line="19" w:lineRule="exact"/>
      <w:jc w:val="both"/>
      <w:rPr>
        <w:sz w:val="10"/>
      </w:rPr>
    </w:pPr>
  </w:p>
  <w:p w14:paraId="47A31B45" w14:textId="77777777" w:rsidR="00AD69AF" w:rsidRDefault="00AD69AF">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B353" w14:textId="77777777" w:rsidR="00AD69AF" w:rsidRPr="00C55938" w:rsidRDefault="00F94C4A">
    <w:pPr>
      <w:pStyle w:val="Heading2"/>
      <w:spacing w:line="240" w:lineRule="auto"/>
      <w:rPr>
        <w:b/>
        <w:color w:val="000000"/>
      </w:rPr>
    </w:pPr>
    <w:r>
      <w:rPr>
        <w:b/>
        <w:noProof/>
        <w:snapToGrid/>
        <w:color w:val="000000"/>
      </w:rPr>
      <w:pict w14:anchorId="54F45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9.3pt;height:64.8pt;z-index:-251658752;visibility:visible;mso-wrap-edited:f" o:allowincell="f" filled="t" fillcolor="#3cc">
          <v:imagedata r:id="rId1" o:title="" gain="69719f"/>
        </v:shape>
        <o:OLEObject Type="Embed" ProgID="Word.Picture.8" ShapeID="_x0000_s2049" DrawAspect="Content" ObjectID="_1511947381" r:id="rId2"/>
      </w:pict>
    </w:r>
    <w:r w:rsidR="00AD69AF" w:rsidRPr="00C55938">
      <w:rPr>
        <w:b/>
        <w:color w:val="000000"/>
      </w:rPr>
      <w:t>Federal Communications Commission</w:t>
    </w:r>
  </w:p>
  <w:p w14:paraId="3C003F29" w14:textId="77777777" w:rsidR="00AD69AF" w:rsidRPr="00C55938" w:rsidRDefault="00AD69AF">
    <w:pPr>
      <w:jc w:val="center"/>
      <w:rPr>
        <w:b/>
        <w:color w:val="000000"/>
        <w:spacing w:val="-2"/>
      </w:rPr>
    </w:pPr>
    <w:r w:rsidRPr="00C55938">
      <w:rPr>
        <w:b/>
        <w:color w:val="000000"/>
        <w:spacing w:val="-2"/>
      </w:rPr>
      <w:t>Washington, D.C. 20554</w:t>
    </w:r>
  </w:p>
  <w:p w14:paraId="7083D0B9" w14:textId="77777777" w:rsidR="00AD69AF" w:rsidRPr="0012591E" w:rsidRDefault="00AD69AF">
    <w:pPr>
      <w:jc w:val="center"/>
      <w:rPr>
        <w:color w:val="000000"/>
        <w:spacing w:val="-2"/>
        <w:sz w:val="22"/>
      </w:rPr>
    </w:pPr>
  </w:p>
  <w:p w14:paraId="0BEB3854" w14:textId="5D2A1C1B" w:rsidR="00AD69AF" w:rsidRPr="00AB660A" w:rsidRDefault="00D16809">
    <w:pPr>
      <w:jc w:val="center"/>
      <w:rPr>
        <w:spacing w:val="-2"/>
        <w:sz w:val="22"/>
        <w:szCs w:val="22"/>
      </w:rPr>
    </w:pPr>
    <w:r>
      <w:rPr>
        <w:spacing w:val="-2"/>
        <w:sz w:val="22"/>
        <w:szCs w:val="22"/>
      </w:rPr>
      <w:t>December</w:t>
    </w:r>
    <w:r w:rsidR="00AD69AF">
      <w:rPr>
        <w:spacing w:val="-2"/>
        <w:sz w:val="22"/>
        <w:szCs w:val="22"/>
      </w:rPr>
      <w:t xml:space="preserve"> </w:t>
    </w:r>
    <w:r w:rsidR="006B5D4B">
      <w:rPr>
        <w:spacing w:val="-2"/>
        <w:sz w:val="22"/>
        <w:szCs w:val="22"/>
      </w:rPr>
      <w:t>18</w:t>
    </w:r>
    <w:r w:rsidR="00AD69AF" w:rsidRPr="00AB660A">
      <w:rPr>
        <w:spacing w:val="-2"/>
        <w:sz w:val="22"/>
        <w:szCs w:val="22"/>
      </w:rPr>
      <w:t>, 201</w:t>
    </w:r>
    <w:r w:rsidR="00AD69AF">
      <w:rPr>
        <w:spacing w:val="-2"/>
        <w:sz w:val="22"/>
        <w:szCs w:val="22"/>
      </w:rPr>
      <w:t>5</w:t>
    </w:r>
  </w:p>
  <w:p w14:paraId="59DCB060" w14:textId="4D5654D3" w:rsidR="00AD69AF" w:rsidRDefault="00AD69AF" w:rsidP="0058635A">
    <w:pPr>
      <w:rPr>
        <w:sz w:val="20"/>
      </w:rPr>
    </w:pPr>
    <w:r>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005E7F8B">
      <w:rPr>
        <w:sz w:val="20"/>
      </w:rPr>
      <w:tab/>
      <w:t xml:space="preserve">DA </w:t>
    </w:r>
    <w:r w:rsidR="005E7F8B" w:rsidRPr="005E7F8B">
      <w:rPr>
        <w:sz w:val="20"/>
      </w:rPr>
      <w:t>15-1452</w:t>
    </w:r>
  </w:p>
  <w:p w14:paraId="0267461E" w14:textId="77777777" w:rsidR="00AD69AF" w:rsidRPr="0012591E" w:rsidRDefault="00AD69AF" w:rsidP="00457B2B">
    <w:pPr>
      <w:ind w:left="5760" w:firstLine="720"/>
      <w:rPr>
        <w:i/>
        <w:sz w:val="20"/>
      </w:rPr>
    </w:pPr>
    <w:r w:rsidRPr="0012591E">
      <w:rPr>
        <w:i/>
        <w:sz w:val="20"/>
      </w:rPr>
      <w:t xml:space="preserve">In Reply Refer </w:t>
    </w:r>
    <w:r>
      <w:rPr>
        <w:i/>
        <w:sz w:val="20"/>
      </w:rPr>
      <w:t>T</w:t>
    </w:r>
    <w:r w:rsidRPr="0012591E">
      <w:rPr>
        <w:i/>
        <w:sz w:val="20"/>
      </w:rPr>
      <w:t>o:</w:t>
    </w:r>
  </w:p>
  <w:p w14:paraId="4EF9AE4F" w14:textId="77777777" w:rsidR="00AD69AF" w:rsidRDefault="00AD69AF" w:rsidP="00C92655">
    <w:pPr>
      <w:rPr>
        <w:sz w:val="20"/>
      </w:rPr>
    </w:pP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Pr>
        <w:sz w:val="20"/>
      </w:rPr>
      <w:tab/>
    </w:r>
    <w:r w:rsidRPr="0012591E">
      <w:rPr>
        <w:sz w:val="20"/>
      </w:rPr>
      <w:t>1800B3-</w:t>
    </w:r>
    <w:r>
      <w:rPr>
        <w:sz w:val="20"/>
      </w:rPr>
      <w:t>EA/ATS</w:t>
    </w:r>
    <w:r w:rsidRPr="0012591E">
      <w:rPr>
        <w:sz w:val="20"/>
      </w:rPr>
      <w:tab/>
    </w:r>
  </w:p>
  <w:p w14:paraId="5BA0FC7E" w14:textId="1FEDD8FE" w:rsidR="00AD69AF" w:rsidRPr="006B5D4B" w:rsidRDefault="00AD69AF" w:rsidP="00B139A7">
    <w:pPr>
      <w:ind w:right="-270"/>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B5D4B">
      <w:rPr>
        <w:sz w:val="20"/>
      </w:rPr>
      <w:t>Rel</w:t>
    </w:r>
    <w:r w:rsidR="00B139A7">
      <w:rPr>
        <w:sz w:val="20"/>
      </w:rPr>
      <w:t>eased</w:t>
    </w:r>
    <w:r w:rsidR="006B5D4B">
      <w:rPr>
        <w:sz w:val="20"/>
      </w:rPr>
      <w:t>: Dec</w:t>
    </w:r>
    <w:r w:rsidR="00B139A7">
      <w:rPr>
        <w:sz w:val="20"/>
      </w:rPr>
      <w:t xml:space="preserve">ember </w:t>
    </w:r>
    <w:r w:rsidR="006B5D4B">
      <w:rPr>
        <w:sz w:val="20"/>
      </w:rPr>
      <w:t>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79F0"/>
    <w:multiLevelType w:val="hybridMultilevel"/>
    <w:tmpl w:val="055AB39A"/>
    <w:lvl w:ilvl="0" w:tplc="DB8E55F4">
      <w:start w:val="1"/>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17A3765"/>
    <w:multiLevelType w:val="hybridMultilevel"/>
    <w:tmpl w:val="695C6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A03C5B"/>
    <w:multiLevelType w:val="hybridMultilevel"/>
    <w:tmpl w:val="60B2F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86"/>
    <w:rsid w:val="0000091B"/>
    <w:rsid w:val="00003100"/>
    <w:rsid w:val="000044EA"/>
    <w:rsid w:val="00006AD7"/>
    <w:rsid w:val="00007395"/>
    <w:rsid w:val="0000789D"/>
    <w:rsid w:val="00010D05"/>
    <w:rsid w:val="00012755"/>
    <w:rsid w:val="00012FE3"/>
    <w:rsid w:val="00015BC5"/>
    <w:rsid w:val="0002017F"/>
    <w:rsid w:val="00020B7E"/>
    <w:rsid w:val="00026377"/>
    <w:rsid w:val="00027E73"/>
    <w:rsid w:val="00030999"/>
    <w:rsid w:val="00031F49"/>
    <w:rsid w:val="00033EC1"/>
    <w:rsid w:val="00037D0C"/>
    <w:rsid w:val="0004600C"/>
    <w:rsid w:val="00056028"/>
    <w:rsid w:val="00057E37"/>
    <w:rsid w:val="00071D6F"/>
    <w:rsid w:val="00073F60"/>
    <w:rsid w:val="00077F5A"/>
    <w:rsid w:val="00080D88"/>
    <w:rsid w:val="00082B77"/>
    <w:rsid w:val="00083E23"/>
    <w:rsid w:val="00092445"/>
    <w:rsid w:val="00092F05"/>
    <w:rsid w:val="00093F5A"/>
    <w:rsid w:val="00095705"/>
    <w:rsid w:val="000971ED"/>
    <w:rsid w:val="000A21BD"/>
    <w:rsid w:val="000A57A1"/>
    <w:rsid w:val="000A6B73"/>
    <w:rsid w:val="000B05BB"/>
    <w:rsid w:val="000B1025"/>
    <w:rsid w:val="000B3436"/>
    <w:rsid w:val="000C090A"/>
    <w:rsid w:val="000C1614"/>
    <w:rsid w:val="000C2493"/>
    <w:rsid w:val="000C2B38"/>
    <w:rsid w:val="000D4F7D"/>
    <w:rsid w:val="000E22A3"/>
    <w:rsid w:val="000E2760"/>
    <w:rsid w:val="000E609B"/>
    <w:rsid w:val="000F2463"/>
    <w:rsid w:val="000F426C"/>
    <w:rsid w:val="00102172"/>
    <w:rsid w:val="00102276"/>
    <w:rsid w:val="00105ECE"/>
    <w:rsid w:val="001125F4"/>
    <w:rsid w:val="0011267E"/>
    <w:rsid w:val="00112DCC"/>
    <w:rsid w:val="001160DC"/>
    <w:rsid w:val="001167CB"/>
    <w:rsid w:val="0012032A"/>
    <w:rsid w:val="00121C64"/>
    <w:rsid w:val="00122168"/>
    <w:rsid w:val="001227AF"/>
    <w:rsid w:val="00124143"/>
    <w:rsid w:val="001255F9"/>
    <w:rsid w:val="0012591E"/>
    <w:rsid w:val="0012599B"/>
    <w:rsid w:val="0012625D"/>
    <w:rsid w:val="001349B5"/>
    <w:rsid w:val="00140ED9"/>
    <w:rsid w:val="0014318F"/>
    <w:rsid w:val="001434C9"/>
    <w:rsid w:val="00145E34"/>
    <w:rsid w:val="001465EE"/>
    <w:rsid w:val="00150B4F"/>
    <w:rsid w:val="00151189"/>
    <w:rsid w:val="0015293D"/>
    <w:rsid w:val="00154B82"/>
    <w:rsid w:val="00156AAF"/>
    <w:rsid w:val="00162AF2"/>
    <w:rsid w:val="00162C24"/>
    <w:rsid w:val="00162D8B"/>
    <w:rsid w:val="00162FFC"/>
    <w:rsid w:val="001722CE"/>
    <w:rsid w:val="001730B1"/>
    <w:rsid w:val="00173398"/>
    <w:rsid w:val="001745F1"/>
    <w:rsid w:val="001758AC"/>
    <w:rsid w:val="00175BAD"/>
    <w:rsid w:val="001819A0"/>
    <w:rsid w:val="00186055"/>
    <w:rsid w:val="001860A5"/>
    <w:rsid w:val="00187549"/>
    <w:rsid w:val="00187576"/>
    <w:rsid w:val="00187A33"/>
    <w:rsid w:val="00191039"/>
    <w:rsid w:val="00197862"/>
    <w:rsid w:val="001A052E"/>
    <w:rsid w:val="001A31B0"/>
    <w:rsid w:val="001A5200"/>
    <w:rsid w:val="001A67FF"/>
    <w:rsid w:val="001A69D0"/>
    <w:rsid w:val="001B22A9"/>
    <w:rsid w:val="001B3419"/>
    <w:rsid w:val="001B5763"/>
    <w:rsid w:val="001B5E12"/>
    <w:rsid w:val="001C1D60"/>
    <w:rsid w:val="001C50A6"/>
    <w:rsid w:val="001C5834"/>
    <w:rsid w:val="001C5A58"/>
    <w:rsid w:val="001D126D"/>
    <w:rsid w:val="001D3887"/>
    <w:rsid w:val="001D5CDA"/>
    <w:rsid w:val="001D740A"/>
    <w:rsid w:val="001E0A91"/>
    <w:rsid w:val="001E548C"/>
    <w:rsid w:val="001E55CA"/>
    <w:rsid w:val="001E7B34"/>
    <w:rsid w:val="001F1C8E"/>
    <w:rsid w:val="001F3166"/>
    <w:rsid w:val="001F3AE5"/>
    <w:rsid w:val="0020088B"/>
    <w:rsid w:val="00203AC0"/>
    <w:rsid w:val="002057F2"/>
    <w:rsid w:val="0021694F"/>
    <w:rsid w:val="00220FCF"/>
    <w:rsid w:val="00224A35"/>
    <w:rsid w:val="00224E8C"/>
    <w:rsid w:val="002279B1"/>
    <w:rsid w:val="00234AEE"/>
    <w:rsid w:val="00235F91"/>
    <w:rsid w:val="0023618A"/>
    <w:rsid w:val="00243440"/>
    <w:rsid w:val="00255A96"/>
    <w:rsid w:val="00256D48"/>
    <w:rsid w:val="00257E41"/>
    <w:rsid w:val="00262431"/>
    <w:rsid w:val="002642F5"/>
    <w:rsid w:val="002678E6"/>
    <w:rsid w:val="00270FE9"/>
    <w:rsid w:val="00274F5C"/>
    <w:rsid w:val="00283A32"/>
    <w:rsid w:val="002851EB"/>
    <w:rsid w:val="00286821"/>
    <w:rsid w:val="002908D3"/>
    <w:rsid w:val="002946A8"/>
    <w:rsid w:val="00294B5B"/>
    <w:rsid w:val="002A46C3"/>
    <w:rsid w:val="002A5520"/>
    <w:rsid w:val="002A5EDD"/>
    <w:rsid w:val="002A62C9"/>
    <w:rsid w:val="002A68E1"/>
    <w:rsid w:val="002B0804"/>
    <w:rsid w:val="002B180C"/>
    <w:rsid w:val="002B1D2E"/>
    <w:rsid w:val="002B2E4C"/>
    <w:rsid w:val="002B37CB"/>
    <w:rsid w:val="002B54A9"/>
    <w:rsid w:val="002D09ED"/>
    <w:rsid w:val="002D1061"/>
    <w:rsid w:val="002D4C49"/>
    <w:rsid w:val="002D4CA9"/>
    <w:rsid w:val="002E0015"/>
    <w:rsid w:val="002E0F2E"/>
    <w:rsid w:val="002E454D"/>
    <w:rsid w:val="002E56C8"/>
    <w:rsid w:val="002E7843"/>
    <w:rsid w:val="002F2FD1"/>
    <w:rsid w:val="002F3933"/>
    <w:rsid w:val="002F3FBD"/>
    <w:rsid w:val="002F4D4D"/>
    <w:rsid w:val="002F5AC3"/>
    <w:rsid w:val="00300A30"/>
    <w:rsid w:val="003020C9"/>
    <w:rsid w:val="003036FC"/>
    <w:rsid w:val="0030426E"/>
    <w:rsid w:val="003054B5"/>
    <w:rsid w:val="00307DCB"/>
    <w:rsid w:val="003103FA"/>
    <w:rsid w:val="00321FCC"/>
    <w:rsid w:val="0032268A"/>
    <w:rsid w:val="00326373"/>
    <w:rsid w:val="00330630"/>
    <w:rsid w:val="003400C2"/>
    <w:rsid w:val="00340CEE"/>
    <w:rsid w:val="0034283B"/>
    <w:rsid w:val="0034286A"/>
    <w:rsid w:val="003455B0"/>
    <w:rsid w:val="00355812"/>
    <w:rsid w:val="00365007"/>
    <w:rsid w:val="00370177"/>
    <w:rsid w:val="00372273"/>
    <w:rsid w:val="00372FE2"/>
    <w:rsid w:val="00375AFF"/>
    <w:rsid w:val="0037647C"/>
    <w:rsid w:val="003804AF"/>
    <w:rsid w:val="00386148"/>
    <w:rsid w:val="00386A9F"/>
    <w:rsid w:val="003958C7"/>
    <w:rsid w:val="003A1F8B"/>
    <w:rsid w:val="003A2274"/>
    <w:rsid w:val="003A3F68"/>
    <w:rsid w:val="003A7C60"/>
    <w:rsid w:val="003B32E7"/>
    <w:rsid w:val="003B6928"/>
    <w:rsid w:val="003C006B"/>
    <w:rsid w:val="003C1D09"/>
    <w:rsid w:val="003C227E"/>
    <w:rsid w:val="003C5C5F"/>
    <w:rsid w:val="003E189E"/>
    <w:rsid w:val="003E2494"/>
    <w:rsid w:val="003F0CF2"/>
    <w:rsid w:val="003F168B"/>
    <w:rsid w:val="003F190F"/>
    <w:rsid w:val="003F4194"/>
    <w:rsid w:val="003F51DD"/>
    <w:rsid w:val="003F6587"/>
    <w:rsid w:val="0040020A"/>
    <w:rsid w:val="00404D2A"/>
    <w:rsid w:val="00405187"/>
    <w:rsid w:val="00405397"/>
    <w:rsid w:val="0041347A"/>
    <w:rsid w:val="00420B77"/>
    <w:rsid w:val="00421F81"/>
    <w:rsid w:val="00422092"/>
    <w:rsid w:val="004228C0"/>
    <w:rsid w:val="00425912"/>
    <w:rsid w:val="004310E9"/>
    <w:rsid w:val="0043388F"/>
    <w:rsid w:val="00433B30"/>
    <w:rsid w:val="00434479"/>
    <w:rsid w:val="00436CAD"/>
    <w:rsid w:val="00436EC0"/>
    <w:rsid w:val="00437D13"/>
    <w:rsid w:val="0044125E"/>
    <w:rsid w:val="004440E4"/>
    <w:rsid w:val="0044754C"/>
    <w:rsid w:val="00454D0B"/>
    <w:rsid w:val="00457B2B"/>
    <w:rsid w:val="00463598"/>
    <w:rsid w:val="004643F7"/>
    <w:rsid w:val="00464E21"/>
    <w:rsid w:val="004701F2"/>
    <w:rsid w:val="00470D1B"/>
    <w:rsid w:val="00470FF2"/>
    <w:rsid w:val="00472283"/>
    <w:rsid w:val="004723CF"/>
    <w:rsid w:val="00475461"/>
    <w:rsid w:val="0047585D"/>
    <w:rsid w:val="00475FC1"/>
    <w:rsid w:val="004773C4"/>
    <w:rsid w:val="00477814"/>
    <w:rsid w:val="00477EC4"/>
    <w:rsid w:val="00484B3C"/>
    <w:rsid w:val="0048655A"/>
    <w:rsid w:val="00486FBC"/>
    <w:rsid w:val="00487F7D"/>
    <w:rsid w:val="00490F46"/>
    <w:rsid w:val="00496688"/>
    <w:rsid w:val="004A01CC"/>
    <w:rsid w:val="004A14D6"/>
    <w:rsid w:val="004A416B"/>
    <w:rsid w:val="004B473D"/>
    <w:rsid w:val="004C0748"/>
    <w:rsid w:val="004C0BE6"/>
    <w:rsid w:val="004C16F4"/>
    <w:rsid w:val="004C1887"/>
    <w:rsid w:val="004C44BE"/>
    <w:rsid w:val="004C682B"/>
    <w:rsid w:val="004D1555"/>
    <w:rsid w:val="004D3FB6"/>
    <w:rsid w:val="004D4C17"/>
    <w:rsid w:val="004D6254"/>
    <w:rsid w:val="004D664D"/>
    <w:rsid w:val="004E323F"/>
    <w:rsid w:val="004E3DC4"/>
    <w:rsid w:val="004E6937"/>
    <w:rsid w:val="004F42C2"/>
    <w:rsid w:val="004F5E7B"/>
    <w:rsid w:val="004F7417"/>
    <w:rsid w:val="0050029E"/>
    <w:rsid w:val="00504D61"/>
    <w:rsid w:val="00506301"/>
    <w:rsid w:val="00507E34"/>
    <w:rsid w:val="00510071"/>
    <w:rsid w:val="0051121F"/>
    <w:rsid w:val="00512D2D"/>
    <w:rsid w:val="00513F0E"/>
    <w:rsid w:val="00514015"/>
    <w:rsid w:val="00523774"/>
    <w:rsid w:val="005272E5"/>
    <w:rsid w:val="005318A5"/>
    <w:rsid w:val="00537A97"/>
    <w:rsid w:val="005430C5"/>
    <w:rsid w:val="00543F6F"/>
    <w:rsid w:val="0054418F"/>
    <w:rsid w:val="005442CD"/>
    <w:rsid w:val="00546181"/>
    <w:rsid w:val="00553198"/>
    <w:rsid w:val="00557CAB"/>
    <w:rsid w:val="005601BD"/>
    <w:rsid w:val="00570B14"/>
    <w:rsid w:val="00571E3E"/>
    <w:rsid w:val="00572937"/>
    <w:rsid w:val="00572E51"/>
    <w:rsid w:val="005764A2"/>
    <w:rsid w:val="00576FA6"/>
    <w:rsid w:val="00581963"/>
    <w:rsid w:val="00583913"/>
    <w:rsid w:val="0058635A"/>
    <w:rsid w:val="00586500"/>
    <w:rsid w:val="00597E75"/>
    <w:rsid w:val="005A2828"/>
    <w:rsid w:val="005A6D4C"/>
    <w:rsid w:val="005B0D17"/>
    <w:rsid w:val="005B1257"/>
    <w:rsid w:val="005B169C"/>
    <w:rsid w:val="005C0F6F"/>
    <w:rsid w:val="005C1F3D"/>
    <w:rsid w:val="005C31CC"/>
    <w:rsid w:val="005C49F3"/>
    <w:rsid w:val="005C4D11"/>
    <w:rsid w:val="005C634C"/>
    <w:rsid w:val="005D00E0"/>
    <w:rsid w:val="005D09C8"/>
    <w:rsid w:val="005D54AE"/>
    <w:rsid w:val="005D69C6"/>
    <w:rsid w:val="005D7598"/>
    <w:rsid w:val="005E4FE0"/>
    <w:rsid w:val="005E7F8B"/>
    <w:rsid w:val="005F500A"/>
    <w:rsid w:val="005F5CA8"/>
    <w:rsid w:val="005F7503"/>
    <w:rsid w:val="0060175E"/>
    <w:rsid w:val="00601A09"/>
    <w:rsid w:val="00602271"/>
    <w:rsid w:val="00604D5D"/>
    <w:rsid w:val="00610BC1"/>
    <w:rsid w:val="00612D71"/>
    <w:rsid w:val="00612DCD"/>
    <w:rsid w:val="00613433"/>
    <w:rsid w:val="00615127"/>
    <w:rsid w:val="006218A9"/>
    <w:rsid w:val="00622F1D"/>
    <w:rsid w:val="00624CE1"/>
    <w:rsid w:val="006326F0"/>
    <w:rsid w:val="00637144"/>
    <w:rsid w:val="00644268"/>
    <w:rsid w:val="00644840"/>
    <w:rsid w:val="006472B9"/>
    <w:rsid w:val="00651FE0"/>
    <w:rsid w:val="0065355D"/>
    <w:rsid w:val="006537D4"/>
    <w:rsid w:val="00653E57"/>
    <w:rsid w:val="00661DDD"/>
    <w:rsid w:val="00662917"/>
    <w:rsid w:val="00664F48"/>
    <w:rsid w:val="006662F3"/>
    <w:rsid w:val="00670D07"/>
    <w:rsid w:val="00671C2B"/>
    <w:rsid w:val="00683BED"/>
    <w:rsid w:val="00683C1D"/>
    <w:rsid w:val="0068581E"/>
    <w:rsid w:val="00687602"/>
    <w:rsid w:val="00690C16"/>
    <w:rsid w:val="0069121A"/>
    <w:rsid w:val="00692F26"/>
    <w:rsid w:val="0069770C"/>
    <w:rsid w:val="006A6687"/>
    <w:rsid w:val="006B0E59"/>
    <w:rsid w:val="006B2F57"/>
    <w:rsid w:val="006B3BC8"/>
    <w:rsid w:val="006B537B"/>
    <w:rsid w:val="006B5D4B"/>
    <w:rsid w:val="006B630C"/>
    <w:rsid w:val="006C521D"/>
    <w:rsid w:val="006E0CBD"/>
    <w:rsid w:val="006E169B"/>
    <w:rsid w:val="006E5F00"/>
    <w:rsid w:val="006E69BE"/>
    <w:rsid w:val="006F2BF9"/>
    <w:rsid w:val="006F30B6"/>
    <w:rsid w:val="006F3EB6"/>
    <w:rsid w:val="00706E89"/>
    <w:rsid w:val="00707993"/>
    <w:rsid w:val="0071477F"/>
    <w:rsid w:val="00714DC0"/>
    <w:rsid w:val="007206EF"/>
    <w:rsid w:val="00722A69"/>
    <w:rsid w:val="007257E1"/>
    <w:rsid w:val="00727430"/>
    <w:rsid w:val="007306B7"/>
    <w:rsid w:val="00732CAF"/>
    <w:rsid w:val="00737DDC"/>
    <w:rsid w:val="00737EB3"/>
    <w:rsid w:val="00741757"/>
    <w:rsid w:val="00746BB5"/>
    <w:rsid w:val="00746BDF"/>
    <w:rsid w:val="00751BF6"/>
    <w:rsid w:val="00753E07"/>
    <w:rsid w:val="00756A63"/>
    <w:rsid w:val="00760F1C"/>
    <w:rsid w:val="007636D5"/>
    <w:rsid w:val="0076480A"/>
    <w:rsid w:val="00770CAC"/>
    <w:rsid w:val="0077228A"/>
    <w:rsid w:val="00773AF3"/>
    <w:rsid w:val="007748CB"/>
    <w:rsid w:val="007758C1"/>
    <w:rsid w:val="00782806"/>
    <w:rsid w:val="0078301F"/>
    <w:rsid w:val="00783877"/>
    <w:rsid w:val="00790B6E"/>
    <w:rsid w:val="00795509"/>
    <w:rsid w:val="007A200C"/>
    <w:rsid w:val="007A335C"/>
    <w:rsid w:val="007A33BE"/>
    <w:rsid w:val="007A3FB9"/>
    <w:rsid w:val="007B2772"/>
    <w:rsid w:val="007B477A"/>
    <w:rsid w:val="007B6868"/>
    <w:rsid w:val="007B7F46"/>
    <w:rsid w:val="007C1A8F"/>
    <w:rsid w:val="007C399C"/>
    <w:rsid w:val="007C4E3A"/>
    <w:rsid w:val="007C7ED1"/>
    <w:rsid w:val="007D4EE0"/>
    <w:rsid w:val="007D6C15"/>
    <w:rsid w:val="007E2855"/>
    <w:rsid w:val="007E4B94"/>
    <w:rsid w:val="007E592C"/>
    <w:rsid w:val="007F038A"/>
    <w:rsid w:val="007F36FA"/>
    <w:rsid w:val="007F39FE"/>
    <w:rsid w:val="007F5447"/>
    <w:rsid w:val="00801355"/>
    <w:rsid w:val="00810BEE"/>
    <w:rsid w:val="00813861"/>
    <w:rsid w:val="00820C8E"/>
    <w:rsid w:val="008221F2"/>
    <w:rsid w:val="00826662"/>
    <w:rsid w:val="00833483"/>
    <w:rsid w:val="00834CDF"/>
    <w:rsid w:val="00836BB9"/>
    <w:rsid w:val="00842495"/>
    <w:rsid w:val="00846417"/>
    <w:rsid w:val="00850D41"/>
    <w:rsid w:val="008532B0"/>
    <w:rsid w:val="0085337D"/>
    <w:rsid w:val="008561D1"/>
    <w:rsid w:val="00860BD0"/>
    <w:rsid w:val="00861AC8"/>
    <w:rsid w:val="008624C0"/>
    <w:rsid w:val="008657E7"/>
    <w:rsid w:val="008662B5"/>
    <w:rsid w:val="0086697E"/>
    <w:rsid w:val="00866AED"/>
    <w:rsid w:val="00871DB5"/>
    <w:rsid w:val="00873884"/>
    <w:rsid w:val="00876466"/>
    <w:rsid w:val="00880300"/>
    <w:rsid w:val="00884A5D"/>
    <w:rsid w:val="00885B88"/>
    <w:rsid w:val="0088786A"/>
    <w:rsid w:val="008945C6"/>
    <w:rsid w:val="008945D4"/>
    <w:rsid w:val="00894C93"/>
    <w:rsid w:val="00894DF8"/>
    <w:rsid w:val="0089614A"/>
    <w:rsid w:val="00896723"/>
    <w:rsid w:val="008A0021"/>
    <w:rsid w:val="008A1598"/>
    <w:rsid w:val="008A1A12"/>
    <w:rsid w:val="008B041F"/>
    <w:rsid w:val="008B67F7"/>
    <w:rsid w:val="008C3435"/>
    <w:rsid w:val="008C5339"/>
    <w:rsid w:val="008C6074"/>
    <w:rsid w:val="008C6F16"/>
    <w:rsid w:val="008D0247"/>
    <w:rsid w:val="008D2A6C"/>
    <w:rsid w:val="008D44DB"/>
    <w:rsid w:val="008D49D2"/>
    <w:rsid w:val="008E22D1"/>
    <w:rsid w:val="008E34AB"/>
    <w:rsid w:val="008E3B1D"/>
    <w:rsid w:val="008E3DCD"/>
    <w:rsid w:val="008F2559"/>
    <w:rsid w:val="008F3457"/>
    <w:rsid w:val="00900676"/>
    <w:rsid w:val="00901B6F"/>
    <w:rsid w:val="00901EE2"/>
    <w:rsid w:val="009045B5"/>
    <w:rsid w:val="009063BC"/>
    <w:rsid w:val="0091139B"/>
    <w:rsid w:val="00912A27"/>
    <w:rsid w:val="00912C5C"/>
    <w:rsid w:val="00912E2F"/>
    <w:rsid w:val="0091438C"/>
    <w:rsid w:val="00914ADB"/>
    <w:rsid w:val="009152F3"/>
    <w:rsid w:val="009159A1"/>
    <w:rsid w:val="0091795C"/>
    <w:rsid w:val="00922A2C"/>
    <w:rsid w:val="00923ECB"/>
    <w:rsid w:val="00925FCD"/>
    <w:rsid w:val="00926548"/>
    <w:rsid w:val="0093385E"/>
    <w:rsid w:val="00940B13"/>
    <w:rsid w:val="009427EA"/>
    <w:rsid w:val="00943414"/>
    <w:rsid w:val="0094523D"/>
    <w:rsid w:val="00957601"/>
    <w:rsid w:val="00961D09"/>
    <w:rsid w:val="009629E8"/>
    <w:rsid w:val="00964679"/>
    <w:rsid w:val="00966FE6"/>
    <w:rsid w:val="00971862"/>
    <w:rsid w:val="00975C56"/>
    <w:rsid w:val="00980BAA"/>
    <w:rsid w:val="0098189B"/>
    <w:rsid w:val="00982155"/>
    <w:rsid w:val="009833B6"/>
    <w:rsid w:val="009926EB"/>
    <w:rsid w:val="00992AC1"/>
    <w:rsid w:val="00994A42"/>
    <w:rsid w:val="00996FA6"/>
    <w:rsid w:val="009A321B"/>
    <w:rsid w:val="009A4C3E"/>
    <w:rsid w:val="009A4EB5"/>
    <w:rsid w:val="009A5153"/>
    <w:rsid w:val="009A6143"/>
    <w:rsid w:val="009A62B5"/>
    <w:rsid w:val="009A70E9"/>
    <w:rsid w:val="009A7795"/>
    <w:rsid w:val="009B3E1F"/>
    <w:rsid w:val="009B595B"/>
    <w:rsid w:val="009C09B9"/>
    <w:rsid w:val="009C5C5C"/>
    <w:rsid w:val="009D22B0"/>
    <w:rsid w:val="009D3742"/>
    <w:rsid w:val="009D4877"/>
    <w:rsid w:val="009D533C"/>
    <w:rsid w:val="009E174D"/>
    <w:rsid w:val="009E1E6B"/>
    <w:rsid w:val="009E4B5B"/>
    <w:rsid w:val="009F3786"/>
    <w:rsid w:val="009F436D"/>
    <w:rsid w:val="009F6C1F"/>
    <w:rsid w:val="00A00B08"/>
    <w:rsid w:val="00A035F0"/>
    <w:rsid w:val="00A04452"/>
    <w:rsid w:val="00A05347"/>
    <w:rsid w:val="00A06715"/>
    <w:rsid w:val="00A07F9E"/>
    <w:rsid w:val="00A11673"/>
    <w:rsid w:val="00A121D8"/>
    <w:rsid w:val="00A148B7"/>
    <w:rsid w:val="00A153B8"/>
    <w:rsid w:val="00A1680C"/>
    <w:rsid w:val="00A17138"/>
    <w:rsid w:val="00A246AE"/>
    <w:rsid w:val="00A275EE"/>
    <w:rsid w:val="00A302A9"/>
    <w:rsid w:val="00A311BE"/>
    <w:rsid w:val="00A32C7E"/>
    <w:rsid w:val="00A347AD"/>
    <w:rsid w:val="00A51474"/>
    <w:rsid w:val="00A528CD"/>
    <w:rsid w:val="00A57580"/>
    <w:rsid w:val="00A605DC"/>
    <w:rsid w:val="00A62083"/>
    <w:rsid w:val="00A6270C"/>
    <w:rsid w:val="00A714CD"/>
    <w:rsid w:val="00A715CB"/>
    <w:rsid w:val="00A74C4B"/>
    <w:rsid w:val="00A766C2"/>
    <w:rsid w:val="00A80BB0"/>
    <w:rsid w:val="00A93E1E"/>
    <w:rsid w:val="00A94649"/>
    <w:rsid w:val="00A96435"/>
    <w:rsid w:val="00A97456"/>
    <w:rsid w:val="00AA3001"/>
    <w:rsid w:val="00AA57D6"/>
    <w:rsid w:val="00AB1C6E"/>
    <w:rsid w:val="00AB1CE9"/>
    <w:rsid w:val="00AB22BE"/>
    <w:rsid w:val="00AB2B53"/>
    <w:rsid w:val="00AB4B27"/>
    <w:rsid w:val="00AB660A"/>
    <w:rsid w:val="00AB7394"/>
    <w:rsid w:val="00AB7C2B"/>
    <w:rsid w:val="00AC2406"/>
    <w:rsid w:val="00AC2639"/>
    <w:rsid w:val="00AC29A8"/>
    <w:rsid w:val="00AC7128"/>
    <w:rsid w:val="00AD2EA2"/>
    <w:rsid w:val="00AD6323"/>
    <w:rsid w:val="00AD69AF"/>
    <w:rsid w:val="00AD722A"/>
    <w:rsid w:val="00AD7511"/>
    <w:rsid w:val="00AE1EBD"/>
    <w:rsid w:val="00AE2914"/>
    <w:rsid w:val="00AE4ECD"/>
    <w:rsid w:val="00AF1533"/>
    <w:rsid w:val="00AF26BF"/>
    <w:rsid w:val="00AF26E9"/>
    <w:rsid w:val="00AF3889"/>
    <w:rsid w:val="00AF4D03"/>
    <w:rsid w:val="00AF6CE1"/>
    <w:rsid w:val="00B00985"/>
    <w:rsid w:val="00B03499"/>
    <w:rsid w:val="00B03512"/>
    <w:rsid w:val="00B04CDB"/>
    <w:rsid w:val="00B0666D"/>
    <w:rsid w:val="00B139A7"/>
    <w:rsid w:val="00B15564"/>
    <w:rsid w:val="00B15A5E"/>
    <w:rsid w:val="00B17981"/>
    <w:rsid w:val="00B21FA3"/>
    <w:rsid w:val="00B2394A"/>
    <w:rsid w:val="00B25599"/>
    <w:rsid w:val="00B3203A"/>
    <w:rsid w:val="00B36669"/>
    <w:rsid w:val="00B3729A"/>
    <w:rsid w:val="00B40134"/>
    <w:rsid w:val="00B40298"/>
    <w:rsid w:val="00B41161"/>
    <w:rsid w:val="00B41428"/>
    <w:rsid w:val="00B438E9"/>
    <w:rsid w:val="00B43CAF"/>
    <w:rsid w:val="00B45BF4"/>
    <w:rsid w:val="00B46FFD"/>
    <w:rsid w:val="00B474EC"/>
    <w:rsid w:val="00B50D5D"/>
    <w:rsid w:val="00B511F2"/>
    <w:rsid w:val="00B56015"/>
    <w:rsid w:val="00B61B7C"/>
    <w:rsid w:val="00B66582"/>
    <w:rsid w:val="00B6770E"/>
    <w:rsid w:val="00B718CA"/>
    <w:rsid w:val="00B72E6F"/>
    <w:rsid w:val="00B7552E"/>
    <w:rsid w:val="00B8385C"/>
    <w:rsid w:val="00B85538"/>
    <w:rsid w:val="00B979BD"/>
    <w:rsid w:val="00BA0BD7"/>
    <w:rsid w:val="00BA1FC0"/>
    <w:rsid w:val="00BA2503"/>
    <w:rsid w:val="00BA4727"/>
    <w:rsid w:val="00BB575A"/>
    <w:rsid w:val="00BB5F24"/>
    <w:rsid w:val="00BB60EC"/>
    <w:rsid w:val="00BB7007"/>
    <w:rsid w:val="00BB7BC3"/>
    <w:rsid w:val="00BC33BF"/>
    <w:rsid w:val="00BC424F"/>
    <w:rsid w:val="00BC4409"/>
    <w:rsid w:val="00BC6E73"/>
    <w:rsid w:val="00BD1697"/>
    <w:rsid w:val="00BE46E2"/>
    <w:rsid w:val="00BF3B52"/>
    <w:rsid w:val="00BF512A"/>
    <w:rsid w:val="00BF5329"/>
    <w:rsid w:val="00BF6602"/>
    <w:rsid w:val="00BF7BDD"/>
    <w:rsid w:val="00C029E0"/>
    <w:rsid w:val="00C11DCE"/>
    <w:rsid w:val="00C127D5"/>
    <w:rsid w:val="00C141F4"/>
    <w:rsid w:val="00C15D44"/>
    <w:rsid w:val="00C16087"/>
    <w:rsid w:val="00C17B40"/>
    <w:rsid w:val="00C21412"/>
    <w:rsid w:val="00C27CFC"/>
    <w:rsid w:val="00C3298A"/>
    <w:rsid w:val="00C33763"/>
    <w:rsid w:val="00C359E7"/>
    <w:rsid w:val="00C4257E"/>
    <w:rsid w:val="00C42DAC"/>
    <w:rsid w:val="00C447EA"/>
    <w:rsid w:val="00C4484C"/>
    <w:rsid w:val="00C476ED"/>
    <w:rsid w:val="00C55938"/>
    <w:rsid w:val="00C61A9E"/>
    <w:rsid w:val="00C61D34"/>
    <w:rsid w:val="00C80F84"/>
    <w:rsid w:val="00C816F4"/>
    <w:rsid w:val="00C83033"/>
    <w:rsid w:val="00C83982"/>
    <w:rsid w:val="00C92655"/>
    <w:rsid w:val="00C969F5"/>
    <w:rsid w:val="00C975E6"/>
    <w:rsid w:val="00CA08DD"/>
    <w:rsid w:val="00CA1B38"/>
    <w:rsid w:val="00CA39A7"/>
    <w:rsid w:val="00CB0D20"/>
    <w:rsid w:val="00CC07BC"/>
    <w:rsid w:val="00CC3ABC"/>
    <w:rsid w:val="00CC51EB"/>
    <w:rsid w:val="00CD0AFF"/>
    <w:rsid w:val="00CD0BA3"/>
    <w:rsid w:val="00CD4A8C"/>
    <w:rsid w:val="00CD7329"/>
    <w:rsid w:val="00CE25D0"/>
    <w:rsid w:val="00CF275C"/>
    <w:rsid w:val="00CF48D8"/>
    <w:rsid w:val="00D01238"/>
    <w:rsid w:val="00D015D1"/>
    <w:rsid w:val="00D027B1"/>
    <w:rsid w:val="00D0300A"/>
    <w:rsid w:val="00D04108"/>
    <w:rsid w:val="00D11A7F"/>
    <w:rsid w:val="00D16809"/>
    <w:rsid w:val="00D16AD6"/>
    <w:rsid w:val="00D2103E"/>
    <w:rsid w:val="00D24C2D"/>
    <w:rsid w:val="00D2524F"/>
    <w:rsid w:val="00D305E0"/>
    <w:rsid w:val="00D30CF4"/>
    <w:rsid w:val="00D40B69"/>
    <w:rsid w:val="00D4561C"/>
    <w:rsid w:val="00D464A3"/>
    <w:rsid w:val="00D506B7"/>
    <w:rsid w:val="00D529DC"/>
    <w:rsid w:val="00D54E86"/>
    <w:rsid w:val="00D568F5"/>
    <w:rsid w:val="00D571EE"/>
    <w:rsid w:val="00D57D95"/>
    <w:rsid w:val="00D624C2"/>
    <w:rsid w:val="00D72A3A"/>
    <w:rsid w:val="00D77B4A"/>
    <w:rsid w:val="00D80F69"/>
    <w:rsid w:val="00D81FB4"/>
    <w:rsid w:val="00D874D5"/>
    <w:rsid w:val="00D916B0"/>
    <w:rsid w:val="00D9232A"/>
    <w:rsid w:val="00D93220"/>
    <w:rsid w:val="00D972D0"/>
    <w:rsid w:val="00DA16CB"/>
    <w:rsid w:val="00DA43AF"/>
    <w:rsid w:val="00DA5044"/>
    <w:rsid w:val="00DA6AF8"/>
    <w:rsid w:val="00DA6B2B"/>
    <w:rsid w:val="00DB2E5D"/>
    <w:rsid w:val="00DB43C7"/>
    <w:rsid w:val="00DB5B3C"/>
    <w:rsid w:val="00DC083A"/>
    <w:rsid w:val="00DC6F89"/>
    <w:rsid w:val="00DC7651"/>
    <w:rsid w:val="00DC769C"/>
    <w:rsid w:val="00DD575F"/>
    <w:rsid w:val="00DE0268"/>
    <w:rsid w:val="00DE0FEC"/>
    <w:rsid w:val="00DE7F3D"/>
    <w:rsid w:val="00DF4A68"/>
    <w:rsid w:val="00DF5258"/>
    <w:rsid w:val="00DF5464"/>
    <w:rsid w:val="00DF6E22"/>
    <w:rsid w:val="00DF70A9"/>
    <w:rsid w:val="00E066C9"/>
    <w:rsid w:val="00E10C28"/>
    <w:rsid w:val="00E12CF0"/>
    <w:rsid w:val="00E20AA2"/>
    <w:rsid w:val="00E25F7E"/>
    <w:rsid w:val="00E267F2"/>
    <w:rsid w:val="00E33BA0"/>
    <w:rsid w:val="00E37D34"/>
    <w:rsid w:val="00E414F6"/>
    <w:rsid w:val="00E431D7"/>
    <w:rsid w:val="00E43E22"/>
    <w:rsid w:val="00E44E3D"/>
    <w:rsid w:val="00E5241E"/>
    <w:rsid w:val="00E57B8B"/>
    <w:rsid w:val="00E704F2"/>
    <w:rsid w:val="00E7064B"/>
    <w:rsid w:val="00E7082A"/>
    <w:rsid w:val="00E71C77"/>
    <w:rsid w:val="00E77729"/>
    <w:rsid w:val="00E906DD"/>
    <w:rsid w:val="00E9190F"/>
    <w:rsid w:val="00E94560"/>
    <w:rsid w:val="00EA17A0"/>
    <w:rsid w:val="00EA2BF9"/>
    <w:rsid w:val="00EA6596"/>
    <w:rsid w:val="00EB0097"/>
    <w:rsid w:val="00EB0AAF"/>
    <w:rsid w:val="00EB393A"/>
    <w:rsid w:val="00EB506E"/>
    <w:rsid w:val="00EC3769"/>
    <w:rsid w:val="00ED003E"/>
    <w:rsid w:val="00ED00CC"/>
    <w:rsid w:val="00ED34D4"/>
    <w:rsid w:val="00ED759E"/>
    <w:rsid w:val="00ED79CA"/>
    <w:rsid w:val="00EE28E5"/>
    <w:rsid w:val="00EE3B4D"/>
    <w:rsid w:val="00EE40DE"/>
    <w:rsid w:val="00EE52B4"/>
    <w:rsid w:val="00EE5310"/>
    <w:rsid w:val="00EE7AAB"/>
    <w:rsid w:val="00EE7DEE"/>
    <w:rsid w:val="00EF2C41"/>
    <w:rsid w:val="00EF3A19"/>
    <w:rsid w:val="00EF3BFA"/>
    <w:rsid w:val="00F12640"/>
    <w:rsid w:val="00F20835"/>
    <w:rsid w:val="00F21510"/>
    <w:rsid w:val="00F21B49"/>
    <w:rsid w:val="00F25B0E"/>
    <w:rsid w:val="00F26C53"/>
    <w:rsid w:val="00F30A57"/>
    <w:rsid w:val="00F31C42"/>
    <w:rsid w:val="00F41B3E"/>
    <w:rsid w:val="00F426D0"/>
    <w:rsid w:val="00F42CDE"/>
    <w:rsid w:val="00F454FD"/>
    <w:rsid w:val="00F45BED"/>
    <w:rsid w:val="00F466C7"/>
    <w:rsid w:val="00F46D79"/>
    <w:rsid w:val="00F505EC"/>
    <w:rsid w:val="00F51286"/>
    <w:rsid w:val="00F51D68"/>
    <w:rsid w:val="00F54996"/>
    <w:rsid w:val="00F55A01"/>
    <w:rsid w:val="00F60420"/>
    <w:rsid w:val="00F61F8F"/>
    <w:rsid w:val="00F65C47"/>
    <w:rsid w:val="00F662B6"/>
    <w:rsid w:val="00F66A3E"/>
    <w:rsid w:val="00F67852"/>
    <w:rsid w:val="00F71409"/>
    <w:rsid w:val="00F73286"/>
    <w:rsid w:val="00F761FC"/>
    <w:rsid w:val="00F815FE"/>
    <w:rsid w:val="00F85768"/>
    <w:rsid w:val="00F86C9B"/>
    <w:rsid w:val="00F91247"/>
    <w:rsid w:val="00F91DD6"/>
    <w:rsid w:val="00F92CB7"/>
    <w:rsid w:val="00F935A0"/>
    <w:rsid w:val="00F93C90"/>
    <w:rsid w:val="00F94C4A"/>
    <w:rsid w:val="00F95455"/>
    <w:rsid w:val="00F96AE4"/>
    <w:rsid w:val="00FA300C"/>
    <w:rsid w:val="00FA3426"/>
    <w:rsid w:val="00FA3924"/>
    <w:rsid w:val="00FA587C"/>
    <w:rsid w:val="00FA5A71"/>
    <w:rsid w:val="00FA5F7C"/>
    <w:rsid w:val="00FA73DF"/>
    <w:rsid w:val="00FB133A"/>
    <w:rsid w:val="00FC0DAD"/>
    <w:rsid w:val="00FC18D0"/>
    <w:rsid w:val="00FC49C4"/>
    <w:rsid w:val="00FD0E0A"/>
    <w:rsid w:val="00FD4EE4"/>
    <w:rsid w:val="00FD5BC0"/>
    <w:rsid w:val="00FE25AC"/>
    <w:rsid w:val="00FE45BC"/>
    <w:rsid w:val="00FE482C"/>
    <w:rsid w:val="00FE49A2"/>
    <w:rsid w:val="00FE50B3"/>
    <w:rsid w:val="00FE669A"/>
    <w:rsid w:val="00FE6F5A"/>
    <w:rsid w:val="00FF1B5F"/>
    <w:rsid w:val="00FF2433"/>
    <w:rsid w:val="00FF2593"/>
    <w:rsid w:val="00FF2CED"/>
    <w:rsid w:val="00FF391C"/>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F3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a"/>
    <w:basedOn w:val="Normal"/>
    <w:link w:val="FootnoteTextChar3"/>
    <w:uiPriority w:val="99"/>
    <w:rsid w:val="009F3786"/>
    <w:pPr>
      <w:widowControl/>
      <w:spacing w:after="120"/>
    </w:pPr>
    <w:rPr>
      <w:sz w:val="20"/>
    </w:rPr>
  </w:style>
  <w:style w:type="character" w:styleId="FootnoteReference">
    <w:name w:val="footnote reference"/>
    <w:aliases w:val="Style 12,(NECG) Footnote Reference,Appel note de bas de p,Style 124,o,fr,Style 3,Style 13,Style 17,FR,Style 4,Footnote Reference/,Style 6"/>
    <w:basedOn w:val="DefaultParagraphFont"/>
    <w:uiPriority w:val="99"/>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1,Footnote Text Char1 Char Char1,Footnote Text Char Char Char Char,Footnote Text Char2 Char Char Char Char,Footnote Text Char1 Char1 Char Char Char Char,Footnote Text Char Char Char Char Char Char Char"/>
    <w:basedOn w:val="DefaultParagraphFont"/>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character" w:customStyle="1" w:styleId="FootnoteTextCharChar">
    <w:name w:val="Footnote Text Char Char"/>
    <w:aliases w:val="Footnote Text Char1 Char Char,Footnote Text Char Char1 Char Char,Footnote Text Char2 Char1 Char Char Char,Footnote Text Char Char1 Char Char Char1 Char,Footnote Text Char1 Char Char Char1 Char Char Char,Footnote Text Char1 Char1"/>
    <w:basedOn w:val="DefaultParagraphFont"/>
    <w:locked/>
    <w:rsid w:val="002B180C"/>
    <w:rPr>
      <w:lang w:val="en-US" w:eastAsia="en-US" w:bidi="ar-SA"/>
    </w:rPr>
  </w:style>
  <w:style w:type="character" w:styleId="CommentReference">
    <w:name w:val="annotation reference"/>
    <w:basedOn w:val="DefaultParagraphFont"/>
    <w:semiHidden/>
    <w:rsid w:val="00A74C4B"/>
    <w:rPr>
      <w:sz w:val="16"/>
      <w:szCs w:val="16"/>
    </w:rPr>
  </w:style>
  <w:style w:type="paragraph" w:styleId="CommentText">
    <w:name w:val="annotation text"/>
    <w:basedOn w:val="Normal"/>
    <w:semiHidden/>
    <w:rsid w:val="00A74C4B"/>
    <w:rPr>
      <w:sz w:val="20"/>
    </w:rPr>
  </w:style>
  <w:style w:type="paragraph" w:styleId="CommentSubject">
    <w:name w:val="annotation subject"/>
    <w:basedOn w:val="CommentText"/>
    <w:next w:val="CommentText"/>
    <w:semiHidden/>
    <w:rsid w:val="00A74C4B"/>
    <w:rPr>
      <w:b/>
      <w:bCs/>
    </w:rPr>
  </w:style>
  <w:style w:type="paragraph" w:styleId="ListParagraph">
    <w:name w:val="List Paragraph"/>
    <w:basedOn w:val="Normal"/>
    <w:uiPriority w:val="34"/>
    <w:qFormat/>
    <w:rsid w:val="002B54A9"/>
    <w:pPr>
      <w:ind w:left="720"/>
      <w:contextualSpacing/>
    </w:pPr>
  </w:style>
  <w:style w:type="character" w:customStyle="1" w:styleId="term1">
    <w:name w:val="term1"/>
    <w:basedOn w:val="DefaultParagraphFont"/>
    <w:rsid w:val="00DE7F3D"/>
    <w:rPr>
      <w:b/>
      <w:bCs/>
    </w:rPr>
  </w:style>
  <w:style w:type="character" w:customStyle="1" w:styleId="documentbody5">
    <w:name w:val="documentbody5"/>
    <w:rsid w:val="00DE7F3D"/>
    <w:rPr>
      <w:rFonts w:ascii="Verdana" w:hAnsi="Verdana" w:hint="default"/>
      <w:sz w:val="19"/>
      <w:szCs w:val="19"/>
    </w:rPr>
  </w:style>
  <w:style w:type="paragraph" w:customStyle="1" w:styleId="ParaNum">
    <w:name w:val="ParaNum"/>
    <w:basedOn w:val="Normal"/>
    <w:link w:val="ParaNumChar"/>
    <w:uiPriority w:val="99"/>
    <w:rsid w:val="0048655A"/>
    <w:pPr>
      <w:numPr>
        <w:numId w:val="2"/>
      </w:numPr>
      <w:tabs>
        <w:tab w:val="left" w:pos="1440"/>
      </w:tabs>
      <w:spacing w:after="220"/>
      <w:jc w:val="both"/>
    </w:pPr>
    <w:rPr>
      <w:kern w:val="28"/>
      <w:sz w:val="22"/>
    </w:rPr>
  </w:style>
  <w:style w:type="character" w:customStyle="1" w:styleId="ParaNumChar">
    <w:name w:val="ParaNum Char"/>
    <w:link w:val="ParaNum"/>
    <w:uiPriority w:val="99"/>
    <w:locked/>
    <w:rsid w:val="0048655A"/>
    <w:rPr>
      <w:snapToGrid w:val="0"/>
      <w:kern w:val="28"/>
      <w:sz w:val="22"/>
    </w:rPr>
  </w:style>
  <w:style w:type="character" w:styleId="Emphasis">
    <w:name w:val="Emphasis"/>
    <w:uiPriority w:val="20"/>
    <w:qFormat/>
    <w:rsid w:val="0048655A"/>
    <w:rPr>
      <w:rFonts w:cs="Times New Roman"/>
      <w:b/>
    </w:rPr>
  </w:style>
  <w:style w:type="character" w:customStyle="1" w:styleId="FooterChar">
    <w:name w:val="Footer Char"/>
    <w:basedOn w:val="DefaultParagraphFont"/>
    <w:link w:val="Footer"/>
    <w:rsid w:val="00C42DAC"/>
    <w:rPr>
      <w:snapToGrid w:val="0"/>
      <w:sz w:val="24"/>
    </w:rPr>
  </w:style>
  <w:style w:type="character" w:customStyle="1" w:styleId="apple-converted-space">
    <w:name w:val="apple-converted-space"/>
    <w:basedOn w:val="DefaultParagraphFont"/>
    <w:rsid w:val="00CE25D0"/>
  </w:style>
  <w:style w:type="character" w:customStyle="1" w:styleId="searchterm">
    <w:name w:val="searchterm"/>
    <w:basedOn w:val="DefaultParagraphFont"/>
    <w:rsid w:val="00CE25D0"/>
  </w:style>
  <w:style w:type="character" w:styleId="Hyperlink">
    <w:name w:val="Hyperlink"/>
    <w:basedOn w:val="DefaultParagraphFont"/>
    <w:uiPriority w:val="99"/>
    <w:unhideWhenUsed/>
    <w:rsid w:val="00CE25D0"/>
    <w:rPr>
      <w:color w:val="0000FF"/>
      <w:u w:val="single"/>
    </w:rPr>
  </w:style>
  <w:style w:type="character" w:customStyle="1" w:styleId="cosearchterm">
    <w:name w:val="co_searchterm"/>
    <w:basedOn w:val="DefaultParagraphFont"/>
    <w:rsid w:val="0003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a"/>
    <w:basedOn w:val="Normal"/>
    <w:link w:val="FootnoteTextChar3"/>
    <w:uiPriority w:val="99"/>
    <w:rsid w:val="009F3786"/>
    <w:pPr>
      <w:widowControl/>
      <w:spacing w:after="120"/>
    </w:pPr>
    <w:rPr>
      <w:sz w:val="20"/>
    </w:rPr>
  </w:style>
  <w:style w:type="character" w:styleId="FootnoteReference">
    <w:name w:val="footnote reference"/>
    <w:aliases w:val="Style 12,(NECG) Footnote Reference,Appel note de bas de p,Style 124,o,fr,Style 3,Style 13,Style 17,FR,Style 4,Footnote Reference/,Style 6"/>
    <w:basedOn w:val="DefaultParagraphFont"/>
    <w:uiPriority w:val="99"/>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1,Footnote Text Char1 Char Char1,Footnote Text Char Char Char Char,Footnote Text Char2 Char Char Char Char,Footnote Text Char1 Char1 Char Char Char Char,Footnote Text Char Char Char Char Char Char Char"/>
    <w:basedOn w:val="DefaultParagraphFont"/>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character" w:customStyle="1" w:styleId="FootnoteTextCharChar">
    <w:name w:val="Footnote Text Char Char"/>
    <w:aliases w:val="Footnote Text Char1 Char Char,Footnote Text Char Char1 Char Char,Footnote Text Char2 Char1 Char Char Char,Footnote Text Char Char1 Char Char Char1 Char,Footnote Text Char1 Char Char Char1 Char Char Char,Footnote Text Char1 Char1"/>
    <w:basedOn w:val="DefaultParagraphFont"/>
    <w:locked/>
    <w:rsid w:val="002B180C"/>
    <w:rPr>
      <w:lang w:val="en-US" w:eastAsia="en-US" w:bidi="ar-SA"/>
    </w:rPr>
  </w:style>
  <w:style w:type="character" w:styleId="CommentReference">
    <w:name w:val="annotation reference"/>
    <w:basedOn w:val="DefaultParagraphFont"/>
    <w:semiHidden/>
    <w:rsid w:val="00A74C4B"/>
    <w:rPr>
      <w:sz w:val="16"/>
      <w:szCs w:val="16"/>
    </w:rPr>
  </w:style>
  <w:style w:type="paragraph" w:styleId="CommentText">
    <w:name w:val="annotation text"/>
    <w:basedOn w:val="Normal"/>
    <w:semiHidden/>
    <w:rsid w:val="00A74C4B"/>
    <w:rPr>
      <w:sz w:val="20"/>
    </w:rPr>
  </w:style>
  <w:style w:type="paragraph" w:styleId="CommentSubject">
    <w:name w:val="annotation subject"/>
    <w:basedOn w:val="CommentText"/>
    <w:next w:val="CommentText"/>
    <w:semiHidden/>
    <w:rsid w:val="00A74C4B"/>
    <w:rPr>
      <w:b/>
      <w:bCs/>
    </w:rPr>
  </w:style>
  <w:style w:type="paragraph" w:styleId="ListParagraph">
    <w:name w:val="List Paragraph"/>
    <w:basedOn w:val="Normal"/>
    <w:uiPriority w:val="34"/>
    <w:qFormat/>
    <w:rsid w:val="002B54A9"/>
    <w:pPr>
      <w:ind w:left="720"/>
      <w:contextualSpacing/>
    </w:pPr>
  </w:style>
  <w:style w:type="character" w:customStyle="1" w:styleId="term1">
    <w:name w:val="term1"/>
    <w:basedOn w:val="DefaultParagraphFont"/>
    <w:rsid w:val="00DE7F3D"/>
    <w:rPr>
      <w:b/>
      <w:bCs/>
    </w:rPr>
  </w:style>
  <w:style w:type="character" w:customStyle="1" w:styleId="documentbody5">
    <w:name w:val="documentbody5"/>
    <w:rsid w:val="00DE7F3D"/>
    <w:rPr>
      <w:rFonts w:ascii="Verdana" w:hAnsi="Verdana" w:hint="default"/>
      <w:sz w:val="19"/>
      <w:szCs w:val="19"/>
    </w:rPr>
  </w:style>
  <w:style w:type="paragraph" w:customStyle="1" w:styleId="ParaNum">
    <w:name w:val="ParaNum"/>
    <w:basedOn w:val="Normal"/>
    <w:link w:val="ParaNumChar"/>
    <w:uiPriority w:val="99"/>
    <w:rsid w:val="0048655A"/>
    <w:pPr>
      <w:numPr>
        <w:numId w:val="2"/>
      </w:numPr>
      <w:tabs>
        <w:tab w:val="left" w:pos="1440"/>
      </w:tabs>
      <w:spacing w:after="220"/>
      <w:jc w:val="both"/>
    </w:pPr>
    <w:rPr>
      <w:kern w:val="28"/>
      <w:sz w:val="22"/>
    </w:rPr>
  </w:style>
  <w:style w:type="character" w:customStyle="1" w:styleId="ParaNumChar">
    <w:name w:val="ParaNum Char"/>
    <w:link w:val="ParaNum"/>
    <w:uiPriority w:val="99"/>
    <w:locked/>
    <w:rsid w:val="0048655A"/>
    <w:rPr>
      <w:snapToGrid w:val="0"/>
      <w:kern w:val="28"/>
      <w:sz w:val="22"/>
    </w:rPr>
  </w:style>
  <w:style w:type="character" w:styleId="Emphasis">
    <w:name w:val="Emphasis"/>
    <w:uiPriority w:val="20"/>
    <w:qFormat/>
    <w:rsid w:val="0048655A"/>
    <w:rPr>
      <w:rFonts w:cs="Times New Roman"/>
      <w:b/>
    </w:rPr>
  </w:style>
  <w:style w:type="character" w:customStyle="1" w:styleId="FooterChar">
    <w:name w:val="Footer Char"/>
    <w:basedOn w:val="DefaultParagraphFont"/>
    <w:link w:val="Footer"/>
    <w:rsid w:val="00C42DAC"/>
    <w:rPr>
      <w:snapToGrid w:val="0"/>
      <w:sz w:val="24"/>
    </w:rPr>
  </w:style>
  <w:style w:type="character" w:customStyle="1" w:styleId="apple-converted-space">
    <w:name w:val="apple-converted-space"/>
    <w:basedOn w:val="DefaultParagraphFont"/>
    <w:rsid w:val="00CE25D0"/>
  </w:style>
  <w:style w:type="character" w:customStyle="1" w:styleId="searchterm">
    <w:name w:val="searchterm"/>
    <w:basedOn w:val="DefaultParagraphFont"/>
    <w:rsid w:val="00CE25D0"/>
  </w:style>
  <w:style w:type="character" w:styleId="Hyperlink">
    <w:name w:val="Hyperlink"/>
    <w:basedOn w:val="DefaultParagraphFont"/>
    <w:uiPriority w:val="99"/>
    <w:unhideWhenUsed/>
    <w:rsid w:val="00CE25D0"/>
    <w:rPr>
      <w:color w:val="0000FF"/>
      <w:u w:val="single"/>
    </w:rPr>
  </w:style>
  <w:style w:type="character" w:customStyle="1" w:styleId="cosearchterm">
    <w:name w:val="co_searchterm"/>
    <w:basedOn w:val="DefaultParagraphFont"/>
    <w:rsid w:val="0003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015">
      <w:bodyDiv w:val="1"/>
      <w:marLeft w:val="0"/>
      <w:marRight w:val="0"/>
      <w:marTop w:val="0"/>
      <w:marBottom w:val="0"/>
      <w:divBdr>
        <w:top w:val="none" w:sz="0" w:space="0" w:color="auto"/>
        <w:left w:val="none" w:sz="0" w:space="0" w:color="auto"/>
        <w:bottom w:val="none" w:sz="0" w:space="0" w:color="auto"/>
        <w:right w:val="none" w:sz="0" w:space="0" w:color="auto"/>
      </w:divBdr>
    </w:div>
    <w:div w:id="1063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11081</Characters>
  <Application>Microsoft Office Word</Application>
  <DocSecurity>0</DocSecurity>
  <Lines>275</Lines>
  <Paragraphs>116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2015-04-08T19:22:00Z</cp:lastPrinted>
  <dcterms:created xsi:type="dcterms:W3CDTF">2015-12-18T17:37:00Z</dcterms:created>
  <dcterms:modified xsi:type="dcterms:W3CDTF">2015-12-18T17:37:00Z</dcterms:modified>
  <cp:category> </cp:category>
  <cp:contentStatus> </cp:contentStatus>
</cp:coreProperties>
</file>