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CCC34" w14:textId="77777777" w:rsidR="002F3328" w:rsidRPr="008F3CC0" w:rsidRDefault="002F3328" w:rsidP="002F3328">
      <w:pPr>
        <w:jc w:val="center"/>
        <w:rPr>
          <w:b/>
          <w:color w:val="000000" w:themeColor="text1"/>
          <w:szCs w:val="22"/>
        </w:rPr>
      </w:pPr>
      <w:bookmarkStart w:id="0" w:name="_GoBack"/>
      <w:bookmarkEnd w:id="0"/>
      <w:r w:rsidRPr="008F3CC0">
        <w:rPr>
          <w:b/>
          <w:color w:val="000000" w:themeColor="text1"/>
          <w:szCs w:val="22"/>
        </w:rPr>
        <w:t>Before the</w:t>
      </w:r>
    </w:p>
    <w:p w14:paraId="1E32B711" w14:textId="77777777" w:rsidR="002F3328" w:rsidRPr="008F3CC0" w:rsidRDefault="002F3328" w:rsidP="002F3328">
      <w:pPr>
        <w:pStyle w:val="StyleBoldCentered"/>
        <w:rPr>
          <w:rFonts w:ascii="Times New Roman" w:hAnsi="Times New Roman"/>
          <w:color w:val="000000" w:themeColor="text1"/>
        </w:rPr>
      </w:pPr>
      <w:r w:rsidRPr="008F3CC0">
        <w:rPr>
          <w:rFonts w:ascii="Times New Roman" w:hAnsi="Times New Roman"/>
          <w:color w:val="000000" w:themeColor="text1"/>
        </w:rPr>
        <w:t>F</w:t>
      </w:r>
      <w:r w:rsidRPr="008F3CC0">
        <w:rPr>
          <w:rFonts w:ascii="Times New Roman" w:hAnsi="Times New Roman"/>
          <w:caps w:val="0"/>
          <w:color w:val="000000" w:themeColor="text1"/>
        </w:rPr>
        <w:t>ederal Communications Commission</w:t>
      </w:r>
    </w:p>
    <w:p w14:paraId="1AA5C84B" w14:textId="77777777" w:rsidR="002F3328" w:rsidRPr="008F3CC0" w:rsidRDefault="002F3328" w:rsidP="002F3328">
      <w:pPr>
        <w:pStyle w:val="StyleBoldCentered"/>
        <w:rPr>
          <w:rFonts w:ascii="Times New Roman" w:hAnsi="Times New Roman"/>
          <w:color w:val="000000" w:themeColor="text1"/>
        </w:rPr>
      </w:pPr>
      <w:r w:rsidRPr="008F3CC0">
        <w:rPr>
          <w:rFonts w:ascii="Times New Roman" w:hAnsi="Times New Roman"/>
          <w:caps w:val="0"/>
          <w:color w:val="000000" w:themeColor="text1"/>
        </w:rPr>
        <w:t>Washington, D.C. 20554</w:t>
      </w:r>
    </w:p>
    <w:p w14:paraId="650192CD" w14:textId="77777777" w:rsidR="002F3328" w:rsidRPr="008F3CC0" w:rsidRDefault="002F3328" w:rsidP="002F3328">
      <w:pPr>
        <w:rPr>
          <w:color w:val="000000" w:themeColor="text1"/>
          <w:szCs w:val="22"/>
        </w:rPr>
      </w:pPr>
    </w:p>
    <w:p w14:paraId="0869AD19" w14:textId="77777777" w:rsidR="00F621D5" w:rsidRPr="008F3CC0" w:rsidRDefault="00F621D5" w:rsidP="002F3328">
      <w:pPr>
        <w:rPr>
          <w:color w:val="000000" w:themeColor="text1"/>
          <w:szCs w:val="22"/>
        </w:rPr>
      </w:pPr>
    </w:p>
    <w:tbl>
      <w:tblPr>
        <w:tblW w:w="0" w:type="auto"/>
        <w:tblLayout w:type="fixed"/>
        <w:tblLook w:val="0000" w:firstRow="0" w:lastRow="0" w:firstColumn="0" w:lastColumn="0" w:noHBand="0" w:noVBand="0"/>
      </w:tblPr>
      <w:tblGrid>
        <w:gridCol w:w="4698"/>
        <w:gridCol w:w="630"/>
        <w:gridCol w:w="4248"/>
      </w:tblGrid>
      <w:tr w:rsidR="002F3328" w:rsidRPr="008F3CC0" w14:paraId="31D74D9F" w14:textId="77777777" w:rsidTr="00A27B0D">
        <w:tc>
          <w:tcPr>
            <w:tcW w:w="4698" w:type="dxa"/>
          </w:tcPr>
          <w:p w14:paraId="59225DC4" w14:textId="77777777" w:rsidR="002F3328" w:rsidRPr="008F3CC0" w:rsidRDefault="002F3328" w:rsidP="00A27B0D">
            <w:pPr>
              <w:tabs>
                <w:tab w:val="center" w:pos="4680"/>
              </w:tabs>
              <w:suppressAutoHyphens/>
              <w:rPr>
                <w:color w:val="000000" w:themeColor="text1"/>
                <w:spacing w:val="-2"/>
                <w:szCs w:val="22"/>
              </w:rPr>
            </w:pPr>
            <w:r w:rsidRPr="008F3CC0">
              <w:rPr>
                <w:color w:val="000000" w:themeColor="text1"/>
                <w:spacing w:val="-2"/>
                <w:szCs w:val="22"/>
              </w:rPr>
              <w:t>In the Matter of</w:t>
            </w:r>
          </w:p>
          <w:p w14:paraId="1673FF33" w14:textId="77777777" w:rsidR="002F3328" w:rsidRPr="008F3CC0" w:rsidRDefault="002F3328" w:rsidP="00A27B0D">
            <w:pPr>
              <w:tabs>
                <w:tab w:val="center" w:pos="4680"/>
              </w:tabs>
              <w:suppressAutoHyphens/>
              <w:rPr>
                <w:color w:val="000000" w:themeColor="text1"/>
                <w:spacing w:val="-2"/>
                <w:szCs w:val="22"/>
              </w:rPr>
            </w:pPr>
          </w:p>
          <w:p w14:paraId="656465E3" w14:textId="77777777" w:rsidR="001152F1" w:rsidRPr="008F3CC0" w:rsidRDefault="001152F1" w:rsidP="001152F1">
            <w:pPr>
              <w:tabs>
                <w:tab w:val="center" w:pos="4680"/>
              </w:tabs>
              <w:suppressAutoHyphens/>
              <w:rPr>
                <w:color w:val="000000" w:themeColor="text1"/>
                <w:spacing w:val="-2"/>
                <w:szCs w:val="22"/>
              </w:rPr>
            </w:pPr>
            <w:r w:rsidRPr="008F3CC0">
              <w:rPr>
                <w:color w:val="000000" w:themeColor="text1"/>
                <w:spacing w:val="-2"/>
                <w:szCs w:val="22"/>
              </w:rPr>
              <w:t>Expanding the Economic and Innovation</w:t>
            </w:r>
          </w:p>
          <w:p w14:paraId="57A5A3C2" w14:textId="77777777" w:rsidR="001152F1" w:rsidRPr="008F3CC0" w:rsidRDefault="001152F1" w:rsidP="001152F1">
            <w:pPr>
              <w:tabs>
                <w:tab w:val="center" w:pos="4680"/>
              </w:tabs>
              <w:suppressAutoHyphens/>
              <w:rPr>
                <w:color w:val="000000" w:themeColor="text1"/>
                <w:spacing w:val="-2"/>
                <w:szCs w:val="22"/>
              </w:rPr>
            </w:pPr>
            <w:r w:rsidRPr="008F3CC0">
              <w:rPr>
                <w:color w:val="000000" w:themeColor="text1"/>
                <w:spacing w:val="-2"/>
                <w:szCs w:val="22"/>
              </w:rPr>
              <w:t>Opportunities of Spectrum Through Incentive</w:t>
            </w:r>
          </w:p>
          <w:p w14:paraId="35D74881" w14:textId="088831B5" w:rsidR="001574A3" w:rsidRPr="008F3CC0" w:rsidRDefault="001152F1" w:rsidP="001152F1">
            <w:pPr>
              <w:tabs>
                <w:tab w:val="center" w:pos="4680"/>
              </w:tabs>
              <w:suppressAutoHyphens/>
              <w:rPr>
                <w:color w:val="000000" w:themeColor="text1"/>
                <w:spacing w:val="-2"/>
                <w:szCs w:val="22"/>
              </w:rPr>
            </w:pPr>
            <w:r w:rsidRPr="008F3CC0">
              <w:rPr>
                <w:color w:val="000000" w:themeColor="text1"/>
                <w:spacing w:val="-2"/>
                <w:szCs w:val="22"/>
              </w:rPr>
              <w:t>Auctions</w:t>
            </w:r>
          </w:p>
        </w:tc>
        <w:tc>
          <w:tcPr>
            <w:tcW w:w="630" w:type="dxa"/>
          </w:tcPr>
          <w:p w14:paraId="1F055FB2" w14:textId="77777777" w:rsidR="002F3328" w:rsidRPr="008F3CC0" w:rsidRDefault="002F3328" w:rsidP="00A27B0D">
            <w:pPr>
              <w:tabs>
                <w:tab w:val="center" w:pos="4680"/>
              </w:tabs>
              <w:suppressAutoHyphens/>
              <w:rPr>
                <w:b/>
                <w:color w:val="000000" w:themeColor="text1"/>
                <w:spacing w:val="-2"/>
                <w:szCs w:val="22"/>
              </w:rPr>
            </w:pPr>
            <w:r w:rsidRPr="008F3CC0">
              <w:rPr>
                <w:b/>
                <w:color w:val="000000" w:themeColor="text1"/>
                <w:spacing w:val="-2"/>
                <w:szCs w:val="22"/>
              </w:rPr>
              <w:t>)</w:t>
            </w:r>
          </w:p>
          <w:p w14:paraId="2C34F98B" w14:textId="77777777" w:rsidR="002F3328" w:rsidRPr="008F3CC0" w:rsidRDefault="002F3328" w:rsidP="00A27B0D">
            <w:pPr>
              <w:tabs>
                <w:tab w:val="center" w:pos="4680"/>
              </w:tabs>
              <w:suppressAutoHyphens/>
              <w:rPr>
                <w:b/>
                <w:color w:val="000000" w:themeColor="text1"/>
                <w:spacing w:val="-2"/>
                <w:szCs w:val="22"/>
              </w:rPr>
            </w:pPr>
            <w:r w:rsidRPr="008F3CC0">
              <w:rPr>
                <w:b/>
                <w:color w:val="000000" w:themeColor="text1"/>
                <w:spacing w:val="-2"/>
                <w:szCs w:val="22"/>
              </w:rPr>
              <w:t>)</w:t>
            </w:r>
          </w:p>
          <w:p w14:paraId="07562716" w14:textId="77777777" w:rsidR="002F3328" w:rsidRPr="008F3CC0" w:rsidRDefault="002F3328" w:rsidP="00A27B0D">
            <w:pPr>
              <w:tabs>
                <w:tab w:val="center" w:pos="4680"/>
              </w:tabs>
              <w:suppressAutoHyphens/>
              <w:rPr>
                <w:b/>
                <w:color w:val="000000" w:themeColor="text1"/>
                <w:spacing w:val="-2"/>
                <w:szCs w:val="22"/>
              </w:rPr>
            </w:pPr>
            <w:r w:rsidRPr="008F3CC0">
              <w:rPr>
                <w:b/>
                <w:color w:val="000000" w:themeColor="text1"/>
                <w:spacing w:val="-2"/>
                <w:szCs w:val="22"/>
              </w:rPr>
              <w:t>)</w:t>
            </w:r>
          </w:p>
          <w:p w14:paraId="0F262573" w14:textId="77777777" w:rsidR="002F3328" w:rsidRPr="008F3CC0" w:rsidRDefault="001574A3" w:rsidP="00A27B0D">
            <w:pPr>
              <w:tabs>
                <w:tab w:val="center" w:pos="4680"/>
              </w:tabs>
              <w:suppressAutoHyphens/>
              <w:rPr>
                <w:b/>
                <w:color w:val="000000" w:themeColor="text1"/>
                <w:spacing w:val="-2"/>
                <w:szCs w:val="22"/>
              </w:rPr>
            </w:pPr>
            <w:r w:rsidRPr="008F3CC0">
              <w:rPr>
                <w:b/>
                <w:color w:val="000000" w:themeColor="text1"/>
                <w:spacing w:val="-2"/>
                <w:szCs w:val="22"/>
              </w:rPr>
              <w:t>)</w:t>
            </w:r>
          </w:p>
          <w:p w14:paraId="687AE4F1" w14:textId="21850F04" w:rsidR="001574A3" w:rsidRPr="008F3CC0" w:rsidRDefault="001574A3" w:rsidP="00A27B0D">
            <w:pPr>
              <w:tabs>
                <w:tab w:val="center" w:pos="4680"/>
              </w:tabs>
              <w:suppressAutoHyphens/>
              <w:rPr>
                <w:b/>
                <w:color w:val="000000" w:themeColor="text1"/>
                <w:spacing w:val="-2"/>
                <w:szCs w:val="22"/>
              </w:rPr>
            </w:pPr>
            <w:r w:rsidRPr="008F3CC0">
              <w:rPr>
                <w:b/>
                <w:color w:val="000000" w:themeColor="text1"/>
                <w:spacing w:val="-2"/>
                <w:szCs w:val="22"/>
              </w:rPr>
              <w:t>)</w:t>
            </w:r>
          </w:p>
        </w:tc>
        <w:tc>
          <w:tcPr>
            <w:tcW w:w="4248" w:type="dxa"/>
          </w:tcPr>
          <w:p w14:paraId="4DADE35E" w14:textId="77777777" w:rsidR="002F3328" w:rsidRPr="008F3CC0" w:rsidRDefault="002F3328" w:rsidP="00A27B0D">
            <w:pPr>
              <w:tabs>
                <w:tab w:val="center" w:pos="4680"/>
              </w:tabs>
              <w:suppressAutoHyphens/>
              <w:rPr>
                <w:color w:val="000000" w:themeColor="text1"/>
                <w:spacing w:val="-2"/>
                <w:szCs w:val="22"/>
              </w:rPr>
            </w:pPr>
          </w:p>
          <w:p w14:paraId="22F8639E" w14:textId="77777777" w:rsidR="002F3328" w:rsidRPr="008F3CC0" w:rsidRDefault="002F3328" w:rsidP="00A27B0D">
            <w:pPr>
              <w:pStyle w:val="TOAHeading"/>
              <w:tabs>
                <w:tab w:val="clear" w:pos="9360"/>
                <w:tab w:val="center" w:pos="4680"/>
              </w:tabs>
              <w:rPr>
                <w:color w:val="000000" w:themeColor="text1"/>
                <w:spacing w:val="-2"/>
                <w:szCs w:val="22"/>
              </w:rPr>
            </w:pPr>
          </w:p>
          <w:p w14:paraId="648DE000" w14:textId="4F6A2AA4" w:rsidR="001574A3" w:rsidRPr="008F3CC0" w:rsidRDefault="001152F1" w:rsidP="00A27B0D">
            <w:pPr>
              <w:tabs>
                <w:tab w:val="center" w:pos="4680"/>
              </w:tabs>
              <w:suppressAutoHyphens/>
              <w:rPr>
                <w:color w:val="000000" w:themeColor="text1"/>
                <w:spacing w:val="-2"/>
                <w:szCs w:val="22"/>
              </w:rPr>
            </w:pPr>
            <w:r w:rsidRPr="008F3CC0">
              <w:rPr>
                <w:color w:val="000000" w:themeColor="text1"/>
                <w:spacing w:val="-2"/>
                <w:szCs w:val="22"/>
              </w:rPr>
              <w:t>GN Docket No. 12-268</w:t>
            </w:r>
          </w:p>
        </w:tc>
      </w:tr>
    </w:tbl>
    <w:p w14:paraId="2BC99CA3" w14:textId="77777777" w:rsidR="002F3328" w:rsidRPr="008F3CC0" w:rsidRDefault="002F3328" w:rsidP="002F3328">
      <w:pPr>
        <w:rPr>
          <w:color w:val="000000" w:themeColor="text1"/>
          <w:szCs w:val="22"/>
        </w:rPr>
      </w:pPr>
    </w:p>
    <w:p w14:paraId="708AE4D1" w14:textId="3FACD37D" w:rsidR="002F3328" w:rsidRPr="008F3CC0" w:rsidRDefault="002F3328" w:rsidP="002F3328">
      <w:pPr>
        <w:pStyle w:val="StyleBoldCentered"/>
        <w:rPr>
          <w:rFonts w:ascii="Times New Roman" w:hAnsi="Times New Roman"/>
          <w:color w:val="000000" w:themeColor="text1"/>
        </w:rPr>
      </w:pPr>
      <w:r w:rsidRPr="008F3CC0">
        <w:rPr>
          <w:rFonts w:ascii="Times New Roman" w:hAnsi="Times New Roman"/>
          <w:color w:val="000000" w:themeColor="text1"/>
        </w:rPr>
        <w:t xml:space="preserve">Order Denying Stay </w:t>
      </w:r>
      <w:r w:rsidR="001152F1" w:rsidRPr="008F3CC0">
        <w:rPr>
          <w:rFonts w:ascii="Times New Roman" w:hAnsi="Times New Roman"/>
          <w:color w:val="000000" w:themeColor="text1"/>
        </w:rPr>
        <w:t>motion</w:t>
      </w:r>
    </w:p>
    <w:p w14:paraId="1B790A55" w14:textId="77777777" w:rsidR="002F3328" w:rsidRPr="008F3CC0" w:rsidRDefault="002F3328" w:rsidP="002F3328">
      <w:pPr>
        <w:tabs>
          <w:tab w:val="left" w:pos="-720"/>
        </w:tabs>
        <w:suppressAutoHyphens/>
        <w:spacing w:line="227" w:lineRule="auto"/>
        <w:rPr>
          <w:color w:val="000000" w:themeColor="text1"/>
          <w:spacing w:val="-2"/>
          <w:szCs w:val="22"/>
        </w:rPr>
      </w:pPr>
    </w:p>
    <w:p w14:paraId="0D8E21A5" w14:textId="1F4A3523" w:rsidR="002F3328" w:rsidRPr="008F3CC0" w:rsidRDefault="002F3328" w:rsidP="002F3328">
      <w:pPr>
        <w:tabs>
          <w:tab w:val="left" w:pos="720"/>
          <w:tab w:val="right" w:pos="9360"/>
        </w:tabs>
        <w:suppressAutoHyphens/>
        <w:spacing w:line="227" w:lineRule="auto"/>
        <w:rPr>
          <w:color w:val="000000" w:themeColor="text1"/>
          <w:spacing w:val="-2"/>
          <w:szCs w:val="22"/>
        </w:rPr>
      </w:pPr>
      <w:r w:rsidRPr="008F3CC0">
        <w:rPr>
          <w:b/>
          <w:color w:val="000000" w:themeColor="text1"/>
          <w:spacing w:val="-2"/>
          <w:szCs w:val="22"/>
        </w:rPr>
        <w:t xml:space="preserve">Adopted:  </w:t>
      </w:r>
      <w:r w:rsidR="0075742A">
        <w:rPr>
          <w:b/>
          <w:color w:val="000000" w:themeColor="text1"/>
          <w:spacing w:val="-2"/>
          <w:szCs w:val="22"/>
        </w:rPr>
        <w:t>December 18</w:t>
      </w:r>
      <w:r w:rsidR="001152F1" w:rsidRPr="008F3CC0">
        <w:rPr>
          <w:b/>
          <w:color w:val="000000" w:themeColor="text1"/>
          <w:spacing w:val="-2"/>
          <w:szCs w:val="22"/>
        </w:rPr>
        <w:t xml:space="preserve">, </w:t>
      </w:r>
      <w:r w:rsidRPr="008F3CC0">
        <w:rPr>
          <w:b/>
          <w:color w:val="000000" w:themeColor="text1"/>
          <w:spacing w:val="-2"/>
          <w:szCs w:val="22"/>
        </w:rPr>
        <w:t>2015</w:t>
      </w:r>
      <w:r w:rsidRPr="008F3CC0">
        <w:rPr>
          <w:b/>
          <w:color w:val="000000" w:themeColor="text1"/>
          <w:spacing w:val="-2"/>
          <w:szCs w:val="22"/>
        </w:rPr>
        <w:tab/>
        <w:t xml:space="preserve">Released:  </w:t>
      </w:r>
      <w:r w:rsidR="0075742A">
        <w:rPr>
          <w:b/>
          <w:color w:val="000000" w:themeColor="text1"/>
          <w:spacing w:val="-2"/>
          <w:szCs w:val="22"/>
        </w:rPr>
        <w:t>December 18</w:t>
      </w:r>
      <w:r w:rsidRPr="008F3CC0">
        <w:rPr>
          <w:b/>
          <w:color w:val="000000" w:themeColor="text1"/>
          <w:spacing w:val="-2"/>
          <w:szCs w:val="22"/>
        </w:rPr>
        <w:t>, 2015</w:t>
      </w:r>
    </w:p>
    <w:p w14:paraId="20AD645A" w14:textId="77777777" w:rsidR="002F3328" w:rsidRPr="008F3CC0" w:rsidRDefault="002F3328" w:rsidP="002F3328">
      <w:pPr>
        <w:rPr>
          <w:color w:val="000000" w:themeColor="text1"/>
          <w:szCs w:val="22"/>
        </w:rPr>
      </w:pPr>
    </w:p>
    <w:p w14:paraId="36EF8705" w14:textId="1B8FCE58" w:rsidR="002F3328" w:rsidRPr="008F3CC0" w:rsidRDefault="002F3328" w:rsidP="002F3328">
      <w:pPr>
        <w:rPr>
          <w:color w:val="000000" w:themeColor="text1"/>
          <w:spacing w:val="-2"/>
          <w:szCs w:val="22"/>
        </w:rPr>
      </w:pPr>
      <w:r w:rsidRPr="008F3CC0">
        <w:rPr>
          <w:color w:val="000000" w:themeColor="text1"/>
          <w:szCs w:val="22"/>
        </w:rPr>
        <w:t xml:space="preserve">By the </w:t>
      </w:r>
      <w:r w:rsidR="00B86CA1" w:rsidRPr="008F3CC0">
        <w:rPr>
          <w:color w:val="000000" w:themeColor="text1"/>
          <w:szCs w:val="22"/>
        </w:rPr>
        <w:t xml:space="preserve">Chief, </w:t>
      </w:r>
      <w:r w:rsidR="001152F1" w:rsidRPr="008F3CC0">
        <w:rPr>
          <w:color w:val="000000" w:themeColor="text1"/>
          <w:szCs w:val="22"/>
        </w:rPr>
        <w:t>Media Bureau</w:t>
      </w:r>
      <w:r w:rsidRPr="008F3CC0">
        <w:rPr>
          <w:color w:val="000000" w:themeColor="text1"/>
          <w:spacing w:val="-2"/>
          <w:szCs w:val="22"/>
        </w:rPr>
        <w:t>:</w:t>
      </w:r>
    </w:p>
    <w:p w14:paraId="1E1B98BF" w14:textId="77777777" w:rsidR="002F3328" w:rsidRPr="008F3CC0" w:rsidRDefault="002F3328" w:rsidP="002F3328">
      <w:pPr>
        <w:rPr>
          <w:color w:val="000000" w:themeColor="text1"/>
          <w:szCs w:val="22"/>
        </w:rPr>
      </w:pPr>
    </w:p>
    <w:p w14:paraId="23BF8745" w14:textId="77777777" w:rsidR="002F3328" w:rsidRPr="008F3CC0" w:rsidRDefault="002F3328" w:rsidP="002F3328">
      <w:pPr>
        <w:pStyle w:val="Heading1"/>
        <w:rPr>
          <w:rFonts w:ascii="Times New Roman" w:hAnsi="Times New Roman"/>
          <w:color w:val="000000" w:themeColor="text1"/>
          <w:szCs w:val="22"/>
        </w:rPr>
      </w:pPr>
      <w:r w:rsidRPr="008F3CC0">
        <w:rPr>
          <w:rFonts w:ascii="Times New Roman" w:hAnsi="Times New Roman"/>
          <w:color w:val="000000" w:themeColor="text1"/>
          <w:szCs w:val="22"/>
        </w:rPr>
        <w:t>Introduction</w:t>
      </w:r>
    </w:p>
    <w:p w14:paraId="05B5182B" w14:textId="7235962F" w:rsidR="002F3328" w:rsidRPr="008F3CC0" w:rsidRDefault="004F48DF" w:rsidP="00305DA9">
      <w:pPr>
        <w:pStyle w:val="ParaNum"/>
        <w:ind w:firstLine="720"/>
        <w:rPr>
          <w:color w:val="000000" w:themeColor="text1"/>
          <w:szCs w:val="22"/>
        </w:rPr>
      </w:pPr>
      <w:r w:rsidRPr="008F3CC0">
        <w:rPr>
          <w:color w:val="000000" w:themeColor="text1"/>
          <w:szCs w:val="22"/>
        </w:rPr>
        <w:t xml:space="preserve">On </w:t>
      </w:r>
      <w:r w:rsidR="001152F1" w:rsidRPr="008F3CC0">
        <w:rPr>
          <w:color w:val="000000" w:themeColor="text1"/>
          <w:szCs w:val="22"/>
        </w:rPr>
        <w:t xml:space="preserve">December 11, </w:t>
      </w:r>
      <w:r w:rsidR="002F3328" w:rsidRPr="008F3CC0">
        <w:rPr>
          <w:color w:val="000000" w:themeColor="text1"/>
          <w:szCs w:val="22"/>
        </w:rPr>
        <w:t>2015,</w:t>
      </w:r>
      <w:r w:rsidRPr="008F3CC0">
        <w:rPr>
          <w:color w:val="000000" w:themeColor="text1"/>
          <w:szCs w:val="22"/>
        </w:rPr>
        <w:t xml:space="preserve"> </w:t>
      </w:r>
      <w:r w:rsidR="001152F1" w:rsidRPr="008F3CC0">
        <w:rPr>
          <w:color w:val="000000" w:themeColor="text1"/>
          <w:szCs w:val="22"/>
        </w:rPr>
        <w:t xml:space="preserve">The Videohouse, Inc. (Videohouse), </w:t>
      </w:r>
      <w:r w:rsidR="00E8656C">
        <w:rPr>
          <w:color w:val="000000" w:themeColor="text1"/>
          <w:szCs w:val="22"/>
        </w:rPr>
        <w:t>Fifth Street Enterprises, LLC (Fifth Street)</w:t>
      </w:r>
      <w:r w:rsidR="001152F1" w:rsidRPr="008F3CC0">
        <w:rPr>
          <w:color w:val="000000" w:themeColor="text1"/>
          <w:szCs w:val="22"/>
        </w:rPr>
        <w:t xml:space="preserve">, and WMTM, LLC (WMTM) (collectively </w:t>
      </w:r>
      <w:r w:rsidR="00ED17A3">
        <w:rPr>
          <w:color w:val="000000" w:themeColor="text1"/>
          <w:szCs w:val="22"/>
        </w:rPr>
        <w:t>Movants</w:t>
      </w:r>
      <w:r w:rsidR="001152F1" w:rsidRPr="008F3CC0">
        <w:rPr>
          <w:color w:val="000000" w:themeColor="text1"/>
          <w:szCs w:val="22"/>
        </w:rPr>
        <w:t>)</w:t>
      </w:r>
      <w:r w:rsidRPr="008F3CC0">
        <w:rPr>
          <w:color w:val="000000" w:themeColor="text1"/>
          <w:szCs w:val="22"/>
        </w:rPr>
        <w:t xml:space="preserve"> filed a</w:t>
      </w:r>
      <w:r w:rsidR="001152F1" w:rsidRPr="008F3CC0">
        <w:rPr>
          <w:color w:val="000000" w:themeColor="text1"/>
          <w:szCs w:val="22"/>
        </w:rPr>
        <w:t>n Emergency</w:t>
      </w:r>
      <w:r w:rsidRPr="008F3CC0">
        <w:rPr>
          <w:color w:val="000000" w:themeColor="text1"/>
          <w:szCs w:val="22"/>
        </w:rPr>
        <w:t xml:space="preserve"> </w:t>
      </w:r>
      <w:r w:rsidR="001152F1" w:rsidRPr="008F3CC0">
        <w:rPr>
          <w:color w:val="000000" w:themeColor="text1"/>
          <w:szCs w:val="22"/>
        </w:rPr>
        <w:t xml:space="preserve">Motion </w:t>
      </w:r>
      <w:r w:rsidR="00923F7B" w:rsidRPr="008F3CC0">
        <w:rPr>
          <w:color w:val="000000" w:themeColor="text1"/>
          <w:szCs w:val="22"/>
        </w:rPr>
        <w:t xml:space="preserve">for Stay and Other Relief (Stay Motion) </w:t>
      </w:r>
      <w:r w:rsidR="001152F1" w:rsidRPr="008F3CC0">
        <w:rPr>
          <w:color w:val="000000" w:themeColor="text1"/>
          <w:szCs w:val="22"/>
        </w:rPr>
        <w:t>relating to the deadline for applications to participate in the reverse auction</w:t>
      </w:r>
      <w:r w:rsidR="00126E90" w:rsidRPr="008F3CC0">
        <w:rPr>
          <w:color w:val="000000" w:themeColor="text1"/>
          <w:szCs w:val="22"/>
        </w:rPr>
        <w:t xml:space="preserve"> phase of the broadcast television spectrum incentive auction</w:t>
      </w:r>
      <w:r w:rsidRPr="008F3CC0">
        <w:rPr>
          <w:color w:val="000000" w:themeColor="text1"/>
          <w:szCs w:val="22"/>
        </w:rPr>
        <w:t>.</w:t>
      </w:r>
      <w:r w:rsidR="00D215D9" w:rsidRPr="008F3CC0">
        <w:rPr>
          <w:rStyle w:val="FootnoteReference"/>
          <w:color w:val="000000" w:themeColor="text1"/>
          <w:sz w:val="22"/>
          <w:szCs w:val="22"/>
        </w:rPr>
        <w:footnoteReference w:id="2"/>
      </w:r>
      <w:r w:rsidR="002F3328" w:rsidRPr="008F3CC0">
        <w:rPr>
          <w:color w:val="000000" w:themeColor="text1"/>
          <w:szCs w:val="22"/>
        </w:rPr>
        <w:t xml:space="preserve">  For the reasons discussed below, we deny the </w:t>
      </w:r>
      <w:r w:rsidR="00923F7B" w:rsidRPr="008F3CC0">
        <w:rPr>
          <w:color w:val="000000" w:themeColor="text1"/>
          <w:szCs w:val="22"/>
        </w:rPr>
        <w:t>S</w:t>
      </w:r>
      <w:r w:rsidR="002F3328" w:rsidRPr="008F3CC0">
        <w:rPr>
          <w:color w:val="000000" w:themeColor="text1"/>
          <w:szCs w:val="22"/>
        </w:rPr>
        <w:t>tay</w:t>
      </w:r>
      <w:r w:rsidR="001152F1" w:rsidRPr="008F3CC0">
        <w:rPr>
          <w:color w:val="000000" w:themeColor="text1"/>
          <w:szCs w:val="22"/>
        </w:rPr>
        <w:t xml:space="preserve"> </w:t>
      </w:r>
      <w:r w:rsidR="00923F7B" w:rsidRPr="008F3CC0">
        <w:rPr>
          <w:color w:val="000000" w:themeColor="text1"/>
          <w:szCs w:val="22"/>
        </w:rPr>
        <w:t>M</w:t>
      </w:r>
      <w:r w:rsidR="001152F1" w:rsidRPr="008F3CC0">
        <w:rPr>
          <w:color w:val="000000" w:themeColor="text1"/>
          <w:szCs w:val="22"/>
        </w:rPr>
        <w:t>otion</w:t>
      </w:r>
      <w:r w:rsidR="002F3328" w:rsidRPr="008F3CC0">
        <w:rPr>
          <w:color w:val="000000" w:themeColor="text1"/>
          <w:szCs w:val="22"/>
        </w:rPr>
        <w:t>.</w:t>
      </w:r>
    </w:p>
    <w:p w14:paraId="0F6CE2A5" w14:textId="77777777" w:rsidR="002F3328" w:rsidRPr="008F3CC0" w:rsidRDefault="002F3328" w:rsidP="002F3328">
      <w:pPr>
        <w:pStyle w:val="Heading1"/>
        <w:rPr>
          <w:rFonts w:ascii="Times New Roman" w:hAnsi="Times New Roman"/>
          <w:color w:val="000000" w:themeColor="text1"/>
          <w:szCs w:val="22"/>
        </w:rPr>
      </w:pPr>
      <w:r w:rsidRPr="008F3CC0">
        <w:rPr>
          <w:rFonts w:ascii="Times New Roman" w:hAnsi="Times New Roman"/>
          <w:color w:val="000000" w:themeColor="text1"/>
          <w:szCs w:val="22"/>
        </w:rPr>
        <w:t>Background</w:t>
      </w:r>
    </w:p>
    <w:p w14:paraId="72272E96" w14:textId="449B5629" w:rsidR="0020364C" w:rsidRPr="00222E5B" w:rsidRDefault="00E67DCD" w:rsidP="00D74A6B">
      <w:pPr>
        <w:pStyle w:val="ParaNum"/>
        <w:widowControl/>
        <w:ind w:firstLine="720"/>
        <w:rPr>
          <w:color w:val="000000" w:themeColor="text1"/>
          <w:szCs w:val="22"/>
        </w:rPr>
      </w:pPr>
      <w:r w:rsidRPr="00222E5B">
        <w:rPr>
          <w:color w:val="000000" w:themeColor="text1"/>
          <w:szCs w:val="22"/>
        </w:rPr>
        <w:t xml:space="preserve">In May 2014, the Commission adopted the </w:t>
      </w:r>
      <w:r w:rsidR="0020364C" w:rsidRPr="00222E5B">
        <w:rPr>
          <w:i/>
          <w:color w:val="000000" w:themeColor="text1"/>
          <w:szCs w:val="22"/>
        </w:rPr>
        <w:t xml:space="preserve">Incentive Auction R&amp;O </w:t>
      </w:r>
      <w:r w:rsidR="0020364C" w:rsidRPr="00222E5B">
        <w:rPr>
          <w:color w:val="000000" w:themeColor="text1"/>
          <w:szCs w:val="22"/>
        </w:rPr>
        <w:t>establish</w:t>
      </w:r>
      <w:r w:rsidRPr="00222E5B">
        <w:rPr>
          <w:color w:val="000000" w:themeColor="text1"/>
          <w:szCs w:val="22"/>
        </w:rPr>
        <w:t xml:space="preserve">ing </w:t>
      </w:r>
      <w:r w:rsidR="00222E5B">
        <w:rPr>
          <w:color w:val="000000" w:themeColor="text1"/>
          <w:szCs w:val="22"/>
        </w:rPr>
        <w:t>t</w:t>
      </w:r>
      <w:r w:rsidR="0020364C" w:rsidRPr="00222E5B">
        <w:rPr>
          <w:color w:val="000000" w:themeColor="text1"/>
          <w:szCs w:val="22"/>
        </w:rPr>
        <w:t xml:space="preserve">he framework for the </w:t>
      </w:r>
      <w:r w:rsidR="00B52B12" w:rsidRPr="00222E5B">
        <w:rPr>
          <w:color w:val="000000" w:themeColor="text1"/>
          <w:szCs w:val="22"/>
        </w:rPr>
        <w:t xml:space="preserve">broadcast television spectrum incentive </w:t>
      </w:r>
      <w:r w:rsidR="0020364C" w:rsidRPr="00222E5B">
        <w:rPr>
          <w:color w:val="000000" w:themeColor="text1"/>
          <w:szCs w:val="22"/>
        </w:rPr>
        <w:t>auction</w:t>
      </w:r>
      <w:r w:rsidR="00773A2C" w:rsidRPr="00222E5B">
        <w:rPr>
          <w:color w:val="000000" w:themeColor="text1"/>
          <w:szCs w:val="22"/>
        </w:rPr>
        <w:t>.</w:t>
      </w:r>
      <w:r w:rsidR="00666431">
        <w:rPr>
          <w:rStyle w:val="FootnoteReference"/>
          <w:szCs w:val="22"/>
        </w:rPr>
        <w:footnoteReference w:id="3"/>
      </w:r>
      <w:r w:rsidR="00773A2C" w:rsidRPr="00222E5B">
        <w:rPr>
          <w:color w:val="000000" w:themeColor="text1"/>
          <w:szCs w:val="22"/>
        </w:rPr>
        <w:t xml:space="preserve">  </w:t>
      </w:r>
      <w:r w:rsidR="00222E5B">
        <w:rPr>
          <w:color w:val="000000" w:themeColor="text1"/>
          <w:szCs w:val="22"/>
        </w:rPr>
        <w:t>Among other things, t</w:t>
      </w:r>
      <w:r w:rsidR="00222E5B" w:rsidRPr="00222E5B">
        <w:rPr>
          <w:color w:val="000000" w:themeColor="text1"/>
          <w:szCs w:val="22"/>
        </w:rPr>
        <w:t xml:space="preserve">he </w:t>
      </w:r>
      <w:r w:rsidR="00773A2C" w:rsidRPr="00222E5B">
        <w:rPr>
          <w:color w:val="000000" w:themeColor="text1"/>
          <w:szCs w:val="22"/>
        </w:rPr>
        <w:t>Commission concluded that the Spectrum Act</w:t>
      </w:r>
      <w:r w:rsidR="00222E5B">
        <w:rPr>
          <w:rStyle w:val="FootnoteReference"/>
          <w:szCs w:val="22"/>
        </w:rPr>
        <w:footnoteReference w:id="4"/>
      </w:r>
      <w:r w:rsidR="00773A2C" w:rsidRPr="00222E5B">
        <w:rPr>
          <w:color w:val="000000" w:themeColor="text1"/>
          <w:szCs w:val="22"/>
        </w:rPr>
        <w:t xml:space="preserve"> mandates all reasonable efforts to preserve in the repacking process the coverage area and population served of only full power and Class A television facilities (1) licensed as of February 22, 2012; or (2) for which an application for a license to cover was on file as of February 22, 2012.</w:t>
      </w:r>
      <w:r w:rsidR="00773A2C" w:rsidRPr="008F3CC0">
        <w:rPr>
          <w:rStyle w:val="FootnoteReference"/>
          <w:color w:val="000000" w:themeColor="text1"/>
          <w:sz w:val="22"/>
          <w:szCs w:val="22"/>
        </w:rPr>
        <w:footnoteReference w:id="5"/>
      </w:r>
      <w:r w:rsidR="00474DB9" w:rsidRPr="00222E5B">
        <w:rPr>
          <w:color w:val="000000" w:themeColor="text1"/>
          <w:szCs w:val="22"/>
        </w:rPr>
        <w:t xml:space="preserve"> </w:t>
      </w:r>
      <w:r w:rsidR="006F6628" w:rsidRPr="00222E5B">
        <w:rPr>
          <w:color w:val="000000" w:themeColor="text1"/>
          <w:szCs w:val="22"/>
        </w:rPr>
        <w:t xml:space="preserve"> </w:t>
      </w:r>
      <w:r w:rsidR="00474DB9" w:rsidRPr="00222E5B">
        <w:rPr>
          <w:color w:val="000000" w:themeColor="text1"/>
          <w:szCs w:val="22"/>
        </w:rPr>
        <w:t>The Commission interpret</w:t>
      </w:r>
      <w:r w:rsidR="00222E5B">
        <w:rPr>
          <w:color w:val="000000" w:themeColor="text1"/>
          <w:szCs w:val="22"/>
        </w:rPr>
        <w:t>ed</w:t>
      </w:r>
      <w:r w:rsidR="00474DB9" w:rsidRPr="00222E5B">
        <w:rPr>
          <w:color w:val="000000" w:themeColor="text1"/>
          <w:szCs w:val="22"/>
        </w:rPr>
        <w:t xml:space="preserve"> the Spectrum Act, however, </w:t>
      </w:r>
      <w:r w:rsidR="00222E5B">
        <w:rPr>
          <w:color w:val="000000" w:themeColor="text1"/>
          <w:szCs w:val="22"/>
        </w:rPr>
        <w:t>to allow</w:t>
      </w:r>
      <w:r w:rsidR="00474DB9" w:rsidRPr="00222E5B">
        <w:rPr>
          <w:color w:val="000000" w:themeColor="text1"/>
          <w:szCs w:val="22"/>
        </w:rPr>
        <w:t xml:space="preserve"> it to protect additional </w:t>
      </w:r>
      <w:r w:rsidR="00222E5B">
        <w:rPr>
          <w:color w:val="000000" w:themeColor="text1"/>
          <w:szCs w:val="22"/>
        </w:rPr>
        <w:t xml:space="preserve">broadcast television </w:t>
      </w:r>
      <w:r w:rsidR="00474DB9" w:rsidRPr="00222E5B">
        <w:rPr>
          <w:color w:val="000000" w:themeColor="text1"/>
          <w:szCs w:val="22"/>
        </w:rPr>
        <w:t>facilities beyond the statutory floor.</w:t>
      </w:r>
      <w:r w:rsidR="00474DB9" w:rsidRPr="008F3CC0">
        <w:rPr>
          <w:rStyle w:val="FootnoteReference"/>
          <w:color w:val="000000" w:themeColor="text1"/>
          <w:sz w:val="22"/>
          <w:szCs w:val="22"/>
        </w:rPr>
        <w:footnoteReference w:id="6"/>
      </w:r>
      <w:r w:rsidR="00474DB9" w:rsidRPr="00222E5B">
        <w:rPr>
          <w:color w:val="000000" w:themeColor="text1"/>
          <w:szCs w:val="22"/>
        </w:rPr>
        <w:t xml:space="preserve">  The Commission granted or denied discretionary protection to a handful of categories of facilities, after a careful balancing of numerous factors to achieve the goals of the Spectrum Act and other statutory and Commission goals.</w:t>
      </w:r>
      <w:r w:rsidR="00474DB9" w:rsidRPr="008F3CC0">
        <w:rPr>
          <w:rStyle w:val="FootnoteReference"/>
          <w:color w:val="000000" w:themeColor="text1"/>
          <w:sz w:val="22"/>
          <w:szCs w:val="22"/>
        </w:rPr>
        <w:footnoteReference w:id="7"/>
      </w:r>
      <w:r w:rsidR="00474DB9" w:rsidRPr="00222E5B">
        <w:rPr>
          <w:color w:val="000000" w:themeColor="text1"/>
          <w:szCs w:val="22"/>
        </w:rPr>
        <w:t xml:space="preserve">  </w:t>
      </w:r>
      <w:r w:rsidR="00474DB9" w:rsidRPr="00222E5B">
        <w:rPr>
          <w:color w:val="000000" w:themeColor="text1"/>
          <w:szCs w:val="22"/>
        </w:rPr>
        <w:lastRenderedPageBreak/>
        <w:t>The Commission also explained that reverse auction participation is limited to the licensees of full power and Class A television stations that will be protected in the repacking process</w:t>
      </w:r>
      <w:r w:rsidR="00F45250" w:rsidRPr="00222E5B">
        <w:rPr>
          <w:color w:val="000000" w:themeColor="text1"/>
          <w:szCs w:val="22"/>
        </w:rPr>
        <w:t>.</w:t>
      </w:r>
      <w:r w:rsidR="00474DB9" w:rsidRPr="008F3CC0">
        <w:rPr>
          <w:rStyle w:val="FootnoteReference"/>
          <w:color w:val="000000" w:themeColor="text1"/>
          <w:sz w:val="22"/>
          <w:szCs w:val="22"/>
        </w:rPr>
        <w:footnoteReference w:id="8"/>
      </w:r>
      <w:r w:rsidR="00474DB9" w:rsidRPr="00222E5B">
        <w:rPr>
          <w:color w:val="000000" w:themeColor="text1"/>
          <w:szCs w:val="22"/>
        </w:rPr>
        <w:t xml:space="preserve">   </w:t>
      </w:r>
    </w:p>
    <w:p w14:paraId="072B4EE3" w14:textId="3190BD86" w:rsidR="00F45250" w:rsidRPr="008F3CC0" w:rsidRDefault="00222E5B" w:rsidP="00B00B9A">
      <w:pPr>
        <w:pStyle w:val="ParaNum"/>
        <w:widowControl/>
        <w:ind w:firstLine="720"/>
        <w:rPr>
          <w:color w:val="000000" w:themeColor="text1"/>
          <w:szCs w:val="22"/>
        </w:rPr>
      </w:pPr>
      <w:r>
        <w:rPr>
          <w:color w:val="000000" w:themeColor="text1"/>
          <w:szCs w:val="22"/>
        </w:rPr>
        <w:t xml:space="preserve">With one exception, </w:t>
      </w:r>
      <w:r w:rsidR="00F45250" w:rsidRPr="008F3CC0">
        <w:rPr>
          <w:color w:val="000000" w:themeColor="text1"/>
          <w:szCs w:val="22"/>
        </w:rPr>
        <w:t xml:space="preserve">the Commission declined to extend discretionary protection </w:t>
      </w:r>
      <w:r>
        <w:rPr>
          <w:color w:val="000000" w:themeColor="text1"/>
          <w:szCs w:val="22"/>
        </w:rPr>
        <w:t>to</w:t>
      </w:r>
      <w:r w:rsidR="00F45250" w:rsidRPr="008F3CC0">
        <w:rPr>
          <w:color w:val="000000" w:themeColor="text1"/>
          <w:szCs w:val="22"/>
        </w:rPr>
        <w:t xml:space="preserve"> approximately 100 out-of-core Class A-eligible </w:t>
      </w:r>
      <w:r>
        <w:rPr>
          <w:color w:val="000000" w:themeColor="text1"/>
          <w:szCs w:val="22"/>
        </w:rPr>
        <w:t>low power television (</w:t>
      </w:r>
      <w:r w:rsidR="00F45250" w:rsidRPr="008F3CC0">
        <w:rPr>
          <w:color w:val="000000" w:themeColor="text1"/>
          <w:szCs w:val="22"/>
        </w:rPr>
        <w:t>LPTV</w:t>
      </w:r>
      <w:r>
        <w:rPr>
          <w:color w:val="000000" w:themeColor="text1"/>
          <w:szCs w:val="22"/>
        </w:rPr>
        <w:t>)</w:t>
      </w:r>
      <w:r w:rsidR="00F45250" w:rsidRPr="008F3CC0">
        <w:rPr>
          <w:color w:val="000000" w:themeColor="text1"/>
          <w:szCs w:val="22"/>
        </w:rPr>
        <w:t xml:space="preserve"> stations that obtained in-core channel</w:t>
      </w:r>
      <w:r>
        <w:rPr>
          <w:color w:val="000000" w:themeColor="text1"/>
          <w:szCs w:val="22"/>
        </w:rPr>
        <w:t>s</w:t>
      </w:r>
      <w:r w:rsidR="00F45250" w:rsidRPr="008F3CC0">
        <w:rPr>
          <w:color w:val="000000" w:themeColor="text1"/>
          <w:szCs w:val="22"/>
        </w:rPr>
        <w:t xml:space="preserve"> but had not filed for their Class A license</w:t>
      </w:r>
      <w:r>
        <w:rPr>
          <w:color w:val="000000" w:themeColor="text1"/>
          <w:szCs w:val="22"/>
        </w:rPr>
        <w:t>s</w:t>
      </w:r>
      <w:r w:rsidR="00F45250" w:rsidRPr="008F3CC0">
        <w:rPr>
          <w:color w:val="000000" w:themeColor="text1"/>
          <w:szCs w:val="22"/>
        </w:rPr>
        <w:t xml:space="preserve"> until after February 22, 2012.</w:t>
      </w:r>
      <w:r w:rsidR="00F45250" w:rsidRPr="008F3CC0">
        <w:rPr>
          <w:rStyle w:val="FootnoteReference"/>
          <w:color w:val="000000" w:themeColor="text1"/>
          <w:sz w:val="22"/>
          <w:szCs w:val="22"/>
        </w:rPr>
        <w:footnoteReference w:id="9"/>
      </w:r>
      <w:r w:rsidR="00F45250" w:rsidRPr="008F3CC0">
        <w:rPr>
          <w:color w:val="000000" w:themeColor="text1"/>
          <w:szCs w:val="22"/>
        </w:rPr>
        <w:t xml:space="preserve">  The Commission explained that protecting these approximately 100 stations would encumber additional spectrum, thereby limiting the Commission’s </w:t>
      </w:r>
      <w:r w:rsidR="00C018D3" w:rsidRPr="008F3CC0">
        <w:rPr>
          <w:color w:val="000000" w:themeColor="text1"/>
          <w:szCs w:val="22"/>
        </w:rPr>
        <w:t xml:space="preserve">repacking </w:t>
      </w:r>
      <w:r w:rsidR="00F45250" w:rsidRPr="008F3CC0">
        <w:rPr>
          <w:color w:val="000000" w:themeColor="text1"/>
          <w:szCs w:val="22"/>
        </w:rPr>
        <w:t>flexibility.</w:t>
      </w:r>
      <w:r w:rsidR="00F45250" w:rsidRPr="008F3CC0">
        <w:rPr>
          <w:rStyle w:val="FootnoteReference"/>
          <w:rFonts w:eastAsiaTheme="majorEastAsia"/>
          <w:color w:val="000000" w:themeColor="text1"/>
          <w:sz w:val="22"/>
          <w:szCs w:val="22"/>
        </w:rPr>
        <w:footnoteReference w:id="10"/>
      </w:r>
      <w:r w:rsidR="00F45250" w:rsidRPr="008F3CC0">
        <w:rPr>
          <w:color w:val="000000" w:themeColor="text1"/>
          <w:szCs w:val="22"/>
        </w:rPr>
        <w:t xml:space="preserve">  While the Commission recognized that these stations have made investments in their facilities, it concluded that this does not outweigh the </w:t>
      </w:r>
      <w:r w:rsidR="00226D17">
        <w:rPr>
          <w:color w:val="000000" w:themeColor="text1"/>
          <w:szCs w:val="22"/>
        </w:rPr>
        <w:t>potential harm of protecting them to the Commission’s statutory objective of repurposing spectrum through the incentive auction</w:t>
      </w:r>
      <w:r w:rsidR="00F45250" w:rsidRPr="008F3CC0">
        <w:rPr>
          <w:color w:val="000000" w:themeColor="text1"/>
          <w:szCs w:val="22"/>
        </w:rPr>
        <w:t>, especially in light of the failure of the</w:t>
      </w:r>
      <w:r w:rsidR="00226D17">
        <w:rPr>
          <w:color w:val="000000" w:themeColor="text1"/>
          <w:szCs w:val="22"/>
        </w:rPr>
        <w:t xml:space="preserve"> licensee</w:t>
      </w:r>
      <w:r w:rsidR="00F45250" w:rsidRPr="008F3CC0">
        <w:rPr>
          <w:color w:val="000000" w:themeColor="text1"/>
          <w:szCs w:val="22"/>
        </w:rPr>
        <w:t xml:space="preserve">s to take the necessary steps to obtain a Class A license and </w:t>
      </w:r>
      <w:r w:rsidR="00F01AD9">
        <w:rPr>
          <w:color w:val="000000" w:themeColor="text1"/>
          <w:szCs w:val="22"/>
        </w:rPr>
        <w:t>eliminate</w:t>
      </w:r>
      <w:r w:rsidR="00F01AD9" w:rsidRPr="008F3CC0">
        <w:rPr>
          <w:color w:val="000000" w:themeColor="text1"/>
          <w:szCs w:val="22"/>
        </w:rPr>
        <w:t xml:space="preserve"> </w:t>
      </w:r>
      <w:r w:rsidR="00F45250" w:rsidRPr="008F3CC0">
        <w:rPr>
          <w:color w:val="000000" w:themeColor="text1"/>
          <w:szCs w:val="22"/>
        </w:rPr>
        <w:t>their secondary status during the ten</w:t>
      </w:r>
      <w:r w:rsidR="00F01AD9">
        <w:rPr>
          <w:color w:val="000000" w:themeColor="text1"/>
          <w:szCs w:val="22"/>
        </w:rPr>
        <w:t>-</w:t>
      </w:r>
      <w:r w:rsidR="00F45250" w:rsidRPr="008F3CC0">
        <w:rPr>
          <w:color w:val="000000" w:themeColor="text1"/>
          <w:szCs w:val="22"/>
        </w:rPr>
        <w:t xml:space="preserve">plus years between passage of the </w:t>
      </w:r>
      <w:r w:rsidR="00F01AD9" w:rsidRPr="00176214">
        <w:rPr>
          <w:color w:val="000000" w:themeColor="text1"/>
        </w:rPr>
        <w:t xml:space="preserve">Community Broadcasters Protection Act </w:t>
      </w:r>
      <w:r w:rsidR="007E2AE3">
        <w:rPr>
          <w:color w:val="000000" w:themeColor="text1"/>
        </w:rPr>
        <w:t xml:space="preserve">of 1999 </w:t>
      </w:r>
      <w:r w:rsidR="00F45250" w:rsidRPr="008F3CC0">
        <w:rPr>
          <w:color w:val="000000" w:themeColor="text1"/>
          <w:szCs w:val="22"/>
        </w:rPr>
        <w:t>and the Spectrum Act.</w:t>
      </w:r>
      <w:r w:rsidR="00F45250" w:rsidRPr="008F3CC0">
        <w:rPr>
          <w:rStyle w:val="FootnoteReference"/>
          <w:color w:val="000000" w:themeColor="text1"/>
          <w:sz w:val="22"/>
          <w:szCs w:val="22"/>
        </w:rPr>
        <w:footnoteReference w:id="11"/>
      </w:r>
      <w:r w:rsidR="00F45250" w:rsidRPr="008F3CC0">
        <w:rPr>
          <w:color w:val="000000" w:themeColor="text1"/>
          <w:szCs w:val="22"/>
        </w:rPr>
        <w:t xml:space="preserve">  The Commission decided, however, to protect one station in this category (KHTV-CD) based on its demonstration in response to the </w:t>
      </w:r>
      <w:r w:rsidR="00F45250" w:rsidRPr="008F3CC0">
        <w:rPr>
          <w:i/>
          <w:color w:val="000000" w:themeColor="text1"/>
          <w:szCs w:val="22"/>
        </w:rPr>
        <w:t>Incentive Auction NPRM</w:t>
      </w:r>
      <w:r w:rsidR="00F45250" w:rsidRPr="008F3CC0">
        <w:rPr>
          <w:rStyle w:val="FootnoteReference"/>
          <w:color w:val="000000" w:themeColor="text1"/>
          <w:sz w:val="22"/>
          <w:szCs w:val="22"/>
        </w:rPr>
        <w:footnoteReference w:id="12"/>
      </w:r>
      <w:r w:rsidR="00F45250" w:rsidRPr="008F3CC0">
        <w:rPr>
          <w:i/>
          <w:color w:val="000000" w:themeColor="text1"/>
          <w:szCs w:val="22"/>
        </w:rPr>
        <w:t xml:space="preserve"> </w:t>
      </w:r>
      <w:r w:rsidR="00F45250" w:rsidRPr="008F3CC0">
        <w:rPr>
          <w:color w:val="000000" w:themeColor="text1"/>
          <w:szCs w:val="22"/>
        </w:rPr>
        <w:t>as to why it deserved discretionary protection.</w:t>
      </w:r>
      <w:r w:rsidR="00F45250" w:rsidRPr="008F3CC0">
        <w:rPr>
          <w:rStyle w:val="FootnoteReference"/>
          <w:color w:val="000000" w:themeColor="text1"/>
          <w:sz w:val="22"/>
          <w:szCs w:val="22"/>
        </w:rPr>
        <w:footnoteReference w:id="13"/>
      </w:r>
    </w:p>
    <w:p w14:paraId="1104C384" w14:textId="3B8C0459" w:rsidR="00E875B4" w:rsidRPr="009B0DEE" w:rsidRDefault="009B0DEE" w:rsidP="009B0DEE">
      <w:pPr>
        <w:pStyle w:val="ParaNum"/>
        <w:widowControl/>
        <w:ind w:firstLine="720"/>
        <w:rPr>
          <w:color w:val="000000" w:themeColor="text1"/>
          <w:szCs w:val="22"/>
        </w:rPr>
      </w:pPr>
      <w:r w:rsidRPr="008F3CC0">
        <w:rPr>
          <w:color w:val="000000" w:themeColor="text1"/>
          <w:szCs w:val="22"/>
        </w:rPr>
        <w:t xml:space="preserve">On September 15, 2014, two of the three </w:t>
      </w:r>
      <w:r>
        <w:rPr>
          <w:color w:val="000000" w:themeColor="text1"/>
          <w:szCs w:val="22"/>
        </w:rPr>
        <w:t>Movant</w:t>
      </w:r>
      <w:r w:rsidRPr="008F3CC0">
        <w:rPr>
          <w:color w:val="000000" w:themeColor="text1"/>
          <w:szCs w:val="22"/>
        </w:rPr>
        <w:t>s (Abacus and Videohouse) filed Petition</w:t>
      </w:r>
      <w:r>
        <w:rPr>
          <w:color w:val="000000" w:themeColor="text1"/>
          <w:szCs w:val="22"/>
        </w:rPr>
        <w:t>s</w:t>
      </w:r>
      <w:r w:rsidRPr="008F3CC0">
        <w:rPr>
          <w:color w:val="000000" w:themeColor="text1"/>
          <w:szCs w:val="22"/>
        </w:rPr>
        <w:t xml:space="preserve"> for Reconsideration of the </w:t>
      </w:r>
      <w:r w:rsidRPr="008F3CC0">
        <w:rPr>
          <w:i/>
          <w:color w:val="000000" w:themeColor="text1"/>
          <w:szCs w:val="22"/>
        </w:rPr>
        <w:t>Incentive Auction R&amp;O</w:t>
      </w:r>
      <w:r w:rsidRPr="008F3CC0">
        <w:rPr>
          <w:color w:val="000000" w:themeColor="text1"/>
          <w:szCs w:val="22"/>
        </w:rPr>
        <w:t>.</w:t>
      </w:r>
      <w:r w:rsidRPr="008F3CC0">
        <w:rPr>
          <w:rStyle w:val="FootnoteReference"/>
          <w:color w:val="000000" w:themeColor="text1"/>
          <w:sz w:val="22"/>
          <w:szCs w:val="22"/>
        </w:rPr>
        <w:footnoteReference w:id="14"/>
      </w:r>
      <w:r>
        <w:rPr>
          <w:color w:val="000000" w:themeColor="text1"/>
          <w:szCs w:val="22"/>
        </w:rPr>
        <w:t xml:space="preserve">  On </w:t>
      </w:r>
      <w:r w:rsidRPr="008F3CC0">
        <w:rPr>
          <w:color w:val="000000" w:themeColor="text1"/>
          <w:szCs w:val="22"/>
        </w:rPr>
        <w:t>June 17, 2015, the Commission dismiss</w:t>
      </w:r>
      <w:r>
        <w:rPr>
          <w:color w:val="000000" w:themeColor="text1"/>
          <w:szCs w:val="22"/>
        </w:rPr>
        <w:t>ed</w:t>
      </w:r>
      <w:r w:rsidRPr="008F3CC0">
        <w:rPr>
          <w:color w:val="000000" w:themeColor="text1"/>
          <w:szCs w:val="22"/>
        </w:rPr>
        <w:t xml:space="preserve"> their claims</w:t>
      </w:r>
      <w:r>
        <w:rPr>
          <w:color w:val="000000" w:themeColor="text1"/>
          <w:szCs w:val="22"/>
        </w:rPr>
        <w:t xml:space="preserve"> on procedural grounds and, as an alternative and independent ground for its decision, considered and denied the claims on the merits</w:t>
      </w:r>
      <w:r w:rsidRPr="008F3CC0">
        <w:rPr>
          <w:color w:val="000000" w:themeColor="text1"/>
          <w:szCs w:val="22"/>
        </w:rPr>
        <w:t>.</w:t>
      </w:r>
      <w:r>
        <w:rPr>
          <w:rStyle w:val="FootnoteReference"/>
          <w:szCs w:val="22"/>
        </w:rPr>
        <w:footnoteReference w:id="15"/>
      </w:r>
      <w:r w:rsidRPr="008F3CC0">
        <w:rPr>
          <w:color w:val="000000" w:themeColor="text1"/>
          <w:szCs w:val="22"/>
        </w:rPr>
        <w:t xml:space="preserve">  </w:t>
      </w:r>
      <w:r>
        <w:rPr>
          <w:color w:val="000000" w:themeColor="text1"/>
          <w:szCs w:val="22"/>
        </w:rPr>
        <w:t xml:space="preserve">In its </w:t>
      </w:r>
      <w:r>
        <w:rPr>
          <w:i/>
          <w:color w:val="000000" w:themeColor="text1"/>
          <w:szCs w:val="22"/>
        </w:rPr>
        <w:t xml:space="preserve">Reconsideration </w:t>
      </w:r>
      <w:r w:rsidRPr="00A74628">
        <w:rPr>
          <w:i/>
          <w:color w:val="000000" w:themeColor="text1"/>
          <w:szCs w:val="22"/>
        </w:rPr>
        <w:t>Order</w:t>
      </w:r>
      <w:r>
        <w:rPr>
          <w:color w:val="000000" w:themeColor="text1"/>
          <w:szCs w:val="22"/>
        </w:rPr>
        <w:t>, t</w:t>
      </w:r>
      <w:r w:rsidRPr="00226D17">
        <w:rPr>
          <w:color w:val="000000" w:themeColor="text1"/>
          <w:szCs w:val="22"/>
        </w:rPr>
        <w:t>he</w:t>
      </w:r>
      <w:r>
        <w:rPr>
          <w:color w:val="000000" w:themeColor="text1"/>
          <w:szCs w:val="22"/>
        </w:rPr>
        <w:t xml:space="preserve"> Commission also clarified which</w:t>
      </w:r>
      <w:r w:rsidRPr="007E0CF8">
        <w:rPr>
          <w:color w:val="000000" w:themeColor="text1"/>
          <w:szCs w:val="22"/>
        </w:rPr>
        <w:t xml:space="preserve"> Class A stations are entitled to protection</w:t>
      </w:r>
      <w:r>
        <w:rPr>
          <w:color w:val="000000" w:themeColor="text1"/>
          <w:szCs w:val="22"/>
        </w:rPr>
        <w:t xml:space="preserve"> in the repacking process.  First</w:t>
      </w:r>
      <w:r w:rsidRPr="007E0CF8">
        <w:rPr>
          <w:i/>
          <w:color w:val="000000" w:themeColor="text1"/>
          <w:szCs w:val="22"/>
        </w:rPr>
        <w:t xml:space="preserve">, </w:t>
      </w:r>
      <w:r>
        <w:rPr>
          <w:color w:val="000000" w:themeColor="text1"/>
          <w:szCs w:val="22"/>
        </w:rPr>
        <w:t>it explained</w:t>
      </w:r>
      <w:r w:rsidRPr="007E0CF8">
        <w:rPr>
          <w:color w:val="000000" w:themeColor="text1"/>
          <w:szCs w:val="22"/>
        </w:rPr>
        <w:t xml:space="preserve"> </w:t>
      </w:r>
      <w:r>
        <w:rPr>
          <w:color w:val="000000" w:themeColor="text1"/>
          <w:szCs w:val="22"/>
        </w:rPr>
        <w:t>that a Class A</w:t>
      </w:r>
      <w:r w:rsidRPr="007E0CF8">
        <w:rPr>
          <w:color w:val="000000" w:themeColor="text1"/>
          <w:szCs w:val="22"/>
        </w:rPr>
        <w:t xml:space="preserve"> station </w:t>
      </w:r>
      <w:r>
        <w:rPr>
          <w:color w:val="000000" w:themeColor="text1"/>
          <w:szCs w:val="22"/>
        </w:rPr>
        <w:t>that had</w:t>
      </w:r>
      <w:r w:rsidRPr="007E0CF8">
        <w:rPr>
          <w:color w:val="000000" w:themeColor="text1"/>
          <w:szCs w:val="22"/>
        </w:rPr>
        <w:t xml:space="preserve"> an application for a </w:t>
      </w:r>
      <w:r>
        <w:rPr>
          <w:color w:val="000000" w:themeColor="text1"/>
          <w:szCs w:val="22"/>
        </w:rPr>
        <w:t xml:space="preserve">license to cover a </w:t>
      </w:r>
      <w:r w:rsidRPr="007E0CF8">
        <w:rPr>
          <w:color w:val="000000" w:themeColor="text1"/>
          <w:szCs w:val="22"/>
        </w:rPr>
        <w:t xml:space="preserve">Class A </w:t>
      </w:r>
      <w:r>
        <w:rPr>
          <w:color w:val="000000" w:themeColor="text1"/>
          <w:szCs w:val="22"/>
        </w:rPr>
        <w:t xml:space="preserve">facility </w:t>
      </w:r>
      <w:r w:rsidRPr="007E0CF8">
        <w:rPr>
          <w:color w:val="000000" w:themeColor="text1"/>
          <w:szCs w:val="22"/>
        </w:rPr>
        <w:t>on file or granted as of February 22, 2012 is entitled to mandatory protection.</w:t>
      </w:r>
      <w:r w:rsidRPr="007E0CF8">
        <w:rPr>
          <w:rStyle w:val="FootnoteReference"/>
          <w:color w:val="000000" w:themeColor="text1"/>
          <w:sz w:val="22"/>
          <w:szCs w:val="22"/>
        </w:rPr>
        <w:footnoteReference w:id="16"/>
      </w:r>
      <w:r w:rsidRPr="007E0CF8">
        <w:rPr>
          <w:color w:val="000000" w:themeColor="text1"/>
          <w:szCs w:val="22"/>
        </w:rPr>
        <w:t xml:space="preserve">  </w:t>
      </w:r>
      <w:r>
        <w:rPr>
          <w:color w:val="000000" w:themeColor="text1"/>
          <w:szCs w:val="22"/>
        </w:rPr>
        <w:t>Second, based on</w:t>
      </w:r>
      <w:r w:rsidRPr="007E0CF8">
        <w:rPr>
          <w:color w:val="000000" w:themeColor="text1"/>
          <w:szCs w:val="22"/>
        </w:rPr>
        <w:t xml:space="preserve"> a careful balancing of </w:t>
      </w:r>
      <w:r>
        <w:rPr>
          <w:color w:val="000000" w:themeColor="text1"/>
          <w:szCs w:val="22"/>
        </w:rPr>
        <w:lastRenderedPageBreak/>
        <w:t xml:space="preserve">relevant </w:t>
      </w:r>
      <w:r w:rsidRPr="007E0CF8">
        <w:rPr>
          <w:color w:val="000000" w:themeColor="text1"/>
          <w:szCs w:val="22"/>
        </w:rPr>
        <w:t>factors</w:t>
      </w:r>
      <w:r>
        <w:rPr>
          <w:color w:val="000000" w:themeColor="text1"/>
          <w:szCs w:val="22"/>
        </w:rPr>
        <w:t>, it decided to extend discretionary protection to stations that requested Class A construction permits prior to February 22, 2012.</w:t>
      </w:r>
      <w:r>
        <w:rPr>
          <w:rStyle w:val="FootnoteReference"/>
          <w:szCs w:val="22"/>
        </w:rPr>
        <w:footnoteReference w:id="17"/>
      </w:r>
    </w:p>
    <w:p w14:paraId="56DCF279" w14:textId="047DD3F5" w:rsidR="00E26D74" w:rsidRPr="00E707C0" w:rsidRDefault="00F72542" w:rsidP="00D74A6B">
      <w:pPr>
        <w:pStyle w:val="ParaNum"/>
        <w:widowControl/>
        <w:ind w:firstLine="720"/>
        <w:rPr>
          <w:color w:val="000000" w:themeColor="text1"/>
          <w:szCs w:val="22"/>
        </w:rPr>
      </w:pPr>
      <w:r w:rsidRPr="00E707C0">
        <w:rPr>
          <w:color w:val="000000" w:themeColor="text1"/>
          <w:szCs w:val="22"/>
        </w:rPr>
        <w:t>On</w:t>
      </w:r>
      <w:r w:rsidR="00ED17A3" w:rsidRPr="00E707C0">
        <w:rPr>
          <w:color w:val="000000" w:themeColor="text1"/>
          <w:szCs w:val="22"/>
        </w:rPr>
        <w:t xml:space="preserve"> September 2,</w:t>
      </w:r>
      <w:r w:rsidRPr="00E707C0">
        <w:rPr>
          <w:color w:val="000000" w:themeColor="text1"/>
          <w:szCs w:val="22"/>
        </w:rPr>
        <w:t xml:space="preserve"> 2015, </w:t>
      </w:r>
      <w:r w:rsidR="00ED17A3" w:rsidRPr="00E707C0">
        <w:rPr>
          <w:color w:val="000000" w:themeColor="text1"/>
          <w:szCs w:val="22"/>
        </w:rPr>
        <w:t>Movant</w:t>
      </w:r>
      <w:r w:rsidRPr="00E707C0">
        <w:rPr>
          <w:color w:val="000000" w:themeColor="text1"/>
          <w:szCs w:val="22"/>
        </w:rPr>
        <w:t>s</w:t>
      </w:r>
      <w:r w:rsidR="00B20A25">
        <w:rPr>
          <w:color w:val="000000" w:themeColor="text1"/>
          <w:szCs w:val="22"/>
        </w:rPr>
        <w:t xml:space="preserve"> and one other licensee, KMYA, LLC</w:t>
      </w:r>
      <w:r w:rsidR="00764156">
        <w:rPr>
          <w:color w:val="000000" w:themeColor="text1"/>
          <w:szCs w:val="22"/>
        </w:rPr>
        <w:t xml:space="preserve"> (KMYA)</w:t>
      </w:r>
      <w:r w:rsidR="00B20A25">
        <w:rPr>
          <w:color w:val="000000" w:themeColor="text1"/>
          <w:szCs w:val="22"/>
        </w:rPr>
        <w:t>,</w:t>
      </w:r>
      <w:r w:rsidR="00ED17A3" w:rsidRPr="00E707C0">
        <w:rPr>
          <w:color w:val="000000" w:themeColor="text1"/>
          <w:szCs w:val="22"/>
        </w:rPr>
        <w:t xml:space="preserve"> </w:t>
      </w:r>
      <w:r w:rsidRPr="00E707C0">
        <w:rPr>
          <w:color w:val="000000" w:themeColor="text1"/>
          <w:szCs w:val="22"/>
        </w:rPr>
        <w:t xml:space="preserve">filed a Petition for Reconsideration of the </w:t>
      </w:r>
      <w:r w:rsidRPr="00E707C0">
        <w:rPr>
          <w:i/>
          <w:color w:val="000000" w:themeColor="text1"/>
          <w:szCs w:val="22"/>
        </w:rPr>
        <w:t>Reconsideration Order</w:t>
      </w:r>
      <w:r w:rsidR="002F3A4B" w:rsidRPr="00E707C0">
        <w:rPr>
          <w:color w:val="000000" w:themeColor="text1"/>
          <w:szCs w:val="22"/>
        </w:rPr>
        <w:t xml:space="preserve"> (the Second Recon</w:t>
      </w:r>
      <w:r w:rsidR="001E111E" w:rsidRPr="00E707C0">
        <w:rPr>
          <w:color w:val="000000" w:themeColor="text1"/>
          <w:szCs w:val="22"/>
        </w:rPr>
        <w:t>sideration</w:t>
      </w:r>
      <w:r w:rsidR="002F3A4B" w:rsidRPr="00E707C0">
        <w:rPr>
          <w:color w:val="000000" w:themeColor="text1"/>
          <w:szCs w:val="22"/>
        </w:rPr>
        <w:t xml:space="preserve"> Petition)</w:t>
      </w:r>
      <w:r w:rsidR="00B20A25">
        <w:rPr>
          <w:color w:val="000000" w:themeColor="text1"/>
          <w:szCs w:val="22"/>
        </w:rPr>
        <w:t>,</w:t>
      </w:r>
      <w:r w:rsidRPr="008F3CC0">
        <w:rPr>
          <w:rStyle w:val="FootnoteReference"/>
          <w:color w:val="000000" w:themeColor="text1"/>
          <w:sz w:val="22"/>
          <w:szCs w:val="22"/>
        </w:rPr>
        <w:footnoteReference w:id="18"/>
      </w:r>
      <w:r w:rsidR="00B20A25">
        <w:rPr>
          <w:color w:val="000000" w:themeColor="text1"/>
          <w:szCs w:val="22"/>
        </w:rPr>
        <w:t xml:space="preserve"> which </w:t>
      </w:r>
      <w:r w:rsidRPr="00E707C0">
        <w:rPr>
          <w:color w:val="000000" w:themeColor="text1"/>
          <w:szCs w:val="22"/>
        </w:rPr>
        <w:t>is pending</w:t>
      </w:r>
      <w:r w:rsidR="00B20A25">
        <w:rPr>
          <w:color w:val="000000" w:themeColor="text1"/>
          <w:szCs w:val="22"/>
        </w:rPr>
        <w:t xml:space="preserve"> before the Commission</w:t>
      </w:r>
      <w:r w:rsidRPr="00E707C0">
        <w:rPr>
          <w:color w:val="000000" w:themeColor="text1"/>
          <w:szCs w:val="22"/>
        </w:rPr>
        <w:t>.</w:t>
      </w:r>
      <w:r w:rsidR="00E707C0">
        <w:rPr>
          <w:color w:val="000000" w:themeColor="text1"/>
          <w:szCs w:val="22"/>
        </w:rPr>
        <w:t xml:space="preserve">  </w:t>
      </w:r>
      <w:r w:rsidR="00E26D74" w:rsidRPr="00E707C0">
        <w:rPr>
          <w:color w:val="000000" w:themeColor="text1"/>
          <w:szCs w:val="22"/>
        </w:rPr>
        <w:t xml:space="preserve">On </w:t>
      </w:r>
      <w:r w:rsidR="00D3312B" w:rsidRPr="00E707C0">
        <w:rPr>
          <w:color w:val="000000" w:themeColor="text1"/>
          <w:szCs w:val="22"/>
        </w:rPr>
        <w:t>November 12</w:t>
      </w:r>
      <w:r w:rsidR="00E26D74" w:rsidRPr="00E707C0">
        <w:rPr>
          <w:color w:val="000000" w:themeColor="text1"/>
          <w:szCs w:val="22"/>
        </w:rPr>
        <w:t xml:space="preserve">, 2015, the Media and Wireless Bureaus announced that the filing window for applications to participate in the reverse auction would commence on </w:t>
      </w:r>
      <w:r w:rsidR="00D3312B" w:rsidRPr="00E707C0">
        <w:rPr>
          <w:color w:val="000000" w:themeColor="text1"/>
          <w:szCs w:val="22"/>
        </w:rPr>
        <w:t xml:space="preserve">December 8, 2015 </w:t>
      </w:r>
      <w:r w:rsidR="00E26D74" w:rsidRPr="00E707C0">
        <w:rPr>
          <w:color w:val="000000" w:themeColor="text1"/>
          <w:szCs w:val="22"/>
        </w:rPr>
        <w:t>and end on January 12, 2016.</w:t>
      </w:r>
      <w:r w:rsidR="00D3312B">
        <w:rPr>
          <w:rStyle w:val="FootnoteReference"/>
          <w:szCs w:val="22"/>
        </w:rPr>
        <w:footnoteReference w:id="19"/>
      </w:r>
      <w:r w:rsidR="00D3312B" w:rsidRPr="00E707C0">
        <w:rPr>
          <w:color w:val="000000" w:themeColor="text1"/>
          <w:szCs w:val="22"/>
        </w:rPr>
        <w:t xml:space="preserve">  </w:t>
      </w:r>
      <w:r w:rsidR="00F3796B" w:rsidRPr="00E707C0">
        <w:rPr>
          <w:color w:val="000000" w:themeColor="text1"/>
          <w:szCs w:val="22"/>
        </w:rPr>
        <w:t>The Commission has announced that</w:t>
      </w:r>
      <w:r w:rsidR="00B20A25">
        <w:rPr>
          <w:color w:val="000000" w:themeColor="text1"/>
          <w:szCs w:val="22"/>
        </w:rPr>
        <w:t xml:space="preserve"> bidding in</w:t>
      </w:r>
      <w:r w:rsidR="00F3796B" w:rsidRPr="00E707C0">
        <w:rPr>
          <w:color w:val="000000" w:themeColor="text1"/>
          <w:szCs w:val="22"/>
        </w:rPr>
        <w:t xml:space="preserve"> the reverse auction will commence on March 29, 2016.</w:t>
      </w:r>
      <w:r w:rsidR="00D3312B">
        <w:rPr>
          <w:rStyle w:val="FootnoteReference"/>
          <w:szCs w:val="22"/>
        </w:rPr>
        <w:footnoteReference w:id="20"/>
      </w:r>
      <w:r w:rsidR="00F3796B" w:rsidRPr="00E707C0">
        <w:rPr>
          <w:color w:val="000000" w:themeColor="text1"/>
          <w:szCs w:val="22"/>
        </w:rPr>
        <w:t xml:space="preserve">  </w:t>
      </w:r>
    </w:p>
    <w:p w14:paraId="0BB34419" w14:textId="75B4360E" w:rsidR="002F3328" w:rsidRPr="008F3CC0" w:rsidRDefault="00CF03CD" w:rsidP="00B00B9A">
      <w:pPr>
        <w:pStyle w:val="ParaNum"/>
        <w:widowControl/>
        <w:ind w:firstLine="720"/>
        <w:rPr>
          <w:color w:val="000000" w:themeColor="text1"/>
          <w:szCs w:val="22"/>
        </w:rPr>
      </w:pPr>
      <w:r w:rsidRPr="008F3CC0">
        <w:rPr>
          <w:color w:val="000000" w:themeColor="text1"/>
          <w:szCs w:val="22"/>
        </w:rPr>
        <w:t>On</w:t>
      </w:r>
      <w:r w:rsidR="00F72542" w:rsidRPr="008F3CC0">
        <w:rPr>
          <w:color w:val="000000" w:themeColor="text1"/>
          <w:szCs w:val="22"/>
        </w:rPr>
        <w:t xml:space="preserve"> December 11, </w:t>
      </w:r>
      <w:r w:rsidR="00DC71D2" w:rsidRPr="008F3CC0">
        <w:rPr>
          <w:color w:val="000000" w:themeColor="text1"/>
          <w:szCs w:val="22"/>
        </w:rPr>
        <w:t xml:space="preserve">2015, </w:t>
      </w:r>
      <w:r w:rsidR="00ED17A3">
        <w:rPr>
          <w:color w:val="000000" w:themeColor="text1"/>
          <w:szCs w:val="22"/>
        </w:rPr>
        <w:t>Movant</w:t>
      </w:r>
      <w:r w:rsidR="00F72542" w:rsidRPr="008F3CC0">
        <w:rPr>
          <w:color w:val="000000" w:themeColor="text1"/>
          <w:szCs w:val="22"/>
        </w:rPr>
        <w:t>s filed the</w:t>
      </w:r>
      <w:r w:rsidR="00481806" w:rsidRPr="008F3CC0">
        <w:rPr>
          <w:color w:val="000000" w:themeColor="text1"/>
          <w:szCs w:val="22"/>
        </w:rPr>
        <w:t xml:space="preserve"> Stay Motion.  </w:t>
      </w:r>
      <w:r w:rsidR="001E111E" w:rsidRPr="008F3CC0">
        <w:rPr>
          <w:color w:val="000000" w:themeColor="text1"/>
          <w:szCs w:val="22"/>
        </w:rPr>
        <w:t xml:space="preserve">They ask for either (1) an extension of the deadline to file applications to participate in the reverse auction pending the Commission’s disposition of the Second Reconsideration Petition (any judicial review thereof); or (2) </w:t>
      </w:r>
      <w:r w:rsidR="00B20A25">
        <w:rPr>
          <w:color w:val="000000" w:themeColor="text1"/>
          <w:szCs w:val="22"/>
        </w:rPr>
        <w:t>that they be allowed to</w:t>
      </w:r>
      <w:r w:rsidR="001E111E" w:rsidRPr="008F3CC0">
        <w:rPr>
          <w:color w:val="000000" w:themeColor="text1"/>
          <w:szCs w:val="22"/>
        </w:rPr>
        <w:t xml:space="preserve"> participate in the reverse auction as currently scheduled, and </w:t>
      </w:r>
      <w:r w:rsidR="00B20A25">
        <w:rPr>
          <w:color w:val="000000" w:themeColor="text1"/>
          <w:szCs w:val="22"/>
        </w:rPr>
        <w:t>granted</w:t>
      </w:r>
      <w:r w:rsidR="00B20A25" w:rsidRPr="008F3CC0">
        <w:rPr>
          <w:color w:val="000000" w:themeColor="text1"/>
          <w:szCs w:val="22"/>
        </w:rPr>
        <w:t xml:space="preserve"> </w:t>
      </w:r>
      <w:r w:rsidR="001E111E" w:rsidRPr="008F3CC0">
        <w:rPr>
          <w:color w:val="000000" w:themeColor="text1"/>
          <w:szCs w:val="22"/>
        </w:rPr>
        <w:t>repacking protection pending the Commission’s disposition of the Second Reconsideration Petition (and any judicial review thereof).</w:t>
      </w:r>
      <w:r w:rsidR="001E111E" w:rsidRPr="008F3CC0">
        <w:rPr>
          <w:rStyle w:val="FootnoteReference"/>
          <w:color w:val="000000" w:themeColor="text1"/>
          <w:sz w:val="22"/>
          <w:szCs w:val="22"/>
        </w:rPr>
        <w:footnoteReference w:id="21"/>
      </w:r>
      <w:r w:rsidR="001E111E" w:rsidRPr="008F3CC0">
        <w:rPr>
          <w:color w:val="000000" w:themeColor="text1"/>
          <w:szCs w:val="22"/>
        </w:rPr>
        <w:t xml:space="preserve">  </w:t>
      </w:r>
      <w:r w:rsidR="00ED17A3">
        <w:rPr>
          <w:color w:val="000000" w:themeColor="text1"/>
          <w:szCs w:val="22"/>
        </w:rPr>
        <w:t>Movant</w:t>
      </w:r>
      <w:r w:rsidR="00481806" w:rsidRPr="008F3CC0">
        <w:rPr>
          <w:color w:val="000000" w:themeColor="text1"/>
          <w:szCs w:val="22"/>
        </w:rPr>
        <w:t>s state that they will consider the Stay Motion to be denied if no action is taken by December 18, 2015.</w:t>
      </w:r>
      <w:r w:rsidR="007B77BF" w:rsidRPr="008F3CC0">
        <w:rPr>
          <w:rStyle w:val="FootnoteReference"/>
          <w:color w:val="000000" w:themeColor="text1"/>
          <w:sz w:val="22"/>
          <w:szCs w:val="22"/>
        </w:rPr>
        <w:footnoteReference w:id="22"/>
      </w:r>
    </w:p>
    <w:p w14:paraId="77482069" w14:textId="77777777" w:rsidR="002F3328" w:rsidRPr="008F3CC0" w:rsidRDefault="002F3328" w:rsidP="002F3328">
      <w:pPr>
        <w:pStyle w:val="Heading1"/>
        <w:rPr>
          <w:rFonts w:ascii="Times New Roman" w:hAnsi="Times New Roman"/>
          <w:color w:val="000000" w:themeColor="text1"/>
          <w:szCs w:val="22"/>
        </w:rPr>
      </w:pPr>
      <w:r w:rsidRPr="008F3CC0">
        <w:rPr>
          <w:rFonts w:ascii="Times New Roman" w:hAnsi="Times New Roman"/>
          <w:color w:val="000000" w:themeColor="text1"/>
          <w:szCs w:val="22"/>
        </w:rPr>
        <w:t>Discussion</w:t>
      </w:r>
    </w:p>
    <w:p w14:paraId="2510583A" w14:textId="414297D8" w:rsidR="002F3328" w:rsidRPr="008F3CC0" w:rsidRDefault="00274A5F" w:rsidP="00305DA9">
      <w:pPr>
        <w:pStyle w:val="ParaNum"/>
        <w:ind w:firstLine="720"/>
        <w:rPr>
          <w:color w:val="000000" w:themeColor="text1"/>
          <w:szCs w:val="22"/>
        </w:rPr>
      </w:pPr>
      <w:r w:rsidRPr="008F3CC0">
        <w:rPr>
          <w:color w:val="000000" w:themeColor="text1"/>
          <w:szCs w:val="22"/>
        </w:rPr>
        <w:t xml:space="preserve">In determining whether to stay the effectiveness of one of its </w:t>
      </w:r>
      <w:r w:rsidR="00F621D5" w:rsidRPr="008F3CC0">
        <w:rPr>
          <w:color w:val="000000" w:themeColor="text1"/>
          <w:szCs w:val="22"/>
        </w:rPr>
        <w:t>Order</w:t>
      </w:r>
      <w:r w:rsidRPr="008F3CC0">
        <w:rPr>
          <w:color w:val="000000" w:themeColor="text1"/>
          <w:szCs w:val="22"/>
        </w:rPr>
        <w:t xml:space="preserve">s, the Commission applies </w:t>
      </w:r>
      <w:r w:rsidR="006918C5" w:rsidRPr="008F3CC0">
        <w:rPr>
          <w:color w:val="000000" w:themeColor="text1"/>
          <w:szCs w:val="22"/>
        </w:rPr>
        <w:t xml:space="preserve">the traditional </w:t>
      </w:r>
      <w:r w:rsidRPr="008F3CC0">
        <w:rPr>
          <w:color w:val="000000" w:themeColor="text1"/>
          <w:szCs w:val="22"/>
        </w:rPr>
        <w:t>four-factor test</w:t>
      </w:r>
      <w:r w:rsidR="00B54F4E" w:rsidRPr="008F3CC0">
        <w:rPr>
          <w:color w:val="000000" w:themeColor="text1"/>
          <w:szCs w:val="22"/>
        </w:rPr>
        <w:t xml:space="preserve"> </w:t>
      </w:r>
      <w:r w:rsidR="001A14A5" w:rsidRPr="008F3CC0">
        <w:rPr>
          <w:color w:val="000000" w:themeColor="text1"/>
          <w:szCs w:val="22"/>
        </w:rPr>
        <w:t>employed</w:t>
      </w:r>
      <w:r w:rsidR="00B54F4E" w:rsidRPr="008F3CC0">
        <w:rPr>
          <w:color w:val="000000" w:themeColor="text1"/>
          <w:szCs w:val="22"/>
        </w:rPr>
        <w:t xml:space="preserve"> by the </w:t>
      </w:r>
      <w:r w:rsidR="000E6042" w:rsidRPr="008F3CC0">
        <w:rPr>
          <w:color w:val="000000" w:themeColor="text1"/>
          <w:szCs w:val="22"/>
        </w:rPr>
        <w:t xml:space="preserve">U.S. </w:t>
      </w:r>
      <w:r w:rsidR="00B54F4E" w:rsidRPr="008F3CC0">
        <w:rPr>
          <w:color w:val="000000" w:themeColor="text1"/>
          <w:szCs w:val="22"/>
        </w:rPr>
        <w:t>Court of Appeals for the District of Columbia Circuit (“D.C. Circuit”)</w:t>
      </w:r>
      <w:r w:rsidRPr="008F3CC0">
        <w:rPr>
          <w:color w:val="000000" w:themeColor="text1"/>
          <w:szCs w:val="22"/>
        </w:rPr>
        <w:t>.</w:t>
      </w:r>
      <w:r w:rsidRPr="008F3CC0">
        <w:rPr>
          <w:color w:val="000000" w:themeColor="text1"/>
          <w:szCs w:val="22"/>
          <w:vertAlign w:val="superscript"/>
        </w:rPr>
        <w:footnoteReference w:id="23"/>
      </w:r>
      <w:r w:rsidRPr="008F3CC0">
        <w:rPr>
          <w:color w:val="000000" w:themeColor="text1"/>
          <w:szCs w:val="22"/>
        </w:rPr>
        <w:t xml:space="preserve">  </w:t>
      </w:r>
      <w:r w:rsidR="002F3328" w:rsidRPr="008F3CC0">
        <w:rPr>
          <w:color w:val="000000" w:themeColor="text1"/>
          <w:szCs w:val="22"/>
        </w:rPr>
        <w:t xml:space="preserve">To qualify for the extraordinary remedy of a stay, a </w:t>
      </w:r>
      <w:r w:rsidR="00E26D74" w:rsidRPr="008F3CC0">
        <w:rPr>
          <w:color w:val="000000" w:themeColor="text1"/>
          <w:szCs w:val="22"/>
        </w:rPr>
        <w:t xml:space="preserve">movant </w:t>
      </w:r>
      <w:r w:rsidR="002F3328" w:rsidRPr="008F3CC0">
        <w:rPr>
          <w:color w:val="000000" w:themeColor="text1"/>
          <w:szCs w:val="22"/>
        </w:rPr>
        <w:t>must show that: (1) it is likely to prevail on the merits; (2) it will suffer irreparable harm absent the grant of preliminary relief; (3) other interested parties will not be harmed if the stay is granted; and (4) the public interest would favor grant of the stay</w:t>
      </w:r>
      <w:r w:rsidRPr="008F3CC0">
        <w:rPr>
          <w:color w:val="000000" w:themeColor="text1"/>
          <w:szCs w:val="22"/>
        </w:rPr>
        <w:t>.</w:t>
      </w:r>
      <w:r w:rsidR="002F3328" w:rsidRPr="008F3CC0">
        <w:rPr>
          <w:color w:val="000000" w:themeColor="text1"/>
          <w:szCs w:val="22"/>
        </w:rPr>
        <w:t xml:space="preserve"> </w:t>
      </w:r>
      <w:r w:rsidR="0092670B" w:rsidRPr="008F3CC0">
        <w:rPr>
          <w:color w:val="000000" w:themeColor="text1"/>
          <w:szCs w:val="22"/>
        </w:rPr>
        <w:t xml:space="preserve"> </w:t>
      </w:r>
      <w:r w:rsidR="002F3328" w:rsidRPr="008F3CC0">
        <w:rPr>
          <w:color w:val="000000" w:themeColor="text1"/>
          <w:szCs w:val="22"/>
        </w:rPr>
        <w:t xml:space="preserve">For the reasons described below, </w:t>
      </w:r>
      <w:r w:rsidR="00BD1B9A" w:rsidRPr="008F3CC0">
        <w:rPr>
          <w:color w:val="000000" w:themeColor="text1"/>
          <w:szCs w:val="22"/>
        </w:rPr>
        <w:t xml:space="preserve">we </w:t>
      </w:r>
      <w:r w:rsidR="001A14A5" w:rsidRPr="008F3CC0">
        <w:rPr>
          <w:color w:val="000000" w:themeColor="text1"/>
          <w:szCs w:val="22"/>
        </w:rPr>
        <w:t>conclude</w:t>
      </w:r>
      <w:r w:rsidR="00BD1B9A" w:rsidRPr="008F3CC0">
        <w:rPr>
          <w:color w:val="000000" w:themeColor="text1"/>
          <w:szCs w:val="22"/>
        </w:rPr>
        <w:t xml:space="preserve"> that </w:t>
      </w:r>
      <w:r w:rsidR="00ED17A3">
        <w:rPr>
          <w:color w:val="000000" w:themeColor="text1"/>
          <w:szCs w:val="22"/>
        </w:rPr>
        <w:t>Movant</w:t>
      </w:r>
      <w:r w:rsidR="00E26D74" w:rsidRPr="008F3CC0">
        <w:rPr>
          <w:color w:val="000000" w:themeColor="text1"/>
          <w:szCs w:val="22"/>
        </w:rPr>
        <w:t>s</w:t>
      </w:r>
      <w:r w:rsidR="002F3328" w:rsidRPr="008F3CC0">
        <w:rPr>
          <w:color w:val="000000" w:themeColor="text1"/>
          <w:szCs w:val="22"/>
        </w:rPr>
        <w:t xml:space="preserve"> have failed to meet the test for this extraordinary equitable relief.</w:t>
      </w:r>
    </w:p>
    <w:p w14:paraId="7F157B1D" w14:textId="40EA0BC0" w:rsidR="002F3328" w:rsidRPr="008F3CC0" w:rsidRDefault="00ED17A3" w:rsidP="0049272C">
      <w:pPr>
        <w:pStyle w:val="Heading2"/>
        <w:rPr>
          <w:color w:val="000000" w:themeColor="text1"/>
          <w:szCs w:val="22"/>
        </w:rPr>
      </w:pPr>
      <w:r>
        <w:rPr>
          <w:color w:val="000000" w:themeColor="text1"/>
          <w:szCs w:val="22"/>
        </w:rPr>
        <w:t>Movant</w:t>
      </w:r>
      <w:r w:rsidR="00E26D74" w:rsidRPr="008F3CC0">
        <w:rPr>
          <w:color w:val="000000" w:themeColor="text1"/>
          <w:szCs w:val="22"/>
        </w:rPr>
        <w:t xml:space="preserve">s </w:t>
      </w:r>
      <w:r w:rsidR="000D4076" w:rsidRPr="008F3CC0">
        <w:rPr>
          <w:color w:val="000000" w:themeColor="text1"/>
          <w:szCs w:val="22"/>
        </w:rPr>
        <w:t xml:space="preserve">are Unlikely to </w:t>
      </w:r>
      <w:r w:rsidR="0050178C" w:rsidRPr="008F3CC0">
        <w:rPr>
          <w:color w:val="000000" w:themeColor="text1"/>
          <w:szCs w:val="22"/>
        </w:rPr>
        <w:t>P</w:t>
      </w:r>
      <w:r w:rsidR="000D4076" w:rsidRPr="008F3CC0">
        <w:rPr>
          <w:color w:val="000000" w:themeColor="text1"/>
          <w:szCs w:val="22"/>
        </w:rPr>
        <w:t>revail</w:t>
      </w:r>
      <w:r w:rsidR="002F3328" w:rsidRPr="008F3CC0">
        <w:rPr>
          <w:color w:val="000000" w:themeColor="text1"/>
          <w:szCs w:val="22"/>
        </w:rPr>
        <w:t xml:space="preserve"> on the Merits</w:t>
      </w:r>
    </w:p>
    <w:p w14:paraId="7A8FB044" w14:textId="0F803309" w:rsidR="000B6571" w:rsidRDefault="00ED17A3" w:rsidP="00B00B9A">
      <w:pPr>
        <w:pStyle w:val="ParaNum"/>
        <w:widowControl/>
        <w:ind w:firstLine="720"/>
        <w:rPr>
          <w:color w:val="000000" w:themeColor="text1"/>
          <w:szCs w:val="22"/>
        </w:rPr>
      </w:pPr>
      <w:r>
        <w:rPr>
          <w:color w:val="000000" w:themeColor="text1"/>
          <w:szCs w:val="22"/>
        </w:rPr>
        <w:t>Movant</w:t>
      </w:r>
      <w:r w:rsidR="00F45250" w:rsidRPr="008F3CC0">
        <w:rPr>
          <w:color w:val="000000" w:themeColor="text1"/>
          <w:szCs w:val="22"/>
        </w:rPr>
        <w:t xml:space="preserve">s </w:t>
      </w:r>
      <w:r w:rsidR="00A63FC4" w:rsidRPr="008F3CC0">
        <w:rPr>
          <w:color w:val="000000" w:themeColor="text1"/>
          <w:szCs w:val="22"/>
        </w:rPr>
        <w:t xml:space="preserve">have </w:t>
      </w:r>
      <w:r w:rsidR="0098146F" w:rsidRPr="008F3CC0">
        <w:rPr>
          <w:color w:val="000000" w:themeColor="text1"/>
          <w:szCs w:val="22"/>
        </w:rPr>
        <w:t>fail</w:t>
      </w:r>
      <w:r w:rsidR="00A63FC4" w:rsidRPr="008F3CC0">
        <w:rPr>
          <w:color w:val="000000" w:themeColor="text1"/>
          <w:szCs w:val="22"/>
        </w:rPr>
        <w:t>ed</w:t>
      </w:r>
      <w:r w:rsidR="0098146F" w:rsidRPr="008F3CC0">
        <w:rPr>
          <w:color w:val="000000" w:themeColor="text1"/>
          <w:szCs w:val="22"/>
        </w:rPr>
        <w:t xml:space="preserve"> to demonstrate that they are likely to succeed on the merits</w:t>
      </w:r>
      <w:r w:rsidR="006F6628">
        <w:rPr>
          <w:color w:val="000000" w:themeColor="text1"/>
          <w:szCs w:val="22"/>
        </w:rPr>
        <w:t xml:space="preserve">.  </w:t>
      </w:r>
      <w:r w:rsidR="00F45250" w:rsidRPr="008F3CC0">
        <w:rPr>
          <w:color w:val="000000" w:themeColor="text1"/>
          <w:szCs w:val="22"/>
        </w:rPr>
        <w:t xml:space="preserve">Indeed, most of the arguments they raise have already been considered and rejected by the Commission.  </w:t>
      </w:r>
    </w:p>
    <w:p w14:paraId="63E2625C" w14:textId="7926BC1B" w:rsidR="00D3312B" w:rsidRDefault="00F45250" w:rsidP="003D3DDB">
      <w:pPr>
        <w:pStyle w:val="ParaNum"/>
        <w:widowControl/>
        <w:ind w:firstLine="720"/>
        <w:rPr>
          <w:color w:val="000000" w:themeColor="text1"/>
          <w:szCs w:val="22"/>
        </w:rPr>
      </w:pPr>
      <w:r w:rsidRPr="008F3CC0">
        <w:rPr>
          <w:color w:val="000000" w:themeColor="text1"/>
          <w:szCs w:val="22"/>
        </w:rPr>
        <w:t xml:space="preserve">First, </w:t>
      </w:r>
      <w:r w:rsidR="007B745A">
        <w:rPr>
          <w:color w:val="000000" w:themeColor="text1"/>
          <w:szCs w:val="22"/>
        </w:rPr>
        <w:t xml:space="preserve">Movants </w:t>
      </w:r>
      <w:r w:rsidR="00284783">
        <w:rPr>
          <w:color w:val="000000" w:themeColor="text1"/>
          <w:szCs w:val="22"/>
        </w:rPr>
        <w:t xml:space="preserve">are unlikely to succeed on their claim </w:t>
      </w:r>
      <w:r w:rsidR="007B745A">
        <w:rPr>
          <w:color w:val="000000" w:themeColor="text1"/>
          <w:szCs w:val="22"/>
        </w:rPr>
        <w:t xml:space="preserve">that the </w:t>
      </w:r>
      <w:r w:rsidR="00BC48C5">
        <w:rPr>
          <w:color w:val="000000" w:themeColor="text1"/>
          <w:szCs w:val="22"/>
        </w:rPr>
        <w:t xml:space="preserve">Commission erred in dismissing the 2014 </w:t>
      </w:r>
      <w:r w:rsidR="003D3DDB">
        <w:rPr>
          <w:color w:val="000000" w:themeColor="text1"/>
          <w:szCs w:val="22"/>
        </w:rPr>
        <w:t>Petition</w:t>
      </w:r>
      <w:r w:rsidR="00BC48C5">
        <w:rPr>
          <w:color w:val="000000" w:themeColor="text1"/>
          <w:szCs w:val="22"/>
        </w:rPr>
        <w:t>s</w:t>
      </w:r>
      <w:r w:rsidR="003D3DDB">
        <w:rPr>
          <w:color w:val="000000" w:themeColor="text1"/>
          <w:szCs w:val="22"/>
        </w:rPr>
        <w:t xml:space="preserve"> </w:t>
      </w:r>
      <w:r w:rsidR="00BC48C5">
        <w:rPr>
          <w:color w:val="000000" w:themeColor="text1"/>
          <w:szCs w:val="22"/>
        </w:rPr>
        <w:t>on procedural grounds</w:t>
      </w:r>
      <w:r w:rsidR="007B745A">
        <w:rPr>
          <w:color w:val="000000" w:themeColor="text1"/>
          <w:szCs w:val="22"/>
        </w:rPr>
        <w:t>.</w:t>
      </w:r>
      <w:r w:rsidR="007B745A">
        <w:rPr>
          <w:rStyle w:val="FootnoteReference"/>
          <w:szCs w:val="22"/>
        </w:rPr>
        <w:footnoteReference w:id="24"/>
      </w:r>
      <w:r w:rsidR="007B745A">
        <w:rPr>
          <w:color w:val="000000" w:themeColor="text1"/>
          <w:szCs w:val="22"/>
        </w:rPr>
        <w:t xml:space="preserve">  Movants did not </w:t>
      </w:r>
      <w:r w:rsidR="007B745A" w:rsidRPr="007E0CF8">
        <w:rPr>
          <w:color w:val="000000" w:themeColor="text1"/>
          <w:szCs w:val="22"/>
        </w:rPr>
        <w:t xml:space="preserve">present facts or arguments </w:t>
      </w:r>
      <w:r w:rsidR="007B745A">
        <w:rPr>
          <w:color w:val="000000" w:themeColor="text1"/>
          <w:szCs w:val="22"/>
        </w:rPr>
        <w:t>purporting to support discretionary p</w:t>
      </w:r>
      <w:r w:rsidR="007B745A" w:rsidRPr="007E0CF8">
        <w:rPr>
          <w:color w:val="000000" w:themeColor="text1"/>
          <w:szCs w:val="22"/>
        </w:rPr>
        <w:t xml:space="preserve">rotection </w:t>
      </w:r>
      <w:r w:rsidR="007B745A">
        <w:rPr>
          <w:color w:val="000000" w:themeColor="text1"/>
          <w:szCs w:val="22"/>
        </w:rPr>
        <w:t xml:space="preserve">of their stations until after </w:t>
      </w:r>
      <w:r w:rsidR="007B745A" w:rsidRPr="007E0CF8">
        <w:rPr>
          <w:color w:val="000000" w:themeColor="text1"/>
          <w:szCs w:val="22"/>
        </w:rPr>
        <w:t xml:space="preserve">adoption of the </w:t>
      </w:r>
      <w:r w:rsidR="007B745A" w:rsidRPr="007E0CF8">
        <w:rPr>
          <w:i/>
          <w:color w:val="000000" w:themeColor="text1"/>
          <w:szCs w:val="22"/>
        </w:rPr>
        <w:t>Incentive Auction R&amp;O</w:t>
      </w:r>
      <w:r w:rsidR="007B745A">
        <w:rPr>
          <w:color w:val="000000" w:themeColor="text1"/>
          <w:szCs w:val="22"/>
        </w:rPr>
        <w:t xml:space="preserve">, </w:t>
      </w:r>
      <w:r w:rsidR="007B745A" w:rsidRPr="007E0CF8">
        <w:rPr>
          <w:color w:val="000000" w:themeColor="text1"/>
          <w:szCs w:val="22"/>
        </w:rPr>
        <w:t xml:space="preserve">even though all of the facts or arguments put forth </w:t>
      </w:r>
      <w:r w:rsidR="007B745A">
        <w:rPr>
          <w:color w:val="000000" w:themeColor="text1"/>
          <w:szCs w:val="22"/>
        </w:rPr>
        <w:t xml:space="preserve">in the </w:t>
      </w:r>
      <w:r w:rsidR="00BC48C5">
        <w:rPr>
          <w:color w:val="000000" w:themeColor="text1"/>
          <w:szCs w:val="22"/>
        </w:rPr>
        <w:t>2014</w:t>
      </w:r>
      <w:r w:rsidR="007B745A">
        <w:rPr>
          <w:color w:val="000000" w:themeColor="text1"/>
          <w:szCs w:val="22"/>
        </w:rPr>
        <w:t xml:space="preserve"> Petition</w:t>
      </w:r>
      <w:r w:rsidR="00BC48C5">
        <w:rPr>
          <w:color w:val="000000" w:themeColor="text1"/>
          <w:szCs w:val="22"/>
        </w:rPr>
        <w:t>s</w:t>
      </w:r>
      <w:r w:rsidR="007B745A" w:rsidRPr="007E0CF8">
        <w:rPr>
          <w:color w:val="000000" w:themeColor="text1"/>
          <w:szCs w:val="22"/>
        </w:rPr>
        <w:t xml:space="preserve"> existed at the time the </w:t>
      </w:r>
      <w:r w:rsidR="007B745A" w:rsidRPr="007E0CF8">
        <w:rPr>
          <w:i/>
          <w:color w:val="000000" w:themeColor="text1"/>
          <w:szCs w:val="22"/>
        </w:rPr>
        <w:t>Incentive Auction R&amp;O</w:t>
      </w:r>
      <w:r w:rsidR="007B745A" w:rsidRPr="007E0CF8">
        <w:rPr>
          <w:color w:val="000000" w:themeColor="text1"/>
          <w:szCs w:val="22"/>
        </w:rPr>
        <w:t xml:space="preserve"> was adopted.</w:t>
      </w:r>
      <w:r w:rsidR="007B745A" w:rsidRPr="007E0CF8">
        <w:rPr>
          <w:rStyle w:val="FootnoteReference"/>
          <w:color w:val="000000" w:themeColor="text1"/>
          <w:sz w:val="22"/>
          <w:szCs w:val="22"/>
        </w:rPr>
        <w:footnoteReference w:id="25"/>
      </w:r>
      <w:r w:rsidR="007B745A">
        <w:rPr>
          <w:color w:val="000000" w:themeColor="text1"/>
          <w:szCs w:val="22"/>
        </w:rPr>
        <w:t xml:space="preserve">  </w:t>
      </w:r>
      <w:r w:rsidR="00F01AD9">
        <w:rPr>
          <w:color w:val="000000" w:themeColor="text1"/>
          <w:szCs w:val="22"/>
        </w:rPr>
        <w:t xml:space="preserve">Contrary to </w:t>
      </w:r>
      <w:r w:rsidR="009F2827">
        <w:rPr>
          <w:color w:val="000000" w:themeColor="text1"/>
          <w:szCs w:val="22"/>
        </w:rPr>
        <w:t xml:space="preserve">Movants’ claim, </w:t>
      </w:r>
      <w:r w:rsidR="007B745A" w:rsidRPr="007E0CF8">
        <w:rPr>
          <w:color w:val="000000" w:themeColor="text1"/>
          <w:szCs w:val="22"/>
        </w:rPr>
        <w:t xml:space="preserve">no </w:t>
      </w:r>
      <w:r w:rsidR="007B745A">
        <w:rPr>
          <w:color w:val="000000" w:themeColor="text1"/>
          <w:szCs w:val="22"/>
        </w:rPr>
        <w:t xml:space="preserve">other party </w:t>
      </w:r>
      <w:r w:rsidR="007B745A" w:rsidRPr="007E0CF8">
        <w:rPr>
          <w:color w:val="000000" w:themeColor="text1"/>
          <w:szCs w:val="22"/>
        </w:rPr>
        <w:t xml:space="preserve">presented </w:t>
      </w:r>
      <w:r w:rsidR="007B745A">
        <w:rPr>
          <w:color w:val="000000" w:themeColor="text1"/>
          <w:szCs w:val="22"/>
        </w:rPr>
        <w:t xml:space="preserve">such </w:t>
      </w:r>
      <w:r w:rsidR="007B745A" w:rsidRPr="007E0CF8">
        <w:rPr>
          <w:color w:val="000000" w:themeColor="text1"/>
          <w:szCs w:val="22"/>
        </w:rPr>
        <w:t>facts or arguments</w:t>
      </w:r>
      <w:r w:rsidR="006245F0">
        <w:rPr>
          <w:color w:val="000000" w:themeColor="text1"/>
          <w:szCs w:val="22"/>
        </w:rPr>
        <w:t xml:space="preserve">:  </w:t>
      </w:r>
      <w:r w:rsidR="003D1168">
        <w:rPr>
          <w:color w:val="000000" w:themeColor="text1"/>
          <w:szCs w:val="22"/>
        </w:rPr>
        <w:t xml:space="preserve">rather, </w:t>
      </w:r>
      <w:r w:rsidR="00A0753B">
        <w:rPr>
          <w:color w:val="000000" w:themeColor="text1"/>
          <w:szCs w:val="22"/>
        </w:rPr>
        <w:t>the one formerly</w:t>
      </w:r>
      <w:r w:rsidR="00A0753B" w:rsidRPr="00A0753B">
        <w:rPr>
          <w:color w:val="000000" w:themeColor="text1"/>
          <w:szCs w:val="22"/>
        </w:rPr>
        <w:t xml:space="preserve"> </w:t>
      </w:r>
      <w:r w:rsidR="00A0753B" w:rsidRPr="008F3CC0">
        <w:rPr>
          <w:color w:val="000000" w:themeColor="text1"/>
          <w:szCs w:val="22"/>
        </w:rPr>
        <w:t>out-of-core Class A-eligible</w:t>
      </w:r>
      <w:r w:rsidR="00A0753B">
        <w:rPr>
          <w:color w:val="000000" w:themeColor="text1"/>
          <w:szCs w:val="22"/>
        </w:rPr>
        <w:t xml:space="preserve"> station (KHTV-CD) that commented on the </w:t>
      </w:r>
      <w:r w:rsidR="00A0753B" w:rsidRPr="00A0753B">
        <w:rPr>
          <w:i/>
          <w:color w:val="000000" w:themeColor="text1"/>
          <w:szCs w:val="22"/>
        </w:rPr>
        <w:t>Incentive Auction NPRM</w:t>
      </w:r>
      <w:r w:rsidR="00A0753B">
        <w:rPr>
          <w:color w:val="000000" w:themeColor="text1"/>
          <w:szCs w:val="22"/>
        </w:rPr>
        <w:t xml:space="preserve"> </w:t>
      </w:r>
      <w:r w:rsidR="003D1168">
        <w:rPr>
          <w:color w:val="000000" w:themeColor="text1"/>
          <w:szCs w:val="22"/>
        </w:rPr>
        <w:t xml:space="preserve">provided only specific facts related to </w:t>
      </w:r>
      <w:r w:rsidR="00A0753B">
        <w:rPr>
          <w:color w:val="000000" w:themeColor="text1"/>
          <w:szCs w:val="22"/>
        </w:rPr>
        <w:t xml:space="preserve">its </w:t>
      </w:r>
      <w:r w:rsidR="003D1168">
        <w:rPr>
          <w:color w:val="000000" w:themeColor="text1"/>
          <w:szCs w:val="22"/>
        </w:rPr>
        <w:t xml:space="preserve">unique circumstances.  </w:t>
      </w:r>
      <w:r w:rsidR="000E4CBF">
        <w:rPr>
          <w:color w:val="000000" w:themeColor="text1"/>
          <w:szCs w:val="22"/>
        </w:rPr>
        <w:t xml:space="preserve">The comments on which </w:t>
      </w:r>
      <w:r w:rsidR="003D1168">
        <w:rPr>
          <w:color w:val="000000" w:themeColor="text1"/>
          <w:szCs w:val="22"/>
        </w:rPr>
        <w:t xml:space="preserve">Movants </w:t>
      </w:r>
      <w:r w:rsidR="000E4CBF">
        <w:rPr>
          <w:color w:val="000000" w:themeColor="text1"/>
          <w:szCs w:val="22"/>
        </w:rPr>
        <w:t>rely asked the Commission to extend protection to Class A stations generally, not to their stations in particular—none mentioned Movants’</w:t>
      </w:r>
      <w:r w:rsidR="006245F0">
        <w:rPr>
          <w:color w:val="000000" w:themeColor="text1"/>
          <w:szCs w:val="22"/>
        </w:rPr>
        <w:t xml:space="preserve"> stations</w:t>
      </w:r>
      <w:r w:rsidR="007B745A">
        <w:rPr>
          <w:color w:val="000000" w:themeColor="text1"/>
          <w:szCs w:val="22"/>
        </w:rPr>
        <w:t>.</w:t>
      </w:r>
      <w:r w:rsidR="007B745A" w:rsidRPr="007E0CF8">
        <w:rPr>
          <w:rStyle w:val="FootnoteReference"/>
          <w:color w:val="000000" w:themeColor="text1"/>
          <w:sz w:val="22"/>
          <w:szCs w:val="22"/>
        </w:rPr>
        <w:footnoteReference w:id="26"/>
      </w:r>
      <w:r w:rsidR="00D34A1F">
        <w:rPr>
          <w:color w:val="000000" w:themeColor="text1"/>
          <w:szCs w:val="22"/>
        </w:rPr>
        <w:t xml:space="preserve">  </w:t>
      </w:r>
      <w:r w:rsidR="00881415">
        <w:rPr>
          <w:color w:val="000000" w:themeColor="text1"/>
          <w:szCs w:val="22"/>
        </w:rPr>
        <w:t xml:space="preserve">Movants </w:t>
      </w:r>
      <w:r w:rsidR="003D1168">
        <w:rPr>
          <w:color w:val="000000" w:themeColor="text1"/>
          <w:szCs w:val="22"/>
        </w:rPr>
        <w:t xml:space="preserve">also </w:t>
      </w:r>
      <w:r w:rsidR="00881415">
        <w:rPr>
          <w:color w:val="000000" w:themeColor="text1"/>
          <w:szCs w:val="22"/>
        </w:rPr>
        <w:t xml:space="preserve">fail to make the required showing pursuant to </w:t>
      </w:r>
      <w:r w:rsidR="00881415">
        <w:rPr>
          <w:color w:val="000000" w:themeColor="text1"/>
        </w:rPr>
        <w:t>Section 1.429(b)</w:t>
      </w:r>
      <w:r w:rsidR="00A74628">
        <w:rPr>
          <w:color w:val="000000" w:themeColor="text1"/>
        </w:rPr>
        <w:t xml:space="preserve"> of the Commission’s Rules,</w:t>
      </w:r>
      <w:r w:rsidR="00825C6E">
        <w:rPr>
          <w:rStyle w:val="FootnoteReference"/>
        </w:rPr>
        <w:footnoteReference w:id="27"/>
      </w:r>
      <w:r w:rsidR="00A20622">
        <w:rPr>
          <w:color w:val="000000" w:themeColor="text1"/>
        </w:rPr>
        <w:t xml:space="preserve"> and, in any event, </w:t>
      </w:r>
      <w:r w:rsidR="00362CB8">
        <w:rPr>
          <w:color w:val="000000" w:themeColor="text1"/>
        </w:rPr>
        <w:t xml:space="preserve">their </w:t>
      </w:r>
      <w:r w:rsidR="00A20622">
        <w:rPr>
          <w:color w:val="000000" w:themeColor="text1"/>
        </w:rPr>
        <w:t xml:space="preserve">arguments are </w:t>
      </w:r>
      <w:r w:rsidR="00362CB8">
        <w:rPr>
          <w:color w:val="000000" w:themeColor="text1"/>
        </w:rPr>
        <w:t xml:space="preserve">subject to dismissal as </w:t>
      </w:r>
      <w:r w:rsidR="00A20622">
        <w:rPr>
          <w:color w:val="000000" w:themeColor="text1"/>
        </w:rPr>
        <w:t>repetitious</w:t>
      </w:r>
      <w:r w:rsidR="00825C6E" w:rsidRPr="00825C6E">
        <w:rPr>
          <w:color w:val="000000" w:themeColor="text1"/>
        </w:rPr>
        <w:t xml:space="preserve"> </w:t>
      </w:r>
      <w:r w:rsidR="00825C6E">
        <w:rPr>
          <w:color w:val="000000" w:themeColor="text1"/>
        </w:rPr>
        <w:t>pursuant to Section 1.429(i)</w:t>
      </w:r>
      <w:r w:rsidR="00881415">
        <w:rPr>
          <w:color w:val="000000" w:themeColor="text1"/>
        </w:rPr>
        <w:t>.</w:t>
      </w:r>
      <w:r w:rsidR="00931BB0">
        <w:rPr>
          <w:rStyle w:val="FootnoteReference"/>
        </w:rPr>
        <w:footnoteReference w:id="28"/>
      </w:r>
      <w:r w:rsidR="00881415">
        <w:rPr>
          <w:color w:val="000000" w:themeColor="text1"/>
        </w:rPr>
        <w:t xml:space="preserve">    </w:t>
      </w:r>
    </w:p>
    <w:p w14:paraId="32B39A97" w14:textId="531B3A47" w:rsidR="009F2827" w:rsidRPr="001913DC" w:rsidRDefault="009B0DEE" w:rsidP="00D74A6B">
      <w:pPr>
        <w:pStyle w:val="ParaNum"/>
        <w:widowControl/>
        <w:tabs>
          <w:tab w:val="clear" w:pos="360"/>
        </w:tabs>
        <w:ind w:firstLine="720"/>
        <w:rPr>
          <w:color w:val="000000" w:themeColor="text1"/>
          <w:szCs w:val="22"/>
        </w:rPr>
      </w:pPr>
      <w:r>
        <w:rPr>
          <w:color w:val="000000" w:themeColor="text1"/>
          <w:szCs w:val="22"/>
        </w:rPr>
        <w:t>Second</w:t>
      </w:r>
      <w:r w:rsidRPr="001913DC">
        <w:rPr>
          <w:color w:val="000000" w:themeColor="text1"/>
          <w:szCs w:val="22"/>
        </w:rPr>
        <w:t xml:space="preserve">, Movants are unlikely to succeed on their claim that the Commission </w:t>
      </w:r>
      <w:r w:rsidRPr="006A65BD">
        <w:t xml:space="preserve">did not adequately justify its decision to </w:t>
      </w:r>
      <w:r>
        <w:t xml:space="preserve">extend discretionary protection to </w:t>
      </w:r>
      <w:r w:rsidRPr="006A65BD">
        <w:t>certain Class A-eligible station</w:t>
      </w:r>
      <w:r>
        <w:t xml:space="preserve">s </w:t>
      </w:r>
      <w:r w:rsidRPr="006A65BD">
        <w:t xml:space="preserve">but not </w:t>
      </w:r>
      <w:r>
        <w:t>to Movants.</w:t>
      </w:r>
      <w:r>
        <w:rPr>
          <w:rStyle w:val="FootnoteReference"/>
        </w:rPr>
        <w:footnoteReference w:id="29"/>
      </w:r>
      <w:r w:rsidRPr="00931BB0">
        <w:t xml:space="preserve"> </w:t>
      </w:r>
      <w:r>
        <w:t xml:space="preserve"> </w:t>
      </w:r>
      <w:r>
        <w:rPr>
          <w:szCs w:val="22"/>
        </w:rPr>
        <w:t>T</w:t>
      </w:r>
      <w:r w:rsidRPr="00A62546">
        <w:rPr>
          <w:szCs w:val="22"/>
        </w:rPr>
        <w:t xml:space="preserve">hose Class A stations that received discretionary protection </w:t>
      </w:r>
      <w:r>
        <w:rPr>
          <w:szCs w:val="22"/>
        </w:rPr>
        <w:t>sought to avail themselves of Class A status, and demonstrat</w:t>
      </w:r>
      <w:r w:rsidRPr="00A62546">
        <w:rPr>
          <w:szCs w:val="22"/>
        </w:rPr>
        <w:t>ed that they were providing Class A service</w:t>
      </w:r>
      <w:r>
        <w:rPr>
          <w:szCs w:val="22"/>
        </w:rPr>
        <w:t>,</w:t>
      </w:r>
      <w:r w:rsidRPr="00A62546">
        <w:rPr>
          <w:szCs w:val="22"/>
        </w:rPr>
        <w:t xml:space="preserve"> prior to enactment of the Spectrum Act,</w:t>
      </w:r>
      <w:r w:rsidRPr="00277D9D">
        <w:rPr>
          <w:rStyle w:val="FootnoteReference"/>
        </w:rPr>
        <w:footnoteReference w:id="30"/>
      </w:r>
      <w:r w:rsidRPr="00A62546">
        <w:rPr>
          <w:szCs w:val="22"/>
        </w:rPr>
        <w:t xml:space="preserve"> </w:t>
      </w:r>
      <w:r>
        <w:t>the date established by Congress for determining which stations are eligible for repacking protection.</w:t>
      </w:r>
      <w:r w:rsidRPr="007E0CF8">
        <w:rPr>
          <w:rStyle w:val="FootnoteReference"/>
          <w:color w:val="000000" w:themeColor="text1"/>
          <w:sz w:val="22"/>
          <w:szCs w:val="22"/>
        </w:rPr>
        <w:footnoteReference w:id="31"/>
      </w:r>
      <w:r>
        <w:t xml:space="preserve">  By contrast, </w:t>
      </w:r>
      <w:r>
        <w:rPr>
          <w:szCs w:val="22"/>
        </w:rPr>
        <w:t xml:space="preserve">Movants </w:t>
      </w:r>
      <w:r w:rsidRPr="00A62546">
        <w:rPr>
          <w:szCs w:val="22"/>
        </w:rPr>
        <w:t>n</w:t>
      </w:r>
      <w:r>
        <w:rPr>
          <w:szCs w:val="22"/>
        </w:rPr>
        <w:t xml:space="preserve">either requested </w:t>
      </w:r>
      <w:r w:rsidRPr="00A62546">
        <w:rPr>
          <w:szCs w:val="22"/>
        </w:rPr>
        <w:t xml:space="preserve">Class A </w:t>
      </w:r>
      <w:r>
        <w:rPr>
          <w:szCs w:val="22"/>
        </w:rPr>
        <w:t xml:space="preserve">status, nor demonstrated that they were providing </w:t>
      </w:r>
      <w:r w:rsidRPr="00A62546">
        <w:rPr>
          <w:szCs w:val="22"/>
        </w:rPr>
        <w:t>Class A service</w:t>
      </w:r>
      <w:r>
        <w:rPr>
          <w:szCs w:val="22"/>
        </w:rPr>
        <w:t>,</w:t>
      </w:r>
      <w:r w:rsidRPr="00A62546">
        <w:rPr>
          <w:szCs w:val="22"/>
        </w:rPr>
        <w:t xml:space="preserve"> </w:t>
      </w:r>
      <w:r>
        <w:rPr>
          <w:szCs w:val="22"/>
        </w:rPr>
        <w:t xml:space="preserve">until </w:t>
      </w:r>
      <w:r w:rsidRPr="00A62546">
        <w:rPr>
          <w:szCs w:val="22"/>
        </w:rPr>
        <w:t>after passage of the Spectrum Act</w:t>
      </w:r>
      <w:r>
        <w:rPr>
          <w:szCs w:val="22"/>
        </w:rPr>
        <w:t xml:space="preserve"> created the potential for Class A status to yield </w:t>
      </w:r>
      <w:r w:rsidRPr="00A62546">
        <w:rPr>
          <w:color w:val="000000" w:themeColor="text1"/>
          <w:szCs w:val="22"/>
        </w:rPr>
        <w:t>substantial financial rewards through auction participation</w:t>
      </w:r>
      <w:r>
        <w:t>—and over ten years after the Community Broadcasting Protection Act of 1999 made them eligible for Class A status.</w:t>
      </w:r>
      <w:r>
        <w:rPr>
          <w:rStyle w:val="FootnoteReference"/>
        </w:rPr>
        <w:footnoteReference w:id="32"/>
      </w:r>
      <w:r>
        <w:t xml:space="preserve">  Thus, on the date of enactment of the Spectrum Act, Movants operated LPTV stations.  Congress did not include </w:t>
      </w:r>
      <w:r w:rsidRPr="001913DC">
        <w:rPr>
          <w:color w:val="000000" w:themeColor="text1"/>
          <w:szCs w:val="22"/>
        </w:rPr>
        <w:t xml:space="preserve">LPTV stations </w:t>
      </w:r>
      <w:r>
        <w:rPr>
          <w:color w:val="000000" w:themeColor="text1"/>
          <w:szCs w:val="22"/>
        </w:rPr>
        <w:t>within the definition of broadcast television licensees entitled to protection and auction eligibility,</w:t>
      </w:r>
      <w:r>
        <w:rPr>
          <w:rStyle w:val="FootnoteReference"/>
          <w:szCs w:val="22"/>
        </w:rPr>
        <w:footnoteReference w:id="33"/>
      </w:r>
      <w:r>
        <w:rPr>
          <w:color w:val="000000" w:themeColor="text1"/>
          <w:szCs w:val="22"/>
        </w:rPr>
        <w:t xml:space="preserve"> </w:t>
      </w:r>
      <w:r w:rsidRPr="001913DC">
        <w:rPr>
          <w:color w:val="000000" w:themeColor="text1"/>
          <w:szCs w:val="22"/>
        </w:rPr>
        <w:t xml:space="preserve">and </w:t>
      </w:r>
      <w:r w:rsidR="007235F7">
        <w:rPr>
          <w:color w:val="000000" w:themeColor="text1"/>
          <w:szCs w:val="22"/>
        </w:rPr>
        <w:t>protecting</w:t>
      </w:r>
      <w:r>
        <w:rPr>
          <w:color w:val="000000" w:themeColor="text1"/>
          <w:szCs w:val="22"/>
        </w:rPr>
        <w:t xml:space="preserve"> them</w:t>
      </w:r>
      <w:r w:rsidRPr="001913DC">
        <w:rPr>
          <w:color w:val="000000" w:themeColor="text1"/>
          <w:szCs w:val="22"/>
        </w:rPr>
        <w:t xml:space="preserve"> would significantly constrain the Commission’s repacking flexibility.</w:t>
      </w:r>
      <w:r>
        <w:rPr>
          <w:rStyle w:val="FootnoteReference"/>
          <w:szCs w:val="22"/>
        </w:rPr>
        <w:footnoteReference w:id="34"/>
      </w:r>
      <w:r w:rsidRPr="001913DC">
        <w:rPr>
          <w:color w:val="000000" w:themeColor="text1"/>
          <w:szCs w:val="22"/>
        </w:rPr>
        <w:t xml:space="preserve">  </w:t>
      </w:r>
      <w:r w:rsidRPr="002A37DA">
        <w:rPr>
          <w:color w:val="000000" w:themeColor="text1"/>
          <w:szCs w:val="22"/>
        </w:rPr>
        <w:t xml:space="preserve">Movants’ stations are particularly likely to impact repacking flexibility because they are located in </w:t>
      </w:r>
      <w:r w:rsidR="007E2AE3">
        <w:rPr>
          <w:color w:val="000000" w:themeColor="text1"/>
          <w:szCs w:val="22"/>
        </w:rPr>
        <w:t xml:space="preserve">the </w:t>
      </w:r>
      <w:r w:rsidRPr="002A37DA">
        <w:rPr>
          <w:color w:val="000000" w:themeColor="text1"/>
          <w:szCs w:val="22"/>
        </w:rPr>
        <w:t xml:space="preserve">congested markets </w:t>
      </w:r>
      <w:r w:rsidR="007E2AE3">
        <w:rPr>
          <w:color w:val="000000" w:themeColor="text1"/>
          <w:szCs w:val="22"/>
        </w:rPr>
        <w:t xml:space="preserve">of </w:t>
      </w:r>
      <w:r w:rsidRPr="002A37DA">
        <w:rPr>
          <w:color w:val="000000" w:themeColor="text1"/>
          <w:szCs w:val="22"/>
        </w:rPr>
        <w:t>Pittsburgh and Washington, D.C. where the constraints on the Commission’s ability to repurpose spectrum through the auction will be greater than in less congested markets.</w:t>
      </w:r>
    </w:p>
    <w:p w14:paraId="0B303285" w14:textId="75AD05A4" w:rsidR="00D34A1F" w:rsidRDefault="00A255DF" w:rsidP="00050AAE">
      <w:pPr>
        <w:pStyle w:val="ParaNum"/>
        <w:widowControl/>
        <w:ind w:firstLine="720"/>
        <w:rPr>
          <w:color w:val="000000" w:themeColor="text1"/>
          <w:szCs w:val="22"/>
        </w:rPr>
      </w:pPr>
      <w:r>
        <w:t>Third</w:t>
      </w:r>
      <w:r w:rsidR="00E707C0">
        <w:t xml:space="preserve">, </w:t>
      </w:r>
      <w:r w:rsidR="0059251D" w:rsidRPr="002A37DA">
        <w:rPr>
          <w:color w:val="000000" w:themeColor="text1"/>
          <w:szCs w:val="22"/>
        </w:rPr>
        <w:t xml:space="preserve">Movants are unlikely to succeed on their claim that the </w:t>
      </w:r>
      <w:r w:rsidR="00DF6475">
        <w:rPr>
          <w:color w:val="000000" w:themeColor="text1"/>
          <w:szCs w:val="22"/>
        </w:rPr>
        <w:t xml:space="preserve">equities weigh in favor of </w:t>
      </w:r>
      <w:r w:rsidR="00BC1D39" w:rsidRPr="002A37DA">
        <w:rPr>
          <w:color w:val="000000" w:themeColor="text1"/>
          <w:szCs w:val="22"/>
        </w:rPr>
        <w:t>protect</w:t>
      </w:r>
      <w:r w:rsidR="00DF6475">
        <w:rPr>
          <w:color w:val="000000" w:themeColor="text1"/>
          <w:szCs w:val="22"/>
        </w:rPr>
        <w:t>ing</w:t>
      </w:r>
      <w:r w:rsidR="00BC1D39" w:rsidRPr="002A37DA">
        <w:rPr>
          <w:color w:val="000000" w:themeColor="text1"/>
          <w:szCs w:val="22"/>
        </w:rPr>
        <w:t xml:space="preserve"> </w:t>
      </w:r>
      <w:r w:rsidR="00BC1D39" w:rsidRPr="002C0FF5">
        <w:t>stations</w:t>
      </w:r>
      <w:r w:rsidR="001D3B2D">
        <w:t xml:space="preserve"> </w:t>
      </w:r>
      <w:r w:rsidR="00BC1D39" w:rsidRPr="002A37DA">
        <w:rPr>
          <w:color w:val="000000" w:themeColor="text1"/>
          <w:szCs w:val="22"/>
        </w:rPr>
        <w:t>that obtained a Class A license by the Pre-Auction Licensing Deadline (May 29, 2015) and met other auction-related filing requirements.</w:t>
      </w:r>
      <w:r w:rsidR="00BC1D39">
        <w:rPr>
          <w:rStyle w:val="FootnoteReference"/>
          <w:szCs w:val="22"/>
        </w:rPr>
        <w:footnoteReference w:id="35"/>
      </w:r>
      <w:r w:rsidR="00BC1D39" w:rsidRPr="002A37DA">
        <w:rPr>
          <w:color w:val="000000" w:themeColor="text1"/>
          <w:szCs w:val="22"/>
        </w:rPr>
        <w:t xml:space="preserve">  This approach would arbitrarily extend protection to </w:t>
      </w:r>
      <w:r w:rsidR="0059251D" w:rsidRPr="002A37DA">
        <w:rPr>
          <w:color w:val="000000" w:themeColor="text1"/>
          <w:szCs w:val="22"/>
        </w:rPr>
        <w:t xml:space="preserve">Movants’ </w:t>
      </w:r>
      <w:r w:rsidR="00BC1D39" w:rsidRPr="002A37DA">
        <w:rPr>
          <w:color w:val="000000" w:themeColor="text1"/>
          <w:szCs w:val="22"/>
        </w:rPr>
        <w:t xml:space="preserve">stations and none of the other </w:t>
      </w:r>
      <w:r w:rsidR="00A74628" w:rsidRPr="002A37DA">
        <w:rPr>
          <w:color w:val="000000" w:themeColor="text1"/>
          <w:szCs w:val="22"/>
        </w:rPr>
        <w:t xml:space="preserve">formerly out-of-core Class A-eligible LPTV stations that obtained in-core channels but had not filed </w:t>
      </w:r>
      <w:r w:rsidR="00F50345" w:rsidRPr="002A37DA">
        <w:rPr>
          <w:color w:val="000000" w:themeColor="text1"/>
          <w:szCs w:val="22"/>
        </w:rPr>
        <w:t>an application for a license to cover a Class A facility or a Class A construction permit</w:t>
      </w:r>
      <w:r w:rsidR="00A74628" w:rsidRPr="002A37DA">
        <w:rPr>
          <w:color w:val="000000" w:themeColor="text1"/>
          <w:szCs w:val="22"/>
        </w:rPr>
        <w:t xml:space="preserve"> until after February 22, 2012</w:t>
      </w:r>
      <w:r w:rsidR="00BC1D39" w:rsidRPr="002A37DA">
        <w:rPr>
          <w:color w:val="000000" w:themeColor="text1"/>
          <w:szCs w:val="22"/>
        </w:rPr>
        <w:t>.</w:t>
      </w:r>
      <w:r w:rsidR="00401671" w:rsidRPr="002A37DA">
        <w:rPr>
          <w:color w:val="000000" w:themeColor="text1"/>
          <w:szCs w:val="22"/>
        </w:rPr>
        <w:t xml:space="preserve">  The Commission never linked </w:t>
      </w:r>
      <w:r w:rsidR="00F40349" w:rsidRPr="002A37DA">
        <w:rPr>
          <w:color w:val="000000" w:themeColor="text1"/>
          <w:szCs w:val="22"/>
        </w:rPr>
        <w:t>the Pre-Auction Licensing Deadline</w:t>
      </w:r>
      <w:r w:rsidR="00401671" w:rsidRPr="002A37DA">
        <w:rPr>
          <w:color w:val="000000" w:themeColor="text1"/>
          <w:szCs w:val="22"/>
        </w:rPr>
        <w:t xml:space="preserve"> to repacking protection for out-of-core </w:t>
      </w:r>
      <w:r w:rsidR="00401671" w:rsidRPr="002C0FF5">
        <w:t>Class A-</w:t>
      </w:r>
      <w:r w:rsidR="00401671">
        <w:t>e</w:t>
      </w:r>
      <w:r w:rsidR="00401671" w:rsidRPr="002C0FF5">
        <w:t xml:space="preserve">ligible LPTV </w:t>
      </w:r>
      <w:r w:rsidR="00401671">
        <w:t>stations</w:t>
      </w:r>
      <w:r w:rsidR="00401671" w:rsidRPr="002A37DA">
        <w:rPr>
          <w:color w:val="000000" w:themeColor="text1"/>
          <w:szCs w:val="22"/>
        </w:rPr>
        <w:t>.</w:t>
      </w:r>
      <w:r w:rsidR="00401671">
        <w:rPr>
          <w:rStyle w:val="FootnoteReference"/>
        </w:rPr>
        <w:footnoteReference w:id="36"/>
      </w:r>
      <w:r w:rsidR="00291B74">
        <w:t xml:space="preserve">  On the contrary, the Commission</w:t>
      </w:r>
      <w:r w:rsidR="00401671">
        <w:t xml:space="preserve"> plainly stated </w:t>
      </w:r>
      <w:r w:rsidR="00291B74" w:rsidRPr="002A37DA">
        <w:rPr>
          <w:color w:val="000000" w:themeColor="text1"/>
        </w:rPr>
        <w:t>that it</w:t>
      </w:r>
      <w:r w:rsidR="00401671" w:rsidRPr="002A37DA">
        <w:rPr>
          <w:color w:val="000000" w:themeColor="text1"/>
        </w:rPr>
        <w:t xml:space="preserve"> would </w:t>
      </w:r>
      <w:r w:rsidR="00401671" w:rsidRPr="002A37DA">
        <w:rPr>
          <w:i/>
          <w:color w:val="000000" w:themeColor="text1"/>
        </w:rPr>
        <w:t>not</w:t>
      </w:r>
      <w:r w:rsidR="00401671" w:rsidRPr="002A37DA">
        <w:rPr>
          <w:color w:val="000000" w:themeColor="text1"/>
        </w:rPr>
        <w:t xml:space="preserve"> protect such </w:t>
      </w:r>
      <w:r w:rsidR="00401671" w:rsidRPr="002C0FF5">
        <w:t>stations</w:t>
      </w:r>
      <w:r w:rsidR="00401671">
        <w:t xml:space="preserve"> based on their obtaining Class A licenses by that deadline.</w:t>
      </w:r>
      <w:r w:rsidR="00401671">
        <w:rPr>
          <w:rStyle w:val="FootnoteReference"/>
          <w:szCs w:val="22"/>
        </w:rPr>
        <w:footnoteReference w:id="37"/>
      </w:r>
      <w:r w:rsidR="00401671" w:rsidRPr="002A37DA">
        <w:rPr>
          <w:color w:val="000000" w:themeColor="text1"/>
          <w:szCs w:val="22"/>
        </w:rPr>
        <w:t xml:space="preserve"> </w:t>
      </w:r>
      <w:r w:rsidR="00401671">
        <w:t xml:space="preserve"> By contrast, the February 22, 2012, date adopted in the </w:t>
      </w:r>
      <w:r w:rsidR="00401671" w:rsidRPr="002A37DA">
        <w:rPr>
          <w:i/>
        </w:rPr>
        <w:t xml:space="preserve">Reconsideration Order </w:t>
      </w:r>
      <w:r w:rsidR="00401671">
        <w:t>is tied directly to the date established by Congress for auction eligibility and repacking protection.</w:t>
      </w:r>
      <w:r w:rsidR="00370DB6">
        <w:rPr>
          <w:rStyle w:val="FootnoteReference"/>
        </w:rPr>
        <w:footnoteReference w:id="38"/>
      </w:r>
      <w:r w:rsidR="00764156" w:rsidRPr="002A37DA">
        <w:rPr>
          <w:color w:val="000000" w:themeColor="text1"/>
          <w:szCs w:val="22"/>
        </w:rPr>
        <w:t xml:space="preserve"> </w:t>
      </w:r>
      <w:r w:rsidR="00401671" w:rsidRPr="002A37DA">
        <w:rPr>
          <w:color w:val="000000" w:themeColor="text1"/>
          <w:szCs w:val="22"/>
        </w:rPr>
        <w:t xml:space="preserve"> </w:t>
      </w:r>
      <w:r w:rsidR="0059251D" w:rsidRPr="002A37DA">
        <w:rPr>
          <w:color w:val="000000" w:themeColor="text1"/>
          <w:szCs w:val="22"/>
        </w:rPr>
        <w:t xml:space="preserve"> </w:t>
      </w:r>
      <w:r w:rsidR="0059251D">
        <w:t xml:space="preserve">  </w:t>
      </w:r>
      <w:r w:rsidR="00BC1D39" w:rsidRPr="002A37DA">
        <w:rPr>
          <w:color w:val="000000" w:themeColor="text1"/>
          <w:szCs w:val="22"/>
        </w:rPr>
        <w:t xml:space="preserve">  </w:t>
      </w:r>
      <w:r w:rsidR="003D3DDB" w:rsidRPr="002A37DA">
        <w:rPr>
          <w:color w:val="000000" w:themeColor="text1"/>
          <w:szCs w:val="22"/>
        </w:rPr>
        <w:t xml:space="preserve"> </w:t>
      </w:r>
    </w:p>
    <w:p w14:paraId="49FD4F11" w14:textId="0F03B050" w:rsidR="002A37DA" w:rsidRPr="002A37DA" w:rsidRDefault="002A37DA" w:rsidP="00050AAE">
      <w:pPr>
        <w:pStyle w:val="ParaNum"/>
        <w:widowControl/>
        <w:ind w:firstLine="720"/>
        <w:rPr>
          <w:color w:val="000000" w:themeColor="text1"/>
          <w:szCs w:val="22"/>
        </w:rPr>
      </w:pPr>
      <w:r>
        <w:t xml:space="preserve">Movants attempt to buttress their claim that the equities weigh in favor of protecting their </w:t>
      </w:r>
      <w:r w:rsidR="002450A9">
        <w:t>s</w:t>
      </w:r>
      <w:r>
        <w:t>tations by questionin</w:t>
      </w:r>
      <w:r w:rsidR="002450A9">
        <w:t>g the validity of the</w:t>
      </w:r>
      <w:r>
        <w:t xml:space="preserve"> statement in the </w:t>
      </w:r>
      <w:r>
        <w:rPr>
          <w:i/>
        </w:rPr>
        <w:t xml:space="preserve">Incentive Auction R&amp;O </w:t>
      </w:r>
      <w:r>
        <w:t xml:space="preserve">that approximately 100 stations </w:t>
      </w:r>
      <w:r w:rsidR="002450A9">
        <w:t xml:space="preserve">would be eligible for protection if </w:t>
      </w:r>
      <w:r w:rsidR="007E2AE3">
        <w:t>the Commission</w:t>
      </w:r>
      <w:r w:rsidR="002450A9">
        <w:t xml:space="preserve"> decided to protect formerly out-of-core Class A-eligible LPTV stations that obtained Class A licenses after February 22, 2012.</w:t>
      </w:r>
      <w:r w:rsidR="002450A9">
        <w:rPr>
          <w:rStyle w:val="FootnoteReference"/>
        </w:rPr>
        <w:footnoteReference w:id="39"/>
      </w:r>
      <w:r>
        <w:t xml:space="preserve"> </w:t>
      </w:r>
      <w:r w:rsidR="002450A9">
        <w:t xml:space="preserve"> This attempt is unlikely to succeed because </w:t>
      </w:r>
      <w:r w:rsidR="00DF6475">
        <w:t xml:space="preserve">this argument does not bear on </w:t>
      </w:r>
      <w:r w:rsidR="002450A9">
        <w:t xml:space="preserve">the </w:t>
      </w:r>
      <w:r w:rsidR="00DF6475">
        <w:t xml:space="preserve">decisional </w:t>
      </w:r>
      <w:r w:rsidR="002450A9">
        <w:t xml:space="preserve">issue </w:t>
      </w:r>
      <w:r w:rsidR="00DF6475">
        <w:t xml:space="preserve">presented by </w:t>
      </w:r>
      <w:r w:rsidR="00B37CE1">
        <w:t xml:space="preserve">the </w:t>
      </w:r>
      <w:r w:rsidR="00DF6475">
        <w:t xml:space="preserve">Second Petition for Reconsideration – </w:t>
      </w:r>
      <w:r w:rsidR="002450A9">
        <w:t xml:space="preserve">the reasonableness of the Commission’s decision to protect only </w:t>
      </w:r>
      <w:r w:rsidR="009B0DEE">
        <w:t xml:space="preserve">a subset of those stations, specifically, </w:t>
      </w:r>
      <w:r w:rsidR="00C1097D">
        <w:t xml:space="preserve">Class A </w:t>
      </w:r>
      <w:r w:rsidR="002450A9">
        <w:t xml:space="preserve">stations that </w:t>
      </w:r>
      <w:r w:rsidR="00C1097D">
        <w:t>demonstrated efforts to obtain Class A status before the enactment of the Spectrum Act by filing a FCC Form 302-CA appl</w:t>
      </w:r>
      <w:r w:rsidR="00F40349">
        <w:t>ication.  In any event, Movants’</w:t>
      </w:r>
      <w:r w:rsidR="00C1097D">
        <w:t xml:space="preserve"> complaint that the Commission </w:t>
      </w:r>
      <w:r w:rsidR="009D37E4">
        <w:t xml:space="preserve">“has </w:t>
      </w:r>
      <w:r w:rsidR="00C1097D">
        <w:t xml:space="preserve">never </w:t>
      </w:r>
      <w:r w:rsidR="009D37E4">
        <w:t xml:space="preserve">offered support” for its estimate that there were </w:t>
      </w:r>
      <w:r w:rsidR="00C1097D">
        <w:t>approximately 100 stations lacks merit.</w:t>
      </w:r>
      <w:r w:rsidR="009D37E4">
        <w:rPr>
          <w:rStyle w:val="FootnoteReference"/>
        </w:rPr>
        <w:footnoteReference w:id="40"/>
      </w:r>
      <w:r w:rsidR="00C1097D">
        <w:t xml:space="preserve">  The Commission explained that stations in the relevant category can be identified</w:t>
      </w:r>
      <w:r w:rsidR="00C1097D" w:rsidRPr="001012B4">
        <w:t xml:space="preserve"> by searching </w:t>
      </w:r>
      <w:r w:rsidR="00C1097D">
        <w:t>its publicly-available Consolidated Database System (“</w:t>
      </w:r>
      <w:r w:rsidR="00C1097D" w:rsidRPr="001012B4">
        <w:t>CDBS</w:t>
      </w:r>
      <w:r w:rsidR="00C1097D">
        <w:t>”)</w:t>
      </w:r>
      <w:r w:rsidR="00C1097D" w:rsidRPr="001012B4">
        <w:t>.</w:t>
      </w:r>
      <w:r w:rsidR="00C1097D">
        <w:rPr>
          <w:rStyle w:val="FootnoteReference"/>
          <w:szCs w:val="22"/>
        </w:rPr>
        <w:footnoteReference w:id="41"/>
      </w:r>
      <w:r w:rsidR="002450A9">
        <w:t xml:space="preserve"> </w:t>
      </w:r>
      <w:r w:rsidR="00C1097D">
        <w:t xml:space="preserve"> Movants recent</w:t>
      </w:r>
      <w:r w:rsidR="00E400AD">
        <w:t>ly</w:t>
      </w:r>
      <w:r w:rsidR="00C1097D">
        <w:t xml:space="preserve"> submi</w:t>
      </w:r>
      <w:r w:rsidR="00E400AD">
        <w:t>tted</w:t>
      </w:r>
      <w:r w:rsidR="00C1097D">
        <w:t xml:space="preserve"> an analysis of the </w:t>
      </w:r>
      <w:r w:rsidR="00E400AD">
        <w:t xml:space="preserve">data in </w:t>
      </w:r>
      <w:r w:rsidR="00C1097D">
        <w:t>CDBS in support of the Second Reconsideration Petition</w:t>
      </w:r>
      <w:r w:rsidR="00E400AD">
        <w:t xml:space="preserve"> that</w:t>
      </w:r>
      <w:r w:rsidR="00C1097D">
        <w:t xml:space="preserve"> </w:t>
      </w:r>
      <w:r w:rsidR="00E400AD">
        <w:t xml:space="preserve">demonstrates that </w:t>
      </w:r>
      <w:r w:rsidR="00761119">
        <w:t>any interested party can identify the stations in question using publicly-available data</w:t>
      </w:r>
      <w:r w:rsidR="00E400AD">
        <w:t>.</w:t>
      </w:r>
      <w:r w:rsidR="00C1097D">
        <w:rPr>
          <w:rStyle w:val="FootnoteReference"/>
        </w:rPr>
        <w:footnoteReference w:id="42"/>
      </w:r>
      <w:r w:rsidR="00E400AD">
        <w:t xml:space="preserve">  </w:t>
      </w:r>
      <w:r w:rsidR="00D45E20">
        <w:t xml:space="preserve"> </w:t>
      </w:r>
      <w:r w:rsidR="002450A9">
        <w:t xml:space="preserve">  </w:t>
      </w:r>
    </w:p>
    <w:p w14:paraId="4BF53EFA" w14:textId="7CAD251B" w:rsidR="009A58D9" w:rsidRPr="001913DC" w:rsidRDefault="00761119" w:rsidP="00583121">
      <w:pPr>
        <w:pStyle w:val="ParaNum"/>
        <w:widowControl/>
        <w:ind w:firstLine="720"/>
        <w:rPr>
          <w:color w:val="000000" w:themeColor="text1"/>
          <w:szCs w:val="22"/>
        </w:rPr>
      </w:pPr>
      <w:r>
        <w:rPr>
          <w:color w:val="000000" w:themeColor="text1"/>
          <w:szCs w:val="22"/>
        </w:rPr>
        <w:t>Fourth</w:t>
      </w:r>
      <w:r w:rsidR="00661732">
        <w:rPr>
          <w:color w:val="000000" w:themeColor="text1"/>
          <w:szCs w:val="22"/>
        </w:rPr>
        <w:t>, Movants are unlikely to succeed on their claim</w:t>
      </w:r>
      <w:r w:rsidR="00583121">
        <w:rPr>
          <w:color w:val="000000" w:themeColor="text1"/>
          <w:szCs w:val="22"/>
        </w:rPr>
        <w:t>s</w:t>
      </w:r>
      <w:r w:rsidR="00661732">
        <w:rPr>
          <w:color w:val="000000" w:themeColor="text1"/>
          <w:szCs w:val="22"/>
        </w:rPr>
        <w:t xml:space="preserve"> that </w:t>
      </w:r>
      <w:r w:rsidR="003D3DDB">
        <w:rPr>
          <w:color w:val="000000" w:themeColor="text1"/>
          <w:szCs w:val="22"/>
        </w:rPr>
        <w:t xml:space="preserve">the </w:t>
      </w:r>
      <w:r w:rsidR="003D3DDB" w:rsidRPr="0053058D">
        <w:t xml:space="preserve">Commission exceeded its authority </w:t>
      </w:r>
      <w:r w:rsidR="00764156">
        <w:t>on reconsideration</w:t>
      </w:r>
      <w:r w:rsidR="003D3DDB" w:rsidRPr="0053058D">
        <w:t xml:space="preserve"> by dismissing or denying the</w:t>
      </w:r>
      <w:r w:rsidR="003D3DDB">
        <w:t xml:space="preserve"> </w:t>
      </w:r>
      <w:r w:rsidR="00764156">
        <w:t>2014</w:t>
      </w:r>
      <w:r w:rsidR="003D3DDB">
        <w:t xml:space="preserve"> </w:t>
      </w:r>
      <w:r w:rsidR="003D3DDB" w:rsidRPr="00FF6AAB">
        <w:rPr>
          <w:color w:val="000000"/>
        </w:rPr>
        <w:t>Petition</w:t>
      </w:r>
      <w:r w:rsidR="00764156">
        <w:rPr>
          <w:color w:val="000000"/>
        </w:rPr>
        <w:t>s</w:t>
      </w:r>
      <w:r w:rsidR="003D3DDB" w:rsidRPr="00FF6AAB">
        <w:rPr>
          <w:color w:val="000000"/>
        </w:rPr>
        <w:t xml:space="preserve"> </w:t>
      </w:r>
      <w:r w:rsidR="003D3DDB" w:rsidRPr="0053058D">
        <w:t xml:space="preserve">while </w:t>
      </w:r>
      <w:r w:rsidR="00764156">
        <w:t>extending</w:t>
      </w:r>
      <w:r w:rsidR="003D3DDB" w:rsidRPr="0053058D">
        <w:t xml:space="preserve"> protecti</w:t>
      </w:r>
      <w:r w:rsidR="00764156">
        <w:t>on to</w:t>
      </w:r>
      <w:r w:rsidR="003D3DDB" w:rsidRPr="0053058D">
        <w:t xml:space="preserve"> other stations that did not seek reconsideration</w:t>
      </w:r>
      <w:r w:rsidR="00583121">
        <w:t xml:space="preserve">, and arbitrarily </w:t>
      </w:r>
      <w:r w:rsidR="00583121" w:rsidRPr="00413FE2">
        <w:t xml:space="preserve">discriminated against them by </w:t>
      </w:r>
      <w:r w:rsidR="00583121">
        <w:t>protecting the other stations but not theirs</w:t>
      </w:r>
      <w:r w:rsidR="00661732">
        <w:t>.</w:t>
      </w:r>
      <w:r w:rsidR="00661732">
        <w:rPr>
          <w:rStyle w:val="FootnoteReference"/>
        </w:rPr>
        <w:footnoteReference w:id="43"/>
      </w:r>
      <w:r w:rsidR="00661732">
        <w:t xml:space="preserve">  </w:t>
      </w:r>
      <w:r w:rsidR="00B25CEE">
        <w:t>I</w:t>
      </w:r>
      <w:r w:rsidR="00661732">
        <w:t xml:space="preserve">n </w:t>
      </w:r>
      <w:r w:rsidR="00764156">
        <w:t>clarifying</w:t>
      </w:r>
      <w:r w:rsidR="00284783">
        <w:t xml:space="preserve"> that out-of-core Class A-eligible stations </w:t>
      </w:r>
      <w:r w:rsidR="00284783" w:rsidRPr="0053058D">
        <w:t>that</w:t>
      </w:r>
      <w:r w:rsidR="00284783">
        <w:t xml:space="preserve"> had a Class A construction permit application </w:t>
      </w:r>
      <w:r w:rsidR="00284783" w:rsidRPr="0053058D">
        <w:t>pending or granted as of February 22, 2012</w:t>
      </w:r>
      <w:r w:rsidR="00284783">
        <w:t xml:space="preserve"> and now hold a Class A license are not entitled to mandatory repacking protection</w:t>
      </w:r>
      <w:r w:rsidR="00764156">
        <w:t>,</w:t>
      </w:r>
      <w:r w:rsidR="00764156" w:rsidRPr="0053058D">
        <w:rPr>
          <w:rStyle w:val="FootnoteReference"/>
        </w:rPr>
        <w:footnoteReference w:id="44"/>
      </w:r>
      <w:r w:rsidR="00764156">
        <w:t xml:space="preserve"> t</w:t>
      </w:r>
      <w:r w:rsidR="00284783" w:rsidRPr="0053058D">
        <w:t>he Commission</w:t>
      </w:r>
      <w:r w:rsidR="00764156">
        <w:t xml:space="preserve"> was not acting under its reconsideration authority</w:t>
      </w:r>
      <w:r w:rsidR="00284783" w:rsidRPr="0053058D">
        <w:t>.</w:t>
      </w:r>
      <w:r w:rsidR="00284783" w:rsidRPr="0053058D">
        <w:rPr>
          <w:rStyle w:val="FootnoteReference"/>
        </w:rPr>
        <w:footnoteReference w:id="45"/>
      </w:r>
      <w:r w:rsidR="00661732">
        <w:t xml:space="preserve">  </w:t>
      </w:r>
      <w:r w:rsidR="00B25CEE">
        <w:t>In any event</w:t>
      </w:r>
      <w:r w:rsidR="00661732">
        <w:t>, in extending discretionary protection to these stations,</w:t>
      </w:r>
      <w:r w:rsidR="00661732">
        <w:rPr>
          <w:rStyle w:val="FootnoteReference"/>
        </w:rPr>
        <w:footnoteReference w:id="46"/>
      </w:r>
      <w:r w:rsidR="00661732">
        <w:t xml:space="preserve"> the Commission acted </w:t>
      </w:r>
      <w:r w:rsidR="00764156">
        <w:t xml:space="preserve">well </w:t>
      </w:r>
      <w:r w:rsidR="00661732">
        <w:t xml:space="preserve">within its </w:t>
      </w:r>
      <w:r w:rsidR="00661732" w:rsidRPr="0053058D">
        <w:t>authority on reconsideration</w:t>
      </w:r>
      <w:r w:rsidR="004721A1">
        <w:t>.  The</w:t>
      </w:r>
      <w:r w:rsidR="00661732">
        <w:t xml:space="preserve"> </w:t>
      </w:r>
      <w:r w:rsidR="00661732" w:rsidRPr="00FF6AAB">
        <w:rPr>
          <w:color w:val="000000"/>
        </w:rPr>
        <w:t xml:space="preserve">issue of which Class A stations to protect in the repacking process was squarely within the scope of the </w:t>
      </w:r>
      <w:r w:rsidR="00661732" w:rsidRPr="00B80FA7">
        <w:rPr>
          <w:i/>
        </w:rPr>
        <w:t>Incentive Auction NPRM</w:t>
      </w:r>
      <w:r w:rsidR="00661732">
        <w:rPr>
          <w:color w:val="000000"/>
        </w:rPr>
        <w:t xml:space="preserve">, and the </w:t>
      </w:r>
      <w:r w:rsidR="004721A1">
        <w:rPr>
          <w:color w:val="000000"/>
        </w:rPr>
        <w:t xml:space="preserve">2014 </w:t>
      </w:r>
      <w:r w:rsidR="00661732">
        <w:rPr>
          <w:color w:val="000000"/>
        </w:rPr>
        <w:t>Petition</w:t>
      </w:r>
      <w:r w:rsidR="004721A1">
        <w:rPr>
          <w:color w:val="000000"/>
        </w:rPr>
        <w:t>s</w:t>
      </w:r>
      <w:r w:rsidR="00661732">
        <w:rPr>
          <w:color w:val="000000"/>
        </w:rPr>
        <w:t xml:space="preserve"> broadly asked the Commission to reconsider the </w:t>
      </w:r>
      <w:r w:rsidR="00661732" w:rsidRPr="00FF6AAB">
        <w:rPr>
          <w:color w:val="000000"/>
        </w:rPr>
        <w:t xml:space="preserve">scope of </w:t>
      </w:r>
      <w:r w:rsidR="00661732">
        <w:rPr>
          <w:color w:val="000000"/>
        </w:rPr>
        <w:t xml:space="preserve">discretionary protection for </w:t>
      </w:r>
      <w:r w:rsidR="00661732" w:rsidRPr="00FF6AAB">
        <w:rPr>
          <w:color w:val="000000"/>
        </w:rPr>
        <w:t>out-of-core Class A</w:t>
      </w:r>
      <w:r w:rsidR="00661732">
        <w:rPr>
          <w:color w:val="000000"/>
        </w:rPr>
        <w:t>-</w:t>
      </w:r>
      <w:r w:rsidR="00661732" w:rsidRPr="00FF6AAB">
        <w:rPr>
          <w:color w:val="000000"/>
        </w:rPr>
        <w:t>eligible</w:t>
      </w:r>
      <w:r w:rsidR="00661732">
        <w:rPr>
          <w:color w:val="000000"/>
        </w:rPr>
        <w:t xml:space="preserve"> LPTV</w:t>
      </w:r>
      <w:r w:rsidR="00661732" w:rsidRPr="00FF6AAB">
        <w:rPr>
          <w:color w:val="000000"/>
        </w:rPr>
        <w:t xml:space="preserve"> stations</w:t>
      </w:r>
      <w:r w:rsidR="00661732">
        <w:rPr>
          <w:color w:val="000000"/>
        </w:rPr>
        <w:t xml:space="preserve"> that now hold Class A licenses.</w:t>
      </w:r>
      <w:r w:rsidR="00661732">
        <w:rPr>
          <w:rStyle w:val="FootnoteReference"/>
        </w:rPr>
        <w:footnoteReference w:id="47"/>
      </w:r>
      <w:r w:rsidR="00661732">
        <w:rPr>
          <w:color w:val="000000"/>
        </w:rPr>
        <w:t xml:space="preserve">  </w:t>
      </w:r>
      <w:r w:rsidR="00291898">
        <w:rPr>
          <w:color w:val="000000"/>
        </w:rPr>
        <w:t>Finally</w:t>
      </w:r>
      <w:r w:rsidR="00583121">
        <w:rPr>
          <w:color w:val="000000"/>
        </w:rPr>
        <w:t xml:space="preserve">, </w:t>
      </w:r>
      <w:r w:rsidR="00583121">
        <w:rPr>
          <w:color w:val="000000" w:themeColor="text1"/>
          <w:szCs w:val="22"/>
        </w:rPr>
        <w:t>t</w:t>
      </w:r>
      <w:r w:rsidR="001913DC">
        <w:t xml:space="preserve">he Commission </w:t>
      </w:r>
      <w:r w:rsidR="007C1028">
        <w:t xml:space="preserve">clearly </w:t>
      </w:r>
      <w:r w:rsidR="001913DC">
        <w:t>explained why the protected Class A stations were different from the Movants</w:t>
      </w:r>
      <w:r w:rsidR="00583121">
        <w:t>’</w:t>
      </w:r>
      <w:r w:rsidR="001D3B2D">
        <w:t xml:space="preserve"> stations</w:t>
      </w:r>
      <w:r w:rsidR="007C1028">
        <w:t>.</w:t>
      </w:r>
      <w:r w:rsidR="001913DC">
        <w:rPr>
          <w:rStyle w:val="FootnoteReference"/>
        </w:rPr>
        <w:footnoteReference w:id="48"/>
      </w:r>
      <w:r w:rsidR="001913DC">
        <w:t xml:space="preserve"> </w:t>
      </w:r>
      <w:r w:rsidR="007C1028">
        <w:t xml:space="preserve"> </w:t>
      </w:r>
      <w:r w:rsidR="00583121">
        <w:t>It</w:t>
      </w:r>
      <w:r w:rsidR="001913DC">
        <w:t xml:space="preserve"> </w:t>
      </w:r>
      <w:r w:rsidR="007C1028">
        <w:t xml:space="preserve">also </w:t>
      </w:r>
      <w:r w:rsidR="001913DC">
        <w:t xml:space="preserve">explained </w:t>
      </w:r>
      <w:r w:rsidR="007C1028">
        <w:t xml:space="preserve">that </w:t>
      </w:r>
      <w:r w:rsidR="001913DC">
        <w:t xml:space="preserve">the </w:t>
      </w:r>
      <w:r w:rsidR="007C1028">
        <w:t>licensees of the</w:t>
      </w:r>
      <w:r w:rsidR="00583121">
        <w:t xml:space="preserve"> </w:t>
      </w:r>
      <w:r w:rsidR="001913DC">
        <w:t xml:space="preserve">protected Class A stations might have failed to seek reconsideration of the </w:t>
      </w:r>
      <w:r w:rsidR="001913DC" w:rsidRPr="001913DC">
        <w:rPr>
          <w:i/>
        </w:rPr>
        <w:t xml:space="preserve">Incentive Auction R&amp;O </w:t>
      </w:r>
      <w:r w:rsidR="001913DC">
        <w:t xml:space="preserve">because they reasonably believed their stations were </w:t>
      </w:r>
      <w:r w:rsidR="00291898">
        <w:t>protected under that order</w:t>
      </w:r>
      <w:r w:rsidR="001913DC" w:rsidRPr="00E84426">
        <w:t>.</w:t>
      </w:r>
      <w:r w:rsidR="001913DC">
        <w:rPr>
          <w:rStyle w:val="FootnoteReference"/>
        </w:rPr>
        <w:footnoteReference w:id="49"/>
      </w:r>
      <w:r w:rsidR="001913DC">
        <w:t xml:space="preserve">  </w:t>
      </w:r>
      <w:r w:rsidR="007E4821" w:rsidRPr="001913DC">
        <w:rPr>
          <w:bCs/>
          <w:color w:val="000000" w:themeColor="text1"/>
          <w:szCs w:val="22"/>
        </w:rPr>
        <w:t xml:space="preserve">For </w:t>
      </w:r>
      <w:r w:rsidR="007C1028">
        <w:rPr>
          <w:bCs/>
          <w:color w:val="000000" w:themeColor="text1"/>
          <w:szCs w:val="22"/>
        </w:rPr>
        <w:t xml:space="preserve">all of </w:t>
      </w:r>
      <w:r w:rsidR="007E4821" w:rsidRPr="001913DC">
        <w:rPr>
          <w:bCs/>
          <w:color w:val="000000" w:themeColor="text1"/>
          <w:szCs w:val="22"/>
        </w:rPr>
        <w:t>the</w:t>
      </w:r>
      <w:r w:rsidR="007C1028">
        <w:rPr>
          <w:bCs/>
          <w:color w:val="000000" w:themeColor="text1"/>
          <w:szCs w:val="22"/>
        </w:rPr>
        <w:t>se</w:t>
      </w:r>
      <w:r w:rsidR="007E4821" w:rsidRPr="001913DC">
        <w:rPr>
          <w:bCs/>
          <w:color w:val="000000" w:themeColor="text1"/>
          <w:szCs w:val="22"/>
        </w:rPr>
        <w:t xml:space="preserve"> reasons</w:t>
      </w:r>
      <w:r w:rsidR="002F3328" w:rsidRPr="001913DC">
        <w:rPr>
          <w:bCs/>
          <w:color w:val="000000" w:themeColor="text1"/>
          <w:szCs w:val="22"/>
        </w:rPr>
        <w:t xml:space="preserve">, </w:t>
      </w:r>
      <w:r w:rsidR="00ED17A3" w:rsidRPr="001913DC">
        <w:rPr>
          <w:bCs/>
          <w:color w:val="000000" w:themeColor="text1"/>
          <w:szCs w:val="22"/>
        </w:rPr>
        <w:t>Movant</w:t>
      </w:r>
      <w:r w:rsidR="00E26D74" w:rsidRPr="001913DC">
        <w:rPr>
          <w:bCs/>
          <w:color w:val="000000" w:themeColor="text1"/>
          <w:szCs w:val="22"/>
        </w:rPr>
        <w:t>s</w:t>
      </w:r>
      <w:r w:rsidR="004C1BEC" w:rsidRPr="001913DC">
        <w:rPr>
          <w:bCs/>
          <w:color w:val="000000" w:themeColor="text1"/>
          <w:szCs w:val="22"/>
        </w:rPr>
        <w:t xml:space="preserve"> have </w:t>
      </w:r>
      <w:r w:rsidR="00C468AE" w:rsidRPr="001913DC">
        <w:rPr>
          <w:bCs/>
          <w:color w:val="000000" w:themeColor="text1"/>
          <w:szCs w:val="22"/>
        </w:rPr>
        <w:t xml:space="preserve">failed to demonstrate a likelihood of success on the </w:t>
      </w:r>
      <w:r w:rsidR="004C1BEC" w:rsidRPr="001913DC">
        <w:rPr>
          <w:bCs/>
          <w:color w:val="000000" w:themeColor="text1"/>
          <w:szCs w:val="22"/>
        </w:rPr>
        <w:t>merits.</w:t>
      </w:r>
    </w:p>
    <w:p w14:paraId="1A7DD071" w14:textId="17F60790" w:rsidR="002F3328" w:rsidRPr="008F3CC0" w:rsidRDefault="00ED17A3" w:rsidP="0049272C">
      <w:pPr>
        <w:pStyle w:val="Heading2"/>
        <w:rPr>
          <w:color w:val="000000" w:themeColor="text1"/>
          <w:szCs w:val="22"/>
        </w:rPr>
      </w:pPr>
      <w:r>
        <w:rPr>
          <w:color w:val="000000" w:themeColor="text1"/>
          <w:szCs w:val="22"/>
        </w:rPr>
        <w:t>Movant</w:t>
      </w:r>
      <w:r w:rsidR="00E26D74" w:rsidRPr="008F3CC0">
        <w:rPr>
          <w:color w:val="000000" w:themeColor="text1"/>
          <w:szCs w:val="22"/>
        </w:rPr>
        <w:t xml:space="preserve">s </w:t>
      </w:r>
      <w:r w:rsidR="002F3328" w:rsidRPr="008F3CC0">
        <w:rPr>
          <w:color w:val="000000" w:themeColor="text1"/>
          <w:szCs w:val="22"/>
        </w:rPr>
        <w:t>Will Not Suffer Irreparable Injury</w:t>
      </w:r>
    </w:p>
    <w:p w14:paraId="1E287AD2" w14:textId="4497250A" w:rsidR="006822E3" w:rsidRPr="00AD0A11" w:rsidRDefault="00AD0A11" w:rsidP="00CF2D2B">
      <w:pPr>
        <w:pStyle w:val="ParaNum"/>
        <w:ind w:firstLine="720"/>
        <w:rPr>
          <w:color w:val="000000" w:themeColor="text1"/>
          <w:szCs w:val="22"/>
        </w:rPr>
      </w:pPr>
      <w:r w:rsidRPr="00AD0A11">
        <w:rPr>
          <w:color w:val="000000" w:themeColor="text1"/>
          <w:szCs w:val="22"/>
        </w:rPr>
        <w:t>Movants also have failed to prove that they will suffer irreparable injury absent a grant of the Stay Petition.</w:t>
      </w:r>
      <w:r w:rsidR="002F3328" w:rsidRPr="008F3CC0">
        <w:rPr>
          <w:rStyle w:val="FootnoteReference"/>
          <w:color w:val="000000" w:themeColor="text1"/>
          <w:sz w:val="22"/>
          <w:szCs w:val="22"/>
        </w:rPr>
        <w:footnoteReference w:id="50"/>
      </w:r>
      <w:r w:rsidR="002F3328" w:rsidRPr="00AD0A11">
        <w:rPr>
          <w:color w:val="000000" w:themeColor="text1"/>
          <w:szCs w:val="22"/>
        </w:rPr>
        <w:t xml:space="preserve">  </w:t>
      </w:r>
      <w:r w:rsidR="00ED17A3" w:rsidRPr="00AD0A11">
        <w:rPr>
          <w:color w:val="000000" w:themeColor="text1"/>
          <w:szCs w:val="22"/>
        </w:rPr>
        <w:t>Movant</w:t>
      </w:r>
      <w:r w:rsidR="00E26D74" w:rsidRPr="00AD0A11">
        <w:rPr>
          <w:color w:val="000000" w:themeColor="text1"/>
          <w:szCs w:val="22"/>
        </w:rPr>
        <w:t xml:space="preserve">s </w:t>
      </w:r>
      <w:r>
        <w:rPr>
          <w:color w:val="000000" w:themeColor="text1"/>
          <w:szCs w:val="22"/>
        </w:rPr>
        <w:t>maintain</w:t>
      </w:r>
      <w:r w:rsidR="00E26D74" w:rsidRPr="00AD0A11">
        <w:rPr>
          <w:color w:val="000000" w:themeColor="text1"/>
          <w:szCs w:val="22"/>
        </w:rPr>
        <w:t xml:space="preserve"> that, </w:t>
      </w:r>
      <w:r w:rsidR="00B00B9A" w:rsidRPr="00AD0A11">
        <w:rPr>
          <w:color w:val="000000" w:themeColor="text1"/>
          <w:szCs w:val="22"/>
        </w:rPr>
        <w:t xml:space="preserve">“[a]fter January 12, 2016, </w:t>
      </w:r>
      <w:r w:rsidR="00ED17A3" w:rsidRPr="00AD0A11">
        <w:rPr>
          <w:color w:val="000000" w:themeColor="text1"/>
          <w:szCs w:val="22"/>
        </w:rPr>
        <w:t>Movant</w:t>
      </w:r>
      <w:r w:rsidR="00B00B9A" w:rsidRPr="00AD0A11">
        <w:rPr>
          <w:color w:val="000000" w:themeColor="text1"/>
          <w:szCs w:val="22"/>
        </w:rPr>
        <w:t>s will be foreclosed from participating in the reverse auction and thus will be unable to ‘return some or all of their broadcast spectrum usage rights in exchange for incentive payments.’”</w:t>
      </w:r>
      <w:r w:rsidR="00480267" w:rsidRPr="008F3CC0">
        <w:rPr>
          <w:rStyle w:val="FootnoteReference"/>
          <w:color w:val="000000" w:themeColor="text1"/>
          <w:sz w:val="22"/>
          <w:szCs w:val="22"/>
        </w:rPr>
        <w:footnoteReference w:id="51"/>
      </w:r>
      <w:r w:rsidR="00D64F45" w:rsidRPr="00AD0A11">
        <w:rPr>
          <w:color w:val="000000" w:themeColor="text1"/>
          <w:szCs w:val="22"/>
        </w:rPr>
        <w:t xml:space="preserve">  </w:t>
      </w:r>
      <w:r w:rsidR="00291898">
        <w:rPr>
          <w:color w:val="000000" w:themeColor="text1"/>
          <w:szCs w:val="22"/>
        </w:rPr>
        <w:t>However, i</w:t>
      </w:r>
      <w:r>
        <w:rPr>
          <w:color w:val="000000" w:themeColor="text1"/>
          <w:szCs w:val="22"/>
        </w:rPr>
        <w:t>f Movants were to prevail on the merits of their claims</w:t>
      </w:r>
      <w:r w:rsidR="002A4018">
        <w:rPr>
          <w:color w:val="000000" w:themeColor="text1"/>
          <w:szCs w:val="22"/>
        </w:rPr>
        <w:t xml:space="preserve"> after January 12, 2016</w:t>
      </w:r>
      <w:r>
        <w:rPr>
          <w:color w:val="000000" w:themeColor="text1"/>
          <w:szCs w:val="22"/>
        </w:rPr>
        <w:t xml:space="preserve">, </w:t>
      </w:r>
      <w:r w:rsidR="002A4018">
        <w:rPr>
          <w:color w:val="000000" w:themeColor="text1"/>
          <w:szCs w:val="22"/>
        </w:rPr>
        <w:t xml:space="preserve">appropriate </w:t>
      </w:r>
      <w:r>
        <w:rPr>
          <w:color w:val="000000" w:themeColor="text1"/>
          <w:szCs w:val="22"/>
        </w:rPr>
        <w:t>relief would be available for them at a later date.</w:t>
      </w:r>
      <w:r w:rsidR="00A5112D" w:rsidRPr="008F3CC0">
        <w:rPr>
          <w:rStyle w:val="FootnoteReference"/>
          <w:color w:val="000000" w:themeColor="text1"/>
          <w:sz w:val="22"/>
          <w:szCs w:val="22"/>
        </w:rPr>
        <w:footnoteReference w:id="52"/>
      </w:r>
      <w:r w:rsidR="005F688B" w:rsidRPr="00AD0A11">
        <w:rPr>
          <w:color w:val="000000" w:themeColor="text1"/>
          <w:szCs w:val="22"/>
        </w:rPr>
        <w:t xml:space="preserve">  </w:t>
      </w:r>
      <w:r w:rsidR="00CB4784" w:rsidRPr="00AD0A11">
        <w:rPr>
          <w:color w:val="000000" w:themeColor="text1"/>
          <w:szCs w:val="22"/>
        </w:rPr>
        <w:t>For example, i</w:t>
      </w:r>
      <w:r w:rsidR="00D64F45" w:rsidRPr="00AD0A11">
        <w:rPr>
          <w:color w:val="000000" w:themeColor="text1"/>
          <w:szCs w:val="22"/>
        </w:rPr>
        <w:t xml:space="preserve">f the Commission </w:t>
      </w:r>
      <w:r>
        <w:rPr>
          <w:color w:val="000000" w:themeColor="text1"/>
          <w:szCs w:val="22"/>
        </w:rPr>
        <w:t xml:space="preserve">were to </w:t>
      </w:r>
      <w:r w:rsidR="00D64F45" w:rsidRPr="00AD0A11">
        <w:rPr>
          <w:color w:val="000000" w:themeColor="text1"/>
          <w:szCs w:val="22"/>
        </w:rPr>
        <w:t xml:space="preserve">rule </w:t>
      </w:r>
      <w:r w:rsidR="00A35CE8" w:rsidRPr="00AD0A11">
        <w:rPr>
          <w:color w:val="000000" w:themeColor="text1"/>
          <w:szCs w:val="22"/>
        </w:rPr>
        <w:t xml:space="preserve">in </w:t>
      </w:r>
      <w:r>
        <w:rPr>
          <w:color w:val="000000" w:themeColor="text1"/>
          <w:szCs w:val="22"/>
        </w:rPr>
        <w:t xml:space="preserve">their </w:t>
      </w:r>
      <w:r w:rsidR="00A35CE8" w:rsidRPr="00AD0A11">
        <w:rPr>
          <w:color w:val="000000" w:themeColor="text1"/>
          <w:szCs w:val="22"/>
        </w:rPr>
        <w:t xml:space="preserve">favor </w:t>
      </w:r>
      <w:r w:rsidR="005F688B" w:rsidRPr="00AD0A11">
        <w:rPr>
          <w:color w:val="000000" w:themeColor="text1"/>
          <w:szCs w:val="22"/>
        </w:rPr>
        <w:t xml:space="preserve">before </w:t>
      </w:r>
      <w:r w:rsidR="00A35CE8" w:rsidRPr="00AD0A11">
        <w:rPr>
          <w:color w:val="000000" w:themeColor="text1"/>
          <w:szCs w:val="22"/>
        </w:rPr>
        <w:t xml:space="preserve">the auction commences, it </w:t>
      </w:r>
      <w:r>
        <w:rPr>
          <w:color w:val="000000" w:themeColor="text1"/>
          <w:szCs w:val="22"/>
        </w:rPr>
        <w:t>could</w:t>
      </w:r>
      <w:r w:rsidRPr="00AD0A11">
        <w:rPr>
          <w:color w:val="000000" w:themeColor="text1"/>
          <w:szCs w:val="22"/>
        </w:rPr>
        <w:t xml:space="preserve"> </w:t>
      </w:r>
      <w:r w:rsidR="00A35CE8" w:rsidRPr="00AD0A11">
        <w:rPr>
          <w:color w:val="000000" w:themeColor="text1"/>
          <w:szCs w:val="22"/>
        </w:rPr>
        <w:t xml:space="preserve">take appropriate action to ensure that the </w:t>
      </w:r>
      <w:r w:rsidR="00ED17A3" w:rsidRPr="00AD0A11">
        <w:rPr>
          <w:color w:val="000000" w:themeColor="text1"/>
          <w:szCs w:val="22"/>
        </w:rPr>
        <w:t>Movant</w:t>
      </w:r>
      <w:r w:rsidR="00A35CE8" w:rsidRPr="00AD0A11">
        <w:rPr>
          <w:color w:val="000000" w:themeColor="text1"/>
          <w:szCs w:val="22"/>
        </w:rPr>
        <w:t>s have an opportunity to submit an application to participate in the reverse auction</w:t>
      </w:r>
      <w:r w:rsidR="006D3432" w:rsidRPr="00AD0A11">
        <w:rPr>
          <w:color w:val="000000" w:themeColor="text1"/>
          <w:szCs w:val="22"/>
        </w:rPr>
        <w:t>.</w:t>
      </w:r>
      <w:r w:rsidR="00480267" w:rsidRPr="00AD0A11">
        <w:rPr>
          <w:color w:val="000000" w:themeColor="text1"/>
          <w:szCs w:val="22"/>
        </w:rPr>
        <w:t xml:space="preserve"> </w:t>
      </w:r>
      <w:r w:rsidR="000E4643" w:rsidRPr="00AD0A11">
        <w:rPr>
          <w:color w:val="000000" w:themeColor="text1"/>
          <w:szCs w:val="22"/>
        </w:rPr>
        <w:t xml:space="preserve"> </w:t>
      </w:r>
      <w:r w:rsidR="00CB4784" w:rsidRPr="00AD0A11">
        <w:rPr>
          <w:color w:val="000000" w:themeColor="text1"/>
          <w:szCs w:val="22"/>
        </w:rPr>
        <w:t xml:space="preserve">If the Commission </w:t>
      </w:r>
      <w:r w:rsidR="002A4018">
        <w:rPr>
          <w:color w:val="000000" w:themeColor="text1"/>
          <w:szCs w:val="22"/>
        </w:rPr>
        <w:t xml:space="preserve">or a court were to </w:t>
      </w:r>
      <w:r w:rsidR="00CB4784" w:rsidRPr="00AD0A11">
        <w:rPr>
          <w:color w:val="000000" w:themeColor="text1"/>
          <w:szCs w:val="22"/>
        </w:rPr>
        <w:t xml:space="preserve">rule in </w:t>
      </w:r>
      <w:r w:rsidR="002A4018">
        <w:rPr>
          <w:color w:val="000000" w:themeColor="text1"/>
          <w:szCs w:val="22"/>
        </w:rPr>
        <w:t xml:space="preserve">their </w:t>
      </w:r>
      <w:r w:rsidR="00CB4784" w:rsidRPr="00AD0A11">
        <w:rPr>
          <w:color w:val="000000" w:themeColor="text1"/>
          <w:szCs w:val="22"/>
        </w:rPr>
        <w:t>favor after the auction commences, the Commission c</w:t>
      </w:r>
      <w:r w:rsidR="002A4018">
        <w:rPr>
          <w:color w:val="000000" w:themeColor="text1"/>
          <w:szCs w:val="22"/>
        </w:rPr>
        <w:t>ould</w:t>
      </w:r>
      <w:r w:rsidR="00CB4784" w:rsidRPr="00AD0A11">
        <w:rPr>
          <w:color w:val="000000" w:themeColor="text1"/>
          <w:szCs w:val="22"/>
        </w:rPr>
        <w:t xml:space="preserve"> devise other appropriate relief as necessary.</w:t>
      </w:r>
      <w:r w:rsidR="00CB4784" w:rsidRPr="008F3CC0">
        <w:rPr>
          <w:rStyle w:val="FootnoteReference"/>
          <w:color w:val="000000" w:themeColor="text1"/>
          <w:sz w:val="22"/>
          <w:szCs w:val="22"/>
        </w:rPr>
        <w:footnoteReference w:id="53"/>
      </w:r>
      <w:r w:rsidR="00CB4784" w:rsidRPr="00AD0A11">
        <w:rPr>
          <w:color w:val="000000" w:themeColor="text1"/>
          <w:szCs w:val="22"/>
        </w:rPr>
        <w:t xml:space="preserve"> </w:t>
      </w:r>
      <w:r w:rsidR="00480267" w:rsidRPr="00AD0A11">
        <w:rPr>
          <w:color w:val="000000" w:themeColor="text1"/>
          <w:szCs w:val="22"/>
        </w:rPr>
        <w:t xml:space="preserve"> </w:t>
      </w:r>
      <w:r w:rsidR="00A35CE8" w:rsidRPr="00AD0A11">
        <w:rPr>
          <w:color w:val="000000" w:themeColor="text1"/>
          <w:szCs w:val="22"/>
        </w:rPr>
        <w:t xml:space="preserve">    </w:t>
      </w:r>
    </w:p>
    <w:p w14:paraId="2C675D02" w14:textId="1EB5FC8B" w:rsidR="006C0A6A" w:rsidRDefault="00ED17A3" w:rsidP="006822E3">
      <w:pPr>
        <w:pStyle w:val="ParaNum"/>
        <w:ind w:firstLine="720"/>
        <w:rPr>
          <w:color w:val="000000" w:themeColor="text1"/>
          <w:szCs w:val="22"/>
        </w:rPr>
      </w:pPr>
      <w:r>
        <w:rPr>
          <w:color w:val="000000" w:themeColor="text1"/>
          <w:szCs w:val="22"/>
        </w:rPr>
        <w:t>Movant</w:t>
      </w:r>
      <w:r w:rsidR="00A5112D" w:rsidRPr="008F3CC0">
        <w:rPr>
          <w:color w:val="000000" w:themeColor="text1"/>
          <w:szCs w:val="22"/>
        </w:rPr>
        <w:t>s also claim that</w:t>
      </w:r>
      <w:r w:rsidR="006822E3" w:rsidRPr="008F3CC0">
        <w:rPr>
          <w:color w:val="000000" w:themeColor="text1"/>
          <w:szCs w:val="22"/>
        </w:rPr>
        <w:t xml:space="preserve">, </w:t>
      </w:r>
      <w:r w:rsidR="00D64F45" w:rsidRPr="008F3CC0">
        <w:rPr>
          <w:color w:val="000000" w:themeColor="text1"/>
          <w:szCs w:val="22"/>
        </w:rPr>
        <w:t>“</w:t>
      </w:r>
      <w:r w:rsidR="006822E3" w:rsidRPr="008F3CC0">
        <w:rPr>
          <w:color w:val="000000" w:themeColor="text1"/>
          <w:szCs w:val="22"/>
        </w:rPr>
        <w:t xml:space="preserve">after January 12, 2016, </w:t>
      </w:r>
      <w:r>
        <w:rPr>
          <w:color w:val="000000" w:themeColor="text1"/>
          <w:szCs w:val="22"/>
        </w:rPr>
        <w:t>[they]</w:t>
      </w:r>
      <w:r w:rsidR="00D64F45" w:rsidRPr="008F3CC0">
        <w:rPr>
          <w:color w:val="000000" w:themeColor="text1"/>
          <w:szCs w:val="22"/>
        </w:rPr>
        <w:t xml:space="preserve"> </w:t>
      </w:r>
      <w:r w:rsidR="00B00B9A" w:rsidRPr="008F3CC0">
        <w:rPr>
          <w:color w:val="000000" w:themeColor="text1"/>
          <w:szCs w:val="22"/>
        </w:rPr>
        <w:t>w</w:t>
      </w:r>
      <w:r w:rsidR="006822E3" w:rsidRPr="008F3CC0">
        <w:rPr>
          <w:color w:val="000000" w:themeColor="text1"/>
          <w:szCs w:val="22"/>
        </w:rPr>
        <w:t>ill forever lose their existing spectrum rights, as they are likely to be displaced with little chance of securing a replacement channel following the post-auction repack.”</w:t>
      </w:r>
      <w:r w:rsidR="00607929" w:rsidRPr="008F3CC0">
        <w:rPr>
          <w:rStyle w:val="FootnoteReference"/>
          <w:color w:val="000000" w:themeColor="text1"/>
          <w:sz w:val="22"/>
          <w:szCs w:val="22"/>
        </w:rPr>
        <w:footnoteReference w:id="54"/>
      </w:r>
      <w:r w:rsidR="006822E3" w:rsidRPr="008F3CC0">
        <w:rPr>
          <w:color w:val="000000" w:themeColor="text1"/>
          <w:szCs w:val="22"/>
        </w:rPr>
        <w:t xml:space="preserve">  This </w:t>
      </w:r>
      <w:r w:rsidR="00D64F45" w:rsidRPr="008F3CC0">
        <w:rPr>
          <w:color w:val="000000" w:themeColor="text1"/>
          <w:szCs w:val="22"/>
        </w:rPr>
        <w:t xml:space="preserve">allegation </w:t>
      </w:r>
      <w:r w:rsidR="00EA0F60">
        <w:rPr>
          <w:color w:val="000000" w:themeColor="text1"/>
          <w:szCs w:val="22"/>
        </w:rPr>
        <w:t>lacks merit</w:t>
      </w:r>
      <w:r w:rsidR="006822E3" w:rsidRPr="008F3CC0">
        <w:rPr>
          <w:color w:val="000000" w:themeColor="text1"/>
          <w:szCs w:val="22"/>
        </w:rPr>
        <w:t xml:space="preserve"> for several reasons.</w:t>
      </w:r>
      <w:r w:rsidR="00EA0F60">
        <w:rPr>
          <w:color w:val="000000" w:themeColor="text1"/>
          <w:szCs w:val="22"/>
        </w:rPr>
        <w:t xml:space="preserve">  First, the January 12 deadline </w:t>
      </w:r>
      <w:r w:rsidR="00EA0F60" w:rsidRPr="008F3CC0">
        <w:rPr>
          <w:color w:val="000000" w:themeColor="text1"/>
          <w:szCs w:val="22"/>
        </w:rPr>
        <w:t xml:space="preserve">will have no bearing on </w:t>
      </w:r>
      <w:r w:rsidR="00EA0F60">
        <w:rPr>
          <w:color w:val="000000" w:themeColor="text1"/>
          <w:szCs w:val="22"/>
        </w:rPr>
        <w:t>Movants’</w:t>
      </w:r>
      <w:r w:rsidR="00EA0F60" w:rsidRPr="008F3CC0">
        <w:rPr>
          <w:color w:val="000000" w:themeColor="text1"/>
          <w:szCs w:val="22"/>
        </w:rPr>
        <w:t xml:space="preserve"> ability to receive </w:t>
      </w:r>
      <w:r w:rsidR="00EA0F60">
        <w:rPr>
          <w:color w:val="000000" w:themeColor="text1"/>
          <w:szCs w:val="22"/>
        </w:rPr>
        <w:t xml:space="preserve">repacking </w:t>
      </w:r>
      <w:r w:rsidR="00EA0F60" w:rsidRPr="008F3CC0">
        <w:rPr>
          <w:color w:val="000000" w:themeColor="text1"/>
          <w:szCs w:val="22"/>
        </w:rPr>
        <w:t>protection</w:t>
      </w:r>
      <w:r w:rsidR="00EA0F60">
        <w:rPr>
          <w:color w:val="000000" w:themeColor="text1"/>
          <w:szCs w:val="22"/>
        </w:rPr>
        <w:t>.  A</w:t>
      </w:r>
      <w:r w:rsidR="006822E3" w:rsidRPr="008F3CC0">
        <w:rPr>
          <w:color w:val="000000" w:themeColor="text1"/>
          <w:szCs w:val="22"/>
        </w:rPr>
        <w:t xml:space="preserve"> station </w:t>
      </w:r>
      <w:r w:rsidR="00EA0F60">
        <w:rPr>
          <w:color w:val="000000" w:themeColor="text1"/>
          <w:szCs w:val="22"/>
        </w:rPr>
        <w:t xml:space="preserve">need not </w:t>
      </w:r>
      <w:r w:rsidR="006822E3" w:rsidRPr="008F3CC0">
        <w:rPr>
          <w:color w:val="000000" w:themeColor="text1"/>
          <w:szCs w:val="22"/>
        </w:rPr>
        <w:t xml:space="preserve">participate in the reverse action in order to be protected in the repacking process.  If the Commission </w:t>
      </w:r>
      <w:r w:rsidR="00EA0F60">
        <w:rPr>
          <w:color w:val="000000" w:themeColor="text1"/>
          <w:szCs w:val="22"/>
        </w:rPr>
        <w:t xml:space="preserve">or a court </w:t>
      </w:r>
      <w:r w:rsidR="006822E3" w:rsidRPr="008F3CC0">
        <w:rPr>
          <w:color w:val="000000" w:themeColor="text1"/>
          <w:szCs w:val="22"/>
        </w:rPr>
        <w:t xml:space="preserve">determines that </w:t>
      </w:r>
      <w:r>
        <w:rPr>
          <w:color w:val="000000" w:themeColor="text1"/>
          <w:szCs w:val="22"/>
        </w:rPr>
        <w:t>Movant</w:t>
      </w:r>
      <w:r w:rsidR="006822E3" w:rsidRPr="008F3CC0">
        <w:rPr>
          <w:color w:val="000000" w:themeColor="text1"/>
          <w:szCs w:val="22"/>
        </w:rPr>
        <w:t xml:space="preserve">s should be protected in the repacking process, </w:t>
      </w:r>
      <w:r w:rsidR="00EA0F60">
        <w:rPr>
          <w:color w:val="000000" w:themeColor="text1"/>
          <w:szCs w:val="22"/>
        </w:rPr>
        <w:t xml:space="preserve">the Commission </w:t>
      </w:r>
      <w:r w:rsidR="00291898">
        <w:rPr>
          <w:color w:val="000000" w:themeColor="text1"/>
          <w:szCs w:val="22"/>
        </w:rPr>
        <w:t xml:space="preserve">will be able to </w:t>
      </w:r>
      <w:r w:rsidR="00EA0F60">
        <w:rPr>
          <w:color w:val="000000" w:themeColor="text1"/>
          <w:szCs w:val="22"/>
        </w:rPr>
        <w:t>take appropriate action to protect them.  Moreover, the repacking process will not be finalized until after bidding in the incentive auction closes, which will not transpire for many months, and stations will not</w:t>
      </w:r>
      <w:r w:rsidR="00E84378">
        <w:rPr>
          <w:color w:val="000000" w:themeColor="text1"/>
          <w:szCs w:val="22"/>
        </w:rPr>
        <w:t xml:space="preserve"> actually</w:t>
      </w:r>
      <w:r w:rsidR="00EA0F60">
        <w:rPr>
          <w:color w:val="000000" w:themeColor="text1"/>
          <w:szCs w:val="22"/>
        </w:rPr>
        <w:t xml:space="preserve"> begin transitioning to new channels until after the auction closes.</w:t>
      </w:r>
      <w:r w:rsidR="00E84378">
        <w:rPr>
          <w:color w:val="000000" w:themeColor="text1"/>
          <w:szCs w:val="22"/>
        </w:rPr>
        <w:t xml:space="preserve">  Thus, the harm Movants’ allege is not imminent.</w:t>
      </w:r>
      <w:r w:rsidR="00EA0F60">
        <w:rPr>
          <w:color w:val="000000" w:themeColor="text1"/>
          <w:szCs w:val="22"/>
        </w:rPr>
        <w:t xml:space="preserve"> </w:t>
      </w:r>
      <w:r w:rsidR="006822E3" w:rsidRPr="008F3CC0">
        <w:rPr>
          <w:color w:val="000000" w:themeColor="text1"/>
          <w:szCs w:val="22"/>
        </w:rPr>
        <w:t xml:space="preserve"> </w:t>
      </w:r>
    </w:p>
    <w:p w14:paraId="5A385A33" w14:textId="46A619AB" w:rsidR="006822E3" w:rsidRPr="008F3CC0" w:rsidRDefault="00157DB9" w:rsidP="006822E3">
      <w:pPr>
        <w:pStyle w:val="ParaNum"/>
        <w:ind w:firstLine="720"/>
        <w:rPr>
          <w:color w:val="000000" w:themeColor="text1"/>
          <w:szCs w:val="22"/>
        </w:rPr>
      </w:pPr>
      <w:r w:rsidRPr="008F3CC0">
        <w:rPr>
          <w:color w:val="000000" w:themeColor="text1"/>
          <w:szCs w:val="22"/>
        </w:rPr>
        <w:t xml:space="preserve">Second, </w:t>
      </w:r>
      <w:r w:rsidR="00ED17A3">
        <w:rPr>
          <w:color w:val="000000" w:themeColor="text1"/>
          <w:szCs w:val="22"/>
        </w:rPr>
        <w:t>Movant</w:t>
      </w:r>
      <w:r w:rsidR="00607929" w:rsidRPr="008F3CC0">
        <w:rPr>
          <w:color w:val="000000" w:themeColor="text1"/>
          <w:szCs w:val="22"/>
        </w:rPr>
        <w:t>s</w:t>
      </w:r>
      <w:r w:rsidR="006C0A6A">
        <w:rPr>
          <w:color w:val="000000" w:themeColor="text1"/>
          <w:szCs w:val="22"/>
        </w:rPr>
        <w:t>’</w:t>
      </w:r>
      <w:r w:rsidR="00B00B9A" w:rsidRPr="008F3CC0">
        <w:rPr>
          <w:color w:val="000000" w:themeColor="text1"/>
          <w:szCs w:val="22"/>
        </w:rPr>
        <w:t xml:space="preserve"> asse</w:t>
      </w:r>
      <w:r w:rsidR="00D64F45" w:rsidRPr="008F3CC0">
        <w:rPr>
          <w:color w:val="000000" w:themeColor="text1"/>
          <w:szCs w:val="22"/>
        </w:rPr>
        <w:t>rt</w:t>
      </w:r>
      <w:r w:rsidR="006C0A6A">
        <w:rPr>
          <w:color w:val="000000" w:themeColor="text1"/>
          <w:szCs w:val="22"/>
        </w:rPr>
        <w:t>ions</w:t>
      </w:r>
      <w:r w:rsidR="00B00B9A" w:rsidRPr="008F3CC0">
        <w:rPr>
          <w:color w:val="000000" w:themeColor="text1"/>
          <w:szCs w:val="22"/>
        </w:rPr>
        <w:t xml:space="preserve"> that they are </w:t>
      </w:r>
      <w:r w:rsidR="00950B84" w:rsidRPr="008F3CC0">
        <w:rPr>
          <w:color w:val="000000" w:themeColor="text1"/>
          <w:szCs w:val="22"/>
        </w:rPr>
        <w:t xml:space="preserve">likely to be </w:t>
      </w:r>
      <w:r w:rsidR="00E84378">
        <w:rPr>
          <w:color w:val="000000" w:themeColor="text1"/>
          <w:szCs w:val="22"/>
        </w:rPr>
        <w:t>harm</w:t>
      </w:r>
      <w:r w:rsidR="00E84378" w:rsidRPr="008F3CC0">
        <w:rPr>
          <w:color w:val="000000" w:themeColor="text1"/>
          <w:szCs w:val="22"/>
        </w:rPr>
        <w:t>ed</w:t>
      </w:r>
      <w:r w:rsidR="00E84378">
        <w:rPr>
          <w:color w:val="000000" w:themeColor="text1"/>
          <w:szCs w:val="22"/>
        </w:rPr>
        <w:t xml:space="preserve"> </w:t>
      </w:r>
      <w:r w:rsidR="006C0A6A">
        <w:rPr>
          <w:color w:val="000000" w:themeColor="text1"/>
          <w:szCs w:val="22"/>
        </w:rPr>
        <w:t>if they are not protected</w:t>
      </w:r>
      <w:r w:rsidR="00E84378">
        <w:rPr>
          <w:color w:val="000000" w:themeColor="text1"/>
          <w:szCs w:val="22"/>
        </w:rPr>
        <w:t xml:space="preserve"> </w:t>
      </w:r>
      <w:r w:rsidR="006C0A6A">
        <w:rPr>
          <w:color w:val="000000" w:themeColor="text1"/>
          <w:szCs w:val="22"/>
        </w:rPr>
        <w:t>are wholly speculative.  T</w:t>
      </w:r>
      <w:r w:rsidR="00C31BCA" w:rsidRPr="008F3CC0">
        <w:rPr>
          <w:color w:val="000000" w:themeColor="text1"/>
          <w:szCs w:val="22"/>
        </w:rPr>
        <w:t xml:space="preserve">he likelihood of displacement depends on factors such as </w:t>
      </w:r>
      <w:r w:rsidR="00C31BCA" w:rsidRPr="008F3CC0">
        <w:rPr>
          <w:snapToGrid/>
          <w:color w:val="000000" w:themeColor="text1"/>
          <w:szCs w:val="22"/>
        </w:rPr>
        <w:t>broadcaster participation levels in the reverse auction, the amount of spectrum that the auction clears, the individual channel reassignments made to repacked broadcasters, and whether auction closing conditions are satisfied</w:t>
      </w:r>
      <w:r w:rsidR="00D64F45" w:rsidRPr="008F3CC0">
        <w:rPr>
          <w:color w:val="000000" w:themeColor="text1"/>
          <w:szCs w:val="22"/>
        </w:rPr>
        <w:t xml:space="preserve">. </w:t>
      </w:r>
      <w:r w:rsidR="004A3107">
        <w:rPr>
          <w:color w:val="000000" w:themeColor="text1"/>
          <w:szCs w:val="22"/>
        </w:rPr>
        <w:t xml:space="preserve"> </w:t>
      </w:r>
      <w:r w:rsidR="00ED17A3">
        <w:rPr>
          <w:color w:val="000000" w:themeColor="text1"/>
          <w:szCs w:val="22"/>
        </w:rPr>
        <w:t>Movant</w:t>
      </w:r>
      <w:r w:rsidR="008F7893" w:rsidRPr="008F3CC0">
        <w:rPr>
          <w:color w:val="000000" w:themeColor="text1"/>
          <w:szCs w:val="22"/>
        </w:rPr>
        <w:t>s offer no basis to conclude that these factors will result in the displacement of their stations.</w:t>
      </w:r>
      <w:r w:rsidR="00246ED3" w:rsidRPr="008F3CC0">
        <w:rPr>
          <w:rStyle w:val="FootnoteReference"/>
          <w:color w:val="000000" w:themeColor="text1"/>
          <w:sz w:val="22"/>
          <w:szCs w:val="22"/>
        </w:rPr>
        <w:footnoteReference w:id="55"/>
      </w:r>
      <w:r w:rsidR="008F7893" w:rsidRPr="008F3CC0">
        <w:rPr>
          <w:color w:val="000000" w:themeColor="text1"/>
          <w:szCs w:val="22"/>
        </w:rPr>
        <w:t xml:space="preserve">  </w:t>
      </w:r>
      <w:r w:rsidR="006C0A6A">
        <w:rPr>
          <w:color w:val="000000" w:themeColor="text1"/>
          <w:szCs w:val="22"/>
        </w:rPr>
        <w:t>I</w:t>
      </w:r>
      <w:r w:rsidR="00A20DE9" w:rsidRPr="008F3CC0">
        <w:rPr>
          <w:color w:val="000000" w:themeColor="text1"/>
          <w:szCs w:val="22"/>
        </w:rPr>
        <w:t xml:space="preserve">n the event </w:t>
      </w:r>
      <w:r w:rsidR="00291898">
        <w:rPr>
          <w:color w:val="000000" w:themeColor="text1"/>
          <w:szCs w:val="22"/>
        </w:rPr>
        <w:t xml:space="preserve">that </w:t>
      </w:r>
      <w:r w:rsidR="00ED17A3">
        <w:rPr>
          <w:color w:val="000000" w:themeColor="text1"/>
          <w:szCs w:val="22"/>
        </w:rPr>
        <w:t>Movant</w:t>
      </w:r>
      <w:r w:rsidR="00A20DE9" w:rsidRPr="008F3CC0">
        <w:rPr>
          <w:color w:val="000000" w:themeColor="text1"/>
          <w:szCs w:val="22"/>
        </w:rPr>
        <w:t xml:space="preserve">s’ stations are displaced, </w:t>
      </w:r>
      <w:r w:rsidR="003A613D" w:rsidRPr="008F3CC0">
        <w:rPr>
          <w:color w:val="000000" w:themeColor="text1"/>
          <w:szCs w:val="22"/>
        </w:rPr>
        <w:t>the</w:t>
      </w:r>
      <w:r w:rsidR="006C0A6A">
        <w:rPr>
          <w:color w:val="000000" w:themeColor="text1"/>
          <w:szCs w:val="22"/>
        </w:rPr>
        <w:t>y will have</w:t>
      </w:r>
      <w:r w:rsidR="00A20DE9" w:rsidRPr="008F3CC0">
        <w:rPr>
          <w:color w:val="000000" w:themeColor="text1"/>
          <w:szCs w:val="22"/>
        </w:rPr>
        <w:t xml:space="preserve"> an </w:t>
      </w:r>
      <w:r w:rsidR="00615261">
        <w:rPr>
          <w:color w:val="000000" w:themeColor="text1"/>
          <w:szCs w:val="22"/>
        </w:rPr>
        <w:t>“</w:t>
      </w:r>
      <w:r w:rsidR="00A20DE9" w:rsidRPr="008F3CC0">
        <w:rPr>
          <w:color w:val="000000" w:themeColor="text1"/>
          <w:szCs w:val="22"/>
        </w:rPr>
        <w:t>advanced opportunity</w:t>
      </w:r>
      <w:r w:rsidR="00615261">
        <w:rPr>
          <w:color w:val="000000" w:themeColor="text1"/>
          <w:szCs w:val="22"/>
        </w:rPr>
        <w:t>”</w:t>
      </w:r>
      <w:r w:rsidR="00A20DE9" w:rsidRPr="008F3CC0">
        <w:rPr>
          <w:color w:val="000000" w:themeColor="text1"/>
          <w:szCs w:val="22"/>
        </w:rPr>
        <w:t xml:space="preserve"> to file a displacement application</w:t>
      </w:r>
      <w:r w:rsidR="00615261">
        <w:rPr>
          <w:color w:val="000000" w:themeColor="text1"/>
          <w:szCs w:val="22"/>
        </w:rPr>
        <w:t xml:space="preserve"> during the post-auction transition</w:t>
      </w:r>
      <w:r w:rsidR="00387BC0" w:rsidRPr="008F3CC0">
        <w:rPr>
          <w:color w:val="000000" w:themeColor="text1"/>
          <w:szCs w:val="22"/>
        </w:rPr>
        <w:t xml:space="preserve">, thereby </w:t>
      </w:r>
      <w:r w:rsidR="00291898">
        <w:rPr>
          <w:color w:val="000000" w:themeColor="text1"/>
          <w:szCs w:val="22"/>
        </w:rPr>
        <w:t>maximizing</w:t>
      </w:r>
      <w:r w:rsidR="00291898" w:rsidRPr="008F3CC0">
        <w:rPr>
          <w:color w:val="000000" w:themeColor="text1"/>
          <w:szCs w:val="22"/>
        </w:rPr>
        <w:t xml:space="preserve"> </w:t>
      </w:r>
      <w:r w:rsidR="00387BC0" w:rsidRPr="008F3CC0">
        <w:rPr>
          <w:color w:val="000000" w:themeColor="text1"/>
          <w:szCs w:val="22"/>
        </w:rPr>
        <w:t>their chan</w:t>
      </w:r>
      <w:r w:rsidR="004A3107">
        <w:rPr>
          <w:color w:val="000000" w:themeColor="text1"/>
          <w:szCs w:val="22"/>
        </w:rPr>
        <w:t>c</w:t>
      </w:r>
      <w:r w:rsidR="00387BC0" w:rsidRPr="008F3CC0">
        <w:rPr>
          <w:color w:val="000000" w:themeColor="text1"/>
          <w:szCs w:val="22"/>
        </w:rPr>
        <w:t>es of securing replacement channel</w:t>
      </w:r>
      <w:r w:rsidR="00E84378">
        <w:rPr>
          <w:color w:val="000000" w:themeColor="text1"/>
          <w:szCs w:val="22"/>
        </w:rPr>
        <w:t>s</w:t>
      </w:r>
      <w:r w:rsidR="00A20DE9" w:rsidRPr="008F3CC0">
        <w:rPr>
          <w:color w:val="000000" w:themeColor="text1"/>
          <w:szCs w:val="22"/>
        </w:rPr>
        <w:t>.</w:t>
      </w:r>
      <w:r w:rsidR="00A20DE9" w:rsidRPr="008F3CC0">
        <w:rPr>
          <w:rStyle w:val="FootnoteReference"/>
          <w:color w:val="000000" w:themeColor="text1"/>
          <w:sz w:val="22"/>
          <w:szCs w:val="22"/>
        </w:rPr>
        <w:footnoteReference w:id="56"/>
      </w:r>
      <w:r w:rsidR="00404916" w:rsidRPr="008F3CC0">
        <w:rPr>
          <w:color w:val="000000" w:themeColor="text1"/>
          <w:szCs w:val="22"/>
        </w:rPr>
        <w:t xml:space="preserve">  In addition, the stations </w:t>
      </w:r>
      <w:r w:rsidR="00E84378">
        <w:rPr>
          <w:color w:val="000000" w:themeColor="text1"/>
          <w:szCs w:val="22"/>
        </w:rPr>
        <w:t>would</w:t>
      </w:r>
      <w:r w:rsidR="00E84378" w:rsidRPr="008F3CC0">
        <w:rPr>
          <w:color w:val="000000" w:themeColor="text1"/>
          <w:szCs w:val="22"/>
        </w:rPr>
        <w:t xml:space="preserve"> </w:t>
      </w:r>
      <w:r w:rsidR="00404916" w:rsidRPr="008F3CC0">
        <w:rPr>
          <w:color w:val="000000" w:themeColor="text1"/>
          <w:szCs w:val="22"/>
        </w:rPr>
        <w:t xml:space="preserve">be not be required to cease operations until a </w:t>
      </w:r>
      <w:r w:rsidR="004A3107">
        <w:rPr>
          <w:color w:val="000000" w:themeColor="text1"/>
          <w:szCs w:val="22"/>
        </w:rPr>
        <w:t xml:space="preserve">new licensee </w:t>
      </w:r>
      <w:r w:rsidR="00404916" w:rsidRPr="008F3CC0">
        <w:rPr>
          <w:color w:val="000000" w:themeColor="text1"/>
          <w:szCs w:val="22"/>
        </w:rPr>
        <w:t>commences operations</w:t>
      </w:r>
      <w:r w:rsidR="00E84378">
        <w:rPr>
          <w:color w:val="000000" w:themeColor="text1"/>
          <w:szCs w:val="22"/>
        </w:rPr>
        <w:t xml:space="preserve"> on their current channels</w:t>
      </w:r>
      <w:r w:rsidR="00404916" w:rsidRPr="008F3CC0">
        <w:rPr>
          <w:color w:val="000000" w:themeColor="text1"/>
          <w:szCs w:val="22"/>
        </w:rPr>
        <w:t xml:space="preserve">, providing </w:t>
      </w:r>
      <w:r w:rsidR="006C0A6A">
        <w:rPr>
          <w:color w:val="000000" w:themeColor="text1"/>
          <w:szCs w:val="22"/>
        </w:rPr>
        <w:t>opportunit</w:t>
      </w:r>
      <w:r w:rsidR="00E84378">
        <w:rPr>
          <w:color w:val="000000" w:themeColor="text1"/>
          <w:szCs w:val="22"/>
        </w:rPr>
        <w:t>ies for them</w:t>
      </w:r>
      <w:r w:rsidR="006C0A6A">
        <w:rPr>
          <w:color w:val="000000" w:themeColor="text1"/>
          <w:szCs w:val="22"/>
        </w:rPr>
        <w:t xml:space="preserve"> </w:t>
      </w:r>
      <w:r w:rsidR="00246ED3" w:rsidRPr="008F3CC0">
        <w:rPr>
          <w:color w:val="000000" w:themeColor="text1"/>
          <w:szCs w:val="22"/>
        </w:rPr>
        <w:t>to find new channel</w:t>
      </w:r>
      <w:r w:rsidR="00E84378">
        <w:rPr>
          <w:color w:val="000000" w:themeColor="text1"/>
          <w:szCs w:val="22"/>
        </w:rPr>
        <w:t>s</w:t>
      </w:r>
      <w:r w:rsidR="006C0A6A">
        <w:rPr>
          <w:color w:val="000000" w:themeColor="text1"/>
          <w:szCs w:val="22"/>
        </w:rPr>
        <w:t xml:space="preserve"> that may last several years</w:t>
      </w:r>
      <w:r w:rsidR="00404916" w:rsidRPr="008F3CC0">
        <w:rPr>
          <w:color w:val="000000" w:themeColor="text1"/>
          <w:szCs w:val="22"/>
        </w:rPr>
        <w:t>.</w:t>
      </w:r>
      <w:r w:rsidR="00F54C1E">
        <w:rPr>
          <w:rStyle w:val="FootnoteReference"/>
          <w:szCs w:val="22"/>
        </w:rPr>
        <w:footnoteReference w:id="57"/>
      </w:r>
      <w:r w:rsidR="00404916" w:rsidRPr="008F3CC0">
        <w:rPr>
          <w:color w:val="000000" w:themeColor="text1"/>
          <w:szCs w:val="22"/>
        </w:rPr>
        <w:t xml:space="preserve">  </w:t>
      </w:r>
      <w:r w:rsidR="00246ED3" w:rsidRPr="008F3CC0">
        <w:rPr>
          <w:color w:val="000000" w:themeColor="text1"/>
          <w:szCs w:val="22"/>
        </w:rPr>
        <w:t>Also, t</w:t>
      </w:r>
      <w:r w:rsidR="00387BC0" w:rsidRPr="008F3CC0">
        <w:rPr>
          <w:color w:val="000000" w:themeColor="text1"/>
          <w:szCs w:val="22"/>
        </w:rPr>
        <w:t xml:space="preserve">he Commission has proposed </w:t>
      </w:r>
      <w:r w:rsidR="00246ED3" w:rsidRPr="008F3CC0">
        <w:rPr>
          <w:color w:val="000000" w:themeColor="text1"/>
          <w:szCs w:val="22"/>
        </w:rPr>
        <w:t xml:space="preserve">to allow Class A stations to enter into channel sharing arrangements outside the </w:t>
      </w:r>
      <w:r w:rsidR="00387BC0" w:rsidRPr="008F3CC0">
        <w:rPr>
          <w:color w:val="000000" w:themeColor="text1"/>
          <w:szCs w:val="22"/>
        </w:rPr>
        <w:t>auction context</w:t>
      </w:r>
      <w:r w:rsidR="00404916" w:rsidRPr="008F3CC0">
        <w:rPr>
          <w:color w:val="000000" w:themeColor="text1"/>
          <w:szCs w:val="22"/>
        </w:rPr>
        <w:t>.</w:t>
      </w:r>
      <w:r w:rsidR="00246ED3" w:rsidRPr="008F3CC0">
        <w:rPr>
          <w:rStyle w:val="FootnoteReference"/>
          <w:color w:val="000000" w:themeColor="text1"/>
          <w:sz w:val="22"/>
          <w:szCs w:val="22"/>
        </w:rPr>
        <w:footnoteReference w:id="58"/>
      </w:r>
      <w:r w:rsidR="00246ED3" w:rsidRPr="008F3CC0">
        <w:rPr>
          <w:color w:val="000000" w:themeColor="text1"/>
          <w:szCs w:val="22"/>
        </w:rPr>
        <w:t xml:space="preserve">  If adopted, this</w:t>
      </w:r>
      <w:r w:rsidR="006C0A6A">
        <w:rPr>
          <w:color w:val="000000" w:themeColor="text1"/>
          <w:szCs w:val="22"/>
        </w:rPr>
        <w:t xml:space="preserve"> proposal</w:t>
      </w:r>
      <w:r w:rsidR="00246ED3" w:rsidRPr="008F3CC0">
        <w:rPr>
          <w:color w:val="000000" w:themeColor="text1"/>
          <w:szCs w:val="22"/>
        </w:rPr>
        <w:t xml:space="preserve"> will open </w:t>
      </w:r>
      <w:r w:rsidR="006C0A6A">
        <w:rPr>
          <w:color w:val="000000" w:themeColor="text1"/>
          <w:szCs w:val="22"/>
        </w:rPr>
        <w:t>additional</w:t>
      </w:r>
      <w:r w:rsidR="006C0A6A" w:rsidRPr="008F3CC0">
        <w:rPr>
          <w:color w:val="000000" w:themeColor="text1"/>
          <w:szCs w:val="22"/>
        </w:rPr>
        <w:t xml:space="preserve"> </w:t>
      </w:r>
      <w:r w:rsidR="00246ED3" w:rsidRPr="008F3CC0">
        <w:rPr>
          <w:color w:val="000000" w:themeColor="text1"/>
          <w:szCs w:val="22"/>
        </w:rPr>
        <w:t xml:space="preserve">opportunities for </w:t>
      </w:r>
      <w:r w:rsidR="00ED17A3">
        <w:rPr>
          <w:color w:val="000000" w:themeColor="text1"/>
          <w:szCs w:val="22"/>
        </w:rPr>
        <w:t>Movant</w:t>
      </w:r>
      <w:r w:rsidR="00246ED3" w:rsidRPr="008F3CC0">
        <w:rPr>
          <w:color w:val="000000" w:themeColor="text1"/>
          <w:szCs w:val="22"/>
        </w:rPr>
        <w:t>s to find new channel</w:t>
      </w:r>
      <w:r w:rsidR="006C0A6A">
        <w:rPr>
          <w:color w:val="000000" w:themeColor="text1"/>
          <w:szCs w:val="22"/>
        </w:rPr>
        <w:t>s</w:t>
      </w:r>
      <w:r w:rsidR="00246ED3" w:rsidRPr="008F3CC0">
        <w:rPr>
          <w:color w:val="000000" w:themeColor="text1"/>
          <w:szCs w:val="22"/>
        </w:rPr>
        <w:t xml:space="preserve"> </w:t>
      </w:r>
      <w:r w:rsidR="004A3107">
        <w:rPr>
          <w:color w:val="000000" w:themeColor="text1"/>
          <w:szCs w:val="22"/>
        </w:rPr>
        <w:t>i</w:t>
      </w:r>
      <w:r w:rsidR="00246ED3" w:rsidRPr="008F3CC0">
        <w:rPr>
          <w:color w:val="000000" w:themeColor="text1"/>
          <w:szCs w:val="22"/>
        </w:rPr>
        <w:t>f they are displaced.</w:t>
      </w:r>
    </w:p>
    <w:p w14:paraId="0DC431BD" w14:textId="77777777" w:rsidR="00B7434D" w:rsidRPr="008F3CC0" w:rsidRDefault="00B7434D" w:rsidP="0049272C">
      <w:pPr>
        <w:pStyle w:val="Heading2"/>
        <w:rPr>
          <w:color w:val="000000" w:themeColor="text1"/>
          <w:szCs w:val="22"/>
        </w:rPr>
      </w:pPr>
      <w:r w:rsidRPr="008F3CC0">
        <w:rPr>
          <w:color w:val="000000" w:themeColor="text1"/>
          <w:szCs w:val="22"/>
        </w:rPr>
        <w:t>The Requested Stay Will Result in Harm to Others and is Contrary to the Public Interest</w:t>
      </w:r>
    </w:p>
    <w:p w14:paraId="61152DF5" w14:textId="0C8AD30D" w:rsidR="0048755E" w:rsidRDefault="00ED17A3" w:rsidP="00EC2B5E">
      <w:pPr>
        <w:pStyle w:val="ParaNum"/>
        <w:ind w:firstLine="720"/>
        <w:rPr>
          <w:color w:val="000000" w:themeColor="text1"/>
          <w:szCs w:val="22"/>
        </w:rPr>
      </w:pPr>
      <w:r w:rsidRPr="00434871">
        <w:rPr>
          <w:color w:val="000000" w:themeColor="text1"/>
          <w:szCs w:val="22"/>
        </w:rPr>
        <w:t>Movant</w:t>
      </w:r>
      <w:r w:rsidR="00B00B9A" w:rsidRPr="00434871">
        <w:rPr>
          <w:color w:val="000000" w:themeColor="text1"/>
          <w:szCs w:val="22"/>
        </w:rPr>
        <w:t xml:space="preserve">s </w:t>
      </w:r>
      <w:r w:rsidR="006C0A6A">
        <w:rPr>
          <w:color w:val="000000" w:themeColor="text1"/>
          <w:szCs w:val="22"/>
        </w:rPr>
        <w:t xml:space="preserve">have </w:t>
      </w:r>
      <w:r w:rsidR="00B7434D" w:rsidRPr="00434871">
        <w:rPr>
          <w:color w:val="000000" w:themeColor="text1"/>
          <w:szCs w:val="22"/>
        </w:rPr>
        <w:t>failed to demonstrate that</w:t>
      </w:r>
      <w:r w:rsidR="008A25B5" w:rsidRPr="00434871">
        <w:rPr>
          <w:color w:val="000000" w:themeColor="text1"/>
          <w:szCs w:val="22"/>
        </w:rPr>
        <w:t xml:space="preserve"> the requested stay </w:t>
      </w:r>
      <w:r w:rsidR="00BF7889" w:rsidRPr="00434871">
        <w:rPr>
          <w:color w:val="000000" w:themeColor="text1"/>
          <w:szCs w:val="22"/>
        </w:rPr>
        <w:t xml:space="preserve">will not harm third parties </w:t>
      </w:r>
      <w:r w:rsidR="00BF7889">
        <w:rPr>
          <w:color w:val="000000" w:themeColor="text1"/>
          <w:szCs w:val="22"/>
        </w:rPr>
        <w:t xml:space="preserve">and </w:t>
      </w:r>
      <w:r w:rsidR="008A25B5" w:rsidRPr="00434871">
        <w:rPr>
          <w:color w:val="000000" w:themeColor="text1"/>
          <w:szCs w:val="22"/>
        </w:rPr>
        <w:t>will serve the public interest</w:t>
      </w:r>
      <w:r w:rsidR="00B7434D" w:rsidRPr="00434871">
        <w:rPr>
          <w:color w:val="000000" w:themeColor="text1"/>
          <w:szCs w:val="22"/>
        </w:rPr>
        <w:t>.</w:t>
      </w:r>
      <w:r w:rsidR="004A3107">
        <w:rPr>
          <w:rStyle w:val="FootnoteReference"/>
          <w:szCs w:val="22"/>
        </w:rPr>
        <w:footnoteReference w:id="59"/>
      </w:r>
      <w:r w:rsidR="00B7434D" w:rsidRPr="00434871">
        <w:rPr>
          <w:color w:val="000000" w:themeColor="text1"/>
          <w:szCs w:val="22"/>
        </w:rPr>
        <w:t xml:space="preserve"> </w:t>
      </w:r>
      <w:r w:rsidR="00A23620" w:rsidRPr="00434871">
        <w:rPr>
          <w:color w:val="000000" w:themeColor="text1"/>
          <w:szCs w:val="22"/>
        </w:rPr>
        <w:t xml:space="preserve"> </w:t>
      </w:r>
      <w:r w:rsidR="006C0A6A">
        <w:rPr>
          <w:color w:val="000000" w:themeColor="text1"/>
          <w:szCs w:val="22"/>
        </w:rPr>
        <w:t xml:space="preserve">Contrary to their suggestion, </w:t>
      </w:r>
      <w:r w:rsidR="0048755E">
        <w:rPr>
          <w:color w:val="000000" w:themeColor="text1"/>
          <w:szCs w:val="22"/>
        </w:rPr>
        <w:t xml:space="preserve">granting </w:t>
      </w:r>
      <w:r w:rsidR="006C0A6A">
        <w:rPr>
          <w:color w:val="000000" w:themeColor="text1"/>
          <w:szCs w:val="22"/>
        </w:rPr>
        <w:t xml:space="preserve">the </w:t>
      </w:r>
      <w:r w:rsidR="0048755E">
        <w:rPr>
          <w:color w:val="000000" w:themeColor="text1"/>
          <w:szCs w:val="22"/>
        </w:rPr>
        <w:t xml:space="preserve">relief they request necessarily would disrupt the auction schedule.  </w:t>
      </w:r>
      <w:r w:rsidR="006C0A6A">
        <w:rPr>
          <w:color w:val="000000" w:themeColor="text1"/>
          <w:szCs w:val="22"/>
        </w:rPr>
        <w:t xml:space="preserve">In order to ensure the stability of the auction system, the Commission has frozen the </w:t>
      </w:r>
      <w:r w:rsidR="00A34CC2">
        <w:rPr>
          <w:color w:val="000000" w:themeColor="text1"/>
          <w:szCs w:val="22"/>
        </w:rPr>
        <w:t xml:space="preserve">list of </w:t>
      </w:r>
      <w:r w:rsidR="0048755E">
        <w:rPr>
          <w:color w:val="000000" w:themeColor="text1"/>
          <w:szCs w:val="22"/>
        </w:rPr>
        <w:t xml:space="preserve">broadcast television licensees </w:t>
      </w:r>
      <w:r w:rsidR="00A34CC2">
        <w:rPr>
          <w:color w:val="000000" w:themeColor="text1"/>
          <w:szCs w:val="22"/>
        </w:rPr>
        <w:t>eligible to file applications</w:t>
      </w:r>
      <w:r w:rsidR="0048755E">
        <w:rPr>
          <w:color w:val="000000" w:themeColor="text1"/>
          <w:szCs w:val="22"/>
        </w:rPr>
        <w:t xml:space="preserve"> to participate in the reverse auction</w:t>
      </w:r>
      <w:r w:rsidR="00A34CC2">
        <w:rPr>
          <w:color w:val="000000" w:themeColor="text1"/>
          <w:szCs w:val="22"/>
        </w:rPr>
        <w:t xml:space="preserve"> as of </w:t>
      </w:r>
      <w:r w:rsidR="00761119">
        <w:rPr>
          <w:color w:val="000000" w:themeColor="text1"/>
          <w:szCs w:val="22"/>
        </w:rPr>
        <w:t>October 15</w:t>
      </w:r>
      <w:r w:rsidR="00A34CC2">
        <w:rPr>
          <w:color w:val="000000" w:themeColor="text1"/>
          <w:szCs w:val="22"/>
        </w:rPr>
        <w:t>, 2015.</w:t>
      </w:r>
      <w:r w:rsidR="006B04A0">
        <w:rPr>
          <w:rStyle w:val="FootnoteReference"/>
          <w:szCs w:val="22"/>
        </w:rPr>
        <w:footnoteReference w:id="60"/>
      </w:r>
      <w:r w:rsidR="00A34CC2">
        <w:rPr>
          <w:color w:val="000000" w:themeColor="text1"/>
          <w:szCs w:val="22"/>
        </w:rPr>
        <w:t xml:space="preserve">  Any modifications</w:t>
      </w:r>
      <w:r w:rsidR="0048755E">
        <w:rPr>
          <w:color w:val="000000" w:themeColor="text1"/>
          <w:szCs w:val="22"/>
        </w:rPr>
        <w:t xml:space="preserve"> to the list</w:t>
      </w:r>
      <w:r w:rsidR="00A34CC2">
        <w:rPr>
          <w:color w:val="000000" w:themeColor="text1"/>
          <w:szCs w:val="22"/>
        </w:rPr>
        <w:t xml:space="preserve"> at this stage would entail system modifications that would impact the overall schedule for the auction.  Delay would be disruptive for prospective</w:t>
      </w:r>
      <w:r w:rsidR="0048755E">
        <w:rPr>
          <w:color w:val="000000" w:themeColor="text1"/>
          <w:szCs w:val="22"/>
        </w:rPr>
        <w:t>, eligible</w:t>
      </w:r>
      <w:r w:rsidR="00A34CC2">
        <w:rPr>
          <w:color w:val="000000" w:themeColor="text1"/>
          <w:szCs w:val="22"/>
        </w:rPr>
        <w:t xml:space="preserve"> applicants who have developed business plans based on the current schedule.  </w:t>
      </w:r>
    </w:p>
    <w:p w14:paraId="1C6F6593" w14:textId="4A5E1165" w:rsidR="00B7434D" w:rsidRPr="0048755E" w:rsidRDefault="00A34CC2" w:rsidP="0048755E">
      <w:pPr>
        <w:pStyle w:val="ParaNum"/>
        <w:ind w:firstLine="720"/>
        <w:rPr>
          <w:color w:val="000000" w:themeColor="text1"/>
          <w:szCs w:val="22"/>
        </w:rPr>
      </w:pPr>
      <w:r>
        <w:rPr>
          <w:color w:val="000000" w:themeColor="text1"/>
          <w:szCs w:val="22"/>
        </w:rPr>
        <w:t xml:space="preserve">Delaying the auction also would disserve the public interest.  As the Commission explained in the </w:t>
      </w:r>
      <w:r>
        <w:rPr>
          <w:i/>
          <w:color w:val="000000" w:themeColor="text1"/>
          <w:szCs w:val="22"/>
        </w:rPr>
        <w:t>Incentive Auction NPRM</w:t>
      </w:r>
      <w:r>
        <w:rPr>
          <w:color w:val="000000" w:themeColor="text1"/>
          <w:szCs w:val="22"/>
        </w:rPr>
        <w:t xml:space="preserve">, </w:t>
      </w:r>
      <w:r w:rsidR="0048755E">
        <w:rPr>
          <w:color w:val="000000" w:themeColor="text1"/>
          <w:szCs w:val="22"/>
        </w:rPr>
        <w:t>“</w:t>
      </w:r>
      <w:r w:rsidR="0048755E">
        <w:t>[o]ur country faces a major challenge to ensure that the speed, capacity, and accessibility of our wireless networks keeps pace with these demands in the years ahead, so the networks can support the critical economic, public safety, health care, and other activities that increasingly rely on them.  Meeting this challenge is essential to continuing U.S. leadership in technological innovation, growing our economy, and maintaining our global competitiveness.”</w:t>
      </w:r>
      <w:r w:rsidR="00965FBE">
        <w:rPr>
          <w:rStyle w:val="FootnoteReference"/>
        </w:rPr>
        <w:footnoteReference w:id="61"/>
      </w:r>
      <w:r w:rsidR="0048755E">
        <w:t xml:space="preserve">  Accordingly, the Commission has </w:t>
      </w:r>
      <w:r w:rsidR="00BF7889">
        <w:t>moved ahead</w:t>
      </w:r>
      <w:r w:rsidR="0048755E">
        <w:t xml:space="preserve"> with this first-of-its-kind auction with all deliberate speed.</w:t>
      </w:r>
      <w:r w:rsidR="0048755E">
        <w:rPr>
          <w:rStyle w:val="FootnoteReference"/>
        </w:rPr>
        <w:footnoteReference w:id="62"/>
      </w:r>
      <w:r w:rsidR="0048755E">
        <w:t xml:space="preserve">  Delaying the auction until all reviews and appeals are final would not be justified by rule or precedent and would be inconsistent with Congress’s goals in enacting the Spectrum Act.</w:t>
      </w:r>
      <w:r w:rsidR="0048755E">
        <w:rPr>
          <w:rStyle w:val="FootnoteReference"/>
        </w:rPr>
        <w:footnoteReference w:id="63"/>
      </w:r>
      <w:r>
        <w:rPr>
          <w:color w:val="000000" w:themeColor="text1"/>
          <w:szCs w:val="22"/>
        </w:rPr>
        <w:t xml:space="preserve"> </w:t>
      </w:r>
    </w:p>
    <w:p w14:paraId="789866C8" w14:textId="77777777" w:rsidR="002F3328" w:rsidRPr="00434871" w:rsidRDefault="002F3328" w:rsidP="002F3328">
      <w:pPr>
        <w:pStyle w:val="Heading1"/>
        <w:rPr>
          <w:rFonts w:ascii="Times New Roman" w:hAnsi="Times New Roman"/>
          <w:color w:val="000000" w:themeColor="text1"/>
          <w:szCs w:val="22"/>
        </w:rPr>
      </w:pPr>
      <w:r w:rsidRPr="00434871">
        <w:rPr>
          <w:rFonts w:ascii="Times New Roman" w:hAnsi="Times New Roman"/>
          <w:color w:val="000000" w:themeColor="text1"/>
          <w:szCs w:val="22"/>
        </w:rPr>
        <w:t>Ordering Clauses</w:t>
      </w:r>
    </w:p>
    <w:p w14:paraId="09ABF135" w14:textId="67870E57" w:rsidR="00FF2B2A" w:rsidRPr="00434871" w:rsidRDefault="002F3328" w:rsidP="00305DA9">
      <w:pPr>
        <w:pStyle w:val="ParaNum"/>
        <w:ind w:firstLine="720"/>
        <w:rPr>
          <w:color w:val="000000" w:themeColor="text1"/>
          <w:szCs w:val="22"/>
        </w:rPr>
      </w:pPr>
      <w:r w:rsidRPr="00434871">
        <w:rPr>
          <w:color w:val="000000" w:themeColor="text1"/>
          <w:szCs w:val="22"/>
        </w:rPr>
        <w:t xml:space="preserve">Accordingly, IT IS ORDERED, pursuant to the authority contained in </w:t>
      </w:r>
      <w:r w:rsidR="00A74628">
        <w:rPr>
          <w:color w:val="000000" w:themeColor="text1"/>
          <w:szCs w:val="22"/>
        </w:rPr>
        <w:t>S</w:t>
      </w:r>
      <w:r w:rsidRPr="00434871">
        <w:rPr>
          <w:color w:val="000000" w:themeColor="text1"/>
          <w:szCs w:val="22"/>
        </w:rPr>
        <w:t xml:space="preserve">ections 1, 4(i), 4(j), </w:t>
      </w:r>
      <w:r w:rsidR="00A05234" w:rsidRPr="00434871">
        <w:rPr>
          <w:color w:val="000000" w:themeColor="text1"/>
          <w:szCs w:val="22"/>
        </w:rPr>
        <w:t>5</w:t>
      </w:r>
      <w:r w:rsidR="00151193" w:rsidRPr="00434871">
        <w:rPr>
          <w:color w:val="000000" w:themeColor="text1"/>
          <w:szCs w:val="22"/>
        </w:rPr>
        <w:t>, 301, 303, and 309</w:t>
      </w:r>
      <w:r w:rsidR="00A05234" w:rsidRPr="00434871">
        <w:rPr>
          <w:color w:val="000000" w:themeColor="text1"/>
          <w:szCs w:val="22"/>
        </w:rPr>
        <w:t xml:space="preserve"> </w:t>
      </w:r>
      <w:r w:rsidRPr="00434871">
        <w:rPr>
          <w:color w:val="000000" w:themeColor="text1"/>
          <w:szCs w:val="22"/>
        </w:rPr>
        <w:t xml:space="preserve">of the Communications Act of 1934, as amended, </w:t>
      </w:r>
      <w:r w:rsidR="00A05234" w:rsidRPr="00434871">
        <w:rPr>
          <w:color w:val="000000" w:themeColor="text1"/>
          <w:szCs w:val="22"/>
        </w:rPr>
        <w:t xml:space="preserve">and </w:t>
      </w:r>
      <w:r w:rsidR="00A74628">
        <w:rPr>
          <w:color w:val="000000" w:themeColor="text1"/>
          <w:szCs w:val="22"/>
        </w:rPr>
        <w:t>S</w:t>
      </w:r>
      <w:r w:rsidR="00A05234" w:rsidRPr="00434871">
        <w:rPr>
          <w:color w:val="000000" w:themeColor="text1"/>
          <w:szCs w:val="22"/>
        </w:rPr>
        <w:t xml:space="preserve">ections 6402 and 6403 of Middle Class Tax Relief and Job Creation Act of 2012, Pub. L. No. 112-96, 126 Stat. 156, </w:t>
      </w:r>
      <w:r w:rsidRPr="00434871">
        <w:rPr>
          <w:color w:val="000000" w:themeColor="text1"/>
          <w:szCs w:val="22"/>
        </w:rPr>
        <w:t xml:space="preserve">47 U.S.C. §§ 151, 154(i)-(j), </w:t>
      </w:r>
      <w:r w:rsidR="00BD3FFD" w:rsidRPr="00434871">
        <w:rPr>
          <w:color w:val="000000" w:themeColor="text1"/>
          <w:szCs w:val="22"/>
        </w:rPr>
        <w:t xml:space="preserve">155, </w:t>
      </w:r>
      <w:r w:rsidR="00151193" w:rsidRPr="00434871">
        <w:rPr>
          <w:color w:val="000000" w:themeColor="text1"/>
          <w:szCs w:val="22"/>
        </w:rPr>
        <w:t xml:space="preserve">301, 303, 309, </w:t>
      </w:r>
      <w:r w:rsidR="00A05234" w:rsidRPr="00434871">
        <w:rPr>
          <w:color w:val="000000" w:themeColor="text1"/>
          <w:szCs w:val="22"/>
        </w:rPr>
        <w:t xml:space="preserve">1452, </w:t>
      </w:r>
      <w:r w:rsidRPr="00434871">
        <w:rPr>
          <w:color w:val="000000" w:themeColor="text1"/>
          <w:szCs w:val="22"/>
        </w:rPr>
        <w:t xml:space="preserve">and the authority delegated pursuant to </w:t>
      </w:r>
      <w:r w:rsidR="00A74628">
        <w:rPr>
          <w:color w:val="000000" w:themeColor="text1"/>
          <w:szCs w:val="22"/>
        </w:rPr>
        <w:t>S</w:t>
      </w:r>
      <w:r w:rsidRPr="00434871">
        <w:rPr>
          <w:color w:val="000000" w:themeColor="text1"/>
          <w:szCs w:val="22"/>
        </w:rPr>
        <w:t>ections 0.</w:t>
      </w:r>
      <w:r w:rsidR="00A05234" w:rsidRPr="00434871">
        <w:rPr>
          <w:color w:val="000000" w:themeColor="text1"/>
          <w:szCs w:val="22"/>
        </w:rPr>
        <w:t>6</w:t>
      </w:r>
      <w:r w:rsidRPr="00434871">
        <w:rPr>
          <w:color w:val="000000" w:themeColor="text1"/>
          <w:szCs w:val="22"/>
        </w:rPr>
        <w:t>1</w:t>
      </w:r>
      <w:r w:rsidR="006E026E" w:rsidRPr="00434871">
        <w:rPr>
          <w:color w:val="000000" w:themeColor="text1"/>
          <w:szCs w:val="22"/>
        </w:rPr>
        <w:t xml:space="preserve"> and</w:t>
      </w:r>
      <w:r w:rsidR="00BD3FFD" w:rsidRPr="00434871">
        <w:rPr>
          <w:color w:val="000000" w:themeColor="text1"/>
          <w:szCs w:val="22"/>
        </w:rPr>
        <w:t xml:space="preserve"> </w:t>
      </w:r>
      <w:r w:rsidRPr="00434871">
        <w:rPr>
          <w:color w:val="000000" w:themeColor="text1"/>
          <w:szCs w:val="22"/>
        </w:rPr>
        <w:t>0.2</w:t>
      </w:r>
      <w:r w:rsidR="00A05234" w:rsidRPr="00434871">
        <w:rPr>
          <w:color w:val="000000" w:themeColor="text1"/>
          <w:szCs w:val="22"/>
        </w:rPr>
        <w:t>83</w:t>
      </w:r>
      <w:r w:rsidRPr="00434871">
        <w:rPr>
          <w:color w:val="000000" w:themeColor="text1"/>
          <w:szCs w:val="22"/>
        </w:rPr>
        <w:t xml:space="preserve"> of the Commission</w:t>
      </w:r>
      <w:r w:rsidR="00A05234" w:rsidRPr="00434871">
        <w:rPr>
          <w:color w:val="000000" w:themeColor="text1"/>
          <w:szCs w:val="22"/>
        </w:rPr>
        <w:t>’</w:t>
      </w:r>
      <w:r w:rsidRPr="00434871">
        <w:rPr>
          <w:color w:val="000000" w:themeColor="text1"/>
          <w:szCs w:val="22"/>
        </w:rPr>
        <w:t>s rules, 47 C.F.R. §§ 0.</w:t>
      </w:r>
      <w:r w:rsidR="00A05234" w:rsidRPr="00434871">
        <w:rPr>
          <w:color w:val="000000" w:themeColor="text1"/>
          <w:szCs w:val="22"/>
        </w:rPr>
        <w:t>6</w:t>
      </w:r>
      <w:r w:rsidRPr="00434871">
        <w:rPr>
          <w:color w:val="000000" w:themeColor="text1"/>
          <w:szCs w:val="22"/>
        </w:rPr>
        <w:t>1</w:t>
      </w:r>
      <w:r w:rsidR="00E26751" w:rsidRPr="00434871">
        <w:rPr>
          <w:color w:val="000000" w:themeColor="text1"/>
          <w:szCs w:val="22"/>
        </w:rPr>
        <w:t>,</w:t>
      </w:r>
      <w:r w:rsidRPr="00434871">
        <w:rPr>
          <w:color w:val="000000" w:themeColor="text1"/>
          <w:szCs w:val="22"/>
        </w:rPr>
        <w:t xml:space="preserve"> 0.2</w:t>
      </w:r>
      <w:r w:rsidR="00A05234" w:rsidRPr="00434871">
        <w:rPr>
          <w:color w:val="000000" w:themeColor="text1"/>
          <w:szCs w:val="22"/>
        </w:rPr>
        <w:t>8</w:t>
      </w:r>
      <w:r w:rsidR="000E1CCA" w:rsidRPr="00434871">
        <w:rPr>
          <w:color w:val="000000" w:themeColor="text1"/>
          <w:szCs w:val="22"/>
        </w:rPr>
        <w:t>3</w:t>
      </w:r>
      <w:r w:rsidRPr="00434871">
        <w:rPr>
          <w:color w:val="000000" w:themeColor="text1"/>
          <w:szCs w:val="22"/>
        </w:rPr>
        <w:t xml:space="preserve">, this Order Denying Stay </w:t>
      </w:r>
      <w:r w:rsidR="00A05234" w:rsidRPr="00434871">
        <w:rPr>
          <w:color w:val="000000" w:themeColor="text1"/>
          <w:szCs w:val="22"/>
        </w:rPr>
        <w:t xml:space="preserve">Motion </w:t>
      </w:r>
      <w:r w:rsidRPr="00434871">
        <w:rPr>
          <w:color w:val="000000" w:themeColor="text1"/>
          <w:szCs w:val="22"/>
        </w:rPr>
        <w:t xml:space="preserve">in </w:t>
      </w:r>
      <w:r w:rsidR="00A05234" w:rsidRPr="00434871">
        <w:rPr>
          <w:color w:val="000000" w:themeColor="text1"/>
          <w:szCs w:val="22"/>
        </w:rPr>
        <w:t>GN</w:t>
      </w:r>
      <w:r w:rsidRPr="00434871">
        <w:rPr>
          <w:color w:val="000000" w:themeColor="text1"/>
          <w:szCs w:val="22"/>
        </w:rPr>
        <w:t xml:space="preserve"> Docket No. </w:t>
      </w:r>
      <w:r w:rsidR="00A05234" w:rsidRPr="00434871">
        <w:rPr>
          <w:color w:val="000000" w:themeColor="text1"/>
          <w:szCs w:val="22"/>
        </w:rPr>
        <w:t>12-268</w:t>
      </w:r>
      <w:r w:rsidRPr="00434871">
        <w:rPr>
          <w:color w:val="000000" w:themeColor="text1"/>
          <w:szCs w:val="22"/>
        </w:rPr>
        <w:t xml:space="preserve"> IS ADOPTED.</w:t>
      </w:r>
    </w:p>
    <w:p w14:paraId="24513D1F" w14:textId="3B7D0F01" w:rsidR="002F3328" w:rsidRPr="008F3CC0" w:rsidRDefault="002F3328" w:rsidP="00A42FAE">
      <w:pPr>
        <w:pStyle w:val="ParaNum"/>
        <w:widowControl/>
        <w:ind w:firstLine="720"/>
        <w:rPr>
          <w:color w:val="000000" w:themeColor="text1"/>
          <w:szCs w:val="22"/>
        </w:rPr>
      </w:pPr>
      <w:r w:rsidRPr="008F3CC0">
        <w:rPr>
          <w:color w:val="000000" w:themeColor="text1"/>
          <w:szCs w:val="22"/>
        </w:rPr>
        <w:t xml:space="preserve">IT IS FURTHER ORDERED that the </w:t>
      </w:r>
      <w:r w:rsidR="00A05234" w:rsidRPr="008F3CC0">
        <w:rPr>
          <w:color w:val="000000" w:themeColor="text1"/>
          <w:szCs w:val="22"/>
        </w:rPr>
        <w:t xml:space="preserve">Emergency Motion for Stay and Other Relief filed by The Videohouse, Inc., </w:t>
      </w:r>
      <w:r w:rsidR="00A74628">
        <w:rPr>
          <w:color w:val="000000" w:themeColor="text1"/>
          <w:szCs w:val="22"/>
        </w:rPr>
        <w:t>Fifth Street Enterprises, LLC</w:t>
      </w:r>
      <w:r w:rsidR="00A05234" w:rsidRPr="008F3CC0">
        <w:rPr>
          <w:color w:val="000000" w:themeColor="text1"/>
          <w:szCs w:val="22"/>
        </w:rPr>
        <w:t>, and WMTM</w:t>
      </w:r>
      <w:r w:rsidR="007E2AE3">
        <w:rPr>
          <w:color w:val="000000" w:themeColor="text1"/>
          <w:szCs w:val="22"/>
        </w:rPr>
        <w:t>,</w:t>
      </w:r>
      <w:r w:rsidR="009D37E4">
        <w:rPr>
          <w:color w:val="000000" w:themeColor="text1"/>
          <w:szCs w:val="22"/>
        </w:rPr>
        <w:t xml:space="preserve"> LLC</w:t>
      </w:r>
      <w:r w:rsidRPr="008F3CC0">
        <w:rPr>
          <w:color w:val="000000" w:themeColor="text1"/>
          <w:szCs w:val="22"/>
        </w:rPr>
        <w:t xml:space="preserve"> </w:t>
      </w:r>
      <w:r w:rsidR="009A31C5" w:rsidRPr="008F3CC0">
        <w:rPr>
          <w:color w:val="000000" w:themeColor="text1"/>
          <w:szCs w:val="22"/>
        </w:rPr>
        <w:t>IS</w:t>
      </w:r>
      <w:r w:rsidRPr="008F3CC0">
        <w:rPr>
          <w:color w:val="000000" w:themeColor="text1"/>
          <w:szCs w:val="22"/>
        </w:rPr>
        <w:t xml:space="preserve"> DENIED.</w:t>
      </w:r>
    </w:p>
    <w:p w14:paraId="5BA290F2" w14:textId="77777777" w:rsidR="002F3328" w:rsidRPr="008F3CC0" w:rsidRDefault="002F3328" w:rsidP="002F3328">
      <w:pPr>
        <w:rPr>
          <w:color w:val="000000" w:themeColor="text1"/>
          <w:szCs w:val="22"/>
        </w:rPr>
      </w:pPr>
    </w:p>
    <w:p w14:paraId="069F8715" w14:textId="77777777" w:rsidR="002F3328" w:rsidRPr="008F3CC0" w:rsidRDefault="002F3328" w:rsidP="002F3328">
      <w:pPr>
        <w:ind w:left="3600" w:firstLine="720"/>
        <w:rPr>
          <w:color w:val="000000" w:themeColor="text1"/>
          <w:szCs w:val="22"/>
        </w:rPr>
      </w:pPr>
      <w:r w:rsidRPr="008F3CC0">
        <w:rPr>
          <w:color w:val="000000" w:themeColor="text1"/>
          <w:szCs w:val="22"/>
        </w:rPr>
        <w:t>FEDERAL COMMUNICATIONS COMMISSION</w:t>
      </w:r>
    </w:p>
    <w:p w14:paraId="310DEB13" w14:textId="77777777" w:rsidR="002F3328" w:rsidRPr="008F3CC0" w:rsidRDefault="002F3328" w:rsidP="002F3328">
      <w:pPr>
        <w:rPr>
          <w:color w:val="000000" w:themeColor="text1"/>
          <w:szCs w:val="22"/>
        </w:rPr>
      </w:pPr>
    </w:p>
    <w:p w14:paraId="7E000573" w14:textId="77777777" w:rsidR="002F3328" w:rsidRPr="008F3CC0" w:rsidRDefault="002F3328" w:rsidP="00E402A5">
      <w:pPr>
        <w:rPr>
          <w:color w:val="000000" w:themeColor="text1"/>
          <w:szCs w:val="22"/>
        </w:rPr>
      </w:pPr>
    </w:p>
    <w:p w14:paraId="1C98188D" w14:textId="77777777" w:rsidR="00A42FAE" w:rsidRPr="008F3CC0" w:rsidRDefault="00A42FAE" w:rsidP="00E402A5">
      <w:pPr>
        <w:rPr>
          <w:color w:val="000000" w:themeColor="text1"/>
          <w:szCs w:val="22"/>
        </w:rPr>
      </w:pPr>
    </w:p>
    <w:p w14:paraId="11F2A5A7" w14:textId="77777777" w:rsidR="00A42FAE" w:rsidRPr="008F3CC0" w:rsidRDefault="00A42FAE" w:rsidP="00E402A5">
      <w:pPr>
        <w:rPr>
          <w:color w:val="000000" w:themeColor="text1"/>
          <w:szCs w:val="22"/>
        </w:rPr>
      </w:pPr>
    </w:p>
    <w:p w14:paraId="61DE0CE7" w14:textId="07010394" w:rsidR="001F1763" w:rsidRPr="008F3CC0" w:rsidRDefault="00923F7B" w:rsidP="001F1763">
      <w:pPr>
        <w:ind w:left="4320"/>
        <w:rPr>
          <w:color w:val="000000" w:themeColor="text1"/>
          <w:szCs w:val="22"/>
        </w:rPr>
      </w:pPr>
      <w:r w:rsidRPr="008F3CC0">
        <w:rPr>
          <w:color w:val="000000" w:themeColor="text1"/>
          <w:szCs w:val="22"/>
        </w:rPr>
        <w:t>William T. Lake</w:t>
      </w:r>
    </w:p>
    <w:p w14:paraId="1EA1EB23" w14:textId="77777777" w:rsidR="001F1763" w:rsidRPr="008F3CC0" w:rsidRDefault="001F1763" w:rsidP="001F1763">
      <w:pPr>
        <w:ind w:left="4320"/>
        <w:rPr>
          <w:color w:val="000000" w:themeColor="text1"/>
          <w:szCs w:val="22"/>
        </w:rPr>
      </w:pPr>
      <w:r w:rsidRPr="008F3CC0">
        <w:rPr>
          <w:color w:val="000000" w:themeColor="text1"/>
          <w:szCs w:val="22"/>
        </w:rPr>
        <w:t>Chief</w:t>
      </w:r>
    </w:p>
    <w:p w14:paraId="09C91816" w14:textId="754FFA7C" w:rsidR="002F3328" w:rsidRPr="008F3CC0" w:rsidRDefault="00923F7B" w:rsidP="00A42FAE">
      <w:pPr>
        <w:ind w:left="4320"/>
        <w:rPr>
          <w:color w:val="000000" w:themeColor="text1"/>
          <w:szCs w:val="22"/>
        </w:rPr>
      </w:pPr>
      <w:r w:rsidRPr="008F3CC0">
        <w:rPr>
          <w:color w:val="000000" w:themeColor="text1"/>
          <w:szCs w:val="22"/>
        </w:rPr>
        <w:t xml:space="preserve">Media </w:t>
      </w:r>
      <w:r w:rsidR="001F1763" w:rsidRPr="008F3CC0">
        <w:rPr>
          <w:color w:val="000000" w:themeColor="text1"/>
          <w:szCs w:val="22"/>
        </w:rPr>
        <w:t>Bureau</w:t>
      </w:r>
    </w:p>
    <w:sectPr w:rsidR="002F3328" w:rsidRPr="008F3CC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F7AB0" w14:textId="77777777" w:rsidR="0070323C" w:rsidRDefault="0070323C">
      <w:pPr>
        <w:spacing w:line="20" w:lineRule="exact"/>
      </w:pPr>
    </w:p>
  </w:endnote>
  <w:endnote w:type="continuationSeparator" w:id="0">
    <w:p w14:paraId="2DED8887" w14:textId="77777777" w:rsidR="0070323C" w:rsidRDefault="0070323C">
      <w:r>
        <w:t xml:space="preserve"> </w:t>
      </w:r>
    </w:p>
  </w:endnote>
  <w:endnote w:type="continuationNotice" w:id="1">
    <w:p w14:paraId="41D3D5A4" w14:textId="77777777" w:rsidR="0070323C" w:rsidRDefault="007032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B07B6" w14:textId="77777777" w:rsidR="007F0C4B" w:rsidRDefault="007F0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20DE4" w14:textId="77777777" w:rsidR="00D74A6B" w:rsidRDefault="00D74A6B" w:rsidP="0055614C">
    <w:pPr>
      <w:pStyle w:val="Footer"/>
      <w:framePr w:wrap="around" w:vAnchor="text" w:hAnchor="margin" w:xAlign="center" w:y="1"/>
    </w:pPr>
    <w:r>
      <w:fldChar w:fldCharType="begin"/>
    </w:r>
    <w:r>
      <w:instrText xml:space="preserve">PAGE  </w:instrText>
    </w:r>
    <w:r>
      <w:fldChar w:fldCharType="separate"/>
    </w:r>
    <w:r w:rsidR="00EE3B6A">
      <w:rPr>
        <w:noProof/>
      </w:rPr>
      <w:t>2</w:t>
    </w:r>
    <w:r>
      <w:fldChar w:fldCharType="end"/>
    </w:r>
  </w:p>
  <w:p w14:paraId="704BB86B" w14:textId="77777777" w:rsidR="00D74A6B" w:rsidRDefault="00D74A6B">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D4DC" w14:textId="77777777" w:rsidR="00D74A6B" w:rsidRDefault="00D74A6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5AED3" w14:textId="77777777" w:rsidR="0070323C" w:rsidRDefault="0070323C">
      <w:r>
        <w:separator/>
      </w:r>
    </w:p>
  </w:footnote>
  <w:footnote w:type="continuationSeparator" w:id="0">
    <w:p w14:paraId="0CCD63F2" w14:textId="77777777" w:rsidR="0070323C" w:rsidRDefault="0070323C" w:rsidP="00C721AC">
      <w:pPr>
        <w:spacing w:before="120"/>
        <w:rPr>
          <w:sz w:val="20"/>
        </w:rPr>
      </w:pPr>
      <w:r>
        <w:rPr>
          <w:sz w:val="20"/>
        </w:rPr>
        <w:t xml:space="preserve">(Continued from previous page)  </w:t>
      </w:r>
      <w:r>
        <w:rPr>
          <w:sz w:val="20"/>
        </w:rPr>
        <w:separator/>
      </w:r>
    </w:p>
  </w:footnote>
  <w:footnote w:type="continuationNotice" w:id="1">
    <w:p w14:paraId="4F140B0A" w14:textId="77777777" w:rsidR="0070323C" w:rsidRDefault="0070323C" w:rsidP="00C721AC">
      <w:pPr>
        <w:jc w:val="right"/>
        <w:rPr>
          <w:sz w:val="20"/>
        </w:rPr>
      </w:pPr>
      <w:r>
        <w:rPr>
          <w:sz w:val="20"/>
        </w:rPr>
        <w:t>(continued….)</w:t>
      </w:r>
    </w:p>
  </w:footnote>
  <w:footnote w:id="2">
    <w:p w14:paraId="318D41A2" w14:textId="3CAE2F8B" w:rsidR="00D74A6B" w:rsidRPr="00126E90" w:rsidRDefault="00D74A6B" w:rsidP="00D215D9">
      <w:pPr>
        <w:pStyle w:val="FootnoteText"/>
      </w:pPr>
      <w:r w:rsidRPr="00D67587">
        <w:rPr>
          <w:rStyle w:val="FootnoteReference"/>
        </w:rPr>
        <w:footnoteRef/>
      </w:r>
      <w:r w:rsidRPr="00D67587">
        <w:t xml:space="preserve"> </w:t>
      </w:r>
      <w:r>
        <w:rPr>
          <w:szCs w:val="22"/>
        </w:rPr>
        <w:t>Emergency</w:t>
      </w:r>
      <w:r w:rsidRPr="00E5219B">
        <w:rPr>
          <w:szCs w:val="22"/>
        </w:rPr>
        <w:t xml:space="preserve"> </w:t>
      </w:r>
      <w:r>
        <w:rPr>
          <w:szCs w:val="22"/>
        </w:rPr>
        <w:t xml:space="preserve">Motion for Stay and Other </w:t>
      </w:r>
      <w:r w:rsidRPr="00126E90">
        <w:t xml:space="preserve">Relief </w:t>
      </w:r>
      <w:r>
        <w:t xml:space="preserve">filed by </w:t>
      </w:r>
      <w:r w:rsidRPr="00126E90">
        <w:t xml:space="preserve">The Videohouse, Inc., </w:t>
      </w:r>
      <w:r w:rsidR="00E8656C">
        <w:t>Fifth Street Enterprises, LLC</w:t>
      </w:r>
      <w:r w:rsidRPr="00126E90">
        <w:t xml:space="preserve">, and WMTM, </w:t>
      </w:r>
      <w:r>
        <w:t xml:space="preserve">GN </w:t>
      </w:r>
      <w:r w:rsidRPr="00126E90">
        <w:t xml:space="preserve"> Docket No. </w:t>
      </w:r>
      <w:r>
        <w:t>12-268</w:t>
      </w:r>
      <w:r w:rsidRPr="00126E90">
        <w:t xml:space="preserve"> (filed </w:t>
      </w:r>
      <w:r>
        <w:t>Dec</w:t>
      </w:r>
      <w:r w:rsidRPr="00126E90">
        <w:t xml:space="preserve">. </w:t>
      </w:r>
      <w:r>
        <w:t>11</w:t>
      </w:r>
      <w:r w:rsidRPr="00126E90">
        <w:t>, 2015) (</w:t>
      </w:r>
      <w:r>
        <w:t>Stay Motion</w:t>
      </w:r>
      <w:r w:rsidRPr="00126E90">
        <w:t>).</w:t>
      </w:r>
      <w:r w:rsidR="00E8656C">
        <w:t xml:space="preserve">  The Stay Motion indicates that Fifth Street acquired WPTG-CD from Abacus Television (Abacus) on October 2, 2015 and is the success</w:t>
      </w:r>
      <w:r w:rsidR="00215713">
        <w:t>or</w:t>
      </w:r>
      <w:r w:rsidR="00E8656C">
        <w:t xml:space="preserve"> in interest to Abacus.  </w:t>
      </w:r>
      <w:r w:rsidR="00E8656C" w:rsidRPr="00E8656C">
        <w:rPr>
          <w:i/>
        </w:rPr>
        <w:t>See id</w:t>
      </w:r>
      <w:r w:rsidR="00E8656C">
        <w:t xml:space="preserve">. at 1 n.4. </w:t>
      </w:r>
    </w:p>
  </w:footnote>
  <w:footnote w:id="3">
    <w:p w14:paraId="7E0713EB" w14:textId="7D773C78" w:rsidR="00D74A6B" w:rsidRDefault="00D74A6B">
      <w:pPr>
        <w:pStyle w:val="FootnoteText"/>
      </w:pPr>
      <w:r>
        <w:rPr>
          <w:rStyle w:val="FootnoteReference"/>
        </w:rPr>
        <w:footnoteRef/>
      </w:r>
      <w:r>
        <w:t xml:space="preserve"> </w:t>
      </w:r>
      <w:r w:rsidRPr="00BA1505">
        <w:rPr>
          <w:i/>
          <w:color w:val="000000" w:themeColor="text1"/>
        </w:rPr>
        <w:t>Expanding the Economic and Innovation Opportunities of Spectrum Through Incentive Auctions</w:t>
      </w:r>
      <w:r w:rsidRPr="00BA1505">
        <w:rPr>
          <w:color w:val="000000" w:themeColor="text1"/>
        </w:rPr>
        <w:t>, GN Docket No. 12-268, Report and Order, 29 FCC Rcd 6567</w:t>
      </w:r>
      <w:r>
        <w:rPr>
          <w:color w:val="000000" w:themeColor="text1"/>
        </w:rPr>
        <w:t xml:space="preserve"> </w:t>
      </w:r>
      <w:r w:rsidRPr="00BA1505">
        <w:rPr>
          <w:color w:val="000000" w:themeColor="text1"/>
        </w:rPr>
        <w:t>(2014)</w:t>
      </w:r>
      <w:r>
        <w:rPr>
          <w:color w:val="000000" w:themeColor="text1"/>
        </w:rPr>
        <w:t xml:space="preserve"> </w:t>
      </w:r>
      <w:r w:rsidRPr="00176214">
        <w:rPr>
          <w:color w:val="000000" w:themeColor="text1"/>
        </w:rPr>
        <w:t>(</w:t>
      </w:r>
      <w:r w:rsidRPr="00176214">
        <w:rPr>
          <w:i/>
          <w:color w:val="000000" w:themeColor="text1"/>
        </w:rPr>
        <w:t>Incentive Auction R&amp;O</w:t>
      </w:r>
      <w:r>
        <w:rPr>
          <w:color w:val="000000" w:themeColor="text1"/>
        </w:rPr>
        <w:t>)</w:t>
      </w:r>
      <w:r w:rsidRPr="00BA1505">
        <w:rPr>
          <w:color w:val="000000" w:themeColor="text1"/>
        </w:rPr>
        <w:t xml:space="preserve">, </w:t>
      </w:r>
      <w:r w:rsidRPr="00BA1505">
        <w:rPr>
          <w:i/>
          <w:color w:val="000000" w:themeColor="text1"/>
        </w:rPr>
        <w:t>aff’d</w:t>
      </w:r>
      <w:r>
        <w:rPr>
          <w:i/>
          <w:color w:val="000000" w:themeColor="text1"/>
        </w:rPr>
        <w:t>,</w:t>
      </w:r>
      <w:r w:rsidRPr="00BA1505">
        <w:rPr>
          <w:i/>
          <w:color w:val="000000" w:themeColor="text1"/>
        </w:rPr>
        <w:t xml:space="preserve"> Nat’l Assoc. of Broadcasters, et al. v. FCC</w:t>
      </w:r>
      <w:r w:rsidRPr="00BA1505">
        <w:rPr>
          <w:color w:val="000000" w:themeColor="text1"/>
        </w:rPr>
        <w:t xml:space="preserve">, </w:t>
      </w:r>
      <w:r w:rsidRPr="00BA1505">
        <w:rPr>
          <w:snapToGrid w:val="0"/>
          <w:color w:val="000000" w:themeColor="text1"/>
        </w:rPr>
        <w:t>789</w:t>
      </w:r>
      <w:r w:rsidRPr="00176214">
        <w:rPr>
          <w:snapToGrid w:val="0"/>
          <w:color w:val="000000" w:themeColor="text1"/>
        </w:rPr>
        <w:t xml:space="preserve"> F.3d 165</w:t>
      </w:r>
      <w:r w:rsidRPr="00176214">
        <w:rPr>
          <w:color w:val="000000" w:themeColor="text1"/>
        </w:rPr>
        <w:t xml:space="preserve"> (D.C. Cir. 2015).</w:t>
      </w:r>
      <w:r>
        <w:rPr>
          <w:color w:val="000000" w:themeColor="text1"/>
        </w:rPr>
        <w:t xml:space="preserve">  </w:t>
      </w:r>
    </w:p>
  </w:footnote>
  <w:footnote w:id="4">
    <w:p w14:paraId="7F3358FA" w14:textId="234B82C2" w:rsidR="00D74A6B" w:rsidRDefault="00D74A6B">
      <w:pPr>
        <w:pStyle w:val="FootnoteText"/>
      </w:pPr>
      <w:r>
        <w:rPr>
          <w:rStyle w:val="FootnoteReference"/>
        </w:rPr>
        <w:footnoteRef/>
      </w:r>
      <w:r>
        <w:t xml:space="preserve"> </w:t>
      </w:r>
      <w:r w:rsidRPr="001A7F99">
        <w:t>Middle Class Tax Relief and Job Creation Act of 2012, Pub. L. No. 112-96, §§ 6402 (codified at 47 U.S.C. § 309(j)(8)(G)), 6403 (codified at 47 U.S.C. § 1452), 126 Stat. 156 (2012)</w:t>
      </w:r>
      <w:r>
        <w:t xml:space="preserve"> (Spectrum Act)</w:t>
      </w:r>
      <w:r w:rsidRPr="001A7F99">
        <w:t>.</w:t>
      </w:r>
    </w:p>
  </w:footnote>
  <w:footnote w:id="5">
    <w:p w14:paraId="43400AC5" w14:textId="71742346" w:rsidR="00D74A6B" w:rsidRPr="00176214" w:rsidRDefault="00D74A6B" w:rsidP="00773A2C">
      <w:pPr>
        <w:pStyle w:val="FootnoteText"/>
        <w:widowControl w:val="0"/>
        <w:rPr>
          <w:color w:val="000000" w:themeColor="text1"/>
        </w:rPr>
      </w:pPr>
      <w:r w:rsidRPr="00BA1505">
        <w:rPr>
          <w:rStyle w:val="FootnoteReference"/>
          <w:color w:val="000000" w:themeColor="text1"/>
        </w:rPr>
        <w:footnoteRef/>
      </w:r>
      <w:r>
        <w:rPr>
          <w:color w:val="000000" w:themeColor="text1"/>
        </w:rPr>
        <w:t xml:space="preserve"> </w:t>
      </w:r>
      <w:r w:rsidRPr="007E0CF8">
        <w:rPr>
          <w:color w:val="000000" w:themeColor="text1"/>
          <w:szCs w:val="22"/>
        </w:rPr>
        <w:t>February 22, 2012</w:t>
      </w:r>
      <w:r>
        <w:rPr>
          <w:color w:val="000000" w:themeColor="text1"/>
          <w:szCs w:val="22"/>
        </w:rPr>
        <w:t xml:space="preserve"> is the enactment date of the Spectrum Act.  </w:t>
      </w:r>
      <w:r w:rsidRPr="00C002C1">
        <w:rPr>
          <w:i/>
          <w:color w:val="000000" w:themeColor="text1"/>
          <w:szCs w:val="22"/>
        </w:rPr>
        <w:t>See</w:t>
      </w:r>
      <w:r>
        <w:rPr>
          <w:color w:val="000000" w:themeColor="text1"/>
          <w:szCs w:val="22"/>
        </w:rPr>
        <w:t xml:space="preserve"> </w:t>
      </w:r>
      <w:r w:rsidRPr="00BA1505">
        <w:rPr>
          <w:color w:val="000000" w:themeColor="text1"/>
        </w:rPr>
        <w:t>47 U.S.C. § 1452(b)(2</w:t>
      </w:r>
      <w:r>
        <w:rPr>
          <w:color w:val="000000" w:themeColor="text1"/>
        </w:rPr>
        <w:t xml:space="preserve">); </w:t>
      </w:r>
      <w:r w:rsidR="001A206B" w:rsidRPr="00176214">
        <w:rPr>
          <w:i/>
          <w:color w:val="000000" w:themeColor="text1"/>
        </w:rPr>
        <w:t>Incentive Auction R&amp;O</w:t>
      </w:r>
      <w:r w:rsidRPr="00BA1505">
        <w:rPr>
          <w:color w:val="000000" w:themeColor="text1"/>
        </w:rPr>
        <w:t xml:space="preserve">, 29 FCC Rcd </w:t>
      </w:r>
      <w:r w:rsidR="001A206B">
        <w:rPr>
          <w:color w:val="000000" w:themeColor="text1"/>
        </w:rPr>
        <w:t xml:space="preserve">at </w:t>
      </w:r>
      <w:r w:rsidRPr="00BA1505">
        <w:rPr>
          <w:color w:val="000000" w:themeColor="text1"/>
        </w:rPr>
        <w:t>6652-54, paras. 185-89</w:t>
      </w:r>
      <w:r w:rsidR="001A206B">
        <w:rPr>
          <w:color w:val="000000" w:themeColor="text1"/>
        </w:rPr>
        <w:t xml:space="preserve">.  </w:t>
      </w:r>
      <w:r>
        <w:t xml:space="preserve">Through the repacking process, the Commission will </w:t>
      </w:r>
      <w:r w:rsidRPr="005842F0">
        <w:t>reorganiz</w:t>
      </w:r>
      <w:r>
        <w:t>e</w:t>
      </w:r>
      <w:r w:rsidRPr="005842F0">
        <w:t xml:space="preserve"> the television bands to make spectrum available to carry out </w:t>
      </w:r>
      <w:r>
        <w:t>a forward auction of</w:t>
      </w:r>
      <w:r w:rsidRPr="005842F0">
        <w:t xml:space="preserve"> new, flexible-use licenses </w:t>
      </w:r>
      <w:r>
        <w:t>suitable for</w:t>
      </w:r>
      <w:r w:rsidRPr="005842F0">
        <w:t xml:space="preserve"> </w:t>
      </w:r>
      <w:r>
        <w:t>providing</w:t>
      </w:r>
      <w:r w:rsidRPr="005842F0">
        <w:t xml:space="preserve"> mobile broadband services</w:t>
      </w:r>
      <w:r>
        <w:t>.</w:t>
      </w:r>
      <w:r w:rsidRPr="00176214">
        <w:rPr>
          <w:color w:val="000000" w:themeColor="text1"/>
        </w:rPr>
        <w:t xml:space="preserve">  </w:t>
      </w:r>
    </w:p>
  </w:footnote>
  <w:footnote w:id="6">
    <w:p w14:paraId="3561C7B0" w14:textId="1A98BFD8" w:rsidR="00D74A6B" w:rsidRPr="00176214" w:rsidRDefault="00D74A6B" w:rsidP="00474DB9">
      <w:pPr>
        <w:pStyle w:val="FootnoteText"/>
        <w:widowControl w:val="0"/>
        <w:rPr>
          <w:color w:val="000000" w:themeColor="text1"/>
        </w:rPr>
      </w:pPr>
      <w:r w:rsidRPr="00176214">
        <w:rPr>
          <w:rStyle w:val="FootnoteReference"/>
          <w:color w:val="000000" w:themeColor="text1"/>
        </w:rPr>
        <w:footnoteRef/>
      </w:r>
      <w:r w:rsidRPr="00176214">
        <w:rPr>
          <w:color w:val="000000" w:themeColor="text1"/>
        </w:rPr>
        <w:t xml:space="preserve"> </w:t>
      </w:r>
      <w:r w:rsidRPr="00176214">
        <w:rPr>
          <w:i/>
          <w:color w:val="000000" w:themeColor="text1"/>
        </w:rPr>
        <w:t>Incentive Auction R&amp;O</w:t>
      </w:r>
      <w:r>
        <w:rPr>
          <w:color w:val="000000" w:themeColor="text1"/>
        </w:rPr>
        <w:t>, 29 FCC Rcd</w:t>
      </w:r>
      <w:r w:rsidRPr="00176214">
        <w:rPr>
          <w:color w:val="000000" w:themeColor="text1"/>
        </w:rPr>
        <w:t xml:space="preserve"> at 6654-55, para. 191.</w:t>
      </w:r>
      <w:r>
        <w:rPr>
          <w:color w:val="000000" w:themeColor="text1"/>
        </w:rPr>
        <w:t xml:space="preserve">  </w:t>
      </w:r>
    </w:p>
  </w:footnote>
  <w:footnote w:id="7">
    <w:p w14:paraId="033682AF" w14:textId="77777777" w:rsidR="00D74A6B" w:rsidRPr="00176214" w:rsidRDefault="00D74A6B" w:rsidP="00474DB9">
      <w:pPr>
        <w:pStyle w:val="FootnoteText"/>
        <w:widowControl w:val="0"/>
        <w:rPr>
          <w:color w:val="000000" w:themeColor="text1"/>
        </w:rPr>
      </w:pPr>
      <w:r w:rsidRPr="00176214">
        <w:rPr>
          <w:rStyle w:val="FootnoteReference"/>
          <w:color w:val="000000" w:themeColor="text1"/>
        </w:rPr>
        <w:footnoteRef/>
      </w:r>
      <w:r w:rsidRPr="00176214">
        <w:rPr>
          <w:color w:val="000000" w:themeColor="text1"/>
        </w:rPr>
        <w:t xml:space="preserve"> </w:t>
      </w:r>
      <w:r w:rsidRPr="00176214">
        <w:rPr>
          <w:i/>
          <w:color w:val="000000" w:themeColor="text1"/>
        </w:rPr>
        <w:t>See id.</w:t>
      </w:r>
      <w:r w:rsidRPr="00176214">
        <w:rPr>
          <w:color w:val="000000" w:themeColor="text1"/>
        </w:rPr>
        <w:t xml:space="preserve"> at 6655-77, paras. 192-245.</w:t>
      </w:r>
    </w:p>
  </w:footnote>
  <w:footnote w:id="8">
    <w:p w14:paraId="50E312DA" w14:textId="0D2700F0" w:rsidR="00D74A6B" w:rsidRPr="00F45250" w:rsidRDefault="00D74A6B" w:rsidP="00474DB9">
      <w:pPr>
        <w:pStyle w:val="FootnoteText"/>
        <w:rPr>
          <w:color w:val="000000" w:themeColor="text1"/>
        </w:rPr>
      </w:pPr>
      <w:r w:rsidRPr="00CF0D1E">
        <w:rPr>
          <w:rStyle w:val="FootnoteReference"/>
        </w:rPr>
        <w:footnoteRef/>
      </w:r>
      <w:r w:rsidRPr="00CF0D1E">
        <w:t xml:space="preserve"> </w:t>
      </w:r>
      <w:r w:rsidRPr="00CF0D1E">
        <w:rPr>
          <w:i/>
        </w:rPr>
        <w:t>See</w:t>
      </w:r>
      <w:r>
        <w:t xml:space="preserve"> </w:t>
      </w:r>
      <w:r w:rsidR="00F23B67" w:rsidRPr="00176214">
        <w:rPr>
          <w:i/>
          <w:color w:val="000000" w:themeColor="text1"/>
        </w:rPr>
        <w:t>id.</w:t>
      </w:r>
      <w:r w:rsidR="00F23B67" w:rsidRPr="00176214">
        <w:rPr>
          <w:color w:val="000000" w:themeColor="text1"/>
        </w:rPr>
        <w:t xml:space="preserve"> at 6</w:t>
      </w:r>
      <w:r w:rsidR="00F23B67">
        <w:rPr>
          <w:color w:val="000000" w:themeColor="text1"/>
        </w:rPr>
        <w:t>719, para. 357</w:t>
      </w:r>
      <w:r w:rsidRPr="00F45250">
        <w:rPr>
          <w:color w:val="000000" w:themeColor="text1"/>
        </w:rPr>
        <w:t xml:space="preserve"> (“Parity between repacking protections and reverse auction eligibility will further the goals of the incentive auction. . . .   [I]t would be meaningless for us to recognize for relinquishment broader rights than those which we would protect</w:t>
      </w:r>
      <w:r w:rsidRPr="00F45250" w:rsidDel="00400086">
        <w:rPr>
          <w:color w:val="000000" w:themeColor="text1"/>
        </w:rPr>
        <w:t xml:space="preserve"> </w:t>
      </w:r>
      <w:r w:rsidRPr="00F45250">
        <w:rPr>
          <w:color w:val="000000" w:themeColor="text1"/>
        </w:rPr>
        <w:t>in the repacking process.  Unprotected usage rights will not affect our repacking flexibility or our ability to repurpose spectrum and thus will have no value in the reverse auction.”)</w:t>
      </w:r>
      <w:r>
        <w:rPr>
          <w:color w:val="000000" w:themeColor="text1"/>
        </w:rPr>
        <w:t>.</w:t>
      </w:r>
    </w:p>
  </w:footnote>
  <w:footnote w:id="9">
    <w:p w14:paraId="34099DD2" w14:textId="0EAE9393" w:rsidR="00D74A6B" w:rsidRPr="00176214" w:rsidRDefault="00D74A6B" w:rsidP="00F45250">
      <w:pPr>
        <w:pStyle w:val="FootnoteText"/>
        <w:widowControl w:val="0"/>
        <w:rPr>
          <w:color w:val="000000" w:themeColor="text1"/>
        </w:rPr>
      </w:pPr>
      <w:r w:rsidRPr="00176214">
        <w:rPr>
          <w:rStyle w:val="FootnoteReference"/>
          <w:color w:val="000000" w:themeColor="text1"/>
        </w:rPr>
        <w:footnoteRef/>
      </w:r>
      <w:r w:rsidRPr="00176214">
        <w:rPr>
          <w:color w:val="000000" w:themeColor="text1"/>
        </w:rPr>
        <w:t xml:space="preserve"> </w:t>
      </w:r>
      <w:r w:rsidRPr="00176214">
        <w:rPr>
          <w:i/>
          <w:color w:val="000000" w:themeColor="text1"/>
        </w:rPr>
        <w:t>See id.</w:t>
      </w:r>
      <w:r w:rsidRPr="00176214">
        <w:rPr>
          <w:color w:val="000000" w:themeColor="text1"/>
        </w:rPr>
        <w:t xml:space="preserve"> at 6670-72, paras. 232-35.  </w:t>
      </w:r>
      <w:r>
        <w:rPr>
          <w:color w:val="000000" w:themeColor="text1"/>
        </w:rPr>
        <w:t>T</w:t>
      </w:r>
      <w:r w:rsidRPr="00176214">
        <w:rPr>
          <w:color w:val="000000" w:themeColor="text1"/>
        </w:rPr>
        <w:t xml:space="preserve">he Community Broadcasters Protection Act of 1999 (CBPA), Pub. L. No. 106-113, 113 Stat. Appendix 1 at pp. 1501A-594 – 1501A-598 (1999), </w:t>
      </w:r>
      <w:r w:rsidRPr="00176214">
        <w:rPr>
          <w:i/>
          <w:color w:val="000000" w:themeColor="text1"/>
        </w:rPr>
        <w:t>codified at</w:t>
      </w:r>
      <w:r w:rsidRPr="00176214">
        <w:rPr>
          <w:color w:val="000000" w:themeColor="text1"/>
        </w:rPr>
        <w:t xml:space="preserve"> 47 U.S.C. § 336(f), accorded certain qualifying LPTV stations with “primary” Class A status.  </w:t>
      </w:r>
      <w:r w:rsidR="009E684D">
        <w:rPr>
          <w:color w:val="000000" w:themeColor="text1"/>
          <w:szCs w:val="22"/>
        </w:rPr>
        <w:t xml:space="preserve">“Out-of-core” </w:t>
      </w:r>
      <w:r w:rsidR="009E684D" w:rsidRPr="007E0CF8">
        <w:rPr>
          <w:color w:val="000000" w:themeColor="text1"/>
          <w:szCs w:val="22"/>
        </w:rPr>
        <w:t>stations</w:t>
      </w:r>
      <w:r w:rsidR="009E684D">
        <w:rPr>
          <w:color w:val="000000" w:themeColor="text1"/>
          <w:szCs w:val="22"/>
        </w:rPr>
        <w:t xml:space="preserve"> are those </w:t>
      </w:r>
      <w:r w:rsidR="009E684D" w:rsidRPr="007E0CF8">
        <w:rPr>
          <w:color w:val="000000" w:themeColor="text1"/>
          <w:szCs w:val="22"/>
        </w:rPr>
        <w:t xml:space="preserve">that </w:t>
      </w:r>
      <w:r w:rsidR="009E684D">
        <w:rPr>
          <w:color w:val="000000" w:themeColor="text1"/>
          <w:szCs w:val="22"/>
        </w:rPr>
        <w:t xml:space="preserve">operated on “out-of-core” channels (channels 52-69) when the CBPA was enacted in 1999 and </w:t>
      </w:r>
      <w:r w:rsidR="009E684D" w:rsidRPr="007E0CF8">
        <w:rPr>
          <w:color w:val="000000" w:themeColor="text1"/>
          <w:szCs w:val="22"/>
        </w:rPr>
        <w:t>obtained</w:t>
      </w:r>
      <w:r w:rsidR="00F40349">
        <w:rPr>
          <w:color w:val="000000" w:themeColor="text1"/>
          <w:szCs w:val="22"/>
        </w:rPr>
        <w:t xml:space="preserve"> an authorization for an</w:t>
      </w:r>
      <w:r w:rsidR="009E684D" w:rsidRPr="007E0CF8">
        <w:rPr>
          <w:color w:val="000000" w:themeColor="text1"/>
          <w:szCs w:val="22"/>
        </w:rPr>
        <w:t xml:space="preserve"> </w:t>
      </w:r>
      <w:r w:rsidR="009E684D">
        <w:rPr>
          <w:color w:val="000000" w:themeColor="text1"/>
          <w:szCs w:val="22"/>
        </w:rPr>
        <w:t>“</w:t>
      </w:r>
      <w:r w:rsidR="009E684D" w:rsidRPr="007E0CF8">
        <w:rPr>
          <w:color w:val="000000" w:themeColor="text1"/>
          <w:szCs w:val="22"/>
        </w:rPr>
        <w:t>in-core</w:t>
      </w:r>
      <w:r w:rsidR="009E684D">
        <w:rPr>
          <w:color w:val="000000" w:themeColor="text1"/>
          <w:szCs w:val="22"/>
        </w:rPr>
        <w:t>”</w:t>
      </w:r>
      <w:r w:rsidR="009E684D" w:rsidRPr="007E0CF8">
        <w:rPr>
          <w:color w:val="000000" w:themeColor="text1"/>
          <w:szCs w:val="22"/>
        </w:rPr>
        <w:t xml:space="preserve"> channel</w:t>
      </w:r>
      <w:r w:rsidR="009E684D">
        <w:rPr>
          <w:color w:val="000000" w:themeColor="text1"/>
          <w:szCs w:val="22"/>
        </w:rPr>
        <w:t xml:space="preserve"> (channels 2-51).  </w:t>
      </w:r>
      <w:r w:rsidRPr="00176214">
        <w:rPr>
          <w:color w:val="000000" w:themeColor="text1"/>
        </w:rPr>
        <w:t xml:space="preserve">Although the </w:t>
      </w:r>
      <w:r>
        <w:rPr>
          <w:color w:val="000000" w:themeColor="text1"/>
        </w:rPr>
        <w:t>CBPA</w:t>
      </w:r>
      <w:r w:rsidRPr="00176214">
        <w:rPr>
          <w:color w:val="000000" w:themeColor="text1"/>
        </w:rPr>
        <w:t xml:space="preserve"> prohibited granting Class A status to LPTV stations operating on out-o</w:t>
      </w:r>
      <w:r w:rsidR="009D37E4">
        <w:rPr>
          <w:color w:val="000000" w:themeColor="text1"/>
        </w:rPr>
        <w:t>f-core channels</w:t>
      </w:r>
      <w:r w:rsidRPr="00176214">
        <w:rPr>
          <w:color w:val="000000" w:themeColor="text1"/>
        </w:rPr>
        <w:t>, it provided such stations with an opportunity to achieve Class A status on an</w:t>
      </w:r>
      <w:r w:rsidR="009D37E4">
        <w:rPr>
          <w:color w:val="000000" w:themeColor="text1"/>
        </w:rPr>
        <w:t xml:space="preserve"> in-core channel</w:t>
      </w:r>
      <w:r w:rsidRPr="00176214">
        <w:rPr>
          <w:color w:val="000000" w:themeColor="text1"/>
        </w:rPr>
        <w:t xml:space="preserve">.  </w:t>
      </w:r>
      <w:r w:rsidRPr="00176214">
        <w:rPr>
          <w:i/>
          <w:color w:val="000000" w:themeColor="text1"/>
        </w:rPr>
        <w:t>See Incentive Auction R&amp;O</w:t>
      </w:r>
      <w:r w:rsidRPr="00176214">
        <w:rPr>
          <w:color w:val="000000" w:themeColor="text1"/>
        </w:rPr>
        <w:t>, 29 FCC Rcd at 6670, para. 232.</w:t>
      </w:r>
      <w:r w:rsidR="009E684D" w:rsidRPr="009E684D">
        <w:rPr>
          <w:color w:val="000000" w:themeColor="text1"/>
          <w:szCs w:val="22"/>
        </w:rPr>
        <w:t xml:space="preserve"> </w:t>
      </w:r>
    </w:p>
  </w:footnote>
  <w:footnote w:id="10">
    <w:p w14:paraId="6FF8585A" w14:textId="77777777" w:rsidR="00D74A6B" w:rsidRPr="00176214" w:rsidRDefault="00D74A6B" w:rsidP="00F45250">
      <w:pPr>
        <w:pStyle w:val="FootnoteText"/>
        <w:widowControl w:val="0"/>
        <w:rPr>
          <w:color w:val="000000" w:themeColor="text1"/>
        </w:rPr>
      </w:pPr>
      <w:r w:rsidRPr="00176214">
        <w:rPr>
          <w:rStyle w:val="FootnoteReference"/>
          <w:rFonts w:eastAsiaTheme="majorEastAsia"/>
          <w:color w:val="000000" w:themeColor="text1"/>
        </w:rPr>
        <w:footnoteRef/>
      </w:r>
      <w:r w:rsidRPr="00176214">
        <w:rPr>
          <w:color w:val="000000" w:themeColor="text1"/>
        </w:rPr>
        <w:t xml:space="preserve"> </w:t>
      </w:r>
      <w:r w:rsidRPr="00176214">
        <w:rPr>
          <w:i/>
          <w:color w:val="000000" w:themeColor="text1"/>
        </w:rPr>
        <w:t>Incentive Auction R&amp;O</w:t>
      </w:r>
      <w:r w:rsidRPr="00176214">
        <w:rPr>
          <w:color w:val="000000" w:themeColor="text1"/>
        </w:rPr>
        <w:t>, 29 FCC Rcd at 6671, para. 234.</w:t>
      </w:r>
    </w:p>
  </w:footnote>
  <w:footnote w:id="11">
    <w:p w14:paraId="25627772" w14:textId="77777777" w:rsidR="00D74A6B" w:rsidRPr="00176214" w:rsidRDefault="00D74A6B" w:rsidP="00F45250">
      <w:pPr>
        <w:pStyle w:val="FootnoteText"/>
        <w:widowControl w:val="0"/>
        <w:rPr>
          <w:color w:val="000000" w:themeColor="text1"/>
        </w:rPr>
      </w:pPr>
      <w:r w:rsidRPr="00176214">
        <w:rPr>
          <w:rStyle w:val="FootnoteReference"/>
          <w:color w:val="000000" w:themeColor="text1"/>
        </w:rPr>
        <w:footnoteRef/>
      </w:r>
      <w:r w:rsidRPr="00176214">
        <w:rPr>
          <w:color w:val="000000" w:themeColor="text1"/>
        </w:rPr>
        <w:t xml:space="preserve"> </w:t>
      </w:r>
      <w:r w:rsidRPr="00176214">
        <w:rPr>
          <w:i/>
          <w:color w:val="000000" w:themeColor="text1"/>
        </w:rPr>
        <w:t>See id</w:t>
      </w:r>
      <w:r w:rsidRPr="00176214">
        <w:rPr>
          <w:color w:val="000000" w:themeColor="text1"/>
        </w:rPr>
        <w:t>.</w:t>
      </w:r>
      <w:r>
        <w:rPr>
          <w:color w:val="000000" w:themeColor="text1"/>
        </w:rPr>
        <w:t xml:space="preserve">  </w:t>
      </w:r>
    </w:p>
  </w:footnote>
  <w:footnote w:id="12">
    <w:p w14:paraId="4D8D28E7" w14:textId="77777777" w:rsidR="00D74A6B" w:rsidRPr="00176214" w:rsidRDefault="00D74A6B" w:rsidP="00F45250">
      <w:pPr>
        <w:pStyle w:val="FootnoteText"/>
        <w:widowControl w:val="0"/>
        <w:rPr>
          <w:color w:val="000000" w:themeColor="text1"/>
        </w:rPr>
      </w:pPr>
      <w:r w:rsidRPr="00176214">
        <w:rPr>
          <w:rStyle w:val="FootnoteReference"/>
          <w:color w:val="000000" w:themeColor="text1"/>
        </w:rPr>
        <w:footnoteRef/>
      </w:r>
      <w:r w:rsidRPr="00176214">
        <w:rPr>
          <w:color w:val="000000" w:themeColor="text1"/>
        </w:rPr>
        <w:t xml:space="preserve"> </w:t>
      </w:r>
      <w:r w:rsidRPr="00176214">
        <w:rPr>
          <w:i/>
          <w:color w:val="000000" w:themeColor="text1"/>
        </w:rPr>
        <w:t>See Expanding the Economic and Innovation Opportunities of Spectrum Through Incentive Auctions</w:t>
      </w:r>
      <w:r w:rsidRPr="00176214">
        <w:rPr>
          <w:color w:val="000000" w:themeColor="text1"/>
        </w:rPr>
        <w:t>, GN Docket No. 12-268, Notice of Proposed Rulemaking, 27 FCC Rcd 12357 (2012) (“</w:t>
      </w:r>
      <w:r w:rsidRPr="00176214">
        <w:rPr>
          <w:i/>
          <w:color w:val="000000" w:themeColor="text1"/>
        </w:rPr>
        <w:t>Incentive Auction NPRM</w:t>
      </w:r>
      <w:r w:rsidRPr="00176214">
        <w:rPr>
          <w:color w:val="000000" w:themeColor="text1"/>
        </w:rPr>
        <w:t>”).</w:t>
      </w:r>
    </w:p>
  </w:footnote>
  <w:footnote w:id="13">
    <w:p w14:paraId="3B67139D" w14:textId="188EEB35" w:rsidR="00D74A6B" w:rsidRPr="00176214" w:rsidRDefault="00D74A6B" w:rsidP="00F45250">
      <w:pPr>
        <w:pStyle w:val="FootnoteText"/>
        <w:widowControl w:val="0"/>
        <w:rPr>
          <w:color w:val="000000" w:themeColor="text1"/>
        </w:rPr>
      </w:pPr>
      <w:r w:rsidRPr="00176214">
        <w:rPr>
          <w:rStyle w:val="FootnoteReference"/>
          <w:color w:val="000000" w:themeColor="text1"/>
        </w:rPr>
        <w:footnoteRef/>
      </w:r>
      <w:r w:rsidRPr="00176214">
        <w:rPr>
          <w:color w:val="000000" w:themeColor="text1"/>
        </w:rPr>
        <w:t xml:space="preserve"> </w:t>
      </w:r>
      <w:r w:rsidRPr="00176214">
        <w:rPr>
          <w:i/>
          <w:color w:val="000000" w:themeColor="text1"/>
        </w:rPr>
        <w:t>Incentive Auction R&amp;O</w:t>
      </w:r>
      <w:r w:rsidRPr="00176214">
        <w:rPr>
          <w:color w:val="000000" w:themeColor="text1"/>
        </w:rPr>
        <w:t>, 29 FCC Rcd at 6671-72, para. 235</w:t>
      </w:r>
      <w:r>
        <w:rPr>
          <w:color w:val="000000" w:themeColor="text1"/>
        </w:rPr>
        <w:t xml:space="preserve"> </w:t>
      </w:r>
      <w:r>
        <w:rPr>
          <w:color w:val="000000" w:themeColor="text1"/>
          <w:szCs w:val="22"/>
        </w:rPr>
        <w:t xml:space="preserve">(explaining that KHTV-CD </w:t>
      </w:r>
      <w:r w:rsidRPr="007E0CF8">
        <w:rPr>
          <w:color w:val="000000" w:themeColor="text1"/>
          <w:szCs w:val="22"/>
        </w:rPr>
        <w:t>made repeated efforts over the course of a decade to find an in-core channel, had a Class A construction permit application on file certifying that it was meeting the Class A statutory operating requirements</w:t>
      </w:r>
      <w:r>
        <w:rPr>
          <w:color w:val="000000" w:themeColor="text1"/>
          <w:szCs w:val="22"/>
        </w:rPr>
        <w:t xml:space="preserve"> prior to February 22, 2012</w:t>
      </w:r>
      <w:r w:rsidRPr="007E0CF8">
        <w:rPr>
          <w:color w:val="000000" w:themeColor="text1"/>
          <w:szCs w:val="22"/>
        </w:rPr>
        <w:t xml:space="preserve">, and filed an application for a license to cover a Class A facility on February 24, 2012, just </w:t>
      </w:r>
      <w:r>
        <w:rPr>
          <w:color w:val="000000" w:themeColor="text1"/>
          <w:szCs w:val="22"/>
        </w:rPr>
        <w:t xml:space="preserve">two </w:t>
      </w:r>
      <w:r w:rsidRPr="007E0CF8">
        <w:rPr>
          <w:color w:val="000000" w:themeColor="text1"/>
          <w:szCs w:val="22"/>
        </w:rPr>
        <w:t>days after the Spectrum Act was enacted</w:t>
      </w:r>
      <w:r>
        <w:rPr>
          <w:color w:val="000000" w:themeColor="text1"/>
          <w:szCs w:val="22"/>
        </w:rPr>
        <w:t>)</w:t>
      </w:r>
      <w:r w:rsidRPr="00176214">
        <w:rPr>
          <w:color w:val="000000" w:themeColor="text1"/>
        </w:rPr>
        <w:t>.</w:t>
      </w:r>
    </w:p>
  </w:footnote>
  <w:footnote w:id="14">
    <w:p w14:paraId="62A435E7" w14:textId="77777777" w:rsidR="009B0DEE" w:rsidRDefault="009B0DEE" w:rsidP="009B0DEE">
      <w:pPr>
        <w:pStyle w:val="FootnoteText"/>
      </w:pPr>
      <w:r>
        <w:rPr>
          <w:rStyle w:val="FootnoteReference"/>
        </w:rPr>
        <w:footnoteRef/>
      </w:r>
      <w:r>
        <w:t xml:space="preserve"> </w:t>
      </w:r>
      <w:r w:rsidRPr="00176214">
        <w:rPr>
          <w:i/>
          <w:color w:val="000000" w:themeColor="text1"/>
        </w:rPr>
        <w:t>See</w:t>
      </w:r>
      <w:r w:rsidRPr="00176214">
        <w:rPr>
          <w:color w:val="000000" w:themeColor="text1"/>
        </w:rPr>
        <w:t xml:space="preserve"> Abacus Petition for Reconsideration, GN Docket No. 12-268 (filed Sept. 15, 2014) </w:t>
      </w:r>
      <w:r>
        <w:rPr>
          <w:color w:val="000000" w:themeColor="text1"/>
        </w:rPr>
        <w:t xml:space="preserve">and </w:t>
      </w:r>
      <w:r w:rsidRPr="00176214">
        <w:rPr>
          <w:color w:val="000000" w:themeColor="text1"/>
        </w:rPr>
        <w:t xml:space="preserve">Videohouse Petition for </w:t>
      </w:r>
      <w:r w:rsidRPr="006C0F30">
        <w:rPr>
          <w:color w:val="000000" w:themeColor="text1"/>
        </w:rPr>
        <w:t>Reconsideration, GN Docket No. 12-268 (filed Sept. 15, 2014)</w:t>
      </w:r>
      <w:r>
        <w:rPr>
          <w:color w:val="000000" w:themeColor="text1"/>
        </w:rPr>
        <w:t xml:space="preserve"> </w:t>
      </w:r>
      <w:r w:rsidRPr="008F3CC0">
        <w:rPr>
          <w:color w:val="000000" w:themeColor="text1"/>
          <w:szCs w:val="22"/>
        </w:rPr>
        <w:t>(</w:t>
      </w:r>
      <w:r>
        <w:rPr>
          <w:color w:val="000000" w:themeColor="text1"/>
          <w:szCs w:val="22"/>
        </w:rPr>
        <w:t xml:space="preserve">collectively, </w:t>
      </w:r>
      <w:r w:rsidRPr="008F3CC0">
        <w:rPr>
          <w:color w:val="000000" w:themeColor="text1"/>
          <w:szCs w:val="22"/>
        </w:rPr>
        <w:t xml:space="preserve">the </w:t>
      </w:r>
      <w:r>
        <w:rPr>
          <w:color w:val="000000" w:themeColor="text1"/>
          <w:szCs w:val="22"/>
        </w:rPr>
        <w:t>2014</w:t>
      </w:r>
      <w:r w:rsidRPr="008F3CC0">
        <w:rPr>
          <w:color w:val="000000" w:themeColor="text1"/>
          <w:szCs w:val="22"/>
        </w:rPr>
        <w:t xml:space="preserve"> Petition</w:t>
      </w:r>
      <w:r>
        <w:rPr>
          <w:color w:val="000000" w:themeColor="text1"/>
          <w:szCs w:val="22"/>
        </w:rPr>
        <w:t>s</w:t>
      </w:r>
      <w:r w:rsidRPr="008F3CC0">
        <w:rPr>
          <w:color w:val="000000" w:themeColor="text1"/>
          <w:szCs w:val="22"/>
        </w:rPr>
        <w:t>)</w:t>
      </w:r>
      <w:r>
        <w:rPr>
          <w:color w:val="000000" w:themeColor="text1"/>
        </w:rPr>
        <w:t xml:space="preserve">.  As noted above, </w:t>
      </w:r>
      <w:r>
        <w:t xml:space="preserve">Fifth Street, one of the Movants here, acquired WPTG-CD from Abacus subsequent to the filing of the 2014 Petitions.  </w:t>
      </w:r>
      <w:r w:rsidRPr="00E8656C">
        <w:rPr>
          <w:i/>
        </w:rPr>
        <w:t>See supra</w:t>
      </w:r>
      <w:r>
        <w:t xml:space="preserve"> n.1.</w:t>
      </w:r>
    </w:p>
  </w:footnote>
  <w:footnote w:id="15">
    <w:p w14:paraId="50B4B9CE" w14:textId="77777777" w:rsidR="009B0DEE" w:rsidRDefault="009B0DEE" w:rsidP="009B0DEE">
      <w:pPr>
        <w:pStyle w:val="FootnoteText"/>
      </w:pPr>
      <w:r>
        <w:rPr>
          <w:rStyle w:val="FootnoteReference"/>
        </w:rPr>
        <w:footnoteRef/>
      </w:r>
      <w:r>
        <w:t xml:space="preserve"> </w:t>
      </w:r>
      <w:r w:rsidRPr="00176214">
        <w:rPr>
          <w:i/>
          <w:color w:val="000000" w:themeColor="text1"/>
        </w:rPr>
        <w:t>Expanding the Economic and Innovation Opportunities of Spectrum Through Incentive Auctions</w:t>
      </w:r>
      <w:r w:rsidRPr="00176214">
        <w:rPr>
          <w:color w:val="000000" w:themeColor="text1"/>
        </w:rPr>
        <w:t>, GN Docket No. 12-268</w:t>
      </w:r>
      <w:r w:rsidRPr="00BA1505">
        <w:rPr>
          <w:color w:val="000000" w:themeColor="text1"/>
        </w:rPr>
        <w:t>, Second Order on Reconsideration, 30 FCC Rcd 6746</w:t>
      </w:r>
      <w:r>
        <w:rPr>
          <w:color w:val="000000" w:themeColor="text1"/>
        </w:rPr>
        <w:t>, 6769-75, paras. 53-62</w:t>
      </w:r>
      <w:r w:rsidRPr="00BA1505">
        <w:rPr>
          <w:color w:val="000000" w:themeColor="text1"/>
        </w:rPr>
        <w:t xml:space="preserve"> (201</w:t>
      </w:r>
      <w:r>
        <w:rPr>
          <w:color w:val="000000" w:themeColor="text1"/>
        </w:rPr>
        <w:t>5</w:t>
      </w:r>
      <w:r w:rsidRPr="00BA1505">
        <w:rPr>
          <w:color w:val="000000" w:themeColor="text1"/>
        </w:rPr>
        <w:t>) (</w:t>
      </w:r>
      <w:r w:rsidRPr="00BA1505">
        <w:rPr>
          <w:i/>
          <w:color w:val="000000" w:themeColor="text1"/>
        </w:rPr>
        <w:t>Reconsideration Order</w:t>
      </w:r>
      <w:r w:rsidRPr="00BA1505">
        <w:rPr>
          <w:color w:val="000000" w:themeColor="text1"/>
        </w:rPr>
        <w:t>)</w:t>
      </w:r>
      <w:r>
        <w:rPr>
          <w:color w:val="000000" w:themeColor="text1"/>
        </w:rPr>
        <w:t>.</w:t>
      </w:r>
    </w:p>
  </w:footnote>
  <w:footnote w:id="16">
    <w:p w14:paraId="4048FA57" w14:textId="77777777" w:rsidR="009B0DEE" w:rsidRPr="00176214" w:rsidRDefault="009B0DEE" w:rsidP="009B0DEE">
      <w:pPr>
        <w:pStyle w:val="FootnoteText"/>
        <w:widowControl w:val="0"/>
        <w:rPr>
          <w:color w:val="000000" w:themeColor="text1"/>
        </w:rPr>
      </w:pPr>
      <w:r w:rsidRPr="00176214">
        <w:rPr>
          <w:rStyle w:val="FootnoteReference"/>
          <w:color w:val="000000" w:themeColor="text1"/>
        </w:rPr>
        <w:footnoteRef/>
      </w:r>
      <w:r w:rsidRPr="00176214">
        <w:rPr>
          <w:color w:val="000000" w:themeColor="text1"/>
        </w:rPr>
        <w:t xml:space="preserve"> </w:t>
      </w:r>
      <w:r>
        <w:rPr>
          <w:i/>
          <w:color w:val="000000" w:themeColor="text1"/>
        </w:rPr>
        <w:t>See i</w:t>
      </w:r>
      <w:r w:rsidRPr="00176214">
        <w:rPr>
          <w:i/>
          <w:color w:val="000000" w:themeColor="text1"/>
        </w:rPr>
        <w:t>d</w:t>
      </w:r>
      <w:r w:rsidRPr="00176214">
        <w:rPr>
          <w:color w:val="000000" w:themeColor="text1"/>
        </w:rPr>
        <w:t>. at 67</w:t>
      </w:r>
      <w:r>
        <w:rPr>
          <w:color w:val="000000" w:themeColor="text1"/>
        </w:rPr>
        <w:t>69</w:t>
      </w:r>
      <w:r w:rsidRPr="00176214">
        <w:rPr>
          <w:color w:val="000000" w:themeColor="text1"/>
        </w:rPr>
        <w:t>, para. 5</w:t>
      </w:r>
      <w:r>
        <w:rPr>
          <w:color w:val="000000" w:themeColor="text1"/>
        </w:rPr>
        <w:t xml:space="preserve">3.  </w:t>
      </w:r>
    </w:p>
  </w:footnote>
  <w:footnote w:id="17">
    <w:p w14:paraId="4AB8A1AA" w14:textId="77777777" w:rsidR="009B0DEE" w:rsidRDefault="009B0DEE" w:rsidP="009B0DEE">
      <w:pPr>
        <w:pStyle w:val="FootnoteText"/>
      </w:pPr>
      <w:r>
        <w:rPr>
          <w:rStyle w:val="FootnoteReference"/>
        </w:rPr>
        <w:footnoteRef/>
      </w:r>
      <w:r>
        <w:t xml:space="preserve"> </w:t>
      </w:r>
      <w:r>
        <w:rPr>
          <w:i/>
          <w:color w:val="000000" w:themeColor="text1"/>
        </w:rPr>
        <w:t>See i</w:t>
      </w:r>
      <w:r w:rsidRPr="00176214">
        <w:rPr>
          <w:i/>
          <w:color w:val="000000" w:themeColor="text1"/>
        </w:rPr>
        <w:t>d</w:t>
      </w:r>
      <w:r w:rsidRPr="00176214">
        <w:rPr>
          <w:color w:val="000000" w:themeColor="text1"/>
        </w:rPr>
        <w:t>. at 67</w:t>
      </w:r>
      <w:r>
        <w:rPr>
          <w:color w:val="000000" w:themeColor="text1"/>
        </w:rPr>
        <w:t>74-75</w:t>
      </w:r>
      <w:r w:rsidRPr="00176214">
        <w:rPr>
          <w:color w:val="000000" w:themeColor="text1"/>
        </w:rPr>
        <w:t xml:space="preserve">, para. </w:t>
      </w:r>
      <w:r>
        <w:rPr>
          <w:color w:val="000000" w:themeColor="text1"/>
        </w:rPr>
        <w:t>62</w:t>
      </w:r>
      <w:r>
        <w:t xml:space="preserve"> (explaining that, </w:t>
      </w:r>
      <w:r>
        <w:rPr>
          <w:i/>
        </w:rPr>
        <w:t>inter alia</w:t>
      </w:r>
      <w:r>
        <w:t xml:space="preserve">, </w:t>
      </w:r>
      <w:r>
        <w:rPr>
          <w:color w:val="000000" w:themeColor="text1"/>
          <w:szCs w:val="22"/>
        </w:rPr>
        <w:t>“[b]</w:t>
      </w:r>
      <w:r w:rsidRPr="00327452">
        <w:rPr>
          <w:szCs w:val="22"/>
        </w:rPr>
        <w:t>y filing an application for a Class A construction permit prior to February 22, 2012, each of these stations documented efforts prior to passage of the Spectrum Act to remove their secondary status</w:t>
      </w:r>
      <w:r>
        <w:rPr>
          <w:szCs w:val="22"/>
        </w:rPr>
        <w:t xml:space="preserve"> and avail themselves of Class A status.”</w:t>
      </w:r>
      <w:r>
        <w:t>).</w:t>
      </w:r>
    </w:p>
  </w:footnote>
  <w:footnote w:id="18">
    <w:p w14:paraId="1C2F463B" w14:textId="5E4201AB" w:rsidR="00D74A6B" w:rsidRPr="00D34A1F" w:rsidRDefault="00D74A6B">
      <w:pPr>
        <w:pStyle w:val="FootnoteText"/>
      </w:pPr>
      <w:r>
        <w:rPr>
          <w:rStyle w:val="FootnoteReference"/>
        </w:rPr>
        <w:footnoteRef/>
      </w:r>
      <w:r>
        <w:t xml:space="preserve"> </w:t>
      </w:r>
      <w:r w:rsidRPr="00BA1505">
        <w:rPr>
          <w:i/>
          <w:color w:val="000000" w:themeColor="text1"/>
        </w:rPr>
        <w:t>See</w:t>
      </w:r>
      <w:r w:rsidRPr="00BA1505">
        <w:rPr>
          <w:color w:val="000000" w:themeColor="text1"/>
        </w:rPr>
        <w:t xml:space="preserve"> Videohouse, Abacus, WMTM, and KMYA Petition for Reconsideration, GN Docket No. 12-268 (filed Sept. 2, 2015).  </w:t>
      </w:r>
      <w:r w:rsidRPr="00862E1E">
        <w:rPr>
          <w:color w:val="000000" w:themeColor="text1"/>
        </w:rPr>
        <w:t>Petitioner</w:t>
      </w:r>
      <w:r>
        <w:rPr>
          <w:color w:val="000000" w:themeColor="text1"/>
        </w:rPr>
        <w:t>s also</w:t>
      </w:r>
      <w:r w:rsidRPr="00862E1E">
        <w:rPr>
          <w:color w:val="000000" w:themeColor="text1"/>
        </w:rPr>
        <w:t xml:space="preserve"> attached to the </w:t>
      </w:r>
      <w:r>
        <w:rPr>
          <w:color w:val="000000" w:themeColor="text1"/>
        </w:rPr>
        <w:t xml:space="preserve">Second Reconsideration </w:t>
      </w:r>
      <w:r w:rsidRPr="00862E1E">
        <w:rPr>
          <w:color w:val="000000" w:themeColor="text1"/>
        </w:rPr>
        <w:t xml:space="preserve">Petition a copy of </w:t>
      </w:r>
      <w:r>
        <w:rPr>
          <w:color w:val="000000" w:themeColor="text1"/>
        </w:rPr>
        <w:t>each of their</w:t>
      </w:r>
      <w:r w:rsidRPr="00862E1E">
        <w:rPr>
          <w:color w:val="000000" w:themeColor="text1"/>
        </w:rPr>
        <w:t xml:space="preserve"> Petition</w:t>
      </w:r>
      <w:r>
        <w:rPr>
          <w:color w:val="000000" w:themeColor="text1"/>
        </w:rPr>
        <w:t>s</w:t>
      </w:r>
      <w:r w:rsidRPr="00862E1E">
        <w:rPr>
          <w:color w:val="000000" w:themeColor="text1"/>
        </w:rPr>
        <w:t xml:space="preserve"> for Eligible Entity Status</w:t>
      </w:r>
      <w:r>
        <w:rPr>
          <w:color w:val="000000" w:themeColor="text1"/>
        </w:rPr>
        <w:t xml:space="preserve"> (“Eligibility Petition”)</w:t>
      </w:r>
      <w:r w:rsidRPr="00862E1E">
        <w:rPr>
          <w:color w:val="000000" w:themeColor="text1"/>
        </w:rPr>
        <w:t xml:space="preserve"> filed </w:t>
      </w:r>
      <w:r>
        <w:rPr>
          <w:color w:val="000000" w:themeColor="text1"/>
        </w:rPr>
        <w:t xml:space="preserve">July 9, 2015 in GN Docket No. 12-268 </w:t>
      </w:r>
      <w:r w:rsidRPr="00862E1E">
        <w:rPr>
          <w:color w:val="000000" w:themeColor="text1"/>
        </w:rPr>
        <w:t>in response to the Media Bureau’s</w:t>
      </w:r>
      <w:r>
        <w:rPr>
          <w:color w:val="000000" w:themeColor="text1"/>
        </w:rPr>
        <w:t xml:space="preserve"> June 9, 2015 </w:t>
      </w:r>
      <w:r w:rsidRPr="00862E1E">
        <w:rPr>
          <w:color w:val="000000" w:themeColor="text1"/>
        </w:rPr>
        <w:t xml:space="preserve">Public Notice.  </w:t>
      </w:r>
      <w:r w:rsidRPr="00862E1E">
        <w:rPr>
          <w:i/>
          <w:color w:val="000000" w:themeColor="text1"/>
        </w:rPr>
        <w:t>See</w:t>
      </w:r>
      <w:r w:rsidRPr="00862E1E">
        <w:rPr>
          <w:color w:val="000000" w:themeColor="text1"/>
        </w:rPr>
        <w:t xml:space="preserve"> </w:t>
      </w:r>
      <w:r w:rsidRPr="0026553A">
        <w:rPr>
          <w:i/>
          <w:color w:val="000000" w:themeColor="text1"/>
        </w:rPr>
        <w:t>Media Bureau Announces Incentive Auction Eligible Facilities and July 9, 2015 Deadline for Filing Pre-Auction Technical Certification Form</w:t>
      </w:r>
      <w:r>
        <w:rPr>
          <w:color w:val="000000" w:themeColor="text1"/>
        </w:rPr>
        <w:t xml:space="preserve">, </w:t>
      </w:r>
      <w:r w:rsidRPr="00862E1E">
        <w:t>Public Notice, 30 FCC Rcd 6153 (</w:t>
      </w:r>
      <w:r>
        <w:t xml:space="preserve">MB </w:t>
      </w:r>
      <w:r w:rsidRPr="00862E1E">
        <w:t>2015) (</w:t>
      </w:r>
      <w:r w:rsidRPr="00862E1E">
        <w:rPr>
          <w:color w:val="252525"/>
        </w:rPr>
        <w:t>announcing each station facility eligible for prot</w:t>
      </w:r>
      <w:r>
        <w:rPr>
          <w:color w:val="252525"/>
        </w:rPr>
        <w:t xml:space="preserve">ection in the repacking process; </w:t>
      </w:r>
      <w:r w:rsidRPr="00862E1E">
        <w:rPr>
          <w:color w:val="252525"/>
        </w:rPr>
        <w:t>providing that</w:t>
      </w:r>
      <w:r>
        <w:rPr>
          <w:color w:val="252525"/>
        </w:rPr>
        <w:t xml:space="preserve"> a licensee</w:t>
      </w:r>
      <w:r w:rsidRPr="00862E1E">
        <w:rPr>
          <w:color w:val="252525"/>
        </w:rPr>
        <w:t xml:space="preserve"> can file a Petition for Eligible Entity Status explaining the reason it believes </w:t>
      </w:r>
      <w:r>
        <w:rPr>
          <w:color w:val="252525"/>
        </w:rPr>
        <w:t xml:space="preserve">an omitted </w:t>
      </w:r>
      <w:r w:rsidRPr="00862E1E">
        <w:rPr>
          <w:color w:val="252525"/>
        </w:rPr>
        <w:t>facility is eligible consistent with the </w:t>
      </w:r>
      <w:r w:rsidRPr="00862E1E">
        <w:rPr>
          <w:i/>
          <w:iCs/>
          <w:color w:val="252525"/>
        </w:rPr>
        <w:t>Incentive Auction R&amp;O</w:t>
      </w:r>
      <w:r>
        <w:rPr>
          <w:iCs/>
          <w:color w:val="252525"/>
        </w:rPr>
        <w:t>).</w:t>
      </w:r>
    </w:p>
  </w:footnote>
  <w:footnote w:id="19">
    <w:p w14:paraId="4246281D" w14:textId="18C379C6" w:rsidR="00D74A6B" w:rsidRDefault="00D74A6B">
      <w:pPr>
        <w:pStyle w:val="FootnoteText"/>
      </w:pPr>
      <w:r>
        <w:rPr>
          <w:rStyle w:val="FootnoteReference"/>
        </w:rPr>
        <w:footnoteRef/>
      </w:r>
      <w:r>
        <w:t xml:space="preserve"> </w:t>
      </w:r>
      <w:r w:rsidR="009D64A0" w:rsidRPr="00F95B87">
        <w:rPr>
          <w:i/>
          <w:color w:val="252525"/>
        </w:rPr>
        <w:t>Incentive Auction Task Force Releases Revised Baseline Data and Prices for Reverse Auction; Announces Revised Filing Window Dates</w:t>
      </w:r>
      <w:r w:rsidR="009D37E4">
        <w:rPr>
          <w:color w:val="252525"/>
        </w:rPr>
        <w:t>, AU Docket No. 15-252 et al.</w:t>
      </w:r>
      <w:r w:rsidR="007E2AE3">
        <w:rPr>
          <w:color w:val="252525"/>
        </w:rPr>
        <w:t>,</w:t>
      </w:r>
      <w:r w:rsidR="009D64A0" w:rsidRPr="00F95B87">
        <w:rPr>
          <w:color w:val="252525"/>
        </w:rPr>
        <w:t xml:space="preserve"> DA </w:t>
      </w:r>
      <w:r w:rsidR="009D64A0" w:rsidRPr="00F95B87">
        <w:rPr>
          <w:bCs/>
          <w:color w:val="252525"/>
        </w:rPr>
        <w:t>15</w:t>
      </w:r>
      <w:r w:rsidR="009D64A0" w:rsidRPr="00F95B87">
        <w:rPr>
          <w:color w:val="252525"/>
        </w:rPr>
        <w:t>-</w:t>
      </w:r>
      <w:r w:rsidR="009D64A0" w:rsidRPr="00F95B87">
        <w:rPr>
          <w:bCs/>
          <w:color w:val="252525"/>
        </w:rPr>
        <w:t>1296</w:t>
      </w:r>
      <w:r w:rsidR="009D64A0" w:rsidRPr="00F95B87">
        <w:rPr>
          <w:b/>
          <w:bCs/>
          <w:color w:val="252525"/>
        </w:rPr>
        <w:t>,</w:t>
      </w:r>
      <w:r w:rsidR="009D64A0">
        <w:rPr>
          <w:b/>
          <w:bCs/>
          <w:color w:val="252525"/>
        </w:rPr>
        <w:t xml:space="preserve"> </w:t>
      </w:r>
      <w:r w:rsidR="009D64A0" w:rsidRPr="00F95B87">
        <w:rPr>
          <w:color w:val="252525"/>
        </w:rPr>
        <w:t>Public Notice, 2015 WL 7095182 (</w:t>
      </w:r>
      <w:r w:rsidR="009D37E4">
        <w:rPr>
          <w:color w:val="252525"/>
        </w:rPr>
        <w:t xml:space="preserve">rel. </w:t>
      </w:r>
      <w:r w:rsidR="009D64A0" w:rsidRPr="00F95B87">
        <w:rPr>
          <w:color w:val="252525"/>
        </w:rPr>
        <w:t>Nov. 12, 2015).</w:t>
      </w:r>
    </w:p>
  </w:footnote>
  <w:footnote w:id="20">
    <w:p w14:paraId="4F50F52F" w14:textId="1E236E55" w:rsidR="00D74A6B" w:rsidRDefault="00D74A6B">
      <w:pPr>
        <w:pStyle w:val="FootnoteText"/>
      </w:pPr>
      <w:r>
        <w:rPr>
          <w:rStyle w:val="FootnoteReference"/>
        </w:rPr>
        <w:footnoteRef/>
      </w:r>
      <w:r>
        <w:t xml:space="preserve"> </w:t>
      </w:r>
      <w:r w:rsidR="009D64A0" w:rsidRPr="00624597">
        <w:rPr>
          <w:i/>
          <w:color w:val="252525"/>
        </w:rPr>
        <w:t>Broadcast Incentive Auction Scheduled to Begin on March 29, 2016</w:t>
      </w:r>
      <w:r w:rsidR="009D64A0" w:rsidRPr="00624597">
        <w:rPr>
          <w:color w:val="252525"/>
        </w:rPr>
        <w:t>, AU Docket No. 14-252 et al</w:t>
      </w:r>
      <w:r w:rsidR="007E2AE3">
        <w:rPr>
          <w:color w:val="252525"/>
        </w:rPr>
        <w:t>.</w:t>
      </w:r>
      <w:r w:rsidR="009D64A0" w:rsidRPr="00624597">
        <w:rPr>
          <w:color w:val="252525"/>
        </w:rPr>
        <w:t>, FCC 15-78, Public No</w:t>
      </w:r>
      <w:r w:rsidR="009D37E4">
        <w:rPr>
          <w:color w:val="252525"/>
        </w:rPr>
        <w:t>tice, 30 FCC Rcd 8975 (</w:t>
      </w:r>
      <w:r w:rsidR="009D64A0" w:rsidRPr="00624597">
        <w:rPr>
          <w:color w:val="252525"/>
        </w:rPr>
        <w:t>2015).</w:t>
      </w:r>
      <w:r>
        <w:t xml:space="preserve"> </w:t>
      </w:r>
      <w:r w:rsidR="009D64A0">
        <w:t xml:space="preserve"> </w:t>
      </w:r>
      <w:r w:rsidRPr="00E707C0">
        <w:rPr>
          <w:color w:val="000000" w:themeColor="text1"/>
          <w:szCs w:val="22"/>
        </w:rPr>
        <w:t xml:space="preserve">On </w:t>
      </w:r>
      <w:r w:rsidR="009D37E4">
        <w:rPr>
          <w:color w:val="000000" w:themeColor="text1"/>
          <w:szCs w:val="22"/>
        </w:rPr>
        <w:t>March 29</w:t>
      </w:r>
      <w:r w:rsidRPr="00E707C0">
        <w:rPr>
          <w:color w:val="000000" w:themeColor="text1"/>
          <w:szCs w:val="22"/>
        </w:rPr>
        <w:t xml:space="preserve">, </w:t>
      </w:r>
      <w:r w:rsidRPr="00C60499">
        <w:t xml:space="preserve">reverse auction applicants </w:t>
      </w:r>
      <w:r>
        <w:t xml:space="preserve">must </w:t>
      </w:r>
      <w:r w:rsidRPr="00C60499">
        <w:t>commit to an initial bid option</w:t>
      </w:r>
      <w:r>
        <w:t>.</w:t>
      </w:r>
    </w:p>
  </w:footnote>
  <w:footnote w:id="21">
    <w:p w14:paraId="0F77C1E1" w14:textId="7B812BD0" w:rsidR="00D74A6B" w:rsidRDefault="00D74A6B">
      <w:pPr>
        <w:pStyle w:val="FootnoteText"/>
      </w:pPr>
      <w:r>
        <w:rPr>
          <w:rStyle w:val="FootnoteReference"/>
        </w:rPr>
        <w:footnoteRef/>
      </w:r>
      <w:r>
        <w:t xml:space="preserve"> </w:t>
      </w:r>
      <w:r w:rsidRPr="001E111E">
        <w:rPr>
          <w:i/>
        </w:rPr>
        <w:t>See</w:t>
      </w:r>
      <w:r>
        <w:t xml:space="preserve"> Stay Motion at 2.</w:t>
      </w:r>
    </w:p>
  </w:footnote>
  <w:footnote w:id="22">
    <w:p w14:paraId="5C72CAC5" w14:textId="4762F219" w:rsidR="00D74A6B" w:rsidRPr="00F45250" w:rsidRDefault="00D74A6B" w:rsidP="007B77BF">
      <w:pPr>
        <w:pStyle w:val="FootnoteText"/>
        <w:rPr>
          <w:color w:val="000000" w:themeColor="text1"/>
        </w:rPr>
      </w:pPr>
      <w:r w:rsidRPr="00F45250">
        <w:rPr>
          <w:rStyle w:val="FootnoteReference"/>
          <w:color w:val="000000" w:themeColor="text1"/>
        </w:rPr>
        <w:footnoteRef/>
      </w:r>
      <w:r w:rsidRPr="00F45250">
        <w:rPr>
          <w:color w:val="000000" w:themeColor="text1"/>
        </w:rPr>
        <w:t xml:space="preserve"> </w:t>
      </w:r>
      <w:r w:rsidRPr="001E111E">
        <w:rPr>
          <w:i/>
          <w:color w:val="000000" w:themeColor="text1"/>
        </w:rPr>
        <w:t>See</w:t>
      </w:r>
      <w:r>
        <w:rPr>
          <w:color w:val="000000" w:themeColor="text1"/>
        </w:rPr>
        <w:t xml:space="preserve"> </w:t>
      </w:r>
      <w:r w:rsidRPr="001E111E">
        <w:rPr>
          <w:i/>
          <w:color w:val="000000" w:themeColor="text1"/>
        </w:rPr>
        <w:t>id</w:t>
      </w:r>
      <w:r>
        <w:rPr>
          <w:color w:val="000000" w:themeColor="text1"/>
        </w:rPr>
        <w:t xml:space="preserve">.  </w:t>
      </w:r>
    </w:p>
  </w:footnote>
  <w:footnote w:id="23">
    <w:p w14:paraId="3AD9C3F4" w14:textId="77777777" w:rsidR="00D74A6B" w:rsidRPr="00D67587" w:rsidRDefault="00D74A6B" w:rsidP="00274A5F">
      <w:pPr>
        <w:pStyle w:val="FootnoteText"/>
      </w:pPr>
      <w:r w:rsidRPr="00D67587">
        <w:rPr>
          <w:rStyle w:val="FootnoteReference"/>
        </w:rPr>
        <w:footnoteRef/>
      </w:r>
      <w:r w:rsidRPr="00D67587">
        <w:t xml:space="preserve"> </w:t>
      </w:r>
      <w:r w:rsidRPr="00D67587">
        <w:rPr>
          <w:i/>
        </w:rPr>
        <w:t>See Washington Metro. Area Transit Comm’n v. Holiday Tours, Inc.</w:t>
      </w:r>
      <w:r w:rsidRPr="00D67587">
        <w:t>, 559 F.2d 841, 843 (D.C. Cir. 1977) (</w:t>
      </w:r>
      <w:r w:rsidRPr="00D67587">
        <w:rPr>
          <w:i/>
        </w:rPr>
        <w:t>Holiday Tours</w:t>
      </w:r>
      <w:r w:rsidRPr="00D67587">
        <w:t xml:space="preserve">); </w:t>
      </w:r>
      <w:r w:rsidRPr="00D67587">
        <w:rPr>
          <w:i/>
        </w:rPr>
        <w:t>Virginia Petroleum Jobbers Ass’n v. Federal Power Comm’n</w:t>
      </w:r>
      <w:r w:rsidRPr="00D67587">
        <w:t>, 259 F.2d 921, 925 (D.C. Cir. 1958) (</w:t>
      </w:r>
      <w:r w:rsidRPr="00D67587">
        <w:rPr>
          <w:i/>
        </w:rPr>
        <w:t>VA Petroleum Jobbers</w:t>
      </w:r>
      <w:r w:rsidRPr="00D67587">
        <w:t>).</w:t>
      </w:r>
    </w:p>
  </w:footnote>
  <w:footnote w:id="24">
    <w:p w14:paraId="0D2DFFCD" w14:textId="07C48780" w:rsidR="00D74A6B" w:rsidRDefault="00D74A6B">
      <w:pPr>
        <w:pStyle w:val="FootnoteText"/>
      </w:pPr>
      <w:r>
        <w:rPr>
          <w:rStyle w:val="FootnoteReference"/>
        </w:rPr>
        <w:footnoteRef/>
      </w:r>
      <w:r>
        <w:t xml:space="preserve"> Stay Motion at 5-6; </w:t>
      </w:r>
      <w:r>
        <w:rPr>
          <w:color w:val="000000" w:themeColor="text1"/>
        </w:rPr>
        <w:t xml:space="preserve">Second Reconsideration </w:t>
      </w:r>
      <w:r w:rsidRPr="00333BB5">
        <w:rPr>
          <w:color w:val="000000" w:themeColor="text1"/>
        </w:rPr>
        <w:t>Petition</w:t>
      </w:r>
      <w:r>
        <w:t xml:space="preserve"> at 3-5.  </w:t>
      </w:r>
      <w:r w:rsidRPr="00176214">
        <w:rPr>
          <w:i/>
          <w:color w:val="000000" w:themeColor="text1"/>
          <w:shd w:val="clear" w:color="auto" w:fill="FFFFFF"/>
        </w:rPr>
        <w:t>See</w:t>
      </w:r>
      <w:r w:rsidRPr="00176214">
        <w:rPr>
          <w:color w:val="000000" w:themeColor="text1"/>
          <w:shd w:val="clear" w:color="auto" w:fill="FFFFFF"/>
        </w:rPr>
        <w:t xml:space="preserve"> 47 C.F.R. § 1.429(b)</w:t>
      </w:r>
      <w:r>
        <w:rPr>
          <w:color w:val="000000" w:themeColor="text1"/>
          <w:shd w:val="clear" w:color="auto" w:fill="FFFFFF"/>
        </w:rPr>
        <w:t xml:space="preserve"> (</w:t>
      </w:r>
      <w:r w:rsidRPr="00176214">
        <w:rPr>
          <w:color w:val="000000" w:themeColor="text1"/>
          <w:shd w:val="clear" w:color="auto" w:fill="FFFFFF"/>
        </w:rPr>
        <w:t>a petition for reconsideration which relies on facts or arguments which have not previously been presented to the Commission will be granted only under certain circumstances</w:t>
      </w:r>
      <w:r>
        <w:rPr>
          <w:color w:val="000000" w:themeColor="text1"/>
          <w:shd w:val="clear" w:color="auto" w:fill="FFFFFF"/>
        </w:rPr>
        <w:t>)</w:t>
      </w:r>
      <w:r w:rsidRPr="00176214">
        <w:rPr>
          <w:color w:val="000000" w:themeColor="text1"/>
          <w:shd w:val="clear" w:color="auto" w:fill="FFFFFF"/>
        </w:rPr>
        <w:t>.</w:t>
      </w:r>
    </w:p>
  </w:footnote>
  <w:footnote w:id="25">
    <w:p w14:paraId="1B02A862" w14:textId="2CDEFE4D" w:rsidR="00D74A6B" w:rsidRPr="00333BB5" w:rsidRDefault="00D74A6B" w:rsidP="007B745A">
      <w:pPr>
        <w:pStyle w:val="FootnoteText"/>
        <w:widowControl w:val="0"/>
        <w:rPr>
          <w:color w:val="000000" w:themeColor="text1"/>
        </w:rPr>
      </w:pPr>
      <w:r w:rsidRPr="00176214">
        <w:rPr>
          <w:rStyle w:val="FootnoteReference"/>
          <w:color w:val="000000" w:themeColor="text1"/>
        </w:rPr>
        <w:footnoteRef/>
      </w:r>
      <w:r w:rsidRPr="00176214">
        <w:rPr>
          <w:color w:val="000000" w:themeColor="text1"/>
        </w:rPr>
        <w:t xml:space="preserve"> </w:t>
      </w:r>
      <w:r w:rsidRPr="00176214">
        <w:rPr>
          <w:i/>
          <w:color w:val="000000" w:themeColor="text1"/>
        </w:rPr>
        <w:t>Reconsideration</w:t>
      </w:r>
      <w:r>
        <w:rPr>
          <w:i/>
          <w:color w:val="000000" w:themeColor="text1"/>
        </w:rPr>
        <w:t xml:space="preserve"> Order</w:t>
      </w:r>
      <w:r w:rsidRPr="00176214">
        <w:rPr>
          <w:color w:val="000000" w:themeColor="text1"/>
        </w:rPr>
        <w:t>, 30 FCC Rcd at 6672-73, para. 59</w:t>
      </w:r>
      <w:r>
        <w:rPr>
          <w:color w:val="000000" w:themeColor="text1"/>
        </w:rPr>
        <w:t xml:space="preserve">.  While Videohouse and Abacus point to various communications they claim they made prior to the adoption of the </w:t>
      </w:r>
      <w:r>
        <w:rPr>
          <w:i/>
          <w:color w:val="000000" w:themeColor="text1"/>
        </w:rPr>
        <w:t>Incentive Auction R&amp;</w:t>
      </w:r>
      <w:r w:rsidRPr="00BC48C5">
        <w:rPr>
          <w:i/>
          <w:color w:val="000000" w:themeColor="text1"/>
        </w:rPr>
        <w:t>O</w:t>
      </w:r>
      <w:r>
        <w:rPr>
          <w:color w:val="000000" w:themeColor="text1"/>
        </w:rPr>
        <w:t xml:space="preserve">, these communications either were not filed in the record until later or did not pertain to </w:t>
      </w:r>
      <w:r w:rsidRPr="002C0FF5">
        <w:t>out-of-core Class A-eligible LPTV stations</w:t>
      </w:r>
      <w:r>
        <w:rPr>
          <w:color w:val="000000" w:themeColor="text1"/>
        </w:rPr>
        <w:t xml:space="preserve">.  </w:t>
      </w:r>
      <w:r w:rsidRPr="00176214">
        <w:rPr>
          <w:color w:val="000000" w:themeColor="text1"/>
        </w:rPr>
        <w:t xml:space="preserve">Videohouse </w:t>
      </w:r>
      <w:r>
        <w:rPr>
          <w:color w:val="000000" w:themeColor="text1"/>
        </w:rPr>
        <w:t xml:space="preserve">Eligibility Petition </w:t>
      </w:r>
      <w:r w:rsidRPr="00176214">
        <w:rPr>
          <w:color w:val="000000" w:themeColor="text1"/>
        </w:rPr>
        <w:t>at 3-4</w:t>
      </w:r>
      <w:r>
        <w:rPr>
          <w:color w:val="000000" w:themeColor="text1"/>
        </w:rPr>
        <w:t>;</w:t>
      </w:r>
      <w:r w:rsidRPr="00333BB5">
        <w:rPr>
          <w:color w:val="000000" w:themeColor="text1"/>
        </w:rPr>
        <w:t xml:space="preserve"> Abacus Eligibility Petition at 2 n.1.  </w:t>
      </w:r>
      <w:r w:rsidRPr="00333BB5">
        <w:rPr>
          <w:i/>
          <w:color w:val="000000" w:themeColor="text1"/>
        </w:rPr>
        <w:t xml:space="preserve">See </w:t>
      </w:r>
      <w:r w:rsidRPr="00333BB5">
        <w:rPr>
          <w:color w:val="000000" w:themeColor="text1"/>
        </w:rPr>
        <w:t>47 C.F.R. § 1.7 (“d</w:t>
      </w:r>
      <w:r w:rsidRPr="00333BB5">
        <w:rPr>
          <w:color w:val="252525"/>
        </w:rPr>
        <w:t>ocuments are considered to be filed with the Commission upon their receipt at the location designated by the Commission”)</w:t>
      </w:r>
      <w:r w:rsidRPr="00333BB5">
        <w:rPr>
          <w:color w:val="000000" w:themeColor="text1"/>
        </w:rPr>
        <w:t xml:space="preserve">.   </w:t>
      </w:r>
    </w:p>
  </w:footnote>
  <w:footnote w:id="26">
    <w:p w14:paraId="6EE179DF" w14:textId="0D11EDA6" w:rsidR="00D74A6B" w:rsidRPr="00176214" w:rsidRDefault="00D74A6B" w:rsidP="007B745A">
      <w:pPr>
        <w:pStyle w:val="FootnoteText"/>
        <w:widowControl w:val="0"/>
        <w:rPr>
          <w:color w:val="000000" w:themeColor="text1"/>
        </w:rPr>
      </w:pPr>
      <w:r w:rsidRPr="00333BB5">
        <w:rPr>
          <w:rStyle w:val="FootnoteReference"/>
          <w:color w:val="000000" w:themeColor="text1"/>
        </w:rPr>
        <w:footnoteRef/>
      </w:r>
      <w:r w:rsidRPr="00333BB5">
        <w:rPr>
          <w:color w:val="000000" w:themeColor="text1"/>
        </w:rPr>
        <w:t xml:space="preserve"> </w:t>
      </w:r>
      <w:r>
        <w:rPr>
          <w:color w:val="000000" w:themeColor="text1"/>
        </w:rPr>
        <w:t xml:space="preserve">Stay Motion at 6.  </w:t>
      </w:r>
      <w:r w:rsidRPr="00333BB5">
        <w:rPr>
          <w:i/>
          <w:color w:val="000000" w:themeColor="text1"/>
        </w:rPr>
        <w:t>See</w:t>
      </w:r>
      <w:r w:rsidRPr="00333BB5">
        <w:rPr>
          <w:color w:val="000000" w:themeColor="text1"/>
        </w:rPr>
        <w:t xml:space="preserve"> </w:t>
      </w:r>
      <w:r>
        <w:rPr>
          <w:color w:val="000000" w:themeColor="text1"/>
        </w:rPr>
        <w:t xml:space="preserve">Second Reconsideration </w:t>
      </w:r>
      <w:r w:rsidRPr="00333BB5">
        <w:rPr>
          <w:color w:val="000000" w:themeColor="text1"/>
        </w:rPr>
        <w:t xml:space="preserve">Petition at 4 n.10.   </w:t>
      </w:r>
    </w:p>
  </w:footnote>
  <w:footnote w:id="27">
    <w:p w14:paraId="4D3E1226" w14:textId="6FD80242" w:rsidR="00D74A6B" w:rsidRDefault="00D74A6B">
      <w:pPr>
        <w:pStyle w:val="FootnoteText"/>
      </w:pPr>
      <w:r>
        <w:rPr>
          <w:rStyle w:val="FootnoteReference"/>
        </w:rPr>
        <w:footnoteRef/>
      </w:r>
      <w:r>
        <w:t xml:space="preserve"> </w:t>
      </w:r>
      <w:r w:rsidRPr="00825C6E">
        <w:rPr>
          <w:i/>
        </w:rPr>
        <w:t>See supra</w:t>
      </w:r>
      <w:r>
        <w:t xml:space="preserve"> n.2</w:t>
      </w:r>
      <w:r w:rsidR="00ED0BAC">
        <w:t>3</w:t>
      </w:r>
      <w:r>
        <w:t>.</w:t>
      </w:r>
    </w:p>
  </w:footnote>
  <w:footnote w:id="28">
    <w:p w14:paraId="20391A0C" w14:textId="52C6DCAE" w:rsidR="00D74A6B" w:rsidRDefault="00D74A6B">
      <w:pPr>
        <w:pStyle w:val="FootnoteText"/>
      </w:pPr>
      <w:r>
        <w:rPr>
          <w:rStyle w:val="FootnoteReference"/>
        </w:rPr>
        <w:footnoteRef/>
      </w:r>
      <w:r>
        <w:t xml:space="preserve"> </w:t>
      </w:r>
      <w:r w:rsidRPr="006E40EA">
        <w:rPr>
          <w:i/>
          <w:color w:val="000000" w:themeColor="text1"/>
        </w:rPr>
        <w:t xml:space="preserve">See </w:t>
      </w:r>
      <w:r>
        <w:rPr>
          <w:color w:val="000000" w:themeColor="text1"/>
        </w:rPr>
        <w:t xml:space="preserve">47 C.F.R. § 1.429(i) </w:t>
      </w:r>
      <w:r w:rsidRPr="00585176">
        <w:rPr>
          <w:color w:val="252525"/>
        </w:rPr>
        <w:t>(providing that an “order addressing a petition for reconsideration which modifies rules adopted by the original order is, to the extent of such modification, subject to reconsideration,” but that, except in such circumstance, “a second petition for reconsideration may be dismissed by the staff as repetitious” and that “[i]n no event shall a ruling which denies a petition for reconsideration be considered a modification of the original order”)</w:t>
      </w:r>
      <w:r>
        <w:rPr>
          <w:color w:val="252525"/>
        </w:rPr>
        <w:t>.</w:t>
      </w:r>
    </w:p>
  </w:footnote>
  <w:footnote w:id="29">
    <w:p w14:paraId="3655A35A" w14:textId="77777777" w:rsidR="009B0DEE" w:rsidRDefault="009B0DEE" w:rsidP="009B0DEE">
      <w:pPr>
        <w:pStyle w:val="FootnoteText"/>
      </w:pPr>
      <w:r>
        <w:rPr>
          <w:rStyle w:val="FootnoteReference"/>
        </w:rPr>
        <w:footnoteRef/>
      </w:r>
      <w:r>
        <w:t xml:space="preserve"> </w:t>
      </w:r>
      <w:r>
        <w:rPr>
          <w:color w:val="000000" w:themeColor="text1"/>
        </w:rPr>
        <w:t xml:space="preserve">Stay Motion at 6.  </w:t>
      </w:r>
      <w:r w:rsidRPr="007E0C7D">
        <w:rPr>
          <w:i/>
          <w:color w:val="000000" w:themeColor="text1"/>
        </w:rPr>
        <w:t>See</w:t>
      </w:r>
      <w:r>
        <w:rPr>
          <w:color w:val="000000" w:themeColor="text1"/>
        </w:rPr>
        <w:t xml:space="preserve"> Second Reconsideration </w:t>
      </w:r>
      <w:r w:rsidRPr="00862E1E">
        <w:rPr>
          <w:color w:val="000000" w:themeColor="text1"/>
        </w:rPr>
        <w:t>Petition</w:t>
      </w:r>
      <w:r>
        <w:rPr>
          <w:color w:val="000000" w:themeColor="text1"/>
        </w:rPr>
        <w:t xml:space="preserve"> at 5-7.  </w:t>
      </w:r>
    </w:p>
  </w:footnote>
  <w:footnote w:id="30">
    <w:p w14:paraId="0E687363" w14:textId="77777777" w:rsidR="009B0DEE" w:rsidRPr="004E22CC" w:rsidRDefault="009B0DEE" w:rsidP="009B0DEE">
      <w:pPr>
        <w:pStyle w:val="FootnoteText"/>
        <w:widowControl w:val="0"/>
      </w:pPr>
      <w:r>
        <w:rPr>
          <w:rStyle w:val="FootnoteReference"/>
        </w:rPr>
        <w:footnoteRef/>
      </w:r>
      <w:r>
        <w:t xml:space="preserve"> </w:t>
      </w:r>
      <w:r w:rsidRPr="006A65BD">
        <w:t xml:space="preserve">In the </w:t>
      </w:r>
      <w:r w:rsidRPr="001913DC">
        <w:rPr>
          <w:i/>
        </w:rPr>
        <w:t>Reconsideration Order</w:t>
      </w:r>
      <w:r w:rsidRPr="006A65BD">
        <w:t xml:space="preserve">, </w:t>
      </w:r>
      <w:r>
        <w:t>the Commission e</w:t>
      </w:r>
      <w:r w:rsidRPr="006A65BD">
        <w:t xml:space="preserve">xplained that KHTV-CD and </w:t>
      </w:r>
      <w:r>
        <w:t xml:space="preserve">each of </w:t>
      </w:r>
      <w:r w:rsidRPr="006A65BD">
        <w:t xml:space="preserve">the other stations in the protected group had filed an application for a </w:t>
      </w:r>
      <w:r w:rsidRPr="00277D9D">
        <w:t>Class A construction permit (FCC Form 302-CA) with the Commission before February 22, 2012.</w:t>
      </w:r>
      <w:r>
        <w:t xml:space="preserve">  </w:t>
      </w:r>
      <w:r w:rsidRPr="00C8116D">
        <w:rPr>
          <w:i/>
        </w:rPr>
        <w:t>See</w:t>
      </w:r>
      <w:r w:rsidRPr="00743A3A">
        <w:t xml:space="preserve"> </w:t>
      </w:r>
      <w:r w:rsidRPr="004E22CC">
        <w:rPr>
          <w:i/>
          <w:color w:val="000000" w:themeColor="text1"/>
        </w:rPr>
        <w:t>Reconsideration Order</w:t>
      </w:r>
      <w:r w:rsidRPr="004E22CC">
        <w:rPr>
          <w:color w:val="000000" w:themeColor="text1"/>
        </w:rPr>
        <w:t>, 30 FCC Rcd at 6673-74, para. 60, 6774-75, para. 62.</w:t>
      </w:r>
      <w:r>
        <w:rPr>
          <w:color w:val="000000" w:themeColor="text1"/>
        </w:rPr>
        <w:t xml:space="preserve">  </w:t>
      </w:r>
      <w:r>
        <w:t>That</w:t>
      </w:r>
      <w:r w:rsidRPr="00277D9D">
        <w:t xml:space="preserve"> application requires the applicant to certify that it </w:t>
      </w:r>
      <w:r w:rsidRPr="001913DC">
        <w:rPr>
          <w:color w:val="000000"/>
        </w:rPr>
        <w:t>“does, and will continue to” meet all Class A requirements</w:t>
      </w:r>
      <w:r w:rsidRPr="00277D9D">
        <w:t xml:space="preserve"> and applicable full power requirements.</w:t>
      </w:r>
      <w:r>
        <w:t xml:space="preserve">  </w:t>
      </w:r>
      <w:r w:rsidRPr="004E22CC">
        <w:rPr>
          <w:i/>
        </w:rPr>
        <w:t xml:space="preserve">See id. </w:t>
      </w:r>
      <w:r w:rsidRPr="004E22CC">
        <w:t xml:space="preserve">at </w:t>
      </w:r>
      <w:r w:rsidRPr="004E22CC">
        <w:rPr>
          <w:color w:val="000000" w:themeColor="text1"/>
        </w:rPr>
        <w:t>6774-75, para. 62.</w:t>
      </w:r>
      <w:r>
        <w:rPr>
          <w:color w:val="000000" w:themeColor="text1"/>
        </w:rPr>
        <w:t xml:space="preserve">  </w:t>
      </w:r>
      <w:r w:rsidRPr="001913DC">
        <w:rPr>
          <w:color w:val="000000"/>
        </w:rPr>
        <w:t>The form provides that willful false statements made in the application are subject to significant penalties.</w:t>
      </w:r>
      <w:r>
        <w:rPr>
          <w:color w:val="000000"/>
        </w:rPr>
        <w:t xml:space="preserve">  </w:t>
      </w:r>
      <w:r w:rsidRPr="004E22CC">
        <w:rPr>
          <w:i/>
        </w:rPr>
        <w:t>See</w:t>
      </w:r>
      <w:r w:rsidRPr="004E22CC">
        <w:t xml:space="preserve"> </w:t>
      </w:r>
      <w:r w:rsidRPr="004E22CC">
        <w:rPr>
          <w:color w:val="000000" w:themeColor="text1"/>
        </w:rPr>
        <w:t xml:space="preserve">FCC Form 302-CA, page 6 </w:t>
      </w:r>
      <w:r w:rsidRPr="004E22CC">
        <w:t xml:space="preserve">(“Willful False Statements on this Form Are Punishable by Fine and/or Imprisonment (U.S. Code, Title 18, Section 1001), and/or Revocation of Any Station License or Construction Permit (U.S. Code, Title 47, Section 312(a)(1)), and/or Forfeiture (U.S. Code, Title 47, Section 503)”).  </w:t>
      </w:r>
      <w:r w:rsidRPr="004E22CC">
        <w:rPr>
          <w:i/>
        </w:rPr>
        <w:t>See also</w:t>
      </w:r>
      <w:r w:rsidRPr="004E22CC">
        <w:t xml:space="preserve"> </w:t>
      </w:r>
      <w:r w:rsidRPr="004E22CC">
        <w:rPr>
          <w:color w:val="000000"/>
        </w:rPr>
        <w:t>47 C.F.R. §§ 73.1015; 73.3513.</w:t>
      </w:r>
      <w:r>
        <w:rPr>
          <w:color w:val="000000"/>
        </w:rPr>
        <w:t xml:space="preserve">  </w:t>
      </w:r>
      <w:r w:rsidRPr="001913DC">
        <w:rPr>
          <w:color w:val="000000"/>
        </w:rPr>
        <w:t>T</w:t>
      </w:r>
      <w:r w:rsidRPr="00277D9D">
        <w:t xml:space="preserve">hus, as of February 22, 2012, the </w:t>
      </w:r>
      <w:r>
        <w:t xml:space="preserve">protected </w:t>
      </w:r>
      <w:r w:rsidRPr="00277D9D">
        <w:t xml:space="preserve">stations </w:t>
      </w:r>
      <w:r>
        <w:t xml:space="preserve">had demonstrated that they </w:t>
      </w:r>
      <w:r w:rsidRPr="00277D9D">
        <w:t>were operating like Class A stations.</w:t>
      </w:r>
      <w:r w:rsidRPr="004E22CC">
        <w:t xml:space="preserve"> </w:t>
      </w:r>
    </w:p>
  </w:footnote>
  <w:footnote w:id="31">
    <w:p w14:paraId="581F5F93" w14:textId="77777777" w:rsidR="009B0DEE" w:rsidRPr="00684080" w:rsidRDefault="009B0DEE" w:rsidP="009B0DEE">
      <w:pPr>
        <w:spacing w:after="120"/>
        <w:rPr>
          <w:snapToGrid/>
          <w:kern w:val="0"/>
          <w:sz w:val="20"/>
        </w:rPr>
      </w:pPr>
      <w:r w:rsidRPr="00684080">
        <w:rPr>
          <w:rStyle w:val="FootnoteReference"/>
          <w:color w:val="000000" w:themeColor="text1"/>
        </w:rPr>
        <w:footnoteRef/>
      </w:r>
      <w:r w:rsidRPr="00684080">
        <w:rPr>
          <w:i/>
          <w:color w:val="000000" w:themeColor="text1"/>
          <w:sz w:val="20"/>
        </w:rPr>
        <w:t xml:space="preserve"> </w:t>
      </w:r>
      <w:r w:rsidRPr="00684080">
        <w:rPr>
          <w:color w:val="000000" w:themeColor="text1"/>
          <w:sz w:val="20"/>
        </w:rPr>
        <w:t xml:space="preserve">47 U.S.C. § 1452(b)(2).  </w:t>
      </w:r>
      <w:r w:rsidRPr="00684080">
        <w:rPr>
          <w:i/>
          <w:color w:val="000000" w:themeColor="text1"/>
          <w:sz w:val="20"/>
        </w:rPr>
        <w:t>See Incentive Auction R&amp;O</w:t>
      </w:r>
      <w:r w:rsidRPr="00684080">
        <w:rPr>
          <w:color w:val="000000" w:themeColor="text1"/>
          <w:sz w:val="20"/>
        </w:rPr>
        <w:t xml:space="preserve">, 29 FCC Rcd at </w:t>
      </w:r>
      <w:r>
        <w:rPr>
          <w:color w:val="000000" w:themeColor="text1"/>
          <w:sz w:val="20"/>
        </w:rPr>
        <w:t>6652-53</w:t>
      </w:r>
      <w:r w:rsidRPr="00684080">
        <w:rPr>
          <w:color w:val="000000" w:themeColor="text1"/>
          <w:sz w:val="20"/>
        </w:rPr>
        <w:t>, para. 186 (</w:t>
      </w:r>
      <w:r>
        <w:rPr>
          <w:color w:val="000000" w:themeColor="text1"/>
          <w:sz w:val="20"/>
        </w:rPr>
        <w:t>“</w:t>
      </w:r>
      <w:r w:rsidRPr="00684080">
        <w:rPr>
          <w:snapToGrid/>
          <w:kern w:val="0"/>
          <w:sz w:val="20"/>
        </w:rPr>
        <w:t xml:space="preserve">The statutory mandate to make all reasonable </w:t>
      </w:r>
      <w:r>
        <w:rPr>
          <w:snapToGrid/>
          <w:kern w:val="0"/>
          <w:sz w:val="20"/>
        </w:rPr>
        <w:t>efforts to ‘preserve’ coverage area and population ‘served’</w:t>
      </w:r>
      <w:r w:rsidRPr="00684080">
        <w:rPr>
          <w:snapToGrid/>
          <w:kern w:val="0"/>
          <w:sz w:val="20"/>
        </w:rPr>
        <w:t xml:space="preserve"> as of a date certain (February 22, 2012) clearly reflects a Congressional intent to protect or maintain facilities operating on this date.</w:t>
      </w:r>
      <w:r>
        <w:rPr>
          <w:snapToGrid/>
          <w:kern w:val="0"/>
          <w:sz w:val="20"/>
        </w:rPr>
        <w:t>”</w:t>
      </w:r>
      <w:r>
        <w:rPr>
          <w:color w:val="000000" w:themeColor="text1"/>
        </w:rPr>
        <w:t>).</w:t>
      </w:r>
      <w:r w:rsidRPr="00176214">
        <w:rPr>
          <w:color w:val="000000" w:themeColor="text1"/>
        </w:rPr>
        <w:t xml:space="preserve">  </w:t>
      </w:r>
    </w:p>
  </w:footnote>
  <w:footnote w:id="32">
    <w:p w14:paraId="46A27699" w14:textId="77777777" w:rsidR="009B0DEE" w:rsidRDefault="009B0DEE" w:rsidP="009B0DEE">
      <w:pPr>
        <w:pStyle w:val="FootnoteText"/>
        <w:widowControl w:val="0"/>
      </w:pPr>
      <w:r>
        <w:rPr>
          <w:rStyle w:val="FootnoteReference"/>
        </w:rPr>
        <w:footnoteRef/>
      </w:r>
      <w:r>
        <w:t xml:space="preserve"> </w:t>
      </w:r>
      <w:r w:rsidRPr="004E22CC">
        <w:rPr>
          <w:i/>
          <w:color w:val="000000" w:themeColor="text1"/>
        </w:rPr>
        <w:t>Reconsideration Order</w:t>
      </w:r>
      <w:r w:rsidRPr="004E22CC">
        <w:rPr>
          <w:color w:val="000000" w:themeColor="text1"/>
        </w:rPr>
        <w:t>, 30 FCC Rcd at 6774-75, para. 62</w:t>
      </w:r>
      <w:r>
        <w:t xml:space="preserve">.  </w:t>
      </w:r>
      <w:r w:rsidRPr="001A6B43">
        <w:rPr>
          <w:i/>
          <w:color w:val="000000" w:themeColor="text1"/>
        </w:rPr>
        <w:t xml:space="preserve">See </w:t>
      </w:r>
      <w:r>
        <w:rPr>
          <w:i/>
          <w:color w:val="000000" w:themeColor="text1"/>
        </w:rPr>
        <w:t>B</w:t>
      </w:r>
      <w:r w:rsidRPr="001A6B43">
        <w:rPr>
          <w:i/>
          <w:color w:val="000000" w:themeColor="text1"/>
        </w:rPr>
        <w:t>lanca Tel. Co. v. FCC</w:t>
      </w:r>
      <w:r>
        <w:rPr>
          <w:color w:val="000000" w:themeColor="text1"/>
        </w:rPr>
        <w:t xml:space="preserve">, 743 F.3d 860, 865-66 (D.C. Cir. 2014) (concluding that the Commission </w:t>
      </w:r>
      <w:r>
        <w:t>reasonably differentiated among the parties on the basis of their relative diligence in coming into compliance with hearing aid compatibility requirements).</w:t>
      </w:r>
      <w:r>
        <w:rPr>
          <w:color w:val="000000" w:themeColor="text1"/>
        </w:rPr>
        <w:t xml:space="preserve">  </w:t>
      </w:r>
    </w:p>
  </w:footnote>
  <w:footnote w:id="33">
    <w:p w14:paraId="61ACB082" w14:textId="77777777" w:rsidR="009B0DEE" w:rsidRDefault="009B0DEE" w:rsidP="009B0DEE">
      <w:pPr>
        <w:pStyle w:val="FootnoteText"/>
      </w:pPr>
      <w:r>
        <w:rPr>
          <w:rStyle w:val="FootnoteReference"/>
        </w:rPr>
        <w:footnoteRef/>
      </w:r>
      <w:r>
        <w:t xml:space="preserve"> 47 U.S.C. </w:t>
      </w:r>
      <w:r w:rsidRPr="00CF0D1E">
        <w:t xml:space="preserve">§ </w:t>
      </w:r>
      <w:r>
        <w:t>1401</w:t>
      </w:r>
      <w:r w:rsidRPr="00CF0D1E">
        <w:t>(6)</w:t>
      </w:r>
      <w:r>
        <w:t xml:space="preserve"> (defining </w:t>
      </w:r>
      <w:r w:rsidRPr="005842F0">
        <w:t xml:space="preserve">“broadcast television licensee” </w:t>
      </w:r>
      <w:r>
        <w:t>a</w:t>
      </w:r>
      <w:r w:rsidRPr="005842F0">
        <w:t xml:space="preserve">s the “licensee of—(A) a full-power television station; or (B) a low-power television station that has been accorded primary status as a Class A television licensee” under section 73.6001(a) of the Commission’s </w:t>
      </w:r>
      <w:r>
        <w:t>R</w:t>
      </w:r>
      <w:r w:rsidRPr="005842F0">
        <w:t>ules</w:t>
      </w:r>
      <w:r>
        <w:t>)</w:t>
      </w:r>
      <w:r w:rsidRPr="00CF0D1E">
        <w:t>,</w:t>
      </w:r>
    </w:p>
  </w:footnote>
  <w:footnote w:id="34">
    <w:p w14:paraId="38FC5EC4" w14:textId="77777777" w:rsidR="009B0DEE" w:rsidRDefault="009B0DEE" w:rsidP="009B0DEE">
      <w:pPr>
        <w:pStyle w:val="FootnoteText"/>
        <w:widowControl w:val="0"/>
      </w:pPr>
      <w:r>
        <w:rPr>
          <w:rStyle w:val="FootnoteReference"/>
        </w:rPr>
        <w:footnoteRef/>
      </w:r>
      <w:r>
        <w:t xml:space="preserve"> </w:t>
      </w:r>
      <w:r w:rsidRPr="001012B4">
        <w:rPr>
          <w:i/>
        </w:rPr>
        <w:t>Incentive Auction R&amp;O</w:t>
      </w:r>
      <w:r w:rsidRPr="001012B4">
        <w:t>, 29 FCC Rcd</w:t>
      </w:r>
      <w:r w:rsidRPr="001012B4">
        <w:rPr>
          <w:i/>
        </w:rPr>
        <w:t xml:space="preserve"> </w:t>
      </w:r>
      <w:r w:rsidRPr="001012B4">
        <w:t xml:space="preserve">at </w:t>
      </w:r>
      <w:r>
        <w:t>6672-75</w:t>
      </w:r>
      <w:r w:rsidRPr="001012B4">
        <w:t>, para</w:t>
      </w:r>
      <w:r>
        <w:t>s</w:t>
      </w:r>
      <w:r w:rsidRPr="001012B4">
        <w:t xml:space="preserve">. </w:t>
      </w:r>
      <w:r>
        <w:t>237-</w:t>
      </w:r>
      <w:r w:rsidRPr="001012B4">
        <w:t>241</w:t>
      </w:r>
      <w:r>
        <w:t xml:space="preserve">.  </w:t>
      </w:r>
      <w:r w:rsidRPr="00CF7B89">
        <w:rPr>
          <w:i/>
        </w:rPr>
        <w:t>See also</w:t>
      </w:r>
      <w:r>
        <w:t xml:space="preserve"> </w:t>
      </w:r>
      <w:r w:rsidRPr="00743A3A">
        <w:rPr>
          <w:i/>
          <w:color w:val="000000" w:themeColor="text1"/>
        </w:rPr>
        <w:t>Reconsideration Order</w:t>
      </w:r>
      <w:r w:rsidRPr="00743A3A">
        <w:rPr>
          <w:color w:val="000000" w:themeColor="text1"/>
        </w:rPr>
        <w:t>, 30 FCC Rcd at 677</w:t>
      </w:r>
      <w:r>
        <w:rPr>
          <w:color w:val="000000" w:themeColor="text1"/>
        </w:rPr>
        <w:t>7</w:t>
      </w:r>
      <w:r w:rsidRPr="00743A3A">
        <w:rPr>
          <w:color w:val="000000" w:themeColor="text1"/>
        </w:rPr>
        <w:t>-7</w:t>
      </w:r>
      <w:r>
        <w:rPr>
          <w:color w:val="000000" w:themeColor="text1"/>
        </w:rPr>
        <w:t>9</w:t>
      </w:r>
      <w:r w:rsidRPr="00743A3A">
        <w:rPr>
          <w:color w:val="000000" w:themeColor="text1"/>
        </w:rPr>
        <w:t>, para</w:t>
      </w:r>
      <w:r>
        <w:rPr>
          <w:color w:val="000000" w:themeColor="text1"/>
        </w:rPr>
        <w:t>s</w:t>
      </w:r>
      <w:r w:rsidRPr="00743A3A">
        <w:rPr>
          <w:color w:val="000000" w:themeColor="text1"/>
        </w:rPr>
        <w:t xml:space="preserve">. </w:t>
      </w:r>
      <w:r>
        <w:rPr>
          <w:color w:val="000000" w:themeColor="text1"/>
        </w:rPr>
        <w:t>66-69.</w:t>
      </w:r>
    </w:p>
  </w:footnote>
  <w:footnote w:id="35">
    <w:p w14:paraId="36109895" w14:textId="4CB0E76A" w:rsidR="00D74A6B" w:rsidRDefault="00D74A6B" w:rsidP="00BC1D39">
      <w:pPr>
        <w:pStyle w:val="FootnoteText"/>
        <w:widowControl w:val="0"/>
      </w:pPr>
      <w:r>
        <w:rPr>
          <w:rStyle w:val="FootnoteReference"/>
        </w:rPr>
        <w:footnoteRef/>
      </w:r>
      <w:r>
        <w:t xml:space="preserve"> Stay Motion at 7.  </w:t>
      </w:r>
      <w:r w:rsidRPr="00AF5C65">
        <w:rPr>
          <w:i/>
          <w:color w:val="000000" w:themeColor="text1"/>
        </w:rPr>
        <w:t>See</w:t>
      </w:r>
      <w:r w:rsidRPr="00176214">
        <w:rPr>
          <w:color w:val="000000" w:themeColor="text1"/>
        </w:rPr>
        <w:t xml:space="preserve"> </w:t>
      </w:r>
      <w:r>
        <w:rPr>
          <w:color w:val="000000" w:themeColor="text1"/>
        </w:rPr>
        <w:t xml:space="preserve">Second Reconsideration </w:t>
      </w:r>
      <w:r w:rsidRPr="00862E1E">
        <w:rPr>
          <w:color w:val="000000" w:themeColor="text1"/>
        </w:rPr>
        <w:t>Petition</w:t>
      </w:r>
      <w:r w:rsidRPr="00176214">
        <w:rPr>
          <w:color w:val="000000" w:themeColor="text1"/>
        </w:rPr>
        <w:t xml:space="preserve"> at </w:t>
      </w:r>
      <w:r>
        <w:rPr>
          <w:color w:val="000000" w:themeColor="text1"/>
        </w:rPr>
        <w:t xml:space="preserve">8-10.  </w:t>
      </w:r>
      <w:r w:rsidRPr="00176214">
        <w:rPr>
          <w:color w:val="000000" w:themeColor="text1"/>
        </w:rPr>
        <w:t xml:space="preserve"> </w:t>
      </w:r>
    </w:p>
  </w:footnote>
  <w:footnote w:id="36">
    <w:p w14:paraId="3BC04496" w14:textId="2B4B5D6E" w:rsidR="00401671" w:rsidRPr="00A50EED" w:rsidRDefault="00401671" w:rsidP="00401671">
      <w:pPr>
        <w:pStyle w:val="FootnoteText"/>
        <w:widowControl w:val="0"/>
      </w:pPr>
      <w:r w:rsidRPr="00A50EED">
        <w:rPr>
          <w:rStyle w:val="FootnoteReference"/>
        </w:rPr>
        <w:footnoteRef/>
      </w:r>
      <w:r w:rsidRPr="00A50EED">
        <w:t xml:space="preserve"> </w:t>
      </w:r>
      <w:r>
        <w:t xml:space="preserve">The Commission did state that </w:t>
      </w:r>
      <w:r w:rsidRPr="00176214">
        <w:t>stations</w:t>
      </w:r>
      <w:r>
        <w:t xml:space="preserve"> that were entitled to mandatory protection (that is, stations that held full power or Class A licenses, or filed a license to cover a full power or Class A facility application, as of February 22, 2012) would receive protection for their modified facilities if the modification was licensed by the </w:t>
      </w:r>
      <w:r w:rsidRPr="00176214">
        <w:t>Pre-Auction Licensing Deadline.</w:t>
      </w:r>
      <w:r>
        <w:t xml:space="preserve">  </w:t>
      </w:r>
      <w:r w:rsidRPr="00A50EED">
        <w:rPr>
          <w:i/>
          <w:color w:val="000000" w:themeColor="text1"/>
        </w:rPr>
        <w:t>See Incentive Auction R&amp;O</w:t>
      </w:r>
      <w:r w:rsidRPr="00A50EED">
        <w:rPr>
          <w:color w:val="000000" w:themeColor="text1"/>
        </w:rPr>
        <w:t>, 29 FCC Rcd at</w:t>
      </w:r>
      <w:r w:rsidRPr="00A50EED">
        <w:t xml:space="preserve"> 6656, para. 195.  The Commission also </w:t>
      </w:r>
      <w:r>
        <w:t xml:space="preserve">stated </w:t>
      </w:r>
      <w:r w:rsidRPr="00A50EED">
        <w:t xml:space="preserve">that four named full power stations that held construction permits with </w:t>
      </w:r>
      <w:r>
        <w:t>pre-February 22, 2012</w:t>
      </w:r>
      <w:r w:rsidRPr="00A50EED">
        <w:t xml:space="preserve"> issuance date</w:t>
      </w:r>
      <w:r>
        <w:t>s</w:t>
      </w:r>
      <w:r w:rsidRPr="00A50EED">
        <w:t xml:space="preserve"> but </w:t>
      </w:r>
      <w:r>
        <w:t>post-February 22, 2012 expiration dates</w:t>
      </w:r>
      <w:r w:rsidRPr="00A50EED">
        <w:t xml:space="preserve"> would have to be licensed by the </w:t>
      </w:r>
      <w:r w:rsidRPr="00A50EED">
        <w:rPr>
          <w:color w:val="000000" w:themeColor="text1"/>
        </w:rPr>
        <w:t>Pre-Auction Licensing Deadline in order to be prot</w:t>
      </w:r>
      <w:r>
        <w:rPr>
          <w:color w:val="000000" w:themeColor="text1"/>
        </w:rPr>
        <w:t>ected</w:t>
      </w:r>
      <w:r w:rsidRPr="00A50EED">
        <w:rPr>
          <w:color w:val="000000" w:themeColor="text1"/>
        </w:rPr>
        <w:t xml:space="preserve">.  </w:t>
      </w:r>
      <w:r w:rsidRPr="00A50EED">
        <w:rPr>
          <w:i/>
          <w:color w:val="000000" w:themeColor="text1"/>
        </w:rPr>
        <w:t xml:space="preserve">See </w:t>
      </w:r>
      <w:r w:rsidRPr="00A50EED">
        <w:rPr>
          <w:i/>
        </w:rPr>
        <w:t>Incentive Auction R&amp;O</w:t>
      </w:r>
      <w:r w:rsidRPr="00A50EED">
        <w:t>, 29 FCC Rcd at 6656, para. 196</w:t>
      </w:r>
      <w:r>
        <w:t>, 6717, para. 353.  These circumstances did not apply to out-of-core Class A-e</w:t>
      </w:r>
      <w:r w:rsidRPr="001012B4">
        <w:t>ligible LPTV stations</w:t>
      </w:r>
      <w:r w:rsidR="00291B74">
        <w:t>, however.  The Commission</w:t>
      </w:r>
      <w:r>
        <w:t xml:space="preserve"> previously addressed why such stations</w:t>
      </w:r>
      <w:r w:rsidRPr="001012B4">
        <w:t xml:space="preserve"> are unlike the</w:t>
      </w:r>
      <w:r>
        <w:t xml:space="preserve"> four named full power stations</w:t>
      </w:r>
      <w:r w:rsidRPr="001012B4">
        <w:t xml:space="preserve">.  </w:t>
      </w:r>
      <w:r>
        <w:rPr>
          <w:i/>
        </w:rPr>
        <w:t>See I</w:t>
      </w:r>
      <w:r w:rsidRPr="001A255D">
        <w:rPr>
          <w:i/>
        </w:rPr>
        <w:t>ncentive Auction R&amp;O</w:t>
      </w:r>
      <w:r w:rsidRPr="001A255D">
        <w:t>, 29 FCC Rcd at 66</w:t>
      </w:r>
      <w:r>
        <w:t>71</w:t>
      </w:r>
      <w:r w:rsidRPr="001A255D">
        <w:t xml:space="preserve"> n.7</w:t>
      </w:r>
      <w:r>
        <w:t>25.</w:t>
      </w:r>
    </w:p>
  </w:footnote>
  <w:footnote w:id="37">
    <w:p w14:paraId="5A13FCCA" w14:textId="77777777" w:rsidR="00401671" w:rsidRPr="00A50EED" w:rsidRDefault="00401671" w:rsidP="00401671">
      <w:pPr>
        <w:pStyle w:val="FootnoteText"/>
        <w:widowControl w:val="0"/>
      </w:pPr>
      <w:r>
        <w:rPr>
          <w:rStyle w:val="FootnoteReference"/>
        </w:rPr>
        <w:footnoteRef/>
      </w:r>
      <w:r>
        <w:t xml:space="preserve"> </w:t>
      </w:r>
      <w:r w:rsidRPr="00176214">
        <w:rPr>
          <w:i/>
          <w:color w:val="000000" w:themeColor="text1"/>
        </w:rPr>
        <w:t>Incentive Auction R&amp;O</w:t>
      </w:r>
      <w:r w:rsidRPr="00176214">
        <w:rPr>
          <w:color w:val="000000" w:themeColor="text1"/>
        </w:rPr>
        <w:t>, 29 FCC Rcd</w:t>
      </w:r>
      <w:r>
        <w:rPr>
          <w:color w:val="000000" w:themeColor="text1"/>
        </w:rPr>
        <w:t xml:space="preserve"> at 6718 n.1053 (“[W]</w:t>
      </w:r>
      <w:r w:rsidRPr="00CF0D1E">
        <w:t>e will not protect</w:t>
      </w:r>
      <w:r>
        <w:t xml:space="preserve"> LPTV</w:t>
      </w:r>
      <w:r w:rsidRPr="00CF0D1E">
        <w:t xml:space="preserve"> stations that </w:t>
      </w:r>
      <w:r>
        <w:t>were</w:t>
      </w:r>
      <w:r w:rsidRPr="00CF0D1E">
        <w:t xml:space="preserve"> eligible for a Class A license but that did not file an application for such license until after February 22, 2012.  Although such </w:t>
      </w:r>
      <w:r w:rsidRPr="00A50EED">
        <w:t>entities may hold Class A licenses before the Pre-Auction Licensing Deadline, their facilities will not be protected in the repacking process, and thus the spectrum usage rights covered by such facilities will not be recognized for relinquishment.”).</w:t>
      </w:r>
    </w:p>
  </w:footnote>
  <w:footnote w:id="38">
    <w:p w14:paraId="39C2A12D" w14:textId="3283A918" w:rsidR="00370DB6" w:rsidRDefault="00370DB6">
      <w:pPr>
        <w:pStyle w:val="FootnoteText"/>
      </w:pPr>
      <w:r>
        <w:rPr>
          <w:rStyle w:val="FootnoteReference"/>
        </w:rPr>
        <w:footnoteRef/>
      </w:r>
      <w:r>
        <w:t xml:space="preserve"> </w:t>
      </w:r>
      <w:r w:rsidRPr="00381F40">
        <w:rPr>
          <w:color w:val="000000" w:themeColor="text1"/>
        </w:rPr>
        <w:t>Courts a</w:t>
      </w:r>
      <w:r w:rsidR="007E2AE3">
        <w:rPr>
          <w:color w:val="000000" w:themeColor="text1"/>
        </w:rPr>
        <w:t>re</w:t>
      </w:r>
      <w:r w:rsidRPr="00381F40">
        <w:rPr>
          <w:color w:val="000000" w:themeColor="text1"/>
        </w:rPr>
        <w:t xml:space="preserve"> “generally unwilling to review line-drawing performed by the Commission unless a petitioner can demonstrate that lines drawn . . . are patently unreasonable, having no relationship to the underlying regulatory problem.”  </w:t>
      </w:r>
      <w:r w:rsidRPr="00381F40">
        <w:rPr>
          <w:i/>
          <w:color w:val="000000" w:themeColor="text1"/>
        </w:rPr>
        <w:t>Covad Comm</w:t>
      </w:r>
      <w:r w:rsidR="007E2AE3">
        <w:rPr>
          <w:i/>
          <w:color w:val="000000" w:themeColor="text1"/>
        </w:rPr>
        <w:t>’</w:t>
      </w:r>
      <w:r w:rsidRPr="00381F40">
        <w:rPr>
          <w:i/>
          <w:color w:val="000000" w:themeColor="text1"/>
        </w:rPr>
        <w:t>s Co. v. FCC</w:t>
      </w:r>
      <w:r w:rsidRPr="00381F40">
        <w:rPr>
          <w:color w:val="000000" w:themeColor="text1"/>
        </w:rPr>
        <w:t xml:space="preserve">, 450 F.3d 528, 541 (D.C. Cir. 2006) (quoting </w:t>
      </w:r>
      <w:r w:rsidRPr="007E2AE3">
        <w:rPr>
          <w:i/>
          <w:color w:val="000000" w:themeColor="text1"/>
        </w:rPr>
        <w:t>Cassell v. FCC</w:t>
      </w:r>
      <w:r w:rsidRPr="00381F40">
        <w:rPr>
          <w:color w:val="000000" w:themeColor="text1"/>
        </w:rPr>
        <w:t xml:space="preserve">, 154 F.3d 478, 485 (D.C. Cir. 1998)); </w:t>
      </w:r>
      <w:r w:rsidRPr="00381F40">
        <w:rPr>
          <w:i/>
          <w:color w:val="000000" w:themeColor="text1"/>
        </w:rPr>
        <w:t>see also NASUCA v. FCC</w:t>
      </w:r>
      <w:r w:rsidRPr="00381F40">
        <w:rPr>
          <w:color w:val="000000" w:themeColor="text1"/>
        </w:rPr>
        <w:t>, 372 F.3d 454, 461 (D.C. Cir. 2004).</w:t>
      </w:r>
    </w:p>
  </w:footnote>
  <w:footnote w:id="39">
    <w:p w14:paraId="35299C02" w14:textId="58727F57" w:rsidR="002450A9" w:rsidRPr="002450A9" w:rsidRDefault="002450A9">
      <w:pPr>
        <w:pStyle w:val="FootnoteText"/>
      </w:pPr>
      <w:r>
        <w:rPr>
          <w:rStyle w:val="FootnoteReference"/>
        </w:rPr>
        <w:footnoteRef/>
      </w:r>
      <w:r>
        <w:t xml:space="preserve"> Stay Motion at 7; </w:t>
      </w:r>
      <w:r>
        <w:rPr>
          <w:i/>
        </w:rPr>
        <w:t>see Incentive Auction R&amp;O</w:t>
      </w:r>
      <w:r w:rsidR="00377A41">
        <w:t xml:space="preserve">, 29 FCC Rcd </w:t>
      </w:r>
      <w:r>
        <w:t xml:space="preserve">at 6671, </w:t>
      </w:r>
      <w:r w:rsidRPr="001012B4">
        <w:t>para. 234</w:t>
      </w:r>
      <w:r>
        <w:t>.</w:t>
      </w:r>
    </w:p>
  </w:footnote>
  <w:footnote w:id="40">
    <w:p w14:paraId="421F46F6" w14:textId="14DCB14D" w:rsidR="009D37E4" w:rsidRDefault="009D37E4">
      <w:pPr>
        <w:pStyle w:val="FootnoteText"/>
      </w:pPr>
      <w:r>
        <w:rPr>
          <w:rStyle w:val="FootnoteReference"/>
        </w:rPr>
        <w:footnoteRef/>
      </w:r>
      <w:r>
        <w:t xml:space="preserve"> Stay Motion at 7.</w:t>
      </w:r>
    </w:p>
  </w:footnote>
  <w:footnote w:id="41">
    <w:p w14:paraId="11063F85" w14:textId="0CF4FE17" w:rsidR="00C1097D" w:rsidRPr="00B37CE1" w:rsidRDefault="00C1097D" w:rsidP="00C1097D">
      <w:pPr>
        <w:pStyle w:val="FootnoteText"/>
        <w:widowControl w:val="0"/>
        <w:rPr>
          <w:i/>
        </w:rPr>
      </w:pPr>
      <w:r>
        <w:rPr>
          <w:rStyle w:val="FootnoteReference"/>
        </w:rPr>
        <w:footnoteRef/>
      </w:r>
      <w:r>
        <w:t xml:space="preserve"> </w:t>
      </w:r>
      <w:r>
        <w:rPr>
          <w:i/>
          <w:color w:val="000000" w:themeColor="text1"/>
        </w:rPr>
        <w:t>R</w:t>
      </w:r>
      <w:r w:rsidRPr="00176214">
        <w:rPr>
          <w:i/>
          <w:color w:val="000000" w:themeColor="text1"/>
        </w:rPr>
        <w:t>econsideration</w:t>
      </w:r>
      <w:r>
        <w:rPr>
          <w:i/>
          <w:color w:val="000000" w:themeColor="text1"/>
        </w:rPr>
        <w:t xml:space="preserve"> Order</w:t>
      </w:r>
      <w:r w:rsidRPr="00176214">
        <w:rPr>
          <w:color w:val="000000" w:themeColor="text1"/>
        </w:rPr>
        <w:t>, 30 FCC Rcd at 6770 n.194</w:t>
      </w:r>
      <w:r w:rsidRPr="00B8417C">
        <w:rPr>
          <w:color w:val="000000" w:themeColor="text1"/>
        </w:rPr>
        <w:t>.</w:t>
      </w:r>
      <w:r w:rsidR="00E400AD">
        <w:rPr>
          <w:color w:val="000000" w:themeColor="text1"/>
        </w:rPr>
        <w:t xml:space="preserve">  Specifically, the </w:t>
      </w:r>
      <w:r w:rsidR="00B37CE1">
        <w:rPr>
          <w:color w:val="000000" w:themeColor="text1"/>
        </w:rPr>
        <w:t>Commission</w:t>
      </w:r>
      <w:r w:rsidR="00E400AD">
        <w:rPr>
          <w:i/>
          <w:color w:val="000000" w:themeColor="text1"/>
        </w:rPr>
        <w:t xml:space="preserve"> </w:t>
      </w:r>
      <w:r w:rsidR="00E400AD">
        <w:rPr>
          <w:color w:val="000000" w:themeColor="text1"/>
        </w:rPr>
        <w:t>explain</w:t>
      </w:r>
      <w:r w:rsidR="00B37CE1">
        <w:rPr>
          <w:color w:val="000000" w:themeColor="text1"/>
        </w:rPr>
        <w:t>ed</w:t>
      </w:r>
      <w:r w:rsidR="00E400AD">
        <w:rPr>
          <w:color w:val="000000" w:themeColor="text1"/>
        </w:rPr>
        <w:t xml:space="preserve"> that interested parties can search CDBS </w:t>
      </w:r>
      <w:r w:rsidR="00E400AD" w:rsidRPr="001012B4">
        <w:t xml:space="preserve">for out-of-core </w:t>
      </w:r>
      <w:r w:rsidR="00E400AD">
        <w:t xml:space="preserve">Class A-eligible </w:t>
      </w:r>
      <w:r w:rsidR="00E400AD" w:rsidRPr="001012B4">
        <w:t xml:space="preserve">LPTV </w:t>
      </w:r>
      <w:r w:rsidR="00E400AD">
        <w:t xml:space="preserve">stations—that is, LPTV stations that operated on out-of-core channels before </w:t>
      </w:r>
      <w:r w:rsidR="007E2AE3">
        <w:t xml:space="preserve">enactment </w:t>
      </w:r>
      <w:r w:rsidR="00E400AD">
        <w:t xml:space="preserve">the </w:t>
      </w:r>
      <w:r w:rsidR="00E400AD" w:rsidRPr="00176214">
        <w:rPr>
          <w:color w:val="000000" w:themeColor="text1"/>
        </w:rPr>
        <w:t>Community Broadcasters Protection Act of 1999</w:t>
      </w:r>
      <w:r w:rsidR="00E400AD">
        <w:rPr>
          <w:color w:val="000000" w:themeColor="text1"/>
        </w:rPr>
        <w:t xml:space="preserve"> </w:t>
      </w:r>
      <w:r w:rsidR="00E400AD" w:rsidRPr="001012B4">
        <w:t xml:space="preserve">whose certifications of eligibility for Class A status </w:t>
      </w:r>
      <w:r w:rsidR="00E400AD">
        <w:t>were gr</w:t>
      </w:r>
      <w:r w:rsidR="00F40349">
        <w:t xml:space="preserve">anted in 2000—that </w:t>
      </w:r>
      <w:r w:rsidR="00E400AD">
        <w:t xml:space="preserve">obtained in-core channel authorizations </w:t>
      </w:r>
      <w:r w:rsidR="00E400AD" w:rsidRPr="001012B4">
        <w:t xml:space="preserve">but </w:t>
      </w:r>
      <w:r w:rsidR="00E400AD">
        <w:t xml:space="preserve">did not apply for a license to cover </w:t>
      </w:r>
      <w:r w:rsidR="00E400AD" w:rsidRPr="001012B4">
        <w:t>a</w:t>
      </w:r>
      <w:r w:rsidR="00E400AD">
        <w:t>n authorized</w:t>
      </w:r>
      <w:r w:rsidR="00E400AD" w:rsidRPr="001012B4">
        <w:t xml:space="preserve"> Class A </w:t>
      </w:r>
      <w:r w:rsidR="00E400AD">
        <w:t>facility</w:t>
      </w:r>
      <w:r w:rsidR="00E400AD" w:rsidRPr="001012B4">
        <w:t xml:space="preserve"> </w:t>
      </w:r>
      <w:r w:rsidR="00E400AD">
        <w:t>until after</w:t>
      </w:r>
      <w:r w:rsidR="00E400AD" w:rsidRPr="001012B4">
        <w:t xml:space="preserve"> February 22, 2012</w:t>
      </w:r>
      <w:r w:rsidR="00E400AD">
        <w:t>.</w:t>
      </w:r>
      <w:r w:rsidR="00B37CE1">
        <w:t xml:space="preserve">  </w:t>
      </w:r>
      <w:r w:rsidR="00B37CE1">
        <w:rPr>
          <w:i/>
        </w:rPr>
        <w:t>Id.</w:t>
      </w:r>
    </w:p>
  </w:footnote>
  <w:footnote w:id="42">
    <w:p w14:paraId="4F183453" w14:textId="7FFAC951" w:rsidR="00C1097D" w:rsidRDefault="00C1097D">
      <w:pPr>
        <w:pStyle w:val="FootnoteText"/>
      </w:pPr>
      <w:r>
        <w:rPr>
          <w:rStyle w:val="FootnoteReference"/>
        </w:rPr>
        <w:footnoteRef/>
      </w:r>
      <w:r>
        <w:t xml:space="preserve"> </w:t>
      </w:r>
      <w:r w:rsidR="007235F7" w:rsidRPr="005C4EE0">
        <w:rPr>
          <w:i/>
        </w:rPr>
        <w:t>See</w:t>
      </w:r>
      <w:r w:rsidR="007235F7">
        <w:t xml:space="preserve"> </w:t>
      </w:r>
      <w:r w:rsidR="007235F7" w:rsidRPr="00126E90">
        <w:t xml:space="preserve"> Videohouse, Abacus, WMTM</w:t>
      </w:r>
      <w:r w:rsidR="007235F7">
        <w:t xml:space="preserve">, and KMYA Comments to Filings in Support of Petition for Reconsideration, GN Docket No. 12-268 (filed Nov. 17, 2015).  The submission lists  </w:t>
      </w:r>
      <w:r w:rsidR="007235F7">
        <w:rPr>
          <w:color w:val="000000" w:themeColor="text1"/>
          <w:szCs w:val="22"/>
        </w:rPr>
        <w:t>965 LPTV st</w:t>
      </w:r>
      <w:r w:rsidR="007235F7" w:rsidRPr="000D1709">
        <w:rPr>
          <w:color w:val="000000" w:themeColor="text1"/>
          <w:szCs w:val="22"/>
        </w:rPr>
        <w:t xml:space="preserve">ations whose </w:t>
      </w:r>
      <w:r w:rsidR="007235F7">
        <w:rPr>
          <w:color w:val="000000" w:themeColor="text1"/>
          <w:szCs w:val="22"/>
        </w:rPr>
        <w:t xml:space="preserve">Class A eligibility </w:t>
      </w:r>
      <w:r w:rsidR="007235F7" w:rsidRPr="000D1709">
        <w:rPr>
          <w:color w:val="000000" w:themeColor="text1"/>
          <w:szCs w:val="22"/>
        </w:rPr>
        <w:t xml:space="preserve">certifications </w:t>
      </w:r>
      <w:r w:rsidR="007235F7">
        <w:rPr>
          <w:color w:val="000000" w:themeColor="text1"/>
          <w:szCs w:val="22"/>
        </w:rPr>
        <w:t>were accepted</w:t>
      </w:r>
      <w:r w:rsidR="007235F7" w:rsidRPr="000D1709">
        <w:rPr>
          <w:color w:val="000000" w:themeColor="text1"/>
          <w:szCs w:val="22"/>
        </w:rPr>
        <w:t xml:space="preserve"> in 2000</w:t>
      </w:r>
      <w:r w:rsidR="007235F7">
        <w:rPr>
          <w:color w:val="000000" w:themeColor="text1"/>
          <w:szCs w:val="22"/>
        </w:rPr>
        <w:t xml:space="preserve">, categorizes them according to what Petitioners view as their current status—auction-eligible, cancelled, downgraded, or licensed as </w:t>
      </w:r>
      <w:r w:rsidR="007E2AE3">
        <w:rPr>
          <w:color w:val="000000" w:themeColor="text1"/>
          <w:szCs w:val="22"/>
        </w:rPr>
        <w:t>LPTV</w:t>
      </w:r>
      <w:r w:rsidR="007235F7">
        <w:rPr>
          <w:color w:val="000000" w:themeColor="text1"/>
          <w:szCs w:val="22"/>
        </w:rPr>
        <w:t>—and shows their current channels and whether they were formerly on out-of-core channels.  Because Petitioners categorized stations differently, their analysis does not match the Commission’s estimate of approximately 100</w:t>
      </w:r>
      <w:r w:rsidR="007235F7">
        <w:t xml:space="preserve"> stations, but their analysis does reflect at least 55 stations in the relevant category:  Class A-eligible stations that they categorize as “LP Licensed” (i.e., Class A-eligible) and show as having moved from an out-of-core to an in-core channel.  That figure </w:t>
      </w:r>
      <w:r w:rsidR="007235F7">
        <w:rPr>
          <w:snapToGrid w:val="0"/>
        </w:rPr>
        <w:t xml:space="preserve">excludes numerous stations included in the Commission’s estimate based on the methodology in the </w:t>
      </w:r>
      <w:r w:rsidR="007235F7">
        <w:rPr>
          <w:i/>
          <w:snapToGrid w:val="0"/>
        </w:rPr>
        <w:t>Reconsideration Order</w:t>
      </w:r>
      <w:r w:rsidR="007235F7">
        <w:rPr>
          <w:snapToGrid w:val="0"/>
        </w:rPr>
        <w:t xml:space="preserve">, however.  For example, Petitioners categorize certain stations as “[d]owngrad[ed]” to LPTV status (presumably meaning that they have abandoned all claims to Class A eligibility or whose Class A status has been rescinded) which remain Class A-eligible, </w:t>
      </w:r>
      <w:r w:rsidR="007235F7">
        <w:rPr>
          <w:i/>
        </w:rPr>
        <w:t>e</w:t>
      </w:r>
      <w:r w:rsidR="007235F7" w:rsidRPr="006242A9">
        <w:rPr>
          <w:i/>
        </w:rPr>
        <w:t>.g.</w:t>
      </w:r>
      <w:r w:rsidR="007235F7" w:rsidRPr="008B423A">
        <w:t xml:space="preserve">, Facility ID </w:t>
      </w:r>
      <w:r w:rsidR="007235F7">
        <w:t>numbers</w:t>
      </w:r>
      <w:r w:rsidR="007235F7" w:rsidRPr="008B423A">
        <w:t xml:space="preserve"> 586, 16540, </w:t>
      </w:r>
      <w:r w:rsidR="007E2AE3">
        <w:t xml:space="preserve">and </w:t>
      </w:r>
      <w:r w:rsidR="007235F7" w:rsidRPr="008B423A">
        <w:t>28328.</w:t>
      </w:r>
      <w:r w:rsidR="007235F7">
        <w:t xml:space="preserve">  And Petitioners’ “licensed as low power” and “downgraded” categories both include stations that moved from an out-of-core to an in-core channel but are not shown as such, </w:t>
      </w:r>
      <w:r w:rsidR="007235F7">
        <w:rPr>
          <w:i/>
          <w:iCs/>
          <w:snapToGrid w:val="0"/>
        </w:rPr>
        <w:t>e</w:t>
      </w:r>
      <w:r w:rsidR="007235F7" w:rsidRPr="008B423A">
        <w:rPr>
          <w:i/>
          <w:iCs/>
          <w:snapToGrid w:val="0"/>
        </w:rPr>
        <w:t>.g</w:t>
      </w:r>
      <w:r w:rsidR="007235F7" w:rsidRPr="008B423A">
        <w:rPr>
          <w:snapToGrid w:val="0"/>
        </w:rPr>
        <w:t>., Facility ID numbers 28943</w:t>
      </w:r>
      <w:r w:rsidR="007235F7">
        <w:rPr>
          <w:snapToGrid w:val="0"/>
        </w:rPr>
        <w:t xml:space="preserve"> (channel 66 to channel 25), </w:t>
      </w:r>
      <w:r w:rsidR="007235F7" w:rsidRPr="008B423A">
        <w:rPr>
          <w:snapToGrid w:val="0"/>
        </w:rPr>
        <w:t>51470</w:t>
      </w:r>
      <w:r w:rsidR="007235F7">
        <w:rPr>
          <w:snapToGrid w:val="0"/>
        </w:rPr>
        <w:t xml:space="preserve"> (59 to 38),</w:t>
      </w:r>
      <w:r w:rsidR="007235F7" w:rsidRPr="008B423A">
        <w:t xml:space="preserve"> 477 (62 to 48), </w:t>
      </w:r>
      <w:r w:rsidR="007235F7">
        <w:t xml:space="preserve">and </w:t>
      </w:r>
      <w:r w:rsidR="007235F7" w:rsidRPr="008B423A">
        <w:t>14678 (66 to 14).</w:t>
      </w:r>
      <w:r w:rsidR="00D45E20">
        <w:rPr>
          <w:color w:val="000000" w:themeColor="text1"/>
          <w:szCs w:val="22"/>
        </w:rPr>
        <w:t xml:space="preserve">   </w:t>
      </w:r>
    </w:p>
  </w:footnote>
  <w:footnote w:id="43">
    <w:p w14:paraId="3F0A3C40" w14:textId="1B979677" w:rsidR="00D74A6B" w:rsidRDefault="00D74A6B">
      <w:pPr>
        <w:pStyle w:val="FootnoteText"/>
      </w:pPr>
      <w:r>
        <w:rPr>
          <w:rStyle w:val="FootnoteReference"/>
        </w:rPr>
        <w:footnoteRef/>
      </w:r>
      <w:r>
        <w:t xml:space="preserve"> Stay Motion at 8-9.  </w:t>
      </w:r>
      <w:r w:rsidRPr="00B80FA7">
        <w:rPr>
          <w:i/>
        </w:rPr>
        <w:t>See</w:t>
      </w:r>
      <w:r w:rsidRPr="00B80FA7">
        <w:t xml:space="preserve"> </w:t>
      </w:r>
      <w:r>
        <w:rPr>
          <w:color w:val="000000" w:themeColor="text1"/>
        </w:rPr>
        <w:t xml:space="preserve">Second Reconsideration </w:t>
      </w:r>
      <w:r w:rsidRPr="00862E1E">
        <w:rPr>
          <w:color w:val="000000" w:themeColor="text1"/>
        </w:rPr>
        <w:t>Petition</w:t>
      </w:r>
      <w:r w:rsidRPr="00B80FA7">
        <w:t xml:space="preserve"> at 10-14.</w:t>
      </w:r>
    </w:p>
  </w:footnote>
  <w:footnote w:id="44">
    <w:p w14:paraId="338789FC" w14:textId="77777777" w:rsidR="00D74A6B" w:rsidRPr="00B80FA7" w:rsidRDefault="00D74A6B" w:rsidP="00284783">
      <w:pPr>
        <w:autoSpaceDE w:val="0"/>
        <w:autoSpaceDN w:val="0"/>
        <w:adjustRightInd w:val="0"/>
        <w:spacing w:after="120"/>
        <w:rPr>
          <w:sz w:val="20"/>
        </w:rPr>
      </w:pPr>
      <w:r w:rsidRPr="00B80FA7">
        <w:rPr>
          <w:rStyle w:val="FootnoteReference"/>
        </w:rPr>
        <w:footnoteRef/>
      </w:r>
      <w:r w:rsidRPr="00B80FA7">
        <w:rPr>
          <w:sz w:val="20"/>
        </w:rPr>
        <w:t xml:space="preserve"> </w:t>
      </w:r>
      <w:r w:rsidRPr="00B80FA7">
        <w:rPr>
          <w:i/>
          <w:sz w:val="20"/>
        </w:rPr>
        <w:t>See Reconsideration Order</w:t>
      </w:r>
      <w:r w:rsidRPr="00B80FA7">
        <w:rPr>
          <w:sz w:val="20"/>
        </w:rPr>
        <w:t xml:space="preserve">, 30 FCC Rcd at 6769, para. 53.  </w:t>
      </w:r>
    </w:p>
  </w:footnote>
  <w:footnote w:id="45">
    <w:p w14:paraId="2379D500" w14:textId="5D581938" w:rsidR="00D74A6B" w:rsidRPr="00B80FA7" w:rsidRDefault="00D74A6B" w:rsidP="00284783">
      <w:pPr>
        <w:spacing w:after="120"/>
        <w:rPr>
          <w:sz w:val="20"/>
        </w:rPr>
      </w:pPr>
      <w:r w:rsidRPr="00B80FA7">
        <w:rPr>
          <w:rStyle w:val="FootnoteReference"/>
        </w:rPr>
        <w:footnoteRef/>
      </w:r>
      <w:r w:rsidRPr="00B80FA7">
        <w:rPr>
          <w:sz w:val="20"/>
        </w:rPr>
        <w:t xml:space="preserve"> </w:t>
      </w:r>
      <w:r w:rsidRPr="00764156">
        <w:rPr>
          <w:sz w:val="20"/>
        </w:rPr>
        <w:t>The Commission may act on its own motion to issue such a declaratory ruling removing uncertainty at any time</w:t>
      </w:r>
      <w:r w:rsidRPr="00764156">
        <w:rPr>
          <w:color w:val="000000"/>
          <w:sz w:val="20"/>
        </w:rPr>
        <w:t>.</w:t>
      </w:r>
      <w:r w:rsidRPr="00764156">
        <w:rPr>
          <w:i/>
          <w:color w:val="000000"/>
          <w:sz w:val="20"/>
        </w:rPr>
        <w:t xml:space="preserve">  See </w:t>
      </w:r>
      <w:r w:rsidRPr="00764156">
        <w:rPr>
          <w:color w:val="000000"/>
          <w:sz w:val="20"/>
        </w:rPr>
        <w:t xml:space="preserve">47 C.F.R. § 1.2.  </w:t>
      </w:r>
      <w:r w:rsidRPr="00764156">
        <w:rPr>
          <w:i/>
          <w:color w:val="000000"/>
          <w:sz w:val="20"/>
        </w:rPr>
        <w:t>See also</w:t>
      </w:r>
      <w:r w:rsidRPr="00764156">
        <w:rPr>
          <w:color w:val="000000"/>
          <w:sz w:val="20"/>
        </w:rPr>
        <w:t xml:space="preserve"> 47 U.S.C. § 554(e).  </w:t>
      </w:r>
      <w:r w:rsidRPr="00B80FA7">
        <w:rPr>
          <w:sz w:val="20"/>
        </w:rPr>
        <w:t xml:space="preserve">   </w:t>
      </w:r>
    </w:p>
  </w:footnote>
  <w:footnote w:id="46">
    <w:p w14:paraId="3FDB4B22" w14:textId="41AF6944" w:rsidR="00D74A6B" w:rsidRDefault="00D74A6B" w:rsidP="00661732">
      <w:pPr>
        <w:pStyle w:val="FootnoteText"/>
      </w:pPr>
      <w:r>
        <w:rPr>
          <w:rStyle w:val="FootnoteReference"/>
        </w:rPr>
        <w:footnoteRef/>
      </w:r>
      <w:r>
        <w:t xml:space="preserve"> </w:t>
      </w:r>
      <w:r w:rsidRPr="00B80FA7">
        <w:rPr>
          <w:i/>
        </w:rPr>
        <w:t>See Reconsideration Order</w:t>
      </w:r>
      <w:r w:rsidRPr="00B80FA7">
        <w:t xml:space="preserve">, 30 FCC Rcd </w:t>
      </w:r>
      <w:r>
        <w:t>at 6774, para. 62</w:t>
      </w:r>
      <w:r w:rsidRPr="00B80FA7">
        <w:t>.</w:t>
      </w:r>
    </w:p>
  </w:footnote>
  <w:footnote w:id="47">
    <w:p w14:paraId="0DE88B7D" w14:textId="73DB6963" w:rsidR="00D74A6B" w:rsidRDefault="00D74A6B">
      <w:pPr>
        <w:pStyle w:val="FootnoteText"/>
      </w:pPr>
      <w:r>
        <w:rPr>
          <w:rStyle w:val="FootnoteReference"/>
        </w:rPr>
        <w:footnoteRef/>
      </w:r>
      <w:r>
        <w:t xml:space="preserve"> </w:t>
      </w:r>
      <w:r w:rsidR="00583121">
        <w:t xml:space="preserve">2014 Petitions </w:t>
      </w:r>
      <w:r>
        <w:t>at 7</w:t>
      </w:r>
      <w:r w:rsidRPr="00661732">
        <w:rPr>
          <w:color w:val="000000"/>
        </w:rPr>
        <w:t xml:space="preserve"> </w:t>
      </w:r>
      <w:r>
        <w:rPr>
          <w:color w:val="000000"/>
        </w:rPr>
        <w:t>(asking the</w:t>
      </w:r>
      <w:r w:rsidRPr="00FF6AAB">
        <w:rPr>
          <w:color w:val="000000"/>
        </w:rPr>
        <w:t xml:space="preserve"> Commission </w:t>
      </w:r>
      <w:r>
        <w:rPr>
          <w:color w:val="000000"/>
        </w:rPr>
        <w:t>to “</w:t>
      </w:r>
      <w:r w:rsidRPr="00FF6AAB">
        <w:rPr>
          <w:color w:val="000000"/>
        </w:rPr>
        <w:t>exercise its discretion to ensure that similarly situated entities are not subject to arbitrarily disparate treatment”</w:t>
      </w:r>
      <w:r>
        <w:rPr>
          <w:color w:val="000000"/>
        </w:rPr>
        <w:t xml:space="preserve">).  </w:t>
      </w:r>
      <w:r w:rsidR="00583121">
        <w:rPr>
          <w:i/>
          <w:iCs/>
          <w:color w:val="000000" w:themeColor="text1"/>
        </w:rPr>
        <w:t xml:space="preserve">See </w:t>
      </w:r>
      <w:r w:rsidRPr="00B80FA7">
        <w:rPr>
          <w:i/>
          <w:iCs/>
          <w:color w:val="000000" w:themeColor="text1"/>
        </w:rPr>
        <w:t>AT&amp;T Corp. v. FCC,</w:t>
      </w:r>
      <w:r w:rsidRPr="00B80FA7">
        <w:rPr>
          <w:color w:val="000000" w:themeColor="text1"/>
        </w:rPr>
        <w:t xml:space="preserve"> 113 F.3d 225, 229 (D.C.</w:t>
      </w:r>
      <w:r>
        <w:rPr>
          <w:color w:val="000000" w:themeColor="text1"/>
        </w:rPr>
        <w:t xml:space="preserve"> </w:t>
      </w:r>
      <w:r w:rsidRPr="00B80FA7">
        <w:rPr>
          <w:color w:val="000000" w:themeColor="text1"/>
        </w:rPr>
        <w:t>Cir.</w:t>
      </w:r>
      <w:r>
        <w:rPr>
          <w:color w:val="000000" w:themeColor="text1"/>
        </w:rPr>
        <w:t xml:space="preserve"> </w:t>
      </w:r>
      <w:r w:rsidRPr="00B80FA7">
        <w:rPr>
          <w:color w:val="000000" w:themeColor="text1"/>
        </w:rPr>
        <w:t>1997)</w:t>
      </w:r>
      <w:r w:rsidRPr="00B80FA7">
        <w:t xml:space="preserve"> </w:t>
      </w:r>
      <w:r>
        <w:t>(</w:t>
      </w:r>
      <w:r w:rsidR="00583121" w:rsidRPr="00FF6AAB">
        <w:rPr>
          <w:color w:val="000000"/>
        </w:rPr>
        <w:t>The Commission is “free to modify its rule on a petition for reconsideration as long as the modification was a ‘logical outgrowth’ of the earlier version of the rule . . .</w:t>
      </w:r>
      <w:r w:rsidR="00583121">
        <w:rPr>
          <w:color w:val="000000"/>
        </w:rPr>
        <w:t xml:space="preserve"> </w:t>
      </w:r>
      <w:r w:rsidR="00583121" w:rsidRPr="00FF6AAB">
        <w:rPr>
          <w:color w:val="000000"/>
        </w:rPr>
        <w:t>and provided the agency gave a reasoned explanation for its decision that is supported by the record.”</w:t>
      </w:r>
      <w:r w:rsidRPr="00B80FA7">
        <w:rPr>
          <w:color w:val="000000"/>
        </w:rPr>
        <w:t xml:space="preserve">) (citations omitted); </w:t>
      </w:r>
      <w:r w:rsidRPr="00B80FA7">
        <w:rPr>
          <w:i/>
          <w:iCs/>
          <w:color w:val="0D0D0D"/>
        </w:rPr>
        <w:t>Globalstar, Inc. v. FCC</w:t>
      </w:r>
      <w:r w:rsidRPr="00B80FA7">
        <w:rPr>
          <w:color w:val="0D0D0D"/>
        </w:rPr>
        <w:t>, 564 F.3d 476, 485 (D.C. Cir. 2009) (“[O]</w:t>
      </w:r>
      <w:r w:rsidRPr="00B80FA7">
        <w:rPr>
          <w:color w:val="000000"/>
        </w:rPr>
        <w:t xml:space="preserve">nce Globalstar petitioned for reconsideration of the </w:t>
      </w:r>
      <w:r w:rsidRPr="00B80FA7">
        <w:rPr>
          <w:i/>
          <w:iCs/>
          <w:color w:val="000000"/>
        </w:rPr>
        <w:t>2004 Order</w:t>
      </w:r>
      <w:r w:rsidRPr="00B80FA7">
        <w:rPr>
          <w:color w:val="000000"/>
        </w:rPr>
        <w:t xml:space="preserve">, the Commission was free to reconsider the entire record dating back to the </w:t>
      </w:r>
      <w:r w:rsidRPr="00B80FA7">
        <w:rPr>
          <w:i/>
          <w:iCs/>
          <w:color w:val="000000"/>
        </w:rPr>
        <w:t>2003 NPRM</w:t>
      </w:r>
      <w:r w:rsidRPr="00B80FA7">
        <w:rPr>
          <w:color w:val="000000"/>
        </w:rPr>
        <w:t xml:space="preserve"> and to modify the spectrum plan ‘provided [it] gave a reasoned explanation for its decision that is supported by the record</w:t>
      </w:r>
      <w:r w:rsidRPr="00B80FA7">
        <w:rPr>
          <w:color w:val="0D0D0D"/>
        </w:rPr>
        <w:t>.’”)</w:t>
      </w:r>
      <w:r>
        <w:rPr>
          <w:color w:val="0D0D0D"/>
        </w:rPr>
        <w:t xml:space="preserve"> (citations omitted).</w:t>
      </w:r>
    </w:p>
  </w:footnote>
  <w:footnote w:id="48">
    <w:p w14:paraId="71EDA165" w14:textId="77777777" w:rsidR="00D74A6B" w:rsidRPr="004E0A30" w:rsidRDefault="00D74A6B" w:rsidP="001913DC">
      <w:pPr>
        <w:pStyle w:val="ParaNum"/>
        <w:numPr>
          <w:ilvl w:val="0"/>
          <w:numId w:val="0"/>
        </w:numPr>
      </w:pPr>
      <w:r w:rsidRPr="005E4338">
        <w:rPr>
          <w:rStyle w:val="FootnoteReference"/>
        </w:rPr>
        <w:footnoteRef/>
      </w:r>
      <w:r w:rsidRPr="005E4338">
        <w:rPr>
          <w:sz w:val="20"/>
        </w:rPr>
        <w:t xml:space="preserve"> </w:t>
      </w:r>
      <w:r w:rsidRPr="00C8116D">
        <w:rPr>
          <w:i/>
          <w:sz w:val="20"/>
        </w:rPr>
        <w:t>See</w:t>
      </w:r>
      <w:r w:rsidRPr="00743A3A">
        <w:rPr>
          <w:sz w:val="20"/>
        </w:rPr>
        <w:t xml:space="preserve"> </w:t>
      </w:r>
      <w:r w:rsidRPr="00743A3A">
        <w:rPr>
          <w:i/>
          <w:color w:val="000000" w:themeColor="text1"/>
          <w:sz w:val="20"/>
        </w:rPr>
        <w:t>Reconsideration Order</w:t>
      </w:r>
      <w:r w:rsidRPr="00743A3A">
        <w:rPr>
          <w:color w:val="000000" w:themeColor="text1"/>
          <w:sz w:val="20"/>
        </w:rPr>
        <w:t>, 30 FCC Rcd at 6774-75, para. 62</w:t>
      </w:r>
      <w:r w:rsidRPr="00743A3A">
        <w:rPr>
          <w:sz w:val="20"/>
        </w:rPr>
        <w:t xml:space="preserve">; </w:t>
      </w:r>
      <w:r w:rsidRPr="00743A3A">
        <w:rPr>
          <w:i/>
          <w:sz w:val="20"/>
        </w:rPr>
        <w:t>id</w:t>
      </w:r>
      <w:r w:rsidRPr="00743A3A">
        <w:rPr>
          <w:sz w:val="20"/>
        </w:rPr>
        <w:t xml:space="preserve">. at </w:t>
      </w:r>
      <w:r w:rsidRPr="00743A3A">
        <w:rPr>
          <w:color w:val="000000" w:themeColor="text1"/>
          <w:sz w:val="20"/>
        </w:rPr>
        <w:t>6673-74, para. 60</w:t>
      </w:r>
      <w:r w:rsidRPr="004E0A30">
        <w:rPr>
          <w:sz w:val="20"/>
        </w:rPr>
        <w:t>.</w:t>
      </w:r>
      <w:r w:rsidRPr="004E0A30">
        <w:rPr>
          <w:color w:val="000000" w:themeColor="text1"/>
          <w:sz w:val="20"/>
        </w:rPr>
        <w:t xml:space="preserve"> </w:t>
      </w:r>
    </w:p>
  </w:footnote>
  <w:footnote w:id="49">
    <w:p w14:paraId="21BBFEC5" w14:textId="6A81F1B1" w:rsidR="00D74A6B" w:rsidRPr="00AD67E6" w:rsidRDefault="00D74A6B" w:rsidP="001913DC">
      <w:pPr>
        <w:pStyle w:val="FootnoteText"/>
        <w:widowControl w:val="0"/>
      </w:pPr>
      <w:r w:rsidRPr="007546E2">
        <w:rPr>
          <w:rStyle w:val="FootnoteReference"/>
        </w:rPr>
        <w:footnoteRef/>
      </w:r>
      <w:r w:rsidRPr="007546E2">
        <w:t xml:space="preserve"> </w:t>
      </w:r>
      <w:r w:rsidRPr="007546E2">
        <w:rPr>
          <w:i/>
        </w:rPr>
        <w:t xml:space="preserve">See </w:t>
      </w:r>
      <w:r w:rsidR="00A74628">
        <w:rPr>
          <w:i/>
        </w:rPr>
        <w:t>id.</w:t>
      </w:r>
      <w:r w:rsidRPr="00B80FA7">
        <w:t xml:space="preserve"> at 677</w:t>
      </w:r>
      <w:r>
        <w:t>4-7</w:t>
      </w:r>
      <w:r w:rsidRPr="00B80FA7">
        <w:t>5, para. 62 n.228</w:t>
      </w:r>
      <w:r w:rsidRPr="007546E2">
        <w:t>.</w:t>
      </w:r>
      <w:r>
        <w:t xml:space="preserve">  </w:t>
      </w:r>
    </w:p>
  </w:footnote>
  <w:footnote w:id="50">
    <w:p w14:paraId="04F22EB6" w14:textId="6C32F62E" w:rsidR="00D74A6B" w:rsidRPr="00E84378" w:rsidRDefault="00D74A6B" w:rsidP="002F3328">
      <w:pPr>
        <w:pStyle w:val="FootnoteText"/>
        <w:rPr>
          <w:i/>
        </w:rPr>
      </w:pPr>
      <w:r w:rsidRPr="00D67587">
        <w:rPr>
          <w:rStyle w:val="FootnoteReference"/>
        </w:rPr>
        <w:footnoteRef/>
      </w:r>
      <w:r w:rsidR="0048755E" w:rsidRPr="00AD0A11">
        <w:rPr>
          <w:color w:val="000000" w:themeColor="text1"/>
          <w:szCs w:val="22"/>
        </w:rPr>
        <w:t xml:space="preserve">  Several general principles govern the irreparable injury inquiry.  First, “the injury must be both certain and great; it must be actual and not theoretical.”</w:t>
      </w:r>
      <w:r w:rsidR="0048755E">
        <w:rPr>
          <w:color w:val="000000" w:themeColor="text1"/>
          <w:szCs w:val="22"/>
        </w:rPr>
        <w:t xml:space="preserve">  </w:t>
      </w:r>
      <w:r w:rsidRPr="00D67587">
        <w:rPr>
          <w:i/>
        </w:rPr>
        <w:t>Wisconsin Gas Co. v. FERC</w:t>
      </w:r>
      <w:r w:rsidRPr="00D67587">
        <w:t>, 758 F.2d 669, 674 (D.C. Cir. 1985).</w:t>
      </w:r>
      <w:r w:rsidR="0048755E">
        <w:t xml:space="preserve">  </w:t>
      </w:r>
      <w:r w:rsidR="0048755E" w:rsidRPr="00AD0A11">
        <w:rPr>
          <w:color w:val="000000" w:themeColor="text1"/>
          <w:szCs w:val="22"/>
        </w:rPr>
        <w:t>A movant must also “substantiate the claim that the irreparable injury is ‘likely’ to occur. . . . Bare allegations of what is likely to occur are of no value since the court must decide whether the harm will in fact occur.”</w:t>
      </w:r>
      <w:r w:rsidR="00E84378">
        <w:rPr>
          <w:color w:val="000000" w:themeColor="text1"/>
          <w:szCs w:val="22"/>
        </w:rPr>
        <w:t xml:space="preserve">  </w:t>
      </w:r>
      <w:r w:rsidR="00E84378">
        <w:rPr>
          <w:i/>
          <w:color w:val="000000" w:themeColor="text1"/>
          <w:szCs w:val="22"/>
        </w:rPr>
        <w:t xml:space="preserve">Id.  </w:t>
      </w:r>
      <w:r w:rsidR="00E84378" w:rsidRPr="00AD0A11">
        <w:rPr>
          <w:color w:val="000000" w:themeColor="text1"/>
          <w:szCs w:val="22"/>
        </w:rPr>
        <w:t>Further, it is “well settled that economic loss does not, in and of itself, constitute irreparable harm.”</w:t>
      </w:r>
      <w:r w:rsidR="00E84378">
        <w:rPr>
          <w:color w:val="000000" w:themeColor="text1"/>
          <w:szCs w:val="22"/>
        </w:rPr>
        <w:t xml:space="preserve">  </w:t>
      </w:r>
      <w:r w:rsidR="00E84378" w:rsidRPr="00D67587">
        <w:rPr>
          <w:i/>
        </w:rPr>
        <w:t>Id</w:t>
      </w:r>
      <w:r w:rsidR="00E84378" w:rsidRPr="00D67587">
        <w:t>.</w:t>
      </w:r>
      <w:r w:rsidR="00E84378">
        <w:t xml:space="preserve">  </w:t>
      </w:r>
      <w:r w:rsidR="00E84378" w:rsidRPr="008F3CC0">
        <w:rPr>
          <w:color w:val="000000" w:themeColor="text1"/>
          <w:szCs w:val="22"/>
        </w:rPr>
        <w:t>The</w:t>
      </w:r>
      <w:r w:rsidR="00E84378">
        <w:rPr>
          <w:color w:val="000000" w:themeColor="text1"/>
          <w:szCs w:val="22"/>
        </w:rPr>
        <w:t xml:space="preserve"> only</w:t>
      </w:r>
      <w:r w:rsidR="00E84378" w:rsidRPr="008F3CC0">
        <w:rPr>
          <w:color w:val="000000" w:themeColor="text1"/>
          <w:szCs w:val="22"/>
        </w:rPr>
        <w:t xml:space="preserve"> exceptions to this rule</w:t>
      </w:r>
      <w:r w:rsidR="00E84378">
        <w:rPr>
          <w:color w:val="000000" w:themeColor="text1"/>
          <w:szCs w:val="22"/>
        </w:rPr>
        <w:t xml:space="preserve"> are when</w:t>
      </w:r>
      <w:r w:rsidR="00E84378" w:rsidRPr="008F3CC0">
        <w:rPr>
          <w:color w:val="000000" w:themeColor="text1"/>
          <w:szCs w:val="22"/>
        </w:rPr>
        <w:t xml:space="preserve"> (1) the economic loss threatens the “very existence of the movant’s business,”</w:t>
      </w:r>
      <w:r w:rsidR="00E84378">
        <w:rPr>
          <w:color w:val="000000" w:themeColor="text1"/>
          <w:szCs w:val="22"/>
        </w:rPr>
        <w:t xml:space="preserve"> </w:t>
      </w:r>
      <w:r w:rsidR="00E84378">
        <w:rPr>
          <w:i/>
        </w:rPr>
        <w:t>i</w:t>
      </w:r>
      <w:r w:rsidR="00E84378" w:rsidRPr="008F3CC0">
        <w:rPr>
          <w:i/>
        </w:rPr>
        <w:t>d</w:t>
      </w:r>
      <w:r w:rsidR="00E84378" w:rsidRPr="008F3CC0">
        <w:t>.</w:t>
      </w:r>
      <w:r w:rsidR="00965FBE">
        <w:t>,</w:t>
      </w:r>
      <w:r w:rsidR="00E84378">
        <w:t xml:space="preserve"> </w:t>
      </w:r>
      <w:r w:rsidR="00E84378" w:rsidRPr="008F3CC0">
        <w:rPr>
          <w:color w:val="000000" w:themeColor="text1"/>
          <w:szCs w:val="22"/>
        </w:rPr>
        <w:t xml:space="preserve">and (2) </w:t>
      </w:r>
      <w:r w:rsidR="00E84378">
        <w:rPr>
          <w:color w:val="000000" w:themeColor="text1"/>
          <w:szCs w:val="22"/>
        </w:rPr>
        <w:t>such</w:t>
      </w:r>
      <w:r w:rsidR="00E84378" w:rsidRPr="008F3CC0">
        <w:rPr>
          <w:color w:val="000000" w:themeColor="text1"/>
          <w:szCs w:val="22"/>
        </w:rPr>
        <w:t xml:space="preserve"> loss is great, certain, and imminent.</w:t>
      </w:r>
      <w:r w:rsidR="00E84378">
        <w:rPr>
          <w:color w:val="000000" w:themeColor="text1"/>
          <w:szCs w:val="22"/>
        </w:rPr>
        <w:t xml:space="preserve">  </w:t>
      </w:r>
      <w:r w:rsidR="00E84378" w:rsidRPr="008F3CC0">
        <w:rPr>
          <w:i/>
        </w:rPr>
        <w:t>Cardinal Health, Inc. v. Holder</w:t>
      </w:r>
      <w:r w:rsidR="00E84378" w:rsidRPr="008F3CC0">
        <w:t>, 846 F. Supp. 2d 203, 211 (D.D.C. 2012).</w:t>
      </w:r>
    </w:p>
  </w:footnote>
  <w:footnote w:id="51">
    <w:p w14:paraId="3E2625EB" w14:textId="7CF26CA7" w:rsidR="00D74A6B" w:rsidRPr="008F3CC0" w:rsidRDefault="00D74A6B">
      <w:pPr>
        <w:pStyle w:val="FootnoteText"/>
      </w:pPr>
      <w:r w:rsidRPr="008F3CC0">
        <w:rPr>
          <w:rStyle w:val="FootnoteReference"/>
        </w:rPr>
        <w:footnoteRef/>
      </w:r>
      <w:r w:rsidRPr="008F3CC0">
        <w:t xml:space="preserve"> </w:t>
      </w:r>
      <w:r>
        <w:t xml:space="preserve">Stay Motion at 2 (citation omitted).  </w:t>
      </w:r>
      <w:r w:rsidRPr="004A3107">
        <w:rPr>
          <w:i/>
        </w:rPr>
        <w:t>See id</w:t>
      </w:r>
      <w:r>
        <w:t>. at 4, 9.</w:t>
      </w:r>
    </w:p>
  </w:footnote>
  <w:footnote w:id="52">
    <w:p w14:paraId="14A93269" w14:textId="1621F9E1" w:rsidR="00D74A6B" w:rsidRDefault="00D74A6B" w:rsidP="00615261">
      <w:pPr>
        <w:autoSpaceDE w:val="0"/>
        <w:autoSpaceDN w:val="0"/>
        <w:adjustRightInd w:val="0"/>
        <w:spacing w:after="120"/>
        <w:jc w:val="both"/>
      </w:pPr>
      <w:r w:rsidRPr="008F3CC0">
        <w:rPr>
          <w:rStyle w:val="FootnoteReference"/>
        </w:rPr>
        <w:footnoteRef/>
      </w:r>
      <w:r w:rsidRPr="008F3CC0">
        <w:rPr>
          <w:sz w:val="20"/>
        </w:rPr>
        <w:t xml:space="preserve"> </w:t>
      </w:r>
      <w:r w:rsidRPr="008F3CC0">
        <w:rPr>
          <w:rStyle w:val="Emphasis"/>
          <w:color w:val="252525"/>
          <w:sz w:val="20"/>
        </w:rPr>
        <w:t>See</w:t>
      </w:r>
      <w:r w:rsidRPr="008F3CC0">
        <w:rPr>
          <w:rStyle w:val="apple-converted-space"/>
          <w:i/>
          <w:iCs/>
          <w:color w:val="252525"/>
          <w:sz w:val="20"/>
        </w:rPr>
        <w:t> </w:t>
      </w:r>
      <w:r w:rsidRPr="008F3CC0">
        <w:rPr>
          <w:i/>
          <w:sz w:val="20"/>
        </w:rPr>
        <w:t>VA Petroleum Jobbers</w:t>
      </w:r>
      <w:r w:rsidRPr="008F3CC0">
        <w:rPr>
          <w:sz w:val="20"/>
        </w:rPr>
        <w:t>, 259 F.2d at 925</w:t>
      </w:r>
      <w:r w:rsidRPr="008F3CC0">
        <w:rPr>
          <w:rStyle w:val="apple-converted-space"/>
          <w:color w:val="252525"/>
          <w:sz w:val="20"/>
        </w:rPr>
        <w:t> </w:t>
      </w:r>
      <w:r w:rsidRPr="008F3CC0">
        <w:rPr>
          <w:color w:val="252525"/>
          <w:sz w:val="20"/>
        </w:rPr>
        <w:t xml:space="preserve">(“The possibility that adequate </w:t>
      </w:r>
      <w:r w:rsidR="00A74628">
        <w:rPr>
          <w:color w:val="252525"/>
          <w:sz w:val="20"/>
        </w:rPr>
        <w:t>. . .</w:t>
      </w:r>
      <w:r w:rsidRPr="008F3CC0">
        <w:rPr>
          <w:color w:val="252525"/>
          <w:sz w:val="20"/>
        </w:rPr>
        <w:t xml:space="preserve"> relief will be available at a later date, in the ordinary course of litigation, weighs heavily against a claim of irreparable harm.”).</w:t>
      </w:r>
      <w:r w:rsidRPr="008F3CC0">
        <w:rPr>
          <w:i/>
          <w:iCs/>
          <w:color w:val="000000"/>
          <w:sz w:val="20"/>
        </w:rPr>
        <w:t xml:space="preserve"> </w:t>
      </w:r>
    </w:p>
  </w:footnote>
  <w:footnote w:id="53">
    <w:p w14:paraId="3C0E5E0C" w14:textId="5FB8DE0F" w:rsidR="00D74A6B" w:rsidRPr="008F3CC0" w:rsidRDefault="00D74A6B" w:rsidP="000E4643">
      <w:pPr>
        <w:autoSpaceDE w:val="0"/>
        <w:autoSpaceDN w:val="0"/>
        <w:adjustRightInd w:val="0"/>
        <w:spacing w:after="120"/>
        <w:jc w:val="both"/>
        <w:rPr>
          <w:sz w:val="20"/>
        </w:rPr>
      </w:pPr>
      <w:r w:rsidRPr="000E4643">
        <w:rPr>
          <w:rStyle w:val="FootnoteReference"/>
          <w:color w:val="000000" w:themeColor="text1"/>
        </w:rPr>
        <w:footnoteRef/>
      </w:r>
      <w:r w:rsidRPr="000E4643">
        <w:rPr>
          <w:color w:val="000000" w:themeColor="text1"/>
          <w:sz w:val="20"/>
        </w:rPr>
        <w:t xml:space="preserve"> </w:t>
      </w:r>
      <w:r w:rsidRPr="000E4643">
        <w:rPr>
          <w:i/>
          <w:iCs/>
          <w:color w:val="000000" w:themeColor="text1"/>
          <w:sz w:val="20"/>
        </w:rPr>
        <w:t>See FCC v Radiophone, Inc.</w:t>
      </w:r>
      <w:r w:rsidRPr="000E4643">
        <w:rPr>
          <w:color w:val="000000" w:themeColor="text1"/>
          <w:sz w:val="20"/>
        </w:rPr>
        <w:t>, 516 U.S. 1301, 116 S.Ct. 283 (1995) (Justice Stevens vacating a stay of an auction, stating</w:t>
      </w:r>
      <w:r>
        <w:rPr>
          <w:color w:val="000000" w:themeColor="text1"/>
          <w:sz w:val="20"/>
        </w:rPr>
        <w:t xml:space="preserve"> that “a</w:t>
      </w:r>
      <w:r w:rsidRPr="000E4643">
        <w:rPr>
          <w:color w:val="000000" w:themeColor="text1"/>
          <w:sz w:val="20"/>
        </w:rPr>
        <w:t xml:space="preserve">llowing the national auction to go forward will not defeat the power of the Court of Appeals to grant appropriate </w:t>
      </w:r>
      <w:r w:rsidRPr="008F3CC0">
        <w:rPr>
          <w:color w:val="000000" w:themeColor="text1"/>
          <w:sz w:val="20"/>
        </w:rPr>
        <w:t xml:space="preserve">relief in the event that respondent </w:t>
      </w:r>
      <w:r w:rsidRPr="008F3CC0">
        <w:rPr>
          <w:color w:val="252525"/>
          <w:sz w:val="20"/>
        </w:rPr>
        <w:t>overcomes the presumption of validity that supports the FCC regulations and prevails on the merits”</w:t>
      </w:r>
      <w:r w:rsidRPr="008F3CC0">
        <w:rPr>
          <w:color w:val="000000"/>
          <w:sz w:val="20"/>
        </w:rPr>
        <w:t xml:space="preserve">).  </w:t>
      </w:r>
    </w:p>
  </w:footnote>
  <w:footnote w:id="54">
    <w:p w14:paraId="038007C5" w14:textId="5B930C1B" w:rsidR="00D74A6B" w:rsidRPr="008F3CC0" w:rsidRDefault="00D74A6B">
      <w:pPr>
        <w:pStyle w:val="FootnoteText"/>
      </w:pPr>
      <w:r w:rsidRPr="008F3CC0">
        <w:rPr>
          <w:rStyle w:val="FootnoteReference"/>
        </w:rPr>
        <w:footnoteRef/>
      </w:r>
      <w:r w:rsidRPr="008F3CC0">
        <w:t xml:space="preserve"> Stay Motion at </w:t>
      </w:r>
      <w:r>
        <w:t>2</w:t>
      </w:r>
      <w:r w:rsidRPr="008F3CC0">
        <w:t>.</w:t>
      </w:r>
      <w:r>
        <w:t xml:space="preserve">  </w:t>
      </w:r>
      <w:r w:rsidRPr="004A3107">
        <w:rPr>
          <w:i/>
        </w:rPr>
        <w:t>See id</w:t>
      </w:r>
      <w:r>
        <w:t>. at 4-5, 9.</w:t>
      </w:r>
    </w:p>
  </w:footnote>
  <w:footnote w:id="55">
    <w:p w14:paraId="6E7E78BD" w14:textId="08C9A9A0" w:rsidR="00D74A6B" w:rsidRPr="008F3CC0" w:rsidRDefault="00D74A6B">
      <w:pPr>
        <w:pStyle w:val="FootnoteText"/>
      </w:pPr>
      <w:r w:rsidRPr="008F3CC0">
        <w:rPr>
          <w:rStyle w:val="FootnoteReference"/>
        </w:rPr>
        <w:footnoteRef/>
      </w:r>
      <w:r w:rsidRPr="008F3CC0">
        <w:t xml:space="preserve"> </w:t>
      </w:r>
      <w:r w:rsidRPr="008F3CC0">
        <w:rPr>
          <w:i/>
        </w:rPr>
        <w:t xml:space="preserve">See </w:t>
      </w:r>
      <w:r w:rsidRPr="008F3CC0">
        <w:rPr>
          <w:rStyle w:val="Emphasis"/>
          <w:color w:val="000000" w:themeColor="text1"/>
        </w:rPr>
        <w:t>Power Mobility Coal. v. Leavitt,</w:t>
      </w:r>
      <w:r w:rsidRPr="008F3CC0">
        <w:rPr>
          <w:rStyle w:val="apple-converted-space"/>
          <w:color w:val="000000" w:themeColor="text1"/>
        </w:rPr>
        <w:t> </w:t>
      </w:r>
      <w:r w:rsidRPr="008F3CC0">
        <w:rPr>
          <w:color w:val="000000" w:themeColor="text1"/>
        </w:rPr>
        <w:t>404 F.Supp.2d 190, 20</w:t>
      </w:r>
      <w:r>
        <w:rPr>
          <w:color w:val="000000" w:themeColor="text1"/>
        </w:rPr>
        <w:t>5</w:t>
      </w:r>
      <w:r w:rsidRPr="008F3CC0">
        <w:rPr>
          <w:color w:val="000000" w:themeColor="text1"/>
        </w:rPr>
        <w:t xml:space="preserve"> (D.D.C.</w:t>
      </w:r>
      <w:r w:rsidR="007E2AE3">
        <w:rPr>
          <w:color w:val="000000" w:themeColor="text1"/>
        </w:rPr>
        <w:t xml:space="preserve"> </w:t>
      </w:r>
      <w:r w:rsidRPr="008F3CC0">
        <w:rPr>
          <w:color w:val="000000" w:themeColor="text1"/>
        </w:rPr>
        <w:t>2005)</w:t>
      </w:r>
      <w:r w:rsidRPr="008F3CC0">
        <w:rPr>
          <w:rStyle w:val="apple-converted-space"/>
          <w:color w:val="252525"/>
        </w:rPr>
        <w:t xml:space="preserve"> (a </w:t>
      </w:r>
      <w:r w:rsidRPr="008F3CC0">
        <w:rPr>
          <w:color w:val="252525"/>
        </w:rPr>
        <w:t>“predict[ion]” that is “at best, remote and speculative” does not merit a finding of irreparable harm)</w:t>
      </w:r>
      <w:r w:rsidR="007E2AE3">
        <w:rPr>
          <w:color w:val="252525"/>
        </w:rPr>
        <w:t>.</w:t>
      </w:r>
      <w:r w:rsidRPr="008F3CC0">
        <w:rPr>
          <w:rStyle w:val="apple-converted-space"/>
          <w:color w:val="252525"/>
        </w:rPr>
        <w:t> </w:t>
      </w:r>
    </w:p>
  </w:footnote>
  <w:footnote w:id="56">
    <w:p w14:paraId="72C13FAF" w14:textId="77777777" w:rsidR="00D74A6B" w:rsidRPr="008F3CC0" w:rsidRDefault="00D74A6B" w:rsidP="00A20DE9">
      <w:pPr>
        <w:pStyle w:val="FootnoteText"/>
      </w:pPr>
      <w:r w:rsidRPr="008F3CC0">
        <w:rPr>
          <w:rStyle w:val="FootnoteReference"/>
        </w:rPr>
        <w:footnoteRef/>
      </w:r>
      <w:r w:rsidRPr="008F3CC0">
        <w:t xml:space="preserve"> </w:t>
      </w:r>
      <w:r w:rsidRPr="008F3CC0">
        <w:rPr>
          <w:i/>
        </w:rPr>
        <w:t>Incentive Auction R&amp;O</w:t>
      </w:r>
      <w:r w:rsidRPr="008F3CC0">
        <w:t xml:space="preserve">, 29 FCC Rcd at 6671, para. 234.  </w:t>
      </w:r>
      <w:r w:rsidRPr="008F3CC0">
        <w:rPr>
          <w:i/>
        </w:rPr>
        <w:t>See also id</w:t>
      </w:r>
      <w:r w:rsidRPr="008F3CC0">
        <w:t>. at 6794, para. 554 and 6795, para. 556.</w:t>
      </w:r>
    </w:p>
  </w:footnote>
  <w:footnote w:id="57">
    <w:p w14:paraId="0F8342B2" w14:textId="38AB2E0E" w:rsidR="00D74A6B" w:rsidRPr="00C22754" w:rsidRDefault="00D74A6B">
      <w:pPr>
        <w:pStyle w:val="FootnoteText"/>
      </w:pPr>
      <w:r>
        <w:rPr>
          <w:rStyle w:val="FootnoteReference"/>
        </w:rPr>
        <w:footnoteRef/>
      </w:r>
      <w:r w:rsidR="00C22754">
        <w:t xml:space="preserve"> </w:t>
      </w:r>
      <w:r w:rsidR="00C22754">
        <w:rPr>
          <w:i/>
        </w:rPr>
        <w:t xml:space="preserve">See </w:t>
      </w:r>
      <w:r w:rsidR="00F40349">
        <w:rPr>
          <w:i/>
        </w:rPr>
        <w:t>id.</w:t>
      </w:r>
      <w:r w:rsidR="00C22754">
        <w:t xml:space="preserve"> at 6835</w:t>
      </w:r>
      <w:r w:rsidR="00F40349">
        <w:t>,</w:t>
      </w:r>
      <w:r w:rsidR="00C22754">
        <w:t xml:space="preserve"> para. 657.</w:t>
      </w:r>
    </w:p>
  </w:footnote>
  <w:footnote w:id="58">
    <w:p w14:paraId="0C2AD553" w14:textId="3513EC34" w:rsidR="00D74A6B" w:rsidRPr="008F3CC0" w:rsidRDefault="00D74A6B">
      <w:pPr>
        <w:pStyle w:val="FootnoteText"/>
      </w:pPr>
      <w:r w:rsidRPr="008F3CC0">
        <w:rPr>
          <w:rStyle w:val="FootnoteReference"/>
        </w:rPr>
        <w:footnoteRef/>
      </w:r>
      <w:r w:rsidRPr="008F3CC0">
        <w:t xml:space="preserve"> </w:t>
      </w:r>
      <w:r>
        <w:rPr>
          <w:i/>
        </w:rPr>
        <w:t>See C</w:t>
      </w:r>
      <w:r w:rsidRPr="002D2C4F">
        <w:rPr>
          <w:i/>
        </w:rPr>
        <w:t>hannel Sharing By Full Power and Class A Stations Outside the Broadcast Television Spectrum Incentive Auction Context</w:t>
      </w:r>
      <w:r w:rsidRPr="002D2C4F">
        <w:t>, GN Docket No. 12-268, MB Docket No. 15-137, Notice of Proposed Rulemaking</w:t>
      </w:r>
      <w:r w:rsidRPr="002D2C4F">
        <w:rPr>
          <w:i/>
        </w:rPr>
        <w:t>,</w:t>
      </w:r>
      <w:r w:rsidRPr="002D2C4F">
        <w:t xml:space="preserve"> 30 FCC Rcd 6668 (2015)</w:t>
      </w:r>
      <w:r>
        <w:t>.</w:t>
      </w:r>
      <w:r w:rsidR="00BF7889">
        <w:t xml:space="preserve">  Movants’ stations are now Class A stations, though, as explained above, they did not seek or achieve that status at the relevant time to receive discretionary repacking protection.</w:t>
      </w:r>
    </w:p>
  </w:footnote>
  <w:footnote w:id="59">
    <w:p w14:paraId="4C74D6D1" w14:textId="145E6DDA" w:rsidR="00D74A6B" w:rsidRDefault="00D74A6B">
      <w:pPr>
        <w:pStyle w:val="FootnoteText"/>
      </w:pPr>
      <w:r>
        <w:rPr>
          <w:rStyle w:val="FootnoteReference"/>
        </w:rPr>
        <w:footnoteRef/>
      </w:r>
      <w:r>
        <w:t xml:space="preserve"> Stay Motion at 10 (stating that Movants do not seek to stop the auction from starting on March 29, 2016 and that the goals of the auction will be served by allowing them to participate).</w:t>
      </w:r>
    </w:p>
  </w:footnote>
  <w:footnote w:id="60">
    <w:p w14:paraId="1A0CE35E" w14:textId="3983485F" w:rsidR="006B04A0" w:rsidRPr="00D57659" w:rsidRDefault="006B04A0">
      <w:pPr>
        <w:pStyle w:val="FootnoteText"/>
        <w:rPr>
          <w:i/>
        </w:rPr>
      </w:pPr>
      <w:r>
        <w:rPr>
          <w:rStyle w:val="FootnoteReference"/>
        </w:rPr>
        <w:footnoteRef/>
      </w:r>
      <w:r w:rsidR="00761119">
        <w:rPr>
          <w:color w:val="252525"/>
        </w:rPr>
        <w:t xml:space="preserve"> </w:t>
      </w:r>
      <w:r w:rsidR="00761119">
        <w:rPr>
          <w:i/>
          <w:color w:val="252525"/>
        </w:rPr>
        <w:t xml:space="preserve">See </w:t>
      </w:r>
      <w:r w:rsidR="00761119" w:rsidRPr="005A392D">
        <w:rPr>
          <w:i/>
        </w:rPr>
        <w:t>Application Procedures for Broadcast Incentive Auction Scheduled to Begin on March 29, 2016, Technical Formulas for Competitive Bidding</w:t>
      </w:r>
      <w:r w:rsidR="00761119" w:rsidRPr="005A392D">
        <w:t>, AU Docket No. 14-252, GN Docket No. 12-268, WT Docket No. 12-269, Pu</w:t>
      </w:r>
      <w:r w:rsidR="00761119">
        <w:t>blic Notice, DA 15-1183, para. 2</w:t>
      </w:r>
      <w:r w:rsidR="00761119" w:rsidRPr="005A392D">
        <w:t xml:space="preserve"> (WTB rel. Oct. 15, 2015).</w:t>
      </w:r>
      <w:r w:rsidR="00D57659">
        <w:t xml:space="preserve">  On November 12, 2015, OET and MB issued corrected baseline data for several stations, </w:t>
      </w:r>
      <w:r w:rsidR="00D57659">
        <w:rPr>
          <w:i/>
        </w:rPr>
        <w:t>Incentive Auction Task Force Releases Revised Baseline Data and Prices for Reverse Auction, Announces Revised Filing Window Dates</w:t>
      </w:r>
      <w:r w:rsidR="00D57659">
        <w:t xml:space="preserve">, AU </w:t>
      </w:r>
      <w:r w:rsidR="00D57659" w:rsidRPr="005A392D">
        <w:t>Docket No. 14-252, GN Docket No. 12-268, WT Docket No. 12-269, Pu</w:t>
      </w:r>
      <w:r w:rsidR="00D57659">
        <w:t>blic Notice, DA 15-1296 (rel. Nov. 12</w:t>
      </w:r>
      <w:r w:rsidR="00D57659" w:rsidRPr="005A392D">
        <w:t>, 2015)</w:t>
      </w:r>
      <w:r w:rsidR="00D57659">
        <w:t>, but did not change the list of eligible stations.</w:t>
      </w:r>
    </w:p>
  </w:footnote>
  <w:footnote w:id="61">
    <w:p w14:paraId="02EE5C3E" w14:textId="19758A80" w:rsidR="00965FBE" w:rsidRPr="00761119" w:rsidRDefault="00965FBE" w:rsidP="00761119">
      <w:pPr>
        <w:pStyle w:val="FootnoteText"/>
        <w:widowControl w:val="0"/>
        <w:rPr>
          <w:color w:val="000000" w:themeColor="text1"/>
        </w:rPr>
      </w:pPr>
      <w:r>
        <w:rPr>
          <w:rStyle w:val="FootnoteReference"/>
        </w:rPr>
        <w:footnoteRef/>
      </w:r>
      <w:r>
        <w:t xml:space="preserve"> </w:t>
      </w:r>
      <w:r w:rsidR="009D64A0" w:rsidRPr="00176214">
        <w:rPr>
          <w:i/>
          <w:color w:val="000000" w:themeColor="text1"/>
        </w:rPr>
        <w:t>Incentive Auction NPRM</w:t>
      </w:r>
      <w:r w:rsidR="009D64A0">
        <w:rPr>
          <w:color w:val="000000" w:themeColor="text1"/>
        </w:rPr>
        <w:t xml:space="preserve">, </w:t>
      </w:r>
      <w:r w:rsidR="009D64A0" w:rsidRPr="00176214">
        <w:rPr>
          <w:color w:val="000000" w:themeColor="text1"/>
        </w:rPr>
        <w:t xml:space="preserve">27 FCC Rcd </w:t>
      </w:r>
      <w:r w:rsidR="009D64A0">
        <w:rPr>
          <w:color w:val="000000" w:themeColor="text1"/>
        </w:rPr>
        <w:t>at 12358, para. 1</w:t>
      </w:r>
      <w:r w:rsidR="009D64A0" w:rsidRPr="00176214">
        <w:rPr>
          <w:color w:val="000000" w:themeColor="text1"/>
        </w:rPr>
        <w:t>.</w:t>
      </w:r>
    </w:p>
  </w:footnote>
  <w:footnote w:id="62">
    <w:p w14:paraId="3CC5977C" w14:textId="5A363492" w:rsidR="0048755E" w:rsidRPr="0048755E" w:rsidRDefault="0048755E">
      <w:pPr>
        <w:pStyle w:val="FootnoteText"/>
      </w:pPr>
      <w:r>
        <w:rPr>
          <w:rStyle w:val="FootnoteReference"/>
        </w:rPr>
        <w:footnoteRef/>
      </w:r>
      <w:r>
        <w:t xml:space="preserve"> </w:t>
      </w:r>
      <w:r>
        <w:rPr>
          <w:i/>
        </w:rPr>
        <w:t>Incentive Auction R&amp;O</w:t>
      </w:r>
      <w:r>
        <w:t>, 29 FCC Rcd at 6573, para. 13.</w:t>
      </w:r>
    </w:p>
  </w:footnote>
  <w:footnote w:id="63">
    <w:p w14:paraId="75D8DF4F" w14:textId="66E34F50" w:rsidR="0048755E" w:rsidRPr="00C22754" w:rsidRDefault="0048755E">
      <w:pPr>
        <w:pStyle w:val="FootnoteText"/>
      </w:pPr>
      <w:r>
        <w:rPr>
          <w:rStyle w:val="FootnoteReference"/>
        </w:rPr>
        <w:footnoteRef/>
      </w:r>
      <w:r>
        <w:t xml:space="preserve"> </w:t>
      </w:r>
      <w:r w:rsidRPr="008F3CC0">
        <w:rPr>
          <w:i/>
          <w:color w:val="000000"/>
        </w:rPr>
        <w:t>See Genesis Communications I, Inc</w:t>
      </w:r>
      <w:r w:rsidRPr="008F3CC0">
        <w:rPr>
          <w:color w:val="000000"/>
        </w:rPr>
        <w:t>., Memorandum Opinion and Order, 29 FCC Rcd 4214, 4215, para. 3 (2014) (“[T]here is no rule or case support for the claim that auction or post-auction procedures must be delayed until all reviews and appeals are final.”).</w:t>
      </w:r>
      <w:r w:rsidR="00C22754">
        <w:rPr>
          <w:color w:val="000000"/>
        </w:rPr>
        <w:t xml:space="preserve">  </w:t>
      </w:r>
      <w:r w:rsidR="00C22754">
        <w:rPr>
          <w:i/>
          <w:color w:val="000000"/>
        </w:rPr>
        <w:t xml:space="preserve">See also </w:t>
      </w:r>
      <w:r w:rsidR="00C22754">
        <w:rPr>
          <w:color w:val="000000"/>
        </w:rPr>
        <w:t xml:space="preserve">47 U.S.C. </w:t>
      </w:r>
      <w:r w:rsidR="00C22754" w:rsidRPr="00434871">
        <w:rPr>
          <w:color w:val="000000" w:themeColor="text1"/>
          <w:szCs w:val="22"/>
        </w:rPr>
        <w:t>§</w:t>
      </w:r>
      <w:r w:rsidR="00C22754">
        <w:rPr>
          <w:color w:val="000000" w:themeColor="text1"/>
          <w:szCs w:val="22"/>
        </w:rPr>
        <w:t xml:space="preserve"> 309(j)(3)(A) (directing the Commission to design auctions in order to, </w:t>
      </w:r>
      <w:r w:rsidR="00C22754">
        <w:rPr>
          <w:i/>
          <w:color w:val="000000" w:themeColor="text1"/>
          <w:szCs w:val="22"/>
        </w:rPr>
        <w:t>inter alia</w:t>
      </w:r>
      <w:r w:rsidR="00C22754">
        <w:rPr>
          <w:color w:val="000000" w:themeColor="text1"/>
          <w:szCs w:val="22"/>
        </w:rPr>
        <w:t xml:space="preserve">, promote “the development and rapid deployment of new technologies, products, and services for the benefit of the public, including those residing in rural areas, without administrative or judicial delays”).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E1F0E" w14:textId="77777777" w:rsidR="007F0C4B" w:rsidRDefault="007F0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58BD1" w14:textId="115D9C71" w:rsidR="00D74A6B" w:rsidRDefault="00D74A6B" w:rsidP="00810B6F">
    <w:pPr>
      <w:pStyle w:val="Header"/>
      <w:rPr>
        <w:b w:val="0"/>
      </w:rPr>
    </w:pPr>
    <w:r>
      <w:tab/>
      <w:t>Federal Communications Commission</w:t>
    </w:r>
    <w:r>
      <w:tab/>
    </w:r>
    <w:r w:rsidRPr="0048447C">
      <w:t>DA 15-</w:t>
    </w:r>
    <w:r w:rsidR="0075742A">
      <w:t>1454</w:t>
    </w:r>
  </w:p>
  <w:p w14:paraId="0D6008C6" w14:textId="5F64DD32" w:rsidR="00D74A6B" w:rsidRPr="002D1A73" w:rsidRDefault="00D74A6B" w:rsidP="002D1A73">
    <w:pPr>
      <w:tabs>
        <w:tab w:val="left" w:pos="-720"/>
      </w:tabs>
      <w:suppressAutoHyphens/>
      <w:spacing w:line="19" w:lineRule="exact"/>
      <w:rPr>
        <w:spacing w:val="-2"/>
      </w:rPr>
    </w:pPr>
    <w:r w:rsidRPr="00A0740E">
      <w:rPr>
        <w:noProof/>
      </w:rPr>
      <mc:AlternateContent>
        <mc:Choice Requires="wps">
          <w:drawing>
            <wp:anchor distT="0" distB="0" distL="114300" distR="114300" simplePos="0" relativeHeight="251658240" behindDoc="1" locked="0" layoutInCell="0" allowOverlap="1" wp14:anchorId="71C45EFD" wp14:editId="157CF9C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B0F7F3"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C2CB" w14:textId="665D982D" w:rsidR="00D74A6B" w:rsidRDefault="00D74A6B" w:rsidP="00810B6F">
    <w:pPr>
      <w:pStyle w:val="Header"/>
      <w:rPr>
        <w:b w:val="0"/>
      </w:rPr>
    </w:pPr>
    <w:r w:rsidRPr="00A0740E">
      <w:rPr>
        <w:b w:val="0"/>
        <w:noProof/>
      </w:rPr>
      <mc:AlternateContent>
        <mc:Choice Requires="wps">
          <w:drawing>
            <wp:anchor distT="0" distB="0" distL="114300" distR="114300" simplePos="0" relativeHeight="251658241" behindDoc="1" locked="0" layoutInCell="0" allowOverlap="1" wp14:anchorId="768760D1" wp14:editId="429A391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4EF8E5"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Pr="0048447C">
      <w:rPr>
        <w:spacing w:val="-2"/>
      </w:rPr>
      <w:t>DA 15-</w:t>
    </w:r>
    <w:r w:rsidR="0075742A">
      <w:rPr>
        <w:spacing w:val="-2"/>
      </w:rPr>
      <w:t>1454</w:t>
    </w:r>
  </w:p>
  <w:p w14:paraId="24E899C0" w14:textId="77777777" w:rsidR="00D74A6B" w:rsidRDefault="00D74A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1A754C"/>
    <w:multiLevelType w:val="hybridMultilevel"/>
    <w:tmpl w:val="854EA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DDD6E36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0A0F18"/>
    <w:multiLevelType w:val="hybridMultilevel"/>
    <w:tmpl w:val="8B4A3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8BD4A99E"/>
    <w:lvl w:ilvl="0">
      <w:start w:val="1"/>
      <w:numFmt w:val="decimal"/>
      <w:pStyle w:val="ParaNum"/>
      <w:lvlText w:val="%1."/>
      <w:lvlJc w:val="left"/>
      <w:pPr>
        <w:tabs>
          <w:tab w:val="num" w:pos="1080"/>
        </w:tabs>
        <w:ind w:left="0" w:firstLine="720"/>
      </w:pPr>
      <w:rPr>
        <w:color w:val="auto"/>
      </w:rPr>
    </w:lvl>
  </w:abstractNum>
  <w:abstractNum w:abstractNumId="8">
    <w:nsid w:val="67533832"/>
    <w:multiLevelType w:val="hybridMultilevel"/>
    <w:tmpl w:val="72685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 w:numId="9">
    <w:abstractNumId w:val="7"/>
    <w:lvlOverride w:ilvl="0">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28"/>
    <w:rsid w:val="000005A5"/>
    <w:rsid w:val="00005ECF"/>
    <w:rsid w:val="00007832"/>
    <w:rsid w:val="00007A55"/>
    <w:rsid w:val="000105F4"/>
    <w:rsid w:val="00010849"/>
    <w:rsid w:val="00011982"/>
    <w:rsid w:val="000231ED"/>
    <w:rsid w:val="000241C9"/>
    <w:rsid w:val="00024CA2"/>
    <w:rsid w:val="00024F0F"/>
    <w:rsid w:val="00031A2B"/>
    <w:rsid w:val="00032833"/>
    <w:rsid w:val="00036039"/>
    <w:rsid w:val="000365D2"/>
    <w:rsid w:val="00037F90"/>
    <w:rsid w:val="000428FB"/>
    <w:rsid w:val="00045EA8"/>
    <w:rsid w:val="00045EF7"/>
    <w:rsid w:val="0004705A"/>
    <w:rsid w:val="0005118D"/>
    <w:rsid w:val="00052CEA"/>
    <w:rsid w:val="00054670"/>
    <w:rsid w:val="000566D9"/>
    <w:rsid w:val="00056FEA"/>
    <w:rsid w:val="00060013"/>
    <w:rsid w:val="00060CC5"/>
    <w:rsid w:val="000613E2"/>
    <w:rsid w:val="000631D5"/>
    <w:rsid w:val="000665A1"/>
    <w:rsid w:val="0007074D"/>
    <w:rsid w:val="00072F32"/>
    <w:rsid w:val="00075C1F"/>
    <w:rsid w:val="00084697"/>
    <w:rsid w:val="000854D6"/>
    <w:rsid w:val="00086C94"/>
    <w:rsid w:val="00086EDA"/>
    <w:rsid w:val="000873FF"/>
    <w:rsid w:val="000875BF"/>
    <w:rsid w:val="0009046E"/>
    <w:rsid w:val="00091061"/>
    <w:rsid w:val="00093D22"/>
    <w:rsid w:val="000966A5"/>
    <w:rsid w:val="00096D8C"/>
    <w:rsid w:val="000A2FF9"/>
    <w:rsid w:val="000A3000"/>
    <w:rsid w:val="000A416B"/>
    <w:rsid w:val="000A63CA"/>
    <w:rsid w:val="000A6E2D"/>
    <w:rsid w:val="000B1D1B"/>
    <w:rsid w:val="000B3752"/>
    <w:rsid w:val="000B553B"/>
    <w:rsid w:val="000B6571"/>
    <w:rsid w:val="000B73A1"/>
    <w:rsid w:val="000C0B65"/>
    <w:rsid w:val="000C1658"/>
    <w:rsid w:val="000C2DEB"/>
    <w:rsid w:val="000C3C83"/>
    <w:rsid w:val="000C6896"/>
    <w:rsid w:val="000C6F09"/>
    <w:rsid w:val="000D03D1"/>
    <w:rsid w:val="000D0F9A"/>
    <w:rsid w:val="000D1106"/>
    <w:rsid w:val="000D115B"/>
    <w:rsid w:val="000D1474"/>
    <w:rsid w:val="000D4076"/>
    <w:rsid w:val="000D6778"/>
    <w:rsid w:val="000D7D41"/>
    <w:rsid w:val="000E05FE"/>
    <w:rsid w:val="000E0E84"/>
    <w:rsid w:val="000E1CCA"/>
    <w:rsid w:val="000E2FFB"/>
    <w:rsid w:val="000E338C"/>
    <w:rsid w:val="000E3D42"/>
    <w:rsid w:val="000E4643"/>
    <w:rsid w:val="000E4CBF"/>
    <w:rsid w:val="000E5562"/>
    <w:rsid w:val="000E6042"/>
    <w:rsid w:val="000E7AD2"/>
    <w:rsid w:val="000F0A63"/>
    <w:rsid w:val="000F0FBB"/>
    <w:rsid w:val="000F2779"/>
    <w:rsid w:val="000F400C"/>
    <w:rsid w:val="000F4519"/>
    <w:rsid w:val="000F7B5B"/>
    <w:rsid w:val="00102511"/>
    <w:rsid w:val="00106A09"/>
    <w:rsid w:val="00110064"/>
    <w:rsid w:val="00111432"/>
    <w:rsid w:val="00112230"/>
    <w:rsid w:val="00112D89"/>
    <w:rsid w:val="00114B6C"/>
    <w:rsid w:val="001152F1"/>
    <w:rsid w:val="00117E1A"/>
    <w:rsid w:val="00120D0C"/>
    <w:rsid w:val="00122BD5"/>
    <w:rsid w:val="00123F46"/>
    <w:rsid w:val="00126884"/>
    <w:rsid w:val="00126B9F"/>
    <w:rsid w:val="00126E90"/>
    <w:rsid w:val="0013113F"/>
    <w:rsid w:val="0013168D"/>
    <w:rsid w:val="00133F79"/>
    <w:rsid w:val="00133FB4"/>
    <w:rsid w:val="001341FE"/>
    <w:rsid w:val="00137FBA"/>
    <w:rsid w:val="00142E52"/>
    <w:rsid w:val="00143623"/>
    <w:rsid w:val="00151193"/>
    <w:rsid w:val="00152302"/>
    <w:rsid w:val="001547FF"/>
    <w:rsid w:val="00157129"/>
    <w:rsid w:val="001574A3"/>
    <w:rsid w:val="00157DB9"/>
    <w:rsid w:val="001623E9"/>
    <w:rsid w:val="001717E8"/>
    <w:rsid w:val="00171856"/>
    <w:rsid w:val="00172B85"/>
    <w:rsid w:val="00173938"/>
    <w:rsid w:val="00175D96"/>
    <w:rsid w:val="0017674B"/>
    <w:rsid w:val="00177397"/>
    <w:rsid w:val="00185576"/>
    <w:rsid w:val="0018668E"/>
    <w:rsid w:val="00186F05"/>
    <w:rsid w:val="00187DD6"/>
    <w:rsid w:val="001913DC"/>
    <w:rsid w:val="00192EBF"/>
    <w:rsid w:val="00193BBB"/>
    <w:rsid w:val="00194A66"/>
    <w:rsid w:val="00197B22"/>
    <w:rsid w:val="001A14A5"/>
    <w:rsid w:val="001A1AB9"/>
    <w:rsid w:val="001A206B"/>
    <w:rsid w:val="001A2D5F"/>
    <w:rsid w:val="001A6663"/>
    <w:rsid w:val="001A6B43"/>
    <w:rsid w:val="001A7958"/>
    <w:rsid w:val="001A7C34"/>
    <w:rsid w:val="001B3A83"/>
    <w:rsid w:val="001B589E"/>
    <w:rsid w:val="001C043D"/>
    <w:rsid w:val="001C2111"/>
    <w:rsid w:val="001C2B28"/>
    <w:rsid w:val="001C313D"/>
    <w:rsid w:val="001C6CEF"/>
    <w:rsid w:val="001D3B2D"/>
    <w:rsid w:val="001D6BCF"/>
    <w:rsid w:val="001D76F6"/>
    <w:rsid w:val="001D7DB3"/>
    <w:rsid w:val="001E01CA"/>
    <w:rsid w:val="001E111E"/>
    <w:rsid w:val="001E39AF"/>
    <w:rsid w:val="001E3F6A"/>
    <w:rsid w:val="001E470C"/>
    <w:rsid w:val="001E7C08"/>
    <w:rsid w:val="001F0CE7"/>
    <w:rsid w:val="001F1294"/>
    <w:rsid w:val="001F1763"/>
    <w:rsid w:val="001F1B51"/>
    <w:rsid w:val="001F298C"/>
    <w:rsid w:val="001F3975"/>
    <w:rsid w:val="001F3BAA"/>
    <w:rsid w:val="001F6EDE"/>
    <w:rsid w:val="001F76B1"/>
    <w:rsid w:val="00201BF9"/>
    <w:rsid w:val="0020364C"/>
    <w:rsid w:val="00206005"/>
    <w:rsid w:val="002061E6"/>
    <w:rsid w:val="00207A05"/>
    <w:rsid w:val="00213EDD"/>
    <w:rsid w:val="00215713"/>
    <w:rsid w:val="00216467"/>
    <w:rsid w:val="00222E5B"/>
    <w:rsid w:val="00223453"/>
    <w:rsid w:val="002237D3"/>
    <w:rsid w:val="00223AEE"/>
    <w:rsid w:val="00225517"/>
    <w:rsid w:val="00226D17"/>
    <w:rsid w:val="00233143"/>
    <w:rsid w:val="0023659C"/>
    <w:rsid w:val="00242983"/>
    <w:rsid w:val="002450A9"/>
    <w:rsid w:val="00246ED3"/>
    <w:rsid w:val="002503F4"/>
    <w:rsid w:val="00251945"/>
    <w:rsid w:val="00252993"/>
    <w:rsid w:val="002531EF"/>
    <w:rsid w:val="00253349"/>
    <w:rsid w:val="00255176"/>
    <w:rsid w:val="002565B3"/>
    <w:rsid w:val="00260272"/>
    <w:rsid w:val="00263267"/>
    <w:rsid w:val="00265DBE"/>
    <w:rsid w:val="00271072"/>
    <w:rsid w:val="00271B9B"/>
    <w:rsid w:val="00271BD4"/>
    <w:rsid w:val="0027339C"/>
    <w:rsid w:val="00274A5F"/>
    <w:rsid w:val="00275CF5"/>
    <w:rsid w:val="00277158"/>
    <w:rsid w:val="00282370"/>
    <w:rsid w:val="0028301F"/>
    <w:rsid w:val="00284783"/>
    <w:rsid w:val="002849F8"/>
    <w:rsid w:val="00285017"/>
    <w:rsid w:val="00285126"/>
    <w:rsid w:val="0028664E"/>
    <w:rsid w:val="00291898"/>
    <w:rsid w:val="00291B74"/>
    <w:rsid w:val="00294282"/>
    <w:rsid w:val="002A2D2E"/>
    <w:rsid w:val="002A37DA"/>
    <w:rsid w:val="002A4018"/>
    <w:rsid w:val="002A518A"/>
    <w:rsid w:val="002A68B4"/>
    <w:rsid w:val="002A6F35"/>
    <w:rsid w:val="002B32E5"/>
    <w:rsid w:val="002B5267"/>
    <w:rsid w:val="002B538D"/>
    <w:rsid w:val="002B7C54"/>
    <w:rsid w:val="002C00E8"/>
    <w:rsid w:val="002C369B"/>
    <w:rsid w:val="002C4523"/>
    <w:rsid w:val="002C6949"/>
    <w:rsid w:val="002C7367"/>
    <w:rsid w:val="002D193F"/>
    <w:rsid w:val="002D1A73"/>
    <w:rsid w:val="002D1E82"/>
    <w:rsid w:val="002D251B"/>
    <w:rsid w:val="002D4442"/>
    <w:rsid w:val="002D743D"/>
    <w:rsid w:val="002E16D4"/>
    <w:rsid w:val="002E2F2D"/>
    <w:rsid w:val="002E32FD"/>
    <w:rsid w:val="002F1B50"/>
    <w:rsid w:val="002F3328"/>
    <w:rsid w:val="002F3A4B"/>
    <w:rsid w:val="002F4749"/>
    <w:rsid w:val="002F5377"/>
    <w:rsid w:val="0030072D"/>
    <w:rsid w:val="00305D23"/>
    <w:rsid w:val="00305DA9"/>
    <w:rsid w:val="003063D4"/>
    <w:rsid w:val="00306835"/>
    <w:rsid w:val="003109CF"/>
    <w:rsid w:val="003152B4"/>
    <w:rsid w:val="003209A9"/>
    <w:rsid w:val="0032138B"/>
    <w:rsid w:val="003246B4"/>
    <w:rsid w:val="00324815"/>
    <w:rsid w:val="003258C5"/>
    <w:rsid w:val="003329BD"/>
    <w:rsid w:val="003330A1"/>
    <w:rsid w:val="00335A36"/>
    <w:rsid w:val="00342A08"/>
    <w:rsid w:val="003431C8"/>
    <w:rsid w:val="003432DE"/>
    <w:rsid w:val="0034370D"/>
    <w:rsid w:val="00343749"/>
    <w:rsid w:val="00345096"/>
    <w:rsid w:val="00346F9D"/>
    <w:rsid w:val="00351F39"/>
    <w:rsid w:val="003528F0"/>
    <w:rsid w:val="003579F4"/>
    <w:rsid w:val="00362CB8"/>
    <w:rsid w:val="00362F03"/>
    <w:rsid w:val="00366019"/>
    <w:rsid w:val="003660ED"/>
    <w:rsid w:val="00370DB6"/>
    <w:rsid w:val="00374D42"/>
    <w:rsid w:val="00377A41"/>
    <w:rsid w:val="0038410E"/>
    <w:rsid w:val="00384B92"/>
    <w:rsid w:val="00386191"/>
    <w:rsid w:val="00387BC0"/>
    <w:rsid w:val="00391D13"/>
    <w:rsid w:val="003930EB"/>
    <w:rsid w:val="00393D48"/>
    <w:rsid w:val="003940A0"/>
    <w:rsid w:val="0039603C"/>
    <w:rsid w:val="0039702F"/>
    <w:rsid w:val="003A0A8F"/>
    <w:rsid w:val="003A1862"/>
    <w:rsid w:val="003A3119"/>
    <w:rsid w:val="003A4527"/>
    <w:rsid w:val="003A613D"/>
    <w:rsid w:val="003A6955"/>
    <w:rsid w:val="003B04EF"/>
    <w:rsid w:val="003B0550"/>
    <w:rsid w:val="003B236D"/>
    <w:rsid w:val="003B694F"/>
    <w:rsid w:val="003B7D1B"/>
    <w:rsid w:val="003C00EC"/>
    <w:rsid w:val="003C0693"/>
    <w:rsid w:val="003C2D33"/>
    <w:rsid w:val="003C2F5C"/>
    <w:rsid w:val="003C7947"/>
    <w:rsid w:val="003D0C84"/>
    <w:rsid w:val="003D1168"/>
    <w:rsid w:val="003D32ED"/>
    <w:rsid w:val="003D342B"/>
    <w:rsid w:val="003D3DDB"/>
    <w:rsid w:val="003D40DD"/>
    <w:rsid w:val="003D63D6"/>
    <w:rsid w:val="003E0653"/>
    <w:rsid w:val="003E2096"/>
    <w:rsid w:val="003E4419"/>
    <w:rsid w:val="003F171C"/>
    <w:rsid w:val="003F5211"/>
    <w:rsid w:val="003F64B6"/>
    <w:rsid w:val="003F71CC"/>
    <w:rsid w:val="00400638"/>
    <w:rsid w:val="00400B62"/>
    <w:rsid w:val="00401671"/>
    <w:rsid w:val="00402BA9"/>
    <w:rsid w:val="00403F53"/>
    <w:rsid w:val="00404916"/>
    <w:rsid w:val="00405755"/>
    <w:rsid w:val="004115AE"/>
    <w:rsid w:val="00412F57"/>
    <w:rsid w:val="00412FC5"/>
    <w:rsid w:val="0041504D"/>
    <w:rsid w:val="00421983"/>
    <w:rsid w:val="004220EC"/>
    <w:rsid w:val="00422276"/>
    <w:rsid w:val="00423AA6"/>
    <w:rsid w:val="00424217"/>
    <w:rsid w:val="004242F1"/>
    <w:rsid w:val="004322E9"/>
    <w:rsid w:val="00432FA9"/>
    <w:rsid w:val="0043345C"/>
    <w:rsid w:val="00434871"/>
    <w:rsid w:val="00434941"/>
    <w:rsid w:val="004371EF"/>
    <w:rsid w:val="00440C04"/>
    <w:rsid w:val="00445A00"/>
    <w:rsid w:val="0045099D"/>
    <w:rsid w:val="00451B0F"/>
    <w:rsid w:val="00451D0E"/>
    <w:rsid w:val="00452073"/>
    <w:rsid w:val="00452C0E"/>
    <w:rsid w:val="004539F6"/>
    <w:rsid w:val="00454BD4"/>
    <w:rsid w:val="00470678"/>
    <w:rsid w:val="00471482"/>
    <w:rsid w:val="004721A1"/>
    <w:rsid w:val="0047244B"/>
    <w:rsid w:val="00474DB9"/>
    <w:rsid w:val="00476D99"/>
    <w:rsid w:val="0048025C"/>
    <w:rsid w:val="00480267"/>
    <w:rsid w:val="00481806"/>
    <w:rsid w:val="004825C7"/>
    <w:rsid w:val="0048447C"/>
    <w:rsid w:val="0048528C"/>
    <w:rsid w:val="004868FD"/>
    <w:rsid w:val="0048755E"/>
    <w:rsid w:val="004902DF"/>
    <w:rsid w:val="00490D37"/>
    <w:rsid w:val="004920B6"/>
    <w:rsid w:val="0049272C"/>
    <w:rsid w:val="00495373"/>
    <w:rsid w:val="00495B42"/>
    <w:rsid w:val="0049757B"/>
    <w:rsid w:val="004A0EAD"/>
    <w:rsid w:val="004A24CF"/>
    <w:rsid w:val="004A3107"/>
    <w:rsid w:val="004A45D1"/>
    <w:rsid w:val="004A4847"/>
    <w:rsid w:val="004A55BB"/>
    <w:rsid w:val="004A6757"/>
    <w:rsid w:val="004A6F22"/>
    <w:rsid w:val="004A7B7B"/>
    <w:rsid w:val="004B0FD6"/>
    <w:rsid w:val="004B54D5"/>
    <w:rsid w:val="004B57E7"/>
    <w:rsid w:val="004B7F15"/>
    <w:rsid w:val="004C0AE1"/>
    <w:rsid w:val="004C1BEC"/>
    <w:rsid w:val="004C2EE3"/>
    <w:rsid w:val="004C3B7A"/>
    <w:rsid w:val="004C6221"/>
    <w:rsid w:val="004C6C9D"/>
    <w:rsid w:val="004C72B8"/>
    <w:rsid w:val="004C73E5"/>
    <w:rsid w:val="004D0CE0"/>
    <w:rsid w:val="004D182A"/>
    <w:rsid w:val="004D1BDF"/>
    <w:rsid w:val="004D1FB8"/>
    <w:rsid w:val="004D2575"/>
    <w:rsid w:val="004D2D5A"/>
    <w:rsid w:val="004D2E96"/>
    <w:rsid w:val="004D46EA"/>
    <w:rsid w:val="004D7D68"/>
    <w:rsid w:val="004E3673"/>
    <w:rsid w:val="004E4A22"/>
    <w:rsid w:val="004F0E45"/>
    <w:rsid w:val="004F2BCA"/>
    <w:rsid w:val="004F48DF"/>
    <w:rsid w:val="0050178C"/>
    <w:rsid w:val="00502A62"/>
    <w:rsid w:val="00504E41"/>
    <w:rsid w:val="00510475"/>
    <w:rsid w:val="00511968"/>
    <w:rsid w:val="00511B0B"/>
    <w:rsid w:val="0051351B"/>
    <w:rsid w:val="0051462C"/>
    <w:rsid w:val="0051532C"/>
    <w:rsid w:val="005175DE"/>
    <w:rsid w:val="0052152E"/>
    <w:rsid w:val="00522D2A"/>
    <w:rsid w:val="00534DD9"/>
    <w:rsid w:val="00550713"/>
    <w:rsid w:val="005525A4"/>
    <w:rsid w:val="0055614C"/>
    <w:rsid w:val="005567E3"/>
    <w:rsid w:val="005625DF"/>
    <w:rsid w:val="00562AA9"/>
    <w:rsid w:val="00562CC6"/>
    <w:rsid w:val="005634D8"/>
    <w:rsid w:val="00564476"/>
    <w:rsid w:val="00564547"/>
    <w:rsid w:val="00564B12"/>
    <w:rsid w:val="005652FC"/>
    <w:rsid w:val="00566952"/>
    <w:rsid w:val="00566E8D"/>
    <w:rsid w:val="0057373C"/>
    <w:rsid w:val="00573BB5"/>
    <w:rsid w:val="00575B02"/>
    <w:rsid w:val="00576C13"/>
    <w:rsid w:val="00577D5B"/>
    <w:rsid w:val="00583121"/>
    <w:rsid w:val="00590A5D"/>
    <w:rsid w:val="005910A0"/>
    <w:rsid w:val="0059238B"/>
    <w:rsid w:val="0059251D"/>
    <w:rsid w:val="0059479C"/>
    <w:rsid w:val="0059567B"/>
    <w:rsid w:val="00596EBB"/>
    <w:rsid w:val="005A0B7C"/>
    <w:rsid w:val="005B67B9"/>
    <w:rsid w:val="005C344F"/>
    <w:rsid w:val="005C3B5B"/>
    <w:rsid w:val="005C46E0"/>
    <w:rsid w:val="005C4EE0"/>
    <w:rsid w:val="005D092D"/>
    <w:rsid w:val="005D603E"/>
    <w:rsid w:val="005E06AB"/>
    <w:rsid w:val="005E0C92"/>
    <w:rsid w:val="005E14C2"/>
    <w:rsid w:val="005E1803"/>
    <w:rsid w:val="005E37C7"/>
    <w:rsid w:val="005E486A"/>
    <w:rsid w:val="005F1B47"/>
    <w:rsid w:val="005F1F45"/>
    <w:rsid w:val="005F2041"/>
    <w:rsid w:val="005F688B"/>
    <w:rsid w:val="005F6EE8"/>
    <w:rsid w:val="006052E4"/>
    <w:rsid w:val="00607929"/>
    <w:rsid w:val="00607BA5"/>
    <w:rsid w:val="00610A42"/>
    <w:rsid w:val="00610F4B"/>
    <w:rsid w:val="0061180A"/>
    <w:rsid w:val="00612C6F"/>
    <w:rsid w:val="00614B85"/>
    <w:rsid w:val="00614BCE"/>
    <w:rsid w:val="00615261"/>
    <w:rsid w:val="00617935"/>
    <w:rsid w:val="006242A9"/>
    <w:rsid w:val="006245F0"/>
    <w:rsid w:val="006253B9"/>
    <w:rsid w:val="00625A61"/>
    <w:rsid w:val="00626EB6"/>
    <w:rsid w:val="006328F4"/>
    <w:rsid w:val="006348AC"/>
    <w:rsid w:val="00634B4D"/>
    <w:rsid w:val="00634DEF"/>
    <w:rsid w:val="00642648"/>
    <w:rsid w:val="00645802"/>
    <w:rsid w:val="00647BC0"/>
    <w:rsid w:val="006505E9"/>
    <w:rsid w:val="00652CDE"/>
    <w:rsid w:val="00655D03"/>
    <w:rsid w:val="0065713C"/>
    <w:rsid w:val="00660768"/>
    <w:rsid w:val="006611B8"/>
    <w:rsid w:val="00661732"/>
    <w:rsid w:val="006633BC"/>
    <w:rsid w:val="00665819"/>
    <w:rsid w:val="00666431"/>
    <w:rsid w:val="006707FA"/>
    <w:rsid w:val="00681BB0"/>
    <w:rsid w:val="006822E1"/>
    <w:rsid w:val="006822E3"/>
    <w:rsid w:val="00683388"/>
    <w:rsid w:val="00683F84"/>
    <w:rsid w:val="00684FA4"/>
    <w:rsid w:val="006854A7"/>
    <w:rsid w:val="00687E3E"/>
    <w:rsid w:val="00690994"/>
    <w:rsid w:val="006918C5"/>
    <w:rsid w:val="00695DF4"/>
    <w:rsid w:val="006977B5"/>
    <w:rsid w:val="00697957"/>
    <w:rsid w:val="006979C1"/>
    <w:rsid w:val="006A0AB8"/>
    <w:rsid w:val="006A0FD2"/>
    <w:rsid w:val="006A46C4"/>
    <w:rsid w:val="006A48E5"/>
    <w:rsid w:val="006A6A81"/>
    <w:rsid w:val="006A6ED7"/>
    <w:rsid w:val="006B04A0"/>
    <w:rsid w:val="006B40A5"/>
    <w:rsid w:val="006B585B"/>
    <w:rsid w:val="006C0A6A"/>
    <w:rsid w:val="006C27D5"/>
    <w:rsid w:val="006C4182"/>
    <w:rsid w:val="006C7236"/>
    <w:rsid w:val="006D142A"/>
    <w:rsid w:val="006D3432"/>
    <w:rsid w:val="006D3C20"/>
    <w:rsid w:val="006D6C3A"/>
    <w:rsid w:val="006D6C9D"/>
    <w:rsid w:val="006E026E"/>
    <w:rsid w:val="006E3454"/>
    <w:rsid w:val="006E5F4B"/>
    <w:rsid w:val="006E63DE"/>
    <w:rsid w:val="006E73AE"/>
    <w:rsid w:val="006F6628"/>
    <w:rsid w:val="006F7393"/>
    <w:rsid w:val="0070224F"/>
    <w:rsid w:val="0070323C"/>
    <w:rsid w:val="00703FF3"/>
    <w:rsid w:val="00706461"/>
    <w:rsid w:val="00710150"/>
    <w:rsid w:val="007115F7"/>
    <w:rsid w:val="00711FCD"/>
    <w:rsid w:val="007137FF"/>
    <w:rsid w:val="0072060D"/>
    <w:rsid w:val="00722F08"/>
    <w:rsid w:val="007235F7"/>
    <w:rsid w:val="007244BE"/>
    <w:rsid w:val="00724FF0"/>
    <w:rsid w:val="00725122"/>
    <w:rsid w:val="007317F9"/>
    <w:rsid w:val="00734082"/>
    <w:rsid w:val="00734439"/>
    <w:rsid w:val="0074398E"/>
    <w:rsid w:val="00743E10"/>
    <w:rsid w:val="00746F5B"/>
    <w:rsid w:val="0074744A"/>
    <w:rsid w:val="00750FCD"/>
    <w:rsid w:val="00752088"/>
    <w:rsid w:val="0075323F"/>
    <w:rsid w:val="00754001"/>
    <w:rsid w:val="0075562E"/>
    <w:rsid w:val="0075618E"/>
    <w:rsid w:val="00756A4C"/>
    <w:rsid w:val="0075742A"/>
    <w:rsid w:val="00757B65"/>
    <w:rsid w:val="00761119"/>
    <w:rsid w:val="00764156"/>
    <w:rsid w:val="00765BF2"/>
    <w:rsid w:val="00772B81"/>
    <w:rsid w:val="00773A2C"/>
    <w:rsid w:val="00774B07"/>
    <w:rsid w:val="00784A8A"/>
    <w:rsid w:val="00785689"/>
    <w:rsid w:val="00790215"/>
    <w:rsid w:val="00790984"/>
    <w:rsid w:val="00792DDB"/>
    <w:rsid w:val="0079450A"/>
    <w:rsid w:val="00795641"/>
    <w:rsid w:val="00795F51"/>
    <w:rsid w:val="0079754B"/>
    <w:rsid w:val="00797F2B"/>
    <w:rsid w:val="007A1E6D"/>
    <w:rsid w:val="007A207B"/>
    <w:rsid w:val="007A60DE"/>
    <w:rsid w:val="007B0033"/>
    <w:rsid w:val="007B0EB2"/>
    <w:rsid w:val="007B1A49"/>
    <w:rsid w:val="007B1CCA"/>
    <w:rsid w:val="007B745A"/>
    <w:rsid w:val="007B77BF"/>
    <w:rsid w:val="007C0697"/>
    <w:rsid w:val="007C1028"/>
    <w:rsid w:val="007C11B1"/>
    <w:rsid w:val="007C4159"/>
    <w:rsid w:val="007D1AE3"/>
    <w:rsid w:val="007D3CFA"/>
    <w:rsid w:val="007D6F23"/>
    <w:rsid w:val="007E0C7D"/>
    <w:rsid w:val="007E2A4D"/>
    <w:rsid w:val="007E2AE3"/>
    <w:rsid w:val="007E2DCA"/>
    <w:rsid w:val="007E4821"/>
    <w:rsid w:val="007E4A90"/>
    <w:rsid w:val="007F0C4B"/>
    <w:rsid w:val="007F2AF6"/>
    <w:rsid w:val="00801469"/>
    <w:rsid w:val="0080183A"/>
    <w:rsid w:val="008039C5"/>
    <w:rsid w:val="00803C44"/>
    <w:rsid w:val="0080496B"/>
    <w:rsid w:val="00805CC5"/>
    <w:rsid w:val="00807B0C"/>
    <w:rsid w:val="00810B6F"/>
    <w:rsid w:val="00811D28"/>
    <w:rsid w:val="0081443D"/>
    <w:rsid w:val="00815A27"/>
    <w:rsid w:val="00822256"/>
    <w:rsid w:val="00822655"/>
    <w:rsid w:val="00822CE0"/>
    <w:rsid w:val="00822D75"/>
    <w:rsid w:val="00823BD1"/>
    <w:rsid w:val="00825C6E"/>
    <w:rsid w:val="00826159"/>
    <w:rsid w:val="00826913"/>
    <w:rsid w:val="00826F32"/>
    <w:rsid w:val="0083132E"/>
    <w:rsid w:val="00833D2F"/>
    <w:rsid w:val="00836844"/>
    <w:rsid w:val="00836A12"/>
    <w:rsid w:val="00841AB1"/>
    <w:rsid w:val="00844EC9"/>
    <w:rsid w:val="00850206"/>
    <w:rsid w:val="00855E33"/>
    <w:rsid w:val="00860168"/>
    <w:rsid w:val="00860866"/>
    <w:rsid w:val="00860B9E"/>
    <w:rsid w:val="00861003"/>
    <w:rsid w:val="00862BE0"/>
    <w:rsid w:val="00866930"/>
    <w:rsid w:val="00867EA2"/>
    <w:rsid w:val="0087092A"/>
    <w:rsid w:val="00874BF3"/>
    <w:rsid w:val="00875E91"/>
    <w:rsid w:val="0087623B"/>
    <w:rsid w:val="00881415"/>
    <w:rsid w:val="00882F43"/>
    <w:rsid w:val="0088387C"/>
    <w:rsid w:val="00883EB6"/>
    <w:rsid w:val="00884AF2"/>
    <w:rsid w:val="00890B2F"/>
    <w:rsid w:val="008914D5"/>
    <w:rsid w:val="00894D4F"/>
    <w:rsid w:val="008A17DC"/>
    <w:rsid w:val="008A1DA4"/>
    <w:rsid w:val="008A25B5"/>
    <w:rsid w:val="008A4BD8"/>
    <w:rsid w:val="008A5497"/>
    <w:rsid w:val="008A6A97"/>
    <w:rsid w:val="008B2B33"/>
    <w:rsid w:val="008B464B"/>
    <w:rsid w:val="008B532D"/>
    <w:rsid w:val="008B545F"/>
    <w:rsid w:val="008C1593"/>
    <w:rsid w:val="008C15F6"/>
    <w:rsid w:val="008C2A23"/>
    <w:rsid w:val="008C45F1"/>
    <w:rsid w:val="008C68AE"/>
    <w:rsid w:val="008C68F1"/>
    <w:rsid w:val="008D0D4D"/>
    <w:rsid w:val="008D0EAF"/>
    <w:rsid w:val="008D121C"/>
    <w:rsid w:val="008D1522"/>
    <w:rsid w:val="008D219D"/>
    <w:rsid w:val="008D237B"/>
    <w:rsid w:val="008D3FF0"/>
    <w:rsid w:val="008D5B2C"/>
    <w:rsid w:val="008E188D"/>
    <w:rsid w:val="008E5FDA"/>
    <w:rsid w:val="008E7729"/>
    <w:rsid w:val="008F175F"/>
    <w:rsid w:val="008F3CC0"/>
    <w:rsid w:val="008F7893"/>
    <w:rsid w:val="009118DF"/>
    <w:rsid w:val="00916F0F"/>
    <w:rsid w:val="009179DF"/>
    <w:rsid w:val="00917BAA"/>
    <w:rsid w:val="00917EC4"/>
    <w:rsid w:val="00921803"/>
    <w:rsid w:val="009234BA"/>
    <w:rsid w:val="00923F7B"/>
    <w:rsid w:val="00923FA1"/>
    <w:rsid w:val="0092477D"/>
    <w:rsid w:val="00925DEE"/>
    <w:rsid w:val="00926503"/>
    <w:rsid w:val="0092670B"/>
    <w:rsid w:val="00926E8C"/>
    <w:rsid w:val="00931BB0"/>
    <w:rsid w:val="009333C5"/>
    <w:rsid w:val="00936998"/>
    <w:rsid w:val="0094238F"/>
    <w:rsid w:val="0094284B"/>
    <w:rsid w:val="00943754"/>
    <w:rsid w:val="009474B6"/>
    <w:rsid w:val="00950B7D"/>
    <w:rsid w:val="00950B84"/>
    <w:rsid w:val="00950DBA"/>
    <w:rsid w:val="00951A0E"/>
    <w:rsid w:val="00952280"/>
    <w:rsid w:val="009523C3"/>
    <w:rsid w:val="00955487"/>
    <w:rsid w:val="009606CD"/>
    <w:rsid w:val="00965FBE"/>
    <w:rsid w:val="00966119"/>
    <w:rsid w:val="0096749A"/>
    <w:rsid w:val="00967E8C"/>
    <w:rsid w:val="00970987"/>
    <w:rsid w:val="00970F65"/>
    <w:rsid w:val="009726D8"/>
    <w:rsid w:val="00973538"/>
    <w:rsid w:val="0097370C"/>
    <w:rsid w:val="00975103"/>
    <w:rsid w:val="009751EA"/>
    <w:rsid w:val="00980B87"/>
    <w:rsid w:val="0098146F"/>
    <w:rsid w:val="009844FE"/>
    <w:rsid w:val="00991301"/>
    <w:rsid w:val="00992C71"/>
    <w:rsid w:val="0099345A"/>
    <w:rsid w:val="009955B5"/>
    <w:rsid w:val="009A0393"/>
    <w:rsid w:val="009A26FA"/>
    <w:rsid w:val="009A31C5"/>
    <w:rsid w:val="009A3FDF"/>
    <w:rsid w:val="009A4AAF"/>
    <w:rsid w:val="009A4DA7"/>
    <w:rsid w:val="009A58D9"/>
    <w:rsid w:val="009B0DEE"/>
    <w:rsid w:val="009B1552"/>
    <w:rsid w:val="009B2FD5"/>
    <w:rsid w:val="009B47C2"/>
    <w:rsid w:val="009B5797"/>
    <w:rsid w:val="009C190F"/>
    <w:rsid w:val="009C4DE3"/>
    <w:rsid w:val="009C51BD"/>
    <w:rsid w:val="009C5ED5"/>
    <w:rsid w:val="009C6A28"/>
    <w:rsid w:val="009D0BFA"/>
    <w:rsid w:val="009D0D0C"/>
    <w:rsid w:val="009D0F4B"/>
    <w:rsid w:val="009D1289"/>
    <w:rsid w:val="009D2036"/>
    <w:rsid w:val="009D23FF"/>
    <w:rsid w:val="009D37E4"/>
    <w:rsid w:val="009D64A0"/>
    <w:rsid w:val="009D7505"/>
    <w:rsid w:val="009D7C46"/>
    <w:rsid w:val="009E049C"/>
    <w:rsid w:val="009E684D"/>
    <w:rsid w:val="009E7FEF"/>
    <w:rsid w:val="009F098C"/>
    <w:rsid w:val="009F2827"/>
    <w:rsid w:val="009F76DB"/>
    <w:rsid w:val="009F7F77"/>
    <w:rsid w:val="00A03C98"/>
    <w:rsid w:val="00A04BD6"/>
    <w:rsid w:val="00A04F80"/>
    <w:rsid w:val="00A05234"/>
    <w:rsid w:val="00A0740E"/>
    <w:rsid w:val="00A0753B"/>
    <w:rsid w:val="00A100D6"/>
    <w:rsid w:val="00A11904"/>
    <w:rsid w:val="00A132C5"/>
    <w:rsid w:val="00A1553B"/>
    <w:rsid w:val="00A16501"/>
    <w:rsid w:val="00A17697"/>
    <w:rsid w:val="00A17DCE"/>
    <w:rsid w:val="00A20622"/>
    <w:rsid w:val="00A20DE9"/>
    <w:rsid w:val="00A23620"/>
    <w:rsid w:val="00A255DF"/>
    <w:rsid w:val="00A25E27"/>
    <w:rsid w:val="00A278F2"/>
    <w:rsid w:val="00A27B0D"/>
    <w:rsid w:val="00A30AFF"/>
    <w:rsid w:val="00A32C3B"/>
    <w:rsid w:val="00A33ECF"/>
    <w:rsid w:val="00A34634"/>
    <w:rsid w:val="00A34CC2"/>
    <w:rsid w:val="00A35CE8"/>
    <w:rsid w:val="00A42FAE"/>
    <w:rsid w:val="00A45C3E"/>
    <w:rsid w:val="00A45F4F"/>
    <w:rsid w:val="00A50538"/>
    <w:rsid w:val="00A5112D"/>
    <w:rsid w:val="00A52AD6"/>
    <w:rsid w:val="00A5717D"/>
    <w:rsid w:val="00A57797"/>
    <w:rsid w:val="00A57D54"/>
    <w:rsid w:val="00A600A9"/>
    <w:rsid w:val="00A62A37"/>
    <w:rsid w:val="00A63FC4"/>
    <w:rsid w:val="00A6447F"/>
    <w:rsid w:val="00A64E8D"/>
    <w:rsid w:val="00A700BD"/>
    <w:rsid w:val="00A74628"/>
    <w:rsid w:val="00A74BF0"/>
    <w:rsid w:val="00A81798"/>
    <w:rsid w:val="00A81FC6"/>
    <w:rsid w:val="00A82753"/>
    <w:rsid w:val="00A83289"/>
    <w:rsid w:val="00A843F1"/>
    <w:rsid w:val="00A8628D"/>
    <w:rsid w:val="00A87FAA"/>
    <w:rsid w:val="00A92931"/>
    <w:rsid w:val="00A9788C"/>
    <w:rsid w:val="00A97D33"/>
    <w:rsid w:val="00AA41F6"/>
    <w:rsid w:val="00AA55B7"/>
    <w:rsid w:val="00AA5B9E"/>
    <w:rsid w:val="00AB0EF3"/>
    <w:rsid w:val="00AB1C12"/>
    <w:rsid w:val="00AB2407"/>
    <w:rsid w:val="00AB53DF"/>
    <w:rsid w:val="00AB549D"/>
    <w:rsid w:val="00AB63CE"/>
    <w:rsid w:val="00AC0401"/>
    <w:rsid w:val="00AC12FA"/>
    <w:rsid w:val="00AC2749"/>
    <w:rsid w:val="00AD0A11"/>
    <w:rsid w:val="00AD1654"/>
    <w:rsid w:val="00AD16B9"/>
    <w:rsid w:val="00AD1BF4"/>
    <w:rsid w:val="00AD28A6"/>
    <w:rsid w:val="00AD3C9B"/>
    <w:rsid w:val="00AD46D8"/>
    <w:rsid w:val="00AD5B3A"/>
    <w:rsid w:val="00AD5E8F"/>
    <w:rsid w:val="00AD5ECD"/>
    <w:rsid w:val="00AD6F2C"/>
    <w:rsid w:val="00AE1633"/>
    <w:rsid w:val="00AE1F0D"/>
    <w:rsid w:val="00AE625F"/>
    <w:rsid w:val="00AF3474"/>
    <w:rsid w:val="00AF3DB3"/>
    <w:rsid w:val="00AF4656"/>
    <w:rsid w:val="00AF5F84"/>
    <w:rsid w:val="00B009DA"/>
    <w:rsid w:val="00B00B9A"/>
    <w:rsid w:val="00B02B86"/>
    <w:rsid w:val="00B04F70"/>
    <w:rsid w:val="00B06D64"/>
    <w:rsid w:val="00B07E5C"/>
    <w:rsid w:val="00B15BD5"/>
    <w:rsid w:val="00B16597"/>
    <w:rsid w:val="00B20A25"/>
    <w:rsid w:val="00B21848"/>
    <w:rsid w:val="00B22E53"/>
    <w:rsid w:val="00B25CEE"/>
    <w:rsid w:val="00B307C9"/>
    <w:rsid w:val="00B31053"/>
    <w:rsid w:val="00B32C14"/>
    <w:rsid w:val="00B33D38"/>
    <w:rsid w:val="00B34598"/>
    <w:rsid w:val="00B34E97"/>
    <w:rsid w:val="00B3530D"/>
    <w:rsid w:val="00B365D7"/>
    <w:rsid w:val="00B37749"/>
    <w:rsid w:val="00B37CE1"/>
    <w:rsid w:val="00B41761"/>
    <w:rsid w:val="00B4211A"/>
    <w:rsid w:val="00B44259"/>
    <w:rsid w:val="00B50113"/>
    <w:rsid w:val="00B50D5D"/>
    <w:rsid w:val="00B50E7D"/>
    <w:rsid w:val="00B52B12"/>
    <w:rsid w:val="00B52EFA"/>
    <w:rsid w:val="00B54F4E"/>
    <w:rsid w:val="00B6164F"/>
    <w:rsid w:val="00B61B37"/>
    <w:rsid w:val="00B61D94"/>
    <w:rsid w:val="00B62642"/>
    <w:rsid w:val="00B63E47"/>
    <w:rsid w:val="00B64B17"/>
    <w:rsid w:val="00B67FCB"/>
    <w:rsid w:val="00B72CED"/>
    <w:rsid w:val="00B7434D"/>
    <w:rsid w:val="00B811F7"/>
    <w:rsid w:val="00B81D1C"/>
    <w:rsid w:val="00B8422E"/>
    <w:rsid w:val="00B86CA1"/>
    <w:rsid w:val="00B94266"/>
    <w:rsid w:val="00B94F83"/>
    <w:rsid w:val="00B96FBC"/>
    <w:rsid w:val="00BA1FFE"/>
    <w:rsid w:val="00BA383E"/>
    <w:rsid w:val="00BA3B21"/>
    <w:rsid w:val="00BA5DC6"/>
    <w:rsid w:val="00BA6196"/>
    <w:rsid w:val="00BA619B"/>
    <w:rsid w:val="00BA6E9A"/>
    <w:rsid w:val="00BB1F1B"/>
    <w:rsid w:val="00BB539D"/>
    <w:rsid w:val="00BB67EF"/>
    <w:rsid w:val="00BC0CC4"/>
    <w:rsid w:val="00BC18B1"/>
    <w:rsid w:val="00BC1D39"/>
    <w:rsid w:val="00BC48C5"/>
    <w:rsid w:val="00BC6CD0"/>
    <w:rsid w:val="00BC6D8C"/>
    <w:rsid w:val="00BD1B9A"/>
    <w:rsid w:val="00BD2A87"/>
    <w:rsid w:val="00BD3FFD"/>
    <w:rsid w:val="00BD5400"/>
    <w:rsid w:val="00BD6A96"/>
    <w:rsid w:val="00BE158C"/>
    <w:rsid w:val="00BE2914"/>
    <w:rsid w:val="00BE561A"/>
    <w:rsid w:val="00BF41A6"/>
    <w:rsid w:val="00BF477B"/>
    <w:rsid w:val="00BF76A5"/>
    <w:rsid w:val="00BF7889"/>
    <w:rsid w:val="00C018D3"/>
    <w:rsid w:val="00C069BD"/>
    <w:rsid w:val="00C071EA"/>
    <w:rsid w:val="00C1097D"/>
    <w:rsid w:val="00C13501"/>
    <w:rsid w:val="00C1691B"/>
    <w:rsid w:val="00C22754"/>
    <w:rsid w:val="00C25CCB"/>
    <w:rsid w:val="00C26EC6"/>
    <w:rsid w:val="00C30B8D"/>
    <w:rsid w:val="00C30EC6"/>
    <w:rsid w:val="00C31BCA"/>
    <w:rsid w:val="00C33605"/>
    <w:rsid w:val="00C34006"/>
    <w:rsid w:val="00C40CCC"/>
    <w:rsid w:val="00C426B1"/>
    <w:rsid w:val="00C43603"/>
    <w:rsid w:val="00C445AD"/>
    <w:rsid w:val="00C468AE"/>
    <w:rsid w:val="00C46E2D"/>
    <w:rsid w:val="00C5179A"/>
    <w:rsid w:val="00C530AD"/>
    <w:rsid w:val="00C54377"/>
    <w:rsid w:val="00C55603"/>
    <w:rsid w:val="00C5643A"/>
    <w:rsid w:val="00C6097A"/>
    <w:rsid w:val="00C61C89"/>
    <w:rsid w:val="00C65D26"/>
    <w:rsid w:val="00C66160"/>
    <w:rsid w:val="00C71235"/>
    <w:rsid w:val="00C721AC"/>
    <w:rsid w:val="00C74F27"/>
    <w:rsid w:val="00C779C0"/>
    <w:rsid w:val="00C8003E"/>
    <w:rsid w:val="00C81037"/>
    <w:rsid w:val="00C81E24"/>
    <w:rsid w:val="00C82248"/>
    <w:rsid w:val="00C842BF"/>
    <w:rsid w:val="00C90BE8"/>
    <w:rsid w:val="00C90D6A"/>
    <w:rsid w:val="00C9388E"/>
    <w:rsid w:val="00C9567C"/>
    <w:rsid w:val="00C95DD0"/>
    <w:rsid w:val="00CA1503"/>
    <w:rsid w:val="00CA1E3D"/>
    <w:rsid w:val="00CA247E"/>
    <w:rsid w:val="00CB16C1"/>
    <w:rsid w:val="00CB4784"/>
    <w:rsid w:val="00CB538A"/>
    <w:rsid w:val="00CB735A"/>
    <w:rsid w:val="00CB7EBE"/>
    <w:rsid w:val="00CC2131"/>
    <w:rsid w:val="00CC3E41"/>
    <w:rsid w:val="00CC41A6"/>
    <w:rsid w:val="00CC6442"/>
    <w:rsid w:val="00CC6A81"/>
    <w:rsid w:val="00CC72B6"/>
    <w:rsid w:val="00CD0A7F"/>
    <w:rsid w:val="00CD3659"/>
    <w:rsid w:val="00CD3A67"/>
    <w:rsid w:val="00CD40EF"/>
    <w:rsid w:val="00CD48F9"/>
    <w:rsid w:val="00CD4EBC"/>
    <w:rsid w:val="00CD6BCD"/>
    <w:rsid w:val="00CE3560"/>
    <w:rsid w:val="00CE4789"/>
    <w:rsid w:val="00CE55E0"/>
    <w:rsid w:val="00CE6016"/>
    <w:rsid w:val="00CF03CD"/>
    <w:rsid w:val="00CF18D6"/>
    <w:rsid w:val="00CF4E2B"/>
    <w:rsid w:val="00CF5492"/>
    <w:rsid w:val="00CF7CBF"/>
    <w:rsid w:val="00D02051"/>
    <w:rsid w:val="00D0218D"/>
    <w:rsid w:val="00D04BE9"/>
    <w:rsid w:val="00D07F36"/>
    <w:rsid w:val="00D1187E"/>
    <w:rsid w:val="00D14C6F"/>
    <w:rsid w:val="00D162AB"/>
    <w:rsid w:val="00D203F1"/>
    <w:rsid w:val="00D20D80"/>
    <w:rsid w:val="00D215D9"/>
    <w:rsid w:val="00D21EE1"/>
    <w:rsid w:val="00D25FB5"/>
    <w:rsid w:val="00D26A76"/>
    <w:rsid w:val="00D278AF"/>
    <w:rsid w:val="00D3312B"/>
    <w:rsid w:val="00D34A1F"/>
    <w:rsid w:val="00D362C6"/>
    <w:rsid w:val="00D4189F"/>
    <w:rsid w:val="00D42282"/>
    <w:rsid w:val="00D432D0"/>
    <w:rsid w:val="00D43AFA"/>
    <w:rsid w:val="00D44223"/>
    <w:rsid w:val="00D455CF"/>
    <w:rsid w:val="00D4592D"/>
    <w:rsid w:val="00D45E20"/>
    <w:rsid w:val="00D51C5A"/>
    <w:rsid w:val="00D57095"/>
    <w:rsid w:val="00D57659"/>
    <w:rsid w:val="00D60D57"/>
    <w:rsid w:val="00D60DCD"/>
    <w:rsid w:val="00D6151F"/>
    <w:rsid w:val="00D615FE"/>
    <w:rsid w:val="00D62882"/>
    <w:rsid w:val="00D63723"/>
    <w:rsid w:val="00D63EDE"/>
    <w:rsid w:val="00D6431E"/>
    <w:rsid w:val="00D64F45"/>
    <w:rsid w:val="00D6627F"/>
    <w:rsid w:val="00D67587"/>
    <w:rsid w:val="00D70A2F"/>
    <w:rsid w:val="00D7440A"/>
    <w:rsid w:val="00D74A6B"/>
    <w:rsid w:val="00D76C77"/>
    <w:rsid w:val="00D76F6E"/>
    <w:rsid w:val="00D779CE"/>
    <w:rsid w:val="00D83C60"/>
    <w:rsid w:val="00D8598F"/>
    <w:rsid w:val="00D87CD0"/>
    <w:rsid w:val="00D91433"/>
    <w:rsid w:val="00D94FCF"/>
    <w:rsid w:val="00DA0BE2"/>
    <w:rsid w:val="00DA2529"/>
    <w:rsid w:val="00DA4347"/>
    <w:rsid w:val="00DA6920"/>
    <w:rsid w:val="00DB130A"/>
    <w:rsid w:val="00DB2EBB"/>
    <w:rsid w:val="00DB54C7"/>
    <w:rsid w:val="00DB5CF5"/>
    <w:rsid w:val="00DB5EDB"/>
    <w:rsid w:val="00DB6788"/>
    <w:rsid w:val="00DC005A"/>
    <w:rsid w:val="00DC0E1E"/>
    <w:rsid w:val="00DC10A1"/>
    <w:rsid w:val="00DC2124"/>
    <w:rsid w:val="00DC253A"/>
    <w:rsid w:val="00DC390F"/>
    <w:rsid w:val="00DC655F"/>
    <w:rsid w:val="00DC71D2"/>
    <w:rsid w:val="00DC723F"/>
    <w:rsid w:val="00DD0B59"/>
    <w:rsid w:val="00DD1879"/>
    <w:rsid w:val="00DD1F1D"/>
    <w:rsid w:val="00DD37ED"/>
    <w:rsid w:val="00DD4775"/>
    <w:rsid w:val="00DD6E22"/>
    <w:rsid w:val="00DD7EBD"/>
    <w:rsid w:val="00DE3260"/>
    <w:rsid w:val="00DE3367"/>
    <w:rsid w:val="00DE37D7"/>
    <w:rsid w:val="00DE53C5"/>
    <w:rsid w:val="00DF1385"/>
    <w:rsid w:val="00DF57D4"/>
    <w:rsid w:val="00DF62B6"/>
    <w:rsid w:val="00DF6475"/>
    <w:rsid w:val="00E036EA"/>
    <w:rsid w:val="00E07225"/>
    <w:rsid w:val="00E1207B"/>
    <w:rsid w:val="00E14DEC"/>
    <w:rsid w:val="00E16A38"/>
    <w:rsid w:val="00E2446B"/>
    <w:rsid w:val="00E262A6"/>
    <w:rsid w:val="00E26751"/>
    <w:rsid w:val="00E26D74"/>
    <w:rsid w:val="00E27EB5"/>
    <w:rsid w:val="00E317E0"/>
    <w:rsid w:val="00E32CCC"/>
    <w:rsid w:val="00E33354"/>
    <w:rsid w:val="00E36A43"/>
    <w:rsid w:val="00E400AD"/>
    <w:rsid w:val="00E402A5"/>
    <w:rsid w:val="00E434FD"/>
    <w:rsid w:val="00E44C4B"/>
    <w:rsid w:val="00E454C7"/>
    <w:rsid w:val="00E47977"/>
    <w:rsid w:val="00E511D3"/>
    <w:rsid w:val="00E5219B"/>
    <w:rsid w:val="00E53D3A"/>
    <w:rsid w:val="00E5409F"/>
    <w:rsid w:val="00E54BAC"/>
    <w:rsid w:val="00E600D8"/>
    <w:rsid w:val="00E611F2"/>
    <w:rsid w:val="00E64F5E"/>
    <w:rsid w:val="00E67DCD"/>
    <w:rsid w:val="00E707C0"/>
    <w:rsid w:val="00E70FE7"/>
    <w:rsid w:val="00E71E18"/>
    <w:rsid w:val="00E728FC"/>
    <w:rsid w:val="00E72DAB"/>
    <w:rsid w:val="00E73A35"/>
    <w:rsid w:val="00E810C6"/>
    <w:rsid w:val="00E811A0"/>
    <w:rsid w:val="00E84378"/>
    <w:rsid w:val="00E8656C"/>
    <w:rsid w:val="00E875B4"/>
    <w:rsid w:val="00E90E8B"/>
    <w:rsid w:val="00E95606"/>
    <w:rsid w:val="00EA05E1"/>
    <w:rsid w:val="00EA0F60"/>
    <w:rsid w:val="00EA7FA2"/>
    <w:rsid w:val="00EB1C02"/>
    <w:rsid w:val="00EB3707"/>
    <w:rsid w:val="00EB4FC6"/>
    <w:rsid w:val="00EB7CAA"/>
    <w:rsid w:val="00EC13A4"/>
    <w:rsid w:val="00EC1975"/>
    <w:rsid w:val="00EC2B5E"/>
    <w:rsid w:val="00EC407E"/>
    <w:rsid w:val="00EC730C"/>
    <w:rsid w:val="00ED0BAC"/>
    <w:rsid w:val="00ED17A3"/>
    <w:rsid w:val="00EE02C0"/>
    <w:rsid w:val="00EE1AB0"/>
    <w:rsid w:val="00EE312B"/>
    <w:rsid w:val="00EE3B6A"/>
    <w:rsid w:val="00EE6488"/>
    <w:rsid w:val="00EF28D8"/>
    <w:rsid w:val="00EF5836"/>
    <w:rsid w:val="00EF5BA3"/>
    <w:rsid w:val="00F01AD9"/>
    <w:rsid w:val="00F021FA"/>
    <w:rsid w:val="00F0436A"/>
    <w:rsid w:val="00F04C1E"/>
    <w:rsid w:val="00F05701"/>
    <w:rsid w:val="00F0733C"/>
    <w:rsid w:val="00F075D9"/>
    <w:rsid w:val="00F10DEA"/>
    <w:rsid w:val="00F12096"/>
    <w:rsid w:val="00F14EF1"/>
    <w:rsid w:val="00F15D5F"/>
    <w:rsid w:val="00F172AD"/>
    <w:rsid w:val="00F200DB"/>
    <w:rsid w:val="00F23B67"/>
    <w:rsid w:val="00F259FD"/>
    <w:rsid w:val="00F27657"/>
    <w:rsid w:val="00F357F1"/>
    <w:rsid w:val="00F3796B"/>
    <w:rsid w:val="00F40349"/>
    <w:rsid w:val="00F42218"/>
    <w:rsid w:val="00F43C76"/>
    <w:rsid w:val="00F45250"/>
    <w:rsid w:val="00F47B0D"/>
    <w:rsid w:val="00F50345"/>
    <w:rsid w:val="00F509AE"/>
    <w:rsid w:val="00F51089"/>
    <w:rsid w:val="00F54C1E"/>
    <w:rsid w:val="00F621D5"/>
    <w:rsid w:val="00F62A5B"/>
    <w:rsid w:val="00F62E97"/>
    <w:rsid w:val="00F6360A"/>
    <w:rsid w:val="00F64209"/>
    <w:rsid w:val="00F659CF"/>
    <w:rsid w:val="00F677FA"/>
    <w:rsid w:val="00F71E54"/>
    <w:rsid w:val="00F72542"/>
    <w:rsid w:val="00F739BD"/>
    <w:rsid w:val="00F7533B"/>
    <w:rsid w:val="00F80387"/>
    <w:rsid w:val="00F80E16"/>
    <w:rsid w:val="00F810A9"/>
    <w:rsid w:val="00F84838"/>
    <w:rsid w:val="00F8577C"/>
    <w:rsid w:val="00F86D0D"/>
    <w:rsid w:val="00F9381E"/>
    <w:rsid w:val="00F93BF5"/>
    <w:rsid w:val="00F964C3"/>
    <w:rsid w:val="00F97BEF"/>
    <w:rsid w:val="00FA20C3"/>
    <w:rsid w:val="00FA2D10"/>
    <w:rsid w:val="00FA469A"/>
    <w:rsid w:val="00FA671D"/>
    <w:rsid w:val="00FA6C89"/>
    <w:rsid w:val="00FB0A77"/>
    <w:rsid w:val="00FB2F33"/>
    <w:rsid w:val="00FB4E46"/>
    <w:rsid w:val="00FB63E2"/>
    <w:rsid w:val="00FB6811"/>
    <w:rsid w:val="00FB7B79"/>
    <w:rsid w:val="00FC4D03"/>
    <w:rsid w:val="00FD1B5E"/>
    <w:rsid w:val="00FE0C19"/>
    <w:rsid w:val="00FE265A"/>
    <w:rsid w:val="00FE26E6"/>
    <w:rsid w:val="00FF2581"/>
    <w:rsid w:val="00FF2686"/>
    <w:rsid w:val="00FF2B2A"/>
    <w:rsid w:val="00FF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C2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49272C"/>
    <w:pPr>
      <w:keepNext/>
      <w:numPr>
        <w:ilvl w:val="1"/>
        <w:numId w:val="3"/>
      </w:numPr>
      <w:tabs>
        <w:tab w:val="clear" w:pos="1440"/>
        <w:tab w:val="num" w:pos="2160"/>
      </w:tabs>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36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2F3328"/>
  </w:style>
  <w:style w:type="character" w:styleId="CommentReference">
    <w:name w:val="annotation reference"/>
    <w:uiPriority w:val="99"/>
    <w:rsid w:val="002F3328"/>
    <w:rPr>
      <w:sz w:val="16"/>
      <w:szCs w:val="16"/>
    </w:rPr>
  </w:style>
  <w:style w:type="character" w:customStyle="1" w:styleId="ParaNumChar">
    <w:name w:val="ParaNum Char"/>
    <w:link w:val="ParaNum"/>
    <w:locked/>
    <w:rsid w:val="002F3328"/>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49272C"/>
    <w:rPr>
      <w:b/>
      <w:snapToGrid w:val="0"/>
      <w:kern w:val="28"/>
      <w:sz w:val="22"/>
    </w:rPr>
  </w:style>
  <w:style w:type="paragraph" w:styleId="CommentText">
    <w:name w:val="annotation text"/>
    <w:basedOn w:val="Normal"/>
    <w:link w:val="CommentTextChar"/>
    <w:uiPriority w:val="99"/>
    <w:rsid w:val="00D215D9"/>
    <w:rPr>
      <w:sz w:val="20"/>
    </w:rPr>
  </w:style>
  <w:style w:type="character" w:customStyle="1" w:styleId="CommentTextChar">
    <w:name w:val="Comment Text Char"/>
    <w:basedOn w:val="DefaultParagraphFont"/>
    <w:link w:val="CommentText"/>
    <w:uiPriority w:val="99"/>
    <w:rsid w:val="00D215D9"/>
    <w:rPr>
      <w:snapToGrid w:val="0"/>
      <w:kern w:val="28"/>
    </w:rPr>
  </w:style>
  <w:style w:type="paragraph" w:styleId="CommentSubject">
    <w:name w:val="annotation subject"/>
    <w:basedOn w:val="CommentText"/>
    <w:next w:val="CommentText"/>
    <w:link w:val="CommentSubjectChar"/>
    <w:rsid w:val="00D215D9"/>
    <w:rPr>
      <w:b/>
      <w:bCs/>
    </w:rPr>
  </w:style>
  <w:style w:type="character" w:customStyle="1" w:styleId="CommentSubjectChar">
    <w:name w:val="Comment Subject Char"/>
    <w:basedOn w:val="CommentTextChar"/>
    <w:link w:val="CommentSubject"/>
    <w:rsid w:val="00D215D9"/>
    <w:rPr>
      <w:b/>
      <w:bCs/>
      <w:snapToGrid w:val="0"/>
      <w:kern w:val="28"/>
    </w:rPr>
  </w:style>
  <w:style w:type="paragraph" w:styleId="BalloonText">
    <w:name w:val="Balloon Text"/>
    <w:basedOn w:val="Normal"/>
    <w:link w:val="BalloonTextChar"/>
    <w:rsid w:val="00D215D9"/>
    <w:rPr>
      <w:rFonts w:ascii="Tahoma" w:hAnsi="Tahoma" w:cs="Tahoma"/>
      <w:sz w:val="16"/>
      <w:szCs w:val="16"/>
    </w:rPr>
  </w:style>
  <w:style w:type="character" w:customStyle="1" w:styleId="BalloonTextChar">
    <w:name w:val="Balloon Text Char"/>
    <w:basedOn w:val="DefaultParagraphFont"/>
    <w:link w:val="BalloonText"/>
    <w:rsid w:val="00D215D9"/>
    <w:rPr>
      <w:rFonts w:ascii="Tahoma" w:hAnsi="Tahoma" w:cs="Tahoma"/>
      <w:snapToGrid w:val="0"/>
      <w:kern w:val="28"/>
      <w:sz w:val="16"/>
      <w:szCs w:val="16"/>
    </w:rPr>
  </w:style>
  <w:style w:type="paragraph" w:styleId="Revision">
    <w:name w:val="Revision"/>
    <w:hidden/>
    <w:uiPriority w:val="99"/>
    <w:semiHidden/>
    <w:rsid w:val="003C2F5C"/>
    <w:rPr>
      <w:snapToGrid w:val="0"/>
      <w:kern w:val="28"/>
      <w:sz w:val="22"/>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20364C"/>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773A2C"/>
  </w:style>
  <w:style w:type="paragraph" w:styleId="ListParagraph">
    <w:name w:val="List Paragraph"/>
    <w:basedOn w:val="Normal"/>
    <w:uiPriority w:val="34"/>
    <w:qFormat/>
    <w:rsid w:val="00A5112D"/>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apple-converted-space">
    <w:name w:val="apple-converted-space"/>
    <w:basedOn w:val="DefaultParagraphFont"/>
    <w:rsid w:val="00A5112D"/>
  </w:style>
  <w:style w:type="character" w:styleId="Emphasis">
    <w:name w:val="Emphasis"/>
    <w:basedOn w:val="DefaultParagraphFont"/>
    <w:uiPriority w:val="20"/>
    <w:qFormat/>
    <w:rsid w:val="00A5112D"/>
    <w:rPr>
      <w:i/>
      <w:iCs/>
    </w:rPr>
  </w:style>
  <w:style w:type="character" w:customStyle="1" w:styleId="cosearchterm">
    <w:name w:val="co_searchterm"/>
    <w:basedOn w:val="DefaultParagraphFont"/>
    <w:rsid w:val="001E4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49272C"/>
    <w:pPr>
      <w:keepNext/>
      <w:numPr>
        <w:ilvl w:val="1"/>
        <w:numId w:val="3"/>
      </w:numPr>
      <w:tabs>
        <w:tab w:val="clear" w:pos="1440"/>
        <w:tab w:val="num" w:pos="2160"/>
      </w:tabs>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36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link w:val="FootnoteText"/>
    <w:rsid w:val="002F3328"/>
  </w:style>
  <w:style w:type="character" w:styleId="CommentReference">
    <w:name w:val="annotation reference"/>
    <w:uiPriority w:val="99"/>
    <w:rsid w:val="002F3328"/>
    <w:rPr>
      <w:sz w:val="16"/>
      <w:szCs w:val="16"/>
    </w:rPr>
  </w:style>
  <w:style w:type="character" w:customStyle="1" w:styleId="ParaNumChar">
    <w:name w:val="ParaNum Char"/>
    <w:link w:val="ParaNum"/>
    <w:locked/>
    <w:rsid w:val="002F3328"/>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49272C"/>
    <w:rPr>
      <w:b/>
      <w:snapToGrid w:val="0"/>
      <w:kern w:val="28"/>
      <w:sz w:val="22"/>
    </w:rPr>
  </w:style>
  <w:style w:type="paragraph" w:styleId="CommentText">
    <w:name w:val="annotation text"/>
    <w:basedOn w:val="Normal"/>
    <w:link w:val="CommentTextChar"/>
    <w:uiPriority w:val="99"/>
    <w:rsid w:val="00D215D9"/>
    <w:rPr>
      <w:sz w:val="20"/>
    </w:rPr>
  </w:style>
  <w:style w:type="character" w:customStyle="1" w:styleId="CommentTextChar">
    <w:name w:val="Comment Text Char"/>
    <w:basedOn w:val="DefaultParagraphFont"/>
    <w:link w:val="CommentText"/>
    <w:uiPriority w:val="99"/>
    <w:rsid w:val="00D215D9"/>
    <w:rPr>
      <w:snapToGrid w:val="0"/>
      <w:kern w:val="28"/>
    </w:rPr>
  </w:style>
  <w:style w:type="paragraph" w:styleId="CommentSubject">
    <w:name w:val="annotation subject"/>
    <w:basedOn w:val="CommentText"/>
    <w:next w:val="CommentText"/>
    <w:link w:val="CommentSubjectChar"/>
    <w:rsid w:val="00D215D9"/>
    <w:rPr>
      <w:b/>
      <w:bCs/>
    </w:rPr>
  </w:style>
  <w:style w:type="character" w:customStyle="1" w:styleId="CommentSubjectChar">
    <w:name w:val="Comment Subject Char"/>
    <w:basedOn w:val="CommentTextChar"/>
    <w:link w:val="CommentSubject"/>
    <w:rsid w:val="00D215D9"/>
    <w:rPr>
      <w:b/>
      <w:bCs/>
      <w:snapToGrid w:val="0"/>
      <w:kern w:val="28"/>
    </w:rPr>
  </w:style>
  <w:style w:type="paragraph" w:styleId="BalloonText">
    <w:name w:val="Balloon Text"/>
    <w:basedOn w:val="Normal"/>
    <w:link w:val="BalloonTextChar"/>
    <w:rsid w:val="00D215D9"/>
    <w:rPr>
      <w:rFonts w:ascii="Tahoma" w:hAnsi="Tahoma" w:cs="Tahoma"/>
      <w:sz w:val="16"/>
      <w:szCs w:val="16"/>
    </w:rPr>
  </w:style>
  <w:style w:type="character" w:customStyle="1" w:styleId="BalloonTextChar">
    <w:name w:val="Balloon Text Char"/>
    <w:basedOn w:val="DefaultParagraphFont"/>
    <w:link w:val="BalloonText"/>
    <w:rsid w:val="00D215D9"/>
    <w:rPr>
      <w:rFonts w:ascii="Tahoma" w:hAnsi="Tahoma" w:cs="Tahoma"/>
      <w:snapToGrid w:val="0"/>
      <w:kern w:val="28"/>
      <w:sz w:val="16"/>
      <w:szCs w:val="16"/>
    </w:rPr>
  </w:style>
  <w:style w:type="paragraph" w:styleId="Revision">
    <w:name w:val="Revision"/>
    <w:hidden/>
    <w:uiPriority w:val="99"/>
    <w:semiHidden/>
    <w:rsid w:val="003C2F5C"/>
    <w:rPr>
      <w:snapToGrid w:val="0"/>
      <w:kern w:val="28"/>
      <w:sz w:val="22"/>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20364C"/>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773A2C"/>
  </w:style>
  <w:style w:type="paragraph" w:styleId="ListParagraph">
    <w:name w:val="List Paragraph"/>
    <w:basedOn w:val="Normal"/>
    <w:uiPriority w:val="34"/>
    <w:qFormat/>
    <w:rsid w:val="00A5112D"/>
    <w:pPr>
      <w:widowControl/>
      <w:spacing w:after="200" w:line="276" w:lineRule="auto"/>
      <w:ind w:left="720"/>
      <w:contextualSpacing/>
    </w:pPr>
    <w:rPr>
      <w:rFonts w:asciiTheme="minorHAnsi" w:eastAsiaTheme="minorHAnsi" w:hAnsiTheme="minorHAnsi" w:cstheme="minorBidi"/>
      <w:snapToGrid/>
      <w:kern w:val="0"/>
      <w:szCs w:val="22"/>
    </w:rPr>
  </w:style>
  <w:style w:type="character" w:customStyle="1" w:styleId="apple-converted-space">
    <w:name w:val="apple-converted-space"/>
    <w:basedOn w:val="DefaultParagraphFont"/>
    <w:rsid w:val="00A5112D"/>
  </w:style>
  <w:style w:type="character" w:styleId="Emphasis">
    <w:name w:val="Emphasis"/>
    <w:basedOn w:val="DefaultParagraphFont"/>
    <w:uiPriority w:val="20"/>
    <w:qFormat/>
    <w:rsid w:val="00A5112D"/>
    <w:rPr>
      <w:i/>
      <w:iCs/>
    </w:rPr>
  </w:style>
  <w:style w:type="character" w:customStyle="1" w:styleId="cosearchterm">
    <w:name w:val="co_searchterm"/>
    <w:basedOn w:val="DefaultParagraphFont"/>
    <w:rsid w:val="001E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2213">
      <w:bodyDiv w:val="1"/>
      <w:marLeft w:val="0"/>
      <w:marRight w:val="0"/>
      <w:marTop w:val="0"/>
      <w:marBottom w:val="0"/>
      <w:divBdr>
        <w:top w:val="none" w:sz="0" w:space="0" w:color="auto"/>
        <w:left w:val="none" w:sz="0" w:space="0" w:color="auto"/>
        <w:bottom w:val="none" w:sz="0" w:space="0" w:color="auto"/>
        <w:right w:val="none" w:sz="0" w:space="0" w:color="auto"/>
      </w:divBdr>
    </w:div>
    <w:div w:id="1095980926">
      <w:bodyDiv w:val="1"/>
      <w:marLeft w:val="0"/>
      <w:marRight w:val="0"/>
      <w:marTop w:val="0"/>
      <w:marBottom w:val="0"/>
      <w:divBdr>
        <w:top w:val="none" w:sz="0" w:space="0" w:color="auto"/>
        <w:left w:val="none" w:sz="0" w:space="0" w:color="auto"/>
        <w:bottom w:val="none" w:sz="0" w:space="0" w:color="auto"/>
        <w:right w:val="none" w:sz="0" w:space="0" w:color="auto"/>
      </w:divBdr>
    </w:div>
    <w:div w:id="1349215093">
      <w:bodyDiv w:val="1"/>
      <w:marLeft w:val="0"/>
      <w:marRight w:val="0"/>
      <w:marTop w:val="0"/>
      <w:marBottom w:val="0"/>
      <w:divBdr>
        <w:top w:val="none" w:sz="0" w:space="0" w:color="auto"/>
        <w:left w:val="none" w:sz="0" w:space="0" w:color="auto"/>
        <w:bottom w:val="none" w:sz="0" w:space="0" w:color="auto"/>
        <w:right w:val="none" w:sz="0" w:space="0" w:color="auto"/>
      </w:divBdr>
    </w:div>
    <w:div w:id="1381590079">
      <w:bodyDiv w:val="1"/>
      <w:marLeft w:val="0"/>
      <w:marRight w:val="0"/>
      <w:marTop w:val="0"/>
      <w:marBottom w:val="0"/>
      <w:divBdr>
        <w:top w:val="none" w:sz="0" w:space="0" w:color="auto"/>
        <w:left w:val="none" w:sz="0" w:space="0" w:color="auto"/>
        <w:bottom w:val="none" w:sz="0" w:space="0" w:color="auto"/>
        <w:right w:val="none" w:sz="0" w:space="0" w:color="auto"/>
      </w:divBdr>
    </w:div>
    <w:div w:id="1418404758">
      <w:bodyDiv w:val="1"/>
      <w:marLeft w:val="0"/>
      <w:marRight w:val="0"/>
      <w:marTop w:val="0"/>
      <w:marBottom w:val="0"/>
      <w:divBdr>
        <w:top w:val="none" w:sz="0" w:space="0" w:color="auto"/>
        <w:left w:val="none" w:sz="0" w:space="0" w:color="auto"/>
        <w:bottom w:val="none" w:sz="0" w:space="0" w:color="auto"/>
        <w:right w:val="none" w:sz="0" w:space="0" w:color="auto"/>
      </w:divBdr>
    </w:div>
    <w:div w:id="1864704954">
      <w:bodyDiv w:val="1"/>
      <w:marLeft w:val="0"/>
      <w:marRight w:val="0"/>
      <w:marTop w:val="0"/>
      <w:marBottom w:val="0"/>
      <w:divBdr>
        <w:top w:val="none" w:sz="0" w:space="0" w:color="auto"/>
        <w:left w:val="none" w:sz="0" w:space="0" w:color="auto"/>
        <w:bottom w:val="none" w:sz="0" w:space="0" w:color="auto"/>
        <w:right w:val="none" w:sz="0" w:space="0" w:color="auto"/>
      </w:divBdr>
    </w:div>
    <w:div w:id="208633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2767</Words>
  <Characters>15285</Characters>
  <Application>Microsoft Office Word</Application>
  <DocSecurity>0</DocSecurity>
  <Lines>222</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2015-11-06T19:05:00Z</cp:lastPrinted>
  <dcterms:created xsi:type="dcterms:W3CDTF">2015-12-18T19:32:00Z</dcterms:created>
  <dcterms:modified xsi:type="dcterms:W3CDTF">2015-12-18T19:32:00Z</dcterms:modified>
  <cp:category> </cp:category>
  <cp:contentStatus> </cp:contentStatus>
</cp:coreProperties>
</file>