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CA" w:rsidRDefault="00CB07CA">
      <w:pPr>
        <w:jc w:val="center"/>
        <w:rPr>
          <w:b/>
        </w:rPr>
      </w:pPr>
      <w:bookmarkStart w:id="0" w:name="_GoBack"/>
      <w:bookmarkEnd w:id="0"/>
      <w:r>
        <w:rPr>
          <w:b/>
        </w:rPr>
        <w:t>Before the</w:t>
      </w:r>
    </w:p>
    <w:p w:rsidR="00CB07CA" w:rsidRDefault="00CB07CA">
      <w:pPr>
        <w:jc w:val="center"/>
        <w:rPr>
          <w:b/>
        </w:rPr>
      </w:pPr>
      <w:r>
        <w:rPr>
          <w:b/>
        </w:rPr>
        <w:t>Federal Communications Commission</w:t>
      </w:r>
    </w:p>
    <w:p w:rsidR="00CB07CA" w:rsidRDefault="00CB07CA">
      <w:pPr>
        <w:jc w:val="center"/>
        <w:rPr>
          <w:b/>
        </w:rPr>
      </w:pPr>
      <w:r>
        <w:rPr>
          <w:b/>
        </w:rPr>
        <w:t xml:space="preserve">Washington, </w:t>
      </w:r>
      <w:smartTag w:uri="urn:schemas-microsoft-com:office:smarttags" w:element="State">
        <w:r>
          <w:rPr>
            <w:b/>
          </w:rPr>
          <w:t>D.C.</w:t>
        </w:r>
      </w:smartTag>
      <w:r>
        <w:rPr>
          <w:b/>
        </w:rPr>
        <w:t xml:space="preserve"> </w:t>
      </w:r>
      <w:smartTag w:uri="urn:schemas-microsoft-com:office:smarttags" w:element="PostalCode">
        <w:r>
          <w:rPr>
            <w:b/>
          </w:rPr>
          <w:t>20554</w:t>
        </w:r>
      </w:smartTag>
    </w:p>
    <w:p w:rsidR="00CB07CA" w:rsidRDefault="00CB07CA"/>
    <w:p w:rsidR="00CB07CA" w:rsidRDefault="00CB07CA"/>
    <w:tbl>
      <w:tblPr>
        <w:tblW w:w="9738" w:type="dxa"/>
        <w:tblLayout w:type="fixed"/>
        <w:tblLook w:val="0000" w:firstRow="0" w:lastRow="0" w:firstColumn="0" w:lastColumn="0" w:noHBand="0" w:noVBand="0"/>
      </w:tblPr>
      <w:tblGrid>
        <w:gridCol w:w="4788"/>
        <w:gridCol w:w="720"/>
        <w:gridCol w:w="4230"/>
      </w:tblGrid>
      <w:tr w:rsidR="00CB07CA" w:rsidTr="00356720">
        <w:tc>
          <w:tcPr>
            <w:tcW w:w="4788" w:type="dxa"/>
          </w:tcPr>
          <w:p w:rsidR="00CB07CA" w:rsidRDefault="00CB07CA">
            <w:pPr>
              <w:ind w:right="-18"/>
            </w:pPr>
            <w:r>
              <w:t xml:space="preserve">In the </w:t>
            </w:r>
            <w:r w:rsidR="00CA4A0B">
              <w:t>M</w:t>
            </w:r>
            <w:r>
              <w:t>atter of</w:t>
            </w:r>
          </w:p>
          <w:p w:rsidR="00CB07CA" w:rsidRDefault="00CB07CA">
            <w:pPr>
              <w:ind w:right="-18"/>
            </w:pPr>
          </w:p>
          <w:p w:rsidR="00CA4A0B" w:rsidRDefault="00CA4A0B" w:rsidP="00CA4A0B">
            <w:pPr>
              <w:autoSpaceDE w:val="0"/>
              <w:autoSpaceDN w:val="0"/>
              <w:adjustRightInd w:val="0"/>
              <w:rPr>
                <w:b/>
                <w:szCs w:val="22"/>
              </w:rPr>
            </w:pPr>
            <w:r>
              <w:rPr>
                <w:szCs w:val="22"/>
              </w:rPr>
              <w:t>Application</w:t>
            </w:r>
            <w:r w:rsidR="00356720">
              <w:rPr>
                <w:szCs w:val="22"/>
              </w:rPr>
              <w:t>s</w:t>
            </w:r>
            <w:r>
              <w:rPr>
                <w:szCs w:val="22"/>
              </w:rPr>
              <w:t xml:space="preserve"> of </w:t>
            </w:r>
            <w:r w:rsidR="00F45230">
              <w:rPr>
                <w:szCs w:val="22"/>
              </w:rPr>
              <w:t xml:space="preserve">AT&amp;T Inc. and </w:t>
            </w:r>
            <w:r w:rsidR="00356720">
              <w:rPr>
                <w:szCs w:val="22"/>
              </w:rPr>
              <w:t>Cellco Partnership</w:t>
            </w:r>
            <w:r w:rsidR="00CA1052">
              <w:rPr>
                <w:szCs w:val="22"/>
              </w:rPr>
              <w:t xml:space="preserve"> d/b/a Verizon Wireless</w:t>
            </w:r>
          </w:p>
          <w:p w:rsidR="00CA4A0B" w:rsidRDefault="00CA4A0B" w:rsidP="00CA4A0B">
            <w:pPr>
              <w:autoSpaceDE w:val="0"/>
              <w:autoSpaceDN w:val="0"/>
              <w:adjustRightInd w:val="0"/>
              <w:rPr>
                <w:szCs w:val="22"/>
              </w:rPr>
            </w:pPr>
          </w:p>
          <w:p w:rsidR="00CB07CA" w:rsidRDefault="005D2245" w:rsidP="00F45230">
            <w:pPr>
              <w:ind w:right="-18"/>
            </w:pPr>
            <w:r>
              <w:rPr>
                <w:szCs w:val="22"/>
              </w:rPr>
              <w:t>For Consent T</w:t>
            </w:r>
            <w:r w:rsidR="00CA4A0B">
              <w:rPr>
                <w:szCs w:val="22"/>
              </w:rPr>
              <w:t xml:space="preserve">o Assign </w:t>
            </w:r>
            <w:r w:rsidR="00F45230">
              <w:rPr>
                <w:szCs w:val="22"/>
              </w:rPr>
              <w:t xml:space="preserve">or Transfer Control of </w:t>
            </w:r>
            <w:r w:rsidR="00E55566">
              <w:rPr>
                <w:szCs w:val="22"/>
              </w:rPr>
              <w:t xml:space="preserve">Licenses </w:t>
            </w:r>
            <w:r w:rsidR="00F45230">
              <w:rPr>
                <w:szCs w:val="22"/>
              </w:rPr>
              <w:t>and Authorizations and Modify a Spectrum Leasing Arrangement</w:t>
            </w:r>
          </w:p>
        </w:tc>
        <w:tc>
          <w:tcPr>
            <w:tcW w:w="720" w:type="dxa"/>
          </w:tcPr>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FA122A" w:rsidRDefault="00FA122A">
            <w:pPr>
              <w:rPr>
                <w:b/>
              </w:rPr>
            </w:pPr>
            <w:r>
              <w:rPr>
                <w:b/>
              </w:rPr>
              <w:t>)</w:t>
            </w:r>
          </w:p>
          <w:p w:rsidR="00E55566" w:rsidRDefault="00E55566">
            <w:pPr>
              <w:rPr>
                <w:b/>
              </w:rPr>
            </w:pPr>
            <w:r>
              <w:rPr>
                <w:b/>
              </w:rPr>
              <w:t>)</w:t>
            </w:r>
          </w:p>
          <w:p w:rsidR="00CA1052" w:rsidRDefault="00CA1052">
            <w:pPr>
              <w:rPr>
                <w:b/>
              </w:rPr>
            </w:pPr>
            <w:r>
              <w:rPr>
                <w:b/>
              </w:rPr>
              <w:t>)</w:t>
            </w:r>
          </w:p>
        </w:tc>
        <w:tc>
          <w:tcPr>
            <w:tcW w:w="4230" w:type="dxa"/>
          </w:tcPr>
          <w:p w:rsidR="00CB07CA" w:rsidRPr="00732291" w:rsidRDefault="00CB07CA"/>
          <w:p w:rsidR="00CB07CA" w:rsidRPr="00732291" w:rsidRDefault="00CB07CA"/>
          <w:p w:rsidR="00CB07CA" w:rsidRPr="00732291" w:rsidRDefault="00F45230">
            <w:r>
              <w:t>WT Docket No. 09-104</w:t>
            </w:r>
          </w:p>
        </w:tc>
      </w:tr>
    </w:tbl>
    <w:p w:rsidR="00FA122A" w:rsidRDefault="00FA122A" w:rsidP="00FA122A">
      <w:pPr>
        <w:tabs>
          <w:tab w:val="left" w:pos="-720"/>
        </w:tabs>
        <w:suppressAutoHyphens/>
        <w:spacing w:line="227" w:lineRule="auto"/>
        <w:rPr>
          <w:spacing w:val="-2"/>
        </w:rPr>
      </w:pPr>
    </w:p>
    <w:p w:rsidR="00FA122A" w:rsidRDefault="00CA4A0B" w:rsidP="00FA122A">
      <w:pPr>
        <w:jc w:val="center"/>
        <w:outlineLvl w:val="0"/>
        <w:rPr>
          <w:b/>
        </w:rPr>
      </w:pPr>
      <w:r w:rsidRPr="00296281">
        <w:rPr>
          <w:b/>
        </w:rPr>
        <w:t>ORDER</w:t>
      </w:r>
      <w:r w:rsidR="00F45230">
        <w:rPr>
          <w:b/>
        </w:rPr>
        <w:t xml:space="preserve"> ON RECONSIDERATION</w:t>
      </w:r>
    </w:p>
    <w:p w:rsidR="00FA122A" w:rsidRDefault="00FA122A" w:rsidP="00FA122A">
      <w:pPr>
        <w:tabs>
          <w:tab w:val="left" w:pos="-720"/>
        </w:tabs>
        <w:suppressAutoHyphens/>
        <w:spacing w:line="227" w:lineRule="auto"/>
        <w:rPr>
          <w:spacing w:val="-2"/>
        </w:rPr>
      </w:pPr>
    </w:p>
    <w:p w:rsidR="00FA122A" w:rsidRDefault="00FA122A" w:rsidP="0007517D">
      <w:pPr>
        <w:tabs>
          <w:tab w:val="right" w:pos="9360"/>
        </w:tabs>
        <w:suppressAutoHyphens/>
        <w:spacing w:line="227" w:lineRule="auto"/>
        <w:rPr>
          <w:spacing w:val="-2"/>
        </w:rPr>
      </w:pPr>
      <w:r>
        <w:rPr>
          <w:b/>
          <w:spacing w:val="-2"/>
        </w:rPr>
        <w:t xml:space="preserve">Adopted:  </w:t>
      </w:r>
      <w:r w:rsidR="004233CD">
        <w:rPr>
          <w:b/>
          <w:spacing w:val="-2"/>
        </w:rPr>
        <w:t>February 2, 2015</w:t>
      </w:r>
      <w:r>
        <w:rPr>
          <w:b/>
          <w:spacing w:val="-2"/>
        </w:rPr>
        <w:tab/>
        <w:t xml:space="preserve">Released:  </w:t>
      </w:r>
      <w:r w:rsidR="004233CD">
        <w:rPr>
          <w:b/>
          <w:spacing w:val="-2"/>
        </w:rPr>
        <w:t>February 2, 2015</w:t>
      </w:r>
    </w:p>
    <w:p w:rsidR="00FA122A" w:rsidRDefault="00FA122A" w:rsidP="00FA122A"/>
    <w:p w:rsidR="00FA122A" w:rsidRDefault="00FA122A" w:rsidP="00FA122A">
      <w:pPr>
        <w:rPr>
          <w:spacing w:val="-2"/>
        </w:rPr>
      </w:pPr>
      <w:r w:rsidRPr="00611335">
        <w:t>By</w:t>
      </w:r>
      <w:r w:rsidR="00F00591">
        <w:t xml:space="preserve"> the </w:t>
      </w:r>
      <w:r w:rsidR="00F00591" w:rsidRPr="004A49D3">
        <w:t>Chief</w:t>
      </w:r>
      <w:r w:rsidR="00611335" w:rsidRPr="004A49D3">
        <w:t>,</w:t>
      </w:r>
      <w:r w:rsidR="00611335">
        <w:t xml:space="preserve"> Wireless Telecommunications Bureau</w:t>
      </w:r>
      <w:r w:rsidRPr="00611335">
        <w:rPr>
          <w:spacing w:val="-2"/>
        </w:rPr>
        <w:t>:</w:t>
      </w:r>
    </w:p>
    <w:p w:rsidR="00FA122A" w:rsidRDefault="00FA122A" w:rsidP="00FA122A">
      <w:pPr>
        <w:rPr>
          <w:spacing w:val="-2"/>
        </w:rPr>
      </w:pPr>
    </w:p>
    <w:p w:rsidR="009B491B" w:rsidRDefault="00CA4A0B" w:rsidP="00FB01E6">
      <w:pPr>
        <w:pStyle w:val="ParaNum"/>
        <w:jc w:val="left"/>
      </w:pPr>
      <w:r>
        <w:t>In this Order</w:t>
      </w:r>
      <w:r w:rsidR="00F00591">
        <w:t xml:space="preserve"> on Reconsideration</w:t>
      </w:r>
      <w:r>
        <w:t xml:space="preserve">, we </w:t>
      </w:r>
      <w:r w:rsidR="00342027">
        <w:t xml:space="preserve">address </w:t>
      </w:r>
      <w:r w:rsidR="00CA1052">
        <w:t>a petition</w:t>
      </w:r>
      <w:r w:rsidR="002978D9">
        <w:t xml:space="preserve"> for reconsideration</w:t>
      </w:r>
      <w:r w:rsidR="003424D9">
        <w:rPr>
          <w:rStyle w:val="FootnoteReference"/>
        </w:rPr>
        <w:footnoteReference w:id="2"/>
      </w:r>
      <w:r w:rsidR="003424D9">
        <w:t xml:space="preserve"> </w:t>
      </w:r>
      <w:r w:rsidR="00387909">
        <w:t xml:space="preserve">filed </w:t>
      </w:r>
      <w:r w:rsidR="00342027">
        <w:t xml:space="preserve">in 2010 </w:t>
      </w:r>
      <w:r w:rsidR="00387909">
        <w:t xml:space="preserve">by the National Association of Black Owned Broadcasters, Inc. (“NABOB”) seeking reconsideration of the Commission’s </w:t>
      </w:r>
      <w:r w:rsidR="001123B2">
        <w:t>conclusion that Cellco Partnership d/b/a Verizon Wireless (“Verizon Wireless”) properly divested certain licenses and associated business units</w:t>
      </w:r>
      <w:r w:rsidR="003424D9">
        <w:t xml:space="preserve"> </w:t>
      </w:r>
      <w:r w:rsidR="001123B2">
        <w:t xml:space="preserve">in the Commission’s </w:t>
      </w:r>
      <w:r w:rsidR="001123B2">
        <w:rPr>
          <w:i/>
        </w:rPr>
        <w:t>AT&amp;T-Verizon Wireless Order</w:t>
      </w:r>
      <w:r w:rsidR="001123B2" w:rsidRPr="003424D9">
        <w:t>.</w:t>
      </w:r>
      <w:r w:rsidR="001123B2" w:rsidRPr="003424D9">
        <w:rPr>
          <w:rStyle w:val="FootnoteReference"/>
        </w:rPr>
        <w:footnoteReference w:id="3"/>
      </w:r>
      <w:r w:rsidR="003424D9" w:rsidRPr="003424D9">
        <w:t xml:space="preserve">  </w:t>
      </w:r>
      <w:r w:rsidR="008B4FE4" w:rsidRPr="004A49D3">
        <w:t xml:space="preserve">We find that NABOB </w:t>
      </w:r>
      <w:r w:rsidR="003424D9" w:rsidRPr="004A49D3">
        <w:t>identifies</w:t>
      </w:r>
      <w:r w:rsidR="008B4FE4" w:rsidRPr="004A49D3">
        <w:t xml:space="preserve"> no material error or omission in the Commission’s </w:t>
      </w:r>
      <w:r w:rsidR="008B4FE4" w:rsidRPr="004A49D3">
        <w:rPr>
          <w:i/>
        </w:rPr>
        <w:t>AT&amp;T-Verizon Wireless Order</w:t>
      </w:r>
      <w:r w:rsidR="00D63C60">
        <w:t>,</w:t>
      </w:r>
      <w:r w:rsidR="008B4FE4" w:rsidRPr="004A49D3">
        <w:t xml:space="preserve"> </w:t>
      </w:r>
      <w:r w:rsidR="003424D9" w:rsidRPr="004A49D3">
        <w:t xml:space="preserve">presents </w:t>
      </w:r>
      <w:r w:rsidR="00D63C60">
        <w:t>no</w:t>
      </w:r>
      <w:r w:rsidR="00D63C60" w:rsidRPr="004A49D3">
        <w:t xml:space="preserve"> </w:t>
      </w:r>
      <w:r w:rsidR="008B4FE4" w:rsidRPr="004A49D3">
        <w:t>additional new fac</w:t>
      </w:r>
      <w:r w:rsidR="00476ED0" w:rsidRPr="004A49D3">
        <w:t>ts warranting reconsideration</w:t>
      </w:r>
      <w:r w:rsidR="00D63C60">
        <w:t xml:space="preserve">, and relies upon the same arguments that have already been considered and </w:t>
      </w:r>
      <w:r w:rsidR="002978D9">
        <w:t xml:space="preserve">addressed </w:t>
      </w:r>
      <w:r w:rsidR="00D63C60">
        <w:t>by the Commission</w:t>
      </w:r>
      <w:r w:rsidR="00476ED0" w:rsidRPr="004A49D3">
        <w:t>.</w:t>
      </w:r>
      <w:r w:rsidR="00D63C60">
        <w:t xml:space="preserve">  We accordingly deny NABOB’s Petition.</w:t>
      </w:r>
    </w:p>
    <w:p w:rsidR="00C93210" w:rsidRPr="00AD0EAE" w:rsidRDefault="00F2694D" w:rsidP="00F34AD7">
      <w:pPr>
        <w:pStyle w:val="ParaNum"/>
        <w:widowControl/>
        <w:tabs>
          <w:tab w:val="left" w:pos="4320"/>
        </w:tabs>
        <w:jc w:val="left"/>
      </w:pPr>
      <w:r>
        <w:rPr>
          <w:i/>
          <w:kern w:val="28"/>
        </w:rPr>
        <w:t xml:space="preserve">Background.  </w:t>
      </w:r>
      <w:r w:rsidR="00342027">
        <w:rPr>
          <w:kern w:val="28"/>
        </w:rPr>
        <w:t xml:space="preserve">On June 13, 2008, </w:t>
      </w:r>
      <w:r w:rsidR="00635181">
        <w:rPr>
          <w:kern w:val="28"/>
        </w:rPr>
        <w:t>Verizon Wireless and Atlantis Holdings filed an application seeking consent to the transfer of control of licenses and authorizations held by subsidiaries of ALLTEL from Atlantis Holdings to Verizon Wireless.</w:t>
      </w:r>
      <w:r w:rsidR="00635181">
        <w:rPr>
          <w:rStyle w:val="FootnoteReference"/>
        </w:rPr>
        <w:footnoteReference w:id="4"/>
      </w:r>
      <w:r w:rsidR="00635181">
        <w:rPr>
          <w:kern w:val="28"/>
        </w:rPr>
        <w:t xml:space="preserve">  On November, 4, 2008, </w:t>
      </w:r>
      <w:r w:rsidR="006008BE" w:rsidRPr="006008BE">
        <w:rPr>
          <w:kern w:val="28"/>
        </w:rPr>
        <w:t xml:space="preserve">the Commission </w:t>
      </w:r>
      <w:r w:rsidR="00635181">
        <w:rPr>
          <w:kern w:val="28"/>
        </w:rPr>
        <w:t xml:space="preserve">approved the transaction </w:t>
      </w:r>
      <w:r w:rsidR="006008BE" w:rsidRPr="006008BE">
        <w:rPr>
          <w:kern w:val="28"/>
        </w:rPr>
        <w:t xml:space="preserve">conditioned </w:t>
      </w:r>
      <w:r w:rsidR="00635181">
        <w:rPr>
          <w:kern w:val="28"/>
        </w:rPr>
        <w:t xml:space="preserve">upon </w:t>
      </w:r>
      <w:r w:rsidR="00736135">
        <w:rPr>
          <w:kern w:val="28"/>
        </w:rPr>
        <w:t xml:space="preserve">Verizon Wireless’s </w:t>
      </w:r>
      <w:r w:rsidR="006008BE" w:rsidRPr="006008BE">
        <w:rPr>
          <w:kern w:val="28"/>
        </w:rPr>
        <w:t>divestiture of operating units in five markets and upon the completion of divestitures in 100 markets that Verizon Wireless voluntarily committed to divest.</w:t>
      </w:r>
      <w:r w:rsidR="006008BE" w:rsidRPr="006008BE">
        <w:rPr>
          <w:kern w:val="28"/>
          <w:vertAlign w:val="superscript"/>
        </w:rPr>
        <w:footnoteReference w:id="5"/>
      </w:r>
      <w:r w:rsidR="006008BE" w:rsidRPr="006008BE">
        <w:rPr>
          <w:kern w:val="28"/>
        </w:rPr>
        <w:t xml:space="preserve">  Rejecting requests by some petitioners, the Commission declined to impose specific conditions regarding how </w:t>
      </w:r>
      <w:r w:rsidR="006008BE">
        <w:rPr>
          <w:kern w:val="28"/>
        </w:rPr>
        <w:t>to divest</w:t>
      </w:r>
      <w:r w:rsidR="006008BE" w:rsidRPr="006008BE">
        <w:rPr>
          <w:kern w:val="28"/>
        </w:rPr>
        <w:t xml:space="preserve"> the assets </w:t>
      </w:r>
      <w:r w:rsidR="006008BE">
        <w:rPr>
          <w:kern w:val="28"/>
        </w:rPr>
        <w:t>of the 105 Divestiture Markets</w:t>
      </w:r>
      <w:r w:rsidR="006008BE" w:rsidRPr="006008BE">
        <w:rPr>
          <w:kern w:val="28"/>
        </w:rPr>
        <w:t xml:space="preserve"> but </w:t>
      </w:r>
      <w:r w:rsidR="006008BE">
        <w:rPr>
          <w:kern w:val="28"/>
        </w:rPr>
        <w:t>directed</w:t>
      </w:r>
      <w:r w:rsidR="006008BE" w:rsidRPr="006008BE">
        <w:rPr>
          <w:kern w:val="28"/>
        </w:rPr>
        <w:t xml:space="preserve"> that the entire operating unit of either Verizon Wireless or ALLTEL must be divested in those markets.</w:t>
      </w:r>
      <w:r w:rsidR="006008BE" w:rsidRPr="006008BE">
        <w:rPr>
          <w:kern w:val="28"/>
          <w:vertAlign w:val="superscript"/>
        </w:rPr>
        <w:footnoteReference w:id="6"/>
      </w:r>
      <w:r w:rsidR="005C5F6A">
        <w:rPr>
          <w:kern w:val="28"/>
        </w:rPr>
        <w:t xml:space="preserve">  The </w:t>
      </w:r>
      <w:r w:rsidR="005C5F6A">
        <w:rPr>
          <w:kern w:val="28"/>
        </w:rPr>
        <w:lastRenderedPageBreak/>
        <w:t xml:space="preserve">Commission </w:t>
      </w:r>
      <w:r w:rsidR="00BB6114">
        <w:rPr>
          <w:kern w:val="28"/>
        </w:rPr>
        <w:t>pointed out</w:t>
      </w:r>
      <w:r w:rsidR="006008BE" w:rsidRPr="006008BE">
        <w:rPr>
          <w:kern w:val="28"/>
        </w:rPr>
        <w:t xml:space="preserve"> that, “to provide greater assurance that the buyer will be an effective competitor, the DOJ is requiring that certain groups of </w:t>
      </w:r>
      <w:r w:rsidR="00BB6114">
        <w:rPr>
          <w:kern w:val="28"/>
        </w:rPr>
        <w:t xml:space="preserve">[Cellular Market Areas (“CMAs”)] </w:t>
      </w:r>
      <w:r w:rsidR="006008BE" w:rsidRPr="006008BE">
        <w:rPr>
          <w:kern w:val="28"/>
        </w:rPr>
        <w:t>be divested to a single purchaser.”</w:t>
      </w:r>
      <w:r w:rsidR="006008BE" w:rsidRPr="006008BE">
        <w:rPr>
          <w:kern w:val="28"/>
          <w:vertAlign w:val="superscript"/>
        </w:rPr>
        <w:footnoteReference w:id="7"/>
      </w:r>
      <w:r w:rsidR="006008BE" w:rsidRPr="006008BE">
        <w:rPr>
          <w:kern w:val="28"/>
        </w:rPr>
        <w:t xml:space="preserve">  </w:t>
      </w:r>
      <w:r w:rsidR="00654EE0">
        <w:rPr>
          <w:kern w:val="28"/>
        </w:rPr>
        <w:t>The Commission concluded</w:t>
      </w:r>
      <w:r w:rsidR="006008BE" w:rsidRPr="006008BE">
        <w:rPr>
          <w:kern w:val="28"/>
        </w:rPr>
        <w:t xml:space="preserve"> that, “[a]lthough we decline [requests by certain parties] to impose specific conditions regarding the potential acquirers of and methods for selling the </w:t>
      </w:r>
      <w:r w:rsidR="005F68C2">
        <w:rPr>
          <w:kern w:val="28"/>
        </w:rPr>
        <w:t>[assets in the Divestiture Markets (“</w:t>
      </w:r>
      <w:r w:rsidR="006008BE" w:rsidRPr="006008BE">
        <w:rPr>
          <w:kern w:val="28"/>
        </w:rPr>
        <w:t>Divestiture Assets</w:t>
      </w:r>
      <w:r w:rsidR="005F68C2">
        <w:rPr>
          <w:kern w:val="28"/>
        </w:rPr>
        <w:t>”)]</w:t>
      </w:r>
      <w:r w:rsidR="006008BE" w:rsidRPr="006008BE">
        <w:rPr>
          <w:kern w:val="28"/>
        </w:rPr>
        <w:t>, we encourage Verizon Wireless to consider and implement mechanisms to assist regional, local, and rural wireless providers, new entrants, small businesses, and businesses owned by minorities or socially disadvantaged groups in acquiring the Divestiture Assets and/or accessing spectrum, to the extent possible.”</w:t>
      </w:r>
      <w:r w:rsidR="006008BE" w:rsidRPr="006008BE">
        <w:rPr>
          <w:kern w:val="28"/>
          <w:vertAlign w:val="superscript"/>
        </w:rPr>
        <w:footnoteReference w:id="8"/>
      </w:r>
    </w:p>
    <w:p w:rsidR="006A65F3" w:rsidRPr="00C41873" w:rsidRDefault="009859D4" w:rsidP="00F34AD7">
      <w:pPr>
        <w:pStyle w:val="ParaNum"/>
        <w:widowControl/>
        <w:tabs>
          <w:tab w:val="left" w:pos="4320"/>
        </w:tabs>
        <w:jc w:val="left"/>
      </w:pPr>
      <w:r>
        <w:t xml:space="preserve">Subsequently, </w:t>
      </w:r>
      <w:r>
        <w:rPr>
          <w:kern w:val="28"/>
        </w:rPr>
        <w:t xml:space="preserve">Verizon Wireless </w:t>
      </w:r>
      <w:r w:rsidRPr="009859D4">
        <w:rPr>
          <w:kern w:val="28"/>
        </w:rPr>
        <w:t xml:space="preserve">conducted a bidding process to identify </w:t>
      </w:r>
      <w:r>
        <w:rPr>
          <w:kern w:val="28"/>
        </w:rPr>
        <w:t>potential</w:t>
      </w:r>
      <w:r w:rsidRPr="009859D4">
        <w:rPr>
          <w:kern w:val="28"/>
        </w:rPr>
        <w:t xml:space="preserve"> buyers of the </w:t>
      </w:r>
      <w:r>
        <w:rPr>
          <w:kern w:val="28"/>
        </w:rPr>
        <w:t>Divestiture Assets</w:t>
      </w:r>
      <w:r w:rsidRPr="009859D4">
        <w:rPr>
          <w:kern w:val="28"/>
        </w:rPr>
        <w:t xml:space="preserve"> that the Commission and the DOJ required be divested.</w:t>
      </w:r>
      <w:r w:rsidRPr="009859D4">
        <w:rPr>
          <w:kern w:val="28"/>
          <w:vertAlign w:val="superscript"/>
        </w:rPr>
        <w:footnoteReference w:id="9"/>
      </w:r>
      <w:r w:rsidRPr="009859D4">
        <w:rPr>
          <w:kern w:val="28"/>
        </w:rPr>
        <w:t xml:space="preserve">  That process resulted in Verizon Wireless </w:t>
      </w:r>
      <w:r>
        <w:rPr>
          <w:kern w:val="28"/>
        </w:rPr>
        <w:t>proposing to sell to</w:t>
      </w:r>
      <w:r w:rsidRPr="009859D4">
        <w:rPr>
          <w:kern w:val="28"/>
        </w:rPr>
        <w:t xml:space="preserve"> AT&amp;T </w:t>
      </w:r>
      <w:r w:rsidR="00100B32">
        <w:rPr>
          <w:kern w:val="28"/>
        </w:rPr>
        <w:t>licenses and business units</w:t>
      </w:r>
      <w:r>
        <w:rPr>
          <w:kern w:val="28"/>
        </w:rPr>
        <w:t xml:space="preserve"> in </w:t>
      </w:r>
      <w:r w:rsidRPr="009859D4">
        <w:rPr>
          <w:kern w:val="28"/>
        </w:rPr>
        <w:t xml:space="preserve">79 </w:t>
      </w:r>
      <w:r>
        <w:rPr>
          <w:kern w:val="28"/>
        </w:rPr>
        <w:t>of the 105 Divestiture M</w:t>
      </w:r>
      <w:r w:rsidRPr="009859D4">
        <w:rPr>
          <w:kern w:val="28"/>
        </w:rPr>
        <w:t>arkets</w:t>
      </w:r>
      <w:r>
        <w:rPr>
          <w:kern w:val="28"/>
        </w:rPr>
        <w:t>.</w:t>
      </w:r>
      <w:r>
        <w:rPr>
          <w:rStyle w:val="FootnoteReference"/>
          <w:kern w:val="28"/>
        </w:rPr>
        <w:footnoteReference w:id="10"/>
      </w:r>
      <w:r>
        <w:rPr>
          <w:kern w:val="28"/>
        </w:rPr>
        <w:t xml:space="preserve">  </w:t>
      </w:r>
      <w:r w:rsidRPr="009859D4">
        <w:rPr>
          <w:kern w:val="28"/>
        </w:rPr>
        <w:t>NABOB</w:t>
      </w:r>
      <w:r w:rsidR="00100B32">
        <w:rPr>
          <w:kern w:val="28"/>
        </w:rPr>
        <w:t xml:space="preserve"> and others petitioned against the proposed divestiture</w:t>
      </w:r>
      <w:r w:rsidR="00C41873">
        <w:rPr>
          <w:kern w:val="28"/>
        </w:rPr>
        <w:t xml:space="preserve"> to AT&amp;T</w:t>
      </w:r>
      <w:r w:rsidRPr="009859D4">
        <w:rPr>
          <w:kern w:val="28"/>
        </w:rPr>
        <w:t>,</w:t>
      </w:r>
      <w:r w:rsidR="00100B32">
        <w:rPr>
          <w:kern w:val="28"/>
        </w:rPr>
        <w:t xml:space="preserve"> contending</w:t>
      </w:r>
      <w:r w:rsidRPr="009859D4">
        <w:rPr>
          <w:kern w:val="28"/>
        </w:rPr>
        <w:t xml:space="preserve"> that the </w:t>
      </w:r>
      <w:r w:rsidR="00100B32">
        <w:rPr>
          <w:kern w:val="28"/>
        </w:rPr>
        <w:t xml:space="preserve">bidding </w:t>
      </w:r>
      <w:r w:rsidRPr="009859D4">
        <w:rPr>
          <w:kern w:val="28"/>
        </w:rPr>
        <w:t xml:space="preserve">process did not comply with the Commission’s </w:t>
      </w:r>
      <w:r w:rsidR="00100B32">
        <w:rPr>
          <w:kern w:val="28"/>
        </w:rPr>
        <w:t xml:space="preserve">divestiture </w:t>
      </w:r>
      <w:r w:rsidRPr="009859D4">
        <w:rPr>
          <w:kern w:val="28"/>
        </w:rPr>
        <w:t xml:space="preserve">mandates set forth in the </w:t>
      </w:r>
      <w:r w:rsidRPr="009859D4">
        <w:rPr>
          <w:i/>
          <w:kern w:val="28"/>
        </w:rPr>
        <w:t>Verizon Wireless-ALLTEL Order</w:t>
      </w:r>
      <w:r w:rsidRPr="009859D4">
        <w:rPr>
          <w:kern w:val="28"/>
        </w:rPr>
        <w:t>.</w:t>
      </w:r>
      <w:r w:rsidR="00100B32">
        <w:rPr>
          <w:rStyle w:val="FootnoteReference"/>
          <w:kern w:val="28"/>
        </w:rPr>
        <w:footnoteReference w:id="11"/>
      </w:r>
      <w:r w:rsidRPr="009859D4">
        <w:rPr>
          <w:kern w:val="28"/>
        </w:rPr>
        <w:t xml:space="preserve">  </w:t>
      </w:r>
      <w:r w:rsidR="00D14471">
        <w:rPr>
          <w:kern w:val="28"/>
        </w:rPr>
        <w:t xml:space="preserve">In </w:t>
      </w:r>
      <w:r w:rsidR="00EC06CA">
        <w:rPr>
          <w:kern w:val="28"/>
        </w:rPr>
        <w:t>its</w:t>
      </w:r>
      <w:r w:rsidR="00D14471">
        <w:rPr>
          <w:kern w:val="28"/>
        </w:rPr>
        <w:t xml:space="preserve"> Petition to Deny, </w:t>
      </w:r>
      <w:r w:rsidR="006A65F3">
        <w:rPr>
          <w:kern w:val="28"/>
        </w:rPr>
        <w:t>NABOB argued in particular that the bidding process erected barriers to minority participation and that minority bidders were not given serious consideration as potential purchasers</w:t>
      </w:r>
      <w:r w:rsidR="00EC06CA">
        <w:rPr>
          <w:kern w:val="28"/>
        </w:rPr>
        <w:t>,</w:t>
      </w:r>
      <w:r w:rsidR="007A696F">
        <w:rPr>
          <w:kern w:val="28"/>
        </w:rPr>
        <w:t xml:space="preserve"> due at least in part to Verizon Wireless’s alleged preference for a single purchaser, which </w:t>
      </w:r>
      <w:r w:rsidR="000B2697">
        <w:rPr>
          <w:kern w:val="28"/>
        </w:rPr>
        <w:t xml:space="preserve">NABOB asserted </w:t>
      </w:r>
      <w:r w:rsidR="007A696F">
        <w:rPr>
          <w:kern w:val="28"/>
        </w:rPr>
        <w:t xml:space="preserve">effectively precluded </w:t>
      </w:r>
      <w:r w:rsidR="007A50D7">
        <w:rPr>
          <w:kern w:val="28"/>
        </w:rPr>
        <w:t>small entities</w:t>
      </w:r>
      <w:r w:rsidR="007A696F">
        <w:rPr>
          <w:kern w:val="28"/>
        </w:rPr>
        <w:t>.</w:t>
      </w:r>
      <w:r w:rsidR="006A65F3">
        <w:rPr>
          <w:rStyle w:val="FootnoteReference"/>
          <w:kern w:val="28"/>
        </w:rPr>
        <w:footnoteReference w:id="12"/>
      </w:r>
      <w:r w:rsidR="007A696F">
        <w:rPr>
          <w:kern w:val="28"/>
        </w:rPr>
        <w:t xml:space="preserve">  NABOB </w:t>
      </w:r>
      <w:r w:rsidR="000B2697">
        <w:rPr>
          <w:kern w:val="28"/>
        </w:rPr>
        <w:t>claimed</w:t>
      </w:r>
      <w:r w:rsidR="007A696F">
        <w:rPr>
          <w:kern w:val="28"/>
        </w:rPr>
        <w:t xml:space="preserve"> that the bidding process was </w:t>
      </w:r>
      <w:r w:rsidR="007A50D7">
        <w:rPr>
          <w:kern w:val="28"/>
        </w:rPr>
        <w:t xml:space="preserve">not fair and open but </w:t>
      </w:r>
      <w:r w:rsidR="007A696F">
        <w:rPr>
          <w:kern w:val="28"/>
        </w:rPr>
        <w:t>merely</w:t>
      </w:r>
      <w:r w:rsidR="00EC06CA">
        <w:rPr>
          <w:kern w:val="28"/>
        </w:rPr>
        <w:t xml:space="preserve"> was</w:t>
      </w:r>
      <w:r w:rsidR="007A696F">
        <w:rPr>
          <w:kern w:val="28"/>
        </w:rPr>
        <w:t xml:space="preserve"> for “show</w:t>
      </w:r>
      <w:r w:rsidR="007A50D7">
        <w:rPr>
          <w:kern w:val="28"/>
        </w:rPr>
        <w:t>,</w:t>
      </w:r>
      <w:r w:rsidR="007A696F">
        <w:rPr>
          <w:kern w:val="28"/>
        </w:rPr>
        <w:t>”</w:t>
      </w:r>
      <w:r w:rsidR="007A50D7">
        <w:rPr>
          <w:kern w:val="28"/>
        </w:rPr>
        <w:t xml:space="preserve"> and that winners were predetermined.</w:t>
      </w:r>
      <w:r w:rsidR="007A50D7">
        <w:rPr>
          <w:rStyle w:val="FootnoteReference"/>
          <w:kern w:val="28"/>
        </w:rPr>
        <w:footnoteReference w:id="13"/>
      </w:r>
      <w:r w:rsidR="00E50851">
        <w:rPr>
          <w:kern w:val="28"/>
        </w:rPr>
        <w:t xml:space="preserve">  NABOB argued that the divestiture to AT&amp;T would do damage to the Commission’s statutory duty to promote diversity of ownership in the telecommunications industry.</w:t>
      </w:r>
      <w:r w:rsidR="00E50851">
        <w:rPr>
          <w:rStyle w:val="FootnoteReference"/>
          <w:kern w:val="28"/>
        </w:rPr>
        <w:footnoteReference w:id="14"/>
      </w:r>
    </w:p>
    <w:p w:rsidR="00C41873" w:rsidRPr="00A056DB" w:rsidRDefault="00AD728A" w:rsidP="00F34AD7">
      <w:pPr>
        <w:pStyle w:val="ParaNum"/>
        <w:widowControl/>
        <w:tabs>
          <w:tab w:val="left" w:pos="4320"/>
        </w:tabs>
        <w:jc w:val="left"/>
      </w:pPr>
      <w:r>
        <w:rPr>
          <w:kern w:val="28"/>
        </w:rPr>
        <w:t xml:space="preserve">In the </w:t>
      </w:r>
      <w:r w:rsidRPr="00320691">
        <w:rPr>
          <w:i/>
          <w:kern w:val="28"/>
        </w:rPr>
        <w:t>AT&amp;T-</w:t>
      </w:r>
      <w:r>
        <w:rPr>
          <w:i/>
          <w:kern w:val="28"/>
        </w:rPr>
        <w:t>Verizon Wireless</w:t>
      </w:r>
      <w:r w:rsidRPr="00320691">
        <w:rPr>
          <w:i/>
          <w:kern w:val="28"/>
        </w:rPr>
        <w:t xml:space="preserve"> Order</w:t>
      </w:r>
      <w:r>
        <w:rPr>
          <w:kern w:val="28"/>
        </w:rPr>
        <w:t>, t</w:t>
      </w:r>
      <w:r w:rsidR="00C41873">
        <w:rPr>
          <w:kern w:val="28"/>
        </w:rPr>
        <w:t>he Commission disagreed with NABOB</w:t>
      </w:r>
      <w:r w:rsidR="00D14471">
        <w:rPr>
          <w:kern w:val="28"/>
        </w:rPr>
        <w:t>’s Petition to Deny</w:t>
      </w:r>
      <w:r w:rsidR="00C41873">
        <w:rPr>
          <w:kern w:val="28"/>
        </w:rPr>
        <w:t xml:space="preserve"> and granted consent to the divestiture, concluding that Verizon Wireless </w:t>
      </w:r>
      <w:r w:rsidR="00B345F8">
        <w:rPr>
          <w:kern w:val="28"/>
        </w:rPr>
        <w:t xml:space="preserve">had </w:t>
      </w:r>
      <w:r w:rsidR="00C41873">
        <w:rPr>
          <w:kern w:val="28"/>
        </w:rPr>
        <w:t xml:space="preserve">conducted its bidding process in accordance with the guidance set forth in the </w:t>
      </w:r>
      <w:r w:rsidR="00C41873" w:rsidRPr="00B345F8">
        <w:rPr>
          <w:i/>
          <w:kern w:val="28"/>
        </w:rPr>
        <w:t>Verizon Wireless-ALLTEL Order</w:t>
      </w:r>
      <w:r w:rsidR="00C41873">
        <w:rPr>
          <w:kern w:val="28"/>
        </w:rPr>
        <w:t>.</w:t>
      </w:r>
      <w:r w:rsidR="00C41873">
        <w:rPr>
          <w:rStyle w:val="FootnoteReference"/>
          <w:kern w:val="28"/>
        </w:rPr>
        <w:footnoteReference w:id="15"/>
      </w:r>
      <w:r w:rsidR="00B345F8">
        <w:rPr>
          <w:kern w:val="28"/>
        </w:rPr>
        <w:t xml:space="preserve">  The record showed that Verizon Wireless had implemented mechanisms to assist and had taken several steps to reach out to small businesses and businesses owned by minorities or socially disadvantaged groups.</w:t>
      </w:r>
      <w:r w:rsidR="00B345F8">
        <w:rPr>
          <w:rStyle w:val="FootnoteReference"/>
          <w:kern w:val="28"/>
        </w:rPr>
        <w:footnoteReference w:id="16"/>
      </w:r>
      <w:r w:rsidR="00320691">
        <w:rPr>
          <w:kern w:val="28"/>
        </w:rPr>
        <w:t xml:space="preserve">  The Commission</w:t>
      </w:r>
      <w:r w:rsidR="00AF6A98">
        <w:rPr>
          <w:kern w:val="28"/>
        </w:rPr>
        <w:t xml:space="preserve">, noting </w:t>
      </w:r>
      <w:r w:rsidR="00BD1D4E">
        <w:rPr>
          <w:kern w:val="28"/>
        </w:rPr>
        <w:t xml:space="preserve">its express rejection </w:t>
      </w:r>
      <w:r w:rsidR="00AF6A98">
        <w:rPr>
          <w:kern w:val="28"/>
        </w:rPr>
        <w:t xml:space="preserve">in the </w:t>
      </w:r>
      <w:r w:rsidR="00AF6A98" w:rsidRPr="00AF6A98">
        <w:rPr>
          <w:i/>
          <w:kern w:val="28"/>
        </w:rPr>
        <w:t>Verizon Wireless-ALLTEL Order</w:t>
      </w:r>
      <w:r w:rsidR="00BD1D4E">
        <w:rPr>
          <w:i/>
          <w:kern w:val="28"/>
        </w:rPr>
        <w:t xml:space="preserve"> </w:t>
      </w:r>
      <w:r w:rsidR="00F62347">
        <w:rPr>
          <w:kern w:val="28"/>
        </w:rPr>
        <w:t xml:space="preserve">of specific conditions </w:t>
      </w:r>
      <w:r w:rsidR="00BD1D4E">
        <w:rPr>
          <w:kern w:val="28"/>
        </w:rPr>
        <w:t>to govern the divestiture process</w:t>
      </w:r>
      <w:r w:rsidR="00AF6A98">
        <w:rPr>
          <w:kern w:val="28"/>
        </w:rPr>
        <w:t>,</w:t>
      </w:r>
      <w:r w:rsidR="00320691">
        <w:rPr>
          <w:kern w:val="28"/>
        </w:rPr>
        <w:t xml:space="preserve"> explained that</w:t>
      </w:r>
      <w:r w:rsidR="00AF6A98">
        <w:rPr>
          <w:kern w:val="28"/>
        </w:rPr>
        <w:t xml:space="preserve"> </w:t>
      </w:r>
      <w:r w:rsidR="00B83C76">
        <w:rPr>
          <w:kern w:val="28"/>
        </w:rPr>
        <w:t>the</w:t>
      </w:r>
      <w:r w:rsidR="00AF6A98">
        <w:rPr>
          <w:kern w:val="28"/>
        </w:rPr>
        <w:t xml:space="preserve"> </w:t>
      </w:r>
      <w:r w:rsidR="00320691">
        <w:rPr>
          <w:kern w:val="28"/>
        </w:rPr>
        <w:t xml:space="preserve">bidding process complied with the </w:t>
      </w:r>
      <w:r w:rsidR="00EB1BA2">
        <w:rPr>
          <w:kern w:val="28"/>
        </w:rPr>
        <w:t>o</w:t>
      </w:r>
      <w:r w:rsidR="00AF6A98">
        <w:rPr>
          <w:kern w:val="28"/>
        </w:rPr>
        <w:t xml:space="preserve">rder’s </w:t>
      </w:r>
      <w:r w:rsidR="00320691">
        <w:rPr>
          <w:kern w:val="28"/>
        </w:rPr>
        <w:t>language and did not otherwise undercut the competitive objectives of the required divestiture.</w:t>
      </w:r>
      <w:r w:rsidR="00320691">
        <w:rPr>
          <w:rStyle w:val="FootnoteReference"/>
          <w:kern w:val="28"/>
        </w:rPr>
        <w:footnoteReference w:id="17"/>
      </w:r>
    </w:p>
    <w:p w:rsidR="00A056DB" w:rsidRPr="00836EDD" w:rsidRDefault="002978D9" w:rsidP="00F34AD7">
      <w:pPr>
        <w:pStyle w:val="ParaNum"/>
        <w:widowControl/>
        <w:tabs>
          <w:tab w:val="left" w:pos="4320"/>
        </w:tabs>
        <w:jc w:val="left"/>
      </w:pPr>
      <w:r w:rsidRPr="002978D9">
        <w:rPr>
          <w:i/>
          <w:kern w:val="28"/>
        </w:rPr>
        <w:lastRenderedPageBreak/>
        <w:t>Petition for Reconsideration.</w:t>
      </w:r>
      <w:r>
        <w:rPr>
          <w:kern w:val="28"/>
        </w:rPr>
        <w:t xml:space="preserve">  </w:t>
      </w:r>
      <w:r w:rsidR="009F234A">
        <w:rPr>
          <w:kern w:val="28"/>
        </w:rPr>
        <w:t xml:space="preserve">NABOB </w:t>
      </w:r>
      <w:r w:rsidR="000A7F58">
        <w:rPr>
          <w:kern w:val="28"/>
        </w:rPr>
        <w:t xml:space="preserve">now </w:t>
      </w:r>
      <w:r w:rsidR="009F234A">
        <w:rPr>
          <w:kern w:val="28"/>
        </w:rPr>
        <w:t>seeks r</w:t>
      </w:r>
      <w:r w:rsidR="00A056DB">
        <w:rPr>
          <w:kern w:val="28"/>
        </w:rPr>
        <w:t xml:space="preserve">econsideration of the </w:t>
      </w:r>
      <w:r w:rsidR="00A056DB" w:rsidRPr="00320691">
        <w:rPr>
          <w:i/>
          <w:kern w:val="28"/>
        </w:rPr>
        <w:t>AT&amp;T-</w:t>
      </w:r>
      <w:r w:rsidR="00A056DB">
        <w:rPr>
          <w:i/>
          <w:kern w:val="28"/>
        </w:rPr>
        <w:t>Verizon Wireless</w:t>
      </w:r>
      <w:r w:rsidR="00A056DB" w:rsidRPr="00320691">
        <w:rPr>
          <w:i/>
          <w:kern w:val="28"/>
        </w:rPr>
        <w:t xml:space="preserve"> Order</w:t>
      </w:r>
      <w:r w:rsidR="009F234A" w:rsidRPr="009F234A">
        <w:rPr>
          <w:kern w:val="28"/>
        </w:rPr>
        <w:t>.</w:t>
      </w:r>
      <w:r w:rsidR="00A056DB" w:rsidRPr="009F234A">
        <w:rPr>
          <w:kern w:val="28"/>
        </w:rPr>
        <w:t xml:space="preserve"> </w:t>
      </w:r>
      <w:r w:rsidR="009F234A" w:rsidRPr="009F234A">
        <w:rPr>
          <w:kern w:val="28"/>
        </w:rPr>
        <w:t xml:space="preserve"> </w:t>
      </w:r>
      <w:r w:rsidR="000A7F58">
        <w:rPr>
          <w:kern w:val="28"/>
        </w:rPr>
        <w:t xml:space="preserve">In its Petition for Reconsideration, </w:t>
      </w:r>
      <w:r w:rsidR="009F234A">
        <w:rPr>
          <w:kern w:val="28"/>
        </w:rPr>
        <w:t>NABOB</w:t>
      </w:r>
      <w:r w:rsidR="00A056DB">
        <w:rPr>
          <w:kern w:val="28"/>
        </w:rPr>
        <w:t xml:space="preserve"> argues tha</w:t>
      </w:r>
      <w:r w:rsidR="00AE771F">
        <w:rPr>
          <w:kern w:val="28"/>
        </w:rPr>
        <w:t xml:space="preserve">t the Commission failed to give adequate weight to the evidence </w:t>
      </w:r>
      <w:r w:rsidR="009F234A">
        <w:rPr>
          <w:kern w:val="28"/>
        </w:rPr>
        <w:t>it</w:t>
      </w:r>
      <w:r w:rsidR="00EC06CA">
        <w:rPr>
          <w:kern w:val="28"/>
        </w:rPr>
        <w:t xml:space="preserve"> had</w:t>
      </w:r>
      <w:r w:rsidR="00AE771F">
        <w:rPr>
          <w:kern w:val="28"/>
        </w:rPr>
        <w:t xml:space="preserve"> submitted in its </w:t>
      </w:r>
      <w:r w:rsidR="00436C12">
        <w:rPr>
          <w:kern w:val="28"/>
        </w:rPr>
        <w:t>Petition to Deny</w:t>
      </w:r>
      <w:r w:rsidR="00AE771F">
        <w:rPr>
          <w:kern w:val="28"/>
        </w:rPr>
        <w:t>.</w:t>
      </w:r>
      <w:r w:rsidR="00AE771F">
        <w:rPr>
          <w:rStyle w:val="FootnoteReference"/>
          <w:kern w:val="28"/>
        </w:rPr>
        <w:footnoteReference w:id="18"/>
      </w:r>
      <w:r w:rsidR="00AE771F">
        <w:rPr>
          <w:kern w:val="28"/>
        </w:rPr>
        <w:t xml:space="preserve">  NABOB contends </w:t>
      </w:r>
      <w:r w:rsidR="000A7F58">
        <w:rPr>
          <w:kern w:val="28"/>
        </w:rPr>
        <w:t xml:space="preserve">specifically </w:t>
      </w:r>
      <w:r w:rsidR="00AE771F">
        <w:rPr>
          <w:kern w:val="28"/>
        </w:rPr>
        <w:t xml:space="preserve">that the </w:t>
      </w:r>
      <w:r w:rsidR="00AE771F" w:rsidRPr="00320691">
        <w:rPr>
          <w:i/>
          <w:kern w:val="28"/>
        </w:rPr>
        <w:t>AT&amp;T-</w:t>
      </w:r>
      <w:r w:rsidR="00AE771F">
        <w:rPr>
          <w:i/>
          <w:kern w:val="28"/>
        </w:rPr>
        <w:t>Verizon Wireless</w:t>
      </w:r>
      <w:r w:rsidR="00AE771F" w:rsidRPr="00320691">
        <w:rPr>
          <w:i/>
          <w:kern w:val="28"/>
        </w:rPr>
        <w:t xml:space="preserve"> Order</w:t>
      </w:r>
      <w:r w:rsidR="00AE771F">
        <w:rPr>
          <w:kern w:val="28"/>
        </w:rPr>
        <w:t xml:space="preserve"> gave little or no weight to its assertions </w:t>
      </w:r>
      <w:r w:rsidR="00AB2DB3">
        <w:rPr>
          <w:kern w:val="28"/>
        </w:rPr>
        <w:t>that Verizon Wireless had erected barriers to minority participation and that minorities were not given serious consideration.</w:t>
      </w:r>
      <w:r w:rsidR="00AB2DB3">
        <w:rPr>
          <w:rStyle w:val="FootnoteReference"/>
          <w:kern w:val="28"/>
        </w:rPr>
        <w:footnoteReference w:id="19"/>
      </w:r>
      <w:r w:rsidR="00AB2DB3">
        <w:rPr>
          <w:kern w:val="28"/>
        </w:rPr>
        <w:t xml:space="preserve">  NABOB </w:t>
      </w:r>
      <w:r w:rsidR="00436C12">
        <w:rPr>
          <w:kern w:val="28"/>
        </w:rPr>
        <w:t>repeats its contention from its Petition to Deny</w:t>
      </w:r>
      <w:r w:rsidR="00D14471">
        <w:rPr>
          <w:kern w:val="28"/>
        </w:rPr>
        <w:t xml:space="preserve"> </w:t>
      </w:r>
      <w:r w:rsidR="00AB2DB3">
        <w:rPr>
          <w:kern w:val="28"/>
        </w:rPr>
        <w:t xml:space="preserve">that the bidding was </w:t>
      </w:r>
      <w:r w:rsidR="000A7F58">
        <w:rPr>
          <w:kern w:val="28"/>
        </w:rPr>
        <w:t xml:space="preserve">designed </w:t>
      </w:r>
      <w:r w:rsidR="00AB2DB3">
        <w:rPr>
          <w:kern w:val="28"/>
        </w:rPr>
        <w:t>to favor a large existing carrier and that the bidding process for minority bidders was erratic and inconsistent, leading NABOB to conclude that the bidding process was a “sham” and that the divestiture to AT&amp;T was “predetermined.”</w:t>
      </w:r>
      <w:r w:rsidR="00D14471">
        <w:rPr>
          <w:rStyle w:val="FootnoteReference"/>
          <w:kern w:val="28"/>
        </w:rPr>
        <w:footnoteReference w:id="20"/>
      </w:r>
      <w:r w:rsidR="00D14471">
        <w:rPr>
          <w:kern w:val="28"/>
        </w:rPr>
        <w:t xml:space="preserve"> </w:t>
      </w:r>
      <w:r w:rsidR="00AB2DB3">
        <w:rPr>
          <w:kern w:val="28"/>
        </w:rPr>
        <w:t xml:space="preserve"> </w:t>
      </w:r>
      <w:r w:rsidR="000B41A9">
        <w:rPr>
          <w:kern w:val="28"/>
        </w:rPr>
        <w:t xml:space="preserve">NABOB </w:t>
      </w:r>
      <w:r w:rsidR="000A7F58">
        <w:rPr>
          <w:kern w:val="28"/>
        </w:rPr>
        <w:t xml:space="preserve">further </w:t>
      </w:r>
      <w:r w:rsidR="000B41A9">
        <w:rPr>
          <w:kern w:val="28"/>
        </w:rPr>
        <w:t>argues</w:t>
      </w:r>
      <w:r w:rsidR="00E50851">
        <w:rPr>
          <w:kern w:val="28"/>
        </w:rPr>
        <w:t xml:space="preserve"> that Commission approval of the divestiture </w:t>
      </w:r>
      <w:r w:rsidR="00BD1D4E">
        <w:rPr>
          <w:kern w:val="28"/>
        </w:rPr>
        <w:t>“</w:t>
      </w:r>
      <w:r w:rsidR="001B31F9">
        <w:rPr>
          <w:kern w:val="28"/>
        </w:rPr>
        <w:t>conflict</w:t>
      </w:r>
      <w:r w:rsidR="00BD1D4E">
        <w:rPr>
          <w:kern w:val="28"/>
        </w:rPr>
        <w:t>s</w:t>
      </w:r>
      <w:r w:rsidR="001B31F9">
        <w:rPr>
          <w:kern w:val="28"/>
        </w:rPr>
        <w:t xml:space="preserve"> with </w:t>
      </w:r>
      <w:r w:rsidR="00BD1D4E">
        <w:rPr>
          <w:kern w:val="28"/>
        </w:rPr>
        <w:t>[</w:t>
      </w:r>
      <w:r w:rsidR="001B31F9">
        <w:rPr>
          <w:kern w:val="28"/>
        </w:rPr>
        <w:t>its</w:t>
      </w:r>
      <w:r w:rsidR="00BD1D4E">
        <w:rPr>
          <w:kern w:val="28"/>
        </w:rPr>
        <w:t>]</w:t>
      </w:r>
      <w:r w:rsidR="001B31F9">
        <w:rPr>
          <w:kern w:val="28"/>
        </w:rPr>
        <w:t xml:space="preserve"> statutory </w:t>
      </w:r>
      <w:r w:rsidR="00BD1D4E">
        <w:rPr>
          <w:kern w:val="28"/>
        </w:rPr>
        <w:t xml:space="preserve">obligation </w:t>
      </w:r>
      <w:r w:rsidR="001B31F9">
        <w:rPr>
          <w:kern w:val="28"/>
        </w:rPr>
        <w:t>under sections 257, 309(i)(3), 309(j)(3)(B) and 310(d)</w:t>
      </w:r>
      <w:r w:rsidR="00BD1D4E">
        <w:rPr>
          <w:kern w:val="28"/>
        </w:rPr>
        <w:t>”</w:t>
      </w:r>
      <w:r w:rsidR="001B31F9">
        <w:rPr>
          <w:kern w:val="28"/>
        </w:rPr>
        <w:t xml:space="preserve"> of the Communications Act of 1934, as amended (the “Communications Act”)</w:t>
      </w:r>
      <w:r w:rsidR="00BD1D4E">
        <w:rPr>
          <w:kern w:val="28"/>
        </w:rPr>
        <w:t>, “. . . to promote diversity of ownership of telecommunications facilities, promote ownership by minorities, and to grant an application only if it serves the public interest.”</w:t>
      </w:r>
      <w:r w:rsidR="001B31F9">
        <w:rPr>
          <w:rStyle w:val="FootnoteReference"/>
          <w:kern w:val="28"/>
        </w:rPr>
        <w:footnoteReference w:id="21"/>
      </w:r>
      <w:r w:rsidR="00E42DF2">
        <w:rPr>
          <w:kern w:val="28"/>
        </w:rPr>
        <w:t xml:space="preserve">  NABOB </w:t>
      </w:r>
      <w:r w:rsidR="000A7F58">
        <w:rPr>
          <w:kern w:val="28"/>
        </w:rPr>
        <w:t xml:space="preserve">maintains </w:t>
      </w:r>
      <w:r w:rsidR="00E42DF2">
        <w:rPr>
          <w:kern w:val="28"/>
        </w:rPr>
        <w:t xml:space="preserve">that the Commission’s conclusion that Verizon Wireless’s bidding process was in keeping with the guidance set forth in the </w:t>
      </w:r>
      <w:r w:rsidR="00E42DF2" w:rsidRPr="00AF6A98">
        <w:rPr>
          <w:i/>
          <w:kern w:val="28"/>
        </w:rPr>
        <w:t>Verizon Wireless-ALLTEL Order</w:t>
      </w:r>
      <w:r w:rsidR="005F26BE">
        <w:rPr>
          <w:kern w:val="28"/>
        </w:rPr>
        <w:t xml:space="preserve"> gives too little weight to </w:t>
      </w:r>
      <w:r w:rsidR="00BD1D4E">
        <w:rPr>
          <w:kern w:val="28"/>
        </w:rPr>
        <w:t>such obligations</w:t>
      </w:r>
      <w:r w:rsidR="005F26BE">
        <w:rPr>
          <w:kern w:val="28"/>
        </w:rPr>
        <w:t>.</w:t>
      </w:r>
      <w:r w:rsidR="005F26BE">
        <w:rPr>
          <w:rStyle w:val="FootnoteReference"/>
          <w:kern w:val="28"/>
        </w:rPr>
        <w:footnoteReference w:id="22"/>
      </w:r>
    </w:p>
    <w:p w:rsidR="00836EDD" w:rsidRPr="006A65F3" w:rsidRDefault="00836EDD" w:rsidP="00F34AD7">
      <w:pPr>
        <w:pStyle w:val="ParaNum"/>
        <w:widowControl/>
        <w:tabs>
          <w:tab w:val="left" w:pos="4320"/>
        </w:tabs>
        <w:jc w:val="left"/>
      </w:pPr>
      <w:r>
        <w:rPr>
          <w:kern w:val="28"/>
        </w:rPr>
        <w:t>Verizon Wireless</w:t>
      </w:r>
      <w:r w:rsidR="008F1186">
        <w:rPr>
          <w:kern w:val="28"/>
        </w:rPr>
        <w:t xml:space="preserve"> opposes NABOB’s Petition</w:t>
      </w:r>
      <w:r w:rsidR="00EB64AC">
        <w:rPr>
          <w:kern w:val="28"/>
        </w:rPr>
        <w:t xml:space="preserve"> for Reconsideration</w:t>
      </w:r>
      <w:r w:rsidR="00BD1D4E">
        <w:rPr>
          <w:kern w:val="28"/>
        </w:rPr>
        <w:t xml:space="preserve">.  As to the bidding process, it </w:t>
      </w:r>
      <w:r w:rsidR="002E62EA">
        <w:rPr>
          <w:kern w:val="28"/>
        </w:rPr>
        <w:t>assert</w:t>
      </w:r>
      <w:r w:rsidR="00BD1D4E">
        <w:rPr>
          <w:kern w:val="28"/>
        </w:rPr>
        <w:t>s</w:t>
      </w:r>
      <w:r w:rsidR="002E62EA">
        <w:rPr>
          <w:kern w:val="28"/>
        </w:rPr>
        <w:t xml:space="preserve"> that</w:t>
      </w:r>
      <w:r w:rsidR="00CC730E">
        <w:rPr>
          <w:kern w:val="28"/>
        </w:rPr>
        <w:t xml:space="preserve"> the</w:t>
      </w:r>
      <w:r w:rsidR="002E62EA">
        <w:rPr>
          <w:kern w:val="28"/>
        </w:rPr>
        <w:t xml:space="preserve"> Commission reviewed </w:t>
      </w:r>
      <w:r w:rsidR="00683F66">
        <w:rPr>
          <w:kern w:val="28"/>
        </w:rPr>
        <w:t>an</w:t>
      </w:r>
      <w:r w:rsidR="002E62EA">
        <w:rPr>
          <w:kern w:val="28"/>
        </w:rPr>
        <w:t xml:space="preserve"> </w:t>
      </w:r>
      <w:r w:rsidR="005F4DB5">
        <w:rPr>
          <w:kern w:val="28"/>
        </w:rPr>
        <w:t>“extensive factual documentation in the record”</w:t>
      </w:r>
      <w:r w:rsidR="002E62EA">
        <w:rPr>
          <w:kern w:val="28"/>
        </w:rPr>
        <w:t xml:space="preserve"> to conclude that </w:t>
      </w:r>
      <w:r w:rsidR="00BD1D4E">
        <w:rPr>
          <w:kern w:val="28"/>
        </w:rPr>
        <w:t>the</w:t>
      </w:r>
      <w:r w:rsidR="00BE5D64">
        <w:rPr>
          <w:kern w:val="28"/>
        </w:rPr>
        <w:t xml:space="preserve"> </w:t>
      </w:r>
      <w:r w:rsidR="002E62EA">
        <w:rPr>
          <w:kern w:val="28"/>
        </w:rPr>
        <w:t xml:space="preserve">process complied with the requirements of the </w:t>
      </w:r>
      <w:r w:rsidR="002E62EA" w:rsidRPr="00AF6A98">
        <w:rPr>
          <w:i/>
          <w:kern w:val="28"/>
        </w:rPr>
        <w:t>Verizon Wireless-ALLTEL Order</w:t>
      </w:r>
      <w:r w:rsidR="002E62EA">
        <w:rPr>
          <w:kern w:val="28"/>
        </w:rPr>
        <w:t>.</w:t>
      </w:r>
      <w:r w:rsidR="002E62EA">
        <w:rPr>
          <w:rStyle w:val="FootnoteReference"/>
          <w:kern w:val="28"/>
        </w:rPr>
        <w:footnoteReference w:id="23"/>
      </w:r>
      <w:r w:rsidR="002E62EA">
        <w:rPr>
          <w:kern w:val="28"/>
        </w:rPr>
        <w:t xml:space="preserve">  </w:t>
      </w:r>
      <w:r w:rsidR="00CC730E">
        <w:rPr>
          <w:kern w:val="28"/>
        </w:rPr>
        <w:t>Verizon Wireless claims tha</w:t>
      </w:r>
      <w:r w:rsidR="00EB64AC">
        <w:rPr>
          <w:kern w:val="28"/>
        </w:rPr>
        <w:t xml:space="preserve">t NABOB </w:t>
      </w:r>
      <w:r w:rsidR="00CC730E">
        <w:rPr>
          <w:kern w:val="28"/>
        </w:rPr>
        <w:t xml:space="preserve">identifies no erroneous finding of fact but instead repeats the same claims made in </w:t>
      </w:r>
      <w:r w:rsidR="002978D9">
        <w:rPr>
          <w:kern w:val="28"/>
        </w:rPr>
        <w:t xml:space="preserve">its </w:t>
      </w:r>
      <w:r w:rsidR="00CC730E">
        <w:rPr>
          <w:kern w:val="28"/>
        </w:rPr>
        <w:t>Petition to Deny</w:t>
      </w:r>
      <w:r w:rsidR="002978D9">
        <w:rPr>
          <w:kern w:val="28"/>
        </w:rPr>
        <w:t xml:space="preserve">, which </w:t>
      </w:r>
      <w:r w:rsidR="00CC730E">
        <w:rPr>
          <w:kern w:val="28"/>
        </w:rPr>
        <w:t xml:space="preserve">the Commission discussed and </w:t>
      </w:r>
      <w:r w:rsidR="00BE5D64">
        <w:rPr>
          <w:kern w:val="28"/>
        </w:rPr>
        <w:t xml:space="preserve">addressed </w:t>
      </w:r>
      <w:r w:rsidR="00CC730E">
        <w:rPr>
          <w:kern w:val="28"/>
        </w:rPr>
        <w:t xml:space="preserve">in the </w:t>
      </w:r>
      <w:r w:rsidR="00CC730E" w:rsidRPr="00320691">
        <w:rPr>
          <w:i/>
          <w:kern w:val="28"/>
        </w:rPr>
        <w:t>AT&amp;T-</w:t>
      </w:r>
      <w:r w:rsidR="00CC730E">
        <w:rPr>
          <w:i/>
          <w:kern w:val="28"/>
        </w:rPr>
        <w:t>Verizon Wireless</w:t>
      </w:r>
      <w:r w:rsidR="00CC730E" w:rsidRPr="00320691">
        <w:rPr>
          <w:i/>
          <w:kern w:val="28"/>
        </w:rPr>
        <w:t xml:space="preserve"> Order</w:t>
      </w:r>
      <w:r w:rsidR="00CC730E">
        <w:rPr>
          <w:kern w:val="28"/>
        </w:rPr>
        <w:t>.</w:t>
      </w:r>
      <w:r w:rsidR="00CC730E">
        <w:rPr>
          <w:rStyle w:val="FootnoteReference"/>
          <w:kern w:val="28"/>
        </w:rPr>
        <w:footnoteReference w:id="24"/>
      </w:r>
      <w:r w:rsidR="00092E80">
        <w:rPr>
          <w:kern w:val="28"/>
        </w:rPr>
        <w:t xml:space="preserve">  </w:t>
      </w:r>
      <w:r w:rsidR="009E23D3">
        <w:rPr>
          <w:kern w:val="28"/>
        </w:rPr>
        <w:t>As to NABOB’s statutory assertions, Verizon Wireless argues that “this proceeding has nothing to do with the adoption of or failu</w:t>
      </w:r>
      <w:r w:rsidR="00BE5D64">
        <w:rPr>
          <w:kern w:val="28"/>
        </w:rPr>
        <w:t>re to adopt regulations” under s</w:t>
      </w:r>
      <w:r w:rsidR="009E23D3">
        <w:rPr>
          <w:kern w:val="28"/>
        </w:rPr>
        <w:t xml:space="preserve">ection 257, that the lottery and auction provisions of the Communications Act cited by NABOB relate only to applications for initial licenses and not to secondary market transactions, </w:t>
      </w:r>
      <w:r w:rsidR="00BE5D64">
        <w:rPr>
          <w:kern w:val="28"/>
        </w:rPr>
        <w:t>and that for such transactions s</w:t>
      </w:r>
      <w:r w:rsidR="009E23D3">
        <w:rPr>
          <w:kern w:val="28"/>
        </w:rPr>
        <w:t>ection 310(d) actually precludes consideration of the qualifications of other potential purchasers.</w:t>
      </w:r>
      <w:r w:rsidR="009E23D3">
        <w:rPr>
          <w:rStyle w:val="FootnoteReference"/>
          <w:kern w:val="28"/>
        </w:rPr>
        <w:footnoteReference w:id="25"/>
      </w:r>
      <w:r w:rsidR="009E23D3">
        <w:rPr>
          <w:kern w:val="28"/>
        </w:rPr>
        <w:t xml:space="preserve">  </w:t>
      </w:r>
      <w:r w:rsidR="00092E80">
        <w:rPr>
          <w:kern w:val="28"/>
        </w:rPr>
        <w:t xml:space="preserve">AT&amp;T also opposes the Petition, similarly arguing that NABOB fails to demonstrate any material error or present </w:t>
      </w:r>
      <w:r w:rsidR="009F234A">
        <w:rPr>
          <w:kern w:val="28"/>
        </w:rPr>
        <w:t xml:space="preserve">any </w:t>
      </w:r>
      <w:r w:rsidR="00092E80">
        <w:rPr>
          <w:kern w:val="28"/>
        </w:rPr>
        <w:t>new evidence that would warrant reconsideration.</w:t>
      </w:r>
      <w:r w:rsidR="00092E80">
        <w:rPr>
          <w:rStyle w:val="FootnoteReference"/>
          <w:kern w:val="28"/>
        </w:rPr>
        <w:footnoteReference w:id="26"/>
      </w:r>
      <w:r w:rsidR="00092E80">
        <w:rPr>
          <w:kern w:val="28"/>
        </w:rPr>
        <w:t xml:space="preserve">  NABOB did not reply to </w:t>
      </w:r>
      <w:r w:rsidR="000A7F58">
        <w:rPr>
          <w:kern w:val="28"/>
        </w:rPr>
        <w:t xml:space="preserve">Verizon’s </w:t>
      </w:r>
      <w:r w:rsidR="002978D9">
        <w:rPr>
          <w:kern w:val="28"/>
        </w:rPr>
        <w:t xml:space="preserve">or AT&amp;T’s </w:t>
      </w:r>
      <w:r w:rsidR="00092E80">
        <w:rPr>
          <w:kern w:val="28"/>
        </w:rPr>
        <w:t>opposition</w:t>
      </w:r>
      <w:r w:rsidR="002978D9">
        <w:rPr>
          <w:kern w:val="28"/>
        </w:rPr>
        <w:t>s</w:t>
      </w:r>
      <w:r w:rsidR="00092E80">
        <w:rPr>
          <w:kern w:val="28"/>
        </w:rPr>
        <w:t>.</w:t>
      </w:r>
    </w:p>
    <w:p w:rsidR="000A7F58" w:rsidRPr="000A7F58" w:rsidRDefault="00F2694D" w:rsidP="000A7F58">
      <w:pPr>
        <w:pStyle w:val="ParaNum"/>
        <w:widowControl/>
        <w:tabs>
          <w:tab w:val="clear" w:pos="1440"/>
        </w:tabs>
        <w:jc w:val="left"/>
        <w:rPr>
          <w:szCs w:val="22"/>
        </w:rPr>
      </w:pPr>
      <w:r>
        <w:rPr>
          <w:i/>
          <w:szCs w:val="22"/>
        </w:rPr>
        <w:t xml:space="preserve">Discussion.  </w:t>
      </w:r>
      <w:r w:rsidR="00EC06CA">
        <w:rPr>
          <w:szCs w:val="22"/>
        </w:rPr>
        <w:t>Pursuant to section 1.106 of the Commission’s rules, parties may petition for reconsideration of final Commission action.</w:t>
      </w:r>
      <w:r w:rsidR="00EC06CA">
        <w:rPr>
          <w:rStyle w:val="FootnoteReference"/>
          <w:szCs w:val="22"/>
        </w:rPr>
        <w:footnoteReference w:id="27"/>
      </w:r>
      <w:r w:rsidR="009F234A">
        <w:rPr>
          <w:szCs w:val="22"/>
        </w:rPr>
        <w:t xml:space="preserve">  </w:t>
      </w:r>
      <w:r w:rsidR="00EC06CA">
        <w:rPr>
          <w:szCs w:val="22"/>
        </w:rPr>
        <w:t>Reconsideration generally is appropriate only where the petitioner shows either a material error or omission in the original order or raises additional facts not known or not existing until after the petitioner’s last opportunity to respond.</w:t>
      </w:r>
      <w:r w:rsidR="00EC06CA">
        <w:rPr>
          <w:rStyle w:val="FootnoteReference"/>
          <w:szCs w:val="22"/>
        </w:rPr>
        <w:footnoteReference w:id="28"/>
      </w:r>
      <w:r w:rsidR="000A7F58">
        <w:rPr>
          <w:szCs w:val="22"/>
        </w:rPr>
        <w:t xml:space="preserve">  A petition </w:t>
      </w:r>
      <w:r w:rsidR="00EB64AC">
        <w:rPr>
          <w:szCs w:val="22"/>
        </w:rPr>
        <w:t xml:space="preserve">for reconsideration </w:t>
      </w:r>
      <w:r w:rsidR="000A7F58">
        <w:rPr>
          <w:szCs w:val="22"/>
        </w:rPr>
        <w:t xml:space="preserve">that </w:t>
      </w:r>
      <w:r w:rsidR="00D40058">
        <w:t>rel</w:t>
      </w:r>
      <w:r w:rsidR="000A7F58">
        <w:t>ies</w:t>
      </w:r>
      <w:r w:rsidR="00D40058">
        <w:t xml:space="preserve"> on arguments that have been fully considered and </w:t>
      </w:r>
      <w:r w:rsidR="00EB64AC">
        <w:t xml:space="preserve">addressed </w:t>
      </w:r>
      <w:r w:rsidR="00D40058">
        <w:t>by the Commission within the same proceeding</w:t>
      </w:r>
      <w:r w:rsidR="000A7F58">
        <w:t xml:space="preserve">, that fails to identify any material error or omission warranting reconsideration, </w:t>
      </w:r>
      <w:r w:rsidR="009E23D3">
        <w:t xml:space="preserve">or that relies on arguments not previously presented to the Commission that do not meet specific requirements, </w:t>
      </w:r>
      <w:r w:rsidR="000A7F58">
        <w:t xml:space="preserve">may be dismissed </w:t>
      </w:r>
      <w:r w:rsidR="009E23D3">
        <w:t xml:space="preserve">or denied </w:t>
      </w:r>
      <w:r w:rsidR="000A7F58">
        <w:t>by the Bureau</w:t>
      </w:r>
      <w:r w:rsidR="00D40058">
        <w:t>.</w:t>
      </w:r>
      <w:r w:rsidR="000A7F58">
        <w:rPr>
          <w:rStyle w:val="FootnoteReference"/>
          <w:szCs w:val="22"/>
        </w:rPr>
        <w:footnoteReference w:id="29"/>
      </w:r>
      <w:r w:rsidR="00D40058">
        <w:t xml:space="preserve">  </w:t>
      </w:r>
    </w:p>
    <w:p w:rsidR="00D40058" w:rsidRPr="00EC06CA" w:rsidRDefault="00815611" w:rsidP="000A7F58">
      <w:pPr>
        <w:pStyle w:val="ParaNum"/>
        <w:widowControl/>
        <w:tabs>
          <w:tab w:val="clear" w:pos="1440"/>
        </w:tabs>
        <w:jc w:val="left"/>
        <w:rPr>
          <w:szCs w:val="22"/>
        </w:rPr>
      </w:pPr>
      <w:r>
        <w:t xml:space="preserve">In this case, the arguments set forth in NABOB’s Petition </w:t>
      </w:r>
      <w:r w:rsidR="00EB64AC">
        <w:t xml:space="preserve">for Reconsideration </w:t>
      </w:r>
      <w:r w:rsidR="009E23D3">
        <w:t xml:space="preserve">with respect to the divestiture process </w:t>
      </w:r>
      <w:r>
        <w:t xml:space="preserve">were </w:t>
      </w:r>
      <w:r w:rsidR="000A7F58">
        <w:t xml:space="preserve">fully </w:t>
      </w:r>
      <w:r>
        <w:t xml:space="preserve">considered and </w:t>
      </w:r>
      <w:r w:rsidR="00EB64AC">
        <w:t xml:space="preserve">addressed by the Commission </w:t>
      </w:r>
      <w:r>
        <w:t xml:space="preserve">in the </w:t>
      </w:r>
      <w:r w:rsidR="00D245D1" w:rsidRPr="00320691">
        <w:rPr>
          <w:i/>
          <w:kern w:val="28"/>
        </w:rPr>
        <w:t>AT&amp;T-</w:t>
      </w:r>
      <w:r w:rsidR="00D245D1">
        <w:rPr>
          <w:i/>
          <w:kern w:val="28"/>
        </w:rPr>
        <w:t>Verizon Wireless</w:t>
      </w:r>
      <w:r w:rsidR="00D245D1" w:rsidRPr="00320691">
        <w:rPr>
          <w:i/>
          <w:kern w:val="28"/>
        </w:rPr>
        <w:t xml:space="preserve"> Orde</w:t>
      </w:r>
      <w:r w:rsidR="00FB01E6">
        <w:rPr>
          <w:i/>
          <w:kern w:val="28"/>
        </w:rPr>
        <w:t xml:space="preserve">r.  </w:t>
      </w:r>
      <w:r w:rsidR="00EB64AC">
        <w:rPr>
          <w:kern w:val="28"/>
        </w:rPr>
        <w:t xml:space="preserve">In the </w:t>
      </w:r>
      <w:r w:rsidR="00EB64AC" w:rsidRPr="00320691">
        <w:rPr>
          <w:i/>
          <w:kern w:val="28"/>
        </w:rPr>
        <w:t>AT&amp;T-</w:t>
      </w:r>
      <w:r w:rsidR="00EB64AC">
        <w:rPr>
          <w:i/>
          <w:kern w:val="28"/>
        </w:rPr>
        <w:t>Verizon Wireless</w:t>
      </w:r>
      <w:r w:rsidR="00EB64AC" w:rsidRPr="00320691">
        <w:rPr>
          <w:i/>
          <w:kern w:val="28"/>
        </w:rPr>
        <w:t xml:space="preserve"> Order</w:t>
      </w:r>
      <w:r w:rsidR="00EB64AC">
        <w:rPr>
          <w:kern w:val="28"/>
        </w:rPr>
        <w:t xml:space="preserve">, the Commission addressed NABOB’s Petition to Deny and found that Verizon Wireless had conducted its bidding process in accordance with the guidance set forth in the </w:t>
      </w:r>
      <w:r w:rsidR="00EB64AC" w:rsidRPr="00B345F8">
        <w:rPr>
          <w:i/>
          <w:kern w:val="28"/>
        </w:rPr>
        <w:t>Verizon Wireless-ALLTEL Order</w:t>
      </w:r>
      <w:r w:rsidR="00EB64AC">
        <w:rPr>
          <w:kern w:val="28"/>
        </w:rPr>
        <w:t>.</w:t>
      </w:r>
      <w:r w:rsidR="00FB01E6">
        <w:rPr>
          <w:rStyle w:val="FootnoteReference"/>
          <w:kern w:val="28"/>
        </w:rPr>
        <w:footnoteReference w:id="30"/>
      </w:r>
      <w:r w:rsidR="00EB64AC">
        <w:rPr>
          <w:kern w:val="28"/>
        </w:rPr>
        <w:t xml:space="preserve">  The Commission also found that Verizon Wireless took a number of steps throughout the course of the bidding process to promote participation by minority-owned businesses and socially disadvantaged groups.</w:t>
      </w:r>
      <w:r w:rsidR="00FB01E6">
        <w:rPr>
          <w:rStyle w:val="FootnoteReference"/>
          <w:kern w:val="28"/>
        </w:rPr>
        <w:footnoteReference w:id="31"/>
      </w:r>
      <w:r w:rsidR="00EB64AC">
        <w:rPr>
          <w:kern w:val="28"/>
        </w:rPr>
        <w:t xml:space="preserve">  NABOB’s repetition of arguments that were considered and addressed previously does not warrant reconsideration that the grant of consent to the subject assignment and transfer of control applications served the public interest.  Additionally, NABOB </w:t>
      </w:r>
      <w:r w:rsidR="00D245D1">
        <w:rPr>
          <w:kern w:val="28"/>
        </w:rPr>
        <w:t xml:space="preserve">presents no additional facts and raises no material error or omission in the original order that warrants reconsideration.  </w:t>
      </w:r>
      <w:r w:rsidR="009E23D3">
        <w:rPr>
          <w:kern w:val="28"/>
        </w:rPr>
        <w:t>To the extent it raises new statutory arguments,</w:t>
      </w:r>
      <w:r w:rsidR="009E23D3">
        <w:rPr>
          <w:rStyle w:val="FootnoteReference"/>
          <w:kern w:val="28"/>
        </w:rPr>
        <w:footnoteReference w:id="32"/>
      </w:r>
      <w:r w:rsidR="009E23D3">
        <w:rPr>
          <w:kern w:val="28"/>
        </w:rPr>
        <w:t xml:space="preserve"> </w:t>
      </w:r>
      <w:r w:rsidR="006A4266">
        <w:rPr>
          <w:kern w:val="28"/>
        </w:rPr>
        <w:t xml:space="preserve">it </w:t>
      </w:r>
      <w:r w:rsidR="00037111">
        <w:rPr>
          <w:kern w:val="28"/>
        </w:rPr>
        <w:t>has specified none of the grounds required by the Commission’s rules for doing so</w:t>
      </w:r>
      <w:r w:rsidR="006A4266">
        <w:rPr>
          <w:kern w:val="28"/>
        </w:rPr>
        <w:t xml:space="preserve">, and fails to identify any reason why these statutory provisions would bar Verizon Wireless’ conduct of the bidding process in accordance with the Commission’s prior guidance.  </w:t>
      </w:r>
      <w:r w:rsidR="00EB64AC">
        <w:rPr>
          <w:kern w:val="28"/>
        </w:rPr>
        <w:t>For these reasons,</w:t>
      </w:r>
      <w:r w:rsidR="00D245D1">
        <w:rPr>
          <w:kern w:val="28"/>
        </w:rPr>
        <w:t xml:space="preserve"> we </w:t>
      </w:r>
      <w:r w:rsidR="004B6E13">
        <w:rPr>
          <w:kern w:val="28"/>
        </w:rPr>
        <w:t>deny</w:t>
      </w:r>
      <w:r w:rsidR="00D245D1">
        <w:rPr>
          <w:kern w:val="28"/>
        </w:rPr>
        <w:t xml:space="preserve"> the Petition</w:t>
      </w:r>
      <w:r w:rsidR="000E5A68">
        <w:rPr>
          <w:kern w:val="28"/>
        </w:rPr>
        <w:t xml:space="preserve"> for Reconsideration</w:t>
      </w:r>
      <w:r w:rsidR="00D245D1">
        <w:rPr>
          <w:kern w:val="28"/>
        </w:rPr>
        <w:t>.</w:t>
      </w:r>
    </w:p>
    <w:p w:rsidR="00FD451E" w:rsidRPr="000939DD" w:rsidRDefault="00F2694D" w:rsidP="00CA7E3E">
      <w:pPr>
        <w:pStyle w:val="ParaNum"/>
        <w:jc w:val="left"/>
      </w:pPr>
      <w:r w:rsidRPr="00F2694D">
        <w:rPr>
          <w:i/>
        </w:rPr>
        <w:t>Ordering Clauses</w:t>
      </w:r>
      <w:r>
        <w:t xml:space="preserve">.  </w:t>
      </w:r>
      <w:r w:rsidR="00FD451E" w:rsidRPr="000939DD">
        <w:t>Accordingly, having reviewed the record in this matter, IT IS ORDERED that, pursuant to sections 4(i)</w:t>
      </w:r>
      <w:r w:rsidR="0086304B">
        <w:t>, 5(c), and 405</w:t>
      </w:r>
      <w:r w:rsidR="00FD451E" w:rsidRPr="000939DD">
        <w:t xml:space="preserve"> of the Communications Act of 1934, as amended, 47 U.S.C. §§ 154(i), </w:t>
      </w:r>
      <w:r w:rsidR="0086304B">
        <w:t>155(c)</w:t>
      </w:r>
      <w:r w:rsidR="00FD451E" w:rsidRPr="000939DD">
        <w:t xml:space="preserve">, </w:t>
      </w:r>
      <w:r w:rsidR="0086304B">
        <w:t>and 405(a)</w:t>
      </w:r>
      <w:r w:rsidR="00FD451E" w:rsidRPr="000939DD">
        <w:t xml:space="preserve">, </w:t>
      </w:r>
      <w:r w:rsidR="006A4266">
        <w:t xml:space="preserve">and section 1.106(p) of the </w:t>
      </w:r>
      <w:r w:rsidR="005D2245">
        <w:t>Commission’s rules, 47 C.F.R. § </w:t>
      </w:r>
      <w:r w:rsidR="006A4266">
        <w:t xml:space="preserve">1.106(p), </w:t>
      </w:r>
      <w:r w:rsidR="00FD451E" w:rsidRPr="000939DD">
        <w:t xml:space="preserve">the Petition </w:t>
      </w:r>
      <w:r w:rsidR="0086304B">
        <w:t xml:space="preserve">for Reconsideration </w:t>
      </w:r>
      <w:r w:rsidR="00FD451E" w:rsidRPr="000939DD">
        <w:t xml:space="preserve">filed by </w:t>
      </w:r>
      <w:r w:rsidR="0086304B">
        <w:t>the National Association of Black Owned Broadcasters, Inc.</w:t>
      </w:r>
      <w:r w:rsidR="001B7E5C">
        <w:t xml:space="preserve"> is</w:t>
      </w:r>
      <w:r w:rsidR="00FD451E" w:rsidRPr="000939DD">
        <w:t xml:space="preserve"> hereby </w:t>
      </w:r>
      <w:r w:rsidR="0086304B">
        <w:t>DENIED</w:t>
      </w:r>
      <w:r w:rsidR="00FD451E" w:rsidRPr="000939DD">
        <w:t xml:space="preserve"> for the reasons stated herein.</w:t>
      </w:r>
    </w:p>
    <w:p w:rsidR="00FA29A2" w:rsidRPr="00EA12E6" w:rsidRDefault="00FA29A2" w:rsidP="00611335">
      <w:pPr>
        <w:pStyle w:val="ParaNum"/>
        <w:keepNext/>
        <w:widowControl/>
        <w:jc w:val="left"/>
      </w:pPr>
      <w:r w:rsidRPr="00EA12E6">
        <w:rPr>
          <w:szCs w:val="22"/>
        </w:rPr>
        <w:t>This action is taken under delegated authority pursuant to sections 0.131</w:t>
      </w:r>
      <w:r w:rsidR="006A4266">
        <w:rPr>
          <w:szCs w:val="22"/>
        </w:rPr>
        <w:t>,</w:t>
      </w:r>
      <w:r w:rsidRPr="00EA12E6">
        <w:rPr>
          <w:szCs w:val="22"/>
        </w:rPr>
        <w:t xml:space="preserve"> 0.331</w:t>
      </w:r>
      <w:r w:rsidR="006A4266">
        <w:rPr>
          <w:szCs w:val="22"/>
        </w:rPr>
        <w:t>, and 1.106(p)</w:t>
      </w:r>
      <w:r w:rsidRPr="00EA12E6">
        <w:rPr>
          <w:szCs w:val="22"/>
        </w:rPr>
        <w:t xml:space="preserve"> of the Commission’s </w:t>
      </w:r>
      <w:r w:rsidR="0028617A">
        <w:rPr>
          <w:szCs w:val="22"/>
        </w:rPr>
        <w:t>r</w:t>
      </w:r>
      <w:r w:rsidRPr="00EA12E6">
        <w:rPr>
          <w:szCs w:val="22"/>
        </w:rPr>
        <w:t>ules, 47 C.F.R. §§ 0.131, 0.331</w:t>
      </w:r>
      <w:r w:rsidR="006A4266">
        <w:rPr>
          <w:szCs w:val="22"/>
        </w:rPr>
        <w:t>, 1.106(p)</w:t>
      </w:r>
      <w:r w:rsidRPr="00EA12E6">
        <w:rPr>
          <w:szCs w:val="22"/>
        </w:rPr>
        <w:t>.</w:t>
      </w:r>
    </w:p>
    <w:p w:rsidR="00FA29A2" w:rsidRDefault="00FA29A2" w:rsidP="00F2694D">
      <w:pPr>
        <w:pStyle w:val="ParaNum"/>
        <w:keepNext/>
        <w:widowControl/>
        <w:numPr>
          <w:ilvl w:val="0"/>
          <w:numId w:val="0"/>
        </w:numPr>
        <w:ind w:left="3600" w:firstLine="720"/>
        <w:outlineLvl w:val="0"/>
      </w:pPr>
      <w:r>
        <w:t>FEDERAL COMMUNICATIONS COMMISSION</w:t>
      </w:r>
    </w:p>
    <w:p w:rsidR="00FA29A2" w:rsidRDefault="00FA29A2" w:rsidP="00FA29A2">
      <w:pPr>
        <w:pStyle w:val="ParaNum"/>
        <w:widowControl/>
        <w:numPr>
          <w:ilvl w:val="0"/>
          <w:numId w:val="0"/>
        </w:numPr>
      </w:pPr>
    </w:p>
    <w:p w:rsidR="00FA29A2" w:rsidRDefault="004A49D3" w:rsidP="000939DD">
      <w:pPr>
        <w:ind w:left="4320"/>
      </w:pPr>
      <w:r>
        <w:t xml:space="preserve">Roger </w:t>
      </w:r>
      <w:r w:rsidR="00EE0EDC">
        <w:t xml:space="preserve">C. </w:t>
      </w:r>
      <w:r>
        <w:t>Sherman</w:t>
      </w:r>
    </w:p>
    <w:p w:rsidR="00FA29A2" w:rsidRPr="006B57F5" w:rsidRDefault="00611335" w:rsidP="0007517D">
      <w:pPr>
        <w:ind w:left="4320"/>
      </w:pPr>
      <w:r>
        <w:t>Chief, Wireless Telecommunications Bureau</w:t>
      </w:r>
    </w:p>
    <w:sectPr w:rsidR="00FA29A2" w:rsidRPr="006B57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5A" w:rsidRDefault="007E755A">
      <w:r>
        <w:separator/>
      </w:r>
    </w:p>
  </w:endnote>
  <w:endnote w:type="continuationSeparator" w:id="0">
    <w:p w:rsidR="007E755A" w:rsidRDefault="007E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9BC" w:rsidRDefault="00D90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E4" w:rsidRDefault="00BC4148">
    <w:pPr>
      <w:pStyle w:val="Footer"/>
      <w:jc w:val="center"/>
    </w:pPr>
    <w:r>
      <w:fldChar w:fldCharType="begin"/>
    </w:r>
    <w:r>
      <w:instrText xml:space="preserve"> PAGE   \* MERGEFORMAT </w:instrText>
    </w:r>
    <w:r>
      <w:fldChar w:fldCharType="separate"/>
    </w:r>
    <w:r w:rsidR="005E342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9BC" w:rsidRDefault="00D90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5A" w:rsidRDefault="007E755A">
      <w:pPr>
        <w:rPr>
          <w:sz w:val="20"/>
        </w:rPr>
      </w:pPr>
      <w:r>
        <w:rPr>
          <w:sz w:val="20"/>
        </w:rPr>
        <w:separator/>
      </w:r>
    </w:p>
  </w:footnote>
  <w:footnote w:type="continuationSeparator" w:id="0">
    <w:p w:rsidR="007E755A" w:rsidRDefault="007E755A">
      <w:pPr>
        <w:rPr>
          <w:sz w:val="20"/>
        </w:rPr>
      </w:pPr>
      <w:r>
        <w:rPr>
          <w:sz w:val="20"/>
        </w:rPr>
        <w:separator/>
      </w:r>
    </w:p>
    <w:p w:rsidR="007E755A" w:rsidRDefault="007E755A">
      <w:pPr>
        <w:rPr>
          <w:sz w:val="20"/>
        </w:rPr>
      </w:pPr>
      <w:r>
        <w:rPr>
          <w:sz w:val="20"/>
        </w:rPr>
        <w:t>(...continued from previous page)</w:t>
      </w:r>
    </w:p>
  </w:footnote>
  <w:footnote w:type="continuationNotice" w:id="1">
    <w:p w:rsidR="007E755A" w:rsidRDefault="007E755A">
      <w:pPr>
        <w:jc w:val="right"/>
        <w:rPr>
          <w:sz w:val="20"/>
        </w:rPr>
      </w:pPr>
      <w:r>
        <w:rPr>
          <w:sz w:val="20"/>
        </w:rPr>
        <w:t>(continued....)</w:t>
      </w:r>
    </w:p>
  </w:footnote>
  <w:footnote w:id="2">
    <w:p w:rsidR="003424D9" w:rsidRDefault="003424D9" w:rsidP="003424D9">
      <w:pPr>
        <w:pStyle w:val="FootnoteText"/>
      </w:pPr>
      <w:r>
        <w:rPr>
          <w:rStyle w:val="FootnoteReference"/>
        </w:rPr>
        <w:footnoteRef/>
      </w:r>
      <w:r>
        <w:t xml:space="preserve"> Petition for Reconsideration of The National Association of Black Owned Broadcasters, Inc., WT Docket No. 09-104 (filed July 22, 2010) (“Petition”).</w:t>
      </w:r>
    </w:p>
  </w:footnote>
  <w:footnote w:id="3">
    <w:p w:rsidR="001123B2" w:rsidRPr="00594C0D" w:rsidRDefault="001123B2">
      <w:pPr>
        <w:pStyle w:val="FootnoteText"/>
      </w:pPr>
      <w:r>
        <w:rPr>
          <w:rStyle w:val="FootnoteReference"/>
        </w:rPr>
        <w:footnoteRef/>
      </w:r>
      <w:r>
        <w:t xml:space="preserve"> </w:t>
      </w:r>
      <w:r w:rsidR="00594C0D">
        <w:rPr>
          <w:szCs w:val="22"/>
        </w:rPr>
        <w:t xml:space="preserve">Applications of AT&amp;T Inc. and Cellco Partnership d/b/a Verizon Wireless For Consent to Assign or Transfer Control of Licenses and Authorizations and Modify a Spectrum Leasing Arrangement, </w:t>
      </w:r>
      <w:r w:rsidR="00594C0D">
        <w:rPr>
          <w:i/>
          <w:szCs w:val="22"/>
        </w:rPr>
        <w:t>Memorandum Opinion and Order</w:t>
      </w:r>
      <w:r w:rsidR="00594C0D">
        <w:rPr>
          <w:szCs w:val="22"/>
        </w:rPr>
        <w:t xml:space="preserve">, </w:t>
      </w:r>
      <w:r w:rsidR="001073C4">
        <w:rPr>
          <w:szCs w:val="22"/>
        </w:rPr>
        <w:t xml:space="preserve">25 </w:t>
      </w:r>
      <w:r w:rsidR="00594C0D">
        <w:rPr>
          <w:szCs w:val="22"/>
        </w:rPr>
        <w:t xml:space="preserve">FCC Rcd </w:t>
      </w:r>
      <w:r w:rsidR="001073C4">
        <w:rPr>
          <w:szCs w:val="22"/>
        </w:rPr>
        <w:t xml:space="preserve">8704 </w:t>
      </w:r>
      <w:r w:rsidR="00594C0D">
        <w:rPr>
          <w:szCs w:val="22"/>
        </w:rPr>
        <w:t>(2010) (“</w:t>
      </w:r>
      <w:r w:rsidR="00594C0D">
        <w:rPr>
          <w:i/>
          <w:szCs w:val="22"/>
        </w:rPr>
        <w:t>AT&amp;T-Verizon Wireless Order</w:t>
      </w:r>
      <w:r w:rsidR="00594C0D">
        <w:rPr>
          <w:szCs w:val="22"/>
        </w:rPr>
        <w:t>”).</w:t>
      </w:r>
    </w:p>
  </w:footnote>
  <w:footnote w:id="4">
    <w:p w:rsidR="00635181" w:rsidRPr="00A053CB" w:rsidRDefault="00635181" w:rsidP="00635181">
      <w:pPr>
        <w:pStyle w:val="FootnoteText"/>
      </w:pPr>
      <w:r>
        <w:rPr>
          <w:rStyle w:val="FootnoteReference"/>
        </w:rPr>
        <w:footnoteRef/>
      </w:r>
      <w:r>
        <w:t xml:space="preserve"> </w:t>
      </w:r>
      <w:r w:rsidRPr="00635181">
        <w:rPr>
          <w:i/>
        </w:rPr>
        <w:t>See</w:t>
      </w:r>
      <w:r>
        <w:t xml:space="preserve"> Applications of Cellco Partnership d/b/a Verizon Wireless and Atlantis Holdings LLC For Consent to Transfer Control of Licenses, Authorizations, and Spectrum Manager and </w:t>
      </w:r>
      <w:r>
        <w:rPr>
          <w:i/>
        </w:rPr>
        <w:t>De Facto</w:t>
      </w:r>
      <w:r>
        <w:t xml:space="preserve"> Transfer Leasing Arrangements and Petition for Declaratory Ruling that the Transaction is Consistent with Section 310(b)(4) of the Communications Act, WT Docket No. 08-95, </w:t>
      </w:r>
      <w:r>
        <w:rPr>
          <w:i/>
        </w:rPr>
        <w:t>Memorandum Opinion and Order and Declaratory Ruling</w:t>
      </w:r>
      <w:r>
        <w:t>, 23 FCC Rcd 17444 (2008) (“</w:t>
      </w:r>
      <w:r>
        <w:rPr>
          <w:i/>
        </w:rPr>
        <w:t>Verizon Wireless-ALLTEL Order</w:t>
      </w:r>
      <w:r>
        <w:t>”).</w:t>
      </w:r>
    </w:p>
  </w:footnote>
  <w:footnote w:id="5">
    <w:p w:rsidR="006008BE" w:rsidRDefault="006008BE" w:rsidP="006008BE">
      <w:pPr>
        <w:pStyle w:val="FootnoteText"/>
      </w:pPr>
      <w:r>
        <w:rPr>
          <w:rStyle w:val="FootnoteReference"/>
        </w:rPr>
        <w:footnoteRef/>
      </w:r>
      <w:r>
        <w:t xml:space="preserve"> </w:t>
      </w:r>
      <w:r>
        <w:rPr>
          <w:i/>
        </w:rPr>
        <w:t>Verizon Wireless-ALLTEL</w:t>
      </w:r>
      <w:r>
        <w:t xml:space="preserve"> </w:t>
      </w:r>
      <w:r>
        <w:rPr>
          <w:i/>
        </w:rPr>
        <w:t>Order</w:t>
      </w:r>
      <w:r>
        <w:t>, 23 FCC Rcd at 17516-17 ¶ 159.</w:t>
      </w:r>
    </w:p>
  </w:footnote>
  <w:footnote w:id="6">
    <w:p w:rsidR="006008BE" w:rsidRDefault="006008BE" w:rsidP="006008BE">
      <w:pPr>
        <w:pStyle w:val="FootnoteText"/>
      </w:pPr>
      <w:r>
        <w:rPr>
          <w:rStyle w:val="FootnoteReference"/>
        </w:rPr>
        <w:footnoteRef/>
      </w:r>
      <w:r>
        <w:t xml:space="preserve"> </w:t>
      </w:r>
      <w:r>
        <w:rPr>
          <w:i/>
        </w:rPr>
        <w:t>Verizon Wireless-ALLTEL</w:t>
      </w:r>
      <w:r>
        <w:t xml:space="preserve"> </w:t>
      </w:r>
      <w:r>
        <w:rPr>
          <w:i/>
        </w:rPr>
        <w:t>Order</w:t>
      </w:r>
      <w:r>
        <w:t>, 23 FCC Rcd at 17518 ¶ 162.</w:t>
      </w:r>
    </w:p>
  </w:footnote>
  <w:footnote w:id="7">
    <w:p w:rsidR="006008BE" w:rsidRDefault="006008BE" w:rsidP="006008BE">
      <w:pPr>
        <w:pStyle w:val="FootnoteText"/>
      </w:pPr>
      <w:r>
        <w:rPr>
          <w:rStyle w:val="FootnoteReference"/>
        </w:rPr>
        <w:footnoteRef/>
      </w:r>
      <w:r>
        <w:t xml:space="preserve"> </w:t>
      </w:r>
      <w:r w:rsidR="00BB6114">
        <w:rPr>
          <w:i/>
        </w:rPr>
        <w:t>Verizon Wireless-ALLTEL</w:t>
      </w:r>
      <w:r w:rsidR="00BB6114">
        <w:t xml:space="preserve"> </w:t>
      </w:r>
      <w:r w:rsidR="00BB6114">
        <w:rPr>
          <w:i/>
        </w:rPr>
        <w:t>Order</w:t>
      </w:r>
      <w:r w:rsidR="00BB6114">
        <w:t>, 23 FCC Rcd at 17518 ¶ 162.</w:t>
      </w:r>
    </w:p>
  </w:footnote>
  <w:footnote w:id="8">
    <w:p w:rsidR="006008BE" w:rsidRDefault="006008BE" w:rsidP="006008BE">
      <w:pPr>
        <w:pStyle w:val="FootnoteText"/>
      </w:pPr>
      <w:r>
        <w:rPr>
          <w:rStyle w:val="FootnoteReference"/>
        </w:rPr>
        <w:footnoteRef/>
      </w:r>
      <w:r>
        <w:t xml:space="preserve"> </w:t>
      </w:r>
      <w:r w:rsidR="00BB6114">
        <w:rPr>
          <w:i/>
        </w:rPr>
        <w:t>Verizon Wireless-ALLTEL</w:t>
      </w:r>
      <w:r w:rsidR="00BB6114">
        <w:t xml:space="preserve"> </w:t>
      </w:r>
      <w:r w:rsidR="00BB6114">
        <w:rPr>
          <w:i/>
        </w:rPr>
        <w:t>Order</w:t>
      </w:r>
      <w:r>
        <w:t>, 23 FCC Rcd at 17518 ¶ 162.</w:t>
      </w:r>
    </w:p>
  </w:footnote>
  <w:footnote w:id="9">
    <w:p w:rsidR="009859D4" w:rsidRDefault="009859D4" w:rsidP="009859D4">
      <w:pPr>
        <w:pStyle w:val="FootnoteText"/>
      </w:pPr>
      <w:r>
        <w:rPr>
          <w:rStyle w:val="FootnoteReference"/>
        </w:rPr>
        <w:footnoteRef/>
      </w:r>
      <w:r>
        <w:t xml:space="preserve"> </w:t>
      </w:r>
      <w:r>
        <w:rPr>
          <w:i/>
          <w:szCs w:val="22"/>
        </w:rPr>
        <w:t>AT&amp;T-Verizon Wireless Order</w:t>
      </w:r>
      <w:r>
        <w:rPr>
          <w:szCs w:val="22"/>
        </w:rPr>
        <w:t>, 25 FCC Rcd at 8752 ¶ 116</w:t>
      </w:r>
      <w:r>
        <w:t>.</w:t>
      </w:r>
    </w:p>
  </w:footnote>
  <w:footnote w:id="10">
    <w:p w:rsidR="009859D4" w:rsidRDefault="009859D4">
      <w:pPr>
        <w:pStyle w:val="FootnoteText"/>
      </w:pPr>
      <w:r>
        <w:rPr>
          <w:rStyle w:val="FootnoteReference"/>
        </w:rPr>
        <w:footnoteRef/>
      </w:r>
      <w:r>
        <w:t xml:space="preserve"> Verizon Wireless reached an agreement with Atlantic Tele-Network (“ATN”) regarding the sale of assets in the other 26 Divestiture Markets.  </w:t>
      </w:r>
      <w:r>
        <w:rPr>
          <w:i/>
          <w:szCs w:val="22"/>
        </w:rPr>
        <w:t>AT&amp;T-Verizon Wireless Order</w:t>
      </w:r>
      <w:r>
        <w:rPr>
          <w:szCs w:val="22"/>
        </w:rPr>
        <w:t>, 25 FCC Rcd at 8752 ¶ 116</w:t>
      </w:r>
      <w:r>
        <w:t xml:space="preserve">.  </w:t>
      </w:r>
    </w:p>
  </w:footnote>
  <w:footnote w:id="11">
    <w:p w:rsidR="00100B32" w:rsidRDefault="00100B32">
      <w:pPr>
        <w:pStyle w:val="FootnoteText"/>
      </w:pPr>
      <w:r>
        <w:rPr>
          <w:rStyle w:val="FootnoteReference"/>
        </w:rPr>
        <w:footnoteRef/>
      </w:r>
      <w:r>
        <w:t xml:space="preserve"> </w:t>
      </w:r>
      <w:r w:rsidR="00D14471">
        <w:t xml:space="preserve">Petition to Deny of The National Association of Black Owned Broadcasters, Inc., WT Docket No. 09-104 (filed July 20, 2009) (“Petition to Deny”); </w:t>
      </w:r>
      <w:r>
        <w:rPr>
          <w:i/>
          <w:szCs w:val="22"/>
        </w:rPr>
        <w:t>AT&amp;T-Verizon Wireless Order</w:t>
      </w:r>
      <w:r>
        <w:rPr>
          <w:szCs w:val="22"/>
        </w:rPr>
        <w:t>, 25 FCC Rcd at 87</w:t>
      </w:r>
      <w:r w:rsidR="00437621">
        <w:rPr>
          <w:szCs w:val="22"/>
        </w:rPr>
        <w:t>53-54</w:t>
      </w:r>
      <w:r>
        <w:rPr>
          <w:szCs w:val="22"/>
        </w:rPr>
        <w:t xml:space="preserve"> ¶ 1</w:t>
      </w:r>
      <w:r w:rsidR="00437621">
        <w:rPr>
          <w:szCs w:val="22"/>
        </w:rPr>
        <w:t>19</w:t>
      </w:r>
      <w:r>
        <w:t>.</w:t>
      </w:r>
    </w:p>
  </w:footnote>
  <w:footnote w:id="12">
    <w:p w:rsidR="006A65F3" w:rsidRDefault="006A65F3">
      <w:pPr>
        <w:pStyle w:val="FootnoteText"/>
      </w:pPr>
      <w:r>
        <w:rPr>
          <w:rStyle w:val="FootnoteReference"/>
        </w:rPr>
        <w:footnoteRef/>
      </w:r>
      <w:r>
        <w:t xml:space="preserve"> </w:t>
      </w:r>
      <w:r>
        <w:rPr>
          <w:i/>
          <w:szCs w:val="22"/>
        </w:rPr>
        <w:t>AT&amp;T-Verizon Wireless Order</w:t>
      </w:r>
      <w:r>
        <w:rPr>
          <w:szCs w:val="22"/>
        </w:rPr>
        <w:t>, 25 FCC Rcd at 875</w:t>
      </w:r>
      <w:r w:rsidR="007A50D7">
        <w:rPr>
          <w:szCs w:val="22"/>
        </w:rPr>
        <w:t>2, 87</w:t>
      </w:r>
      <w:r>
        <w:rPr>
          <w:szCs w:val="22"/>
        </w:rPr>
        <w:t>54 ¶</w:t>
      </w:r>
      <w:r w:rsidR="007A50D7">
        <w:rPr>
          <w:szCs w:val="22"/>
        </w:rPr>
        <w:t>¶</w:t>
      </w:r>
      <w:r>
        <w:rPr>
          <w:szCs w:val="22"/>
        </w:rPr>
        <w:t xml:space="preserve"> </w:t>
      </w:r>
      <w:r w:rsidR="007A50D7">
        <w:rPr>
          <w:szCs w:val="22"/>
        </w:rPr>
        <w:t xml:space="preserve">116, </w:t>
      </w:r>
      <w:r>
        <w:rPr>
          <w:szCs w:val="22"/>
        </w:rPr>
        <w:t>119</w:t>
      </w:r>
      <w:r w:rsidR="004A49D3">
        <w:rPr>
          <w:szCs w:val="22"/>
        </w:rPr>
        <w:t>; Petition to Deny at 6-8</w:t>
      </w:r>
      <w:r>
        <w:t>.</w:t>
      </w:r>
      <w:r w:rsidR="00D63C60">
        <w:t xml:space="preserve"> </w:t>
      </w:r>
    </w:p>
  </w:footnote>
  <w:footnote w:id="13">
    <w:p w:rsidR="007A50D7" w:rsidRDefault="007A50D7">
      <w:pPr>
        <w:pStyle w:val="FootnoteText"/>
      </w:pPr>
      <w:r>
        <w:rPr>
          <w:rStyle w:val="FootnoteReference"/>
        </w:rPr>
        <w:footnoteRef/>
      </w:r>
      <w:r>
        <w:t xml:space="preserve"> </w:t>
      </w:r>
      <w:r>
        <w:rPr>
          <w:i/>
          <w:szCs w:val="22"/>
        </w:rPr>
        <w:t>AT&amp;T-Verizon Wireless Order</w:t>
      </w:r>
      <w:r>
        <w:rPr>
          <w:szCs w:val="22"/>
        </w:rPr>
        <w:t>, 25 FCC Rcd at 8753-54 ¶ 119</w:t>
      </w:r>
      <w:r w:rsidR="004A49D3">
        <w:t>; Petition to Deny at 6-8.</w:t>
      </w:r>
    </w:p>
  </w:footnote>
  <w:footnote w:id="14">
    <w:p w:rsidR="00E50851" w:rsidRDefault="00E50851">
      <w:pPr>
        <w:pStyle w:val="FootnoteText"/>
      </w:pPr>
      <w:r>
        <w:rPr>
          <w:rStyle w:val="FootnoteReference"/>
        </w:rPr>
        <w:footnoteRef/>
      </w:r>
      <w:r>
        <w:t xml:space="preserve"> Petition to Deny at 5-6; </w:t>
      </w:r>
      <w:r>
        <w:rPr>
          <w:i/>
          <w:szCs w:val="22"/>
        </w:rPr>
        <w:t>AT&amp;T-Verizon Wireless Order</w:t>
      </w:r>
      <w:r>
        <w:rPr>
          <w:szCs w:val="22"/>
        </w:rPr>
        <w:t>, 25 FCC Rcd at 8728 n.177</w:t>
      </w:r>
      <w:r>
        <w:t>.</w:t>
      </w:r>
    </w:p>
  </w:footnote>
  <w:footnote w:id="15">
    <w:p w:rsidR="00C41873" w:rsidRDefault="00C41873">
      <w:pPr>
        <w:pStyle w:val="FootnoteText"/>
      </w:pPr>
      <w:r>
        <w:rPr>
          <w:rStyle w:val="FootnoteReference"/>
        </w:rPr>
        <w:footnoteRef/>
      </w:r>
      <w:r>
        <w:t xml:space="preserve"> </w:t>
      </w:r>
      <w:r>
        <w:rPr>
          <w:i/>
          <w:szCs w:val="22"/>
        </w:rPr>
        <w:t>AT&amp;T-Verizon Wireless Order</w:t>
      </w:r>
      <w:r w:rsidR="00B345F8">
        <w:rPr>
          <w:szCs w:val="22"/>
        </w:rPr>
        <w:t>, 25 FCC Rcd at 8754 ¶ 121</w:t>
      </w:r>
      <w:r>
        <w:t>.</w:t>
      </w:r>
    </w:p>
  </w:footnote>
  <w:footnote w:id="16">
    <w:p w:rsidR="00B345F8" w:rsidRDefault="00B345F8">
      <w:pPr>
        <w:pStyle w:val="FootnoteText"/>
      </w:pPr>
      <w:r>
        <w:rPr>
          <w:rStyle w:val="FootnoteReference"/>
        </w:rPr>
        <w:footnoteRef/>
      </w:r>
      <w:r>
        <w:t xml:space="preserve"> </w:t>
      </w:r>
      <w:r>
        <w:rPr>
          <w:i/>
          <w:szCs w:val="22"/>
        </w:rPr>
        <w:t>AT&amp;T-Verizon Wireless Order</w:t>
      </w:r>
      <w:r>
        <w:rPr>
          <w:szCs w:val="22"/>
        </w:rPr>
        <w:t>, 25 FCC Rcd at 8755 ¶ 121.</w:t>
      </w:r>
    </w:p>
  </w:footnote>
  <w:footnote w:id="17">
    <w:p w:rsidR="00320691" w:rsidRPr="006A4266" w:rsidRDefault="00320691">
      <w:pPr>
        <w:pStyle w:val="FootnoteText"/>
      </w:pPr>
      <w:r>
        <w:rPr>
          <w:rStyle w:val="FootnoteReference"/>
        </w:rPr>
        <w:footnoteRef/>
      </w:r>
      <w:r>
        <w:t xml:space="preserve"> </w:t>
      </w:r>
      <w:r>
        <w:rPr>
          <w:i/>
          <w:szCs w:val="22"/>
        </w:rPr>
        <w:t>AT&amp;T-Verizon Wireless Order</w:t>
      </w:r>
      <w:r>
        <w:rPr>
          <w:szCs w:val="22"/>
        </w:rPr>
        <w:t>, 25 FCC Rcd at 8760 ¶ 133.</w:t>
      </w:r>
      <w:r w:rsidR="006A4266">
        <w:rPr>
          <w:szCs w:val="22"/>
        </w:rPr>
        <w:t xml:space="preserve">  The Commission thus found it unnecessary to address the applicants’ claim that NABOB, which is a trade association representing the interests of African American owned broadcast stations (Petition to Deny at 2), had failed to demonstrate standing.  </w:t>
      </w:r>
      <w:r w:rsidR="006A4266">
        <w:rPr>
          <w:i/>
          <w:szCs w:val="22"/>
        </w:rPr>
        <w:t xml:space="preserve">Id., </w:t>
      </w:r>
      <w:r w:rsidR="006A4266">
        <w:rPr>
          <w:szCs w:val="22"/>
        </w:rPr>
        <w:t xml:space="preserve">25 FCC Rcd at </w:t>
      </w:r>
      <w:r w:rsidR="009D46C7">
        <w:rPr>
          <w:szCs w:val="22"/>
        </w:rPr>
        <w:t>8752</w:t>
      </w:r>
      <w:r w:rsidR="006A4266">
        <w:rPr>
          <w:szCs w:val="22"/>
        </w:rPr>
        <w:t xml:space="preserve"> n.396.</w:t>
      </w:r>
    </w:p>
  </w:footnote>
  <w:footnote w:id="18">
    <w:p w:rsidR="00AE771F" w:rsidRDefault="00AE771F">
      <w:pPr>
        <w:pStyle w:val="FootnoteText"/>
      </w:pPr>
      <w:r>
        <w:rPr>
          <w:rStyle w:val="FootnoteReference"/>
        </w:rPr>
        <w:footnoteRef/>
      </w:r>
      <w:r>
        <w:t xml:space="preserve"> Petition at 4.</w:t>
      </w:r>
    </w:p>
  </w:footnote>
  <w:footnote w:id="19">
    <w:p w:rsidR="00AB2DB3" w:rsidRDefault="00AB2DB3">
      <w:pPr>
        <w:pStyle w:val="FootnoteText"/>
      </w:pPr>
      <w:r>
        <w:rPr>
          <w:rStyle w:val="FootnoteReference"/>
        </w:rPr>
        <w:footnoteRef/>
      </w:r>
      <w:r>
        <w:t xml:space="preserve"> Petition at 9.</w:t>
      </w:r>
    </w:p>
  </w:footnote>
  <w:footnote w:id="20">
    <w:p w:rsidR="00D14471" w:rsidRDefault="00D14471" w:rsidP="00D14471">
      <w:pPr>
        <w:pStyle w:val="FootnoteText"/>
      </w:pPr>
      <w:r>
        <w:rPr>
          <w:rStyle w:val="FootnoteReference"/>
        </w:rPr>
        <w:footnoteRef/>
      </w:r>
      <w:r>
        <w:t xml:space="preserve"> Petition at 10.</w:t>
      </w:r>
    </w:p>
  </w:footnote>
  <w:footnote w:id="21">
    <w:p w:rsidR="001B31F9" w:rsidRPr="001B31F9" w:rsidRDefault="001B31F9">
      <w:pPr>
        <w:pStyle w:val="FootnoteText"/>
      </w:pPr>
      <w:r>
        <w:rPr>
          <w:rStyle w:val="FootnoteReference"/>
        </w:rPr>
        <w:footnoteRef/>
      </w:r>
      <w:r>
        <w:t xml:space="preserve"> Petition at </w:t>
      </w:r>
      <w:r w:rsidR="00BD1D4E">
        <w:t xml:space="preserve">3, </w:t>
      </w:r>
      <w:r>
        <w:t xml:space="preserve">7, </w:t>
      </w:r>
      <w:r>
        <w:rPr>
          <w:i/>
        </w:rPr>
        <w:t>referencing</w:t>
      </w:r>
      <w:r>
        <w:t xml:space="preserve"> 47 U.S.C. §§ </w:t>
      </w:r>
      <w:r>
        <w:rPr>
          <w:kern w:val="28"/>
        </w:rPr>
        <w:t>257, 309(i)(3), 309(j)(3)(B), and 310(d).</w:t>
      </w:r>
    </w:p>
  </w:footnote>
  <w:footnote w:id="22">
    <w:p w:rsidR="005F26BE" w:rsidRDefault="005F26BE">
      <w:pPr>
        <w:pStyle w:val="FootnoteText"/>
      </w:pPr>
      <w:r>
        <w:rPr>
          <w:rStyle w:val="FootnoteReference"/>
        </w:rPr>
        <w:footnoteRef/>
      </w:r>
      <w:r>
        <w:t xml:space="preserve"> Petition at 8.</w:t>
      </w:r>
    </w:p>
  </w:footnote>
  <w:footnote w:id="23">
    <w:p w:rsidR="002E62EA" w:rsidRDefault="002E62EA">
      <w:pPr>
        <w:pStyle w:val="FootnoteText"/>
      </w:pPr>
      <w:r>
        <w:rPr>
          <w:rStyle w:val="FootnoteReference"/>
        </w:rPr>
        <w:footnoteRef/>
      </w:r>
      <w:r>
        <w:t xml:space="preserve"> Opposition of Cellco Partnership d/b/a/ Verizon Wireless to Petition for Reconsideration, WT Docket No. 09-104 (filed </w:t>
      </w:r>
      <w:r w:rsidR="00CC730E">
        <w:t>August 2</w:t>
      </w:r>
      <w:r>
        <w:t>, 2010)</w:t>
      </w:r>
      <w:r w:rsidR="00CC730E">
        <w:t xml:space="preserve"> (“</w:t>
      </w:r>
      <w:r w:rsidR="00CC730E" w:rsidRPr="00CC730E">
        <w:t>Verizon Wireless Opposition</w:t>
      </w:r>
      <w:r w:rsidR="00CC730E">
        <w:t>”).</w:t>
      </w:r>
    </w:p>
  </w:footnote>
  <w:footnote w:id="24">
    <w:p w:rsidR="00CC730E" w:rsidRDefault="00CC730E">
      <w:pPr>
        <w:pStyle w:val="FootnoteText"/>
      </w:pPr>
      <w:r>
        <w:rPr>
          <w:rStyle w:val="FootnoteReference"/>
        </w:rPr>
        <w:footnoteRef/>
      </w:r>
      <w:r>
        <w:t xml:space="preserve"> Verizon Wireless Opposition at 8-9.</w:t>
      </w:r>
    </w:p>
  </w:footnote>
  <w:footnote w:id="25">
    <w:p w:rsidR="009E23D3" w:rsidRDefault="009E23D3">
      <w:pPr>
        <w:pStyle w:val="FootnoteText"/>
      </w:pPr>
      <w:r>
        <w:rPr>
          <w:rStyle w:val="FootnoteReference"/>
        </w:rPr>
        <w:footnoteRef/>
      </w:r>
      <w:r>
        <w:t xml:space="preserve"> Verizon Wireless Opposition at 5.</w:t>
      </w:r>
    </w:p>
  </w:footnote>
  <w:footnote w:id="26">
    <w:p w:rsidR="00092E80" w:rsidRDefault="00092E80">
      <w:pPr>
        <w:pStyle w:val="FootnoteText"/>
      </w:pPr>
      <w:r>
        <w:rPr>
          <w:rStyle w:val="FootnoteReference"/>
        </w:rPr>
        <w:footnoteRef/>
      </w:r>
      <w:r>
        <w:t xml:space="preserve"> Opposition of AT&amp;T Inc. to Petition for Reconsideration, WT Docket No. 09-104 (filed August 2, 2010) at 2-3.</w:t>
      </w:r>
    </w:p>
  </w:footnote>
  <w:footnote w:id="27">
    <w:p w:rsidR="00EC06CA" w:rsidRDefault="00EC06CA">
      <w:pPr>
        <w:pStyle w:val="FootnoteText"/>
      </w:pPr>
      <w:r>
        <w:rPr>
          <w:rStyle w:val="FootnoteReference"/>
        </w:rPr>
        <w:footnoteRef/>
      </w:r>
      <w:r>
        <w:t xml:space="preserve"> </w:t>
      </w:r>
      <w:r w:rsidR="0086304B">
        <w:t>47 C.F.R</w:t>
      </w:r>
      <w:r>
        <w:t>. § 1.106.</w:t>
      </w:r>
    </w:p>
  </w:footnote>
  <w:footnote w:id="28">
    <w:p w:rsidR="00EC06CA" w:rsidRPr="00EC06CA" w:rsidRDefault="00EC06CA">
      <w:pPr>
        <w:pStyle w:val="FootnoteText"/>
      </w:pPr>
      <w:r>
        <w:rPr>
          <w:rStyle w:val="FootnoteReference"/>
        </w:rPr>
        <w:footnoteRef/>
      </w:r>
      <w:r>
        <w:t xml:space="preserve"> Petition for Reconsideration by Acadiana Cellular General Partnership, </w:t>
      </w:r>
      <w:r>
        <w:rPr>
          <w:i/>
        </w:rPr>
        <w:t>Order on Reconsideration</w:t>
      </w:r>
      <w:r>
        <w:t>, 20 FCC Rcd 8660, 8663 ¶ 8 (2006).</w:t>
      </w:r>
    </w:p>
  </w:footnote>
  <w:footnote w:id="29">
    <w:p w:rsidR="000A7F58" w:rsidRDefault="000A7F58" w:rsidP="000A7F58">
      <w:pPr>
        <w:pStyle w:val="FootnoteText"/>
      </w:pPr>
      <w:r>
        <w:rPr>
          <w:rStyle w:val="FootnoteReference"/>
        </w:rPr>
        <w:footnoteRef/>
      </w:r>
      <w:r>
        <w:t xml:space="preserve"> Amendment of Certain of the Commission’s Part 1 Rules of Practice and Procedure and Part 0 Rules of Commission Organization, </w:t>
      </w:r>
      <w:r>
        <w:rPr>
          <w:i/>
        </w:rPr>
        <w:t xml:space="preserve">Report and Order, </w:t>
      </w:r>
      <w:r>
        <w:t>26 FCC Rcd 1594, 1606 ¶¶ 27-28 (2011) (</w:t>
      </w:r>
      <w:r>
        <w:rPr>
          <w:i/>
        </w:rPr>
        <w:t>Revision of Recon Rules Order</w:t>
      </w:r>
      <w:r>
        <w:t xml:space="preserve">); </w:t>
      </w:r>
      <w:r>
        <w:rPr>
          <w:i/>
        </w:rPr>
        <w:t xml:space="preserve">see also </w:t>
      </w:r>
      <w:r>
        <w:t>47 C.F.R. §§ 1.429(</w:t>
      </w:r>
      <w:r>
        <w:rPr>
          <w:i/>
        </w:rPr>
        <w:t>l</w:t>
      </w:r>
      <w:r>
        <w:t>) (codifying delegation in rulemaking cases) and 1.106(p) (codifying same delegation in non-rulemaking cases).</w:t>
      </w:r>
    </w:p>
  </w:footnote>
  <w:footnote w:id="30">
    <w:p w:rsidR="00FB01E6" w:rsidRPr="009E23D3" w:rsidRDefault="00FB01E6" w:rsidP="00FB01E6">
      <w:pPr>
        <w:pStyle w:val="FootnoteText"/>
      </w:pPr>
      <w:r>
        <w:rPr>
          <w:rStyle w:val="FootnoteReference"/>
        </w:rPr>
        <w:footnoteRef/>
      </w:r>
      <w:r>
        <w:t xml:space="preserve"> </w:t>
      </w:r>
      <w:r>
        <w:rPr>
          <w:i/>
          <w:szCs w:val="22"/>
        </w:rPr>
        <w:t>AT&amp;T-Verizon Wireless Order</w:t>
      </w:r>
      <w:r>
        <w:rPr>
          <w:szCs w:val="22"/>
        </w:rPr>
        <w:t>, 25 FCC Rcd at 8754 ¶ 121</w:t>
      </w:r>
      <w:r>
        <w:t>.</w:t>
      </w:r>
      <w:r w:rsidR="009E23D3">
        <w:t xml:space="preserve">  We also note that </w:t>
      </w:r>
      <w:r w:rsidR="000F426E">
        <w:t>the factual allegations in the Petition to D</w:t>
      </w:r>
      <w:r w:rsidR="009E23D3">
        <w:t xml:space="preserve">eny, which featured reliance upon “word on the street” and a newspaper article, were not supported by affidavit of any person “with personal knowledge thereof.”  </w:t>
      </w:r>
      <w:r w:rsidR="009E23D3">
        <w:rPr>
          <w:i/>
        </w:rPr>
        <w:t xml:space="preserve">See </w:t>
      </w:r>
      <w:r w:rsidR="009E23D3">
        <w:t>47 U.S.C. § 309(d)(1); Petition to Deny at 7, Declaration of James L. Winston.</w:t>
      </w:r>
    </w:p>
  </w:footnote>
  <w:footnote w:id="31">
    <w:p w:rsidR="00FB01E6" w:rsidRDefault="00FB01E6" w:rsidP="00FB01E6">
      <w:pPr>
        <w:pStyle w:val="FootnoteText"/>
      </w:pPr>
      <w:r>
        <w:rPr>
          <w:rStyle w:val="FootnoteReference"/>
        </w:rPr>
        <w:footnoteRef/>
      </w:r>
      <w:r>
        <w:t xml:space="preserve"> </w:t>
      </w:r>
      <w:r>
        <w:rPr>
          <w:i/>
          <w:szCs w:val="22"/>
        </w:rPr>
        <w:t>AT&amp;T-Verizon Wireless Order</w:t>
      </w:r>
      <w:r>
        <w:rPr>
          <w:szCs w:val="22"/>
        </w:rPr>
        <w:t>, 25 FCC Rcd at 8754 ¶ 121</w:t>
      </w:r>
      <w:r>
        <w:t>.</w:t>
      </w:r>
    </w:p>
  </w:footnote>
  <w:footnote w:id="32">
    <w:p w:rsidR="009E23D3" w:rsidRDefault="009E23D3">
      <w:pPr>
        <w:pStyle w:val="FootnoteText"/>
      </w:pPr>
      <w:r>
        <w:rPr>
          <w:rStyle w:val="FootnoteReference"/>
        </w:rPr>
        <w:footnoteRef/>
      </w:r>
      <w:r>
        <w:t xml:space="preserve"> In its Petition to Deny</w:t>
      </w:r>
      <w:r w:rsidR="006A4266">
        <w:t>, NABOB referred to statutory “efforts to expand minority ownership opportunities,” but did not assert that the divestiture process violated any statutory obligations.  Petition to Deny at 2 &amp; n.3.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9BC" w:rsidRDefault="00D90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E4" w:rsidRPr="009C4E2C" w:rsidRDefault="003028E4" w:rsidP="009C4E2C">
    <w:pPr>
      <w:pStyle w:val="Header"/>
      <w:pBdr>
        <w:bottom w:val="single" w:sz="12" w:space="1" w:color="auto"/>
      </w:pBdr>
      <w:tabs>
        <w:tab w:val="clear" w:pos="4320"/>
        <w:tab w:val="clear" w:pos="8640"/>
        <w:tab w:val="center" w:pos="4680"/>
        <w:tab w:val="right" w:pos="9360"/>
      </w:tabs>
      <w:rPr>
        <w:b/>
      </w:rPr>
    </w:pPr>
    <w:r w:rsidRPr="007B568D">
      <w:rPr>
        <w:b/>
      </w:rPr>
      <w:tab/>
      <w:t>Federal</w:t>
    </w:r>
    <w:r>
      <w:rPr>
        <w:b/>
      </w:rPr>
      <w:t xml:space="preserve"> Communications Commission</w:t>
    </w:r>
    <w:r>
      <w:rPr>
        <w:b/>
      </w:rPr>
      <w:tab/>
      <w:t xml:space="preserve">DA </w:t>
    </w:r>
    <w:r w:rsidRPr="0007517D">
      <w:rPr>
        <w:b/>
      </w:rPr>
      <w:t>1</w:t>
    </w:r>
    <w:r w:rsidR="00ED69D0">
      <w:rPr>
        <w:b/>
      </w:rPr>
      <w:t>5</w:t>
    </w:r>
    <w:r w:rsidRPr="0007517D">
      <w:rPr>
        <w:b/>
      </w:rPr>
      <w:t>-</w:t>
    </w:r>
    <w:r w:rsidR="004233CD">
      <w:rPr>
        <w:b/>
      </w:rPr>
      <w:t>146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E4" w:rsidRPr="007B568D" w:rsidRDefault="003028E4" w:rsidP="007B568D">
    <w:pPr>
      <w:pStyle w:val="Header"/>
      <w:pBdr>
        <w:bottom w:val="single" w:sz="12" w:space="1" w:color="auto"/>
      </w:pBdr>
      <w:tabs>
        <w:tab w:val="clear" w:pos="4320"/>
        <w:tab w:val="clear" w:pos="8640"/>
        <w:tab w:val="center" w:pos="4680"/>
        <w:tab w:val="right" w:pos="9360"/>
      </w:tabs>
      <w:rPr>
        <w:b/>
      </w:rPr>
    </w:pPr>
    <w:r w:rsidRPr="007B568D">
      <w:rPr>
        <w:b/>
      </w:rPr>
      <w:tab/>
      <w:t xml:space="preserve">Federal Communications </w:t>
    </w:r>
    <w:r>
      <w:rPr>
        <w:b/>
      </w:rPr>
      <w:t>Commission</w:t>
    </w:r>
    <w:r>
      <w:rPr>
        <w:b/>
      </w:rPr>
      <w:tab/>
      <w:t>DA 1</w:t>
    </w:r>
    <w:r w:rsidR="00ED69D0">
      <w:rPr>
        <w:b/>
      </w:rPr>
      <w:t>5</w:t>
    </w:r>
    <w:r w:rsidRPr="007B568D">
      <w:rPr>
        <w:b/>
      </w:rPr>
      <w:t>-</w:t>
    </w:r>
    <w:r w:rsidR="004233CD">
      <w:rPr>
        <w:b/>
      </w:rPr>
      <w:t>146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2"/>
  </w:num>
  <w:num w:numId="3">
    <w:abstractNumId w:val="5"/>
  </w:num>
  <w:num w:numId="4">
    <w:abstractNumId w:val="17"/>
  </w:num>
  <w:num w:numId="5">
    <w:abstractNumId w:val="6"/>
  </w:num>
  <w:num w:numId="6">
    <w:abstractNumId w:val="20"/>
  </w:num>
  <w:num w:numId="7">
    <w:abstractNumId w:val="14"/>
  </w:num>
  <w:num w:numId="8">
    <w:abstractNumId w:val="7"/>
  </w:num>
  <w:num w:numId="9">
    <w:abstractNumId w:val="19"/>
  </w:num>
  <w:num w:numId="10">
    <w:abstractNumId w:val="12"/>
  </w:num>
  <w:num w:numId="11">
    <w:abstractNumId w:val="11"/>
  </w:num>
  <w:num w:numId="12">
    <w:abstractNumId w:val="8"/>
  </w:num>
  <w:num w:numId="13">
    <w:abstractNumId w:val="13"/>
  </w:num>
  <w:num w:numId="14">
    <w:abstractNumId w:val="18"/>
  </w:num>
  <w:num w:numId="15">
    <w:abstractNumId w:val="3"/>
  </w:num>
  <w:num w:numId="16">
    <w:abstractNumId w:val="4"/>
  </w:num>
  <w:num w:numId="17">
    <w:abstractNumId w:val="9"/>
  </w:num>
  <w:num w:numId="18">
    <w:abstractNumId w:val="2"/>
  </w:num>
  <w:num w:numId="19">
    <w:abstractNumId w:val="10"/>
  </w:num>
  <w:num w:numId="20">
    <w:abstractNumId w:val="15"/>
  </w:num>
  <w:num w:numId="21">
    <w:abstractNumId w:val="16"/>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01"/>
    <w:rsid w:val="00005217"/>
    <w:rsid w:val="0001601F"/>
    <w:rsid w:val="00016AF6"/>
    <w:rsid w:val="00024577"/>
    <w:rsid w:val="00033F3B"/>
    <w:rsid w:val="00035864"/>
    <w:rsid w:val="0003658B"/>
    <w:rsid w:val="00036DCD"/>
    <w:rsid w:val="00037111"/>
    <w:rsid w:val="00041584"/>
    <w:rsid w:val="000416FD"/>
    <w:rsid w:val="00045A1C"/>
    <w:rsid w:val="000509D7"/>
    <w:rsid w:val="00052FD0"/>
    <w:rsid w:val="0006723F"/>
    <w:rsid w:val="0007517D"/>
    <w:rsid w:val="00075C30"/>
    <w:rsid w:val="00092E80"/>
    <w:rsid w:val="000939DD"/>
    <w:rsid w:val="000A3ED3"/>
    <w:rsid w:val="000A7F58"/>
    <w:rsid w:val="000B15EF"/>
    <w:rsid w:val="000B2697"/>
    <w:rsid w:val="000B3B03"/>
    <w:rsid w:val="000B41A9"/>
    <w:rsid w:val="000B4563"/>
    <w:rsid w:val="000E5A68"/>
    <w:rsid w:val="000F2CC0"/>
    <w:rsid w:val="000F426E"/>
    <w:rsid w:val="000F43A0"/>
    <w:rsid w:val="000F7EE6"/>
    <w:rsid w:val="00100B32"/>
    <w:rsid w:val="001073C4"/>
    <w:rsid w:val="00107DFD"/>
    <w:rsid w:val="001123B2"/>
    <w:rsid w:val="001220EF"/>
    <w:rsid w:val="00127F97"/>
    <w:rsid w:val="001330C3"/>
    <w:rsid w:val="001369D0"/>
    <w:rsid w:val="0014574E"/>
    <w:rsid w:val="0016575B"/>
    <w:rsid w:val="00173D0F"/>
    <w:rsid w:val="001754F3"/>
    <w:rsid w:val="00176E3C"/>
    <w:rsid w:val="0019261E"/>
    <w:rsid w:val="001B31F9"/>
    <w:rsid w:val="001B7E5C"/>
    <w:rsid w:val="001C17E6"/>
    <w:rsid w:val="001F575D"/>
    <w:rsid w:val="001F701E"/>
    <w:rsid w:val="001F7B8A"/>
    <w:rsid w:val="00214641"/>
    <w:rsid w:val="00215198"/>
    <w:rsid w:val="0023508C"/>
    <w:rsid w:val="00235736"/>
    <w:rsid w:val="00246A09"/>
    <w:rsid w:val="002474BD"/>
    <w:rsid w:val="002520BF"/>
    <w:rsid w:val="0026062C"/>
    <w:rsid w:val="00261B38"/>
    <w:rsid w:val="002643B4"/>
    <w:rsid w:val="00266A17"/>
    <w:rsid w:val="0028617A"/>
    <w:rsid w:val="002956A4"/>
    <w:rsid w:val="00296281"/>
    <w:rsid w:val="002978D9"/>
    <w:rsid w:val="00297DD3"/>
    <w:rsid w:val="002A6083"/>
    <w:rsid w:val="002B5D77"/>
    <w:rsid w:val="002C144B"/>
    <w:rsid w:val="002C50A3"/>
    <w:rsid w:val="002D481C"/>
    <w:rsid w:val="002D4D4B"/>
    <w:rsid w:val="002E62EA"/>
    <w:rsid w:val="002F01DF"/>
    <w:rsid w:val="002F314A"/>
    <w:rsid w:val="002F6CE9"/>
    <w:rsid w:val="00301D87"/>
    <w:rsid w:val="003028E4"/>
    <w:rsid w:val="00303BC5"/>
    <w:rsid w:val="0030734D"/>
    <w:rsid w:val="00320691"/>
    <w:rsid w:val="003351E4"/>
    <w:rsid w:val="00337FE6"/>
    <w:rsid w:val="00342027"/>
    <w:rsid w:val="003424D9"/>
    <w:rsid w:val="00346801"/>
    <w:rsid w:val="00347DD6"/>
    <w:rsid w:val="00356720"/>
    <w:rsid w:val="00360F51"/>
    <w:rsid w:val="003656B6"/>
    <w:rsid w:val="003722D5"/>
    <w:rsid w:val="003749B5"/>
    <w:rsid w:val="00375BDC"/>
    <w:rsid w:val="00385DB0"/>
    <w:rsid w:val="00387909"/>
    <w:rsid w:val="003924E6"/>
    <w:rsid w:val="003C31CB"/>
    <w:rsid w:val="003D0F35"/>
    <w:rsid w:val="003D15E8"/>
    <w:rsid w:val="003D1C74"/>
    <w:rsid w:val="003D3C3A"/>
    <w:rsid w:val="003F457A"/>
    <w:rsid w:val="003F48C3"/>
    <w:rsid w:val="003F56D3"/>
    <w:rsid w:val="00401D81"/>
    <w:rsid w:val="004233CD"/>
    <w:rsid w:val="00425A78"/>
    <w:rsid w:val="00436C12"/>
    <w:rsid w:val="00437621"/>
    <w:rsid w:val="00450DD5"/>
    <w:rsid w:val="00451180"/>
    <w:rsid w:val="00451209"/>
    <w:rsid w:val="00460586"/>
    <w:rsid w:val="00476ED0"/>
    <w:rsid w:val="00477F19"/>
    <w:rsid w:val="00485196"/>
    <w:rsid w:val="00485292"/>
    <w:rsid w:val="00487FBC"/>
    <w:rsid w:val="004930FA"/>
    <w:rsid w:val="00493F76"/>
    <w:rsid w:val="004A10B4"/>
    <w:rsid w:val="004A49D3"/>
    <w:rsid w:val="004B325A"/>
    <w:rsid w:val="004B6E13"/>
    <w:rsid w:val="004D5888"/>
    <w:rsid w:val="004D7B29"/>
    <w:rsid w:val="004E5A59"/>
    <w:rsid w:val="004F698A"/>
    <w:rsid w:val="005060AA"/>
    <w:rsid w:val="0052382D"/>
    <w:rsid w:val="00532797"/>
    <w:rsid w:val="005360D9"/>
    <w:rsid w:val="00541618"/>
    <w:rsid w:val="00553998"/>
    <w:rsid w:val="00581EE4"/>
    <w:rsid w:val="00582901"/>
    <w:rsid w:val="0058660D"/>
    <w:rsid w:val="00590790"/>
    <w:rsid w:val="005935FB"/>
    <w:rsid w:val="00594C0D"/>
    <w:rsid w:val="0059647C"/>
    <w:rsid w:val="00596D13"/>
    <w:rsid w:val="005B063D"/>
    <w:rsid w:val="005C5F6A"/>
    <w:rsid w:val="005D07CE"/>
    <w:rsid w:val="005D1F52"/>
    <w:rsid w:val="005D2245"/>
    <w:rsid w:val="005D40CB"/>
    <w:rsid w:val="005E3424"/>
    <w:rsid w:val="005E3B31"/>
    <w:rsid w:val="005F26BE"/>
    <w:rsid w:val="005F4DB5"/>
    <w:rsid w:val="005F68C2"/>
    <w:rsid w:val="006008BE"/>
    <w:rsid w:val="00610813"/>
    <w:rsid w:val="00611335"/>
    <w:rsid w:val="00631D63"/>
    <w:rsid w:val="00635181"/>
    <w:rsid w:val="00635F00"/>
    <w:rsid w:val="00636BCA"/>
    <w:rsid w:val="0064117E"/>
    <w:rsid w:val="00642AF1"/>
    <w:rsid w:val="00654EE0"/>
    <w:rsid w:val="006609AA"/>
    <w:rsid w:val="006643D3"/>
    <w:rsid w:val="00664E93"/>
    <w:rsid w:val="00670D87"/>
    <w:rsid w:val="0067257F"/>
    <w:rsid w:val="00683F66"/>
    <w:rsid w:val="00693854"/>
    <w:rsid w:val="006A4266"/>
    <w:rsid w:val="006A65F3"/>
    <w:rsid w:val="006B0E04"/>
    <w:rsid w:val="006B4200"/>
    <w:rsid w:val="006B57F5"/>
    <w:rsid w:val="006B5C35"/>
    <w:rsid w:val="006B7CF2"/>
    <w:rsid w:val="006C615E"/>
    <w:rsid w:val="006D167B"/>
    <w:rsid w:val="006E284A"/>
    <w:rsid w:val="006F541F"/>
    <w:rsid w:val="006F6C9C"/>
    <w:rsid w:val="00716BCD"/>
    <w:rsid w:val="00732291"/>
    <w:rsid w:val="00735CD9"/>
    <w:rsid w:val="00736135"/>
    <w:rsid w:val="00750548"/>
    <w:rsid w:val="00753581"/>
    <w:rsid w:val="0076526B"/>
    <w:rsid w:val="0076699D"/>
    <w:rsid w:val="0077172E"/>
    <w:rsid w:val="007721B7"/>
    <w:rsid w:val="00780559"/>
    <w:rsid w:val="00790FE3"/>
    <w:rsid w:val="00794A01"/>
    <w:rsid w:val="007A50D7"/>
    <w:rsid w:val="007A696F"/>
    <w:rsid w:val="007A700F"/>
    <w:rsid w:val="007B0F77"/>
    <w:rsid w:val="007B568D"/>
    <w:rsid w:val="007B6252"/>
    <w:rsid w:val="007B787C"/>
    <w:rsid w:val="007C3AD7"/>
    <w:rsid w:val="007D231E"/>
    <w:rsid w:val="007E755A"/>
    <w:rsid w:val="007F3771"/>
    <w:rsid w:val="00801D4C"/>
    <w:rsid w:val="008108FF"/>
    <w:rsid w:val="00815611"/>
    <w:rsid w:val="008169DB"/>
    <w:rsid w:val="00826F4D"/>
    <w:rsid w:val="00836EDD"/>
    <w:rsid w:val="008430E8"/>
    <w:rsid w:val="0084622D"/>
    <w:rsid w:val="00847CE6"/>
    <w:rsid w:val="00855807"/>
    <w:rsid w:val="0086304B"/>
    <w:rsid w:val="00863855"/>
    <w:rsid w:val="0086594C"/>
    <w:rsid w:val="0087020C"/>
    <w:rsid w:val="00873756"/>
    <w:rsid w:val="00893ABD"/>
    <w:rsid w:val="008970C1"/>
    <w:rsid w:val="00897691"/>
    <w:rsid w:val="008A18C3"/>
    <w:rsid w:val="008A7432"/>
    <w:rsid w:val="008B442D"/>
    <w:rsid w:val="008B4C08"/>
    <w:rsid w:val="008B4FE4"/>
    <w:rsid w:val="008C56FB"/>
    <w:rsid w:val="008C68D6"/>
    <w:rsid w:val="008D413D"/>
    <w:rsid w:val="008D517A"/>
    <w:rsid w:val="008D5B16"/>
    <w:rsid w:val="008E1091"/>
    <w:rsid w:val="008E4BA3"/>
    <w:rsid w:val="008F1186"/>
    <w:rsid w:val="008F419C"/>
    <w:rsid w:val="008F7EA7"/>
    <w:rsid w:val="0090245F"/>
    <w:rsid w:val="009061E5"/>
    <w:rsid w:val="00907203"/>
    <w:rsid w:val="00916C66"/>
    <w:rsid w:val="00933858"/>
    <w:rsid w:val="0093537B"/>
    <w:rsid w:val="009369C1"/>
    <w:rsid w:val="009416A2"/>
    <w:rsid w:val="00942494"/>
    <w:rsid w:val="009520DE"/>
    <w:rsid w:val="009553BF"/>
    <w:rsid w:val="009859D4"/>
    <w:rsid w:val="00990A18"/>
    <w:rsid w:val="009954AE"/>
    <w:rsid w:val="00995533"/>
    <w:rsid w:val="0099638D"/>
    <w:rsid w:val="009B0D16"/>
    <w:rsid w:val="009B1487"/>
    <w:rsid w:val="009B491B"/>
    <w:rsid w:val="009B7BAD"/>
    <w:rsid w:val="009C132E"/>
    <w:rsid w:val="009C4E2C"/>
    <w:rsid w:val="009C521D"/>
    <w:rsid w:val="009D43AC"/>
    <w:rsid w:val="009D46C7"/>
    <w:rsid w:val="009E04A8"/>
    <w:rsid w:val="009E23D3"/>
    <w:rsid w:val="009E5449"/>
    <w:rsid w:val="009F07C5"/>
    <w:rsid w:val="009F234A"/>
    <w:rsid w:val="00A031EA"/>
    <w:rsid w:val="00A033CC"/>
    <w:rsid w:val="00A053CB"/>
    <w:rsid w:val="00A056DB"/>
    <w:rsid w:val="00A15250"/>
    <w:rsid w:val="00A16E49"/>
    <w:rsid w:val="00A34305"/>
    <w:rsid w:val="00A34430"/>
    <w:rsid w:val="00A7124D"/>
    <w:rsid w:val="00A723FB"/>
    <w:rsid w:val="00A74945"/>
    <w:rsid w:val="00A756C7"/>
    <w:rsid w:val="00A80008"/>
    <w:rsid w:val="00A81589"/>
    <w:rsid w:val="00A832C1"/>
    <w:rsid w:val="00A855BD"/>
    <w:rsid w:val="00A93483"/>
    <w:rsid w:val="00A951EE"/>
    <w:rsid w:val="00AA7024"/>
    <w:rsid w:val="00AB2DB3"/>
    <w:rsid w:val="00AB55CB"/>
    <w:rsid w:val="00AC5446"/>
    <w:rsid w:val="00AD0EAE"/>
    <w:rsid w:val="00AD2172"/>
    <w:rsid w:val="00AD728A"/>
    <w:rsid w:val="00AE4B5B"/>
    <w:rsid w:val="00AE54B8"/>
    <w:rsid w:val="00AE771F"/>
    <w:rsid w:val="00AF2CC4"/>
    <w:rsid w:val="00AF6A98"/>
    <w:rsid w:val="00B01E96"/>
    <w:rsid w:val="00B10165"/>
    <w:rsid w:val="00B14F44"/>
    <w:rsid w:val="00B308A9"/>
    <w:rsid w:val="00B332D5"/>
    <w:rsid w:val="00B33B87"/>
    <w:rsid w:val="00B345F8"/>
    <w:rsid w:val="00B47EDD"/>
    <w:rsid w:val="00B51262"/>
    <w:rsid w:val="00B54559"/>
    <w:rsid w:val="00B63DCE"/>
    <w:rsid w:val="00B7121D"/>
    <w:rsid w:val="00B74847"/>
    <w:rsid w:val="00B76FBC"/>
    <w:rsid w:val="00B77B8C"/>
    <w:rsid w:val="00B83C76"/>
    <w:rsid w:val="00B843AA"/>
    <w:rsid w:val="00B92187"/>
    <w:rsid w:val="00B943B0"/>
    <w:rsid w:val="00B9700D"/>
    <w:rsid w:val="00BB00BA"/>
    <w:rsid w:val="00BB073D"/>
    <w:rsid w:val="00BB4AC8"/>
    <w:rsid w:val="00BB6114"/>
    <w:rsid w:val="00BC4148"/>
    <w:rsid w:val="00BC4E79"/>
    <w:rsid w:val="00BD096E"/>
    <w:rsid w:val="00BD1D4E"/>
    <w:rsid w:val="00BD2D51"/>
    <w:rsid w:val="00BD7273"/>
    <w:rsid w:val="00BE09BC"/>
    <w:rsid w:val="00BE5D64"/>
    <w:rsid w:val="00BF1951"/>
    <w:rsid w:val="00C04E06"/>
    <w:rsid w:val="00C16626"/>
    <w:rsid w:val="00C17A8C"/>
    <w:rsid w:val="00C37326"/>
    <w:rsid w:val="00C41873"/>
    <w:rsid w:val="00C46199"/>
    <w:rsid w:val="00C5044F"/>
    <w:rsid w:val="00C56627"/>
    <w:rsid w:val="00C61764"/>
    <w:rsid w:val="00C70508"/>
    <w:rsid w:val="00C93210"/>
    <w:rsid w:val="00C97AE1"/>
    <w:rsid w:val="00CA0653"/>
    <w:rsid w:val="00CA1052"/>
    <w:rsid w:val="00CA4A0B"/>
    <w:rsid w:val="00CA7E3E"/>
    <w:rsid w:val="00CB07CA"/>
    <w:rsid w:val="00CB2536"/>
    <w:rsid w:val="00CB6C81"/>
    <w:rsid w:val="00CC730E"/>
    <w:rsid w:val="00CC78CD"/>
    <w:rsid w:val="00CD5A18"/>
    <w:rsid w:val="00CE2CDF"/>
    <w:rsid w:val="00CE675A"/>
    <w:rsid w:val="00CE752D"/>
    <w:rsid w:val="00D0657D"/>
    <w:rsid w:val="00D14471"/>
    <w:rsid w:val="00D245D1"/>
    <w:rsid w:val="00D40058"/>
    <w:rsid w:val="00D45BAF"/>
    <w:rsid w:val="00D63C60"/>
    <w:rsid w:val="00D67C38"/>
    <w:rsid w:val="00D74D07"/>
    <w:rsid w:val="00D90935"/>
    <w:rsid w:val="00D909BC"/>
    <w:rsid w:val="00D93344"/>
    <w:rsid w:val="00D97696"/>
    <w:rsid w:val="00DA193F"/>
    <w:rsid w:val="00DA5BCD"/>
    <w:rsid w:val="00DC6BE7"/>
    <w:rsid w:val="00DD2B59"/>
    <w:rsid w:val="00DE307E"/>
    <w:rsid w:val="00DE4CAD"/>
    <w:rsid w:val="00E00365"/>
    <w:rsid w:val="00E42DF2"/>
    <w:rsid w:val="00E43117"/>
    <w:rsid w:val="00E50851"/>
    <w:rsid w:val="00E55566"/>
    <w:rsid w:val="00E65013"/>
    <w:rsid w:val="00E757B8"/>
    <w:rsid w:val="00E7740B"/>
    <w:rsid w:val="00E84033"/>
    <w:rsid w:val="00E8494F"/>
    <w:rsid w:val="00E869FB"/>
    <w:rsid w:val="00E86A07"/>
    <w:rsid w:val="00E93D2A"/>
    <w:rsid w:val="00EA12E6"/>
    <w:rsid w:val="00EA272A"/>
    <w:rsid w:val="00EA7E71"/>
    <w:rsid w:val="00EB1BA2"/>
    <w:rsid w:val="00EB64AC"/>
    <w:rsid w:val="00EC06CA"/>
    <w:rsid w:val="00EC2405"/>
    <w:rsid w:val="00EC3F66"/>
    <w:rsid w:val="00EC514D"/>
    <w:rsid w:val="00EC6E0E"/>
    <w:rsid w:val="00ED69D0"/>
    <w:rsid w:val="00ED7B9E"/>
    <w:rsid w:val="00EE0EDC"/>
    <w:rsid w:val="00EE5C79"/>
    <w:rsid w:val="00EE70BB"/>
    <w:rsid w:val="00EF01C0"/>
    <w:rsid w:val="00EF3CE8"/>
    <w:rsid w:val="00EF49F7"/>
    <w:rsid w:val="00F00591"/>
    <w:rsid w:val="00F06D3F"/>
    <w:rsid w:val="00F21340"/>
    <w:rsid w:val="00F2694D"/>
    <w:rsid w:val="00F34AD7"/>
    <w:rsid w:val="00F45230"/>
    <w:rsid w:val="00F5015D"/>
    <w:rsid w:val="00F62347"/>
    <w:rsid w:val="00F657C5"/>
    <w:rsid w:val="00F6739D"/>
    <w:rsid w:val="00F70752"/>
    <w:rsid w:val="00F71834"/>
    <w:rsid w:val="00F85F9B"/>
    <w:rsid w:val="00F94DFF"/>
    <w:rsid w:val="00F9668A"/>
    <w:rsid w:val="00FA122A"/>
    <w:rsid w:val="00FA29A2"/>
    <w:rsid w:val="00FB01E6"/>
    <w:rsid w:val="00FC22C2"/>
    <w:rsid w:val="00FD451E"/>
    <w:rsid w:val="00FD4D15"/>
    <w:rsid w:val="00FF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basedOn w:val="Normal"/>
    <w:link w:val="FootnoteTextChar"/>
    <w:rsid w:val="002A6083"/>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rsid w:val="002A6083"/>
    <w:rPr>
      <w:lang w:val="en-US" w:eastAsia="en-US" w:bidi="ar-SA"/>
    </w:rPr>
  </w:style>
  <w:style w:type="paragraph" w:customStyle="1" w:styleId="StyleParaNum11pt">
    <w:name w:val="Style ParaNum + 11 pt"/>
    <w:basedOn w:val="ParaNum"/>
    <w:link w:val="StyleParaNum11ptChar"/>
    <w:autoRedefine/>
    <w:rsid w:val="006B57F5"/>
    <w:pPr>
      <w:widowControl/>
      <w:tabs>
        <w:tab w:val="num" w:pos="720"/>
      </w:tabs>
      <w:spacing w:after="120"/>
      <w:ind w:firstLine="630"/>
      <w:jc w:val="left"/>
    </w:pPr>
    <w:rPr>
      <w:szCs w:val="22"/>
    </w:rPr>
  </w:style>
  <w:style w:type="character" w:customStyle="1" w:styleId="StyleParaNum11ptChar">
    <w:name w:val="Style ParaNum + 11 pt Char"/>
    <w:link w:val="StyleParaNum11pt"/>
    <w:rsid w:val="006B57F5"/>
    <w:rPr>
      <w:sz w:val="22"/>
      <w:szCs w:val="22"/>
      <w:lang w:val="en-US" w:eastAsia="en-US" w:bidi="ar-SA"/>
    </w:rPr>
  </w:style>
  <w:style w:type="character" w:customStyle="1" w:styleId="text-blue1">
    <w:name w:val="text-blue1"/>
    <w:rsid w:val="006B57F5"/>
    <w:rPr>
      <w:rFonts w:ascii="Verdana" w:hAnsi="Verdana" w:hint="default"/>
      <w:color w:val="000099"/>
      <w:sz w:val="18"/>
      <w:szCs w:val="18"/>
    </w:rPr>
  </w:style>
  <w:style w:type="character" w:customStyle="1" w:styleId="ParaNumChar1">
    <w:name w:val="ParaNum Char1"/>
    <w:link w:val="ParaNum"/>
    <w:rsid w:val="00DA5BCD"/>
    <w:rPr>
      <w:sz w:val="22"/>
      <w:lang w:val="en-US" w:eastAsia="en-US" w:bidi="ar-SA"/>
    </w:rPr>
  </w:style>
  <w:style w:type="character" w:styleId="Hyperlink">
    <w:name w:val="Hyperlink"/>
    <w:rsid w:val="00EC6E0E"/>
    <w:rPr>
      <w:strike w:val="0"/>
      <w:dstrike w:val="0"/>
      <w:color w:val="145DA4"/>
      <w:u w:val="none"/>
      <w:effect w:val="none"/>
    </w:rPr>
  </w:style>
  <w:style w:type="character" w:styleId="Emphasis">
    <w:name w:val="Emphasis"/>
    <w:qFormat/>
    <w:rsid w:val="00EC6E0E"/>
    <w:rPr>
      <w:i/>
      <w:iCs/>
    </w:rPr>
  </w:style>
  <w:style w:type="character" w:customStyle="1" w:styleId="cosearchterm6">
    <w:name w:val="co_searchterm6"/>
    <w:rsid w:val="00EC6E0E"/>
    <w:rPr>
      <w:b/>
      <w:bCs/>
      <w:color w:val="252525"/>
    </w:rPr>
  </w:style>
  <w:style w:type="character" w:styleId="CommentReference">
    <w:name w:val="annotation reference"/>
    <w:semiHidden/>
    <w:rsid w:val="00FA29A2"/>
    <w:rPr>
      <w:sz w:val="16"/>
      <w:szCs w:val="16"/>
    </w:rPr>
  </w:style>
  <w:style w:type="character" w:customStyle="1" w:styleId="FootnoteTextCharChar1">
    <w:name w:val="Footnote Text Char Char1"/>
    <w:aliases w:val="Footnote Text Char2 Char Char1,Footnote Text Char3 Char Char Char1,Footnote Text Char2 Char Char Char Char1,Footnote Text Char Char Char1 Char Char Char Char1,Footnote Text Char1 Char1 Char Char Char Char1,fn Char1,f Char Char1"/>
    <w:rsid w:val="00636BCA"/>
  </w:style>
  <w:style w:type="character" w:customStyle="1" w:styleId="StyleFootnoteReferenceofrAppelnotedebasdepStyle12NECG">
    <w:name w:val="Style Footnote ReferenceofrAppel note de bas de pStyle 12(NECG..."/>
    <w:rsid w:val="00CA4A0B"/>
    <w:rPr>
      <w:rFonts w:ascii="Times New Roman" w:hAnsi="Times New Roman"/>
      <w:dstrike w:val="0"/>
      <w:color w:val="000000"/>
      <w:sz w:val="22"/>
      <w:vertAlign w:val="superscript"/>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FD451E"/>
    <w:rPr>
      <w:lang w:val="en-US" w:eastAsia="en-US"/>
    </w:rPr>
  </w:style>
  <w:style w:type="paragraph" w:styleId="BalloonText">
    <w:name w:val="Balloon Text"/>
    <w:basedOn w:val="Normal"/>
    <w:link w:val="BalloonTextChar"/>
    <w:rsid w:val="00590790"/>
    <w:rPr>
      <w:rFonts w:ascii="Tahoma" w:hAnsi="Tahoma" w:cs="Tahoma"/>
      <w:sz w:val="16"/>
      <w:szCs w:val="16"/>
    </w:rPr>
  </w:style>
  <w:style w:type="character" w:customStyle="1" w:styleId="BalloonTextChar">
    <w:name w:val="Balloon Text Char"/>
    <w:link w:val="BalloonText"/>
    <w:rsid w:val="00590790"/>
    <w:rPr>
      <w:rFonts w:ascii="Tahoma" w:hAnsi="Tahoma" w:cs="Tahoma"/>
      <w:sz w:val="16"/>
      <w:szCs w:val="16"/>
    </w:rPr>
  </w:style>
  <w:style w:type="paragraph" w:styleId="CommentText">
    <w:name w:val="annotation text"/>
    <w:basedOn w:val="Normal"/>
    <w:link w:val="CommentTextChar"/>
    <w:rsid w:val="00033F3B"/>
    <w:rPr>
      <w:sz w:val="20"/>
    </w:rPr>
  </w:style>
  <w:style w:type="character" w:customStyle="1" w:styleId="CommentTextChar">
    <w:name w:val="Comment Text Char"/>
    <w:basedOn w:val="DefaultParagraphFont"/>
    <w:link w:val="CommentText"/>
    <w:rsid w:val="00033F3B"/>
  </w:style>
  <w:style w:type="paragraph" w:styleId="CommentSubject">
    <w:name w:val="annotation subject"/>
    <w:basedOn w:val="CommentText"/>
    <w:next w:val="CommentText"/>
    <w:link w:val="CommentSubjectChar"/>
    <w:rsid w:val="00033F3B"/>
    <w:rPr>
      <w:b/>
      <w:bCs/>
    </w:rPr>
  </w:style>
  <w:style w:type="character" w:customStyle="1" w:styleId="CommentSubjectChar">
    <w:name w:val="Comment Subject Char"/>
    <w:link w:val="CommentSubject"/>
    <w:rsid w:val="00033F3B"/>
    <w:rPr>
      <w:b/>
      <w:bCs/>
    </w:rPr>
  </w:style>
  <w:style w:type="character" w:customStyle="1" w:styleId="emphi">
    <w:name w:val="emphi"/>
    <w:basedOn w:val="DefaultParagraphFont"/>
    <w:rsid w:val="00A15250"/>
  </w:style>
  <w:style w:type="character" w:customStyle="1" w:styleId="apple-converted-space">
    <w:name w:val="apple-converted-space"/>
    <w:basedOn w:val="DefaultParagraphFont"/>
    <w:rsid w:val="00A15250"/>
  </w:style>
  <w:style w:type="paragraph" w:customStyle="1" w:styleId="ParaNumChar">
    <w:name w:val="ParaNum Char"/>
    <w:basedOn w:val="Normal"/>
    <w:rsid w:val="008D517A"/>
    <w:pPr>
      <w:widowControl w:val="0"/>
      <w:tabs>
        <w:tab w:val="num" w:pos="1440"/>
      </w:tabs>
      <w:spacing w:after="220"/>
      <w:ind w:firstLine="720"/>
    </w:pPr>
    <w:rPr>
      <w:snapToGrid w:val="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basedOn w:val="Normal"/>
    <w:link w:val="FootnoteTextChar"/>
    <w:rsid w:val="002A6083"/>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rsid w:val="002A6083"/>
    <w:rPr>
      <w:lang w:val="en-US" w:eastAsia="en-US" w:bidi="ar-SA"/>
    </w:rPr>
  </w:style>
  <w:style w:type="paragraph" w:customStyle="1" w:styleId="StyleParaNum11pt">
    <w:name w:val="Style ParaNum + 11 pt"/>
    <w:basedOn w:val="ParaNum"/>
    <w:link w:val="StyleParaNum11ptChar"/>
    <w:autoRedefine/>
    <w:rsid w:val="006B57F5"/>
    <w:pPr>
      <w:widowControl/>
      <w:tabs>
        <w:tab w:val="num" w:pos="720"/>
      </w:tabs>
      <w:spacing w:after="120"/>
      <w:ind w:firstLine="630"/>
      <w:jc w:val="left"/>
    </w:pPr>
    <w:rPr>
      <w:szCs w:val="22"/>
    </w:rPr>
  </w:style>
  <w:style w:type="character" w:customStyle="1" w:styleId="StyleParaNum11ptChar">
    <w:name w:val="Style ParaNum + 11 pt Char"/>
    <w:link w:val="StyleParaNum11pt"/>
    <w:rsid w:val="006B57F5"/>
    <w:rPr>
      <w:sz w:val="22"/>
      <w:szCs w:val="22"/>
      <w:lang w:val="en-US" w:eastAsia="en-US" w:bidi="ar-SA"/>
    </w:rPr>
  </w:style>
  <w:style w:type="character" w:customStyle="1" w:styleId="text-blue1">
    <w:name w:val="text-blue1"/>
    <w:rsid w:val="006B57F5"/>
    <w:rPr>
      <w:rFonts w:ascii="Verdana" w:hAnsi="Verdana" w:hint="default"/>
      <w:color w:val="000099"/>
      <w:sz w:val="18"/>
      <w:szCs w:val="18"/>
    </w:rPr>
  </w:style>
  <w:style w:type="character" w:customStyle="1" w:styleId="ParaNumChar1">
    <w:name w:val="ParaNum Char1"/>
    <w:link w:val="ParaNum"/>
    <w:rsid w:val="00DA5BCD"/>
    <w:rPr>
      <w:sz w:val="22"/>
      <w:lang w:val="en-US" w:eastAsia="en-US" w:bidi="ar-SA"/>
    </w:rPr>
  </w:style>
  <w:style w:type="character" w:styleId="Hyperlink">
    <w:name w:val="Hyperlink"/>
    <w:rsid w:val="00EC6E0E"/>
    <w:rPr>
      <w:strike w:val="0"/>
      <w:dstrike w:val="0"/>
      <w:color w:val="145DA4"/>
      <w:u w:val="none"/>
      <w:effect w:val="none"/>
    </w:rPr>
  </w:style>
  <w:style w:type="character" w:styleId="Emphasis">
    <w:name w:val="Emphasis"/>
    <w:qFormat/>
    <w:rsid w:val="00EC6E0E"/>
    <w:rPr>
      <w:i/>
      <w:iCs/>
    </w:rPr>
  </w:style>
  <w:style w:type="character" w:customStyle="1" w:styleId="cosearchterm6">
    <w:name w:val="co_searchterm6"/>
    <w:rsid w:val="00EC6E0E"/>
    <w:rPr>
      <w:b/>
      <w:bCs/>
      <w:color w:val="252525"/>
    </w:rPr>
  </w:style>
  <w:style w:type="character" w:styleId="CommentReference">
    <w:name w:val="annotation reference"/>
    <w:semiHidden/>
    <w:rsid w:val="00FA29A2"/>
    <w:rPr>
      <w:sz w:val="16"/>
      <w:szCs w:val="16"/>
    </w:rPr>
  </w:style>
  <w:style w:type="character" w:customStyle="1" w:styleId="FootnoteTextCharChar1">
    <w:name w:val="Footnote Text Char Char1"/>
    <w:aliases w:val="Footnote Text Char2 Char Char1,Footnote Text Char3 Char Char Char1,Footnote Text Char2 Char Char Char Char1,Footnote Text Char Char Char1 Char Char Char Char1,Footnote Text Char1 Char1 Char Char Char Char1,fn Char1,f Char Char1"/>
    <w:rsid w:val="00636BCA"/>
  </w:style>
  <w:style w:type="character" w:customStyle="1" w:styleId="StyleFootnoteReferenceofrAppelnotedebasdepStyle12NECG">
    <w:name w:val="Style Footnote ReferenceofrAppel note de bas de pStyle 12(NECG..."/>
    <w:rsid w:val="00CA4A0B"/>
    <w:rPr>
      <w:rFonts w:ascii="Times New Roman" w:hAnsi="Times New Roman"/>
      <w:dstrike w:val="0"/>
      <w:color w:val="000000"/>
      <w:sz w:val="22"/>
      <w:vertAlign w:val="superscript"/>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FD451E"/>
    <w:rPr>
      <w:lang w:val="en-US" w:eastAsia="en-US"/>
    </w:rPr>
  </w:style>
  <w:style w:type="paragraph" w:styleId="BalloonText">
    <w:name w:val="Balloon Text"/>
    <w:basedOn w:val="Normal"/>
    <w:link w:val="BalloonTextChar"/>
    <w:rsid w:val="00590790"/>
    <w:rPr>
      <w:rFonts w:ascii="Tahoma" w:hAnsi="Tahoma" w:cs="Tahoma"/>
      <w:sz w:val="16"/>
      <w:szCs w:val="16"/>
    </w:rPr>
  </w:style>
  <w:style w:type="character" w:customStyle="1" w:styleId="BalloonTextChar">
    <w:name w:val="Balloon Text Char"/>
    <w:link w:val="BalloonText"/>
    <w:rsid w:val="00590790"/>
    <w:rPr>
      <w:rFonts w:ascii="Tahoma" w:hAnsi="Tahoma" w:cs="Tahoma"/>
      <w:sz w:val="16"/>
      <w:szCs w:val="16"/>
    </w:rPr>
  </w:style>
  <w:style w:type="paragraph" w:styleId="CommentText">
    <w:name w:val="annotation text"/>
    <w:basedOn w:val="Normal"/>
    <w:link w:val="CommentTextChar"/>
    <w:rsid w:val="00033F3B"/>
    <w:rPr>
      <w:sz w:val="20"/>
    </w:rPr>
  </w:style>
  <w:style w:type="character" w:customStyle="1" w:styleId="CommentTextChar">
    <w:name w:val="Comment Text Char"/>
    <w:basedOn w:val="DefaultParagraphFont"/>
    <w:link w:val="CommentText"/>
    <w:rsid w:val="00033F3B"/>
  </w:style>
  <w:style w:type="paragraph" w:styleId="CommentSubject">
    <w:name w:val="annotation subject"/>
    <w:basedOn w:val="CommentText"/>
    <w:next w:val="CommentText"/>
    <w:link w:val="CommentSubjectChar"/>
    <w:rsid w:val="00033F3B"/>
    <w:rPr>
      <w:b/>
      <w:bCs/>
    </w:rPr>
  </w:style>
  <w:style w:type="character" w:customStyle="1" w:styleId="CommentSubjectChar">
    <w:name w:val="Comment Subject Char"/>
    <w:link w:val="CommentSubject"/>
    <w:rsid w:val="00033F3B"/>
    <w:rPr>
      <w:b/>
      <w:bCs/>
    </w:rPr>
  </w:style>
  <w:style w:type="character" w:customStyle="1" w:styleId="emphi">
    <w:name w:val="emphi"/>
    <w:basedOn w:val="DefaultParagraphFont"/>
    <w:rsid w:val="00A15250"/>
  </w:style>
  <w:style w:type="character" w:customStyle="1" w:styleId="apple-converted-space">
    <w:name w:val="apple-converted-space"/>
    <w:basedOn w:val="DefaultParagraphFont"/>
    <w:rsid w:val="00A15250"/>
  </w:style>
  <w:style w:type="paragraph" w:customStyle="1" w:styleId="ParaNumChar">
    <w:name w:val="ParaNum Char"/>
    <w:basedOn w:val="Normal"/>
    <w:rsid w:val="008D517A"/>
    <w:pPr>
      <w:widowControl w:val="0"/>
      <w:tabs>
        <w:tab w:val="num" w:pos="1440"/>
      </w:tabs>
      <w:spacing w:after="220"/>
      <w:ind w:firstLine="720"/>
    </w:pPr>
    <w:rPr>
      <w:snapToGrid w:val="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9496">
      <w:bodyDiv w:val="1"/>
      <w:marLeft w:val="0"/>
      <w:marRight w:val="0"/>
      <w:marTop w:val="0"/>
      <w:marBottom w:val="0"/>
      <w:divBdr>
        <w:top w:val="none" w:sz="0" w:space="0" w:color="auto"/>
        <w:left w:val="none" w:sz="0" w:space="0" w:color="auto"/>
        <w:bottom w:val="none" w:sz="0" w:space="0" w:color="auto"/>
        <w:right w:val="none" w:sz="0" w:space="0" w:color="auto"/>
      </w:divBdr>
      <w:divsChild>
        <w:div w:id="79185545">
          <w:marLeft w:val="0"/>
          <w:marRight w:val="0"/>
          <w:marTop w:val="0"/>
          <w:marBottom w:val="0"/>
          <w:divBdr>
            <w:top w:val="none" w:sz="0" w:space="0" w:color="auto"/>
            <w:left w:val="single" w:sz="4" w:space="0" w:color="BBBBBB"/>
            <w:bottom w:val="single" w:sz="4" w:space="0" w:color="BBBBBB"/>
            <w:right w:val="single" w:sz="4" w:space="0" w:color="BBBBBB"/>
          </w:divBdr>
          <w:divsChild>
            <w:div w:id="361636179">
              <w:marLeft w:val="0"/>
              <w:marRight w:val="0"/>
              <w:marTop w:val="0"/>
              <w:marBottom w:val="0"/>
              <w:divBdr>
                <w:top w:val="none" w:sz="0" w:space="0" w:color="auto"/>
                <w:left w:val="none" w:sz="0" w:space="0" w:color="auto"/>
                <w:bottom w:val="none" w:sz="0" w:space="0" w:color="auto"/>
                <w:right w:val="none" w:sz="0" w:space="0" w:color="auto"/>
              </w:divBdr>
              <w:divsChild>
                <w:div w:id="448090145">
                  <w:marLeft w:val="0"/>
                  <w:marRight w:val="0"/>
                  <w:marTop w:val="0"/>
                  <w:marBottom w:val="0"/>
                  <w:divBdr>
                    <w:top w:val="none" w:sz="0" w:space="0" w:color="auto"/>
                    <w:left w:val="none" w:sz="0" w:space="0" w:color="auto"/>
                    <w:bottom w:val="none" w:sz="0" w:space="0" w:color="auto"/>
                    <w:right w:val="none" w:sz="0" w:space="0" w:color="auto"/>
                  </w:divBdr>
                  <w:divsChild>
                    <w:div w:id="748431640">
                      <w:marLeft w:val="0"/>
                      <w:marRight w:val="0"/>
                      <w:marTop w:val="0"/>
                      <w:marBottom w:val="0"/>
                      <w:divBdr>
                        <w:top w:val="none" w:sz="0" w:space="0" w:color="auto"/>
                        <w:left w:val="none" w:sz="0" w:space="0" w:color="auto"/>
                        <w:bottom w:val="none" w:sz="0" w:space="0" w:color="auto"/>
                        <w:right w:val="none" w:sz="0" w:space="0" w:color="auto"/>
                      </w:divBdr>
                      <w:divsChild>
                        <w:div w:id="609894542">
                          <w:marLeft w:val="0"/>
                          <w:marRight w:val="0"/>
                          <w:marTop w:val="0"/>
                          <w:marBottom w:val="0"/>
                          <w:divBdr>
                            <w:top w:val="none" w:sz="0" w:space="0" w:color="auto"/>
                            <w:left w:val="none" w:sz="0" w:space="0" w:color="auto"/>
                            <w:bottom w:val="none" w:sz="0" w:space="0" w:color="auto"/>
                            <w:right w:val="none" w:sz="0" w:space="0" w:color="auto"/>
                          </w:divBdr>
                          <w:divsChild>
                            <w:div w:id="1349527239">
                              <w:marLeft w:val="0"/>
                              <w:marRight w:val="0"/>
                              <w:marTop w:val="0"/>
                              <w:marBottom w:val="0"/>
                              <w:divBdr>
                                <w:top w:val="none" w:sz="0" w:space="0" w:color="auto"/>
                                <w:left w:val="none" w:sz="0" w:space="0" w:color="auto"/>
                                <w:bottom w:val="none" w:sz="0" w:space="0" w:color="auto"/>
                                <w:right w:val="none" w:sz="0" w:space="0" w:color="auto"/>
                              </w:divBdr>
                              <w:divsChild>
                                <w:div w:id="1688673321">
                                  <w:marLeft w:val="0"/>
                                  <w:marRight w:val="0"/>
                                  <w:marTop w:val="0"/>
                                  <w:marBottom w:val="0"/>
                                  <w:divBdr>
                                    <w:top w:val="none" w:sz="0" w:space="0" w:color="auto"/>
                                    <w:left w:val="none" w:sz="0" w:space="0" w:color="auto"/>
                                    <w:bottom w:val="none" w:sz="0" w:space="0" w:color="auto"/>
                                    <w:right w:val="none" w:sz="0" w:space="0" w:color="auto"/>
                                  </w:divBdr>
                                  <w:divsChild>
                                    <w:div w:id="791244330">
                                      <w:marLeft w:val="0"/>
                                      <w:marRight w:val="0"/>
                                      <w:marTop w:val="0"/>
                                      <w:marBottom w:val="0"/>
                                      <w:divBdr>
                                        <w:top w:val="none" w:sz="0" w:space="0" w:color="auto"/>
                                        <w:left w:val="none" w:sz="0" w:space="0" w:color="auto"/>
                                        <w:bottom w:val="none" w:sz="0" w:space="0" w:color="auto"/>
                                        <w:right w:val="none" w:sz="0" w:space="0" w:color="auto"/>
                                      </w:divBdr>
                                      <w:divsChild>
                                        <w:div w:id="1329287351">
                                          <w:marLeft w:val="1038"/>
                                          <w:marRight w:val="1038"/>
                                          <w:marTop w:val="0"/>
                                          <w:marBottom w:val="0"/>
                                          <w:divBdr>
                                            <w:top w:val="none" w:sz="0" w:space="0" w:color="auto"/>
                                            <w:left w:val="none" w:sz="0" w:space="0" w:color="auto"/>
                                            <w:bottom w:val="none" w:sz="0" w:space="0" w:color="auto"/>
                                            <w:right w:val="none" w:sz="0" w:space="0" w:color="auto"/>
                                          </w:divBdr>
                                          <w:divsChild>
                                            <w:div w:id="900365109">
                                              <w:marLeft w:val="0"/>
                                              <w:marRight w:val="0"/>
                                              <w:marTop w:val="0"/>
                                              <w:marBottom w:val="0"/>
                                              <w:divBdr>
                                                <w:top w:val="none" w:sz="0" w:space="0" w:color="auto"/>
                                                <w:left w:val="none" w:sz="0" w:space="0" w:color="auto"/>
                                                <w:bottom w:val="none" w:sz="0" w:space="0" w:color="auto"/>
                                                <w:right w:val="none" w:sz="0" w:space="0" w:color="auto"/>
                                              </w:divBdr>
                                              <w:divsChild>
                                                <w:div w:id="1588265485">
                                                  <w:marLeft w:val="0"/>
                                                  <w:marRight w:val="0"/>
                                                  <w:marTop w:val="0"/>
                                                  <w:marBottom w:val="0"/>
                                                  <w:divBdr>
                                                    <w:top w:val="none" w:sz="0" w:space="0" w:color="auto"/>
                                                    <w:left w:val="none" w:sz="0" w:space="0" w:color="auto"/>
                                                    <w:bottom w:val="none" w:sz="0" w:space="0" w:color="auto"/>
                                                    <w:right w:val="none" w:sz="0" w:space="0" w:color="auto"/>
                                                  </w:divBdr>
                                                  <w:divsChild>
                                                    <w:div w:id="1147167917">
                                                      <w:marLeft w:val="0"/>
                                                      <w:marRight w:val="0"/>
                                                      <w:marTop w:val="0"/>
                                                      <w:marBottom w:val="0"/>
                                                      <w:divBdr>
                                                        <w:top w:val="none" w:sz="0" w:space="0" w:color="auto"/>
                                                        <w:left w:val="none" w:sz="0" w:space="0" w:color="auto"/>
                                                        <w:bottom w:val="none" w:sz="0" w:space="0" w:color="auto"/>
                                                        <w:right w:val="none" w:sz="0" w:space="0" w:color="auto"/>
                                                      </w:divBdr>
                                                      <w:divsChild>
                                                        <w:div w:id="492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1488</Words>
  <Characters>8680</Characters>
  <Application>Microsoft Office Word</Application>
  <DocSecurity>0</DocSecurity>
  <Lines>137</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2015-02-02T17:09:00Z</dcterms:created>
  <dcterms:modified xsi:type="dcterms:W3CDTF">2015-02-02T17:09:00Z</dcterms:modified>
  <cp:category> </cp:category>
  <cp:contentStatus> </cp:contentStatus>
</cp:coreProperties>
</file>