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CAB18" w14:textId="77777777" w:rsidR="001606BD" w:rsidRDefault="001606BD" w:rsidP="001606BD">
      <w:pPr>
        <w:jc w:val="center"/>
        <w:rPr>
          <w:b/>
        </w:rPr>
      </w:pPr>
      <w:bookmarkStart w:id="0" w:name="_GoBack"/>
      <w:bookmarkEnd w:id="0"/>
      <w:r w:rsidRPr="0070224F">
        <w:rPr>
          <w:rFonts w:ascii="Times New Roman Bold" w:hAnsi="Times New Roman Bold"/>
          <w:b/>
        </w:rPr>
        <w:t>Before</w:t>
      </w:r>
      <w:r>
        <w:rPr>
          <w:b/>
        </w:rPr>
        <w:t xml:space="preserve"> the</w:t>
      </w:r>
    </w:p>
    <w:p w14:paraId="566C7B14" w14:textId="77777777" w:rsidR="001606BD" w:rsidRDefault="001606BD" w:rsidP="001606BD">
      <w:pPr>
        <w:pStyle w:val="StyleBoldCentered"/>
      </w:pPr>
      <w:r>
        <w:t>F</w:t>
      </w:r>
      <w:r>
        <w:rPr>
          <w:caps w:val="0"/>
        </w:rPr>
        <w:t>ederal Communications Commission</w:t>
      </w:r>
    </w:p>
    <w:p w14:paraId="1ABA936C" w14:textId="77777777" w:rsidR="00921803" w:rsidRDefault="001606BD" w:rsidP="00921803">
      <w:pPr>
        <w:pStyle w:val="StyleBoldCentered"/>
      </w:pPr>
      <w:r w:rsidRPr="000637CA">
        <w:rPr>
          <w:caps w:val="0"/>
        </w:rPr>
        <w:t>Washington</w:t>
      </w:r>
      <w:r>
        <w:t>, D.C. 20554</w:t>
      </w:r>
    </w:p>
    <w:p w14:paraId="02B651F5" w14:textId="77777777" w:rsidR="004C2EE3" w:rsidRDefault="004C2EE3" w:rsidP="0070224F"/>
    <w:p w14:paraId="2772CE91" w14:textId="77777777" w:rsidR="00D970D5" w:rsidRDefault="00D970D5" w:rsidP="0070224F"/>
    <w:tbl>
      <w:tblPr>
        <w:tblW w:w="0" w:type="auto"/>
        <w:tblLayout w:type="fixed"/>
        <w:tblLook w:val="0000" w:firstRow="0" w:lastRow="0" w:firstColumn="0" w:lastColumn="0" w:noHBand="0" w:noVBand="0"/>
      </w:tblPr>
      <w:tblGrid>
        <w:gridCol w:w="4698"/>
        <w:gridCol w:w="630"/>
        <w:gridCol w:w="4248"/>
      </w:tblGrid>
      <w:tr w:rsidR="004C2EE3" w:rsidRPr="00D3054E" w14:paraId="3817C620" w14:textId="77777777">
        <w:tc>
          <w:tcPr>
            <w:tcW w:w="4698" w:type="dxa"/>
          </w:tcPr>
          <w:p w14:paraId="7A6B4ABF" w14:textId="77777777" w:rsidR="004C2EE3" w:rsidRPr="00D3054E" w:rsidRDefault="004C2EE3">
            <w:pPr>
              <w:tabs>
                <w:tab w:val="center" w:pos="4680"/>
              </w:tabs>
              <w:suppressAutoHyphens/>
              <w:rPr>
                <w:rFonts w:cs="Times New Roman"/>
                <w:spacing w:val="-2"/>
              </w:rPr>
            </w:pPr>
            <w:r w:rsidRPr="00D3054E">
              <w:rPr>
                <w:rFonts w:cs="Times New Roman"/>
                <w:spacing w:val="-2"/>
              </w:rPr>
              <w:t>In the Matter of</w:t>
            </w:r>
          </w:p>
          <w:p w14:paraId="011F6977" w14:textId="77777777" w:rsidR="004C2EE3" w:rsidRPr="00D3054E" w:rsidRDefault="004C2EE3">
            <w:pPr>
              <w:tabs>
                <w:tab w:val="center" w:pos="4680"/>
              </w:tabs>
              <w:suppressAutoHyphens/>
              <w:rPr>
                <w:rFonts w:cs="Times New Roman"/>
                <w:spacing w:val="-2"/>
              </w:rPr>
            </w:pPr>
          </w:p>
          <w:p w14:paraId="2D1DB93F" w14:textId="77777777" w:rsidR="004C2EE3" w:rsidRPr="00D3054E" w:rsidRDefault="00631AB7" w:rsidP="007115F7">
            <w:pPr>
              <w:tabs>
                <w:tab w:val="center" w:pos="4680"/>
              </w:tabs>
              <w:suppressAutoHyphens/>
              <w:rPr>
                <w:rFonts w:cs="Times New Roman"/>
                <w:spacing w:val="-2"/>
              </w:rPr>
            </w:pPr>
            <w:r w:rsidRPr="00D3054E">
              <w:rPr>
                <w:rFonts w:cs="Times New Roman"/>
                <w:spacing w:val="-2"/>
              </w:rPr>
              <w:t>Special Access for Price Cap Local Exchange Carriers</w:t>
            </w:r>
          </w:p>
          <w:p w14:paraId="68587682" w14:textId="77777777" w:rsidR="00631AB7" w:rsidRPr="00D3054E" w:rsidRDefault="00631AB7" w:rsidP="007115F7">
            <w:pPr>
              <w:tabs>
                <w:tab w:val="center" w:pos="4680"/>
              </w:tabs>
              <w:suppressAutoHyphens/>
              <w:rPr>
                <w:rFonts w:cs="Times New Roman"/>
                <w:spacing w:val="-2"/>
              </w:rPr>
            </w:pPr>
          </w:p>
          <w:p w14:paraId="24C74FA7" w14:textId="77777777" w:rsidR="00631AB7" w:rsidRPr="00D3054E" w:rsidRDefault="00631AB7" w:rsidP="007115F7">
            <w:pPr>
              <w:tabs>
                <w:tab w:val="center" w:pos="4680"/>
              </w:tabs>
              <w:suppressAutoHyphens/>
              <w:rPr>
                <w:rFonts w:cs="Times New Roman"/>
                <w:spacing w:val="-2"/>
              </w:rPr>
            </w:pPr>
            <w:r w:rsidRPr="00D3054E">
              <w:rPr>
                <w:rFonts w:cs="Times New Roman"/>
                <w:spacing w:val="-2"/>
              </w:rPr>
              <w:t xml:space="preserve">AT&amp;T Corporation Petition for Rulemaking to Reform Regulation of Incumbent Local Exchange Carrier Rates for Interstate Special Access </w:t>
            </w:r>
          </w:p>
          <w:p w14:paraId="0D47838D" w14:textId="77777777" w:rsidR="00631AB7" w:rsidRPr="00D3054E" w:rsidRDefault="00631AB7" w:rsidP="007115F7">
            <w:pPr>
              <w:tabs>
                <w:tab w:val="center" w:pos="4680"/>
              </w:tabs>
              <w:suppressAutoHyphens/>
              <w:rPr>
                <w:rFonts w:cs="Times New Roman"/>
                <w:spacing w:val="-2"/>
              </w:rPr>
            </w:pPr>
            <w:r w:rsidRPr="00D3054E">
              <w:rPr>
                <w:rFonts w:cs="Times New Roman"/>
                <w:spacing w:val="-2"/>
              </w:rPr>
              <w:t>Services</w:t>
            </w:r>
          </w:p>
        </w:tc>
        <w:tc>
          <w:tcPr>
            <w:tcW w:w="630" w:type="dxa"/>
          </w:tcPr>
          <w:p w14:paraId="0B8E6F73" w14:textId="77777777" w:rsidR="004C2EE3" w:rsidRPr="00D3054E" w:rsidRDefault="004C2EE3">
            <w:pPr>
              <w:tabs>
                <w:tab w:val="center" w:pos="4680"/>
              </w:tabs>
              <w:suppressAutoHyphens/>
              <w:rPr>
                <w:rFonts w:cs="Times New Roman"/>
                <w:b/>
                <w:spacing w:val="-2"/>
              </w:rPr>
            </w:pPr>
            <w:r w:rsidRPr="00D3054E">
              <w:rPr>
                <w:rFonts w:cs="Times New Roman"/>
                <w:b/>
                <w:spacing w:val="-2"/>
              </w:rPr>
              <w:t>)</w:t>
            </w:r>
          </w:p>
          <w:p w14:paraId="72563D3B" w14:textId="77777777" w:rsidR="004C2EE3" w:rsidRPr="00D3054E" w:rsidRDefault="004C2EE3">
            <w:pPr>
              <w:tabs>
                <w:tab w:val="center" w:pos="4680"/>
              </w:tabs>
              <w:suppressAutoHyphens/>
              <w:rPr>
                <w:rFonts w:cs="Times New Roman"/>
                <w:b/>
                <w:spacing w:val="-2"/>
              </w:rPr>
            </w:pPr>
            <w:r w:rsidRPr="00D3054E">
              <w:rPr>
                <w:rFonts w:cs="Times New Roman"/>
                <w:b/>
                <w:spacing w:val="-2"/>
              </w:rPr>
              <w:t>)</w:t>
            </w:r>
          </w:p>
          <w:p w14:paraId="7177F1F3" w14:textId="77777777" w:rsidR="004C2EE3" w:rsidRPr="00D3054E" w:rsidRDefault="004C2EE3">
            <w:pPr>
              <w:tabs>
                <w:tab w:val="center" w:pos="4680"/>
              </w:tabs>
              <w:suppressAutoHyphens/>
              <w:rPr>
                <w:rFonts w:cs="Times New Roman"/>
                <w:b/>
                <w:spacing w:val="-2"/>
              </w:rPr>
            </w:pPr>
            <w:r w:rsidRPr="00D3054E">
              <w:rPr>
                <w:rFonts w:cs="Times New Roman"/>
                <w:b/>
                <w:spacing w:val="-2"/>
              </w:rPr>
              <w:t>)</w:t>
            </w:r>
          </w:p>
          <w:p w14:paraId="2189D850" w14:textId="77777777" w:rsidR="004C2EE3" w:rsidRPr="00D3054E" w:rsidRDefault="004C2EE3">
            <w:pPr>
              <w:tabs>
                <w:tab w:val="center" w:pos="4680"/>
              </w:tabs>
              <w:suppressAutoHyphens/>
              <w:rPr>
                <w:rFonts w:cs="Times New Roman"/>
                <w:b/>
                <w:spacing w:val="-2"/>
              </w:rPr>
            </w:pPr>
            <w:r w:rsidRPr="00D3054E">
              <w:rPr>
                <w:rFonts w:cs="Times New Roman"/>
                <w:b/>
                <w:spacing w:val="-2"/>
              </w:rPr>
              <w:t>)</w:t>
            </w:r>
          </w:p>
          <w:p w14:paraId="403C313B" w14:textId="77777777" w:rsidR="004C2EE3" w:rsidRPr="00D3054E" w:rsidRDefault="004C2EE3">
            <w:pPr>
              <w:tabs>
                <w:tab w:val="center" w:pos="4680"/>
              </w:tabs>
              <w:suppressAutoHyphens/>
              <w:rPr>
                <w:rFonts w:cs="Times New Roman"/>
                <w:b/>
                <w:spacing w:val="-2"/>
              </w:rPr>
            </w:pPr>
            <w:r w:rsidRPr="00D3054E">
              <w:rPr>
                <w:rFonts w:cs="Times New Roman"/>
                <w:b/>
                <w:spacing w:val="-2"/>
              </w:rPr>
              <w:t>)</w:t>
            </w:r>
          </w:p>
          <w:p w14:paraId="603978CD" w14:textId="77777777" w:rsidR="004C2EE3" w:rsidRPr="00D3054E" w:rsidRDefault="004C2EE3">
            <w:pPr>
              <w:tabs>
                <w:tab w:val="center" w:pos="4680"/>
              </w:tabs>
              <w:suppressAutoHyphens/>
              <w:rPr>
                <w:rFonts w:cs="Times New Roman"/>
                <w:b/>
                <w:spacing w:val="-2"/>
              </w:rPr>
            </w:pPr>
            <w:r w:rsidRPr="00D3054E">
              <w:rPr>
                <w:rFonts w:cs="Times New Roman"/>
                <w:b/>
                <w:spacing w:val="-2"/>
              </w:rPr>
              <w:t>)</w:t>
            </w:r>
          </w:p>
          <w:p w14:paraId="17DC3E8C" w14:textId="77777777" w:rsidR="004C2EE3" w:rsidRPr="00D3054E" w:rsidRDefault="004C2EE3">
            <w:pPr>
              <w:tabs>
                <w:tab w:val="center" w:pos="4680"/>
              </w:tabs>
              <w:suppressAutoHyphens/>
              <w:rPr>
                <w:rFonts w:cs="Times New Roman"/>
                <w:b/>
                <w:spacing w:val="-2"/>
              </w:rPr>
            </w:pPr>
            <w:r w:rsidRPr="00D3054E">
              <w:rPr>
                <w:rFonts w:cs="Times New Roman"/>
                <w:b/>
                <w:spacing w:val="-2"/>
              </w:rPr>
              <w:t>)</w:t>
            </w:r>
          </w:p>
          <w:p w14:paraId="77582DD0" w14:textId="77777777" w:rsidR="004C2EE3" w:rsidRPr="00D3054E" w:rsidRDefault="004C2EE3">
            <w:pPr>
              <w:tabs>
                <w:tab w:val="center" w:pos="4680"/>
              </w:tabs>
              <w:suppressAutoHyphens/>
              <w:rPr>
                <w:rFonts w:cs="Times New Roman"/>
                <w:b/>
                <w:spacing w:val="-2"/>
              </w:rPr>
            </w:pPr>
            <w:r w:rsidRPr="00D3054E">
              <w:rPr>
                <w:rFonts w:cs="Times New Roman"/>
                <w:b/>
                <w:spacing w:val="-2"/>
              </w:rPr>
              <w:t>)</w:t>
            </w:r>
          </w:p>
          <w:p w14:paraId="0CE2842B" w14:textId="77777777" w:rsidR="004C2EE3" w:rsidRPr="00D3054E" w:rsidRDefault="004C2EE3">
            <w:pPr>
              <w:tabs>
                <w:tab w:val="center" w:pos="4680"/>
              </w:tabs>
              <w:suppressAutoHyphens/>
              <w:rPr>
                <w:rFonts w:cs="Times New Roman"/>
                <w:spacing w:val="-2"/>
              </w:rPr>
            </w:pPr>
            <w:r w:rsidRPr="00D3054E">
              <w:rPr>
                <w:rFonts w:cs="Times New Roman"/>
                <w:b/>
                <w:spacing w:val="-2"/>
              </w:rPr>
              <w:t>)</w:t>
            </w:r>
          </w:p>
        </w:tc>
        <w:tc>
          <w:tcPr>
            <w:tcW w:w="4248" w:type="dxa"/>
          </w:tcPr>
          <w:p w14:paraId="68F525FB" w14:textId="77777777" w:rsidR="004C2EE3" w:rsidRPr="00D3054E" w:rsidRDefault="004C2EE3">
            <w:pPr>
              <w:tabs>
                <w:tab w:val="center" w:pos="4680"/>
              </w:tabs>
              <w:suppressAutoHyphens/>
              <w:rPr>
                <w:rFonts w:cs="Times New Roman"/>
                <w:spacing w:val="-2"/>
              </w:rPr>
            </w:pPr>
          </w:p>
          <w:p w14:paraId="1FBF0F83" w14:textId="77777777" w:rsidR="004C2EE3" w:rsidRPr="00D3054E" w:rsidRDefault="004C2EE3">
            <w:pPr>
              <w:pStyle w:val="TOAHeading"/>
              <w:tabs>
                <w:tab w:val="clear" w:pos="9360"/>
                <w:tab w:val="center" w:pos="4680"/>
              </w:tabs>
              <w:rPr>
                <w:rFonts w:cs="Times New Roman"/>
                <w:spacing w:val="-2"/>
              </w:rPr>
            </w:pPr>
          </w:p>
          <w:p w14:paraId="7FC2DBB1" w14:textId="77777777" w:rsidR="004C2EE3" w:rsidRPr="00D3054E" w:rsidRDefault="00631AB7">
            <w:pPr>
              <w:tabs>
                <w:tab w:val="center" w:pos="4680"/>
              </w:tabs>
              <w:suppressAutoHyphens/>
              <w:rPr>
                <w:rFonts w:cs="Times New Roman"/>
                <w:spacing w:val="-2"/>
              </w:rPr>
            </w:pPr>
            <w:r w:rsidRPr="00D3054E">
              <w:rPr>
                <w:rFonts w:cs="Times New Roman"/>
                <w:spacing w:val="-2"/>
              </w:rPr>
              <w:t>WC Docket No. 05-25</w:t>
            </w:r>
          </w:p>
          <w:p w14:paraId="717323F6" w14:textId="77777777" w:rsidR="00631AB7" w:rsidRPr="00D3054E" w:rsidRDefault="00631AB7">
            <w:pPr>
              <w:tabs>
                <w:tab w:val="center" w:pos="4680"/>
              </w:tabs>
              <w:suppressAutoHyphens/>
              <w:rPr>
                <w:rFonts w:cs="Times New Roman"/>
                <w:spacing w:val="-2"/>
              </w:rPr>
            </w:pPr>
          </w:p>
          <w:p w14:paraId="69378E93" w14:textId="77777777" w:rsidR="00631AB7" w:rsidRPr="00D3054E" w:rsidRDefault="00631AB7">
            <w:pPr>
              <w:tabs>
                <w:tab w:val="center" w:pos="4680"/>
              </w:tabs>
              <w:suppressAutoHyphens/>
              <w:rPr>
                <w:rFonts w:cs="Times New Roman"/>
                <w:spacing w:val="-2"/>
              </w:rPr>
            </w:pPr>
          </w:p>
          <w:p w14:paraId="13658123" w14:textId="77777777" w:rsidR="00631AB7" w:rsidRPr="00D3054E" w:rsidRDefault="00631AB7">
            <w:pPr>
              <w:tabs>
                <w:tab w:val="center" w:pos="4680"/>
              </w:tabs>
              <w:suppressAutoHyphens/>
              <w:rPr>
                <w:rFonts w:cs="Times New Roman"/>
                <w:spacing w:val="-2"/>
              </w:rPr>
            </w:pPr>
            <w:r w:rsidRPr="00D3054E">
              <w:rPr>
                <w:rFonts w:cs="Times New Roman"/>
                <w:spacing w:val="-2"/>
              </w:rPr>
              <w:t>RM-10593</w:t>
            </w:r>
          </w:p>
        </w:tc>
      </w:tr>
    </w:tbl>
    <w:p w14:paraId="03188C20" w14:textId="77777777" w:rsidR="004C2EE3" w:rsidRDefault="004C2EE3" w:rsidP="0070224F"/>
    <w:p w14:paraId="5FC45A93" w14:textId="77777777" w:rsidR="001606BD" w:rsidRDefault="001606BD" w:rsidP="0070224F"/>
    <w:p w14:paraId="0AD3A707" w14:textId="77777777" w:rsidR="00841AB1" w:rsidRDefault="00631AB7" w:rsidP="00F021FA">
      <w:pPr>
        <w:pStyle w:val="StyleBoldCentered"/>
      </w:pPr>
      <w:r>
        <w:t>Order</w:t>
      </w:r>
    </w:p>
    <w:p w14:paraId="74BB780E" w14:textId="77777777" w:rsidR="004C2EE3" w:rsidRDefault="004C2EE3">
      <w:pPr>
        <w:tabs>
          <w:tab w:val="left" w:pos="-720"/>
        </w:tabs>
        <w:suppressAutoHyphens/>
        <w:spacing w:line="227" w:lineRule="auto"/>
        <w:rPr>
          <w:spacing w:val="-2"/>
        </w:rPr>
      </w:pPr>
    </w:p>
    <w:p w14:paraId="56F999FC" w14:textId="77777777" w:rsidR="004C2EE3" w:rsidRPr="00D3054E" w:rsidRDefault="004C2EE3" w:rsidP="00133F79">
      <w:pPr>
        <w:tabs>
          <w:tab w:val="left" w:pos="720"/>
          <w:tab w:val="right" w:pos="9360"/>
        </w:tabs>
        <w:suppressAutoHyphens/>
        <w:spacing w:line="227" w:lineRule="auto"/>
        <w:rPr>
          <w:rFonts w:cs="Times New Roman"/>
          <w:spacing w:val="-2"/>
        </w:rPr>
      </w:pPr>
      <w:r w:rsidRPr="00D3054E">
        <w:rPr>
          <w:rFonts w:cs="Times New Roman"/>
          <w:b/>
          <w:spacing w:val="-2"/>
        </w:rPr>
        <w:t>Adopted:</w:t>
      </w:r>
      <w:r w:rsidR="009C27A3" w:rsidRPr="00D3054E">
        <w:rPr>
          <w:rFonts w:cs="Times New Roman"/>
          <w:b/>
          <w:spacing w:val="-2"/>
        </w:rPr>
        <w:t xml:space="preserve">  </w:t>
      </w:r>
      <w:r w:rsidR="00747135" w:rsidRPr="00D3054E">
        <w:rPr>
          <w:rFonts w:cs="Times New Roman"/>
          <w:b/>
          <w:spacing w:val="-2"/>
        </w:rPr>
        <w:t xml:space="preserve">December </w:t>
      </w:r>
      <w:r w:rsidR="000E790E">
        <w:rPr>
          <w:rFonts w:cs="Times New Roman"/>
          <w:b/>
          <w:spacing w:val="-2"/>
        </w:rPr>
        <w:t>21</w:t>
      </w:r>
      <w:r w:rsidR="000E790E" w:rsidRPr="00D3054E">
        <w:rPr>
          <w:rFonts w:cs="Times New Roman"/>
          <w:b/>
          <w:spacing w:val="-2"/>
        </w:rPr>
        <w:t xml:space="preserve">, </w:t>
      </w:r>
      <w:r w:rsidR="009C27A3" w:rsidRPr="00D3054E">
        <w:rPr>
          <w:rFonts w:cs="Times New Roman"/>
          <w:b/>
          <w:spacing w:val="-2"/>
        </w:rPr>
        <w:t>2015</w:t>
      </w:r>
      <w:r w:rsidRPr="00D3054E">
        <w:rPr>
          <w:rFonts w:cs="Times New Roman"/>
          <w:b/>
          <w:spacing w:val="-2"/>
        </w:rPr>
        <w:t xml:space="preserve">  </w:t>
      </w:r>
      <w:r w:rsidRPr="00D3054E">
        <w:rPr>
          <w:rFonts w:cs="Times New Roman"/>
          <w:b/>
          <w:spacing w:val="-2"/>
        </w:rPr>
        <w:tab/>
      </w:r>
      <w:r w:rsidR="00822CE0" w:rsidRPr="00D3054E">
        <w:rPr>
          <w:rFonts w:cs="Times New Roman"/>
          <w:b/>
          <w:spacing w:val="-2"/>
        </w:rPr>
        <w:t>Released</w:t>
      </w:r>
      <w:r w:rsidRPr="00D3054E">
        <w:rPr>
          <w:rFonts w:cs="Times New Roman"/>
          <w:b/>
          <w:spacing w:val="-2"/>
        </w:rPr>
        <w:t>:</w:t>
      </w:r>
      <w:r w:rsidR="009C27A3" w:rsidRPr="00D3054E">
        <w:rPr>
          <w:rFonts w:cs="Times New Roman"/>
          <w:b/>
          <w:spacing w:val="-2"/>
        </w:rPr>
        <w:t xml:space="preserve">  </w:t>
      </w:r>
      <w:r w:rsidR="00747135" w:rsidRPr="00D3054E">
        <w:rPr>
          <w:rFonts w:cs="Times New Roman"/>
          <w:b/>
          <w:spacing w:val="-2"/>
        </w:rPr>
        <w:t xml:space="preserve">December </w:t>
      </w:r>
      <w:r w:rsidR="000E790E">
        <w:rPr>
          <w:rFonts w:cs="Times New Roman"/>
          <w:b/>
          <w:spacing w:val="-2"/>
        </w:rPr>
        <w:t>21</w:t>
      </w:r>
      <w:r w:rsidR="000E790E" w:rsidRPr="00D3054E">
        <w:rPr>
          <w:rFonts w:cs="Times New Roman"/>
          <w:b/>
          <w:spacing w:val="-2"/>
        </w:rPr>
        <w:t xml:space="preserve">, </w:t>
      </w:r>
      <w:r w:rsidR="009C27A3" w:rsidRPr="00D3054E">
        <w:rPr>
          <w:rFonts w:cs="Times New Roman"/>
          <w:b/>
          <w:spacing w:val="-2"/>
        </w:rPr>
        <w:t>2015</w:t>
      </w:r>
      <w:r w:rsidRPr="00D3054E">
        <w:rPr>
          <w:rFonts w:cs="Times New Roman"/>
          <w:b/>
          <w:spacing w:val="-2"/>
        </w:rPr>
        <w:t xml:space="preserve"> </w:t>
      </w:r>
    </w:p>
    <w:p w14:paraId="40953DC6" w14:textId="77777777" w:rsidR="00822CE0" w:rsidRPr="00D3054E" w:rsidRDefault="00822CE0">
      <w:pPr>
        <w:rPr>
          <w:rFonts w:cs="Times New Roman"/>
        </w:rPr>
      </w:pPr>
    </w:p>
    <w:p w14:paraId="386FBDFB" w14:textId="77777777" w:rsidR="00832936" w:rsidRPr="00D3054E" w:rsidRDefault="00832936" w:rsidP="00832936">
      <w:pPr>
        <w:rPr>
          <w:rFonts w:cs="Times New Roman"/>
          <w:b/>
        </w:rPr>
      </w:pPr>
      <w:r w:rsidRPr="00D3054E">
        <w:rPr>
          <w:rFonts w:cs="Times New Roman"/>
          <w:b/>
        </w:rPr>
        <w:t xml:space="preserve">New Comment Date:  January </w:t>
      </w:r>
      <w:r w:rsidR="00747135" w:rsidRPr="00D3054E">
        <w:rPr>
          <w:rFonts w:cs="Times New Roman"/>
          <w:b/>
        </w:rPr>
        <w:t>22</w:t>
      </w:r>
      <w:r w:rsidRPr="00D3054E">
        <w:rPr>
          <w:rFonts w:cs="Times New Roman"/>
          <w:b/>
        </w:rPr>
        <w:t>, 2016</w:t>
      </w:r>
    </w:p>
    <w:p w14:paraId="31D812FC" w14:textId="77777777" w:rsidR="00832936" w:rsidRPr="00D3054E" w:rsidRDefault="00832936" w:rsidP="00832936">
      <w:pPr>
        <w:rPr>
          <w:rFonts w:cs="Times New Roman"/>
          <w:b/>
        </w:rPr>
      </w:pPr>
      <w:r w:rsidRPr="00D3054E">
        <w:rPr>
          <w:rFonts w:cs="Times New Roman"/>
          <w:b/>
        </w:rPr>
        <w:t xml:space="preserve">New Reply Comment Date:  February </w:t>
      </w:r>
      <w:r w:rsidR="00747135" w:rsidRPr="00D3054E">
        <w:rPr>
          <w:rFonts w:cs="Times New Roman"/>
          <w:b/>
        </w:rPr>
        <w:t>19</w:t>
      </w:r>
      <w:r w:rsidRPr="00D3054E">
        <w:rPr>
          <w:rFonts w:cs="Times New Roman"/>
          <w:b/>
        </w:rPr>
        <w:t>, 2016</w:t>
      </w:r>
    </w:p>
    <w:p w14:paraId="495D2E5B" w14:textId="77777777" w:rsidR="00832936" w:rsidRPr="00D3054E" w:rsidRDefault="00832936" w:rsidP="00832936">
      <w:pPr>
        <w:rPr>
          <w:rFonts w:cs="Times New Roman"/>
        </w:rPr>
      </w:pPr>
    </w:p>
    <w:p w14:paraId="16C8269D" w14:textId="77777777" w:rsidR="004C2EE3" w:rsidRPr="00D3054E" w:rsidRDefault="004C2EE3">
      <w:pPr>
        <w:rPr>
          <w:rFonts w:cs="Times New Roman"/>
          <w:spacing w:val="-2"/>
        </w:rPr>
      </w:pPr>
      <w:r w:rsidRPr="00D3054E">
        <w:rPr>
          <w:rFonts w:cs="Times New Roman"/>
        </w:rPr>
        <w:t xml:space="preserve">By </w:t>
      </w:r>
      <w:r w:rsidR="004E4A22" w:rsidRPr="00D3054E">
        <w:rPr>
          <w:rFonts w:cs="Times New Roman"/>
        </w:rPr>
        <w:t>the</w:t>
      </w:r>
      <w:r w:rsidR="002A2D2E" w:rsidRPr="00D3054E">
        <w:rPr>
          <w:rFonts w:cs="Times New Roman"/>
        </w:rPr>
        <w:t xml:space="preserve"> </w:t>
      </w:r>
      <w:r w:rsidR="00631AB7" w:rsidRPr="00D3054E">
        <w:rPr>
          <w:rFonts w:cs="Times New Roman"/>
          <w:spacing w:val="-2"/>
        </w:rPr>
        <w:t>Associate Chief, Wireline Competition Bureau</w:t>
      </w:r>
      <w:r w:rsidRPr="00D3054E">
        <w:rPr>
          <w:rFonts w:cs="Times New Roman"/>
          <w:spacing w:val="-2"/>
        </w:rPr>
        <w:t>:</w:t>
      </w:r>
    </w:p>
    <w:p w14:paraId="177E0870" w14:textId="77777777" w:rsidR="00C365C0" w:rsidRDefault="00C365C0">
      <w:pPr>
        <w:rPr>
          <w:spacing w:val="-2"/>
        </w:rPr>
      </w:pPr>
    </w:p>
    <w:p w14:paraId="59167B64" w14:textId="77777777" w:rsidR="002D74E4" w:rsidRDefault="00631AB7" w:rsidP="002D74E4">
      <w:pPr>
        <w:pStyle w:val="ParaNum"/>
        <w:tabs>
          <w:tab w:val="clear" w:pos="1080"/>
          <w:tab w:val="left" w:pos="1440"/>
        </w:tabs>
      </w:pPr>
      <w:r w:rsidRPr="007B3607">
        <w:t xml:space="preserve">In this </w:t>
      </w:r>
      <w:r>
        <w:t xml:space="preserve">Order, the Wireline Competition Bureau (Bureau) grants </w:t>
      </w:r>
      <w:r w:rsidR="00EF22DE">
        <w:t xml:space="preserve">in part a </w:t>
      </w:r>
      <w:r>
        <w:t xml:space="preserve">request </w:t>
      </w:r>
      <w:r w:rsidR="005B08E7">
        <w:t xml:space="preserve">jointly filed by the United States Telecom Association (USTelecom) and </w:t>
      </w:r>
      <w:r w:rsidR="00EC592D">
        <w:t>ITTA – the Voice of Mid-Size Communications Companies</w:t>
      </w:r>
      <w:r w:rsidR="005B08E7">
        <w:t xml:space="preserve"> (ITTA) (collectively, Joint Petitioners) seeking </w:t>
      </w:r>
      <w:r w:rsidR="00EF22DE">
        <w:t>a</w:t>
      </w:r>
      <w:r w:rsidR="002C6EE5">
        <w:t xml:space="preserve"> further </w:t>
      </w:r>
      <w:r>
        <w:t xml:space="preserve">extension of </w:t>
      </w:r>
      <w:r w:rsidR="00376E37">
        <w:t>time</w:t>
      </w:r>
      <w:r>
        <w:t xml:space="preserve"> to </w:t>
      </w:r>
      <w:r w:rsidR="00EF22DE">
        <w:t xml:space="preserve">submit </w:t>
      </w:r>
      <w:r w:rsidR="00493C81">
        <w:t>c</w:t>
      </w:r>
      <w:r w:rsidR="00EF22DE" w:rsidRPr="00EF22DE">
        <w:t>omments and reply comments</w:t>
      </w:r>
      <w:r w:rsidR="00EF22DE">
        <w:t xml:space="preserve"> in the business data services </w:t>
      </w:r>
      <w:r w:rsidR="002C6EE5">
        <w:t xml:space="preserve">(special access) </w:t>
      </w:r>
      <w:r w:rsidR="00A36875">
        <w:t xml:space="preserve">rulemaking </w:t>
      </w:r>
      <w:r>
        <w:t>proceeding</w:t>
      </w:r>
      <w:r w:rsidR="005B08E7">
        <w:t>.</w:t>
      </w:r>
      <w:r>
        <w:rPr>
          <w:rStyle w:val="FootnoteReference"/>
        </w:rPr>
        <w:footnoteReference w:id="2"/>
      </w:r>
      <w:r w:rsidR="000A408B">
        <w:t xml:space="preserve">  </w:t>
      </w:r>
      <w:r>
        <w:t xml:space="preserve">As discussed below, </w:t>
      </w:r>
      <w:r w:rsidR="00376E37">
        <w:t xml:space="preserve">we </w:t>
      </w:r>
      <w:r w:rsidR="005750E7">
        <w:t xml:space="preserve">further </w:t>
      </w:r>
      <w:r w:rsidR="00376E37">
        <w:t>e</w:t>
      </w:r>
      <w:r>
        <w:t>xten</w:t>
      </w:r>
      <w:r w:rsidR="00376E37">
        <w:t>d</w:t>
      </w:r>
      <w:r>
        <w:t xml:space="preserve"> the </w:t>
      </w:r>
      <w:r w:rsidR="00493C81">
        <w:t xml:space="preserve">deadline to submit comments </w:t>
      </w:r>
      <w:r w:rsidR="00A36875">
        <w:t xml:space="preserve">to </w:t>
      </w:r>
      <w:r w:rsidR="00A36875" w:rsidRPr="005B08E7">
        <w:t xml:space="preserve">January </w:t>
      </w:r>
      <w:r w:rsidR="002C6EE5">
        <w:t>22</w:t>
      </w:r>
      <w:r w:rsidR="00A36875" w:rsidRPr="005B08E7">
        <w:t>, 2016</w:t>
      </w:r>
      <w:r w:rsidR="00493C81">
        <w:t xml:space="preserve"> and reply comments </w:t>
      </w:r>
      <w:r w:rsidR="00A36875">
        <w:t xml:space="preserve">to February </w:t>
      </w:r>
      <w:r w:rsidR="002C6EE5">
        <w:t>19</w:t>
      </w:r>
      <w:r w:rsidR="00A36875">
        <w:t>, 2016</w:t>
      </w:r>
      <w:r>
        <w:t>.</w:t>
      </w:r>
      <w:r w:rsidR="005B08E7">
        <w:t xml:space="preserve">  This limited </w:t>
      </w:r>
      <w:r w:rsidR="005750E7">
        <w:t xml:space="preserve">further </w:t>
      </w:r>
      <w:r w:rsidR="005B08E7">
        <w:t xml:space="preserve">extension </w:t>
      </w:r>
      <w:r w:rsidR="00520BCB">
        <w:t>will provide</w:t>
      </w:r>
      <w:r w:rsidR="00F8526B">
        <w:t xml:space="preserve"> interested parties additional time to analyze the collected data to</w:t>
      </w:r>
      <w:r w:rsidR="00B7298E">
        <w:t xml:space="preserve"> </w:t>
      </w:r>
      <w:r w:rsidR="005B08E7">
        <w:t xml:space="preserve">help inform the Commission’s </w:t>
      </w:r>
      <w:r w:rsidR="002C6EE5">
        <w:t xml:space="preserve">business data service </w:t>
      </w:r>
      <w:r w:rsidR="005B08E7">
        <w:t>reform efforts in the underlying rulemaking proceeding.</w:t>
      </w:r>
    </w:p>
    <w:p w14:paraId="4E8888D7" w14:textId="77777777" w:rsidR="002D74E4" w:rsidRDefault="00F8526B" w:rsidP="002D74E4">
      <w:pPr>
        <w:pStyle w:val="ParaNum"/>
        <w:tabs>
          <w:tab w:val="clear" w:pos="1080"/>
          <w:tab w:val="left" w:pos="1440"/>
        </w:tabs>
      </w:pPr>
      <w:r w:rsidRPr="00E54AE9">
        <w:t>On December 11, 2012, the Commission adopted an order requiring providers and purchasers of</w:t>
      </w:r>
      <w:r w:rsidRPr="00F6202C">
        <w:t xml:space="preserve"> special access and certain entities providing “best efforts” service to submit data and information for a comprehensive evaluation of the special access market.</w:t>
      </w:r>
      <w:r w:rsidRPr="00F6202C">
        <w:rPr>
          <w:vertAlign w:val="superscript"/>
        </w:rPr>
        <w:footnoteReference w:id="3"/>
      </w:r>
      <w:r w:rsidRPr="00F6202C">
        <w:t xml:space="preserve">  </w:t>
      </w:r>
      <w:r w:rsidR="00EA0006" w:rsidRPr="00E54AE9">
        <w:t>The final deadline for responding to the data collection closed on February 27, 2015.</w:t>
      </w:r>
      <w:r w:rsidR="00EA0006" w:rsidRPr="00E54AE9">
        <w:rPr>
          <w:rStyle w:val="FootnoteReference"/>
        </w:rPr>
        <w:footnoteReference w:id="4"/>
      </w:r>
      <w:r w:rsidR="00EA0006" w:rsidRPr="00E54AE9">
        <w:t xml:space="preserve">  On September 18, 2015, the Bureau released an order addressing objections to the release of confidential and highly confidential information </w:t>
      </w:r>
      <w:r w:rsidR="00EA0006" w:rsidRPr="00E54AE9">
        <w:lastRenderedPageBreak/>
        <w:t>pursuant to the terms of a protective order.</w:t>
      </w:r>
      <w:r w:rsidR="00EA0006" w:rsidRPr="00E54AE9">
        <w:rPr>
          <w:rStyle w:val="FootnoteReference"/>
        </w:rPr>
        <w:footnoteReference w:id="5"/>
      </w:r>
      <w:r w:rsidR="00EA0006" w:rsidRPr="00E54AE9">
        <w:t xml:space="preserve">  This action </w:t>
      </w:r>
      <w:r w:rsidR="00520BCB">
        <w:t xml:space="preserve">began </w:t>
      </w:r>
      <w:r w:rsidR="00EA0006" w:rsidRPr="00E54AE9">
        <w:t xml:space="preserve">allowing limited public access to the data, hosted by the Commission’s secure data enclave vendor, NORC </w:t>
      </w:r>
      <w:r w:rsidR="006E4B48">
        <w:t>at t</w:t>
      </w:r>
      <w:r w:rsidR="00EA0006" w:rsidRPr="00E54AE9">
        <w:t>he University of Chicago (NORC).</w:t>
      </w:r>
      <w:r w:rsidR="00EA0006" w:rsidRPr="00E54AE9">
        <w:rPr>
          <w:rStyle w:val="FootnoteReference"/>
        </w:rPr>
        <w:footnoteReference w:id="6"/>
      </w:r>
    </w:p>
    <w:p w14:paraId="66F66DF4" w14:textId="77777777" w:rsidR="002D74E4" w:rsidRDefault="00F8526B" w:rsidP="002D74E4">
      <w:pPr>
        <w:pStyle w:val="ParaNum"/>
        <w:tabs>
          <w:tab w:val="clear" w:pos="1080"/>
          <w:tab w:val="left" w:pos="1440"/>
        </w:tabs>
      </w:pPr>
      <w:r w:rsidRPr="00F6202C">
        <w:t xml:space="preserve">In </w:t>
      </w:r>
      <w:r>
        <w:t xml:space="preserve">section IV.B of </w:t>
      </w:r>
      <w:r w:rsidRPr="00F6202C">
        <w:t xml:space="preserve">the </w:t>
      </w:r>
      <w:r w:rsidRPr="002D74E4">
        <w:rPr>
          <w:i/>
          <w:iCs/>
        </w:rPr>
        <w:t xml:space="preserve">Special Access FNPRM </w:t>
      </w:r>
      <w:r>
        <w:t>accompanying th</w:t>
      </w:r>
      <w:r w:rsidR="00EA0006">
        <w:t>e</w:t>
      </w:r>
      <w:r>
        <w:t xml:space="preserve"> order</w:t>
      </w:r>
      <w:r w:rsidR="00EA0006">
        <w:t xml:space="preserve"> adopting the collection</w:t>
      </w:r>
      <w:r w:rsidRPr="00F6202C">
        <w:t xml:space="preserve">, the Commission sought comment on possible changes to its rules for the special access services provided by incumbent local exchange carriers </w:t>
      </w:r>
      <w:r w:rsidR="00CE56C7">
        <w:t xml:space="preserve">(incumbent LECs) </w:t>
      </w:r>
      <w:r w:rsidRPr="00F6202C">
        <w:t>in price cap areas.</w:t>
      </w:r>
      <w:r w:rsidRPr="00F6202C">
        <w:rPr>
          <w:vertAlign w:val="superscript"/>
        </w:rPr>
        <w:footnoteReference w:id="7"/>
      </w:r>
      <w:r w:rsidRPr="00F6202C">
        <w:t xml:space="preserve">  The </w:t>
      </w:r>
      <w:r>
        <w:t xml:space="preserve">Commission set the comment deadlines on this portion of the </w:t>
      </w:r>
      <w:r w:rsidRPr="002D74E4">
        <w:rPr>
          <w:i/>
          <w:iCs/>
        </w:rPr>
        <w:t>Special Access FNPRM</w:t>
      </w:r>
      <w:r>
        <w:t xml:space="preserve"> several months beyond the document’s release date to give </w:t>
      </w:r>
      <w:r w:rsidRPr="00F6202C">
        <w:t xml:space="preserve">interested parties </w:t>
      </w:r>
      <w:r>
        <w:t>an opportunity to review the data and information collected before filing comments</w:t>
      </w:r>
      <w:r w:rsidRPr="00F6202C">
        <w:t>.</w:t>
      </w:r>
      <w:r w:rsidRPr="00F6202C">
        <w:rPr>
          <w:vertAlign w:val="superscript"/>
        </w:rPr>
        <w:footnoteReference w:id="8"/>
      </w:r>
      <w:r>
        <w:t xml:space="preserve">  The Bureau has subsequently extended these deadlines </w:t>
      </w:r>
      <w:r w:rsidR="00520BCB">
        <w:t xml:space="preserve">several times </w:t>
      </w:r>
      <w:r>
        <w:t xml:space="preserve">to account for delays in collecting the data and information, and in making it available for inspection.  </w:t>
      </w:r>
      <w:r w:rsidRPr="00E54AE9">
        <w:t xml:space="preserve">Most recently, in response to an earlier filed request for an extension of time filed by </w:t>
      </w:r>
      <w:r w:rsidR="00EA0006" w:rsidRPr="00E54AE9">
        <w:t>the Joint Petitioners</w:t>
      </w:r>
      <w:r w:rsidRPr="00E54AE9">
        <w:t xml:space="preserve">, the Bureau released an order on November 2, 2015, extending the </w:t>
      </w:r>
      <w:r>
        <w:t xml:space="preserve">comment and reply comment </w:t>
      </w:r>
      <w:r w:rsidRPr="002E0986">
        <w:t xml:space="preserve">due dates </w:t>
      </w:r>
      <w:r>
        <w:t>to January 6 and February 5, 2016, respectively</w:t>
      </w:r>
      <w:r w:rsidRPr="002E0986">
        <w:t>.</w:t>
      </w:r>
      <w:r w:rsidRPr="002E0986">
        <w:rPr>
          <w:vertAlign w:val="superscript"/>
        </w:rPr>
        <w:footnoteReference w:id="9"/>
      </w:r>
    </w:p>
    <w:p w14:paraId="16E51F48" w14:textId="77777777" w:rsidR="002D74E4" w:rsidRDefault="00330CCF" w:rsidP="002D74E4">
      <w:pPr>
        <w:pStyle w:val="ParaNum"/>
        <w:tabs>
          <w:tab w:val="clear" w:pos="1080"/>
          <w:tab w:val="left" w:pos="1440"/>
        </w:tabs>
      </w:pPr>
      <w:r>
        <w:t>Very s</w:t>
      </w:r>
      <w:r w:rsidR="009E5B90">
        <w:t xml:space="preserve">hortly </w:t>
      </w:r>
      <w:r w:rsidR="00466887">
        <w:t xml:space="preserve">after the </w:t>
      </w:r>
      <w:r w:rsidR="009E5B90">
        <w:t xml:space="preserve">release of the </w:t>
      </w:r>
      <w:r w:rsidR="009E5B90" w:rsidRPr="002D74E4">
        <w:rPr>
          <w:i/>
          <w:iCs/>
        </w:rPr>
        <w:t>Extension Order</w:t>
      </w:r>
      <w:r w:rsidR="009E5B90">
        <w:t xml:space="preserve">, the Joint Petitioners requested a further </w:t>
      </w:r>
      <w:r w:rsidR="00466887">
        <w:t xml:space="preserve">extension of time </w:t>
      </w:r>
      <w:r w:rsidR="27CAA04F">
        <w:t>u</w:t>
      </w:r>
      <w:r w:rsidR="5D020355">
        <w:t>ntil</w:t>
      </w:r>
      <w:r w:rsidR="009C0063">
        <w:t xml:space="preserve"> “at least twelve weeks after” the data set is </w:t>
      </w:r>
      <w:r w:rsidR="00C845CB">
        <w:t>declared “final”</w:t>
      </w:r>
      <w:r w:rsidR="009C0063" w:rsidRPr="71461F46">
        <w:t xml:space="preserve"> </w:t>
      </w:r>
      <w:r w:rsidR="009C0063">
        <w:t>and once all</w:t>
      </w:r>
      <w:r w:rsidR="009C0063" w:rsidRPr="71461F46">
        <w:t xml:space="preserve"> </w:t>
      </w:r>
      <w:r w:rsidR="009C0063">
        <w:t>the software tools sought by the Joint Petitioners to analyze the data are made available by NORC</w:t>
      </w:r>
      <w:r w:rsidR="009C0063" w:rsidRPr="71461F46">
        <w:t>.</w:t>
      </w:r>
      <w:r w:rsidR="009C0063">
        <w:rPr>
          <w:rStyle w:val="FootnoteReference"/>
        </w:rPr>
        <w:footnoteReference w:id="10"/>
      </w:r>
      <w:r w:rsidR="009C0063" w:rsidRPr="71461F46">
        <w:t xml:space="preserve">  </w:t>
      </w:r>
      <w:r w:rsidR="3A6DA698" w:rsidRPr="3A6DA698">
        <w:t>On</w:t>
      </w:r>
      <w:r w:rsidR="01A78E38" w:rsidRPr="01A78E38">
        <w:t xml:space="preserve"> November 18, 2015, </w:t>
      </w:r>
      <w:r w:rsidR="024A1793" w:rsidRPr="024A1793">
        <w:t>Spr</w:t>
      </w:r>
      <w:r w:rsidR="6A7C8195" w:rsidRPr="6A7C8195">
        <w:t xml:space="preserve">int </w:t>
      </w:r>
      <w:r w:rsidR="1DD27D9A" w:rsidRPr="6A7C8195">
        <w:t xml:space="preserve">Corporation (Sprint) </w:t>
      </w:r>
      <w:r w:rsidR="45938C84" w:rsidRPr="6A7C8195">
        <w:t>opposed the request</w:t>
      </w:r>
      <w:r w:rsidR="4BD6352D" w:rsidRPr="6A7C8195">
        <w:t>, and</w:t>
      </w:r>
      <w:r w:rsidR="7139D7E1" w:rsidRPr="71461F46">
        <w:t xml:space="preserve"> </w:t>
      </w:r>
      <w:r w:rsidR="678A4BBD">
        <w:t>INCOMPAS and the Competitive Carriers Association (CCA)</w:t>
      </w:r>
      <w:r w:rsidR="678A4BBD" w:rsidRPr="71461F46">
        <w:t xml:space="preserve"> </w:t>
      </w:r>
      <w:r w:rsidR="678A4BBD">
        <w:t>also</w:t>
      </w:r>
      <w:r w:rsidR="00617BBC">
        <w:t xml:space="preserve"> jointly filed in opposition</w:t>
      </w:r>
      <w:r w:rsidR="006C6EDF">
        <w:t>.</w:t>
      </w:r>
      <w:r w:rsidR="006C6EDF">
        <w:rPr>
          <w:rStyle w:val="FootnoteReference"/>
        </w:rPr>
        <w:footnoteReference w:id="11"/>
      </w:r>
      <w:r w:rsidR="1DD27D9A" w:rsidRPr="71461F46">
        <w:t xml:space="preserve">  </w:t>
      </w:r>
      <w:r w:rsidR="61B16D91" w:rsidRPr="61B16D91">
        <w:t>Both Sprint and m</w:t>
      </w:r>
      <w:r w:rsidR="61B16D91">
        <w:t>embers of INCOMPAS/C</w:t>
      </w:r>
      <w:r w:rsidR="105F2039">
        <w:t>C</w:t>
      </w:r>
      <w:r w:rsidR="61B16D91">
        <w:t>A a</w:t>
      </w:r>
      <w:r w:rsidR="5729F0D5">
        <w:t>re</w:t>
      </w:r>
      <w:r w:rsidR="61B16D91" w:rsidRPr="71461F46">
        <w:t xml:space="preserve"> </w:t>
      </w:r>
      <w:r w:rsidR="61B16D91">
        <w:t>in the process of analyzing the same data to which</w:t>
      </w:r>
      <w:r w:rsidR="61B16D91" w:rsidRPr="71461F46">
        <w:t xml:space="preserve"> </w:t>
      </w:r>
      <w:r w:rsidR="61B16D91">
        <w:t xml:space="preserve">USTelecom raises timing concerns. </w:t>
      </w:r>
      <w:r w:rsidR="5729F0D5" w:rsidRPr="71461F46">
        <w:t xml:space="preserve"> </w:t>
      </w:r>
      <w:r w:rsidR="7B42AD49" w:rsidRPr="7B42AD49">
        <w:t xml:space="preserve">According to </w:t>
      </w:r>
      <w:r w:rsidR="2CCE895A" w:rsidRPr="7B42AD49">
        <w:t>INCOMPAS/CCA</w:t>
      </w:r>
      <w:r w:rsidR="7B42AD49" w:rsidRPr="7B42AD49">
        <w:t>, t</w:t>
      </w:r>
      <w:r w:rsidR="5D15883F" w:rsidRPr="00617BBC">
        <w:t xml:space="preserve">he Joint </w:t>
      </w:r>
      <w:r w:rsidR="1DD27D9A" w:rsidRPr="00617BBC">
        <w:t xml:space="preserve">Petitioners “exaggerate the problems with the special access data set and overstate the </w:t>
      </w:r>
      <w:r w:rsidR="59BA2A56" w:rsidRPr="678A4BBD">
        <w:t>impact th</w:t>
      </w:r>
      <w:r w:rsidR="00DD13DC" w:rsidRPr="7139D7E1">
        <w:t xml:space="preserve">ese issues will have on </w:t>
      </w:r>
      <w:r w:rsidR="7D6946E4">
        <w:t>parties’ ability to conduct a timely analysis.”</w:t>
      </w:r>
      <w:r w:rsidR="00A62A6D">
        <w:rPr>
          <w:rStyle w:val="FootnoteReference"/>
        </w:rPr>
        <w:footnoteReference w:id="12"/>
      </w:r>
      <w:r w:rsidR="00DD13DC" w:rsidRPr="71461F46">
        <w:t xml:space="preserve"> </w:t>
      </w:r>
      <w:r w:rsidR="2A1247FB" w:rsidRPr="71461F46">
        <w:t xml:space="preserve"> </w:t>
      </w:r>
      <w:r w:rsidR="3E97F5A5" w:rsidRPr="3E97F5A5">
        <w:t xml:space="preserve">Sprint </w:t>
      </w:r>
      <w:r w:rsidR="008E5A66">
        <w:t>stat</w:t>
      </w:r>
      <w:r w:rsidR="71461F46" w:rsidRPr="3E97F5A5">
        <w:t>ed</w:t>
      </w:r>
      <w:r w:rsidR="006C6EDF">
        <w:t xml:space="preserve"> the “</w:t>
      </w:r>
      <w:r w:rsidR="1EB31810" w:rsidRPr="1EB31810">
        <w:t>request amount</w:t>
      </w:r>
      <w:r w:rsidR="0B20DDE2" w:rsidRPr="1EB31810">
        <w:t>s</w:t>
      </w:r>
      <w:r w:rsidR="1EB31810" w:rsidRPr="1EB31810">
        <w:t xml:space="preserve"> to yet another transparent, groundless attempt to delay action in this important rulemaking</w:t>
      </w:r>
      <w:r w:rsidR="006C6EDF">
        <w:t xml:space="preserve"> proceeding.”</w:t>
      </w:r>
      <w:r w:rsidR="00A62A6D">
        <w:rPr>
          <w:rStyle w:val="FootnoteReference"/>
        </w:rPr>
        <w:footnoteReference w:id="13"/>
      </w:r>
      <w:r w:rsidR="46327D14" w:rsidRPr="71461F46">
        <w:t xml:space="preserve">  </w:t>
      </w:r>
      <w:r w:rsidR="006C6EDF">
        <w:t>O</w:t>
      </w:r>
      <w:r w:rsidR="46327D14">
        <w:t xml:space="preserve">n </w:t>
      </w:r>
      <w:r w:rsidR="5396A8EF">
        <w:t xml:space="preserve">reply, </w:t>
      </w:r>
      <w:r w:rsidR="00CB6FA3">
        <w:t>the</w:t>
      </w:r>
      <w:r w:rsidR="5F13DCBF" w:rsidRPr="7139D7E1">
        <w:t xml:space="preserve"> Joint Petitioners acknowledge that </w:t>
      </w:r>
      <w:r w:rsidR="0019498A">
        <w:t>while</w:t>
      </w:r>
      <w:r w:rsidR="34411EE6" w:rsidRPr="7139D7E1">
        <w:t xml:space="preserve"> </w:t>
      </w:r>
      <w:r w:rsidR="00CB6FA3" w:rsidRPr="71461F46">
        <w:t>“</w:t>
      </w:r>
      <w:r w:rsidR="001A21DB">
        <w:t>analyses can be completed by</w:t>
      </w:r>
      <w:r w:rsidR="7A5763C1" w:rsidRPr="71461F46">
        <w:t>”</w:t>
      </w:r>
      <w:r w:rsidR="001A21DB" w:rsidRPr="71461F46">
        <w:t xml:space="preserve"> </w:t>
      </w:r>
      <w:r w:rsidR="00B31B14">
        <w:t>the current comment deadline</w:t>
      </w:r>
      <w:r w:rsidR="0019498A">
        <w:t>, the geospatial analysis that the Joint Petitioners intend to perform will require additional time</w:t>
      </w:r>
      <w:r w:rsidR="001A21DB" w:rsidRPr="71461F46">
        <w:t>.</w:t>
      </w:r>
      <w:r w:rsidR="001A21DB">
        <w:rPr>
          <w:rStyle w:val="FootnoteReference"/>
        </w:rPr>
        <w:footnoteReference w:id="14"/>
      </w:r>
    </w:p>
    <w:p w14:paraId="6EEDC75F" w14:textId="77777777" w:rsidR="002D74E4" w:rsidRDefault="0BBFE600" w:rsidP="002D74E4">
      <w:pPr>
        <w:pStyle w:val="ParaNum"/>
        <w:tabs>
          <w:tab w:val="clear" w:pos="1080"/>
          <w:tab w:val="left" w:pos="1440"/>
        </w:tabs>
      </w:pPr>
      <w:r>
        <w:lastRenderedPageBreak/>
        <w:t xml:space="preserve">The Joint Petitioners raise a number of reasons </w:t>
      </w:r>
      <w:r w:rsidR="0019498A">
        <w:t>as to</w:t>
      </w:r>
      <w:r w:rsidR="008E5A66">
        <w:t xml:space="preserve"> why</w:t>
      </w:r>
      <w:r w:rsidRPr="5D5D33C4">
        <w:t xml:space="preserve"> </w:t>
      </w:r>
      <w:r w:rsidR="6356C231">
        <w:t>a</w:t>
      </w:r>
      <w:r>
        <w:t xml:space="preserve"> further extension</w:t>
      </w:r>
      <w:r w:rsidR="008E5A66">
        <w:t xml:space="preserve"> is </w:t>
      </w:r>
      <w:r w:rsidR="0019498A">
        <w:t>warranted</w:t>
      </w:r>
      <w:r>
        <w:t xml:space="preserve">, namely </w:t>
      </w:r>
      <w:r w:rsidR="00330CCF">
        <w:t xml:space="preserve">alleged </w:t>
      </w:r>
      <w:r w:rsidR="6356C231">
        <w:t>delays in obtaining access</w:t>
      </w:r>
      <w:r w:rsidR="2370A764">
        <w:t xml:space="preserve"> to the </w:t>
      </w:r>
      <w:r w:rsidR="008E5A66">
        <w:t>data</w:t>
      </w:r>
      <w:r w:rsidR="00330CCF">
        <w:t xml:space="preserve"> and </w:t>
      </w:r>
      <w:r w:rsidR="6356C231">
        <w:t>in obtaining software tools in the encl</w:t>
      </w:r>
      <w:r w:rsidR="2370A764">
        <w:t xml:space="preserve">ave, data structure </w:t>
      </w:r>
      <w:r w:rsidR="00330CCF">
        <w:t>questions</w:t>
      </w:r>
      <w:r w:rsidR="2370A764">
        <w:t>, changes to the data set</w:t>
      </w:r>
      <w:r w:rsidR="0019498A">
        <w:t>, time needed to conduct a geospatial analysis</w:t>
      </w:r>
      <w:r w:rsidR="008C648D">
        <w:t>, and the requirements of the Administrative Procedure Act (APA)</w:t>
      </w:r>
      <w:r w:rsidR="2370A764">
        <w:t xml:space="preserve">.  </w:t>
      </w:r>
      <w:r w:rsidR="00330CCF">
        <w:t xml:space="preserve">We conclude </w:t>
      </w:r>
      <w:r w:rsidR="00520BCB">
        <w:t xml:space="preserve">these arguments are without merit as explained </w:t>
      </w:r>
      <w:r w:rsidR="3E0C0F89">
        <w:t>below.</w:t>
      </w:r>
      <w:r w:rsidR="6356C231" w:rsidRPr="5D5D33C4">
        <w:t xml:space="preserve"> </w:t>
      </w:r>
    </w:p>
    <w:p w14:paraId="33068CE3" w14:textId="77777777" w:rsidR="002D74E4" w:rsidRDefault="3E0C0F89" w:rsidP="002D74E4">
      <w:pPr>
        <w:pStyle w:val="ParaNum"/>
        <w:tabs>
          <w:tab w:val="clear" w:pos="1080"/>
          <w:tab w:val="left" w:pos="1440"/>
        </w:tabs>
      </w:pPr>
      <w:r w:rsidRPr="002D74E4">
        <w:rPr>
          <w:i/>
          <w:iCs/>
        </w:rPr>
        <w:t>Data Access</w:t>
      </w:r>
      <w:r w:rsidRPr="0353E7B0">
        <w:t>.</w:t>
      </w:r>
      <w:r w:rsidR="00C4FFA1" w:rsidRPr="2B6520A2">
        <w:t xml:space="preserve">  Joint Petitioners contin</w:t>
      </w:r>
      <w:r w:rsidR="27B1366C" w:rsidRPr="2B6520A2">
        <w:t xml:space="preserve">ue to </w:t>
      </w:r>
      <w:r w:rsidR="00666551">
        <w:t>highlight</w:t>
      </w:r>
      <w:r w:rsidR="503CAA0D" w:rsidRPr="2B6520A2">
        <w:t xml:space="preserve"> </w:t>
      </w:r>
      <w:r w:rsidR="27B1366C" w:rsidRPr="2B6520A2">
        <w:t>that they did not complet</w:t>
      </w:r>
      <w:r w:rsidR="4A1DEEFE" w:rsidRPr="2B6520A2">
        <w:t xml:space="preserve">e the necessary training and obtain remote access </w:t>
      </w:r>
      <w:r w:rsidR="6D5FDB7D" w:rsidRPr="2B6520A2">
        <w:t xml:space="preserve">to the enclave </w:t>
      </w:r>
      <w:r w:rsidR="4A1DEEFE" w:rsidRPr="2B6520A2">
        <w:t>until October 20</w:t>
      </w:r>
      <w:r w:rsidR="00D07344">
        <w:t>, 2015</w:t>
      </w:r>
      <w:r w:rsidR="00520BCB">
        <w:t xml:space="preserve"> and thus, have not had sufficient time to complete the analysis</w:t>
      </w:r>
      <w:r w:rsidR="4A1DEEFE" w:rsidRPr="2B6520A2">
        <w:t>.</w:t>
      </w:r>
      <w:r w:rsidR="008E5A66">
        <w:rPr>
          <w:rStyle w:val="FootnoteReference"/>
        </w:rPr>
        <w:footnoteReference w:id="15"/>
      </w:r>
      <w:r w:rsidR="4A1DEEFE" w:rsidRPr="0353E7B0">
        <w:t xml:space="preserve"> </w:t>
      </w:r>
      <w:r w:rsidR="04E77D0A" w:rsidRPr="2B6520A2">
        <w:t xml:space="preserve"> </w:t>
      </w:r>
      <w:r w:rsidR="00D07344">
        <w:t>We find these claims unpersuasive</w:t>
      </w:r>
      <w:r w:rsidR="00520BCB">
        <w:t>.</w:t>
      </w:r>
      <w:r w:rsidR="00D07344">
        <w:t xml:space="preserve">  </w:t>
      </w:r>
      <w:r w:rsidR="04E77D0A" w:rsidRPr="2B6520A2">
        <w:t xml:space="preserve">First, the Joint Petitioners </w:t>
      </w:r>
      <w:r w:rsidR="00FC7340">
        <w:t>did not file</w:t>
      </w:r>
      <w:r w:rsidR="04E77D0A" w:rsidRPr="2B6520A2">
        <w:t xml:space="preserve"> their </w:t>
      </w:r>
      <w:r w:rsidR="008561D2">
        <w:t xml:space="preserve">signed </w:t>
      </w:r>
      <w:r w:rsidR="503CAA0D" w:rsidRPr="2B6520A2">
        <w:t xml:space="preserve">Acknowledgements </w:t>
      </w:r>
      <w:r w:rsidR="008561D2">
        <w:t xml:space="preserve">of Confidentiality </w:t>
      </w:r>
      <w:r w:rsidR="00666551">
        <w:t xml:space="preserve">(Acknowledgements) </w:t>
      </w:r>
      <w:r w:rsidR="008561D2">
        <w:t>by July 2,</w:t>
      </w:r>
      <w:r w:rsidR="11783C24" w:rsidRPr="2B6520A2">
        <w:t xml:space="preserve"> as </w:t>
      </w:r>
      <w:r w:rsidR="00C0286F">
        <w:t>encouraged by the Bureau</w:t>
      </w:r>
      <w:r w:rsidR="008561D2">
        <w:t>,</w:t>
      </w:r>
      <w:r w:rsidR="11783C24" w:rsidRPr="2B6520A2">
        <w:t xml:space="preserve"> </w:t>
      </w:r>
      <w:r w:rsidR="00FC7340">
        <w:t xml:space="preserve">and were, accordingly, not </w:t>
      </w:r>
      <w:r w:rsidR="11783C24" w:rsidRPr="2B6520A2">
        <w:t xml:space="preserve">included in the initial </w:t>
      </w:r>
      <w:r w:rsidR="30A370EA" w:rsidRPr="2B6520A2">
        <w:t xml:space="preserve">group </w:t>
      </w:r>
      <w:r w:rsidR="684581A8" w:rsidRPr="2B6520A2">
        <w:t>p</w:t>
      </w:r>
      <w:r w:rsidR="63195A9C" w:rsidRPr="2B6520A2">
        <w:t>l</w:t>
      </w:r>
      <w:r w:rsidR="371E873B" w:rsidRPr="2B6520A2">
        <w:t>aced on</w:t>
      </w:r>
      <w:r w:rsidR="684581A8" w:rsidRPr="2B6520A2">
        <w:t xml:space="preserve"> public notice </w:t>
      </w:r>
      <w:r w:rsidR="22A6CE36" w:rsidRPr="2B6520A2">
        <w:t xml:space="preserve">per the objection process set forth in the </w:t>
      </w:r>
      <w:r w:rsidR="22A6CE36" w:rsidRPr="002D74E4">
        <w:rPr>
          <w:i/>
        </w:rPr>
        <w:t>Protective Order</w:t>
      </w:r>
      <w:r w:rsidR="22A6CE36" w:rsidRPr="2B6520A2">
        <w:t>.</w:t>
      </w:r>
      <w:r w:rsidR="008E5A66">
        <w:rPr>
          <w:rStyle w:val="FootnoteReference"/>
        </w:rPr>
        <w:footnoteReference w:id="16"/>
      </w:r>
      <w:r w:rsidR="22A6CE36" w:rsidRPr="2B6520A2">
        <w:t xml:space="preserve">  Th</w:t>
      </w:r>
      <w:r w:rsidR="3D5D50D7" w:rsidRPr="2B6520A2">
        <w:t xml:space="preserve">ose included in the initial group were the first authorized by the Commission to obtain access </w:t>
      </w:r>
      <w:r w:rsidR="00666551">
        <w:t xml:space="preserve">to the enclave </w:t>
      </w:r>
      <w:r w:rsidR="3D5D50D7" w:rsidRPr="2B6520A2">
        <w:t>and were the first trained by NORC to obtain remote ac</w:t>
      </w:r>
      <w:r w:rsidR="7BF03015" w:rsidRPr="2B6520A2">
        <w:t xml:space="preserve">cess.  </w:t>
      </w:r>
      <w:r w:rsidR="6462850C" w:rsidRPr="2B6520A2">
        <w:t>O</w:t>
      </w:r>
      <w:r w:rsidR="7BF03015" w:rsidRPr="2B6520A2">
        <w:t xml:space="preserve">bjections lodged against the initial group of potential </w:t>
      </w:r>
      <w:r w:rsidR="01A249EC" w:rsidRPr="2B6520A2">
        <w:t>reviewing parties</w:t>
      </w:r>
      <w:r w:rsidR="6462850C" w:rsidRPr="2B6520A2">
        <w:t xml:space="preserve"> </w:t>
      </w:r>
      <w:r w:rsidR="00FC7340">
        <w:t xml:space="preserve">predictably </w:t>
      </w:r>
      <w:r w:rsidR="6462850C" w:rsidRPr="2B6520A2">
        <w:t>caused delays in the authorizatio</w:t>
      </w:r>
      <w:r w:rsidR="6910DEBD" w:rsidRPr="2B6520A2">
        <w:t>n of sub</w:t>
      </w:r>
      <w:r w:rsidR="2FE3373E" w:rsidRPr="2B6520A2">
        <w:t xml:space="preserve">sequent </w:t>
      </w:r>
      <w:r w:rsidR="6910DEBD" w:rsidRPr="2B6520A2">
        <w:t>parties filing Ack</w:t>
      </w:r>
      <w:r w:rsidR="2FE3373E" w:rsidRPr="2B6520A2">
        <w:t>n</w:t>
      </w:r>
      <w:r w:rsidR="6910DEBD" w:rsidRPr="2B6520A2">
        <w:t>owledgments seeking access</w:t>
      </w:r>
      <w:r w:rsidR="2FE3373E" w:rsidRPr="2B6520A2">
        <w:t>.</w:t>
      </w:r>
      <w:r w:rsidR="008E5A66">
        <w:rPr>
          <w:rStyle w:val="FootnoteReference"/>
        </w:rPr>
        <w:footnoteReference w:id="17"/>
      </w:r>
      <w:r w:rsidR="2FE3373E" w:rsidRPr="2B6520A2">
        <w:t xml:space="preserve">  Second, </w:t>
      </w:r>
      <w:r w:rsidR="1B64ACD1" w:rsidRPr="2B6520A2">
        <w:t>while the Jo</w:t>
      </w:r>
      <w:r w:rsidR="00C0286F">
        <w:t>int Petitioners did not obtain “</w:t>
      </w:r>
      <w:r w:rsidR="1B64ACD1" w:rsidRPr="2B6520A2">
        <w:t>remo</w:t>
      </w:r>
      <w:r w:rsidR="00C0286F">
        <w:t>te”</w:t>
      </w:r>
      <w:r w:rsidR="3811B058" w:rsidRPr="2B6520A2">
        <w:t xml:space="preserve"> access until October 20, they</w:t>
      </w:r>
      <w:r w:rsidR="00FC7340">
        <w:t xml:space="preserve"> elected not to </w:t>
      </w:r>
      <w:r w:rsidR="3811B058" w:rsidRPr="2B6520A2">
        <w:t>obtain</w:t>
      </w:r>
      <w:r w:rsidR="007A15F0">
        <w:t xml:space="preserve"> direct access at NORC’</w:t>
      </w:r>
      <w:r w:rsidR="3811B058" w:rsidRPr="2B6520A2">
        <w:t xml:space="preserve">s facilities </w:t>
      </w:r>
      <w:r w:rsidR="628F5693" w:rsidRPr="2B6520A2">
        <w:t xml:space="preserve">in Bethesda, </w:t>
      </w:r>
      <w:r w:rsidR="006E4B48">
        <w:t>Maryland</w:t>
      </w:r>
      <w:r w:rsidR="628F5693" w:rsidRPr="2B6520A2">
        <w:t xml:space="preserve">, </w:t>
      </w:r>
      <w:r w:rsidR="00FC7340">
        <w:t xml:space="preserve">that was available </w:t>
      </w:r>
      <w:r w:rsidR="628F5693" w:rsidRPr="2B6520A2">
        <w:t xml:space="preserve">starting in late September.  Third, </w:t>
      </w:r>
      <w:r w:rsidR="57FA6060" w:rsidRPr="2B6520A2">
        <w:t xml:space="preserve">notwithstanding the above, the Joint Petitioners have now had </w:t>
      </w:r>
      <w:r w:rsidR="04EE73F1" w:rsidRPr="2B6520A2">
        <w:t>r</w:t>
      </w:r>
      <w:r w:rsidR="0E17560B" w:rsidRPr="2B6520A2">
        <w:t xml:space="preserve">emote access to the enclave for </w:t>
      </w:r>
      <w:r w:rsidR="00CB6966">
        <w:t>almost</w:t>
      </w:r>
      <w:r w:rsidR="00666551">
        <w:t xml:space="preserve"> </w:t>
      </w:r>
      <w:r w:rsidR="00CB6966">
        <w:t xml:space="preserve">nine </w:t>
      </w:r>
      <w:r w:rsidR="009D3664">
        <w:t>weeks</w:t>
      </w:r>
      <w:r w:rsidR="0E17560B" w:rsidRPr="2B6520A2">
        <w:t>.</w:t>
      </w:r>
      <w:r w:rsidR="04E77D0A" w:rsidRPr="0353E7B0">
        <w:t xml:space="preserve"> </w:t>
      </w:r>
    </w:p>
    <w:p w14:paraId="1D57A03B" w14:textId="77777777" w:rsidR="002D74E4" w:rsidRDefault="6D5FDB7D" w:rsidP="002D74E4">
      <w:pPr>
        <w:pStyle w:val="ParaNum"/>
        <w:tabs>
          <w:tab w:val="clear" w:pos="1080"/>
          <w:tab w:val="left" w:pos="1440"/>
        </w:tabs>
      </w:pPr>
      <w:r w:rsidRPr="002D74E4">
        <w:rPr>
          <w:i/>
          <w:iCs/>
        </w:rPr>
        <w:t>Software Tools</w:t>
      </w:r>
      <w:r w:rsidRPr="0353E7B0">
        <w:t xml:space="preserve">.  </w:t>
      </w:r>
      <w:r w:rsidR="007A15F0">
        <w:t>On</w:t>
      </w:r>
      <w:r>
        <w:t xml:space="preserve"> </w:t>
      </w:r>
      <w:r w:rsidR="007A15F0">
        <w:t xml:space="preserve">October 1, </w:t>
      </w:r>
      <w:r>
        <w:t xml:space="preserve">2014, </w:t>
      </w:r>
      <w:r w:rsidR="00520BCB">
        <w:t>the Bureau</w:t>
      </w:r>
      <w:r>
        <w:t xml:space="preserve"> identified the baseline software tools available in the enclave after a notice and comment process.</w:t>
      </w:r>
      <w:r w:rsidR="008561D2">
        <w:rPr>
          <w:rStyle w:val="FootnoteReference"/>
        </w:rPr>
        <w:footnoteReference w:id="18"/>
      </w:r>
      <w:r w:rsidRPr="0353E7B0">
        <w:t xml:space="preserve">  </w:t>
      </w:r>
      <w:r w:rsidR="00FC7340">
        <w:t xml:space="preserve">The Joint Petitioners did not notify the Commission of any concerns with the identified software tools or of their interest in obtaining additional software tools until after they had </w:t>
      </w:r>
      <w:r w:rsidR="29592F2E">
        <w:t xml:space="preserve">remotely </w:t>
      </w:r>
      <w:r>
        <w:t>access</w:t>
      </w:r>
      <w:r w:rsidR="00FC7340">
        <w:t>ed</w:t>
      </w:r>
      <w:r>
        <w:t xml:space="preserve"> the enclave </w:t>
      </w:r>
      <w:r w:rsidR="78893D26">
        <w:t>o</w:t>
      </w:r>
      <w:r>
        <w:t xml:space="preserve">n October </w:t>
      </w:r>
      <w:r w:rsidR="00D07344">
        <w:t xml:space="preserve">20, </w:t>
      </w:r>
      <w:r>
        <w:t>2015</w:t>
      </w:r>
      <w:r w:rsidR="00FC7340">
        <w:t xml:space="preserve">.  At that time, </w:t>
      </w:r>
      <w:r w:rsidR="007A15F0">
        <w:t xml:space="preserve">more than a year </w:t>
      </w:r>
      <w:r w:rsidR="00FC7340">
        <w:t>after the Bureau disclosed the software tools available i</w:t>
      </w:r>
      <w:r w:rsidR="007A15F0">
        <w:t>n the enclave</w:t>
      </w:r>
      <w:r>
        <w:t>, the Joint Petitioners</w:t>
      </w:r>
      <w:r w:rsidRPr="0353E7B0">
        <w:t xml:space="preserve"> </w:t>
      </w:r>
      <w:r>
        <w:t>ask</w:t>
      </w:r>
      <w:r w:rsidR="00520BCB">
        <w:t>ed</w:t>
      </w:r>
      <w:r w:rsidR="006E4B48">
        <w:t xml:space="preserve"> </w:t>
      </w:r>
      <w:r>
        <w:t>for additional tools</w:t>
      </w:r>
      <w:r w:rsidR="006E4B48">
        <w:t xml:space="preserve"> for the first time</w:t>
      </w:r>
      <w:r w:rsidRPr="0353E7B0">
        <w:t>.</w:t>
      </w:r>
      <w:r w:rsidR="0011078A">
        <w:rPr>
          <w:rStyle w:val="FootnoteReference"/>
        </w:rPr>
        <w:footnoteReference w:id="19"/>
      </w:r>
      <w:r w:rsidRPr="0353E7B0">
        <w:t xml:space="preserve">  </w:t>
      </w:r>
      <w:r>
        <w:t xml:space="preserve">NORC has worked diligently with </w:t>
      </w:r>
      <w:r w:rsidR="6E897F1C">
        <w:t xml:space="preserve">the </w:t>
      </w:r>
      <w:r>
        <w:t xml:space="preserve">analysts on these requests and has either satisfied the requests absent additional charge or provided estimates where the cost of providing and maintaining the software tool is </w:t>
      </w:r>
      <w:r w:rsidR="27D8D977">
        <w:t>substantial</w:t>
      </w:r>
      <w:r w:rsidR="5675A27D">
        <w:t xml:space="preserve"> and must be borne by the reviewing party requesting the </w:t>
      </w:r>
      <w:r w:rsidR="78893D26">
        <w:t xml:space="preserve">software </w:t>
      </w:r>
      <w:r w:rsidR="5675A27D">
        <w:t>tool</w:t>
      </w:r>
      <w:r w:rsidRPr="0353E7B0">
        <w:t>.</w:t>
      </w:r>
      <w:r w:rsidR="0011078A">
        <w:rPr>
          <w:rStyle w:val="FootnoteReference"/>
        </w:rPr>
        <w:footnoteReference w:id="20"/>
      </w:r>
      <w:r w:rsidR="0FAE4886" w:rsidRPr="0353E7B0">
        <w:t xml:space="preserve">  </w:t>
      </w:r>
      <w:r w:rsidR="0249B54A" w:rsidRPr="0FAE4886">
        <w:t xml:space="preserve">Specifically, NORC has </w:t>
      </w:r>
      <w:r w:rsidR="47FEEA99" w:rsidRPr="0FAE4886">
        <w:t xml:space="preserve">made </w:t>
      </w:r>
      <w:r w:rsidR="00C602BB">
        <w:t xml:space="preserve">several </w:t>
      </w:r>
      <w:r w:rsidR="6FF13FD1" w:rsidRPr="0FAE4886">
        <w:t>software tools</w:t>
      </w:r>
      <w:r w:rsidR="4E991D94" w:rsidRPr="0FAE4886">
        <w:t xml:space="preserve"> </w:t>
      </w:r>
      <w:r w:rsidR="00C602BB">
        <w:t xml:space="preserve">available to members of </w:t>
      </w:r>
      <w:r w:rsidR="00694D21">
        <w:t xml:space="preserve">the </w:t>
      </w:r>
      <w:r w:rsidR="00C602BB">
        <w:t xml:space="preserve">Joint Petitioners’ analytical team, including ArcGIS on October 29, 2015, </w:t>
      </w:r>
      <w:r w:rsidR="008B1F7C">
        <w:t xml:space="preserve">2013 maps for ArcGIS on November 9, 2015, HP </w:t>
      </w:r>
      <w:r w:rsidR="00C602BB">
        <w:t xml:space="preserve">Vertica Place on November 12, 2015, </w:t>
      </w:r>
      <w:r w:rsidR="008B1F7C">
        <w:t xml:space="preserve">the </w:t>
      </w:r>
      <w:r w:rsidR="00C602BB">
        <w:t>TIGER census block shape files</w:t>
      </w:r>
      <w:r w:rsidR="008B1F7C">
        <w:t xml:space="preserve"> on November 12, 2015, </w:t>
      </w:r>
      <w:r w:rsidR="00C602BB">
        <w:t xml:space="preserve">and Stat/Transfer on </w:t>
      </w:r>
      <w:r w:rsidR="008B1F7C">
        <w:t>November 16, 2015</w:t>
      </w:r>
      <w:r w:rsidR="6FF13FD1" w:rsidRPr="0FAE4886">
        <w:t>.</w:t>
      </w:r>
      <w:r w:rsidR="008B1F7C">
        <w:rPr>
          <w:rStyle w:val="FootnoteReference"/>
        </w:rPr>
        <w:footnoteReference w:id="21"/>
      </w:r>
      <w:r w:rsidR="6FF13FD1" w:rsidRPr="0FAE4886">
        <w:t xml:space="preserve">  </w:t>
      </w:r>
      <w:r w:rsidR="456A8238" w:rsidRPr="0FAE4886">
        <w:t>These tools</w:t>
      </w:r>
      <w:r w:rsidR="00C602BB">
        <w:t xml:space="preserve">, in addition to </w:t>
      </w:r>
      <w:r w:rsidR="00330CCF">
        <w:t xml:space="preserve">already provided </w:t>
      </w:r>
      <w:r w:rsidR="00C602BB">
        <w:t>SAS and S</w:t>
      </w:r>
      <w:r w:rsidR="00FA59A2">
        <w:t>tata</w:t>
      </w:r>
      <w:r w:rsidR="00330CCF">
        <w:t xml:space="preserve"> tools</w:t>
      </w:r>
      <w:r w:rsidR="008B1F7C">
        <w:t>,</w:t>
      </w:r>
      <w:r w:rsidR="456A8238" w:rsidRPr="0FAE4886">
        <w:t xml:space="preserve"> are </w:t>
      </w:r>
      <w:r w:rsidR="24370733" w:rsidRPr="0FAE4886">
        <w:t xml:space="preserve">more </w:t>
      </w:r>
      <w:r w:rsidR="456A8238" w:rsidRPr="0FAE4886">
        <w:t xml:space="preserve">than sufficient </w:t>
      </w:r>
      <w:r w:rsidR="24370733" w:rsidRPr="0FAE4886">
        <w:t xml:space="preserve">to </w:t>
      </w:r>
      <w:r w:rsidR="6384B7B5" w:rsidRPr="0FAE4886">
        <w:t>analyze the collected data</w:t>
      </w:r>
      <w:r w:rsidR="6BAA96A1" w:rsidRPr="0353E7B0">
        <w:t xml:space="preserve">. </w:t>
      </w:r>
      <w:r w:rsidR="21C6204F" w:rsidRPr="0353E7B0">
        <w:t xml:space="preserve"> </w:t>
      </w:r>
      <w:r w:rsidR="21C6204F" w:rsidRPr="0FAE4886">
        <w:t>M</w:t>
      </w:r>
      <w:r w:rsidR="4BC2BBD6" w:rsidRPr="0FAE4886">
        <w:t>aking c</w:t>
      </w:r>
      <w:r w:rsidR="0FAE4886" w:rsidRPr="0FAE4886">
        <w:t>omment deadlines cont</w:t>
      </w:r>
      <w:r w:rsidR="0011078A">
        <w:t xml:space="preserve">ingent on future </w:t>
      </w:r>
      <w:r w:rsidR="13161AEE" w:rsidRPr="13161AEE">
        <w:t>software tool requests of reviewing parties</w:t>
      </w:r>
      <w:r w:rsidR="4BC2BBD6" w:rsidRPr="13161AEE">
        <w:t>, as proposed by the Joint P</w:t>
      </w:r>
      <w:r w:rsidR="5F43AF9A" w:rsidRPr="13161AEE">
        <w:t xml:space="preserve">etitioners, </w:t>
      </w:r>
      <w:r w:rsidR="21C6204F" w:rsidRPr="13161AEE">
        <w:t xml:space="preserve">is </w:t>
      </w:r>
      <w:r w:rsidR="0011078A">
        <w:t xml:space="preserve">unnecessary </w:t>
      </w:r>
      <w:r w:rsidR="21C6204F" w:rsidRPr="13161AEE">
        <w:t xml:space="preserve">and </w:t>
      </w:r>
      <w:r w:rsidR="5F43AF9A" w:rsidRPr="13161AEE">
        <w:t>would u</w:t>
      </w:r>
      <w:r w:rsidR="0011078A">
        <w:t>nreasonably</w:t>
      </w:r>
      <w:r w:rsidR="5F43AF9A" w:rsidRPr="13161AEE">
        <w:t xml:space="preserve"> delay the rulemaking proceeding</w:t>
      </w:r>
      <w:r w:rsidR="13161AEE" w:rsidRPr="0353E7B0">
        <w:t>.</w:t>
      </w:r>
      <w:r w:rsidR="00330CCF">
        <w:t xml:space="preserve">  It also would provide parties with the unilateral ability to delay a long-pending rulemaking proceeding simply by asking for yet more tools beyond the ample tools already provided.</w:t>
      </w:r>
    </w:p>
    <w:p w14:paraId="45AAC103" w14:textId="4FC85E8B" w:rsidR="007A15F0" w:rsidRDefault="3E0C0F89" w:rsidP="007A15F0">
      <w:pPr>
        <w:pStyle w:val="ParaNum"/>
        <w:tabs>
          <w:tab w:val="clear" w:pos="1080"/>
          <w:tab w:val="left" w:pos="1440"/>
        </w:tabs>
      </w:pPr>
      <w:r w:rsidRPr="002D74E4">
        <w:rPr>
          <w:i/>
          <w:iCs/>
        </w:rPr>
        <w:t>Data Structure</w:t>
      </w:r>
      <w:r w:rsidR="00C4FFA1" w:rsidRPr="334564D0">
        <w:t>.</w:t>
      </w:r>
      <w:r w:rsidRPr="334564D0">
        <w:t xml:space="preserve">  </w:t>
      </w:r>
      <w:r w:rsidR="0985DBE7" w:rsidRPr="2B6520A2">
        <w:t xml:space="preserve">In the </w:t>
      </w:r>
      <w:r w:rsidR="0985DBE7" w:rsidRPr="002D74E4">
        <w:rPr>
          <w:i/>
          <w:iCs/>
        </w:rPr>
        <w:t>Modified Protective Order</w:t>
      </w:r>
      <w:r w:rsidR="0985DBE7" w:rsidRPr="334564D0">
        <w:t xml:space="preserve"> </w:t>
      </w:r>
      <w:r w:rsidR="062BBE01" w:rsidRPr="2B6520A2">
        <w:t>released September</w:t>
      </w:r>
      <w:r w:rsidR="0052695A">
        <w:t xml:space="preserve"> 18, 2015</w:t>
      </w:r>
      <w:r w:rsidR="062BBE01" w:rsidRPr="2B6520A2">
        <w:t xml:space="preserve">, </w:t>
      </w:r>
      <w:r w:rsidR="00520BCB">
        <w:t>the Bureau</w:t>
      </w:r>
      <w:r w:rsidR="0985DBE7" w:rsidRPr="2B6520A2">
        <w:t xml:space="preserve"> informe</w:t>
      </w:r>
      <w:r w:rsidR="062BBE01" w:rsidRPr="2B6520A2">
        <w:t xml:space="preserve">d parties that </w:t>
      </w:r>
      <w:r w:rsidR="00520BCB">
        <w:t>it</w:t>
      </w:r>
      <w:r w:rsidR="062BBE01" w:rsidRPr="2B6520A2">
        <w:t xml:space="preserve"> would mask the </w:t>
      </w:r>
      <w:r w:rsidR="5B66A9A9" w:rsidRPr="2B6520A2">
        <w:t>billing codes to protect critical infrastructure.</w:t>
      </w:r>
      <w:r w:rsidR="009D3664">
        <w:rPr>
          <w:rStyle w:val="FootnoteReference"/>
        </w:rPr>
        <w:footnoteReference w:id="22"/>
      </w:r>
      <w:r w:rsidR="5B66A9A9" w:rsidRPr="2B6520A2">
        <w:t xml:space="preserve">  </w:t>
      </w:r>
      <w:r w:rsidR="68DA2A2B" w:rsidRPr="2B6520A2">
        <w:t xml:space="preserve">After remotely accessing the enclave, the Joint Petitioners </w:t>
      </w:r>
      <w:r w:rsidR="00FC7340">
        <w:t xml:space="preserve">indicate that they </w:t>
      </w:r>
      <w:r w:rsidR="1DE5D3D0" w:rsidRPr="2B6520A2">
        <w:t>we</w:t>
      </w:r>
      <w:r w:rsidR="3EE4CE87" w:rsidRPr="2B6520A2">
        <w:t xml:space="preserve">re surprised to </w:t>
      </w:r>
      <w:r w:rsidR="1F5A8BA8" w:rsidRPr="2B6520A2">
        <w:t>find</w:t>
      </w:r>
      <w:r w:rsidR="332689AC" w:rsidRPr="2B6520A2">
        <w:t xml:space="preserve"> th</w:t>
      </w:r>
      <w:r w:rsidR="4AE202FB" w:rsidRPr="2B6520A2">
        <w:t xml:space="preserve">e billing codes masked and </w:t>
      </w:r>
      <w:r w:rsidR="00FC7340">
        <w:t xml:space="preserve">first </w:t>
      </w:r>
      <w:r w:rsidR="4398A1B3" w:rsidRPr="2B6520A2">
        <w:t>r</w:t>
      </w:r>
      <w:r w:rsidR="1C16A420" w:rsidRPr="2B6520A2">
        <w:t>aise</w:t>
      </w:r>
      <w:r w:rsidR="1F5A8BA8" w:rsidRPr="2B6520A2">
        <w:t>d</w:t>
      </w:r>
      <w:r w:rsidR="1C16A420" w:rsidRPr="2B6520A2">
        <w:t xml:space="preserve"> this as a problem on October 26, 2015.</w:t>
      </w:r>
      <w:r w:rsidR="009D3664">
        <w:rPr>
          <w:rStyle w:val="FootnoteReference"/>
        </w:rPr>
        <w:footnoteReference w:id="23"/>
      </w:r>
      <w:r w:rsidR="1C16A420" w:rsidRPr="2B6520A2">
        <w:t xml:space="preserve">  </w:t>
      </w:r>
      <w:r w:rsidR="64A19246" w:rsidRPr="2B6520A2">
        <w:t>S</w:t>
      </w:r>
      <w:r w:rsidR="2B038372" w:rsidRPr="2B6520A2">
        <w:t xml:space="preserve">ince then </w:t>
      </w:r>
      <w:r w:rsidR="00477D38">
        <w:t>the Bureau has</w:t>
      </w:r>
      <w:r w:rsidR="0DBC9B56" w:rsidRPr="2B6520A2">
        <w:t xml:space="preserve"> </w:t>
      </w:r>
      <w:r w:rsidR="2B038372" w:rsidRPr="2B6520A2">
        <w:t>provided cross-walk tables to assist parties in linking a sub</w:t>
      </w:r>
      <w:r w:rsidR="2221D20B" w:rsidRPr="2B6520A2">
        <w:t xml:space="preserve">stantial percentage of billing codes with descriptions for circuits </w:t>
      </w:r>
      <w:r w:rsidR="7D8E361D" w:rsidRPr="2B6520A2">
        <w:t xml:space="preserve">at or </w:t>
      </w:r>
      <w:r w:rsidR="2221D20B" w:rsidRPr="2B6520A2">
        <w:t xml:space="preserve">below 1 </w:t>
      </w:r>
      <w:r w:rsidR="00A5700E">
        <w:t>gigabit per second (</w:t>
      </w:r>
      <w:r w:rsidR="2221D20B" w:rsidRPr="2B6520A2">
        <w:t>Gbps</w:t>
      </w:r>
      <w:r w:rsidR="00A5700E">
        <w:t>)</w:t>
      </w:r>
      <w:r w:rsidR="0074229D">
        <w:t>,</w:t>
      </w:r>
      <w:r w:rsidR="2221D20B" w:rsidRPr="2B6520A2">
        <w:t xml:space="preserve"> </w:t>
      </w:r>
      <w:r w:rsidR="7D8E361D" w:rsidRPr="2B6520A2">
        <w:t xml:space="preserve">while continuing to mask </w:t>
      </w:r>
      <w:r w:rsidR="7E140DA4" w:rsidRPr="2B6520A2">
        <w:t xml:space="preserve">many of the </w:t>
      </w:r>
      <w:r w:rsidR="7D8E361D" w:rsidRPr="2B6520A2">
        <w:t xml:space="preserve">billing codes for circuits above this threshold to </w:t>
      </w:r>
      <w:r w:rsidR="008C648D">
        <w:t>address</w:t>
      </w:r>
      <w:r w:rsidR="00033217">
        <w:t xml:space="preserve"> critical infrastructure</w:t>
      </w:r>
      <w:r w:rsidR="008C648D">
        <w:t xml:space="preserve"> security concerns</w:t>
      </w:r>
      <w:r w:rsidR="00033217">
        <w:t>.</w:t>
      </w:r>
      <w:r w:rsidR="00477D38">
        <w:t xml:space="preserve">  Accordingly, </w:t>
      </w:r>
      <w:r w:rsidR="00FC7340">
        <w:t xml:space="preserve">we do not find the presence of </w:t>
      </w:r>
      <w:r w:rsidR="00477D38">
        <w:t>masked billing codes a reason to extend the comment deadlines.</w:t>
      </w:r>
    </w:p>
    <w:p w14:paraId="42BB782A" w14:textId="77777777" w:rsidR="009A1BBF" w:rsidRDefault="775581ED" w:rsidP="007A15F0">
      <w:pPr>
        <w:pStyle w:val="ParaNum"/>
        <w:tabs>
          <w:tab w:val="clear" w:pos="1080"/>
          <w:tab w:val="left" w:pos="1440"/>
        </w:tabs>
      </w:pPr>
      <w:r w:rsidRPr="2B6520A2">
        <w:t>Joint</w:t>
      </w:r>
      <w:r w:rsidR="7D8E361D" w:rsidRPr="18175A57">
        <w:t xml:space="preserve"> </w:t>
      </w:r>
      <w:r w:rsidRPr="2B6520A2">
        <w:t xml:space="preserve">Petitioners </w:t>
      </w:r>
      <w:r w:rsidR="6F7AD0BE" w:rsidRPr="2B6520A2">
        <w:t>also take issue with</w:t>
      </w:r>
      <w:r w:rsidRPr="2B6520A2">
        <w:t xml:space="preserve"> the Bureau not provid</w:t>
      </w:r>
      <w:r w:rsidR="4BCFE56E" w:rsidRPr="2B6520A2">
        <w:t>ing</w:t>
      </w:r>
      <w:r w:rsidRPr="2B6520A2">
        <w:t xml:space="preserve"> geocode information for all reported locations.</w:t>
      </w:r>
      <w:r w:rsidRPr="18175A57">
        <w:t xml:space="preserve">  </w:t>
      </w:r>
      <w:r w:rsidRPr="2B6520A2">
        <w:t xml:space="preserve">In response </w:t>
      </w:r>
      <w:r w:rsidR="4BCFE56E" w:rsidRPr="4BCFE56E">
        <w:t>to comments</w:t>
      </w:r>
      <w:r w:rsidR="008216FA">
        <w:t xml:space="preserve"> from parties submitting data in the data collection</w:t>
      </w:r>
      <w:r w:rsidR="4BCFE56E" w:rsidRPr="4BCFE56E">
        <w:t>, the</w:t>
      </w:r>
      <w:r w:rsidR="1CE52605" w:rsidRPr="18175A57">
        <w:t xml:space="preserve"> </w:t>
      </w:r>
      <w:r w:rsidR="4BCFE56E" w:rsidRPr="1CE52605">
        <w:t>Office of Management and Budge</w:t>
      </w:r>
      <w:r w:rsidR="1ED2F9EB" w:rsidRPr="1CE52605">
        <w:t>t</w:t>
      </w:r>
      <w:r w:rsidR="4BCFE56E" w:rsidRPr="1CE52605">
        <w:t xml:space="preserve"> </w:t>
      </w:r>
      <w:r w:rsidR="007A15F0">
        <w:t xml:space="preserve">(OMB) </w:t>
      </w:r>
      <w:r w:rsidR="4BCFE56E" w:rsidRPr="1CE52605">
        <w:t xml:space="preserve">conditioned its approval of the </w:t>
      </w:r>
      <w:r w:rsidR="008C648D">
        <w:t>Commission’</w:t>
      </w:r>
      <w:r w:rsidR="1ED2F9EB" w:rsidRPr="1CE52605">
        <w:t xml:space="preserve">s data </w:t>
      </w:r>
      <w:r w:rsidR="4BCFE56E" w:rsidRPr="1CE52605">
        <w:t>collection pursuant to the Pa</w:t>
      </w:r>
      <w:r w:rsidR="5EE2ABA1" w:rsidRPr="1CE52605">
        <w:t xml:space="preserve">perwork Reduction Act of 1995 on </w:t>
      </w:r>
      <w:r w:rsidR="19CF5B3F" w:rsidRPr="1CE52605">
        <w:t xml:space="preserve">the acceptance of </w:t>
      </w:r>
      <w:r w:rsidR="423DAF8C" w:rsidRPr="1CE52605">
        <w:t>location addresses absent geographic coordinates</w:t>
      </w:r>
      <w:r w:rsidR="5F80C952" w:rsidRPr="1CE52605">
        <w:t>.</w:t>
      </w:r>
      <w:r w:rsidR="0037148E">
        <w:rPr>
          <w:rStyle w:val="FootnoteReference"/>
        </w:rPr>
        <w:footnoteReference w:id="24"/>
      </w:r>
      <w:r w:rsidR="5F80C952" w:rsidRPr="1CE52605">
        <w:t xml:space="preserve">  </w:t>
      </w:r>
      <w:r w:rsidR="00B77C7A">
        <w:t>Accordingly, a number of filers did not provide us with geographic coordinates for their locations.  NORC has, however, provided reviewers with the necessary software tools, upon request, to allow reviewing parties to geocode locations based on the addresses provided by filers.  Separately, t</w:t>
      </w:r>
      <w:r w:rsidR="00601B13">
        <w:t xml:space="preserve">he Bureau </w:t>
      </w:r>
      <w:r w:rsidR="00B77C7A">
        <w:t xml:space="preserve">conducted its own </w:t>
      </w:r>
      <w:r w:rsidR="366570CC" w:rsidRPr="1CE52605">
        <w:t>geocod</w:t>
      </w:r>
      <w:r w:rsidR="00B77C7A">
        <w:t>ing</w:t>
      </w:r>
      <w:r w:rsidR="366570CC" w:rsidRPr="1CE52605">
        <w:t xml:space="preserve"> </w:t>
      </w:r>
      <w:r w:rsidR="00B77C7A">
        <w:t xml:space="preserve">of </w:t>
      </w:r>
      <w:r w:rsidR="366570CC" w:rsidRPr="1CE52605">
        <w:t xml:space="preserve">locations </w:t>
      </w:r>
      <w:r w:rsidR="00B77C7A">
        <w:t xml:space="preserve">and provided the </w:t>
      </w:r>
      <w:r w:rsidR="382AE9C8" w:rsidRPr="1CE52605">
        <w:t xml:space="preserve">results </w:t>
      </w:r>
      <w:r w:rsidR="00B77C7A">
        <w:t xml:space="preserve">for the benefit of </w:t>
      </w:r>
      <w:r w:rsidR="382AE9C8" w:rsidRPr="1CE52605">
        <w:t>review</w:t>
      </w:r>
      <w:r w:rsidR="00B77C7A">
        <w:t xml:space="preserve">ing parties.  </w:t>
      </w:r>
      <w:r w:rsidR="009A1BBF">
        <w:t xml:space="preserve">Commenters can rely on their own geocoding or the geocoding that the Bureau has provided for the convenience of reviewing parties.  </w:t>
      </w:r>
    </w:p>
    <w:p w14:paraId="2CFDC890" w14:textId="77777777" w:rsidR="00CE56C7" w:rsidRDefault="28F6C398" w:rsidP="002D74E4">
      <w:pPr>
        <w:pStyle w:val="ParaNum"/>
        <w:tabs>
          <w:tab w:val="clear" w:pos="1080"/>
          <w:tab w:val="left" w:pos="1440"/>
        </w:tabs>
      </w:pPr>
      <w:r w:rsidRPr="1CE52605">
        <w:t xml:space="preserve">For a percentage of </w:t>
      </w:r>
      <w:r w:rsidR="4A2AA85C" w:rsidRPr="1CE52605">
        <w:t xml:space="preserve">the total </w:t>
      </w:r>
      <w:r w:rsidRPr="1CE52605">
        <w:t>locations</w:t>
      </w:r>
      <w:r w:rsidR="4A2AA85C" w:rsidRPr="1CE52605">
        <w:t xml:space="preserve"> reported</w:t>
      </w:r>
      <w:r w:rsidR="00764DEA">
        <w:t xml:space="preserve"> – about</w:t>
      </w:r>
      <w:r w:rsidRPr="1CE52605">
        <w:t xml:space="preserve"> </w:t>
      </w:r>
      <w:r w:rsidR="0037148E">
        <w:t>eight</w:t>
      </w:r>
      <w:r w:rsidRPr="1CE52605">
        <w:t xml:space="preserve"> percent</w:t>
      </w:r>
      <w:r w:rsidR="0037148E">
        <w:t xml:space="preserve"> of the locations reported by competitive providers and about twelve percent of the locations reported by incumbent LECs</w:t>
      </w:r>
      <w:r w:rsidR="00764DEA">
        <w:t xml:space="preserve"> – the </w:t>
      </w:r>
      <w:r w:rsidR="00477D38">
        <w:t>Bureau was</w:t>
      </w:r>
      <w:r w:rsidR="176FA5FD" w:rsidRPr="1CE52605">
        <w:t xml:space="preserve"> unable to geocode the locations due to insufficient address information</w:t>
      </w:r>
      <w:r w:rsidR="4E57338B" w:rsidRPr="1CE52605">
        <w:t xml:space="preserve"> provided by </w:t>
      </w:r>
      <w:r w:rsidR="001A0977">
        <w:t>f</w:t>
      </w:r>
      <w:r w:rsidR="4E57338B" w:rsidRPr="1CE52605">
        <w:t xml:space="preserve">ilers.  </w:t>
      </w:r>
      <w:r w:rsidR="001A0977" w:rsidRPr="1CE52605">
        <w:t xml:space="preserve">This is a </w:t>
      </w:r>
      <w:r w:rsidR="00652291">
        <w:t>characteristic of</w:t>
      </w:r>
      <w:r w:rsidR="001A0977" w:rsidRPr="1CE52605">
        <w:t xml:space="preserve"> the data received</w:t>
      </w:r>
      <w:r w:rsidR="001A0977">
        <w:t xml:space="preserve"> but th</w:t>
      </w:r>
      <w:r w:rsidR="00652291">
        <w:t>e</w:t>
      </w:r>
      <w:r w:rsidR="001A0977">
        <w:t xml:space="preserve"> information </w:t>
      </w:r>
      <w:r w:rsidR="00652291">
        <w:t>nevertheless can provide important insights</w:t>
      </w:r>
      <w:r w:rsidR="001A0977">
        <w:t xml:space="preserve">.  </w:t>
      </w:r>
      <w:r w:rsidR="00652291">
        <w:t>A key</w:t>
      </w:r>
      <w:r w:rsidR="001A0977">
        <w:t xml:space="preserve"> value of </w:t>
      </w:r>
      <w:r w:rsidR="00652291">
        <w:t xml:space="preserve">the </w:t>
      </w:r>
      <w:r w:rsidR="001A0977">
        <w:t xml:space="preserve">collected data is in what it can tell us relative to what we once knew.  </w:t>
      </w:r>
      <w:r w:rsidR="00D90DB9">
        <w:t>The number of locations filers reported in this data collection approaches two million, the vast majority of which can be geocoded.  These geocoded locations we now have were by and large previously unknown to the Commission, thus making a crucial difference to our capacity, and that of commenters, to advance this proceeding.</w:t>
      </w:r>
      <w:r w:rsidR="00CE56C7">
        <w:t xml:space="preserve">  </w:t>
      </w:r>
    </w:p>
    <w:p w14:paraId="1F0405F8" w14:textId="21924C61" w:rsidR="002D74E4" w:rsidRDefault="00CE56C7" w:rsidP="002D74E4">
      <w:pPr>
        <w:pStyle w:val="ParaNum"/>
        <w:tabs>
          <w:tab w:val="clear" w:pos="1080"/>
          <w:tab w:val="left" w:pos="1440"/>
        </w:tabs>
      </w:pPr>
      <w:r>
        <w:t>In our judgment, th</w:t>
      </w:r>
      <w:r w:rsidR="00CD2713">
        <w:t>ese</w:t>
      </w:r>
      <w:r>
        <w:t xml:space="preserve"> data will allow the Commission, the Joint Petitioners, and other interested parties to undertake, in a reasonable timeframe, analysis capable of revealing facts sufficient to bring the current proceeding to a timely conclusion.  We reject the alternative of requiring filers to go to extraordinary lengths to report (but, in compliance with OMB, not</w:t>
      </w:r>
      <w:r w:rsidRPr="1CE52605">
        <w:t xml:space="preserve"> </w:t>
      </w:r>
      <w:r>
        <w:t xml:space="preserve">geocode) all their locations so as to be amenable to standard geocoding processes.  Such a requirement would greatly increase filer costs and impose on the industry costs due to delay in </w:t>
      </w:r>
      <w:r w:rsidR="00652291">
        <w:t xml:space="preserve">allowing the Commission to reach a decision in a long-pending major rulemaking proceeding, </w:t>
      </w:r>
      <w:r>
        <w:t xml:space="preserve">all without any likelihood of a commensurate benefit.  </w:t>
      </w:r>
    </w:p>
    <w:p w14:paraId="7865C3C5" w14:textId="77777777" w:rsidR="002D74E4" w:rsidRDefault="28615AFC" w:rsidP="002D74E4">
      <w:pPr>
        <w:pStyle w:val="ParaNum"/>
        <w:tabs>
          <w:tab w:val="clear" w:pos="1080"/>
          <w:tab w:val="left" w:pos="1440"/>
        </w:tabs>
      </w:pPr>
      <w:r w:rsidRPr="002D74E4">
        <w:rPr>
          <w:i/>
          <w:iCs/>
        </w:rPr>
        <w:t>Changes</w:t>
      </w:r>
      <w:r w:rsidRPr="6A7C8195">
        <w:t xml:space="preserve"> </w:t>
      </w:r>
      <w:r w:rsidRPr="002D74E4">
        <w:rPr>
          <w:i/>
          <w:iCs/>
        </w:rPr>
        <w:t>to the</w:t>
      </w:r>
      <w:r w:rsidR="2EDA99D2" w:rsidRPr="002D74E4">
        <w:rPr>
          <w:i/>
          <w:iCs/>
        </w:rPr>
        <w:t xml:space="preserve"> </w:t>
      </w:r>
      <w:r w:rsidRPr="002D74E4">
        <w:rPr>
          <w:i/>
          <w:iCs/>
        </w:rPr>
        <w:t>Data</w:t>
      </w:r>
      <w:r w:rsidRPr="28615AFC">
        <w:t xml:space="preserve">.  The Joint Petitioners </w:t>
      </w:r>
      <w:r w:rsidR="00652291">
        <w:t>allege that</w:t>
      </w:r>
      <w:r w:rsidR="2EDA99D2" w:rsidRPr="28615AFC">
        <w:t xml:space="preserve"> </w:t>
      </w:r>
      <w:r w:rsidR="0009023A">
        <w:t xml:space="preserve">the </w:t>
      </w:r>
      <w:r w:rsidR="2EDA99D2" w:rsidRPr="28615AFC">
        <w:t xml:space="preserve">data set </w:t>
      </w:r>
      <w:r w:rsidR="008C648D">
        <w:t xml:space="preserve">was </w:t>
      </w:r>
      <w:r w:rsidR="00652291">
        <w:t>materi</w:t>
      </w:r>
      <w:r w:rsidR="2EDA99D2" w:rsidRPr="28615AFC">
        <w:t>ally changed on October 23</w:t>
      </w:r>
      <w:r w:rsidR="2EDA99D2" w:rsidRPr="6A7C8195">
        <w:t xml:space="preserve"> </w:t>
      </w:r>
      <w:r w:rsidR="1B14F0A5" w:rsidRPr="1B14F0A5">
        <w:t xml:space="preserve">resulting in </w:t>
      </w:r>
      <w:r w:rsidR="1CD6861B" w:rsidRPr="1B14F0A5">
        <w:t xml:space="preserve">an </w:t>
      </w:r>
      <w:r w:rsidR="1B14F0A5" w:rsidRPr="1B14F0A5">
        <w:t xml:space="preserve">increased </w:t>
      </w:r>
      <w:r w:rsidR="1CD6861B" w:rsidRPr="1B14F0A5">
        <w:t xml:space="preserve">number of </w:t>
      </w:r>
      <w:r w:rsidR="1B14F0A5" w:rsidRPr="1B14F0A5">
        <w:t>observations</w:t>
      </w:r>
      <w:r w:rsidR="1CD6861B" w:rsidRPr="1B14F0A5">
        <w:t xml:space="preserve"> in the data set</w:t>
      </w:r>
      <w:r w:rsidR="28282569" w:rsidRPr="6A7C8195">
        <w:t>.</w:t>
      </w:r>
      <w:r w:rsidR="008C648D">
        <w:rPr>
          <w:rStyle w:val="FootnoteReference"/>
        </w:rPr>
        <w:footnoteReference w:id="25"/>
      </w:r>
      <w:r w:rsidR="5A2611F1" w:rsidRPr="6A7C8195">
        <w:t xml:space="preserve"> </w:t>
      </w:r>
      <w:r w:rsidR="21D08DDB" w:rsidRPr="6A7C8195">
        <w:t xml:space="preserve"> </w:t>
      </w:r>
      <w:r w:rsidR="22D9230D" w:rsidRPr="22D9230D">
        <w:t xml:space="preserve">The increase was due to NORC making internal changes to its system </w:t>
      </w:r>
      <w:r w:rsidR="30312F60" w:rsidRPr="22D9230D">
        <w:t xml:space="preserve">to </w:t>
      </w:r>
      <w:r w:rsidR="22D9230D" w:rsidRPr="22D9230D">
        <w:t xml:space="preserve">allow reviewer access to </w:t>
      </w:r>
      <w:r w:rsidR="30312F60" w:rsidRPr="30312F60">
        <w:t>data observations ina</w:t>
      </w:r>
      <w:r w:rsidR="128C9054" w:rsidRPr="128C9054">
        <w:t xml:space="preserve">dvertently blocked when processing the data received from the Bureau.  </w:t>
      </w:r>
      <w:r w:rsidR="0040450A">
        <w:t>S</w:t>
      </w:r>
      <w:r w:rsidR="379737E4" w:rsidRPr="28282569">
        <w:t xml:space="preserve">ince the </w:t>
      </w:r>
      <w:r w:rsidR="0D9893D0" w:rsidRPr="28282569">
        <w:t>Joint Petitioners</w:t>
      </w:r>
      <w:r w:rsidR="2A62B4EC" w:rsidRPr="28282569">
        <w:t xml:space="preserve"> did not start reviewing the data until after obtaining remote access on October 20, these changes </w:t>
      </w:r>
      <w:r w:rsidR="009A1BBF">
        <w:t>were unlikely to</w:t>
      </w:r>
      <w:r w:rsidR="2A62B4EC" w:rsidRPr="28282569">
        <w:t xml:space="preserve"> have significantly impaired their analytical efforts.  </w:t>
      </w:r>
    </w:p>
    <w:p w14:paraId="7314641C" w14:textId="77777777" w:rsidR="002D74E4" w:rsidRDefault="00BC32C1" w:rsidP="002D74E4">
      <w:pPr>
        <w:pStyle w:val="ParaNum"/>
        <w:tabs>
          <w:tab w:val="clear" w:pos="1080"/>
          <w:tab w:val="left" w:pos="1440"/>
        </w:tabs>
      </w:pPr>
      <w:r>
        <w:t xml:space="preserve">We also note </w:t>
      </w:r>
      <w:r w:rsidR="6F386E41" w:rsidRPr="28282569">
        <w:t>the Bureau has refreshed the data set on t</w:t>
      </w:r>
      <w:r w:rsidR="1B1120EC" w:rsidRPr="28282569">
        <w:t>wo</w:t>
      </w:r>
      <w:r w:rsidR="6F386E41" w:rsidRPr="6A7C8195">
        <w:t xml:space="preserve"> </w:t>
      </w:r>
      <w:r w:rsidR="6F386E41" w:rsidRPr="28282569">
        <w:t>oc</w:t>
      </w:r>
      <w:r w:rsidR="12442B99" w:rsidRPr="28282569">
        <w:t>casions</w:t>
      </w:r>
      <w:r>
        <w:t xml:space="preserve"> subsequent to the October 23 NORC changes</w:t>
      </w:r>
      <w:r w:rsidR="12442B99" w:rsidRPr="28282569">
        <w:t>.  The most recent refresh was made available to reviewers on December 3.  With each refresh, the Bureau provide</w:t>
      </w:r>
      <w:r>
        <w:t>d</w:t>
      </w:r>
      <w:r w:rsidR="12442B99" w:rsidRPr="28282569">
        <w:t xml:space="preserve"> the reviewers with </w:t>
      </w:r>
      <w:r w:rsidR="5B734244" w:rsidRPr="28282569">
        <w:t>an updated document detailing what has changed.</w:t>
      </w:r>
      <w:r w:rsidR="21D08DDB" w:rsidRPr="6A7C8195">
        <w:t xml:space="preserve">  </w:t>
      </w:r>
      <w:r w:rsidR="00610C40">
        <w:t>In</w:t>
      </w:r>
      <w:r w:rsidR="3B2C9250" w:rsidRPr="3B2C9250">
        <w:t xml:space="preserve"> addition</w:t>
      </w:r>
      <w:r w:rsidR="006515E0">
        <w:t>,</w:t>
      </w:r>
      <w:r w:rsidR="3B2C9250" w:rsidRPr="3B2C9250">
        <w:t xml:space="preserve"> </w:t>
      </w:r>
      <w:r w:rsidR="00610C40">
        <w:t xml:space="preserve">the Bureau provided </w:t>
      </w:r>
      <w:r w:rsidR="3B2C9250" w:rsidRPr="3B2C9250">
        <w:t>cross-walk files to assist reviewers in analyzing the data</w:t>
      </w:r>
      <w:r w:rsidR="006515E0">
        <w:t>, e.g., a table linking reported competitive provider locations within the territory of a particular incumbent LEC wire center</w:t>
      </w:r>
      <w:r w:rsidR="3B2C9250" w:rsidRPr="3B2C9250">
        <w:t>.</w:t>
      </w:r>
      <w:r w:rsidR="006515E0">
        <w:t xml:space="preserve">  These cross-walk files</w:t>
      </w:r>
      <w:r w:rsidR="1E8ADFEB" w:rsidRPr="1E8ADFEB">
        <w:t xml:space="preserve"> are helpful tools</w:t>
      </w:r>
      <w:r w:rsidR="006515E0">
        <w:t>, not updates to the data,</w:t>
      </w:r>
      <w:r w:rsidR="1E8ADFEB" w:rsidRPr="1E8ADFEB">
        <w:t xml:space="preserve"> developed by </w:t>
      </w:r>
      <w:r>
        <w:t>the Bureau</w:t>
      </w:r>
      <w:r w:rsidR="1E8ADFEB" w:rsidRPr="1E8ADFEB">
        <w:t xml:space="preserve"> </w:t>
      </w:r>
      <w:r w:rsidR="771C114F" w:rsidRPr="1E8ADFEB">
        <w:t xml:space="preserve">as a result of our own internal review </w:t>
      </w:r>
      <w:r w:rsidR="53268E57" w:rsidRPr="1E8ADFEB">
        <w:t>and in response to requests from reviewers</w:t>
      </w:r>
      <w:r w:rsidR="009A1BBF">
        <w:t xml:space="preserve">.  </w:t>
      </w:r>
      <w:r w:rsidR="00A43B5F">
        <w:t>T</w:t>
      </w:r>
      <w:r w:rsidR="00A43B5F" w:rsidRPr="1E8ADFEB">
        <w:t xml:space="preserve">he </w:t>
      </w:r>
      <w:r w:rsidR="00A43B5F">
        <w:t>Bureau</w:t>
      </w:r>
      <w:r w:rsidR="00A43B5F" w:rsidRPr="6A7C8195">
        <w:t xml:space="preserve"> </w:t>
      </w:r>
      <w:r w:rsidR="00A43B5F">
        <w:t>has</w:t>
      </w:r>
      <w:r w:rsidR="00A43B5F" w:rsidRPr="6A7C8195">
        <w:t xml:space="preserve"> </w:t>
      </w:r>
      <w:r w:rsidR="00A43B5F">
        <w:t>not</w:t>
      </w:r>
      <w:r w:rsidR="00A43B5F" w:rsidRPr="6A7C8195">
        <w:t xml:space="preserve"> </w:t>
      </w:r>
      <w:r w:rsidR="006515E0">
        <w:t xml:space="preserve">previously </w:t>
      </w:r>
      <w:r w:rsidR="00A43B5F">
        <w:t>committed</w:t>
      </w:r>
      <w:r w:rsidR="00A43B5F" w:rsidRPr="6A7C8195">
        <w:t xml:space="preserve"> </w:t>
      </w:r>
      <w:r w:rsidR="00A43B5F">
        <w:t>to providing</w:t>
      </w:r>
      <w:r w:rsidR="00A43B5F" w:rsidRPr="6A7C8195">
        <w:t xml:space="preserve"> </w:t>
      </w:r>
      <w:r w:rsidR="00A43B5F">
        <w:t>any of these additional tables</w:t>
      </w:r>
      <w:r w:rsidR="006515E0">
        <w:t xml:space="preserve"> with limited exception.</w:t>
      </w:r>
      <w:r w:rsidR="006515E0">
        <w:rPr>
          <w:rStyle w:val="FootnoteReference"/>
        </w:rPr>
        <w:footnoteReference w:id="26"/>
      </w:r>
      <w:r w:rsidR="006515E0">
        <w:t xml:space="preserve">  </w:t>
      </w:r>
      <w:r w:rsidR="00AD2ABD">
        <w:t>R</w:t>
      </w:r>
      <w:r w:rsidR="6E87677E">
        <w:t xml:space="preserve">eviewers can rely on them as they see fit or develop their own tables to help analyze the data.  </w:t>
      </w:r>
    </w:p>
    <w:p w14:paraId="705176A3" w14:textId="54DFEAE3" w:rsidR="002D74E4" w:rsidRDefault="149C1259" w:rsidP="002D74E4">
      <w:pPr>
        <w:pStyle w:val="ParaNum"/>
        <w:tabs>
          <w:tab w:val="clear" w:pos="1080"/>
          <w:tab w:val="left" w:pos="1440"/>
        </w:tabs>
      </w:pPr>
      <w:r>
        <w:t xml:space="preserve">To </w:t>
      </w:r>
      <w:r w:rsidR="1AD85CF6">
        <w:t>supp</w:t>
      </w:r>
      <w:r w:rsidR="1CD3A490">
        <w:t>ort</w:t>
      </w:r>
      <w:r>
        <w:t xml:space="preserve"> the</w:t>
      </w:r>
      <w:r w:rsidR="00610C40">
        <w:t>ir claim</w:t>
      </w:r>
      <w:r>
        <w:t xml:space="preserve"> </w:t>
      </w:r>
      <w:r w:rsidR="6CEE38E1">
        <w:t xml:space="preserve">of </w:t>
      </w:r>
      <w:r w:rsidR="710BCA73">
        <w:t>data instability, t</w:t>
      </w:r>
      <w:r w:rsidR="6E87677E">
        <w:t xml:space="preserve">he Joint Petitioners highlight that data for forty </w:t>
      </w:r>
      <w:r w:rsidR="004E2414">
        <w:t>competitive providers</w:t>
      </w:r>
      <w:r w:rsidR="6E87677E">
        <w:t xml:space="preserve"> were added or supplemented with </w:t>
      </w:r>
      <w:r w:rsidR="039A3E02">
        <w:t xml:space="preserve">the </w:t>
      </w:r>
      <w:r w:rsidR="6E87677E">
        <w:t>refreshes</w:t>
      </w:r>
      <w:r w:rsidR="7C00FD10" w:rsidRPr="45AE7631">
        <w:t>.</w:t>
      </w:r>
      <w:r w:rsidR="00A5700E">
        <w:rPr>
          <w:rStyle w:val="FootnoteReference"/>
        </w:rPr>
        <w:footnoteReference w:id="27"/>
      </w:r>
      <w:r w:rsidR="7C00FD10" w:rsidRPr="45AE7631">
        <w:t xml:space="preserve">  </w:t>
      </w:r>
      <w:r w:rsidR="00541A5D">
        <w:t>The entities covered by these</w:t>
      </w:r>
      <w:r w:rsidR="00541A5D" w:rsidRPr="45AE7631">
        <w:t xml:space="preserve"> </w:t>
      </w:r>
      <w:r w:rsidR="00541A5D">
        <w:t>updates</w:t>
      </w:r>
      <w:r w:rsidR="00541A5D" w:rsidRPr="45AE7631">
        <w:t xml:space="preserve"> </w:t>
      </w:r>
      <w:r w:rsidR="00541A5D">
        <w:t xml:space="preserve">amounted to a relatively small percentage of the overall observations in the data set, and therefore, any analyst, including the Joint Petitioners’, who initially relied on the earlier data, are unlikely to </w:t>
      </w:r>
      <w:r w:rsidR="001A0977">
        <w:t xml:space="preserve">have </w:t>
      </w:r>
      <w:r w:rsidR="00541A5D">
        <w:t>be</w:t>
      </w:r>
      <w:r w:rsidR="001A0977">
        <w:t>en</w:t>
      </w:r>
      <w:r w:rsidR="00541A5D">
        <w:t xml:space="preserve"> significantly misled and hence materially delayed, by reliance on the earlier data</w:t>
      </w:r>
      <w:r w:rsidR="00541A5D" w:rsidRPr="45AE7631">
        <w:t>.</w:t>
      </w:r>
      <w:r w:rsidR="00541A5D">
        <w:t xml:space="preserve">  Moreover, t</w:t>
      </w:r>
      <w:r w:rsidR="37138237">
        <w:t xml:space="preserve">hese updates </w:t>
      </w:r>
      <w:r w:rsidR="002B1131">
        <w:t>corrected</w:t>
      </w:r>
      <w:r w:rsidR="6E87677E">
        <w:t xml:space="preserve"> errors discovered in the data identified by reviewers </w:t>
      </w:r>
      <w:r w:rsidR="00610C40">
        <w:t>(highlighting the value of early release</w:t>
      </w:r>
      <w:r w:rsidR="0012090A">
        <w:t xml:space="preserve"> and a key part of any data analysis – review that allows </w:t>
      </w:r>
      <w:r w:rsidR="004E2414">
        <w:t xml:space="preserve">for the </w:t>
      </w:r>
      <w:r w:rsidR="0012090A">
        <w:t>correction of problems</w:t>
      </w:r>
      <w:r w:rsidR="00610C40">
        <w:t xml:space="preserve">) </w:t>
      </w:r>
      <w:r w:rsidR="6E87677E">
        <w:t xml:space="preserve">or </w:t>
      </w:r>
      <w:r w:rsidR="002B1131">
        <w:t>were the result of our resolving</w:t>
      </w:r>
      <w:r w:rsidR="6E87677E">
        <w:t xml:space="preserve"> technical issues with filers to allow the merging of their data into the data set.</w:t>
      </w:r>
      <w:r w:rsidR="6E87677E" w:rsidRPr="45AE7631">
        <w:t xml:space="preserve">  </w:t>
      </w:r>
      <w:r w:rsidR="00297F0C">
        <w:t xml:space="preserve">Inevitably, some time and effort is required in </w:t>
      </w:r>
      <w:r w:rsidR="00481497">
        <w:t>understanding</w:t>
      </w:r>
      <w:r w:rsidR="00297F0C">
        <w:t xml:space="preserve"> a data set, especially one of this size and complexity, and </w:t>
      </w:r>
      <w:r w:rsidR="00A43B5F">
        <w:t xml:space="preserve">the </w:t>
      </w:r>
      <w:r w:rsidR="008C1EED">
        <w:t xml:space="preserve">analytical </w:t>
      </w:r>
      <w:r w:rsidR="00A43B5F">
        <w:t xml:space="preserve">benefits arising from such time and effort are </w:t>
      </w:r>
      <w:r w:rsidR="00297F0C">
        <w:t xml:space="preserve">not lost due to </w:t>
      </w:r>
      <w:r w:rsidR="004E2414">
        <w:t xml:space="preserve">data </w:t>
      </w:r>
      <w:r w:rsidR="00297F0C">
        <w:t>revisions</w:t>
      </w:r>
      <w:r w:rsidR="00A43B5F">
        <w:t xml:space="preserve">.  </w:t>
      </w:r>
      <w:r w:rsidR="039A3E02" w:rsidRPr="45AE7631">
        <w:t xml:space="preserve">  </w:t>
      </w:r>
      <w:r w:rsidR="00297F0C">
        <w:t xml:space="preserve">  </w:t>
      </w:r>
    </w:p>
    <w:p w14:paraId="00413DC9" w14:textId="508EFD07" w:rsidR="002D74E4" w:rsidRDefault="00652291" w:rsidP="002D74E4">
      <w:pPr>
        <w:pStyle w:val="ParaNum"/>
        <w:tabs>
          <w:tab w:val="clear" w:pos="1080"/>
          <w:tab w:val="left" w:pos="1440"/>
        </w:tabs>
      </w:pPr>
      <w:r>
        <w:t>As with any Commission proceeding, the addition of new information to a pending record is appropriate and does not require parties to “start over” in any analysis already conducted.  That is</w:t>
      </w:r>
      <w:r w:rsidR="00283BD8">
        <w:t xml:space="preserve"> especially </w:t>
      </w:r>
      <w:r>
        <w:t xml:space="preserve">true here with </w:t>
      </w:r>
      <w:r w:rsidR="008C648D">
        <w:t xml:space="preserve">such a large </w:t>
      </w:r>
      <w:r w:rsidR="00A5700E">
        <w:t xml:space="preserve">data </w:t>
      </w:r>
      <w:r w:rsidR="00C81097">
        <w:t xml:space="preserve">set </w:t>
      </w:r>
      <w:r w:rsidR="008C648D">
        <w:t>from hundreds of filers</w:t>
      </w:r>
      <w:r w:rsidR="23B793D7">
        <w:t xml:space="preserve">.  </w:t>
      </w:r>
      <w:r w:rsidR="00C81097">
        <w:t xml:space="preserve">At a certain point, however, we </w:t>
      </w:r>
      <w:r w:rsidR="00601B13">
        <w:t xml:space="preserve">recognize that we </w:t>
      </w:r>
      <w:r w:rsidR="00C81097">
        <w:t xml:space="preserve">will have to refrain from further refreshes </w:t>
      </w:r>
      <w:r w:rsidR="007C3B88">
        <w:t>of the data.</w:t>
      </w:r>
      <w:r w:rsidR="00C81097">
        <w:t xml:space="preserve">  </w:t>
      </w:r>
      <w:r w:rsidR="007C3B88">
        <w:t>W</w:t>
      </w:r>
      <w:r w:rsidR="4B0DF34B">
        <w:t>e anticipate</w:t>
      </w:r>
      <w:r w:rsidR="008C1EED">
        <w:t xml:space="preserve"> at this time</w:t>
      </w:r>
      <w:r w:rsidR="4B0DF34B">
        <w:t xml:space="preserve"> one additional refresh</w:t>
      </w:r>
      <w:r w:rsidR="00C81097">
        <w:t xml:space="preserve"> due</w:t>
      </w:r>
      <w:r w:rsidR="007C3B88">
        <w:t xml:space="preserve"> to</w:t>
      </w:r>
      <w:r w:rsidR="4B0DF34B">
        <w:t xml:space="preserve"> </w:t>
      </w:r>
      <w:r w:rsidR="00C81097">
        <w:t>r</w:t>
      </w:r>
      <w:r w:rsidR="4121E328" w:rsidRPr="4121E328">
        <w:t>ecent resubmissions</w:t>
      </w:r>
      <w:r w:rsidR="24DF942F" w:rsidRPr="4121E328">
        <w:t>, notably</w:t>
      </w:r>
      <w:r w:rsidR="4121E328" w:rsidRPr="1A9532EA">
        <w:t xml:space="preserve"> </w:t>
      </w:r>
      <w:r w:rsidR="29779E35" w:rsidRPr="29779E35">
        <w:t xml:space="preserve">by </w:t>
      </w:r>
      <w:r w:rsidR="24DF942F" w:rsidRPr="29779E35">
        <w:t xml:space="preserve">USTelecom member </w:t>
      </w:r>
      <w:r w:rsidR="29779E35" w:rsidRPr="29779E35">
        <w:t>AT&amp;T</w:t>
      </w:r>
      <w:r w:rsidR="720B09E3" w:rsidRPr="1A9532EA">
        <w:t>,</w:t>
      </w:r>
      <w:r w:rsidR="29779E35" w:rsidRPr="1A9532EA">
        <w:t xml:space="preserve"> </w:t>
      </w:r>
      <w:r w:rsidR="0605A8B1" w:rsidRPr="29779E35">
        <w:t xml:space="preserve">to </w:t>
      </w:r>
      <w:r w:rsidR="455A156B" w:rsidRPr="29779E35">
        <w:t xml:space="preserve">address omissions or problems with </w:t>
      </w:r>
      <w:r w:rsidR="2E574DE4" w:rsidRPr="29779E35">
        <w:t xml:space="preserve">previously submitted </w:t>
      </w:r>
      <w:r w:rsidR="455A156B" w:rsidRPr="29779E35">
        <w:t>data</w:t>
      </w:r>
      <w:r w:rsidR="70932B39" w:rsidRPr="29779E35">
        <w:t xml:space="preserve">. </w:t>
      </w:r>
      <w:r w:rsidR="29779E35" w:rsidRPr="1A9532EA">
        <w:t xml:space="preserve"> </w:t>
      </w:r>
      <w:r w:rsidR="70932B39" w:rsidRPr="29779E35">
        <w:t>W</w:t>
      </w:r>
      <w:r w:rsidR="29779E35" w:rsidRPr="29779E35">
        <w:t xml:space="preserve">e </w:t>
      </w:r>
      <w:r w:rsidR="12C63784" w:rsidRPr="29779E35">
        <w:t>plan</w:t>
      </w:r>
      <w:r w:rsidR="29779E35" w:rsidRPr="29779E35">
        <w:t xml:space="preserve"> to </w:t>
      </w:r>
      <w:r w:rsidR="009D12F6">
        <w:t>deliver</w:t>
      </w:r>
      <w:r w:rsidR="009D12F6" w:rsidRPr="12C63784">
        <w:t xml:space="preserve"> </w:t>
      </w:r>
      <w:r w:rsidR="70932B39" w:rsidRPr="12C63784">
        <w:t xml:space="preserve">this </w:t>
      </w:r>
      <w:r w:rsidR="2C9D2B22" w:rsidRPr="12C63784">
        <w:t>update</w:t>
      </w:r>
      <w:r w:rsidR="67773FE6" w:rsidRPr="1A9532EA">
        <w:t xml:space="preserve"> </w:t>
      </w:r>
      <w:r>
        <w:t xml:space="preserve">to NORC contemporaneously with the release of this </w:t>
      </w:r>
      <w:r w:rsidR="009218E6">
        <w:t>O</w:t>
      </w:r>
      <w:r>
        <w:t>rder, such that commenters will have ample time to review and supplement any already</w:t>
      </w:r>
      <w:r w:rsidR="009218E6">
        <w:t>-</w:t>
      </w:r>
      <w:r>
        <w:t>conducted analyses.</w:t>
      </w:r>
      <w:r w:rsidR="00C81097">
        <w:t xml:space="preserve">  </w:t>
      </w:r>
    </w:p>
    <w:p w14:paraId="61EBF127" w14:textId="77777777" w:rsidR="002D74E4" w:rsidRDefault="00C81097" w:rsidP="002D74E4">
      <w:pPr>
        <w:pStyle w:val="ParaNum"/>
        <w:tabs>
          <w:tab w:val="clear" w:pos="1080"/>
          <w:tab w:val="left" w:pos="1440"/>
        </w:tabs>
      </w:pPr>
      <w:r>
        <w:t xml:space="preserve">Even </w:t>
      </w:r>
      <w:r w:rsidR="00D52734">
        <w:t xml:space="preserve">with </w:t>
      </w:r>
      <w:r w:rsidR="007C3B88">
        <w:t xml:space="preserve">the </w:t>
      </w:r>
      <w:r w:rsidR="00D52734">
        <w:t xml:space="preserve">data set subject to refresh, parties have been able to perform significant </w:t>
      </w:r>
      <w:r w:rsidR="007C3B88">
        <w:t>analys</w:t>
      </w:r>
      <w:r w:rsidR="00BC32C1">
        <w:t>i</w:t>
      </w:r>
      <w:r w:rsidR="007C3B88">
        <w:t>s</w:t>
      </w:r>
      <w:r w:rsidR="00D52734">
        <w:t>.  As Sprint correctly points out, parties are not starting from “square one” and the access provided to date has allowed reviewers to familiarize themselves with the data structure, identify the most useful data tables for their analysis, and “begin calculating key factors, such as basic market shares and concentration ratios.”</w:t>
      </w:r>
      <w:r w:rsidR="00D52734">
        <w:rPr>
          <w:rStyle w:val="FootnoteReference"/>
        </w:rPr>
        <w:footnoteReference w:id="28"/>
      </w:r>
      <w:r w:rsidR="00D52734">
        <w:t xml:space="preserve">  </w:t>
      </w:r>
      <w:r w:rsidR="00283BD8">
        <w:t>In addition, as noted, early release facilitated data correction</w:t>
      </w:r>
      <w:r w:rsidR="00694C7F">
        <w:t>, and e</w:t>
      </w:r>
      <w:r w:rsidR="00283BD8">
        <w:t xml:space="preserve">arly release allowed parties (and the Bureau) to develop code that may be run on any version of the data with few or no changes.  </w:t>
      </w:r>
      <w:r w:rsidR="00D52734">
        <w:t xml:space="preserve">And with the software tools sought by analysts now available </w:t>
      </w:r>
      <w:r w:rsidR="00663F0B">
        <w:t>(</w:t>
      </w:r>
      <w:r w:rsidR="00D52734">
        <w:t>since mid-November</w:t>
      </w:r>
      <w:r w:rsidR="00663F0B">
        <w:t>)</w:t>
      </w:r>
      <w:r w:rsidR="00D52734">
        <w:t>, a</w:t>
      </w:r>
      <w:r w:rsidR="00F40AB5">
        <w:t xml:space="preserve">nalysts </w:t>
      </w:r>
      <w:r w:rsidR="00792022">
        <w:t>can</w:t>
      </w:r>
      <w:r w:rsidR="008C1EED">
        <w:t xml:space="preserve"> undertake</w:t>
      </w:r>
      <w:r w:rsidR="00F40AB5">
        <w:t xml:space="preserve"> the necessary computer coding to </w:t>
      </w:r>
      <w:r w:rsidR="00663F0B">
        <w:t xml:space="preserve">further </w:t>
      </w:r>
      <w:r w:rsidR="00F40AB5">
        <w:t>analyze the data</w:t>
      </w:r>
      <w:r w:rsidR="00D52734">
        <w:t>.</w:t>
      </w:r>
      <w:r w:rsidR="00792022">
        <w:rPr>
          <w:rStyle w:val="FootnoteReference"/>
        </w:rPr>
        <w:footnoteReference w:id="29"/>
      </w:r>
      <w:r w:rsidR="00F40AB5">
        <w:t xml:space="preserve"> </w:t>
      </w:r>
    </w:p>
    <w:p w14:paraId="338F5AA8" w14:textId="188DC485" w:rsidR="002D74E4" w:rsidRDefault="00663F0B" w:rsidP="002D74E4">
      <w:pPr>
        <w:pStyle w:val="ParaNum"/>
        <w:tabs>
          <w:tab w:val="clear" w:pos="1080"/>
          <w:tab w:val="left" w:pos="1440"/>
        </w:tabs>
      </w:pPr>
      <w:r w:rsidRPr="002D74E4">
        <w:rPr>
          <w:i/>
        </w:rPr>
        <w:t>Time Needed for Geospatial Analysis</w:t>
      </w:r>
      <w:r>
        <w:t xml:space="preserve">.  The Joint Petitioners concede that the “analyses can be completed” by the current comment deadline but state additional </w:t>
      </w:r>
      <w:r w:rsidR="00252CAB">
        <w:t xml:space="preserve">time </w:t>
      </w:r>
      <w:r>
        <w:t>is needed to complete their geospatial analysis.</w:t>
      </w:r>
      <w:r>
        <w:rPr>
          <w:rStyle w:val="FootnoteReference"/>
        </w:rPr>
        <w:footnoteReference w:id="30"/>
      </w:r>
      <w:r>
        <w:t xml:space="preserve">  Specifically, Dr. </w:t>
      </w:r>
      <w:r w:rsidR="00A5700E">
        <w:t xml:space="preserve">Glenn </w:t>
      </w:r>
      <w:r w:rsidR="00252CAB">
        <w:t xml:space="preserve">Woroch </w:t>
      </w:r>
      <w:r w:rsidR="007C3B88">
        <w:t xml:space="preserve">contends </w:t>
      </w:r>
      <w:r w:rsidR="00252CAB">
        <w:t xml:space="preserve">that </w:t>
      </w:r>
      <w:r w:rsidR="007C3B88">
        <w:t xml:space="preserve">between </w:t>
      </w:r>
      <w:r w:rsidR="00252CAB">
        <w:t>eight</w:t>
      </w:r>
      <w:r w:rsidR="007C3B88">
        <w:t xml:space="preserve"> and </w:t>
      </w:r>
      <w:r w:rsidR="00252CAB">
        <w:t>ten weeks is needed because the</w:t>
      </w:r>
      <w:r w:rsidR="00C11A06">
        <w:t xml:space="preserve"> analysts</w:t>
      </w:r>
      <w:r w:rsidR="00252CAB">
        <w:t xml:space="preserve"> cannot write computer programs until they know the software tools available.</w:t>
      </w:r>
      <w:r w:rsidR="00252CAB">
        <w:rPr>
          <w:rStyle w:val="FootnoteReference"/>
        </w:rPr>
        <w:footnoteReference w:id="31"/>
      </w:r>
      <w:r w:rsidR="00252CAB">
        <w:t xml:space="preserve">  </w:t>
      </w:r>
      <w:r w:rsidR="008C1EED">
        <w:t xml:space="preserve">As noted above, </w:t>
      </w:r>
      <w:r w:rsidR="00252CAB">
        <w:t>the software tools allowing for the type of analysis sought by the Joint Petitioners have been made available</w:t>
      </w:r>
      <w:r w:rsidR="00764DEA">
        <w:t xml:space="preserve"> </w:t>
      </w:r>
      <w:r w:rsidR="00252CAB">
        <w:t>since mid-November</w:t>
      </w:r>
      <w:r w:rsidR="00C11A06">
        <w:t xml:space="preserve">, </w:t>
      </w:r>
      <w:r w:rsidR="007C3B88">
        <w:t xml:space="preserve">thus the </w:t>
      </w:r>
      <w:r w:rsidR="00B77C7A">
        <w:t xml:space="preserve">limited </w:t>
      </w:r>
      <w:r w:rsidR="007C3B88">
        <w:t>extension granted herein</w:t>
      </w:r>
      <w:r w:rsidR="00B77C7A">
        <w:t>, discussed in more detail below,</w:t>
      </w:r>
      <w:r w:rsidR="007C3B88">
        <w:t xml:space="preserve"> </w:t>
      </w:r>
      <w:r w:rsidR="00652291">
        <w:t>will</w:t>
      </w:r>
      <w:r w:rsidR="007C3B88">
        <w:t xml:space="preserve"> provide </w:t>
      </w:r>
      <w:r w:rsidR="00B77C7A">
        <w:t xml:space="preserve">reviewers with </w:t>
      </w:r>
      <w:r w:rsidR="007C3B88">
        <w:t xml:space="preserve">more than </w:t>
      </w:r>
      <w:r w:rsidR="00B77C7A">
        <w:t>enough</w:t>
      </w:r>
      <w:r w:rsidR="007C3B88">
        <w:t xml:space="preserve"> time</w:t>
      </w:r>
      <w:r w:rsidR="00B77C7A">
        <w:t xml:space="preserve"> to analyze the data</w:t>
      </w:r>
      <w:r w:rsidR="007C3B88">
        <w:t>.</w:t>
      </w:r>
      <w:r w:rsidR="00252CAB">
        <w:t xml:space="preserve"> </w:t>
      </w:r>
    </w:p>
    <w:p w14:paraId="1D95C011" w14:textId="77777777" w:rsidR="002D74E4" w:rsidRDefault="00252CAB" w:rsidP="002D74E4">
      <w:pPr>
        <w:pStyle w:val="ParaNum"/>
        <w:tabs>
          <w:tab w:val="clear" w:pos="1080"/>
          <w:tab w:val="left" w:pos="1440"/>
        </w:tabs>
      </w:pPr>
      <w:r>
        <w:t xml:space="preserve">Dr. Woroch also states that </w:t>
      </w:r>
      <w:r w:rsidR="00C11A06">
        <w:t xml:space="preserve">they cannot write </w:t>
      </w:r>
      <w:r>
        <w:t>computer pro</w:t>
      </w:r>
      <w:r w:rsidR="00C11A06">
        <w:t>grams until “location information regarding the CLEC fiber networks is available.”</w:t>
      </w:r>
      <w:r w:rsidR="00C11A06">
        <w:rPr>
          <w:rStyle w:val="FootnoteReference"/>
        </w:rPr>
        <w:footnoteReference w:id="32"/>
      </w:r>
      <w:r w:rsidR="00C11A06">
        <w:t xml:space="preserve">  </w:t>
      </w:r>
      <w:r w:rsidR="007419F2">
        <w:t>In the last refresh made ava</w:t>
      </w:r>
      <w:r w:rsidR="001E11F7">
        <w:t xml:space="preserve">ilable on December 3, </w:t>
      </w:r>
      <w:r w:rsidR="007C3B88">
        <w:t>the Bureau</w:t>
      </w:r>
      <w:r w:rsidR="001E11F7">
        <w:t xml:space="preserve"> included</w:t>
      </w:r>
      <w:r w:rsidR="007419F2">
        <w:t xml:space="preserve"> a table showing </w:t>
      </w:r>
      <w:r w:rsidR="001E11F7">
        <w:t xml:space="preserve">a </w:t>
      </w:r>
      <w:r w:rsidR="001E11F7" w:rsidRPr="002D74E4">
        <w:t>list of census blocks where a competitive provider owns, or leases pursuant to an Indefeasible Right of Use, a fiber</w:t>
      </w:r>
      <w:r w:rsidR="001E11F7">
        <w:t xml:space="preserve"> route.  The information on fiber routes for this table </w:t>
      </w:r>
      <w:r w:rsidR="007C3B88">
        <w:t>was derived</w:t>
      </w:r>
      <w:r w:rsidR="001E11F7">
        <w:t xml:space="preserve"> from the usable mapping information received from filers.  Th</w:t>
      </w:r>
      <w:r w:rsidR="00805D33">
        <w:t xml:space="preserve">e Bureau provided this </w:t>
      </w:r>
      <w:r w:rsidR="001E11F7">
        <w:t>“census blocks with fiber” table</w:t>
      </w:r>
      <w:r w:rsidR="008C1EED">
        <w:t xml:space="preserve">, as explained in the </w:t>
      </w:r>
      <w:r w:rsidR="00D410E7" w:rsidRPr="00805D33">
        <w:rPr>
          <w:i/>
        </w:rPr>
        <w:t>Modified Protective Order</w:t>
      </w:r>
      <w:r w:rsidR="00805D33">
        <w:t xml:space="preserve"> released in September</w:t>
      </w:r>
      <w:r w:rsidR="008C1EED">
        <w:t>,</w:t>
      </w:r>
      <w:r w:rsidR="001E11F7">
        <w:t xml:space="preserve"> </w:t>
      </w:r>
      <w:r w:rsidR="00805D33">
        <w:t xml:space="preserve">as an alternative to providing the </w:t>
      </w:r>
      <w:r w:rsidR="001E11F7">
        <w:t>fiber network map</w:t>
      </w:r>
      <w:r w:rsidR="00805D33">
        <w:t>ping file</w:t>
      </w:r>
      <w:r w:rsidR="001E11F7">
        <w:t>s</w:t>
      </w:r>
      <w:r w:rsidR="00805D33">
        <w:t xml:space="preserve"> to mitigate risks to critical infrastructure</w:t>
      </w:r>
      <w:r w:rsidR="001E11F7">
        <w:t>.</w:t>
      </w:r>
      <w:r w:rsidR="001E11F7">
        <w:rPr>
          <w:rStyle w:val="FootnoteReference"/>
        </w:rPr>
        <w:footnoteReference w:id="33"/>
      </w:r>
      <w:r w:rsidR="001E11F7">
        <w:t xml:space="preserve">  </w:t>
      </w:r>
    </w:p>
    <w:p w14:paraId="14F60845" w14:textId="77777777" w:rsidR="002D74E4" w:rsidRDefault="007C3B88" w:rsidP="002D74E4">
      <w:pPr>
        <w:pStyle w:val="ParaNum"/>
        <w:tabs>
          <w:tab w:val="clear" w:pos="1080"/>
          <w:tab w:val="left" w:pos="1440"/>
        </w:tabs>
      </w:pPr>
      <w:r>
        <w:t>Finally</w:t>
      </w:r>
      <w:r w:rsidR="008F0589">
        <w:t xml:space="preserve">, </w:t>
      </w:r>
      <w:r w:rsidR="005F69A5">
        <w:t xml:space="preserve">Dr. Woroch </w:t>
      </w:r>
      <w:r w:rsidR="00A021B8">
        <w:t>alleges that</w:t>
      </w:r>
      <w:r w:rsidR="00252CAB">
        <w:t xml:space="preserve"> the percentage</w:t>
      </w:r>
      <w:r w:rsidR="00A021B8">
        <w:t xml:space="preserve"> of missing geocoded locations i</w:t>
      </w:r>
      <w:r w:rsidR="00252CAB">
        <w:t>s a</w:t>
      </w:r>
      <w:r w:rsidR="008F0589">
        <w:t xml:space="preserve">n impediment to the geospatial </w:t>
      </w:r>
      <w:r w:rsidR="00252CAB">
        <w:t>analysis.</w:t>
      </w:r>
      <w:r w:rsidR="009D12F6">
        <w:rPr>
          <w:rStyle w:val="FootnoteReference"/>
        </w:rPr>
        <w:footnoteReference w:id="34"/>
      </w:r>
      <w:r w:rsidR="00252CAB">
        <w:t xml:space="preserve">  However, as explained above, </w:t>
      </w:r>
      <w:r w:rsidR="00A74757">
        <w:t xml:space="preserve">a </w:t>
      </w:r>
      <w:r w:rsidR="00A021B8">
        <w:t>balance</w:t>
      </w:r>
      <w:r w:rsidR="00A74757">
        <w:t xml:space="preserve"> must be </w:t>
      </w:r>
      <w:r w:rsidR="00A021B8">
        <w:t xml:space="preserve">struck that takes into account </w:t>
      </w:r>
      <w:r w:rsidR="00A74757">
        <w:t xml:space="preserve">the benefits of moving forward on the best evidence available in a timely fashion, and the costs of filer time and effort, and perhaps more importantly, of regulatory delay.  In addition, </w:t>
      </w:r>
      <w:r w:rsidR="00D410E7">
        <w:t xml:space="preserve">as explained above, </w:t>
      </w:r>
      <w:r w:rsidR="005D2C5E">
        <w:t xml:space="preserve">the </w:t>
      </w:r>
      <w:r w:rsidR="00D410E7">
        <w:t xml:space="preserve">Commission was prohibited from requiring submitting parties to submit geocoded location information </w:t>
      </w:r>
      <w:r w:rsidR="005D2C5E">
        <w:t xml:space="preserve">and </w:t>
      </w:r>
      <w:r w:rsidR="00BC32C1">
        <w:t>reviewers</w:t>
      </w:r>
      <w:r w:rsidR="005D2C5E">
        <w:t xml:space="preserve"> can perform their own geocoding of the reported locations.</w:t>
      </w:r>
      <w:r w:rsidR="00663F0B">
        <w:t xml:space="preserve"> </w:t>
      </w:r>
      <w:r w:rsidR="00D3054E">
        <w:t xml:space="preserve"> Reviewers</w:t>
      </w:r>
      <w:r w:rsidR="00D410E7">
        <w:t xml:space="preserve"> can rely on their own geocoding or the geocoding that the Bureau has provided for the convenience of reviewing parties.  </w:t>
      </w:r>
    </w:p>
    <w:p w14:paraId="3DA80C78" w14:textId="77777777" w:rsidR="002B1131" w:rsidRDefault="008F0589" w:rsidP="002B1131">
      <w:pPr>
        <w:pStyle w:val="ParaNum"/>
        <w:numPr>
          <w:ilvl w:val="0"/>
          <w:numId w:val="2"/>
        </w:numPr>
        <w:tabs>
          <w:tab w:val="clear" w:pos="1080"/>
          <w:tab w:val="left" w:pos="1440"/>
        </w:tabs>
      </w:pPr>
      <w:r w:rsidRPr="002D74E4">
        <w:rPr>
          <w:i/>
        </w:rPr>
        <w:t>APA Requirements</w:t>
      </w:r>
      <w:r>
        <w:t xml:space="preserve">.  </w:t>
      </w:r>
      <w:r w:rsidR="00521C95">
        <w:t xml:space="preserve">Joint Petitioners argue the current deadline </w:t>
      </w:r>
      <w:r w:rsidR="00885D29">
        <w:t>provides insufficient time to analyze the data and provide comments in the rulemaking proceeding</w:t>
      </w:r>
      <w:r w:rsidR="009218E6">
        <w:t>,</w:t>
      </w:r>
      <w:r w:rsidR="00885D29">
        <w:t xml:space="preserve"> in </w:t>
      </w:r>
      <w:r w:rsidR="00521C95">
        <w:t>violat</w:t>
      </w:r>
      <w:r w:rsidR="00885D29">
        <w:t>ion of</w:t>
      </w:r>
      <w:r w:rsidR="00521C95">
        <w:t xml:space="preserve"> the </w:t>
      </w:r>
      <w:r w:rsidR="00521C95" w:rsidRPr="00172906">
        <w:t>APA</w:t>
      </w:r>
      <w:r w:rsidR="00521C95">
        <w:t>.</w:t>
      </w:r>
      <w:r w:rsidR="00A021B8">
        <w:rPr>
          <w:rStyle w:val="FootnoteReference"/>
        </w:rPr>
        <w:footnoteReference w:id="35"/>
      </w:r>
      <w:r w:rsidR="00521C95">
        <w:t xml:space="preserve">  Section 553(c</w:t>
      </w:r>
      <w:r w:rsidR="00521C95" w:rsidRPr="00172906">
        <w:t>)</w:t>
      </w:r>
      <w:r w:rsidR="00521C95">
        <w:t xml:space="preserve"> of the APA requires federal agencies to give “</w:t>
      </w:r>
      <w:r w:rsidR="00521C95" w:rsidRPr="00400F41">
        <w:t>interested persons an opportunity to participate in the rule making through submission of written data, views, or arguments</w:t>
      </w:r>
      <w:r w:rsidR="00521C95">
        <w:t xml:space="preserve"> </w:t>
      </w:r>
      <w:r w:rsidR="00521C95" w:rsidRPr="001B665A">
        <w:t>with or without opportunity for oral presentation</w:t>
      </w:r>
      <w:r w:rsidR="00521C95">
        <w:t>.”</w:t>
      </w:r>
      <w:r w:rsidR="00521C95">
        <w:rPr>
          <w:rStyle w:val="FootnoteReference"/>
        </w:rPr>
        <w:footnoteReference w:id="36"/>
      </w:r>
      <w:r w:rsidR="00521C95">
        <w:t xml:space="preserve"> </w:t>
      </w:r>
      <w:r w:rsidR="0002360C">
        <w:t xml:space="preserve"> The APA “requires the agency to make available to the public, in a form that allows for meaningful comment, the data the agency used to develop the proposed rule.”</w:t>
      </w:r>
      <w:r w:rsidR="0002360C">
        <w:rPr>
          <w:rStyle w:val="FootnoteReference"/>
        </w:rPr>
        <w:footnoteReference w:id="37"/>
      </w:r>
      <w:r w:rsidR="002B1131">
        <w:t xml:space="preserve">  The APA does not specify a minimum period of time by which the agency must give interested parties an opportunity to review information in the record so as to participate in a rulemaking proceeding.</w:t>
      </w:r>
      <w:r w:rsidR="002B1131">
        <w:rPr>
          <w:rStyle w:val="FootnoteReference"/>
        </w:rPr>
        <w:footnoteReference w:id="38"/>
      </w:r>
    </w:p>
    <w:p w14:paraId="72F3236B" w14:textId="7312874F" w:rsidR="00365AD5" w:rsidRDefault="002B1131" w:rsidP="002B1131">
      <w:pPr>
        <w:pStyle w:val="ParaNum"/>
        <w:tabs>
          <w:tab w:val="clear" w:pos="1080"/>
          <w:tab w:val="left" w:pos="1440"/>
        </w:tabs>
      </w:pPr>
      <w:r>
        <w:t xml:space="preserve">With the prior extensions of the comment deadlines in this proceeding, parties have had </w:t>
      </w:r>
      <w:r w:rsidR="00892119">
        <w:t>more than</w:t>
      </w:r>
      <w:r>
        <w:t xml:space="preserve"> three years</w:t>
      </w:r>
      <w:r w:rsidR="009218E6">
        <w:t>’</w:t>
      </w:r>
      <w:r>
        <w:t xml:space="preserve"> notice of the rulemaking proposals at issue in section IV.B of the </w:t>
      </w:r>
      <w:r w:rsidRPr="000D4CAB">
        <w:rPr>
          <w:i/>
        </w:rPr>
        <w:t>Special Access FNPRM</w:t>
      </w:r>
      <w:r>
        <w:t>.</w:t>
      </w:r>
      <w:r>
        <w:rPr>
          <w:rStyle w:val="FootnoteReference"/>
        </w:rPr>
        <w:footnoteReference w:id="39"/>
      </w:r>
      <w:r>
        <w:t xml:space="preserve">  In addition, we have provided the Joint Petitioners with access to the collected data and analytical software tools in the enclave.  Indeed, the Joint Petitioners’ analysts have had access for </w:t>
      </w:r>
      <w:r w:rsidR="00892119">
        <w:t>almost nine</w:t>
      </w:r>
      <w:r>
        <w:t xml:space="preserve"> weeks.</w:t>
      </w:r>
      <w:r>
        <w:rPr>
          <w:rStyle w:val="FootnoteReference"/>
        </w:rPr>
        <w:footnoteReference w:id="40"/>
      </w:r>
      <w:r>
        <w:t xml:space="preserve">  And as Sprint notes, there is time under the current deadline to complete analyses</w:t>
      </w:r>
      <w:r w:rsidR="002A7883">
        <w:t>,</w:t>
      </w:r>
      <w:r>
        <w:rPr>
          <w:rStyle w:val="FootnoteReference"/>
        </w:rPr>
        <w:footnoteReference w:id="41"/>
      </w:r>
      <w:r>
        <w:t xml:space="preserve"> a point the Joint Petitioners’ analysts do not refute.</w:t>
      </w:r>
      <w:r>
        <w:rPr>
          <w:rStyle w:val="FootnoteReference"/>
        </w:rPr>
        <w:footnoteReference w:id="42"/>
      </w:r>
      <w:r>
        <w:t xml:space="preserve">  </w:t>
      </w:r>
    </w:p>
    <w:p w14:paraId="74A2B92D" w14:textId="77777777" w:rsidR="00F67B79" w:rsidRDefault="00D3054E" w:rsidP="002D74E4">
      <w:pPr>
        <w:pStyle w:val="ParaNum"/>
        <w:tabs>
          <w:tab w:val="clear" w:pos="1080"/>
          <w:tab w:val="left" w:pos="1440"/>
        </w:tabs>
      </w:pPr>
      <w:r>
        <w:t>W</w:t>
      </w:r>
      <w:r w:rsidR="00F14CDC">
        <w:t xml:space="preserve">e </w:t>
      </w:r>
      <w:r>
        <w:t xml:space="preserve">do, however, </w:t>
      </w:r>
      <w:r w:rsidR="00F14CDC">
        <w:t>recognize the need for adequate time for analysis.  The questions to be answered here are complex, and require interrogating a large and sophisticated data collection.</w:t>
      </w:r>
      <w:r>
        <w:t xml:space="preserve">  </w:t>
      </w:r>
      <w:r w:rsidR="008F2ACC">
        <w:t xml:space="preserve">Accordingly, </w:t>
      </w:r>
      <w:r w:rsidR="00F14CDC">
        <w:t xml:space="preserve">while </w:t>
      </w:r>
      <w:r w:rsidR="008F2ACC">
        <w:t xml:space="preserve">the Joint Petitioners have failed to </w:t>
      </w:r>
      <w:r w:rsidR="005D2C5E">
        <w:t>demonstrate that the current comment deadlines violate</w:t>
      </w:r>
      <w:r w:rsidR="008F2ACC">
        <w:t xml:space="preserve"> the APA</w:t>
      </w:r>
      <w:r w:rsidR="00F14CDC">
        <w:t>,</w:t>
      </w:r>
      <w:r>
        <w:t xml:space="preserve"> </w:t>
      </w:r>
      <w:r w:rsidR="008F2ACC">
        <w:t>as discussed</w:t>
      </w:r>
      <w:r w:rsidR="000F1957">
        <w:t xml:space="preserve"> below</w:t>
      </w:r>
      <w:r w:rsidR="008F2ACC">
        <w:t xml:space="preserve">, </w:t>
      </w:r>
      <w:r w:rsidR="005D2C5E">
        <w:t xml:space="preserve">in the interest of receiving a full and complete record, </w:t>
      </w:r>
      <w:r w:rsidR="008F2ACC">
        <w:t xml:space="preserve">we will give parties a limited extension of time to further </w:t>
      </w:r>
      <w:r w:rsidR="000F1957">
        <w:t xml:space="preserve">analyze </w:t>
      </w:r>
      <w:r w:rsidR="008F2ACC">
        <w:t>the collected information for participation in the rulemaking proceeding.</w:t>
      </w:r>
      <w:r>
        <w:rPr>
          <w:rStyle w:val="FootnoteReference"/>
        </w:rPr>
        <w:footnoteReference w:id="43"/>
      </w:r>
      <w:r w:rsidR="00521C95">
        <w:t xml:space="preserve">  </w:t>
      </w:r>
    </w:p>
    <w:p w14:paraId="21A6F68D" w14:textId="28DDE859" w:rsidR="00365AD5" w:rsidRDefault="00521C95" w:rsidP="00066779">
      <w:pPr>
        <w:pStyle w:val="ParaNum"/>
        <w:tabs>
          <w:tab w:val="clear" w:pos="1080"/>
          <w:tab w:val="num" w:pos="1440"/>
        </w:tabs>
      </w:pPr>
      <w:r>
        <w:rPr>
          <w:i/>
        </w:rPr>
        <w:t xml:space="preserve">Grant of </w:t>
      </w:r>
      <w:r w:rsidR="002D74E4" w:rsidRPr="002D74E4">
        <w:rPr>
          <w:i/>
        </w:rPr>
        <w:t>Limited Extension of Time</w:t>
      </w:r>
      <w:r w:rsidR="002D74E4">
        <w:t xml:space="preserve">.  </w:t>
      </w:r>
      <w:r w:rsidR="005D2C5E">
        <w:t xml:space="preserve">Although we </w:t>
      </w:r>
      <w:r w:rsidR="00D410E7">
        <w:t>find</w:t>
      </w:r>
      <w:r>
        <w:t xml:space="preserve"> the Joint Petitioners </w:t>
      </w:r>
      <w:r w:rsidR="005D2C5E">
        <w:t xml:space="preserve">have </w:t>
      </w:r>
      <w:r w:rsidR="00D410E7">
        <w:t xml:space="preserve">not </w:t>
      </w:r>
      <w:r w:rsidR="005D2C5E">
        <w:t>demonstrated the need for</w:t>
      </w:r>
      <w:r>
        <w:t xml:space="preserve"> a twelve week extension of time</w:t>
      </w:r>
      <w:r w:rsidR="005D2C5E">
        <w:t>,</w:t>
      </w:r>
      <w:r>
        <w:t xml:space="preserve"> </w:t>
      </w:r>
      <w:r w:rsidR="00365AD5">
        <w:t xml:space="preserve">we will extend the comment deadlines by an additional two and a half weeks to account for the upcoming data refresh. </w:t>
      </w:r>
    </w:p>
    <w:p w14:paraId="1D4D34CD" w14:textId="6427618A" w:rsidR="00C05B66" w:rsidRDefault="00275D75" w:rsidP="00066779">
      <w:pPr>
        <w:pStyle w:val="ParaNum"/>
        <w:tabs>
          <w:tab w:val="clear" w:pos="1080"/>
          <w:tab w:val="num" w:pos="1440"/>
        </w:tabs>
      </w:pPr>
      <w:r>
        <w:t>R</w:t>
      </w:r>
      <w:r w:rsidRPr="00E211F9">
        <w:t>equests for extensions of time are not routinely granted</w:t>
      </w:r>
      <w:r w:rsidRPr="0353E7B0">
        <w:t>.</w:t>
      </w:r>
      <w:r>
        <w:rPr>
          <w:rStyle w:val="FootnoteReference"/>
        </w:rPr>
        <w:footnoteReference w:id="44"/>
      </w:r>
      <w:r w:rsidRPr="0353E7B0">
        <w:t xml:space="preserve">  </w:t>
      </w:r>
      <w:r w:rsidR="00124FB3">
        <w:t xml:space="preserve">Circumstances of requests are relevant, however, and extensions of filing </w:t>
      </w:r>
      <w:r>
        <w:t>periods in rulemaking proceedings have been extended</w:t>
      </w:r>
      <w:r w:rsidR="00124FB3">
        <w:t xml:space="preserve"> to allow for a robust and complete record.</w:t>
      </w:r>
      <w:r>
        <w:rPr>
          <w:rStyle w:val="FootnoteReference"/>
        </w:rPr>
        <w:footnoteReference w:id="45"/>
      </w:r>
      <w:r w:rsidRPr="0353E7B0">
        <w:t xml:space="preserve">  </w:t>
      </w:r>
      <w:r w:rsidR="00C61148">
        <w:t xml:space="preserve">While </w:t>
      </w:r>
      <w:r w:rsidR="00124FB3">
        <w:t>issues are inherent in any data request</w:t>
      </w:r>
      <w:r w:rsidR="00C35FE7">
        <w:t xml:space="preserve"> and data set</w:t>
      </w:r>
      <w:r w:rsidR="00124FB3" w:rsidRPr="0353E7B0">
        <w:t xml:space="preserve">, </w:t>
      </w:r>
      <w:r w:rsidR="00124FB3">
        <w:t xml:space="preserve">particularly of the size and complexity here, </w:t>
      </w:r>
      <w:r w:rsidR="0033189E">
        <w:t xml:space="preserve">Joint Petitioners have not established the need </w:t>
      </w:r>
      <w:r w:rsidR="00124FB3">
        <w:t xml:space="preserve">to </w:t>
      </w:r>
      <w:r w:rsidR="00A81D65">
        <w:t>delay</w:t>
      </w:r>
      <w:r w:rsidR="00124FB3">
        <w:t xml:space="preserve"> comments and reply comments twelve weeks or more </w:t>
      </w:r>
      <w:r w:rsidR="00C35FE7">
        <w:t>past a date uncertain</w:t>
      </w:r>
      <w:r w:rsidR="00124FB3">
        <w:t xml:space="preserve">.  </w:t>
      </w:r>
      <w:r w:rsidR="005D2C5E">
        <w:t xml:space="preserve">Moreover, </w:t>
      </w:r>
      <w:r w:rsidR="00A021B8">
        <w:t xml:space="preserve">it would </w:t>
      </w:r>
      <w:r w:rsidR="0033189E">
        <w:t xml:space="preserve">unreasonably delay the proceeding </w:t>
      </w:r>
      <w:r w:rsidR="00124FB3">
        <w:t xml:space="preserve">to </w:t>
      </w:r>
      <w:r w:rsidR="00D3054E">
        <w:t>extend</w:t>
      </w:r>
      <w:r w:rsidR="00124FB3">
        <w:t xml:space="preserve"> </w:t>
      </w:r>
      <w:r w:rsidR="0033189E">
        <w:t xml:space="preserve">the </w:t>
      </w:r>
      <w:r w:rsidR="00124FB3">
        <w:t xml:space="preserve">deadlines past a date </w:t>
      </w:r>
      <w:r w:rsidR="00C35FE7">
        <w:t xml:space="preserve">requiring </w:t>
      </w:r>
      <w:r w:rsidR="002D74E4">
        <w:t xml:space="preserve">the finality of </w:t>
      </w:r>
      <w:r w:rsidR="00A021B8">
        <w:t xml:space="preserve">each and </w:t>
      </w:r>
      <w:r w:rsidR="002D74E4">
        <w:t xml:space="preserve">every </w:t>
      </w:r>
      <w:r w:rsidR="00124FB3">
        <w:t xml:space="preserve">data </w:t>
      </w:r>
      <w:r w:rsidR="002D74E4">
        <w:t>point in the record</w:t>
      </w:r>
      <w:r w:rsidR="00C35FE7">
        <w:t xml:space="preserve">, </w:t>
      </w:r>
      <w:r w:rsidR="00A021B8">
        <w:t>no matter its relevance</w:t>
      </w:r>
      <w:r w:rsidR="00C35FE7">
        <w:t xml:space="preserve">, </w:t>
      </w:r>
      <w:r w:rsidR="0033189E">
        <w:t xml:space="preserve">as it </w:t>
      </w:r>
      <w:r w:rsidR="004D5E0F">
        <w:t xml:space="preserve">could make a </w:t>
      </w:r>
      <w:r w:rsidR="00124FB3">
        <w:t xml:space="preserve">single party submitting data </w:t>
      </w:r>
      <w:r w:rsidR="004D5E0F">
        <w:t>the source of delay to the entire rulemaking proceeding</w:t>
      </w:r>
      <w:r w:rsidR="00124FB3">
        <w:t xml:space="preserve">.  Nevertheless, </w:t>
      </w:r>
      <w:r w:rsidR="0033189E">
        <w:t xml:space="preserve">we find that </w:t>
      </w:r>
      <w:r w:rsidR="00124FB3">
        <w:t>a</w:t>
      </w:r>
      <w:r w:rsidR="001A4D1E">
        <w:t xml:space="preserve"> modest </w:t>
      </w:r>
      <w:r w:rsidR="00D056B6">
        <w:t>extension</w:t>
      </w:r>
      <w:r w:rsidR="00BA655F" w:rsidRPr="0353E7B0">
        <w:t xml:space="preserve"> </w:t>
      </w:r>
      <w:r w:rsidR="001A4D1E">
        <w:t xml:space="preserve">of time </w:t>
      </w:r>
      <w:r w:rsidR="00BA655F">
        <w:t xml:space="preserve">will </w:t>
      </w:r>
      <w:r w:rsidR="001A4D1E">
        <w:t xml:space="preserve">give </w:t>
      </w:r>
      <w:r w:rsidR="008F0589">
        <w:t>all parties</w:t>
      </w:r>
      <w:r w:rsidR="001A4D1E">
        <w:t xml:space="preserve"> participati</w:t>
      </w:r>
      <w:r w:rsidR="002D74E4">
        <w:t xml:space="preserve">ng in this proceeding time for them to </w:t>
      </w:r>
      <w:r w:rsidR="00A021B8">
        <w:t>finalize their</w:t>
      </w:r>
      <w:r w:rsidR="00BA655F">
        <w:t xml:space="preserve"> </w:t>
      </w:r>
      <w:r w:rsidR="001A4D1E">
        <w:t xml:space="preserve">analysis of </w:t>
      </w:r>
      <w:r w:rsidR="003F308D">
        <w:t xml:space="preserve">issues and </w:t>
      </w:r>
      <w:r w:rsidR="00BA655F">
        <w:t>data</w:t>
      </w:r>
      <w:r w:rsidR="001A4D1E">
        <w:t xml:space="preserve"> being considered.</w:t>
      </w:r>
      <w:r w:rsidR="00521C95">
        <w:t xml:space="preserve">  The amount of time provided is more than sufficient to give parties an opportunity to analyze the collected information and provide comment.</w:t>
      </w:r>
      <w:r w:rsidR="001A4D1E">
        <w:t xml:space="preserve">  </w:t>
      </w:r>
      <w:r w:rsidR="00124FB3">
        <w:t xml:space="preserve">We </w:t>
      </w:r>
      <w:r w:rsidR="00521C95">
        <w:t xml:space="preserve">also </w:t>
      </w:r>
      <w:r w:rsidR="00124FB3">
        <w:t xml:space="preserve">recognize the ability parties have to </w:t>
      </w:r>
      <w:r w:rsidR="00C40302">
        <w:t xml:space="preserve">supplement the record </w:t>
      </w:r>
      <w:r w:rsidR="005D2C5E">
        <w:t xml:space="preserve">subsequent to the comment dates </w:t>
      </w:r>
      <w:r w:rsidR="00C40302">
        <w:t>consistent with the Commission’s rules</w:t>
      </w:r>
      <w:r w:rsidR="00521C95">
        <w:t>.</w:t>
      </w:r>
      <w:r w:rsidR="009C375A">
        <w:rPr>
          <w:rStyle w:val="FootnoteReference"/>
        </w:rPr>
        <w:footnoteReference w:id="46"/>
      </w:r>
      <w:r w:rsidR="00C40302" w:rsidRPr="0353E7B0">
        <w:t xml:space="preserve"> </w:t>
      </w:r>
    </w:p>
    <w:p w14:paraId="35EF4B14" w14:textId="364750BE" w:rsidR="00707390" w:rsidRDefault="00631AB7" w:rsidP="002E7065">
      <w:pPr>
        <w:pStyle w:val="ParaNum"/>
        <w:tabs>
          <w:tab w:val="clear" w:pos="1080"/>
          <w:tab w:val="num" w:pos="1440"/>
        </w:tabs>
      </w:pPr>
      <w:r>
        <w:t xml:space="preserve">Accordingly, IT IS ORDERED, pursuant to sections 1, </w:t>
      </w:r>
      <w:r w:rsidR="00A81D65">
        <w:t xml:space="preserve">2, </w:t>
      </w:r>
      <w:r>
        <w:t xml:space="preserve">4(i), </w:t>
      </w:r>
      <w:r w:rsidR="00F34596">
        <w:t xml:space="preserve">4(j), </w:t>
      </w:r>
      <w:r>
        <w:t xml:space="preserve">and 5(c) of the Communications Act of 1934, as amended, 47 U.S.C. §§ 151, </w:t>
      </w:r>
      <w:r w:rsidR="00A81D65">
        <w:t xml:space="preserve">152, </w:t>
      </w:r>
      <w:r>
        <w:t xml:space="preserve">154(i), </w:t>
      </w:r>
      <w:r w:rsidR="00F34596">
        <w:t>15</w:t>
      </w:r>
      <w:r w:rsidR="00337FAC">
        <w:t>4</w:t>
      </w:r>
      <w:r w:rsidR="00F34596">
        <w:t xml:space="preserve">(j), </w:t>
      </w:r>
      <w:r>
        <w:t xml:space="preserve">and 155(c), sections 0.91, 0.291, and 1.46 of the Commission’s rules, 47 C.F.R. §§ 0.91, 0.291, and 1.46, </w:t>
      </w:r>
      <w:r w:rsidR="00E91414">
        <w:t xml:space="preserve">and </w:t>
      </w:r>
      <w:r w:rsidR="00E91414" w:rsidRPr="003E6B0B">
        <w:t xml:space="preserve">the authority delegated to the Bureau in the </w:t>
      </w:r>
      <w:r w:rsidR="00E91414" w:rsidRPr="192F9F03">
        <w:rPr>
          <w:i/>
          <w:iCs/>
        </w:rPr>
        <w:t>Data Collection Order</w:t>
      </w:r>
      <w:r w:rsidR="00E91414">
        <w:t xml:space="preserve">, 27 FCC Rcd at </w:t>
      </w:r>
      <w:r w:rsidR="00E91414" w:rsidRPr="003E6B0B">
        <w:t>16340, para. 52,</w:t>
      </w:r>
      <w:r w:rsidR="00E91414" w:rsidRPr="192F9F03">
        <w:t xml:space="preserve"> </w:t>
      </w:r>
      <w:r w:rsidR="0077097A">
        <w:t xml:space="preserve">that </w:t>
      </w:r>
      <w:r>
        <w:t xml:space="preserve">the </w:t>
      </w:r>
      <w:r w:rsidR="00F34596">
        <w:t>request for extension of time filed by Joint Petitioners IS</w:t>
      </w:r>
      <w:r w:rsidR="00254CCA" w:rsidRPr="192F9F03">
        <w:t xml:space="preserve"> </w:t>
      </w:r>
      <w:r>
        <w:t>GRANTED</w:t>
      </w:r>
      <w:r w:rsidR="00A66D6C">
        <w:t xml:space="preserve"> to the extent described </w:t>
      </w:r>
      <w:r w:rsidR="00707390">
        <w:t>herein</w:t>
      </w:r>
      <w:r w:rsidR="00707390">
        <w:rPr>
          <w:rStyle w:val="CommentReference"/>
        </w:rPr>
        <w:t>.</w:t>
      </w:r>
      <w:r w:rsidR="004D3E92">
        <w:t xml:space="preserve">  The deadline for comments </w:t>
      </w:r>
      <w:r w:rsidR="006D2845">
        <w:t xml:space="preserve">on section IV.B of the </w:t>
      </w:r>
      <w:r w:rsidR="006D2845" w:rsidRPr="00E54AE9">
        <w:rPr>
          <w:i/>
          <w:iCs/>
        </w:rPr>
        <w:t>Special Access FNPRM</w:t>
      </w:r>
      <w:r w:rsidR="006D2845" w:rsidRPr="192F9F03">
        <w:t xml:space="preserve"> </w:t>
      </w:r>
      <w:r w:rsidR="004D3E92">
        <w:t xml:space="preserve">is extended to </w:t>
      </w:r>
      <w:r w:rsidR="004D3E92" w:rsidRPr="00E54AE9">
        <w:rPr>
          <w:b/>
          <w:bCs/>
        </w:rPr>
        <w:t xml:space="preserve">January </w:t>
      </w:r>
      <w:r w:rsidR="00747135" w:rsidRPr="00E54AE9">
        <w:rPr>
          <w:b/>
          <w:bCs/>
        </w:rPr>
        <w:t>22</w:t>
      </w:r>
      <w:r w:rsidR="004D3E92" w:rsidRPr="00E54AE9">
        <w:rPr>
          <w:b/>
          <w:bCs/>
        </w:rPr>
        <w:t>, 2016</w:t>
      </w:r>
      <w:r w:rsidR="004D3E92">
        <w:t xml:space="preserve">, and the deadline for reply comments is extended to </w:t>
      </w:r>
      <w:r w:rsidR="004D3E92" w:rsidRPr="00E54AE9">
        <w:rPr>
          <w:b/>
          <w:bCs/>
        </w:rPr>
        <w:t xml:space="preserve">February </w:t>
      </w:r>
      <w:r w:rsidR="00747135" w:rsidRPr="00E54AE9">
        <w:rPr>
          <w:b/>
          <w:bCs/>
        </w:rPr>
        <w:t>19</w:t>
      </w:r>
      <w:r w:rsidR="004D3E92" w:rsidRPr="00E54AE9">
        <w:rPr>
          <w:b/>
          <w:bCs/>
        </w:rPr>
        <w:t>, 2016</w:t>
      </w:r>
      <w:r w:rsidR="004D3E92" w:rsidRPr="192F9F03">
        <w:t>.</w:t>
      </w:r>
    </w:p>
    <w:p w14:paraId="3820175B" w14:textId="77777777" w:rsidR="00CA043F" w:rsidRDefault="00BF0D21" w:rsidP="00066779">
      <w:pPr>
        <w:pStyle w:val="ParaNum"/>
        <w:tabs>
          <w:tab w:val="clear" w:pos="1080"/>
          <w:tab w:val="num" w:pos="1440"/>
        </w:tabs>
        <w:spacing w:after="360"/>
      </w:pPr>
      <w:r>
        <w:t xml:space="preserve">IT IS FURTHER ORDERED that, pursuant to section 1.102(b)(1) of the Commission’s rules, </w:t>
      </w:r>
      <w:smartTag w:uri="urn:schemas-microsoft-com:office:smarttags" w:element="metricconverter">
        <w:smartTagPr>
          <w:attr w:name="ProductID" w:val="47 C"/>
        </w:smartTagPr>
        <w:r>
          <w:t>47 C</w:t>
        </w:r>
      </w:smartTag>
      <w:r>
        <w:t>.F.R. § 1.102(b)(1), this Order SHALL BE EFFECTIVE upon release.</w:t>
      </w:r>
    </w:p>
    <w:p w14:paraId="422CD6C6" w14:textId="77777777" w:rsidR="009C27A3" w:rsidRDefault="009C27A3" w:rsidP="009C27A3">
      <w:pPr>
        <w:pStyle w:val="ParaNum"/>
        <w:numPr>
          <w:ilvl w:val="0"/>
          <w:numId w:val="0"/>
        </w:numPr>
        <w:ind w:left="4320"/>
      </w:pPr>
    </w:p>
    <w:p w14:paraId="4D38462A" w14:textId="77777777" w:rsidR="00631AB7" w:rsidRDefault="00631AB7" w:rsidP="009C27A3">
      <w:pPr>
        <w:pStyle w:val="ParaNum"/>
        <w:numPr>
          <w:ilvl w:val="0"/>
          <w:numId w:val="0"/>
        </w:numPr>
        <w:spacing w:after="0"/>
        <w:ind w:left="4320"/>
      </w:pPr>
      <w:r>
        <w:t>FEDERAL COMMUNICATIONS COMMISSION</w:t>
      </w:r>
    </w:p>
    <w:p w14:paraId="02E8AA1B" w14:textId="77777777" w:rsidR="009C27A3" w:rsidRDefault="009C27A3" w:rsidP="009C27A3">
      <w:pPr>
        <w:pStyle w:val="ParaNum"/>
        <w:numPr>
          <w:ilvl w:val="0"/>
          <w:numId w:val="0"/>
        </w:numPr>
        <w:spacing w:after="0"/>
        <w:ind w:firstLine="720"/>
      </w:pPr>
    </w:p>
    <w:p w14:paraId="32D2700D" w14:textId="77777777" w:rsidR="009C27A3" w:rsidRDefault="009C27A3" w:rsidP="009C27A3">
      <w:pPr>
        <w:pStyle w:val="ParaNum"/>
        <w:numPr>
          <w:ilvl w:val="0"/>
          <w:numId w:val="0"/>
        </w:numPr>
        <w:spacing w:after="0"/>
        <w:ind w:firstLine="720"/>
      </w:pPr>
    </w:p>
    <w:p w14:paraId="4E217CF0" w14:textId="77777777" w:rsidR="00631AB7" w:rsidRDefault="00631AB7" w:rsidP="009C27A3">
      <w:pPr>
        <w:pStyle w:val="ParaNum"/>
        <w:numPr>
          <w:ilvl w:val="0"/>
          <w:numId w:val="0"/>
        </w:numPr>
        <w:spacing w:after="0"/>
        <w:ind w:left="720"/>
      </w:pPr>
    </w:p>
    <w:p w14:paraId="75C2E856" w14:textId="77777777" w:rsidR="00673921" w:rsidRDefault="00673921" w:rsidP="009C27A3">
      <w:pPr>
        <w:pStyle w:val="ParaNum"/>
        <w:numPr>
          <w:ilvl w:val="0"/>
          <w:numId w:val="0"/>
        </w:numPr>
        <w:spacing w:after="0"/>
        <w:ind w:left="720"/>
      </w:pPr>
    </w:p>
    <w:p w14:paraId="515833B0" w14:textId="77777777" w:rsidR="00701A4B" w:rsidRDefault="00631AB7" w:rsidP="00701A4B">
      <w:pPr>
        <w:ind w:left="3600" w:firstLine="720"/>
      </w:pPr>
      <w:r>
        <w:t>Deena M. Shetler</w:t>
      </w:r>
    </w:p>
    <w:p w14:paraId="3FC3B7EF" w14:textId="77777777" w:rsidR="00631AB7" w:rsidRDefault="00631AB7" w:rsidP="00701A4B">
      <w:pPr>
        <w:ind w:left="3600" w:firstLine="720"/>
      </w:pPr>
      <w:r>
        <w:t>Associate Chief</w:t>
      </w:r>
    </w:p>
    <w:p w14:paraId="52743339" w14:textId="77777777" w:rsidR="00631AB7" w:rsidRPr="00631AB7" w:rsidRDefault="00631AB7" w:rsidP="00D00CE1">
      <w:pPr>
        <w:ind w:left="4320"/>
      </w:pPr>
      <w:r>
        <w:t>Wireline Competition Bureau</w:t>
      </w:r>
    </w:p>
    <w:sectPr w:rsidR="00631AB7" w:rsidRPr="00631AB7" w:rsidSect="00E54AE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330DC" w14:textId="77777777" w:rsidR="00AD40B8" w:rsidRDefault="00AD40B8">
      <w:pPr>
        <w:spacing w:line="20" w:lineRule="exact"/>
      </w:pPr>
    </w:p>
  </w:endnote>
  <w:endnote w:type="continuationSeparator" w:id="0">
    <w:p w14:paraId="161FCCD1" w14:textId="77777777" w:rsidR="00AD40B8" w:rsidRDefault="00AD40B8">
      <w:r>
        <w:t xml:space="preserve"> </w:t>
      </w:r>
    </w:p>
  </w:endnote>
  <w:endnote w:type="continuationNotice" w:id="1">
    <w:p w14:paraId="11AD0F9A" w14:textId="77777777" w:rsidR="00AD40B8" w:rsidRDefault="00AD40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D28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61FAB57"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333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96D18">
      <w:rPr>
        <w:noProof/>
      </w:rPr>
      <w:t>2</w:t>
    </w:r>
    <w:r>
      <w:fldChar w:fldCharType="end"/>
    </w:r>
  </w:p>
  <w:p w14:paraId="74D5B9B0"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CFC2"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D16DB" w14:textId="77777777" w:rsidR="00AD40B8" w:rsidRDefault="00AD40B8">
      <w:r>
        <w:separator/>
      </w:r>
    </w:p>
  </w:footnote>
  <w:footnote w:type="continuationSeparator" w:id="0">
    <w:p w14:paraId="2A2E10CD" w14:textId="77777777" w:rsidR="00AD40B8" w:rsidRDefault="00AD40B8" w:rsidP="00C721AC">
      <w:pPr>
        <w:spacing w:before="120"/>
        <w:rPr>
          <w:sz w:val="20"/>
        </w:rPr>
      </w:pPr>
      <w:r>
        <w:rPr>
          <w:sz w:val="20"/>
        </w:rPr>
        <w:t xml:space="preserve">(Continued from previous page)  </w:t>
      </w:r>
      <w:r>
        <w:rPr>
          <w:sz w:val="20"/>
        </w:rPr>
        <w:separator/>
      </w:r>
    </w:p>
  </w:footnote>
  <w:footnote w:type="continuationNotice" w:id="1">
    <w:p w14:paraId="7CCADFD3" w14:textId="77777777" w:rsidR="00AD40B8" w:rsidRDefault="00AD40B8" w:rsidP="00C721AC">
      <w:pPr>
        <w:jc w:val="right"/>
        <w:rPr>
          <w:sz w:val="20"/>
        </w:rPr>
      </w:pPr>
      <w:r>
        <w:rPr>
          <w:sz w:val="20"/>
        </w:rPr>
        <w:t>(continued….)</w:t>
      </w:r>
    </w:p>
  </w:footnote>
  <w:footnote w:id="2">
    <w:p w14:paraId="31AE617F" w14:textId="77777777" w:rsidR="00631AB7" w:rsidRDefault="00631AB7" w:rsidP="00631AB7">
      <w:pPr>
        <w:pStyle w:val="FootnoteText"/>
      </w:pPr>
      <w:r>
        <w:rPr>
          <w:rStyle w:val="FootnoteReference"/>
        </w:rPr>
        <w:footnoteRef/>
      </w:r>
      <w:r>
        <w:t xml:space="preserve"> </w:t>
      </w:r>
      <w:r w:rsidR="0017017A">
        <w:rPr>
          <w:i/>
        </w:rPr>
        <w:t xml:space="preserve">See </w:t>
      </w:r>
      <w:r w:rsidR="005B08E7">
        <w:t xml:space="preserve">Joint Request for Extension of Time of </w:t>
      </w:r>
      <w:r w:rsidR="005B08E7" w:rsidRPr="005771DA">
        <w:t>USTelecom</w:t>
      </w:r>
      <w:r w:rsidR="005B08E7">
        <w:t xml:space="preserve"> and</w:t>
      </w:r>
      <w:r w:rsidR="005B08E7" w:rsidRPr="005771DA">
        <w:t xml:space="preserve"> </w:t>
      </w:r>
      <w:r w:rsidR="005B08E7">
        <w:t xml:space="preserve">ITTA, WC Docket No. 05-25, RM-10593 (filed </w:t>
      </w:r>
      <w:r w:rsidR="009C0063">
        <w:t>Nov</w:t>
      </w:r>
      <w:r w:rsidR="005B08E7">
        <w:t xml:space="preserve">. </w:t>
      </w:r>
      <w:r w:rsidR="009C0063">
        <w:t>10</w:t>
      </w:r>
      <w:r w:rsidR="005B08E7">
        <w:t xml:space="preserve">, 2015) (Joint Petition); </w:t>
      </w:r>
      <w:r w:rsidRPr="00FF437B">
        <w:rPr>
          <w:i/>
        </w:rPr>
        <w:t>Special Access for Price Cap Local Exchange Carriers; AT&amp;T Corp</w:t>
      </w:r>
      <w:r w:rsidR="00997102">
        <w:rPr>
          <w:i/>
        </w:rPr>
        <w:t>.</w:t>
      </w:r>
      <w:r w:rsidRPr="00FF437B">
        <w:rPr>
          <w:i/>
        </w:rPr>
        <w:t xml:space="preserve"> Petition for Rulemaking to Reform Regulation of Incumbent Local Exchange Carrier Rates for Interstate Special Access Services</w:t>
      </w:r>
      <w:r>
        <w:t>, WC Docket No. 05-25, RM-10593, Order and Further Notice of Proposed Rulemaking, 27 FCC Rcd 16318 (2012) (</w:t>
      </w:r>
      <w:r w:rsidRPr="00351AA0">
        <w:rPr>
          <w:i/>
        </w:rPr>
        <w:t>Data Collection Order</w:t>
      </w:r>
      <w:r w:rsidR="005B08E7">
        <w:t xml:space="preserve"> or </w:t>
      </w:r>
      <w:r w:rsidR="005B08E7" w:rsidRPr="00830C6B">
        <w:rPr>
          <w:i/>
        </w:rPr>
        <w:t>Special Access FNPRM</w:t>
      </w:r>
      <w:r>
        <w:t>); Report and Order, 28 FCC Rcd 13189 (Wireline Comp. Bur. 2013); Order on Reconsideration, 29 FCC Rcd 10899 (Wireline Comp. Bur. 2014); Order, 29 FCC Rcd 14346 (Wireline Comp. Bur. 2014).</w:t>
      </w:r>
    </w:p>
  </w:footnote>
  <w:footnote w:id="3">
    <w:p w14:paraId="09DF19BC" w14:textId="77777777" w:rsidR="00F8526B" w:rsidRPr="00FE24DD" w:rsidRDefault="00F8526B" w:rsidP="00F8526B">
      <w:pPr>
        <w:pStyle w:val="FootnoteText"/>
      </w:pPr>
      <w:r w:rsidRPr="00FE24DD">
        <w:rPr>
          <w:rStyle w:val="FootnoteReference"/>
        </w:rPr>
        <w:footnoteRef/>
      </w:r>
      <w:r w:rsidRPr="00FE24DD">
        <w:t xml:space="preserve"> </w:t>
      </w:r>
      <w:r w:rsidRPr="00E54AE9">
        <w:rPr>
          <w:i/>
          <w:iCs/>
        </w:rPr>
        <w:t xml:space="preserve">See </w:t>
      </w:r>
      <w:r w:rsidR="00E57A70">
        <w:rPr>
          <w:i/>
          <w:iCs/>
        </w:rPr>
        <w:t xml:space="preserve">Data Collection </w:t>
      </w:r>
      <w:r w:rsidR="00E57A70" w:rsidRPr="00E57A70">
        <w:rPr>
          <w:i/>
          <w:iCs/>
        </w:rPr>
        <w:t>Order</w:t>
      </w:r>
      <w:r w:rsidR="00E57A70">
        <w:rPr>
          <w:iCs/>
        </w:rPr>
        <w:t xml:space="preserve">, 27 FCC Rcd </w:t>
      </w:r>
      <w:r>
        <w:t xml:space="preserve">at </w:t>
      </w:r>
      <w:r w:rsidRPr="00FE24DD">
        <w:t>163</w:t>
      </w:r>
      <w:r>
        <w:t>24, para. 13</w:t>
      </w:r>
      <w:r w:rsidRPr="00FE24DD">
        <w:t>.</w:t>
      </w:r>
    </w:p>
  </w:footnote>
  <w:footnote w:id="4">
    <w:p w14:paraId="4EEAF78B" w14:textId="77777777" w:rsidR="00EA0006" w:rsidRDefault="00EA0006" w:rsidP="00EA0006">
      <w:pPr>
        <w:pStyle w:val="FootnoteText"/>
      </w:pPr>
      <w:r>
        <w:rPr>
          <w:rStyle w:val="FootnoteReference"/>
        </w:rPr>
        <w:footnoteRef/>
      </w:r>
      <w:r>
        <w:t xml:space="preserve"> </w:t>
      </w:r>
      <w:r w:rsidRPr="00E54AE9">
        <w:rPr>
          <w:i/>
          <w:iCs/>
        </w:rPr>
        <w:t>See</w:t>
      </w:r>
      <w:r w:rsidR="00266B75">
        <w:rPr>
          <w:i/>
          <w:iCs/>
        </w:rPr>
        <w:t xml:space="preserve"> </w:t>
      </w:r>
      <w:r w:rsidR="00266B75" w:rsidRPr="00E54AE9">
        <w:rPr>
          <w:i/>
          <w:iCs/>
        </w:rPr>
        <w:t>Special Access for Price Cap Local Exchange Carriers; AT&amp;T Corp</w:t>
      </w:r>
      <w:r w:rsidR="00266B75">
        <w:rPr>
          <w:i/>
          <w:iCs/>
        </w:rPr>
        <w:t>.</w:t>
      </w:r>
      <w:r w:rsidR="00266B75" w:rsidRPr="00E54AE9">
        <w:rPr>
          <w:i/>
          <w:iCs/>
        </w:rPr>
        <w:t xml:space="preserve"> Petition for Rulemaking to Reform Regulation of Incumbent Local Exchange Carrier Rates for Interstate Special Access Services</w:t>
      </w:r>
      <w:r w:rsidR="00266B75">
        <w:t>, WC Docket No. 05</w:t>
      </w:r>
      <w:r w:rsidR="00266B75">
        <w:noBreakHyphen/>
        <w:t xml:space="preserve">25, RM-10593, </w:t>
      </w:r>
      <w:r w:rsidR="00266B75" w:rsidRPr="00006F5F">
        <w:t>O</w:t>
      </w:r>
      <w:r w:rsidR="00266B75">
        <w:t xml:space="preserve">rder, </w:t>
      </w:r>
      <w:r w:rsidR="00CB279A">
        <w:t xml:space="preserve">29 FCC Rcd 14346 </w:t>
      </w:r>
      <w:r w:rsidR="00266B75">
        <w:t xml:space="preserve">(Wireline Comp. Bur. </w:t>
      </w:r>
      <w:r w:rsidR="0081056B">
        <w:t>2014</w:t>
      </w:r>
      <w:r w:rsidR="00266B75">
        <w:t>).</w:t>
      </w:r>
    </w:p>
  </w:footnote>
  <w:footnote w:id="5">
    <w:p w14:paraId="27277CD1" w14:textId="77777777" w:rsidR="00EA0006" w:rsidRDefault="00EA0006" w:rsidP="00EA0006">
      <w:pPr>
        <w:pStyle w:val="FootnoteText"/>
      </w:pPr>
      <w:r>
        <w:rPr>
          <w:rStyle w:val="FootnoteReference"/>
        </w:rPr>
        <w:footnoteRef/>
      </w:r>
      <w:r>
        <w:t xml:space="preserve"> </w:t>
      </w:r>
      <w:r w:rsidRPr="00E54AE9">
        <w:rPr>
          <w:i/>
          <w:iCs/>
        </w:rPr>
        <w:t>Special Access for Price Cap Local Exchange Carriers; AT&amp;T Corp</w:t>
      </w:r>
      <w:r w:rsidR="008B22E1">
        <w:rPr>
          <w:i/>
          <w:iCs/>
        </w:rPr>
        <w:t>.</w:t>
      </w:r>
      <w:r w:rsidRPr="00E54AE9">
        <w:rPr>
          <w:i/>
          <w:iCs/>
        </w:rPr>
        <w:t xml:space="preserve"> Petition for Rulemaking to Reform Regulation of Incumbent Local Exchange Carrier Rates for Interstate Special Access Services</w:t>
      </w:r>
      <w:r>
        <w:t>, WC Docket No. 05</w:t>
      </w:r>
      <w:r>
        <w:noBreakHyphen/>
        <w:t xml:space="preserve">25, RM-10593, </w:t>
      </w:r>
      <w:r w:rsidRPr="00006F5F">
        <w:t>O</w:t>
      </w:r>
      <w:r>
        <w:t xml:space="preserve">rder and Modified Data </w:t>
      </w:r>
      <w:r w:rsidRPr="00006F5F">
        <w:t>C</w:t>
      </w:r>
      <w:r>
        <w:t xml:space="preserve">ollection Protective Order, </w:t>
      </w:r>
      <w:r w:rsidR="00CB279A" w:rsidRPr="00CB279A">
        <w:t xml:space="preserve">30 FCC Rcd 10027 </w:t>
      </w:r>
      <w:r>
        <w:t>(Wireline Comp. Bur.</w:t>
      </w:r>
      <w:r w:rsidRPr="008A7006">
        <w:t xml:space="preserve"> 2015</w:t>
      </w:r>
      <w:r>
        <w:t>) (</w:t>
      </w:r>
      <w:r w:rsidRPr="00E54AE9">
        <w:rPr>
          <w:i/>
          <w:iCs/>
        </w:rPr>
        <w:t>Modified Protective Order</w:t>
      </w:r>
      <w:r w:rsidR="00A62A6D">
        <w:t>).</w:t>
      </w:r>
    </w:p>
  </w:footnote>
  <w:footnote w:id="6">
    <w:p w14:paraId="30EC384A" w14:textId="77777777" w:rsidR="00EA0006" w:rsidRDefault="00EA0006" w:rsidP="00EA0006">
      <w:pPr>
        <w:pStyle w:val="FootnoteText"/>
      </w:pPr>
      <w:r>
        <w:rPr>
          <w:rStyle w:val="FootnoteReference"/>
        </w:rPr>
        <w:footnoteRef/>
      </w:r>
      <w:r>
        <w:t xml:space="preserve"> </w:t>
      </w:r>
      <w:r w:rsidR="00A62A6D" w:rsidRPr="00A62A6D">
        <w:rPr>
          <w:i/>
        </w:rPr>
        <w:t xml:space="preserve">See </w:t>
      </w:r>
      <w:r w:rsidR="00A62A6D" w:rsidRPr="00A62A6D">
        <w:t xml:space="preserve">Press Release, </w:t>
      </w:r>
      <w:r w:rsidR="00A62A6D" w:rsidRPr="00A62A6D">
        <w:rPr>
          <w:iCs/>
        </w:rPr>
        <w:t>FCC</w:t>
      </w:r>
      <w:r w:rsidR="00A62A6D" w:rsidRPr="00EC592D">
        <w:rPr>
          <w:iCs/>
        </w:rPr>
        <w:t xml:space="preserve">, </w:t>
      </w:r>
      <w:r w:rsidR="00726C99" w:rsidRPr="00EC592D">
        <w:rPr>
          <w:iCs/>
        </w:rPr>
        <w:t xml:space="preserve">FCC </w:t>
      </w:r>
      <w:r w:rsidR="00A62A6D" w:rsidRPr="00A62A6D">
        <w:rPr>
          <w:iCs/>
        </w:rPr>
        <w:t>Takes Major Step in Review of Competition in $40 Billion Special Access Market</w:t>
      </w:r>
      <w:r w:rsidR="00403FB3">
        <w:rPr>
          <w:iCs/>
        </w:rPr>
        <w:t xml:space="preserve"> (</w:t>
      </w:r>
      <w:r w:rsidR="00403FB3" w:rsidRPr="00403FB3">
        <w:rPr>
          <w:iCs/>
        </w:rPr>
        <w:t>Sep</w:t>
      </w:r>
      <w:r w:rsidR="00403FB3">
        <w:rPr>
          <w:iCs/>
        </w:rPr>
        <w:t>t.</w:t>
      </w:r>
      <w:r w:rsidR="00403FB3" w:rsidRPr="00403FB3">
        <w:rPr>
          <w:iCs/>
        </w:rPr>
        <w:t xml:space="preserve"> 17, 2015</w:t>
      </w:r>
      <w:r w:rsidR="00403FB3">
        <w:rPr>
          <w:iCs/>
        </w:rPr>
        <w:t>)</w:t>
      </w:r>
      <w:r w:rsidRPr="00733DA0">
        <w:t xml:space="preserve">, </w:t>
      </w:r>
      <w:r w:rsidR="007C345B" w:rsidRPr="0074229D">
        <w:t>https://www.fcc.gov/document/fcc-takes-major-step-review-40-billion-special-access-market</w:t>
      </w:r>
      <w:r w:rsidR="00726C99">
        <w:t>.</w:t>
      </w:r>
    </w:p>
  </w:footnote>
  <w:footnote w:id="7">
    <w:p w14:paraId="71384AF8" w14:textId="77777777" w:rsidR="00F8526B" w:rsidRPr="00FE24DD" w:rsidRDefault="00F8526B" w:rsidP="00F8526B">
      <w:pPr>
        <w:pStyle w:val="FootnoteText"/>
        <w:rPr>
          <w:b/>
        </w:rPr>
      </w:pPr>
      <w:r w:rsidRPr="00FE24DD">
        <w:rPr>
          <w:rStyle w:val="FootnoteReference"/>
        </w:rPr>
        <w:footnoteRef/>
      </w:r>
      <w:r w:rsidRPr="00FE24DD">
        <w:t xml:space="preserve"> </w:t>
      </w:r>
      <w:r w:rsidR="006C6EDF">
        <w:rPr>
          <w:i/>
        </w:rPr>
        <w:t xml:space="preserve">See </w:t>
      </w:r>
      <w:r w:rsidR="00E57A70">
        <w:rPr>
          <w:i/>
        </w:rPr>
        <w:t>Special Access FNPRM</w:t>
      </w:r>
      <w:r w:rsidR="006C6EDF" w:rsidRPr="005750E7">
        <w:t>,</w:t>
      </w:r>
      <w:r w:rsidR="006C6EDF" w:rsidRPr="005750E7" w:rsidDel="00D87F42">
        <w:t xml:space="preserve"> </w:t>
      </w:r>
      <w:r w:rsidR="006C6EDF" w:rsidRPr="005750E7">
        <w:t>27 FCC Rcd</w:t>
      </w:r>
      <w:r w:rsidR="006C6EDF" w:rsidRPr="00FE24DD">
        <w:t xml:space="preserve"> at</w:t>
      </w:r>
      <w:r w:rsidRPr="00FE24DD">
        <w:t xml:space="preserve"> 16352-54, paras. 80-90.  </w:t>
      </w:r>
    </w:p>
  </w:footnote>
  <w:footnote w:id="8">
    <w:p w14:paraId="17A0EF00" w14:textId="77777777" w:rsidR="00F8526B" w:rsidRPr="00FE24DD" w:rsidRDefault="00F8526B" w:rsidP="00F8526B">
      <w:pPr>
        <w:pStyle w:val="FootnoteText"/>
      </w:pPr>
      <w:r w:rsidRPr="00FE24DD">
        <w:rPr>
          <w:rStyle w:val="FootnoteReference"/>
        </w:rPr>
        <w:footnoteRef/>
      </w:r>
      <w:r w:rsidRPr="00FE24DD">
        <w:t xml:space="preserve"> </w:t>
      </w:r>
      <w:r w:rsidRPr="00E54AE9">
        <w:rPr>
          <w:i/>
          <w:iCs/>
        </w:rPr>
        <w:t>See id</w:t>
      </w:r>
      <w:r w:rsidRPr="00FE24DD">
        <w:t>.</w:t>
      </w:r>
      <w:r>
        <w:t xml:space="preserve"> at 16359, para. 104.</w:t>
      </w:r>
    </w:p>
  </w:footnote>
  <w:footnote w:id="9">
    <w:p w14:paraId="13FDA3DA" w14:textId="77777777" w:rsidR="00F8526B" w:rsidRDefault="00F8526B" w:rsidP="00F8526B">
      <w:pPr>
        <w:pStyle w:val="FootnoteText"/>
      </w:pPr>
      <w:r>
        <w:rPr>
          <w:rStyle w:val="FootnoteReference"/>
        </w:rPr>
        <w:footnoteRef/>
      </w:r>
      <w:r>
        <w:t xml:space="preserve"> </w:t>
      </w:r>
      <w:r w:rsidR="00EA0006" w:rsidRPr="00E54AE9">
        <w:rPr>
          <w:i/>
          <w:iCs/>
        </w:rPr>
        <w:t>S</w:t>
      </w:r>
      <w:r w:rsidR="00266B75">
        <w:rPr>
          <w:i/>
          <w:iCs/>
        </w:rPr>
        <w:t xml:space="preserve">ee </w:t>
      </w:r>
      <w:r w:rsidR="0081056B" w:rsidRPr="00E54AE9">
        <w:rPr>
          <w:i/>
          <w:iCs/>
        </w:rPr>
        <w:t>Special Access for Price Cap Local Exchange Carriers; AT&amp;T Corp</w:t>
      </w:r>
      <w:r w:rsidR="0081056B">
        <w:rPr>
          <w:i/>
          <w:iCs/>
        </w:rPr>
        <w:t>.</w:t>
      </w:r>
      <w:r w:rsidR="0081056B" w:rsidRPr="00E54AE9">
        <w:rPr>
          <w:i/>
          <w:iCs/>
        </w:rPr>
        <w:t xml:space="preserve"> Petition for Rulemaking to Reform Regulation of Incumbent Local Exchange Carrier Rates for Interstate Special Access Services</w:t>
      </w:r>
      <w:r w:rsidR="0081056B">
        <w:t>, WC Docket No. 05</w:t>
      </w:r>
      <w:r w:rsidR="0081056B">
        <w:noBreakHyphen/>
        <w:t xml:space="preserve">25, RM-10593, </w:t>
      </w:r>
      <w:r w:rsidR="0081056B" w:rsidRPr="00006F5F">
        <w:t>O</w:t>
      </w:r>
      <w:r w:rsidR="0081056B">
        <w:t>rder, DA 15-1239 (Wireline Comp. Bur. rel. Nov. 2, 2015) (</w:t>
      </w:r>
      <w:r w:rsidRPr="00E54AE9">
        <w:rPr>
          <w:i/>
          <w:iCs/>
        </w:rPr>
        <w:t>Extension Order</w:t>
      </w:r>
      <w:r w:rsidR="0081056B" w:rsidRPr="00CD2713">
        <w:rPr>
          <w:iCs/>
        </w:rPr>
        <w:t>)</w:t>
      </w:r>
      <w:r>
        <w:t>.</w:t>
      </w:r>
    </w:p>
  </w:footnote>
  <w:footnote w:id="10">
    <w:p w14:paraId="0483954D" w14:textId="77777777" w:rsidR="009C0063" w:rsidRDefault="009C0063" w:rsidP="009C0063">
      <w:pPr>
        <w:pStyle w:val="FootnoteText"/>
      </w:pPr>
      <w:r>
        <w:rPr>
          <w:rStyle w:val="FootnoteReference"/>
        </w:rPr>
        <w:footnoteRef/>
      </w:r>
      <w:r>
        <w:t xml:space="preserve"> </w:t>
      </w:r>
      <w:r w:rsidR="00C845CB">
        <w:t xml:space="preserve">The Joint Petitioners specifically ask that we make the comment deadlines contingent on the satisfaction of two criteria:  “(1) the Commission issues a Public Notice confirming that the data set has been finalized and a change control process has been instituted for any further modifications (including explanations for all future changes); and (2) all software and tools necessary to conduct relevant data analysis have been made available by NORC.”  </w:t>
      </w:r>
      <w:r w:rsidR="00615603">
        <w:t xml:space="preserve">Reply in Support of Joint Request for Further Extension of Time of USTelecom and ITTA, WC Docket No. 05-25, RM-10593, at 1 (filed Nov. 30, 2015) (Joint Reply); </w:t>
      </w:r>
      <w:r w:rsidR="00615603">
        <w:rPr>
          <w:i/>
        </w:rPr>
        <w:t>s</w:t>
      </w:r>
      <w:r w:rsidR="008E5A66" w:rsidRPr="008E5A66">
        <w:rPr>
          <w:i/>
        </w:rPr>
        <w:t>ee</w:t>
      </w:r>
      <w:r w:rsidR="00615603">
        <w:rPr>
          <w:i/>
        </w:rPr>
        <w:t xml:space="preserve"> also</w:t>
      </w:r>
      <w:r w:rsidR="008E5A66">
        <w:t xml:space="preserve"> </w:t>
      </w:r>
      <w:r w:rsidR="00C845CB">
        <w:t xml:space="preserve">Joint Petition </w:t>
      </w:r>
      <w:r>
        <w:t>at 7</w:t>
      </w:r>
      <w:r w:rsidR="00615603">
        <w:t>-</w:t>
      </w:r>
      <w:r>
        <w:t>9.</w:t>
      </w:r>
    </w:p>
  </w:footnote>
  <w:footnote w:id="11">
    <w:p w14:paraId="470359CE" w14:textId="77777777" w:rsidR="006C6EDF" w:rsidRDefault="006C6EDF">
      <w:pPr>
        <w:pStyle w:val="FootnoteText"/>
      </w:pPr>
      <w:r>
        <w:rPr>
          <w:rStyle w:val="FootnoteReference"/>
        </w:rPr>
        <w:footnoteRef/>
      </w:r>
      <w:r w:rsidR="008E5A66">
        <w:t xml:space="preserve"> </w:t>
      </w:r>
      <w:r w:rsidR="005B21B0">
        <w:t xml:space="preserve">Sprint </w:t>
      </w:r>
      <w:r w:rsidR="008E5A66">
        <w:t xml:space="preserve">Opposition to Joint Request </w:t>
      </w:r>
      <w:r w:rsidR="000F4ACC">
        <w:t xml:space="preserve">for </w:t>
      </w:r>
      <w:r w:rsidR="008E5A66">
        <w:t>Further Extension of Time, WC Docket No. 05-25</w:t>
      </w:r>
      <w:r w:rsidR="0019498A">
        <w:t>,</w:t>
      </w:r>
      <w:r w:rsidR="008E5A66">
        <w:t xml:space="preserve"> RM-10593 (filed Nov. 18, 2015) (Sprint Opposition);</w:t>
      </w:r>
      <w:r>
        <w:t xml:space="preserve"> Opposition of INCOMPAS and CCA to Request for Further Extension of Time, WC Docket No. 05-25</w:t>
      </w:r>
      <w:r w:rsidR="0019498A">
        <w:t>,</w:t>
      </w:r>
      <w:r>
        <w:t xml:space="preserve"> RM-10593 (filed Nov. 18, 2015) (</w:t>
      </w:r>
      <w:r w:rsidR="008E5A66">
        <w:t>INCOMPAS/CCA Opposition)</w:t>
      </w:r>
      <w:r>
        <w:t>.</w:t>
      </w:r>
    </w:p>
  </w:footnote>
  <w:footnote w:id="12">
    <w:p w14:paraId="6698FB77" w14:textId="77777777" w:rsidR="00A62A6D" w:rsidRDefault="00A62A6D">
      <w:pPr>
        <w:pStyle w:val="FootnoteText"/>
      </w:pPr>
      <w:r>
        <w:rPr>
          <w:rStyle w:val="FootnoteReference"/>
        </w:rPr>
        <w:footnoteRef/>
      </w:r>
      <w:r>
        <w:t xml:space="preserve"> ICOMPAS/CCA Opposition at 2.</w:t>
      </w:r>
    </w:p>
  </w:footnote>
  <w:footnote w:id="13">
    <w:p w14:paraId="15F3F6F3" w14:textId="77777777" w:rsidR="00A62A6D" w:rsidRDefault="00A62A6D">
      <w:pPr>
        <w:pStyle w:val="FootnoteText"/>
      </w:pPr>
      <w:r>
        <w:rPr>
          <w:rStyle w:val="FootnoteReference"/>
        </w:rPr>
        <w:footnoteRef/>
      </w:r>
      <w:r>
        <w:t xml:space="preserve"> Sprint Opposition at 1.</w:t>
      </w:r>
    </w:p>
  </w:footnote>
  <w:footnote w:id="14">
    <w:p w14:paraId="4B557F46" w14:textId="77777777" w:rsidR="001A21DB" w:rsidRDefault="001A21DB">
      <w:pPr>
        <w:pStyle w:val="FootnoteText"/>
      </w:pPr>
      <w:r>
        <w:rPr>
          <w:rStyle w:val="FootnoteReference"/>
        </w:rPr>
        <w:footnoteRef/>
      </w:r>
      <w:r>
        <w:t xml:space="preserve"> </w:t>
      </w:r>
      <w:r w:rsidR="00615603">
        <w:t xml:space="preserve">Joint Reply </w:t>
      </w:r>
      <w:r>
        <w:t>at 3.</w:t>
      </w:r>
    </w:p>
  </w:footnote>
  <w:footnote w:id="15">
    <w:p w14:paraId="2A0086B5" w14:textId="77777777" w:rsidR="008E5A66" w:rsidRDefault="008E5A66">
      <w:pPr>
        <w:pStyle w:val="FootnoteText"/>
      </w:pPr>
      <w:r>
        <w:rPr>
          <w:rStyle w:val="FootnoteReference"/>
        </w:rPr>
        <w:footnoteRef/>
      </w:r>
      <w:r>
        <w:t xml:space="preserve"> </w:t>
      </w:r>
      <w:r w:rsidRPr="008E5A66">
        <w:rPr>
          <w:i/>
        </w:rPr>
        <w:t>See</w:t>
      </w:r>
      <w:r>
        <w:t xml:space="preserve"> Joint Petition at 6.</w:t>
      </w:r>
    </w:p>
  </w:footnote>
  <w:footnote w:id="16">
    <w:p w14:paraId="713CA544" w14:textId="77777777" w:rsidR="008E5A66" w:rsidRDefault="008E5A66" w:rsidP="008561D2">
      <w:pPr>
        <w:pStyle w:val="FootnoteText"/>
      </w:pPr>
      <w:r>
        <w:rPr>
          <w:rStyle w:val="FootnoteReference"/>
        </w:rPr>
        <w:footnoteRef/>
      </w:r>
      <w:r>
        <w:t xml:space="preserve"> </w:t>
      </w:r>
      <w:r w:rsidR="008561D2" w:rsidRPr="008561D2">
        <w:rPr>
          <w:i/>
        </w:rPr>
        <w:t>See Wireline Competition Bureau Now Receiving Acknowledgements of Confidentiality Pursuant to Special Access Data Collection Protective Order</w:t>
      </w:r>
      <w:r w:rsidR="008561D2">
        <w:t>, WC Docket No. 05-25, RM-10593, Public Notice, 30 FCC Rcd 6421 (Wireline Comp. Bur. 2015)</w:t>
      </w:r>
      <w:r w:rsidR="00C0286F">
        <w:t xml:space="preserve"> (encouraging parties to file Acknowledgements by July 2 “to help ensure timely access to </w:t>
      </w:r>
      <w:r w:rsidR="000F4ACC">
        <w:t xml:space="preserve">the </w:t>
      </w:r>
      <w:r w:rsidR="00C0286F">
        <w:t xml:space="preserve">data”); </w:t>
      </w:r>
      <w:r w:rsidR="00C0286F" w:rsidRPr="008561D2">
        <w:rPr>
          <w:i/>
        </w:rPr>
        <w:t>Special Access for Price Cap Local Exchange Carriers; AT&amp;T Corp</w:t>
      </w:r>
      <w:r w:rsidR="000F4ACC">
        <w:rPr>
          <w:i/>
        </w:rPr>
        <w:t>.</w:t>
      </w:r>
      <w:r w:rsidR="00C0286F" w:rsidRPr="008561D2">
        <w:rPr>
          <w:i/>
        </w:rPr>
        <w:t xml:space="preserve"> Petition for Rulemaking to Reform Regulation of Incumbent Local Exchange Carrier Rates for Interstate Special Access Services</w:t>
      </w:r>
      <w:r w:rsidR="00C0286F">
        <w:t>, WC Docket No. 05-25, RM-10593, Order and Data Collection Protective Order, 29 FCC Rcd 11657, 11673, Appx. A at para. 5 (Wireline Comp. Bur. 2014) (</w:t>
      </w:r>
      <w:r w:rsidR="00C0286F" w:rsidRPr="008561D2">
        <w:rPr>
          <w:i/>
        </w:rPr>
        <w:t>Protective Order</w:t>
      </w:r>
      <w:r w:rsidR="00C0286F">
        <w:t>).</w:t>
      </w:r>
    </w:p>
  </w:footnote>
  <w:footnote w:id="17">
    <w:p w14:paraId="3E9D27E6" w14:textId="77777777" w:rsidR="008E5A66" w:rsidRDefault="008E5A66">
      <w:pPr>
        <w:pStyle w:val="FootnoteText"/>
      </w:pPr>
      <w:r>
        <w:rPr>
          <w:rStyle w:val="FootnoteReference"/>
        </w:rPr>
        <w:footnoteRef/>
      </w:r>
      <w:r>
        <w:t xml:space="preserve"> </w:t>
      </w:r>
      <w:r w:rsidRPr="008E5A66">
        <w:rPr>
          <w:i/>
        </w:rPr>
        <w:t>See Modified Protective Order</w:t>
      </w:r>
      <w:r w:rsidR="00CB279A">
        <w:t xml:space="preserve">, 30 FCC Rcd </w:t>
      </w:r>
      <w:r>
        <w:t xml:space="preserve">at </w:t>
      </w:r>
      <w:r w:rsidR="00CB279A">
        <w:t xml:space="preserve">10027, </w:t>
      </w:r>
      <w:r w:rsidR="0082704A">
        <w:t>para</w:t>
      </w:r>
      <w:r w:rsidR="00CB279A">
        <w:t>.</w:t>
      </w:r>
      <w:r w:rsidR="0082704A">
        <w:t xml:space="preserve"> 1</w:t>
      </w:r>
      <w:r>
        <w:t xml:space="preserve"> (addressing objections filed against </w:t>
      </w:r>
      <w:r w:rsidR="00CB6966">
        <w:t xml:space="preserve">the </w:t>
      </w:r>
      <w:r>
        <w:t xml:space="preserve">initial group of potential reviewing parties and clearing </w:t>
      </w:r>
      <w:r w:rsidR="00CD2713">
        <w:t xml:space="preserve">the </w:t>
      </w:r>
      <w:r>
        <w:t>path for allowing data access through NORC).</w:t>
      </w:r>
    </w:p>
  </w:footnote>
  <w:footnote w:id="18">
    <w:p w14:paraId="2E1088AF" w14:textId="77777777" w:rsidR="008561D2" w:rsidRDefault="008561D2" w:rsidP="008561D2">
      <w:pPr>
        <w:pStyle w:val="FootnoteText"/>
      </w:pPr>
      <w:r>
        <w:rPr>
          <w:rStyle w:val="FootnoteReference"/>
        </w:rPr>
        <w:footnoteRef/>
      </w:r>
      <w:r w:rsidR="00666551">
        <w:t xml:space="preserve"> </w:t>
      </w:r>
      <w:r w:rsidR="00666551" w:rsidRPr="00666551">
        <w:rPr>
          <w:i/>
        </w:rPr>
        <w:t>See Protective Order</w:t>
      </w:r>
      <w:r w:rsidR="00666551">
        <w:t>, 29 FCC Rcd at 116</w:t>
      </w:r>
      <w:r w:rsidR="00D6778E">
        <w:t>63</w:t>
      </w:r>
      <w:r w:rsidR="00666551">
        <w:t>, paras</w:t>
      </w:r>
      <w:r w:rsidR="006849A5">
        <w:t>.</w:t>
      </w:r>
      <w:r w:rsidR="00666551">
        <w:t xml:space="preserve"> 16-17</w:t>
      </w:r>
      <w:r>
        <w:t>.</w:t>
      </w:r>
    </w:p>
  </w:footnote>
  <w:footnote w:id="19">
    <w:p w14:paraId="4B586B27" w14:textId="77777777" w:rsidR="0011078A" w:rsidRDefault="0011078A">
      <w:pPr>
        <w:pStyle w:val="FootnoteText"/>
      </w:pPr>
      <w:r>
        <w:rPr>
          <w:rStyle w:val="FootnoteReference"/>
        </w:rPr>
        <w:footnoteRef/>
      </w:r>
      <w:r>
        <w:t xml:space="preserve"> </w:t>
      </w:r>
      <w:r w:rsidRPr="0011078A">
        <w:rPr>
          <w:i/>
        </w:rPr>
        <w:t xml:space="preserve">See </w:t>
      </w:r>
      <w:r>
        <w:t>Joint Petition at 9.</w:t>
      </w:r>
    </w:p>
  </w:footnote>
  <w:footnote w:id="20">
    <w:p w14:paraId="1A139F3F" w14:textId="77777777" w:rsidR="0011078A" w:rsidRDefault="0011078A">
      <w:pPr>
        <w:pStyle w:val="FootnoteText"/>
      </w:pPr>
      <w:r>
        <w:rPr>
          <w:rStyle w:val="FootnoteReference"/>
        </w:rPr>
        <w:footnoteRef/>
      </w:r>
      <w:r>
        <w:t xml:space="preserve"> Even the Joint Petitioners’ own analyst acknowledges that “NORC has been responsive” to their requests for software tools.  </w:t>
      </w:r>
      <w:r w:rsidRPr="0011078A">
        <w:rPr>
          <w:i/>
        </w:rPr>
        <w:t>See</w:t>
      </w:r>
      <w:r>
        <w:t xml:space="preserve"> </w:t>
      </w:r>
      <w:r w:rsidR="0052695A">
        <w:t xml:space="preserve">Joint Petition, Attach., </w:t>
      </w:r>
      <w:r>
        <w:t>Declaration of Glenn Woroch in Support of Request for Extension of Time to File Comments</w:t>
      </w:r>
      <w:r w:rsidR="0052695A">
        <w:t xml:space="preserve"> </w:t>
      </w:r>
      <w:r>
        <w:t>at 10 (</w:t>
      </w:r>
      <w:r w:rsidR="0052695A">
        <w:t xml:space="preserve">dated </w:t>
      </w:r>
      <w:r>
        <w:t>Nov. 10, 2015) (Woroch Declaration).</w:t>
      </w:r>
    </w:p>
  </w:footnote>
  <w:footnote w:id="21">
    <w:p w14:paraId="7DD0F2D3" w14:textId="0C8AAB11" w:rsidR="008B1F7C" w:rsidRDefault="008B1F7C">
      <w:pPr>
        <w:pStyle w:val="FootnoteText"/>
      </w:pPr>
      <w:r>
        <w:rPr>
          <w:rStyle w:val="FootnoteReference"/>
        </w:rPr>
        <w:footnoteRef/>
      </w:r>
      <w:r>
        <w:t xml:space="preserve"> In addition, </w:t>
      </w:r>
      <w:r w:rsidR="0009023A">
        <w:t xml:space="preserve">on November 19, 2015, </w:t>
      </w:r>
      <w:r>
        <w:t>NORC provided the Joint Petitioners’ analysts with a cost estimate for installing and maintaining a PostgreSQL utility</w:t>
      </w:r>
      <w:r w:rsidR="00FA59A2">
        <w:t xml:space="preserve">.  </w:t>
      </w:r>
      <w:r w:rsidR="00652291">
        <w:t>We understand t</w:t>
      </w:r>
      <w:r w:rsidR="00FA59A2">
        <w:t xml:space="preserve">he analysts have not responded to NORC’s estimate. </w:t>
      </w:r>
    </w:p>
  </w:footnote>
  <w:footnote w:id="22">
    <w:p w14:paraId="540078AB" w14:textId="4D7591A9" w:rsidR="009D3664" w:rsidRDefault="009D3664">
      <w:pPr>
        <w:pStyle w:val="FootnoteText"/>
      </w:pPr>
      <w:r>
        <w:rPr>
          <w:rStyle w:val="FootnoteReference"/>
        </w:rPr>
        <w:footnoteRef/>
      </w:r>
      <w:r>
        <w:t xml:space="preserve"> </w:t>
      </w:r>
      <w:r w:rsidRPr="009D3664">
        <w:rPr>
          <w:i/>
        </w:rPr>
        <w:t>See Modified Protective Order</w:t>
      </w:r>
      <w:r w:rsidR="00CB279A">
        <w:t xml:space="preserve">, 30 FCC Rcd at 10038-39, </w:t>
      </w:r>
      <w:r>
        <w:t>para. 27</w:t>
      </w:r>
      <w:r w:rsidR="0009023A">
        <w:t>, 10043,</w:t>
      </w:r>
      <w:r>
        <w:t xml:space="preserve"> Appx. 2 (noting that the Billing_Code field would be masked).  </w:t>
      </w:r>
    </w:p>
  </w:footnote>
  <w:footnote w:id="23">
    <w:p w14:paraId="3122273E" w14:textId="77777777" w:rsidR="009D3664" w:rsidRDefault="009D3664">
      <w:pPr>
        <w:pStyle w:val="FootnoteText"/>
      </w:pPr>
      <w:r>
        <w:rPr>
          <w:rStyle w:val="FootnoteReference"/>
        </w:rPr>
        <w:footnoteRef/>
      </w:r>
      <w:r>
        <w:t xml:space="preserve"> </w:t>
      </w:r>
      <w:r w:rsidRPr="009D3664">
        <w:rPr>
          <w:i/>
        </w:rPr>
        <w:t>See</w:t>
      </w:r>
      <w:r>
        <w:t xml:space="preserve"> Woroch Declaration at 9.</w:t>
      </w:r>
    </w:p>
  </w:footnote>
  <w:footnote w:id="24">
    <w:p w14:paraId="06483750" w14:textId="77777777" w:rsidR="0037148E" w:rsidRDefault="0037148E" w:rsidP="000C1F4A">
      <w:pPr>
        <w:pStyle w:val="FootnoteText"/>
      </w:pPr>
      <w:r>
        <w:rPr>
          <w:rStyle w:val="FootnoteReference"/>
        </w:rPr>
        <w:footnoteRef/>
      </w:r>
      <w:r>
        <w:t xml:space="preserve"> </w:t>
      </w:r>
      <w:r w:rsidRPr="0037148E">
        <w:rPr>
          <w:i/>
        </w:rPr>
        <w:t>See, e.g.</w:t>
      </w:r>
      <w:r w:rsidR="00CB279A">
        <w:t xml:space="preserve">, </w:t>
      </w:r>
      <w:r w:rsidR="00A10300" w:rsidRPr="00A10300">
        <w:t>Paperwork Reduction Act Comments of the American Cable Ass</w:t>
      </w:r>
      <w:r w:rsidR="00A10300">
        <w:t>’n</w:t>
      </w:r>
      <w:r w:rsidR="00A10300" w:rsidRPr="00A10300">
        <w:t xml:space="preserve"> on FCC 12-153, OMB Control No. 3060-XXXX, </w:t>
      </w:r>
      <w:r w:rsidR="00161B29">
        <w:t xml:space="preserve">WC Docket No. 05-25, RM-10593, </w:t>
      </w:r>
      <w:r w:rsidR="00A10300" w:rsidRPr="00A10300">
        <w:t>at 12-13 (</w:t>
      </w:r>
      <w:r w:rsidR="00161B29">
        <w:t>dated Jan. 8</w:t>
      </w:r>
      <w:r w:rsidR="00A10300" w:rsidRPr="00A10300">
        <w:t>, 2014)</w:t>
      </w:r>
      <w:r w:rsidR="00CD2713">
        <w:t xml:space="preserve">, </w:t>
      </w:r>
      <w:r w:rsidR="00CD2713" w:rsidRPr="00CD2713">
        <w:t>http://www.reginfo.gov/public/do/PRAViewDocument?ref_nbr=201311-3060-001</w:t>
      </w:r>
      <w:r w:rsidR="00A10300" w:rsidRPr="00A10300">
        <w:t xml:space="preserve"> (discussing the lack of geocoded location information and the significant burden associated with producing such information); </w:t>
      </w:r>
      <w:r w:rsidR="00A10300" w:rsidRPr="00A10300">
        <w:rPr>
          <w:i/>
        </w:rPr>
        <w:t>see also</w:t>
      </w:r>
      <w:r w:rsidR="00A10300" w:rsidRPr="00A10300">
        <w:t xml:space="preserve"> Notice of Office of Management and Budget Action, OMB Control No. 3060-1197 (Aug. 15, 2014)</w:t>
      </w:r>
      <w:r w:rsidR="00D42966" w:rsidRPr="00A10300">
        <w:t xml:space="preserve">, </w:t>
      </w:r>
      <w:r w:rsidR="00D42966" w:rsidRPr="00D3054E">
        <w:t>http://www.reginfo.gov/public/do/PRAViewICR?ref_nbr=201311-3060-001#</w:t>
      </w:r>
      <w:r w:rsidR="00A10300" w:rsidRPr="00A10300">
        <w:t xml:space="preserve"> (conditioning approval on the optional provision of geographic coordinates</w:t>
      </w:r>
      <w:r w:rsidR="00D42966">
        <w:t>)</w:t>
      </w:r>
      <w:r w:rsidRPr="00A10300">
        <w:t>.</w:t>
      </w:r>
    </w:p>
  </w:footnote>
  <w:footnote w:id="25">
    <w:p w14:paraId="1B7EBDF9" w14:textId="77777777" w:rsidR="008C648D" w:rsidRDefault="008C648D">
      <w:pPr>
        <w:pStyle w:val="FootnoteText"/>
      </w:pPr>
      <w:r>
        <w:rPr>
          <w:rStyle w:val="FootnoteReference"/>
        </w:rPr>
        <w:footnoteRef/>
      </w:r>
      <w:r>
        <w:t xml:space="preserve"> </w:t>
      </w:r>
      <w:r w:rsidRPr="008C648D">
        <w:rPr>
          <w:i/>
        </w:rPr>
        <w:t>See</w:t>
      </w:r>
      <w:r>
        <w:t xml:space="preserve"> Joint Petition at 7.</w:t>
      </w:r>
    </w:p>
  </w:footnote>
  <w:footnote w:id="26">
    <w:p w14:paraId="684ABEFD" w14:textId="77777777" w:rsidR="006515E0" w:rsidRDefault="006515E0">
      <w:pPr>
        <w:pStyle w:val="FootnoteText"/>
      </w:pPr>
      <w:r>
        <w:rPr>
          <w:rStyle w:val="FootnoteReference"/>
        </w:rPr>
        <w:footnoteRef/>
      </w:r>
      <w:r>
        <w:t xml:space="preserve"> The Bureau did commit to providing a table showing census blocks where a competitive provider has reported having fiber.  This table is </w:t>
      </w:r>
      <w:r w:rsidR="004E2414">
        <w:t xml:space="preserve">an </w:t>
      </w:r>
      <w:r>
        <w:t xml:space="preserve">alternative to </w:t>
      </w:r>
      <w:r w:rsidR="004E2414">
        <w:t xml:space="preserve">the </w:t>
      </w:r>
      <w:r>
        <w:t xml:space="preserve">provision of electronic maps showing fiber routes.  The Bureau chose this alternative approach to mitigate risks to critical infrastructure.  </w:t>
      </w:r>
      <w:r w:rsidR="004E2414" w:rsidRPr="004E2414">
        <w:rPr>
          <w:i/>
        </w:rPr>
        <w:t xml:space="preserve">See </w:t>
      </w:r>
      <w:r w:rsidRPr="004E2414">
        <w:rPr>
          <w:i/>
        </w:rPr>
        <w:t>Mod</w:t>
      </w:r>
      <w:r w:rsidR="004E2414" w:rsidRPr="004E2414">
        <w:rPr>
          <w:i/>
        </w:rPr>
        <w:t>ified Protective Order</w:t>
      </w:r>
      <w:r w:rsidR="006E4BD7">
        <w:t xml:space="preserve">, 30 FCC Rcd </w:t>
      </w:r>
      <w:r w:rsidR="004E2414">
        <w:t>at</w:t>
      </w:r>
      <w:r w:rsidR="006E4BD7">
        <w:t xml:space="preserve"> 10038,</w:t>
      </w:r>
      <w:r w:rsidR="004E2414">
        <w:t xml:space="preserve"> paras. 25-26.</w:t>
      </w:r>
    </w:p>
  </w:footnote>
  <w:footnote w:id="27">
    <w:p w14:paraId="2D42F1FD" w14:textId="0A5C7D0E" w:rsidR="00A5700E" w:rsidRDefault="00A5700E">
      <w:pPr>
        <w:pStyle w:val="FootnoteText"/>
      </w:pPr>
      <w:r>
        <w:rPr>
          <w:rStyle w:val="FootnoteReference"/>
        </w:rPr>
        <w:footnoteRef/>
      </w:r>
      <w:r>
        <w:t xml:space="preserve"> </w:t>
      </w:r>
      <w:r w:rsidRPr="00A5700E">
        <w:rPr>
          <w:i/>
        </w:rPr>
        <w:t>See</w:t>
      </w:r>
      <w:r>
        <w:t xml:space="preserve"> Joint Petition at 7.</w:t>
      </w:r>
    </w:p>
  </w:footnote>
  <w:footnote w:id="28">
    <w:p w14:paraId="168DDF55" w14:textId="77777777" w:rsidR="00D52734" w:rsidRDefault="00D52734">
      <w:pPr>
        <w:pStyle w:val="FootnoteText"/>
      </w:pPr>
      <w:r>
        <w:rPr>
          <w:rStyle w:val="FootnoteReference"/>
        </w:rPr>
        <w:footnoteRef/>
      </w:r>
      <w:r>
        <w:t xml:space="preserve"> </w:t>
      </w:r>
      <w:r w:rsidRPr="00D52734">
        <w:rPr>
          <w:i/>
        </w:rPr>
        <w:t>See</w:t>
      </w:r>
      <w:r>
        <w:t xml:space="preserve"> Sprint Opposition at 4.</w:t>
      </w:r>
    </w:p>
  </w:footnote>
  <w:footnote w:id="29">
    <w:p w14:paraId="5BBD772D" w14:textId="3261DF8E" w:rsidR="00792022" w:rsidRPr="00731BF5" w:rsidRDefault="00792022" w:rsidP="00805D33">
      <w:pPr>
        <w:pStyle w:val="FootnoteText"/>
      </w:pPr>
      <w:r>
        <w:rPr>
          <w:rStyle w:val="FootnoteReference"/>
        </w:rPr>
        <w:footnoteRef/>
      </w:r>
      <w:r>
        <w:t xml:space="preserve"> </w:t>
      </w:r>
      <w:r w:rsidRPr="00731BF5">
        <w:t>The only software tool sought by the Joint Petitioners’ analysts that was not provided by NORC due to the associated cost is PostgresSQL.  NORC did provide the Joint Petitioners’ analytical team with a cost estimate for installing and maintaining this utility on November 19, 2015, at the reviewing party’s expense.  The analysts have not responded to NORC’s cost estimate</w:t>
      </w:r>
      <w:r w:rsidR="00731BF5" w:rsidRPr="00731BF5">
        <w:t xml:space="preserve"> as of the date of this </w:t>
      </w:r>
      <w:r w:rsidR="009218E6">
        <w:t>O</w:t>
      </w:r>
      <w:r w:rsidR="00731BF5" w:rsidRPr="00731BF5">
        <w:t>rder</w:t>
      </w:r>
      <w:r w:rsidRPr="00731BF5">
        <w:t>.</w:t>
      </w:r>
      <w:r w:rsidR="00731BF5" w:rsidRPr="00731BF5">
        <w:t xml:space="preserve">  NORC has provided access </w:t>
      </w:r>
      <w:r w:rsidR="00805D33">
        <w:t xml:space="preserve">to HP Vertica Place, which has </w:t>
      </w:r>
      <w:r w:rsidR="00731BF5" w:rsidRPr="00731BF5">
        <w:t xml:space="preserve">geospatial query capabilities.  </w:t>
      </w:r>
      <w:r w:rsidR="00731BF5">
        <w:t xml:space="preserve">HP Vertica Place, </w:t>
      </w:r>
      <w:r w:rsidR="00731BF5" w:rsidRPr="00805D33">
        <w:t>https://my.vertica.com/docs/7.1.x/HTML/</w:t>
      </w:r>
      <w:r w:rsidR="00731BF5" w:rsidRPr="00805D33">
        <w:br/>
        <w:t>index.htm</w:t>
      </w:r>
      <w:r w:rsidR="00731BF5" w:rsidRPr="00731BF5">
        <w:t>#Authoring/Place/PlaceGuide.htm%3FTocPath%3DHP%2520Vertica%2520Place%7C_____0</w:t>
      </w:r>
      <w:r w:rsidR="00731BF5">
        <w:t xml:space="preserve"> (last visited Dec. 16, 2015)</w:t>
      </w:r>
      <w:r w:rsidR="00731BF5" w:rsidRPr="00731BF5">
        <w:t>.</w:t>
      </w:r>
    </w:p>
  </w:footnote>
  <w:footnote w:id="30">
    <w:p w14:paraId="0E91D523" w14:textId="77777777" w:rsidR="00663F0B" w:rsidRDefault="00663F0B">
      <w:pPr>
        <w:pStyle w:val="FootnoteText"/>
      </w:pPr>
      <w:r>
        <w:rPr>
          <w:rStyle w:val="FootnoteReference"/>
        </w:rPr>
        <w:footnoteRef/>
      </w:r>
      <w:r>
        <w:t xml:space="preserve"> </w:t>
      </w:r>
      <w:r w:rsidRPr="00663F0B">
        <w:rPr>
          <w:i/>
        </w:rPr>
        <w:t>See</w:t>
      </w:r>
      <w:r>
        <w:t xml:space="preserve"> Joint Reply at </w:t>
      </w:r>
      <w:r w:rsidR="00F4193F">
        <w:t>3</w:t>
      </w:r>
      <w:r>
        <w:t>.</w:t>
      </w:r>
    </w:p>
  </w:footnote>
  <w:footnote w:id="31">
    <w:p w14:paraId="0BAA66C0" w14:textId="77777777" w:rsidR="00252CAB" w:rsidRDefault="00252CAB">
      <w:pPr>
        <w:pStyle w:val="FootnoteText"/>
      </w:pPr>
      <w:r>
        <w:rPr>
          <w:rStyle w:val="FootnoteReference"/>
        </w:rPr>
        <w:footnoteRef/>
      </w:r>
      <w:r>
        <w:t xml:space="preserve"> </w:t>
      </w:r>
      <w:r w:rsidR="000971D6">
        <w:t xml:space="preserve">Joint Reply, Attach., </w:t>
      </w:r>
      <w:r>
        <w:t xml:space="preserve">Reply Declaration </w:t>
      </w:r>
      <w:r w:rsidR="00C11A06">
        <w:t xml:space="preserve">of Glenn Woroch in Support of Request for Extension of Time to File Comments </w:t>
      </w:r>
      <w:r>
        <w:t xml:space="preserve">at </w:t>
      </w:r>
      <w:r w:rsidR="00C11A06">
        <w:t>3 (</w:t>
      </w:r>
      <w:r w:rsidR="000971D6">
        <w:t>dated</w:t>
      </w:r>
      <w:r w:rsidR="00C11A06">
        <w:t xml:space="preserve"> Nov. 30, 2015)</w:t>
      </w:r>
      <w:r w:rsidR="00892119">
        <w:t xml:space="preserve"> (Woroch Reply Declaration)</w:t>
      </w:r>
      <w:r w:rsidR="00C11A06">
        <w:t>.</w:t>
      </w:r>
      <w:r w:rsidR="00805D33">
        <w:t xml:space="preserve"> </w:t>
      </w:r>
      <w:r w:rsidR="009B24EF">
        <w:t xml:space="preserve"> </w:t>
      </w:r>
      <w:r w:rsidR="008079AD">
        <w:t>Dr. Woroch provides no details on what geospatial analysis he proposes to undertake, of why it is central to his analysis, and why it would take so long beyond the no longer relevant lack of access to the necessary software.</w:t>
      </w:r>
    </w:p>
  </w:footnote>
  <w:footnote w:id="32">
    <w:p w14:paraId="23348EB8" w14:textId="77777777" w:rsidR="00C11A06" w:rsidRDefault="00C11A06">
      <w:pPr>
        <w:pStyle w:val="FootnoteText"/>
      </w:pPr>
      <w:r>
        <w:rPr>
          <w:rStyle w:val="FootnoteReference"/>
        </w:rPr>
        <w:footnoteRef/>
      </w:r>
      <w:r>
        <w:t xml:space="preserve"> </w:t>
      </w:r>
      <w:r w:rsidRPr="00C11A06">
        <w:rPr>
          <w:i/>
        </w:rPr>
        <w:t>Id</w:t>
      </w:r>
      <w:r>
        <w:t>. at 5.</w:t>
      </w:r>
    </w:p>
  </w:footnote>
  <w:footnote w:id="33">
    <w:p w14:paraId="325400D0" w14:textId="77777777" w:rsidR="001E11F7" w:rsidRDefault="001E11F7">
      <w:pPr>
        <w:pStyle w:val="FootnoteText"/>
      </w:pPr>
      <w:r>
        <w:rPr>
          <w:rStyle w:val="FootnoteReference"/>
        </w:rPr>
        <w:footnoteRef/>
      </w:r>
      <w:r>
        <w:t xml:space="preserve"> </w:t>
      </w:r>
      <w:r w:rsidRPr="001E11F7">
        <w:rPr>
          <w:i/>
        </w:rPr>
        <w:t>See Modified Protective Order</w:t>
      </w:r>
      <w:r w:rsidR="007E375E">
        <w:t xml:space="preserve">, 30 FCC Rcd at 10038, </w:t>
      </w:r>
      <w:r>
        <w:t>para. 25.</w:t>
      </w:r>
    </w:p>
  </w:footnote>
  <w:footnote w:id="34">
    <w:p w14:paraId="5BAFE87A" w14:textId="77777777" w:rsidR="009D12F6" w:rsidRDefault="009D12F6">
      <w:pPr>
        <w:pStyle w:val="FootnoteText"/>
      </w:pPr>
      <w:r>
        <w:rPr>
          <w:rStyle w:val="FootnoteReference"/>
        </w:rPr>
        <w:footnoteRef/>
      </w:r>
      <w:r>
        <w:t xml:space="preserve"> </w:t>
      </w:r>
      <w:r w:rsidRPr="0074229D">
        <w:rPr>
          <w:i/>
        </w:rPr>
        <w:t>See</w:t>
      </w:r>
      <w:r>
        <w:t xml:space="preserve"> Woroch Reply Declaration at 4-5.</w:t>
      </w:r>
    </w:p>
  </w:footnote>
  <w:footnote w:id="35">
    <w:p w14:paraId="06768403" w14:textId="77777777" w:rsidR="00A021B8" w:rsidRDefault="00A021B8">
      <w:pPr>
        <w:pStyle w:val="FootnoteText"/>
      </w:pPr>
      <w:r>
        <w:rPr>
          <w:rStyle w:val="FootnoteReference"/>
        </w:rPr>
        <w:footnoteRef/>
      </w:r>
      <w:r>
        <w:t xml:space="preserve"> </w:t>
      </w:r>
      <w:r w:rsidRPr="00A021B8">
        <w:rPr>
          <w:i/>
        </w:rPr>
        <w:t xml:space="preserve">See </w:t>
      </w:r>
      <w:r>
        <w:t>Joint Petition at 13-15.</w:t>
      </w:r>
    </w:p>
  </w:footnote>
  <w:footnote w:id="36">
    <w:p w14:paraId="0BB32BF4" w14:textId="77777777" w:rsidR="00521C95" w:rsidRDefault="00521C95" w:rsidP="00521C95">
      <w:pPr>
        <w:pStyle w:val="FootnoteText"/>
      </w:pPr>
      <w:r>
        <w:rPr>
          <w:rStyle w:val="FootnoteReference"/>
        </w:rPr>
        <w:footnoteRef/>
      </w:r>
      <w:r>
        <w:t xml:space="preserve"> </w:t>
      </w:r>
      <w:r w:rsidRPr="00400F41">
        <w:t>5 U.S.C. § 553(c)</w:t>
      </w:r>
      <w:r>
        <w:t>.</w:t>
      </w:r>
    </w:p>
  </w:footnote>
  <w:footnote w:id="37">
    <w:p w14:paraId="73A9E057" w14:textId="77777777" w:rsidR="0002360C" w:rsidRDefault="0002360C">
      <w:pPr>
        <w:pStyle w:val="FootnoteText"/>
      </w:pPr>
      <w:r>
        <w:rPr>
          <w:rStyle w:val="FootnoteReference"/>
        </w:rPr>
        <w:footnoteRef/>
      </w:r>
      <w:r>
        <w:t xml:space="preserve"> </w:t>
      </w:r>
      <w:r w:rsidRPr="0002360C">
        <w:rPr>
          <w:i/>
        </w:rPr>
        <w:t>See Engine Mfrs. Ass’n v. EPA</w:t>
      </w:r>
      <w:r>
        <w:t>, 20 F</w:t>
      </w:r>
      <w:r w:rsidR="00A8449E">
        <w:t xml:space="preserve">.3d 1177, 1181 (D.C. Cir. 1994); </w:t>
      </w:r>
      <w:r w:rsidR="00A8449E" w:rsidRPr="0000337E">
        <w:rPr>
          <w:i/>
        </w:rPr>
        <w:t>see also Conn. Light and Power Co. v. Nuclear Reg. Com</w:t>
      </w:r>
      <w:r w:rsidR="00A8449E">
        <w:rPr>
          <w:i/>
        </w:rPr>
        <w:t>m</w:t>
      </w:r>
      <w:r w:rsidR="00A8449E" w:rsidRPr="0000337E">
        <w:rPr>
          <w:i/>
        </w:rPr>
        <w:t>’n</w:t>
      </w:r>
      <w:r w:rsidR="00A8449E">
        <w:t>, 673 F.2d 525, 530 (D.C. Cir. 1982) (“[I]t is especially important for the agency to identify and make available technical studies and data that it has employed in reaching the decisions to propose particular rules.”).</w:t>
      </w:r>
    </w:p>
  </w:footnote>
  <w:footnote w:id="38">
    <w:p w14:paraId="57106C5B" w14:textId="77777777" w:rsidR="002B1131" w:rsidRDefault="002B1131" w:rsidP="002B1131">
      <w:pPr>
        <w:pStyle w:val="FootnoteText"/>
      </w:pPr>
      <w:r>
        <w:rPr>
          <w:rStyle w:val="FootnoteReference"/>
        </w:rPr>
        <w:footnoteRef/>
      </w:r>
      <w:r>
        <w:t xml:space="preserve"> </w:t>
      </w:r>
      <w:r w:rsidRPr="00190251">
        <w:rPr>
          <w:i/>
        </w:rPr>
        <w:t>See North Carolina Growers’ Ass’n, Inc. v. United Farm Workers</w:t>
      </w:r>
      <w:r>
        <w:t xml:space="preserve">, 702 F.3d 755, 770 (4th Cir. 2012) (noting “the APA has not prescribed a minimum number of days necessary to allow for adequate comment” but suggesting that a 10-day comment period is rarely sufficient absent exigent circumstances); </w:t>
      </w:r>
      <w:r w:rsidRPr="000D4CAB">
        <w:rPr>
          <w:i/>
        </w:rPr>
        <w:t>see</w:t>
      </w:r>
      <w:r>
        <w:t xml:space="preserve"> </w:t>
      </w:r>
      <w:r w:rsidRPr="000D4CAB">
        <w:rPr>
          <w:i/>
        </w:rPr>
        <w:t xml:space="preserve">also </w:t>
      </w:r>
      <w:r w:rsidRPr="009278CB">
        <w:rPr>
          <w:i/>
        </w:rPr>
        <w:t>Conn</w:t>
      </w:r>
      <w:r w:rsidR="00403FB3">
        <w:rPr>
          <w:i/>
        </w:rPr>
        <w:t>.</w:t>
      </w:r>
      <w:r w:rsidRPr="009278CB">
        <w:rPr>
          <w:i/>
        </w:rPr>
        <w:t xml:space="preserve"> Light and Power</w:t>
      </w:r>
      <w:r>
        <w:t xml:space="preserve">, 673 F.2d </w:t>
      </w:r>
      <w:r w:rsidR="00403FB3">
        <w:t>at</w:t>
      </w:r>
      <w:r>
        <w:t xml:space="preserve"> 532 (upholding a 30-day comment period when </w:t>
      </w:r>
      <w:r w:rsidRPr="009278CB">
        <w:t>the technical background of the rules was sufficiently identified to allow for meaningful comment during the rulemaking process</w:t>
      </w:r>
      <w:r>
        <w:t xml:space="preserve">).  </w:t>
      </w:r>
    </w:p>
  </w:footnote>
  <w:footnote w:id="39">
    <w:p w14:paraId="2C19B78D" w14:textId="39AB6DBD" w:rsidR="002B1131" w:rsidRDefault="002B1131" w:rsidP="002B1131">
      <w:pPr>
        <w:pStyle w:val="FootnoteText"/>
      </w:pPr>
      <w:r>
        <w:rPr>
          <w:rStyle w:val="FootnoteReference"/>
        </w:rPr>
        <w:footnoteRef/>
      </w:r>
      <w:r>
        <w:t xml:space="preserve"> </w:t>
      </w:r>
      <w:r w:rsidRPr="00190251">
        <w:rPr>
          <w:i/>
        </w:rPr>
        <w:t>See</w:t>
      </w:r>
      <w:r>
        <w:rPr>
          <w:i/>
        </w:rPr>
        <w:t>, e.g.</w:t>
      </w:r>
      <w:r w:rsidRPr="00A8449E">
        <w:t>,</w:t>
      </w:r>
      <w:r w:rsidRPr="00190251">
        <w:rPr>
          <w:i/>
        </w:rPr>
        <w:t xml:space="preserve"> Data Collection Order</w:t>
      </w:r>
      <w:r>
        <w:t>, 27 FCC Rcd at 163</w:t>
      </w:r>
      <w:r w:rsidR="008E0360">
        <w:t>58</w:t>
      </w:r>
      <w:r w:rsidR="002A7883">
        <w:t xml:space="preserve">, </w:t>
      </w:r>
      <w:r w:rsidR="002A7883" w:rsidRPr="0031423B">
        <w:t xml:space="preserve">para. </w:t>
      </w:r>
      <w:r w:rsidR="008E0360" w:rsidRPr="0031423B">
        <w:t>104</w:t>
      </w:r>
      <w:r>
        <w:t xml:space="preserve"> (adopting </w:t>
      </w:r>
      <w:r w:rsidRPr="00190251">
        <w:rPr>
          <w:i/>
        </w:rPr>
        <w:t>Special Access FNPRM</w:t>
      </w:r>
      <w:r>
        <w:t xml:space="preserve"> in December 2012 and announcing that comments on section IV.B </w:t>
      </w:r>
      <w:r w:rsidR="00C04A8B">
        <w:t>were originally</w:t>
      </w:r>
      <w:r>
        <w:t xml:space="preserve"> due by August 19, 2013 with reply comments due by September 30, 2013).</w:t>
      </w:r>
    </w:p>
  </w:footnote>
  <w:footnote w:id="40">
    <w:p w14:paraId="71A3638D" w14:textId="009DC9B3" w:rsidR="002B1131" w:rsidRDefault="002B1131" w:rsidP="002B1131">
      <w:pPr>
        <w:pStyle w:val="FootnoteText"/>
      </w:pPr>
      <w:r>
        <w:rPr>
          <w:rStyle w:val="FootnoteReference"/>
        </w:rPr>
        <w:footnoteRef/>
      </w:r>
      <w:r>
        <w:t xml:space="preserve"> And with the limited extension of time the Bureau grants today, the Joint Petitioners will have had more than three months of remote access to the collected data</w:t>
      </w:r>
      <w:r w:rsidR="00337FAC">
        <w:t>,</w:t>
      </w:r>
      <w:r>
        <w:t xml:space="preserve"> and more than two months with access to the software tools they have requested</w:t>
      </w:r>
      <w:r w:rsidR="00337FAC">
        <w:t>, before comments are due</w:t>
      </w:r>
      <w:r>
        <w:t xml:space="preserve">.  </w:t>
      </w:r>
    </w:p>
  </w:footnote>
  <w:footnote w:id="41">
    <w:p w14:paraId="242F156E" w14:textId="3F950343" w:rsidR="002B1131" w:rsidRDefault="002B1131" w:rsidP="002B1131">
      <w:pPr>
        <w:pStyle w:val="FootnoteText"/>
      </w:pPr>
      <w:r>
        <w:rPr>
          <w:rStyle w:val="FootnoteReference"/>
        </w:rPr>
        <w:footnoteRef/>
      </w:r>
      <w:r>
        <w:t xml:space="preserve"> </w:t>
      </w:r>
      <w:r w:rsidRPr="00190251">
        <w:rPr>
          <w:i/>
        </w:rPr>
        <w:t xml:space="preserve">See </w:t>
      </w:r>
      <w:r w:rsidR="00505695" w:rsidRPr="00CD2713">
        <w:t xml:space="preserve">Sprint Opposition, Attach., </w:t>
      </w:r>
      <w:r>
        <w:t>Declaration of Susan M. Gately in Support of Sprint’s Opposition at 1-2 (</w:t>
      </w:r>
      <w:r w:rsidR="00505695">
        <w:t>dated</w:t>
      </w:r>
      <w:r>
        <w:t xml:space="preserve"> Nov. 18, 2015) (explaining </w:t>
      </w:r>
      <w:r w:rsidR="00A8449E">
        <w:t xml:space="preserve">that </w:t>
      </w:r>
      <w:r w:rsidR="009C375A">
        <w:t xml:space="preserve">with the time already provided, she has </w:t>
      </w:r>
      <w:r>
        <w:t>made “</w:t>
      </w:r>
      <w:r w:rsidRPr="004B48C4">
        <w:t>significant headway in understanding the data and the structure of the special access marketplace</w:t>
      </w:r>
      <w:r>
        <w:t>” and ha</w:t>
      </w:r>
      <w:r w:rsidR="009C375A">
        <w:t>s</w:t>
      </w:r>
      <w:r>
        <w:t xml:space="preserve"> “begun calculating key factors, such as market </w:t>
      </w:r>
      <w:r w:rsidR="009C375A">
        <w:t>shares and concentration ratios</w:t>
      </w:r>
      <w:r>
        <w:t>”).</w:t>
      </w:r>
    </w:p>
  </w:footnote>
  <w:footnote w:id="42">
    <w:p w14:paraId="3D55E485" w14:textId="77777777" w:rsidR="002B1131" w:rsidRDefault="002B1131" w:rsidP="002B1131">
      <w:pPr>
        <w:pStyle w:val="FootnoteText"/>
      </w:pPr>
      <w:r>
        <w:rPr>
          <w:rStyle w:val="FootnoteReference"/>
        </w:rPr>
        <w:footnoteRef/>
      </w:r>
      <w:r>
        <w:t xml:space="preserve"> Joint Reply at 3. </w:t>
      </w:r>
    </w:p>
  </w:footnote>
  <w:footnote w:id="43">
    <w:p w14:paraId="232C87B4" w14:textId="47E9B889" w:rsidR="00D3054E" w:rsidRDefault="00D3054E" w:rsidP="00D3054E">
      <w:pPr>
        <w:pStyle w:val="FootnoteText"/>
      </w:pPr>
      <w:r>
        <w:rPr>
          <w:rStyle w:val="FootnoteReference"/>
        </w:rPr>
        <w:footnoteRef/>
      </w:r>
      <w:r>
        <w:t xml:space="preserve"> Access to the information and data under </w:t>
      </w:r>
      <w:r w:rsidR="00337FAC" w:rsidRPr="0031423B">
        <w:t>the revised</w:t>
      </w:r>
      <w:r w:rsidR="0031423B">
        <w:t xml:space="preserve"> </w:t>
      </w:r>
      <w:r>
        <w:t>scheduling enables “adversarial c</w:t>
      </w:r>
      <w:r w:rsidR="00A8449E">
        <w:t>omment</w:t>
      </w:r>
      <w:r>
        <w:t xml:space="preserve">.”  </w:t>
      </w:r>
      <w:r w:rsidRPr="008F2ACC">
        <w:rPr>
          <w:i/>
        </w:rPr>
        <w:t>See</w:t>
      </w:r>
      <w:r>
        <w:t xml:space="preserve"> </w:t>
      </w:r>
      <w:r w:rsidRPr="007C2534">
        <w:rPr>
          <w:i/>
        </w:rPr>
        <w:t>Home Box Office, Inc. v. FCC</w:t>
      </w:r>
      <w:r w:rsidRPr="007C2534">
        <w:t>, 567 F.2d 9, 55 (D.C.</w:t>
      </w:r>
      <w:r>
        <w:t xml:space="preserve"> </w:t>
      </w:r>
      <w:r w:rsidRPr="007C2534">
        <w:t>Cir.)</w:t>
      </w:r>
      <w:r>
        <w:t xml:space="preserve">, </w:t>
      </w:r>
      <w:r w:rsidRPr="007C2534">
        <w:rPr>
          <w:i/>
        </w:rPr>
        <w:t>cert. denied</w:t>
      </w:r>
      <w:r w:rsidRPr="007C2534">
        <w:t>, 434 U.S. 829 (1977)</w:t>
      </w:r>
      <w:r w:rsidR="00A8449E">
        <w:t>.</w:t>
      </w:r>
    </w:p>
  </w:footnote>
  <w:footnote w:id="44">
    <w:p w14:paraId="7E5EBF81" w14:textId="77777777" w:rsidR="00275D75" w:rsidRDefault="00275D75" w:rsidP="00275D75">
      <w:pPr>
        <w:pStyle w:val="FootnoteText"/>
      </w:pPr>
      <w:r>
        <w:rPr>
          <w:rStyle w:val="FootnoteReference"/>
        </w:rPr>
        <w:footnoteRef/>
      </w:r>
      <w:r>
        <w:t xml:space="preserve"> </w:t>
      </w:r>
      <w:r w:rsidR="00A06ACE" w:rsidRPr="00830C6B">
        <w:rPr>
          <w:i/>
        </w:rPr>
        <w:t>See</w:t>
      </w:r>
      <w:r w:rsidR="00A06ACE">
        <w:t xml:space="preserve"> </w:t>
      </w:r>
      <w:r w:rsidRPr="00E211F9">
        <w:t>47 C.F.R. § 1.46</w:t>
      </w:r>
      <w:r>
        <w:t>(a).</w:t>
      </w:r>
    </w:p>
  </w:footnote>
  <w:footnote w:id="45">
    <w:p w14:paraId="13E5C422" w14:textId="77777777" w:rsidR="00275D75" w:rsidRDefault="00275D75" w:rsidP="00275D75">
      <w:pPr>
        <w:pStyle w:val="FootnoteText"/>
      </w:pPr>
      <w:r>
        <w:rPr>
          <w:rStyle w:val="FootnoteReference"/>
        </w:rPr>
        <w:footnoteRef/>
      </w:r>
      <w:r>
        <w:t xml:space="preserve"> </w:t>
      </w:r>
      <w:r>
        <w:rPr>
          <w:i/>
        </w:rPr>
        <w:t>See,</w:t>
      </w:r>
      <w:r w:rsidRPr="00B4046B">
        <w:rPr>
          <w:i/>
        </w:rPr>
        <w:t xml:space="preserve"> e.g.</w:t>
      </w:r>
      <w:r w:rsidRPr="00B4046B">
        <w:t xml:space="preserve">, </w:t>
      </w:r>
      <w:r w:rsidRPr="00B4046B">
        <w:rPr>
          <w:i/>
        </w:rPr>
        <w:t>Amendment of Parts 0, 1, 2, 15 and 18 of the Commission’s Rules regarding Authorization of Radiofrequency Equipment</w:t>
      </w:r>
      <w:r w:rsidR="00925878">
        <w:rPr>
          <w:i/>
        </w:rPr>
        <w:t>;</w:t>
      </w:r>
      <w:r w:rsidRPr="00B4046B">
        <w:rPr>
          <w:i/>
        </w:rPr>
        <w:t xml:space="preserve"> Request for the Allowance of Optional Electronic Labeling for Wireless Devices</w:t>
      </w:r>
      <w:r w:rsidRPr="00B4046B">
        <w:t>, ET Docket No. 15-170, RM-11673, Order, 30 FCC Rcd 8498</w:t>
      </w:r>
      <w:r>
        <w:t xml:space="preserve">, </w:t>
      </w:r>
      <w:r w:rsidRPr="00B4046B">
        <w:t>8499, para. 3 (</w:t>
      </w:r>
      <w:r w:rsidR="00A81D65">
        <w:t xml:space="preserve">OET </w:t>
      </w:r>
      <w:r w:rsidRPr="00B4046B">
        <w:t xml:space="preserve">2015) </w:t>
      </w:r>
      <w:r>
        <w:t xml:space="preserve">(extension to “provide </w:t>
      </w:r>
      <w:r w:rsidRPr="00B829CE">
        <w:t>sufficient time to address the complex technical issues</w:t>
      </w:r>
      <w:r>
        <w:t>”)</w:t>
      </w:r>
      <w:r w:rsidR="00925878">
        <w:t>;</w:t>
      </w:r>
      <w:r w:rsidR="00925878" w:rsidRPr="00925878">
        <w:rPr>
          <w:i/>
        </w:rPr>
        <w:t xml:space="preserve"> </w:t>
      </w:r>
      <w:r w:rsidR="00925878" w:rsidRPr="00EE7EE6">
        <w:rPr>
          <w:i/>
        </w:rPr>
        <w:t>Lifeline and Link Up Reform and Modernization</w:t>
      </w:r>
      <w:r w:rsidR="00925878">
        <w:rPr>
          <w:i/>
        </w:rPr>
        <w:t>;</w:t>
      </w:r>
      <w:r w:rsidR="00925878" w:rsidRPr="00EE7EE6">
        <w:rPr>
          <w:i/>
        </w:rPr>
        <w:t xml:space="preserve"> Telecommunications Carriers Eligible for Universal Service Support</w:t>
      </w:r>
      <w:r w:rsidR="00925878">
        <w:rPr>
          <w:i/>
        </w:rPr>
        <w:t>;</w:t>
      </w:r>
      <w:r w:rsidR="00925878" w:rsidRPr="00EE7EE6">
        <w:rPr>
          <w:i/>
        </w:rPr>
        <w:t xml:space="preserve"> </w:t>
      </w:r>
      <w:r w:rsidR="00925878" w:rsidRPr="008012D3">
        <w:rPr>
          <w:i/>
        </w:rPr>
        <w:t>Connect America Fun</w:t>
      </w:r>
      <w:r w:rsidR="00925878" w:rsidRPr="00CD2713">
        <w:rPr>
          <w:i/>
        </w:rPr>
        <w:t>d</w:t>
      </w:r>
      <w:r w:rsidR="00925878" w:rsidRPr="00EE7EE6">
        <w:t>, WC Docket No</w:t>
      </w:r>
      <w:r w:rsidR="00925878">
        <w:t>s</w:t>
      </w:r>
      <w:r w:rsidR="00925878" w:rsidRPr="00EE7EE6">
        <w:t xml:space="preserve">. </w:t>
      </w:r>
      <w:r w:rsidR="00925878">
        <w:t>11</w:t>
      </w:r>
      <w:r w:rsidR="00937A3A">
        <w:noBreakHyphen/>
      </w:r>
      <w:r w:rsidR="00925878">
        <w:t xml:space="preserve">42, 09-197, </w:t>
      </w:r>
      <w:r w:rsidR="00925878" w:rsidRPr="00EE7EE6">
        <w:t>10-90, Order, 30 FCC Rcd 8233, 8234</w:t>
      </w:r>
      <w:r w:rsidR="00925878">
        <w:t>,</w:t>
      </w:r>
      <w:r w:rsidR="00925878" w:rsidRPr="00EE7EE6">
        <w:t xml:space="preserve"> para. 5 (</w:t>
      </w:r>
      <w:r w:rsidR="00A81D65">
        <w:t xml:space="preserve">Wireline Comp. Bur. </w:t>
      </w:r>
      <w:r w:rsidR="00925878" w:rsidRPr="00EE7EE6">
        <w:t>2015)</w:t>
      </w:r>
      <w:r w:rsidR="00925878">
        <w:t xml:space="preserve"> (</w:t>
      </w:r>
      <w:r w:rsidR="00925878" w:rsidRPr="00EE7EE6">
        <w:t xml:space="preserve">extension to the reply comment filing deadline </w:t>
      </w:r>
      <w:r w:rsidR="00166745">
        <w:t>“</w:t>
      </w:r>
      <w:r w:rsidR="00925878" w:rsidRPr="00EE7EE6">
        <w:t>will facilitate more thorough and deliberate consideration of the issues raised in this proceeding</w:t>
      </w:r>
      <w:r w:rsidR="00925878">
        <w:t>”).</w:t>
      </w:r>
    </w:p>
  </w:footnote>
  <w:footnote w:id="46">
    <w:p w14:paraId="55D5E8B6" w14:textId="5379B1CD" w:rsidR="009C375A" w:rsidRDefault="009C375A">
      <w:pPr>
        <w:pStyle w:val="FootnoteText"/>
      </w:pPr>
      <w:r>
        <w:rPr>
          <w:rStyle w:val="FootnoteReference"/>
        </w:rPr>
        <w:footnoteRef/>
      </w:r>
      <w:r>
        <w:t xml:space="preserve"> </w:t>
      </w:r>
      <w:r w:rsidR="0031423B">
        <w:t xml:space="preserve">47 C.F.R. § 1.1200 </w:t>
      </w:r>
      <w:r w:rsidR="0031423B" w:rsidRPr="0031423B">
        <w:rPr>
          <w:i/>
        </w:rPr>
        <w:t>et seq</w:t>
      </w:r>
      <w:r w:rsidR="0031423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422C" w14:textId="77777777" w:rsidR="0091383B" w:rsidRDefault="00913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4186" w14:textId="32576783" w:rsidR="00D25FB5" w:rsidRDefault="00D25FB5" w:rsidP="00810B6F">
    <w:pPr>
      <w:pStyle w:val="Header"/>
      <w:rPr>
        <w:b w:val="0"/>
      </w:rPr>
    </w:pPr>
    <w:r>
      <w:tab/>
      <w:t>Federal Communications Commission</w:t>
    </w:r>
    <w:r>
      <w:tab/>
    </w:r>
    <w:r w:rsidR="00631AB7">
      <w:t xml:space="preserve">DA </w:t>
    </w:r>
    <w:r w:rsidR="00474F60">
      <w:t>15</w:t>
    </w:r>
    <w:r w:rsidR="00631AB7">
      <w:t>-</w:t>
    </w:r>
    <w:r w:rsidR="009C375A">
      <w:t>1473</w:t>
    </w:r>
  </w:p>
  <w:p w14:paraId="30BF6A07" w14:textId="77777777" w:rsidR="00D25FB5" w:rsidRDefault="00631AB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44E63C9" wp14:editId="1E56D4B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BD391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A5358CC"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641C" w14:textId="7E92BE87" w:rsidR="00D25FB5" w:rsidRDefault="00631AB7" w:rsidP="00810B6F">
    <w:pPr>
      <w:pStyle w:val="Header"/>
      <w:rPr>
        <w:b w:val="0"/>
      </w:rPr>
    </w:pPr>
    <w:r>
      <w:rPr>
        <w:noProof/>
      </w:rPr>
      <mc:AlternateContent>
        <mc:Choice Requires="wps">
          <w:drawing>
            <wp:anchor distT="0" distB="0" distL="114300" distR="114300" simplePos="0" relativeHeight="251658240" behindDoc="1" locked="0" layoutInCell="0" allowOverlap="1" wp14:anchorId="042C0B6A" wp14:editId="28BE903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154D1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 xml:space="preserve">DA </w:t>
    </w:r>
    <w:r w:rsidR="00474F60">
      <w:rPr>
        <w:spacing w:val="-2"/>
      </w:rPr>
      <w:t>15</w:t>
    </w:r>
    <w:r>
      <w:rPr>
        <w:spacing w:val="-2"/>
      </w:rPr>
      <w:t>-</w:t>
    </w:r>
    <w:r w:rsidR="009C375A">
      <w:rPr>
        <w:spacing w:val="-2"/>
      </w:rPr>
      <w:t>1473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B7"/>
    <w:rsid w:val="00000324"/>
    <w:rsid w:val="00005CE7"/>
    <w:rsid w:val="00006F5F"/>
    <w:rsid w:val="0001019B"/>
    <w:rsid w:val="00013802"/>
    <w:rsid w:val="00015305"/>
    <w:rsid w:val="00021364"/>
    <w:rsid w:val="0002360C"/>
    <w:rsid w:val="00025171"/>
    <w:rsid w:val="00033217"/>
    <w:rsid w:val="00036039"/>
    <w:rsid w:val="00037F90"/>
    <w:rsid w:val="0004096E"/>
    <w:rsid w:val="000513AD"/>
    <w:rsid w:val="00054EAD"/>
    <w:rsid w:val="00055319"/>
    <w:rsid w:val="000637CA"/>
    <w:rsid w:val="00066779"/>
    <w:rsid w:val="00076F09"/>
    <w:rsid w:val="000875BF"/>
    <w:rsid w:val="0009000B"/>
    <w:rsid w:val="0009023A"/>
    <w:rsid w:val="00096D8C"/>
    <w:rsid w:val="000971D6"/>
    <w:rsid w:val="000A408B"/>
    <w:rsid w:val="000A7BF2"/>
    <w:rsid w:val="000C0B65"/>
    <w:rsid w:val="000C1F4A"/>
    <w:rsid w:val="000C3A94"/>
    <w:rsid w:val="000C711F"/>
    <w:rsid w:val="000D24EB"/>
    <w:rsid w:val="000D4B90"/>
    <w:rsid w:val="000D7D10"/>
    <w:rsid w:val="000D7D9D"/>
    <w:rsid w:val="000E05FE"/>
    <w:rsid w:val="000E3D42"/>
    <w:rsid w:val="000E7363"/>
    <w:rsid w:val="000E790E"/>
    <w:rsid w:val="000F1957"/>
    <w:rsid w:val="000F4ACC"/>
    <w:rsid w:val="0010524C"/>
    <w:rsid w:val="00107B93"/>
    <w:rsid w:val="0011078A"/>
    <w:rsid w:val="001135CC"/>
    <w:rsid w:val="00120704"/>
    <w:rsid w:val="0012090A"/>
    <w:rsid w:val="001226E1"/>
    <w:rsid w:val="00122BD5"/>
    <w:rsid w:val="00124FB3"/>
    <w:rsid w:val="00133F79"/>
    <w:rsid w:val="0015649F"/>
    <w:rsid w:val="001606BD"/>
    <w:rsid w:val="00161723"/>
    <w:rsid w:val="00161B29"/>
    <w:rsid w:val="0016281B"/>
    <w:rsid w:val="00164C5F"/>
    <w:rsid w:val="00166745"/>
    <w:rsid w:val="0017017A"/>
    <w:rsid w:val="00172720"/>
    <w:rsid w:val="00183854"/>
    <w:rsid w:val="0019498A"/>
    <w:rsid w:val="00194A66"/>
    <w:rsid w:val="00195EAD"/>
    <w:rsid w:val="00196D18"/>
    <w:rsid w:val="001A0977"/>
    <w:rsid w:val="001A21DB"/>
    <w:rsid w:val="001A2592"/>
    <w:rsid w:val="001A4D1E"/>
    <w:rsid w:val="001A5AC3"/>
    <w:rsid w:val="001B2406"/>
    <w:rsid w:val="001D2A47"/>
    <w:rsid w:val="001D3E8F"/>
    <w:rsid w:val="001D4299"/>
    <w:rsid w:val="001D6BCF"/>
    <w:rsid w:val="001E01CA"/>
    <w:rsid w:val="001E11F7"/>
    <w:rsid w:val="001F0C5B"/>
    <w:rsid w:val="001F3E4C"/>
    <w:rsid w:val="002063E8"/>
    <w:rsid w:val="00213FD9"/>
    <w:rsid w:val="00217D99"/>
    <w:rsid w:val="0022698C"/>
    <w:rsid w:val="002338A4"/>
    <w:rsid w:val="00252CAB"/>
    <w:rsid w:val="00254CCA"/>
    <w:rsid w:val="00266B75"/>
    <w:rsid w:val="00266BC6"/>
    <w:rsid w:val="002724B7"/>
    <w:rsid w:val="00272C2D"/>
    <w:rsid w:val="00275CF5"/>
    <w:rsid w:val="00275D75"/>
    <w:rsid w:val="0028007E"/>
    <w:rsid w:val="0028301F"/>
    <w:rsid w:val="00283BD8"/>
    <w:rsid w:val="00285017"/>
    <w:rsid w:val="00294D66"/>
    <w:rsid w:val="00297F0C"/>
    <w:rsid w:val="002A2514"/>
    <w:rsid w:val="002A2D2E"/>
    <w:rsid w:val="002A3ADE"/>
    <w:rsid w:val="002A7883"/>
    <w:rsid w:val="002B1131"/>
    <w:rsid w:val="002B57E0"/>
    <w:rsid w:val="002C00E8"/>
    <w:rsid w:val="002C6454"/>
    <w:rsid w:val="002C6EE5"/>
    <w:rsid w:val="002D69CB"/>
    <w:rsid w:val="002D74E4"/>
    <w:rsid w:val="002D7A4D"/>
    <w:rsid w:val="002E0576"/>
    <w:rsid w:val="002E0986"/>
    <w:rsid w:val="002E3189"/>
    <w:rsid w:val="002E3F67"/>
    <w:rsid w:val="002E7065"/>
    <w:rsid w:val="002F5ED7"/>
    <w:rsid w:val="003059A0"/>
    <w:rsid w:val="0031423B"/>
    <w:rsid w:val="00320FF5"/>
    <w:rsid w:val="0032663B"/>
    <w:rsid w:val="00330CCF"/>
    <w:rsid w:val="00330F7C"/>
    <w:rsid w:val="0033189E"/>
    <w:rsid w:val="00337FA9"/>
    <w:rsid w:val="00337FAC"/>
    <w:rsid w:val="00343749"/>
    <w:rsid w:val="00345B85"/>
    <w:rsid w:val="00347422"/>
    <w:rsid w:val="0035400F"/>
    <w:rsid w:val="00365AD5"/>
    <w:rsid w:val="003660ED"/>
    <w:rsid w:val="0037148E"/>
    <w:rsid w:val="00376DC4"/>
    <w:rsid w:val="00376E37"/>
    <w:rsid w:val="003813F1"/>
    <w:rsid w:val="00387D5F"/>
    <w:rsid w:val="0039330A"/>
    <w:rsid w:val="003A1DB9"/>
    <w:rsid w:val="003A5731"/>
    <w:rsid w:val="003B0550"/>
    <w:rsid w:val="003B51FE"/>
    <w:rsid w:val="003B694F"/>
    <w:rsid w:val="003C1617"/>
    <w:rsid w:val="003D4832"/>
    <w:rsid w:val="003E2EFF"/>
    <w:rsid w:val="003E66A0"/>
    <w:rsid w:val="003E67B3"/>
    <w:rsid w:val="003E6809"/>
    <w:rsid w:val="003F171C"/>
    <w:rsid w:val="003F2A3E"/>
    <w:rsid w:val="003F308D"/>
    <w:rsid w:val="00403FB3"/>
    <w:rsid w:val="0040450A"/>
    <w:rsid w:val="00405A90"/>
    <w:rsid w:val="00412FC5"/>
    <w:rsid w:val="00415D29"/>
    <w:rsid w:val="00422276"/>
    <w:rsid w:val="004242F1"/>
    <w:rsid w:val="00431067"/>
    <w:rsid w:val="00442E72"/>
    <w:rsid w:val="00443760"/>
    <w:rsid w:val="00445A00"/>
    <w:rsid w:val="00451B0F"/>
    <w:rsid w:val="00466887"/>
    <w:rsid w:val="00474F60"/>
    <w:rsid w:val="00477D38"/>
    <w:rsid w:val="00481497"/>
    <w:rsid w:val="00493C81"/>
    <w:rsid w:val="004B0CF6"/>
    <w:rsid w:val="004B1EFB"/>
    <w:rsid w:val="004B4513"/>
    <w:rsid w:val="004B6946"/>
    <w:rsid w:val="004C2EE3"/>
    <w:rsid w:val="004C76DE"/>
    <w:rsid w:val="004D3E92"/>
    <w:rsid w:val="004D5E0F"/>
    <w:rsid w:val="004D6744"/>
    <w:rsid w:val="004E1A61"/>
    <w:rsid w:val="004E2414"/>
    <w:rsid w:val="004E4A22"/>
    <w:rsid w:val="004E5364"/>
    <w:rsid w:val="004F023E"/>
    <w:rsid w:val="004F05EF"/>
    <w:rsid w:val="004F173A"/>
    <w:rsid w:val="004F748B"/>
    <w:rsid w:val="005003B9"/>
    <w:rsid w:val="00505045"/>
    <w:rsid w:val="00505695"/>
    <w:rsid w:val="00511968"/>
    <w:rsid w:val="00520BCB"/>
    <w:rsid w:val="00521C95"/>
    <w:rsid w:val="0052695A"/>
    <w:rsid w:val="0053123C"/>
    <w:rsid w:val="00541A5D"/>
    <w:rsid w:val="0054681A"/>
    <w:rsid w:val="00553E2B"/>
    <w:rsid w:val="0055614C"/>
    <w:rsid w:val="005564A9"/>
    <w:rsid w:val="00560F74"/>
    <w:rsid w:val="005615C7"/>
    <w:rsid w:val="005750E7"/>
    <w:rsid w:val="00577010"/>
    <w:rsid w:val="005771DA"/>
    <w:rsid w:val="00582263"/>
    <w:rsid w:val="00586795"/>
    <w:rsid w:val="00594672"/>
    <w:rsid w:val="005A6769"/>
    <w:rsid w:val="005B08E7"/>
    <w:rsid w:val="005B21B0"/>
    <w:rsid w:val="005B2BFA"/>
    <w:rsid w:val="005B5B00"/>
    <w:rsid w:val="005C7CFB"/>
    <w:rsid w:val="005D2C5E"/>
    <w:rsid w:val="005D42EF"/>
    <w:rsid w:val="005E14C2"/>
    <w:rsid w:val="005E61DA"/>
    <w:rsid w:val="005F3448"/>
    <w:rsid w:val="005F41AC"/>
    <w:rsid w:val="005F69A5"/>
    <w:rsid w:val="005F7E1E"/>
    <w:rsid w:val="00601B13"/>
    <w:rsid w:val="0060446F"/>
    <w:rsid w:val="00607BA5"/>
    <w:rsid w:val="00607BFC"/>
    <w:rsid w:val="00610C40"/>
    <w:rsid w:val="0061180A"/>
    <w:rsid w:val="00615426"/>
    <w:rsid w:val="00615603"/>
    <w:rsid w:val="00617BBC"/>
    <w:rsid w:val="00626EB6"/>
    <w:rsid w:val="00631AB7"/>
    <w:rsid w:val="00636BA8"/>
    <w:rsid w:val="006454DC"/>
    <w:rsid w:val="00651068"/>
    <w:rsid w:val="006515B1"/>
    <w:rsid w:val="006515E0"/>
    <w:rsid w:val="00652291"/>
    <w:rsid w:val="00652C2D"/>
    <w:rsid w:val="00655AA7"/>
    <w:rsid w:val="00655D03"/>
    <w:rsid w:val="006573D6"/>
    <w:rsid w:val="00663119"/>
    <w:rsid w:val="00663F0B"/>
    <w:rsid w:val="00666551"/>
    <w:rsid w:val="00667919"/>
    <w:rsid w:val="00673921"/>
    <w:rsid w:val="00674A97"/>
    <w:rsid w:val="00677BDE"/>
    <w:rsid w:val="00683388"/>
    <w:rsid w:val="00683F84"/>
    <w:rsid w:val="006849A5"/>
    <w:rsid w:val="006911D4"/>
    <w:rsid w:val="00691E7D"/>
    <w:rsid w:val="00694C7F"/>
    <w:rsid w:val="00694D21"/>
    <w:rsid w:val="006956BE"/>
    <w:rsid w:val="006958B5"/>
    <w:rsid w:val="006A1057"/>
    <w:rsid w:val="006A6A81"/>
    <w:rsid w:val="006B6B19"/>
    <w:rsid w:val="006C3EA5"/>
    <w:rsid w:val="006C6EDF"/>
    <w:rsid w:val="006D2845"/>
    <w:rsid w:val="006D5310"/>
    <w:rsid w:val="006E4B48"/>
    <w:rsid w:val="006E4BD7"/>
    <w:rsid w:val="006F4A94"/>
    <w:rsid w:val="006F7393"/>
    <w:rsid w:val="00701436"/>
    <w:rsid w:val="00701A4B"/>
    <w:rsid w:val="0070224F"/>
    <w:rsid w:val="00703A38"/>
    <w:rsid w:val="00704FA7"/>
    <w:rsid w:val="00705254"/>
    <w:rsid w:val="00707390"/>
    <w:rsid w:val="007115F7"/>
    <w:rsid w:val="00726C99"/>
    <w:rsid w:val="00731BF5"/>
    <w:rsid w:val="00733DA0"/>
    <w:rsid w:val="00741682"/>
    <w:rsid w:val="007419F2"/>
    <w:rsid w:val="0074229D"/>
    <w:rsid w:val="00747135"/>
    <w:rsid w:val="0076371B"/>
    <w:rsid w:val="00764109"/>
    <w:rsid w:val="00764DEA"/>
    <w:rsid w:val="007664FD"/>
    <w:rsid w:val="0077097A"/>
    <w:rsid w:val="007723E0"/>
    <w:rsid w:val="00776D91"/>
    <w:rsid w:val="00785689"/>
    <w:rsid w:val="00792022"/>
    <w:rsid w:val="0079754B"/>
    <w:rsid w:val="007A15F0"/>
    <w:rsid w:val="007A1E6D"/>
    <w:rsid w:val="007A5A01"/>
    <w:rsid w:val="007A66AF"/>
    <w:rsid w:val="007B0373"/>
    <w:rsid w:val="007B0EB2"/>
    <w:rsid w:val="007B41FE"/>
    <w:rsid w:val="007B7AB3"/>
    <w:rsid w:val="007C345B"/>
    <w:rsid w:val="007C3B88"/>
    <w:rsid w:val="007C67D9"/>
    <w:rsid w:val="007D1759"/>
    <w:rsid w:val="007D267A"/>
    <w:rsid w:val="007D500E"/>
    <w:rsid w:val="007D7B41"/>
    <w:rsid w:val="007E375E"/>
    <w:rsid w:val="007E42C6"/>
    <w:rsid w:val="007E4F7F"/>
    <w:rsid w:val="007F4BC0"/>
    <w:rsid w:val="007F5E90"/>
    <w:rsid w:val="008012D3"/>
    <w:rsid w:val="00805D33"/>
    <w:rsid w:val="008079AD"/>
    <w:rsid w:val="0081056B"/>
    <w:rsid w:val="00810B6F"/>
    <w:rsid w:val="0081152C"/>
    <w:rsid w:val="0081519E"/>
    <w:rsid w:val="008203BF"/>
    <w:rsid w:val="008216FA"/>
    <w:rsid w:val="00822CAB"/>
    <w:rsid w:val="00822CE0"/>
    <w:rsid w:val="0082447F"/>
    <w:rsid w:val="0082704A"/>
    <w:rsid w:val="00830C6B"/>
    <w:rsid w:val="00832936"/>
    <w:rsid w:val="00841AB1"/>
    <w:rsid w:val="00843B5A"/>
    <w:rsid w:val="008466CA"/>
    <w:rsid w:val="00850A8B"/>
    <w:rsid w:val="0085277E"/>
    <w:rsid w:val="00853244"/>
    <w:rsid w:val="008561D2"/>
    <w:rsid w:val="00862DF4"/>
    <w:rsid w:val="0086723B"/>
    <w:rsid w:val="00885D29"/>
    <w:rsid w:val="00892119"/>
    <w:rsid w:val="00896079"/>
    <w:rsid w:val="008A5786"/>
    <w:rsid w:val="008A7006"/>
    <w:rsid w:val="008B1F7C"/>
    <w:rsid w:val="008B22E1"/>
    <w:rsid w:val="008B47B7"/>
    <w:rsid w:val="008B7BFE"/>
    <w:rsid w:val="008C1592"/>
    <w:rsid w:val="008C1EED"/>
    <w:rsid w:val="008C648D"/>
    <w:rsid w:val="008C68F1"/>
    <w:rsid w:val="008D2F0A"/>
    <w:rsid w:val="008D6730"/>
    <w:rsid w:val="008D6D67"/>
    <w:rsid w:val="008E0360"/>
    <w:rsid w:val="008E058E"/>
    <w:rsid w:val="008E5A66"/>
    <w:rsid w:val="008E602C"/>
    <w:rsid w:val="008E7F7B"/>
    <w:rsid w:val="008F0589"/>
    <w:rsid w:val="008F13A9"/>
    <w:rsid w:val="008F2ACC"/>
    <w:rsid w:val="00905EB2"/>
    <w:rsid w:val="0091383B"/>
    <w:rsid w:val="0092144A"/>
    <w:rsid w:val="00921803"/>
    <w:rsid w:val="009218E6"/>
    <w:rsid w:val="00925878"/>
    <w:rsid w:val="00926503"/>
    <w:rsid w:val="009272BF"/>
    <w:rsid w:val="00927C06"/>
    <w:rsid w:val="0093256C"/>
    <w:rsid w:val="00937A3A"/>
    <w:rsid w:val="009468B7"/>
    <w:rsid w:val="00950DE7"/>
    <w:rsid w:val="00956D20"/>
    <w:rsid w:val="00960F0F"/>
    <w:rsid w:val="00961696"/>
    <w:rsid w:val="009620EB"/>
    <w:rsid w:val="00965612"/>
    <w:rsid w:val="00965D9A"/>
    <w:rsid w:val="00967B71"/>
    <w:rsid w:val="009726D8"/>
    <w:rsid w:val="00974250"/>
    <w:rsid w:val="00977D0B"/>
    <w:rsid w:val="00990C61"/>
    <w:rsid w:val="00993331"/>
    <w:rsid w:val="00997102"/>
    <w:rsid w:val="009A1BBF"/>
    <w:rsid w:val="009B24EF"/>
    <w:rsid w:val="009B593B"/>
    <w:rsid w:val="009C0063"/>
    <w:rsid w:val="009C27A3"/>
    <w:rsid w:val="009C375A"/>
    <w:rsid w:val="009D12F6"/>
    <w:rsid w:val="009D3664"/>
    <w:rsid w:val="009E0169"/>
    <w:rsid w:val="009E0C1D"/>
    <w:rsid w:val="009E5B90"/>
    <w:rsid w:val="009F1B0F"/>
    <w:rsid w:val="009F76DB"/>
    <w:rsid w:val="00A00C16"/>
    <w:rsid w:val="00A01C81"/>
    <w:rsid w:val="00A021B8"/>
    <w:rsid w:val="00A0637C"/>
    <w:rsid w:val="00A06ACE"/>
    <w:rsid w:val="00A10300"/>
    <w:rsid w:val="00A11E47"/>
    <w:rsid w:val="00A20410"/>
    <w:rsid w:val="00A27502"/>
    <w:rsid w:val="00A32C3B"/>
    <w:rsid w:val="00A3362D"/>
    <w:rsid w:val="00A34282"/>
    <w:rsid w:val="00A36875"/>
    <w:rsid w:val="00A40E7F"/>
    <w:rsid w:val="00A43B5F"/>
    <w:rsid w:val="00A441CA"/>
    <w:rsid w:val="00A45F4F"/>
    <w:rsid w:val="00A538FB"/>
    <w:rsid w:val="00A5700E"/>
    <w:rsid w:val="00A600A9"/>
    <w:rsid w:val="00A60E09"/>
    <w:rsid w:val="00A62A6D"/>
    <w:rsid w:val="00A6588D"/>
    <w:rsid w:val="00A66D6C"/>
    <w:rsid w:val="00A74757"/>
    <w:rsid w:val="00A81D65"/>
    <w:rsid w:val="00A8449E"/>
    <w:rsid w:val="00A90ED4"/>
    <w:rsid w:val="00A93E91"/>
    <w:rsid w:val="00AA1876"/>
    <w:rsid w:val="00AA55B7"/>
    <w:rsid w:val="00AA581A"/>
    <w:rsid w:val="00AA5B9E"/>
    <w:rsid w:val="00AB2407"/>
    <w:rsid w:val="00AB53DF"/>
    <w:rsid w:val="00AB7B99"/>
    <w:rsid w:val="00AC1543"/>
    <w:rsid w:val="00AC4A12"/>
    <w:rsid w:val="00AD2ABD"/>
    <w:rsid w:val="00AD40B8"/>
    <w:rsid w:val="00AD4809"/>
    <w:rsid w:val="00AD68AF"/>
    <w:rsid w:val="00AE12BE"/>
    <w:rsid w:val="00AE366C"/>
    <w:rsid w:val="00B07E5C"/>
    <w:rsid w:val="00B15129"/>
    <w:rsid w:val="00B27CEA"/>
    <w:rsid w:val="00B31B14"/>
    <w:rsid w:val="00B4046B"/>
    <w:rsid w:val="00B40512"/>
    <w:rsid w:val="00B45D76"/>
    <w:rsid w:val="00B47B85"/>
    <w:rsid w:val="00B52E67"/>
    <w:rsid w:val="00B6096D"/>
    <w:rsid w:val="00B67A52"/>
    <w:rsid w:val="00B67DC2"/>
    <w:rsid w:val="00B71975"/>
    <w:rsid w:val="00B71AD5"/>
    <w:rsid w:val="00B7298E"/>
    <w:rsid w:val="00B77C7A"/>
    <w:rsid w:val="00B811F7"/>
    <w:rsid w:val="00B829CE"/>
    <w:rsid w:val="00B91B96"/>
    <w:rsid w:val="00B97F1D"/>
    <w:rsid w:val="00BA4F66"/>
    <w:rsid w:val="00BA50AE"/>
    <w:rsid w:val="00BA54F7"/>
    <w:rsid w:val="00BA5DC6"/>
    <w:rsid w:val="00BA6196"/>
    <w:rsid w:val="00BA655F"/>
    <w:rsid w:val="00BC0F80"/>
    <w:rsid w:val="00BC32C1"/>
    <w:rsid w:val="00BC3C16"/>
    <w:rsid w:val="00BC6155"/>
    <w:rsid w:val="00BC6D8C"/>
    <w:rsid w:val="00BE2FE9"/>
    <w:rsid w:val="00BF0D21"/>
    <w:rsid w:val="00BF233F"/>
    <w:rsid w:val="00BF7759"/>
    <w:rsid w:val="00C0286F"/>
    <w:rsid w:val="00C04A8B"/>
    <w:rsid w:val="00C05B66"/>
    <w:rsid w:val="00C11A06"/>
    <w:rsid w:val="00C14982"/>
    <w:rsid w:val="00C20C28"/>
    <w:rsid w:val="00C20E56"/>
    <w:rsid w:val="00C248E7"/>
    <w:rsid w:val="00C2583B"/>
    <w:rsid w:val="00C269E5"/>
    <w:rsid w:val="00C307CA"/>
    <w:rsid w:val="00C339EA"/>
    <w:rsid w:val="00C34006"/>
    <w:rsid w:val="00C35FE7"/>
    <w:rsid w:val="00C365C0"/>
    <w:rsid w:val="00C400F1"/>
    <w:rsid w:val="00C40302"/>
    <w:rsid w:val="00C426B1"/>
    <w:rsid w:val="00C4FFA1"/>
    <w:rsid w:val="00C52528"/>
    <w:rsid w:val="00C602BB"/>
    <w:rsid w:val="00C61148"/>
    <w:rsid w:val="00C66160"/>
    <w:rsid w:val="00C67020"/>
    <w:rsid w:val="00C721AC"/>
    <w:rsid w:val="00C72242"/>
    <w:rsid w:val="00C81097"/>
    <w:rsid w:val="00C845CB"/>
    <w:rsid w:val="00C90D6A"/>
    <w:rsid w:val="00C92B74"/>
    <w:rsid w:val="00CA043F"/>
    <w:rsid w:val="00CA047F"/>
    <w:rsid w:val="00CA247E"/>
    <w:rsid w:val="00CB279A"/>
    <w:rsid w:val="00CB3FEB"/>
    <w:rsid w:val="00CB68B0"/>
    <w:rsid w:val="00CB6966"/>
    <w:rsid w:val="00CB6FA3"/>
    <w:rsid w:val="00CC72B6"/>
    <w:rsid w:val="00CD2713"/>
    <w:rsid w:val="00CE56C7"/>
    <w:rsid w:val="00D00CE1"/>
    <w:rsid w:val="00D0218D"/>
    <w:rsid w:val="00D056B6"/>
    <w:rsid w:val="00D07344"/>
    <w:rsid w:val="00D15FD5"/>
    <w:rsid w:val="00D1EE2E"/>
    <w:rsid w:val="00D24E37"/>
    <w:rsid w:val="00D25FB5"/>
    <w:rsid w:val="00D3054E"/>
    <w:rsid w:val="00D3184A"/>
    <w:rsid w:val="00D335AC"/>
    <w:rsid w:val="00D410E7"/>
    <w:rsid w:val="00D42966"/>
    <w:rsid w:val="00D44223"/>
    <w:rsid w:val="00D468F9"/>
    <w:rsid w:val="00D52734"/>
    <w:rsid w:val="00D53A4E"/>
    <w:rsid w:val="00D61293"/>
    <w:rsid w:val="00D61DED"/>
    <w:rsid w:val="00D6778E"/>
    <w:rsid w:val="00D80880"/>
    <w:rsid w:val="00D85E19"/>
    <w:rsid w:val="00D90DB9"/>
    <w:rsid w:val="00D970D5"/>
    <w:rsid w:val="00DA0EC2"/>
    <w:rsid w:val="00DA2529"/>
    <w:rsid w:val="00DB130A"/>
    <w:rsid w:val="00DB173F"/>
    <w:rsid w:val="00DB2EBB"/>
    <w:rsid w:val="00DC10A1"/>
    <w:rsid w:val="00DC2261"/>
    <w:rsid w:val="00DC655F"/>
    <w:rsid w:val="00DD0B59"/>
    <w:rsid w:val="00DD13DC"/>
    <w:rsid w:val="00DD2D01"/>
    <w:rsid w:val="00DD7EBD"/>
    <w:rsid w:val="00DE35AA"/>
    <w:rsid w:val="00DF60E0"/>
    <w:rsid w:val="00DF62B6"/>
    <w:rsid w:val="00E00E87"/>
    <w:rsid w:val="00E07225"/>
    <w:rsid w:val="00E211F9"/>
    <w:rsid w:val="00E376CA"/>
    <w:rsid w:val="00E506F8"/>
    <w:rsid w:val="00E5409F"/>
    <w:rsid w:val="00E54AE9"/>
    <w:rsid w:val="00E57A70"/>
    <w:rsid w:val="00E677AF"/>
    <w:rsid w:val="00E713FE"/>
    <w:rsid w:val="00E81350"/>
    <w:rsid w:val="00E82D05"/>
    <w:rsid w:val="00E91414"/>
    <w:rsid w:val="00EA0006"/>
    <w:rsid w:val="00EB53DE"/>
    <w:rsid w:val="00EB60C4"/>
    <w:rsid w:val="00EC46D4"/>
    <w:rsid w:val="00EC592D"/>
    <w:rsid w:val="00EE0FB5"/>
    <w:rsid w:val="00EE3C20"/>
    <w:rsid w:val="00EE4A82"/>
    <w:rsid w:val="00EE6488"/>
    <w:rsid w:val="00EE7EE6"/>
    <w:rsid w:val="00EF057E"/>
    <w:rsid w:val="00EF08A1"/>
    <w:rsid w:val="00EF22DE"/>
    <w:rsid w:val="00F01858"/>
    <w:rsid w:val="00F021FA"/>
    <w:rsid w:val="00F12C2C"/>
    <w:rsid w:val="00F13C28"/>
    <w:rsid w:val="00F14CDC"/>
    <w:rsid w:val="00F24737"/>
    <w:rsid w:val="00F34596"/>
    <w:rsid w:val="00F40AB5"/>
    <w:rsid w:val="00F4193F"/>
    <w:rsid w:val="00F420DF"/>
    <w:rsid w:val="00F431E2"/>
    <w:rsid w:val="00F518C4"/>
    <w:rsid w:val="00F5324E"/>
    <w:rsid w:val="00F602A5"/>
    <w:rsid w:val="00F62A15"/>
    <w:rsid w:val="00F62E97"/>
    <w:rsid w:val="00F64209"/>
    <w:rsid w:val="00F651FD"/>
    <w:rsid w:val="00F67B79"/>
    <w:rsid w:val="00F7075A"/>
    <w:rsid w:val="00F748F2"/>
    <w:rsid w:val="00F8526B"/>
    <w:rsid w:val="00F85D32"/>
    <w:rsid w:val="00F86DBB"/>
    <w:rsid w:val="00F915D8"/>
    <w:rsid w:val="00F93BF5"/>
    <w:rsid w:val="00FA2C9C"/>
    <w:rsid w:val="00FA59A2"/>
    <w:rsid w:val="00FC008A"/>
    <w:rsid w:val="00FC1BC4"/>
    <w:rsid w:val="00FC39DC"/>
    <w:rsid w:val="00FC53DB"/>
    <w:rsid w:val="00FC7340"/>
    <w:rsid w:val="00FD2308"/>
    <w:rsid w:val="00FD78AB"/>
    <w:rsid w:val="00FD7976"/>
    <w:rsid w:val="00FE5049"/>
    <w:rsid w:val="00FE7190"/>
    <w:rsid w:val="00FF0D01"/>
    <w:rsid w:val="00FF37C1"/>
    <w:rsid w:val="00FF3A1A"/>
    <w:rsid w:val="01A249EC"/>
    <w:rsid w:val="01A78E38"/>
    <w:rsid w:val="0249B54A"/>
    <w:rsid w:val="024A1793"/>
    <w:rsid w:val="0278B344"/>
    <w:rsid w:val="031B05B1"/>
    <w:rsid w:val="0353E7B0"/>
    <w:rsid w:val="037F4703"/>
    <w:rsid w:val="039A3E02"/>
    <w:rsid w:val="046416D4"/>
    <w:rsid w:val="04E77D0A"/>
    <w:rsid w:val="04EE73F1"/>
    <w:rsid w:val="0605A8B1"/>
    <w:rsid w:val="062BBE01"/>
    <w:rsid w:val="06456A09"/>
    <w:rsid w:val="067A154A"/>
    <w:rsid w:val="06F8B528"/>
    <w:rsid w:val="072E67BF"/>
    <w:rsid w:val="073715BA"/>
    <w:rsid w:val="07B7A33E"/>
    <w:rsid w:val="0859A892"/>
    <w:rsid w:val="08A17833"/>
    <w:rsid w:val="08D78698"/>
    <w:rsid w:val="0912FEC8"/>
    <w:rsid w:val="092C7E37"/>
    <w:rsid w:val="0984AF55"/>
    <w:rsid w:val="0985DBE7"/>
    <w:rsid w:val="0A38A19C"/>
    <w:rsid w:val="0A8233F0"/>
    <w:rsid w:val="0AA9FE95"/>
    <w:rsid w:val="0B037D08"/>
    <w:rsid w:val="0B20DDE2"/>
    <w:rsid w:val="0BBFE600"/>
    <w:rsid w:val="0D9893D0"/>
    <w:rsid w:val="0DBC9B56"/>
    <w:rsid w:val="0E17560B"/>
    <w:rsid w:val="0E7676F6"/>
    <w:rsid w:val="0E8B69F8"/>
    <w:rsid w:val="0E9FA4BF"/>
    <w:rsid w:val="0FAE4886"/>
    <w:rsid w:val="105F2039"/>
    <w:rsid w:val="109DC8CC"/>
    <w:rsid w:val="11783C24"/>
    <w:rsid w:val="12442B99"/>
    <w:rsid w:val="128C9054"/>
    <w:rsid w:val="12C63784"/>
    <w:rsid w:val="12D9B5F3"/>
    <w:rsid w:val="130952DB"/>
    <w:rsid w:val="131300B6"/>
    <w:rsid w:val="13161AEE"/>
    <w:rsid w:val="13FF4917"/>
    <w:rsid w:val="149C1259"/>
    <w:rsid w:val="150A4E9F"/>
    <w:rsid w:val="15B90895"/>
    <w:rsid w:val="15DF9595"/>
    <w:rsid w:val="176FA5FD"/>
    <w:rsid w:val="17DA31EA"/>
    <w:rsid w:val="18175A57"/>
    <w:rsid w:val="18E038C9"/>
    <w:rsid w:val="192F9F03"/>
    <w:rsid w:val="19AF1620"/>
    <w:rsid w:val="19C266D6"/>
    <w:rsid w:val="19CF5B3F"/>
    <w:rsid w:val="1A323872"/>
    <w:rsid w:val="1A9532EA"/>
    <w:rsid w:val="1AD85CF6"/>
    <w:rsid w:val="1B1120EC"/>
    <w:rsid w:val="1B14F0A5"/>
    <w:rsid w:val="1B64ACD1"/>
    <w:rsid w:val="1C16A420"/>
    <w:rsid w:val="1C20F506"/>
    <w:rsid w:val="1CD3A490"/>
    <w:rsid w:val="1CD6861B"/>
    <w:rsid w:val="1CE52605"/>
    <w:rsid w:val="1DD27D9A"/>
    <w:rsid w:val="1DE5D3D0"/>
    <w:rsid w:val="1E8ADFEB"/>
    <w:rsid w:val="1EB31810"/>
    <w:rsid w:val="1ED2F9EB"/>
    <w:rsid w:val="1F5A8BA8"/>
    <w:rsid w:val="200F0CD1"/>
    <w:rsid w:val="2044F19A"/>
    <w:rsid w:val="208EBEF9"/>
    <w:rsid w:val="20C01299"/>
    <w:rsid w:val="214CB76B"/>
    <w:rsid w:val="2165F5F3"/>
    <w:rsid w:val="21C6204F"/>
    <w:rsid w:val="21D08DDB"/>
    <w:rsid w:val="2221D20B"/>
    <w:rsid w:val="225DEDA2"/>
    <w:rsid w:val="22A6CE36"/>
    <w:rsid w:val="22D9230D"/>
    <w:rsid w:val="236213D1"/>
    <w:rsid w:val="2370A764"/>
    <w:rsid w:val="23AEE896"/>
    <w:rsid w:val="23B793D7"/>
    <w:rsid w:val="24370733"/>
    <w:rsid w:val="24DF942F"/>
    <w:rsid w:val="24DFE7C3"/>
    <w:rsid w:val="2687F452"/>
    <w:rsid w:val="27B1366C"/>
    <w:rsid w:val="27CAA04F"/>
    <w:rsid w:val="27D8D977"/>
    <w:rsid w:val="28282569"/>
    <w:rsid w:val="285F4100"/>
    <w:rsid w:val="28615AFC"/>
    <w:rsid w:val="28870E03"/>
    <w:rsid w:val="28F6C398"/>
    <w:rsid w:val="29592F2E"/>
    <w:rsid w:val="29779E35"/>
    <w:rsid w:val="29A76F51"/>
    <w:rsid w:val="29D953EE"/>
    <w:rsid w:val="2A091A72"/>
    <w:rsid w:val="2A1247FB"/>
    <w:rsid w:val="2A62B4EC"/>
    <w:rsid w:val="2A885065"/>
    <w:rsid w:val="2AA21E93"/>
    <w:rsid w:val="2B038372"/>
    <w:rsid w:val="2B6520A2"/>
    <w:rsid w:val="2BDD5B35"/>
    <w:rsid w:val="2C4E4179"/>
    <w:rsid w:val="2C9D2B22"/>
    <w:rsid w:val="2CCE895A"/>
    <w:rsid w:val="2D5B651A"/>
    <w:rsid w:val="2D7074C2"/>
    <w:rsid w:val="2E574DE4"/>
    <w:rsid w:val="2EDA99D2"/>
    <w:rsid w:val="2F4A357B"/>
    <w:rsid w:val="2FC1C42A"/>
    <w:rsid w:val="2FE3373E"/>
    <w:rsid w:val="302A39DC"/>
    <w:rsid w:val="30312F60"/>
    <w:rsid w:val="30A370EA"/>
    <w:rsid w:val="313288CC"/>
    <w:rsid w:val="31EF851F"/>
    <w:rsid w:val="322EA209"/>
    <w:rsid w:val="328A2511"/>
    <w:rsid w:val="332689AC"/>
    <w:rsid w:val="334564D0"/>
    <w:rsid w:val="33741EE6"/>
    <w:rsid w:val="33D65D62"/>
    <w:rsid w:val="34411EE6"/>
    <w:rsid w:val="35AD1552"/>
    <w:rsid w:val="35F96A2D"/>
    <w:rsid w:val="363FEE38"/>
    <w:rsid w:val="366570CC"/>
    <w:rsid w:val="36ED6A89"/>
    <w:rsid w:val="37138237"/>
    <w:rsid w:val="371E873B"/>
    <w:rsid w:val="379737E4"/>
    <w:rsid w:val="37E60448"/>
    <w:rsid w:val="3811B058"/>
    <w:rsid w:val="382AE9C8"/>
    <w:rsid w:val="3845C7E2"/>
    <w:rsid w:val="38ADB3CA"/>
    <w:rsid w:val="392EB8A2"/>
    <w:rsid w:val="3A6DA698"/>
    <w:rsid w:val="3B2C9250"/>
    <w:rsid w:val="3B4C36C2"/>
    <w:rsid w:val="3B51FEB9"/>
    <w:rsid w:val="3BA3CD6B"/>
    <w:rsid w:val="3D5D50D7"/>
    <w:rsid w:val="3E0C0F89"/>
    <w:rsid w:val="3E6E5A5C"/>
    <w:rsid w:val="3E97F5A5"/>
    <w:rsid w:val="3EDFDCD4"/>
    <w:rsid w:val="3EE4CE87"/>
    <w:rsid w:val="405F8A00"/>
    <w:rsid w:val="4121E328"/>
    <w:rsid w:val="41E2B0F3"/>
    <w:rsid w:val="423DAF8C"/>
    <w:rsid w:val="42662B95"/>
    <w:rsid w:val="4353B55C"/>
    <w:rsid w:val="4398A1B3"/>
    <w:rsid w:val="43D4F2E1"/>
    <w:rsid w:val="442202B1"/>
    <w:rsid w:val="455A156B"/>
    <w:rsid w:val="456A8238"/>
    <w:rsid w:val="456DF3C5"/>
    <w:rsid w:val="45938C84"/>
    <w:rsid w:val="45AE7631"/>
    <w:rsid w:val="45AFAD5B"/>
    <w:rsid w:val="46327D14"/>
    <w:rsid w:val="47232C4A"/>
    <w:rsid w:val="47FEEA99"/>
    <w:rsid w:val="4918F134"/>
    <w:rsid w:val="49349739"/>
    <w:rsid w:val="4993880D"/>
    <w:rsid w:val="49B4EECA"/>
    <w:rsid w:val="49FFF44E"/>
    <w:rsid w:val="4A1DEEFE"/>
    <w:rsid w:val="4A2AA85C"/>
    <w:rsid w:val="4A50EDC3"/>
    <w:rsid w:val="4AE202FB"/>
    <w:rsid w:val="4B0DF34B"/>
    <w:rsid w:val="4B3911DC"/>
    <w:rsid w:val="4BC2BBD6"/>
    <w:rsid w:val="4BCFE56E"/>
    <w:rsid w:val="4BD6352D"/>
    <w:rsid w:val="4BE3B418"/>
    <w:rsid w:val="4CB4A077"/>
    <w:rsid w:val="4DDDBD12"/>
    <w:rsid w:val="4E57338B"/>
    <w:rsid w:val="4E991D94"/>
    <w:rsid w:val="4F6003C8"/>
    <w:rsid w:val="4F98A85E"/>
    <w:rsid w:val="500850FD"/>
    <w:rsid w:val="503CAA0D"/>
    <w:rsid w:val="5158DE71"/>
    <w:rsid w:val="51956AAA"/>
    <w:rsid w:val="521F1246"/>
    <w:rsid w:val="52C1FC2B"/>
    <w:rsid w:val="53268E57"/>
    <w:rsid w:val="5396A8EF"/>
    <w:rsid w:val="5675A27D"/>
    <w:rsid w:val="56998D5D"/>
    <w:rsid w:val="570AA255"/>
    <w:rsid w:val="5729F0D5"/>
    <w:rsid w:val="577AA6C2"/>
    <w:rsid w:val="57FA6060"/>
    <w:rsid w:val="58598E41"/>
    <w:rsid w:val="58649C7A"/>
    <w:rsid w:val="5913FD98"/>
    <w:rsid w:val="592A7064"/>
    <w:rsid w:val="59BA2A56"/>
    <w:rsid w:val="59BD74A5"/>
    <w:rsid w:val="5A2611F1"/>
    <w:rsid w:val="5A5D9588"/>
    <w:rsid w:val="5A80B25E"/>
    <w:rsid w:val="5B66A9A9"/>
    <w:rsid w:val="5B734244"/>
    <w:rsid w:val="5D020355"/>
    <w:rsid w:val="5D15883F"/>
    <w:rsid w:val="5D5D33C4"/>
    <w:rsid w:val="5D7B9A91"/>
    <w:rsid w:val="5DD6A164"/>
    <w:rsid w:val="5DE744C3"/>
    <w:rsid w:val="5E9925E7"/>
    <w:rsid w:val="5EE2ABA1"/>
    <w:rsid w:val="5F13DCBF"/>
    <w:rsid w:val="5F43AF9A"/>
    <w:rsid w:val="5F80C952"/>
    <w:rsid w:val="5FA0B367"/>
    <w:rsid w:val="60E9BFCE"/>
    <w:rsid w:val="6133B149"/>
    <w:rsid w:val="618354EC"/>
    <w:rsid w:val="6189A5A6"/>
    <w:rsid w:val="61B16D91"/>
    <w:rsid w:val="628F5693"/>
    <w:rsid w:val="63195A9C"/>
    <w:rsid w:val="633AA15A"/>
    <w:rsid w:val="6356C231"/>
    <w:rsid w:val="6384B7B5"/>
    <w:rsid w:val="63AABA33"/>
    <w:rsid w:val="64158D26"/>
    <w:rsid w:val="6462850C"/>
    <w:rsid w:val="64A19246"/>
    <w:rsid w:val="65F466D0"/>
    <w:rsid w:val="666A03BC"/>
    <w:rsid w:val="668F3A8E"/>
    <w:rsid w:val="66D24798"/>
    <w:rsid w:val="67773FE6"/>
    <w:rsid w:val="678A4BBD"/>
    <w:rsid w:val="684581A8"/>
    <w:rsid w:val="68DA2A2B"/>
    <w:rsid w:val="6910DEBD"/>
    <w:rsid w:val="69CA5358"/>
    <w:rsid w:val="6A141C9A"/>
    <w:rsid w:val="6A7C8195"/>
    <w:rsid w:val="6AA571F5"/>
    <w:rsid w:val="6BAA96A1"/>
    <w:rsid w:val="6BB0408F"/>
    <w:rsid w:val="6CEE38E1"/>
    <w:rsid w:val="6D5FDB7D"/>
    <w:rsid w:val="6D61E1AC"/>
    <w:rsid w:val="6D72B57E"/>
    <w:rsid w:val="6DF76232"/>
    <w:rsid w:val="6E87677E"/>
    <w:rsid w:val="6E897F1C"/>
    <w:rsid w:val="6EB2DA9E"/>
    <w:rsid w:val="6EE41813"/>
    <w:rsid w:val="6F12E1D9"/>
    <w:rsid w:val="6F386E41"/>
    <w:rsid w:val="6F7AD0BE"/>
    <w:rsid w:val="6FF13FD1"/>
    <w:rsid w:val="70932B39"/>
    <w:rsid w:val="710BCA73"/>
    <w:rsid w:val="7139D7E1"/>
    <w:rsid w:val="71461F46"/>
    <w:rsid w:val="720B09E3"/>
    <w:rsid w:val="740B35DE"/>
    <w:rsid w:val="74DC9436"/>
    <w:rsid w:val="771C114F"/>
    <w:rsid w:val="775581ED"/>
    <w:rsid w:val="77902637"/>
    <w:rsid w:val="787DAFFE"/>
    <w:rsid w:val="78893D26"/>
    <w:rsid w:val="78AA11EB"/>
    <w:rsid w:val="79B2DE0B"/>
    <w:rsid w:val="7A5763C1"/>
    <w:rsid w:val="7A744C27"/>
    <w:rsid w:val="7AEAA666"/>
    <w:rsid w:val="7B081853"/>
    <w:rsid w:val="7B42AD49"/>
    <w:rsid w:val="7B600E23"/>
    <w:rsid w:val="7BF03015"/>
    <w:rsid w:val="7BF315BD"/>
    <w:rsid w:val="7C00FD10"/>
    <w:rsid w:val="7D6946E4"/>
    <w:rsid w:val="7D8E361D"/>
    <w:rsid w:val="7DCD1C19"/>
    <w:rsid w:val="7E140DA4"/>
    <w:rsid w:val="7EA847AC"/>
    <w:rsid w:val="7EC4B7FA"/>
    <w:rsid w:val="7EC8C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729C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4E"/>
    <w:rPr>
      <w:rFonts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7"/>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631AB7"/>
  </w:style>
  <w:style w:type="character" w:customStyle="1" w:styleId="ParaNumCharChar1">
    <w:name w:val="ParaNum Char Char1"/>
    <w:link w:val="ParaNum"/>
    <w:rsid w:val="00631AB7"/>
    <w:rPr>
      <w:snapToGrid w:val="0"/>
      <w:kern w:val="28"/>
      <w:sz w:val="22"/>
    </w:rPr>
  </w:style>
  <w:style w:type="character" w:styleId="CommentReference">
    <w:name w:val="annotation reference"/>
    <w:basedOn w:val="DefaultParagraphFont"/>
    <w:rsid w:val="00EC46D4"/>
    <w:rPr>
      <w:sz w:val="16"/>
      <w:szCs w:val="16"/>
    </w:rPr>
  </w:style>
  <w:style w:type="paragraph" w:styleId="CommentText">
    <w:name w:val="annotation text"/>
    <w:basedOn w:val="Normal"/>
    <w:link w:val="CommentTextChar"/>
    <w:rsid w:val="00EC46D4"/>
    <w:rPr>
      <w:sz w:val="20"/>
    </w:rPr>
  </w:style>
  <w:style w:type="character" w:customStyle="1" w:styleId="CommentTextChar">
    <w:name w:val="Comment Text Char"/>
    <w:basedOn w:val="DefaultParagraphFont"/>
    <w:link w:val="CommentText"/>
    <w:rsid w:val="00EC46D4"/>
    <w:rPr>
      <w:snapToGrid w:val="0"/>
      <w:kern w:val="28"/>
    </w:rPr>
  </w:style>
  <w:style w:type="paragraph" w:styleId="CommentSubject">
    <w:name w:val="annotation subject"/>
    <w:basedOn w:val="CommentText"/>
    <w:next w:val="CommentText"/>
    <w:link w:val="CommentSubjectChar"/>
    <w:rsid w:val="00EC46D4"/>
    <w:rPr>
      <w:b/>
      <w:bCs/>
    </w:rPr>
  </w:style>
  <w:style w:type="character" w:customStyle="1" w:styleId="CommentSubjectChar">
    <w:name w:val="Comment Subject Char"/>
    <w:basedOn w:val="CommentTextChar"/>
    <w:link w:val="CommentSubject"/>
    <w:rsid w:val="00EC46D4"/>
    <w:rPr>
      <w:b/>
      <w:bCs/>
      <w:snapToGrid w:val="0"/>
      <w:kern w:val="28"/>
    </w:rPr>
  </w:style>
  <w:style w:type="paragraph" w:styleId="BalloonText">
    <w:name w:val="Balloon Text"/>
    <w:basedOn w:val="Normal"/>
    <w:link w:val="BalloonTextChar"/>
    <w:rsid w:val="00EC46D4"/>
    <w:rPr>
      <w:rFonts w:ascii="Tahoma" w:hAnsi="Tahoma" w:cs="Tahoma"/>
      <w:sz w:val="16"/>
      <w:szCs w:val="16"/>
    </w:rPr>
  </w:style>
  <w:style w:type="character" w:customStyle="1" w:styleId="BalloonTextChar">
    <w:name w:val="Balloon Text Char"/>
    <w:basedOn w:val="DefaultParagraphFont"/>
    <w:link w:val="BalloonText"/>
    <w:rsid w:val="00EC46D4"/>
    <w:rPr>
      <w:rFonts w:ascii="Tahoma" w:hAnsi="Tahoma" w:cs="Tahoma"/>
      <w:snapToGrid w:val="0"/>
      <w:kern w:val="28"/>
      <w:sz w:val="16"/>
      <w:szCs w:val="16"/>
    </w:rPr>
  </w:style>
  <w:style w:type="character" w:customStyle="1" w:styleId="ptext-1">
    <w:name w:val="ptext-1"/>
    <w:basedOn w:val="DefaultParagraphFont"/>
    <w:rsid w:val="003E2EFF"/>
  </w:style>
  <w:style w:type="paragraph" w:styleId="Revision">
    <w:name w:val="Revision"/>
    <w:hidden/>
    <w:uiPriority w:val="99"/>
    <w:semiHidden/>
    <w:rsid w:val="00701436"/>
    <w:rPr>
      <w:snapToGrid w:val="0"/>
      <w:kern w:val="28"/>
      <w:sz w:val="22"/>
    </w:rPr>
  </w:style>
  <w:style w:type="character" w:styleId="FollowedHyperlink">
    <w:name w:val="FollowedHyperlink"/>
    <w:basedOn w:val="DefaultParagraphFont"/>
    <w:semiHidden/>
    <w:unhideWhenUsed/>
    <w:rsid w:val="00A103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4E"/>
    <w:rPr>
      <w:rFonts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7"/>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631AB7"/>
  </w:style>
  <w:style w:type="character" w:customStyle="1" w:styleId="ParaNumCharChar1">
    <w:name w:val="ParaNum Char Char1"/>
    <w:link w:val="ParaNum"/>
    <w:rsid w:val="00631AB7"/>
    <w:rPr>
      <w:snapToGrid w:val="0"/>
      <w:kern w:val="28"/>
      <w:sz w:val="22"/>
    </w:rPr>
  </w:style>
  <w:style w:type="character" w:styleId="CommentReference">
    <w:name w:val="annotation reference"/>
    <w:basedOn w:val="DefaultParagraphFont"/>
    <w:rsid w:val="00EC46D4"/>
    <w:rPr>
      <w:sz w:val="16"/>
      <w:szCs w:val="16"/>
    </w:rPr>
  </w:style>
  <w:style w:type="paragraph" w:styleId="CommentText">
    <w:name w:val="annotation text"/>
    <w:basedOn w:val="Normal"/>
    <w:link w:val="CommentTextChar"/>
    <w:rsid w:val="00EC46D4"/>
    <w:rPr>
      <w:sz w:val="20"/>
    </w:rPr>
  </w:style>
  <w:style w:type="character" w:customStyle="1" w:styleId="CommentTextChar">
    <w:name w:val="Comment Text Char"/>
    <w:basedOn w:val="DefaultParagraphFont"/>
    <w:link w:val="CommentText"/>
    <w:rsid w:val="00EC46D4"/>
    <w:rPr>
      <w:snapToGrid w:val="0"/>
      <w:kern w:val="28"/>
    </w:rPr>
  </w:style>
  <w:style w:type="paragraph" w:styleId="CommentSubject">
    <w:name w:val="annotation subject"/>
    <w:basedOn w:val="CommentText"/>
    <w:next w:val="CommentText"/>
    <w:link w:val="CommentSubjectChar"/>
    <w:rsid w:val="00EC46D4"/>
    <w:rPr>
      <w:b/>
      <w:bCs/>
    </w:rPr>
  </w:style>
  <w:style w:type="character" w:customStyle="1" w:styleId="CommentSubjectChar">
    <w:name w:val="Comment Subject Char"/>
    <w:basedOn w:val="CommentTextChar"/>
    <w:link w:val="CommentSubject"/>
    <w:rsid w:val="00EC46D4"/>
    <w:rPr>
      <w:b/>
      <w:bCs/>
      <w:snapToGrid w:val="0"/>
      <w:kern w:val="28"/>
    </w:rPr>
  </w:style>
  <w:style w:type="paragraph" w:styleId="BalloonText">
    <w:name w:val="Balloon Text"/>
    <w:basedOn w:val="Normal"/>
    <w:link w:val="BalloonTextChar"/>
    <w:rsid w:val="00EC46D4"/>
    <w:rPr>
      <w:rFonts w:ascii="Tahoma" w:hAnsi="Tahoma" w:cs="Tahoma"/>
      <w:sz w:val="16"/>
      <w:szCs w:val="16"/>
    </w:rPr>
  </w:style>
  <w:style w:type="character" w:customStyle="1" w:styleId="BalloonTextChar">
    <w:name w:val="Balloon Text Char"/>
    <w:basedOn w:val="DefaultParagraphFont"/>
    <w:link w:val="BalloonText"/>
    <w:rsid w:val="00EC46D4"/>
    <w:rPr>
      <w:rFonts w:ascii="Tahoma" w:hAnsi="Tahoma" w:cs="Tahoma"/>
      <w:snapToGrid w:val="0"/>
      <w:kern w:val="28"/>
      <w:sz w:val="16"/>
      <w:szCs w:val="16"/>
    </w:rPr>
  </w:style>
  <w:style w:type="character" w:customStyle="1" w:styleId="ptext-1">
    <w:name w:val="ptext-1"/>
    <w:basedOn w:val="DefaultParagraphFont"/>
    <w:rsid w:val="003E2EFF"/>
  </w:style>
  <w:style w:type="paragraph" w:styleId="Revision">
    <w:name w:val="Revision"/>
    <w:hidden/>
    <w:uiPriority w:val="99"/>
    <w:semiHidden/>
    <w:rsid w:val="00701436"/>
    <w:rPr>
      <w:snapToGrid w:val="0"/>
      <w:kern w:val="28"/>
      <w:sz w:val="22"/>
    </w:rPr>
  </w:style>
  <w:style w:type="character" w:styleId="FollowedHyperlink">
    <w:name w:val="FollowedHyperlink"/>
    <w:basedOn w:val="DefaultParagraphFont"/>
    <w:semiHidden/>
    <w:unhideWhenUsed/>
    <w:rsid w:val="00A10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8969">
      <w:bodyDiv w:val="1"/>
      <w:marLeft w:val="0"/>
      <w:marRight w:val="0"/>
      <w:marTop w:val="0"/>
      <w:marBottom w:val="0"/>
      <w:divBdr>
        <w:top w:val="none" w:sz="0" w:space="0" w:color="auto"/>
        <w:left w:val="none" w:sz="0" w:space="0" w:color="auto"/>
        <w:bottom w:val="none" w:sz="0" w:space="0" w:color="auto"/>
        <w:right w:val="none" w:sz="0" w:space="0" w:color="auto"/>
      </w:divBdr>
    </w:div>
    <w:div w:id="2512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3318</Words>
  <Characters>17872</Characters>
  <Application>Microsoft Office Word</Application>
  <DocSecurity>0</DocSecurity>
  <Lines>266</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2015-12-21T16:15:00Z</cp:lastPrinted>
  <dcterms:created xsi:type="dcterms:W3CDTF">2015-12-21T20:36:00Z</dcterms:created>
  <dcterms:modified xsi:type="dcterms:W3CDTF">2015-12-21T20:36:00Z</dcterms:modified>
  <cp:category> </cp:category>
  <cp:contentStatus> </cp:contentStatus>
</cp:coreProperties>
</file>