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53" w:rsidRPr="007C7053" w:rsidRDefault="007C7053" w:rsidP="007C7053">
      <w:pPr>
        <w:widowControl w:val="0"/>
        <w:spacing w:after="0" w:line="240" w:lineRule="auto"/>
        <w:jc w:val="center"/>
        <w:rPr>
          <w:rFonts w:ascii="Times New Roman" w:eastAsia="Times New Roman" w:hAnsi="Times New Roman" w:cs="Times New Roman"/>
          <w:b/>
          <w:kern w:val="28"/>
        </w:rPr>
      </w:pPr>
      <w:bookmarkStart w:id="0" w:name="_GoBack"/>
      <w:bookmarkEnd w:id="0"/>
      <w:r w:rsidRPr="007C7053">
        <w:rPr>
          <w:rFonts w:ascii="Times New Roman Bold" w:eastAsia="Times New Roman" w:hAnsi="Times New Roman Bold" w:cs="Times New Roman"/>
          <w:b/>
        </w:rPr>
        <w:t>Before</w:t>
      </w:r>
      <w:r w:rsidRPr="007C7053">
        <w:rPr>
          <w:rFonts w:ascii="Times New Roman" w:eastAsia="Times New Roman" w:hAnsi="Times New Roman" w:cs="Times New Roman"/>
          <w:b/>
          <w:kern w:val="28"/>
        </w:rPr>
        <w:t xml:space="preserve"> the</w:t>
      </w:r>
    </w:p>
    <w:p w:rsidR="007C7053" w:rsidRPr="007C7053" w:rsidRDefault="007C7053" w:rsidP="007C7053">
      <w:pPr>
        <w:widowControl w:val="0"/>
        <w:spacing w:after="0" w:line="240" w:lineRule="auto"/>
        <w:jc w:val="center"/>
        <w:rPr>
          <w:rFonts w:ascii="Times New Roman Bold" w:eastAsia="Times New Roman" w:hAnsi="Times New Roman Bold" w:cs="Times New Roman"/>
          <w:b/>
          <w:bCs/>
          <w:caps/>
          <w:kern w:val="28"/>
        </w:rPr>
      </w:pPr>
      <w:r w:rsidRPr="007C7053">
        <w:rPr>
          <w:rFonts w:ascii="Times New Roman Bold" w:eastAsia="Times New Roman" w:hAnsi="Times New Roman Bold" w:cs="Times New Roman"/>
          <w:b/>
          <w:bCs/>
          <w:caps/>
          <w:kern w:val="28"/>
        </w:rPr>
        <w:t>Federal Communications Commission</w:t>
      </w:r>
    </w:p>
    <w:p w:rsidR="007C7053" w:rsidRPr="007C7053" w:rsidRDefault="007C7053" w:rsidP="007C7053">
      <w:pPr>
        <w:widowControl w:val="0"/>
        <w:spacing w:after="0" w:line="240" w:lineRule="auto"/>
        <w:jc w:val="center"/>
        <w:rPr>
          <w:rFonts w:ascii="Times New Roman Bold" w:eastAsia="Times New Roman" w:hAnsi="Times New Roman Bold" w:cs="Times New Roman"/>
          <w:b/>
          <w:bCs/>
          <w:caps/>
          <w:kern w:val="28"/>
        </w:rPr>
      </w:pPr>
      <w:r w:rsidRPr="007C7053">
        <w:rPr>
          <w:rFonts w:ascii="Times New Roman Bold" w:eastAsia="Times New Roman" w:hAnsi="Times New Roman Bold" w:cs="Times New Roman"/>
          <w:b/>
          <w:bCs/>
          <w:caps/>
          <w:kern w:val="28"/>
        </w:rPr>
        <w:t>Washington, D.C. 20554</w:t>
      </w:r>
    </w:p>
    <w:p w:rsidR="007C7053" w:rsidRPr="007C7053" w:rsidRDefault="007C7053" w:rsidP="007C7053">
      <w:pPr>
        <w:widowControl w:val="0"/>
        <w:spacing w:after="0" w:line="240" w:lineRule="auto"/>
        <w:rPr>
          <w:rFonts w:ascii="Times New Roman" w:eastAsia="Times New Roman" w:hAnsi="Times New Roman" w:cs="Times New Roman"/>
          <w:kern w:val="28"/>
        </w:rPr>
      </w:pPr>
    </w:p>
    <w:p w:rsidR="007C7053" w:rsidRPr="007C7053" w:rsidRDefault="007C7053" w:rsidP="007C7053">
      <w:pPr>
        <w:widowControl w:val="0"/>
        <w:spacing w:after="0" w:line="240" w:lineRule="auto"/>
        <w:rPr>
          <w:rFonts w:ascii="Times New Roman" w:eastAsia="Times New Roman" w:hAnsi="Times New Roman" w:cs="Times New Roman"/>
          <w:kern w:val="28"/>
        </w:rPr>
      </w:pPr>
    </w:p>
    <w:tbl>
      <w:tblPr>
        <w:tblW w:w="0" w:type="auto"/>
        <w:tblLayout w:type="fixed"/>
        <w:tblLook w:val="0000" w:firstRow="0" w:lastRow="0" w:firstColumn="0" w:lastColumn="0" w:noHBand="0" w:noVBand="0"/>
      </w:tblPr>
      <w:tblGrid>
        <w:gridCol w:w="4698"/>
        <w:gridCol w:w="630"/>
        <w:gridCol w:w="4248"/>
      </w:tblGrid>
      <w:tr w:rsidR="007C7053" w:rsidRPr="007C7053" w:rsidTr="007F5351">
        <w:tc>
          <w:tcPr>
            <w:tcW w:w="4698" w:type="dxa"/>
          </w:tcPr>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spacing w:val="-2"/>
                <w:kern w:val="28"/>
              </w:rPr>
            </w:pPr>
            <w:r w:rsidRPr="007C7053">
              <w:rPr>
                <w:rFonts w:ascii="Times New Roman" w:eastAsia="Times New Roman" w:hAnsi="Times New Roman" w:cs="Times New Roman"/>
                <w:spacing w:val="-2"/>
                <w:kern w:val="28"/>
              </w:rPr>
              <w:t>In the Matter of</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spacing w:val="-2"/>
                <w:kern w:val="28"/>
              </w:rPr>
            </w:pPr>
          </w:p>
          <w:p w:rsidR="007C7053" w:rsidRPr="007C7053" w:rsidRDefault="007C7053" w:rsidP="007C7053">
            <w:pPr>
              <w:widowControl w:val="0"/>
              <w:spacing w:after="0"/>
              <w:rPr>
                <w:rFonts w:ascii="Times New Roman" w:eastAsia="Times New Roman" w:hAnsi="Times New Roman" w:cs="Times New Roman"/>
                <w:kern w:val="28"/>
              </w:rPr>
            </w:pPr>
            <w:r w:rsidRPr="007C7053">
              <w:rPr>
                <w:rFonts w:ascii="Times New Roman" w:eastAsia="Times New Roman" w:hAnsi="Times New Roman" w:cs="Times New Roman"/>
                <w:kern w:val="28"/>
              </w:rPr>
              <w:t>CITY OF SUFFOLK, V</w:t>
            </w:r>
            <w:r w:rsidR="008574A3">
              <w:rPr>
                <w:rFonts w:ascii="Times New Roman" w:eastAsia="Times New Roman" w:hAnsi="Times New Roman" w:cs="Times New Roman"/>
                <w:kern w:val="28"/>
              </w:rPr>
              <w:t>IRGINI</w:t>
            </w:r>
            <w:r w:rsidRPr="007C7053">
              <w:rPr>
                <w:rFonts w:ascii="Times New Roman" w:eastAsia="Times New Roman" w:hAnsi="Times New Roman" w:cs="Times New Roman"/>
                <w:kern w:val="28"/>
              </w:rPr>
              <w:t xml:space="preserve">A </w:t>
            </w:r>
          </w:p>
          <w:p w:rsidR="007C7053" w:rsidRPr="007C7053" w:rsidRDefault="007C7053" w:rsidP="007C7053">
            <w:pPr>
              <w:widowControl w:val="0"/>
              <w:spacing w:after="0"/>
              <w:rPr>
                <w:rFonts w:ascii="Times New Roman" w:eastAsia="Times New Roman" w:hAnsi="Times New Roman" w:cs="Times New Roman"/>
                <w:kern w:val="28"/>
              </w:rPr>
            </w:pPr>
          </w:p>
          <w:p w:rsidR="007C7053" w:rsidRPr="007C7053" w:rsidRDefault="007C7053" w:rsidP="007C7053">
            <w:pPr>
              <w:widowControl w:val="0"/>
              <w:spacing w:after="0"/>
              <w:rPr>
                <w:rFonts w:ascii="Times New Roman" w:eastAsia="Times New Roman" w:hAnsi="Times New Roman" w:cs="Times New Roman"/>
                <w:kern w:val="28"/>
              </w:rPr>
            </w:pPr>
            <w:r w:rsidRPr="007C7053">
              <w:rPr>
                <w:rFonts w:ascii="Times New Roman" w:eastAsia="Times New Roman" w:hAnsi="Times New Roman" w:cs="Times New Roman"/>
                <w:kern w:val="28"/>
              </w:rPr>
              <w:t xml:space="preserve">Request For Waiver of Section 90.621(b)(4) </w:t>
            </w:r>
          </w:p>
          <w:p w:rsidR="007C7053" w:rsidRPr="007C7053" w:rsidRDefault="007C7053" w:rsidP="007C7053">
            <w:pPr>
              <w:widowControl w:val="0"/>
              <w:spacing w:after="0"/>
              <w:rPr>
                <w:rFonts w:ascii="Times New Roman" w:eastAsia="Times New Roman" w:hAnsi="Times New Roman" w:cs="Times New Roman"/>
                <w:spacing w:val="-2"/>
                <w:kern w:val="28"/>
              </w:rPr>
            </w:pPr>
            <w:r w:rsidRPr="007C7053">
              <w:rPr>
                <w:rFonts w:ascii="Times New Roman" w:eastAsia="Times New Roman" w:hAnsi="Times New Roman" w:cs="Times New Roman"/>
                <w:kern w:val="28"/>
              </w:rPr>
              <w:t>of the Commission’s Rules</w:t>
            </w:r>
          </w:p>
        </w:tc>
        <w:tc>
          <w:tcPr>
            <w:tcW w:w="630" w:type="dxa"/>
          </w:tcPr>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b/>
                <w:spacing w:val="-2"/>
                <w:kern w:val="28"/>
              </w:rPr>
            </w:pPr>
            <w:r w:rsidRPr="007C7053">
              <w:rPr>
                <w:rFonts w:ascii="Times New Roman" w:eastAsia="Times New Roman" w:hAnsi="Times New Roman" w:cs="Times New Roman"/>
                <w:b/>
                <w:spacing w:val="-2"/>
                <w:kern w:val="28"/>
              </w:rPr>
              <w:t>)</w:t>
            </w: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spacing w:val="-2"/>
                <w:kern w:val="28"/>
              </w:rPr>
            </w:pPr>
            <w:r w:rsidRPr="007C7053">
              <w:rPr>
                <w:rFonts w:ascii="Times New Roman" w:eastAsia="Times New Roman" w:hAnsi="Times New Roman" w:cs="Times New Roman"/>
                <w:b/>
                <w:spacing w:val="-2"/>
                <w:kern w:val="28"/>
              </w:rPr>
              <w:t>)</w:t>
            </w:r>
          </w:p>
        </w:tc>
        <w:tc>
          <w:tcPr>
            <w:tcW w:w="4248" w:type="dxa"/>
          </w:tcPr>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spacing w:val="-2"/>
                <w:kern w:val="28"/>
              </w:rPr>
            </w:pPr>
          </w:p>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spacing w:val="-2"/>
                <w:kern w:val="28"/>
              </w:rPr>
            </w:pPr>
          </w:p>
          <w:tbl>
            <w:tblPr>
              <w:tblW w:w="0" w:type="auto"/>
              <w:tblLayout w:type="fixed"/>
              <w:tblLook w:val="0000" w:firstRow="0" w:lastRow="0" w:firstColumn="0" w:lastColumn="0" w:noHBand="0" w:noVBand="0"/>
            </w:tblPr>
            <w:tblGrid>
              <w:gridCol w:w="4248"/>
            </w:tblGrid>
            <w:tr w:rsidR="007C7053" w:rsidRPr="007C7053" w:rsidTr="007F5351">
              <w:tc>
                <w:tcPr>
                  <w:tcW w:w="4248" w:type="dxa"/>
                  <w:tcBorders>
                    <w:top w:val="nil"/>
                    <w:left w:val="nil"/>
                    <w:bottom w:val="nil"/>
                    <w:right w:val="nil"/>
                  </w:tcBorders>
                </w:tcPr>
                <w:p w:rsidR="007C7053" w:rsidRPr="007C7053" w:rsidRDefault="007C7053" w:rsidP="007C7053">
                  <w:pPr>
                    <w:widowControl w:val="0"/>
                    <w:tabs>
                      <w:tab w:val="center" w:pos="4680"/>
                    </w:tabs>
                    <w:suppressAutoHyphens/>
                    <w:spacing w:after="0"/>
                    <w:rPr>
                      <w:rFonts w:ascii="Times New Roman" w:eastAsia="Times New Roman" w:hAnsi="Times New Roman" w:cs="Times New Roman"/>
                      <w:spacing w:val="-2"/>
                      <w:kern w:val="28"/>
                    </w:rPr>
                  </w:pPr>
                </w:p>
                <w:p w:rsidR="007C7053" w:rsidRPr="007C7053" w:rsidRDefault="007C7053" w:rsidP="007C7053">
                  <w:pPr>
                    <w:widowControl w:val="0"/>
                    <w:tabs>
                      <w:tab w:val="center" w:pos="4680"/>
                    </w:tabs>
                    <w:suppressAutoHyphens/>
                    <w:spacing w:after="0"/>
                    <w:rPr>
                      <w:rFonts w:ascii="Times New Roman" w:eastAsia="Times New Roman" w:hAnsi="Times New Roman" w:cs="Times New Roman"/>
                      <w:spacing w:val="-2"/>
                      <w:kern w:val="28"/>
                    </w:rPr>
                  </w:pPr>
                </w:p>
                <w:p w:rsidR="007C7053" w:rsidRPr="007C7053" w:rsidRDefault="007C7053" w:rsidP="007C7053">
                  <w:pPr>
                    <w:widowControl w:val="0"/>
                    <w:tabs>
                      <w:tab w:val="center" w:pos="4680"/>
                    </w:tabs>
                    <w:suppressAutoHyphens/>
                    <w:spacing w:after="0"/>
                    <w:rPr>
                      <w:rFonts w:ascii="Times New Roman" w:eastAsia="Times New Roman" w:hAnsi="Times New Roman" w:cs="Times New Roman"/>
                      <w:spacing w:val="-2"/>
                      <w:kern w:val="28"/>
                    </w:rPr>
                  </w:pPr>
                  <w:r w:rsidRPr="007C7053">
                    <w:rPr>
                      <w:rFonts w:ascii="Times New Roman" w:eastAsia="Times New Roman" w:hAnsi="Times New Roman" w:cs="Times New Roman"/>
                      <w:spacing w:val="-2"/>
                      <w:kern w:val="28"/>
                    </w:rPr>
                    <w:t>File No. 0006441843</w:t>
                  </w:r>
                </w:p>
              </w:tc>
            </w:tr>
          </w:tbl>
          <w:p w:rsidR="007C7053" w:rsidRPr="007C7053" w:rsidRDefault="007C7053" w:rsidP="007C7053">
            <w:pPr>
              <w:widowControl w:val="0"/>
              <w:tabs>
                <w:tab w:val="center" w:pos="4680"/>
              </w:tabs>
              <w:suppressAutoHyphens/>
              <w:spacing w:after="0" w:line="240" w:lineRule="auto"/>
              <w:rPr>
                <w:rFonts w:ascii="Times New Roman" w:eastAsia="Times New Roman" w:hAnsi="Times New Roman" w:cs="Times New Roman"/>
                <w:spacing w:val="-2"/>
                <w:kern w:val="28"/>
              </w:rPr>
            </w:pPr>
          </w:p>
        </w:tc>
      </w:tr>
    </w:tbl>
    <w:p w:rsidR="007C7053" w:rsidRPr="007C7053" w:rsidRDefault="007C7053" w:rsidP="007C7053">
      <w:pPr>
        <w:widowControl w:val="0"/>
        <w:spacing w:after="0" w:line="240" w:lineRule="auto"/>
        <w:rPr>
          <w:rFonts w:ascii="Times New Roman" w:eastAsia="Times New Roman" w:hAnsi="Times New Roman" w:cs="Times New Roman"/>
          <w:kern w:val="28"/>
        </w:rPr>
      </w:pPr>
    </w:p>
    <w:p w:rsidR="007C7053" w:rsidRPr="007C7053" w:rsidRDefault="007C7053" w:rsidP="007C7053">
      <w:pPr>
        <w:widowControl w:val="0"/>
        <w:spacing w:after="0" w:line="240" w:lineRule="auto"/>
        <w:jc w:val="center"/>
        <w:rPr>
          <w:rFonts w:ascii="Times New Roman Bold" w:eastAsia="Times New Roman" w:hAnsi="Times New Roman Bold" w:cs="Times New Roman"/>
          <w:b/>
          <w:bCs/>
          <w:caps/>
          <w:kern w:val="28"/>
        </w:rPr>
      </w:pPr>
      <w:r w:rsidRPr="007C7053">
        <w:rPr>
          <w:rFonts w:ascii="Times New Roman Bold" w:eastAsia="Times New Roman" w:hAnsi="Times New Roman Bold" w:cs="Times New Roman"/>
          <w:b/>
          <w:bCs/>
          <w:caps/>
          <w:kern w:val="28"/>
        </w:rPr>
        <w:t>ORDER</w:t>
      </w:r>
    </w:p>
    <w:p w:rsidR="007C7053" w:rsidRPr="007C7053" w:rsidRDefault="007C7053" w:rsidP="007C7053">
      <w:pPr>
        <w:widowControl w:val="0"/>
        <w:tabs>
          <w:tab w:val="left" w:pos="-720"/>
        </w:tabs>
        <w:suppressAutoHyphens/>
        <w:spacing w:after="0" w:line="227" w:lineRule="auto"/>
        <w:rPr>
          <w:rFonts w:ascii="Times New Roman" w:eastAsia="Times New Roman" w:hAnsi="Times New Roman" w:cs="Times New Roman"/>
          <w:spacing w:val="-2"/>
          <w:kern w:val="28"/>
        </w:rPr>
      </w:pPr>
    </w:p>
    <w:p w:rsidR="007C7053" w:rsidRPr="007C7053" w:rsidRDefault="007C7053" w:rsidP="007C7053">
      <w:pPr>
        <w:widowControl w:val="0"/>
        <w:tabs>
          <w:tab w:val="left" w:pos="720"/>
          <w:tab w:val="left" w:pos="5760"/>
        </w:tabs>
        <w:suppressAutoHyphens/>
        <w:spacing w:after="0" w:line="227" w:lineRule="auto"/>
        <w:rPr>
          <w:rFonts w:ascii="Times New Roman" w:eastAsia="Times New Roman" w:hAnsi="Times New Roman" w:cs="Times New Roman"/>
          <w:spacing w:val="-2"/>
          <w:kern w:val="28"/>
        </w:rPr>
      </w:pPr>
      <w:r w:rsidRPr="007C7053">
        <w:rPr>
          <w:rFonts w:ascii="Times New Roman" w:eastAsia="Times New Roman" w:hAnsi="Times New Roman" w:cs="Times New Roman"/>
          <w:b/>
          <w:spacing w:val="-2"/>
          <w:kern w:val="28"/>
        </w:rPr>
        <w:t xml:space="preserve">Adopted:  </w:t>
      </w:r>
      <w:r w:rsidR="00362368">
        <w:rPr>
          <w:rFonts w:ascii="Times New Roman" w:eastAsia="Times New Roman" w:hAnsi="Times New Roman" w:cs="Times New Roman"/>
          <w:b/>
          <w:spacing w:val="-2"/>
          <w:kern w:val="28"/>
        </w:rPr>
        <w:t xml:space="preserve">January </w:t>
      </w:r>
      <w:r w:rsidR="00F678B1">
        <w:rPr>
          <w:rFonts w:ascii="Times New Roman" w:eastAsia="Times New Roman" w:hAnsi="Times New Roman" w:cs="Times New Roman"/>
          <w:b/>
          <w:spacing w:val="-2"/>
          <w:kern w:val="28"/>
        </w:rPr>
        <w:t>8</w:t>
      </w:r>
      <w:r w:rsidR="00362368">
        <w:rPr>
          <w:rFonts w:ascii="Times New Roman" w:eastAsia="Times New Roman" w:hAnsi="Times New Roman" w:cs="Times New Roman"/>
          <w:b/>
          <w:spacing w:val="-2"/>
          <w:kern w:val="28"/>
        </w:rPr>
        <w:t>, 201</w:t>
      </w:r>
      <w:r w:rsidR="007B56BE">
        <w:rPr>
          <w:rFonts w:ascii="Times New Roman" w:eastAsia="Times New Roman" w:hAnsi="Times New Roman" w:cs="Times New Roman"/>
          <w:b/>
          <w:spacing w:val="-2"/>
          <w:kern w:val="28"/>
        </w:rPr>
        <w:t>5</w:t>
      </w:r>
      <w:r w:rsidRPr="007C7053">
        <w:rPr>
          <w:rFonts w:ascii="Times New Roman" w:eastAsia="Times New Roman" w:hAnsi="Times New Roman" w:cs="Times New Roman"/>
          <w:b/>
          <w:spacing w:val="-2"/>
          <w:kern w:val="28"/>
        </w:rPr>
        <w:tab/>
        <w:t xml:space="preserve">Released:  </w:t>
      </w:r>
      <w:r w:rsidR="00362368">
        <w:rPr>
          <w:rFonts w:ascii="Times New Roman" w:eastAsia="Times New Roman" w:hAnsi="Times New Roman" w:cs="Times New Roman"/>
          <w:b/>
          <w:spacing w:val="-2"/>
          <w:kern w:val="28"/>
        </w:rPr>
        <w:t xml:space="preserve">January </w:t>
      </w:r>
      <w:r w:rsidR="00F678B1">
        <w:rPr>
          <w:rFonts w:ascii="Times New Roman" w:eastAsia="Times New Roman" w:hAnsi="Times New Roman" w:cs="Times New Roman"/>
          <w:b/>
          <w:spacing w:val="-2"/>
          <w:kern w:val="28"/>
        </w:rPr>
        <w:t>8</w:t>
      </w:r>
      <w:r w:rsidR="00362368">
        <w:rPr>
          <w:rFonts w:ascii="Times New Roman" w:eastAsia="Times New Roman" w:hAnsi="Times New Roman" w:cs="Times New Roman"/>
          <w:b/>
          <w:spacing w:val="-2"/>
          <w:kern w:val="28"/>
        </w:rPr>
        <w:t>, 201</w:t>
      </w:r>
      <w:r w:rsidR="007B56BE">
        <w:rPr>
          <w:rFonts w:ascii="Times New Roman" w:eastAsia="Times New Roman" w:hAnsi="Times New Roman" w:cs="Times New Roman"/>
          <w:b/>
          <w:spacing w:val="-2"/>
          <w:kern w:val="28"/>
        </w:rPr>
        <w:t>5</w:t>
      </w:r>
    </w:p>
    <w:p w:rsidR="007C7053" w:rsidRPr="007C7053" w:rsidRDefault="007C7053" w:rsidP="007C7053">
      <w:pPr>
        <w:widowControl w:val="0"/>
        <w:spacing w:after="0" w:line="240" w:lineRule="auto"/>
        <w:rPr>
          <w:rFonts w:ascii="Times New Roman" w:eastAsia="Times New Roman" w:hAnsi="Times New Roman" w:cs="Times New Roman"/>
          <w:kern w:val="28"/>
        </w:rPr>
      </w:pPr>
    </w:p>
    <w:p w:rsidR="007C7053" w:rsidRPr="007C7053" w:rsidRDefault="007C7053" w:rsidP="007C7053">
      <w:pPr>
        <w:widowControl w:val="0"/>
        <w:spacing w:after="0" w:line="240" w:lineRule="auto"/>
        <w:rPr>
          <w:rFonts w:ascii="Times New Roman" w:eastAsia="Times New Roman" w:hAnsi="Times New Roman" w:cs="Times New Roman"/>
          <w:spacing w:val="-2"/>
          <w:kern w:val="28"/>
        </w:rPr>
      </w:pPr>
      <w:r w:rsidRPr="007C7053">
        <w:rPr>
          <w:rFonts w:ascii="Times New Roman" w:eastAsia="Times New Roman" w:hAnsi="Times New Roman" w:cs="Times New Roman"/>
          <w:kern w:val="28"/>
        </w:rPr>
        <w:t xml:space="preserve">By the Deputy </w:t>
      </w:r>
      <w:r w:rsidRPr="007C7053">
        <w:rPr>
          <w:rFonts w:ascii="Times New Roman" w:eastAsia="Times New Roman" w:hAnsi="Times New Roman" w:cs="Times New Roman"/>
          <w:spacing w:val="-2"/>
          <w:kern w:val="28"/>
        </w:rPr>
        <w:t>Chief, Policy and Licensing Division, Public Safety and Homeland Security Bureau:</w:t>
      </w:r>
    </w:p>
    <w:p w:rsidR="007C7053" w:rsidRPr="007C7053" w:rsidRDefault="007C7053" w:rsidP="007C7053">
      <w:pPr>
        <w:widowControl w:val="0"/>
        <w:spacing w:after="0" w:line="240" w:lineRule="auto"/>
        <w:rPr>
          <w:rFonts w:ascii="Times New Roman" w:eastAsia="Times New Roman" w:hAnsi="Times New Roman" w:cs="Times New Roman"/>
          <w:kern w:val="28"/>
        </w:rPr>
      </w:pPr>
    </w:p>
    <w:p w:rsidR="007C7053" w:rsidRPr="007C7053" w:rsidRDefault="007C7053" w:rsidP="007C7053">
      <w:pPr>
        <w:keepNext/>
        <w:widowControl w:val="0"/>
        <w:numPr>
          <w:ilvl w:val="0"/>
          <w:numId w:val="2"/>
        </w:numPr>
        <w:tabs>
          <w:tab w:val="left" w:pos="720"/>
        </w:tabs>
        <w:suppressAutoHyphens/>
        <w:spacing w:after="120" w:line="240" w:lineRule="auto"/>
        <w:outlineLvl w:val="0"/>
        <w:rPr>
          <w:rFonts w:ascii="Times New Roman Bold" w:eastAsia="Times New Roman" w:hAnsi="Times New Roman Bold" w:cs="Times New Roman"/>
          <w:b/>
          <w:caps/>
          <w:kern w:val="28"/>
        </w:rPr>
      </w:pPr>
      <w:r w:rsidRPr="007C7053">
        <w:rPr>
          <w:rFonts w:ascii="Times New Roman Bold" w:eastAsia="Times New Roman" w:hAnsi="Times New Roman Bold" w:cs="Times New Roman"/>
          <w:b/>
          <w:caps/>
          <w:kern w:val="28"/>
        </w:rPr>
        <w:t>INTRODUCTION</w:t>
      </w:r>
    </w:p>
    <w:p w:rsidR="00947F15" w:rsidRDefault="007C7053" w:rsidP="00A22DEF">
      <w:pPr>
        <w:numPr>
          <w:ilvl w:val="0"/>
          <w:numId w:val="1"/>
        </w:numPr>
        <w:spacing w:after="120" w:line="240" w:lineRule="auto"/>
        <w:rPr>
          <w:rFonts w:ascii="Times New Roman" w:eastAsia="Times New Roman" w:hAnsi="Times New Roman" w:cs="Times New Roman"/>
          <w:kern w:val="28"/>
          <w:szCs w:val="20"/>
        </w:rPr>
      </w:pPr>
      <w:r w:rsidRPr="007C7053">
        <w:rPr>
          <w:rFonts w:ascii="Times New Roman" w:eastAsia="Times New Roman" w:hAnsi="Times New Roman" w:cs="Times New Roman"/>
          <w:kern w:val="28"/>
          <w:szCs w:val="20"/>
        </w:rPr>
        <w:t>The City of Suffolk, V</w:t>
      </w:r>
      <w:r w:rsidR="008574A3">
        <w:rPr>
          <w:rFonts w:ascii="Times New Roman" w:eastAsia="Times New Roman" w:hAnsi="Times New Roman" w:cs="Times New Roman"/>
          <w:kern w:val="28"/>
          <w:szCs w:val="20"/>
        </w:rPr>
        <w:t>irginia</w:t>
      </w:r>
      <w:r w:rsidRPr="007C7053">
        <w:rPr>
          <w:rFonts w:ascii="Times New Roman" w:eastAsia="Times New Roman" w:hAnsi="Times New Roman" w:cs="Times New Roman"/>
          <w:kern w:val="28"/>
          <w:szCs w:val="20"/>
        </w:rPr>
        <w:t xml:space="preserve"> (Suffolk) filed an application seeking to add base station locations and channels to its 800 MHz trunked private land mobile radio (PLMR) system licensed under call sign </w:t>
      </w:r>
      <w:r w:rsidRPr="007C7053">
        <w:rPr>
          <w:rFonts w:ascii="Times New Roman" w:eastAsia="Times New Roman" w:hAnsi="Times New Roman" w:cs="Times New Roman"/>
          <w:kern w:val="28"/>
        </w:rPr>
        <w:t>WNMJ688</w:t>
      </w:r>
      <w:r w:rsidRPr="007C7053">
        <w:rPr>
          <w:rFonts w:ascii="Times New Roman" w:eastAsia="Times New Roman" w:hAnsi="Times New Roman" w:cs="Times New Roman"/>
          <w:kern w:val="28"/>
          <w:szCs w:val="20"/>
        </w:rPr>
        <w:t>.</w:t>
      </w:r>
      <w:r w:rsidRPr="007C7053">
        <w:rPr>
          <w:rFonts w:ascii="Times New Roman" w:eastAsia="Times New Roman" w:hAnsi="Times New Roman" w:cs="Times New Roman"/>
          <w:kern w:val="28"/>
          <w:vertAlign w:val="superscript"/>
        </w:rPr>
        <w:footnoteReference w:id="1"/>
      </w:r>
      <w:r w:rsidRPr="007C7053">
        <w:rPr>
          <w:rFonts w:ascii="Times New Roman" w:eastAsia="Times New Roman" w:hAnsi="Times New Roman" w:cs="Times New Roman"/>
          <w:kern w:val="28"/>
          <w:szCs w:val="20"/>
        </w:rPr>
        <w:t xml:space="preserve">  For a subset of the channels Suffolk proposes to add, it seeks a waiver of Section 90.</w:t>
      </w:r>
      <w:r w:rsidRPr="007C7053">
        <w:rPr>
          <w:rFonts w:ascii="Times New Roman" w:eastAsia="Times New Roman" w:hAnsi="Times New Roman" w:cs="Times New Roman"/>
          <w:kern w:val="28"/>
        </w:rPr>
        <w:t xml:space="preserve">621(b)(4) </w:t>
      </w:r>
      <w:r w:rsidRPr="007C7053">
        <w:rPr>
          <w:rFonts w:ascii="Times New Roman" w:eastAsia="Times New Roman" w:hAnsi="Times New Roman" w:cs="Times New Roman"/>
          <w:kern w:val="28"/>
          <w:szCs w:val="20"/>
        </w:rPr>
        <w:t>of the Commission's rules</w:t>
      </w:r>
      <w:r w:rsidR="008574A3">
        <w:rPr>
          <w:rStyle w:val="FootnoteReference"/>
          <w:rFonts w:eastAsia="Times New Roman" w:cs="Times New Roman"/>
          <w:kern w:val="28"/>
          <w:szCs w:val="20"/>
        </w:rPr>
        <w:footnoteReference w:id="2"/>
      </w:r>
      <w:r w:rsidRPr="007C7053">
        <w:rPr>
          <w:rFonts w:ascii="Times New Roman" w:eastAsia="Times New Roman" w:hAnsi="Times New Roman" w:cs="Times New Roman"/>
          <w:kern w:val="28"/>
          <w:szCs w:val="20"/>
        </w:rPr>
        <w:t xml:space="preserve"> so that it can operate on these channels at locations less than the minimum required separation distance from several co-channel PLMR licensees.</w:t>
      </w:r>
      <w:r w:rsidRPr="007C7053">
        <w:rPr>
          <w:rFonts w:ascii="Times New Roman" w:eastAsia="Times New Roman" w:hAnsi="Times New Roman" w:cs="Times New Roman"/>
          <w:kern w:val="28"/>
          <w:vertAlign w:val="superscript"/>
        </w:rPr>
        <w:footnoteReference w:id="3"/>
      </w:r>
      <w:r w:rsidRPr="007C7053">
        <w:rPr>
          <w:rFonts w:ascii="Times New Roman" w:eastAsia="Times New Roman" w:hAnsi="Times New Roman" w:cs="Times New Roman"/>
          <w:kern w:val="28"/>
          <w:szCs w:val="20"/>
        </w:rPr>
        <w:t xml:space="preserve">  </w:t>
      </w:r>
    </w:p>
    <w:p w:rsidR="007C7053" w:rsidRPr="007C7053" w:rsidRDefault="007C7053" w:rsidP="00A22DEF">
      <w:pPr>
        <w:numPr>
          <w:ilvl w:val="0"/>
          <w:numId w:val="1"/>
        </w:numPr>
        <w:spacing w:after="120" w:line="240" w:lineRule="auto"/>
        <w:rPr>
          <w:rFonts w:ascii="Times New Roman" w:eastAsia="Times New Roman" w:hAnsi="Times New Roman" w:cs="Times New Roman"/>
          <w:kern w:val="28"/>
          <w:szCs w:val="20"/>
        </w:rPr>
      </w:pPr>
      <w:r w:rsidRPr="007C7053">
        <w:rPr>
          <w:rFonts w:ascii="Times New Roman" w:eastAsia="Times New Roman" w:hAnsi="Times New Roman" w:cs="Times New Roman"/>
          <w:kern w:val="28"/>
          <w:szCs w:val="20"/>
        </w:rPr>
        <w:t xml:space="preserve">For the reasons detailed below we </w:t>
      </w:r>
      <w:r w:rsidR="00AD4E9C">
        <w:rPr>
          <w:rFonts w:ascii="Times New Roman" w:eastAsia="Times New Roman" w:hAnsi="Times New Roman" w:cs="Times New Roman"/>
          <w:kern w:val="28"/>
          <w:szCs w:val="20"/>
        </w:rPr>
        <w:t xml:space="preserve">partially grant and partially </w:t>
      </w:r>
      <w:r w:rsidRPr="007C7053">
        <w:rPr>
          <w:rFonts w:ascii="Times New Roman" w:eastAsia="Times New Roman" w:hAnsi="Times New Roman" w:cs="Times New Roman"/>
          <w:kern w:val="28"/>
          <w:szCs w:val="20"/>
        </w:rPr>
        <w:t>deny Suffolk’s waiver request</w:t>
      </w:r>
      <w:r w:rsidR="00AD4E9C">
        <w:rPr>
          <w:rFonts w:ascii="Times New Roman" w:eastAsia="Times New Roman" w:hAnsi="Times New Roman" w:cs="Times New Roman"/>
          <w:kern w:val="28"/>
          <w:szCs w:val="20"/>
        </w:rPr>
        <w:t xml:space="preserve">.  We also grant all channels on the </w:t>
      </w:r>
      <w:r w:rsidRPr="007C7053">
        <w:rPr>
          <w:rFonts w:ascii="Times New Roman" w:eastAsia="Times New Roman" w:hAnsi="Times New Roman" w:cs="Times New Roman"/>
          <w:kern w:val="28"/>
          <w:szCs w:val="20"/>
        </w:rPr>
        <w:t xml:space="preserve">application </w:t>
      </w:r>
      <w:r w:rsidR="008574A3">
        <w:rPr>
          <w:rFonts w:ascii="Times New Roman" w:eastAsia="Times New Roman" w:hAnsi="Times New Roman" w:cs="Times New Roman"/>
          <w:kern w:val="28"/>
          <w:szCs w:val="20"/>
        </w:rPr>
        <w:t xml:space="preserve">for </w:t>
      </w:r>
      <w:r w:rsidR="00AD4E9C">
        <w:rPr>
          <w:rFonts w:ascii="Times New Roman" w:eastAsia="Times New Roman" w:hAnsi="Times New Roman" w:cs="Times New Roman"/>
          <w:kern w:val="28"/>
          <w:szCs w:val="20"/>
        </w:rPr>
        <w:t xml:space="preserve">which </w:t>
      </w:r>
      <w:r w:rsidRPr="007C7053">
        <w:rPr>
          <w:rFonts w:ascii="Times New Roman" w:eastAsia="Times New Roman" w:hAnsi="Times New Roman" w:cs="Times New Roman"/>
          <w:kern w:val="28"/>
          <w:szCs w:val="20"/>
        </w:rPr>
        <w:t>Suffolk</w:t>
      </w:r>
      <w:r w:rsidR="008574A3">
        <w:rPr>
          <w:rFonts w:ascii="Times New Roman" w:eastAsia="Times New Roman" w:hAnsi="Times New Roman" w:cs="Times New Roman"/>
          <w:kern w:val="28"/>
          <w:szCs w:val="20"/>
        </w:rPr>
        <w:t xml:space="preserve"> did not request a </w:t>
      </w:r>
      <w:r w:rsidRPr="007C7053">
        <w:rPr>
          <w:rFonts w:ascii="Times New Roman" w:eastAsia="Times New Roman" w:hAnsi="Times New Roman" w:cs="Times New Roman"/>
          <w:kern w:val="28"/>
          <w:szCs w:val="20"/>
        </w:rPr>
        <w:t>waiver.</w:t>
      </w:r>
      <w:r w:rsidR="002019AA">
        <w:rPr>
          <w:rFonts w:ascii="Times New Roman" w:eastAsia="Times New Roman" w:hAnsi="Times New Roman" w:cs="Times New Roman"/>
          <w:kern w:val="28"/>
          <w:szCs w:val="20"/>
        </w:rPr>
        <w:t xml:space="preserve">  Attachment I lists which channels on the application </w:t>
      </w:r>
      <w:r w:rsidR="00947F15">
        <w:rPr>
          <w:rFonts w:ascii="Times New Roman" w:eastAsia="Times New Roman" w:hAnsi="Times New Roman" w:cs="Times New Roman"/>
          <w:kern w:val="28"/>
          <w:szCs w:val="20"/>
        </w:rPr>
        <w:t xml:space="preserve">we </w:t>
      </w:r>
      <w:r w:rsidR="002019AA">
        <w:rPr>
          <w:rFonts w:ascii="Times New Roman" w:eastAsia="Times New Roman" w:hAnsi="Times New Roman" w:cs="Times New Roman"/>
          <w:kern w:val="28"/>
          <w:szCs w:val="20"/>
        </w:rPr>
        <w:t>are grant</w:t>
      </w:r>
      <w:r w:rsidR="00947F15">
        <w:rPr>
          <w:rFonts w:ascii="Times New Roman" w:eastAsia="Times New Roman" w:hAnsi="Times New Roman" w:cs="Times New Roman"/>
          <w:kern w:val="28"/>
          <w:szCs w:val="20"/>
        </w:rPr>
        <w:t xml:space="preserve">ing </w:t>
      </w:r>
      <w:r w:rsidR="002019AA">
        <w:rPr>
          <w:rFonts w:ascii="Times New Roman" w:eastAsia="Times New Roman" w:hAnsi="Times New Roman" w:cs="Times New Roman"/>
          <w:kern w:val="28"/>
          <w:szCs w:val="20"/>
        </w:rPr>
        <w:t xml:space="preserve">and which </w:t>
      </w:r>
      <w:r w:rsidR="00947F15">
        <w:rPr>
          <w:rFonts w:ascii="Times New Roman" w:eastAsia="Times New Roman" w:hAnsi="Times New Roman" w:cs="Times New Roman"/>
          <w:kern w:val="28"/>
          <w:szCs w:val="20"/>
        </w:rPr>
        <w:t xml:space="preserve">we </w:t>
      </w:r>
      <w:r w:rsidR="002019AA">
        <w:rPr>
          <w:rFonts w:ascii="Times New Roman" w:eastAsia="Times New Roman" w:hAnsi="Times New Roman" w:cs="Times New Roman"/>
          <w:kern w:val="28"/>
          <w:szCs w:val="20"/>
        </w:rPr>
        <w:t>are dismiss</w:t>
      </w:r>
      <w:r w:rsidR="00947F15">
        <w:rPr>
          <w:rFonts w:ascii="Times New Roman" w:eastAsia="Times New Roman" w:hAnsi="Times New Roman" w:cs="Times New Roman"/>
          <w:kern w:val="28"/>
          <w:szCs w:val="20"/>
        </w:rPr>
        <w:t>ing</w:t>
      </w:r>
      <w:r w:rsidR="002019AA">
        <w:rPr>
          <w:rFonts w:ascii="Times New Roman" w:eastAsia="Times New Roman" w:hAnsi="Times New Roman" w:cs="Times New Roman"/>
          <w:kern w:val="28"/>
          <w:szCs w:val="20"/>
        </w:rPr>
        <w:t>.</w:t>
      </w:r>
      <w:r w:rsidRPr="007C7053">
        <w:rPr>
          <w:rFonts w:ascii="Times New Roman" w:eastAsia="Times New Roman" w:hAnsi="Times New Roman" w:cs="Times New Roman"/>
          <w:kern w:val="28"/>
          <w:szCs w:val="20"/>
        </w:rPr>
        <w:t xml:space="preserve">  </w:t>
      </w:r>
    </w:p>
    <w:p w:rsidR="007C7053" w:rsidRPr="007C7053" w:rsidRDefault="007C7053" w:rsidP="00A22DEF">
      <w:pPr>
        <w:keepNext/>
        <w:numPr>
          <w:ilvl w:val="0"/>
          <w:numId w:val="2"/>
        </w:numPr>
        <w:tabs>
          <w:tab w:val="left" w:pos="720"/>
        </w:tabs>
        <w:suppressAutoHyphens/>
        <w:spacing w:after="120" w:line="240" w:lineRule="auto"/>
        <w:outlineLvl w:val="0"/>
        <w:rPr>
          <w:rFonts w:ascii="Times New Roman Bold" w:eastAsia="Times New Roman" w:hAnsi="Times New Roman Bold" w:cs="Times New Roman"/>
          <w:b/>
          <w:caps/>
          <w:kern w:val="28"/>
        </w:rPr>
      </w:pPr>
      <w:r w:rsidRPr="007C7053">
        <w:rPr>
          <w:rFonts w:ascii="Times New Roman Bold" w:eastAsia="Times New Roman" w:hAnsi="Times New Roman Bold" w:cs="Times New Roman"/>
          <w:b/>
          <w:caps/>
          <w:kern w:val="28"/>
        </w:rPr>
        <w:t>BACKGROUND</w:t>
      </w:r>
    </w:p>
    <w:p w:rsidR="007C7053" w:rsidRPr="007C7053" w:rsidRDefault="007C7053" w:rsidP="00A22DEF">
      <w:pPr>
        <w:numPr>
          <w:ilvl w:val="0"/>
          <w:numId w:val="1"/>
        </w:numPr>
        <w:spacing w:after="120" w:line="240" w:lineRule="auto"/>
        <w:rPr>
          <w:rFonts w:ascii="Times New Roman" w:eastAsia="Times New Roman" w:hAnsi="Times New Roman" w:cs="Times New Roman"/>
          <w:kern w:val="28"/>
          <w:szCs w:val="20"/>
        </w:rPr>
      </w:pPr>
      <w:r w:rsidRPr="007C7053">
        <w:rPr>
          <w:rFonts w:ascii="Times New Roman" w:eastAsia="Times New Roman" w:hAnsi="Times New Roman" w:cs="Times New Roman"/>
          <w:kern w:val="28"/>
        </w:rPr>
        <w:t>Suffolk is currently licensed to operate PLMR station WNMJ688 in the City of Suffolk at three base station locations with associated mobile units on twelve channels from the 800 MHz band.</w:t>
      </w:r>
      <w:r w:rsidRPr="007C7053">
        <w:rPr>
          <w:rFonts w:ascii="Times New Roman" w:eastAsia="Times New Roman" w:hAnsi="Times New Roman" w:cs="Times New Roman"/>
          <w:kern w:val="28"/>
          <w:vertAlign w:val="superscript"/>
        </w:rPr>
        <w:footnoteReference w:id="4"/>
      </w:r>
      <w:r w:rsidRPr="007C7053">
        <w:rPr>
          <w:rFonts w:ascii="Times New Roman" w:eastAsia="Times New Roman" w:hAnsi="Times New Roman" w:cs="Times New Roman"/>
          <w:kern w:val="28"/>
        </w:rPr>
        <w:t xml:space="preserve">  In order to provide radio coverage into</w:t>
      </w:r>
      <w:r w:rsidR="008574A3">
        <w:rPr>
          <w:rFonts w:ascii="Times New Roman" w:eastAsia="Times New Roman" w:hAnsi="Times New Roman" w:cs="Times New Roman"/>
          <w:kern w:val="28"/>
        </w:rPr>
        <w:t xml:space="preserve"> what it characterizes as</w:t>
      </w:r>
      <w:r w:rsidRPr="007C7053">
        <w:rPr>
          <w:rFonts w:ascii="Times New Roman" w:eastAsia="Times New Roman" w:hAnsi="Times New Roman" w:cs="Times New Roman"/>
          <w:kern w:val="28"/>
        </w:rPr>
        <w:t xml:space="preserve"> “no coverage” areas, Suffolk seeks to add three base station locations with associated mobile units.</w:t>
      </w:r>
      <w:r w:rsidRPr="007C7053">
        <w:rPr>
          <w:rFonts w:ascii="Times New Roman" w:eastAsia="Times New Roman" w:hAnsi="Times New Roman" w:cs="Times New Roman"/>
          <w:kern w:val="28"/>
          <w:vertAlign w:val="superscript"/>
        </w:rPr>
        <w:footnoteReference w:id="5"/>
      </w:r>
      <w:r w:rsidRPr="007C7053">
        <w:rPr>
          <w:rFonts w:ascii="Times New Roman" w:eastAsia="Times New Roman" w:hAnsi="Times New Roman" w:cs="Times New Roman"/>
          <w:kern w:val="28"/>
        </w:rPr>
        <w:t xml:space="preserve">  It also seeks to</w:t>
      </w:r>
      <w:r w:rsidR="008574A3">
        <w:rPr>
          <w:rFonts w:ascii="Times New Roman" w:eastAsia="Times New Roman" w:hAnsi="Times New Roman" w:cs="Times New Roman"/>
          <w:kern w:val="28"/>
        </w:rPr>
        <w:t xml:space="preserve"> license five “vacated spectrum”</w:t>
      </w:r>
      <w:r w:rsidR="008574A3" w:rsidRPr="008574A3">
        <w:rPr>
          <w:rFonts w:ascii="Times New Roman" w:eastAsia="Times New Roman" w:hAnsi="Times New Roman" w:cs="Times New Roman"/>
          <w:kern w:val="28"/>
          <w:vertAlign w:val="superscript"/>
        </w:rPr>
        <w:footnoteReference w:id="6"/>
      </w:r>
      <w:r w:rsidRPr="007C7053">
        <w:rPr>
          <w:rFonts w:ascii="Times New Roman" w:eastAsia="Times New Roman" w:hAnsi="Times New Roman" w:cs="Times New Roman"/>
          <w:kern w:val="28"/>
        </w:rPr>
        <w:t xml:space="preserve"> channels along with five Public Safety Pool channels at its proposed three new base station locations and add five “vacated spectrum” channels to its existing base station locations.   </w:t>
      </w:r>
    </w:p>
    <w:p w:rsidR="007C7053" w:rsidRPr="007C7053" w:rsidRDefault="00897715" w:rsidP="00A22DEF">
      <w:pPr>
        <w:numPr>
          <w:ilvl w:val="0"/>
          <w:numId w:val="1"/>
        </w:numPr>
        <w:spacing w:after="120" w:line="240" w:lineRule="auto"/>
        <w:rPr>
          <w:rFonts w:ascii="Times New Roman" w:eastAsia="Times New Roman" w:hAnsi="Times New Roman" w:cs="Times New Roman"/>
          <w:kern w:val="28"/>
          <w:szCs w:val="20"/>
        </w:rPr>
      </w:pPr>
      <w:bookmarkStart w:id="1" w:name="_Ref408211771"/>
      <w:r>
        <w:rPr>
          <w:rFonts w:ascii="Times New Roman" w:eastAsia="Times New Roman" w:hAnsi="Times New Roman" w:cs="Times New Roman"/>
          <w:kern w:val="28"/>
          <w:szCs w:val="20"/>
        </w:rPr>
        <w:t xml:space="preserve"> </w:t>
      </w:r>
      <w:r w:rsidR="007C7053" w:rsidRPr="007C7053">
        <w:rPr>
          <w:rFonts w:ascii="Times New Roman" w:eastAsia="Times New Roman" w:hAnsi="Times New Roman" w:cs="Times New Roman"/>
          <w:kern w:val="28"/>
          <w:szCs w:val="20"/>
        </w:rPr>
        <w:t xml:space="preserve">Suffolk seeks to license several of the Public Safety Pool channels at locations separated by </w:t>
      </w:r>
      <w:r w:rsidR="008574A3">
        <w:rPr>
          <w:rFonts w:ascii="Times New Roman" w:eastAsia="Times New Roman" w:hAnsi="Times New Roman" w:cs="Times New Roman"/>
          <w:kern w:val="28"/>
          <w:szCs w:val="20"/>
        </w:rPr>
        <w:t>fewer</w:t>
      </w:r>
      <w:r w:rsidR="007C7053" w:rsidRPr="007C7053">
        <w:rPr>
          <w:rFonts w:ascii="Times New Roman" w:eastAsia="Times New Roman" w:hAnsi="Times New Roman" w:cs="Times New Roman"/>
          <w:kern w:val="28"/>
          <w:szCs w:val="20"/>
        </w:rPr>
        <w:t xml:space="preserve"> than 110 kilometers from co-channel base stations licensed to the </w:t>
      </w:r>
      <w:r w:rsidR="007C7053" w:rsidRPr="007C7053">
        <w:rPr>
          <w:rFonts w:ascii="Times New Roman" w:eastAsia="Times New Roman" w:hAnsi="Times New Roman" w:cs="Times New Roman"/>
          <w:kern w:val="28"/>
        </w:rPr>
        <w:t>City of Hopewell, V</w:t>
      </w:r>
      <w:r w:rsidR="008574A3">
        <w:rPr>
          <w:rFonts w:ascii="Times New Roman" w:eastAsia="Times New Roman" w:hAnsi="Times New Roman" w:cs="Times New Roman"/>
          <w:kern w:val="28"/>
        </w:rPr>
        <w:t>irginia</w:t>
      </w:r>
      <w:r w:rsidR="007C7053" w:rsidRPr="007C7053">
        <w:rPr>
          <w:rFonts w:ascii="Times New Roman" w:eastAsia="Times New Roman" w:hAnsi="Times New Roman" w:cs="Times New Roman"/>
          <w:kern w:val="28"/>
        </w:rPr>
        <w:t xml:space="preserve">, </w:t>
      </w:r>
      <w:r w:rsidR="008574A3">
        <w:rPr>
          <w:rFonts w:ascii="Times New Roman" w:eastAsia="Times New Roman" w:hAnsi="Times New Roman" w:cs="Times New Roman"/>
          <w:kern w:val="28"/>
        </w:rPr>
        <w:t xml:space="preserve">the </w:t>
      </w:r>
      <w:r w:rsidR="00AF2218">
        <w:rPr>
          <w:rFonts w:ascii="Times New Roman" w:eastAsia="Times New Roman" w:hAnsi="Times New Roman" w:cs="Times New Roman"/>
          <w:kern w:val="28"/>
        </w:rPr>
        <w:lastRenderedPageBreak/>
        <w:t xml:space="preserve">County of </w:t>
      </w:r>
      <w:r w:rsidR="007C7053" w:rsidRPr="007C7053">
        <w:rPr>
          <w:rFonts w:ascii="Times New Roman" w:eastAsia="Times New Roman" w:hAnsi="Times New Roman" w:cs="Times New Roman"/>
          <w:kern w:val="28"/>
        </w:rPr>
        <w:t>Chesterfield, V</w:t>
      </w:r>
      <w:r w:rsidR="008574A3">
        <w:rPr>
          <w:rFonts w:ascii="Times New Roman" w:eastAsia="Times New Roman" w:hAnsi="Times New Roman" w:cs="Times New Roman"/>
          <w:kern w:val="28"/>
        </w:rPr>
        <w:t xml:space="preserve">irginia </w:t>
      </w:r>
      <w:r w:rsidR="007C7053" w:rsidRPr="007C7053">
        <w:rPr>
          <w:rFonts w:ascii="Times New Roman" w:eastAsia="Times New Roman" w:hAnsi="Times New Roman" w:cs="Times New Roman"/>
          <w:kern w:val="28"/>
        </w:rPr>
        <w:t>and Henrico County, V</w:t>
      </w:r>
      <w:r w:rsidR="008574A3">
        <w:rPr>
          <w:rFonts w:ascii="Times New Roman" w:eastAsia="Times New Roman" w:hAnsi="Times New Roman" w:cs="Times New Roman"/>
          <w:kern w:val="28"/>
        </w:rPr>
        <w:t>irginia</w:t>
      </w:r>
      <w:r w:rsidR="00323BFC">
        <w:rPr>
          <w:rFonts w:ascii="Times New Roman" w:eastAsia="Times New Roman" w:hAnsi="Times New Roman" w:cs="Times New Roman"/>
          <w:kern w:val="28"/>
        </w:rPr>
        <w:t xml:space="preserve"> (collectively the Virginia Co-Channel Licensees)</w:t>
      </w:r>
      <w:r w:rsidR="007C7053" w:rsidRPr="007C7053">
        <w:rPr>
          <w:rFonts w:ascii="Times New Roman" w:eastAsia="Times New Roman" w:hAnsi="Times New Roman" w:cs="Times New Roman"/>
          <w:kern w:val="28"/>
        </w:rPr>
        <w:t>.</w:t>
      </w:r>
      <w:r w:rsidR="007C7053" w:rsidRPr="007C7053">
        <w:rPr>
          <w:rFonts w:ascii="Times New Roman" w:eastAsia="Times New Roman" w:hAnsi="Times New Roman" w:cs="Times New Roman"/>
          <w:kern w:val="28"/>
          <w:vertAlign w:val="superscript"/>
        </w:rPr>
        <w:footnoteReference w:id="7"/>
      </w:r>
      <w:r w:rsidR="007C7053" w:rsidRPr="007C7053">
        <w:rPr>
          <w:rFonts w:ascii="Times New Roman" w:eastAsia="Times New Roman" w:hAnsi="Times New Roman" w:cs="Times New Roman"/>
          <w:kern w:val="28"/>
        </w:rPr>
        <w:t xml:space="preserve">  </w:t>
      </w:r>
      <w:r w:rsidR="00571A55">
        <w:rPr>
          <w:rFonts w:ascii="Times New Roman" w:eastAsia="Times New Roman" w:hAnsi="Times New Roman" w:cs="Times New Roman"/>
          <w:kern w:val="28"/>
        </w:rPr>
        <w:t xml:space="preserve">The </w:t>
      </w:r>
      <w:r w:rsidR="007C7053" w:rsidRPr="007C7053">
        <w:rPr>
          <w:rFonts w:ascii="Times New Roman" w:eastAsia="Times New Roman" w:hAnsi="Times New Roman" w:cs="Times New Roman"/>
          <w:kern w:val="28"/>
        </w:rPr>
        <w:t>Commission</w:t>
      </w:r>
      <w:r w:rsidR="00571A55">
        <w:rPr>
          <w:rFonts w:ascii="Times New Roman" w:eastAsia="Times New Roman" w:hAnsi="Times New Roman" w:cs="Times New Roman"/>
          <w:kern w:val="28"/>
        </w:rPr>
        <w:t>’s</w:t>
      </w:r>
      <w:r w:rsidR="007C7053" w:rsidRPr="007C7053">
        <w:rPr>
          <w:rFonts w:ascii="Times New Roman" w:eastAsia="Times New Roman" w:hAnsi="Times New Roman" w:cs="Times New Roman"/>
          <w:kern w:val="28"/>
        </w:rPr>
        <w:t xml:space="preserve"> rules</w:t>
      </w:r>
      <w:r w:rsidR="00571A55">
        <w:rPr>
          <w:rFonts w:ascii="Times New Roman" w:eastAsia="Times New Roman" w:hAnsi="Times New Roman" w:cs="Times New Roman"/>
          <w:kern w:val="28"/>
        </w:rPr>
        <w:t xml:space="preserve"> provide that</w:t>
      </w:r>
      <w:r w:rsidR="007C7053" w:rsidRPr="007C7053">
        <w:rPr>
          <w:rFonts w:ascii="Times New Roman" w:eastAsia="Times New Roman" w:hAnsi="Times New Roman" w:cs="Times New Roman"/>
          <w:kern w:val="28"/>
        </w:rPr>
        <w:t xml:space="preserve"> Suffolk may operate at locations </w:t>
      </w:r>
      <w:r w:rsidR="00571A55">
        <w:rPr>
          <w:rFonts w:ascii="Times New Roman" w:eastAsia="Times New Roman" w:hAnsi="Times New Roman" w:cs="Times New Roman"/>
          <w:kern w:val="28"/>
        </w:rPr>
        <w:t>fewer</w:t>
      </w:r>
      <w:r w:rsidR="007C7053" w:rsidRPr="007C7053">
        <w:rPr>
          <w:rFonts w:ascii="Times New Roman" w:eastAsia="Times New Roman" w:hAnsi="Times New Roman" w:cs="Times New Roman"/>
          <w:kern w:val="28"/>
        </w:rPr>
        <w:t xml:space="preserve"> than 110 kilometers from co-channel licensees provided it satisfies the separation distances listed in a short-spacing table.</w:t>
      </w:r>
      <w:r w:rsidR="007C7053" w:rsidRPr="007C7053">
        <w:rPr>
          <w:rFonts w:ascii="Times New Roman" w:eastAsia="Times New Roman" w:hAnsi="Times New Roman" w:cs="Times New Roman"/>
          <w:kern w:val="28"/>
          <w:vertAlign w:val="superscript"/>
        </w:rPr>
        <w:footnoteReference w:id="8"/>
      </w:r>
      <w:r w:rsidR="007C7053" w:rsidRPr="007C7053">
        <w:rPr>
          <w:rFonts w:ascii="Times New Roman" w:eastAsia="Times New Roman" w:hAnsi="Times New Roman" w:cs="Times New Roman"/>
          <w:kern w:val="28"/>
        </w:rPr>
        <w:t xml:space="preserve">  The distances listed in the short-spacing table are based upon non-overlap of an applicant’s proposed 22 dBu F(50,10) </w:t>
      </w:r>
      <w:r w:rsidR="00571A55">
        <w:rPr>
          <w:rFonts w:ascii="Times New Roman" w:eastAsia="Times New Roman" w:hAnsi="Times New Roman" w:cs="Times New Roman"/>
          <w:kern w:val="28"/>
        </w:rPr>
        <w:t xml:space="preserve">interference </w:t>
      </w:r>
      <w:r w:rsidR="007C7053" w:rsidRPr="007C7053">
        <w:rPr>
          <w:rFonts w:ascii="Times New Roman" w:eastAsia="Times New Roman" w:hAnsi="Times New Roman" w:cs="Times New Roman"/>
          <w:kern w:val="28"/>
        </w:rPr>
        <w:t xml:space="preserve">contour with the 40 dBu F(50,50) </w:t>
      </w:r>
      <w:r w:rsidR="00571A55">
        <w:rPr>
          <w:rFonts w:ascii="Times New Roman" w:eastAsia="Times New Roman" w:hAnsi="Times New Roman" w:cs="Times New Roman"/>
          <w:kern w:val="28"/>
        </w:rPr>
        <w:t xml:space="preserve">coverage </w:t>
      </w:r>
      <w:r w:rsidR="007C7053" w:rsidRPr="007C7053">
        <w:rPr>
          <w:rFonts w:ascii="Times New Roman" w:eastAsia="Times New Roman" w:hAnsi="Times New Roman" w:cs="Times New Roman"/>
          <w:kern w:val="28"/>
        </w:rPr>
        <w:t>contour of the incumbent co-channel licensee.</w:t>
      </w:r>
      <w:r w:rsidR="007C7053" w:rsidRPr="007C7053">
        <w:rPr>
          <w:rFonts w:ascii="Times New Roman" w:eastAsia="Times New Roman" w:hAnsi="Times New Roman" w:cs="Times New Roman"/>
          <w:kern w:val="28"/>
          <w:vertAlign w:val="superscript"/>
        </w:rPr>
        <w:footnoteReference w:id="9"/>
      </w:r>
      <w:r w:rsidR="007C7053" w:rsidRPr="007C7053">
        <w:rPr>
          <w:rFonts w:ascii="Times New Roman" w:eastAsia="Times New Roman" w:hAnsi="Times New Roman" w:cs="Times New Roman"/>
          <w:kern w:val="28"/>
        </w:rPr>
        <w:t xml:space="preserve">  Applicants seeking to operate at distances less than those listed in the short-spacing table must either seek a waiver of the short-spacing table or obtain consent from the short-spaced co-channel licensee.</w:t>
      </w:r>
      <w:r w:rsidR="007C7053" w:rsidRPr="007C7053">
        <w:rPr>
          <w:rFonts w:ascii="Times New Roman" w:eastAsia="Times New Roman" w:hAnsi="Times New Roman" w:cs="Times New Roman"/>
          <w:kern w:val="28"/>
          <w:vertAlign w:val="superscript"/>
        </w:rPr>
        <w:footnoteReference w:id="10"/>
      </w:r>
      <w:r w:rsidR="007C7053" w:rsidRPr="007C7053">
        <w:rPr>
          <w:rFonts w:ascii="Times New Roman" w:eastAsia="Times New Roman" w:hAnsi="Times New Roman" w:cs="Times New Roman"/>
          <w:kern w:val="28"/>
        </w:rPr>
        <w:t xml:space="preserve">  Any applicant seeking a waiver </w:t>
      </w:r>
      <w:r w:rsidR="00571A55">
        <w:rPr>
          <w:rFonts w:ascii="Times New Roman" w:eastAsia="Times New Roman" w:hAnsi="Times New Roman" w:cs="Times New Roman"/>
          <w:kern w:val="28"/>
        </w:rPr>
        <w:t xml:space="preserve">must </w:t>
      </w:r>
      <w:r w:rsidR="007C7053" w:rsidRPr="007C7053">
        <w:rPr>
          <w:rFonts w:ascii="Times New Roman" w:eastAsia="Times New Roman" w:hAnsi="Times New Roman" w:cs="Times New Roman"/>
          <w:kern w:val="28"/>
        </w:rPr>
        <w:t>provide an engineering showing which demonstrates that co-channel licensees would receive the same or greater interference protection than that provided by the short-spacing table.</w:t>
      </w:r>
      <w:bookmarkEnd w:id="1"/>
      <w:r w:rsidR="007C7053" w:rsidRPr="007C7053">
        <w:rPr>
          <w:rFonts w:ascii="Times New Roman" w:eastAsia="Times New Roman" w:hAnsi="Times New Roman" w:cs="Times New Roman"/>
          <w:kern w:val="28"/>
        </w:rPr>
        <w:t xml:space="preserve"> </w:t>
      </w:r>
    </w:p>
    <w:p w:rsidR="007C7053" w:rsidRPr="007C7053" w:rsidRDefault="007C7053" w:rsidP="00A22DEF">
      <w:pPr>
        <w:numPr>
          <w:ilvl w:val="0"/>
          <w:numId w:val="1"/>
        </w:numPr>
        <w:spacing w:after="120" w:line="240" w:lineRule="auto"/>
        <w:rPr>
          <w:rFonts w:ascii="Times New Roman" w:eastAsia="Times New Roman" w:hAnsi="Times New Roman" w:cs="Times New Roman"/>
          <w:kern w:val="28"/>
          <w:szCs w:val="20"/>
        </w:rPr>
      </w:pPr>
      <w:r w:rsidRPr="007C7053">
        <w:rPr>
          <w:rFonts w:ascii="Times New Roman" w:eastAsia="Times New Roman" w:hAnsi="Times New Roman" w:cs="Times New Roman"/>
          <w:kern w:val="28"/>
          <w:szCs w:val="20"/>
        </w:rPr>
        <w:t xml:space="preserve">Suffolk indicates it was unable to obtain a consent letter from any of the short-spaced </w:t>
      </w:r>
      <w:r w:rsidR="00323BFC">
        <w:rPr>
          <w:rFonts w:ascii="Times New Roman" w:eastAsia="Times New Roman" w:hAnsi="Times New Roman" w:cs="Times New Roman"/>
          <w:kern w:val="28"/>
          <w:szCs w:val="20"/>
        </w:rPr>
        <w:t>V</w:t>
      </w:r>
      <w:r w:rsidR="00571A55">
        <w:rPr>
          <w:rFonts w:ascii="Times New Roman" w:eastAsia="Times New Roman" w:hAnsi="Times New Roman" w:cs="Times New Roman"/>
          <w:kern w:val="28"/>
          <w:szCs w:val="20"/>
        </w:rPr>
        <w:t>irginia</w:t>
      </w:r>
      <w:r w:rsidR="00323BFC">
        <w:rPr>
          <w:rFonts w:ascii="Times New Roman" w:eastAsia="Times New Roman" w:hAnsi="Times New Roman" w:cs="Times New Roman"/>
          <w:kern w:val="28"/>
          <w:szCs w:val="20"/>
        </w:rPr>
        <w:t xml:space="preserve"> C</w:t>
      </w:r>
      <w:r w:rsidRPr="007C7053">
        <w:rPr>
          <w:rFonts w:ascii="Times New Roman" w:eastAsia="Times New Roman" w:hAnsi="Times New Roman" w:cs="Times New Roman"/>
          <w:kern w:val="28"/>
          <w:szCs w:val="20"/>
        </w:rPr>
        <w:t>o-</w:t>
      </w:r>
      <w:r w:rsidR="00323BFC">
        <w:rPr>
          <w:rFonts w:ascii="Times New Roman" w:eastAsia="Times New Roman" w:hAnsi="Times New Roman" w:cs="Times New Roman"/>
          <w:kern w:val="28"/>
          <w:szCs w:val="20"/>
        </w:rPr>
        <w:t>C</w:t>
      </w:r>
      <w:r w:rsidRPr="007C7053">
        <w:rPr>
          <w:rFonts w:ascii="Times New Roman" w:eastAsia="Times New Roman" w:hAnsi="Times New Roman" w:cs="Times New Roman"/>
          <w:kern w:val="28"/>
          <w:szCs w:val="20"/>
        </w:rPr>
        <w:t xml:space="preserve">hannel </w:t>
      </w:r>
      <w:r w:rsidR="00323BFC">
        <w:rPr>
          <w:rFonts w:ascii="Times New Roman" w:eastAsia="Times New Roman" w:hAnsi="Times New Roman" w:cs="Times New Roman"/>
          <w:kern w:val="28"/>
          <w:szCs w:val="20"/>
        </w:rPr>
        <w:t>L</w:t>
      </w:r>
      <w:r w:rsidRPr="007C7053">
        <w:rPr>
          <w:rFonts w:ascii="Times New Roman" w:eastAsia="Times New Roman" w:hAnsi="Times New Roman" w:cs="Times New Roman"/>
          <w:kern w:val="28"/>
          <w:szCs w:val="20"/>
        </w:rPr>
        <w:t>icensees.</w:t>
      </w:r>
      <w:r w:rsidRPr="007C7053">
        <w:rPr>
          <w:rFonts w:ascii="Times New Roman" w:eastAsia="Times New Roman" w:hAnsi="Times New Roman" w:cs="Times New Roman"/>
          <w:kern w:val="28"/>
          <w:szCs w:val="20"/>
          <w:vertAlign w:val="superscript"/>
        </w:rPr>
        <w:footnoteReference w:id="11"/>
      </w:r>
      <w:r w:rsidRPr="007C7053">
        <w:rPr>
          <w:rFonts w:ascii="Times New Roman" w:eastAsia="Times New Roman" w:hAnsi="Times New Roman" w:cs="Times New Roman"/>
          <w:kern w:val="28"/>
          <w:szCs w:val="20"/>
        </w:rPr>
        <w:t xml:space="preserve">  Consequently, it seeks a waiver of the short-spacing table.</w:t>
      </w:r>
      <w:r w:rsidRPr="007C7053">
        <w:rPr>
          <w:rFonts w:ascii="Times New Roman" w:eastAsia="Times New Roman" w:hAnsi="Times New Roman" w:cs="Times New Roman"/>
          <w:kern w:val="28"/>
          <w:szCs w:val="20"/>
          <w:vertAlign w:val="superscript"/>
        </w:rPr>
        <w:footnoteReference w:id="12"/>
      </w:r>
      <w:r w:rsidRPr="007C7053">
        <w:rPr>
          <w:rFonts w:ascii="Times New Roman" w:eastAsia="Times New Roman" w:hAnsi="Times New Roman" w:cs="Times New Roman"/>
          <w:kern w:val="28"/>
          <w:szCs w:val="20"/>
        </w:rPr>
        <w:t xml:space="preserve">  Suffolk states that, due to a lack of available channels in the 800 MHz band, it is unable to enhance the coverage of its PLMR system while maintaining the required </w:t>
      </w:r>
      <w:r w:rsidR="006D1013">
        <w:rPr>
          <w:rFonts w:ascii="Times New Roman" w:eastAsia="Times New Roman" w:hAnsi="Times New Roman" w:cs="Times New Roman"/>
          <w:kern w:val="28"/>
          <w:szCs w:val="20"/>
        </w:rPr>
        <w:t xml:space="preserve">co-channel </w:t>
      </w:r>
      <w:r w:rsidRPr="007C7053">
        <w:rPr>
          <w:rFonts w:ascii="Times New Roman" w:eastAsia="Times New Roman" w:hAnsi="Times New Roman" w:cs="Times New Roman"/>
          <w:kern w:val="28"/>
          <w:szCs w:val="20"/>
        </w:rPr>
        <w:t xml:space="preserve">short-spacing separation distance. </w:t>
      </w:r>
      <w:r w:rsidR="006274A7">
        <w:rPr>
          <w:rFonts w:ascii="Times New Roman" w:eastAsia="Times New Roman" w:hAnsi="Times New Roman" w:cs="Times New Roman"/>
          <w:kern w:val="28"/>
          <w:szCs w:val="20"/>
        </w:rPr>
        <w:t xml:space="preserve"> </w:t>
      </w:r>
      <w:r w:rsidRPr="007C7053">
        <w:rPr>
          <w:rFonts w:ascii="Times New Roman" w:eastAsia="Times New Roman" w:hAnsi="Times New Roman" w:cs="Times New Roman"/>
          <w:kern w:val="28"/>
          <w:szCs w:val="20"/>
        </w:rPr>
        <w:t xml:space="preserve">In support of its waiver request, Suffolk includes a contour overlap study which purports to demonstrate that </w:t>
      </w:r>
      <w:r w:rsidR="00323BFC">
        <w:rPr>
          <w:rFonts w:ascii="Times New Roman" w:eastAsia="Times New Roman" w:hAnsi="Times New Roman" w:cs="Times New Roman"/>
          <w:kern w:val="28"/>
          <w:szCs w:val="20"/>
        </w:rPr>
        <w:t>the V</w:t>
      </w:r>
      <w:r w:rsidR="00571A55">
        <w:rPr>
          <w:rFonts w:ascii="Times New Roman" w:eastAsia="Times New Roman" w:hAnsi="Times New Roman" w:cs="Times New Roman"/>
          <w:kern w:val="28"/>
          <w:szCs w:val="20"/>
        </w:rPr>
        <w:t>irginia</w:t>
      </w:r>
      <w:r w:rsidR="00323BFC">
        <w:rPr>
          <w:rFonts w:ascii="Times New Roman" w:eastAsia="Times New Roman" w:hAnsi="Times New Roman" w:cs="Times New Roman"/>
          <w:kern w:val="28"/>
          <w:szCs w:val="20"/>
        </w:rPr>
        <w:t xml:space="preserve"> C</w:t>
      </w:r>
      <w:r w:rsidRPr="007C7053">
        <w:rPr>
          <w:rFonts w:ascii="Times New Roman" w:eastAsia="Times New Roman" w:hAnsi="Times New Roman" w:cs="Times New Roman"/>
          <w:kern w:val="28"/>
          <w:szCs w:val="20"/>
        </w:rPr>
        <w:t>o-</w:t>
      </w:r>
      <w:r w:rsidR="00323BFC">
        <w:rPr>
          <w:rFonts w:ascii="Times New Roman" w:eastAsia="Times New Roman" w:hAnsi="Times New Roman" w:cs="Times New Roman"/>
          <w:kern w:val="28"/>
          <w:szCs w:val="20"/>
        </w:rPr>
        <w:t>C</w:t>
      </w:r>
      <w:r w:rsidRPr="007C7053">
        <w:rPr>
          <w:rFonts w:ascii="Times New Roman" w:eastAsia="Times New Roman" w:hAnsi="Times New Roman" w:cs="Times New Roman"/>
          <w:kern w:val="28"/>
          <w:szCs w:val="20"/>
        </w:rPr>
        <w:t xml:space="preserve">hannel </w:t>
      </w:r>
      <w:r w:rsidR="00323BFC">
        <w:rPr>
          <w:rFonts w:ascii="Times New Roman" w:eastAsia="Times New Roman" w:hAnsi="Times New Roman" w:cs="Times New Roman"/>
          <w:kern w:val="28"/>
          <w:szCs w:val="20"/>
        </w:rPr>
        <w:t>L</w:t>
      </w:r>
      <w:r w:rsidRPr="007C7053">
        <w:rPr>
          <w:rFonts w:ascii="Times New Roman" w:eastAsia="Times New Roman" w:hAnsi="Times New Roman" w:cs="Times New Roman"/>
          <w:kern w:val="28"/>
          <w:szCs w:val="20"/>
        </w:rPr>
        <w:t>icensees “would receive the same or greater interference protection than [that] provided in the Short Spacing Table.”</w:t>
      </w:r>
      <w:r w:rsidRPr="007C7053">
        <w:rPr>
          <w:rFonts w:ascii="Times New Roman" w:eastAsia="Times New Roman" w:hAnsi="Times New Roman" w:cs="Times New Roman"/>
          <w:kern w:val="28"/>
          <w:szCs w:val="20"/>
          <w:vertAlign w:val="superscript"/>
        </w:rPr>
        <w:footnoteReference w:id="13"/>
      </w:r>
      <w:r w:rsidRPr="007C7053">
        <w:rPr>
          <w:rFonts w:ascii="Times New Roman" w:eastAsia="Times New Roman" w:hAnsi="Times New Roman" w:cs="Times New Roman"/>
          <w:kern w:val="28"/>
          <w:szCs w:val="20"/>
        </w:rPr>
        <w:t xml:space="preserve">      </w:t>
      </w:r>
    </w:p>
    <w:p w:rsidR="007C7053" w:rsidRPr="007C7053" w:rsidRDefault="007C7053" w:rsidP="00A22DEF">
      <w:pPr>
        <w:keepNext/>
        <w:numPr>
          <w:ilvl w:val="0"/>
          <w:numId w:val="2"/>
        </w:numPr>
        <w:tabs>
          <w:tab w:val="left" w:pos="720"/>
        </w:tabs>
        <w:suppressAutoHyphens/>
        <w:spacing w:after="120" w:line="240" w:lineRule="auto"/>
        <w:outlineLvl w:val="0"/>
        <w:rPr>
          <w:rFonts w:ascii="Times New Roman Bold" w:eastAsia="Times New Roman" w:hAnsi="Times New Roman Bold" w:cs="Times New Roman"/>
          <w:b/>
          <w:caps/>
          <w:kern w:val="28"/>
        </w:rPr>
      </w:pPr>
      <w:r w:rsidRPr="007C7053">
        <w:rPr>
          <w:rFonts w:ascii="Times New Roman Bold" w:eastAsia="Times New Roman" w:hAnsi="Times New Roman Bold" w:cs="Times New Roman"/>
          <w:b/>
          <w:caps/>
          <w:kern w:val="28"/>
        </w:rPr>
        <w:t>DISCUSSION</w:t>
      </w:r>
    </w:p>
    <w:p w:rsidR="007C7053" w:rsidRPr="007C7053" w:rsidRDefault="007C7053" w:rsidP="00A22DEF">
      <w:pPr>
        <w:numPr>
          <w:ilvl w:val="0"/>
          <w:numId w:val="1"/>
        </w:numPr>
        <w:spacing w:after="120" w:line="240" w:lineRule="auto"/>
        <w:rPr>
          <w:rFonts w:ascii="Times New Roman" w:eastAsia="Times New Roman" w:hAnsi="Times New Roman" w:cs="Times New Roman"/>
          <w:color w:val="000000"/>
          <w:kern w:val="28"/>
        </w:rPr>
      </w:pPr>
      <w:r w:rsidRPr="007C7053">
        <w:rPr>
          <w:rFonts w:ascii="Times New Roman" w:eastAsia="Times New Roman" w:hAnsi="Times New Roman" w:cs="Times New Roman"/>
          <w:kern w:val="28"/>
        </w:rPr>
        <w:t>Section 1.925 of the Commission’s Rules states that in order to obtain a waiver of the Commission’s Rules, a petitioner must demonstrate either that (i) the underlying purpose of the rule(s) would not be served or would be frustrated by application to the present case, and that a grant of the waiver would be in the public interest;</w:t>
      </w:r>
      <w:r w:rsidRPr="007C7053">
        <w:rPr>
          <w:rFonts w:ascii="Times New Roman" w:eastAsia="Times New Roman" w:hAnsi="Times New Roman" w:cs="Times New Roman"/>
          <w:kern w:val="28"/>
          <w:vertAlign w:val="superscript"/>
        </w:rPr>
        <w:footnoteReference w:id="14"/>
      </w:r>
      <w:r w:rsidRPr="007C7053">
        <w:rPr>
          <w:rFonts w:ascii="Times New Roman" w:eastAsia="Times New Roman" w:hAnsi="Times New Roman" w:cs="Times New Roman"/>
          <w:kern w:val="28"/>
        </w:rPr>
        <w:t xml:space="preserve"> or (ii) in view of unique or unusual factual circumstances of the instant case, application of the rule(s) would be inequitable, unduly burdensome, or contrary to the public interest or the applicant has no reasonable alternative</w:t>
      </w:r>
      <w:r w:rsidRPr="007C7053">
        <w:rPr>
          <w:rFonts w:ascii="Times New Roman" w:eastAsia="Times New Roman" w:hAnsi="Times New Roman" w:cs="Times New Roman"/>
          <w:color w:val="000000"/>
          <w:kern w:val="28"/>
        </w:rPr>
        <w:t>.</w:t>
      </w:r>
      <w:r w:rsidRPr="007C7053">
        <w:rPr>
          <w:rFonts w:ascii="Times New Roman" w:eastAsia="Times New Roman" w:hAnsi="Times New Roman" w:cs="Times New Roman"/>
          <w:bCs/>
          <w:color w:val="000000"/>
          <w:kern w:val="28"/>
          <w:vertAlign w:val="superscript"/>
        </w:rPr>
        <w:footnoteReference w:id="15"/>
      </w:r>
      <w:r w:rsidRPr="007C7053">
        <w:rPr>
          <w:rFonts w:ascii="Times New Roman" w:eastAsia="Times New Roman" w:hAnsi="Times New Roman" w:cs="Times New Roman"/>
          <w:color w:val="000000"/>
          <w:kern w:val="28"/>
        </w:rPr>
        <w:t xml:space="preserve"> </w:t>
      </w:r>
    </w:p>
    <w:p w:rsidR="00891789" w:rsidRDefault="00487936" w:rsidP="00A22DEF">
      <w:pPr>
        <w:numPr>
          <w:ilvl w:val="0"/>
          <w:numId w:val="1"/>
        </w:numPr>
        <w:spacing w:after="120" w:line="240" w:lineRule="auto"/>
        <w:rPr>
          <w:rFonts w:ascii="Times New Roman" w:eastAsia="Times New Roman" w:hAnsi="Times New Roman" w:cs="Times New Roman"/>
          <w:kern w:val="28"/>
        </w:rPr>
      </w:pPr>
      <w:r w:rsidRPr="00891789">
        <w:rPr>
          <w:rFonts w:ascii="Times New Roman" w:eastAsia="Times New Roman" w:hAnsi="Times New Roman" w:cs="Times New Roman"/>
          <w:color w:val="000000"/>
          <w:kern w:val="28"/>
        </w:rPr>
        <w:t xml:space="preserve">As noted above, the distances listed in the short-spacing table of Section </w:t>
      </w:r>
      <w:r w:rsidRPr="00891789">
        <w:rPr>
          <w:rFonts w:ascii="Times New Roman" w:eastAsia="Times New Roman" w:hAnsi="Times New Roman" w:cs="Times New Roman"/>
          <w:kern w:val="28"/>
          <w:szCs w:val="20"/>
        </w:rPr>
        <w:t>90.</w:t>
      </w:r>
      <w:r w:rsidRPr="00891789">
        <w:rPr>
          <w:rFonts w:ascii="Times New Roman" w:eastAsia="Times New Roman" w:hAnsi="Times New Roman" w:cs="Times New Roman"/>
          <w:kern w:val="28"/>
        </w:rPr>
        <w:t xml:space="preserve">621(b)(4) are based upon preventing the </w:t>
      </w:r>
      <w:r w:rsidR="00897715" w:rsidRPr="00891789">
        <w:rPr>
          <w:rFonts w:ascii="Times New Roman" w:eastAsia="Times New Roman" w:hAnsi="Times New Roman" w:cs="Times New Roman"/>
          <w:kern w:val="28"/>
        </w:rPr>
        <w:t xml:space="preserve">proposed station’s </w:t>
      </w:r>
      <w:r w:rsidRPr="00891789">
        <w:rPr>
          <w:rFonts w:ascii="Times New Roman" w:eastAsia="Times New Roman" w:hAnsi="Times New Roman" w:cs="Times New Roman"/>
          <w:kern w:val="28"/>
        </w:rPr>
        <w:t xml:space="preserve">22 dBu F(50,10) </w:t>
      </w:r>
      <w:r w:rsidR="00571A55">
        <w:rPr>
          <w:rFonts w:ascii="Times New Roman" w:eastAsia="Times New Roman" w:hAnsi="Times New Roman" w:cs="Times New Roman"/>
          <w:kern w:val="28"/>
        </w:rPr>
        <w:t xml:space="preserve">interference </w:t>
      </w:r>
      <w:r w:rsidRPr="00891789">
        <w:rPr>
          <w:rFonts w:ascii="Times New Roman" w:eastAsia="Times New Roman" w:hAnsi="Times New Roman" w:cs="Times New Roman"/>
          <w:kern w:val="28"/>
        </w:rPr>
        <w:t xml:space="preserve">contour from overlapping the 40 dBu F(50,50) </w:t>
      </w:r>
      <w:r w:rsidR="00571A55">
        <w:rPr>
          <w:rFonts w:ascii="Times New Roman" w:eastAsia="Times New Roman" w:hAnsi="Times New Roman" w:cs="Times New Roman"/>
          <w:kern w:val="28"/>
        </w:rPr>
        <w:t xml:space="preserve">coverage </w:t>
      </w:r>
      <w:r w:rsidRPr="00891789">
        <w:rPr>
          <w:rFonts w:ascii="Times New Roman" w:eastAsia="Times New Roman" w:hAnsi="Times New Roman" w:cs="Times New Roman"/>
          <w:kern w:val="28"/>
        </w:rPr>
        <w:t xml:space="preserve">contour of the </w:t>
      </w:r>
      <w:r w:rsidR="009250F5" w:rsidRPr="00891789">
        <w:rPr>
          <w:rFonts w:ascii="Times New Roman" w:eastAsia="Times New Roman" w:hAnsi="Times New Roman" w:cs="Times New Roman"/>
          <w:kern w:val="28"/>
        </w:rPr>
        <w:t xml:space="preserve">short-spaced co-channel incumbent </w:t>
      </w:r>
      <w:r w:rsidRPr="00891789">
        <w:rPr>
          <w:rFonts w:ascii="Times New Roman" w:eastAsia="Times New Roman" w:hAnsi="Times New Roman" w:cs="Times New Roman"/>
          <w:kern w:val="28"/>
        </w:rPr>
        <w:t>station.</w:t>
      </w:r>
      <w:r w:rsidR="00266E4C">
        <w:rPr>
          <w:rStyle w:val="FootnoteReference"/>
          <w:rFonts w:eastAsia="Times New Roman" w:cs="Times New Roman"/>
          <w:kern w:val="28"/>
        </w:rPr>
        <w:footnoteReference w:id="16"/>
      </w:r>
      <w:r w:rsidRPr="00891789">
        <w:rPr>
          <w:rFonts w:ascii="Times New Roman" w:eastAsia="Times New Roman" w:hAnsi="Times New Roman" w:cs="Times New Roman"/>
          <w:kern w:val="28"/>
        </w:rPr>
        <w:t xml:space="preserve">  </w:t>
      </w:r>
      <w:r w:rsidR="00571A55">
        <w:rPr>
          <w:rFonts w:ascii="Times New Roman" w:eastAsia="Times New Roman" w:hAnsi="Times New Roman" w:cs="Times New Roman"/>
          <w:kern w:val="28"/>
        </w:rPr>
        <w:t>A</w:t>
      </w:r>
      <w:r w:rsidR="00897715" w:rsidRPr="00891789">
        <w:rPr>
          <w:rFonts w:ascii="Times New Roman" w:eastAsia="Times New Roman" w:hAnsi="Times New Roman" w:cs="Times New Roman"/>
          <w:kern w:val="28"/>
        </w:rPr>
        <w:t xml:space="preserve"> footnote to the table </w:t>
      </w:r>
      <w:r w:rsidR="00571A55">
        <w:rPr>
          <w:rFonts w:ascii="Times New Roman" w:eastAsia="Times New Roman" w:hAnsi="Times New Roman" w:cs="Times New Roman"/>
          <w:kern w:val="28"/>
        </w:rPr>
        <w:t xml:space="preserve">specifies </w:t>
      </w:r>
      <w:r w:rsidR="00897715" w:rsidRPr="00891789">
        <w:rPr>
          <w:rFonts w:ascii="Times New Roman" w:eastAsia="Times New Roman" w:hAnsi="Times New Roman" w:cs="Times New Roman"/>
          <w:kern w:val="28"/>
        </w:rPr>
        <w:t xml:space="preserve">that all existing stations are assumed to be operating </w:t>
      </w:r>
      <w:r w:rsidR="00571A55">
        <w:rPr>
          <w:rFonts w:ascii="Times New Roman" w:eastAsia="Times New Roman" w:hAnsi="Times New Roman" w:cs="Times New Roman"/>
          <w:kern w:val="28"/>
        </w:rPr>
        <w:t>with</w:t>
      </w:r>
      <w:r w:rsidR="00897715" w:rsidRPr="00891789">
        <w:rPr>
          <w:rFonts w:ascii="Times New Roman" w:eastAsia="Times New Roman" w:hAnsi="Times New Roman" w:cs="Times New Roman"/>
          <w:kern w:val="28"/>
        </w:rPr>
        <w:t xml:space="preserve"> 1000 watts effective radiated power (ERP).</w:t>
      </w:r>
      <w:r w:rsidR="00891789">
        <w:rPr>
          <w:rStyle w:val="FootnoteReference"/>
          <w:rFonts w:eastAsia="Times New Roman" w:cs="Times New Roman"/>
          <w:kern w:val="28"/>
        </w:rPr>
        <w:footnoteReference w:id="17"/>
      </w:r>
      <w:r w:rsidR="00897715" w:rsidRPr="00891789">
        <w:rPr>
          <w:rFonts w:ascii="Times New Roman" w:eastAsia="Times New Roman" w:hAnsi="Times New Roman" w:cs="Times New Roman"/>
          <w:kern w:val="28"/>
        </w:rPr>
        <w:t xml:space="preserve">  </w:t>
      </w:r>
    </w:p>
    <w:p w:rsidR="009250F5" w:rsidRPr="00891789" w:rsidRDefault="00DB31A5" w:rsidP="00A22DEF">
      <w:pPr>
        <w:numPr>
          <w:ilvl w:val="0"/>
          <w:numId w:val="1"/>
        </w:numPr>
        <w:spacing w:after="120" w:line="240" w:lineRule="auto"/>
        <w:rPr>
          <w:rFonts w:ascii="Times New Roman" w:eastAsia="Times New Roman" w:hAnsi="Times New Roman" w:cs="Times New Roman"/>
          <w:kern w:val="28"/>
        </w:rPr>
      </w:pPr>
      <w:r w:rsidRPr="00891789">
        <w:rPr>
          <w:rFonts w:ascii="Times New Roman" w:eastAsia="Times New Roman" w:hAnsi="Times New Roman" w:cs="Times New Roman"/>
          <w:kern w:val="28"/>
        </w:rPr>
        <w:t xml:space="preserve">Suffolk includes a contour overlap study with its application which purports to demonstrate that its proposed base stations would </w:t>
      </w:r>
      <w:r w:rsidR="00EE39E0" w:rsidRPr="00891789">
        <w:rPr>
          <w:rFonts w:ascii="Times New Roman" w:eastAsia="Times New Roman" w:hAnsi="Times New Roman" w:cs="Times New Roman"/>
          <w:kern w:val="28"/>
        </w:rPr>
        <w:t xml:space="preserve">provide the requisite contour protection to the </w:t>
      </w:r>
      <w:r w:rsidR="00E60559" w:rsidRPr="00891789">
        <w:rPr>
          <w:rFonts w:ascii="Times New Roman" w:eastAsia="Times New Roman" w:hAnsi="Times New Roman" w:cs="Times New Roman"/>
          <w:kern w:val="28"/>
        </w:rPr>
        <w:t xml:space="preserve">short-spaced </w:t>
      </w:r>
      <w:r w:rsidR="00EE39E0" w:rsidRPr="00891789">
        <w:rPr>
          <w:rFonts w:ascii="Times New Roman" w:eastAsia="Times New Roman" w:hAnsi="Times New Roman" w:cs="Times New Roman"/>
          <w:kern w:val="28"/>
        </w:rPr>
        <w:t xml:space="preserve">base stations of </w:t>
      </w:r>
      <w:r w:rsidR="00891789">
        <w:rPr>
          <w:rFonts w:ascii="Times New Roman" w:eastAsia="Times New Roman" w:hAnsi="Times New Roman" w:cs="Times New Roman"/>
          <w:kern w:val="28"/>
        </w:rPr>
        <w:t xml:space="preserve">the </w:t>
      </w:r>
      <w:r w:rsidR="00323BFC">
        <w:rPr>
          <w:rFonts w:ascii="Times New Roman" w:eastAsia="Times New Roman" w:hAnsi="Times New Roman" w:cs="Times New Roman"/>
          <w:kern w:val="28"/>
        </w:rPr>
        <w:t>V</w:t>
      </w:r>
      <w:r w:rsidR="00571A55">
        <w:rPr>
          <w:rFonts w:ascii="Times New Roman" w:eastAsia="Times New Roman" w:hAnsi="Times New Roman" w:cs="Times New Roman"/>
          <w:kern w:val="28"/>
        </w:rPr>
        <w:t xml:space="preserve">irginia </w:t>
      </w:r>
      <w:r w:rsidR="00323BFC">
        <w:rPr>
          <w:rFonts w:ascii="Times New Roman" w:eastAsia="Times New Roman" w:hAnsi="Times New Roman" w:cs="Times New Roman"/>
          <w:kern w:val="28"/>
        </w:rPr>
        <w:t>C</w:t>
      </w:r>
      <w:r w:rsidR="00EE39E0" w:rsidRPr="00891789">
        <w:rPr>
          <w:rFonts w:ascii="Times New Roman" w:eastAsia="Times New Roman" w:hAnsi="Times New Roman" w:cs="Times New Roman"/>
          <w:kern w:val="28"/>
        </w:rPr>
        <w:t>o-</w:t>
      </w:r>
      <w:r w:rsidR="00323BFC">
        <w:rPr>
          <w:rFonts w:ascii="Times New Roman" w:eastAsia="Times New Roman" w:hAnsi="Times New Roman" w:cs="Times New Roman"/>
          <w:kern w:val="28"/>
        </w:rPr>
        <w:t>C</w:t>
      </w:r>
      <w:r w:rsidR="00EE39E0" w:rsidRPr="00891789">
        <w:rPr>
          <w:rFonts w:ascii="Times New Roman" w:eastAsia="Times New Roman" w:hAnsi="Times New Roman" w:cs="Times New Roman"/>
          <w:kern w:val="28"/>
        </w:rPr>
        <w:t xml:space="preserve">hannel </w:t>
      </w:r>
      <w:r w:rsidR="00323BFC">
        <w:rPr>
          <w:rFonts w:ascii="Times New Roman" w:eastAsia="Times New Roman" w:hAnsi="Times New Roman" w:cs="Times New Roman"/>
          <w:kern w:val="28"/>
        </w:rPr>
        <w:t>L</w:t>
      </w:r>
      <w:r w:rsidR="00EE39E0" w:rsidRPr="00891789">
        <w:rPr>
          <w:rFonts w:ascii="Times New Roman" w:eastAsia="Times New Roman" w:hAnsi="Times New Roman" w:cs="Times New Roman"/>
          <w:kern w:val="28"/>
        </w:rPr>
        <w:t>icensees.</w:t>
      </w:r>
      <w:r w:rsidR="00891789">
        <w:rPr>
          <w:rStyle w:val="FootnoteReference"/>
          <w:rFonts w:eastAsia="Times New Roman" w:cs="Times New Roman"/>
          <w:kern w:val="28"/>
        </w:rPr>
        <w:footnoteReference w:id="18"/>
      </w:r>
      <w:r w:rsidR="00897715" w:rsidRPr="00891789">
        <w:rPr>
          <w:rFonts w:ascii="Times New Roman" w:eastAsia="Times New Roman" w:hAnsi="Times New Roman" w:cs="Times New Roman"/>
          <w:kern w:val="28"/>
        </w:rPr>
        <w:t xml:space="preserve">  </w:t>
      </w:r>
      <w:r w:rsidR="005F151E" w:rsidRPr="00891789">
        <w:rPr>
          <w:rFonts w:ascii="Times New Roman" w:eastAsia="Times New Roman" w:hAnsi="Times New Roman" w:cs="Times New Roman"/>
          <w:kern w:val="28"/>
        </w:rPr>
        <w:t>Suffolk</w:t>
      </w:r>
      <w:r w:rsidR="000832D4">
        <w:rPr>
          <w:rFonts w:ascii="Times New Roman" w:eastAsia="Times New Roman" w:hAnsi="Times New Roman" w:cs="Times New Roman"/>
          <w:kern w:val="28"/>
        </w:rPr>
        <w:t>, however,</w:t>
      </w:r>
      <w:r w:rsidR="005F151E" w:rsidRPr="00891789">
        <w:rPr>
          <w:rFonts w:ascii="Times New Roman" w:eastAsia="Times New Roman" w:hAnsi="Times New Roman" w:cs="Times New Roman"/>
          <w:kern w:val="28"/>
        </w:rPr>
        <w:t xml:space="preserve"> performed its contour study with only one licensee operating at 1000 watts ERP (County of Chesterfield).</w:t>
      </w:r>
      <w:r w:rsidR="00891789">
        <w:rPr>
          <w:rStyle w:val="FootnoteReference"/>
          <w:rFonts w:eastAsia="Times New Roman" w:cs="Times New Roman"/>
          <w:kern w:val="28"/>
        </w:rPr>
        <w:footnoteReference w:id="19"/>
      </w:r>
      <w:r w:rsidR="005F151E" w:rsidRPr="00891789">
        <w:rPr>
          <w:rFonts w:ascii="Times New Roman" w:eastAsia="Times New Roman" w:hAnsi="Times New Roman" w:cs="Times New Roman"/>
          <w:kern w:val="28"/>
        </w:rPr>
        <w:t xml:space="preserve">  For the other </w:t>
      </w:r>
      <w:r w:rsidR="00571A55">
        <w:rPr>
          <w:rFonts w:ascii="Times New Roman" w:eastAsia="Times New Roman" w:hAnsi="Times New Roman" w:cs="Times New Roman"/>
          <w:kern w:val="28"/>
        </w:rPr>
        <w:t xml:space="preserve">short-spaced </w:t>
      </w:r>
      <w:r w:rsidR="005F151E" w:rsidRPr="00891789">
        <w:rPr>
          <w:rFonts w:ascii="Times New Roman" w:eastAsia="Times New Roman" w:hAnsi="Times New Roman" w:cs="Times New Roman"/>
          <w:kern w:val="28"/>
        </w:rPr>
        <w:t>licensees, Suffolk performed its study with the incumbent licensees operating at their licensed power.</w:t>
      </w:r>
      <w:r w:rsidR="00891789">
        <w:rPr>
          <w:rStyle w:val="FootnoteReference"/>
          <w:rFonts w:eastAsia="Times New Roman" w:cs="Times New Roman"/>
          <w:kern w:val="28"/>
        </w:rPr>
        <w:footnoteReference w:id="20"/>
      </w:r>
      <w:r w:rsidR="005F151E" w:rsidRPr="00891789">
        <w:rPr>
          <w:rFonts w:ascii="Times New Roman" w:eastAsia="Times New Roman" w:hAnsi="Times New Roman" w:cs="Times New Roman"/>
          <w:kern w:val="28"/>
        </w:rPr>
        <w:t xml:space="preserve">     </w:t>
      </w:r>
    </w:p>
    <w:p w:rsidR="00323BFC" w:rsidRDefault="000832D4" w:rsidP="00A22DEF">
      <w:pPr>
        <w:numPr>
          <w:ilvl w:val="0"/>
          <w:numId w:val="1"/>
        </w:numPr>
        <w:spacing w:after="120" w:line="240" w:lineRule="auto"/>
        <w:rPr>
          <w:rFonts w:ascii="Times New Roman" w:eastAsia="Times New Roman" w:hAnsi="Times New Roman" w:cs="Times New Roman"/>
          <w:kern w:val="28"/>
        </w:rPr>
      </w:pPr>
      <w:r>
        <w:rPr>
          <w:rFonts w:ascii="Times New Roman" w:eastAsia="Times New Roman" w:hAnsi="Times New Roman" w:cs="Times New Roman"/>
          <w:kern w:val="28"/>
        </w:rPr>
        <w:t>Bureau staff re-ran Suffolk’s c</w:t>
      </w:r>
      <w:r w:rsidR="00F6787C">
        <w:rPr>
          <w:rFonts w:ascii="Times New Roman" w:eastAsia="Times New Roman" w:hAnsi="Times New Roman" w:cs="Times New Roman"/>
          <w:kern w:val="28"/>
        </w:rPr>
        <w:t>ontour study with all incumbent licensees</w:t>
      </w:r>
      <w:r>
        <w:rPr>
          <w:rFonts w:ascii="Times New Roman" w:eastAsia="Times New Roman" w:hAnsi="Times New Roman" w:cs="Times New Roman"/>
          <w:kern w:val="28"/>
        </w:rPr>
        <w:t xml:space="preserve"> operating at 1000 watts </w:t>
      </w:r>
      <w:r w:rsidR="00323BFC">
        <w:rPr>
          <w:rFonts w:ascii="Times New Roman" w:eastAsia="Times New Roman" w:hAnsi="Times New Roman" w:cs="Times New Roman"/>
          <w:kern w:val="28"/>
        </w:rPr>
        <w:t xml:space="preserve">ERP </w:t>
      </w:r>
      <w:r>
        <w:rPr>
          <w:rFonts w:ascii="Times New Roman" w:eastAsia="Times New Roman" w:hAnsi="Times New Roman" w:cs="Times New Roman"/>
          <w:kern w:val="28"/>
        </w:rPr>
        <w:t>in accordance with the short-spacing table</w:t>
      </w:r>
      <w:r w:rsidR="00323BFC">
        <w:rPr>
          <w:rFonts w:ascii="Times New Roman" w:eastAsia="Times New Roman" w:hAnsi="Times New Roman" w:cs="Times New Roman"/>
          <w:kern w:val="28"/>
        </w:rPr>
        <w:t xml:space="preserve">.  Staff </w:t>
      </w:r>
      <w:r w:rsidR="00F6787C">
        <w:rPr>
          <w:rFonts w:ascii="Times New Roman" w:eastAsia="Times New Roman" w:hAnsi="Times New Roman" w:cs="Times New Roman"/>
          <w:kern w:val="28"/>
        </w:rPr>
        <w:t xml:space="preserve">determined that </w:t>
      </w:r>
      <w:r w:rsidR="00EB710E">
        <w:rPr>
          <w:rFonts w:ascii="Times New Roman" w:eastAsia="Times New Roman" w:hAnsi="Times New Roman" w:cs="Times New Roman"/>
          <w:kern w:val="28"/>
        </w:rPr>
        <w:t xml:space="preserve">two of </w:t>
      </w:r>
      <w:r w:rsidR="00F6787C">
        <w:rPr>
          <w:rFonts w:ascii="Times New Roman" w:eastAsia="Times New Roman" w:hAnsi="Times New Roman" w:cs="Times New Roman"/>
          <w:kern w:val="28"/>
        </w:rPr>
        <w:t xml:space="preserve">Suffolk’s </w:t>
      </w:r>
      <w:r w:rsidR="00EB710E">
        <w:rPr>
          <w:rFonts w:ascii="Times New Roman" w:eastAsia="Times New Roman" w:hAnsi="Times New Roman" w:cs="Times New Roman"/>
          <w:kern w:val="28"/>
        </w:rPr>
        <w:t xml:space="preserve">three </w:t>
      </w:r>
      <w:r w:rsidR="00F6787C">
        <w:rPr>
          <w:rFonts w:ascii="Times New Roman" w:eastAsia="Times New Roman" w:hAnsi="Times New Roman" w:cs="Times New Roman"/>
          <w:kern w:val="28"/>
        </w:rPr>
        <w:t>proposed base stations</w:t>
      </w:r>
      <w:r w:rsidR="00571A55">
        <w:rPr>
          <w:rFonts w:ascii="Times New Roman" w:eastAsia="Times New Roman" w:hAnsi="Times New Roman" w:cs="Times New Roman"/>
          <w:kern w:val="28"/>
        </w:rPr>
        <w:t>’ interference contours</w:t>
      </w:r>
      <w:r w:rsidR="00F6787C">
        <w:rPr>
          <w:rFonts w:ascii="Times New Roman" w:eastAsia="Times New Roman" w:hAnsi="Times New Roman" w:cs="Times New Roman"/>
          <w:kern w:val="28"/>
        </w:rPr>
        <w:t xml:space="preserve"> would overlap </w:t>
      </w:r>
      <w:r w:rsidR="00571A55">
        <w:rPr>
          <w:rFonts w:ascii="Times New Roman" w:eastAsia="Times New Roman" w:hAnsi="Times New Roman" w:cs="Times New Roman"/>
          <w:kern w:val="28"/>
        </w:rPr>
        <w:t xml:space="preserve">the coverage contours on </w:t>
      </w:r>
      <w:r w:rsidR="009665FF">
        <w:rPr>
          <w:rFonts w:ascii="Times New Roman" w:eastAsia="Times New Roman" w:hAnsi="Times New Roman" w:cs="Times New Roman"/>
          <w:kern w:val="28"/>
        </w:rPr>
        <w:t xml:space="preserve">a number of channels </w:t>
      </w:r>
      <w:r w:rsidR="00571A55">
        <w:rPr>
          <w:rFonts w:ascii="Times New Roman" w:eastAsia="Times New Roman" w:hAnsi="Times New Roman" w:cs="Times New Roman"/>
          <w:kern w:val="28"/>
        </w:rPr>
        <w:t>licensed to</w:t>
      </w:r>
      <w:r w:rsidR="00F02C7C">
        <w:rPr>
          <w:rFonts w:ascii="Times New Roman" w:eastAsia="Times New Roman" w:hAnsi="Times New Roman" w:cs="Times New Roman"/>
          <w:kern w:val="28"/>
        </w:rPr>
        <w:t xml:space="preserve"> </w:t>
      </w:r>
      <w:r w:rsidR="00323BFC">
        <w:rPr>
          <w:rFonts w:ascii="Times New Roman" w:eastAsia="Times New Roman" w:hAnsi="Times New Roman" w:cs="Times New Roman"/>
          <w:kern w:val="28"/>
        </w:rPr>
        <w:t>the V</w:t>
      </w:r>
      <w:r w:rsidR="00571A55">
        <w:rPr>
          <w:rFonts w:ascii="Times New Roman" w:eastAsia="Times New Roman" w:hAnsi="Times New Roman" w:cs="Times New Roman"/>
          <w:kern w:val="28"/>
        </w:rPr>
        <w:t>irginia Co-</w:t>
      </w:r>
      <w:r w:rsidR="00323BFC">
        <w:rPr>
          <w:rFonts w:ascii="Times New Roman" w:eastAsia="Times New Roman" w:hAnsi="Times New Roman" w:cs="Times New Roman"/>
          <w:kern w:val="28"/>
        </w:rPr>
        <w:t>C</w:t>
      </w:r>
      <w:r w:rsidR="00F6787C">
        <w:rPr>
          <w:rFonts w:ascii="Times New Roman" w:eastAsia="Times New Roman" w:hAnsi="Times New Roman" w:cs="Times New Roman"/>
          <w:kern w:val="28"/>
        </w:rPr>
        <w:t xml:space="preserve">hannel </w:t>
      </w:r>
      <w:r w:rsidR="00323BFC">
        <w:rPr>
          <w:rFonts w:ascii="Times New Roman" w:eastAsia="Times New Roman" w:hAnsi="Times New Roman" w:cs="Times New Roman"/>
          <w:kern w:val="28"/>
        </w:rPr>
        <w:t>L</w:t>
      </w:r>
      <w:r w:rsidR="00F6787C">
        <w:rPr>
          <w:rFonts w:ascii="Times New Roman" w:eastAsia="Times New Roman" w:hAnsi="Times New Roman" w:cs="Times New Roman"/>
          <w:kern w:val="28"/>
        </w:rPr>
        <w:t>icensees when those licensees are presumed to operat</w:t>
      </w:r>
      <w:r w:rsidR="004D7618">
        <w:rPr>
          <w:rFonts w:ascii="Times New Roman" w:eastAsia="Times New Roman" w:hAnsi="Times New Roman" w:cs="Times New Roman"/>
          <w:kern w:val="28"/>
        </w:rPr>
        <w:t xml:space="preserve">e </w:t>
      </w:r>
      <w:r w:rsidR="00F6787C">
        <w:rPr>
          <w:rFonts w:ascii="Times New Roman" w:eastAsia="Times New Roman" w:hAnsi="Times New Roman" w:cs="Times New Roman"/>
          <w:kern w:val="28"/>
        </w:rPr>
        <w:t>at 1000 watts ERP.</w:t>
      </w:r>
      <w:r w:rsidR="004D7618">
        <w:rPr>
          <w:rStyle w:val="FootnoteReference"/>
          <w:rFonts w:eastAsia="Times New Roman" w:cs="Times New Roman"/>
          <w:kern w:val="28"/>
        </w:rPr>
        <w:footnoteReference w:id="21"/>
      </w:r>
      <w:r w:rsidR="00323BFC">
        <w:rPr>
          <w:rFonts w:ascii="Times New Roman" w:eastAsia="Times New Roman" w:hAnsi="Times New Roman" w:cs="Times New Roman"/>
          <w:kern w:val="28"/>
        </w:rPr>
        <w:t xml:space="preserve">  </w:t>
      </w:r>
    </w:p>
    <w:p w:rsidR="00903B26" w:rsidRDefault="009665FF" w:rsidP="00A22DEF">
      <w:pPr>
        <w:numPr>
          <w:ilvl w:val="0"/>
          <w:numId w:val="1"/>
        </w:numPr>
        <w:spacing w:after="12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Thus, we deny Suffolk’s request for a waiver of the short-spacing table for </w:t>
      </w:r>
      <w:r w:rsidR="00F74FF1">
        <w:rPr>
          <w:rFonts w:ascii="Times New Roman" w:eastAsia="Times New Roman" w:hAnsi="Times New Roman" w:cs="Times New Roman"/>
          <w:kern w:val="28"/>
        </w:rPr>
        <w:t xml:space="preserve">channels </w:t>
      </w:r>
      <w:r w:rsidR="00E313FE">
        <w:rPr>
          <w:rFonts w:ascii="Times New Roman" w:eastAsia="Times New Roman" w:hAnsi="Times New Roman" w:cs="Times New Roman"/>
          <w:kern w:val="28"/>
        </w:rPr>
        <w:t xml:space="preserve">at locations </w:t>
      </w:r>
      <w:r w:rsidR="00F74FF1">
        <w:rPr>
          <w:rFonts w:ascii="Times New Roman" w:eastAsia="Times New Roman" w:hAnsi="Times New Roman" w:cs="Times New Roman"/>
          <w:kern w:val="28"/>
        </w:rPr>
        <w:t>which create contour overlap</w:t>
      </w:r>
      <w:r w:rsidR="00E313FE">
        <w:rPr>
          <w:rFonts w:ascii="Times New Roman" w:eastAsia="Times New Roman" w:hAnsi="Times New Roman" w:cs="Times New Roman"/>
          <w:kern w:val="28"/>
        </w:rPr>
        <w:t>.  In th</w:t>
      </w:r>
      <w:r w:rsidR="00E0454C">
        <w:rPr>
          <w:rFonts w:ascii="Times New Roman" w:eastAsia="Times New Roman" w:hAnsi="Times New Roman" w:cs="Times New Roman"/>
          <w:kern w:val="28"/>
        </w:rPr>
        <w:t xml:space="preserve">e </w:t>
      </w:r>
      <w:r w:rsidR="00E313FE">
        <w:rPr>
          <w:rFonts w:ascii="Times New Roman" w:eastAsia="Times New Roman" w:hAnsi="Times New Roman" w:cs="Times New Roman"/>
          <w:kern w:val="28"/>
        </w:rPr>
        <w:t>instance</w:t>
      </w:r>
      <w:r w:rsidR="00E0454C">
        <w:rPr>
          <w:rFonts w:ascii="Times New Roman" w:eastAsia="Times New Roman" w:hAnsi="Times New Roman" w:cs="Times New Roman"/>
          <w:kern w:val="28"/>
        </w:rPr>
        <w:t xml:space="preserve"> of contour overlap</w:t>
      </w:r>
      <w:r w:rsidR="00E313FE">
        <w:rPr>
          <w:rFonts w:ascii="Times New Roman" w:eastAsia="Times New Roman" w:hAnsi="Times New Roman" w:cs="Times New Roman"/>
          <w:kern w:val="28"/>
        </w:rPr>
        <w:t xml:space="preserve">, we find Suffolk’s proposal </w:t>
      </w:r>
      <w:r w:rsidR="00923356">
        <w:rPr>
          <w:rFonts w:ascii="Times New Roman" w:eastAsia="Times New Roman" w:hAnsi="Times New Roman" w:cs="Times New Roman"/>
          <w:kern w:val="28"/>
        </w:rPr>
        <w:t xml:space="preserve">contrary to </w:t>
      </w:r>
      <w:r w:rsidR="00F74FF1">
        <w:rPr>
          <w:rFonts w:ascii="Times New Roman" w:eastAsia="Times New Roman" w:hAnsi="Times New Roman" w:cs="Times New Roman"/>
          <w:kern w:val="28"/>
        </w:rPr>
        <w:t xml:space="preserve">the </w:t>
      </w:r>
      <w:r w:rsidR="00F74FF1" w:rsidRPr="007C7053">
        <w:rPr>
          <w:rFonts w:ascii="Times New Roman" w:eastAsia="Times New Roman" w:hAnsi="Times New Roman" w:cs="Times New Roman"/>
          <w:kern w:val="28"/>
        </w:rPr>
        <w:t xml:space="preserve">underlying purpose of the </w:t>
      </w:r>
      <w:r w:rsidR="00E313FE">
        <w:rPr>
          <w:rFonts w:ascii="Times New Roman" w:eastAsia="Times New Roman" w:hAnsi="Times New Roman" w:cs="Times New Roman"/>
          <w:kern w:val="28"/>
        </w:rPr>
        <w:t xml:space="preserve">short-spacing </w:t>
      </w:r>
      <w:r w:rsidR="00F74FF1">
        <w:rPr>
          <w:rFonts w:ascii="Times New Roman" w:eastAsia="Times New Roman" w:hAnsi="Times New Roman" w:cs="Times New Roman"/>
          <w:kern w:val="28"/>
        </w:rPr>
        <w:t>table (</w:t>
      </w:r>
      <w:r w:rsidR="00F74FF1" w:rsidRPr="00F02C7C">
        <w:rPr>
          <w:rFonts w:ascii="Times New Roman" w:eastAsia="Times New Roman" w:hAnsi="Times New Roman" w:cs="Times New Roman"/>
          <w:i/>
          <w:kern w:val="28"/>
        </w:rPr>
        <w:t>i.e.</w:t>
      </w:r>
      <w:r w:rsidR="00F74FF1">
        <w:rPr>
          <w:rFonts w:ascii="Times New Roman" w:eastAsia="Times New Roman" w:hAnsi="Times New Roman" w:cs="Times New Roman"/>
          <w:kern w:val="28"/>
        </w:rPr>
        <w:t xml:space="preserve"> to prevent an applicant’s </w:t>
      </w:r>
      <w:r w:rsidR="00F74FF1" w:rsidRPr="00891789">
        <w:rPr>
          <w:rFonts w:ascii="Times New Roman" w:eastAsia="Times New Roman" w:hAnsi="Times New Roman" w:cs="Times New Roman"/>
          <w:kern w:val="28"/>
        </w:rPr>
        <w:t>22 dBu F(50,10) contour</w:t>
      </w:r>
      <w:r w:rsidR="00F74FF1">
        <w:rPr>
          <w:rFonts w:ascii="Times New Roman" w:eastAsia="Times New Roman" w:hAnsi="Times New Roman" w:cs="Times New Roman"/>
          <w:kern w:val="28"/>
        </w:rPr>
        <w:t xml:space="preserve"> from overlapping an incumbent operator’s 40 dBu F(50,50) contour</w:t>
      </w:r>
      <w:r w:rsidR="00903B26">
        <w:rPr>
          <w:rFonts w:ascii="Times New Roman" w:eastAsia="Times New Roman" w:hAnsi="Times New Roman" w:cs="Times New Roman"/>
          <w:kern w:val="28"/>
        </w:rPr>
        <w:t>)</w:t>
      </w:r>
      <w:r w:rsidR="00F74FF1">
        <w:rPr>
          <w:rFonts w:ascii="Times New Roman" w:eastAsia="Times New Roman" w:hAnsi="Times New Roman" w:cs="Times New Roman"/>
          <w:kern w:val="28"/>
        </w:rPr>
        <w:t>.</w:t>
      </w:r>
      <w:r w:rsidR="004F18CC">
        <w:rPr>
          <w:rFonts w:ascii="Times New Roman" w:eastAsia="Times New Roman" w:hAnsi="Times New Roman" w:cs="Times New Roman"/>
          <w:kern w:val="28"/>
        </w:rPr>
        <w:t xml:space="preserve">  We also find</w:t>
      </w:r>
      <w:r w:rsidR="007E6C8F">
        <w:rPr>
          <w:rFonts w:ascii="Times New Roman" w:eastAsia="Times New Roman" w:hAnsi="Times New Roman" w:cs="Times New Roman"/>
          <w:kern w:val="28"/>
        </w:rPr>
        <w:t xml:space="preserve"> that</w:t>
      </w:r>
      <w:r w:rsidR="004F18CC">
        <w:rPr>
          <w:rFonts w:ascii="Times New Roman" w:eastAsia="Times New Roman" w:hAnsi="Times New Roman" w:cs="Times New Roman"/>
          <w:kern w:val="28"/>
        </w:rPr>
        <w:t xml:space="preserve"> the lack of available channels </w:t>
      </w:r>
      <w:r w:rsidR="00E313FE">
        <w:rPr>
          <w:rFonts w:ascii="Times New Roman" w:eastAsia="Times New Roman" w:hAnsi="Times New Roman" w:cs="Times New Roman"/>
          <w:kern w:val="28"/>
        </w:rPr>
        <w:t xml:space="preserve">in the band </w:t>
      </w:r>
      <w:r w:rsidR="007E6C8F">
        <w:rPr>
          <w:rFonts w:ascii="Times New Roman" w:eastAsia="Times New Roman" w:hAnsi="Times New Roman" w:cs="Times New Roman"/>
          <w:kern w:val="28"/>
        </w:rPr>
        <w:t xml:space="preserve">is </w:t>
      </w:r>
      <w:r w:rsidR="004F18CC">
        <w:rPr>
          <w:rFonts w:ascii="Times New Roman" w:eastAsia="Times New Roman" w:hAnsi="Times New Roman" w:cs="Times New Roman"/>
          <w:kern w:val="28"/>
        </w:rPr>
        <w:t xml:space="preserve">neither an unusual nor unique </w:t>
      </w:r>
      <w:r w:rsidR="002F4C7F">
        <w:rPr>
          <w:rFonts w:ascii="Times New Roman" w:eastAsia="Times New Roman" w:hAnsi="Times New Roman" w:cs="Times New Roman"/>
          <w:kern w:val="28"/>
        </w:rPr>
        <w:t>factual circumstance</w:t>
      </w:r>
      <w:r w:rsidR="004F18CC">
        <w:rPr>
          <w:rFonts w:ascii="Times New Roman" w:eastAsia="Times New Roman" w:hAnsi="Times New Roman" w:cs="Times New Roman"/>
          <w:kern w:val="28"/>
        </w:rPr>
        <w:t xml:space="preserve">.  </w:t>
      </w:r>
    </w:p>
    <w:p w:rsidR="00266E4C" w:rsidRDefault="007E6C8F" w:rsidP="00A22DEF">
      <w:pPr>
        <w:numPr>
          <w:ilvl w:val="0"/>
          <w:numId w:val="1"/>
        </w:numPr>
        <w:spacing w:after="120" w:line="240" w:lineRule="auto"/>
        <w:rPr>
          <w:rFonts w:ascii="Times New Roman" w:eastAsia="Times New Roman" w:hAnsi="Times New Roman" w:cs="Times New Roman"/>
          <w:kern w:val="28"/>
        </w:rPr>
      </w:pPr>
      <w:r>
        <w:rPr>
          <w:rFonts w:ascii="Times New Roman" w:eastAsia="Times New Roman" w:hAnsi="Times New Roman" w:cs="Times New Roman"/>
          <w:kern w:val="28"/>
        </w:rPr>
        <w:t>F</w:t>
      </w:r>
      <w:r w:rsidR="003C27D8">
        <w:rPr>
          <w:rFonts w:ascii="Times New Roman" w:eastAsia="Times New Roman" w:hAnsi="Times New Roman" w:cs="Times New Roman"/>
          <w:kern w:val="28"/>
        </w:rPr>
        <w:t xml:space="preserve">or </w:t>
      </w:r>
      <w:r>
        <w:rPr>
          <w:rFonts w:ascii="Times New Roman" w:eastAsia="Times New Roman" w:hAnsi="Times New Roman" w:cs="Times New Roman"/>
          <w:kern w:val="28"/>
        </w:rPr>
        <w:t xml:space="preserve">those </w:t>
      </w:r>
      <w:r w:rsidR="003C27D8">
        <w:rPr>
          <w:rFonts w:ascii="Times New Roman" w:eastAsia="Times New Roman" w:hAnsi="Times New Roman" w:cs="Times New Roman"/>
          <w:kern w:val="28"/>
        </w:rPr>
        <w:t xml:space="preserve">channels </w:t>
      </w:r>
      <w:r w:rsidR="00E313FE">
        <w:rPr>
          <w:rFonts w:ascii="Times New Roman" w:eastAsia="Times New Roman" w:hAnsi="Times New Roman" w:cs="Times New Roman"/>
          <w:kern w:val="28"/>
        </w:rPr>
        <w:t xml:space="preserve">at </w:t>
      </w:r>
      <w:r w:rsidR="009665FF">
        <w:rPr>
          <w:rFonts w:ascii="Times New Roman" w:eastAsia="Times New Roman" w:hAnsi="Times New Roman" w:cs="Times New Roman"/>
          <w:kern w:val="28"/>
        </w:rPr>
        <w:t xml:space="preserve">the </w:t>
      </w:r>
      <w:r w:rsidR="00E313FE">
        <w:rPr>
          <w:rFonts w:ascii="Times New Roman" w:eastAsia="Times New Roman" w:hAnsi="Times New Roman" w:cs="Times New Roman"/>
          <w:kern w:val="28"/>
        </w:rPr>
        <w:t xml:space="preserve">location </w:t>
      </w:r>
      <w:r w:rsidR="003C27D8">
        <w:rPr>
          <w:rFonts w:ascii="Times New Roman" w:eastAsia="Times New Roman" w:hAnsi="Times New Roman" w:cs="Times New Roman"/>
          <w:kern w:val="28"/>
        </w:rPr>
        <w:t>which pass</w:t>
      </w:r>
      <w:r w:rsidR="00054093">
        <w:rPr>
          <w:rFonts w:ascii="Times New Roman" w:eastAsia="Times New Roman" w:hAnsi="Times New Roman" w:cs="Times New Roman"/>
          <w:kern w:val="28"/>
        </w:rPr>
        <w:t>es</w:t>
      </w:r>
      <w:r w:rsidR="003C27D8">
        <w:rPr>
          <w:rFonts w:ascii="Times New Roman" w:eastAsia="Times New Roman" w:hAnsi="Times New Roman" w:cs="Times New Roman"/>
          <w:kern w:val="28"/>
        </w:rPr>
        <w:t xml:space="preserve"> </w:t>
      </w:r>
      <w:r>
        <w:rPr>
          <w:rFonts w:ascii="Times New Roman" w:eastAsia="Times New Roman" w:hAnsi="Times New Roman" w:cs="Times New Roman"/>
          <w:kern w:val="28"/>
        </w:rPr>
        <w:t xml:space="preserve">the </w:t>
      </w:r>
      <w:r w:rsidR="003C27D8">
        <w:rPr>
          <w:rFonts w:ascii="Times New Roman" w:eastAsia="Times New Roman" w:hAnsi="Times New Roman" w:cs="Times New Roman"/>
          <w:kern w:val="28"/>
        </w:rPr>
        <w:t>Bureau Staff’s contour analysis</w:t>
      </w:r>
      <w:r w:rsidR="002019AA">
        <w:rPr>
          <w:rFonts w:ascii="Times New Roman" w:eastAsia="Times New Roman" w:hAnsi="Times New Roman" w:cs="Times New Roman"/>
          <w:kern w:val="28"/>
        </w:rPr>
        <w:t>,</w:t>
      </w:r>
      <w:r w:rsidR="003C27D8">
        <w:rPr>
          <w:rFonts w:ascii="Times New Roman" w:eastAsia="Times New Roman" w:hAnsi="Times New Roman" w:cs="Times New Roman"/>
          <w:kern w:val="28"/>
        </w:rPr>
        <w:t xml:space="preserve"> we grant Suffolk’s waiver request under the first prong of the waiver standard.</w:t>
      </w:r>
      <w:r w:rsidR="00E313FE">
        <w:rPr>
          <w:rFonts w:ascii="Times New Roman" w:eastAsia="Times New Roman" w:hAnsi="Times New Roman" w:cs="Times New Roman"/>
          <w:kern w:val="28"/>
        </w:rPr>
        <w:t xml:space="preserve">  </w:t>
      </w:r>
      <w:r w:rsidR="00251A8C">
        <w:rPr>
          <w:rFonts w:ascii="Times New Roman" w:eastAsia="Times New Roman" w:hAnsi="Times New Roman" w:cs="Times New Roman"/>
          <w:kern w:val="28"/>
        </w:rPr>
        <w:t xml:space="preserve">We find Suffolk’s proposal </w:t>
      </w:r>
      <w:r w:rsidR="00E0454C">
        <w:rPr>
          <w:rFonts w:ascii="Times New Roman" w:eastAsia="Times New Roman" w:hAnsi="Times New Roman" w:cs="Times New Roman"/>
          <w:kern w:val="28"/>
        </w:rPr>
        <w:t>to license channels at a location which creates no contour overlap with the V</w:t>
      </w:r>
      <w:r>
        <w:rPr>
          <w:rFonts w:ascii="Times New Roman" w:eastAsia="Times New Roman" w:hAnsi="Times New Roman" w:cs="Times New Roman"/>
          <w:kern w:val="28"/>
        </w:rPr>
        <w:t>irginia</w:t>
      </w:r>
      <w:r w:rsidR="00E0454C">
        <w:rPr>
          <w:rFonts w:ascii="Times New Roman" w:eastAsia="Times New Roman" w:hAnsi="Times New Roman" w:cs="Times New Roman"/>
          <w:kern w:val="28"/>
        </w:rPr>
        <w:t xml:space="preserve"> Co-Channel Licensees </w:t>
      </w:r>
      <w:r w:rsidR="00251A8C">
        <w:rPr>
          <w:rFonts w:ascii="Times New Roman" w:eastAsia="Times New Roman" w:hAnsi="Times New Roman" w:cs="Times New Roman"/>
          <w:kern w:val="28"/>
        </w:rPr>
        <w:t xml:space="preserve">would </w:t>
      </w:r>
      <w:r>
        <w:rPr>
          <w:rFonts w:ascii="Times New Roman" w:eastAsia="Times New Roman" w:hAnsi="Times New Roman" w:cs="Times New Roman"/>
          <w:kern w:val="28"/>
        </w:rPr>
        <w:t xml:space="preserve">not </w:t>
      </w:r>
      <w:r w:rsidR="00251A8C">
        <w:rPr>
          <w:rFonts w:ascii="Times New Roman" w:eastAsia="Times New Roman" w:hAnsi="Times New Roman" w:cs="Times New Roman"/>
          <w:kern w:val="28"/>
        </w:rPr>
        <w:t xml:space="preserve">frustrate the underlying purpose of the short-spacing table.  </w:t>
      </w:r>
      <w:r w:rsidR="00BF3014">
        <w:rPr>
          <w:rFonts w:ascii="Times New Roman" w:eastAsia="Times New Roman" w:hAnsi="Times New Roman" w:cs="Times New Roman"/>
          <w:kern w:val="28"/>
        </w:rPr>
        <w:t>In this instance, w</w:t>
      </w:r>
      <w:r w:rsidR="00251A8C">
        <w:rPr>
          <w:rFonts w:ascii="Times New Roman" w:eastAsia="Times New Roman" w:hAnsi="Times New Roman" w:cs="Times New Roman"/>
          <w:kern w:val="28"/>
        </w:rPr>
        <w:t xml:space="preserve">e also find it in the public interest to grant Suffolk a waiver of the </w:t>
      </w:r>
      <w:r w:rsidR="00BF3014">
        <w:rPr>
          <w:rFonts w:ascii="Times New Roman" w:eastAsia="Times New Roman" w:hAnsi="Times New Roman" w:cs="Times New Roman"/>
          <w:kern w:val="28"/>
        </w:rPr>
        <w:t>short-spacing table so that it may improve the coverage of its PLMR system</w:t>
      </w:r>
      <w:r w:rsidR="009665FF">
        <w:rPr>
          <w:rFonts w:ascii="Times New Roman" w:eastAsia="Times New Roman" w:hAnsi="Times New Roman" w:cs="Times New Roman"/>
          <w:kern w:val="28"/>
        </w:rPr>
        <w:t xml:space="preserve"> at this location</w:t>
      </w:r>
      <w:r w:rsidR="00BF3014">
        <w:rPr>
          <w:rFonts w:ascii="Times New Roman" w:eastAsia="Times New Roman" w:hAnsi="Times New Roman" w:cs="Times New Roman"/>
          <w:kern w:val="28"/>
        </w:rPr>
        <w:t>.</w:t>
      </w:r>
      <w:r w:rsidR="00BF3014">
        <w:rPr>
          <w:rStyle w:val="FootnoteReference"/>
          <w:rFonts w:eastAsia="Times New Roman" w:cs="Times New Roman"/>
          <w:kern w:val="28"/>
        </w:rPr>
        <w:footnoteReference w:id="22"/>
      </w:r>
      <w:r w:rsidR="00BF3014">
        <w:rPr>
          <w:rFonts w:ascii="Times New Roman" w:eastAsia="Times New Roman" w:hAnsi="Times New Roman" w:cs="Times New Roman"/>
          <w:kern w:val="28"/>
        </w:rPr>
        <w:t xml:space="preserve">  </w:t>
      </w:r>
    </w:p>
    <w:p w:rsidR="00054093" w:rsidRDefault="00EB710E" w:rsidP="00A22DEF">
      <w:pPr>
        <w:numPr>
          <w:ilvl w:val="0"/>
          <w:numId w:val="1"/>
        </w:numPr>
        <w:spacing w:after="120" w:line="240" w:lineRule="auto"/>
        <w:rPr>
          <w:rFonts w:ascii="Times New Roman" w:eastAsia="Times New Roman" w:hAnsi="Times New Roman" w:cs="Times New Roman"/>
          <w:kern w:val="28"/>
        </w:rPr>
      </w:pPr>
      <w:r w:rsidRPr="009665FF">
        <w:rPr>
          <w:rFonts w:ascii="Times New Roman" w:eastAsia="Times New Roman" w:hAnsi="Times New Roman" w:cs="Times New Roman"/>
          <w:kern w:val="28"/>
        </w:rPr>
        <w:t>We note</w:t>
      </w:r>
      <w:r w:rsidR="009665FF" w:rsidRPr="009665FF">
        <w:rPr>
          <w:rFonts w:ascii="Times New Roman" w:eastAsia="Times New Roman" w:hAnsi="Times New Roman" w:cs="Times New Roman"/>
          <w:kern w:val="28"/>
        </w:rPr>
        <w:t xml:space="preserve"> that</w:t>
      </w:r>
      <w:r w:rsidR="007E6C8F">
        <w:rPr>
          <w:rFonts w:ascii="Times New Roman" w:eastAsia="Times New Roman" w:hAnsi="Times New Roman" w:cs="Times New Roman"/>
          <w:kern w:val="28"/>
        </w:rPr>
        <w:t>,</w:t>
      </w:r>
      <w:r w:rsidR="009665FF" w:rsidRPr="009665FF">
        <w:rPr>
          <w:rFonts w:ascii="Times New Roman" w:eastAsia="Times New Roman" w:hAnsi="Times New Roman" w:cs="Times New Roman"/>
          <w:kern w:val="28"/>
        </w:rPr>
        <w:t xml:space="preserve"> </w:t>
      </w:r>
      <w:r w:rsidR="00054093">
        <w:rPr>
          <w:rFonts w:ascii="Times New Roman" w:eastAsia="Times New Roman" w:hAnsi="Times New Roman" w:cs="Times New Roman"/>
          <w:kern w:val="28"/>
        </w:rPr>
        <w:t xml:space="preserve">for </w:t>
      </w:r>
      <w:r w:rsidR="009665FF" w:rsidRPr="009665FF">
        <w:rPr>
          <w:rFonts w:ascii="Times New Roman" w:eastAsia="Times New Roman" w:hAnsi="Times New Roman" w:cs="Times New Roman"/>
          <w:kern w:val="28"/>
        </w:rPr>
        <w:t xml:space="preserve">one </w:t>
      </w:r>
      <w:r w:rsidR="00E0454C">
        <w:rPr>
          <w:rFonts w:ascii="Times New Roman" w:eastAsia="Times New Roman" w:hAnsi="Times New Roman" w:cs="Times New Roman"/>
          <w:kern w:val="28"/>
        </w:rPr>
        <w:t xml:space="preserve">frequency on the application, </w:t>
      </w:r>
      <w:r w:rsidR="009665FF" w:rsidRPr="009665FF">
        <w:rPr>
          <w:rFonts w:ascii="Times New Roman" w:eastAsia="Times New Roman" w:hAnsi="Times New Roman" w:cs="Times New Roman"/>
          <w:kern w:val="28"/>
        </w:rPr>
        <w:t xml:space="preserve">Suffolk passes our contour analysis but </w:t>
      </w:r>
      <w:r w:rsidR="007E6C8F">
        <w:rPr>
          <w:rFonts w:ascii="Times New Roman" w:eastAsia="Times New Roman" w:hAnsi="Times New Roman" w:cs="Times New Roman"/>
          <w:kern w:val="28"/>
        </w:rPr>
        <w:t xml:space="preserve">that the proposed </w:t>
      </w:r>
      <w:r w:rsidR="009665FF" w:rsidRPr="009665FF">
        <w:rPr>
          <w:rFonts w:ascii="Times New Roman" w:eastAsia="Times New Roman" w:hAnsi="Times New Roman" w:cs="Times New Roman"/>
          <w:kern w:val="28"/>
        </w:rPr>
        <w:t xml:space="preserve">location </w:t>
      </w:r>
      <w:r w:rsidR="007E6C8F">
        <w:rPr>
          <w:rFonts w:ascii="Times New Roman" w:eastAsia="Times New Roman" w:hAnsi="Times New Roman" w:cs="Times New Roman"/>
          <w:kern w:val="28"/>
        </w:rPr>
        <w:t>is fewer</w:t>
      </w:r>
      <w:r w:rsidR="009665FF" w:rsidRPr="009665FF">
        <w:rPr>
          <w:rFonts w:ascii="Times New Roman" w:eastAsia="Times New Roman" w:hAnsi="Times New Roman" w:cs="Times New Roman"/>
          <w:kern w:val="28"/>
        </w:rPr>
        <w:t xml:space="preserve"> than 88</w:t>
      </w:r>
      <w:r w:rsidR="00054093">
        <w:rPr>
          <w:rFonts w:ascii="Times New Roman" w:eastAsia="Times New Roman" w:hAnsi="Times New Roman" w:cs="Times New Roman"/>
          <w:kern w:val="28"/>
        </w:rPr>
        <w:t xml:space="preserve"> kilometers </w:t>
      </w:r>
      <w:r w:rsidR="00E0454C">
        <w:rPr>
          <w:rFonts w:ascii="Times New Roman" w:eastAsia="Times New Roman" w:hAnsi="Times New Roman" w:cs="Times New Roman"/>
          <w:kern w:val="28"/>
        </w:rPr>
        <w:t xml:space="preserve">from co-channel licensee </w:t>
      </w:r>
      <w:r w:rsidR="00E16D0C">
        <w:rPr>
          <w:rFonts w:ascii="Times New Roman" w:eastAsia="Times New Roman" w:hAnsi="Times New Roman" w:cs="Times New Roman"/>
          <w:kern w:val="28"/>
        </w:rPr>
        <w:t>the City of Hopewell</w:t>
      </w:r>
      <w:r w:rsidR="007E6C8F">
        <w:rPr>
          <w:rFonts w:ascii="Times New Roman" w:eastAsia="Times New Roman" w:hAnsi="Times New Roman" w:cs="Times New Roman"/>
          <w:kern w:val="28"/>
        </w:rPr>
        <w:t>, Virginia</w:t>
      </w:r>
      <w:r w:rsidR="00E16D0C">
        <w:rPr>
          <w:rFonts w:ascii="Times New Roman" w:eastAsia="Times New Roman" w:hAnsi="Times New Roman" w:cs="Times New Roman"/>
          <w:kern w:val="28"/>
        </w:rPr>
        <w:t>.</w:t>
      </w:r>
      <w:r w:rsidR="003A47DD">
        <w:rPr>
          <w:rStyle w:val="FootnoteReference"/>
          <w:rFonts w:eastAsia="Times New Roman" w:cs="Times New Roman"/>
          <w:kern w:val="28"/>
        </w:rPr>
        <w:footnoteReference w:id="23"/>
      </w:r>
      <w:r w:rsidR="00E16D0C">
        <w:rPr>
          <w:rFonts w:ascii="Times New Roman" w:eastAsia="Times New Roman" w:hAnsi="Times New Roman" w:cs="Times New Roman"/>
          <w:kern w:val="28"/>
        </w:rPr>
        <w:t xml:space="preserve">  </w:t>
      </w:r>
      <w:r w:rsidR="007E6C8F">
        <w:rPr>
          <w:rFonts w:ascii="Times New Roman" w:eastAsia="Times New Roman" w:hAnsi="Times New Roman" w:cs="Times New Roman"/>
          <w:kern w:val="28"/>
        </w:rPr>
        <w:t>Accordingly,</w:t>
      </w:r>
      <w:r w:rsidR="00BE2F66">
        <w:rPr>
          <w:rFonts w:ascii="Times New Roman" w:eastAsia="Times New Roman" w:hAnsi="Times New Roman" w:cs="Times New Roman"/>
          <w:kern w:val="28"/>
        </w:rPr>
        <w:t xml:space="preserve"> </w:t>
      </w:r>
      <w:r w:rsidR="00E16D0C">
        <w:rPr>
          <w:rFonts w:ascii="Times New Roman" w:eastAsia="Times New Roman" w:hAnsi="Times New Roman" w:cs="Times New Roman"/>
          <w:kern w:val="28"/>
        </w:rPr>
        <w:t xml:space="preserve">we deny Suffolk’s waiver request.  </w:t>
      </w:r>
      <w:r w:rsidR="007E6C8F">
        <w:rPr>
          <w:rFonts w:ascii="Times New Roman" w:eastAsia="Times New Roman" w:hAnsi="Times New Roman" w:cs="Times New Roman"/>
          <w:kern w:val="28"/>
        </w:rPr>
        <w:t xml:space="preserve">Section 90.621(b)(4) of the </w:t>
      </w:r>
      <w:r w:rsidR="00E16D0C">
        <w:rPr>
          <w:rFonts w:ascii="Times New Roman" w:eastAsia="Times New Roman" w:hAnsi="Times New Roman" w:cs="Times New Roman"/>
          <w:kern w:val="28"/>
        </w:rPr>
        <w:t>Commission</w:t>
      </w:r>
      <w:r w:rsidR="007E6C8F">
        <w:rPr>
          <w:rFonts w:ascii="Times New Roman" w:eastAsia="Times New Roman" w:hAnsi="Times New Roman" w:cs="Times New Roman"/>
          <w:kern w:val="28"/>
        </w:rPr>
        <w:t>’s</w:t>
      </w:r>
      <w:r w:rsidR="00E16D0C">
        <w:rPr>
          <w:rFonts w:ascii="Times New Roman" w:eastAsia="Times New Roman" w:hAnsi="Times New Roman" w:cs="Times New Roman"/>
          <w:kern w:val="28"/>
        </w:rPr>
        <w:t xml:space="preserve"> rules </w:t>
      </w:r>
      <w:r w:rsidR="007E6C8F">
        <w:rPr>
          <w:rFonts w:ascii="Times New Roman" w:eastAsia="Times New Roman" w:hAnsi="Times New Roman" w:cs="Times New Roman"/>
          <w:kern w:val="28"/>
        </w:rPr>
        <w:t xml:space="preserve">requires </w:t>
      </w:r>
      <w:r w:rsidR="00E16D0C">
        <w:rPr>
          <w:rFonts w:ascii="Times New Roman" w:eastAsia="Times New Roman" w:hAnsi="Times New Roman" w:cs="Times New Roman"/>
          <w:kern w:val="28"/>
        </w:rPr>
        <w:t xml:space="preserve">that </w:t>
      </w:r>
      <w:r w:rsidR="00BE2F66">
        <w:rPr>
          <w:rFonts w:ascii="Times New Roman" w:eastAsia="Times New Roman" w:hAnsi="Times New Roman" w:cs="Times New Roman"/>
          <w:kern w:val="28"/>
        </w:rPr>
        <w:t xml:space="preserve">any </w:t>
      </w:r>
      <w:r w:rsidR="00E16D0C">
        <w:rPr>
          <w:rFonts w:ascii="Times New Roman" w:eastAsia="Times New Roman" w:hAnsi="Times New Roman" w:cs="Times New Roman"/>
          <w:kern w:val="28"/>
        </w:rPr>
        <w:t xml:space="preserve">applicant proposing a </w:t>
      </w:r>
      <w:r w:rsidR="00BE2F66">
        <w:rPr>
          <w:rFonts w:ascii="Times New Roman" w:eastAsia="Times New Roman" w:hAnsi="Times New Roman" w:cs="Times New Roman"/>
          <w:kern w:val="28"/>
        </w:rPr>
        <w:t xml:space="preserve">co-channel </w:t>
      </w:r>
      <w:r w:rsidR="00E16D0C">
        <w:rPr>
          <w:rFonts w:ascii="Times New Roman" w:eastAsia="Times New Roman" w:hAnsi="Times New Roman" w:cs="Times New Roman"/>
          <w:kern w:val="28"/>
        </w:rPr>
        <w:t xml:space="preserve">separation of less than 88 kilometers must include </w:t>
      </w:r>
      <w:r w:rsidR="002B4E0B">
        <w:rPr>
          <w:rFonts w:ascii="Times New Roman" w:eastAsia="Times New Roman" w:hAnsi="Times New Roman" w:cs="Times New Roman"/>
          <w:kern w:val="28"/>
        </w:rPr>
        <w:t xml:space="preserve">with its application </w:t>
      </w:r>
      <w:r w:rsidR="00E16D0C">
        <w:rPr>
          <w:rFonts w:ascii="Times New Roman" w:eastAsia="Times New Roman" w:hAnsi="Times New Roman" w:cs="Times New Roman"/>
          <w:kern w:val="28"/>
        </w:rPr>
        <w:t xml:space="preserve">an analysis of the interference potential from </w:t>
      </w:r>
      <w:r w:rsidR="00BE2F66">
        <w:rPr>
          <w:rFonts w:ascii="Times New Roman" w:eastAsia="Times New Roman" w:hAnsi="Times New Roman" w:cs="Times New Roman"/>
          <w:kern w:val="28"/>
        </w:rPr>
        <w:t xml:space="preserve">its </w:t>
      </w:r>
      <w:r w:rsidR="00DD6BFF">
        <w:rPr>
          <w:rFonts w:ascii="Times New Roman" w:eastAsia="Times New Roman" w:hAnsi="Times New Roman" w:cs="Times New Roman"/>
          <w:kern w:val="28"/>
        </w:rPr>
        <w:t xml:space="preserve">proposed </w:t>
      </w:r>
      <w:r w:rsidR="00E16D0C">
        <w:rPr>
          <w:rFonts w:ascii="Times New Roman" w:eastAsia="Times New Roman" w:hAnsi="Times New Roman" w:cs="Times New Roman"/>
          <w:kern w:val="28"/>
        </w:rPr>
        <w:t xml:space="preserve">mobile </w:t>
      </w:r>
      <w:r w:rsidR="00C27C1D">
        <w:rPr>
          <w:rFonts w:ascii="Times New Roman" w:eastAsia="Times New Roman" w:hAnsi="Times New Roman" w:cs="Times New Roman"/>
          <w:kern w:val="28"/>
        </w:rPr>
        <w:t xml:space="preserve">units </w:t>
      </w:r>
      <w:r w:rsidR="00E16D0C">
        <w:rPr>
          <w:rFonts w:ascii="Times New Roman" w:eastAsia="Times New Roman" w:hAnsi="Times New Roman" w:cs="Times New Roman"/>
          <w:kern w:val="28"/>
        </w:rPr>
        <w:t xml:space="preserve">to existing co-channel base station receivers.  Suffolk includes no such analysis with its application, thus we deny its request for a waiver of the short-spacing table for this channel.  </w:t>
      </w:r>
    </w:p>
    <w:p w:rsidR="00E16D0C" w:rsidRDefault="002B4E0B" w:rsidP="00A22DEF">
      <w:pPr>
        <w:numPr>
          <w:ilvl w:val="0"/>
          <w:numId w:val="1"/>
        </w:numPr>
        <w:spacing w:after="120" w:line="240" w:lineRule="auto"/>
        <w:rPr>
          <w:rFonts w:ascii="Times New Roman" w:eastAsia="Times New Roman" w:hAnsi="Times New Roman" w:cs="Times New Roman"/>
          <w:kern w:val="28"/>
        </w:rPr>
      </w:pPr>
      <w:r>
        <w:rPr>
          <w:rFonts w:ascii="Times New Roman" w:eastAsia="Times New Roman" w:hAnsi="Times New Roman" w:cs="Times New Roman"/>
          <w:kern w:val="28"/>
        </w:rPr>
        <w:t>Finally, we note that there are channels at each location on Suffolk’s application which require no waiver request.  We grant the</w:t>
      </w:r>
      <w:r w:rsidR="00DD6BFF">
        <w:rPr>
          <w:rFonts w:ascii="Times New Roman" w:eastAsia="Times New Roman" w:hAnsi="Times New Roman" w:cs="Times New Roman"/>
          <w:kern w:val="28"/>
        </w:rPr>
        <w:t xml:space="preserve"> application with respect to the</w:t>
      </w:r>
      <w:r>
        <w:rPr>
          <w:rFonts w:ascii="Times New Roman" w:eastAsia="Times New Roman" w:hAnsi="Times New Roman" w:cs="Times New Roman"/>
          <w:kern w:val="28"/>
        </w:rPr>
        <w:t xml:space="preserve">se channels. </w:t>
      </w:r>
      <w:r w:rsidR="00362368">
        <w:rPr>
          <w:rFonts w:ascii="Times New Roman" w:eastAsia="Times New Roman" w:hAnsi="Times New Roman" w:cs="Times New Roman"/>
          <w:kern w:val="28"/>
        </w:rPr>
        <w:t xml:space="preserve"> </w:t>
      </w:r>
      <w:r w:rsidR="002019AA">
        <w:rPr>
          <w:rFonts w:ascii="Times New Roman" w:eastAsia="Times New Roman" w:hAnsi="Times New Roman" w:cs="Times New Roman"/>
          <w:kern w:val="28"/>
        </w:rPr>
        <w:t xml:space="preserve">Attachment I </w:t>
      </w:r>
      <w:r w:rsidR="00DD6BFF">
        <w:rPr>
          <w:rFonts w:ascii="Times New Roman" w:eastAsia="Times New Roman" w:hAnsi="Times New Roman" w:cs="Times New Roman"/>
          <w:kern w:val="28"/>
        </w:rPr>
        <w:t xml:space="preserve">lists </w:t>
      </w:r>
      <w:r w:rsidR="002019AA">
        <w:rPr>
          <w:rFonts w:ascii="Times New Roman" w:eastAsia="Times New Roman" w:hAnsi="Times New Roman" w:cs="Times New Roman"/>
          <w:kern w:val="28"/>
        </w:rPr>
        <w:t xml:space="preserve">which channels on the Suffolk application </w:t>
      </w:r>
      <w:r w:rsidR="00947F15">
        <w:rPr>
          <w:rFonts w:ascii="Times New Roman" w:eastAsia="Times New Roman" w:hAnsi="Times New Roman" w:cs="Times New Roman"/>
          <w:kern w:val="28"/>
        </w:rPr>
        <w:t xml:space="preserve">we </w:t>
      </w:r>
      <w:r w:rsidR="002019AA">
        <w:rPr>
          <w:rFonts w:ascii="Times New Roman" w:eastAsia="Times New Roman" w:hAnsi="Times New Roman" w:cs="Times New Roman"/>
          <w:kern w:val="28"/>
        </w:rPr>
        <w:t>are grant</w:t>
      </w:r>
      <w:r w:rsidR="00947F15">
        <w:rPr>
          <w:rFonts w:ascii="Times New Roman" w:eastAsia="Times New Roman" w:hAnsi="Times New Roman" w:cs="Times New Roman"/>
          <w:kern w:val="28"/>
        </w:rPr>
        <w:t xml:space="preserve">ing </w:t>
      </w:r>
      <w:r w:rsidR="002019AA">
        <w:rPr>
          <w:rFonts w:ascii="Times New Roman" w:eastAsia="Times New Roman" w:hAnsi="Times New Roman" w:cs="Times New Roman"/>
          <w:kern w:val="28"/>
        </w:rPr>
        <w:t xml:space="preserve">and which </w:t>
      </w:r>
      <w:r w:rsidR="00947F15">
        <w:rPr>
          <w:rFonts w:ascii="Times New Roman" w:eastAsia="Times New Roman" w:hAnsi="Times New Roman" w:cs="Times New Roman"/>
          <w:kern w:val="28"/>
        </w:rPr>
        <w:t xml:space="preserve">we </w:t>
      </w:r>
      <w:r w:rsidR="002019AA">
        <w:rPr>
          <w:rFonts w:ascii="Times New Roman" w:eastAsia="Times New Roman" w:hAnsi="Times New Roman" w:cs="Times New Roman"/>
          <w:kern w:val="28"/>
        </w:rPr>
        <w:t>are dismiss</w:t>
      </w:r>
      <w:r w:rsidR="00947F15">
        <w:rPr>
          <w:rFonts w:ascii="Times New Roman" w:eastAsia="Times New Roman" w:hAnsi="Times New Roman" w:cs="Times New Roman"/>
          <w:kern w:val="28"/>
        </w:rPr>
        <w:t>ing</w:t>
      </w:r>
      <w:r w:rsidR="002019AA">
        <w:rPr>
          <w:rFonts w:ascii="Times New Roman" w:eastAsia="Times New Roman" w:hAnsi="Times New Roman" w:cs="Times New Roman"/>
          <w:kern w:val="28"/>
        </w:rPr>
        <w:t xml:space="preserve">.  </w:t>
      </w:r>
    </w:p>
    <w:p w:rsidR="007C7053" w:rsidRPr="007C7053" w:rsidRDefault="007C7053" w:rsidP="00A22DEF">
      <w:pPr>
        <w:keepNext/>
        <w:numPr>
          <w:ilvl w:val="0"/>
          <w:numId w:val="2"/>
        </w:numPr>
        <w:tabs>
          <w:tab w:val="left" w:pos="720"/>
        </w:tabs>
        <w:suppressAutoHyphens/>
        <w:spacing w:after="220"/>
        <w:outlineLvl w:val="0"/>
        <w:rPr>
          <w:rFonts w:ascii="Times New Roman" w:eastAsia="Times New Roman" w:hAnsi="Times New Roman" w:cs="Times New Roman"/>
          <w:b/>
          <w:caps/>
          <w:kern w:val="28"/>
        </w:rPr>
      </w:pPr>
      <w:r w:rsidRPr="007C7053">
        <w:rPr>
          <w:rFonts w:ascii="Times New Roman" w:eastAsia="Times New Roman" w:hAnsi="Times New Roman" w:cs="Times New Roman"/>
          <w:b/>
          <w:caps/>
          <w:kern w:val="28"/>
        </w:rPr>
        <w:t>ordering clauses</w:t>
      </w:r>
    </w:p>
    <w:p w:rsidR="007C7053" w:rsidRPr="007C7053" w:rsidRDefault="007C7053" w:rsidP="00A22DEF">
      <w:pPr>
        <w:pStyle w:val="ParaNum"/>
        <w:widowControl/>
        <w:rPr>
          <w:spacing w:val="-2"/>
        </w:rPr>
      </w:pPr>
      <w:r w:rsidRPr="007C7053">
        <w:t xml:space="preserve">Accordingly, IT IS ORDERED pursuant to Section 1.925 of the Commission’s rules, 47 C.F.R. § 1.925, that the waiver request filed by the </w:t>
      </w:r>
      <w:r w:rsidR="00525470">
        <w:rPr>
          <w:szCs w:val="22"/>
        </w:rPr>
        <w:t>City o</w:t>
      </w:r>
      <w:r w:rsidR="00525470" w:rsidRPr="00525470">
        <w:rPr>
          <w:szCs w:val="22"/>
        </w:rPr>
        <w:t>f Suffolk, V</w:t>
      </w:r>
      <w:r w:rsidR="00DD6BFF">
        <w:rPr>
          <w:szCs w:val="22"/>
        </w:rPr>
        <w:t>irginia</w:t>
      </w:r>
      <w:r w:rsidRPr="007C7053">
        <w:t xml:space="preserve"> IS GRANTED</w:t>
      </w:r>
      <w:r w:rsidR="00525470">
        <w:t xml:space="preserve"> IN PART and DENIED IN PART</w:t>
      </w:r>
      <w:r w:rsidRPr="007C7053">
        <w:t>.</w:t>
      </w:r>
    </w:p>
    <w:p w:rsidR="007C7053" w:rsidRPr="007C7053" w:rsidRDefault="007C7053" w:rsidP="00A22DEF">
      <w:pPr>
        <w:pStyle w:val="ParaNum"/>
        <w:widowControl/>
      </w:pPr>
      <w:r w:rsidRPr="007C7053">
        <w:t xml:space="preserve">IT IS FURTHER ORDERED that license application </w:t>
      </w:r>
      <w:r w:rsidR="00525470">
        <w:t xml:space="preserve">ULS File No. </w:t>
      </w:r>
      <w:r w:rsidR="006B4851" w:rsidRPr="007C7053">
        <w:rPr>
          <w:spacing w:val="-2"/>
        </w:rPr>
        <w:t>0006441843</w:t>
      </w:r>
      <w:r w:rsidRPr="007C7053">
        <w:t xml:space="preserve"> filed by </w:t>
      </w:r>
      <w:r w:rsidR="006B4851" w:rsidRPr="006B4851">
        <w:rPr>
          <w:szCs w:val="22"/>
        </w:rPr>
        <w:t>City of Suffolk, V</w:t>
      </w:r>
      <w:r w:rsidR="00DD6BFF">
        <w:rPr>
          <w:szCs w:val="22"/>
        </w:rPr>
        <w:t>irginia</w:t>
      </w:r>
      <w:r w:rsidRPr="007C7053">
        <w:t>, SHALL BE PROCESSED</w:t>
      </w:r>
      <w:r w:rsidR="006B4851">
        <w:t xml:space="preserve"> in accordance with Attachment I</w:t>
      </w:r>
      <w:r w:rsidRPr="007C7053">
        <w:t>.</w:t>
      </w:r>
    </w:p>
    <w:p w:rsidR="007C7053" w:rsidRPr="007C7053" w:rsidRDefault="007C7053" w:rsidP="00A22DEF">
      <w:pPr>
        <w:numPr>
          <w:ilvl w:val="0"/>
          <w:numId w:val="1"/>
        </w:numPr>
        <w:spacing w:after="120" w:line="240" w:lineRule="auto"/>
        <w:rPr>
          <w:rFonts w:ascii="Times New Roman" w:eastAsia="Times New Roman" w:hAnsi="Times New Roman" w:cs="Times New Roman"/>
          <w:kern w:val="28"/>
        </w:rPr>
      </w:pPr>
      <w:r w:rsidRPr="007C7053">
        <w:rPr>
          <w:rFonts w:ascii="Times New Roman" w:eastAsia="Times New Roman" w:hAnsi="Times New Roman" w:cs="Times New Roman"/>
          <w:kern w:val="28"/>
        </w:rPr>
        <w:t>This action is taken under delegated authority pursuant to Sections 0.131, 0.191, 0.331 and 0.392 of the Commission’s rules, 47 C.F.R. §§ 0.131, 0.191, 0.331, 0.392</w:t>
      </w:r>
    </w:p>
    <w:p w:rsidR="007C7053" w:rsidRPr="007C7053" w:rsidRDefault="007C7053" w:rsidP="007C7053">
      <w:pPr>
        <w:widowControl w:val="0"/>
        <w:spacing w:after="120" w:line="240" w:lineRule="auto"/>
        <w:ind w:left="720"/>
        <w:rPr>
          <w:rFonts w:ascii="Times New Roman" w:eastAsia="Times New Roman" w:hAnsi="Times New Roman" w:cs="Times New Roman"/>
          <w:kern w:val="28"/>
        </w:rPr>
      </w:pPr>
    </w:p>
    <w:p w:rsidR="007C7053" w:rsidRPr="007C7053" w:rsidRDefault="007C7053" w:rsidP="007C7053">
      <w:pPr>
        <w:widowControl w:val="0"/>
        <w:spacing w:after="0"/>
        <w:ind w:left="4320"/>
        <w:rPr>
          <w:rFonts w:ascii="Times New Roman" w:eastAsia="Times New Roman" w:hAnsi="Times New Roman" w:cs="Times New Roman"/>
          <w:kern w:val="28"/>
        </w:rPr>
      </w:pPr>
    </w:p>
    <w:p w:rsidR="007C7053" w:rsidRPr="007C7053" w:rsidRDefault="007C7053" w:rsidP="007C7053">
      <w:pPr>
        <w:widowControl w:val="0"/>
        <w:spacing w:after="0"/>
        <w:ind w:left="4320"/>
        <w:rPr>
          <w:rFonts w:ascii="Times New Roman" w:eastAsia="Times New Roman" w:hAnsi="Times New Roman" w:cs="Times New Roman"/>
          <w:kern w:val="28"/>
        </w:rPr>
      </w:pPr>
    </w:p>
    <w:p w:rsidR="007C7053" w:rsidRPr="007C7053" w:rsidRDefault="007C7053" w:rsidP="007C7053">
      <w:pPr>
        <w:widowControl w:val="0"/>
        <w:spacing w:after="0"/>
        <w:ind w:left="4320"/>
        <w:rPr>
          <w:rFonts w:ascii="Times New Roman" w:eastAsia="Times New Roman" w:hAnsi="Times New Roman" w:cs="Times New Roman"/>
          <w:kern w:val="28"/>
        </w:rPr>
      </w:pPr>
      <w:r w:rsidRPr="007C7053">
        <w:rPr>
          <w:rFonts w:ascii="Times New Roman" w:eastAsia="Times New Roman" w:hAnsi="Times New Roman" w:cs="Times New Roman"/>
          <w:kern w:val="28"/>
        </w:rPr>
        <w:t>FEDERAL COMMUNICATIONS COMMISSION</w:t>
      </w:r>
    </w:p>
    <w:p w:rsidR="007C7053" w:rsidRPr="007C7053" w:rsidRDefault="007C7053" w:rsidP="007C7053">
      <w:pPr>
        <w:widowControl w:val="0"/>
        <w:spacing w:after="0"/>
        <w:ind w:left="4320"/>
        <w:rPr>
          <w:rFonts w:ascii="Times New Roman" w:eastAsia="Times New Roman" w:hAnsi="Times New Roman" w:cs="Times New Roman"/>
          <w:kern w:val="28"/>
        </w:rPr>
      </w:pPr>
    </w:p>
    <w:p w:rsidR="007C7053" w:rsidRPr="007C7053" w:rsidRDefault="007C7053" w:rsidP="007C7053">
      <w:pPr>
        <w:widowControl w:val="0"/>
        <w:spacing w:after="0"/>
        <w:ind w:left="4320"/>
        <w:rPr>
          <w:rFonts w:ascii="Times New Roman" w:eastAsia="Times New Roman" w:hAnsi="Times New Roman" w:cs="Times New Roman"/>
          <w:kern w:val="28"/>
        </w:rPr>
      </w:pPr>
    </w:p>
    <w:p w:rsidR="007C7053" w:rsidRPr="007C7053" w:rsidRDefault="007C7053" w:rsidP="007C7053">
      <w:pPr>
        <w:widowControl w:val="0"/>
        <w:spacing w:after="0"/>
        <w:ind w:left="4320"/>
        <w:rPr>
          <w:rFonts w:ascii="Times New Roman" w:eastAsia="Times New Roman" w:hAnsi="Times New Roman" w:cs="Times New Roman"/>
          <w:kern w:val="28"/>
        </w:rPr>
      </w:pPr>
    </w:p>
    <w:p w:rsidR="007C7053" w:rsidRPr="007C7053" w:rsidRDefault="007C7053" w:rsidP="007C7053">
      <w:pPr>
        <w:widowControl w:val="0"/>
        <w:spacing w:after="0"/>
        <w:ind w:left="4320"/>
        <w:rPr>
          <w:rFonts w:ascii="Times New Roman" w:eastAsia="Times New Roman" w:hAnsi="Times New Roman" w:cs="Times New Roman"/>
          <w:kern w:val="28"/>
        </w:rPr>
      </w:pPr>
      <w:r w:rsidRPr="007C7053">
        <w:rPr>
          <w:rFonts w:ascii="Times New Roman" w:eastAsia="Times New Roman" w:hAnsi="Times New Roman" w:cs="Times New Roman"/>
          <w:kern w:val="28"/>
        </w:rPr>
        <w:t xml:space="preserve">Michael J Wilhelm </w:t>
      </w:r>
    </w:p>
    <w:p w:rsidR="007C7053" w:rsidRPr="007C7053" w:rsidRDefault="007C7053" w:rsidP="007C7053">
      <w:pPr>
        <w:widowControl w:val="0"/>
        <w:spacing w:after="0"/>
        <w:ind w:left="4320"/>
        <w:rPr>
          <w:rFonts w:ascii="Times New Roman" w:eastAsia="Times New Roman" w:hAnsi="Times New Roman" w:cs="Times New Roman"/>
          <w:kern w:val="28"/>
        </w:rPr>
      </w:pPr>
      <w:r w:rsidRPr="007C7053">
        <w:rPr>
          <w:rFonts w:ascii="Times New Roman" w:eastAsia="Times New Roman" w:hAnsi="Times New Roman" w:cs="Times New Roman"/>
          <w:kern w:val="28"/>
        </w:rPr>
        <w:t xml:space="preserve">Deputy Chief, Policy and Licensing Division </w:t>
      </w:r>
    </w:p>
    <w:p w:rsidR="007C7053" w:rsidRPr="007C7053" w:rsidRDefault="007C7053" w:rsidP="007C7053">
      <w:pPr>
        <w:widowControl w:val="0"/>
        <w:spacing w:after="0"/>
        <w:ind w:left="3600" w:firstLine="720"/>
        <w:rPr>
          <w:rFonts w:ascii="Times New Roman" w:eastAsia="Times New Roman" w:hAnsi="Times New Roman" w:cs="Times New Roman"/>
          <w:kern w:val="28"/>
        </w:rPr>
      </w:pPr>
      <w:r w:rsidRPr="007C7053">
        <w:rPr>
          <w:rFonts w:ascii="Times New Roman" w:eastAsia="Times New Roman" w:hAnsi="Times New Roman" w:cs="Times New Roman"/>
          <w:kern w:val="28"/>
        </w:rPr>
        <w:t>Public Safety and Homeland Security Bureau</w:t>
      </w:r>
    </w:p>
    <w:p w:rsidR="007C7053" w:rsidRPr="007C7053" w:rsidRDefault="007C7053" w:rsidP="007C7053">
      <w:pPr>
        <w:widowControl w:val="0"/>
        <w:spacing w:after="0"/>
        <w:ind w:left="3600" w:firstLine="720"/>
        <w:rPr>
          <w:rFonts w:ascii="Times New Roman" w:eastAsia="Times New Roman" w:hAnsi="Times New Roman" w:cs="Times New Roman"/>
          <w:kern w:val="28"/>
        </w:rPr>
      </w:pPr>
    </w:p>
    <w:p w:rsidR="007C7053" w:rsidRPr="007C7053" w:rsidRDefault="007C7053" w:rsidP="007C7053">
      <w:pPr>
        <w:widowControl w:val="0"/>
        <w:spacing w:after="120" w:line="240" w:lineRule="auto"/>
        <w:ind w:left="720"/>
        <w:rPr>
          <w:rFonts w:ascii="Times New Roman" w:eastAsia="Times New Roman" w:hAnsi="Times New Roman" w:cs="Times New Roman"/>
          <w:kern w:val="28"/>
        </w:rPr>
      </w:pPr>
    </w:p>
    <w:p w:rsidR="007C7053" w:rsidRDefault="007C7053" w:rsidP="007C7053">
      <w:pPr>
        <w:widowControl w:val="0"/>
        <w:spacing w:after="0" w:line="240" w:lineRule="auto"/>
        <w:jc w:val="center"/>
        <w:rPr>
          <w:rFonts w:ascii="Times New Roman" w:eastAsia="Times New Roman" w:hAnsi="Times New Roman" w:cs="Times New Roman"/>
          <w:b/>
          <w:kern w:val="28"/>
          <w:szCs w:val="20"/>
        </w:rPr>
      </w:pPr>
      <w:r w:rsidRPr="007C7053">
        <w:rPr>
          <w:rFonts w:ascii="Times New Roman" w:eastAsia="Times New Roman" w:hAnsi="Times New Roman" w:cs="Times New Roman"/>
          <w:kern w:val="28"/>
        </w:rPr>
        <w:br w:type="page"/>
      </w:r>
      <w:r w:rsidRPr="007C7053">
        <w:rPr>
          <w:rFonts w:ascii="Times New Roman" w:eastAsia="Times New Roman" w:hAnsi="Times New Roman" w:cs="Times New Roman"/>
          <w:b/>
          <w:kern w:val="28"/>
          <w:szCs w:val="20"/>
        </w:rPr>
        <w:t>A</w:t>
      </w:r>
      <w:r w:rsidR="006B4851">
        <w:rPr>
          <w:rFonts w:ascii="Times New Roman" w:eastAsia="Times New Roman" w:hAnsi="Times New Roman" w:cs="Times New Roman"/>
          <w:b/>
          <w:kern w:val="28"/>
          <w:szCs w:val="20"/>
        </w:rPr>
        <w:t>ttachment I</w:t>
      </w:r>
    </w:p>
    <w:p w:rsidR="00F31EC6" w:rsidRDefault="00F31EC6" w:rsidP="007C7053">
      <w:pPr>
        <w:widowControl w:val="0"/>
        <w:spacing w:after="0" w:line="240" w:lineRule="auto"/>
        <w:jc w:val="center"/>
        <w:rPr>
          <w:rFonts w:ascii="Times New Roman" w:eastAsia="Times New Roman" w:hAnsi="Times New Roman" w:cs="Times New Roman"/>
          <w:b/>
          <w:kern w:val="28"/>
          <w:szCs w:val="20"/>
        </w:rPr>
      </w:pPr>
    </w:p>
    <w:p w:rsidR="00F31EC6" w:rsidRPr="007C7053" w:rsidRDefault="00F31EC6" w:rsidP="007C7053">
      <w:pPr>
        <w:widowControl w:val="0"/>
        <w:spacing w:after="0" w:line="240" w:lineRule="auto"/>
        <w:jc w:val="center"/>
        <w:rPr>
          <w:rFonts w:ascii="Times New Roman" w:eastAsia="Times New Roman" w:hAnsi="Times New Roman" w:cs="Times New Roman"/>
          <w:b/>
          <w:kern w:val="28"/>
          <w:szCs w:val="20"/>
        </w:rPr>
      </w:pPr>
      <w:r w:rsidRPr="00F31EC6">
        <w:rPr>
          <w:rFonts w:ascii="Times New Roman" w:eastAsia="Times New Roman" w:hAnsi="Times New Roman" w:cs="Times New Roman"/>
          <w:b/>
          <w:kern w:val="28"/>
          <w:szCs w:val="20"/>
        </w:rPr>
        <w:t>City of Suffolk, V</w:t>
      </w:r>
      <w:r w:rsidR="00DD6BFF">
        <w:rPr>
          <w:rFonts w:ascii="Times New Roman" w:eastAsia="Times New Roman" w:hAnsi="Times New Roman" w:cs="Times New Roman"/>
          <w:b/>
          <w:kern w:val="28"/>
          <w:szCs w:val="20"/>
        </w:rPr>
        <w:t>irginia</w:t>
      </w:r>
      <w:r w:rsidRPr="00F31EC6">
        <w:rPr>
          <w:rFonts w:ascii="Times New Roman" w:eastAsia="Times New Roman" w:hAnsi="Times New Roman" w:cs="Times New Roman"/>
          <w:b/>
          <w:kern w:val="28"/>
          <w:szCs w:val="20"/>
        </w:rPr>
        <w:t xml:space="preserve"> – ULS File No. 0006441843</w:t>
      </w:r>
    </w:p>
    <w:p w:rsidR="007C7053" w:rsidRPr="007C7053" w:rsidRDefault="007C7053" w:rsidP="007C7053">
      <w:pPr>
        <w:widowControl w:val="0"/>
        <w:spacing w:after="0" w:line="240" w:lineRule="auto"/>
        <w:jc w:val="center"/>
        <w:rPr>
          <w:rFonts w:ascii="Times New Roman" w:eastAsia="Times New Roman" w:hAnsi="Times New Roman" w:cs="Times New Roman"/>
          <w:kern w:val="28"/>
          <w:szCs w:val="20"/>
        </w:rPr>
      </w:pPr>
    </w:p>
    <w:p w:rsidR="007C7053" w:rsidRDefault="00F31EC6" w:rsidP="001B7A2B">
      <w:pPr>
        <w:widowControl w:val="0"/>
        <w:spacing w:after="0" w:line="240" w:lineRule="auto"/>
        <w:rPr>
          <w:rFonts w:ascii="Times New Roman" w:eastAsia="Times New Roman" w:hAnsi="Times New Roman" w:cs="Times New Roman"/>
          <w:kern w:val="28"/>
          <w:szCs w:val="20"/>
        </w:rPr>
      </w:pPr>
      <w:r w:rsidRPr="00A25CF6">
        <w:rPr>
          <w:rFonts w:ascii="Times New Roman" w:eastAsia="Times New Roman" w:hAnsi="Times New Roman" w:cs="Times New Roman"/>
          <w:kern w:val="28"/>
          <w:szCs w:val="20"/>
          <w:u w:val="single"/>
        </w:rPr>
        <w:t>F</w:t>
      </w:r>
      <w:r w:rsidR="001B7A2B" w:rsidRPr="00A25CF6">
        <w:rPr>
          <w:rFonts w:ascii="Times New Roman" w:eastAsia="Times New Roman" w:hAnsi="Times New Roman" w:cs="Times New Roman"/>
          <w:kern w:val="28"/>
          <w:szCs w:val="20"/>
          <w:u w:val="single"/>
        </w:rPr>
        <w:t xml:space="preserve">requencies </w:t>
      </w:r>
      <w:r w:rsidR="002B0A49">
        <w:rPr>
          <w:rFonts w:ascii="Times New Roman" w:eastAsia="Times New Roman" w:hAnsi="Times New Roman" w:cs="Times New Roman"/>
          <w:kern w:val="28"/>
          <w:szCs w:val="20"/>
          <w:u w:val="single"/>
        </w:rPr>
        <w:t xml:space="preserve">added to call sign WNMJ688 </w:t>
      </w:r>
      <w:r w:rsidR="00A25CF6" w:rsidRPr="00A25CF6">
        <w:rPr>
          <w:rFonts w:ascii="Times New Roman" w:eastAsia="Times New Roman" w:hAnsi="Times New Roman" w:cs="Times New Roman"/>
          <w:kern w:val="28"/>
          <w:szCs w:val="20"/>
          <w:u w:val="single"/>
        </w:rPr>
        <w:t xml:space="preserve">by </w:t>
      </w:r>
      <w:r w:rsidR="001B7A2B" w:rsidRPr="00A25CF6">
        <w:rPr>
          <w:rFonts w:ascii="Times New Roman" w:eastAsia="Times New Roman" w:hAnsi="Times New Roman" w:cs="Times New Roman"/>
          <w:kern w:val="28"/>
          <w:szCs w:val="20"/>
          <w:u w:val="single"/>
        </w:rPr>
        <w:t>waiver of the short-spacing table in Section 90.621(b)(4)</w:t>
      </w:r>
      <w:r w:rsidR="001B7A2B">
        <w:rPr>
          <w:rFonts w:ascii="Times New Roman" w:eastAsia="Times New Roman" w:hAnsi="Times New Roman" w:cs="Times New Roman"/>
          <w:kern w:val="28"/>
          <w:szCs w:val="20"/>
        </w:rPr>
        <w:t xml:space="preserve">.  </w:t>
      </w:r>
    </w:p>
    <w:p w:rsidR="001B7A2B" w:rsidRDefault="001B7A2B" w:rsidP="001B7A2B">
      <w:pPr>
        <w:widowControl w:val="0"/>
        <w:spacing w:after="0" w:line="240" w:lineRule="auto"/>
        <w:rPr>
          <w:rFonts w:ascii="Times New Roman" w:eastAsia="Times New Roman" w:hAnsi="Times New Roman" w:cs="Times New Roman"/>
          <w:kern w:val="28"/>
          <w:szCs w:val="20"/>
        </w:rPr>
      </w:pPr>
    </w:p>
    <w:tbl>
      <w:tblPr>
        <w:tblStyle w:val="TableGrid"/>
        <w:tblW w:w="8068" w:type="dxa"/>
        <w:tblLayout w:type="fixed"/>
        <w:tblCellMar>
          <w:left w:w="58" w:type="dxa"/>
          <w:right w:w="58" w:type="dxa"/>
        </w:tblCellMar>
        <w:tblLook w:val="01E0" w:firstRow="1" w:lastRow="1" w:firstColumn="1" w:lastColumn="1" w:noHBand="0" w:noVBand="0"/>
      </w:tblPr>
      <w:tblGrid>
        <w:gridCol w:w="902"/>
        <w:gridCol w:w="1080"/>
        <w:gridCol w:w="1530"/>
        <w:gridCol w:w="2880"/>
        <w:gridCol w:w="1676"/>
      </w:tblGrid>
      <w:tr w:rsidR="00F31EC6" w:rsidTr="00BB31B2">
        <w:tc>
          <w:tcPr>
            <w:tcW w:w="902" w:type="dxa"/>
            <w:shd w:val="clear" w:color="auto" w:fill="E6E6E6"/>
          </w:tcPr>
          <w:p w:rsidR="00F31EC6" w:rsidRDefault="00F31EC6" w:rsidP="002D3810">
            <w:pPr>
              <w:widowControl/>
              <w:jc w:val="center"/>
              <w:rPr>
                <w:sz w:val="18"/>
                <w:szCs w:val="18"/>
              </w:rPr>
            </w:pPr>
            <w:r>
              <w:rPr>
                <w:sz w:val="18"/>
                <w:szCs w:val="18"/>
              </w:rPr>
              <w:t>Location No.</w:t>
            </w:r>
          </w:p>
        </w:tc>
        <w:tc>
          <w:tcPr>
            <w:tcW w:w="1080" w:type="dxa"/>
            <w:shd w:val="clear" w:color="auto" w:fill="E6E6E6"/>
          </w:tcPr>
          <w:p w:rsidR="00F31EC6" w:rsidRDefault="00F31EC6" w:rsidP="002D3810">
            <w:pPr>
              <w:widowControl/>
              <w:jc w:val="center"/>
              <w:rPr>
                <w:sz w:val="18"/>
                <w:szCs w:val="18"/>
              </w:rPr>
            </w:pPr>
            <w:r>
              <w:rPr>
                <w:sz w:val="18"/>
                <w:szCs w:val="18"/>
              </w:rPr>
              <w:t>Station Class Code</w:t>
            </w:r>
          </w:p>
        </w:tc>
        <w:tc>
          <w:tcPr>
            <w:tcW w:w="1530" w:type="dxa"/>
            <w:shd w:val="clear" w:color="auto" w:fill="E6E6E6"/>
          </w:tcPr>
          <w:p w:rsidR="00F31EC6" w:rsidRDefault="00F31EC6" w:rsidP="002D3810">
            <w:pPr>
              <w:widowControl/>
              <w:jc w:val="center"/>
              <w:rPr>
                <w:sz w:val="18"/>
                <w:szCs w:val="18"/>
              </w:rPr>
            </w:pPr>
            <w:r>
              <w:rPr>
                <w:sz w:val="18"/>
                <w:szCs w:val="18"/>
              </w:rPr>
              <w:t>Latitude,</w:t>
            </w:r>
          </w:p>
          <w:p w:rsidR="00F31EC6" w:rsidRDefault="00F31EC6" w:rsidP="002D3810">
            <w:pPr>
              <w:widowControl/>
              <w:jc w:val="center"/>
              <w:rPr>
                <w:sz w:val="18"/>
                <w:szCs w:val="18"/>
              </w:rPr>
            </w:pPr>
            <w:r>
              <w:rPr>
                <w:sz w:val="18"/>
                <w:szCs w:val="18"/>
              </w:rPr>
              <w:t>Longitude</w:t>
            </w:r>
          </w:p>
        </w:tc>
        <w:tc>
          <w:tcPr>
            <w:tcW w:w="2880" w:type="dxa"/>
            <w:shd w:val="clear" w:color="auto" w:fill="E6E6E6"/>
          </w:tcPr>
          <w:p w:rsidR="00F31EC6" w:rsidRDefault="00F31EC6" w:rsidP="002D3810">
            <w:pPr>
              <w:widowControl/>
              <w:jc w:val="center"/>
              <w:rPr>
                <w:sz w:val="18"/>
                <w:szCs w:val="18"/>
              </w:rPr>
            </w:pPr>
            <w:r>
              <w:rPr>
                <w:sz w:val="18"/>
                <w:szCs w:val="18"/>
              </w:rPr>
              <w:t>Address/ Area of Operation</w:t>
            </w:r>
          </w:p>
        </w:tc>
        <w:tc>
          <w:tcPr>
            <w:tcW w:w="1676" w:type="dxa"/>
            <w:shd w:val="clear" w:color="auto" w:fill="E6E6E6"/>
          </w:tcPr>
          <w:p w:rsidR="00F31EC6" w:rsidRDefault="00F31EC6" w:rsidP="00BB31B2">
            <w:pPr>
              <w:widowControl/>
              <w:jc w:val="center"/>
              <w:rPr>
                <w:sz w:val="18"/>
                <w:szCs w:val="18"/>
              </w:rPr>
            </w:pPr>
            <w:r>
              <w:rPr>
                <w:sz w:val="18"/>
                <w:szCs w:val="18"/>
              </w:rPr>
              <w:t>Frequency (MHz) (</w:t>
            </w:r>
            <w:r w:rsidR="0085392A">
              <w:rPr>
                <w:sz w:val="18"/>
                <w:szCs w:val="18"/>
              </w:rPr>
              <w:t xml:space="preserve">granted </w:t>
            </w:r>
            <w:r w:rsidR="00BB31B2">
              <w:rPr>
                <w:sz w:val="18"/>
                <w:szCs w:val="18"/>
              </w:rPr>
              <w:t xml:space="preserve">with </w:t>
            </w:r>
            <w:r w:rsidR="0085392A">
              <w:rPr>
                <w:sz w:val="18"/>
                <w:szCs w:val="18"/>
              </w:rPr>
              <w:t>waiver</w:t>
            </w:r>
            <w:r>
              <w:rPr>
                <w:sz w:val="18"/>
                <w:szCs w:val="18"/>
              </w:rPr>
              <w:t>)</w:t>
            </w:r>
          </w:p>
        </w:tc>
      </w:tr>
      <w:tr w:rsidR="00F31EC6" w:rsidTr="00BB31B2">
        <w:trPr>
          <w:trHeight w:val="432"/>
        </w:trPr>
        <w:tc>
          <w:tcPr>
            <w:tcW w:w="902" w:type="dxa"/>
            <w:vAlign w:val="center"/>
          </w:tcPr>
          <w:p w:rsidR="00F31EC6" w:rsidRDefault="0085392A" w:rsidP="002D3810">
            <w:pPr>
              <w:widowControl/>
              <w:jc w:val="center"/>
              <w:rPr>
                <w:sz w:val="18"/>
                <w:szCs w:val="18"/>
              </w:rPr>
            </w:pPr>
            <w:r>
              <w:rPr>
                <w:sz w:val="18"/>
                <w:szCs w:val="18"/>
              </w:rPr>
              <w:t>6</w:t>
            </w:r>
          </w:p>
        </w:tc>
        <w:tc>
          <w:tcPr>
            <w:tcW w:w="1080" w:type="dxa"/>
            <w:vAlign w:val="center"/>
          </w:tcPr>
          <w:p w:rsidR="00F31EC6" w:rsidRDefault="00F31EC6" w:rsidP="002D3810">
            <w:pPr>
              <w:widowControl/>
              <w:jc w:val="center"/>
              <w:rPr>
                <w:sz w:val="18"/>
                <w:szCs w:val="18"/>
              </w:rPr>
            </w:pPr>
            <w:r>
              <w:rPr>
                <w:sz w:val="18"/>
                <w:szCs w:val="18"/>
              </w:rPr>
              <w:t>FB2</w:t>
            </w:r>
          </w:p>
        </w:tc>
        <w:tc>
          <w:tcPr>
            <w:tcW w:w="1530" w:type="dxa"/>
            <w:vAlign w:val="center"/>
          </w:tcPr>
          <w:p w:rsidR="00F31EC6" w:rsidRDefault="0085392A" w:rsidP="002D3810">
            <w:pPr>
              <w:widowControl/>
              <w:jc w:val="center"/>
              <w:rPr>
                <w:sz w:val="18"/>
                <w:szCs w:val="18"/>
              </w:rPr>
            </w:pPr>
            <w:r>
              <w:rPr>
                <w:sz w:val="18"/>
                <w:szCs w:val="18"/>
              </w:rPr>
              <w:t>36</w:t>
            </w:r>
            <w:r w:rsidR="00F31EC6">
              <w:rPr>
                <w:sz w:val="18"/>
                <w:szCs w:val="18"/>
              </w:rPr>
              <w:t xml:space="preserve">° </w:t>
            </w:r>
            <w:r>
              <w:rPr>
                <w:sz w:val="18"/>
                <w:szCs w:val="18"/>
              </w:rPr>
              <w:t>43</w:t>
            </w:r>
            <w:r w:rsidR="00F31EC6">
              <w:rPr>
                <w:sz w:val="18"/>
                <w:szCs w:val="18"/>
              </w:rPr>
              <w:t xml:space="preserve">’ </w:t>
            </w:r>
            <w:r>
              <w:rPr>
                <w:sz w:val="18"/>
                <w:szCs w:val="18"/>
              </w:rPr>
              <w:t>59.8</w:t>
            </w:r>
            <w:r w:rsidR="00F31EC6">
              <w:rPr>
                <w:sz w:val="18"/>
                <w:szCs w:val="18"/>
              </w:rPr>
              <w:t>” (N)</w:t>
            </w:r>
          </w:p>
          <w:p w:rsidR="00F31EC6" w:rsidRDefault="0085392A" w:rsidP="0085392A">
            <w:pPr>
              <w:widowControl/>
              <w:jc w:val="center"/>
              <w:rPr>
                <w:sz w:val="18"/>
                <w:szCs w:val="18"/>
              </w:rPr>
            </w:pPr>
            <w:r>
              <w:rPr>
                <w:sz w:val="18"/>
                <w:szCs w:val="18"/>
              </w:rPr>
              <w:t>76</w:t>
            </w:r>
            <w:r w:rsidR="00F31EC6">
              <w:rPr>
                <w:sz w:val="18"/>
                <w:szCs w:val="18"/>
              </w:rPr>
              <w:t xml:space="preserve">° </w:t>
            </w:r>
            <w:r>
              <w:rPr>
                <w:sz w:val="18"/>
                <w:szCs w:val="18"/>
              </w:rPr>
              <w:t>35</w:t>
            </w:r>
            <w:r w:rsidR="00F31EC6">
              <w:rPr>
                <w:sz w:val="18"/>
                <w:szCs w:val="18"/>
              </w:rPr>
              <w:t xml:space="preserve">’ </w:t>
            </w:r>
            <w:r>
              <w:rPr>
                <w:sz w:val="18"/>
                <w:szCs w:val="18"/>
              </w:rPr>
              <w:t>20.9</w:t>
            </w:r>
            <w:r w:rsidR="00F31EC6">
              <w:rPr>
                <w:sz w:val="18"/>
                <w:szCs w:val="18"/>
              </w:rPr>
              <w:t>”</w:t>
            </w:r>
            <w:r w:rsidR="00F31EC6" w:rsidRPr="006D09F2">
              <w:rPr>
                <w:sz w:val="18"/>
                <w:szCs w:val="18"/>
              </w:rPr>
              <w:t xml:space="preserve"> </w:t>
            </w:r>
            <w:r w:rsidR="00F31EC6">
              <w:rPr>
                <w:sz w:val="18"/>
                <w:szCs w:val="18"/>
              </w:rPr>
              <w:t>(W)</w:t>
            </w:r>
          </w:p>
        </w:tc>
        <w:tc>
          <w:tcPr>
            <w:tcW w:w="2880" w:type="dxa"/>
            <w:vAlign w:val="center"/>
          </w:tcPr>
          <w:p w:rsidR="0085392A" w:rsidRDefault="0085392A" w:rsidP="002D3810">
            <w:pPr>
              <w:widowControl/>
              <w:jc w:val="center"/>
              <w:rPr>
                <w:sz w:val="18"/>
                <w:szCs w:val="18"/>
              </w:rPr>
            </w:pPr>
            <w:r>
              <w:rPr>
                <w:sz w:val="18"/>
                <w:szCs w:val="18"/>
              </w:rPr>
              <w:t>300 Kings Fork Road</w:t>
            </w:r>
            <w:r w:rsidR="00F31EC6" w:rsidRPr="006D09F2">
              <w:rPr>
                <w:sz w:val="18"/>
                <w:szCs w:val="18"/>
              </w:rPr>
              <w:t xml:space="preserve">, </w:t>
            </w:r>
          </w:p>
          <w:p w:rsidR="00F31EC6" w:rsidRDefault="0085392A" w:rsidP="0085392A">
            <w:pPr>
              <w:widowControl/>
              <w:jc w:val="center"/>
              <w:rPr>
                <w:sz w:val="18"/>
                <w:szCs w:val="18"/>
              </w:rPr>
            </w:pPr>
            <w:r>
              <w:rPr>
                <w:sz w:val="18"/>
                <w:szCs w:val="18"/>
              </w:rPr>
              <w:t>Suffolk, VA</w:t>
            </w:r>
          </w:p>
        </w:tc>
        <w:tc>
          <w:tcPr>
            <w:tcW w:w="1676" w:type="dxa"/>
            <w:vAlign w:val="center"/>
          </w:tcPr>
          <w:p w:rsidR="00F31EC6" w:rsidRDefault="0085392A" w:rsidP="002D3810">
            <w:pPr>
              <w:widowControl/>
              <w:jc w:val="center"/>
              <w:rPr>
                <w:sz w:val="18"/>
                <w:szCs w:val="18"/>
              </w:rPr>
            </w:pPr>
            <w:r>
              <w:rPr>
                <w:sz w:val="18"/>
                <w:szCs w:val="18"/>
              </w:rPr>
              <w:t>858.9375</w:t>
            </w:r>
          </w:p>
          <w:p w:rsidR="0085392A" w:rsidRDefault="0085392A" w:rsidP="002D3810">
            <w:pPr>
              <w:widowControl/>
              <w:jc w:val="center"/>
              <w:rPr>
                <w:sz w:val="18"/>
                <w:szCs w:val="18"/>
              </w:rPr>
            </w:pPr>
            <w:r>
              <w:rPr>
                <w:sz w:val="18"/>
                <w:szCs w:val="18"/>
              </w:rPr>
              <w:t>859.4375</w:t>
            </w:r>
          </w:p>
          <w:p w:rsidR="0085392A" w:rsidRDefault="0085392A" w:rsidP="002D3810">
            <w:pPr>
              <w:widowControl/>
              <w:jc w:val="center"/>
              <w:rPr>
                <w:sz w:val="18"/>
                <w:szCs w:val="18"/>
              </w:rPr>
            </w:pPr>
            <w:r>
              <w:rPr>
                <w:sz w:val="18"/>
                <w:szCs w:val="18"/>
              </w:rPr>
              <w:t>859.9375</w:t>
            </w:r>
          </w:p>
        </w:tc>
      </w:tr>
      <w:tr w:rsidR="00F31EC6" w:rsidTr="00BB31B2">
        <w:trPr>
          <w:trHeight w:val="432"/>
        </w:trPr>
        <w:tc>
          <w:tcPr>
            <w:tcW w:w="902" w:type="dxa"/>
            <w:vAlign w:val="center"/>
          </w:tcPr>
          <w:p w:rsidR="00F31EC6" w:rsidRDefault="0085392A" w:rsidP="002D3810">
            <w:pPr>
              <w:widowControl/>
              <w:jc w:val="center"/>
              <w:rPr>
                <w:sz w:val="18"/>
                <w:szCs w:val="18"/>
              </w:rPr>
            </w:pPr>
            <w:r>
              <w:rPr>
                <w:sz w:val="18"/>
                <w:szCs w:val="18"/>
              </w:rPr>
              <w:t>9</w:t>
            </w:r>
          </w:p>
        </w:tc>
        <w:tc>
          <w:tcPr>
            <w:tcW w:w="1080" w:type="dxa"/>
            <w:vAlign w:val="center"/>
          </w:tcPr>
          <w:p w:rsidR="00F31EC6" w:rsidRDefault="0085392A" w:rsidP="002D3810">
            <w:pPr>
              <w:widowControl/>
              <w:jc w:val="center"/>
              <w:rPr>
                <w:sz w:val="18"/>
                <w:szCs w:val="18"/>
              </w:rPr>
            </w:pPr>
            <w:r>
              <w:rPr>
                <w:sz w:val="18"/>
                <w:szCs w:val="18"/>
              </w:rPr>
              <w:t>MO</w:t>
            </w:r>
          </w:p>
        </w:tc>
        <w:tc>
          <w:tcPr>
            <w:tcW w:w="1530" w:type="dxa"/>
            <w:vAlign w:val="center"/>
          </w:tcPr>
          <w:p w:rsidR="00F31EC6" w:rsidRDefault="0085392A" w:rsidP="002D3810">
            <w:pPr>
              <w:widowControl/>
              <w:jc w:val="center"/>
              <w:rPr>
                <w:sz w:val="18"/>
                <w:szCs w:val="18"/>
              </w:rPr>
            </w:pPr>
            <w:r>
              <w:rPr>
                <w:sz w:val="18"/>
                <w:szCs w:val="18"/>
              </w:rPr>
              <w:t>--</w:t>
            </w:r>
          </w:p>
        </w:tc>
        <w:tc>
          <w:tcPr>
            <w:tcW w:w="2880" w:type="dxa"/>
            <w:vAlign w:val="center"/>
          </w:tcPr>
          <w:p w:rsidR="00F31EC6" w:rsidRDefault="00A25CF6" w:rsidP="00A25CF6">
            <w:pPr>
              <w:widowControl/>
              <w:jc w:val="center"/>
              <w:rPr>
                <w:sz w:val="18"/>
                <w:szCs w:val="18"/>
              </w:rPr>
            </w:pPr>
            <w:r>
              <w:rPr>
                <w:sz w:val="18"/>
                <w:szCs w:val="18"/>
              </w:rPr>
              <w:t>60 km radius around Location 6</w:t>
            </w:r>
          </w:p>
        </w:tc>
        <w:tc>
          <w:tcPr>
            <w:tcW w:w="1676" w:type="dxa"/>
            <w:vAlign w:val="center"/>
          </w:tcPr>
          <w:p w:rsidR="00F31EC6" w:rsidRDefault="00A25CF6" w:rsidP="002D3810">
            <w:pPr>
              <w:widowControl/>
              <w:jc w:val="center"/>
              <w:rPr>
                <w:sz w:val="18"/>
                <w:szCs w:val="18"/>
              </w:rPr>
            </w:pPr>
            <w:r>
              <w:rPr>
                <w:sz w:val="18"/>
                <w:szCs w:val="18"/>
              </w:rPr>
              <w:t>813.9375</w:t>
            </w:r>
          </w:p>
          <w:p w:rsidR="00A25CF6" w:rsidRDefault="00A25CF6" w:rsidP="002D3810">
            <w:pPr>
              <w:widowControl/>
              <w:jc w:val="center"/>
              <w:rPr>
                <w:sz w:val="18"/>
                <w:szCs w:val="18"/>
              </w:rPr>
            </w:pPr>
            <w:r>
              <w:rPr>
                <w:sz w:val="18"/>
                <w:szCs w:val="18"/>
              </w:rPr>
              <w:t>814.4375</w:t>
            </w:r>
          </w:p>
          <w:p w:rsidR="00A25CF6" w:rsidRDefault="00A25CF6" w:rsidP="002D3810">
            <w:pPr>
              <w:widowControl/>
              <w:jc w:val="center"/>
              <w:rPr>
                <w:sz w:val="18"/>
                <w:szCs w:val="18"/>
              </w:rPr>
            </w:pPr>
            <w:r>
              <w:rPr>
                <w:sz w:val="18"/>
                <w:szCs w:val="18"/>
              </w:rPr>
              <w:t>814.9375</w:t>
            </w:r>
          </w:p>
        </w:tc>
      </w:tr>
    </w:tbl>
    <w:p w:rsidR="007C7053" w:rsidRDefault="007C7053" w:rsidP="007C7053">
      <w:pPr>
        <w:spacing w:after="0" w:line="240" w:lineRule="auto"/>
        <w:rPr>
          <w:rFonts w:ascii="Times New Roman" w:eastAsia="Times New Roman" w:hAnsi="Times New Roman" w:cs="Times New Roman"/>
          <w:kern w:val="28"/>
          <w:szCs w:val="20"/>
          <w:u w:val="single"/>
        </w:rPr>
      </w:pPr>
    </w:p>
    <w:p w:rsidR="00A25CF6" w:rsidRDefault="00A25CF6" w:rsidP="007C7053">
      <w:pPr>
        <w:spacing w:after="0" w:line="240" w:lineRule="auto"/>
        <w:rPr>
          <w:rFonts w:ascii="Times New Roman" w:eastAsia="Times New Roman" w:hAnsi="Times New Roman" w:cs="Times New Roman"/>
          <w:kern w:val="28"/>
          <w:szCs w:val="20"/>
          <w:u w:val="single"/>
        </w:rPr>
      </w:pPr>
    </w:p>
    <w:p w:rsidR="00A25CF6" w:rsidRPr="00A25CF6" w:rsidRDefault="00A25CF6" w:rsidP="007C7053">
      <w:pPr>
        <w:spacing w:after="0" w:line="240" w:lineRule="auto"/>
        <w:rPr>
          <w:rFonts w:ascii="Times New Roman" w:eastAsia="Times New Roman" w:hAnsi="Times New Roman" w:cs="Times New Roman"/>
          <w:kern w:val="28"/>
          <w:szCs w:val="20"/>
        </w:rPr>
      </w:pPr>
      <w:r>
        <w:rPr>
          <w:rFonts w:ascii="Times New Roman" w:eastAsia="Times New Roman" w:hAnsi="Times New Roman" w:cs="Times New Roman"/>
          <w:kern w:val="28"/>
          <w:szCs w:val="20"/>
          <w:u w:val="single"/>
        </w:rPr>
        <w:t xml:space="preserve">Frequencies </w:t>
      </w:r>
      <w:r w:rsidR="002B0A49">
        <w:rPr>
          <w:rFonts w:ascii="Times New Roman" w:eastAsia="Times New Roman" w:hAnsi="Times New Roman" w:cs="Times New Roman"/>
          <w:kern w:val="28"/>
          <w:szCs w:val="20"/>
          <w:u w:val="single"/>
        </w:rPr>
        <w:t xml:space="preserve">added to call sign WNMJ688 </w:t>
      </w:r>
      <w:r>
        <w:rPr>
          <w:rFonts w:ascii="Times New Roman" w:eastAsia="Times New Roman" w:hAnsi="Times New Roman" w:cs="Times New Roman"/>
          <w:kern w:val="28"/>
          <w:szCs w:val="20"/>
          <w:u w:val="single"/>
        </w:rPr>
        <w:t>without need f</w:t>
      </w:r>
      <w:r w:rsidR="00F93591">
        <w:rPr>
          <w:rFonts w:ascii="Times New Roman" w:eastAsia="Times New Roman" w:hAnsi="Times New Roman" w:cs="Times New Roman"/>
          <w:kern w:val="28"/>
          <w:szCs w:val="20"/>
          <w:u w:val="single"/>
        </w:rPr>
        <w:t>or</w:t>
      </w:r>
      <w:r>
        <w:rPr>
          <w:rFonts w:ascii="Times New Roman" w:eastAsia="Times New Roman" w:hAnsi="Times New Roman" w:cs="Times New Roman"/>
          <w:kern w:val="28"/>
          <w:szCs w:val="20"/>
          <w:u w:val="single"/>
        </w:rPr>
        <w:t xml:space="preserve"> a waiver</w:t>
      </w:r>
      <w:r>
        <w:rPr>
          <w:rFonts w:ascii="Times New Roman" w:eastAsia="Times New Roman" w:hAnsi="Times New Roman" w:cs="Times New Roman"/>
          <w:kern w:val="28"/>
          <w:szCs w:val="20"/>
        </w:rPr>
        <w:t>.</w:t>
      </w:r>
    </w:p>
    <w:p w:rsidR="007C7053" w:rsidRDefault="007C7053" w:rsidP="00A25CF6">
      <w:pPr>
        <w:spacing w:after="0" w:line="240" w:lineRule="auto"/>
        <w:rPr>
          <w:rFonts w:ascii="Times New Roman" w:eastAsia="Times New Roman" w:hAnsi="Times New Roman" w:cs="Times New Roman"/>
          <w:kern w:val="28"/>
          <w:szCs w:val="20"/>
        </w:rPr>
      </w:pPr>
    </w:p>
    <w:tbl>
      <w:tblPr>
        <w:tblStyle w:val="TableGrid"/>
        <w:tblW w:w="8068" w:type="dxa"/>
        <w:tblLayout w:type="fixed"/>
        <w:tblCellMar>
          <w:left w:w="58" w:type="dxa"/>
          <w:right w:w="58" w:type="dxa"/>
        </w:tblCellMar>
        <w:tblLook w:val="01E0" w:firstRow="1" w:lastRow="1" w:firstColumn="1" w:lastColumn="1" w:noHBand="0" w:noVBand="0"/>
      </w:tblPr>
      <w:tblGrid>
        <w:gridCol w:w="902"/>
        <w:gridCol w:w="1080"/>
        <w:gridCol w:w="1530"/>
        <w:gridCol w:w="2880"/>
        <w:gridCol w:w="1676"/>
      </w:tblGrid>
      <w:tr w:rsidR="00A25CF6" w:rsidTr="00DC6E73">
        <w:trPr>
          <w:cantSplit/>
          <w:tblHeader/>
        </w:trPr>
        <w:tc>
          <w:tcPr>
            <w:tcW w:w="902" w:type="dxa"/>
            <w:shd w:val="clear" w:color="auto" w:fill="E6E6E6"/>
          </w:tcPr>
          <w:p w:rsidR="00A25CF6" w:rsidRDefault="00A25CF6" w:rsidP="002D3810">
            <w:pPr>
              <w:widowControl/>
              <w:jc w:val="center"/>
              <w:rPr>
                <w:sz w:val="18"/>
                <w:szCs w:val="18"/>
              </w:rPr>
            </w:pPr>
            <w:r>
              <w:rPr>
                <w:sz w:val="18"/>
                <w:szCs w:val="18"/>
              </w:rPr>
              <w:t>Location No.</w:t>
            </w:r>
          </w:p>
        </w:tc>
        <w:tc>
          <w:tcPr>
            <w:tcW w:w="1080" w:type="dxa"/>
            <w:shd w:val="clear" w:color="auto" w:fill="E6E6E6"/>
          </w:tcPr>
          <w:p w:rsidR="00A25CF6" w:rsidRDefault="00A25CF6" w:rsidP="002D3810">
            <w:pPr>
              <w:widowControl/>
              <w:jc w:val="center"/>
              <w:rPr>
                <w:sz w:val="18"/>
                <w:szCs w:val="18"/>
              </w:rPr>
            </w:pPr>
            <w:r>
              <w:rPr>
                <w:sz w:val="18"/>
                <w:szCs w:val="18"/>
              </w:rPr>
              <w:t>Station Class Code</w:t>
            </w:r>
          </w:p>
        </w:tc>
        <w:tc>
          <w:tcPr>
            <w:tcW w:w="1530" w:type="dxa"/>
            <w:shd w:val="clear" w:color="auto" w:fill="E6E6E6"/>
          </w:tcPr>
          <w:p w:rsidR="00A25CF6" w:rsidRDefault="00A25CF6" w:rsidP="002D3810">
            <w:pPr>
              <w:widowControl/>
              <w:jc w:val="center"/>
              <w:rPr>
                <w:sz w:val="18"/>
                <w:szCs w:val="18"/>
              </w:rPr>
            </w:pPr>
            <w:r>
              <w:rPr>
                <w:sz w:val="18"/>
                <w:szCs w:val="18"/>
              </w:rPr>
              <w:t>Latitude,</w:t>
            </w:r>
          </w:p>
          <w:p w:rsidR="00A25CF6" w:rsidRDefault="00A25CF6" w:rsidP="002D3810">
            <w:pPr>
              <w:widowControl/>
              <w:jc w:val="center"/>
              <w:rPr>
                <w:sz w:val="18"/>
                <w:szCs w:val="18"/>
              </w:rPr>
            </w:pPr>
            <w:r>
              <w:rPr>
                <w:sz w:val="18"/>
                <w:szCs w:val="18"/>
              </w:rPr>
              <w:t>Longitude</w:t>
            </w:r>
          </w:p>
        </w:tc>
        <w:tc>
          <w:tcPr>
            <w:tcW w:w="2880" w:type="dxa"/>
            <w:shd w:val="clear" w:color="auto" w:fill="E6E6E6"/>
          </w:tcPr>
          <w:p w:rsidR="00A25CF6" w:rsidRDefault="00A25CF6" w:rsidP="002D3810">
            <w:pPr>
              <w:widowControl/>
              <w:jc w:val="center"/>
              <w:rPr>
                <w:sz w:val="18"/>
                <w:szCs w:val="18"/>
              </w:rPr>
            </w:pPr>
            <w:r>
              <w:rPr>
                <w:sz w:val="18"/>
                <w:szCs w:val="18"/>
              </w:rPr>
              <w:t>Address/ Area of Operation</w:t>
            </w:r>
          </w:p>
        </w:tc>
        <w:tc>
          <w:tcPr>
            <w:tcW w:w="1676" w:type="dxa"/>
            <w:shd w:val="clear" w:color="auto" w:fill="E6E6E6"/>
          </w:tcPr>
          <w:p w:rsidR="00A25CF6" w:rsidRDefault="00A25CF6" w:rsidP="00BB31B2">
            <w:pPr>
              <w:widowControl/>
              <w:jc w:val="center"/>
              <w:rPr>
                <w:sz w:val="18"/>
                <w:szCs w:val="18"/>
              </w:rPr>
            </w:pPr>
            <w:r>
              <w:rPr>
                <w:sz w:val="18"/>
                <w:szCs w:val="18"/>
              </w:rPr>
              <w:t xml:space="preserve">Frequency (MHz) (granted </w:t>
            </w:r>
            <w:r w:rsidR="00BB31B2">
              <w:rPr>
                <w:sz w:val="18"/>
                <w:szCs w:val="18"/>
              </w:rPr>
              <w:t xml:space="preserve">without need for </w:t>
            </w:r>
            <w:r>
              <w:rPr>
                <w:sz w:val="18"/>
                <w:szCs w:val="18"/>
              </w:rPr>
              <w:t>waiver)</w:t>
            </w:r>
          </w:p>
        </w:tc>
      </w:tr>
      <w:tr w:rsidR="00A25CF6" w:rsidTr="00DC6E73">
        <w:trPr>
          <w:cantSplit/>
          <w:trHeight w:val="432"/>
        </w:trPr>
        <w:tc>
          <w:tcPr>
            <w:tcW w:w="902" w:type="dxa"/>
            <w:vAlign w:val="center"/>
          </w:tcPr>
          <w:p w:rsidR="00A25CF6" w:rsidRDefault="00A25CF6" w:rsidP="002D3810">
            <w:pPr>
              <w:widowControl/>
              <w:jc w:val="center"/>
              <w:rPr>
                <w:sz w:val="18"/>
                <w:szCs w:val="18"/>
              </w:rPr>
            </w:pPr>
            <w:r>
              <w:rPr>
                <w:sz w:val="18"/>
                <w:szCs w:val="18"/>
              </w:rPr>
              <w:t>1</w:t>
            </w:r>
          </w:p>
        </w:tc>
        <w:tc>
          <w:tcPr>
            <w:tcW w:w="1080" w:type="dxa"/>
            <w:vAlign w:val="center"/>
          </w:tcPr>
          <w:p w:rsidR="00A25CF6" w:rsidRDefault="00A25CF6" w:rsidP="002D3810">
            <w:pPr>
              <w:widowControl/>
              <w:jc w:val="center"/>
              <w:rPr>
                <w:sz w:val="18"/>
                <w:szCs w:val="18"/>
              </w:rPr>
            </w:pPr>
            <w:r>
              <w:rPr>
                <w:sz w:val="18"/>
                <w:szCs w:val="18"/>
              </w:rPr>
              <w:t>FB2</w:t>
            </w:r>
          </w:p>
        </w:tc>
        <w:tc>
          <w:tcPr>
            <w:tcW w:w="1530" w:type="dxa"/>
            <w:vAlign w:val="center"/>
          </w:tcPr>
          <w:p w:rsidR="00A25CF6" w:rsidRDefault="00A25CF6" w:rsidP="002D3810">
            <w:pPr>
              <w:widowControl/>
              <w:jc w:val="center"/>
              <w:rPr>
                <w:sz w:val="18"/>
                <w:szCs w:val="18"/>
              </w:rPr>
            </w:pPr>
            <w:r>
              <w:rPr>
                <w:sz w:val="18"/>
                <w:szCs w:val="18"/>
              </w:rPr>
              <w:t>36° 43’ 50.0” (N)</w:t>
            </w:r>
          </w:p>
          <w:p w:rsidR="00A25CF6" w:rsidRDefault="00A25CF6" w:rsidP="00A25CF6">
            <w:pPr>
              <w:widowControl/>
              <w:jc w:val="center"/>
              <w:rPr>
                <w:sz w:val="18"/>
                <w:szCs w:val="18"/>
              </w:rPr>
            </w:pPr>
            <w:r>
              <w:rPr>
                <w:sz w:val="18"/>
                <w:szCs w:val="18"/>
              </w:rPr>
              <w:t>76° 35’ 21.0”</w:t>
            </w:r>
            <w:r w:rsidRPr="006D09F2">
              <w:rPr>
                <w:sz w:val="18"/>
                <w:szCs w:val="18"/>
              </w:rPr>
              <w:t xml:space="preserve"> </w:t>
            </w:r>
            <w:r>
              <w:rPr>
                <w:sz w:val="18"/>
                <w:szCs w:val="18"/>
              </w:rPr>
              <w:t>(W)</w:t>
            </w:r>
          </w:p>
        </w:tc>
        <w:tc>
          <w:tcPr>
            <w:tcW w:w="2880" w:type="dxa"/>
            <w:vAlign w:val="center"/>
          </w:tcPr>
          <w:p w:rsidR="00A25CF6" w:rsidRDefault="00BB31B2" w:rsidP="002D3810">
            <w:pPr>
              <w:widowControl/>
              <w:jc w:val="center"/>
              <w:rPr>
                <w:sz w:val="18"/>
                <w:szCs w:val="18"/>
              </w:rPr>
            </w:pPr>
            <w:r>
              <w:rPr>
                <w:sz w:val="18"/>
                <w:szCs w:val="18"/>
              </w:rPr>
              <w:t>441 Market St</w:t>
            </w:r>
            <w:r w:rsidR="00A25CF6" w:rsidRPr="006D09F2">
              <w:rPr>
                <w:sz w:val="18"/>
                <w:szCs w:val="18"/>
              </w:rPr>
              <w:t xml:space="preserve">, </w:t>
            </w:r>
          </w:p>
          <w:p w:rsidR="00A25CF6" w:rsidRDefault="00A25CF6" w:rsidP="002D3810">
            <w:pPr>
              <w:widowControl/>
              <w:jc w:val="center"/>
              <w:rPr>
                <w:sz w:val="18"/>
                <w:szCs w:val="18"/>
              </w:rPr>
            </w:pPr>
            <w:r>
              <w:rPr>
                <w:sz w:val="18"/>
                <w:szCs w:val="18"/>
              </w:rPr>
              <w:t>Suffolk, VA</w:t>
            </w:r>
          </w:p>
        </w:tc>
        <w:tc>
          <w:tcPr>
            <w:tcW w:w="1676" w:type="dxa"/>
            <w:vAlign w:val="center"/>
          </w:tcPr>
          <w:p w:rsidR="00A25CF6" w:rsidRDefault="00A25CF6" w:rsidP="002D3810">
            <w:pPr>
              <w:widowControl/>
              <w:jc w:val="center"/>
              <w:rPr>
                <w:sz w:val="18"/>
                <w:szCs w:val="18"/>
              </w:rPr>
            </w:pPr>
            <w:r>
              <w:rPr>
                <w:sz w:val="18"/>
                <w:szCs w:val="18"/>
              </w:rPr>
              <w:t>85</w:t>
            </w:r>
            <w:r w:rsidR="00BB31B2">
              <w:rPr>
                <w:sz w:val="18"/>
                <w:szCs w:val="18"/>
              </w:rPr>
              <w:t>6</w:t>
            </w:r>
            <w:r>
              <w:rPr>
                <w:sz w:val="18"/>
                <w:szCs w:val="18"/>
              </w:rPr>
              <w:t>.</w:t>
            </w:r>
            <w:r w:rsidR="00BB31B2">
              <w:rPr>
                <w:sz w:val="18"/>
                <w:szCs w:val="18"/>
              </w:rPr>
              <w:t>1125</w:t>
            </w:r>
          </w:p>
          <w:p w:rsidR="00A25CF6" w:rsidRDefault="00A25CF6" w:rsidP="002D3810">
            <w:pPr>
              <w:widowControl/>
              <w:jc w:val="center"/>
              <w:rPr>
                <w:sz w:val="18"/>
                <w:szCs w:val="18"/>
              </w:rPr>
            </w:pPr>
            <w:r>
              <w:rPr>
                <w:sz w:val="18"/>
                <w:szCs w:val="18"/>
              </w:rPr>
              <w:t>8</w:t>
            </w:r>
            <w:r w:rsidR="00BB31B2">
              <w:rPr>
                <w:sz w:val="18"/>
                <w:szCs w:val="18"/>
              </w:rPr>
              <w:t>56</w:t>
            </w:r>
            <w:r>
              <w:rPr>
                <w:sz w:val="18"/>
                <w:szCs w:val="18"/>
              </w:rPr>
              <w:t>.</w:t>
            </w:r>
            <w:r w:rsidR="00BB31B2">
              <w:rPr>
                <w:sz w:val="18"/>
                <w:szCs w:val="18"/>
              </w:rPr>
              <w:t>5625</w:t>
            </w:r>
          </w:p>
          <w:p w:rsidR="00BB31B2" w:rsidRDefault="00BB31B2" w:rsidP="002D3810">
            <w:pPr>
              <w:widowControl/>
              <w:jc w:val="center"/>
              <w:rPr>
                <w:sz w:val="18"/>
                <w:szCs w:val="18"/>
              </w:rPr>
            </w:pPr>
            <w:r>
              <w:rPr>
                <w:sz w:val="18"/>
                <w:szCs w:val="18"/>
              </w:rPr>
              <w:t>857.5625</w:t>
            </w:r>
          </w:p>
          <w:p w:rsidR="00A25CF6" w:rsidRDefault="00A25CF6" w:rsidP="00BB31B2">
            <w:pPr>
              <w:widowControl/>
              <w:jc w:val="center"/>
              <w:rPr>
                <w:sz w:val="18"/>
                <w:szCs w:val="18"/>
              </w:rPr>
            </w:pPr>
            <w:r>
              <w:rPr>
                <w:sz w:val="18"/>
                <w:szCs w:val="18"/>
              </w:rPr>
              <w:t>85</w:t>
            </w:r>
            <w:r w:rsidR="00BB31B2">
              <w:rPr>
                <w:sz w:val="18"/>
                <w:szCs w:val="18"/>
              </w:rPr>
              <w:t>8</w:t>
            </w:r>
            <w:r>
              <w:rPr>
                <w:sz w:val="18"/>
                <w:szCs w:val="18"/>
              </w:rPr>
              <w:t>.</w:t>
            </w:r>
            <w:r w:rsidR="00BB31B2">
              <w:rPr>
                <w:sz w:val="18"/>
                <w:szCs w:val="18"/>
              </w:rPr>
              <w:t>1125</w:t>
            </w:r>
          </w:p>
          <w:p w:rsidR="00BB31B2" w:rsidRDefault="00BB31B2" w:rsidP="00BB31B2">
            <w:pPr>
              <w:widowControl/>
              <w:jc w:val="center"/>
              <w:rPr>
                <w:sz w:val="18"/>
                <w:szCs w:val="18"/>
              </w:rPr>
            </w:pPr>
            <w:r>
              <w:rPr>
                <w:sz w:val="18"/>
                <w:szCs w:val="18"/>
              </w:rPr>
              <w:t>859.6125</w:t>
            </w:r>
          </w:p>
        </w:tc>
      </w:tr>
      <w:tr w:rsidR="00A25CF6" w:rsidTr="00DC6E73">
        <w:trPr>
          <w:cantSplit/>
          <w:trHeight w:val="432"/>
        </w:trPr>
        <w:tc>
          <w:tcPr>
            <w:tcW w:w="902" w:type="dxa"/>
            <w:vAlign w:val="center"/>
          </w:tcPr>
          <w:p w:rsidR="00A25CF6" w:rsidRDefault="00BB31B2" w:rsidP="002D3810">
            <w:pPr>
              <w:widowControl/>
              <w:jc w:val="center"/>
              <w:rPr>
                <w:sz w:val="18"/>
                <w:szCs w:val="18"/>
              </w:rPr>
            </w:pPr>
            <w:r>
              <w:rPr>
                <w:sz w:val="18"/>
                <w:szCs w:val="18"/>
              </w:rPr>
              <w:t>2</w:t>
            </w:r>
          </w:p>
        </w:tc>
        <w:tc>
          <w:tcPr>
            <w:tcW w:w="1080" w:type="dxa"/>
            <w:vAlign w:val="center"/>
          </w:tcPr>
          <w:p w:rsidR="00A25CF6" w:rsidRDefault="00BB31B2" w:rsidP="002D3810">
            <w:pPr>
              <w:widowControl/>
              <w:jc w:val="center"/>
              <w:rPr>
                <w:sz w:val="18"/>
                <w:szCs w:val="18"/>
              </w:rPr>
            </w:pPr>
            <w:r>
              <w:rPr>
                <w:sz w:val="18"/>
                <w:szCs w:val="18"/>
              </w:rPr>
              <w:t>FB2</w:t>
            </w:r>
          </w:p>
        </w:tc>
        <w:tc>
          <w:tcPr>
            <w:tcW w:w="1530" w:type="dxa"/>
            <w:vAlign w:val="center"/>
          </w:tcPr>
          <w:p w:rsidR="00BB31B2" w:rsidRDefault="00BB31B2" w:rsidP="00BB31B2">
            <w:pPr>
              <w:widowControl/>
              <w:jc w:val="center"/>
              <w:rPr>
                <w:sz w:val="18"/>
                <w:szCs w:val="18"/>
              </w:rPr>
            </w:pPr>
            <w:r>
              <w:rPr>
                <w:sz w:val="18"/>
                <w:szCs w:val="18"/>
              </w:rPr>
              <w:t>36° 35’ 41.0” (N)</w:t>
            </w:r>
          </w:p>
          <w:p w:rsidR="00A25CF6" w:rsidRDefault="00BB31B2" w:rsidP="00BB31B2">
            <w:pPr>
              <w:widowControl/>
              <w:jc w:val="center"/>
              <w:rPr>
                <w:sz w:val="18"/>
                <w:szCs w:val="18"/>
              </w:rPr>
            </w:pPr>
            <w:r>
              <w:rPr>
                <w:sz w:val="18"/>
                <w:szCs w:val="18"/>
              </w:rPr>
              <w:t>76° 40’ 56.0”</w:t>
            </w:r>
            <w:r w:rsidRPr="006D09F2">
              <w:rPr>
                <w:sz w:val="18"/>
                <w:szCs w:val="18"/>
              </w:rPr>
              <w:t xml:space="preserve"> </w:t>
            </w:r>
            <w:r>
              <w:rPr>
                <w:sz w:val="18"/>
                <w:szCs w:val="18"/>
              </w:rPr>
              <w:t>(W)</w:t>
            </w:r>
          </w:p>
        </w:tc>
        <w:tc>
          <w:tcPr>
            <w:tcW w:w="2880" w:type="dxa"/>
            <w:vAlign w:val="center"/>
          </w:tcPr>
          <w:p w:rsidR="00A25CF6" w:rsidRDefault="00BB31B2" w:rsidP="002D3810">
            <w:pPr>
              <w:widowControl/>
              <w:jc w:val="center"/>
              <w:rPr>
                <w:sz w:val="18"/>
                <w:szCs w:val="18"/>
              </w:rPr>
            </w:pPr>
            <w:r>
              <w:rPr>
                <w:sz w:val="18"/>
                <w:szCs w:val="18"/>
              </w:rPr>
              <w:t>US Rt 13 at Mineral Springs Rd,</w:t>
            </w:r>
          </w:p>
          <w:p w:rsidR="00BB31B2" w:rsidRDefault="00BB31B2" w:rsidP="002D3810">
            <w:pPr>
              <w:widowControl/>
              <w:jc w:val="center"/>
              <w:rPr>
                <w:sz w:val="18"/>
                <w:szCs w:val="18"/>
              </w:rPr>
            </w:pPr>
            <w:r>
              <w:rPr>
                <w:sz w:val="18"/>
                <w:szCs w:val="18"/>
              </w:rPr>
              <w:t>Suffolk, VA</w:t>
            </w:r>
          </w:p>
        </w:tc>
        <w:tc>
          <w:tcPr>
            <w:tcW w:w="1676" w:type="dxa"/>
            <w:vAlign w:val="center"/>
          </w:tcPr>
          <w:p w:rsidR="00BB31B2" w:rsidRDefault="00BB31B2" w:rsidP="00BB31B2">
            <w:pPr>
              <w:widowControl/>
              <w:jc w:val="center"/>
              <w:rPr>
                <w:sz w:val="18"/>
                <w:szCs w:val="18"/>
              </w:rPr>
            </w:pPr>
            <w:r>
              <w:rPr>
                <w:sz w:val="18"/>
                <w:szCs w:val="18"/>
              </w:rPr>
              <w:t>856.1125</w:t>
            </w:r>
          </w:p>
          <w:p w:rsidR="00BB31B2" w:rsidRDefault="00BB31B2" w:rsidP="00BB31B2">
            <w:pPr>
              <w:widowControl/>
              <w:jc w:val="center"/>
              <w:rPr>
                <w:sz w:val="18"/>
                <w:szCs w:val="18"/>
              </w:rPr>
            </w:pPr>
            <w:r>
              <w:rPr>
                <w:sz w:val="18"/>
                <w:szCs w:val="18"/>
              </w:rPr>
              <w:t>856.5625</w:t>
            </w:r>
          </w:p>
          <w:p w:rsidR="00BB31B2" w:rsidRDefault="00BB31B2" w:rsidP="00BB31B2">
            <w:pPr>
              <w:widowControl/>
              <w:jc w:val="center"/>
              <w:rPr>
                <w:sz w:val="18"/>
                <w:szCs w:val="18"/>
              </w:rPr>
            </w:pPr>
            <w:r>
              <w:rPr>
                <w:sz w:val="18"/>
                <w:szCs w:val="18"/>
              </w:rPr>
              <w:t>857.5625</w:t>
            </w:r>
          </w:p>
          <w:p w:rsidR="00BB31B2" w:rsidRDefault="00BB31B2" w:rsidP="00BB31B2">
            <w:pPr>
              <w:widowControl/>
              <w:jc w:val="center"/>
              <w:rPr>
                <w:sz w:val="18"/>
                <w:szCs w:val="18"/>
              </w:rPr>
            </w:pPr>
            <w:r>
              <w:rPr>
                <w:sz w:val="18"/>
                <w:szCs w:val="18"/>
              </w:rPr>
              <w:t>858.1125</w:t>
            </w:r>
          </w:p>
          <w:p w:rsidR="00A25CF6" w:rsidRDefault="00BB31B2" w:rsidP="00BB31B2">
            <w:pPr>
              <w:widowControl/>
              <w:jc w:val="center"/>
              <w:rPr>
                <w:sz w:val="18"/>
                <w:szCs w:val="18"/>
              </w:rPr>
            </w:pPr>
            <w:r>
              <w:rPr>
                <w:sz w:val="18"/>
                <w:szCs w:val="18"/>
              </w:rPr>
              <w:t>859.6125</w:t>
            </w:r>
          </w:p>
        </w:tc>
      </w:tr>
      <w:tr w:rsidR="00BB31B2" w:rsidTr="00DC6E73">
        <w:trPr>
          <w:cantSplit/>
          <w:trHeight w:val="432"/>
        </w:trPr>
        <w:tc>
          <w:tcPr>
            <w:tcW w:w="902" w:type="dxa"/>
            <w:vAlign w:val="center"/>
          </w:tcPr>
          <w:p w:rsidR="00BB31B2" w:rsidRDefault="00BB31B2" w:rsidP="002D3810">
            <w:pPr>
              <w:jc w:val="center"/>
              <w:rPr>
                <w:sz w:val="18"/>
                <w:szCs w:val="18"/>
              </w:rPr>
            </w:pPr>
            <w:r>
              <w:rPr>
                <w:sz w:val="18"/>
                <w:szCs w:val="18"/>
              </w:rPr>
              <w:t>3</w:t>
            </w:r>
          </w:p>
        </w:tc>
        <w:tc>
          <w:tcPr>
            <w:tcW w:w="1080" w:type="dxa"/>
            <w:vAlign w:val="center"/>
          </w:tcPr>
          <w:p w:rsidR="00BB31B2" w:rsidRDefault="00BB31B2" w:rsidP="002D3810">
            <w:pPr>
              <w:jc w:val="center"/>
              <w:rPr>
                <w:sz w:val="18"/>
                <w:szCs w:val="18"/>
              </w:rPr>
            </w:pPr>
            <w:r>
              <w:rPr>
                <w:sz w:val="18"/>
                <w:szCs w:val="18"/>
              </w:rPr>
              <w:t>FB2</w:t>
            </w:r>
          </w:p>
        </w:tc>
        <w:tc>
          <w:tcPr>
            <w:tcW w:w="1530" w:type="dxa"/>
            <w:vAlign w:val="center"/>
          </w:tcPr>
          <w:p w:rsidR="00BB31B2" w:rsidRDefault="00BB31B2" w:rsidP="00BB31B2">
            <w:pPr>
              <w:widowControl/>
              <w:jc w:val="center"/>
              <w:rPr>
                <w:sz w:val="18"/>
                <w:szCs w:val="18"/>
              </w:rPr>
            </w:pPr>
            <w:r>
              <w:rPr>
                <w:sz w:val="18"/>
                <w:szCs w:val="18"/>
              </w:rPr>
              <w:t>36° 49’ 56.0” (N)</w:t>
            </w:r>
          </w:p>
          <w:p w:rsidR="00BB31B2" w:rsidRDefault="00BB31B2" w:rsidP="00BB31B2">
            <w:pPr>
              <w:jc w:val="center"/>
              <w:rPr>
                <w:sz w:val="18"/>
                <w:szCs w:val="18"/>
              </w:rPr>
            </w:pPr>
            <w:r>
              <w:rPr>
                <w:sz w:val="18"/>
                <w:szCs w:val="18"/>
              </w:rPr>
              <w:t>76° 29’ 08.0”</w:t>
            </w:r>
            <w:r w:rsidRPr="006D09F2">
              <w:rPr>
                <w:sz w:val="18"/>
                <w:szCs w:val="18"/>
              </w:rPr>
              <w:t xml:space="preserve"> </w:t>
            </w:r>
            <w:r>
              <w:rPr>
                <w:sz w:val="18"/>
                <w:szCs w:val="18"/>
              </w:rPr>
              <w:t>(W)</w:t>
            </w:r>
          </w:p>
        </w:tc>
        <w:tc>
          <w:tcPr>
            <w:tcW w:w="2880" w:type="dxa"/>
            <w:vAlign w:val="center"/>
          </w:tcPr>
          <w:p w:rsidR="00BB31B2" w:rsidRDefault="00BB31B2" w:rsidP="002D3810">
            <w:pPr>
              <w:jc w:val="center"/>
              <w:rPr>
                <w:sz w:val="18"/>
                <w:szCs w:val="18"/>
              </w:rPr>
            </w:pPr>
            <w:r>
              <w:rPr>
                <w:sz w:val="18"/>
                <w:szCs w:val="18"/>
              </w:rPr>
              <w:t>1.77 km N of SR 337</w:t>
            </w:r>
          </w:p>
          <w:p w:rsidR="00BB31B2" w:rsidRDefault="00BB31B2" w:rsidP="002D3810">
            <w:pPr>
              <w:jc w:val="center"/>
              <w:rPr>
                <w:sz w:val="18"/>
                <w:szCs w:val="18"/>
              </w:rPr>
            </w:pPr>
            <w:r>
              <w:rPr>
                <w:sz w:val="18"/>
                <w:szCs w:val="18"/>
              </w:rPr>
              <w:t>Suffolk, VA</w:t>
            </w:r>
          </w:p>
        </w:tc>
        <w:tc>
          <w:tcPr>
            <w:tcW w:w="1676" w:type="dxa"/>
            <w:vAlign w:val="center"/>
          </w:tcPr>
          <w:p w:rsidR="00CE1996" w:rsidRDefault="00CE1996" w:rsidP="00CE1996">
            <w:pPr>
              <w:widowControl/>
              <w:jc w:val="center"/>
              <w:rPr>
                <w:sz w:val="18"/>
                <w:szCs w:val="18"/>
              </w:rPr>
            </w:pPr>
            <w:r>
              <w:rPr>
                <w:sz w:val="18"/>
                <w:szCs w:val="18"/>
              </w:rPr>
              <w:t>856.1125</w:t>
            </w:r>
          </w:p>
          <w:p w:rsidR="00CE1996" w:rsidRDefault="00CE1996" w:rsidP="00CE1996">
            <w:pPr>
              <w:widowControl/>
              <w:jc w:val="center"/>
              <w:rPr>
                <w:sz w:val="18"/>
                <w:szCs w:val="18"/>
              </w:rPr>
            </w:pPr>
            <w:r>
              <w:rPr>
                <w:sz w:val="18"/>
                <w:szCs w:val="18"/>
              </w:rPr>
              <w:t>856.5625</w:t>
            </w:r>
          </w:p>
          <w:p w:rsidR="00CE1996" w:rsidRDefault="00CE1996" w:rsidP="00CE1996">
            <w:pPr>
              <w:widowControl/>
              <w:jc w:val="center"/>
              <w:rPr>
                <w:sz w:val="18"/>
                <w:szCs w:val="18"/>
              </w:rPr>
            </w:pPr>
            <w:r>
              <w:rPr>
                <w:sz w:val="18"/>
                <w:szCs w:val="18"/>
              </w:rPr>
              <w:t>857.5625</w:t>
            </w:r>
          </w:p>
          <w:p w:rsidR="00CE1996" w:rsidRDefault="00CE1996" w:rsidP="00CE1996">
            <w:pPr>
              <w:widowControl/>
              <w:jc w:val="center"/>
              <w:rPr>
                <w:sz w:val="18"/>
                <w:szCs w:val="18"/>
              </w:rPr>
            </w:pPr>
            <w:r>
              <w:rPr>
                <w:sz w:val="18"/>
                <w:szCs w:val="18"/>
              </w:rPr>
              <w:t>858.1125</w:t>
            </w:r>
          </w:p>
          <w:p w:rsidR="00BB31B2" w:rsidRDefault="00CE1996" w:rsidP="00CE1996">
            <w:pPr>
              <w:jc w:val="center"/>
              <w:rPr>
                <w:sz w:val="18"/>
                <w:szCs w:val="18"/>
              </w:rPr>
            </w:pPr>
            <w:r>
              <w:rPr>
                <w:sz w:val="18"/>
                <w:szCs w:val="18"/>
              </w:rPr>
              <w:t>859.6125</w:t>
            </w:r>
          </w:p>
        </w:tc>
      </w:tr>
      <w:tr w:rsidR="00CE1996" w:rsidTr="00DC6E73">
        <w:trPr>
          <w:cantSplit/>
          <w:trHeight w:val="432"/>
        </w:trPr>
        <w:tc>
          <w:tcPr>
            <w:tcW w:w="902" w:type="dxa"/>
            <w:vAlign w:val="center"/>
          </w:tcPr>
          <w:p w:rsidR="00CE1996" w:rsidRDefault="002B0A49" w:rsidP="002D3810">
            <w:pPr>
              <w:jc w:val="center"/>
              <w:rPr>
                <w:sz w:val="18"/>
                <w:szCs w:val="18"/>
              </w:rPr>
            </w:pPr>
            <w:r>
              <w:rPr>
                <w:sz w:val="18"/>
                <w:szCs w:val="18"/>
              </w:rPr>
              <w:t>4</w:t>
            </w:r>
          </w:p>
        </w:tc>
        <w:tc>
          <w:tcPr>
            <w:tcW w:w="1080" w:type="dxa"/>
            <w:vAlign w:val="center"/>
          </w:tcPr>
          <w:p w:rsidR="00CE1996" w:rsidRDefault="002B0A49" w:rsidP="002D3810">
            <w:pPr>
              <w:jc w:val="center"/>
              <w:rPr>
                <w:sz w:val="18"/>
                <w:szCs w:val="18"/>
              </w:rPr>
            </w:pPr>
            <w:r>
              <w:rPr>
                <w:sz w:val="18"/>
                <w:szCs w:val="18"/>
              </w:rPr>
              <w:t>FX1</w:t>
            </w:r>
          </w:p>
        </w:tc>
        <w:tc>
          <w:tcPr>
            <w:tcW w:w="1530" w:type="dxa"/>
            <w:vAlign w:val="center"/>
          </w:tcPr>
          <w:p w:rsidR="00CE1996" w:rsidRDefault="002B0A49" w:rsidP="00BB31B2">
            <w:pPr>
              <w:jc w:val="center"/>
              <w:rPr>
                <w:sz w:val="18"/>
                <w:szCs w:val="18"/>
              </w:rPr>
            </w:pPr>
            <w:r>
              <w:rPr>
                <w:sz w:val="18"/>
                <w:szCs w:val="18"/>
              </w:rPr>
              <w:t>--</w:t>
            </w:r>
          </w:p>
        </w:tc>
        <w:tc>
          <w:tcPr>
            <w:tcW w:w="2880" w:type="dxa"/>
            <w:vAlign w:val="center"/>
          </w:tcPr>
          <w:p w:rsidR="00CE1996" w:rsidRDefault="002B0A49" w:rsidP="002D3810">
            <w:pPr>
              <w:jc w:val="center"/>
              <w:rPr>
                <w:sz w:val="18"/>
                <w:szCs w:val="18"/>
              </w:rPr>
            </w:pPr>
            <w:r>
              <w:rPr>
                <w:sz w:val="18"/>
                <w:szCs w:val="18"/>
              </w:rPr>
              <w:t>State of Virginia</w:t>
            </w:r>
          </w:p>
        </w:tc>
        <w:tc>
          <w:tcPr>
            <w:tcW w:w="1676" w:type="dxa"/>
            <w:vAlign w:val="center"/>
          </w:tcPr>
          <w:p w:rsidR="002B0A49" w:rsidRDefault="002B0A49" w:rsidP="002B0A49">
            <w:pPr>
              <w:widowControl/>
              <w:jc w:val="center"/>
              <w:rPr>
                <w:sz w:val="18"/>
                <w:szCs w:val="18"/>
              </w:rPr>
            </w:pPr>
            <w:r>
              <w:rPr>
                <w:sz w:val="18"/>
                <w:szCs w:val="18"/>
              </w:rPr>
              <w:t>811.1125</w:t>
            </w:r>
          </w:p>
          <w:p w:rsidR="002B0A49" w:rsidRDefault="002B0A49" w:rsidP="002B0A49">
            <w:pPr>
              <w:widowControl/>
              <w:jc w:val="center"/>
              <w:rPr>
                <w:sz w:val="18"/>
                <w:szCs w:val="18"/>
              </w:rPr>
            </w:pPr>
            <w:r>
              <w:rPr>
                <w:sz w:val="18"/>
                <w:szCs w:val="18"/>
              </w:rPr>
              <w:t>811.5625</w:t>
            </w:r>
          </w:p>
          <w:p w:rsidR="002B0A49" w:rsidRDefault="002B0A49" w:rsidP="002B0A49">
            <w:pPr>
              <w:widowControl/>
              <w:jc w:val="center"/>
              <w:rPr>
                <w:sz w:val="18"/>
                <w:szCs w:val="18"/>
              </w:rPr>
            </w:pPr>
            <w:r>
              <w:rPr>
                <w:sz w:val="18"/>
                <w:szCs w:val="18"/>
              </w:rPr>
              <w:t>812.5625</w:t>
            </w:r>
          </w:p>
          <w:p w:rsidR="002B0A49" w:rsidRDefault="002B0A49" w:rsidP="002B0A49">
            <w:pPr>
              <w:widowControl/>
              <w:jc w:val="center"/>
              <w:rPr>
                <w:sz w:val="18"/>
                <w:szCs w:val="18"/>
              </w:rPr>
            </w:pPr>
            <w:r>
              <w:rPr>
                <w:sz w:val="18"/>
                <w:szCs w:val="18"/>
              </w:rPr>
              <w:t>813.1125</w:t>
            </w:r>
          </w:p>
          <w:p w:rsidR="00CE1996" w:rsidRDefault="002B0A49" w:rsidP="002B0A49">
            <w:pPr>
              <w:jc w:val="center"/>
              <w:rPr>
                <w:sz w:val="18"/>
                <w:szCs w:val="18"/>
              </w:rPr>
            </w:pPr>
            <w:r>
              <w:rPr>
                <w:sz w:val="18"/>
                <w:szCs w:val="18"/>
              </w:rPr>
              <w:t>814.6125</w:t>
            </w:r>
          </w:p>
        </w:tc>
      </w:tr>
      <w:tr w:rsidR="002B0A49" w:rsidTr="00DC6E73">
        <w:trPr>
          <w:cantSplit/>
          <w:trHeight w:val="432"/>
        </w:trPr>
        <w:tc>
          <w:tcPr>
            <w:tcW w:w="902" w:type="dxa"/>
            <w:vAlign w:val="center"/>
          </w:tcPr>
          <w:p w:rsidR="002B0A49" w:rsidRDefault="00CC7902" w:rsidP="002D3810">
            <w:pPr>
              <w:jc w:val="center"/>
              <w:rPr>
                <w:sz w:val="18"/>
                <w:szCs w:val="18"/>
              </w:rPr>
            </w:pPr>
            <w:r>
              <w:rPr>
                <w:sz w:val="18"/>
                <w:szCs w:val="18"/>
              </w:rPr>
              <w:t>5</w:t>
            </w:r>
          </w:p>
        </w:tc>
        <w:tc>
          <w:tcPr>
            <w:tcW w:w="1080" w:type="dxa"/>
            <w:vAlign w:val="center"/>
          </w:tcPr>
          <w:p w:rsidR="002B0A49" w:rsidRDefault="00CC7902" w:rsidP="002D3810">
            <w:pPr>
              <w:jc w:val="center"/>
              <w:rPr>
                <w:sz w:val="18"/>
                <w:szCs w:val="18"/>
              </w:rPr>
            </w:pPr>
            <w:r>
              <w:rPr>
                <w:sz w:val="18"/>
                <w:szCs w:val="18"/>
              </w:rPr>
              <w:t>MO</w:t>
            </w:r>
          </w:p>
        </w:tc>
        <w:tc>
          <w:tcPr>
            <w:tcW w:w="1530" w:type="dxa"/>
            <w:vAlign w:val="center"/>
          </w:tcPr>
          <w:p w:rsidR="002B0A49" w:rsidRDefault="00CC7902" w:rsidP="00BB31B2">
            <w:pPr>
              <w:jc w:val="center"/>
              <w:rPr>
                <w:sz w:val="18"/>
                <w:szCs w:val="18"/>
              </w:rPr>
            </w:pPr>
            <w:r>
              <w:rPr>
                <w:sz w:val="18"/>
                <w:szCs w:val="18"/>
              </w:rPr>
              <w:t>--</w:t>
            </w:r>
          </w:p>
        </w:tc>
        <w:tc>
          <w:tcPr>
            <w:tcW w:w="2880" w:type="dxa"/>
            <w:vAlign w:val="center"/>
          </w:tcPr>
          <w:p w:rsidR="002B0A49" w:rsidRDefault="00CC7902" w:rsidP="00CC7902">
            <w:pPr>
              <w:jc w:val="center"/>
              <w:rPr>
                <w:sz w:val="18"/>
                <w:szCs w:val="18"/>
              </w:rPr>
            </w:pPr>
            <w:r>
              <w:rPr>
                <w:sz w:val="18"/>
                <w:szCs w:val="18"/>
              </w:rPr>
              <w:t>64 km radius around Location 1</w:t>
            </w:r>
          </w:p>
        </w:tc>
        <w:tc>
          <w:tcPr>
            <w:tcW w:w="1676" w:type="dxa"/>
            <w:vAlign w:val="center"/>
          </w:tcPr>
          <w:p w:rsidR="00CC7902" w:rsidRDefault="00CC7902" w:rsidP="00CC7902">
            <w:pPr>
              <w:widowControl/>
              <w:jc w:val="center"/>
              <w:rPr>
                <w:sz w:val="18"/>
                <w:szCs w:val="18"/>
              </w:rPr>
            </w:pPr>
            <w:r>
              <w:rPr>
                <w:sz w:val="18"/>
                <w:szCs w:val="18"/>
              </w:rPr>
              <w:t>811.1125</w:t>
            </w:r>
          </w:p>
          <w:p w:rsidR="00CC7902" w:rsidRDefault="00CC7902" w:rsidP="00CC7902">
            <w:pPr>
              <w:widowControl/>
              <w:jc w:val="center"/>
              <w:rPr>
                <w:sz w:val="18"/>
                <w:szCs w:val="18"/>
              </w:rPr>
            </w:pPr>
            <w:r>
              <w:rPr>
                <w:sz w:val="18"/>
                <w:szCs w:val="18"/>
              </w:rPr>
              <w:t>811.5625</w:t>
            </w:r>
          </w:p>
          <w:p w:rsidR="00CC7902" w:rsidRDefault="00CC7902" w:rsidP="00CC7902">
            <w:pPr>
              <w:widowControl/>
              <w:jc w:val="center"/>
              <w:rPr>
                <w:sz w:val="18"/>
                <w:szCs w:val="18"/>
              </w:rPr>
            </w:pPr>
            <w:r>
              <w:rPr>
                <w:sz w:val="18"/>
                <w:szCs w:val="18"/>
              </w:rPr>
              <w:t>812.5625</w:t>
            </w:r>
          </w:p>
          <w:p w:rsidR="00CC7902" w:rsidRDefault="00CC7902" w:rsidP="00CC7902">
            <w:pPr>
              <w:widowControl/>
              <w:jc w:val="center"/>
              <w:rPr>
                <w:sz w:val="18"/>
                <w:szCs w:val="18"/>
              </w:rPr>
            </w:pPr>
            <w:r>
              <w:rPr>
                <w:sz w:val="18"/>
                <w:szCs w:val="18"/>
              </w:rPr>
              <w:t>813.1125</w:t>
            </w:r>
          </w:p>
          <w:p w:rsidR="002B0A49" w:rsidRDefault="00CC7902" w:rsidP="00CC7902">
            <w:pPr>
              <w:jc w:val="center"/>
              <w:rPr>
                <w:sz w:val="18"/>
                <w:szCs w:val="18"/>
              </w:rPr>
            </w:pPr>
            <w:r>
              <w:rPr>
                <w:sz w:val="18"/>
                <w:szCs w:val="18"/>
              </w:rPr>
              <w:t>814.6125</w:t>
            </w:r>
          </w:p>
        </w:tc>
      </w:tr>
      <w:tr w:rsidR="00CC7902" w:rsidTr="00DC6E73">
        <w:trPr>
          <w:cantSplit/>
          <w:trHeight w:val="432"/>
        </w:trPr>
        <w:tc>
          <w:tcPr>
            <w:tcW w:w="902" w:type="dxa"/>
            <w:vAlign w:val="center"/>
          </w:tcPr>
          <w:p w:rsidR="00CC7902" w:rsidRDefault="00CC7902" w:rsidP="002D3810">
            <w:pPr>
              <w:jc w:val="center"/>
              <w:rPr>
                <w:sz w:val="18"/>
                <w:szCs w:val="18"/>
              </w:rPr>
            </w:pPr>
            <w:r>
              <w:rPr>
                <w:sz w:val="18"/>
                <w:szCs w:val="18"/>
              </w:rPr>
              <w:t>6</w:t>
            </w:r>
          </w:p>
        </w:tc>
        <w:tc>
          <w:tcPr>
            <w:tcW w:w="1080" w:type="dxa"/>
            <w:vAlign w:val="center"/>
          </w:tcPr>
          <w:p w:rsidR="00CC7902" w:rsidRDefault="00CC7902" w:rsidP="002D3810">
            <w:pPr>
              <w:jc w:val="center"/>
              <w:rPr>
                <w:sz w:val="18"/>
                <w:szCs w:val="18"/>
              </w:rPr>
            </w:pPr>
            <w:r>
              <w:rPr>
                <w:sz w:val="18"/>
                <w:szCs w:val="18"/>
              </w:rPr>
              <w:t>FB2</w:t>
            </w:r>
          </w:p>
        </w:tc>
        <w:tc>
          <w:tcPr>
            <w:tcW w:w="1530" w:type="dxa"/>
            <w:vAlign w:val="center"/>
          </w:tcPr>
          <w:p w:rsidR="00CC7902" w:rsidRDefault="00CC7902" w:rsidP="00CC7902">
            <w:pPr>
              <w:widowControl/>
              <w:jc w:val="center"/>
              <w:rPr>
                <w:sz w:val="18"/>
                <w:szCs w:val="18"/>
              </w:rPr>
            </w:pPr>
            <w:r>
              <w:rPr>
                <w:sz w:val="18"/>
                <w:szCs w:val="18"/>
              </w:rPr>
              <w:t>36° 43’ 59.8” (N)</w:t>
            </w:r>
          </w:p>
          <w:p w:rsidR="00CC7902" w:rsidRDefault="00CC7902" w:rsidP="00CC7902">
            <w:pPr>
              <w:jc w:val="center"/>
              <w:rPr>
                <w:sz w:val="18"/>
                <w:szCs w:val="18"/>
              </w:rPr>
            </w:pPr>
            <w:r>
              <w:rPr>
                <w:sz w:val="18"/>
                <w:szCs w:val="18"/>
              </w:rPr>
              <w:t>76° 35’ 20.9”</w:t>
            </w:r>
            <w:r w:rsidRPr="006D09F2">
              <w:rPr>
                <w:sz w:val="18"/>
                <w:szCs w:val="18"/>
              </w:rPr>
              <w:t xml:space="preserve"> </w:t>
            </w:r>
            <w:r>
              <w:rPr>
                <w:sz w:val="18"/>
                <w:szCs w:val="18"/>
              </w:rPr>
              <w:t>(W)</w:t>
            </w:r>
          </w:p>
        </w:tc>
        <w:tc>
          <w:tcPr>
            <w:tcW w:w="2880" w:type="dxa"/>
            <w:vAlign w:val="center"/>
          </w:tcPr>
          <w:p w:rsidR="00CC7902" w:rsidRDefault="00CC7902" w:rsidP="00CC7902">
            <w:pPr>
              <w:jc w:val="center"/>
              <w:rPr>
                <w:sz w:val="18"/>
                <w:szCs w:val="18"/>
              </w:rPr>
            </w:pPr>
            <w:r>
              <w:rPr>
                <w:sz w:val="18"/>
                <w:szCs w:val="18"/>
              </w:rPr>
              <w:t>300 Kings Fork Rd,</w:t>
            </w:r>
          </w:p>
          <w:p w:rsidR="00CC7902" w:rsidRDefault="00CC7902" w:rsidP="00CC7902">
            <w:pPr>
              <w:jc w:val="center"/>
              <w:rPr>
                <w:sz w:val="18"/>
                <w:szCs w:val="18"/>
              </w:rPr>
            </w:pPr>
            <w:r>
              <w:rPr>
                <w:sz w:val="18"/>
                <w:szCs w:val="18"/>
              </w:rPr>
              <w:t>Suffolk, VA</w:t>
            </w:r>
          </w:p>
        </w:tc>
        <w:tc>
          <w:tcPr>
            <w:tcW w:w="1676" w:type="dxa"/>
            <w:vAlign w:val="center"/>
          </w:tcPr>
          <w:p w:rsidR="00F93591" w:rsidRDefault="00F93591" w:rsidP="00F93591">
            <w:pPr>
              <w:widowControl/>
              <w:jc w:val="center"/>
              <w:rPr>
                <w:sz w:val="18"/>
                <w:szCs w:val="18"/>
              </w:rPr>
            </w:pPr>
            <w:r>
              <w:rPr>
                <w:sz w:val="18"/>
                <w:szCs w:val="18"/>
              </w:rPr>
              <w:t>856.1125</w:t>
            </w:r>
          </w:p>
          <w:p w:rsidR="00F93591" w:rsidRDefault="00F93591" w:rsidP="00F93591">
            <w:pPr>
              <w:widowControl/>
              <w:jc w:val="center"/>
              <w:rPr>
                <w:sz w:val="18"/>
                <w:szCs w:val="18"/>
              </w:rPr>
            </w:pPr>
            <w:r>
              <w:rPr>
                <w:sz w:val="18"/>
                <w:szCs w:val="18"/>
              </w:rPr>
              <w:t>856.5625</w:t>
            </w:r>
          </w:p>
          <w:p w:rsidR="00F93591" w:rsidRDefault="00F93591" w:rsidP="00F93591">
            <w:pPr>
              <w:widowControl/>
              <w:jc w:val="center"/>
              <w:rPr>
                <w:sz w:val="18"/>
                <w:szCs w:val="18"/>
              </w:rPr>
            </w:pPr>
            <w:r>
              <w:rPr>
                <w:sz w:val="18"/>
                <w:szCs w:val="18"/>
              </w:rPr>
              <w:t>857.5625</w:t>
            </w:r>
          </w:p>
          <w:p w:rsidR="00960880" w:rsidRDefault="00960880" w:rsidP="00F93591">
            <w:pPr>
              <w:widowControl/>
              <w:jc w:val="center"/>
              <w:rPr>
                <w:sz w:val="18"/>
                <w:szCs w:val="18"/>
              </w:rPr>
            </w:pPr>
            <w:r>
              <w:rPr>
                <w:sz w:val="18"/>
                <w:szCs w:val="18"/>
              </w:rPr>
              <w:t>857.9375</w:t>
            </w:r>
          </w:p>
          <w:p w:rsidR="00F93591" w:rsidRDefault="00F93591" w:rsidP="00F93591">
            <w:pPr>
              <w:widowControl/>
              <w:jc w:val="center"/>
              <w:rPr>
                <w:sz w:val="18"/>
                <w:szCs w:val="18"/>
              </w:rPr>
            </w:pPr>
            <w:r>
              <w:rPr>
                <w:sz w:val="18"/>
                <w:szCs w:val="18"/>
              </w:rPr>
              <w:t>858.1125</w:t>
            </w:r>
          </w:p>
          <w:p w:rsidR="00F93591" w:rsidRDefault="00F93591" w:rsidP="00F93591">
            <w:pPr>
              <w:widowControl/>
              <w:jc w:val="center"/>
              <w:rPr>
                <w:sz w:val="18"/>
                <w:szCs w:val="18"/>
              </w:rPr>
            </w:pPr>
            <w:r>
              <w:rPr>
                <w:sz w:val="18"/>
                <w:szCs w:val="18"/>
              </w:rPr>
              <w:t>858.4375</w:t>
            </w:r>
          </w:p>
          <w:p w:rsidR="00CC7902" w:rsidRDefault="00F93591" w:rsidP="00F93591">
            <w:pPr>
              <w:jc w:val="center"/>
              <w:rPr>
                <w:sz w:val="18"/>
                <w:szCs w:val="18"/>
              </w:rPr>
            </w:pPr>
            <w:r>
              <w:rPr>
                <w:sz w:val="18"/>
                <w:szCs w:val="18"/>
              </w:rPr>
              <w:t>859.6125</w:t>
            </w:r>
          </w:p>
        </w:tc>
      </w:tr>
      <w:tr w:rsidR="00F93591" w:rsidTr="00DC6E73">
        <w:trPr>
          <w:cantSplit/>
          <w:trHeight w:val="432"/>
        </w:trPr>
        <w:tc>
          <w:tcPr>
            <w:tcW w:w="902" w:type="dxa"/>
            <w:vAlign w:val="center"/>
          </w:tcPr>
          <w:p w:rsidR="00F93591" w:rsidRDefault="00F93591" w:rsidP="002D3810">
            <w:pPr>
              <w:jc w:val="center"/>
              <w:rPr>
                <w:sz w:val="18"/>
                <w:szCs w:val="18"/>
              </w:rPr>
            </w:pPr>
            <w:r>
              <w:rPr>
                <w:sz w:val="18"/>
                <w:szCs w:val="18"/>
              </w:rPr>
              <w:t>7</w:t>
            </w:r>
          </w:p>
        </w:tc>
        <w:tc>
          <w:tcPr>
            <w:tcW w:w="1080" w:type="dxa"/>
            <w:vAlign w:val="center"/>
          </w:tcPr>
          <w:p w:rsidR="00F93591" w:rsidRDefault="00F93591" w:rsidP="002D3810">
            <w:pPr>
              <w:jc w:val="center"/>
              <w:rPr>
                <w:sz w:val="18"/>
                <w:szCs w:val="18"/>
              </w:rPr>
            </w:pPr>
            <w:r>
              <w:rPr>
                <w:sz w:val="18"/>
                <w:szCs w:val="18"/>
              </w:rPr>
              <w:t>FB2</w:t>
            </w:r>
          </w:p>
        </w:tc>
        <w:tc>
          <w:tcPr>
            <w:tcW w:w="1530" w:type="dxa"/>
            <w:vAlign w:val="center"/>
          </w:tcPr>
          <w:p w:rsidR="00F93591" w:rsidRDefault="00F93591" w:rsidP="00F93591">
            <w:pPr>
              <w:widowControl/>
              <w:jc w:val="center"/>
              <w:rPr>
                <w:sz w:val="18"/>
                <w:szCs w:val="18"/>
              </w:rPr>
            </w:pPr>
            <w:r>
              <w:rPr>
                <w:sz w:val="18"/>
                <w:szCs w:val="18"/>
              </w:rPr>
              <w:t>36° 38’ 12.5” (N)</w:t>
            </w:r>
          </w:p>
          <w:p w:rsidR="00F93591" w:rsidRDefault="00F93591" w:rsidP="00F93591">
            <w:pPr>
              <w:jc w:val="center"/>
              <w:rPr>
                <w:sz w:val="18"/>
                <w:szCs w:val="18"/>
              </w:rPr>
            </w:pPr>
            <w:r>
              <w:rPr>
                <w:sz w:val="18"/>
                <w:szCs w:val="18"/>
              </w:rPr>
              <w:t>76° 48’ 06.4”</w:t>
            </w:r>
            <w:r w:rsidRPr="006D09F2">
              <w:rPr>
                <w:sz w:val="18"/>
                <w:szCs w:val="18"/>
              </w:rPr>
              <w:t xml:space="preserve"> </w:t>
            </w:r>
            <w:r>
              <w:rPr>
                <w:sz w:val="18"/>
                <w:szCs w:val="18"/>
              </w:rPr>
              <w:t>(W)</w:t>
            </w:r>
          </w:p>
        </w:tc>
        <w:tc>
          <w:tcPr>
            <w:tcW w:w="2880" w:type="dxa"/>
            <w:vAlign w:val="center"/>
          </w:tcPr>
          <w:p w:rsidR="00F93591" w:rsidRDefault="00F93591" w:rsidP="00CC7902">
            <w:pPr>
              <w:jc w:val="center"/>
              <w:rPr>
                <w:sz w:val="18"/>
                <w:szCs w:val="18"/>
              </w:rPr>
            </w:pPr>
            <w:r>
              <w:rPr>
                <w:sz w:val="18"/>
                <w:szCs w:val="18"/>
              </w:rPr>
              <w:t>Greenwood Rd,</w:t>
            </w:r>
          </w:p>
          <w:p w:rsidR="00F93591" w:rsidRDefault="00F93591" w:rsidP="00CC7902">
            <w:pPr>
              <w:jc w:val="center"/>
              <w:rPr>
                <w:sz w:val="18"/>
                <w:szCs w:val="18"/>
              </w:rPr>
            </w:pPr>
            <w:r>
              <w:rPr>
                <w:sz w:val="18"/>
                <w:szCs w:val="18"/>
              </w:rPr>
              <w:t>Suffolk, VA</w:t>
            </w:r>
          </w:p>
        </w:tc>
        <w:tc>
          <w:tcPr>
            <w:tcW w:w="1676" w:type="dxa"/>
            <w:vAlign w:val="center"/>
          </w:tcPr>
          <w:p w:rsidR="00F93591" w:rsidRDefault="00F93591" w:rsidP="00F93591">
            <w:pPr>
              <w:widowControl/>
              <w:jc w:val="center"/>
              <w:rPr>
                <w:sz w:val="18"/>
                <w:szCs w:val="18"/>
              </w:rPr>
            </w:pPr>
            <w:r>
              <w:rPr>
                <w:sz w:val="18"/>
                <w:szCs w:val="18"/>
              </w:rPr>
              <w:t>856.1125</w:t>
            </w:r>
          </w:p>
          <w:p w:rsidR="00F93591" w:rsidRDefault="00F93591" w:rsidP="00F93591">
            <w:pPr>
              <w:widowControl/>
              <w:jc w:val="center"/>
              <w:rPr>
                <w:sz w:val="18"/>
                <w:szCs w:val="18"/>
              </w:rPr>
            </w:pPr>
            <w:r>
              <w:rPr>
                <w:sz w:val="18"/>
                <w:szCs w:val="18"/>
              </w:rPr>
              <w:t>856.5625</w:t>
            </w:r>
          </w:p>
          <w:p w:rsidR="00F93591" w:rsidRDefault="00F93591" w:rsidP="00F93591">
            <w:pPr>
              <w:widowControl/>
              <w:jc w:val="center"/>
              <w:rPr>
                <w:sz w:val="18"/>
                <w:szCs w:val="18"/>
              </w:rPr>
            </w:pPr>
            <w:r>
              <w:rPr>
                <w:sz w:val="18"/>
                <w:szCs w:val="18"/>
              </w:rPr>
              <w:t>857.5625</w:t>
            </w:r>
          </w:p>
          <w:p w:rsidR="00F93591" w:rsidRDefault="00F93591" w:rsidP="00F93591">
            <w:pPr>
              <w:widowControl/>
              <w:jc w:val="center"/>
              <w:rPr>
                <w:sz w:val="18"/>
                <w:szCs w:val="18"/>
              </w:rPr>
            </w:pPr>
            <w:r>
              <w:rPr>
                <w:sz w:val="18"/>
                <w:szCs w:val="18"/>
              </w:rPr>
              <w:t>858.1125</w:t>
            </w:r>
          </w:p>
          <w:p w:rsidR="00F93591" w:rsidRDefault="00F93591" w:rsidP="00F93591">
            <w:pPr>
              <w:jc w:val="center"/>
              <w:rPr>
                <w:sz w:val="18"/>
                <w:szCs w:val="18"/>
              </w:rPr>
            </w:pPr>
            <w:r>
              <w:rPr>
                <w:sz w:val="18"/>
                <w:szCs w:val="18"/>
              </w:rPr>
              <w:t>859.6125</w:t>
            </w:r>
          </w:p>
        </w:tc>
      </w:tr>
      <w:tr w:rsidR="00DC6E73" w:rsidTr="00DC6E73">
        <w:trPr>
          <w:cantSplit/>
          <w:trHeight w:val="432"/>
        </w:trPr>
        <w:tc>
          <w:tcPr>
            <w:tcW w:w="902" w:type="dxa"/>
            <w:vAlign w:val="center"/>
          </w:tcPr>
          <w:p w:rsidR="00DC6E73" w:rsidRDefault="00DC6E73" w:rsidP="002D3810">
            <w:pPr>
              <w:jc w:val="center"/>
              <w:rPr>
                <w:sz w:val="18"/>
                <w:szCs w:val="18"/>
              </w:rPr>
            </w:pPr>
            <w:r>
              <w:rPr>
                <w:sz w:val="18"/>
                <w:szCs w:val="18"/>
              </w:rPr>
              <w:t>8</w:t>
            </w:r>
          </w:p>
        </w:tc>
        <w:tc>
          <w:tcPr>
            <w:tcW w:w="1080" w:type="dxa"/>
            <w:vAlign w:val="center"/>
          </w:tcPr>
          <w:p w:rsidR="00DC6E73" w:rsidRDefault="00DC6E73" w:rsidP="002D3810">
            <w:pPr>
              <w:jc w:val="center"/>
              <w:rPr>
                <w:sz w:val="18"/>
                <w:szCs w:val="18"/>
              </w:rPr>
            </w:pPr>
            <w:r>
              <w:rPr>
                <w:sz w:val="18"/>
                <w:szCs w:val="18"/>
              </w:rPr>
              <w:t>FB2</w:t>
            </w:r>
          </w:p>
        </w:tc>
        <w:tc>
          <w:tcPr>
            <w:tcW w:w="1530" w:type="dxa"/>
            <w:vAlign w:val="center"/>
          </w:tcPr>
          <w:p w:rsidR="00DC6E73" w:rsidRDefault="00DC6E73" w:rsidP="00DC6E73">
            <w:pPr>
              <w:widowControl/>
              <w:jc w:val="center"/>
              <w:rPr>
                <w:sz w:val="18"/>
                <w:szCs w:val="18"/>
              </w:rPr>
            </w:pPr>
            <w:r>
              <w:rPr>
                <w:sz w:val="18"/>
                <w:szCs w:val="18"/>
              </w:rPr>
              <w:t>36° 47’ 07.3” (N)</w:t>
            </w:r>
          </w:p>
          <w:p w:rsidR="00DC6E73" w:rsidRDefault="00DC6E73" w:rsidP="00DC6E73">
            <w:pPr>
              <w:jc w:val="center"/>
              <w:rPr>
                <w:sz w:val="18"/>
                <w:szCs w:val="18"/>
              </w:rPr>
            </w:pPr>
            <w:r>
              <w:rPr>
                <w:sz w:val="18"/>
                <w:szCs w:val="18"/>
              </w:rPr>
              <w:t>76° 39’ 17.3”</w:t>
            </w:r>
            <w:r w:rsidRPr="006D09F2">
              <w:rPr>
                <w:sz w:val="18"/>
                <w:szCs w:val="18"/>
              </w:rPr>
              <w:t xml:space="preserve"> </w:t>
            </w:r>
            <w:r>
              <w:rPr>
                <w:sz w:val="18"/>
                <w:szCs w:val="18"/>
              </w:rPr>
              <w:t>(W)</w:t>
            </w:r>
          </w:p>
        </w:tc>
        <w:tc>
          <w:tcPr>
            <w:tcW w:w="2880" w:type="dxa"/>
            <w:vAlign w:val="center"/>
          </w:tcPr>
          <w:p w:rsidR="00DC6E73" w:rsidRDefault="00DC6E73" w:rsidP="00CC7902">
            <w:pPr>
              <w:jc w:val="center"/>
              <w:rPr>
                <w:sz w:val="18"/>
                <w:szCs w:val="18"/>
              </w:rPr>
            </w:pPr>
            <w:r>
              <w:rPr>
                <w:sz w:val="18"/>
                <w:szCs w:val="18"/>
              </w:rPr>
              <w:t>4441 Pruden Rd,</w:t>
            </w:r>
          </w:p>
          <w:p w:rsidR="00DC6E73" w:rsidRDefault="00DC6E73" w:rsidP="00CC7902">
            <w:pPr>
              <w:jc w:val="center"/>
              <w:rPr>
                <w:sz w:val="18"/>
                <w:szCs w:val="18"/>
              </w:rPr>
            </w:pPr>
            <w:r>
              <w:rPr>
                <w:sz w:val="18"/>
                <w:szCs w:val="18"/>
              </w:rPr>
              <w:t>Suffolk, VA</w:t>
            </w:r>
          </w:p>
        </w:tc>
        <w:tc>
          <w:tcPr>
            <w:tcW w:w="1676" w:type="dxa"/>
            <w:vAlign w:val="center"/>
          </w:tcPr>
          <w:p w:rsidR="00DC6E73" w:rsidRDefault="00DC6E73" w:rsidP="00DC6E73">
            <w:pPr>
              <w:widowControl/>
              <w:jc w:val="center"/>
              <w:rPr>
                <w:sz w:val="18"/>
                <w:szCs w:val="18"/>
              </w:rPr>
            </w:pPr>
            <w:r>
              <w:rPr>
                <w:sz w:val="18"/>
                <w:szCs w:val="18"/>
              </w:rPr>
              <w:t>856.1125</w:t>
            </w:r>
          </w:p>
          <w:p w:rsidR="00DC6E73" w:rsidRDefault="00DC6E73" w:rsidP="00DC6E73">
            <w:pPr>
              <w:widowControl/>
              <w:jc w:val="center"/>
              <w:rPr>
                <w:sz w:val="18"/>
                <w:szCs w:val="18"/>
              </w:rPr>
            </w:pPr>
            <w:r>
              <w:rPr>
                <w:sz w:val="18"/>
                <w:szCs w:val="18"/>
              </w:rPr>
              <w:t>856.5625</w:t>
            </w:r>
          </w:p>
          <w:p w:rsidR="00DC6E73" w:rsidRDefault="00DC6E73" w:rsidP="00DC6E73">
            <w:pPr>
              <w:widowControl/>
              <w:jc w:val="center"/>
              <w:rPr>
                <w:sz w:val="18"/>
                <w:szCs w:val="18"/>
              </w:rPr>
            </w:pPr>
            <w:r>
              <w:rPr>
                <w:sz w:val="18"/>
                <w:szCs w:val="18"/>
              </w:rPr>
              <w:t>857.5625</w:t>
            </w:r>
          </w:p>
          <w:p w:rsidR="00DC6E73" w:rsidRDefault="00DC6E73" w:rsidP="00DC6E73">
            <w:pPr>
              <w:widowControl/>
              <w:jc w:val="center"/>
              <w:rPr>
                <w:sz w:val="18"/>
                <w:szCs w:val="18"/>
              </w:rPr>
            </w:pPr>
            <w:r>
              <w:rPr>
                <w:sz w:val="18"/>
                <w:szCs w:val="18"/>
              </w:rPr>
              <w:t>858.1125</w:t>
            </w:r>
          </w:p>
          <w:p w:rsidR="00DC6E73" w:rsidRDefault="00DC6E73" w:rsidP="00DC6E73">
            <w:pPr>
              <w:jc w:val="center"/>
              <w:rPr>
                <w:sz w:val="18"/>
                <w:szCs w:val="18"/>
              </w:rPr>
            </w:pPr>
            <w:r>
              <w:rPr>
                <w:sz w:val="18"/>
                <w:szCs w:val="18"/>
              </w:rPr>
              <w:t>859.6125</w:t>
            </w:r>
          </w:p>
        </w:tc>
      </w:tr>
      <w:tr w:rsidR="00960880" w:rsidTr="00DC6E73">
        <w:trPr>
          <w:cantSplit/>
          <w:trHeight w:val="432"/>
        </w:trPr>
        <w:tc>
          <w:tcPr>
            <w:tcW w:w="902" w:type="dxa"/>
            <w:vAlign w:val="center"/>
          </w:tcPr>
          <w:p w:rsidR="00960880" w:rsidRDefault="00960880" w:rsidP="002D3810">
            <w:pPr>
              <w:jc w:val="center"/>
              <w:rPr>
                <w:sz w:val="18"/>
                <w:szCs w:val="18"/>
              </w:rPr>
            </w:pPr>
            <w:r>
              <w:rPr>
                <w:sz w:val="18"/>
                <w:szCs w:val="18"/>
              </w:rPr>
              <w:t>9</w:t>
            </w:r>
          </w:p>
        </w:tc>
        <w:tc>
          <w:tcPr>
            <w:tcW w:w="1080" w:type="dxa"/>
            <w:vAlign w:val="center"/>
          </w:tcPr>
          <w:p w:rsidR="00960880" w:rsidRDefault="00960880" w:rsidP="002D3810">
            <w:pPr>
              <w:jc w:val="center"/>
              <w:rPr>
                <w:sz w:val="18"/>
                <w:szCs w:val="18"/>
              </w:rPr>
            </w:pPr>
            <w:r>
              <w:rPr>
                <w:sz w:val="18"/>
                <w:szCs w:val="18"/>
              </w:rPr>
              <w:t>MO</w:t>
            </w:r>
          </w:p>
        </w:tc>
        <w:tc>
          <w:tcPr>
            <w:tcW w:w="1530" w:type="dxa"/>
            <w:vAlign w:val="center"/>
          </w:tcPr>
          <w:p w:rsidR="00960880" w:rsidRDefault="00960880" w:rsidP="00DC6E73">
            <w:pPr>
              <w:jc w:val="center"/>
              <w:rPr>
                <w:sz w:val="18"/>
                <w:szCs w:val="18"/>
              </w:rPr>
            </w:pPr>
            <w:r>
              <w:rPr>
                <w:sz w:val="18"/>
                <w:szCs w:val="18"/>
              </w:rPr>
              <w:t>--</w:t>
            </w:r>
          </w:p>
        </w:tc>
        <w:tc>
          <w:tcPr>
            <w:tcW w:w="2880" w:type="dxa"/>
            <w:vAlign w:val="center"/>
          </w:tcPr>
          <w:p w:rsidR="00960880" w:rsidRDefault="00960880" w:rsidP="00CC7902">
            <w:pPr>
              <w:jc w:val="center"/>
              <w:rPr>
                <w:sz w:val="18"/>
                <w:szCs w:val="18"/>
              </w:rPr>
            </w:pPr>
            <w:r>
              <w:rPr>
                <w:sz w:val="18"/>
                <w:szCs w:val="18"/>
              </w:rPr>
              <w:t>60 km radius around Location 6</w:t>
            </w:r>
          </w:p>
        </w:tc>
        <w:tc>
          <w:tcPr>
            <w:tcW w:w="1676" w:type="dxa"/>
            <w:vAlign w:val="center"/>
          </w:tcPr>
          <w:p w:rsidR="00960880" w:rsidRDefault="00960880" w:rsidP="00960880">
            <w:pPr>
              <w:widowControl/>
              <w:jc w:val="center"/>
              <w:rPr>
                <w:sz w:val="18"/>
                <w:szCs w:val="18"/>
              </w:rPr>
            </w:pPr>
            <w:r>
              <w:rPr>
                <w:sz w:val="18"/>
                <w:szCs w:val="18"/>
              </w:rPr>
              <w:t>811.1125</w:t>
            </w:r>
          </w:p>
          <w:p w:rsidR="00960880" w:rsidRDefault="00960880" w:rsidP="00960880">
            <w:pPr>
              <w:widowControl/>
              <w:jc w:val="center"/>
              <w:rPr>
                <w:sz w:val="18"/>
                <w:szCs w:val="18"/>
              </w:rPr>
            </w:pPr>
            <w:r>
              <w:rPr>
                <w:sz w:val="18"/>
                <w:szCs w:val="18"/>
              </w:rPr>
              <w:t>811.5625</w:t>
            </w:r>
          </w:p>
          <w:p w:rsidR="00960880" w:rsidRDefault="00960880" w:rsidP="00960880">
            <w:pPr>
              <w:widowControl/>
              <w:jc w:val="center"/>
              <w:rPr>
                <w:sz w:val="18"/>
                <w:szCs w:val="18"/>
              </w:rPr>
            </w:pPr>
            <w:r>
              <w:rPr>
                <w:sz w:val="18"/>
                <w:szCs w:val="18"/>
              </w:rPr>
              <w:t>812.5625</w:t>
            </w:r>
          </w:p>
          <w:p w:rsidR="00960880" w:rsidRDefault="00960880" w:rsidP="00960880">
            <w:pPr>
              <w:widowControl/>
              <w:jc w:val="center"/>
              <w:rPr>
                <w:sz w:val="18"/>
                <w:szCs w:val="18"/>
              </w:rPr>
            </w:pPr>
            <w:r>
              <w:rPr>
                <w:sz w:val="18"/>
                <w:szCs w:val="18"/>
              </w:rPr>
              <w:t>813.1125</w:t>
            </w:r>
          </w:p>
          <w:p w:rsidR="00960880" w:rsidRDefault="00960880" w:rsidP="00960880">
            <w:pPr>
              <w:jc w:val="center"/>
              <w:rPr>
                <w:sz w:val="18"/>
                <w:szCs w:val="18"/>
              </w:rPr>
            </w:pPr>
            <w:r>
              <w:rPr>
                <w:sz w:val="18"/>
                <w:szCs w:val="18"/>
              </w:rPr>
              <w:t>814.6125</w:t>
            </w:r>
          </w:p>
        </w:tc>
      </w:tr>
    </w:tbl>
    <w:p w:rsidR="00A25CF6" w:rsidRDefault="00A25CF6" w:rsidP="00A25CF6">
      <w:pPr>
        <w:spacing w:after="0" w:line="240" w:lineRule="auto"/>
        <w:rPr>
          <w:rFonts w:ascii="Times New Roman" w:eastAsia="Times New Roman" w:hAnsi="Times New Roman" w:cs="Times New Roman"/>
          <w:kern w:val="28"/>
          <w:szCs w:val="20"/>
        </w:rPr>
      </w:pPr>
    </w:p>
    <w:p w:rsidR="007C7053" w:rsidRDefault="007C7053" w:rsidP="00960880">
      <w:pPr>
        <w:widowControl w:val="0"/>
        <w:spacing w:after="0" w:line="240" w:lineRule="auto"/>
        <w:rPr>
          <w:rFonts w:ascii="Times New Roman" w:eastAsia="Times New Roman" w:hAnsi="Times New Roman" w:cs="Times New Roman"/>
          <w:kern w:val="28"/>
          <w:szCs w:val="20"/>
        </w:rPr>
      </w:pPr>
    </w:p>
    <w:p w:rsidR="00960880" w:rsidRPr="00117E1E" w:rsidRDefault="00117E1E" w:rsidP="00960880">
      <w:pPr>
        <w:widowControl w:val="0"/>
        <w:spacing w:after="0" w:line="240" w:lineRule="auto"/>
        <w:rPr>
          <w:rFonts w:ascii="Times New Roman" w:eastAsia="Times New Roman" w:hAnsi="Times New Roman" w:cs="Times New Roman"/>
          <w:kern w:val="28"/>
          <w:szCs w:val="20"/>
        </w:rPr>
      </w:pPr>
      <w:r w:rsidRPr="00117E1E">
        <w:rPr>
          <w:rFonts w:ascii="Times New Roman" w:eastAsia="Times New Roman" w:hAnsi="Times New Roman" w:cs="Times New Roman"/>
          <w:kern w:val="28"/>
          <w:szCs w:val="20"/>
          <w:u w:val="single"/>
        </w:rPr>
        <w:t xml:space="preserve">Frequencies </w:t>
      </w:r>
      <w:r w:rsidR="00C27C1D">
        <w:rPr>
          <w:rFonts w:ascii="Times New Roman" w:eastAsia="Times New Roman" w:hAnsi="Times New Roman" w:cs="Times New Roman"/>
          <w:kern w:val="28"/>
          <w:szCs w:val="20"/>
          <w:u w:val="single"/>
        </w:rPr>
        <w:t xml:space="preserve">DISMISSED </w:t>
      </w:r>
      <w:r>
        <w:rPr>
          <w:rFonts w:ascii="Times New Roman" w:eastAsia="Times New Roman" w:hAnsi="Times New Roman" w:cs="Times New Roman"/>
          <w:kern w:val="28"/>
          <w:szCs w:val="20"/>
          <w:u w:val="single"/>
        </w:rPr>
        <w:t xml:space="preserve">because </w:t>
      </w:r>
      <w:r w:rsidRPr="00117E1E">
        <w:rPr>
          <w:rFonts w:ascii="Times New Roman" w:eastAsia="Times New Roman" w:hAnsi="Times New Roman" w:cs="Times New Roman"/>
          <w:kern w:val="28"/>
          <w:szCs w:val="20"/>
          <w:u w:val="single"/>
        </w:rPr>
        <w:t xml:space="preserve">waiver of the short-spacing table in Section 90.621(b)(4) is </w:t>
      </w:r>
      <w:r w:rsidR="00065BA3">
        <w:rPr>
          <w:rFonts w:ascii="Times New Roman" w:eastAsia="Times New Roman" w:hAnsi="Times New Roman" w:cs="Times New Roman"/>
          <w:kern w:val="28"/>
          <w:szCs w:val="20"/>
          <w:u w:val="single"/>
        </w:rPr>
        <w:t>DENIED</w:t>
      </w:r>
      <w:r>
        <w:rPr>
          <w:rFonts w:ascii="Times New Roman" w:eastAsia="Times New Roman" w:hAnsi="Times New Roman" w:cs="Times New Roman"/>
          <w:kern w:val="28"/>
          <w:szCs w:val="20"/>
        </w:rPr>
        <w:t>.</w:t>
      </w:r>
    </w:p>
    <w:p w:rsidR="007C7053" w:rsidRDefault="007C7053" w:rsidP="007C7053">
      <w:pPr>
        <w:widowControl w:val="0"/>
        <w:spacing w:after="120" w:line="240" w:lineRule="auto"/>
        <w:ind w:left="720"/>
        <w:jc w:val="center"/>
        <w:rPr>
          <w:rFonts w:ascii="Times New Roman" w:eastAsia="Times New Roman" w:hAnsi="Times New Roman" w:cs="Times New Roman"/>
          <w:kern w:val="28"/>
        </w:rPr>
      </w:pPr>
    </w:p>
    <w:tbl>
      <w:tblPr>
        <w:tblStyle w:val="TableGrid"/>
        <w:tblW w:w="8068" w:type="dxa"/>
        <w:tblLayout w:type="fixed"/>
        <w:tblCellMar>
          <w:left w:w="58" w:type="dxa"/>
          <w:right w:w="58" w:type="dxa"/>
        </w:tblCellMar>
        <w:tblLook w:val="01E0" w:firstRow="1" w:lastRow="1" w:firstColumn="1" w:lastColumn="1" w:noHBand="0" w:noVBand="0"/>
      </w:tblPr>
      <w:tblGrid>
        <w:gridCol w:w="902"/>
        <w:gridCol w:w="1080"/>
        <w:gridCol w:w="1530"/>
        <w:gridCol w:w="2880"/>
        <w:gridCol w:w="1676"/>
      </w:tblGrid>
      <w:tr w:rsidR="00117E1E" w:rsidTr="002D3810">
        <w:trPr>
          <w:cantSplit/>
          <w:tblHeader/>
        </w:trPr>
        <w:tc>
          <w:tcPr>
            <w:tcW w:w="902" w:type="dxa"/>
            <w:shd w:val="clear" w:color="auto" w:fill="E6E6E6"/>
          </w:tcPr>
          <w:p w:rsidR="00117E1E" w:rsidRDefault="00117E1E" w:rsidP="002D3810">
            <w:pPr>
              <w:widowControl/>
              <w:jc w:val="center"/>
              <w:rPr>
                <w:sz w:val="18"/>
                <w:szCs w:val="18"/>
              </w:rPr>
            </w:pPr>
            <w:r>
              <w:rPr>
                <w:sz w:val="18"/>
                <w:szCs w:val="18"/>
              </w:rPr>
              <w:t>Location No.</w:t>
            </w:r>
          </w:p>
        </w:tc>
        <w:tc>
          <w:tcPr>
            <w:tcW w:w="1080" w:type="dxa"/>
            <w:shd w:val="clear" w:color="auto" w:fill="E6E6E6"/>
          </w:tcPr>
          <w:p w:rsidR="00117E1E" w:rsidRDefault="00117E1E" w:rsidP="002D3810">
            <w:pPr>
              <w:widowControl/>
              <w:jc w:val="center"/>
              <w:rPr>
                <w:sz w:val="18"/>
                <w:szCs w:val="18"/>
              </w:rPr>
            </w:pPr>
            <w:r>
              <w:rPr>
                <w:sz w:val="18"/>
                <w:szCs w:val="18"/>
              </w:rPr>
              <w:t>Station Class Code</w:t>
            </w:r>
          </w:p>
        </w:tc>
        <w:tc>
          <w:tcPr>
            <w:tcW w:w="1530" w:type="dxa"/>
            <w:shd w:val="clear" w:color="auto" w:fill="E6E6E6"/>
          </w:tcPr>
          <w:p w:rsidR="00117E1E" w:rsidRDefault="00117E1E" w:rsidP="002D3810">
            <w:pPr>
              <w:widowControl/>
              <w:jc w:val="center"/>
              <w:rPr>
                <w:sz w:val="18"/>
                <w:szCs w:val="18"/>
              </w:rPr>
            </w:pPr>
            <w:r>
              <w:rPr>
                <w:sz w:val="18"/>
                <w:szCs w:val="18"/>
              </w:rPr>
              <w:t>Latitude,</w:t>
            </w:r>
          </w:p>
          <w:p w:rsidR="00117E1E" w:rsidRDefault="00117E1E" w:rsidP="002D3810">
            <w:pPr>
              <w:widowControl/>
              <w:jc w:val="center"/>
              <w:rPr>
                <w:sz w:val="18"/>
                <w:szCs w:val="18"/>
              </w:rPr>
            </w:pPr>
            <w:r>
              <w:rPr>
                <w:sz w:val="18"/>
                <w:szCs w:val="18"/>
              </w:rPr>
              <w:t>Longitude</w:t>
            </w:r>
          </w:p>
        </w:tc>
        <w:tc>
          <w:tcPr>
            <w:tcW w:w="2880" w:type="dxa"/>
            <w:shd w:val="clear" w:color="auto" w:fill="E6E6E6"/>
          </w:tcPr>
          <w:p w:rsidR="00117E1E" w:rsidRDefault="00117E1E" w:rsidP="002D3810">
            <w:pPr>
              <w:widowControl/>
              <w:jc w:val="center"/>
              <w:rPr>
                <w:sz w:val="18"/>
                <w:szCs w:val="18"/>
              </w:rPr>
            </w:pPr>
            <w:r>
              <w:rPr>
                <w:sz w:val="18"/>
                <w:szCs w:val="18"/>
              </w:rPr>
              <w:t>Address/ Area of Operation</w:t>
            </w:r>
          </w:p>
        </w:tc>
        <w:tc>
          <w:tcPr>
            <w:tcW w:w="1676" w:type="dxa"/>
            <w:shd w:val="clear" w:color="auto" w:fill="E6E6E6"/>
          </w:tcPr>
          <w:p w:rsidR="00117E1E" w:rsidRDefault="00117E1E" w:rsidP="00C27C1D">
            <w:pPr>
              <w:widowControl/>
              <w:jc w:val="center"/>
              <w:rPr>
                <w:sz w:val="18"/>
                <w:szCs w:val="18"/>
              </w:rPr>
            </w:pPr>
            <w:r>
              <w:rPr>
                <w:sz w:val="18"/>
                <w:szCs w:val="18"/>
              </w:rPr>
              <w:t>Frequency (MHz) (</w:t>
            </w:r>
            <w:r w:rsidR="00C27C1D">
              <w:rPr>
                <w:sz w:val="18"/>
                <w:szCs w:val="18"/>
              </w:rPr>
              <w:t xml:space="preserve">dismissed because </w:t>
            </w:r>
            <w:r w:rsidR="0009519A">
              <w:rPr>
                <w:sz w:val="18"/>
                <w:szCs w:val="18"/>
              </w:rPr>
              <w:t xml:space="preserve">waiver request </w:t>
            </w:r>
            <w:r>
              <w:rPr>
                <w:sz w:val="18"/>
                <w:szCs w:val="18"/>
              </w:rPr>
              <w:t>denied</w:t>
            </w:r>
            <w:r w:rsidR="0009519A">
              <w:rPr>
                <w:sz w:val="18"/>
                <w:szCs w:val="18"/>
              </w:rPr>
              <w:t xml:space="preserve"> </w:t>
            </w:r>
            <w:r>
              <w:rPr>
                <w:sz w:val="18"/>
                <w:szCs w:val="18"/>
              </w:rPr>
              <w:t>)</w:t>
            </w:r>
          </w:p>
        </w:tc>
      </w:tr>
      <w:tr w:rsidR="00117E1E" w:rsidTr="002D3810">
        <w:trPr>
          <w:cantSplit/>
          <w:trHeight w:val="432"/>
        </w:trPr>
        <w:tc>
          <w:tcPr>
            <w:tcW w:w="902" w:type="dxa"/>
            <w:vAlign w:val="center"/>
          </w:tcPr>
          <w:p w:rsidR="00117E1E" w:rsidRDefault="00117E1E" w:rsidP="002D3810">
            <w:pPr>
              <w:jc w:val="center"/>
              <w:rPr>
                <w:sz w:val="18"/>
                <w:szCs w:val="18"/>
              </w:rPr>
            </w:pPr>
            <w:r>
              <w:rPr>
                <w:sz w:val="18"/>
                <w:szCs w:val="18"/>
              </w:rPr>
              <w:t>7</w:t>
            </w:r>
          </w:p>
        </w:tc>
        <w:tc>
          <w:tcPr>
            <w:tcW w:w="1080" w:type="dxa"/>
            <w:vAlign w:val="center"/>
          </w:tcPr>
          <w:p w:rsidR="00117E1E" w:rsidRDefault="00117E1E" w:rsidP="002D3810">
            <w:pPr>
              <w:jc w:val="center"/>
              <w:rPr>
                <w:sz w:val="18"/>
                <w:szCs w:val="18"/>
              </w:rPr>
            </w:pPr>
            <w:r>
              <w:rPr>
                <w:sz w:val="18"/>
                <w:szCs w:val="18"/>
              </w:rPr>
              <w:t>FB2</w:t>
            </w:r>
          </w:p>
        </w:tc>
        <w:tc>
          <w:tcPr>
            <w:tcW w:w="1530" w:type="dxa"/>
            <w:vAlign w:val="center"/>
          </w:tcPr>
          <w:p w:rsidR="00117E1E" w:rsidRDefault="00117E1E" w:rsidP="002D3810">
            <w:pPr>
              <w:widowControl/>
              <w:jc w:val="center"/>
              <w:rPr>
                <w:sz w:val="18"/>
                <w:szCs w:val="18"/>
              </w:rPr>
            </w:pPr>
            <w:r>
              <w:rPr>
                <w:sz w:val="18"/>
                <w:szCs w:val="18"/>
              </w:rPr>
              <w:t>36° 38’ 12.5” (N)</w:t>
            </w:r>
          </w:p>
          <w:p w:rsidR="00117E1E" w:rsidRDefault="00117E1E" w:rsidP="002D3810">
            <w:pPr>
              <w:jc w:val="center"/>
              <w:rPr>
                <w:sz w:val="18"/>
                <w:szCs w:val="18"/>
              </w:rPr>
            </w:pPr>
            <w:r>
              <w:rPr>
                <w:sz w:val="18"/>
                <w:szCs w:val="18"/>
              </w:rPr>
              <w:t>76° 48’ 06.4”</w:t>
            </w:r>
            <w:r w:rsidRPr="006D09F2">
              <w:rPr>
                <w:sz w:val="18"/>
                <w:szCs w:val="18"/>
              </w:rPr>
              <w:t xml:space="preserve"> </w:t>
            </w:r>
            <w:r>
              <w:rPr>
                <w:sz w:val="18"/>
                <w:szCs w:val="18"/>
              </w:rPr>
              <w:t>(W)</w:t>
            </w:r>
          </w:p>
        </w:tc>
        <w:tc>
          <w:tcPr>
            <w:tcW w:w="2880" w:type="dxa"/>
            <w:vAlign w:val="center"/>
          </w:tcPr>
          <w:p w:rsidR="00117E1E" w:rsidRDefault="00117E1E" w:rsidP="002D3810">
            <w:pPr>
              <w:jc w:val="center"/>
              <w:rPr>
                <w:sz w:val="18"/>
                <w:szCs w:val="18"/>
              </w:rPr>
            </w:pPr>
            <w:r>
              <w:rPr>
                <w:sz w:val="18"/>
                <w:szCs w:val="18"/>
              </w:rPr>
              <w:t>Greenwood Rd,</w:t>
            </w:r>
          </w:p>
          <w:p w:rsidR="00117E1E" w:rsidRDefault="00117E1E" w:rsidP="002D3810">
            <w:pPr>
              <w:jc w:val="center"/>
              <w:rPr>
                <w:sz w:val="18"/>
                <w:szCs w:val="18"/>
              </w:rPr>
            </w:pPr>
            <w:r>
              <w:rPr>
                <w:sz w:val="18"/>
                <w:szCs w:val="18"/>
              </w:rPr>
              <w:t>Suffolk, VA</w:t>
            </w:r>
          </w:p>
        </w:tc>
        <w:tc>
          <w:tcPr>
            <w:tcW w:w="1676" w:type="dxa"/>
            <w:vAlign w:val="center"/>
          </w:tcPr>
          <w:p w:rsidR="00117E1E" w:rsidRDefault="00065BA3" w:rsidP="002D3810">
            <w:pPr>
              <w:jc w:val="center"/>
              <w:rPr>
                <w:sz w:val="18"/>
                <w:szCs w:val="18"/>
              </w:rPr>
            </w:pPr>
            <w:r>
              <w:rPr>
                <w:sz w:val="18"/>
                <w:szCs w:val="18"/>
              </w:rPr>
              <w:t>857.9375</w:t>
            </w:r>
          </w:p>
          <w:p w:rsidR="00065BA3" w:rsidRDefault="00065BA3" w:rsidP="002D3810">
            <w:pPr>
              <w:jc w:val="center"/>
              <w:rPr>
                <w:sz w:val="18"/>
                <w:szCs w:val="18"/>
              </w:rPr>
            </w:pPr>
            <w:r>
              <w:rPr>
                <w:sz w:val="18"/>
                <w:szCs w:val="18"/>
              </w:rPr>
              <w:t>858.4375</w:t>
            </w:r>
          </w:p>
          <w:p w:rsidR="00065BA3" w:rsidRDefault="00065BA3" w:rsidP="002D3810">
            <w:pPr>
              <w:jc w:val="center"/>
              <w:rPr>
                <w:sz w:val="18"/>
                <w:szCs w:val="18"/>
              </w:rPr>
            </w:pPr>
            <w:r>
              <w:rPr>
                <w:sz w:val="18"/>
                <w:szCs w:val="18"/>
              </w:rPr>
              <w:t>858.9375</w:t>
            </w:r>
          </w:p>
          <w:p w:rsidR="00065BA3" w:rsidRDefault="00065BA3" w:rsidP="002D3810">
            <w:pPr>
              <w:jc w:val="center"/>
              <w:rPr>
                <w:sz w:val="18"/>
                <w:szCs w:val="18"/>
              </w:rPr>
            </w:pPr>
            <w:r>
              <w:rPr>
                <w:sz w:val="18"/>
                <w:szCs w:val="18"/>
              </w:rPr>
              <w:t>859.4375</w:t>
            </w:r>
          </w:p>
          <w:p w:rsidR="00065BA3" w:rsidRDefault="00065BA3" w:rsidP="002D3810">
            <w:pPr>
              <w:jc w:val="center"/>
              <w:rPr>
                <w:sz w:val="18"/>
                <w:szCs w:val="18"/>
              </w:rPr>
            </w:pPr>
            <w:r>
              <w:rPr>
                <w:sz w:val="18"/>
                <w:szCs w:val="18"/>
              </w:rPr>
              <w:t>859.9375</w:t>
            </w:r>
          </w:p>
        </w:tc>
      </w:tr>
      <w:tr w:rsidR="00117E1E" w:rsidTr="002D3810">
        <w:trPr>
          <w:cantSplit/>
          <w:trHeight w:val="432"/>
        </w:trPr>
        <w:tc>
          <w:tcPr>
            <w:tcW w:w="902" w:type="dxa"/>
            <w:vAlign w:val="center"/>
          </w:tcPr>
          <w:p w:rsidR="00117E1E" w:rsidRDefault="00117E1E" w:rsidP="002D3810">
            <w:pPr>
              <w:jc w:val="center"/>
              <w:rPr>
                <w:sz w:val="18"/>
                <w:szCs w:val="18"/>
              </w:rPr>
            </w:pPr>
            <w:r>
              <w:rPr>
                <w:sz w:val="18"/>
                <w:szCs w:val="18"/>
              </w:rPr>
              <w:t>8</w:t>
            </w:r>
          </w:p>
        </w:tc>
        <w:tc>
          <w:tcPr>
            <w:tcW w:w="1080" w:type="dxa"/>
            <w:vAlign w:val="center"/>
          </w:tcPr>
          <w:p w:rsidR="00117E1E" w:rsidRDefault="00117E1E" w:rsidP="002D3810">
            <w:pPr>
              <w:jc w:val="center"/>
              <w:rPr>
                <w:sz w:val="18"/>
                <w:szCs w:val="18"/>
              </w:rPr>
            </w:pPr>
            <w:r>
              <w:rPr>
                <w:sz w:val="18"/>
                <w:szCs w:val="18"/>
              </w:rPr>
              <w:t>FB2</w:t>
            </w:r>
          </w:p>
        </w:tc>
        <w:tc>
          <w:tcPr>
            <w:tcW w:w="1530" w:type="dxa"/>
            <w:vAlign w:val="center"/>
          </w:tcPr>
          <w:p w:rsidR="00117E1E" w:rsidRDefault="00117E1E" w:rsidP="002D3810">
            <w:pPr>
              <w:widowControl/>
              <w:jc w:val="center"/>
              <w:rPr>
                <w:sz w:val="18"/>
                <w:szCs w:val="18"/>
              </w:rPr>
            </w:pPr>
            <w:r>
              <w:rPr>
                <w:sz w:val="18"/>
                <w:szCs w:val="18"/>
              </w:rPr>
              <w:t>36° 47’ 07.3” (N)</w:t>
            </w:r>
          </w:p>
          <w:p w:rsidR="00117E1E" w:rsidRDefault="00117E1E" w:rsidP="002D3810">
            <w:pPr>
              <w:jc w:val="center"/>
              <w:rPr>
                <w:sz w:val="18"/>
                <w:szCs w:val="18"/>
              </w:rPr>
            </w:pPr>
            <w:r>
              <w:rPr>
                <w:sz w:val="18"/>
                <w:szCs w:val="18"/>
              </w:rPr>
              <w:t>76° 39’ 17.3”</w:t>
            </w:r>
            <w:r w:rsidRPr="006D09F2">
              <w:rPr>
                <w:sz w:val="18"/>
                <w:szCs w:val="18"/>
              </w:rPr>
              <w:t xml:space="preserve"> </w:t>
            </w:r>
            <w:r>
              <w:rPr>
                <w:sz w:val="18"/>
                <w:szCs w:val="18"/>
              </w:rPr>
              <w:t>(W)</w:t>
            </w:r>
          </w:p>
        </w:tc>
        <w:tc>
          <w:tcPr>
            <w:tcW w:w="2880" w:type="dxa"/>
            <w:vAlign w:val="center"/>
          </w:tcPr>
          <w:p w:rsidR="00117E1E" w:rsidRDefault="00117E1E" w:rsidP="002D3810">
            <w:pPr>
              <w:jc w:val="center"/>
              <w:rPr>
                <w:sz w:val="18"/>
                <w:szCs w:val="18"/>
              </w:rPr>
            </w:pPr>
            <w:r>
              <w:rPr>
                <w:sz w:val="18"/>
                <w:szCs w:val="18"/>
              </w:rPr>
              <w:t>4441 Pruden Rd,</w:t>
            </w:r>
          </w:p>
          <w:p w:rsidR="00117E1E" w:rsidRDefault="00117E1E" w:rsidP="002D3810">
            <w:pPr>
              <w:jc w:val="center"/>
              <w:rPr>
                <w:sz w:val="18"/>
                <w:szCs w:val="18"/>
              </w:rPr>
            </w:pPr>
            <w:r>
              <w:rPr>
                <w:sz w:val="18"/>
                <w:szCs w:val="18"/>
              </w:rPr>
              <w:t>Suffolk, VA</w:t>
            </w:r>
          </w:p>
        </w:tc>
        <w:tc>
          <w:tcPr>
            <w:tcW w:w="1676" w:type="dxa"/>
            <w:vAlign w:val="center"/>
          </w:tcPr>
          <w:p w:rsidR="00503A40" w:rsidRDefault="00503A40" w:rsidP="00503A40">
            <w:pPr>
              <w:jc w:val="center"/>
              <w:rPr>
                <w:sz w:val="18"/>
                <w:szCs w:val="18"/>
              </w:rPr>
            </w:pPr>
            <w:r>
              <w:rPr>
                <w:sz w:val="18"/>
                <w:szCs w:val="18"/>
              </w:rPr>
              <w:t>857.9375</w:t>
            </w:r>
          </w:p>
          <w:p w:rsidR="00503A40" w:rsidRDefault="00503A40" w:rsidP="00503A40">
            <w:pPr>
              <w:jc w:val="center"/>
              <w:rPr>
                <w:sz w:val="18"/>
                <w:szCs w:val="18"/>
              </w:rPr>
            </w:pPr>
            <w:r>
              <w:rPr>
                <w:sz w:val="18"/>
                <w:szCs w:val="18"/>
              </w:rPr>
              <w:t>858.4375</w:t>
            </w:r>
          </w:p>
          <w:p w:rsidR="00503A40" w:rsidRDefault="00503A40" w:rsidP="00503A40">
            <w:pPr>
              <w:jc w:val="center"/>
              <w:rPr>
                <w:sz w:val="18"/>
                <w:szCs w:val="18"/>
              </w:rPr>
            </w:pPr>
            <w:r>
              <w:rPr>
                <w:sz w:val="18"/>
                <w:szCs w:val="18"/>
              </w:rPr>
              <w:t>858.9375</w:t>
            </w:r>
          </w:p>
          <w:p w:rsidR="00503A40" w:rsidRDefault="00503A40" w:rsidP="00503A40">
            <w:pPr>
              <w:jc w:val="center"/>
              <w:rPr>
                <w:sz w:val="18"/>
                <w:szCs w:val="18"/>
              </w:rPr>
            </w:pPr>
            <w:r>
              <w:rPr>
                <w:sz w:val="18"/>
                <w:szCs w:val="18"/>
              </w:rPr>
              <w:t>859.4375</w:t>
            </w:r>
          </w:p>
          <w:p w:rsidR="00117E1E" w:rsidRDefault="00503A40" w:rsidP="00503A40">
            <w:pPr>
              <w:jc w:val="center"/>
              <w:rPr>
                <w:sz w:val="18"/>
                <w:szCs w:val="18"/>
              </w:rPr>
            </w:pPr>
            <w:r>
              <w:rPr>
                <w:sz w:val="18"/>
                <w:szCs w:val="18"/>
              </w:rPr>
              <w:t>859.9375</w:t>
            </w:r>
          </w:p>
        </w:tc>
      </w:tr>
      <w:tr w:rsidR="00117E1E" w:rsidTr="002D3810">
        <w:trPr>
          <w:cantSplit/>
          <w:trHeight w:val="432"/>
        </w:trPr>
        <w:tc>
          <w:tcPr>
            <w:tcW w:w="902" w:type="dxa"/>
            <w:vAlign w:val="center"/>
          </w:tcPr>
          <w:p w:rsidR="00117E1E" w:rsidRDefault="00117E1E" w:rsidP="002D3810">
            <w:pPr>
              <w:jc w:val="center"/>
              <w:rPr>
                <w:sz w:val="18"/>
                <w:szCs w:val="18"/>
              </w:rPr>
            </w:pPr>
            <w:r>
              <w:rPr>
                <w:sz w:val="18"/>
                <w:szCs w:val="18"/>
              </w:rPr>
              <w:t>9</w:t>
            </w:r>
          </w:p>
        </w:tc>
        <w:tc>
          <w:tcPr>
            <w:tcW w:w="1080" w:type="dxa"/>
            <w:vAlign w:val="center"/>
          </w:tcPr>
          <w:p w:rsidR="00117E1E" w:rsidRDefault="00117E1E" w:rsidP="002D3810">
            <w:pPr>
              <w:jc w:val="center"/>
              <w:rPr>
                <w:sz w:val="18"/>
                <w:szCs w:val="18"/>
              </w:rPr>
            </w:pPr>
            <w:r>
              <w:rPr>
                <w:sz w:val="18"/>
                <w:szCs w:val="18"/>
              </w:rPr>
              <w:t>MO</w:t>
            </w:r>
          </w:p>
        </w:tc>
        <w:tc>
          <w:tcPr>
            <w:tcW w:w="1530" w:type="dxa"/>
            <w:vAlign w:val="center"/>
          </w:tcPr>
          <w:p w:rsidR="00117E1E" w:rsidRDefault="00117E1E" w:rsidP="002D3810">
            <w:pPr>
              <w:jc w:val="center"/>
              <w:rPr>
                <w:sz w:val="18"/>
                <w:szCs w:val="18"/>
              </w:rPr>
            </w:pPr>
            <w:r>
              <w:rPr>
                <w:sz w:val="18"/>
                <w:szCs w:val="18"/>
              </w:rPr>
              <w:t>--</w:t>
            </w:r>
          </w:p>
        </w:tc>
        <w:tc>
          <w:tcPr>
            <w:tcW w:w="2880" w:type="dxa"/>
            <w:vAlign w:val="center"/>
          </w:tcPr>
          <w:p w:rsidR="00117E1E" w:rsidRDefault="00117E1E" w:rsidP="002D3810">
            <w:pPr>
              <w:jc w:val="center"/>
              <w:rPr>
                <w:sz w:val="18"/>
                <w:szCs w:val="18"/>
              </w:rPr>
            </w:pPr>
            <w:r>
              <w:rPr>
                <w:sz w:val="18"/>
                <w:szCs w:val="18"/>
              </w:rPr>
              <w:t>60 km radius around Location 6</w:t>
            </w:r>
          </w:p>
        </w:tc>
        <w:tc>
          <w:tcPr>
            <w:tcW w:w="1676" w:type="dxa"/>
            <w:vAlign w:val="center"/>
          </w:tcPr>
          <w:p w:rsidR="00117E1E" w:rsidRDefault="007F518A" w:rsidP="002D3810">
            <w:pPr>
              <w:jc w:val="center"/>
              <w:rPr>
                <w:sz w:val="18"/>
                <w:szCs w:val="18"/>
              </w:rPr>
            </w:pPr>
            <w:r>
              <w:rPr>
                <w:sz w:val="18"/>
                <w:szCs w:val="18"/>
              </w:rPr>
              <w:t>812.9375</w:t>
            </w:r>
          </w:p>
          <w:p w:rsidR="007F518A" w:rsidRDefault="007F518A" w:rsidP="002D3810">
            <w:pPr>
              <w:jc w:val="center"/>
              <w:rPr>
                <w:sz w:val="18"/>
                <w:szCs w:val="18"/>
              </w:rPr>
            </w:pPr>
            <w:r>
              <w:rPr>
                <w:sz w:val="18"/>
                <w:szCs w:val="18"/>
              </w:rPr>
              <w:t>813.4375</w:t>
            </w:r>
          </w:p>
        </w:tc>
      </w:tr>
    </w:tbl>
    <w:p w:rsidR="00117E1E" w:rsidRPr="007C7053" w:rsidRDefault="00117E1E" w:rsidP="00117E1E">
      <w:pPr>
        <w:widowControl w:val="0"/>
        <w:spacing w:after="120" w:line="240" w:lineRule="auto"/>
        <w:ind w:left="720"/>
        <w:rPr>
          <w:rFonts w:ascii="Times New Roman" w:eastAsia="Times New Roman" w:hAnsi="Times New Roman" w:cs="Times New Roman"/>
          <w:kern w:val="28"/>
        </w:rPr>
      </w:pPr>
    </w:p>
    <w:p w:rsidR="007C7053" w:rsidRPr="007C7053" w:rsidRDefault="007C7053" w:rsidP="007C7053">
      <w:pPr>
        <w:widowControl w:val="0"/>
        <w:spacing w:after="120" w:line="240" w:lineRule="auto"/>
        <w:ind w:left="720"/>
        <w:rPr>
          <w:rFonts w:ascii="Times New Roman" w:eastAsia="Times New Roman" w:hAnsi="Times New Roman" w:cs="Times New Roman"/>
          <w:kern w:val="28"/>
        </w:rPr>
      </w:pPr>
    </w:p>
    <w:p w:rsidR="00D20BDB" w:rsidRDefault="00D20BDB"/>
    <w:sectPr w:rsidR="00D20BD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53" w:rsidRDefault="007C7053" w:rsidP="007C7053">
      <w:pPr>
        <w:spacing w:after="0" w:line="240" w:lineRule="auto"/>
      </w:pPr>
      <w:r>
        <w:separator/>
      </w:r>
    </w:p>
  </w:endnote>
  <w:endnote w:type="continuationSeparator" w:id="0">
    <w:p w:rsidR="007C7053" w:rsidRDefault="007C7053" w:rsidP="007C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0A" w:rsidRDefault="007C7053" w:rsidP="0055614C">
    <w:pPr>
      <w:pStyle w:val="Footer"/>
      <w:framePr w:wrap="around" w:vAnchor="text" w:hAnchor="margin" w:xAlign="center" w:y="1"/>
    </w:pPr>
    <w:r>
      <w:fldChar w:fldCharType="begin"/>
    </w:r>
    <w:r>
      <w:instrText xml:space="preserve">PAGE  </w:instrText>
    </w:r>
    <w:r>
      <w:fldChar w:fldCharType="end"/>
    </w:r>
  </w:p>
  <w:p w:rsidR="00D0430A" w:rsidRDefault="000C4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0A" w:rsidRDefault="007C7053" w:rsidP="0055614C">
    <w:pPr>
      <w:pStyle w:val="Footer"/>
      <w:framePr w:wrap="around" w:vAnchor="text" w:hAnchor="margin" w:xAlign="center" w:y="1"/>
    </w:pPr>
    <w:r>
      <w:fldChar w:fldCharType="begin"/>
    </w:r>
    <w:r>
      <w:instrText xml:space="preserve">PAGE  </w:instrText>
    </w:r>
    <w:r>
      <w:fldChar w:fldCharType="separate"/>
    </w:r>
    <w:r w:rsidR="00A74B4B">
      <w:rPr>
        <w:noProof/>
      </w:rPr>
      <w:t>2</w:t>
    </w:r>
    <w:r>
      <w:fldChar w:fldCharType="end"/>
    </w:r>
  </w:p>
  <w:p w:rsidR="00D0430A" w:rsidRDefault="000C44DF">
    <w:pPr>
      <w:spacing w:before="140" w:line="100" w:lineRule="exact"/>
      <w:rPr>
        <w:sz w:val="10"/>
      </w:rPr>
    </w:pPr>
  </w:p>
  <w:p w:rsidR="00D0430A" w:rsidRDefault="000C44DF">
    <w:pPr>
      <w:suppressAutoHyphens/>
      <w:spacing w:line="227" w:lineRule="auto"/>
    </w:pPr>
  </w:p>
  <w:p w:rsidR="00D0430A" w:rsidRDefault="000C44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0A" w:rsidRDefault="000C44D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53" w:rsidRDefault="007C7053" w:rsidP="007C7053">
      <w:pPr>
        <w:spacing w:after="0" w:line="240" w:lineRule="auto"/>
      </w:pPr>
      <w:r>
        <w:separator/>
      </w:r>
    </w:p>
  </w:footnote>
  <w:footnote w:type="continuationSeparator" w:id="0">
    <w:p w:rsidR="007C7053" w:rsidRDefault="007C7053" w:rsidP="007C7053">
      <w:pPr>
        <w:spacing w:after="0" w:line="240" w:lineRule="auto"/>
      </w:pPr>
      <w:r>
        <w:continuationSeparator/>
      </w:r>
    </w:p>
  </w:footnote>
  <w:footnote w:id="1">
    <w:p w:rsidR="007C7053" w:rsidRDefault="007C7053" w:rsidP="002019AA">
      <w:pPr>
        <w:pStyle w:val="FootnoteText"/>
      </w:pPr>
      <w:r w:rsidRPr="008F11B9">
        <w:rPr>
          <w:rStyle w:val="FootnoteReference"/>
        </w:rPr>
        <w:footnoteRef/>
      </w:r>
      <w:r w:rsidRPr="008F11B9">
        <w:t xml:space="preserve"> </w:t>
      </w:r>
      <w:r>
        <w:rPr>
          <w:i/>
        </w:rPr>
        <w:t xml:space="preserve">See </w:t>
      </w:r>
      <w:r>
        <w:t xml:space="preserve">ULS File No. </w:t>
      </w:r>
      <w:r w:rsidRPr="008E6080">
        <w:t>0006441843</w:t>
      </w:r>
      <w:r w:rsidRPr="008F11B9">
        <w:t xml:space="preserve">. </w:t>
      </w:r>
    </w:p>
  </w:footnote>
  <w:footnote w:id="2">
    <w:p w:rsidR="008574A3" w:rsidRDefault="008574A3">
      <w:pPr>
        <w:pStyle w:val="FootnoteText"/>
      </w:pPr>
      <w:r>
        <w:rPr>
          <w:rStyle w:val="FootnoteReference"/>
        </w:rPr>
        <w:footnoteRef/>
      </w:r>
      <w:r>
        <w:t xml:space="preserve"> 47 C.F.R. §90.621(b)(4).</w:t>
      </w:r>
    </w:p>
  </w:footnote>
  <w:footnote w:id="3">
    <w:p w:rsidR="007C7053" w:rsidRDefault="007C7053" w:rsidP="002019AA">
      <w:pPr>
        <w:pStyle w:val="FootnoteText"/>
      </w:pPr>
      <w:r w:rsidRPr="008F11B9">
        <w:rPr>
          <w:rStyle w:val="FootnoteReference"/>
        </w:rPr>
        <w:footnoteRef/>
      </w:r>
      <w:r w:rsidRPr="008F11B9">
        <w:t xml:space="preserve"> </w:t>
      </w:r>
      <w:r w:rsidRPr="008F11B9">
        <w:rPr>
          <w:i/>
        </w:rPr>
        <w:t>See</w:t>
      </w:r>
      <w:r w:rsidRPr="008F11B9">
        <w:t xml:space="preserve"> waiver request </w:t>
      </w:r>
      <w:r>
        <w:t xml:space="preserve">attached to </w:t>
      </w:r>
      <w:r w:rsidRPr="008F11B9">
        <w:t xml:space="preserve">application </w:t>
      </w:r>
      <w:r w:rsidRPr="008E6080">
        <w:t>0006441843</w:t>
      </w:r>
      <w:r>
        <w:t xml:space="preserve"> </w:t>
      </w:r>
      <w:r w:rsidRPr="008F11B9">
        <w:t>(</w:t>
      </w:r>
      <w:r>
        <w:t xml:space="preserve">Suffolk </w:t>
      </w:r>
      <w:r w:rsidRPr="008F11B9">
        <w:t xml:space="preserve">Waiver Request).  </w:t>
      </w:r>
    </w:p>
  </w:footnote>
  <w:footnote w:id="4">
    <w:p w:rsidR="007C7053" w:rsidRDefault="007C7053" w:rsidP="002019AA">
      <w:pPr>
        <w:pStyle w:val="FootnoteText"/>
      </w:pPr>
      <w:r>
        <w:rPr>
          <w:rStyle w:val="FootnoteReference"/>
        </w:rPr>
        <w:footnoteRef/>
      </w:r>
      <w:r>
        <w:t xml:space="preserve"> </w:t>
      </w:r>
      <w:r>
        <w:rPr>
          <w:i/>
        </w:rPr>
        <w:t xml:space="preserve">See </w:t>
      </w:r>
      <w:r>
        <w:t xml:space="preserve">call sign </w:t>
      </w:r>
      <w:r w:rsidRPr="0065282F">
        <w:rPr>
          <w:szCs w:val="22"/>
        </w:rPr>
        <w:t>WNMJ688</w:t>
      </w:r>
      <w:r>
        <w:rPr>
          <w:szCs w:val="22"/>
        </w:rPr>
        <w:t>.</w:t>
      </w:r>
    </w:p>
  </w:footnote>
  <w:footnote w:id="5">
    <w:p w:rsidR="007C7053" w:rsidRDefault="007C7053" w:rsidP="002019AA">
      <w:pPr>
        <w:pStyle w:val="FootnoteText"/>
      </w:pPr>
      <w:r>
        <w:rPr>
          <w:rStyle w:val="FootnoteReference"/>
        </w:rPr>
        <w:footnoteRef/>
      </w:r>
      <w:r>
        <w:t xml:space="preserve"> Suffolk</w:t>
      </w:r>
      <w:r w:rsidRPr="008F11B9">
        <w:t xml:space="preserve"> Waiver Request at </w:t>
      </w:r>
      <w:r>
        <w:t>1</w:t>
      </w:r>
      <w:r w:rsidRPr="008F11B9">
        <w:t>.</w:t>
      </w:r>
      <w:r>
        <w:t xml:space="preserve">  </w:t>
      </w:r>
      <w:r>
        <w:rPr>
          <w:i/>
        </w:rPr>
        <w:t xml:space="preserve">See also </w:t>
      </w:r>
      <w:r>
        <w:t xml:space="preserve">ULS File No. </w:t>
      </w:r>
      <w:r w:rsidRPr="008E6080">
        <w:t>0006441843</w:t>
      </w:r>
      <w:r>
        <w:t xml:space="preserve">.  </w:t>
      </w:r>
    </w:p>
  </w:footnote>
  <w:footnote w:id="6">
    <w:p w:rsidR="008574A3" w:rsidRDefault="008574A3" w:rsidP="008574A3">
      <w:pPr>
        <w:pStyle w:val="FootnoteText"/>
      </w:pPr>
      <w:r w:rsidRPr="008F11B9">
        <w:rPr>
          <w:rStyle w:val="FootnoteReference"/>
        </w:rPr>
        <w:footnoteRef/>
      </w:r>
      <w:r w:rsidRPr="008F11B9">
        <w:t xml:space="preserve"> </w:t>
      </w:r>
      <w:r>
        <w:t>Suffolk</w:t>
      </w:r>
      <w:r w:rsidRPr="008F11B9">
        <w:t xml:space="preserve"> Waiver Request at </w:t>
      </w:r>
      <w:r>
        <w:t>1</w:t>
      </w:r>
      <w:r w:rsidRPr="008F11B9">
        <w:t>.</w:t>
      </w:r>
      <w:r>
        <w:t xml:space="preserve">  Channels vacated by ESMR licensees during reconfiguration of the 800 MHz band are reserved exclusively for three years to public safety eligible entities.  </w:t>
      </w:r>
      <w:r>
        <w:rPr>
          <w:i/>
        </w:rPr>
        <w:t xml:space="preserve">See </w:t>
      </w:r>
      <w:r>
        <w:t xml:space="preserve">47 C.F.R </w:t>
      </w:r>
      <w:r w:rsidRPr="008F11B9">
        <w:t>§</w:t>
      </w:r>
      <w:r>
        <w:t xml:space="preserve"> 90.617(g).</w:t>
      </w:r>
    </w:p>
  </w:footnote>
  <w:footnote w:id="7">
    <w:p w:rsidR="007C7053" w:rsidRDefault="007C7053" w:rsidP="002019AA">
      <w:pPr>
        <w:pStyle w:val="FootnoteText"/>
      </w:pPr>
      <w:r>
        <w:rPr>
          <w:rStyle w:val="FootnoteReference"/>
        </w:rPr>
        <w:footnoteRef/>
      </w:r>
      <w:r>
        <w:t xml:space="preserve"> </w:t>
      </w:r>
      <w:r>
        <w:rPr>
          <w:i/>
        </w:rPr>
        <w:t xml:space="preserve">See </w:t>
      </w:r>
      <w:r>
        <w:t xml:space="preserve">contour and DHAAT study attached to ULS File No. </w:t>
      </w:r>
      <w:r w:rsidRPr="008E6080">
        <w:t>0006441843</w:t>
      </w:r>
      <w:r>
        <w:t>.</w:t>
      </w:r>
    </w:p>
  </w:footnote>
  <w:footnote w:id="8">
    <w:p w:rsidR="007C7053" w:rsidRDefault="007C7053" w:rsidP="002019AA">
      <w:pPr>
        <w:pStyle w:val="FootnoteText"/>
      </w:pPr>
      <w:r>
        <w:rPr>
          <w:rStyle w:val="FootnoteReference"/>
        </w:rPr>
        <w:footnoteRef/>
      </w:r>
      <w:r>
        <w:t xml:space="preserve"> 47 C.F.R. </w:t>
      </w:r>
      <w:r w:rsidRPr="008F11B9">
        <w:t>§</w:t>
      </w:r>
      <w:r>
        <w:t xml:space="preserve"> 90.621(b)(4).</w:t>
      </w:r>
    </w:p>
  </w:footnote>
  <w:footnote w:id="9">
    <w:p w:rsidR="007C7053" w:rsidRDefault="007C7053" w:rsidP="002019AA">
      <w:pPr>
        <w:pStyle w:val="FootnoteText"/>
      </w:pPr>
      <w:r>
        <w:rPr>
          <w:rStyle w:val="FootnoteReference"/>
        </w:rPr>
        <w:footnoteRef/>
      </w:r>
      <w:r>
        <w:t xml:space="preserve"> </w:t>
      </w:r>
      <w:r>
        <w:rPr>
          <w:i/>
        </w:rPr>
        <w:t>See</w:t>
      </w:r>
      <w:r w:rsidR="00DD6BFF">
        <w:t xml:space="preserve"> n.</w:t>
      </w:r>
      <w:r>
        <w:t xml:space="preserve">2 to Short-Spacing Separation Table in 47 C.F.R. </w:t>
      </w:r>
      <w:r w:rsidRPr="008F11B9">
        <w:t>§</w:t>
      </w:r>
      <w:r>
        <w:t xml:space="preserve"> 90.621(b)(4).</w:t>
      </w:r>
    </w:p>
  </w:footnote>
  <w:footnote w:id="10">
    <w:p w:rsidR="007C7053" w:rsidRDefault="007C7053" w:rsidP="002019AA">
      <w:pPr>
        <w:pStyle w:val="FootnoteText"/>
      </w:pPr>
      <w:r>
        <w:rPr>
          <w:rStyle w:val="FootnoteReference"/>
        </w:rPr>
        <w:footnoteRef/>
      </w:r>
      <w:r>
        <w:t xml:space="preserve"> 47 C.F.R. </w:t>
      </w:r>
      <w:r w:rsidRPr="008F11B9">
        <w:t>§§</w:t>
      </w:r>
      <w:r>
        <w:t xml:space="preserve"> 90.621(b)(4) and (5).</w:t>
      </w:r>
    </w:p>
  </w:footnote>
  <w:footnote w:id="11">
    <w:p w:rsidR="007C7053" w:rsidRDefault="007C7053" w:rsidP="002019AA">
      <w:pPr>
        <w:pStyle w:val="FootnoteText"/>
      </w:pPr>
      <w:r>
        <w:rPr>
          <w:rStyle w:val="FootnoteReference"/>
        </w:rPr>
        <w:footnoteRef/>
      </w:r>
      <w:r>
        <w:t xml:space="preserve"> </w:t>
      </w:r>
      <w:r>
        <w:rPr>
          <w:i/>
        </w:rPr>
        <w:t xml:space="preserve">See </w:t>
      </w:r>
      <w:r>
        <w:t xml:space="preserve">letter from Kay Orndorff, Licensing Representative to Federal Communications Commission (Dec. 8, 2014)(attached to ULS File No. </w:t>
      </w:r>
      <w:r w:rsidRPr="008E6080">
        <w:t>0006441843</w:t>
      </w:r>
      <w:r>
        <w:t>).</w:t>
      </w:r>
    </w:p>
  </w:footnote>
  <w:footnote w:id="12">
    <w:p w:rsidR="007C7053" w:rsidRDefault="007C7053" w:rsidP="002019AA">
      <w:pPr>
        <w:pStyle w:val="FootnoteText"/>
      </w:pPr>
      <w:r>
        <w:rPr>
          <w:rStyle w:val="FootnoteReference"/>
        </w:rPr>
        <w:footnoteRef/>
      </w:r>
      <w:r>
        <w:t xml:space="preserve"> Suffolk </w:t>
      </w:r>
      <w:r w:rsidRPr="008F11B9">
        <w:t>Waiver Request</w:t>
      </w:r>
      <w:r w:rsidRPr="00804C8C">
        <w:t xml:space="preserve"> </w:t>
      </w:r>
      <w:r>
        <w:t>at 1.</w:t>
      </w:r>
    </w:p>
  </w:footnote>
  <w:footnote w:id="13">
    <w:p w:rsidR="007C7053" w:rsidRPr="00EE39E0" w:rsidRDefault="007C7053" w:rsidP="002019AA">
      <w:pPr>
        <w:pStyle w:val="FootnoteText"/>
      </w:pPr>
      <w:r>
        <w:rPr>
          <w:rStyle w:val="FootnoteReference"/>
        </w:rPr>
        <w:footnoteRef/>
      </w:r>
      <w:r>
        <w:t xml:space="preserve"> </w:t>
      </w:r>
      <w:r>
        <w:rPr>
          <w:i/>
        </w:rPr>
        <w:t>Id.</w:t>
      </w:r>
      <w:r w:rsidR="00EE39E0">
        <w:rPr>
          <w:i/>
        </w:rPr>
        <w:t xml:space="preserve">  See also</w:t>
      </w:r>
      <w:r w:rsidR="00EE39E0">
        <w:t xml:space="preserve"> attachment to ULS application </w:t>
      </w:r>
      <w:r w:rsidR="00E60559" w:rsidRPr="008E6080">
        <w:t>0006441843</w:t>
      </w:r>
      <w:r w:rsidR="00E60559">
        <w:t xml:space="preserve"> labeled “contour and DHAAT” (Suffolk Contour Overlap Study).  </w:t>
      </w:r>
    </w:p>
  </w:footnote>
  <w:footnote w:id="14">
    <w:p w:rsidR="007C7053" w:rsidRDefault="007C7053" w:rsidP="002019AA">
      <w:pPr>
        <w:pStyle w:val="FootnoteText"/>
      </w:pPr>
      <w:r w:rsidRPr="008F11B9">
        <w:rPr>
          <w:rStyle w:val="FootnoteReference"/>
        </w:rPr>
        <w:footnoteRef/>
      </w:r>
      <w:r w:rsidRPr="008F11B9">
        <w:t xml:space="preserve"> 47 C.F.R. § 1.925(b)(3)(i).</w:t>
      </w:r>
    </w:p>
  </w:footnote>
  <w:footnote w:id="15">
    <w:p w:rsidR="007C7053" w:rsidRDefault="007C7053" w:rsidP="002019AA">
      <w:pPr>
        <w:pStyle w:val="FootnoteText"/>
      </w:pPr>
      <w:r w:rsidRPr="008F11B9">
        <w:rPr>
          <w:rStyle w:val="FootnoteReference"/>
        </w:rPr>
        <w:footnoteRef/>
      </w:r>
      <w:r w:rsidRPr="008F11B9">
        <w:t xml:space="preserve"> 47 C.F.R. § 1.925(b)(3)(ii).</w:t>
      </w:r>
    </w:p>
  </w:footnote>
  <w:footnote w:id="16">
    <w:p w:rsidR="00266E4C" w:rsidRPr="00266E4C" w:rsidRDefault="00266E4C" w:rsidP="002019AA">
      <w:pPr>
        <w:pStyle w:val="FootnoteText"/>
      </w:pPr>
      <w:r>
        <w:rPr>
          <w:rStyle w:val="FootnoteReference"/>
        </w:rPr>
        <w:footnoteRef/>
      </w:r>
      <w:r>
        <w:t xml:space="preserve"> </w:t>
      </w:r>
      <w:r>
        <w:rPr>
          <w:i/>
        </w:rPr>
        <w:t>See</w:t>
      </w:r>
      <w:r>
        <w:t xml:space="preserve"> </w:t>
      </w:r>
      <w:r>
        <w:rPr>
          <w:i/>
        </w:rPr>
        <w:t xml:space="preserve">supra </w:t>
      </w:r>
      <w:r>
        <w:t xml:space="preserve">¶ </w:t>
      </w:r>
      <w:r>
        <w:fldChar w:fldCharType="begin"/>
      </w:r>
      <w:r>
        <w:instrText xml:space="preserve"> REF _Ref408211771 \r \h </w:instrText>
      </w:r>
      <w:r>
        <w:fldChar w:fldCharType="separate"/>
      </w:r>
      <w:r w:rsidR="00A22DEF">
        <w:t>4</w:t>
      </w:r>
      <w:r>
        <w:fldChar w:fldCharType="end"/>
      </w:r>
      <w:r>
        <w:t>.</w:t>
      </w:r>
    </w:p>
  </w:footnote>
  <w:footnote w:id="17">
    <w:p w:rsidR="00891789" w:rsidRDefault="00891789" w:rsidP="002019AA">
      <w:pPr>
        <w:pStyle w:val="FootnoteText"/>
      </w:pPr>
      <w:r>
        <w:rPr>
          <w:rStyle w:val="FootnoteReference"/>
        </w:rPr>
        <w:footnoteRef/>
      </w:r>
      <w:r>
        <w:t xml:space="preserve"> </w:t>
      </w:r>
      <w:r>
        <w:rPr>
          <w:i/>
        </w:rPr>
        <w:t>See</w:t>
      </w:r>
      <w:r>
        <w:t xml:space="preserve"> n.3 to Short-Spacing Separation Table in 47 C.F.R. </w:t>
      </w:r>
      <w:r w:rsidRPr="008F11B9">
        <w:t>§</w:t>
      </w:r>
      <w:r>
        <w:t xml:space="preserve"> 90.621(b)(4).</w:t>
      </w:r>
    </w:p>
  </w:footnote>
  <w:footnote w:id="18">
    <w:p w:rsidR="00891789" w:rsidRDefault="00891789" w:rsidP="002019AA">
      <w:pPr>
        <w:pStyle w:val="FootnoteText"/>
      </w:pPr>
      <w:r>
        <w:rPr>
          <w:rStyle w:val="FootnoteReference"/>
        </w:rPr>
        <w:footnoteRef/>
      </w:r>
      <w:r>
        <w:t xml:space="preserve"> </w:t>
      </w:r>
      <w:r>
        <w:rPr>
          <w:i/>
        </w:rPr>
        <w:t xml:space="preserve">See </w:t>
      </w:r>
      <w:r>
        <w:t>Suffolk Contour Overlap Study.</w:t>
      </w:r>
    </w:p>
  </w:footnote>
  <w:footnote w:id="19">
    <w:p w:rsidR="00891789" w:rsidRPr="00891789" w:rsidRDefault="00891789" w:rsidP="002019AA">
      <w:pPr>
        <w:pStyle w:val="FootnoteText"/>
      </w:pPr>
      <w:r>
        <w:rPr>
          <w:rStyle w:val="FootnoteReference"/>
        </w:rPr>
        <w:footnoteRef/>
      </w:r>
      <w:r>
        <w:t xml:space="preserve"> </w:t>
      </w:r>
      <w:r>
        <w:rPr>
          <w:i/>
        </w:rPr>
        <w:t>Id.</w:t>
      </w:r>
      <w:r>
        <w:t xml:space="preserve"> at 12.</w:t>
      </w:r>
    </w:p>
  </w:footnote>
  <w:footnote w:id="20">
    <w:p w:rsidR="00891789" w:rsidRPr="00891789" w:rsidRDefault="00891789" w:rsidP="002019AA">
      <w:pPr>
        <w:pStyle w:val="FootnoteText"/>
      </w:pPr>
      <w:r>
        <w:rPr>
          <w:rStyle w:val="FootnoteReference"/>
        </w:rPr>
        <w:footnoteRef/>
      </w:r>
      <w:r>
        <w:t xml:space="preserve"> </w:t>
      </w:r>
      <w:r>
        <w:rPr>
          <w:i/>
        </w:rPr>
        <w:t>Id.</w:t>
      </w:r>
      <w:r>
        <w:t xml:space="preserve"> at 13-24.</w:t>
      </w:r>
    </w:p>
  </w:footnote>
  <w:footnote w:id="21">
    <w:p w:rsidR="004D7618" w:rsidRDefault="004D7618">
      <w:pPr>
        <w:pStyle w:val="FootnoteText"/>
      </w:pPr>
      <w:r>
        <w:rPr>
          <w:rStyle w:val="FootnoteReference"/>
        </w:rPr>
        <w:footnoteRef/>
      </w:r>
      <w:r>
        <w:t xml:space="preserve"> Staff</w:t>
      </w:r>
      <w:r w:rsidR="00111293">
        <w:t>’s</w:t>
      </w:r>
      <w:r>
        <w:t xml:space="preserve"> </w:t>
      </w:r>
      <w:r w:rsidR="00111293">
        <w:t xml:space="preserve">contour study with all incumbents operating at 1000 watts ERP resulted in contour overlap </w:t>
      </w:r>
      <w:r w:rsidR="00525470">
        <w:t xml:space="preserve">to the </w:t>
      </w:r>
      <w:r w:rsidR="00525470">
        <w:rPr>
          <w:kern w:val="28"/>
        </w:rPr>
        <w:t>V</w:t>
      </w:r>
      <w:r w:rsidR="00DD6BFF">
        <w:rPr>
          <w:kern w:val="28"/>
        </w:rPr>
        <w:t xml:space="preserve">irginia </w:t>
      </w:r>
      <w:r w:rsidR="00525470">
        <w:rPr>
          <w:kern w:val="28"/>
        </w:rPr>
        <w:t>Co-Channel Licensees</w:t>
      </w:r>
      <w:r w:rsidR="00525470">
        <w:t xml:space="preserve"> </w:t>
      </w:r>
      <w:r w:rsidR="00111293">
        <w:t>f</w:t>
      </w:r>
      <w:r w:rsidR="00525470">
        <w:t xml:space="preserve">rom </w:t>
      </w:r>
      <w:r w:rsidR="00111293">
        <w:t>proposed base station locations 7 and 8 but none fr</w:t>
      </w:r>
      <w:r w:rsidR="00525470">
        <w:t>om</w:t>
      </w:r>
      <w:r w:rsidR="00111293">
        <w:t xml:space="preserve"> proposed base station location 6. </w:t>
      </w:r>
    </w:p>
  </w:footnote>
  <w:footnote w:id="22">
    <w:p w:rsidR="00BF3014" w:rsidRDefault="00BF3014" w:rsidP="002019AA">
      <w:pPr>
        <w:pStyle w:val="FootnoteText"/>
      </w:pPr>
      <w:r>
        <w:rPr>
          <w:rStyle w:val="FootnoteReference"/>
        </w:rPr>
        <w:footnoteRef/>
      </w:r>
      <w:r>
        <w:t xml:space="preserve"> Suffolk </w:t>
      </w:r>
      <w:r w:rsidRPr="008F11B9">
        <w:t>Waiver Request</w:t>
      </w:r>
      <w:r>
        <w:t xml:space="preserve"> at 1.</w:t>
      </w:r>
    </w:p>
  </w:footnote>
  <w:footnote w:id="23">
    <w:p w:rsidR="003A47DD" w:rsidRDefault="003A47DD">
      <w:pPr>
        <w:pStyle w:val="FootnoteText"/>
      </w:pPr>
      <w:r>
        <w:rPr>
          <w:rStyle w:val="FootnoteReference"/>
        </w:rPr>
        <w:footnoteRef/>
      </w:r>
      <w:r>
        <w:t xml:space="preserve"> Suffolk proposes to operate frequency 858.4375 MHz at Location 7 which is located only 85.4 kilometers </w:t>
      </w:r>
      <w:r w:rsidR="00E75197">
        <w:t xml:space="preserve">from PLRM station </w:t>
      </w:r>
      <w:r>
        <w:t>call sign KNNR257</w:t>
      </w:r>
      <w:r w:rsidR="00E75197">
        <w:t>, City of Hopewell</w:t>
      </w:r>
      <w:r>
        <w:t xml:space="preserve">.  </w:t>
      </w:r>
      <w:r>
        <w:rPr>
          <w:i/>
        </w:rPr>
        <w:t xml:space="preserve">See </w:t>
      </w:r>
      <w:r>
        <w:t>Suffolk Contour Overlap Study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4B" w:rsidRDefault="00A74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0A" w:rsidRDefault="007C7053">
    <w:pPr>
      <w:pStyle w:val="Header"/>
      <w:pBdr>
        <w:bottom w:val="single" w:sz="12" w:space="1" w:color="auto"/>
      </w:pBdr>
      <w:rPr>
        <w:b w:val="0"/>
      </w:rPr>
    </w:pPr>
    <w:r>
      <w:tab/>
      <w:t>Federal Communications Commission</w:t>
    </w:r>
    <w:r>
      <w:tab/>
    </w:r>
    <w:r w:rsidR="00DE5313">
      <w:t xml:space="preserve">DA </w:t>
    </w:r>
    <w:r w:rsidR="00DE5313" w:rsidRPr="00DE5313">
      <w:t>15-14</w:t>
    </w:r>
  </w:p>
  <w:p w:rsidR="00D0430A" w:rsidRDefault="007C705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242563E9" wp14:editId="4976AD06">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0430A" w:rsidRDefault="000C44D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0A" w:rsidRDefault="007C7053">
    <w:pPr>
      <w:pStyle w:val="Header"/>
      <w:pBdr>
        <w:bottom w:val="single" w:sz="12" w:space="1" w:color="auto"/>
      </w:pBdr>
      <w:rPr>
        <w:b w:val="0"/>
      </w:rPr>
    </w:pPr>
    <w:r>
      <w:tab/>
      <w:t>Federal Communications Commission</w:t>
    </w:r>
    <w:r>
      <w:tab/>
    </w:r>
    <w:r w:rsidR="00DE5313">
      <w:rPr>
        <w:spacing w:val="-2"/>
      </w:rPr>
      <w:t xml:space="preserve">DA </w:t>
    </w:r>
    <w:r w:rsidR="00DE5313" w:rsidRPr="00DE5313">
      <w:rPr>
        <w:spacing w:val="-2"/>
      </w:rPr>
      <w:t>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53"/>
    <w:rsid w:val="00054093"/>
    <w:rsid w:val="00065BA3"/>
    <w:rsid w:val="000832D4"/>
    <w:rsid w:val="0009519A"/>
    <w:rsid w:val="000C44DF"/>
    <w:rsid w:val="00111293"/>
    <w:rsid w:val="00117E1E"/>
    <w:rsid w:val="001B7A2B"/>
    <w:rsid w:val="002019AA"/>
    <w:rsid w:val="00251A8C"/>
    <w:rsid w:val="00266E4C"/>
    <w:rsid w:val="002B0A49"/>
    <w:rsid w:val="002B4E0B"/>
    <w:rsid w:val="002C3705"/>
    <w:rsid w:val="002F4C7F"/>
    <w:rsid w:val="00323BFC"/>
    <w:rsid w:val="00362368"/>
    <w:rsid w:val="00385818"/>
    <w:rsid w:val="003A47DD"/>
    <w:rsid w:val="003C27D8"/>
    <w:rsid w:val="00487936"/>
    <w:rsid w:val="004D7618"/>
    <w:rsid w:val="004F18CC"/>
    <w:rsid w:val="00503A40"/>
    <w:rsid w:val="00525470"/>
    <w:rsid w:val="00571A55"/>
    <w:rsid w:val="005734FD"/>
    <w:rsid w:val="005F151E"/>
    <w:rsid w:val="006274A7"/>
    <w:rsid w:val="0065075E"/>
    <w:rsid w:val="006B4851"/>
    <w:rsid w:val="006D1013"/>
    <w:rsid w:val="007B56BE"/>
    <w:rsid w:val="007C7053"/>
    <w:rsid w:val="007E6C8F"/>
    <w:rsid w:val="007F518A"/>
    <w:rsid w:val="008353E7"/>
    <w:rsid w:val="0085392A"/>
    <w:rsid w:val="008574A3"/>
    <w:rsid w:val="00891789"/>
    <w:rsid w:val="00897715"/>
    <w:rsid w:val="00903B26"/>
    <w:rsid w:val="00923356"/>
    <w:rsid w:val="009250F5"/>
    <w:rsid w:val="00947F15"/>
    <w:rsid w:val="00960880"/>
    <w:rsid w:val="009665FF"/>
    <w:rsid w:val="009C30E3"/>
    <w:rsid w:val="00A22DEF"/>
    <w:rsid w:val="00A25CF6"/>
    <w:rsid w:val="00A74B4B"/>
    <w:rsid w:val="00AD4E9C"/>
    <w:rsid w:val="00AF2218"/>
    <w:rsid w:val="00BB31B2"/>
    <w:rsid w:val="00BE2F66"/>
    <w:rsid w:val="00BF3014"/>
    <w:rsid w:val="00C27C1D"/>
    <w:rsid w:val="00C74111"/>
    <w:rsid w:val="00CC7902"/>
    <w:rsid w:val="00CE1996"/>
    <w:rsid w:val="00D20BDB"/>
    <w:rsid w:val="00DB31A5"/>
    <w:rsid w:val="00DC6E73"/>
    <w:rsid w:val="00DD6BFF"/>
    <w:rsid w:val="00DE5313"/>
    <w:rsid w:val="00E03086"/>
    <w:rsid w:val="00E0454C"/>
    <w:rsid w:val="00E16D0C"/>
    <w:rsid w:val="00E313FE"/>
    <w:rsid w:val="00E60559"/>
    <w:rsid w:val="00E75197"/>
    <w:rsid w:val="00EB710E"/>
    <w:rsid w:val="00EE39E0"/>
    <w:rsid w:val="00F02C7C"/>
    <w:rsid w:val="00F31EC6"/>
    <w:rsid w:val="00F6787C"/>
    <w:rsid w:val="00F678B1"/>
    <w:rsid w:val="00F74FF1"/>
    <w:rsid w:val="00F822D7"/>
    <w:rsid w:val="00F9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7C7053"/>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kern w:val="28"/>
      <w:szCs w:val="20"/>
    </w:rPr>
  </w:style>
  <w:style w:type="paragraph" w:styleId="Heading2">
    <w:name w:val="heading 2"/>
    <w:basedOn w:val="Normal"/>
    <w:next w:val="ParaNum"/>
    <w:link w:val="Heading2Char"/>
    <w:autoRedefine/>
    <w:qFormat/>
    <w:rsid w:val="007C7053"/>
    <w:pPr>
      <w:keepNext/>
      <w:widowControl w:val="0"/>
      <w:numPr>
        <w:ilvl w:val="1"/>
        <w:numId w:val="2"/>
      </w:numPr>
      <w:spacing w:after="120" w:line="240" w:lineRule="auto"/>
      <w:outlineLvl w:val="1"/>
    </w:pPr>
    <w:rPr>
      <w:rFonts w:ascii="Times New Roman" w:eastAsia="Times New Roman" w:hAnsi="Times New Roman" w:cs="Times New Roman"/>
      <w:b/>
      <w:kern w:val="28"/>
      <w:szCs w:val="20"/>
    </w:rPr>
  </w:style>
  <w:style w:type="paragraph" w:styleId="Heading3">
    <w:name w:val="heading 3"/>
    <w:basedOn w:val="Normal"/>
    <w:next w:val="ParaNum"/>
    <w:link w:val="Heading3Char"/>
    <w:qFormat/>
    <w:rsid w:val="007C7053"/>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kern w:val="28"/>
      <w:szCs w:val="20"/>
    </w:rPr>
  </w:style>
  <w:style w:type="paragraph" w:styleId="Heading4">
    <w:name w:val="heading 4"/>
    <w:basedOn w:val="Normal"/>
    <w:next w:val="ParaNum"/>
    <w:link w:val="Heading4Char"/>
    <w:qFormat/>
    <w:rsid w:val="007C7053"/>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kern w:val="28"/>
      <w:szCs w:val="20"/>
    </w:rPr>
  </w:style>
  <w:style w:type="paragraph" w:styleId="Heading5">
    <w:name w:val="heading 5"/>
    <w:basedOn w:val="Normal"/>
    <w:next w:val="ParaNum"/>
    <w:link w:val="Heading5Char"/>
    <w:qFormat/>
    <w:rsid w:val="007C7053"/>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kern w:val="28"/>
      <w:szCs w:val="20"/>
    </w:rPr>
  </w:style>
  <w:style w:type="paragraph" w:styleId="Heading6">
    <w:name w:val="heading 6"/>
    <w:basedOn w:val="Normal"/>
    <w:next w:val="ParaNum"/>
    <w:link w:val="Heading6Char"/>
    <w:qFormat/>
    <w:rsid w:val="007C7053"/>
    <w:pPr>
      <w:widowControl w:val="0"/>
      <w:numPr>
        <w:ilvl w:val="5"/>
        <w:numId w:val="2"/>
      </w:numPr>
      <w:tabs>
        <w:tab w:val="left" w:pos="4320"/>
      </w:tabs>
      <w:spacing w:after="120" w:line="240" w:lineRule="auto"/>
      <w:outlineLvl w:val="5"/>
    </w:pPr>
    <w:rPr>
      <w:rFonts w:ascii="Times New Roman" w:eastAsia="Times New Roman" w:hAnsi="Times New Roman" w:cs="Times New Roman"/>
      <w:b/>
      <w:kern w:val="28"/>
      <w:szCs w:val="20"/>
    </w:rPr>
  </w:style>
  <w:style w:type="paragraph" w:styleId="Heading7">
    <w:name w:val="heading 7"/>
    <w:basedOn w:val="Normal"/>
    <w:next w:val="ParaNum"/>
    <w:link w:val="Heading7Char"/>
    <w:qFormat/>
    <w:rsid w:val="007C7053"/>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kern w:val="28"/>
      <w:szCs w:val="20"/>
    </w:rPr>
  </w:style>
  <w:style w:type="paragraph" w:styleId="Heading8">
    <w:name w:val="heading 8"/>
    <w:basedOn w:val="Normal"/>
    <w:next w:val="ParaNum"/>
    <w:link w:val="Heading8Char"/>
    <w:qFormat/>
    <w:rsid w:val="007C7053"/>
    <w:pPr>
      <w:widowControl w:val="0"/>
      <w:numPr>
        <w:ilvl w:val="7"/>
        <w:numId w:val="2"/>
      </w:numPr>
      <w:tabs>
        <w:tab w:val="left" w:pos="5760"/>
      </w:tabs>
      <w:spacing w:after="120" w:line="240" w:lineRule="auto"/>
      <w:ind w:left="5760" w:hanging="720"/>
      <w:outlineLvl w:val="7"/>
    </w:pPr>
    <w:rPr>
      <w:rFonts w:ascii="Times New Roman" w:eastAsia="Times New Roman" w:hAnsi="Times New Roman" w:cs="Times New Roman"/>
      <w:b/>
      <w:kern w:val="28"/>
      <w:szCs w:val="20"/>
    </w:rPr>
  </w:style>
  <w:style w:type="paragraph" w:styleId="Heading9">
    <w:name w:val="heading 9"/>
    <w:basedOn w:val="Normal"/>
    <w:next w:val="ParaNum"/>
    <w:link w:val="Heading9Char"/>
    <w:qFormat/>
    <w:rsid w:val="007C7053"/>
    <w:pPr>
      <w:widowControl w:val="0"/>
      <w:numPr>
        <w:ilvl w:val="8"/>
        <w:numId w:val="2"/>
      </w:numPr>
      <w:tabs>
        <w:tab w:val="left" w:pos="6480"/>
      </w:tabs>
      <w:spacing w:after="120" w:line="240" w:lineRule="auto"/>
      <w:ind w:left="6480" w:hanging="720"/>
      <w:outlineLvl w:val="8"/>
    </w:pPr>
    <w:rPr>
      <w:rFonts w:ascii="Times New Roman" w:eastAsia="Times New Roman" w:hAnsi="Times New Roma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053"/>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7C7053"/>
    <w:rPr>
      <w:rFonts w:ascii="Times New Roman" w:eastAsia="Times New Roman" w:hAnsi="Times New Roman" w:cs="Times New Roman"/>
      <w:b/>
      <w:kern w:val="28"/>
      <w:szCs w:val="20"/>
    </w:rPr>
  </w:style>
  <w:style w:type="character" w:customStyle="1" w:styleId="Heading3Char">
    <w:name w:val="Heading 3 Char"/>
    <w:basedOn w:val="DefaultParagraphFont"/>
    <w:link w:val="Heading3"/>
    <w:rsid w:val="007C7053"/>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7C7053"/>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7C7053"/>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7C7053"/>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7C7053"/>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7C7053"/>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7C7053"/>
    <w:rPr>
      <w:rFonts w:ascii="Times New Roman" w:eastAsia="Times New Roman" w:hAnsi="Times New Roman" w:cs="Times New Roman"/>
      <w:b/>
      <w:kern w:val="28"/>
      <w:szCs w:val="20"/>
    </w:rPr>
  </w:style>
  <w:style w:type="paragraph" w:customStyle="1" w:styleId="ParaNum">
    <w:name w:val="ParaNum"/>
    <w:basedOn w:val="Normal"/>
    <w:rsid w:val="007C7053"/>
    <w:pPr>
      <w:widowControl w:val="0"/>
      <w:numPr>
        <w:numId w:val="1"/>
      </w:numPr>
      <w:spacing w:after="120" w:line="240" w:lineRule="auto"/>
    </w:pPr>
    <w:rPr>
      <w:rFonts w:ascii="Times New Roman" w:eastAsia="Times New Roman" w:hAnsi="Times New Roman" w:cs="Times New Roman"/>
      <w:kern w:val="28"/>
      <w:szCs w:val="20"/>
    </w:rPr>
  </w:style>
  <w:style w:type="paragraph" w:styleId="FootnoteText">
    <w:name w:val="footnote text"/>
    <w:aliases w:val="ALTS FOOTNOTE,fn,FOOTNOTE,Footnote Text Char2,Footnote Text Char Char,Footnote Text Char1 Char Char,Footnote Text Char Char Char Char,Footnote Text Char1 Char Char Char Char,Footnote Text Char Char Char Char Char Char1"/>
    <w:basedOn w:val="Normal"/>
    <w:link w:val="FootnoteTextChar"/>
    <w:semiHidden/>
    <w:rsid w:val="007C705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Char,Footnote Text Char2 Char,Footnote Text Char Char Char,Footnote Text Char1 Char Char Char,Footnote Text Char Char Char Char Char,Footnote Text Char1 Char Char Char Char Char"/>
    <w:basedOn w:val="DefaultParagraphFont"/>
    <w:link w:val="FootnoteText"/>
    <w:semiHidden/>
    <w:rsid w:val="007C705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o,fr,Style 3,FR"/>
    <w:basedOn w:val="DefaultParagraphFont"/>
    <w:semiHidden/>
    <w:rsid w:val="007C7053"/>
    <w:rPr>
      <w:rFonts w:ascii="Times New Roman" w:hAnsi="Times New Roman"/>
      <w:color w:val="auto"/>
      <w:sz w:val="22"/>
      <w:vertAlign w:val="superscript"/>
    </w:rPr>
  </w:style>
  <w:style w:type="paragraph" w:styleId="TOAHeading">
    <w:name w:val="toa heading"/>
    <w:basedOn w:val="Normal"/>
    <w:next w:val="Normal"/>
    <w:semiHidden/>
    <w:rsid w:val="007C7053"/>
    <w:pPr>
      <w:widowControl w:val="0"/>
      <w:tabs>
        <w:tab w:val="right" w:pos="9360"/>
      </w:tabs>
      <w:suppressAutoHyphens/>
      <w:spacing w:after="0" w:line="240" w:lineRule="auto"/>
    </w:pPr>
    <w:rPr>
      <w:rFonts w:ascii="Times New Roman" w:eastAsia="Times New Roman" w:hAnsi="Times New Roman" w:cs="Times New Roman"/>
      <w:kern w:val="28"/>
      <w:szCs w:val="20"/>
    </w:rPr>
  </w:style>
  <w:style w:type="paragraph" w:styleId="Header">
    <w:name w:val="header"/>
    <w:basedOn w:val="Normal"/>
    <w:link w:val="HeaderChar"/>
    <w:autoRedefine/>
    <w:rsid w:val="007C7053"/>
    <w:pPr>
      <w:widowControl w:val="0"/>
      <w:tabs>
        <w:tab w:val="center" w:pos="4680"/>
        <w:tab w:val="right" w:pos="9360"/>
      </w:tabs>
      <w:spacing w:after="0" w:line="240" w:lineRule="auto"/>
    </w:pPr>
    <w:rPr>
      <w:rFonts w:ascii="Times New Roman" w:eastAsia="Times New Roman" w:hAnsi="Times New Roman" w:cs="Times New Roman"/>
      <w:b/>
      <w:kern w:val="28"/>
      <w:szCs w:val="20"/>
    </w:rPr>
  </w:style>
  <w:style w:type="character" w:customStyle="1" w:styleId="HeaderChar">
    <w:name w:val="Header Char"/>
    <w:basedOn w:val="DefaultParagraphFont"/>
    <w:link w:val="Header"/>
    <w:rsid w:val="007C7053"/>
    <w:rPr>
      <w:rFonts w:ascii="Times New Roman" w:eastAsia="Times New Roman" w:hAnsi="Times New Roman" w:cs="Times New Roman"/>
      <w:b/>
      <w:kern w:val="28"/>
      <w:szCs w:val="20"/>
    </w:rPr>
  </w:style>
  <w:style w:type="paragraph" w:styleId="Footer">
    <w:name w:val="footer"/>
    <w:basedOn w:val="Normal"/>
    <w:link w:val="FooterChar"/>
    <w:rsid w:val="007C7053"/>
    <w:pPr>
      <w:widowControl w:val="0"/>
      <w:tabs>
        <w:tab w:val="center" w:pos="4320"/>
        <w:tab w:val="right" w:pos="8640"/>
      </w:tabs>
      <w:spacing w:after="0" w:line="240" w:lineRule="auto"/>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7C7053"/>
    <w:rPr>
      <w:rFonts w:ascii="Times New Roman" w:eastAsia="Times New Roman" w:hAnsi="Times New Roman" w:cs="Times New Roman"/>
      <w:kern w:val="28"/>
      <w:szCs w:val="20"/>
    </w:rPr>
  </w:style>
  <w:style w:type="paragraph" w:customStyle="1" w:styleId="StyleBoldCentered">
    <w:name w:val="Style Bold Centered"/>
    <w:basedOn w:val="Normal"/>
    <w:rsid w:val="007C7053"/>
    <w:pPr>
      <w:widowControl w:val="0"/>
      <w:spacing w:after="0" w:line="240" w:lineRule="auto"/>
      <w:jc w:val="center"/>
    </w:pPr>
    <w:rPr>
      <w:rFonts w:ascii="Times New Roman Bold" w:eastAsia="Times New Roman" w:hAnsi="Times New Roman Bold" w:cs="Times New Roman"/>
      <w:b/>
      <w:bCs/>
      <w:caps/>
      <w:kern w:val="28"/>
    </w:rPr>
  </w:style>
  <w:style w:type="table" w:styleId="TableGrid">
    <w:name w:val="Table Grid"/>
    <w:basedOn w:val="TableNormal"/>
    <w:rsid w:val="00F31EC6"/>
    <w:pPr>
      <w:widowControl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7C7053"/>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kern w:val="28"/>
      <w:szCs w:val="20"/>
    </w:rPr>
  </w:style>
  <w:style w:type="paragraph" w:styleId="Heading2">
    <w:name w:val="heading 2"/>
    <w:basedOn w:val="Normal"/>
    <w:next w:val="ParaNum"/>
    <w:link w:val="Heading2Char"/>
    <w:autoRedefine/>
    <w:qFormat/>
    <w:rsid w:val="007C7053"/>
    <w:pPr>
      <w:keepNext/>
      <w:widowControl w:val="0"/>
      <w:numPr>
        <w:ilvl w:val="1"/>
        <w:numId w:val="2"/>
      </w:numPr>
      <w:spacing w:after="120" w:line="240" w:lineRule="auto"/>
      <w:outlineLvl w:val="1"/>
    </w:pPr>
    <w:rPr>
      <w:rFonts w:ascii="Times New Roman" w:eastAsia="Times New Roman" w:hAnsi="Times New Roman" w:cs="Times New Roman"/>
      <w:b/>
      <w:kern w:val="28"/>
      <w:szCs w:val="20"/>
    </w:rPr>
  </w:style>
  <w:style w:type="paragraph" w:styleId="Heading3">
    <w:name w:val="heading 3"/>
    <w:basedOn w:val="Normal"/>
    <w:next w:val="ParaNum"/>
    <w:link w:val="Heading3Char"/>
    <w:qFormat/>
    <w:rsid w:val="007C7053"/>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kern w:val="28"/>
      <w:szCs w:val="20"/>
    </w:rPr>
  </w:style>
  <w:style w:type="paragraph" w:styleId="Heading4">
    <w:name w:val="heading 4"/>
    <w:basedOn w:val="Normal"/>
    <w:next w:val="ParaNum"/>
    <w:link w:val="Heading4Char"/>
    <w:qFormat/>
    <w:rsid w:val="007C7053"/>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kern w:val="28"/>
      <w:szCs w:val="20"/>
    </w:rPr>
  </w:style>
  <w:style w:type="paragraph" w:styleId="Heading5">
    <w:name w:val="heading 5"/>
    <w:basedOn w:val="Normal"/>
    <w:next w:val="ParaNum"/>
    <w:link w:val="Heading5Char"/>
    <w:qFormat/>
    <w:rsid w:val="007C7053"/>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kern w:val="28"/>
      <w:szCs w:val="20"/>
    </w:rPr>
  </w:style>
  <w:style w:type="paragraph" w:styleId="Heading6">
    <w:name w:val="heading 6"/>
    <w:basedOn w:val="Normal"/>
    <w:next w:val="ParaNum"/>
    <w:link w:val="Heading6Char"/>
    <w:qFormat/>
    <w:rsid w:val="007C7053"/>
    <w:pPr>
      <w:widowControl w:val="0"/>
      <w:numPr>
        <w:ilvl w:val="5"/>
        <w:numId w:val="2"/>
      </w:numPr>
      <w:tabs>
        <w:tab w:val="left" w:pos="4320"/>
      </w:tabs>
      <w:spacing w:after="120" w:line="240" w:lineRule="auto"/>
      <w:outlineLvl w:val="5"/>
    </w:pPr>
    <w:rPr>
      <w:rFonts w:ascii="Times New Roman" w:eastAsia="Times New Roman" w:hAnsi="Times New Roman" w:cs="Times New Roman"/>
      <w:b/>
      <w:kern w:val="28"/>
      <w:szCs w:val="20"/>
    </w:rPr>
  </w:style>
  <w:style w:type="paragraph" w:styleId="Heading7">
    <w:name w:val="heading 7"/>
    <w:basedOn w:val="Normal"/>
    <w:next w:val="ParaNum"/>
    <w:link w:val="Heading7Char"/>
    <w:qFormat/>
    <w:rsid w:val="007C7053"/>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kern w:val="28"/>
      <w:szCs w:val="20"/>
    </w:rPr>
  </w:style>
  <w:style w:type="paragraph" w:styleId="Heading8">
    <w:name w:val="heading 8"/>
    <w:basedOn w:val="Normal"/>
    <w:next w:val="ParaNum"/>
    <w:link w:val="Heading8Char"/>
    <w:qFormat/>
    <w:rsid w:val="007C7053"/>
    <w:pPr>
      <w:widowControl w:val="0"/>
      <w:numPr>
        <w:ilvl w:val="7"/>
        <w:numId w:val="2"/>
      </w:numPr>
      <w:tabs>
        <w:tab w:val="left" w:pos="5760"/>
      </w:tabs>
      <w:spacing w:after="120" w:line="240" w:lineRule="auto"/>
      <w:ind w:left="5760" w:hanging="720"/>
      <w:outlineLvl w:val="7"/>
    </w:pPr>
    <w:rPr>
      <w:rFonts w:ascii="Times New Roman" w:eastAsia="Times New Roman" w:hAnsi="Times New Roman" w:cs="Times New Roman"/>
      <w:b/>
      <w:kern w:val="28"/>
      <w:szCs w:val="20"/>
    </w:rPr>
  </w:style>
  <w:style w:type="paragraph" w:styleId="Heading9">
    <w:name w:val="heading 9"/>
    <w:basedOn w:val="Normal"/>
    <w:next w:val="ParaNum"/>
    <w:link w:val="Heading9Char"/>
    <w:qFormat/>
    <w:rsid w:val="007C7053"/>
    <w:pPr>
      <w:widowControl w:val="0"/>
      <w:numPr>
        <w:ilvl w:val="8"/>
        <w:numId w:val="2"/>
      </w:numPr>
      <w:tabs>
        <w:tab w:val="left" w:pos="6480"/>
      </w:tabs>
      <w:spacing w:after="120" w:line="240" w:lineRule="auto"/>
      <w:ind w:left="6480" w:hanging="720"/>
      <w:outlineLvl w:val="8"/>
    </w:pPr>
    <w:rPr>
      <w:rFonts w:ascii="Times New Roman" w:eastAsia="Times New Roman" w:hAnsi="Times New Roma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053"/>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7C7053"/>
    <w:rPr>
      <w:rFonts w:ascii="Times New Roman" w:eastAsia="Times New Roman" w:hAnsi="Times New Roman" w:cs="Times New Roman"/>
      <w:b/>
      <w:kern w:val="28"/>
      <w:szCs w:val="20"/>
    </w:rPr>
  </w:style>
  <w:style w:type="character" w:customStyle="1" w:styleId="Heading3Char">
    <w:name w:val="Heading 3 Char"/>
    <w:basedOn w:val="DefaultParagraphFont"/>
    <w:link w:val="Heading3"/>
    <w:rsid w:val="007C7053"/>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7C7053"/>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7C7053"/>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7C7053"/>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7C7053"/>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7C7053"/>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7C7053"/>
    <w:rPr>
      <w:rFonts w:ascii="Times New Roman" w:eastAsia="Times New Roman" w:hAnsi="Times New Roman" w:cs="Times New Roman"/>
      <w:b/>
      <w:kern w:val="28"/>
      <w:szCs w:val="20"/>
    </w:rPr>
  </w:style>
  <w:style w:type="paragraph" w:customStyle="1" w:styleId="ParaNum">
    <w:name w:val="ParaNum"/>
    <w:basedOn w:val="Normal"/>
    <w:rsid w:val="007C7053"/>
    <w:pPr>
      <w:widowControl w:val="0"/>
      <w:numPr>
        <w:numId w:val="1"/>
      </w:numPr>
      <w:spacing w:after="120" w:line="240" w:lineRule="auto"/>
    </w:pPr>
    <w:rPr>
      <w:rFonts w:ascii="Times New Roman" w:eastAsia="Times New Roman" w:hAnsi="Times New Roman" w:cs="Times New Roman"/>
      <w:kern w:val="28"/>
      <w:szCs w:val="20"/>
    </w:rPr>
  </w:style>
  <w:style w:type="paragraph" w:styleId="FootnoteText">
    <w:name w:val="footnote text"/>
    <w:aliases w:val="ALTS FOOTNOTE,fn,FOOTNOTE,Footnote Text Char2,Footnote Text Char Char,Footnote Text Char1 Char Char,Footnote Text Char Char Char Char,Footnote Text Char1 Char Char Char Char,Footnote Text Char Char Char Char Char Char1"/>
    <w:basedOn w:val="Normal"/>
    <w:link w:val="FootnoteTextChar"/>
    <w:semiHidden/>
    <w:rsid w:val="007C705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Char,Footnote Text Char2 Char,Footnote Text Char Char Char,Footnote Text Char1 Char Char Char,Footnote Text Char Char Char Char Char,Footnote Text Char1 Char Char Char Char Char"/>
    <w:basedOn w:val="DefaultParagraphFont"/>
    <w:link w:val="FootnoteText"/>
    <w:semiHidden/>
    <w:rsid w:val="007C705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o,fr,Style 3,FR"/>
    <w:basedOn w:val="DefaultParagraphFont"/>
    <w:semiHidden/>
    <w:rsid w:val="007C7053"/>
    <w:rPr>
      <w:rFonts w:ascii="Times New Roman" w:hAnsi="Times New Roman"/>
      <w:color w:val="auto"/>
      <w:sz w:val="22"/>
      <w:vertAlign w:val="superscript"/>
    </w:rPr>
  </w:style>
  <w:style w:type="paragraph" w:styleId="TOAHeading">
    <w:name w:val="toa heading"/>
    <w:basedOn w:val="Normal"/>
    <w:next w:val="Normal"/>
    <w:semiHidden/>
    <w:rsid w:val="007C7053"/>
    <w:pPr>
      <w:widowControl w:val="0"/>
      <w:tabs>
        <w:tab w:val="right" w:pos="9360"/>
      </w:tabs>
      <w:suppressAutoHyphens/>
      <w:spacing w:after="0" w:line="240" w:lineRule="auto"/>
    </w:pPr>
    <w:rPr>
      <w:rFonts w:ascii="Times New Roman" w:eastAsia="Times New Roman" w:hAnsi="Times New Roman" w:cs="Times New Roman"/>
      <w:kern w:val="28"/>
      <w:szCs w:val="20"/>
    </w:rPr>
  </w:style>
  <w:style w:type="paragraph" w:styleId="Header">
    <w:name w:val="header"/>
    <w:basedOn w:val="Normal"/>
    <w:link w:val="HeaderChar"/>
    <w:autoRedefine/>
    <w:rsid w:val="007C7053"/>
    <w:pPr>
      <w:widowControl w:val="0"/>
      <w:tabs>
        <w:tab w:val="center" w:pos="4680"/>
        <w:tab w:val="right" w:pos="9360"/>
      </w:tabs>
      <w:spacing w:after="0" w:line="240" w:lineRule="auto"/>
    </w:pPr>
    <w:rPr>
      <w:rFonts w:ascii="Times New Roman" w:eastAsia="Times New Roman" w:hAnsi="Times New Roman" w:cs="Times New Roman"/>
      <w:b/>
      <w:kern w:val="28"/>
      <w:szCs w:val="20"/>
    </w:rPr>
  </w:style>
  <w:style w:type="character" w:customStyle="1" w:styleId="HeaderChar">
    <w:name w:val="Header Char"/>
    <w:basedOn w:val="DefaultParagraphFont"/>
    <w:link w:val="Header"/>
    <w:rsid w:val="007C7053"/>
    <w:rPr>
      <w:rFonts w:ascii="Times New Roman" w:eastAsia="Times New Roman" w:hAnsi="Times New Roman" w:cs="Times New Roman"/>
      <w:b/>
      <w:kern w:val="28"/>
      <w:szCs w:val="20"/>
    </w:rPr>
  </w:style>
  <w:style w:type="paragraph" w:styleId="Footer">
    <w:name w:val="footer"/>
    <w:basedOn w:val="Normal"/>
    <w:link w:val="FooterChar"/>
    <w:rsid w:val="007C7053"/>
    <w:pPr>
      <w:widowControl w:val="0"/>
      <w:tabs>
        <w:tab w:val="center" w:pos="4320"/>
        <w:tab w:val="right" w:pos="8640"/>
      </w:tabs>
      <w:spacing w:after="0" w:line="240" w:lineRule="auto"/>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7C7053"/>
    <w:rPr>
      <w:rFonts w:ascii="Times New Roman" w:eastAsia="Times New Roman" w:hAnsi="Times New Roman" w:cs="Times New Roman"/>
      <w:kern w:val="28"/>
      <w:szCs w:val="20"/>
    </w:rPr>
  </w:style>
  <w:style w:type="paragraph" w:customStyle="1" w:styleId="StyleBoldCentered">
    <w:name w:val="Style Bold Centered"/>
    <w:basedOn w:val="Normal"/>
    <w:rsid w:val="007C7053"/>
    <w:pPr>
      <w:widowControl w:val="0"/>
      <w:spacing w:after="0" w:line="240" w:lineRule="auto"/>
      <w:jc w:val="center"/>
    </w:pPr>
    <w:rPr>
      <w:rFonts w:ascii="Times New Roman Bold" w:eastAsia="Times New Roman" w:hAnsi="Times New Roman Bold" w:cs="Times New Roman"/>
      <w:b/>
      <w:bCs/>
      <w:caps/>
      <w:kern w:val="28"/>
    </w:rPr>
  </w:style>
  <w:style w:type="table" w:styleId="TableGrid">
    <w:name w:val="Table Grid"/>
    <w:basedOn w:val="TableNormal"/>
    <w:rsid w:val="00F31EC6"/>
    <w:pPr>
      <w:widowControl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1617</Words>
  <Characters>8726</Characters>
  <Application>Microsoft Office Word</Application>
  <DocSecurity>0</DocSecurity>
  <Lines>317</Lines>
  <Paragraphs>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2015-01-07T14:13:00Z</cp:lastPrinted>
  <dcterms:created xsi:type="dcterms:W3CDTF">2015-01-08T15:12:00Z</dcterms:created>
  <dcterms:modified xsi:type="dcterms:W3CDTF">2015-01-08T15:12:00Z</dcterms:modified>
  <cp:category> </cp:category>
  <cp:contentStatus> </cp:contentStatus>
</cp:coreProperties>
</file>