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C1" w:rsidRDefault="00DC23C1">
      <w:pPr>
        <w:jc w:val="right"/>
        <w:rPr>
          <w:b/>
          <w:szCs w:val="22"/>
        </w:rPr>
        <w:sectPr w:rsidR="00DC23C1" w:rsidSect="00DC23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pPr>
      <w:bookmarkStart w:id="1" w:name="_GoBack"/>
      <w:bookmarkEnd w:id="1"/>
    </w:p>
    <w:p w:rsidR="00602577" w:rsidRPr="001602A4" w:rsidRDefault="002975B0">
      <w:pPr>
        <w:jc w:val="right"/>
        <w:rPr>
          <w:b/>
          <w:szCs w:val="22"/>
        </w:rPr>
      </w:pPr>
      <w:r>
        <w:rPr>
          <w:b/>
          <w:szCs w:val="22"/>
        </w:rPr>
        <w:lastRenderedPageBreak/>
        <w:t>DA 15</w:t>
      </w:r>
      <w:r w:rsidR="008F4794" w:rsidRPr="001602A4">
        <w:rPr>
          <w:b/>
          <w:szCs w:val="22"/>
        </w:rPr>
        <w:t>-</w:t>
      </w:r>
      <w:r w:rsidR="00C459EA">
        <w:rPr>
          <w:b/>
          <w:szCs w:val="22"/>
        </w:rPr>
        <w:t>157</w:t>
      </w:r>
    </w:p>
    <w:p w:rsidR="00602577" w:rsidRPr="001602A4" w:rsidRDefault="00AB0DE7">
      <w:pPr>
        <w:spacing w:before="60"/>
        <w:jc w:val="right"/>
        <w:rPr>
          <w:b/>
          <w:szCs w:val="22"/>
        </w:rPr>
      </w:pPr>
      <w:r w:rsidRPr="001602A4">
        <w:rPr>
          <w:b/>
          <w:szCs w:val="22"/>
        </w:rPr>
        <w:t xml:space="preserve">Released: </w:t>
      </w:r>
      <w:r w:rsidR="000A70C1">
        <w:rPr>
          <w:b/>
          <w:szCs w:val="22"/>
        </w:rPr>
        <w:t xml:space="preserve">February </w:t>
      </w:r>
      <w:r w:rsidR="00374215">
        <w:rPr>
          <w:b/>
          <w:szCs w:val="22"/>
        </w:rPr>
        <w:t>3</w:t>
      </w:r>
      <w:r w:rsidR="002975B0">
        <w:rPr>
          <w:b/>
          <w:szCs w:val="22"/>
        </w:rPr>
        <w:t>, 2015</w:t>
      </w:r>
    </w:p>
    <w:p w:rsidR="00602577" w:rsidRPr="001602A4" w:rsidRDefault="00602577">
      <w:pPr>
        <w:jc w:val="right"/>
        <w:rPr>
          <w:szCs w:val="22"/>
        </w:rPr>
      </w:pPr>
    </w:p>
    <w:p w:rsidR="00602577" w:rsidRDefault="008F4794" w:rsidP="00374215">
      <w:pPr>
        <w:jc w:val="center"/>
        <w:rPr>
          <w:b/>
          <w:szCs w:val="22"/>
        </w:rPr>
      </w:pPr>
      <w:r w:rsidRPr="001602A4">
        <w:rPr>
          <w:b/>
          <w:szCs w:val="22"/>
        </w:rPr>
        <w:t>WIRELINE COMPETITION BUREAU</w:t>
      </w:r>
      <w:r w:rsidR="007A347E">
        <w:rPr>
          <w:b/>
          <w:szCs w:val="22"/>
        </w:rPr>
        <w:t xml:space="preserve"> </w:t>
      </w:r>
      <w:r w:rsidR="00E548DE">
        <w:rPr>
          <w:b/>
          <w:szCs w:val="22"/>
        </w:rPr>
        <w:t>ANNOUNCES ENTIT</w:t>
      </w:r>
      <w:r w:rsidR="00801CB2">
        <w:rPr>
          <w:b/>
          <w:szCs w:val="22"/>
        </w:rPr>
        <w:t>I</w:t>
      </w:r>
      <w:r w:rsidR="00E548DE">
        <w:rPr>
          <w:b/>
          <w:szCs w:val="22"/>
        </w:rPr>
        <w:t>ES UNDER CONSIDERATION</w:t>
      </w:r>
      <w:r w:rsidR="00374215">
        <w:rPr>
          <w:b/>
          <w:szCs w:val="22"/>
        </w:rPr>
        <w:t xml:space="preserve"> AS NEXT-IN-LINE BIDDE</w:t>
      </w:r>
      <w:r w:rsidR="00E548DE">
        <w:rPr>
          <w:b/>
          <w:szCs w:val="22"/>
        </w:rPr>
        <w:t>RS FOR RURAL BROADBAND EXPERIME</w:t>
      </w:r>
      <w:r w:rsidR="00374215">
        <w:rPr>
          <w:b/>
          <w:szCs w:val="22"/>
        </w:rPr>
        <w:t>N</w:t>
      </w:r>
      <w:r w:rsidR="00E548DE">
        <w:rPr>
          <w:b/>
          <w:szCs w:val="22"/>
        </w:rPr>
        <w:t>T</w:t>
      </w:r>
      <w:r w:rsidR="00374215">
        <w:rPr>
          <w:b/>
          <w:szCs w:val="22"/>
        </w:rPr>
        <w:t>S SUPPORT</w:t>
      </w:r>
    </w:p>
    <w:p w:rsidR="00374215" w:rsidRPr="001602A4" w:rsidRDefault="00374215" w:rsidP="00374215">
      <w:pPr>
        <w:jc w:val="center"/>
        <w:rPr>
          <w:b/>
          <w:szCs w:val="22"/>
        </w:rPr>
      </w:pPr>
    </w:p>
    <w:p w:rsidR="006B37D8" w:rsidRPr="001602A4" w:rsidRDefault="008F4794" w:rsidP="006B37D8">
      <w:pPr>
        <w:jc w:val="center"/>
        <w:rPr>
          <w:b/>
          <w:szCs w:val="22"/>
        </w:rPr>
      </w:pPr>
      <w:r w:rsidRPr="001602A4">
        <w:rPr>
          <w:b/>
          <w:szCs w:val="22"/>
        </w:rPr>
        <w:t>WC Docket No. 10-90</w:t>
      </w:r>
      <w:r w:rsidR="009D3A93" w:rsidRPr="001602A4">
        <w:rPr>
          <w:b/>
          <w:szCs w:val="22"/>
        </w:rPr>
        <w:t xml:space="preserve"> </w:t>
      </w:r>
    </w:p>
    <w:p w:rsidR="00602577" w:rsidRPr="001602A4" w:rsidRDefault="006B37D8" w:rsidP="004E0D23">
      <w:pPr>
        <w:spacing w:after="240"/>
        <w:jc w:val="center"/>
        <w:rPr>
          <w:b/>
          <w:szCs w:val="22"/>
        </w:rPr>
      </w:pPr>
      <w:r w:rsidRPr="001602A4">
        <w:rPr>
          <w:b/>
          <w:szCs w:val="22"/>
        </w:rPr>
        <w:t xml:space="preserve">WC Docket No. </w:t>
      </w:r>
      <w:r w:rsidR="009D3A93" w:rsidRPr="001602A4">
        <w:rPr>
          <w:b/>
          <w:szCs w:val="22"/>
        </w:rPr>
        <w:t>14-259</w:t>
      </w:r>
    </w:p>
    <w:p w:rsidR="001602A4" w:rsidRDefault="008F4794" w:rsidP="001602A4">
      <w:pPr>
        <w:spacing w:after="120"/>
        <w:rPr>
          <w:szCs w:val="22"/>
        </w:rPr>
      </w:pPr>
      <w:r>
        <w:rPr>
          <w:sz w:val="24"/>
        </w:rPr>
        <w:tab/>
      </w:r>
      <w:r w:rsidR="00374215">
        <w:rPr>
          <w:sz w:val="24"/>
        </w:rPr>
        <w:t xml:space="preserve">On December 18, 2014, </w:t>
      </w:r>
      <w:r w:rsidR="00374215" w:rsidRPr="006B37D8">
        <w:rPr>
          <w:szCs w:val="22"/>
        </w:rPr>
        <w:t xml:space="preserve">the Federal Communications Commission </w:t>
      </w:r>
      <w:r w:rsidR="00374215">
        <w:rPr>
          <w:szCs w:val="22"/>
        </w:rPr>
        <w:t xml:space="preserve">(Commission) </w:t>
      </w:r>
      <w:r w:rsidR="00374215" w:rsidRPr="006B37D8">
        <w:rPr>
          <w:szCs w:val="22"/>
        </w:rPr>
        <w:t xml:space="preserve">established a process to enable the provisional selection of additional bidders for rural broadband experiments support in the event any of the </w:t>
      </w:r>
      <w:r w:rsidR="00374215">
        <w:rPr>
          <w:szCs w:val="22"/>
        </w:rPr>
        <w:t xml:space="preserve">initial </w:t>
      </w:r>
      <w:r w:rsidR="00374215" w:rsidRPr="006B37D8">
        <w:rPr>
          <w:szCs w:val="22"/>
        </w:rPr>
        <w:t>provisionally selected bidders</w:t>
      </w:r>
      <w:r w:rsidR="00374215">
        <w:rPr>
          <w:szCs w:val="22"/>
        </w:rPr>
        <w:t xml:space="preserve"> defaulted</w:t>
      </w:r>
      <w:r w:rsidR="00374215" w:rsidRPr="006B37D8">
        <w:rPr>
          <w:szCs w:val="22"/>
        </w:rPr>
        <w:t xml:space="preserve"> before the Wireline Competition Bureau </w:t>
      </w:r>
      <w:r w:rsidR="00374215">
        <w:rPr>
          <w:szCs w:val="22"/>
        </w:rPr>
        <w:t>(Bureau) finalized</w:t>
      </w:r>
      <w:r w:rsidR="00374215" w:rsidRPr="006B37D8">
        <w:rPr>
          <w:szCs w:val="22"/>
        </w:rPr>
        <w:t xml:space="preserve"> the list of census blocks that will be offered to the price cap carriers for Phase II of the Connect America Fund.</w:t>
      </w:r>
      <w:r w:rsidR="00374215" w:rsidRPr="006B37D8">
        <w:rPr>
          <w:rStyle w:val="FootnoteReference"/>
          <w:szCs w:val="22"/>
        </w:rPr>
        <w:footnoteReference w:id="1"/>
      </w:r>
      <w:r w:rsidR="00374215" w:rsidRPr="006B37D8">
        <w:rPr>
          <w:szCs w:val="22"/>
        </w:rPr>
        <w:t xml:space="preserve">  Specifically, all bidders in the rural broadband experiments</w:t>
      </w:r>
      <w:r w:rsidR="00374215">
        <w:rPr>
          <w:szCs w:val="22"/>
        </w:rPr>
        <w:t xml:space="preserve"> interested in being considered as next-in-line bidders were required to </w:t>
      </w:r>
      <w:r w:rsidR="00374215" w:rsidRPr="006B37D8">
        <w:rPr>
          <w:szCs w:val="22"/>
        </w:rPr>
        <w:t>file</w:t>
      </w:r>
      <w:r w:rsidR="00374215">
        <w:rPr>
          <w:szCs w:val="22"/>
        </w:rPr>
        <w:t xml:space="preserve">, by </w:t>
      </w:r>
      <w:r w:rsidR="00374215" w:rsidRPr="00374215">
        <w:rPr>
          <w:szCs w:val="22"/>
        </w:rPr>
        <w:t>Tuesday, January 6, 2015</w:t>
      </w:r>
      <w:r w:rsidR="00374215">
        <w:rPr>
          <w:szCs w:val="22"/>
        </w:rPr>
        <w:t xml:space="preserve">, </w:t>
      </w:r>
      <w:r w:rsidR="00374215" w:rsidRPr="006B37D8">
        <w:rPr>
          <w:szCs w:val="22"/>
        </w:rPr>
        <w:t>their most recent three consecutive years of audited financial statements, including balance sheets, net income, and cash flow, as well as a description of the technology and system design that would be used to deliver voice and broadband service meeting the requisite speeds to all locations in the funded census blocks, including a network diagram, which must be certified by a professional engineer.</w:t>
      </w:r>
      <w:r w:rsidR="00374215" w:rsidRPr="006B37D8">
        <w:rPr>
          <w:rStyle w:val="FootnoteReference"/>
          <w:szCs w:val="22"/>
        </w:rPr>
        <w:footnoteReference w:id="2"/>
      </w:r>
      <w:r w:rsidR="00374215" w:rsidRPr="006B37D8">
        <w:rPr>
          <w:szCs w:val="22"/>
        </w:rPr>
        <w:t xml:space="preserve">  </w:t>
      </w:r>
    </w:p>
    <w:p w:rsidR="005D5E80" w:rsidRDefault="001602A4" w:rsidP="003A29DE">
      <w:pPr>
        <w:spacing w:before="120" w:after="120"/>
        <w:rPr>
          <w:szCs w:val="22"/>
        </w:rPr>
      </w:pPr>
      <w:r>
        <w:rPr>
          <w:szCs w:val="22"/>
        </w:rPr>
        <w:tab/>
      </w:r>
      <w:r w:rsidR="005D5E80">
        <w:rPr>
          <w:szCs w:val="22"/>
        </w:rPr>
        <w:t>Today, the Bureau announces the entities that successfully submitted the required financial and technical information by the Commission’s January 6</w:t>
      </w:r>
      <w:r w:rsidR="005D5E80" w:rsidRPr="005D5E80">
        <w:rPr>
          <w:szCs w:val="22"/>
          <w:vertAlign w:val="superscript"/>
        </w:rPr>
        <w:t>th</w:t>
      </w:r>
      <w:r w:rsidR="005D5E80">
        <w:rPr>
          <w:szCs w:val="22"/>
        </w:rPr>
        <w:t xml:space="preserve"> deadline.  We note that this does not </w:t>
      </w:r>
      <w:r w:rsidR="00834454">
        <w:rPr>
          <w:szCs w:val="22"/>
        </w:rPr>
        <w:t xml:space="preserve">determine </w:t>
      </w:r>
      <w:r w:rsidR="005D5E80">
        <w:rPr>
          <w:szCs w:val="22"/>
        </w:rPr>
        <w:t xml:space="preserve">which entities ultimately may be </w:t>
      </w:r>
      <w:r w:rsidR="00291790">
        <w:rPr>
          <w:szCs w:val="22"/>
        </w:rPr>
        <w:t xml:space="preserve">provisionally </w:t>
      </w:r>
      <w:r w:rsidR="005D5E80">
        <w:rPr>
          <w:szCs w:val="22"/>
        </w:rPr>
        <w:t xml:space="preserve">selected as next-in-line bidders; Attachment A simply lists the entities that </w:t>
      </w:r>
      <w:r w:rsidR="00834454">
        <w:rPr>
          <w:szCs w:val="22"/>
        </w:rPr>
        <w:t xml:space="preserve">submitted the required information and </w:t>
      </w:r>
      <w:r w:rsidR="005D5E80">
        <w:rPr>
          <w:szCs w:val="22"/>
        </w:rPr>
        <w:t>indicated their interest in remaining under consideration by the deadline.</w:t>
      </w:r>
      <w:r w:rsidR="00291790">
        <w:rPr>
          <w:rStyle w:val="FootnoteReference"/>
          <w:szCs w:val="22"/>
        </w:rPr>
        <w:footnoteReference w:id="3"/>
      </w:r>
      <w:r w:rsidR="00291790">
        <w:rPr>
          <w:szCs w:val="22"/>
        </w:rPr>
        <w:t xml:space="preserve">  </w:t>
      </w:r>
      <w:r w:rsidR="001F1AAD" w:rsidRPr="001F1AAD">
        <w:rPr>
          <w:szCs w:val="22"/>
        </w:rPr>
        <w:t xml:space="preserve">Provisionally selected bidders have until </w:t>
      </w:r>
      <w:r w:rsidR="0028448E">
        <w:rPr>
          <w:szCs w:val="22"/>
        </w:rPr>
        <w:t>11:59p.m. EST</w:t>
      </w:r>
      <w:r w:rsidR="0028448E" w:rsidRPr="001F1AAD">
        <w:rPr>
          <w:szCs w:val="22"/>
        </w:rPr>
        <w:t xml:space="preserve"> </w:t>
      </w:r>
      <w:r w:rsidR="001F1AAD" w:rsidRPr="001F1AAD">
        <w:rPr>
          <w:szCs w:val="22"/>
        </w:rPr>
        <w:t>today, February 3</w:t>
      </w:r>
      <w:r w:rsidR="001F1AAD" w:rsidRPr="001F1AAD">
        <w:rPr>
          <w:szCs w:val="22"/>
          <w:vertAlign w:val="superscript"/>
        </w:rPr>
        <w:t>rd</w:t>
      </w:r>
      <w:r w:rsidR="0028448E">
        <w:rPr>
          <w:szCs w:val="22"/>
        </w:rPr>
        <w:t>,</w:t>
      </w:r>
      <w:r w:rsidR="001F1AAD">
        <w:rPr>
          <w:szCs w:val="22"/>
        </w:rPr>
        <w:t xml:space="preserve"> </w:t>
      </w:r>
      <w:r w:rsidR="001F1AAD" w:rsidRPr="001F1AAD">
        <w:rPr>
          <w:szCs w:val="22"/>
        </w:rPr>
        <w:t>to file a letter from an acceptable bank committing to provide the bidder with a letter of credit.  Once we determine whether any additional funding is available due to the failure of any current provisionally selected bidders to file a commitment letter</w:t>
      </w:r>
      <w:r w:rsidR="00A43ABA">
        <w:rPr>
          <w:szCs w:val="22"/>
        </w:rPr>
        <w:t xml:space="preserve"> by the required deadline</w:t>
      </w:r>
      <w:r w:rsidR="001F1AAD" w:rsidRPr="001F1AAD">
        <w:rPr>
          <w:szCs w:val="22"/>
        </w:rPr>
        <w:t xml:space="preserve">, we will announce which among those on </w:t>
      </w:r>
      <w:r w:rsidR="001F1AAD">
        <w:rPr>
          <w:szCs w:val="22"/>
        </w:rPr>
        <w:t>A</w:t>
      </w:r>
      <w:r w:rsidR="001F1AAD" w:rsidRPr="001F1AAD">
        <w:rPr>
          <w:szCs w:val="22"/>
        </w:rPr>
        <w:t xml:space="preserve">ttachment </w:t>
      </w:r>
      <w:r w:rsidR="001F1AAD">
        <w:rPr>
          <w:szCs w:val="22"/>
        </w:rPr>
        <w:t xml:space="preserve">A </w:t>
      </w:r>
      <w:r w:rsidR="0028448E" w:rsidRPr="001F1AAD">
        <w:rPr>
          <w:szCs w:val="22"/>
        </w:rPr>
        <w:t xml:space="preserve">now </w:t>
      </w:r>
      <w:r w:rsidR="001F1AAD" w:rsidRPr="001F1AAD">
        <w:rPr>
          <w:szCs w:val="22"/>
        </w:rPr>
        <w:t>are provisionally selected bidders.</w:t>
      </w:r>
    </w:p>
    <w:p w:rsidR="00962449" w:rsidRPr="006B37D8" w:rsidRDefault="00962449" w:rsidP="001602A4">
      <w:pPr>
        <w:spacing w:before="120" w:after="240"/>
        <w:ind w:firstLine="720"/>
        <w:rPr>
          <w:szCs w:val="22"/>
        </w:rPr>
      </w:pPr>
      <w:r w:rsidRPr="006B37D8">
        <w:rPr>
          <w:szCs w:val="22"/>
        </w:rPr>
        <w:t>For additional information on this proceeding, contact Ian Forbes (</w:t>
      </w:r>
      <w:hyperlink r:id="rId14" w:history="1">
        <w:r w:rsidRPr="006B37D8">
          <w:rPr>
            <w:rStyle w:val="Hyperlink"/>
            <w:szCs w:val="22"/>
          </w:rPr>
          <w:t>Ian.Forbes@fcc.gov</w:t>
        </w:r>
      </w:hyperlink>
      <w:r w:rsidR="005C5EEC" w:rsidRPr="006B37D8">
        <w:rPr>
          <w:szCs w:val="22"/>
        </w:rPr>
        <w:t>)</w:t>
      </w:r>
      <w:r w:rsidRPr="006B37D8">
        <w:rPr>
          <w:szCs w:val="22"/>
        </w:rPr>
        <w:t xml:space="preserve"> of the Wireline Competition Bureau, Telecommunications Access Policy Division, (202) 418-7400.</w:t>
      </w:r>
    </w:p>
    <w:p w:rsidR="00602577" w:rsidRDefault="00962449" w:rsidP="00962449">
      <w:pPr>
        <w:spacing w:before="120" w:after="240"/>
        <w:jc w:val="center"/>
        <w:rPr>
          <w:b/>
          <w:szCs w:val="22"/>
        </w:rPr>
      </w:pPr>
      <w:r w:rsidRPr="00B1195A">
        <w:rPr>
          <w:b/>
          <w:szCs w:val="22"/>
        </w:rPr>
        <w:t>– FCC –</w:t>
      </w:r>
    </w:p>
    <w:p w:rsidR="00A06F5B" w:rsidRDefault="00A06F5B" w:rsidP="00A06F5B">
      <w:pPr>
        <w:jc w:val="center"/>
        <w:rPr>
          <w:b/>
          <w:szCs w:val="22"/>
        </w:rPr>
      </w:pPr>
      <w:r>
        <w:rPr>
          <w:b/>
          <w:szCs w:val="22"/>
        </w:rPr>
        <w:lastRenderedPageBreak/>
        <w:t>ATTACHMENT A</w:t>
      </w:r>
    </w:p>
    <w:p w:rsidR="00A06F5B" w:rsidRDefault="00A06F5B" w:rsidP="00A06F5B">
      <w:pPr>
        <w:jc w:val="center"/>
        <w:rPr>
          <w:b/>
          <w:szCs w:val="22"/>
        </w:rPr>
      </w:pPr>
      <w:r>
        <w:rPr>
          <w:b/>
          <w:szCs w:val="22"/>
        </w:rPr>
        <w:t>Potential Next-in-Line Bidders</w:t>
      </w:r>
    </w:p>
    <w:p w:rsidR="00A06F5B" w:rsidRDefault="00A06F5B" w:rsidP="00A06F5B">
      <w:pPr>
        <w:jc w:val="center"/>
        <w:rPr>
          <w:b/>
          <w:szCs w:val="22"/>
        </w:rPr>
      </w:pPr>
    </w:p>
    <w:tbl>
      <w:tblPr>
        <w:tblW w:w="6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523"/>
      </w:tblGrid>
      <w:tr w:rsidR="00A06F5B" w:rsidRPr="00DD1F71" w:rsidTr="00D76056">
        <w:trPr>
          <w:trHeight w:val="300"/>
          <w:tblHeader/>
          <w:jc w:val="center"/>
        </w:trPr>
        <w:tc>
          <w:tcPr>
            <w:tcW w:w="1332" w:type="dxa"/>
            <w:shd w:val="clear" w:color="auto" w:fill="auto"/>
            <w:noWrap/>
            <w:vAlign w:val="bottom"/>
          </w:tcPr>
          <w:p w:rsidR="00A06F5B" w:rsidRPr="00C132D4" w:rsidRDefault="00A06F5B" w:rsidP="00D76056">
            <w:pPr>
              <w:jc w:val="center"/>
              <w:rPr>
                <w:b/>
                <w:szCs w:val="22"/>
              </w:rPr>
            </w:pPr>
            <w:r w:rsidRPr="00C132D4">
              <w:rPr>
                <w:b/>
                <w:szCs w:val="22"/>
              </w:rPr>
              <w:t>FRN</w:t>
            </w:r>
          </w:p>
        </w:tc>
        <w:tc>
          <w:tcPr>
            <w:tcW w:w="5523" w:type="dxa"/>
            <w:shd w:val="clear" w:color="auto" w:fill="auto"/>
            <w:noWrap/>
            <w:vAlign w:val="bottom"/>
          </w:tcPr>
          <w:p w:rsidR="00A06F5B" w:rsidRPr="00C132D4" w:rsidRDefault="00A06F5B" w:rsidP="00D76056">
            <w:pPr>
              <w:jc w:val="center"/>
              <w:rPr>
                <w:b/>
                <w:szCs w:val="22"/>
              </w:rPr>
            </w:pPr>
            <w:r w:rsidRPr="00C132D4">
              <w:rPr>
                <w:b/>
                <w:szCs w:val="22"/>
              </w:rPr>
              <w:t>Entity Name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0015034358</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Allband Communications Cooperative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0003746898</w:t>
            </w:r>
          </w:p>
        </w:tc>
        <w:tc>
          <w:tcPr>
            <w:tcW w:w="5523" w:type="dxa"/>
            <w:shd w:val="clear" w:color="auto" w:fill="auto"/>
            <w:noWrap/>
            <w:vAlign w:val="bottom"/>
            <w:hideMark/>
          </w:tcPr>
          <w:p w:rsidR="00A06F5B" w:rsidRPr="00C132D4" w:rsidRDefault="00C132D4" w:rsidP="00D76056">
            <w:pPr>
              <w:jc w:val="center"/>
              <w:rPr>
                <w:szCs w:val="22"/>
              </w:rPr>
            </w:pPr>
            <w:r w:rsidRPr="00C132D4">
              <w:rPr>
                <w:szCs w:val="22"/>
              </w:rPr>
              <w:t>Allen’</w:t>
            </w:r>
            <w:r w:rsidR="00A06F5B" w:rsidRPr="00C132D4">
              <w:rPr>
                <w:szCs w:val="22"/>
              </w:rPr>
              <w:t>s TV Cable Service,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0002073427</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BARC Electric Cooperative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0002506384</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Barry Electric Cooperative,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0002477636</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BEK Communications Cooperative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0015024946</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Big Bend Telecom, LTD</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0018928994</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Callabyte Technology LLC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0002295400</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City of Chanute, Kansas</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0003772787</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Clarence Telephone Company,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0021854278</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Co-Mo Comm,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0007266703</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Daktel Communications, LLC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0007690258</w:t>
            </w:r>
          </w:p>
        </w:tc>
        <w:tc>
          <w:tcPr>
            <w:tcW w:w="5523" w:type="dxa"/>
            <w:shd w:val="clear" w:color="auto" w:fill="auto"/>
            <w:noWrap/>
            <w:vAlign w:val="bottom"/>
          </w:tcPr>
          <w:p w:rsidR="00A06F5B" w:rsidRPr="00C132D4" w:rsidRDefault="00A06F5B" w:rsidP="00D76056">
            <w:pPr>
              <w:jc w:val="center"/>
              <w:rPr>
                <w:szCs w:val="22"/>
              </w:rPr>
            </w:pPr>
            <w:r w:rsidRPr="00C132D4">
              <w:rPr>
                <w:szCs w:val="22"/>
              </w:rPr>
              <w:t>Delta Communications LLC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0001566306</w:t>
            </w:r>
          </w:p>
        </w:tc>
        <w:tc>
          <w:tcPr>
            <w:tcW w:w="5523" w:type="dxa"/>
            <w:shd w:val="clear" w:color="auto" w:fill="auto"/>
            <w:noWrap/>
            <w:vAlign w:val="bottom"/>
          </w:tcPr>
          <w:p w:rsidR="00A06F5B" w:rsidRPr="00C132D4" w:rsidRDefault="00A06F5B" w:rsidP="00D76056">
            <w:pPr>
              <w:jc w:val="center"/>
              <w:rPr>
                <w:szCs w:val="22"/>
              </w:rPr>
            </w:pPr>
            <w:r w:rsidRPr="00C132D4">
              <w:rPr>
                <w:szCs w:val="22"/>
              </w:rPr>
              <w:t>Douglas Services,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0005420278</w:t>
            </w:r>
          </w:p>
        </w:tc>
        <w:tc>
          <w:tcPr>
            <w:tcW w:w="5523" w:type="dxa"/>
            <w:shd w:val="clear" w:color="auto" w:fill="auto"/>
            <w:noWrap/>
            <w:vAlign w:val="bottom"/>
          </w:tcPr>
          <w:p w:rsidR="00A06F5B" w:rsidRPr="00C132D4" w:rsidRDefault="00A06F5B" w:rsidP="00D76056">
            <w:pPr>
              <w:jc w:val="center"/>
              <w:rPr>
                <w:szCs w:val="22"/>
              </w:rPr>
            </w:pPr>
            <w:r w:rsidRPr="00C132D4">
              <w:rPr>
                <w:szCs w:val="22"/>
              </w:rPr>
              <w:t>EPB</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0001624030</w:t>
            </w:r>
          </w:p>
        </w:tc>
        <w:tc>
          <w:tcPr>
            <w:tcW w:w="5523" w:type="dxa"/>
            <w:shd w:val="clear" w:color="auto" w:fill="auto"/>
            <w:noWrap/>
            <w:vAlign w:val="bottom"/>
          </w:tcPr>
          <w:p w:rsidR="00A06F5B" w:rsidRPr="00C132D4" w:rsidRDefault="00A06F5B" w:rsidP="00D76056">
            <w:pPr>
              <w:jc w:val="center"/>
              <w:rPr>
                <w:szCs w:val="22"/>
              </w:rPr>
            </w:pPr>
            <w:r w:rsidRPr="00C132D4">
              <w:rPr>
                <w:szCs w:val="22"/>
              </w:rPr>
              <w:t>Fall River Rural Electric Cooperative,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0003747722</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Farmers Mutual Telephone Company</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0003741576</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Federated Telephone Cooperative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0023978471</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French Broad Electric Membership Corporation</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0018367177</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Geneseo Communications Services,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0022311088</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Georgia Communications Cooperative,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0003744224</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Halstad Telephone Company</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0005039854</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Hargray of Georgia, Inc.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0024068207</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Henry County REMC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0004821989</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Illinois Rural Electric Cooperative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0004530812</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Kit Carson Electric Cooperative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0023985237</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Lake Region Technology &amp; Communications, LLC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0023076508</w:t>
            </w:r>
          </w:p>
        </w:tc>
        <w:tc>
          <w:tcPr>
            <w:tcW w:w="5523" w:type="dxa"/>
            <w:shd w:val="clear" w:color="auto" w:fill="auto"/>
            <w:noWrap/>
            <w:vAlign w:val="bottom"/>
          </w:tcPr>
          <w:p w:rsidR="00A06F5B" w:rsidRPr="00C132D4" w:rsidRDefault="00A06F5B" w:rsidP="00D76056">
            <w:pPr>
              <w:jc w:val="center"/>
              <w:rPr>
                <w:szCs w:val="22"/>
              </w:rPr>
            </w:pPr>
            <w:r w:rsidRPr="00C132D4">
              <w:rPr>
                <w:szCs w:val="22"/>
              </w:rPr>
              <w:t>Midwest Energy Cooperative dba Midwest Connections</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0018562611</w:t>
            </w:r>
          </w:p>
        </w:tc>
        <w:tc>
          <w:tcPr>
            <w:tcW w:w="5523" w:type="dxa"/>
            <w:shd w:val="clear" w:color="auto" w:fill="auto"/>
            <w:noWrap/>
            <w:vAlign w:val="bottom"/>
          </w:tcPr>
          <w:p w:rsidR="00A06F5B" w:rsidRPr="00C132D4" w:rsidRDefault="00A06F5B" w:rsidP="00801CB2">
            <w:pPr>
              <w:jc w:val="center"/>
              <w:rPr>
                <w:szCs w:val="22"/>
              </w:rPr>
            </w:pPr>
            <w:r w:rsidRPr="00C132D4">
              <w:rPr>
                <w:szCs w:val="22"/>
              </w:rPr>
              <w:t xml:space="preserve">New Lisbon </w:t>
            </w:r>
            <w:r w:rsidR="00801CB2">
              <w:rPr>
                <w:szCs w:val="22"/>
              </w:rPr>
              <w:t>Broadband and Communications LLC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0001732742</w:t>
            </w:r>
          </w:p>
        </w:tc>
        <w:tc>
          <w:tcPr>
            <w:tcW w:w="5523" w:type="dxa"/>
            <w:shd w:val="clear" w:color="auto" w:fill="auto"/>
            <w:noWrap/>
            <w:vAlign w:val="bottom"/>
          </w:tcPr>
          <w:p w:rsidR="00A06F5B" w:rsidRPr="00C132D4" w:rsidRDefault="00A06F5B" w:rsidP="00D76056">
            <w:pPr>
              <w:jc w:val="center"/>
              <w:rPr>
                <w:szCs w:val="22"/>
              </w:rPr>
            </w:pPr>
            <w:r w:rsidRPr="00C132D4">
              <w:rPr>
                <w:szCs w:val="22"/>
              </w:rPr>
              <w:t>North Arkansas Electric Cooperative Incorporative</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0021320155</w:t>
            </w:r>
          </w:p>
        </w:tc>
        <w:tc>
          <w:tcPr>
            <w:tcW w:w="5523" w:type="dxa"/>
            <w:shd w:val="clear" w:color="auto" w:fill="auto"/>
            <w:noWrap/>
            <w:vAlign w:val="bottom"/>
          </w:tcPr>
          <w:p w:rsidR="00A06F5B" w:rsidRPr="00C132D4" w:rsidRDefault="00A06F5B" w:rsidP="00D76056">
            <w:pPr>
              <w:jc w:val="center"/>
              <w:rPr>
                <w:szCs w:val="22"/>
              </w:rPr>
            </w:pPr>
            <w:r w:rsidRPr="00C132D4">
              <w:rPr>
                <w:szCs w:val="22"/>
              </w:rPr>
              <w:t>Northeast Rural Services,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0004364022</w:t>
            </w:r>
          </w:p>
        </w:tc>
        <w:tc>
          <w:tcPr>
            <w:tcW w:w="5523" w:type="dxa"/>
            <w:shd w:val="clear" w:color="auto" w:fill="auto"/>
            <w:noWrap/>
            <w:vAlign w:val="bottom"/>
          </w:tcPr>
          <w:p w:rsidR="00A06F5B" w:rsidRPr="00C132D4" w:rsidRDefault="00A06F5B" w:rsidP="00D76056">
            <w:pPr>
              <w:jc w:val="center"/>
              <w:rPr>
                <w:szCs w:val="22"/>
              </w:rPr>
            </w:pPr>
            <w:r w:rsidRPr="00C132D4">
              <w:rPr>
                <w:szCs w:val="22"/>
              </w:rPr>
              <w:t>Northern Valley Communications, LLC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0007956725</w:t>
            </w:r>
          </w:p>
        </w:tc>
        <w:tc>
          <w:tcPr>
            <w:tcW w:w="5523" w:type="dxa"/>
            <w:shd w:val="clear" w:color="auto" w:fill="auto"/>
            <w:noWrap/>
            <w:vAlign w:val="bottom"/>
          </w:tcPr>
          <w:p w:rsidR="00A06F5B" w:rsidRPr="00C132D4" w:rsidRDefault="00A06F5B" w:rsidP="00D76056">
            <w:pPr>
              <w:jc w:val="center"/>
              <w:rPr>
                <w:szCs w:val="22"/>
              </w:rPr>
            </w:pPr>
            <w:r w:rsidRPr="00C132D4">
              <w:rPr>
                <w:szCs w:val="22"/>
              </w:rPr>
              <w:t>Orcas Power and Light Cooperative</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0001732718</w:t>
            </w:r>
          </w:p>
        </w:tc>
        <w:tc>
          <w:tcPr>
            <w:tcW w:w="5523" w:type="dxa"/>
            <w:shd w:val="clear" w:color="auto" w:fill="auto"/>
            <w:noWrap/>
            <w:vAlign w:val="bottom"/>
          </w:tcPr>
          <w:p w:rsidR="00A06F5B" w:rsidRPr="00C132D4" w:rsidRDefault="00A06F5B" w:rsidP="00D76056">
            <w:pPr>
              <w:jc w:val="center"/>
              <w:rPr>
                <w:szCs w:val="22"/>
              </w:rPr>
            </w:pPr>
            <w:r w:rsidRPr="00C132D4">
              <w:rPr>
                <w:szCs w:val="22"/>
              </w:rPr>
              <w:t>Ozarks Electric Cooperative Corporation</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0002644953</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Paul Bunyan Rural Telephone Cooperative</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0003800570</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Plateau Telecommunications Incorporated</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0021344072</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PREPA Networks, LLC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0024048613</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Rock County Broadband Alliance, LLC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0014860530</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Sacred Wind Communications, Inc.</w:t>
            </w:r>
          </w:p>
        </w:tc>
      </w:tr>
      <w:tr w:rsidR="00C132D4" w:rsidRPr="00DD1F71" w:rsidTr="00D76056">
        <w:trPr>
          <w:trHeight w:val="300"/>
          <w:jc w:val="center"/>
        </w:trPr>
        <w:tc>
          <w:tcPr>
            <w:tcW w:w="1332" w:type="dxa"/>
            <w:shd w:val="clear" w:color="auto" w:fill="auto"/>
            <w:noWrap/>
            <w:vAlign w:val="bottom"/>
          </w:tcPr>
          <w:p w:rsidR="00C132D4" w:rsidRPr="00C132D4" w:rsidRDefault="00C132D4" w:rsidP="00D76056">
            <w:pPr>
              <w:jc w:val="center"/>
              <w:rPr>
                <w:szCs w:val="22"/>
              </w:rPr>
            </w:pPr>
            <w:r w:rsidRPr="00C132D4">
              <w:rPr>
                <w:szCs w:val="22"/>
              </w:rPr>
              <w:t>0024062309</w:t>
            </w:r>
          </w:p>
        </w:tc>
        <w:tc>
          <w:tcPr>
            <w:tcW w:w="5523" w:type="dxa"/>
            <w:shd w:val="clear" w:color="auto" w:fill="auto"/>
            <w:noWrap/>
            <w:vAlign w:val="bottom"/>
          </w:tcPr>
          <w:p w:rsidR="00C132D4" w:rsidRPr="00C132D4" w:rsidRDefault="00C132D4" w:rsidP="00D76056">
            <w:pPr>
              <w:jc w:val="center"/>
              <w:rPr>
                <w:szCs w:val="22"/>
              </w:rPr>
            </w:pPr>
            <w:r w:rsidRPr="00C132D4">
              <w:rPr>
                <w:szCs w:val="22"/>
              </w:rPr>
              <w:t>Skybeam, LLC</w:t>
            </w:r>
          </w:p>
        </w:tc>
      </w:tr>
      <w:tr w:rsidR="00A06F5B" w:rsidRPr="00DD1F71" w:rsidTr="00D76056">
        <w:trPr>
          <w:trHeight w:val="300"/>
          <w:jc w:val="center"/>
        </w:trPr>
        <w:tc>
          <w:tcPr>
            <w:tcW w:w="1332" w:type="dxa"/>
            <w:shd w:val="clear" w:color="auto" w:fill="auto"/>
            <w:noWrap/>
            <w:vAlign w:val="bottom"/>
            <w:hideMark/>
          </w:tcPr>
          <w:p w:rsidR="00A06F5B" w:rsidRPr="00C132D4" w:rsidRDefault="00A06F5B" w:rsidP="00D76056">
            <w:pPr>
              <w:jc w:val="center"/>
              <w:rPr>
                <w:szCs w:val="22"/>
              </w:rPr>
            </w:pPr>
            <w:r w:rsidRPr="00C132D4">
              <w:rPr>
                <w:szCs w:val="22"/>
              </w:rPr>
              <w:t>0010678001</w:t>
            </w:r>
          </w:p>
        </w:tc>
        <w:tc>
          <w:tcPr>
            <w:tcW w:w="5523" w:type="dxa"/>
            <w:shd w:val="clear" w:color="auto" w:fill="auto"/>
            <w:noWrap/>
            <w:vAlign w:val="bottom"/>
            <w:hideMark/>
          </w:tcPr>
          <w:p w:rsidR="00A06F5B" w:rsidRPr="00C132D4" w:rsidRDefault="00A06F5B" w:rsidP="00D76056">
            <w:pPr>
              <w:jc w:val="center"/>
              <w:rPr>
                <w:szCs w:val="22"/>
              </w:rPr>
            </w:pPr>
            <w:r w:rsidRPr="00C132D4">
              <w:rPr>
                <w:szCs w:val="22"/>
              </w:rPr>
              <w:t>Sunset Digital Communications,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0005017298</w:t>
            </w:r>
          </w:p>
        </w:tc>
        <w:tc>
          <w:tcPr>
            <w:tcW w:w="5523" w:type="dxa"/>
            <w:shd w:val="clear" w:color="auto" w:fill="auto"/>
            <w:noWrap/>
            <w:vAlign w:val="bottom"/>
          </w:tcPr>
          <w:p w:rsidR="00A06F5B" w:rsidRPr="00C132D4" w:rsidRDefault="00A06F5B" w:rsidP="00D76056">
            <w:pPr>
              <w:jc w:val="center"/>
              <w:rPr>
                <w:szCs w:val="22"/>
              </w:rPr>
            </w:pPr>
            <w:r w:rsidRPr="00C132D4">
              <w:rPr>
                <w:szCs w:val="22"/>
              </w:rPr>
              <w:t>Troy Cablevision,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0016087876</w:t>
            </w:r>
          </w:p>
        </w:tc>
        <w:tc>
          <w:tcPr>
            <w:tcW w:w="5523" w:type="dxa"/>
            <w:shd w:val="clear" w:color="auto" w:fill="auto"/>
            <w:noWrap/>
            <w:vAlign w:val="bottom"/>
          </w:tcPr>
          <w:p w:rsidR="00A06F5B" w:rsidRPr="00C132D4" w:rsidRDefault="00A06F5B" w:rsidP="00D76056">
            <w:pPr>
              <w:jc w:val="center"/>
              <w:rPr>
                <w:szCs w:val="22"/>
              </w:rPr>
            </w:pPr>
            <w:r w:rsidRPr="00C132D4">
              <w:rPr>
                <w:szCs w:val="22"/>
              </w:rPr>
              <w:t>United Electric Cooperative,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0024051898</w:t>
            </w:r>
          </w:p>
        </w:tc>
        <w:tc>
          <w:tcPr>
            <w:tcW w:w="5523" w:type="dxa"/>
            <w:shd w:val="clear" w:color="auto" w:fill="auto"/>
            <w:noWrap/>
            <w:vAlign w:val="bottom"/>
          </w:tcPr>
          <w:p w:rsidR="00A06F5B" w:rsidRPr="00C132D4" w:rsidRDefault="00A06F5B" w:rsidP="00D76056">
            <w:pPr>
              <w:jc w:val="center"/>
              <w:rPr>
                <w:szCs w:val="22"/>
              </w:rPr>
            </w:pPr>
            <w:r w:rsidRPr="00C132D4">
              <w:rPr>
                <w:szCs w:val="22"/>
              </w:rPr>
              <w:t>Valley Electric Association,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0023997562</w:t>
            </w:r>
          </w:p>
        </w:tc>
        <w:tc>
          <w:tcPr>
            <w:tcW w:w="5523" w:type="dxa"/>
            <w:shd w:val="clear" w:color="auto" w:fill="auto"/>
            <w:noWrap/>
            <w:vAlign w:val="bottom"/>
          </w:tcPr>
          <w:p w:rsidR="00A06F5B" w:rsidRPr="00C132D4" w:rsidRDefault="00A06F5B" w:rsidP="00D76056">
            <w:pPr>
              <w:jc w:val="center"/>
              <w:rPr>
                <w:szCs w:val="22"/>
              </w:rPr>
            </w:pPr>
            <w:r w:rsidRPr="00C132D4">
              <w:rPr>
                <w:szCs w:val="22"/>
              </w:rPr>
              <w:t>Volunteer Energy Cooperative</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0004327219</w:t>
            </w:r>
          </w:p>
        </w:tc>
        <w:tc>
          <w:tcPr>
            <w:tcW w:w="5523" w:type="dxa"/>
            <w:shd w:val="clear" w:color="auto" w:fill="auto"/>
            <w:noWrap/>
            <w:vAlign w:val="bottom"/>
          </w:tcPr>
          <w:p w:rsidR="00A06F5B" w:rsidRPr="00C132D4" w:rsidRDefault="00A06F5B" w:rsidP="00D76056">
            <w:pPr>
              <w:jc w:val="center"/>
              <w:rPr>
                <w:szCs w:val="22"/>
              </w:rPr>
            </w:pPr>
            <w:r w:rsidRPr="00C132D4">
              <w:rPr>
                <w:szCs w:val="22"/>
              </w:rPr>
              <w:t>Wabash Independent Networks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0002645612</w:t>
            </w:r>
          </w:p>
        </w:tc>
        <w:tc>
          <w:tcPr>
            <w:tcW w:w="5523" w:type="dxa"/>
            <w:shd w:val="clear" w:color="auto" w:fill="auto"/>
            <w:noWrap/>
            <w:vAlign w:val="bottom"/>
          </w:tcPr>
          <w:p w:rsidR="00A06F5B" w:rsidRPr="00C132D4" w:rsidRDefault="00A06F5B" w:rsidP="00D76056">
            <w:pPr>
              <w:jc w:val="center"/>
              <w:rPr>
                <w:szCs w:val="22"/>
              </w:rPr>
            </w:pPr>
            <w:r w:rsidRPr="00C132D4">
              <w:rPr>
                <w:szCs w:val="22"/>
              </w:rPr>
              <w:t>West Central Telephone Association</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0004319372</w:t>
            </w:r>
          </w:p>
        </w:tc>
        <w:tc>
          <w:tcPr>
            <w:tcW w:w="5523" w:type="dxa"/>
            <w:shd w:val="clear" w:color="auto" w:fill="auto"/>
            <w:noWrap/>
            <w:vAlign w:val="bottom"/>
          </w:tcPr>
          <w:p w:rsidR="00A06F5B" w:rsidRPr="00C132D4" w:rsidRDefault="00A06F5B" w:rsidP="00D76056">
            <w:pPr>
              <w:jc w:val="center"/>
              <w:rPr>
                <w:szCs w:val="22"/>
              </w:rPr>
            </w:pPr>
            <w:r w:rsidRPr="00C132D4">
              <w:rPr>
                <w:szCs w:val="22"/>
              </w:rPr>
              <w:t>Wikstrom Telephone Company, Inc.</w:t>
            </w:r>
          </w:p>
        </w:tc>
      </w:tr>
      <w:tr w:rsidR="00A06F5B" w:rsidRPr="00DD1F71" w:rsidTr="00D76056">
        <w:trPr>
          <w:trHeight w:val="300"/>
          <w:jc w:val="center"/>
        </w:trPr>
        <w:tc>
          <w:tcPr>
            <w:tcW w:w="1332" w:type="dxa"/>
            <w:shd w:val="clear" w:color="auto" w:fill="auto"/>
            <w:noWrap/>
            <w:vAlign w:val="bottom"/>
          </w:tcPr>
          <w:p w:rsidR="00A06F5B" w:rsidRPr="00C132D4" w:rsidRDefault="00A06F5B" w:rsidP="00D76056">
            <w:pPr>
              <w:jc w:val="center"/>
              <w:rPr>
                <w:szCs w:val="22"/>
              </w:rPr>
            </w:pPr>
            <w:r w:rsidRPr="00C132D4">
              <w:rPr>
                <w:szCs w:val="22"/>
              </w:rPr>
              <w:t>0011915014</w:t>
            </w:r>
          </w:p>
        </w:tc>
        <w:tc>
          <w:tcPr>
            <w:tcW w:w="5523" w:type="dxa"/>
            <w:shd w:val="clear" w:color="auto" w:fill="auto"/>
            <w:noWrap/>
            <w:vAlign w:val="bottom"/>
          </w:tcPr>
          <w:p w:rsidR="00A06F5B" w:rsidRPr="00C132D4" w:rsidRDefault="00A06F5B" w:rsidP="00D76056">
            <w:pPr>
              <w:jc w:val="center"/>
              <w:rPr>
                <w:szCs w:val="22"/>
              </w:rPr>
            </w:pPr>
            <w:r w:rsidRPr="00C132D4">
              <w:rPr>
                <w:szCs w:val="22"/>
              </w:rPr>
              <w:t>Wilkes Communications, Inc</w:t>
            </w:r>
          </w:p>
        </w:tc>
      </w:tr>
    </w:tbl>
    <w:p w:rsidR="00A06F5B" w:rsidRPr="00B1195A" w:rsidRDefault="00A06F5B" w:rsidP="00A06F5B">
      <w:pPr>
        <w:rPr>
          <w:b/>
          <w:szCs w:val="22"/>
        </w:rPr>
      </w:pPr>
    </w:p>
    <w:sectPr w:rsidR="00A06F5B" w:rsidRPr="00B1195A" w:rsidSect="00DC23C1">
      <w:headerReference w:type="default" r:id="rId15"/>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78" w:rsidRDefault="00316D78">
      <w:r>
        <w:separator/>
      </w:r>
    </w:p>
  </w:endnote>
  <w:endnote w:type="continuationSeparator" w:id="0">
    <w:p w:rsidR="00316D78" w:rsidRDefault="0031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F4" w:rsidRDefault="00945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3636"/>
      <w:docPartObj>
        <w:docPartGallery w:val="Page Numbers (Bottom of Page)"/>
        <w:docPartUnique/>
      </w:docPartObj>
    </w:sdtPr>
    <w:sdtEndPr>
      <w:rPr>
        <w:noProof/>
      </w:rPr>
    </w:sdtEndPr>
    <w:sdtContent>
      <w:p w:rsidR="00DC23C1" w:rsidRDefault="00DC23C1">
        <w:pPr>
          <w:pStyle w:val="Footer"/>
          <w:jc w:val="center"/>
        </w:pPr>
        <w:r>
          <w:fldChar w:fldCharType="begin"/>
        </w:r>
        <w:r>
          <w:instrText xml:space="preserve"> PAGE   \* MERGEFORMAT </w:instrText>
        </w:r>
        <w:r>
          <w:fldChar w:fldCharType="separate"/>
        </w:r>
        <w:r w:rsidR="00C459EA">
          <w:rPr>
            <w:noProof/>
          </w:rPr>
          <w:t>2</w:t>
        </w:r>
        <w:r>
          <w:rPr>
            <w:noProof/>
          </w:rPr>
          <w:fldChar w:fldCharType="end"/>
        </w:r>
      </w:p>
    </w:sdtContent>
  </w:sdt>
  <w:p w:rsidR="00DC23C1" w:rsidRDefault="00DC2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F4" w:rsidRDefault="00945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78" w:rsidRDefault="00316D78">
      <w:r>
        <w:separator/>
      </w:r>
    </w:p>
  </w:footnote>
  <w:footnote w:type="continuationSeparator" w:id="0">
    <w:p w:rsidR="00316D78" w:rsidRDefault="00316D78">
      <w:r>
        <w:continuationSeparator/>
      </w:r>
    </w:p>
  </w:footnote>
  <w:footnote w:id="1">
    <w:p w:rsidR="00374215" w:rsidRPr="00A06F5B" w:rsidRDefault="00374215" w:rsidP="00374215">
      <w:pPr>
        <w:pStyle w:val="FootnoteText"/>
        <w:spacing w:after="120"/>
        <w:rPr>
          <w:sz w:val="20"/>
        </w:rPr>
      </w:pPr>
      <w:r w:rsidRPr="005D5E80">
        <w:rPr>
          <w:rStyle w:val="FootnoteReference"/>
          <w:sz w:val="20"/>
        </w:rPr>
        <w:footnoteRef/>
      </w:r>
      <w:r w:rsidRPr="005D5E80">
        <w:rPr>
          <w:sz w:val="20"/>
        </w:rPr>
        <w:t xml:space="preserve"> </w:t>
      </w:r>
      <w:r w:rsidRPr="005D5E80">
        <w:rPr>
          <w:i/>
          <w:sz w:val="20"/>
        </w:rPr>
        <w:t xml:space="preserve">See Connect America Fund; ETC Annual Reports and Certifications; Petition of USTelecom for Forbearance </w:t>
      </w:r>
      <w:r w:rsidRPr="00A06F5B">
        <w:rPr>
          <w:i/>
          <w:sz w:val="20"/>
        </w:rPr>
        <w:t>Pursuant to 47 U.S.C. § 160(c) from Obsolete ILEC Regulatory Obligations that Inhibit Deployment of Next-Generation Networks</w:t>
      </w:r>
      <w:r w:rsidRPr="00A06F5B">
        <w:rPr>
          <w:sz w:val="20"/>
        </w:rPr>
        <w:t>, WC Docket Nos. 10-90, 14-58, 14-192, Report and Order, FCC 14-190, para. 83 (rel. Dec. 18, 2014).</w:t>
      </w:r>
    </w:p>
  </w:footnote>
  <w:footnote w:id="2">
    <w:p w:rsidR="00374215" w:rsidRPr="00A06F5B" w:rsidRDefault="00374215" w:rsidP="00374215">
      <w:pPr>
        <w:pStyle w:val="FootnoteText"/>
        <w:spacing w:after="120"/>
        <w:rPr>
          <w:sz w:val="20"/>
        </w:rPr>
      </w:pPr>
      <w:r w:rsidRPr="00A06F5B">
        <w:rPr>
          <w:rStyle w:val="FootnoteReference"/>
          <w:sz w:val="20"/>
        </w:rPr>
        <w:footnoteRef/>
      </w:r>
      <w:r w:rsidR="00A06F5B" w:rsidRPr="00A06F5B">
        <w:rPr>
          <w:sz w:val="20"/>
        </w:rPr>
        <w:t xml:space="preserve">  </w:t>
      </w:r>
      <w:r w:rsidR="00A06F5B" w:rsidRPr="00A06F5B">
        <w:rPr>
          <w:i/>
          <w:sz w:val="20"/>
        </w:rPr>
        <w:t>See Wireline Competition Bureau Announces Deadline for Bidders Interested in Remaining Under Consideration for Rural Broadband Experiments Support to File Additional Information</w:t>
      </w:r>
      <w:r w:rsidR="00A06F5B" w:rsidRPr="00A06F5B">
        <w:rPr>
          <w:sz w:val="20"/>
        </w:rPr>
        <w:t>, WC Docket Nos. 10-90, 14-259, Public Notice, DA 14-1839 (Wireline Comp. Bur. rel. Dec. 18, 2014).</w:t>
      </w:r>
    </w:p>
  </w:footnote>
  <w:footnote w:id="3">
    <w:p w:rsidR="00291790" w:rsidRDefault="00291790">
      <w:pPr>
        <w:pStyle w:val="FootnoteText"/>
      </w:pPr>
      <w:r w:rsidRPr="00A06F5B">
        <w:rPr>
          <w:rStyle w:val="FootnoteReference"/>
          <w:sz w:val="20"/>
        </w:rPr>
        <w:footnoteRef/>
      </w:r>
      <w:r w:rsidRPr="00A06F5B">
        <w:rPr>
          <w:sz w:val="20"/>
        </w:rPr>
        <w:t xml:space="preserve"> </w:t>
      </w:r>
      <w:r w:rsidR="00834454">
        <w:rPr>
          <w:sz w:val="20"/>
        </w:rPr>
        <w:t>This list does not include entities that succe</w:t>
      </w:r>
      <w:r w:rsidR="000A70C1">
        <w:rPr>
          <w:sz w:val="20"/>
        </w:rPr>
        <w:t>ssfully submitted bids, but</w:t>
      </w:r>
      <w:r w:rsidR="00834454">
        <w:rPr>
          <w:sz w:val="20"/>
        </w:rPr>
        <w:t xml:space="preserve"> requested a waiver of </w:t>
      </w:r>
      <w:r w:rsidR="000A70C1">
        <w:rPr>
          <w:sz w:val="20"/>
        </w:rPr>
        <w:t xml:space="preserve">or failed to meet </w:t>
      </w:r>
      <w:r w:rsidR="00834454">
        <w:rPr>
          <w:sz w:val="20"/>
        </w:rPr>
        <w:t>the Commission’s requirement to file the requisite financial and technical information by the January 6</w:t>
      </w:r>
      <w:r w:rsidR="00834454" w:rsidRPr="00480DE9">
        <w:rPr>
          <w:sz w:val="20"/>
          <w:vertAlign w:val="superscript"/>
        </w:rPr>
        <w:t>th</w:t>
      </w:r>
      <w:r w:rsidR="00834454">
        <w:rPr>
          <w:sz w:val="20"/>
        </w:rPr>
        <w:t xml:space="preserve"> deadline.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F4" w:rsidRDefault="00945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26F8112B" wp14:editId="15B75BC4">
          <wp:simplePos x="0" y="0"/>
          <wp:positionH relativeFrom="column">
            <wp:posOffset>8890</wp:posOffset>
          </wp:positionH>
          <wp:positionV relativeFrom="paragraph">
            <wp:posOffset>114935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1312" behindDoc="0" locked="0" layoutInCell="0" allowOverlap="1" wp14:anchorId="36482A12" wp14:editId="0982D367">
              <wp:simplePos x="0" y="0"/>
              <wp:positionH relativeFrom="column">
                <wp:posOffset>3251429</wp:posOffset>
              </wp:positionH>
              <wp:positionV relativeFrom="paragraph">
                <wp:posOffset>125095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pt;margin-top:9.8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59264" behindDoc="0" locked="0" layoutInCell="0" allowOverlap="1" wp14:anchorId="7AF4C83E" wp14:editId="1BB2EAB6">
              <wp:simplePos x="0" y="0"/>
              <wp:positionH relativeFrom="column">
                <wp:posOffset>5705</wp:posOffset>
              </wp:positionH>
              <wp:positionV relativeFrom="paragraph">
                <wp:posOffset>33020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2.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0288" behindDoc="0" locked="0" layoutInCell="0" allowOverlap="1" wp14:anchorId="39E30915" wp14:editId="55E0309C">
              <wp:simplePos x="0" y="0"/>
              <wp:positionH relativeFrom="column">
                <wp:posOffset>5330</wp:posOffset>
              </wp:positionH>
              <wp:positionV relativeFrom="paragraph">
                <wp:posOffset>700405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" o:allowincell="f"/>
          </w:pict>
        </mc:Fallback>
      </mc:AlternateContent>
    </w:r>
    <w:r w:rsidRPr="00DC23C1">
      <w:rPr>
        <w:rFonts w:ascii="Arial" w:hAnsi="Arial"/>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7456" behindDoc="0" locked="0" layoutInCell="0" allowOverlap="1" wp14:anchorId="14B5C38A" wp14:editId="1C1B4A12">
          <wp:simplePos x="0" y="0"/>
          <wp:positionH relativeFrom="column">
            <wp:posOffset>8890</wp:posOffset>
          </wp:positionH>
          <wp:positionV relativeFrom="paragraph">
            <wp:posOffset>114935</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6432" behindDoc="0" locked="0" layoutInCell="0" allowOverlap="1" wp14:anchorId="5DF54C36" wp14:editId="26798BE2">
              <wp:simplePos x="0" y="0"/>
              <wp:positionH relativeFrom="column">
                <wp:posOffset>3251429</wp:posOffset>
              </wp:positionH>
              <wp:positionV relativeFrom="paragraph">
                <wp:posOffset>125095</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6pt;margin-top:9.85pt;width:207.9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64384" behindDoc="0" locked="0" layoutInCell="0" allowOverlap="1" wp14:anchorId="1FF835E5" wp14:editId="10384F09">
              <wp:simplePos x="0" y="0"/>
              <wp:positionH relativeFrom="column">
                <wp:posOffset>5705</wp:posOffset>
              </wp:positionH>
              <wp:positionV relativeFrom="paragraph">
                <wp:posOffset>33020</wp:posOffset>
              </wp:positionV>
              <wp:extent cx="3108960" cy="640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pt;margin-top:2.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NhwIAABg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5408" behindDoc="0" locked="0" layoutInCell="0" allowOverlap="1" wp14:anchorId="5B3CD2A0" wp14:editId="47693378">
              <wp:simplePos x="0" y="0"/>
              <wp:positionH relativeFrom="column">
                <wp:posOffset>5330</wp:posOffset>
              </wp:positionH>
              <wp:positionV relativeFrom="paragraph">
                <wp:posOffset>700405</wp:posOffset>
              </wp:positionV>
              <wp:extent cx="5886450" cy="2540"/>
              <wp:effectExtent l="0" t="0" r="19050" b="355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H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" o:allowincell="f"/>
          </w:pict>
        </mc:Fallback>
      </mc:AlternateContent>
    </w:r>
    <w:r w:rsidRPr="00DC23C1">
      <w:rPr>
        <w:rFonts w:ascii="Arial" w:hAnsi="Arial"/>
        <w:sz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Pr="00DC23C1" w:rsidRDefault="00DC23C1" w:rsidP="00DC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15659"/>
    <w:rsid w:val="000224BC"/>
    <w:rsid w:val="000265AE"/>
    <w:rsid w:val="00041AD8"/>
    <w:rsid w:val="000469C9"/>
    <w:rsid w:val="0006288C"/>
    <w:rsid w:val="0006310A"/>
    <w:rsid w:val="00071A32"/>
    <w:rsid w:val="000876A1"/>
    <w:rsid w:val="00090186"/>
    <w:rsid w:val="000A70C1"/>
    <w:rsid w:val="000B6F66"/>
    <w:rsid w:val="000B797C"/>
    <w:rsid w:val="000F72A1"/>
    <w:rsid w:val="00116D15"/>
    <w:rsid w:val="00116F2E"/>
    <w:rsid w:val="00130E6F"/>
    <w:rsid w:val="00143160"/>
    <w:rsid w:val="001602A4"/>
    <w:rsid w:val="00174E78"/>
    <w:rsid w:val="00196A8C"/>
    <w:rsid w:val="001A2A27"/>
    <w:rsid w:val="001B5E4A"/>
    <w:rsid w:val="001B782B"/>
    <w:rsid w:val="001D36E9"/>
    <w:rsid w:val="001D3D5B"/>
    <w:rsid w:val="001D4E07"/>
    <w:rsid w:val="001E0B86"/>
    <w:rsid w:val="001F1AAD"/>
    <w:rsid w:val="001F1E17"/>
    <w:rsid w:val="00211AD5"/>
    <w:rsid w:val="00211B19"/>
    <w:rsid w:val="00241276"/>
    <w:rsid w:val="00260DDB"/>
    <w:rsid w:val="0028448E"/>
    <w:rsid w:val="00291790"/>
    <w:rsid w:val="002975B0"/>
    <w:rsid w:val="002F5771"/>
    <w:rsid w:val="00302583"/>
    <w:rsid w:val="00305264"/>
    <w:rsid w:val="00316D78"/>
    <w:rsid w:val="00321B8A"/>
    <w:rsid w:val="003513F3"/>
    <w:rsid w:val="0036485D"/>
    <w:rsid w:val="0037220C"/>
    <w:rsid w:val="00373BA6"/>
    <w:rsid w:val="00374215"/>
    <w:rsid w:val="00374326"/>
    <w:rsid w:val="003A29DE"/>
    <w:rsid w:val="003A642D"/>
    <w:rsid w:val="003C222E"/>
    <w:rsid w:val="003D5203"/>
    <w:rsid w:val="003E57A6"/>
    <w:rsid w:val="003F7FDA"/>
    <w:rsid w:val="0040451B"/>
    <w:rsid w:val="00407A9B"/>
    <w:rsid w:val="004339B0"/>
    <w:rsid w:val="004549F8"/>
    <w:rsid w:val="00473682"/>
    <w:rsid w:val="00480DE9"/>
    <w:rsid w:val="0048334E"/>
    <w:rsid w:val="00485F7D"/>
    <w:rsid w:val="00490158"/>
    <w:rsid w:val="004931EE"/>
    <w:rsid w:val="004A3A66"/>
    <w:rsid w:val="004A7287"/>
    <w:rsid w:val="004A7CF7"/>
    <w:rsid w:val="004B172D"/>
    <w:rsid w:val="004B45C4"/>
    <w:rsid w:val="004D04A9"/>
    <w:rsid w:val="004D32C0"/>
    <w:rsid w:val="004E0D23"/>
    <w:rsid w:val="004E6174"/>
    <w:rsid w:val="004E6E5D"/>
    <w:rsid w:val="004F0CF2"/>
    <w:rsid w:val="004F3416"/>
    <w:rsid w:val="0055688D"/>
    <w:rsid w:val="00565076"/>
    <w:rsid w:val="005816F0"/>
    <w:rsid w:val="00585E66"/>
    <w:rsid w:val="00590501"/>
    <w:rsid w:val="00593120"/>
    <w:rsid w:val="00597BF4"/>
    <w:rsid w:val="005C5EEC"/>
    <w:rsid w:val="005D5E80"/>
    <w:rsid w:val="005D6303"/>
    <w:rsid w:val="005E5778"/>
    <w:rsid w:val="005F6A75"/>
    <w:rsid w:val="0060076D"/>
    <w:rsid w:val="00602577"/>
    <w:rsid w:val="00614D08"/>
    <w:rsid w:val="0064070C"/>
    <w:rsid w:val="006612CE"/>
    <w:rsid w:val="0067177E"/>
    <w:rsid w:val="00673EEB"/>
    <w:rsid w:val="006808FB"/>
    <w:rsid w:val="00690310"/>
    <w:rsid w:val="00692118"/>
    <w:rsid w:val="006B37D8"/>
    <w:rsid w:val="006B6606"/>
    <w:rsid w:val="00706947"/>
    <w:rsid w:val="00726261"/>
    <w:rsid w:val="007365EC"/>
    <w:rsid w:val="00736D56"/>
    <w:rsid w:val="007677DE"/>
    <w:rsid w:val="00776286"/>
    <w:rsid w:val="00784CDE"/>
    <w:rsid w:val="00792B63"/>
    <w:rsid w:val="007A347E"/>
    <w:rsid w:val="007B58AD"/>
    <w:rsid w:val="007F3EF6"/>
    <w:rsid w:val="00801CB2"/>
    <w:rsid w:val="00806E8C"/>
    <w:rsid w:val="0082111E"/>
    <w:rsid w:val="00834454"/>
    <w:rsid w:val="00857BBE"/>
    <w:rsid w:val="008821C4"/>
    <w:rsid w:val="00884C6C"/>
    <w:rsid w:val="008A17D3"/>
    <w:rsid w:val="008A5E4C"/>
    <w:rsid w:val="008B2FCC"/>
    <w:rsid w:val="008C49B4"/>
    <w:rsid w:val="008D2F71"/>
    <w:rsid w:val="008E6AC6"/>
    <w:rsid w:val="008F4794"/>
    <w:rsid w:val="008F7E54"/>
    <w:rsid w:val="00913292"/>
    <w:rsid w:val="00925BD1"/>
    <w:rsid w:val="00931543"/>
    <w:rsid w:val="00934A82"/>
    <w:rsid w:val="009455F4"/>
    <w:rsid w:val="00945EF6"/>
    <w:rsid w:val="00962449"/>
    <w:rsid w:val="00967C95"/>
    <w:rsid w:val="00982397"/>
    <w:rsid w:val="009906BE"/>
    <w:rsid w:val="009A2870"/>
    <w:rsid w:val="009B4E0B"/>
    <w:rsid w:val="009C6769"/>
    <w:rsid w:val="009D0039"/>
    <w:rsid w:val="009D3A93"/>
    <w:rsid w:val="009E4B75"/>
    <w:rsid w:val="00A06F5B"/>
    <w:rsid w:val="00A27DB2"/>
    <w:rsid w:val="00A43ABA"/>
    <w:rsid w:val="00A65669"/>
    <w:rsid w:val="00AA059D"/>
    <w:rsid w:val="00AA2884"/>
    <w:rsid w:val="00AA47A5"/>
    <w:rsid w:val="00AB0DE7"/>
    <w:rsid w:val="00AB16C9"/>
    <w:rsid w:val="00AE08DF"/>
    <w:rsid w:val="00AE1332"/>
    <w:rsid w:val="00AE569A"/>
    <w:rsid w:val="00B1195A"/>
    <w:rsid w:val="00B21577"/>
    <w:rsid w:val="00BC7A28"/>
    <w:rsid w:val="00BD38BF"/>
    <w:rsid w:val="00C132D4"/>
    <w:rsid w:val="00C20A0D"/>
    <w:rsid w:val="00C459EA"/>
    <w:rsid w:val="00C51721"/>
    <w:rsid w:val="00C75296"/>
    <w:rsid w:val="00C9124F"/>
    <w:rsid w:val="00CB698E"/>
    <w:rsid w:val="00CE4CAA"/>
    <w:rsid w:val="00CE54F0"/>
    <w:rsid w:val="00CE6A44"/>
    <w:rsid w:val="00CE707A"/>
    <w:rsid w:val="00D004D9"/>
    <w:rsid w:val="00D011F4"/>
    <w:rsid w:val="00D06900"/>
    <w:rsid w:val="00D1323C"/>
    <w:rsid w:val="00D17DC0"/>
    <w:rsid w:val="00D41E8A"/>
    <w:rsid w:val="00D55E4B"/>
    <w:rsid w:val="00D60EFF"/>
    <w:rsid w:val="00D63841"/>
    <w:rsid w:val="00D8274E"/>
    <w:rsid w:val="00D83249"/>
    <w:rsid w:val="00D8356A"/>
    <w:rsid w:val="00DC23C1"/>
    <w:rsid w:val="00DD7710"/>
    <w:rsid w:val="00DE345B"/>
    <w:rsid w:val="00E1365A"/>
    <w:rsid w:val="00E248D2"/>
    <w:rsid w:val="00E52110"/>
    <w:rsid w:val="00E548DE"/>
    <w:rsid w:val="00E57F72"/>
    <w:rsid w:val="00E821B1"/>
    <w:rsid w:val="00E941BF"/>
    <w:rsid w:val="00EB6B89"/>
    <w:rsid w:val="00ED4278"/>
    <w:rsid w:val="00EF3820"/>
    <w:rsid w:val="00F17D68"/>
    <w:rsid w:val="00F279AB"/>
    <w:rsid w:val="00F31595"/>
    <w:rsid w:val="00F41A6C"/>
    <w:rsid w:val="00F434AA"/>
    <w:rsid w:val="00F465E6"/>
    <w:rsid w:val="00F54301"/>
    <w:rsid w:val="00FA1FB7"/>
    <w:rsid w:val="00FB0A88"/>
    <w:rsid w:val="00FB6CBD"/>
    <w:rsid w:val="00FC7F83"/>
    <w:rsid w:val="00FD2119"/>
    <w:rsid w:val="00FE212D"/>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3783">
      <w:bodyDiv w:val="1"/>
      <w:marLeft w:val="0"/>
      <w:marRight w:val="0"/>
      <w:marTop w:val="0"/>
      <w:marBottom w:val="0"/>
      <w:divBdr>
        <w:top w:val="none" w:sz="0" w:space="0" w:color="auto"/>
        <w:left w:val="none" w:sz="0" w:space="0" w:color="auto"/>
        <w:bottom w:val="none" w:sz="0" w:space="0" w:color="auto"/>
        <w:right w:val="none" w:sz="0" w:space="0" w:color="auto"/>
      </w:divBdr>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an.Forbes@fc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574</Words>
  <Characters>3829</Characters>
  <Application>Microsoft Office Word</Application>
  <DocSecurity>0</DocSecurity>
  <Lines>132</Lines>
  <Paragraphs>109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4304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2015-01-22T15:00:00Z</cp:lastPrinted>
  <dcterms:created xsi:type="dcterms:W3CDTF">2015-02-03T20:10:00Z</dcterms:created>
  <dcterms:modified xsi:type="dcterms:W3CDTF">2015-02-03T20:10:00Z</dcterms:modified>
  <cp:category> </cp:category>
  <cp:contentStatus> </cp:contentStatus>
</cp:coreProperties>
</file>