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A7DCB" w14:textId="77777777" w:rsidR="00FD7A72" w:rsidRDefault="00FD7A72">
      <w:pPr>
        <w:jc w:val="center"/>
        <w:rPr>
          <w:b/>
        </w:rPr>
      </w:pPr>
      <w:bookmarkStart w:id="0" w:name="_GoBack"/>
      <w:bookmarkEnd w:id="0"/>
      <w:r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14:paraId="08888621" w14:textId="77777777" w:rsidR="00FD7A72" w:rsidRDefault="00FD7A72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14:paraId="788E47FF" w14:textId="77777777" w:rsidR="00FD7A72" w:rsidRDefault="00FD7A72">
      <w:pPr>
        <w:pStyle w:val="StyleBoldCentered"/>
      </w:pPr>
      <w:smartTag w:uri="urn:schemas-microsoft-com:office:smarttags" w:element="place">
        <w:smartTag w:uri="urn:schemas-microsoft-com:office:smarttags" w:element="City">
          <w:r>
            <w:rPr>
              <w:caps w:val="0"/>
            </w:rPr>
            <w:t>Washington</w:t>
          </w:r>
        </w:smartTag>
        <w:r>
          <w:t xml:space="preserve">, </w:t>
        </w:r>
        <w:smartTag w:uri="urn:schemas-microsoft-com:office:smarttags" w:element="State">
          <w:r>
            <w:t>D.C.</w:t>
          </w:r>
        </w:smartTag>
        <w:r>
          <w:t xml:space="preserve"> </w:t>
        </w:r>
        <w:smartTag w:uri="urn:schemas-microsoft-com:office:smarttags" w:element="PostalCode">
          <w:r>
            <w:t>20554</w:t>
          </w:r>
        </w:smartTag>
      </w:smartTag>
    </w:p>
    <w:p w14:paraId="056D01B1" w14:textId="77777777" w:rsidR="00FD7A72" w:rsidRDefault="00FD7A7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FD7A72" w14:paraId="3E53FDF5" w14:textId="77777777">
        <w:tc>
          <w:tcPr>
            <w:tcW w:w="4698" w:type="dxa"/>
          </w:tcPr>
          <w:p w14:paraId="41E6A71C" w14:textId="77777777" w:rsidR="00742B14" w:rsidRPr="00F65A6A" w:rsidRDefault="00742B14" w:rsidP="00742B14">
            <w:pPr>
              <w:rPr>
                <w:szCs w:val="22"/>
              </w:rPr>
            </w:pPr>
            <w:r w:rsidRPr="00F65A6A">
              <w:rPr>
                <w:spacing w:val="-2"/>
                <w:szCs w:val="22"/>
              </w:rPr>
              <w:t>In the Matter of</w:t>
            </w:r>
            <w:r w:rsidRPr="00F65A6A">
              <w:rPr>
                <w:szCs w:val="22"/>
              </w:rPr>
              <w:t xml:space="preserve"> </w:t>
            </w:r>
          </w:p>
          <w:p w14:paraId="48A5C5C6" w14:textId="77777777" w:rsidR="00742B14" w:rsidRPr="00F65A6A" w:rsidRDefault="00742B14" w:rsidP="00742B14">
            <w:pPr>
              <w:rPr>
                <w:szCs w:val="22"/>
              </w:rPr>
            </w:pPr>
          </w:p>
          <w:p w14:paraId="1AA10649" w14:textId="1BF6E639" w:rsidR="00742B14" w:rsidRPr="00F65A6A" w:rsidRDefault="006D69EA" w:rsidP="00742B14">
            <w:pPr>
              <w:rPr>
                <w:szCs w:val="22"/>
              </w:rPr>
            </w:pPr>
            <w:r>
              <w:rPr>
                <w:szCs w:val="22"/>
              </w:rPr>
              <w:t>R.J.’s Late</w:t>
            </w:r>
            <w:r w:rsidR="009C05E7">
              <w:rPr>
                <w:szCs w:val="22"/>
              </w:rPr>
              <w:t xml:space="preserve"> </w:t>
            </w:r>
            <w:r>
              <w:rPr>
                <w:szCs w:val="22"/>
              </w:rPr>
              <w:t>Night Entertainment Corporation</w:t>
            </w:r>
          </w:p>
          <w:p w14:paraId="2E7AF1B1" w14:textId="77777777" w:rsidR="00742B14" w:rsidRPr="00F65A6A" w:rsidRDefault="00742B14" w:rsidP="00742B14">
            <w:pPr>
              <w:rPr>
                <w:szCs w:val="22"/>
              </w:rPr>
            </w:pPr>
          </w:p>
          <w:p w14:paraId="3D96DE9B" w14:textId="6528F910" w:rsidR="00742B14" w:rsidRDefault="00742B14" w:rsidP="00742B14">
            <w:pPr>
              <w:rPr>
                <w:szCs w:val="22"/>
              </w:rPr>
            </w:pPr>
            <w:r w:rsidRPr="00F65A6A">
              <w:rPr>
                <w:szCs w:val="22"/>
              </w:rPr>
              <w:t xml:space="preserve">Licensee of Station </w:t>
            </w:r>
            <w:r w:rsidR="006D69EA">
              <w:rPr>
                <w:szCs w:val="22"/>
              </w:rPr>
              <w:t>WHPR-FM</w:t>
            </w:r>
          </w:p>
          <w:p w14:paraId="5FE6A8D6" w14:textId="69C2E7D4" w:rsidR="00742B14" w:rsidRPr="00F65A6A" w:rsidRDefault="006D69EA" w:rsidP="00742B14">
            <w:pPr>
              <w:rPr>
                <w:szCs w:val="22"/>
              </w:rPr>
            </w:pPr>
            <w:r>
              <w:rPr>
                <w:szCs w:val="22"/>
              </w:rPr>
              <w:t>High</w:t>
            </w:r>
            <w:r w:rsidR="00E038DA">
              <w:rPr>
                <w:szCs w:val="22"/>
              </w:rPr>
              <w:t>land</w:t>
            </w:r>
            <w:r>
              <w:rPr>
                <w:szCs w:val="22"/>
              </w:rPr>
              <w:t xml:space="preserve"> Park</w:t>
            </w:r>
            <w:r w:rsidR="00806727">
              <w:rPr>
                <w:szCs w:val="22"/>
              </w:rPr>
              <w:t xml:space="preserve">, </w:t>
            </w:r>
            <w:r>
              <w:rPr>
                <w:szCs w:val="22"/>
              </w:rPr>
              <w:t>Michigan</w:t>
            </w:r>
          </w:p>
          <w:p w14:paraId="2EE8135A" w14:textId="77777777" w:rsidR="00FD7A72" w:rsidRDefault="00FD7A72" w:rsidP="00742B14">
            <w:pPr>
              <w:rPr>
                <w:spacing w:val="-2"/>
              </w:rPr>
            </w:pPr>
          </w:p>
        </w:tc>
        <w:tc>
          <w:tcPr>
            <w:tcW w:w="630" w:type="dxa"/>
          </w:tcPr>
          <w:p w14:paraId="183B35F8" w14:textId="77777777" w:rsidR="00FD7A72" w:rsidRDefault="00FD7A72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32922F81" w14:textId="77777777" w:rsidR="00FD7A72" w:rsidRDefault="00FD7A72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2D353B7C" w14:textId="77777777" w:rsidR="00FD7A72" w:rsidRDefault="00FD7A72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6E37D2CB" w14:textId="77777777" w:rsidR="00FD7A72" w:rsidRDefault="00FD7A72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6E9EB246" w14:textId="77777777" w:rsidR="00FD7A72" w:rsidRDefault="00FD7A72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592A2349" w14:textId="77777777" w:rsidR="00FD7A72" w:rsidRDefault="00FD7A72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40988B19" w14:textId="77777777" w:rsidR="00E021CF" w:rsidRPr="00806727" w:rsidRDefault="00E021CF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</w:p>
        </w:tc>
        <w:tc>
          <w:tcPr>
            <w:tcW w:w="4248" w:type="dxa"/>
          </w:tcPr>
          <w:p w14:paraId="371D2748" w14:textId="77777777" w:rsidR="00FD7A72" w:rsidRPr="00D53C45" w:rsidRDefault="00FD7A72">
            <w:pPr>
              <w:tabs>
                <w:tab w:val="center" w:pos="4680"/>
              </w:tabs>
              <w:suppressAutoHyphens/>
              <w:rPr>
                <w:spacing w:val="-2"/>
                <w:lang w:val="es-ES"/>
              </w:rPr>
            </w:pPr>
          </w:p>
          <w:p w14:paraId="7478CFE4" w14:textId="77777777" w:rsidR="00FD7A72" w:rsidRPr="00D53C45" w:rsidRDefault="00FD7A72">
            <w:pPr>
              <w:pStyle w:val="TOAHeading"/>
              <w:tabs>
                <w:tab w:val="clear" w:pos="9360"/>
                <w:tab w:val="center" w:pos="4680"/>
              </w:tabs>
              <w:rPr>
                <w:spacing w:val="-2"/>
                <w:lang w:val="es-ES"/>
              </w:rPr>
            </w:pPr>
          </w:p>
          <w:p w14:paraId="59CC5CC1" w14:textId="3528D1C0" w:rsidR="00742B14" w:rsidRPr="00D53C45" w:rsidRDefault="00742B14" w:rsidP="00F25BFC">
            <w:pPr>
              <w:rPr>
                <w:szCs w:val="22"/>
                <w:lang w:val="es-ES"/>
              </w:rPr>
            </w:pPr>
            <w:r w:rsidRPr="00D53C45">
              <w:rPr>
                <w:szCs w:val="22"/>
                <w:lang w:val="es-ES"/>
              </w:rPr>
              <w:t xml:space="preserve">File </w:t>
            </w:r>
            <w:r w:rsidR="00022D9D" w:rsidRPr="00D53C45">
              <w:rPr>
                <w:szCs w:val="22"/>
                <w:lang w:val="es-ES"/>
              </w:rPr>
              <w:t>No</w:t>
            </w:r>
            <w:r w:rsidR="00C15AD9">
              <w:rPr>
                <w:szCs w:val="22"/>
                <w:lang w:val="es-ES"/>
              </w:rPr>
              <w:t>s</w:t>
            </w:r>
            <w:r w:rsidR="00022D9D" w:rsidRPr="00D53C45">
              <w:rPr>
                <w:szCs w:val="22"/>
                <w:lang w:val="es-ES"/>
              </w:rPr>
              <w:t>.</w:t>
            </w:r>
            <w:r w:rsidRPr="00D53C45">
              <w:rPr>
                <w:szCs w:val="22"/>
                <w:lang w:val="es-ES"/>
              </w:rPr>
              <w:t>:</w:t>
            </w:r>
            <w:r w:rsidR="00406A40">
              <w:rPr>
                <w:szCs w:val="22"/>
                <w:lang w:val="es-ES"/>
              </w:rPr>
              <w:t xml:space="preserve">  </w:t>
            </w:r>
            <w:r w:rsidR="00806727" w:rsidRPr="00D53C45">
              <w:rPr>
                <w:szCs w:val="22"/>
                <w:lang w:val="es-ES"/>
              </w:rPr>
              <w:t>EB-</w:t>
            </w:r>
            <w:r w:rsidR="009C05E7">
              <w:rPr>
                <w:szCs w:val="22"/>
                <w:lang w:val="es-ES"/>
              </w:rPr>
              <w:t>10</w:t>
            </w:r>
            <w:r w:rsidR="00806727" w:rsidRPr="00D53C45">
              <w:rPr>
                <w:szCs w:val="22"/>
                <w:lang w:val="es-ES"/>
              </w:rPr>
              <w:t>-</w:t>
            </w:r>
            <w:r w:rsidR="006D69EA">
              <w:rPr>
                <w:szCs w:val="22"/>
                <w:lang w:val="es-ES"/>
              </w:rPr>
              <w:t>DT</w:t>
            </w:r>
            <w:r w:rsidR="00806727" w:rsidRPr="00D53C45">
              <w:rPr>
                <w:szCs w:val="22"/>
                <w:lang w:val="es-ES"/>
              </w:rPr>
              <w:t>-</w:t>
            </w:r>
            <w:r w:rsidR="006D69EA">
              <w:rPr>
                <w:szCs w:val="22"/>
                <w:lang w:val="es-ES"/>
              </w:rPr>
              <w:t>0039</w:t>
            </w:r>
            <w:r w:rsidR="002C3A9E">
              <w:rPr>
                <w:szCs w:val="22"/>
                <w:lang w:val="es-ES"/>
              </w:rPr>
              <w:t>; EB-FIELDNER-12-00004</w:t>
            </w:r>
            <w:r w:rsidR="006D69EA">
              <w:rPr>
                <w:szCs w:val="22"/>
                <w:lang w:val="es-ES"/>
              </w:rPr>
              <w:t>557</w:t>
            </w:r>
          </w:p>
          <w:p w14:paraId="100F4CC8" w14:textId="58233A29" w:rsidR="00742B14" w:rsidRPr="00D53C45" w:rsidRDefault="00742B14" w:rsidP="00F25BFC">
            <w:pPr>
              <w:rPr>
                <w:szCs w:val="22"/>
                <w:lang w:val="es-ES"/>
              </w:rPr>
            </w:pPr>
            <w:r w:rsidRPr="00D53C45">
              <w:rPr>
                <w:szCs w:val="22"/>
                <w:lang w:val="es-ES"/>
              </w:rPr>
              <w:t>NAL/Acct. No.</w:t>
            </w:r>
            <w:r w:rsidR="00806727" w:rsidRPr="00D53C45">
              <w:rPr>
                <w:szCs w:val="22"/>
                <w:lang w:val="es-ES"/>
              </w:rPr>
              <w:t xml:space="preserve">: </w:t>
            </w:r>
            <w:r w:rsidR="00406A40">
              <w:rPr>
                <w:szCs w:val="22"/>
                <w:lang w:val="es-ES"/>
              </w:rPr>
              <w:t xml:space="preserve"> </w:t>
            </w:r>
            <w:r w:rsidR="00806727" w:rsidRPr="00D53C45">
              <w:rPr>
                <w:szCs w:val="22"/>
                <w:lang w:val="es-ES"/>
              </w:rPr>
              <w:t>20</w:t>
            </w:r>
            <w:r w:rsidR="002C3A9E">
              <w:rPr>
                <w:szCs w:val="22"/>
                <w:lang w:val="es-ES"/>
              </w:rPr>
              <w:t>1</w:t>
            </w:r>
            <w:r w:rsidR="006D69EA">
              <w:rPr>
                <w:szCs w:val="22"/>
                <w:lang w:val="es-ES"/>
              </w:rPr>
              <w:t>2323600002</w:t>
            </w:r>
          </w:p>
          <w:p w14:paraId="36014104" w14:textId="2AA1C050" w:rsidR="00742B14" w:rsidRPr="00E34AAE" w:rsidRDefault="00742B14" w:rsidP="00F25BFC">
            <w:pPr>
              <w:rPr>
                <w:szCs w:val="22"/>
              </w:rPr>
            </w:pPr>
            <w:r w:rsidRPr="00F65A6A">
              <w:rPr>
                <w:szCs w:val="22"/>
              </w:rPr>
              <w:t>FRN</w:t>
            </w:r>
            <w:r>
              <w:rPr>
                <w:szCs w:val="22"/>
              </w:rPr>
              <w:t>:</w:t>
            </w:r>
            <w:r w:rsidR="00432D09">
              <w:rPr>
                <w:szCs w:val="22"/>
              </w:rPr>
              <w:t xml:space="preserve"> </w:t>
            </w:r>
            <w:r w:rsidR="00406A40">
              <w:rPr>
                <w:szCs w:val="22"/>
              </w:rPr>
              <w:t xml:space="preserve"> </w:t>
            </w:r>
            <w:r w:rsidR="006D69EA">
              <w:rPr>
                <w:szCs w:val="22"/>
              </w:rPr>
              <w:t>0011011509</w:t>
            </w:r>
          </w:p>
          <w:p w14:paraId="6927FE4F" w14:textId="77777777" w:rsidR="00FD7A72" w:rsidRDefault="00FD7A72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</w:tr>
    </w:tbl>
    <w:p w14:paraId="37427101" w14:textId="77777777" w:rsidR="00FD7A72" w:rsidRDefault="00FD7A72">
      <w:pPr>
        <w:pStyle w:val="StyleBoldCentered"/>
      </w:pPr>
      <w:r>
        <w:t>Memorandum opinion and order</w:t>
      </w:r>
    </w:p>
    <w:p w14:paraId="0AF5F468" w14:textId="77777777" w:rsidR="00FD7A72" w:rsidRDefault="00FD7A72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14:paraId="18ADE05F" w14:textId="7C2C30D0" w:rsidR="00FD7A72" w:rsidRDefault="00FD7A72" w:rsidP="00806727">
      <w:pPr>
        <w:tabs>
          <w:tab w:val="left" w:pos="720"/>
          <w:tab w:val="left" w:pos="5760"/>
        </w:tabs>
        <w:suppressAutoHyphens/>
        <w:spacing w:line="227" w:lineRule="auto"/>
        <w:rPr>
          <w:b/>
          <w:spacing w:val="-2"/>
        </w:rPr>
      </w:pPr>
      <w:r>
        <w:rPr>
          <w:b/>
          <w:spacing w:val="-2"/>
        </w:rPr>
        <w:t xml:space="preserve">Adopted:  </w:t>
      </w:r>
      <w:r w:rsidR="00A93763">
        <w:rPr>
          <w:b/>
          <w:spacing w:val="-2"/>
        </w:rPr>
        <w:t>February</w:t>
      </w:r>
      <w:r w:rsidR="00E42651">
        <w:rPr>
          <w:b/>
          <w:spacing w:val="-2"/>
        </w:rPr>
        <w:t xml:space="preserve"> </w:t>
      </w:r>
      <w:r w:rsidR="00C52314">
        <w:rPr>
          <w:b/>
          <w:spacing w:val="-2"/>
        </w:rPr>
        <w:t>9</w:t>
      </w:r>
      <w:r w:rsidR="009C05E7">
        <w:rPr>
          <w:b/>
          <w:spacing w:val="-2"/>
        </w:rPr>
        <w:t>, 201</w:t>
      </w:r>
      <w:r w:rsidR="006D69EA">
        <w:rPr>
          <w:b/>
          <w:spacing w:val="-2"/>
        </w:rPr>
        <w:t>5</w:t>
      </w:r>
      <w:r>
        <w:rPr>
          <w:b/>
          <w:spacing w:val="-2"/>
        </w:rPr>
        <w:tab/>
      </w:r>
      <w:r>
        <w:rPr>
          <w:b/>
          <w:spacing w:val="-2"/>
        </w:rPr>
        <w:tab/>
        <w:t xml:space="preserve">Released: </w:t>
      </w:r>
      <w:r w:rsidR="00806727">
        <w:rPr>
          <w:b/>
          <w:spacing w:val="-2"/>
        </w:rPr>
        <w:t xml:space="preserve"> </w:t>
      </w:r>
      <w:r w:rsidR="00A93763">
        <w:rPr>
          <w:b/>
          <w:spacing w:val="-2"/>
        </w:rPr>
        <w:t>February</w:t>
      </w:r>
      <w:r w:rsidR="00472084">
        <w:rPr>
          <w:b/>
          <w:spacing w:val="-2"/>
        </w:rPr>
        <w:t xml:space="preserve"> </w:t>
      </w:r>
      <w:r w:rsidR="00C52314">
        <w:rPr>
          <w:b/>
          <w:spacing w:val="-2"/>
        </w:rPr>
        <w:t>9</w:t>
      </w:r>
      <w:r w:rsidR="00472084">
        <w:rPr>
          <w:b/>
          <w:spacing w:val="-2"/>
        </w:rPr>
        <w:t>, 201</w:t>
      </w:r>
      <w:r w:rsidR="006D69EA">
        <w:rPr>
          <w:b/>
          <w:spacing w:val="-2"/>
        </w:rPr>
        <w:t>5</w:t>
      </w:r>
    </w:p>
    <w:p w14:paraId="618564E4" w14:textId="77777777" w:rsidR="00806727" w:rsidRDefault="00806727" w:rsidP="00806727">
      <w:pPr>
        <w:tabs>
          <w:tab w:val="left" w:pos="720"/>
          <w:tab w:val="left" w:pos="5760"/>
        </w:tabs>
        <w:suppressAutoHyphens/>
        <w:spacing w:line="227" w:lineRule="auto"/>
      </w:pPr>
    </w:p>
    <w:p w14:paraId="38050795" w14:textId="77777777" w:rsidR="00A77450" w:rsidRPr="00B738D7" w:rsidRDefault="00A77450" w:rsidP="006E047F">
      <w:pPr>
        <w:tabs>
          <w:tab w:val="left" w:pos="720"/>
          <w:tab w:val="left" w:pos="5760"/>
        </w:tabs>
        <w:suppressAutoHyphens/>
        <w:spacing w:line="227" w:lineRule="auto"/>
        <w:jc w:val="both"/>
        <w:rPr>
          <w:spacing w:val="-2"/>
          <w:szCs w:val="22"/>
        </w:rPr>
      </w:pPr>
      <w:r w:rsidRPr="006E047F">
        <w:rPr>
          <w:spacing w:val="-2"/>
        </w:rPr>
        <w:t xml:space="preserve">By the </w:t>
      </w:r>
      <w:r>
        <w:rPr>
          <w:spacing w:val="-2"/>
          <w:szCs w:val="22"/>
        </w:rPr>
        <w:t xml:space="preserve">Deputy </w:t>
      </w:r>
      <w:r w:rsidRPr="006E047F">
        <w:rPr>
          <w:spacing w:val="-2"/>
        </w:rPr>
        <w:t>Chief, Enforcement Bureau</w:t>
      </w:r>
      <w:r w:rsidRPr="00B738D7">
        <w:rPr>
          <w:spacing w:val="-2"/>
          <w:szCs w:val="22"/>
        </w:rPr>
        <w:t>:</w:t>
      </w:r>
    </w:p>
    <w:p w14:paraId="210E8B04" w14:textId="77777777" w:rsidR="00FD7A72" w:rsidRDefault="00FD7A72" w:rsidP="00237264">
      <w:pPr>
        <w:widowControl/>
      </w:pPr>
    </w:p>
    <w:p w14:paraId="79467046" w14:textId="53A55256" w:rsidR="006D69EA" w:rsidRDefault="006D69EA" w:rsidP="008F56BE">
      <w:pPr>
        <w:pStyle w:val="Heading1"/>
      </w:pPr>
      <w:r>
        <w:t>INTRODUCTION</w:t>
      </w:r>
    </w:p>
    <w:p w14:paraId="74F2F22C" w14:textId="65641D13" w:rsidR="000D56D9" w:rsidRDefault="006A54BE" w:rsidP="000D56D9">
      <w:pPr>
        <w:pStyle w:val="ParaNum"/>
        <w:widowControl/>
      </w:pPr>
      <w:r w:rsidRPr="002C5522">
        <w:t xml:space="preserve"> </w:t>
      </w:r>
      <w:r w:rsidR="006D69EA" w:rsidRPr="002C5522">
        <w:rPr>
          <w:i/>
        </w:rPr>
        <w:t xml:space="preserve">  </w:t>
      </w:r>
      <w:r w:rsidR="000D56D9">
        <w:t>We deny the Petition for Reconsideration filed by R.J.’s Late Night Entertainment Corporation (RJLNE) seeking reconsideration of a Forfeiture Order issued by the Enforcement Bureau.  In the Forfeiture Order, the Enforcement Bureau imposed a penalty of $22,000 against RJLNE for failing to maintain operational Emergency Alert System (EAS) equipment, operate its FM station’s transmitter from its authorized location, and make available its station’s public inspection file.</w:t>
      </w:r>
      <w:r w:rsidR="000D56D9" w:rsidRPr="002C5522">
        <w:t xml:space="preserve">  </w:t>
      </w:r>
      <w:r w:rsidR="000D56D9">
        <w:t>Although we recognize that RJLNE submitted a timely response to the Enforcement Bureau’s Notice of Apparent Liability for Forfeiture and Order</w:t>
      </w:r>
      <w:r w:rsidR="000D56D9" w:rsidRPr="002C5522">
        <w:t xml:space="preserve"> in this </w:t>
      </w:r>
      <w:r w:rsidR="000D56D9">
        <w:t>case, RJLNE’s response does not provide sufficient basis for</w:t>
      </w:r>
      <w:r w:rsidR="000D56D9" w:rsidRPr="002C5522">
        <w:t xml:space="preserve"> reconsideration of the </w:t>
      </w:r>
      <w:r w:rsidR="000D56D9">
        <w:t xml:space="preserve">imposed penalty.  RJLNE’s violations were willful and repeated, and its subsequent remedial actions to come into compliance do not warrant a forfeiture reduction. </w:t>
      </w:r>
    </w:p>
    <w:p w14:paraId="085484D6" w14:textId="1421D695" w:rsidR="006D69EA" w:rsidRDefault="006D69EA" w:rsidP="008F56BE">
      <w:pPr>
        <w:pStyle w:val="Heading1"/>
      </w:pPr>
      <w:r>
        <w:t>BACKGROUND</w:t>
      </w:r>
    </w:p>
    <w:p w14:paraId="052965D3" w14:textId="0368C6A3" w:rsidR="005C46AA" w:rsidRDefault="00A116E6" w:rsidP="00D73B23">
      <w:pPr>
        <w:pStyle w:val="ParaNum"/>
        <w:widowControl/>
        <w:tabs>
          <w:tab w:val="clear" w:pos="1080"/>
        </w:tabs>
        <w:rPr>
          <w:spacing w:val="-2"/>
        </w:rPr>
      </w:pPr>
      <w:r>
        <w:rPr>
          <w:spacing w:val="-2"/>
        </w:rPr>
        <w:t xml:space="preserve">On October 24, 2011, the Enforcement Bureau’s Detroit Office issued a </w:t>
      </w:r>
      <w:r>
        <w:t>Notice of Apparent Liability for Forfeiture and Order</w:t>
      </w:r>
      <w:r>
        <w:rPr>
          <w:spacing w:val="-2"/>
        </w:rPr>
        <w:t xml:space="preserve"> (</w:t>
      </w:r>
      <w:r w:rsidRPr="00D613A9">
        <w:rPr>
          <w:i/>
          <w:spacing w:val="-2"/>
        </w:rPr>
        <w:t>NAL</w:t>
      </w:r>
      <w:r>
        <w:rPr>
          <w:spacing w:val="-2"/>
        </w:rPr>
        <w:t>)</w:t>
      </w:r>
      <w:r>
        <w:rPr>
          <w:i/>
          <w:spacing w:val="-2"/>
        </w:rPr>
        <w:t xml:space="preserve"> </w:t>
      </w:r>
      <w:r>
        <w:rPr>
          <w:spacing w:val="-2"/>
        </w:rPr>
        <w:t>proposing a $22,000 penalty against RJLNE for apparently willfully and repeatedly violating Sections 11.35(a), 73.1690(b)(2), and 73.3527(b)(1) of the Commission’s rules (Rules).</w:t>
      </w:r>
      <w:r>
        <w:rPr>
          <w:rStyle w:val="FootnoteReference"/>
          <w:spacing w:val="-2"/>
        </w:rPr>
        <w:footnoteReference w:id="2"/>
      </w:r>
      <w:r>
        <w:rPr>
          <w:spacing w:val="-2"/>
        </w:rPr>
        <w:t xml:space="preserve">  The Enforcement Bureau subsequently issued a Forfeiture Order imposing the $22,000 penalty </w:t>
      </w:r>
      <w:r w:rsidR="00682157">
        <w:rPr>
          <w:spacing w:val="-2"/>
        </w:rPr>
        <w:t>against RJLNE after finding that it</w:t>
      </w:r>
      <w:r>
        <w:rPr>
          <w:spacing w:val="-2"/>
        </w:rPr>
        <w:t xml:space="preserve"> failed to file a timely response to the </w:t>
      </w:r>
      <w:r w:rsidRPr="00D613A9">
        <w:rPr>
          <w:i/>
          <w:spacing w:val="-2"/>
        </w:rPr>
        <w:t>NAL</w:t>
      </w:r>
      <w:r>
        <w:rPr>
          <w:spacing w:val="-2"/>
        </w:rPr>
        <w:t>.</w:t>
      </w:r>
      <w:r>
        <w:rPr>
          <w:rStyle w:val="FootnoteReference"/>
          <w:spacing w:val="-2"/>
        </w:rPr>
        <w:footnoteReference w:id="3"/>
      </w:r>
      <w:r w:rsidR="005C46AA">
        <w:rPr>
          <w:spacing w:val="-2"/>
        </w:rPr>
        <w:t xml:space="preserve">  </w:t>
      </w:r>
      <w:r w:rsidR="00682157">
        <w:rPr>
          <w:spacing w:val="-2"/>
        </w:rPr>
        <w:t xml:space="preserve">In response, </w:t>
      </w:r>
      <w:r>
        <w:rPr>
          <w:spacing w:val="-2"/>
        </w:rPr>
        <w:t>RJLNE filed a Petition for Reconsideration of the Forfeiture Order</w:t>
      </w:r>
      <w:r w:rsidR="00682157">
        <w:rPr>
          <w:spacing w:val="-2"/>
        </w:rPr>
        <w:t xml:space="preserve"> (Petition)</w:t>
      </w:r>
      <w:r w:rsidR="005C46AA">
        <w:rPr>
          <w:spacing w:val="-2"/>
        </w:rPr>
        <w:t xml:space="preserve">, stating that it </w:t>
      </w:r>
      <w:r w:rsidR="00816888" w:rsidRPr="005C46AA">
        <w:rPr>
          <w:spacing w:val="-2"/>
        </w:rPr>
        <w:t>“did respond to the NAL,</w:t>
      </w:r>
      <w:r w:rsidR="005C46AA">
        <w:rPr>
          <w:spacing w:val="-2"/>
        </w:rPr>
        <w:t xml:space="preserve"> and [its] response was on time.</w:t>
      </w:r>
      <w:r w:rsidR="00816888" w:rsidRPr="005C46AA">
        <w:rPr>
          <w:spacing w:val="-2"/>
        </w:rPr>
        <w:t>”</w:t>
      </w:r>
      <w:r w:rsidR="00816888">
        <w:rPr>
          <w:rStyle w:val="FootnoteReference"/>
          <w:spacing w:val="-2"/>
        </w:rPr>
        <w:footnoteReference w:id="4"/>
      </w:r>
      <w:r w:rsidR="0016561A">
        <w:rPr>
          <w:spacing w:val="-2"/>
        </w:rPr>
        <w:t xml:space="preserve">  The Petition contained a copy of RJLNE’s response to the </w:t>
      </w:r>
      <w:r w:rsidR="0016561A" w:rsidRPr="00D613A9">
        <w:rPr>
          <w:i/>
          <w:spacing w:val="-2"/>
        </w:rPr>
        <w:t>NAL</w:t>
      </w:r>
      <w:r w:rsidR="00A82331">
        <w:rPr>
          <w:spacing w:val="-2"/>
        </w:rPr>
        <w:t>, in which RJLNE</w:t>
      </w:r>
      <w:r w:rsidR="0016561A">
        <w:rPr>
          <w:spacing w:val="-2"/>
        </w:rPr>
        <w:t xml:space="preserve"> requested</w:t>
      </w:r>
      <w:r w:rsidR="00682157">
        <w:rPr>
          <w:spacing w:val="-2"/>
        </w:rPr>
        <w:t xml:space="preserve"> </w:t>
      </w:r>
      <w:r w:rsidR="0016561A">
        <w:rPr>
          <w:spacing w:val="-2"/>
        </w:rPr>
        <w:t>reduction of the proposed penalty because it had “no intent to violate the Communications Act.”</w:t>
      </w:r>
      <w:r w:rsidR="0016561A">
        <w:rPr>
          <w:rStyle w:val="FootnoteReference"/>
          <w:spacing w:val="-2"/>
        </w:rPr>
        <w:footnoteReference w:id="5"/>
      </w:r>
      <w:r w:rsidR="0016561A">
        <w:rPr>
          <w:spacing w:val="-2"/>
        </w:rPr>
        <w:t xml:space="preserve">  </w:t>
      </w:r>
      <w:r w:rsidR="00A82331">
        <w:rPr>
          <w:spacing w:val="-2"/>
        </w:rPr>
        <w:t xml:space="preserve">The </w:t>
      </w:r>
      <w:r w:rsidR="00A82331" w:rsidRPr="00D613A9">
        <w:rPr>
          <w:i/>
          <w:spacing w:val="-2"/>
        </w:rPr>
        <w:t>NAL Response</w:t>
      </w:r>
      <w:r w:rsidR="00A82331">
        <w:rPr>
          <w:i/>
          <w:spacing w:val="-2"/>
        </w:rPr>
        <w:t xml:space="preserve"> </w:t>
      </w:r>
      <w:r w:rsidR="0016561A">
        <w:rPr>
          <w:spacing w:val="-2"/>
        </w:rPr>
        <w:t xml:space="preserve">also requested a forfeiture reduction </w:t>
      </w:r>
      <w:r w:rsidR="00A82331">
        <w:rPr>
          <w:spacing w:val="-2"/>
        </w:rPr>
        <w:t>based on RJLNE’s</w:t>
      </w:r>
      <w:r w:rsidR="0016561A">
        <w:rPr>
          <w:spacing w:val="-2"/>
        </w:rPr>
        <w:t xml:space="preserve"> efforts to correct the EAS, unauthorized operation, and public file violations </w:t>
      </w:r>
      <w:r w:rsidR="00A82331">
        <w:rPr>
          <w:spacing w:val="-2"/>
        </w:rPr>
        <w:t>following the Enforcement Bureau’s inspection of its station</w:t>
      </w:r>
      <w:r w:rsidR="0016561A">
        <w:rPr>
          <w:spacing w:val="-2"/>
        </w:rPr>
        <w:t>.</w:t>
      </w:r>
      <w:r w:rsidR="0016561A">
        <w:rPr>
          <w:rStyle w:val="FootnoteReference"/>
          <w:spacing w:val="-2"/>
        </w:rPr>
        <w:footnoteReference w:id="6"/>
      </w:r>
      <w:r w:rsidR="005C46AA">
        <w:rPr>
          <w:spacing w:val="-2"/>
        </w:rPr>
        <w:t xml:space="preserve"> </w:t>
      </w:r>
    </w:p>
    <w:p w14:paraId="0834A17E" w14:textId="75A68B03" w:rsidR="00DD255F" w:rsidRDefault="00DD255F" w:rsidP="00D73B23">
      <w:pPr>
        <w:pStyle w:val="Heading1"/>
      </w:pPr>
      <w:r>
        <w:lastRenderedPageBreak/>
        <w:t>DISCUSSION</w:t>
      </w:r>
    </w:p>
    <w:p w14:paraId="084EDE30" w14:textId="7457BABC" w:rsidR="008376BA" w:rsidRDefault="001058C7" w:rsidP="00D73B23">
      <w:pPr>
        <w:pStyle w:val="ParaNum"/>
        <w:widowControl/>
        <w:tabs>
          <w:tab w:val="clear" w:pos="1080"/>
        </w:tabs>
      </w:pPr>
      <w:r w:rsidRPr="001058C7">
        <w:rPr>
          <w:spacing w:val="-2"/>
        </w:rPr>
        <w:t xml:space="preserve">Petitions for reconsideration are granted only in limited circumstances.  </w:t>
      </w:r>
      <w:r w:rsidR="00BF5DB2" w:rsidRPr="002C5522">
        <w:t xml:space="preserve">Reconsideration is appropriate only </w:t>
      </w:r>
      <w:r w:rsidR="00BF5DB2" w:rsidRPr="00193A4F">
        <w:t>when</w:t>
      </w:r>
      <w:r w:rsidR="00BF5DB2" w:rsidRPr="002C5522">
        <w:t xml:space="preserve"> the petitioner either </w:t>
      </w:r>
      <w:r w:rsidR="00BF5DB2" w:rsidRPr="00193A4F">
        <w:t>demonstrates</w:t>
      </w:r>
      <w:r w:rsidR="00BF5DB2" w:rsidRPr="002C5522">
        <w:t xml:space="preserve"> a material error or omission in the underlying order or raises additional facts not known or not existing until after the petitioner’s last opportunity to present such matters.</w:t>
      </w:r>
      <w:r w:rsidR="00BF5DB2" w:rsidRPr="002C5522">
        <w:rPr>
          <w:rStyle w:val="FootnoteReference"/>
        </w:rPr>
        <w:footnoteReference w:id="7"/>
      </w:r>
      <w:r w:rsidR="00BF5DB2" w:rsidRPr="002C5522">
        <w:t xml:space="preserve">  </w:t>
      </w:r>
      <w:r w:rsidR="00BF5DB2">
        <w:rPr>
          <w:szCs w:val="22"/>
        </w:rPr>
        <w:t>RJLNE’s</w:t>
      </w:r>
      <w:r w:rsidR="00BF5DB2" w:rsidRPr="00193A4F">
        <w:rPr>
          <w:szCs w:val="22"/>
        </w:rPr>
        <w:t xml:space="preserve"> Petition fails to present such information warranting reconsideration.</w:t>
      </w:r>
    </w:p>
    <w:p w14:paraId="46F11ABF" w14:textId="759279A6" w:rsidR="00225229" w:rsidRDefault="00BF5DB2" w:rsidP="00D73B23">
      <w:pPr>
        <w:pStyle w:val="ParaNum"/>
        <w:widowControl/>
        <w:tabs>
          <w:tab w:val="clear" w:pos="1080"/>
        </w:tabs>
      </w:pPr>
      <w:r>
        <w:t xml:space="preserve">RJLNE asserts that it submitted a timely response to the </w:t>
      </w:r>
      <w:r w:rsidRPr="00D613A9">
        <w:rPr>
          <w:i/>
        </w:rPr>
        <w:t>NAL</w:t>
      </w:r>
      <w:r>
        <w:t>.</w:t>
      </w:r>
      <w:r>
        <w:rPr>
          <w:rStyle w:val="FootnoteReference"/>
        </w:rPr>
        <w:footnoteReference w:id="8"/>
      </w:r>
      <w:r w:rsidR="0097121C">
        <w:t xml:space="preserve">  </w:t>
      </w:r>
      <w:r w:rsidR="00272E82">
        <w:t xml:space="preserve">However, </w:t>
      </w:r>
      <w:r w:rsidR="00F858B5">
        <w:t>RJLNE admits</w:t>
      </w:r>
      <w:r w:rsidR="00272E82">
        <w:t xml:space="preserve"> that it mistakenly filed its </w:t>
      </w:r>
      <w:r w:rsidR="00D613A9" w:rsidRPr="00D613A9">
        <w:rPr>
          <w:i/>
        </w:rPr>
        <w:t xml:space="preserve">NAL </w:t>
      </w:r>
      <w:r w:rsidR="00A82331" w:rsidRPr="00D613A9">
        <w:rPr>
          <w:i/>
        </w:rPr>
        <w:t>Response</w:t>
      </w:r>
      <w:r w:rsidR="00A82331">
        <w:rPr>
          <w:i/>
        </w:rPr>
        <w:t xml:space="preserve"> </w:t>
      </w:r>
      <w:r w:rsidR="00272E82">
        <w:t xml:space="preserve">with the FCC’s Headquarters in Washington, D.C., instead of the Enforcement Bureau’s Detroit Office as required by the </w:t>
      </w:r>
      <w:r w:rsidR="00272E82" w:rsidRPr="00D613A9">
        <w:rPr>
          <w:i/>
        </w:rPr>
        <w:t>NAL</w:t>
      </w:r>
      <w:r w:rsidR="00272E82">
        <w:t>.</w:t>
      </w:r>
      <w:r w:rsidR="00272E82">
        <w:rPr>
          <w:rStyle w:val="FootnoteReference"/>
        </w:rPr>
        <w:footnoteReference w:id="9"/>
      </w:r>
      <w:r w:rsidR="00272E82">
        <w:t xml:space="preserve">  </w:t>
      </w:r>
      <w:r w:rsidR="0097121C">
        <w:t xml:space="preserve">But </w:t>
      </w:r>
      <w:r w:rsidR="00D613A9">
        <w:t xml:space="preserve">while we accept the </w:t>
      </w:r>
      <w:r w:rsidR="0097121C">
        <w:rPr>
          <w:i/>
        </w:rPr>
        <w:t xml:space="preserve">NAL </w:t>
      </w:r>
      <w:r w:rsidR="00A82331">
        <w:rPr>
          <w:i/>
        </w:rPr>
        <w:t>Response</w:t>
      </w:r>
      <w:r w:rsidR="0097121C">
        <w:t xml:space="preserve"> as timely</w:t>
      </w:r>
      <w:r w:rsidR="00D613A9">
        <w:t xml:space="preserve"> </w:t>
      </w:r>
      <w:r w:rsidR="0097121C">
        <w:t>filed</w:t>
      </w:r>
      <w:r w:rsidR="00D613A9">
        <w:t xml:space="preserve">, we find that RJLNE did not </w:t>
      </w:r>
      <w:r w:rsidR="0097121C">
        <w:t xml:space="preserve">provide </w:t>
      </w:r>
      <w:r w:rsidR="001C0313">
        <w:t>sufficient g</w:t>
      </w:r>
      <w:r w:rsidR="0097121C">
        <w:t xml:space="preserve">rounds for reconsideration of the imposed forfeiture.  </w:t>
      </w:r>
    </w:p>
    <w:p w14:paraId="2209624F" w14:textId="57AD0BAB" w:rsidR="00F858B5" w:rsidRPr="00F858B5" w:rsidRDefault="0097121C" w:rsidP="00D73B23">
      <w:pPr>
        <w:pStyle w:val="ParaNum"/>
        <w:widowControl/>
        <w:tabs>
          <w:tab w:val="clear" w:pos="1080"/>
        </w:tabs>
      </w:pPr>
      <w:r>
        <w:t xml:space="preserve">RJLNE </w:t>
      </w:r>
      <w:r w:rsidR="00D613A9">
        <w:t>argues</w:t>
      </w:r>
      <w:r>
        <w:t xml:space="preserve"> that a forfeiture reduction is warranted </w:t>
      </w:r>
      <w:r w:rsidR="00D613A9">
        <w:t>because it</w:t>
      </w:r>
      <w:r w:rsidR="00A82331">
        <w:rPr>
          <w:spacing w:val="-2"/>
        </w:rPr>
        <w:t xml:space="preserve"> </w:t>
      </w:r>
      <w:r w:rsidR="00D613A9">
        <w:rPr>
          <w:spacing w:val="-2"/>
        </w:rPr>
        <w:t>did not intend to violate</w:t>
      </w:r>
      <w:r w:rsidR="00A82331">
        <w:rPr>
          <w:spacing w:val="-2"/>
        </w:rPr>
        <w:t xml:space="preserve"> the Communications Act or the Rules.</w:t>
      </w:r>
      <w:r w:rsidR="00A82331">
        <w:rPr>
          <w:rStyle w:val="FootnoteReference"/>
          <w:spacing w:val="-2"/>
        </w:rPr>
        <w:footnoteReference w:id="10"/>
      </w:r>
      <w:r w:rsidR="001C0313">
        <w:rPr>
          <w:spacing w:val="-2"/>
        </w:rPr>
        <w:t xml:space="preserve">  </w:t>
      </w:r>
      <w:r w:rsidR="00A82331" w:rsidRPr="00A82331">
        <w:rPr>
          <w:spacing w:val="-2"/>
        </w:rPr>
        <w:t xml:space="preserve">As explained in the </w:t>
      </w:r>
      <w:r w:rsidR="00A82331" w:rsidRPr="00A82331">
        <w:rPr>
          <w:i/>
          <w:spacing w:val="-2"/>
        </w:rPr>
        <w:t>NAL</w:t>
      </w:r>
      <w:r w:rsidR="00A82331" w:rsidRPr="00A82331">
        <w:rPr>
          <w:spacing w:val="-2"/>
        </w:rPr>
        <w:t>,</w:t>
      </w:r>
      <w:r w:rsidR="001C0313">
        <w:rPr>
          <w:spacing w:val="-2"/>
        </w:rPr>
        <w:t xml:space="preserve"> the </w:t>
      </w:r>
      <w:r w:rsidR="001C0313" w:rsidRPr="001C0313">
        <w:rPr>
          <w:spacing w:val="-2"/>
        </w:rPr>
        <w:t>“conscious</w:t>
      </w:r>
      <w:r w:rsidR="001C0313" w:rsidRPr="002C5522">
        <w:rPr>
          <w:spacing w:val="-2"/>
        </w:rPr>
        <w:t xml:space="preserve"> and </w:t>
      </w:r>
      <w:r w:rsidR="001C0313" w:rsidRPr="001C0313">
        <w:rPr>
          <w:spacing w:val="-2"/>
        </w:rPr>
        <w:t xml:space="preserve">deliberate commission or omission” of any act that violates the Communications Act or the Rules </w:t>
      </w:r>
      <w:r w:rsidR="001C0313">
        <w:rPr>
          <w:spacing w:val="-2"/>
        </w:rPr>
        <w:t xml:space="preserve">renders a violation willful, regardless of whether the </w:t>
      </w:r>
      <w:r w:rsidR="00F858B5">
        <w:rPr>
          <w:spacing w:val="-2"/>
        </w:rPr>
        <w:t xml:space="preserve">party </w:t>
      </w:r>
      <w:r w:rsidR="001C0313">
        <w:rPr>
          <w:spacing w:val="-2"/>
        </w:rPr>
        <w:t>intended</w:t>
      </w:r>
      <w:r w:rsidR="001C0313" w:rsidRPr="002C5522">
        <w:rPr>
          <w:spacing w:val="-2"/>
        </w:rPr>
        <w:t xml:space="preserve"> to </w:t>
      </w:r>
      <w:r w:rsidR="001C0313">
        <w:rPr>
          <w:spacing w:val="-2"/>
        </w:rPr>
        <w:t>violate the law.</w:t>
      </w:r>
      <w:r w:rsidR="001C0313">
        <w:rPr>
          <w:rStyle w:val="FootnoteReference"/>
          <w:spacing w:val="-2"/>
        </w:rPr>
        <w:footnoteReference w:id="11"/>
      </w:r>
      <w:r w:rsidR="001C0313">
        <w:rPr>
          <w:spacing w:val="-2"/>
        </w:rPr>
        <w:t xml:space="preserve">  In its </w:t>
      </w:r>
      <w:r w:rsidR="001C0313">
        <w:rPr>
          <w:i/>
          <w:spacing w:val="-2"/>
        </w:rPr>
        <w:t>NAL Response</w:t>
      </w:r>
      <w:r w:rsidR="001C0313">
        <w:rPr>
          <w:spacing w:val="-2"/>
        </w:rPr>
        <w:t xml:space="preserve">, RJLNE did not deny that it </w:t>
      </w:r>
      <w:r w:rsidR="00225229">
        <w:rPr>
          <w:spacing w:val="-2"/>
        </w:rPr>
        <w:t xml:space="preserve">operated its station’s transmitter from an unauthorized location and failed to </w:t>
      </w:r>
      <w:r w:rsidR="00F858B5">
        <w:rPr>
          <w:spacing w:val="-2"/>
        </w:rPr>
        <w:t>maintain required</w:t>
      </w:r>
      <w:r w:rsidR="00225229">
        <w:rPr>
          <w:spacing w:val="-2"/>
        </w:rPr>
        <w:t xml:space="preserve"> EAS equipment or </w:t>
      </w:r>
      <w:r w:rsidR="00F858B5">
        <w:rPr>
          <w:spacing w:val="-2"/>
        </w:rPr>
        <w:t xml:space="preserve">its </w:t>
      </w:r>
      <w:r w:rsidR="00225229">
        <w:rPr>
          <w:spacing w:val="-2"/>
        </w:rPr>
        <w:t>public inspection file.  As a result, we find that RJLNE</w:t>
      </w:r>
      <w:r w:rsidR="00D613A9">
        <w:rPr>
          <w:spacing w:val="-2"/>
        </w:rPr>
        <w:t xml:space="preserve"> willfully violated the Rules</w:t>
      </w:r>
      <w:r w:rsidR="00225229">
        <w:rPr>
          <w:spacing w:val="-2"/>
        </w:rPr>
        <w:t>.  To the extent that RJLNE</w:t>
      </w:r>
      <w:r w:rsidR="00D613A9">
        <w:rPr>
          <w:spacing w:val="-2"/>
        </w:rPr>
        <w:t xml:space="preserve"> suggests</w:t>
      </w:r>
      <w:r w:rsidR="00225229">
        <w:rPr>
          <w:spacing w:val="-2"/>
        </w:rPr>
        <w:t xml:space="preserve"> that it was unaware tha</w:t>
      </w:r>
      <w:r w:rsidR="00F858B5">
        <w:rPr>
          <w:spacing w:val="-2"/>
        </w:rPr>
        <w:t>t its actions violated the law</w:t>
      </w:r>
      <w:r w:rsidR="00225229">
        <w:rPr>
          <w:spacing w:val="-2"/>
        </w:rPr>
        <w:t xml:space="preserve">, </w:t>
      </w:r>
      <w:r w:rsidR="00F858B5">
        <w:rPr>
          <w:spacing w:val="-2"/>
        </w:rPr>
        <w:t>this</w:t>
      </w:r>
      <w:r w:rsidR="00225229">
        <w:rPr>
          <w:spacing w:val="-2"/>
        </w:rPr>
        <w:t xml:space="preserve"> lack of knowledge</w:t>
      </w:r>
      <w:r w:rsidR="00D613A9">
        <w:rPr>
          <w:spacing w:val="-2"/>
        </w:rPr>
        <w:t xml:space="preserve"> </w:t>
      </w:r>
      <w:r w:rsidR="00225229">
        <w:rPr>
          <w:spacing w:val="-2"/>
        </w:rPr>
        <w:t>is</w:t>
      </w:r>
      <w:r w:rsidR="00A82331" w:rsidRPr="00225229">
        <w:rPr>
          <w:spacing w:val="-2"/>
        </w:rPr>
        <w:t xml:space="preserve"> “at best, ignorance of the law, which the Commission does not consider a mitigating circumstance.”</w:t>
      </w:r>
      <w:r w:rsidR="00A82331" w:rsidRPr="00792346">
        <w:rPr>
          <w:sz w:val="20"/>
          <w:vertAlign w:val="superscript"/>
        </w:rPr>
        <w:footnoteReference w:id="12"/>
      </w:r>
      <w:r w:rsidR="00A82331" w:rsidRPr="00225229">
        <w:rPr>
          <w:spacing w:val="-2"/>
        </w:rPr>
        <w:t xml:space="preserve">  </w:t>
      </w:r>
      <w:r w:rsidR="00F858B5">
        <w:rPr>
          <w:spacing w:val="-2"/>
        </w:rPr>
        <w:t>RJLNE also conceded that the violations continued for extended pe</w:t>
      </w:r>
      <w:r w:rsidR="00DB3B7F">
        <w:rPr>
          <w:spacing w:val="-2"/>
        </w:rPr>
        <w:t>riods of time</w:t>
      </w:r>
      <w:r w:rsidR="00F858B5">
        <w:rPr>
          <w:spacing w:val="-2"/>
        </w:rPr>
        <w:t>.</w:t>
      </w:r>
      <w:r w:rsidR="00F858B5">
        <w:rPr>
          <w:rStyle w:val="FootnoteReference"/>
          <w:spacing w:val="-2"/>
        </w:rPr>
        <w:footnoteReference w:id="13"/>
      </w:r>
      <w:r w:rsidR="00F858B5">
        <w:rPr>
          <w:spacing w:val="-2"/>
        </w:rPr>
        <w:t xml:space="preserve">  As a result, even if we did not find RJLNE’s violations willful, they were nevertheless repeated.</w:t>
      </w:r>
      <w:r w:rsidR="00F858B5">
        <w:rPr>
          <w:rStyle w:val="FootnoteReference"/>
          <w:spacing w:val="-2"/>
        </w:rPr>
        <w:footnoteReference w:id="14"/>
      </w:r>
    </w:p>
    <w:p w14:paraId="4E8FE1E9" w14:textId="36A5F026" w:rsidR="00945A5E" w:rsidRDefault="00945A5E" w:rsidP="00D73B23">
      <w:pPr>
        <w:pStyle w:val="ParaNum"/>
        <w:widowControl/>
        <w:tabs>
          <w:tab w:val="clear" w:pos="1080"/>
        </w:tabs>
      </w:pPr>
      <w:r>
        <w:rPr>
          <w:spacing w:val="-2"/>
        </w:rPr>
        <w:t xml:space="preserve">RJLNE also requests a forfeiture reduction based on its </w:t>
      </w:r>
      <w:r>
        <w:t>remedial actions to resolve its EAS, unauthorized operation, and public inspection file violations.</w:t>
      </w:r>
      <w:r>
        <w:rPr>
          <w:rStyle w:val="FootnoteReference"/>
        </w:rPr>
        <w:footnoteReference w:id="15"/>
      </w:r>
      <w:r>
        <w:t xml:space="preserve">  Specifically, RJLNE states that it installed the required EAS equipment, received Commission permission to operate its transmitter from a new location, and established a public inspection file at its main studio.</w:t>
      </w:r>
      <w:r>
        <w:rPr>
          <w:rStyle w:val="FootnoteReference"/>
        </w:rPr>
        <w:footnoteReference w:id="16"/>
      </w:r>
      <w:r>
        <w:t xml:space="preserve">  </w:t>
      </w:r>
      <w:r w:rsidRPr="00430434">
        <w:t xml:space="preserve">While the Commission will generally reduce an assessed forfeiture based on the good faith corrective efforts of a violator, those </w:t>
      </w:r>
      <w:r w:rsidRPr="00430434">
        <w:lastRenderedPageBreak/>
        <w:t xml:space="preserve">corrective efforts must be taken </w:t>
      </w:r>
      <w:r w:rsidRPr="00430434">
        <w:rPr>
          <w:i/>
        </w:rPr>
        <w:t xml:space="preserve">prior </w:t>
      </w:r>
      <w:r w:rsidRPr="00430434">
        <w:t>to notification of the violation.</w:t>
      </w:r>
      <w:r w:rsidRPr="00430434">
        <w:rPr>
          <w:vertAlign w:val="superscript"/>
        </w:rPr>
        <w:footnoteReference w:id="17"/>
      </w:r>
      <w:r w:rsidRPr="00430434">
        <w:t xml:space="preserve">  As the Commission has repeatedly stated, “corrective action taken to come into compliance with Commission rules or policy is expected, and does not nullify or mitigate any prior forfeitures or violations.</w:t>
      </w:r>
      <w:bookmarkStart w:id="1" w:name="FN[FN8]"/>
      <w:bookmarkEnd w:id="1"/>
      <w:r w:rsidRPr="00430434">
        <w:t>”</w:t>
      </w:r>
      <w:r w:rsidRPr="00430434">
        <w:rPr>
          <w:vertAlign w:val="superscript"/>
        </w:rPr>
        <w:footnoteReference w:id="18"/>
      </w:r>
      <w:r>
        <w:t xml:space="preserve">  Consequently, RJLNE’s remedial efforts to comply </w:t>
      </w:r>
      <w:r w:rsidR="00DB3B7F">
        <w:t xml:space="preserve">with the Rules </w:t>
      </w:r>
      <w:r>
        <w:t>following the inspection of its station do not justify a forfeiture reduction.</w:t>
      </w:r>
    </w:p>
    <w:p w14:paraId="79D9A1F4" w14:textId="0E06A856" w:rsidR="0097121C" w:rsidRDefault="00945A5E" w:rsidP="00D73B23">
      <w:pPr>
        <w:pStyle w:val="ParaNum"/>
        <w:widowControl/>
        <w:tabs>
          <w:tab w:val="clear" w:pos="1080"/>
        </w:tabs>
      </w:pPr>
      <w:r>
        <w:t xml:space="preserve">We therefore find that RJLNE fails to present information warranting reconsideration of the </w:t>
      </w:r>
      <w:r w:rsidR="00EC0871">
        <w:t xml:space="preserve">$22,000 </w:t>
      </w:r>
      <w:r>
        <w:t>forfeiture and deny the Petition.</w:t>
      </w:r>
      <w:r w:rsidR="00A82331" w:rsidRPr="00945A5E">
        <w:rPr>
          <w:spacing w:val="-2"/>
        </w:rPr>
        <w:t xml:space="preserve">  </w:t>
      </w:r>
    </w:p>
    <w:p w14:paraId="0D943931" w14:textId="2BCF93BA" w:rsidR="005961CF" w:rsidRPr="00BE35DC" w:rsidRDefault="005961CF" w:rsidP="008F56BE">
      <w:pPr>
        <w:pStyle w:val="Heading1"/>
      </w:pPr>
      <w:r>
        <w:t>ORDERING CLAUSES</w:t>
      </w:r>
    </w:p>
    <w:p w14:paraId="50E3D30C" w14:textId="3DDFE32D" w:rsidR="005C12AF" w:rsidRDefault="00FD7A72" w:rsidP="00D73B23">
      <w:pPr>
        <w:pStyle w:val="ParaNum"/>
        <w:widowControl/>
        <w:tabs>
          <w:tab w:val="clear" w:pos="1080"/>
        </w:tabs>
      </w:pPr>
      <w:r>
        <w:t xml:space="preserve">Accordingly, </w:t>
      </w:r>
      <w:r>
        <w:rPr>
          <w:b/>
        </w:rPr>
        <w:t xml:space="preserve">IT IS ORDERED </w:t>
      </w:r>
      <w:r>
        <w:t xml:space="preserve">that, pursuant to </w:t>
      </w:r>
      <w:r w:rsidR="001A7C71">
        <w:t>S</w:t>
      </w:r>
      <w:r>
        <w:t xml:space="preserve">ection </w:t>
      </w:r>
      <w:r w:rsidR="00F66984">
        <w:t xml:space="preserve">405 of the </w:t>
      </w:r>
      <w:r w:rsidR="00945A5E">
        <w:t xml:space="preserve">Communications </w:t>
      </w:r>
      <w:r w:rsidR="00F66984">
        <w:t>Act</w:t>
      </w:r>
      <w:r w:rsidR="00945A5E">
        <w:t xml:space="preserve"> of 1934, as </w:t>
      </w:r>
      <w:r w:rsidR="00EC0871">
        <w:t>amended (Act),</w:t>
      </w:r>
      <w:r>
        <w:rPr>
          <w:rStyle w:val="FootnoteReference"/>
          <w:szCs w:val="22"/>
        </w:rPr>
        <w:footnoteReference w:id="19"/>
      </w:r>
      <w:r>
        <w:t xml:space="preserve"> and </w:t>
      </w:r>
      <w:r w:rsidR="001A7C71">
        <w:t>S</w:t>
      </w:r>
      <w:r>
        <w:t>ection 1.106 of the Rules,</w:t>
      </w:r>
      <w:r>
        <w:rPr>
          <w:rStyle w:val="FootnoteCharacters"/>
          <w:szCs w:val="22"/>
        </w:rPr>
        <w:footnoteReference w:id="20"/>
      </w:r>
      <w:r w:rsidR="00F66984">
        <w:t xml:space="preserve"> </w:t>
      </w:r>
      <w:r>
        <w:t xml:space="preserve">the </w:t>
      </w:r>
      <w:r w:rsidRPr="00783AA9">
        <w:t>Petition for Reconsideration</w:t>
      </w:r>
      <w:r>
        <w:t xml:space="preserve"> filed by</w:t>
      </w:r>
      <w:r w:rsidR="0035579D">
        <w:t xml:space="preserve"> </w:t>
      </w:r>
      <w:r w:rsidR="00B55F1E">
        <w:t>R.J.’s Late Night Entertainment Corporation</w:t>
      </w:r>
      <w:r w:rsidR="00661F3A">
        <w:t xml:space="preserve"> </w:t>
      </w:r>
      <w:r w:rsidR="00EC0871">
        <w:t>is hereby</w:t>
      </w:r>
      <w:r w:rsidR="00EC0871" w:rsidRPr="002C5522">
        <w:t xml:space="preserve"> </w:t>
      </w:r>
      <w:r w:rsidR="00B55F1E">
        <w:rPr>
          <w:b/>
        </w:rPr>
        <w:t>DENIED</w:t>
      </w:r>
      <w:r>
        <w:t>.</w:t>
      </w:r>
    </w:p>
    <w:p w14:paraId="11BE5B3C" w14:textId="28733065" w:rsidR="00A54EFA" w:rsidRDefault="00EC0871" w:rsidP="00D73B23">
      <w:pPr>
        <w:pStyle w:val="ParaNum"/>
        <w:widowControl/>
        <w:tabs>
          <w:tab w:val="clear" w:pos="1080"/>
        </w:tabs>
      </w:pPr>
      <w:r>
        <w:rPr>
          <w:b/>
        </w:rPr>
        <w:t>IT IS FURTHER</w:t>
      </w:r>
      <w:r w:rsidR="00A54EFA">
        <w:rPr>
          <w:b/>
        </w:rPr>
        <w:t xml:space="preserve"> ORDERED </w:t>
      </w:r>
      <w:r w:rsidR="00A54EFA">
        <w:t>that, pursuant to Section 503(b) of the Act and Sections 0.111, 0.311,</w:t>
      </w:r>
      <w:r w:rsidR="00A54EFA">
        <w:rPr>
          <w:b/>
        </w:rPr>
        <w:t xml:space="preserve"> </w:t>
      </w:r>
      <w:r>
        <w:t xml:space="preserve">and 1.80 </w:t>
      </w:r>
      <w:r w:rsidR="00A54EFA">
        <w:t xml:space="preserve">of the Rules, R.J.’s Late Night Entertainment Corporation </w:t>
      </w:r>
      <w:r w:rsidR="00A54EFA">
        <w:rPr>
          <w:b/>
        </w:rPr>
        <w:t>IS LIABLE FOR A MONETARY FORFEITURE</w:t>
      </w:r>
      <w:r>
        <w:t xml:space="preserve"> in the amount of twenty-two thousand dollars ($22,000</w:t>
      </w:r>
      <w:r w:rsidR="00B328E9">
        <w:t xml:space="preserve">) </w:t>
      </w:r>
      <w:r w:rsidR="008C032C">
        <w:t xml:space="preserve">for </w:t>
      </w:r>
      <w:r>
        <w:t xml:space="preserve">willfully and repeatedly violating </w:t>
      </w:r>
      <w:r w:rsidR="008C032C">
        <w:t>Sections 11.35(a), 73.1690(b)(2), and 73.</w:t>
      </w:r>
      <w:r>
        <w:t>3527(b)(1) of the R</w:t>
      </w:r>
      <w:r w:rsidR="008C032C">
        <w:t>ules.</w:t>
      </w:r>
      <w:r w:rsidR="008C032C">
        <w:rPr>
          <w:rStyle w:val="FootnoteReference"/>
        </w:rPr>
        <w:footnoteReference w:id="21"/>
      </w:r>
    </w:p>
    <w:p w14:paraId="4F2445B4" w14:textId="4A8B5967" w:rsidR="00592215" w:rsidRPr="00090E77" w:rsidRDefault="00592215" w:rsidP="00D73B23">
      <w:pPr>
        <w:pStyle w:val="ParaNum"/>
        <w:widowControl/>
        <w:tabs>
          <w:tab w:val="clear" w:pos="1080"/>
        </w:tabs>
        <w:rPr>
          <w:rFonts w:cs="Arial"/>
        </w:rPr>
      </w:pPr>
      <w:r w:rsidRPr="00626BA2">
        <w:rPr>
          <w:rFonts w:eastAsia="MS Mincho" w:cs="Arial"/>
        </w:rPr>
        <w:t xml:space="preserve">Payment of the forfeiture </w:t>
      </w:r>
      <w:r w:rsidRPr="00E54E68">
        <w:rPr>
          <w:rFonts w:eastAsia="MS Mincho" w:cs="Arial"/>
        </w:rPr>
        <w:t xml:space="preserve">shall </w:t>
      </w:r>
      <w:r w:rsidRPr="00626BA2">
        <w:rPr>
          <w:rFonts w:eastAsia="MS Mincho" w:cs="Arial"/>
        </w:rPr>
        <w:t xml:space="preserve">be made in the manner provided for in Section 1.80 of the Rules </w:t>
      </w:r>
      <w:r w:rsidR="00FC38B9">
        <w:rPr>
          <w:rFonts w:eastAsia="MS Mincho" w:cs="Arial"/>
        </w:rPr>
        <w:t>within</w:t>
      </w:r>
      <w:r>
        <w:rPr>
          <w:rFonts w:eastAsia="MS Mincho" w:cs="Arial"/>
        </w:rPr>
        <w:t xml:space="preserve"> </w:t>
      </w:r>
      <w:r w:rsidR="00FC38B9">
        <w:rPr>
          <w:rFonts w:eastAsia="MS Mincho" w:cs="Arial"/>
        </w:rPr>
        <w:t>thirty</w:t>
      </w:r>
      <w:r>
        <w:rPr>
          <w:rFonts w:eastAsia="MS Mincho" w:cs="Arial"/>
        </w:rPr>
        <w:t xml:space="preserve"> (</w:t>
      </w:r>
      <w:r w:rsidR="00FC38B9">
        <w:rPr>
          <w:rFonts w:eastAsia="MS Mincho" w:cs="Arial"/>
        </w:rPr>
        <w:t>30</w:t>
      </w:r>
      <w:r>
        <w:rPr>
          <w:rFonts w:eastAsia="MS Mincho" w:cs="Arial"/>
        </w:rPr>
        <w:t xml:space="preserve">) </w:t>
      </w:r>
      <w:r w:rsidRPr="00626BA2">
        <w:rPr>
          <w:rFonts w:eastAsia="MS Mincho" w:cs="Arial"/>
        </w:rPr>
        <w:t xml:space="preserve">calendar days after the release date of this </w:t>
      </w:r>
      <w:r w:rsidR="008527E8">
        <w:rPr>
          <w:rFonts w:eastAsia="MS Mincho" w:cs="Arial"/>
        </w:rPr>
        <w:t>Memorandum Opinion and Order</w:t>
      </w:r>
      <w:r w:rsidRPr="00626BA2">
        <w:rPr>
          <w:rFonts w:eastAsia="MS Mincho" w:cs="Arial"/>
        </w:rPr>
        <w:t>.</w:t>
      </w:r>
      <w:r>
        <w:rPr>
          <w:rStyle w:val="FootnoteReference"/>
          <w:rFonts w:eastAsia="MS Mincho" w:cs="Arial"/>
        </w:rPr>
        <w:footnoteReference w:id="22"/>
      </w:r>
      <w:r w:rsidRPr="00626BA2">
        <w:rPr>
          <w:rFonts w:eastAsia="MS Mincho" w:cs="Arial"/>
        </w:rPr>
        <w:t xml:space="preserve">  If the forfeiture is not p</w:t>
      </w:r>
      <w:r w:rsidR="00E958E8">
        <w:rPr>
          <w:rFonts w:eastAsia="MS Mincho" w:cs="Arial"/>
        </w:rPr>
        <w:t>aid within the period specified,</w:t>
      </w:r>
      <w:r w:rsidRPr="00626BA2">
        <w:rPr>
          <w:rFonts w:eastAsia="MS Mincho" w:cs="Arial"/>
        </w:rPr>
        <w:t xml:space="preserve"> th</w:t>
      </w:r>
      <w:r w:rsidR="00F46584">
        <w:rPr>
          <w:rFonts w:eastAsia="MS Mincho" w:cs="Arial"/>
        </w:rPr>
        <w:t>is</w:t>
      </w:r>
      <w:r w:rsidRPr="00626BA2">
        <w:rPr>
          <w:rFonts w:eastAsia="MS Mincho" w:cs="Arial"/>
        </w:rPr>
        <w:t xml:space="preserve"> case</w:t>
      </w:r>
      <w:r w:rsidR="00E958E8">
        <w:rPr>
          <w:rFonts w:eastAsia="MS Mincho" w:cs="Arial"/>
        </w:rPr>
        <w:t xml:space="preserve"> may be referred </w:t>
      </w:r>
      <w:r w:rsidRPr="00626BA2">
        <w:rPr>
          <w:rFonts w:eastAsia="MS Mincho" w:cs="Arial"/>
        </w:rPr>
        <w:t>to the U.S. Department of Justice for enforcement of the forfeiture pursuant to Section 504(a) of the Act</w:t>
      </w:r>
      <w:r w:rsidR="00E958E8">
        <w:rPr>
          <w:rFonts w:eastAsia="MS Mincho" w:cs="Arial"/>
        </w:rPr>
        <w:t>.</w:t>
      </w:r>
      <w:r>
        <w:rPr>
          <w:rStyle w:val="FootnoteReference"/>
          <w:rFonts w:eastAsia="MS Mincho" w:cs="Arial"/>
        </w:rPr>
        <w:footnoteReference w:id="23"/>
      </w:r>
      <w:r w:rsidRPr="00626BA2">
        <w:rPr>
          <w:rFonts w:eastAsia="MS Mincho" w:cs="Arial"/>
        </w:rPr>
        <w:t> </w:t>
      </w:r>
      <w:r w:rsidR="0035579D">
        <w:rPr>
          <w:rFonts w:eastAsia="MS Mincho" w:cs="Arial"/>
        </w:rPr>
        <w:t xml:space="preserve"> </w:t>
      </w:r>
      <w:r w:rsidR="00EF3587">
        <w:rPr>
          <w:rFonts w:eastAsia="MS Mincho" w:cs="Arial"/>
        </w:rPr>
        <w:t>R.J.’s Late Night Entertainment Corporation</w:t>
      </w:r>
      <w:r>
        <w:rPr>
          <w:rFonts w:eastAsia="MS Mincho" w:cs="Arial"/>
        </w:rPr>
        <w:t xml:space="preserve"> </w:t>
      </w:r>
      <w:r w:rsidRPr="00D72D84">
        <w:rPr>
          <w:rFonts w:eastAsia="MS Mincho" w:cs="Arial"/>
        </w:rPr>
        <w:t xml:space="preserve">shall send electronic notification </w:t>
      </w:r>
      <w:r>
        <w:rPr>
          <w:rFonts w:eastAsia="MS Mincho" w:cs="Arial"/>
        </w:rPr>
        <w:t xml:space="preserve">of payment </w:t>
      </w:r>
      <w:r w:rsidRPr="00D72D84">
        <w:rPr>
          <w:rFonts w:eastAsia="MS Mincho" w:cs="Arial"/>
        </w:rPr>
        <w:t xml:space="preserve">to </w:t>
      </w:r>
      <w:r w:rsidR="00526079">
        <w:rPr>
          <w:rFonts w:eastAsia="MS Mincho" w:cs="Arial"/>
        </w:rPr>
        <w:t>NE</w:t>
      </w:r>
      <w:r>
        <w:rPr>
          <w:rFonts w:eastAsia="MS Mincho" w:cs="Arial"/>
        </w:rPr>
        <w:t xml:space="preserve">R-Response@fcc.gov </w:t>
      </w:r>
      <w:r w:rsidRPr="00D72D84">
        <w:rPr>
          <w:rFonts w:eastAsia="MS Mincho" w:cs="Arial"/>
        </w:rPr>
        <w:t>on the date said payment is made.</w:t>
      </w:r>
    </w:p>
    <w:p w14:paraId="3D92FC22" w14:textId="38CEC51D" w:rsidR="00592215" w:rsidRPr="00626BA2" w:rsidRDefault="00EC0871" w:rsidP="00D73B23">
      <w:pPr>
        <w:pStyle w:val="ParaNum"/>
        <w:widowControl/>
        <w:tabs>
          <w:tab w:val="clear" w:pos="1080"/>
        </w:tabs>
        <w:rPr>
          <w:rFonts w:eastAsia="MS Mincho" w:cs="Arial"/>
        </w:rPr>
      </w:pPr>
      <w:r>
        <w:rPr>
          <w:rFonts w:eastAsia="MS Mincho" w:cs="Arial"/>
        </w:rPr>
        <w:t>P</w:t>
      </w:r>
      <w:r w:rsidR="00592215" w:rsidRPr="00626BA2">
        <w:rPr>
          <w:rFonts w:eastAsia="MS Mincho" w:cs="Arial"/>
        </w:rPr>
        <w:t xml:space="preserve">ayment </w:t>
      </w:r>
      <w:r>
        <w:rPr>
          <w:rFonts w:eastAsia="MS Mincho" w:cs="Arial"/>
        </w:rPr>
        <w:t xml:space="preserve">of the forfeiture </w:t>
      </w:r>
      <w:r w:rsidR="00592215" w:rsidRPr="00626BA2">
        <w:rPr>
          <w:rFonts w:eastAsia="MS Mincho" w:cs="Arial"/>
        </w:rPr>
        <w:t>must be made by check or similar instrument, wire transfer, or credit card, an</w:t>
      </w:r>
      <w:r w:rsidR="00F66984">
        <w:rPr>
          <w:rFonts w:eastAsia="MS Mincho" w:cs="Arial"/>
        </w:rPr>
        <w:t>d must include the NAL/Account N</w:t>
      </w:r>
      <w:r w:rsidR="00592215" w:rsidRPr="00626BA2">
        <w:rPr>
          <w:rFonts w:eastAsia="MS Mincho" w:cs="Arial"/>
        </w:rPr>
        <w:t>umber and FRN referenced above.</w:t>
      </w:r>
      <w:r w:rsidR="00592215">
        <w:rPr>
          <w:rFonts w:eastAsia="MS Mincho" w:cs="Arial"/>
        </w:rPr>
        <w:t xml:space="preserve">  </w:t>
      </w:r>
      <w:r w:rsidR="00592215" w:rsidRPr="00626BA2">
        <w:rPr>
          <w:rFonts w:eastAsia="MS Mincho" w:cs="Arial"/>
        </w:rPr>
        <w:t xml:space="preserve">Regardless of the form of payment, a completed FCC Form 159 (Remittance Advice) must </w:t>
      </w:r>
      <w:r w:rsidR="00592215">
        <w:rPr>
          <w:rFonts w:eastAsia="MS Mincho" w:cs="Arial"/>
        </w:rPr>
        <w:t>be submitted.</w:t>
      </w:r>
      <w:r w:rsidR="00592215">
        <w:rPr>
          <w:rStyle w:val="FootnoteReference"/>
          <w:rFonts w:eastAsia="MS Mincho" w:cs="Arial"/>
        </w:rPr>
        <w:footnoteReference w:id="24"/>
      </w:r>
      <w:r w:rsidR="00592215">
        <w:rPr>
          <w:rFonts w:eastAsia="MS Mincho" w:cs="Arial"/>
        </w:rPr>
        <w:t xml:space="preserve">  </w:t>
      </w:r>
      <w:r w:rsidR="00592215" w:rsidRPr="00626BA2">
        <w:rPr>
          <w:rFonts w:eastAsia="MS Mincho" w:cs="Arial"/>
        </w:rPr>
        <w:t>When completing the FCC Form 159, enter the Account Number in block number 23A (call sign/other ID) and enter the letters “FORF” in block number 24A (payment type code).  </w:t>
      </w:r>
      <w:r w:rsidR="00592215">
        <w:rPr>
          <w:color w:val="000000"/>
          <w:szCs w:val="22"/>
        </w:rPr>
        <w:t>Below</w:t>
      </w:r>
      <w:r>
        <w:rPr>
          <w:color w:val="000000"/>
          <w:szCs w:val="22"/>
        </w:rPr>
        <w:t xml:space="preserve"> are additional instructions that</w:t>
      </w:r>
      <w:r w:rsidR="00592215">
        <w:rPr>
          <w:color w:val="000000"/>
          <w:szCs w:val="22"/>
        </w:rPr>
        <w:t xml:space="preserve"> should </w:t>
      </w:r>
      <w:r>
        <w:rPr>
          <w:color w:val="000000"/>
          <w:szCs w:val="22"/>
        </w:rPr>
        <w:t xml:space="preserve">be </w:t>
      </w:r>
      <w:r w:rsidR="00592215">
        <w:rPr>
          <w:color w:val="000000"/>
          <w:szCs w:val="22"/>
        </w:rPr>
        <w:t>follow</w:t>
      </w:r>
      <w:r>
        <w:rPr>
          <w:color w:val="000000"/>
          <w:szCs w:val="22"/>
        </w:rPr>
        <w:t>ed</w:t>
      </w:r>
      <w:r w:rsidR="00592215">
        <w:rPr>
          <w:color w:val="000000"/>
          <w:szCs w:val="22"/>
        </w:rPr>
        <w:t xml:space="preserve"> based o</w:t>
      </w:r>
      <w:r>
        <w:rPr>
          <w:color w:val="000000"/>
          <w:szCs w:val="22"/>
        </w:rPr>
        <w:t>n the form of payment selected</w:t>
      </w:r>
      <w:r w:rsidR="00592215">
        <w:rPr>
          <w:color w:val="000000"/>
          <w:szCs w:val="22"/>
        </w:rPr>
        <w:t>:</w:t>
      </w:r>
    </w:p>
    <w:p w14:paraId="4ADF73DA" w14:textId="77777777" w:rsidR="00592215" w:rsidRPr="00626BA2" w:rsidRDefault="00592215" w:rsidP="008F56BE">
      <w:pPr>
        <w:pStyle w:val="ParaNum"/>
        <w:widowControl/>
        <w:numPr>
          <w:ilvl w:val="0"/>
          <w:numId w:val="9"/>
        </w:numPr>
        <w:rPr>
          <w:rFonts w:eastAsia="MS Mincho"/>
        </w:rPr>
      </w:pPr>
      <w:r>
        <w:rPr>
          <w:rFonts w:eastAsia="MS Mincho"/>
        </w:rPr>
        <w:t>P</w:t>
      </w:r>
      <w:r w:rsidRPr="00626BA2">
        <w:rPr>
          <w:rFonts w:eastAsia="MS Mincho"/>
        </w:rPr>
        <w:t>ayment by check or money order must be made payable to the order of the Federal Communications Commission.  Such payments (along with the completed Form 159) </w:t>
      </w:r>
      <w:r>
        <w:rPr>
          <w:rFonts w:eastAsia="MS Mincho"/>
        </w:rPr>
        <w:t>must</w:t>
      </w:r>
      <w:r w:rsidRPr="00626BA2">
        <w:rPr>
          <w:rFonts w:eastAsia="MS Mincho"/>
        </w:rPr>
        <w:t xml:space="preserve"> be mailed to Federal Communications Commission, </w:t>
      </w:r>
      <w:smartTag w:uri="urn:schemas-microsoft-com:office:smarttags" w:element="address">
        <w:smartTag w:uri="urn:schemas-microsoft-com:office:smarttags" w:element="Street">
          <w:r w:rsidRPr="00626BA2">
            <w:rPr>
              <w:rFonts w:eastAsia="MS Mincho"/>
            </w:rPr>
            <w:t>P.O. Box 979088</w:t>
          </w:r>
        </w:smartTag>
        <w:r w:rsidRPr="00626BA2">
          <w:rPr>
            <w:rFonts w:eastAsia="MS Mincho"/>
          </w:rPr>
          <w:t xml:space="preserve">, </w:t>
        </w:r>
        <w:smartTag w:uri="urn:schemas-microsoft-com:office:smarttags" w:element="City">
          <w:r w:rsidRPr="00626BA2">
            <w:rPr>
              <w:rFonts w:eastAsia="MS Mincho"/>
            </w:rPr>
            <w:t>St. Louis</w:t>
          </w:r>
        </w:smartTag>
        <w:r w:rsidRPr="00626BA2">
          <w:rPr>
            <w:rFonts w:eastAsia="MS Mincho"/>
          </w:rPr>
          <w:t xml:space="preserve">, </w:t>
        </w:r>
        <w:smartTag w:uri="urn:schemas-microsoft-com:office:smarttags" w:element="State">
          <w:r w:rsidRPr="00626BA2">
            <w:rPr>
              <w:rFonts w:eastAsia="MS Mincho"/>
            </w:rPr>
            <w:t>MO</w:t>
          </w:r>
        </w:smartTag>
        <w:r w:rsidRPr="00626BA2">
          <w:rPr>
            <w:rFonts w:eastAsia="MS Mincho"/>
          </w:rPr>
          <w:t xml:space="preserve"> </w:t>
        </w:r>
        <w:smartTag w:uri="urn:schemas-microsoft-com:office:smarttags" w:element="PostalCode">
          <w:r w:rsidRPr="00626BA2">
            <w:rPr>
              <w:rFonts w:eastAsia="MS Mincho"/>
            </w:rPr>
            <w:t>63197-9000</w:t>
          </w:r>
        </w:smartTag>
      </w:smartTag>
      <w:r w:rsidRPr="00626BA2">
        <w:rPr>
          <w:rFonts w:eastAsia="MS Mincho"/>
        </w:rPr>
        <w:t xml:space="preserve">, or sent via overnight mail to U.S. Bank – Government Lockbox #979088, SL-MO-C2-GL, 1005 </w:t>
      </w:r>
      <w:smartTag w:uri="urn:schemas-microsoft-com:office:smarttags" w:element="PlaceName">
        <w:r w:rsidRPr="00626BA2">
          <w:rPr>
            <w:rFonts w:eastAsia="MS Mincho"/>
          </w:rPr>
          <w:t>Convention</w:t>
        </w:r>
      </w:smartTag>
      <w:r w:rsidRPr="00626BA2">
        <w:rPr>
          <w:rFonts w:eastAsia="MS Mincho"/>
        </w:rPr>
        <w:t xml:space="preserve"> </w:t>
      </w:r>
      <w:smartTag w:uri="urn:schemas-microsoft-com:office:smarttags" w:element="PlaceType">
        <w:r w:rsidRPr="00626BA2">
          <w:rPr>
            <w:rFonts w:eastAsia="MS Mincho"/>
          </w:rPr>
          <w:t>Plaza</w:t>
        </w:r>
      </w:smartTag>
      <w:r w:rsidRPr="00626BA2">
        <w:rPr>
          <w:rFonts w:eastAsia="MS Mincho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26BA2">
            <w:rPr>
              <w:rFonts w:eastAsia="MS Mincho"/>
            </w:rPr>
            <w:t>St. Louis</w:t>
          </w:r>
        </w:smartTag>
        <w:r w:rsidRPr="00626BA2">
          <w:rPr>
            <w:rFonts w:eastAsia="MS Mincho"/>
          </w:rPr>
          <w:t xml:space="preserve">, </w:t>
        </w:r>
        <w:smartTag w:uri="urn:schemas-microsoft-com:office:smarttags" w:element="State">
          <w:r w:rsidRPr="00626BA2">
            <w:rPr>
              <w:rFonts w:eastAsia="MS Mincho"/>
            </w:rPr>
            <w:t>MO</w:t>
          </w:r>
        </w:smartTag>
        <w:r w:rsidRPr="00626BA2">
          <w:rPr>
            <w:rFonts w:eastAsia="MS Mincho"/>
          </w:rPr>
          <w:t xml:space="preserve"> </w:t>
        </w:r>
        <w:smartTag w:uri="urn:schemas-microsoft-com:office:smarttags" w:element="PostalCode">
          <w:r w:rsidRPr="00626BA2">
            <w:rPr>
              <w:rFonts w:eastAsia="MS Mincho"/>
            </w:rPr>
            <w:t>63101</w:t>
          </w:r>
        </w:smartTag>
      </w:smartTag>
      <w:r w:rsidRPr="00626BA2">
        <w:rPr>
          <w:rFonts w:eastAsia="MS Mincho"/>
        </w:rPr>
        <w:t xml:space="preserve">.  </w:t>
      </w:r>
    </w:p>
    <w:p w14:paraId="796C4151" w14:textId="77777777" w:rsidR="00592215" w:rsidRPr="00626BA2" w:rsidRDefault="00592215" w:rsidP="008F56BE">
      <w:pPr>
        <w:pStyle w:val="ParaNum"/>
        <w:widowControl/>
        <w:numPr>
          <w:ilvl w:val="0"/>
          <w:numId w:val="9"/>
        </w:numPr>
        <w:rPr>
          <w:rFonts w:eastAsia="MS Mincho"/>
        </w:rPr>
      </w:pPr>
      <w:r>
        <w:rPr>
          <w:rFonts w:eastAsia="MS Mincho"/>
        </w:rPr>
        <w:t>Payment by wire transfer must</w:t>
      </w:r>
      <w:r w:rsidRPr="00626BA2">
        <w:rPr>
          <w:rFonts w:eastAsia="MS Mincho"/>
        </w:rPr>
        <w:t xml:space="preserve"> be made to ABA Number 021030004, receiving bank TREAS/NYC, and Account Number 27000001.  </w:t>
      </w:r>
      <w:r>
        <w:rPr>
          <w:rFonts w:eastAsia="MS Mincho"/>
        </w:rPr>
        <w:t xml:space="preserve">To complete the wire transfer and ensure appropriate crediting of the wired funds, a </w:t>
      </w:r>
      <w:r w:rsidRPr="00626BA2">
        <w:rPr>
          <w:rFonts w:eastAsia="MS Mincho"/>
        </w:rPr>
        <w:t>completed Form 159 must be faxed to U.S. Bank at (314) 418-4232</w:t>
      </w:r>
      <w:r>
        <w:rPr>
          <w:rFonts w:eastAsia="MS Mincho"/>
        </w:rPr>
        <w:t xml:space="preserve"> on</w:t>
      </w:r>
      <w:r w:rsidRPr="00626BA2">
        <w:rPr>
          <w:rFonts w:eastAsia="MS Mincho"/>
        </w:rPr>
        <w:t xml:space="preserve"> the same business day </w:t>
      </w:r>
      <w:r>
        <w:rPr>
          <w:rFonts w:eastAsia="MS Mincho"/>
        </w:rPr>
        <w:t>the wire transfer is initiated</w:t>
      </w:r>
      <w:r w:rsidRPr="00626BA2">
        <w:rPr>
          <w:rFonts w:eastAsia="MS Mincho"/>
        </w:rPr>
        <w:t xml:space="preserve">.  </w:t>
      </w:r>
    </w:p>
    <w:p w14:paraId="4912B96F" w14:textId="1E6FBA3C" w:rsidR="00592215" w:rsidRPr="00626BA2" w:rsidRDefault="00592215" w:rsidP="008F56BE">
      <w:pPr>
        <w:pStyle w:val="ParaNum"/>
        <w:widowControl/>
        <w:numPr>
          <w:ilvl w:val="0"/>
          <w:numId w:val="9"/>
        </w:numPr>
        <w:rPr>
          <w:rFonts w:eastAsia="MS Mincho"/>
        </w:rPr>
      </w:pPr>
      <w:r>
        <w:rPr>
          <w:rFonts w:eastAsia="MS Mincho"/>
        </w:rPr>
        <w:t>Payment by credit card must</w:t>
      </w:r>
      <w:r w:rsidRPr="00626BA2">
        <w:rPr>
          <w:rFonts w:eastAsia="MS Mincho"/>
        </w:rPr>
        <w:t xml:space="preserve"> be made by providing the required credit card information on FCC Form 159 and signing and dating the Form 159 to authorize the credit card payment.</w:t>
      </w:r>
      <w:r w:rsidR="00F66984">
        <w:rPr>
          <w:rFonts w:eastAsia="MS Mincho"/>
        </w:rPr>
        <w:t xml:space="preserve">  </w:t>
      </w:r>
      <w:r w:rsidRPr="00626BA2">
        <w:rPr>
          <w:rFonts w:eastAsia="MS Mincho"/>
        </w:rPr>
        <w:t xml:space="preserve">The completed Form 159 </w:t>
      </w:r>
      <w:r>
        <w:rPr>
          <w:rFonts w:eastAsia="MS Mincho"/>
        </w:rPr>
        <w:t>must</w:t>
      </w:r>
      <w:r w:rsidRPr="00626BA2">
        <w:rPr>
          <w:rFonts w:eastAsia="MS Mincho"/>
        </w:rPr>
        <w:t xml:space="preserve"> then be mailed to Federal Communications Commission, P.O. Box 979088, St. Louis, </w:t>
      </w:r>
      <w:smartTag w:uri="urn:schemas-microsoft-com:office:smarttags" w:element="State">
        <w:r w:rsidRPr="00626BA2">
          <w:rPr>
            <w:rFonts w:eastAsia="MS Mincho"/>
          </w:rPr>
          <w:t>MO</w:t>
        </w:r>
      </w:smartTag>
      <w:r w:rsidRPr="00626BA2">
        <w:rPr>
          <w:rFonts w:eastAsia="MS Mincho"/>
        </w:rPr>
        <w:t xml:space="preserve"> </w:t>
      </w:r>
      <w:smartTag w:uri="urn:schemas-microsoft-com:office:smarttags" w:element="PostalCode">
        <w:r w:rsidRPr="00626BA2">
          <w:rPr>
            <w:rFonts w:eastAsia="MS Mincho"/>
          </w:rPr>
          <w:t>63197-9000</w:t>
        </w:r>
      </w:smartTag>
      <w:r w:rsidRPr="00626BA2">
        <w:rPr>
          <w:rFonts w:eastAsia="MS Mincho"/>
        </w:rPr>
        <w:t xml:space="preserve">, </w:t>
      </w:r>
      <w:r>
        <w:rPr>
          <w:rFonts w:eastAsia="MS Mincho"/>
        </w:rPr>
        <w:t xml:space="preserve">or </w:t>
      </w:r>
      <w:r w:rsidRPr="00626BA2">
        <w:rPr>
          <w:rFonts w:eastAsia="MS Mincho"/>
        </w:rPr>
        <w:t xml:space="preserve">sent via overnight mail to U.S. Bank – Government Lockbox #979088, SL-MO-C2-GL, 1005 </w:t>
      </w:r>
      <w:smartTag w:uri="urn:schemas-microsoft-com:office:smarttags" w:element="PlaceName">
        <w:r w:rsidRPr="00626BA2">
          <w:rPr>
            <w:rFonts w:eastAsia="MS Mincho"/>
          </w:rPr>
          <w:t>Convention</w:t>
        </w:r>
      </w:smartTag>
      <w:r w:rsidRPr="00626BA2">
        <w:rPr>
          <w:rFonts w:eastAsia="MS Mincho"/>
        </w:rPr>
        <w:t xml:space="preserve"> </w:t>
      </w:r>
      <w:smartTag w:uri="urn:schemas-microsoft-com:office:smarttags" w:element="PlaceType">
        <w:r w:rsidRPr="00626BA2">
          <w:rPr>
            <w:rFonts w:eastAsia="MS Mincho"/>
          </w:rPr>
          <w:t>Plaza</w:t>
        </w:r>
      </w:smartTag>
      <w:r w:rsidRPr="00626BA2">
        <w:rPr>
          <w:rFonts w:eastAsia="MS Mincho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26BA2">
            <w:rPr>
              <w:rFonts w:eastAsia="MS Mincho"/>
            </w:rPr>
            <w:t>St. Louis</w:t>
          </w:r>
        </w:smartTag>
        <w:r w:rsidRPr="00626BA2">
          <w:rPr>
            <w:rFonts w:eastAsia="MS Mincho"/>
          </w:rPr>
          <w:t xml:space="preserve">, </w:t>
        </w:r>
        <w:smartTag w:uri="urn:schemas-microsoft-com:office:smarttags" w:element="State">
          <w:r w:rsidRPr="00626BA2">
            <w:rPr>
              <w:rFonts w:eastAsia="MS Mincho"/>
            </w:rPr>
            <w:t>MO</w:t>
          </w:r>
        </w:smartTag>
        <w:r w:rsidRPr="00626BA2">
          <w:rPr>
            <w:rFonts w:eastAsia="MS Mincho"/>
          </w:rPr>
          <w:t xml:space="preserve"> </w:t>
        </w:r>
        <w:smartTag w:uri="urn:schemas-microsoft-com:office:smarttags" w:element="PostalCode">
          <w:r w:rsidRPr="00626BA2">
            <w:rPr>
              <w:rFonts w:eastAsia="MS Mincho"/>
            </w:rPr>
            <w:t>63101</w:t>
          </w:r>
        </w:smartTag>
      </w:smartTag>
      <w:r w:rsidRPr="00626BA2">
        <w:rPr>
          <w:rFonts w:eastAsia="MS Mincho"/>
        </w:rPr>
        <w:t xml:space="preserve">.  </w:t>
      </w:r>
    </w:p>
    <w:p w14:paraId="6E60BEA6" w14:textId="539D7A09" w:rsidR="00592215" w:rsidRDefault="00592215" w:rsidP="00D73B23">
      <w:pPr>
        <w:pStyle w:val="ParaNum"/>
        <w:widowControl/>
        <w:tabs>
          <w:tab w:val="clear" w:pos="1080"/>
        </w:tabs>
        <w:rPr>
          <w:rFonts w:eastAsia="MS Mincho"/>
        </w:rPr>
      </w:pPr>
      <w:r>
        <w:rPr>
          <w:rFonts w:eastAsia="MS Mincho"/>
        </w:rPr>
        <w:t>Any r</w:t>
      </w:r>
      <w:r w:rsidRPr="00626BA2">
        <w:rPr>
          <w:rFonts w:eastAsia="MS Mincho"/>
        </w:rPr>
        <w:t xml:space="preserve">equest for </w:t>
      </w:r>
      <w:r w:rsidR="00E958E8">
        <w:rPr>
          <w:rFonts w:eastAsia="MS Mincho"/>
        </w:rPr>
        <w:t xml:space="preserve">making </w:t>
      </w:r>
      <w:r w:rsidRPr="00626BA2">
        <w:rPr>
          <w:rFonts w:eastAsia="MS Mincho"/>
        </w:rPr>
        <w:t>full payment</w:t>
      </w:r>
      <w:r w:rsidR="008527E8">
        <w:rPr>
          <w:rFonts w:eastAsia="MS Mincho"/>
        </w:rPr>
        <w:t xml:space="preserve"> over time</w:t>
      </w:r>
      <w:r w:rsidRPr="00626BA2">
        <w:rPr>
          <w:rFonts w:eastAsia="MS Mincho"/>
        </w:rPr>
        <w:t xml:space="preserve"> under an installment plan should be sent to:  Chief Financial Officer—Financial Operations, </w:t>
      </w:r>
      <w:r w:rsidRPr="00BF0439">
        <w:rPr>
          <w:rFonts w:eastAsia="MS Mincho" w:cs="Arial"/>
        </w:rPr>
        <w:t>Federal</w:t>
      </w:r>
      <w:r w:rsidRPr="00626BA2">
        <w:rPr>
          <w:rFonts w:eastAsia="MS Mincho"/>
        </w:rPr>
        <w:t xml:space="preserve"> Communications Commission, 445 12th Street, S.W., Room 1-A625, Washington, D.C.  20554.</w:t>
      </w:r>
      <w:r>
        <w:rPr>
          <w:rStyle w:val="FootnoteReference"/>
          <w:rFonts w:eastAsia="MS Mincho"/>
        </w:rPr>
        <w:footnoteReference w:id="25"/>
      </w:r>
      <w:r w:rsidRPr="00626BA2">
        <w:rPr>
          <w:rFonts w:eastAsia="MS Mincho"/>
        </w:rPr>
        <w:t>  If you have questions regarding payment procedures, please contact the Financial Operations Group Help Desk by phone, 1-877-480-3201, or by e</w:t>
      </w:r>
      <w:r>
        <w:rPr>
          <w:rFonts w:eastAsia="MS Mincho"/>
        </w:rPr>
        <w:noBreakHyphen/>
      </w:r>
      <w:r w:rsidRPr="00626BA2">
        <w:rPr>
          <w:rFonts w:eastAsia="MS Mincho"/>
        </w:rPr>
        <w:t>mail,</w:t>
      </w:r>
      <w:r>
        <w:rPr>
          <w:rFonts w:eastAsia="MS Mincho"/>
        </w:rPr>
        <w:t xml:space="preserve"> </w:t>
      </w:r>
      <w:r w:rsidR="00D9381F" w:rsidRPr="00D9381F">
        <w:rPr>
          <w:rFonts w:eastAsia="MS Mincho" w:cs="Arial"/>
        </w:rPr>
        <w:t>ARINQUIRIES@fcc.gov</w:t>
      </w:r>
      <w:r w:rsidR="00D9381F">
        <w:rPr>
          <w:rFonts w:eastAsia="MS Mincho"/>
        </w:rPr>
        <w:t>.</w:t>
      </w:r>
    </w:p>
    <w:p w14:paraId="6C641D2B" w14:textId="312E8684" w:rsidR="00FD7A72" w:rsidRDefault="00FD7A72" w:rsidP="00D73B23">
      <w:pPr>
        <w:pStyle w:val="ParaNum"/>
        <w:tabs>
          <w:tab w:val="clear" w:pos="1080"/>
        </w:tabs>
      </w:pPr>
      <w:r w:rsidRPr="0035579D">
        <w:rPr>
          <w:b/>
        </w:rPr>
        <w:t>IT IS FURTHER ORDERED</w:t>
      </w:r>
      <w:r>
        <w:t xml:space="preserve"> that this Memorandum Opinion and Order shall be sent by both regular mail and by certified mail, return receipt requested, to </w:t>
      </w:r>
      <w:r w:rsidR="00EF3587">
        <w:t>R.J.’s Late Night Entertainment Corporation</w:t>
      </w:r>
      <w:r w:rsidR="00E958E8">
        <w:t>,</w:t>
      </w:r>
      <w:r w:rsidR="0035579D">
        <w:t xml:space="preserve"> at </w:t>
      </w:r>
      <w:r w:rsidR="00EF3587">
        <w:t>160 Victor</w:t>
      </w:r>
      <w:r w:rsidR="0035579D">
        <w:t xml:space="preserve">, </w:t>
      </w:r>
      <w:r w:rsidR="00EF3587">
        <w:t>Highland Park, Michigan 48203</w:t>
      </w:r>
      <w:r w:rsidR="00EC0871">
        <w:t>,</w:t>
      </w:r>
      <w:r w:rsidR="00234AC4">
        <w:t xml:space="preserve"> and to its counsel, Peter Tannenwald, Esq., at Fletcher, Heald &amp; Hildreth, 1300 17</w:t>
      </w:r>
      <w:r w:rsidR="00234AC4" w:rsidRPr="00234AC4">
        <w:rPr>
          <w:vertAlign w:val="superscript"/>
        </w:rPr>
        <w:t>th</w:t>
      </w:r>
      <w:r w:rsidR="00234AC4">
        <w:t xml:space="preserve"> Street North #1100, Arlington, Virginia 22209.</w:t>
      </w:r>
    </w:p>
    <w:p w14:paraId="2CB4F6FC" w14:textId="77777777" w:rsidR="0035579D" w:rsidRDefault="0035579D" w:rsidP="00BF1D4D">
      <w:pPr>
        <w:pStyle w:val="ParaNum"/>
        <w:widowControl/>
        <w:numPr>
          <w:ilvl w:val="0"/>
          <w:numId w:val="0"/>
        </w:numPr>
        <w:spacing w:after="0"/>
      </w:pPr>
    </w:p>
    <w:p w14:paraId="57BFE5EB" w14:textId="77777777" w:rsidR="00EA6590" w:rsidRDefault="00D9381F" w:rsidP="00BF1D4D">
      <w:pPr>
        <w:widowControl/>
        <w:tabs>
          <w:tab w:val="left" w:pos="0"/>
          <w:tab w:val="left" w:pos="3600"/>
        </w:tabs>
        <w:jc w:val="both"/>
        <w:rPr>
          <w:szCs w:val="22"/>
        </w:rPr>
      </w:pPr>
      <w:r>
        <w:rPr>
          <w:szCs w:val="22"/>
        </w:rPr>
        <w:tab/>
      </w:r>
      <w:r w:rsidR="00FD7A72">
        <w:rPr>
          <w:szCs w:val="22"/>
        </w:rPr>
        <w:t>FEDERAL COMMUNICATIONS COMMISSION</w:t>
      </w:r>
    </w:p>
    <w:p w14:paraId="77E44667" w14:textId="77777777" w:rsidR="00EA6590" w:rsidRDefault="00EA6590" w:rsidP="00E10CF9">
      <w:pPr>
        <w:widowControl/>
        <w:tabs>
          <w:tab w:val="left" w:pos="0"/>
          <w:tab w:val="left" w:pos="4320"/>
        </w:tabs>
        <w:spacing w:line="240" w:lineRule="atLeast"/>
        <w:jc w:val="both"/>
        <w:rPr>
          <w:szCs w:val="22"/>
        </w:rPr>
      </w:pPr>
    </w:p>
    <w:p w14:paraId="0B6DDC0D" w14:textId="77777777" w:rsidR="00EA6590" w:rsidRDefault="00EA6590" w:rsidP="00E10CF9">
      <w:pPr>
        <w:widowControl/>
        <w:tabs>
          <w:tab w:val="left" w:pos="0"/>
          <w:tab w:val="left" w:pos="4320"/>
        </w:tabs>
        <w:spacing w:line="240" w:lineRule="atLeast"/>
        <w:jc w:val="both"/>
        <w:rPr>
          <w:szCs w:val="22"/>
        </w:rPr>
      </w:pPr>
    </w:p>
    <w:p w14:paraId="109F9127" w14:textId="77777777" w:rsidR="00EA6590" w:rsidRDefault="00EA6590" w:rsidP="00E10CF9">
      <w:pPr>
        <w:widowControl/>
        <w:tabs>
          <w:tab w:val="left" w:pos="0"/>
          <w:tab w:val="left" w:pos="4320"/>
        </w:tabs>
        <w:spacing w:line="240" w:lineRule="atLeast"/>
        <w:jc w:val="both"/>
        <w:rPr>
          <w:szCs w:val="22"/>
        </w:rPr>
      </w:pPr>
    </w:p>
    <w:p w14:paraId="54904202" w14:textId="77777777" w:rsidR="00EA6590" w:rsidRDefault="00EA6590" w:rsidP="00E10CF9">
      <w:pPr>
        <w:widowControl/>
        <w:tabs>
          <w:tab w:val="left" w:pos="0"/>
          <w:tab w:val="left" w:pos="4320"/>
        </w:tabs>
        <w:spacing w:line="240" w:lineRule="atLeast"/>
        <w:jc w:val="both"/>
        <w:rPr>
          <w:szCs w:val="22"/>
        </w:rPr>
      </w:pPr>
    </w:p>
    <w:p w14:paraId="49044D56" w14:textId="77777777" w:rsidR="00A77450" w:rsidRPr="00542115" w:rsidRDefault="00A77450" w:rsidP="00A77450">
      <w:pPr>
        <w:suppressAutoHyphens/>
        <w:spacing w:line="240" w:lineRule="atLeast"/>
        <w:ind w:left="3600"/>
        <w:jc w:val="both"/>
        <w:rPr>
          <w:szCs w:val="22"/>
        </w:rPr>
      </w:pPr>
      <w:r>
        <w:rPr>
          <w:szCs w:val="22"/>
        </w:rPr>
        <w:t>William Davenport</w:t>
      </w:r>
    </w:p>
    <w:p w14:paraId="4517B688" w14:textId="77777777" w:rsidR="00A77450" w:rsidRDefault="00A77450" w:rsidP="006E047F">
      <w:pPr>
        <w:tabs>
          <w:tab w:val="left" w:pos="0"/>
        </w:tabs>
        <w:suppressAutoHyphens/>
        <w:spacing w:line="240" w:lineRule="atLeast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Deputy Chief</w:t>
      </w:r>
    </w:p>
    <w:p w14:paraId="4C861987" w14:textId="148AAB04" w:rsidR="00FD7A72" w:rsidRPr="00E958E8" w:rsidRDefault="00A77450" w:rsidP="006E047F">
      <w:pPr>
        <w:tabs>
          <w:tab w:val="left" w:pos="0"/>
        </w:tabs>
        <w:suppressAutoHyphens/>
        <w:spacing w:line="240" w:lineRule="atLeast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E958E8">
        <w:rPr>
          <w:szCs w:val="22"/>
        </w:rPr>
        <w:t>Enforcement Bureau</w:t>
      </w:r>
    </w:p>
    <w:sectPr w:rsidR="00FD7A72" w:rsidRPr="00E958E8" w:rsidSect="00873B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1440" w:right="1440" w:bottom="720" w:left="1440" w:header="864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F5A3E" w14:textId="77777777" w:rsidR="00905DA3" w:rsidRDefault="00905DA3">
      <w:pPr>
        <w:spacing w:line="20" w:lineRule="exact"/>
      </w:pPr>
    </w:p>
  </w:endnote>
  <w:endnote w:type="continuationSeparator" w:id="0">
    <w:p w14:paraId="2EE20620" w14:textId="77777777" w:rsidR="00905DA3" w:rsidRDefault="00905DA3">
      <w:r>
        <w:t xml:space="preserve"> </w:t>
      </w:r>
    </w:p>
  </w:endnote>
  <w:endnote w:type="continuationNotice" w:id="1">
    <w:p w14:paraId="378866CA" w14:textId="77777777" w:rsidR="00905DA3" w:rsidRDefault="00905DA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D5446" w14:textId="77777777" w:rsidR="001A21C3" w:rsidRDefault="001A21C3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58D6F112" w14:textId="77777777" w:rsidR="001A21C3" w:rsidRDefault="001A21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E053D" w14:textId="77777777" w:rsidR="001A21C3" w:rsidRDefault="001A21C3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94014">
      <w:rPr>
        <w:noProof/>
      </w:rPr>
      <w:t>2</w:t>
    </w:r>
    <w:r>
      <w:fldChar w:fldCharType="end"/>
    </w:r>
  </w:p>
  <w:p w14:paraId="234B96F4" w14:textId="77777777" w:rsidR="001A21C3" w:rsidRDefault="001A21C3">
    <w:pPr>
      <w:spacing w:before="140" w:line="100" w:lineRule="exact"/>
      <w:rPr>
        <w:sz w:val="10"/>
      </w:rPr>
    </w:pPr>
  </w:p>
  <w:p w14:paraId="25EAE569" w14:textId="77777777" w:rsidR="001A21C3" w:rsidRDefault="001A21C3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6EA80" w14:textId="77777777" w:rsidR="000F6713" w:rsidRDefault="000F67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7DE7D" w14:textId="77777777" w:rsidR="00905DA3" w:rsidRDefault="00905DA3">
      <w:r>
        <w:separator/>
      </w:r>
    </w:p>
  </w:footnote>
  <w:footnote w:type="continuationSeparator" w:id="0">
    <w:p w14:paraId="2F1B7387" w14:textId="77777777" w:rsidR="00905DA3" w:rsidRPr="00BF1D4D" w:rsidRDefault="00905DA3" w:rsidP="00361E19">
      <w:r>
        <w:separator/>
      </w:r>
    </w:p>
  </w:footnote>
  <w:footnote w:type="continuationNotice" w:id="1">
    <w:p w14:paraId="6BEA26EB" w14:textId="77777777" w:rsidR="00905DA3" w:rsidRDefault="00905DA3">
      <w:pPr>
        <w:rPr>
          <w:sz w:val="20"/>
        </w:rPr>
      </w:pPr>
      <w:r>
        <w:rPr>
          <w:sz w:val="20"/>
        </w:rPr>
        <w:t>(continued….)</w:t>
      </w:r>
    </w:p>
  </w:footnote>
  <w:footnote w:id="2">
    <w:p w14:paraId="61C7D1CE" w14:textId="25927B98" w:rsidR="00A116E6" w:rsidRPr="0016561A" w:rsidRDefault="00A116E6" w:rsidP="008F56BE">
      <w:pPr>
        <w:pStyle w:val="FootnoteText"/>
      </w:pPr>
      <w:r w:rsidRPr="0016561A">
        <w:rPr>
          <w:rStyle w:val="FootnoteReference"/>
          <w:sz w:val="20"/>
        </w:rPr>
        <w:footnoteRef/>
      </w:r>
      <w:r w:rsidRPr="0016561A">
        <w:t xml:space="preserve"> </w:t>
      </w:r>
      <w:r w:rsidRPr="0016561A">
        <w:rPr>
          <w:i/>
        </w:rPr>
        <w:t>R.J.’s Late Night Entm’t Corp.</w:t>
      </w:r>
      <w:r w:rsidRPr="0016561A">
        <w:t>, Notice of Apparent Liability for Forfeiture and Order, 26 FCC Rcd 15022 (Enf. Bur. 2011) (</w:t>
      </w:r>
      <w:r w:rsidRPr="00D613A9">
        <w:rPr>
          <w:i/>
        </w:rPr>
        <w:t>NAL</w:t>
      </w:r>
      <w:r w:rsidR="00682157">
        <w:t>); 47 C.F.R. §§ 11.35(a), 73.1690(b)(2), 73.3527(b)(1).</w:t>
      </w:r>
    </w:p>
  </w:footnote>
  <w:footnote w:id="3">
    <w:p w14:paraId="5F4DD405" w14:textId="48A8CA0A" w:rsidR="00A116E6" w:rsidRPr="0016561A" w:rsidRDefault="00A116E6" w:rsidP="008F56BE">
      <w:pPr>
        <w:pStyle w:val="FootnoteText"/>
      </w:pPr>
      <w:r w:rsidRPr="0016561A">
        <w:rPr>
          <w:rStyle w:val="FootnoteReference"/>
          <w:sz w:val="20"/>
        </w:rPr>
        <w:footnoteRef/>
      </w:r>
      <w:r w:rsidRPr="0016561A">
        <w:t xml:space="preserve"> </w:t>
      </w:r>
      <w:r w:rsidRPr="0016561A">
        <w:rPr>
          <w:i/>
        </w:rPr>
        <w:t>R.J.’s Late Night Entm’t Corp.</w:t>
      </w:r>
      <w:r w:rsidRPr="0016561A">
        <w:t>, Forfeiture Order, 27 FCC Rcd 4863 (Enf. Bur. 2012) (Forfeiture Order).</w:t>
      </w:r>
    </w:p>
  </w:footnote>
  <w:footnote w:id="4">
    <w:p w14:paraId="3EF6B9B9" w14:textId="001ECFB0" w:rsidR="00816888" w:rsidRPr="0016561A" w:rsidRDefault="00816888" w:rsidP="008F56BE">
      <w:pPr>
        <w:pStyle w:val="FootnoteText"/>
      </w:pPr>
      <w:r w:rsidRPr="0016561A">
        <w:rPr>
          <w:rStyle w:val="FootnoteReference"/>
          <w:sz w:val="20"/>
        </w:rPr>
        <w:footnoteRef/>
      </w:r>
      <w:r w:rsidR="0016561A" w:rsidRPr="0016561A">
        <w:t xml:space="preserve"> </w:t>
      </w:r>
      <w:r w:rsidR="005C46AA" w:rsidRPr="0016561A">
        <w:rPr>
          <w:i/>
        </w:rPr>
        <w:t xml:space="preserve">See </w:t>
      </w:r>
      <w:r w:rsidR="005C46AA" w:rsidRPr="0016561A">
        <w:t>Petition for Reconsideration filed by R.J. Watkins, President, R.J.’s Late Night Entm’t Corp.</w:t>
      </w:r>
      <w:r w:rsidR="00BF5DB2">
        <w:t xml:space="preserve"> </w:t>
      </w:r>
      <w:r w:rsidR="005C46AA" w:rsidRPr="0016561A">
        <w:t>(</w:t>
      </w:r>
      <w:r w:rsidR="0016561A" w:rsidRPr="0016561A">
        <w:t xml:space="preserve">received </w:t>
      </w:r>
      <w:r w:rsidR="005C46AA" w:rsidRPr="0016561A">
        <w:t>May 22, 2012) (on file in EB-FIELDNER-12-00004557) (Petition).</w:t>
      </w:r>
    </w:p>
  </w:footnote>
  <w:footnote w:id="5">
    <w:p w14:paraId="59D1B7FE" w14:textId="4AE179CF" w:rsidR="0016561A" w:rsidRPr="0016561A" w:rsidRDefault="0016561A" w:rsidP="008F56BE">
      <w:pPr>
        <w:pStyle w:val="FootnoteText"/>
      </w:pPr>
      <w:r w:rsidRPr="0016561A">
        <w:rPr>
          <w:rStyle w:val="FootnoteReference"/>
          <w:sz w:val="20"/>
        </w:rPr>
        <w:footnoteRef/>
      </w:r>
      <w:r w:rsidRPr="0016561A">
        <w:t xml:space="preserve"> </w:t>
      </w:r>
      <w:r w:rsidRPr="0016561A">
        <w:rPr>
          <w:i/>
        </w:rPr>
        <w:t xml:space="preserve">See </w:t>
      </w:r>
      <w:r w:rsidRPr="0016561A">
        <w:t>Answer to Liability for Forfeiture Order filed by R.J. Watkins, President, R.J.’s Late Night Entm’t Corp. (received Nov. 23, 2011) (on file in EB-FIELDNER-12-00004557)</w:t>
      </w:r>
      <w:r w:rsidR="00A82331">
        <w:t xml:space="preserve"> (</w:t>
      </w:r>
      <w:r w:rsidR="00A82331" w:rsidRPr="00D613A9">
        <w:rPr>
          <w:i/>
        </w:rPr>
        <w:t>NAL Response</w:t>
      </w:r>
      <w:r w:rsidR="00A82331">
        <w:t>)</w:t>
      </w:r>
      <w:r w:rsidRPr="0016561A">
        <w:t>.</w:t>
      </w:r>
    </w:p>
  </w:footnote>
  <w:footnote w:id="6">
    <w:p w14:paraId="46B6702F" w14:textId="303AD392" w:rsidR="0016561A" w:rsidRPr="0016561A" w:rsidRDefault="0016561A" w:rsidP="008F56B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</w:p>
  </w:footnote>
  <w:footnote w:id="7">
    <w:p w14:paraId="27DE89AE" w14:textId="0A4616CA" w:rsidR="00BF5DB2" w:rsidRPr="00193A4F" w:rsidRDefault="00BF5DB2" w:rsidP="008F56BE">
      <w:pPr>
        <w:pStyle w:val="FootnoteText"/>
      </w:pPr>
      <w:r w:rsidRPr="00193A4F">
        <w:rPr>
          <w:rStyle w:val="FootnoteReference"/>
        </w:rPr>
        <w:footnoteRef/>
      </w:r>
      <w:r w:rsidRPr="00193A4F">
        <w:t xml:space="preserve"> </w:t>
      </w:r>
      <w:r w:rsidRPr="00193A4F">
        <w:rPr>
          <w:i/>
        </w:rPr>
        <w:t xml:space="preserve">See </w:t>
      </w:r>
      <w:r w:rsidRPr="00193A4F">
        <w:t xml:space="preserve">47 C.F.R. § 1.106(c); </w:t>
      </w:r>
      <w:r w:rsidRPr="00193A4F">
        <w:rPr>
          <w:i/>
        </w:rPr>
        <w:t>EZ Sacramento, Inc.</w:t>
      </w:r>
      <w:r w:rsidRPr="00193A4F">
        <w:t>,</w:t>
      </w:r>
      <w:r w:rsidRPr="00193A4F">
        <w:rPr>
          <w:i/>
        </w:rPr>
        <w:t xml:space="preserve"> </w:t>
      </w:r>
      <w:r w:rsidRPr="00193A4F">
        <w:t>Memorandum Opinion and Order, 15 FCC Rcd 18257, 18257, para. 2 (Enf. Bur. 2000) (</w:t>
      </w:r>
      <w:r w:rsidRPr="002C5522">
        <w:t xml:space="preserve">citing </w:t>
      </w:r>
      <w:r w:rsidRPr="00193A4F">
        <w:rPr>
          <w:i/>
        </w:rPr>
        <w:t>WWIZ, Inc.</w:t>
      </w:r>
      <w:r w:rsidRPr="00193A4F">
        <w:t>,</w:t>
      </w:r>
      <w:r w:rsidRPr="00193A4F">
        <w:rPr>
          <w:i/>
        </w:rPr>
        <w:t xml:space="preserve"> </w:t>
      </w:r>
      <w:r w:rsidRPr="00193A4F">
        <w:t xml:space="preserve">Memorandum Opinion and Order, 37 FCC 685, 686 (1964), </w:t>
      </w:r>
      <w:r w:rsidRPr="00193A4F">
        <w:rPr>
          <w:i/>
        </w:rPr>
        <w:t>aff’d sub. nom. Lorain Journal Co. v. FCC</w:t>
      </w:r>
      <w:r w:rsidRPr="00193A4F">
        <w:t>,</w:t>
      </w:r>
      <w:r w:rsidRPr="00193A4F">
        <w:rPr>
          <w:i/>
        </w:rPr>
        <w:t xml:space="preserve"> </w:t>
      </w:r>
      <w:r w:rsidRPr="00193A4F">
        <w:t xml:space="preserve">351 F.2d 824 (D.C. Cir. 1965), </w:t>
      </w:r>
      <w:r w:rsidRPr="00193A4F">
        <w:rPr>
          <w:i/>
        </w:rPr>
        <w:t>cert. denied</w:t>
      </w:r>
      <w:r w:rsidRPr="00193A4F">
        <w:t>,</w:t>
      </w:r>
      <w:r w:rsidRPr="00193A4F">
        <w:rPr>
          <w:i/>
        </w:rPr>
        <w:t xml:space="preserve"> </w:t>
      </w:r>
      <w:r w:rsidRPr="00193A4F">
        <w:t xml:space="preserve">383 U.S. 967 (1966)); </w:t>
      </w:r>
      <w:r w:rsidRPr="00193A4F">
        <w:rPr>
          <w:i/>
        </w:rPr>
        <w:t>see also</w:t>
      </w:r>
      <w:r w:rsidRPr="002C5522">
        <w:t xml:space="preserve"> </w:t>
      </w:r>
      <w:r w:rsidRPr="00193A4F">
        <w:rPr>
          <w:i/>
        </w:rPr>
        <w:t>Ely Radio</w:t>
      </w:r>
      <w:r w:rsidRPr="002C5522">
        <w:t>,</w:t>
      </w:r>
      <w:r w:rsidRPr="00193A4F">
        <w:rPr>
          <w:i/>
        </w:rPr>
        <w:t xml:space="preserve"> LLC</w:t>
      </w:r>
      <w:r w:rsidRPr="002C5522">
        <w:t xml:space="preserve">, </w:t>
      </w:r>
      <w:r w:rsidRPr="00193A4F">
        <w:t xml:space="preserve">Memorandum Opinion and Order, 27 FCC Rcd 7608, 7610, para. 6 (Enf. Bur. 2012) (articulating the standard of review for Petitions for Reconsideration). </w:t>
      </w:r>
    </w:p>
  </w:footnote>
  <w:footnote w:id="8">
    <w:p w14:paraId="11D51987" w14:textId="0A5E2221" w:rsidR="00BF5DB2" w:rsidRDefault="00BF5DB2" w:rsidP="008F56B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r>
        <w:t>Petition.</w:t>
      </w:r>
    </w:p>
  </w:footnote>
  <w:footnote w:id="9">
    <w:p w14:paraId="7CF54A30" w14:textId="5B34C227" w:rsidR="00272E82" w:rsidRPr="00272E82" w:rsidRDefault="00272E82" w:rsidP="008F56B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 id</w:t>
      </w:r>
      <w:r>
        <w:t xml:space="preserve">; </w:t>
      </w:r>
      <w:r w:rsidRPr="00D613A9">
        <w:rPr>
          <w:i/>
        </w:rPr>
        <w:t>NAL</w:t>
      </w:r>
      <w:r>
        <w:t>, 26 FCC Rcd at 15025–26, paras. 10, 15 (ordering RJLNE to provide its response to the Detro</w:t>
      </w:r>
      <w:r w:rsidR="00D613A9">
        <w:t>it Office)</w:t>
      </w:r>
      <w:r>
        <w:t xml:space="preserve">.  </w:t>
      </w:r>
    </w:p>
  </w:footnote>
  <w:footnote w:id="10">
    <w:p w14:paraId="70DA03A5" w14:textId="25E4B59A" w:rsidR="00A82331" w:rsidRPr="00A82331" w:rsidRDefault="00A82331" w:rsidP="008F56B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 NAL Response</w:t>
      </w:r>
      <w:r>
        <w:t>.</w:t>
      </w:r>
    </w:p>
  </w:footnote>
  <w:footnote w:id="11">
    <w:p w14:paraId="6171CEEA" w14:textId="6FA24C2C" w:rsidR="001C0313" w:rsidRPr="001C0313" w:rsidRDefault="001C0313" w:rsidP="008F56B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 NAL</w:t>
      </w:r>
      <w:r>
        <w:t>, 26 FCC Rcd at 15023, para. 5 (citing 47 U.S.C. § 312(f)(1)).</w:t>
      </w:r>
    </w:p>
  </w:footnote>
  <w:footnote w:id="12">
    <w:p w14:paraId="60F4429A" w14:textId="282A48FD" w:rsidR="00A82331" w:rsidRPr="00B11DA2" w:rsidRDefault="00A82331" w:rsidP="008F56B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858B5">
        <w:rPr>
          <w:i/>
          <w:iCs/>
        </w:rPr>
        <w:t>See S. Cal.</w:t>
      </w:r>
      <w:r w:rsidR="00F858B5" w:rsidRPr="00D21ADD">
        <w:rPr>
          <w:i/>
          <w:iCs/>
        </w:rPr>
        <w:t xml:space="preserve"> Broad. Co.</w:t>
      </w:r>
      <w:r w:rsidR="00F858B5" w:rsidRPr="00D21ADD">
        <w:t xml:space="preserve">, Memorandum Opinion </w:t>
      </w:r>
      <w:r w:rsidR="00F858B5">
        <w:t>and Order, 6 FCC Rcd 4387, 4387, para. 3 (1991)</w:t>
      </w:r>
      <w:r w:rsidR="00F858B5" w:rsidRPr="00D21ADD">
        <w:t xml:space="preserve">, </w:t>
      </w:r>
      <w:r w:rsidR="00F858B5" w:rsidRPr="00D21ADD">
        <w:rPr>
          <w:i/>
        </w:rPr>
        <w:t>recons. denied</w:t>
      </w:r>
      <w:r w:rsidR="00F858B5" w:rsidRPr="00D21ADD">
        <w:t>, Memorandum Opinion and Order, 7 FCC Rcd 3454 (1992)</w:t>
      </w:r>
      <w:r w:rsidRPr="00B11DA2">
        <w:t>.</w:t>
      </w:r>
    </w:p>
  </w:footnote>
  <w:footnote w:id="13">
    <w:p w14:paraId="16A9F7A3" w14:textId="01F5E5A2" w:rsidR="00F858B5" w:rsidRPr="00F858B5" w:rsidRDefault="00F858B5" w:rsidP="008F56B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NAL</w:t>
      </w:r>
      <w:r>
        <w:t>, 26 FCC Rcd at 15023, para. 4 (stating that RJLNE admitted that it moved its</w:t>
      </w:r>
      <w:r w:rsidR="00DB3B7F">
        <w:t xml:space="preserve"> transmitter </w:t>
      </w:r>
      <w:r>
        <w:t>without Commission authorization yea</w:t>
      </w:r>
      <w:r w:rsidR="00DB3B7F">
        <w:t xml:space="preserve">rs before the </w:t>
      </w:r>
      <w:r>
        <w:t xml:space="preserve">inspection and failed to maintain a public </w:t>
      </w:r>
      <w:r w:rsidR="00945A5E">
        <w:t xml:space="preserve">inspection </w:t>
      </w:r>
      <w:r w:rsidR="00DB3B7F">
        <w:t>file after</w:t>
      </w:r>
      <w:r>
        <w:t xml:space="preserve"> the local library closed “several years ago”). </w:t>
      </w:r>
    </w:p>
  </w:footnote>
  <w:footnote w:id="14">
    <w:p w14:paraId="1139ABE5" w14:textId="0B02E6A7" w:rsidR="00F858B5" w:rsidRDefault="00F858B5" w:rsidP="008F56B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 NAL</w:t>
      </w:r>
      <w:r>
        <w:t>, 26 FCC Rcd at 15023, para. 5 (citing 47 U.S.C. § 312(f)(2)).</w:t>
      </w:r>
    </w:p>
  </w:footnote>
  <w:footnote w:id="15">
    <w:p w14:paraId="0FA0C3A9" w14:textId="2546CA9E" w:rsidR="00945A5E" w:rsidRPr="00945A5E" w:rsidRDefault="00945A5E" w:rsidP="008F56B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r>
        <w:t>Petition.</w:t>
      </w:r>
    </w:p>
  </w:footnote>
  <w:footnote w:id="16">
    <w:p w14:paraId="1554A564" w14:textId="41FB4110" w:rsidR="00945A5E" w:rsidRPr="00945A5E" w:rsidRDefault="00945A5E" w:rsidP="008F56B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 NAL Response</w:t>
      </w:r>
      <w:r>
        <w:t>.</w:t>
      </w:r>
    </w:p>
  </w:footnote>
  <w:footnote w:id="17">
    <w:p w14:paraId="32670DE1" w14:textId="77777777" w:rsidR="00945A5E" w:rsidRPr="005A6D93" w:rsidRDefault="00945A5E" w:rsidP="008F56BE">
      <w:pPr>
        <w:pStyle w:val="FootnoteText"/>
      </w:pPr>
      <w:r w:rsidRPr="005A6D93">
        <w:rPr>
          <w:rStyle w:val="FootnoteReference"/>
        </w:rPr>
        <w:footnoteRef/>
      </w:r>
      <w:r w:rsidRPr="005A6D93">
        <w:t xml:space="preserve"> </w:t>
      </w:r>
      <w:r w:rsidRPr="005A6D93">
        <w:rPr>
          <w:i/>
        </w:rPr>
        <w:t>See, e.g.</w:t>
      </w:r>
      <w:r w:rsidRPr="005A6D93">
        <w:t xml:space="preserve">, </w:t>
      </w:r>
      <w:r w:rsidRPr="005A6D93">
        <w:rPr>
          <w:rStyle w:val="Emphasis"/>
        </w:rPr>
        <w:t>Sutro Corp.</w:t>
      </w:r>
      <w:r w:rsidRPr="005A6D93">
        <w:t xml:space="preserve">, Memorandum Opinion and Order, 19 FCC Rcd 15274, 15277, para. 10 (2004) (stating that the Commission will generally reduce a forfeiture “based on the good faith corrective efforts of a violator when those corrective efforts were taken prior to Commission notification of the violation”); </w:t>
      </w:r>
      <w:r w:rsidRPr="005A6D93">
        <w:rPr>
          <w:i/>
        </w:rPr>
        <w:t>Catholic Radio Network of Loveland, Inc.</w:t>
      </w:r>
      <w:r w:rsidRPr="005A6D93">
        <w:t xml:space="preserve">, Forfeiture Order, 29 FCC Rcd 121, 122–23, para. 5 (Enf. Bur. 2014) (“The Commission will generally reduce an assessed forfeiture based on the good faith corrective efforts of a violator when those corrective efforts were taken </w:t>
      </w:r>
      <w:r w:rsidRPr="005A6D93">
        <w:rPr>
          <w:rStyle w:val="Emphasis"/>
        </w:rPr>
        <w:t>prior</w:t>
      </w:r>
      <w:r w:rsidRPr="005A6D93">
        <w:t xml:space="preserve"> to Commission notification of the violation</w:t>
      </w:r>
      <w:r>
        <w:t>.</w:t>
      </w:r>
      <w:r w:rsidRPr="005A6D93">
        <w:t xml:space="preserve">”) (emphasis in original); </w:t>
      </w:r>
      <w:r w:rsidRPr="005A6D93">
        <w:rPr>
          <w:i/>
        </w:rPr>
        <w:t>Argos Net, Inc.</w:t>
      </w:r>
      <w:r w:rsidRPr="005A6D93">
        <w:t>, Forfeiture Order, 28 FCC Rcd 1126</w:t>
      </w:r>
      <w:r>
        <w:t>,</w:t>
      </w:r>
      <w:r w:rsidRPr="005A6D93">
        <w:t xml:space="preserve"> 1127, para. 4 (Enf. Bur. 2013) (“[C</w:t>
      </w:r>
      <w:r>
        <w:t>]</w:t>
      </w:r>
      <w:r w:rsidRPr="005A6D93">
        <w:t xml:space="preserve">orrective action taken after notification or inspection by the Commission does not mitigate the violation . . . .”).  </w:t>
      </w:r>
    </w:p>
  </w:footnote>
  <w:footnote w:id="18">
    <w:p w14:paraId="368C2D95" w14:textId="77777777" w:rsidR="00945A5E" w:rsidRPr="005A6D93" w:rsidRDefault="00945A5E" w:rsidP="008F56BE">
      <w:pPr>
        <w:pStyle w:val="FootnoteText"/>
      </w:pPr>
      <w:r w:rsidRPr="005A6D93">
        <w:rPr>
          <w:rStyle w:val="FootnoteReference"/>
        </w:rPr>
        <w:footnoteRef/>
      </w:r>
      <w:r w:rsidRPr="005A6D93">
        <w:t xml:space="preserve"> </w:t>
      </w:r>
      <w:r w:rsidRPr="005A6D93">
        <w:rPr>
          <w:i/>
          <w:iCs/>
        </w:rPr>
        <w:t>See, e.g.</w:t>
      </w:r>
      <w:r w:rsidRPr="005A6D93">
        <w:t>,</w:t>
      </w:r>
      <w:r w:rsidRPr="005A6D93">
        <w:rPr>
          <w:i/>
          <w:iCs/>
        </w:rPr>
        <w:t xml:space="preserve"> </w:t>
      </w:r>
      <w:r w:rsidRPr="001E38F2">
        <w:rPr>
          <w:i/>
          <w:iCs/>
        </w:rPr>
        <w:t>Seawest Yacht Brokers</w:t>
      </w:r>
      <w:r w:rsidRPr="001E38F2">
        <w:rPr>
          <w:iCs/>
        </w:rPr>
        <w:t xml:space="preserve">, </w:t>
      </w:r>
      <w:r w:rsidRPr="001E38F2">
        <w:t>Notice of Forfeiture</w:t>
      </w:r>
      <w:r w:rsidRPr="001E38F2">
        <w:rPr>
          <w:iCs/>
        </w:rPr>
        <w:t>, 9 FCC Rcd 6099, 6099, para. 7 (1994)</w:t>
      </w:r>
      <w:r w:rsidRPr="005A6D93">
        <w:rPr>
          <w:iCs/>
        </w:rPr>
        <w:t xml:space="preserve"> </w:t>
      </w:r>
      <w:r w:rsidRPr="005A6D93">
        <w:t>(</w:t>
      </w:r>
      <w:r w:rsidRPr="005A6D93">
        <w:rPr>
          <w:iCs/>
        </w:rPr>
        <w:t>citations omitted)</w:t>
      </w:r>
      <w:r w:rsidRPr="005A6D93">
        <w:t xml:space="preserve">; </w:t>
      </w:r>
      <w:r w:rsidRPr="001E38F2">
        <w:rPr>
          <w:i/>
          <w:iCs/>
        </w:rPr>
        <w:t>Exec. Broad. Corp.</w:t>
      </w:r>
      <w:r w:rsidRPr="001E38F2">
        <w:t xml:space="preserve">, </w:t>
      </w:r>
      <w:r>
        <w:t xml:space="preserve">Memorandum Opinion and Order, </w:t>
      </w:r>
      <w:r w:rsidRPr="001E38F2">
        <w:t>3 FCC 2d 699, 700, para. 6 (1966)</w:t>
      </w:r>
      <w:r w:rsidRPr="005A6D93">
        <w:t xml:space="preserve"> (“The fact that prompt corrective action was taken . . . does not excuse the prior violations.”).</w:t>
      </w:r>
    </w:p>
  </w:footnote>
  <w:footnote w:id="19">
    <w:p w14:paraId="35932FED" w14:textId="77777777" w:rsidR="001A21C3" w:rsidRPr="0016561A" w:rsidRDefault="001A21C3" w:rsidP="008F56BE">
      <w:pPr>
        <w:pStyle w:val="FootnoteText"/>
      </w:pPr>
      <w:r w:rsidRPr="0016561A">
        <w:rPr>
          <w:rStyle w:val="FootnoteCharacters"/>
        </w:rPr>
        <w:footnoteRef/>
      </w:r>
      <w:r w:rsidRPr="0016561A">
        <w:rPr>
          <w:rStyle w:val="Footnote"/>
        </w:rPr>
        <w:t xml:space="preserve"> 47 U.S.C. § 405</w:t>
      </w:r>
      <w:r w:rsidRPr="0016561A">
        <w:t>.</w:t>
      </w:r>
    </w:p>
  </w:footnote>
  <w:footnote w:id="20">
    <w:p w14:paraId="6AA25F1A" w14:textId="77777777" w:rsidR="001A21C3" w:rsidRPr="0016561A" w:rsidRDefault="001A21C3" w:rsidP="008F56BE">
      <w:pPr>
        <w:pStyle w:val="FootnoteText"/>
      </w:pPr>
      <w:r w:rsidRPr="0016561A">
        <w:rPr>
          <w:rStyle w:val="FootnoteCharacters"/>
        </w:rPr>
        <w:footnoteRef/>
      </w:r>
      <w:r w:rsidRPr="0016561A">
        <w:t xml:space="preserve"> 47 C.F.R. § 1.106.</w:t>
      </w:r>
    </w:p>
  </w:footnote>
  <w:footnote w:id="21">
    <w:p w14:paraId="4A4D39B8" w14:textId="3DE5052C" w:rsidR="008C032C" w:rsidRPr="0016561A" w:rsidRDefault="008C032C" w:rsidP="008F56BE">
      <w:pPr>
        <w:pStyle w:val="FootnoteText"/>
      </w:pPr>
      <w:r w:rsidRPr="006C5B94">
        <w:rPr>
          <w:rStyle w:val="FootnoteReference"/>
          <w:sz w:val="20"/>
        </w:rPr>
        <w:footnoteRef/>
      </w:r>
      <w:r w:rsidR="00DB3B7F">
        <w:t xml:space="preserve"> 47 U.S.C. § 503(b); </w:t>
      </w:r>
      <w:r w:rsidRPr="0016561A">
        <w:t xml:space="preserve">47 C.F.R. §§ </w:t>
      </w:r>
      <w:r w:rsidR="00DB3B7F">
        <w:t xml:space="preserve">0.111, 0.311, 1.80, </w:t>
      </w:r>
      <w:r w:rsidRPr="0016561A">
        <w:t>11.35(a), 73.1690(b)(2), 73.3527(b)(1).</w:t>
      </w:r>
    </w:p>
  </w:footnote>
  <w:footnote w:id="22">
    <w:p w14:paraId="722757A3" w14:textId="77777777" w:rsidR="001A21C3" w:rsidRPr="0016561A" w:rsidRDefault="001A21C3" w:rsidP="008F56BE">
      <w:pPr>
        <w:pStyle w:val="FootnoteText"/>
      </w:pPr>
      <w:r w:rsidRPr="0016561A">
        <w:rPr>
          <w:rStyle w:val="FootnoteReference"/>
          <w:sz w:val="20"/>
        </w:rPr>
        <w:footnoteRef/>
      </w:r>
      <w:r w:rsidRPr="0016561A">
        <w:t xml:space="preserve"> 47 C.F.R. § 1.80.</w:t>
      </w:r>
    </w:p>
  </w:footnote>
  <w:footnote w:id="23">
    <w:p w14:paraId="6A59F755" w14:textId="77777777" w:rsidR="001A21C3" w:rsidRPr="0016561A" w:rsidRDefault="001A21C3" w:rsidP="008F56BE">
      <w:pPr>
        <w:pStyle w:val="FootnoteText"/>
      </w:pPr>
      <w:r w:rsidRPr="0016561A">
        <w:rPr>
          <w:rStyle w:val="FootnoteReference"/>
          <w:sz w:val="20"/>
        </w:rPr>
        <w:footnoteRef/>
      </w:r>
      <w:r w:rsidRPr="0016561A">
        <w:t xml:space="preserve"> 47 U.S.C. § 504(a).</w:t>
      </w:r>
    </w:p>
  </w:footnote>
  <w:footnote w:id="24">
    <w:p w14:paraId="1872601B" w14:textId="77777777" w:rsidR="001A21C3" w:rsidRPr="0016561A" w:rsidRDefault="001A21C3" w:rsidP="008F56BE">
      <w:pPr>
        <w:pStyle w:val="FootnoteText"/>
      </w:pPr>
      <w:r w:rsidRPr="0016561A">
        <w:rPr>
          <w:rStyle w:val="FootnoteReference"/>
          <w:sz w:val="20"/>
        </w:rPr>
        <w:footnoteRef/>
      </w:r>
      <w:r w:rsidRPr="0016561A">
        <w:t xml:space="preserve"> </w:t>
      </w:r>
      <w:r w:rsidRPr="0016561A">
        <w:rPr>
          <w:rFonts w:eastAsia="MS Mincho" w:cs="Arial"/>
        </w:rPr>
        <w:t>An FCC Form 159 and detailed instructions for completing the form may be obtained at http://www.fcc.gov/Forms/Form159/159.pdf.</w:t>
      </w:r>
    </w:p>
  </w:footnote>
  <w:footnote w:id="25">
    <w:p w14:paraId="76DDB8AF" w14:textId="77777777" w:rsidR="001A21C3" w:rsidRPr="0016561A" w:rsidRDefault="001A21C3" w:rsidP="008F56BE">
      <w:pPr>
        <w:pStyle w:val="FootnoteText"/>
      </w:pPr>
      <w:r w:rsidRPr="0016561A">
        <w:rPr>
          <w:rStyle w:val="FootnoteReference"/>
          <w:sz w:val="20"/>
        </w:rPr>
        <w:footnoteRef/>
      </w:r>
      <w:r w:rsidRPr="0016561A">
        <w:t xml:space="preserve"> </w:t>
      </w:r>
      <w:r w:rsidRPr="0016561A">
        <w:rPr>
          <w:i/>
        </w:rPr>
        <w:t>See</w:t>
      </w:r>
      <w:r w:rsidRPr="0016561A">
        <w:t xml:space="preserve"> 47 C.F.R. § 1.1914.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D4BF2" w14:textId="77777777" w:rsidR="000F6713" w:rsidRDefault="000F67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AF952" w14:textId="3FF4433E" w:rsidR="00A77450" w:rsidRDefault="00A77450" w:rsidP="006E047F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4B93CF8" wp14:editId="3164E5E3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698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.6pt;margin-top:12.65pt;width:468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RmV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CfxGZXpAgAAMgYAAA4AAAAAAAAA&#10;AAAAAAAALgIAAGRycy9lMm9Eb2MueG1sUEsBAi0AFAAGAAgAAAAhAPNjuRjZAAAABwEAAA8AAAAA&#10;AAAAAAAAAAAAQwUAAGRycy9kb3ducmV2LnhtbFBLBQYAAAAABAAEAPMAAABJBgAAAAA=&#10;" o:allowincell="f" fillcolor="black" stroked="f" strokeweight=".05pt">
              <w10:wrap anchorx="margin"/>
            </v:rect>
          </w:pict>
        </mc:Fallback>
      </mc:AlternateContent>
    </w:r>
    <w:r>
      <w:tab/>
      <w:t>Federal Communications Commission</w:t>
    </w:r>
    <w:r>
      <w:tab/>
    </w:r>
    <w:r w:rsidRPr="006E047F">
      <w:rPr>
        <w:spacing w:val="-2"/>
      </w:rPr>
      <w:t>DA 1</w:t>
    </w:r>
    <w:r w:rsidR="006D69EA">
      <w:rPr>
        <w:spacing w:val="-2"/>
      </w:rPr>
      <w:t>5</w:t>
    </w:r>
    <w:r w:rsidRPr="006E047F">
      <w:rPr>
        <w:spacing w:val="-2"/>
      </w:rPr>
      <w:t>-</w:t>
    </w:r>
    <w:r w:rsidR="00C52314">
      <w:rPr>
        <w:spacing w:val="-2"/>
      </w:rPr>
      <w:t>181</w:t>
    </w:r>
  </w:p>
  <w:p w14:paraId="5E6BB2DA" w14:textId="77777777" w:rsidR="00A77450" w:rsidRPr="00A77450" w:rsidRDefault="00A77450" w:rsidP="00A77450">
    <w:pPr>
      <w:pStyle w:val="Header"/>
    </w:pPr>
  </w:p>
  <w:p w14:paraId="1424BB34" w14:textId="77777777" w:rsidR="001A21C3" w:rsidRPr="006E047F" w:rsidRDefault="001A21C3" w:rsidP="006E04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CDF5F" w14:textId="41D22D0D" w:rsidR="00A77450" w:rsidRDefault="00A77450" w:rsidP="00A77450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FB1F96F" wp14:editId="39BADA76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698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.6pt;margin-top:12.65pt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    <w10:wrap anchorx="margin"/>
            </v:rect>
          </w:pict>
        </mc:Fallback>
      </mc:AlternateContent>
    </w:r>
    <w:r>
      <w:tab/>
      <w:t>Federal Communications Commission</w:t>
    </w:r>
    <w:r>
      <w:tab/>
    </w:r>
    <w:r w:rsidRPr="006E047F">
      <w:rPr>
        <w:spacing w:val="-2"/>
      </w:rPr>
      <w:t>DA</w:t>
    </w:r>
    <w:r>
      <w:rPr>
        <w:spacing w:val="-2"/>
      </w:rPr>
      <w:t xml:space="preserve"> 1</w:t>
    </w:r>
    <w:r w:rsidR="006D69EA">
      <w:rPr>
        <w:spacing w:val="-2"/>
      </w:rPr>
      <w:t>5</w:t>
    </w:r>
    <w:r>
      <w:rPr>
        <w:spacing w:val="-2"/>
      </w:rPr>
      <w:t>-</w:t>
    </w:r>
    <w:r w:rsidR="00C52314">
      <w:rPr>
        <w:spacing w:val="-2"/>
      </w:rPr>
      <w:t>181</w:t>
    </w:r>
  </w:p>
  <w:p w14:paraId="3DD8673A" w14:textId="0FB45B3D" w:rsidR="001A21C3" w:rsidRPr="006E047F" w:rsidRDefault="001A21C3" w:rsidP="006E04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17070BBF"/>
    <w:multiLevelType w:val="singleLevel"/>
    <w:tmpl w:val="8A4E7E60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795"/>
      </w:pPr>
      <w:rPr>
        <w:rFonts w:hint="default"/>
        <w:b w:val="0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41127E7E"/>
    <w:multiLevelType w:val="hybridMultilevel"/>
    <w:tmpl w:val="EDD0E9C6"/>
    <w:lvl w:ilvl="0" w:tplc="0054F4D8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6"/>
      </w:rPr>
    </w:lvl>
    <w:lvl w:ilvl="1" w:tplc="9AA41C18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30FA4DBC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BE60E186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82FED1EC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CC1CCF7A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2ABA6740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8D5C63EE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341A57DA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">
    <w:nsid w:val="432817C4"/>
    <w:multiLevelType w:val="singleLevel"/>
    <w:tmpl w:val="ED3E1CDA"/>
    <w:lvl w:ilvl="0">
      <w:start w:val="1"/>
      <w:numFmt w:val="decimal"/>
      <w:lvlText w:val="%1."/>
      <w:lvlJc w:val="left"/>
      <w:pPr>
        <w:tabs>
          <w:tab w:val="num" w:pos="990"/>
        </w:tabs>
        <w:ind w:left="-90" w:firstLine="72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</w:abstractNum>
  <w:abstractNum w:abstractNumId="7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8"/>
    <w:lvlOverride w:ilvl="0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72"/>
    <w:rsid w:val="00003CA5"/>
    <w:rsid w:val="00011B0D"/>
    <w:rsid w:val="00017E5D"/>
    <w:rsid w:val="00021353"/>
    <w:rsid w:val="00022952"/>
    <w:rsid w:val="00022D9D"/>
    <w:rsid w:val="0004181F"/>
    <w:rsid w:val="0004315E"/>
    <w:rsid w:val="00047A5F"/>
    <w:rsid w:val="000554DA"/>
    <w:rsid w:val="00062366"/>
    <w:rsid w:val="000756C9"/>
    <w:rsid w:val="00085204"/>
    <w:rsid w:val="000A4032"/>
    <w:rsid w:val="000A5D3E"/>
    <w:rsid w:val="000A6292"/>
    <w:rsid w:val="000A6E5A"/>
    <w:rsid w:val="000B3329"/>
    <w:rsid w:val="000B3A2D"/>
    <w:rsid w:val="000B5C07"/>
    <w:rsid w:val="000C269E"/>
    <w:rsid w:val="000C7D2F"/>
    <w:rsid w:val="000D183B"/>
    <w:rsid w:val="000D56D9"/>
    <w:rsid w:val="000F37D1"/>
    <w:rsid w:val="000F6713"/>
    <w:rsid w:val="00100200"/>
    <w:rsid w:val="0010441F"/>
    <w:rsid w:val="00104F5E"/>
    <w:rsid w:val="001058C7"/>
    <w:rsid w:val="001150BA"/>
    <w:rsid w:val="0012177D"/>
    <w:rsid w:val="00135318"/>
    <w:rsid w:val="00135759"/>
    <w:rsid w:val="00137194"/>
    <w:rsid w:val="00141D8F"/>
    <w:rsid w:val="0015076B"/>
    <w:rsid w:val="00155874"/>
    <w:rsid w:val="0016298E"/>
    <w:rsid w:val="001641B0"/>
    <w:rsid w:val="0016485E"/>
    <w:rsid w:val="0016561A"/>
    <w:rsid w:val="00165A69"/>
    <w:rsid w:val="00166055"/>
    <w:rsid w:val="0016666E"/>
    <w:rsid w:val="0017056E"/>
    <w:rsid w:val="0018326C"/>
    <w:rsid w:val="00183D6B"/>
    <w:rsid w:val="00184E89"/>
    <w:rsid w:val="001A21C3"/>
    <w:rsid w:val="001A5317"/>
    <w:rsid w:val="001A6E2B"/>
    <w:rsid w:val="001A750E"/>
    <w:rsid w:val="001A7C71"/>
    <w:rsid w:val="001B1F11"/>
    <w:rsid w:val="001C0313"/>
    <w:rsid w:val="001C629E"/>
    <w:rsid w:val="001D1EC6"/>
    <w:rsid w:val="001D342B"/>
    <w:rsid w:val="001D7910"/>
    <w:rsid w:val="001D7D1D"/>
    <w:rsid w:val="001E7AD3"/>
    <w:rsid w:val="00201F44"/>
    <w:rsid w:val="00202F7F"/>
    <w:rsid w:val="002036EF"/>
    <w:rsid w:val="0020753F"/>
    <w:rsid w:val="002136F7"/>
    <w:rsid w:val="00225229"/>
    <w:rsid w:val="002305F8"/>
    <w:rsid w:val="00234185"/>
    <w:rsid w:val="00234AC4"/>
    <w:rsid w:val="00237264"/>
    <w:rsid w:val="0024028C"/>
    <w:rsid w:val="0024068E"/>
    <w:rsid w:val="00247D08"/>
    <w:rsid w:val="00272E82"/>
    <w:rsid w:val="00277825"/>
    <w:rsid w:val="00281B61"/>
    <w:rsid w:val="00287EE3"/>
    <w:rsid w:val="002A0F63"/>
    <w:rsid w:val="002A60DB"/>
    <w:rsid w:val="002A619C"/>
    <w:rsid w:val="002B05B8"/>
    <w:rsid w:val="002B5DA2"/>
    <w:rsid w:val="002C0001"/>
    <w:rsid w:val="002C3A9E"/>
    <w:rsid w:val="002C5522"/>
    <w:rsid w:val="002D530E"/>
    <w:rsid w:val="002E1BAE"/>
    <w:rsid w:val="002E3EFD"/>
    <w:rsid w:val="002F7873"/>
    <w:rsid w:val="00302DC2"/>
    <w:rsid w:val="00303AF6"/>
    <w:rsid w:val="00304B35"/>
    <w:rsid w:val="00305BC8"/>
    <w:rsid w:val="003207D1"/>
    <w:rsid w:val="00321DC6"/>
    <w:rsid w:val="003220DD"/>
    <w:rsid w:val="003334F1"/>
    <w:rsid w:val="00346476"/>
    <w:rsid w:val="00352C4C"/>
    <w:rsid w:val="0035579D"/>
    <w:rsid w:val="00356EEB"/>
    <w:rsid w:val="00357B1F"/>
    <w:rsid w:val="00361E19"/>
    <w:rsid w:val="003623E0"/>
    <w:rsid w:val="003626DC"/>
    <w:rsid w:val="00362A11"/>
    <w:rsid w:val="0036507C"/>
    <w:rsid w:val="0037432F"/>
    <w:rsid w:val="00380689"/>
    <w:rsid w:val="00380A63"/>
    <w:rsid w:val="0038292A"/>
    <w:rsid w:val="00392DCC"/>
    <w:rsid w:val="003979BD"/>
    <w:rsid w:val="003D0C8C"/>
    <w:rsid w:val="003D5A6D"/>
    <w:rsid w:val="003E238A"/>
    <w:rsid w:val="004006E7"/>
    <w:rsid w:val="00401918"/>
    <w:rsid w:val="00402AFA"/>
    <w:rsid w:val="00406A40"/>
    <w:rsid w:val="00413E3B"/>
    <w:rsid w:val="00416049"/>
    <w:rsid w:val="00420C89"/>
    <w:rsid w:val="00421860"/>
    <w:rsid w:val="0043160F"/>
    <w:rsid w:val="00432D09"/>
    <w:rsid w:val="00434D2C"/>
    <w:rsid w:val="004361C3"/>
    <w:rsid w:val="004361E3"/>
    <w:rsid w:val="00447F1B"/>
    <w:rsid w:val="004526FD"/>
    <w:rsid w:val="00455E33"/>
    <w:rsid w:val="00464A70"/>
    <w:rsid w:val="00472084"/>
    <w:rsid w:val="004876C9"/>
    <w:rsid w:val="00492DC8"/>
    <w:rsid w:val="004C2E83"/>
    <w:rsid w:val="004D0038"/>
    <w:rsid w:val="004D6110"/>
    <w:rsid w:val="004F56A2"/>
    <w:rsid w:val="005254F4"/>
    <w:rsid w:val="00526079"/>
    <w:rsid w:val="00527722"/>
    <w:rsid w:val="005310CA"/>
    <w:rsid w:val="00547272"/>
    <w:rsid w:val="00552F77"/>
    <w:rsid w:val="00556E13"/>
    <w:rsid w:val="00556EFA"/>
    <w:rsid w:val="00563B17"/>
    <w:rsid w:val="00592215"/>
    <w:rsid w:val="005961CF"/>
    <w:rsid w:val="0059651D"/>
    <w:rsid w:val="005A33D8"/>
    <w:rsid w:val="005A4B45"/>
    <w:rsid w:val="005B6585"/>
    <w:rsid w:val="005C12AF"/>
    <w:rsid w:val="005C3A43"/>
    <w:rsid w:val="005C46AA"/>
    <w:rsid w:val="005D119B"/>
    <w:rsid w:val="005D2226"/>
    <w:rsid w:val="005E23BB"/>
    <w:rsid w:val="005F777E"/>
    <w:rsid w:val="00610569"/>
    <w:rsid w:val="00612A07"/>
    <w:rsid w:val="00615668"/>
    <w:rsid w:val="006349C8"/>
    <w:rsid w:val="006365E7"/>
    <w:rsid w:val="006540BD"/>
    <w:rsid w:val="00661F3A"/>
    <w:rsid w:val="00666EB0"/>
    <w:rsid w:val="00667A3C"/>
    <w:rsid w:val="00667D5E"/>
    <w:rsid w:val="00675506"/>
    <w:rsid w:val="006771DC"/>
    <w:rsid w:val="00681845"/>
    <w:rsid w:val="00682157"/>
    <w:rsid w:val="00683578"/>
    <w:rsid w:val="006A54BE"/>
    <w:rsid w:val="006A6C3A"/>
    <w:rsid w:val="006B5FF6"/>
    <w:rsid w:val="006C021A"/>
    <w:rsid w:val="006C2D77"/>
    <w:rsid w:val="006C5B94"/>
    <w:rsid w:val="006D519B"/>
    <w:rsid w:val="006D69EA"/>
    <w:rsid w:val="006E047F"/>
    <w:rsid w:val="006E0548"/>
    <w:rsid w:val="006F08D2"/>
    <w:rsid w:val="006F4788"/>
    <w:rsid w:val="00710BB5"/>
    <w:rsid w:val="00711140"/>
    <w:rsid w:val="007217B3"/>
    <w:rsid w:val="007233A9"/>
    <w:rsid w:val="00735624"/>
    <w:rsid w:val="00735DC0"/>
    <w:rsid w:val="00742B14"/>
    <w:rsid w:val="00744AEC"/>
    <w:rsid w:val="00763D4F"/>
    <w:rsid w:val="00770A2F"/>
    <w:rsid w:val="007729EA"/>
    <w:rsid w:val="00775DD9"/>
    <w:rsid w:val="00775EA4"/>
    <w:rsid w:val="00783AA9"/>
    <w:rsid w:val="0078795D"/>
    <w:rsid w:val="007A62EE"/>
    <w:rsid w:val="007B7D7C"/>
    <w:rsid w:val="007C14A4"/>
    <w:rsid w:val="007C55AA"/>
    <w:rsid w:val="007D0B1D"/>
    <w:rsid w:val="007F559A"/>
    <w:rsid w:val="00801A15"/>
    <w:rsid w:val="00806727"/>
    <w:rsid w:val="00807048"/>
    <w:rsid w:val="00807E98"/>
    <w:rsid w:val="008115F5"/>
    <w:rsid w:val="008167B1"/>
    <w:rsid w:val="00816888"/>
    <w:rsid w:val="008328A0"/>
    <w:rsid w:val="00833759"/>
    <w:rsid w:val="008356CE"/>
    <w:rsid w:val="00836742"/>
    <w:rsid w:val="008376BA"/>
    <w:rsid w:val="00841271"/>
    <w:rsid w:val="00841A82"/>
    <w:rsid w:val="00842B5A"/>
    <w:rsid w:val="00844996"/>
    <w:rsid w:val="0085126C"/>
    <w:rsid w:val="008527E8"/>
    <w:rsid w:val="0085433D"/>
    <w:rsid w:val="00861D97"/>
    <w:rsid w:val="00873378"/>
    <w:rsid w:val="00873B07"/>
    <w:rsid w:val="008742EB"/>
    <w:rsid w:val="00877DA0"/>
    <w:rsid w:val="00883534"/>
    <w:rsid w:val="008875CD"/>
    <w:rsid w:val="00897695"/>
    <w:rsid w:val="008A21A5"/>
    <w:rsid w:val="008A2ADC"/>
    <w:rsid w:val="008A6F70"/>
    <w:rsid w:val="008A704C"/>
    <w:rsid w:val="008C032C"/>
    <w:rsid w:val="008C7404"/>
    <w:rsid w:val="008C794C"/>
    <w:rsid w:val="008D293F"/>
    <w:rsid w:val="008D345B"/>
    <w:rsid w:val="008D347D"/>
    <w:rsid w:val="008D7064"/>
    <w:rsid w:val="008E6044"/>
    <w:rsid w:val="008E73F6"/>
    <w:rsid w:val="008F105F"/>
    <w:rsid w:val="008F56BE"/>
    <w:rsid w:val="008F6F39"/>
    <w:rsid w:val="0090581A"/>
    <w:rsid w:val="00905DA3"/>
    <w:rsid w:val="0091554B"/>
    <w:rsid w:val="00916E2B"/>
    <w:rsid w:val="00920B8C"/>
    <w:rsid w:val="00921415"/>
    <w:rsid w:val="00922A49"/>
    <w:rsid w:val="009366E6"/>
    <w:rsid w:val="00945A5E"/>
    <w:rsid w:val="0097121C"/>
    <w:rsid w:val="00972910"/>
    <w:rsid w:val="00976EDE"/>
    <w:rsid w:val="009823A7"/>
    <w:rsid w:val="00987666"/>
    <w:rsid w:val="00987802"/>
    <w:rsid w:val="00995AA1"/>
    <w:rsid w:val="009B2BC0"/>
    <w:rsid w:val="009B72F1"/>
    <w:rsid w:val="009C05E7"/>
    <w:rsid w:val="009C6196"/>
    <w:rsid w:val="009C70C9"/>
    <w:rsid w:val="009E4D88"/>
    <w:rsid w:val="009E54D9"/>
    <w:rsid w:val="009E7F11"/>
    <w:rsid w:val="00A03681"/>
    <w:rsid w:val="00A116E6"/>
    <w:rsid w:val="00A24A97"/>
    <w:rsid w:val="00A31082"/>
    <w:rsid w:val="00A36A3B"/>
    <w:rsid w:val="00A416CD"/>
    <w:rsid w:val="00A50EB5"/>
    <w:rsid w:val="00A519A1"/>
    <w:rsid w:val="00A54EFA"/>
    <w:rsid w:val="00A57968"/>
    <w:rsid w:val="00A74A80"/>
    <w:rsid w:val="00A77450"/>
    <w:rsid w:val="00A8085E"/>
    <w:rsid w:val="00A82331"/>
    <w:rsid w:val="00A87649"/>
    <w:rsid w:val="00A918F4"/>
    <w:rsid w:val="00A93763"/>
    <w:rsid w:val="00A96A7B"/>
    <w:rsid w:val="00AA6BEA"/>
    <w:rsid w:val="00AA7FA8"/>
    <w:rsid w:val="00AB7803"/>
    <w:rsid w:val="00AC3508"/>
    <w:rsid w:val="00AE4C3A"/>
    <w:rsid w:val="00AE6D7E"/>
    <w:rsid w:val="00AF6346"/>
    <w:rsid w:val="00B073BB"/>
    <w:rsid w:val="00B076B4"/>
    <w:rsid w:val="00B328E9"/>
    <w:rsid w:val="00B35D9C"/>
    <w:rsid w:val="00B37274"/>
    <w:rsid w:val="00B4317E"/>
    <w:rsid w:val="00B5083D"/>
    <w:rsid w:val="00B55C11"/>
    <w:rsid w:val="00B55F1E"/>
    <w:rsid w:val="00B61E74"/>
    <w:rsid w:val="00B64DAB"/>
    <w:rsid w:val="00B71C42"/>
    <w:rsid w:val="00B76268"/>
    <w:rsid w:val="00B90CAD"/>
    <w:rsid w:val="00BA399D"/>
    <w:rsid w:val="00BA3EFB"/>
    <w:rsid w:val="00BB0392"/>
    <w:rsid w:val="00BB365A"/>
    <w:rsid w:val="00BB67FA"/>
    <w:rsid w:val="00BD5A91"/>
    <w:rsid w:val="00BD7902"/>
    <w:rsid w:val="00BD797D"/>
    <w:rsid w:val="00BE35DC"/>
    <w:rsid w:val="00BF1D4D"/>
    <w:rsid w:val="00BF3E80"/>
    <w:rsid w:val="00BF5DB2"/>
    <w:rsid w:val="00BF6ADE"/>
    <w:rsid w:val="00BF7A70"/>
    <w:rsid w:val="00C0337A"/>
    <w:rsid w:val="00C069A3"/>
    <w:rsid w:val="00C15AD9"/>
    <w:rsid w:val="00C47D3E"/>
    <w:rsid w:val="00C51B56"/>
    <w:rsid w:val="00C52314"/>
    <w:rsid w:val="00C52509"/>
    <w:rsid w:val="00C52AE5"/>
    <w:rsid w:val="00C52C5B"/>
    <w:rsid w:val="00C533C1"/>
    <w:rsid w:val="00C62F4A"/>
    <w:rsid w:val="00C63258"/>
    <w:rsid w:val="00C6573E"/>
    <w:rsid w:val="00C65EEA"/>
    <w:rsid w:val="00C77107"/>
    <w:rsid w:val="00C84B02"/>
    <w:rsid w:val="00CA4A01"/>
    <w:rsid w:val="00CA58EE"/>
    <w:rsid w:val="00CB2FB7"/>
    <w:rsid w:val="00CB7487"/>
    <w:rsid w:val="00CC1A89"/>
    <w:rsid w:val="00CD0E5C"/>
    <w:rsid w:val="00CD5277"/>
    <w:rsid w:val="00CD7E2C"/>
    <w:rsid w:val="00CE75E7"/>
    <w:rsid w:val="00CE7B5C"/>
    <w:rsid w:val="00CF2BF5"/>
    <w:rsid w:val="00CF5726"/>
    <w:rsid w:val="00D03E47"/>
    <w:rsid w:val="00D04AF3"/>
    <w:rsid w:val="00D06C9D"/>
    <w:rsid w:val="00D1261C"/>
    <w:rsid w:val="00D149BC"/>
    <w:rsid w:val="00D14E14"/>
    <w:rsid w:val="00D31D7F"/>
    <w:rsid w:val="00D32CE4"/>
    <w:rsid w:val="00D34D75"/>
    <w:rsid w:val="00D3751E"/>
    <w:rsid w:val="00D41384"/>
    <w:rsid w:val="00D4174E"/>
    <w:rsid w:val="00D47962"/>
    <w:rsid w:val="00D53C45"/>
    <w:rsid w:val="00D54702"/>
    <w:rsid w:val="00D56A5C"/>
    <w:rsid w:val="00D613A9"/>
    <w:rsid w:val="00D66DC1"/>
    <w:rsid w:val="00D709BF"/>
    <w:rsid w:val="00D71462"/>
    <w:rsid w:val="00D73B23"/>
    <w:rsid w:val="00D774DE"/>
    <w:rsid w:val="00D85A69"/>
    <w:rsid w:val="00D9296F"/>
    <w:rsid w:val="00D9381F"/>
    <w:rsid w:val="00D97AE5"/>
    <w:rsid w:val="00DA28FC"/>
    <w:rsid w:val="00DA4409"/>
    <w:rsid w:val="00DB0003"/>
    <w:rsid w:val="00DB28DB"/>
    <w:rsid w:val="00DB3B7F"/>
    <w:rsid w:val="00DB4C6D"/>
    <w:rsid w:val="00DD146B"/>
    <w:rsid w:val="00DD255F"/>
    <w:rsid w:val="00DF2F8F"/>
    <w:rsid w:val="00DF3076"/>
    <w:rsid w:val="00DF483C"/>
    <w:rsid w:val="00DF7557"/>
    <w:rsid w:val="00E01552"/>
    <w:rsid w:val="00E021CF"/>
    <w:rsid w:val="00E02429"/>
    <w:rsid w:val="00E038DA"/>
    <w:rsid w:val="00E10CF9"/>
    <w:rsid w:val="00E121FF"/>
    <w:rsid w:val="00E13B42"/>
    <w:rsid w:val="00E17434"/>
    <w:rsid w:val="00E3229E"/>
    <w:rsid w:val="00E35120"/>
    <w:rsid w:val="00E36DFD"/>
    <w:rsid w:val="00E42651"/>
    <w:rsid w:val="00E46328"/>
    <w:rsid w:val="00E558CD"/>
    <w:rsid w:val="00E57937"/>
    <w:rsid w:val="00E7228B"/>
    <w:rsid w:val="00E8170F"/>
    <w:rsid w:val="00E83EFF"/>
    <w:rsid w:val="00E84B71"/>
    <w:rsid w:val="00E93DAB"/>
    <w:rsid w:val="00E94014"/>
    <w:rsid w:val="00E958E8"/>
    <w:rsid w:val="00EA4DB2"/>
    <w:rsid w:val="00EA6590"/>
    <w:rsid w:val="00EB4449"/>
    <w:rsid w:val="00EC0871"/>
    <w:rsid w:val="00EC2E08"/>
    <w:rsid w:val="00EC6BBA"/>
    <w:rsid w:val="00ED63CE"/>
    <w:rsid w:val="00EE2CB4"/>
    <w:rsid w:val="00EE3690"/>
    <w:rsid w:val="00EF266D"/>
    <w:rsid w:val="00EF3587"/>
    <w:rsid w:val="00F04934"/>
    <w:rsid w:val="00F05620"/>
    <w:rsid w:val="00F1283F"/>
    <w:rsid w:val="00F1377A"/>
    <w:rsid w:val="00F1627F"/>
    <w:rsid w:val="00F16949"/>
    <w:rsid w:val="00F16EEB"/>
    <w:rsid w:val="00F23405"/>
    <w:rsid w:val="00F23B88"/>
    <w:rsid w:val="00F24362"/>
    <w:rsid w:val="00F25BFC"/>
    <w:rsid w:val="00F25FFD"/>
    <w:rsid w:val="00F26BCA"/>
    <w:rsid w:val="00F26C69"/>
    <w:rsid w:val="00F36578"/>
    <w:rsid w:val="00F372A4"/>
    <w:rsid w:val="00F46584"/>
    <w:rsid w:val="00F519B8"/>
    <w:rsid w:val="00F5521B"/>
    <w:rsid w:val="00F642D0"/>
    <w:rsid w:val="00F66984"/>
    <w:rsid w:val="00F66CBD"/>
    <w:rsid w:val="00F72DBD"/>
    <w:rsid w:val="00F83BF8"/>
    <w:rsid w:val="00F849BA"/>
    <w:rsid w:val="00F85104"/>
    <w:rsid w:val="00F858B5"/>
    <w:rsid w:val="00F860D2"/>
    <w:rsid w:val="00F86C65"/>
    <w:rsid w:val="00F92BCE"/>
    <w:rsid w:val="00F94AA7"/>
    <w:rsid w:val="00FA14EE"/>
    <w:rsid w:val="00FA5DEB"/>
    <w:rsid w:val="00FB338C"/>
    <w:rsid w:val="00FB7A78"/>
    <w:rsid w:val="00FC003F"/>
    <w:rsid w:val="00FC38B9"/>
    <w:rsid w:val="00FC39D4"/>
    <w:rsid w:val="00FD7A72"/>
    <w:rsid w:val="00FF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"/>
    <w:pPr>
      <w:numPr>
        <w:numId w:val="2"/>
      </w:numPr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aliases w:val="rrfootnote,Footnote Text Char1,Footnote Text Char Char,rrfootnote Char Char,rrfootnote Char1,rrfootnote Char1 Char Char,Footnote Text Char1 Char Char,ALTS FOOTNOTE Char Char Char,fn Char Char Char,Footnote Text Char Char Char Char,f,fn"/>
    <w:link w:val="FootnoteTextChar"/>
    <w:rsid w:val="006C5B94"/>
    <w:pPr>
      <w:spacing w:after="120"/>
    </w:pPr>
  </w:style>
  <w:style w:type="character" w:styleId="FootnoteReference">
    <w:name w:val="footnote reference"/>
    <w:aliases w:val="Style 4,Appel note de bas de p,Style 12,(NECG) Footnote Reference,Style 124,Style 13,o,fr,Style 3"/>
    <w:rsid w:val="006C5B94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noteTextChar">
    <w:name w:val="Footnote Text Char"/>
    <w:aliases w:val="rrfootnote Char,Footnote Text Char1 Char,Footnote Text Char Char Char,rrfootnote Char Char Char,rrfootnote Char1 Char,rrfootnote Char1 Char Char Char,Footnote Text Char1 Char Char Char,ALTS FOOTNOTE Char Char Char Char,f Char,fn Char"/>
    <w:link w:val="FootnoteTex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autoSpaceDE w:val="0"/>
      <w:autoSpaceDN w:val="0"/>
      <w:adjustRightInd w:val="0"/>
    </w:pPr>
    <w:rPr>
      <w:snapToGrid/>
      <w:kern w:val="0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noteCharacters">
    <w:name w:val="Footnote Characters"/>
    <w:rPr>
      <w:rFonts w:ascii="Times New Roman" w:hAnsi="Times New Roman"/>
      <w:strike w:val="0"/>
      <w:dstrike w:val="0"/>
      <w:color w:val="auto"/>
      <w:sz w:val="20"/>
      <w:vertAlign w:val="superscript"/>
    </w:rPr>
  </w:style>
  <w:style w:type="character" w:customStyle="1" w:styleId="Footnote">
    <w:name w:val="Footnote"/>
    <w:rPr>
      <w:rFonts w:ascii="Times New Roman" w:hAnsi="Times New Roman"/>
      <w:sz w:val="20"/>
    </w:rPr>
  </w:style>
  <w:style w:type="character" w:customStyle="1" w:styleId="documentbody1">
    <w:name w:val="documentbody1"/>
    <w:rsid w:val="00420C89"/>
    <w:rPr>
      <w:rFonts w:ascii="Verdana" w:hAnsi="Verdana" w:hint="default"/>
      <w:sz w:val="19"/>
      <w:szCs w:val="19"/>
    </w:rPr>
  </w:style>
  <w:style w:type="paragraph" w:styleId="CommentSubject">
    <w:name w:val="annotation subject"/>
    <w:basedOn w:val="CommentText"/>
    <w:next w:val="CommentText"/>
    <w:semiHidden/>
    <w:rsid w:val="00183D6B"/>
    <w:pPr>
      <w:autoSpaceDE/>
      <w:autoSpaceDN/>
      <w:adjustRightInd/>
    </w:pPr>
    <w:rPr>
      <w:b/>
      <w:bCs/>
      <w:snapToGrid w:val="0"/>
      <w:kern w:val="28"/>
    </w:rPr>
  </w:style>
  <w:style w:type="character" w:customStyle="1" w:styleId="ParaNumChar">
    <w:name w:val="ParaNum Char"/>
    <w:link w:val="ParaNum"/>
    <w:rsid w:val="00592215"/>
    <w:rPr>
      <w:snapToGrid w:val="0"/>
      <w:kern w:val="28"/>
      <w:sz w:val="22"/>
    </w:rPr>
  </w:style>
  <w:style w:type="paragraph" w:styleId="ListParagraph">
    <w:name w:val="List Paragraph"/>
    <w:basedOn w:val="Normal"/>
    <w:uiPriority w:val="34"/>
    <w:qFormat/>
    <w:rsid w:val="00D9381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7450"/>
    <w:rPr>
      <w:b/>
      <w:snapToGrid w:val="0"/>
      <w:kern w:val="28"/>
      <w:sz w:val="22"/>
    </w:rPr>
  </w:style>
  <w:style w:type="paragraph" w:styleId="Revision">
    <w:name w:val="Revision"/>
    <w:hidden/>
    <w:uiPriority w:val="99"/>
    <w:semiHidden/>
    <w:rsid w:val="007C14A4"/>
    <w:rPr>
      <w:snapToGrid w:val="0"/>
      <w:kern w:val="28"/>
      <w:sz w:val="22"/>
    </w:rPr>
  </w:style>
  <w:style w:type="character" w:styleId="Emphasis">
    <w:name w:val="Emphasis"/>
    <w:basedOn w:val="DefaultParagraphFont"/>
    <w:uiPriority w:val="20"/>
    <w:qFormat/>
    <w:rsid w:val="00945A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"/>
    <w:pPr>
      <w:numPr>
        <w:numId w:val="2"/>
      </w:numPr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aliases w:val="rrfootnote,Footnote Text Char1,Footnote Text Char Char,rrfootnote Char Char,rrfootnote Char1,rrfootnote Char1 Char Char,Footnote Text Char1 Char Char,ALTS FOOTNOTE Char Char Char,fn Char Char Char,Footnote Text Char Char Char Char,f,fn"/>
    <w:link w:val="FootnoteTextChar"/>
    <w:rsid w:val="006C5B94"/>
    <w:pPr>
      <w:spacing w:after="120"/>
    </w:pPr>
  </w:style>
  <w:style w:type="character" w:styleId="FootnoteReference">
    <w:name w:val="footnote reference"/>
    <w:aliases w:val="Style 4,Appel note de bas de p,Style 12,(NECG) Footnote Reference,Style 124,Style 13,o,fr,Style 3"/>
    <w:rsid w:val="006C5B94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noteTextChar">
    <w:name w:val="Footnote Text Char"/>
    <w:aliases w:val="rrfootnote Char,Footnote Text Char1 Char,Footnote Text Char Char Char,rrfootnote Char Char Char,rrfootnote Char1 Char,rrfootnote Char1 Char Char Char,Footnote Text Char1 Char Char Char,ALTS FOOTNOTE Char Char Char Char,f Char,fn Char"/>
    <w:link w:val="FootnoteTex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autoSpaceDE w:val="0"/>
      <w:autoSpaceDN w:val="0"/>
      <w:adjustRightInd w:val="0"/>
    </w:pPr>
    <w:rPr>
      <w:snapToGrid/>
      <w:kern w:val="0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noteCharacters">
    <w:name w:val="Footnote Characters"/>
    <w:rPr>
      <w:rFonts w:ascii="Times New Roman" w:hAnsi="Times New Roman"/>
      <w:strike w:val="0"/>
      <w:dstrike w:val="0"/>
      <w:color w:val="auto"/>
      <w:sz w:val="20"/>
      <w:vertAlign w:val="superscript"/>
    </w:rPr>
  </w:style>
  <w:style w:type="character" w:customStyle="1" w:styleId="Footnote">
    <w:name w:val="Footnote"/>
    <w:rPr>
      <w:rFonts w:ascii="Times New Roman" w:hAnsi="Times New Roman"/>
      <w:sz w:val="20"/>
    </w:rPr>
  </w:style>
  <w:style w:type="character" w:customStyle="1" w:styleId="documentbody1">
    <w:name w:val="documentbody1"/>
    <w:rsid w:val="00420C89"/>
    <w:rPr>
      <w:rFonts w:ascii="Verdana" w:hAnsi="Verdana" w:hint="default"/>
      <w:sz w:val="19"/>
      <w:szCs w:val="19"/>
    </w:rPr>
  </w:style>
  <w:style w:type="paragraph" w:styleId="CommentSubject">
    <w:name w:val="annotation subject"/>
    <w:basedOn w:val="CommentText"/>
    <w:next w:val="CommentText"/>
    <w:semiHidden/>
    <w:rsid w:val="00183D6B"/>
    <w:pPr>
      <w:autoSpaceDE/>
      <w:autoSpaceDN/>
      <w:adjustRightInd/>
    </w:pPr>
    <w:rPr>
      <w:b/>
      <w:bCs/>
      <w:snapToGrid w:val="0"/>
      <w:kern w:val="28"/>
    </w:rPr>
  </w:style>
  <w:style w:type="character" w:customStyle="1" w:styleId="ParaNumChar">
    <w:name w:val="ParaNum Char"/>
    <w:link w:val="ParaNum"/>
    <w:rsid w:val="00592215"/>
    <w:rPr>
      <w:snapToGrid w:val="0"/>
      <w:kern w:val="28"/>
      <w:sz w:val="22"/>
    </w:rPr>
  </w:style>
  <w:style w:type="paragraph" w:styleId="ListParagraph">
    <w:name w:val="List Paragraph"/>
    <w:basedOn w:val="Normal"/>
    <w:uiPriority w:val="34"/>
    <w:qFormat/>
    <w:rsid w:val="00D9381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7450"/>
    <w:rPr>
      <w:b/>
      <w:snapToGrid w:val="0"/>
      <w:kern w:val="28"/>
      <w:sz w:val="22"/>
    </w:rPr>
  </w:style>
  <w:style w:type="paragraph" w:styleId="Revision">
    <w:name w:val="Revision"/>
    <w:hidden/>
    <w:uiPriority w:val="99"/>
    <w:semiHidden/>
    <w:rsid w:val="007C14A4"/>
    <w:rPr>
      <w:snapToGrid w:val="0"/>
      <w:kern w:val="28"/>
      <w:sz w:val="22"/>
    </w:rPr>
  </w:style>
  <w:style w:type="character" w:styleId="Emphasis">
    <w:name w:val="Emphasis"/>
    <w:basedOn w:val="DefaultParagraphFont"/>
    <w:uiPriority w:val="20"/>
    <w:qFormat/>
    <w:rsid w:val="00945A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1367</Words>
  <Characters>7618</Characters>
  <Application>Microsoft Office Word</Application>
  <DocSecurity>0</DocSecurity>
  <Lines>138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9008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2015-04-08T16:32:00Z</dcterms:created>
  <dcterms:modified xsi:type="dcterms:W3CDTF">2015-04-08T16:32:00Z</dcterms:modified>
  <cp:category> </cp:category>
  <cp:contentStatus> </cp:contentStatus>
</cp:coreProperties>
</file>