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3E2" w:rsidRPr="00DB53E2" w:rsidRDefault="00DB53E2" w:rsidP="0060170A">
      <w:pPr>
        <w:widowControl/>
        <w:jc w:val="center"/>
        <w:rPr>
          <w:b/>
        </w:rPr>
      </w:pPr>
      <w:bookmarkStart w:id="0" w:name="_GoBack"/>
      <w:bookmarkEnd w:id="0"/>
      <w:r w:rsidRPr="00DB53E2">
        <w:rPr>
          <w:b/>
        </w:rPr>
        <w:t>Before the</w:t>
      </w:r>
    </w:p>
    <w:p w:rsidR="00DB53E2" w:rsidRPr="00DB53E2" w:rsidRDefault="00DB53E2" w:rsidP="0060170A">
      <w:pPr>
        <w:widowControl/>
        <w:jc w:val="center"/>
        <w:rPr>
          <w:b/>
        </w:rPr>
      </w:pPr>
      <w:r w:rsidRPr="00DB53E2">
        <w:rPr>
          <w:b/>
        </w:rPr>
        <w:t>Federal Communications Commission</w:t>
      </w:r>
    </w:p>
    <w:p w:rsidR="00DB53E2" w:rsidRPr="00DB53E2" w:rsidRDefault="00DB53E2" w:rsidP="0060170A">
      <w:pPr>
        <w:widowControl/>
        <w:jc w:val="center"/>
        <w:rPr>
          <w:b/>
        </w:rPr>
      </w:pPr>
      <w:r w:rsidRPr="00DB53E2">
        <w:rPr>
          <w:b/>
        </w:rPr>
        <w:t>Washington, D.C. 20554</w:t>
      </w:r>
    </w:p>
    <w:p w:rsidR="00DB53E2" w:rsidRPr="00DB53E2" w:rsidRDefault="00DB53E2" w:rsidP="0060170A">
      <w:pPr>
        <w:widowControl/>
      </w:pPr>
    </w:p>
    <w:p w:rsidR="00DB53E2" w:rsidRPr="00DB53E2" w:rsidRDefault="00DB53E2" w:rsidP="0060170A">
      <w:pPr>
        <w:widowControl/>
      </w:pPr>
    </w:p>
    <w:tbl>
      <w:tblPr>
        <w:tblW w:w="0" w:type="auto"/>
        <w:tblLayout w:type="fixed"/>
        <w:tblLook w:val="0000" w:firstRow="0" w:lastRow="0" w:firstColumn="0" w:lastColumn="0" w:noHBand="0" w:noVBand="0"/>
      </w:tblPr>
      <w:tblGrid>
        <w:gridCol w:w="4698"/>
        <w:gridCol w:w="720"/>
        <w:gridCol w:w="4230"/>
      </w:tblGrid>
      <w:tr w:rsidR="00DB53E2" w:rsidRPr="00DB53E2" w:rsidTr="00FF439A">
        <w:tc>
          <w:tcPr>
            <w:tcW w:w="4698" w:type="dxa"/>
          </w:tcPr>
          <w:p w:rsidR="00DB53E2" w:rsidRPr="00DB53E2" w:rsidRDefault="00DB53E2" w:rsidP="0060170A">
            <w:pPr>
              <w:widowControl/>
              <w:ind w:right="-18"/>
            </w:pPr>
            <w:r w:rsidRPr="00DB53E2">
              <w:t>In the Matter of</w:t>
            </w:r>
          </w:p>
          <w:p w:rsidR="00DB53E2" w:rsidRPr="00DB53E2" w:rsidRDefault="00DB53E2" w:rsidP="0060170A">
            <w:pPr>
              <w:widowControl/>
              <w:ind w:right="-18"/>
            </w:pPr>
          </w:p>
          <w:p w:rsidR="00DB53E2" w:rsidRPr="00DB53E2" w:rsidRDefault="00DB53E2" w:rsidP="0060170A">
            <w:pPr>
              <w:widowControl/>
              <w:ind w:right="-18"/>
            </w:pPr>
            <w:r>
              <w:t xml:space="preserve">NPG of Idaho, Inc. </w:t>
            </w:r>
            <w:r w:rsidRPr="00DB53E2">
              <w:t xml:space="preserve"> </w:t>
            </w:r>
            <w:r w:rsidRPr="00DB53E2">
              <w:br/>
              <w:t xml:space="preserve">Licensee of Station </w:t>
            </w:r>
            <w:r>
              <w:t>KIFI-TV</w:t>
            </w:r>
          </w:p>
          <w:p w:rsidR="00DB53E2" w:rsidRPr="00DB53E2" w:rsidRDefault="00DB53E2" w:rsidP="0060170A">
            <w:pPr>
              <w:widowControl/>
              <w:ind w:right="-18"/>
            </w:pPr>
            <w:r>
              <w:t>Idaho Falls, Idaho</w:t>
            </w:r>
          </w:p>
        </w:tc>
        <w:tc>
          <w:tcPr>
            <w:tcW w:w="720" w:type="dxa"/>
          </w:tcPr>
          <w:p w:rsidR="00DB53E2" w:rsidRPr="00DB53E2" w:rsidRDefault="00DB53E2" w:rsidP="0060170A">
            <w:pPr>
              <w:widowControl/>
              <w:rPr>
                <w:b/>
              </w:rPr>
            </w:pPr>
            <w:r w:rsidRPr="00DB53E2">
              <w:rPr>
                <w:b/>
              </w:rPr>
              <w:t>)</w:t>
            </w:r>
          </w:p>
          <w:p w:rsidR="00DB53E2" w:rsidRPr="00DB53E2" w:rsidRDefault="00DB53E2" w:rsidP="0060170A">
            <w:pPr>
              <w:widowControl/>
              <w:rPr>
                <w:b/>
              </w:rPr>
            </w:pPr>
            <w:r w:rsidRPr="00DB53E2">
              <w:rPr>
                <w:b/>
              </w:rPr>
              <w:t>)</w:t>
            </w:r>
          </w:p>
          <w:p w:rsidR="00DB53E2" w:rsidRPr="00DB53E2" w:rsidRDefault="00DB53E2" w:rsidP="0060170A">
            <w:pPr>
              <w:widowControl/>
              <w:rPr>
                <w:b/>
              </w:rPr>
            </w:pPr>
            <w:r w:rsidRPr="00DB53E2">
              <w:rPr>
                <w:b/>
              </w:rPr>
              <w:t>)</w:t>
            </w:r>
          </w:p>
          <w:p w:rsidR="00DB53E2" w:rsidRPr="00DB53E2" w:rsidRDefault="00DB53E2" w:rsidP="0060170A">
            <w:pPr>
              <w:widowControl/>
              <w:rPr>
                <w:b/>
              </w:rPr>
            </w:pPr>
            <w:r w:rsidRPr="00DB53E2">
              <w:rPr>
                <w:b/>
              </w:rPr>
              <w:t>)</w:t>
            </w:r>
          </w:p>
          <w:p w:rsidR="00DB53E2" w:rsidRPr="00DB53E2" w:rsidRDefault="00DB53E2" w:rsidP="0060170A">
            <w:pPr>
              <w:widowControl/>
              <w:rPr>
                <w:b/>
              </w:rPr>
            </w:pPr>
            <w:r w:rsidRPr="00DB53E2">
              <w:rPr>
                <w:b/>
              </w:rPr>
              <w:t>)</w:t>
            </w:r>
          </w:p>
          <w:p w:rsidR="00DB53E2" w:rsidRPr="00DB53E2" w:rsidRDefault="00DB53E2" w:rsidP="0060170A">
            <w:pPr>
              <w:widowControl/>
              <w:rPr>
                <w:b/>
              </w:rPr>
            </w:pPr>
          </w:p>
          <w:p w:rsidR="00DB53E2" w:rsidRPr="00DB53E2" w:rsidRDefault="00DB53E2" w:rsidP="0060170A">
            <w:pPr>
              <w:widowControl/>
              <w:rPr>
                <w:b/>
              </w:rPr>
            </w:pPr>
          </w:p>
        </w:tc>
        <w:tc>
          <w:tcPr>
            <w:tcW w:w="4230" w:type="dxa"/>
          </w:tcPr>
          <w:p w:rsidR="00DB53E2" w:rsidRPr="00DB53E2" w:rsidRDefault="00DB53E2" w:rsidP="0060170A">
            <w:pPr>
              <w:widowControl/>
            </w:pPr>
          </w:p>
          <w:p w:rsidR="00DB53E2" w:rsidRPr="00DB53E2" w:rsidRDefault="00DB53E2" w:rsidP="0060170A">
            <w:pPr>
              <w:widowControl/>
              <w:rPr>
                <w:szCs w:val="22"/>
              </w:rPr>
            </w:pPr>
          </w:p>
          <w:p w:rsidR="00DB53E2" w:rsidRPr="00DB53E2" w:rsidRDefault="00DB53E2" w:rsidP="0060170A">
            <w:pPr>
              <w:widowControl/>
              <w:rPr>
                <w:spacing w:val="-2"/>
                <w:szCs w:val="22"/>
              </w:rPr>
            </w:pPr>
            <w:r w:rsidRPr="00DB53E2">
              <w:rPr>
                <w:spacing w:val="-2"/>
                <w:szCs w:val="22"/>
              </w:rPr>
              <w:t xml:space="preserve">Facility I.D. No. </w:t>
            </w:r>
            <w:r w:rsidR="00DA3EA3" w:rsidRPr="007148A8">
              <w:rPr>
                <w:color w:val="111111"/>
                <w:szCs w:val="22"/>
                <w:lang w:val="en"/>
              </w:rPr>
              <w:t>66258</w:t>
            </w:r>
          </w:p>
          <w:p w:rsidR="007148A8" w:rsidRPr="007148A8" w:rsidRDefault="00DB53E2" w:rsidP="0060170A">
            <w:pPr>
              <w:widowControl/>
              <w:rPr>
                <w:szCs w:val="22"/>
              </w:rPr>
            </w:pPr>
            <w:r w:rsidRPr="00DB53E2">
              <w:rPr>
                <w:szCs w:val="22"/>
              </w:rPr>
              <w:t xml:space="preserve">NAL/Acct. No.: </w:t>
            </w:r>
            <w:r w:rsidR="007148A8" w:rsidRPr="007148A8">
              <w:rPr>
                <w:szCs w:val="22"/>
              </w:rPr>
              <w:t>201441420046</w:t>
            </w:r>
          </w:p>
          <w:p w:rsidR="00DB53E2" w:rsidRPr="00DB53E2" w:rsidRDefault="00DB53E2" w:rsidP="0060170A">
            <w:pPr>
              <w:widowControl/>
            </w:pPr>
            <w:r w:rsidRPr="00DB53E2">
              <w:rPr>
                <w:spacing w:val="-2"/>
                <w:szCs w:val="22"/>
              </w:rPr>
              <w:t xml:space="preserve">FRN: </w:t>
            </w:r>
            <w:r w:rsidR="00DA3EA3" w:rsidRPr="007148A8">
              <w:rPr>
                <w:szCs w:val="22"/>
              </w:rPr>
              <w:t>0013866462</w:t>
            </w:r>
          </w:p>
        </w:tc>
      </w:tr>
    </w:tbl>
    <w:p w:rsidR="005F6BE7" w:rsidRDefault="005F6BE7" w:rsidP="00604A98">
      <w:pPr>
        <w:widowControl/>
        <w:tabs>
          <w:tab w:val="center" w:pos="4680"/>
          <w:tab w:val="left" w:pos="8490"/>
        </w:tabs>
        <w:jc w:val="center"/>
        <w:rPr>
          <w:b/>
          <w:spacing w:val="-2"/>
        </w:rPr>
      </w:pPr>
    </w:p>
    <w:p w:rsidR="00DB53E2" w:rsidRPr="00DB53E2" w:rsidRDefault="00DB53E2" w:rsidP="00604A98">
      <w:pPr>
        <w:widowControl/>
        <w:tabs>
          <w:tab w:val="center" w:pos="4680"/>
          <w:tab w:val="left" w:pos="8490"/>
        </w:tabs>
        <w:jc w:val="center"/>
        <w:rPr>
          <w:b/>
          <w:spacing w:val="-2"/>
        </w:rPr>
      </w:pPr>
      <w:r w:rsidRPr="00DB53E2">
        <w:rPr>
          <w:b/>
          <w:spacing w:val="-2"/>
        </w:rPr>
        <w:t>NOTICE OF APPARENT LIABILITY FOR FORFEITURE</w:t>
      </w:r>
    </w:p>
    <w:p w:rsidR="005F6BE7" w:rsidRDefault="005F6BE7" w:rsidP="0060170A">
      <w:pPr>
        <w:widowControl/>
      </w:pPr>
    </w:p>
    <w:p w:rsidR="00DB53E2" w:rsidRPr="00DB53E2" w:rsidRDefault="005F6BE7" w:rsidP="0060170A">
      <w:pPr>
        <w:widowControl/>
        <w:tabs>
          <w:tab w:val="left" w:pos="5760"/>
        </w:tabs>
        <w:spacing w:after="240"/>
        <w:rPr>
          <w:b/>
        </w:rPr>
      </w:pPr>
      <w:r>
        <w:rPr>
          <w:b/>
        </w:rPr>
        <w:t>A</w:t>
      </w:r>
      <w:r w:rsidR="00DB53E2" w:rsidRPr="00DB53E2">
        <w:rPr>
          <w:b/>
        </w:rPr>
        <w:t xml:space="preserve">dopted:  </w:t>
      </w:r>
      <w:r w:rsidR="009A454E">
        <w:rPr>
          <w:b/>
        </w:rPr>
        <w:t>February 12</w:t>
      </w:r>
      <w:r w:rsidR="00DB53E2" w:rsidRPr="00DB53E2">
        <w:rPr>
          <w:b/>
        </w:rPr>
        <w:t>, 201</w:t>
      </w:r>
      <w:r w:rsidR="00DB53E2">
        <w:rPr>
          <w:b/>
        </w:rPr>
        <w:t>5</w:t>
      </w:r>
      <w:r w:rsidR="00DB53E2" w:rsidRPr="00DB53E2">
        <w:rPr>
          <w:b/>
        </w:rPr>
        <w:tab/>
      </w:r>
      <w:r w:rsidR="00DB53E2" w:rsidRPr="00DB53E2">
        <w:rPr>
          <w:b/>
        </w:rPr>
        <w:tab/>
        <w:t xml:space="preserve">Released:  </w:t>
      </w:r>
      <w:r w:rsidR="009A454E">
        <w:rPr>
          <w:b/>
        </w:rPr>
        <w:t>February 12</w:t>
      </w:r>
      <w:r w:rsidR="00DB53E2" w:rsidRPr="00DB53E2">
        <w:rPr>
          <w:b/>
        </w:rPr>
        <w:t>, 201</w:t>
      </w:r>
      <w:r w:rsidR="00DB53E2">
        <w:rPr>
          <w:b/>
        </w:rPr>
        <w:t>5</w:t>
      </w:r>
    </w:p>
    <w:p w:rsidR="00DB53E2" w:rsidRPr="00DB53E2" w:rsidRDefault="00DB53E2" w:rsidP="0060170A">
      <w:pPr>
        <w:widowControl/>
        <w:tabs>
          <w:tab w:val="left" w:pos="5760"/>
        </w:tabs>
        <w:spacing w:after="240"/>
      </w:pPr>
      <w:r w:rsidRPr="00DB53E2">
        <w:t>By the Chief, Video Division, Media Bureau</w:t>
      </w:r>
      <w:r w:rsidRPr="00DB53E2">
        <w:rPr>
          <w:spacing w:val="-2"/>
        </w:rPr>
        <w:t>:</w:t>
      </w:r>
    </w:p>
    <w:p w:rsidR="00DB53E2" w:rsidRPr="00DB53E2" w:rsidRDefault="00DB53E2" w:rsidP="0060170A">
      <w:pPr>
        <w:pStyle w:val="Heading1"/>
      </w:pPr>
      <w:r w:rsidRPr="00DB53E2">
        <w:t>INTRODUCTION:</w:t>
      </w:r>
    </w:p>
    <w:p w:rsidR="00B6374A" w:rsidRDefault="00DB53E2" w:rsidP="00B6374A">
      <w:pPr>
        <w:pStyle w:val="ParaNum"/>
      </w:pPr>
      <w:r w:rsidRPr="00DB53E2">
        <w:t xml:space="preserve">In this </w:t>
      </w:r>
      <w:r w:rsidRPr="00DB53E2">
        <w:rPr>
          <w:i/>
        </w:rPr>
        <w:t>Notice of Apparent</w:t>
      </w:r>
      <w:r w:rsidRPr="00DB53E2">
        <w:t xml:space="preserve"> </w:t>
      </w:r>
      <w:r w:rsidRPr="00DB53E2">
        <w:rPr>
          <w:i/>
        </w:rPr>
        <w:t xml:space="preserve">Liability for Forfeiture </w:t>
      </w:r>
      <w:r w:rsidRPr="00DB53E2">
        <w:t>(“NAL”) issued pursuant to Section 503(b) of the Communications Act of 1934, as amended (the “Act”), and Section 1.80 of the Commission’s Rules (the “Rules”),</w:t>
      </w:r>
      <w:r w:rsidRPr="00DB53E2">
        <w:rPr>
          <w:vertAlign w:val="superscript"/>
        </w:rPr>
        <w:footnoteReference w:id="1"/>
      </w:r>
      <w:r w:rsidRPr="00DB53E2">
        <w:t xml:space="preserve"> </w:t>
      </w:r>
      <w:r w:rsidR="00694955">
        <w:t>we</w:t>
      </w:r>
      <w:r w:rsidR="00B6374A">
        <w:t xml:space="preserve"> find</w:t>
      </w:r>
      <w:r w:rsidRPr="00DB53E2">
        <w:t xml:space="preserve"> that </w:t>
      </w:r>
      <w:r w:rsidR="00D81F48">
        <w:t>NPG of Idaho, Inc.</w:t>
      </w:r>
      <w:r w:rsidRPr="00DB53E2">
        <w:t xml:space="preserve"> (the “Licensee”), licensee of Station </w:t>
      </w:r>
      <w:r w:rsidR="00D81F48">
        <w:t>KIFI-TV</w:t>
      </w:r>
      <w:r w:rsidRPr="00DB53E2">
        <w:t xml:space="preserve">, </w:t>
      </w:r>
      <w:r w:rsidR="00D81F48">
        <w:t>Idaho Falls, Idaho</w:t>
      </w:r>
      <w:r w:rsidRPr="00DB53E2">
        <w:t xml:space="preserve"> (“K</w:t>
      </w:r>
      <w:r w:rsidR="00D81F48">
        <w:t>IFI-TV</w:t>
      </w:r>
      <w:r w:rsidRPr="00DB53E2">
        <w:t>”), willfully and/or repeatedly violated Section 73.3526(e)(11)(iii) of the Rules</w:t>
      </w:r>
      <w:r w:rsidRPr="00DB53E2">
        <w:rPr>
          <w:vertAlign w:val="superscript"/>
        </w:rPr>
        <w:footnoteReference w:id="2"/>
      </w:r>
      <w:r w:rsidRPr="00DB53E2">
        <w:t xml:space="preserve"> by failing to file with the Commission </w:t>
      </w:r>
      <w:r w:rsidR="00510D0D">
        <w:t xml:space="preserve">in a timely manner </w:t>
      </w:r>
      <w:r w:rsidRPr="00DB53E2">
        <w:t>Children’s Television Programming Report</w:t>
      </w:r>
      <w:r w:rsidR="00510D0D">
        <w:t>s</w:t>
      </w:r>
      <w:r w:rsidRPr="00DB53E2">
        <w:t xml:space="preserve"> (FCC Form 398) for </w:t>
      </w:r>
      <w:r w:rsidR="00686D62">
        <w:t>five</w:t>
      </w:r>
      <w:r w:rsidRPr="00DB53E2">
        <w:t xml:space="preserve"> </w:t>
      </w:r>
      <w:r w:rsidR="00B6374A">
        <w:t xml:space="preserve">quarters and </w:t>
      </w:r>
      <w:r w:rsidR="00977589">
        <w:rPr>
          <w:snapToGrid/>
        </w:rPr>
        <w:t>Section 73.3514(a) of the R</w:t>
      </w:r>
      <w:r w:rsidR="00B6374A" w:rsidRPr="00B6374A">
        <w:rPr>
          <w:snapToGrid/>
        </w:rPr>
        <w:t>ules</w:t>
      </w:r>
      <w:r w:rsidR="00977589">
        <w:rPr>
          <w:rStyle w:val="FootnoteReference"/>
          <w:snapToGrid/>
        </w:rPr>
        <w:footnoteReference w:id="3"/>
      </w:r>
      <w:r w:rsidR="00B6374A" w:rsidRPr="00B6374A">
        <w:rPr>
          <w:snapToGrid/>
        </w:rPr>
        <w:t xml:space="preserve"> for its failure to report those late filings in its </w:t>
      </w:r>
      <w:r w:rsidR="00B6374A">
        <w:rPr>
          <w:snapToGrid/>
        </w:rPr>
        <w:t>renewal application.</w:t>
      </w:r>
    </w:p>
    <w:p w:rsidR="00DB53E2" w:rsidRPr="00DB53E2" w:rsidRDefault="00DB53E2" w:rsidP="0060170A">
      <w:pPr>
        <w:pStyle w:val="ParaNum"/>
      </w:pPr>
      <w:r w:rsidRPr="00DB53E2">
        <w:t xml:space="preserve"> Based upon our review of the facts and circumstances before us, we conclude that the Licensee is apparently liable for a monetary forfeiture in the amount of Six Thousand Dollars ($6,000).</w:t>
      </w:r>
    </w:p>
    <w:p w:rsidR="00DB53E2" w:rsidRPr="00DB53E2" w:rsidRDefault="00DB53E2" w:rsidP="0060170A">
      <w:pPr>
        <w:pStyle w:val="Heading1"/>
      </w:pPr>
      <w:r w:rsidRPr="00DB53E2">
        <w:t>BACKGROUND.</w:t>
      </w:r>
    </w:p>
    <w:p w:rsidR="00DB53E2" w:rsidRDefault="00DB53E2" w:rsidP="009E5544">
      <w:pPr>
        <w:pStyle w:val="ParaNum"/>
      </w:pPr>
      <w:r w:rsidRPr="00DB53E2">
        <w:t xml:space="preserve">Section 73.3526 of the Rules requires each commercial broadcast licensee to maintain a public inspection file containing specific types of information related to station operations.  As set forth in subsection 73.3526(e)(11)(iii), each commercial television licensee is required to prepare and place in its public inspection file a Children’s Television Programming Report for each calendar quarter reflecting, </w:t>
      </w:r>
      <w:r w:rsidRPr="00DB53E2">
        <w:rPr>
          <w:i/>
        </w:rPr>
        <w:t>inter alia</w:t>
      </w:r>
      <w:r w:rsidRPr="00DB53E2">
        <w:t>, the efforts that it made during that quarter to serve the educational and informational needs of children.</w:t>
      </w:r>
      <w:r w:rsidR="00B060A9">
        <w:t xml:space="preserve"> </w:t>
      </w:r>
      <w:r w:rsidR="00B060A9" w:rsidRPr="00B060A9">
        <w:rPr>
          <w:snapToGrid/>
        </w:rPr>
        <w:t>Those reports must be prepared and placed in the public file</w:t>
      </w:r>
      <w:r w:rsidR="0095578C">
        <w:rPr>
          <w:snapToGrid/>
        </w:rPr>
        <w:t xml:space="preserve"> </w:t>
      </w:r>
      <w:r w:rsidR="00B060A9" w:rsidRPr="00B060A9">
        <w:rPr>
          <w:snapToGrid/>
        </w:rPr>
        <w:t xml:space="preserve">by 10 days after the </w:t>
      </w:r>
      <w:r w:rsidR="00B3114A">
        <w:rPr>
          <w:snapToGrid/>
        </w:rPr>
        <w:t>close of the reporting quarter.</w:t>
      </w:r>
      <w:r w:rsidR="009E5544">
        <w:t xml:space="preserve"> </w:t>
      </w:r>
      <w:r w:rsidRPr="00DB53E2">
        <w:t>That subsection also requires licensees to file the reports with the Commission and to publicize the existence and location of the reports.</w:t>
      </w:r>
      <w:r w:rsidRPr="00DB53E2">
        <w:rPr>
          <w:vertAlign w:val="superscript"/>
        </w:rPr>
        <w:footnoteReference w:id="4"/>
      </w:r>
      <w:r w:rsidRPr="00DB53E2">
        <w:t xml:space="preserve">  </w:t>
      </w:r>
      <w:r w:rsidR="00CB66D4">
        <w:t>A</w:t>
      </w:r>
      <w:r w:rsidRPr="00DB53E2">
        <w:t xml:space="preserve"> staff review of the Station’s electronic public file has revealed</w:t>
      </w:r>
      <w:r w:rsidR="00CB66D4">
        <w:t xml:space="preserve"> that</w:t>
      </w:r>
      <w:r w:rsidRPr="00DB53E2">
        <w:t xml:space="preserve"> the station failed to file </w:t>
      </w:r>
      <w:r w:rsidR="00686D62">
        <w:t>five</w:t>
      </w:r>
      <w:r w:rsidRPr="00DB53E2">
        <w:t xml:space="preserve"> Children’s Television Programming Reports in a timely manner.</w:t>
      </w:r>
      <w:r w:rsidRPr="00DB53E2">
        <w:rPr>
          <w:vertAlign w:val="superscript"/>
        </w:rPr>
        <w:footnoteReference w:id="5"/>
      </w:r>
      <w:r w:rsidRPr="00DB53E2">
        <w:t xml:space="preserve">  </w:t>
      </w:r>
    </w:p>
    <w:p w:rsidR="009E5544" w:rsidRPr="009E5544" w:rsidRDefault="009E5544" w:rsidP="009E5544">
      <w:pPr>
        <w:pStyle w:val="ParaNum"/>
        <w:rPr>
          <w:snapToGrid/>
        </w:rPr>
      </w:pPr>
      <w:r w:rsidRPr="009E5544">
        <w:rPr>
          <w:snapToGrid/>
        </w:rPr>
        <w:lastRenderedPageBreak/>
        <w:t>Section 73.3514(a) of the Rules provides that “[e]ach application shall include all information called for by the particular form on which the application is required to be filed ....”</w:t>
      </w:r>
      <w:r w:rsidR="00E62613">
        <w:rPr>
          <w:rStyle w:val="FootnoteReference"/>
          <w:snapToGrid/>
        </w:rPr>
        <w:footnoteReference w:id="6"/>
      </w:r>
      <w:r w:rsidRPr="009E5544">
        <w:rPr>
          <w:snapToGrid/>
        </w:rPr>
        <w:t xml:space="preserve"> Section IV, Question 3 of the Form 303-S license renewal application requires licensees to certify “that the documentation, required by 47 C.F.R. Section 73.3526 ... has been placed in the station's public inspection file at the appropriate times.”</w:t>
      </w:r>
      <w:r>
        <w:rPr>
          <w:snapToGrid/>
        </w:rPr>
        <w:t xml:space="preserve"> In its renewal application, </w:t>
      </w:r>
      <w:r w:rsidR="00CB66D4">
        <w:rPr>
          <w:snapToGrid/>
        </w:rPr>
        <w:t xml:space="preserve">the </w:t>
      </w:r>
      <w:r>
        <w:rPr>
          <w:snapToGrid/>
        </w:rPr>
        <w:t xml:space="preserve">Licensee failed to </w:t>
      </w:r>
      <w:r w:rsidR="00A0786F">
        <w:rPr>
          <w:snapToGrid/>
        </w:rPr>
        <w:t>disclose</w:t>
      </w:r>
      <w:r>
        <w:rPr>
          <w:snapToGrid/>
        </w:rPr>
        <w:t xml:space="preserve"> that it filed its Children’s Television Programming Reports late. </w:t>
      </w:r>
    </w:p>
    <w:p w:rsidR="00DB53E2" w:rsidRPr="00DB53E2" w:rsidRDefault="00DB53E2" w:rsidP="0060170A">
      <w:pPr>
        <w:pStyle w:val="Heading1"/>
      </w:pPr>
      <w:r w:rsidRPr="00DB53E2">
        <w:t>DISCUSSION</w:t>
      </w:r>
    </w:p>
    <w:p w:rsidR="00DB53E2" w:rsidRPr="00DB53E2" w:rsidRDefault="00DB53E2" w:rsidP="002D1C46">
      <w:pPr>
        <w:pStyle w:val="ParaNum"/>
      </w:pPr>
      <w:r w:rsidRPr="00DB53E2">
        <w:t xml:space="preserve">The Licensee willfully and/or repeatedly violated Section 73.3526(e)(11)(iii) of the Rules by failing to file </w:t>
      </w:r>
      <w:r w:rsidR="00686D62">
        <w:t xml:space="preserve">in a timely manner five </w:t>
      </w:r>
      <w:r w:rsidRPr="00DB53E2">
        <w:t>Children’s Television Programming Report</w:t>
      </w:r>
      <w:r w:rsidR="00686D62">
        <w:t>s</w:t>
      </w:r>
      <w:r w:rsidR="002D1C46">
        <w:t xml:space="preserve"> and Section</w:t>
      </w:r>
      <w:r w:rsidR="002D1C46" w:rsidRPr="002D1C46">
        <w:rPr>
          <w:snapToGrid/>
        </w:rPr>
        <w:t>73.3514(a) of the Rules</w:t>
      </w:r>
      <w:r w:rsidR="002D1C46">
        <w:rPr>
          <w:rStyle w:val="FootnoteReference"/>
          <w:snapToGrid/>
        </w:rPr>
        <w:footnoteReference w:id="7"/>
      </w:r>
      <w:r w:rsidR="002D1C46" w:rsidRPr="002D1C46">
        <w:rPr>
          <w:snapToGrid/>
        </w:rPr>
        <w:t xml:space="preserve"> for its failure to report those late filings in its renewal application</w:t>
      </w:r>
      <w:r w:rsidR="00686D62">
        <w:t>.</w:t>
      </w:r>
      <w:r w:rsidR="0060170A">
        <w:t xml:space="preserve">  </w:t>
      </w:r>
      <w:r w:rsidRPr="00DB53E2">
        <w:t xml:space="preserve">This </w:t>
      </w:r>
      <w:r w:rsidRPr="002D1C46">
        <w:rPr>
          <w:i/>
        </w:rPr>
        <w:t>NAL</w:t>
      </w:r>
      <w:r w:rsidRPr="00DB53E2">
        <w:t xml:space="preserve"> is issued pursuant to Section 503(b)(1)(B) of the Act.  Under that provision, any person who is determined by the Commission to have “willfully or repeatedly failed to comply with any provision of the Act or any rule, regulation, or order issued by the Commission…shall be liable to the United States for a forfeiture penalty.”</w:t>
      </w:r>
      <w:r w:rsidRPr="00DB53E2">
        <w:rPr>
          <w:vertAlign w:val="superscript"/>
        </w:rPr>
        <w:footnoteReference w:id="8"/>
      </w:r>
      <w:r w:rsidRPr="00DB53E2">
        <w:t xml:space="preserve">  Section 312(f)(1) of the Act defines willful as “the conscious and deliberate commission or omission of [any] act, irrespective of any intent to violate” the law.</w:t>
      </w:r>
      <w:r w:rsidRPr="00DB53E2">
        <w:rPr>
          <w:vertAlign w:val="superscript"/>
        </w:rPr>
        <w:footnoteReference w:id="9"/>
      </w:r>
      <w:r w:rsidRPr="00DB53E2">
        <w:t xml:space="preserve">  Furthermore, the Commission has held that any inadvertent errors, oversights or failures to become familiar with Commission requirements are willful violations.</w:t>
      </w:r>
      <w:r w:rsidRPr="00DB53E2">
        <w:rPr>
          <w:vertAlign w:val="superscript"/>
        </w:rPr>
        <w:footnoteReference w:id="10"/>
      </w:r>
      <w:r w:rsidRPr="00DB53E2">
        <w:t xml:space="preserve">  The legislative history to Section 312(f)(1) of the Act clarifies that this definition of willful applies to both Sections 312 and 503(b) of the Act,</w:t>
      </w:r>
      <w:r w:rsidRPr="00DB53E2">
        <w:rPr>
          <w:vertAlign w:val="superscript"/>
        </w:rPr>
        <w:footnoteReference w:id="11"/>
      </w:r>
      <w:r w:rsidRPr="00DB53E2">
        <w:t xml:space="preserve"> and the Commission has so interpreted the term in the Section 503(b) context.</w:t>
      </w:r>
      <w:r w:rsidRPr="00DB53E2">
        <w:rPr>
          <w:vertAlign w:val="superscript"/>
        </w:rPr>
        <w:footnoteReference w:id="12"/>
      </w:r>
      <w:r w:rsidRPr="00DB53E2">
        <w:t xml:space="preserve">  Section 312(f)(2) of the Act also provides that “[t]he term ‘repeated,’ when used with reference to the commission or omission of any act, means the commission or omission of such act more than once or, if such commission or omission is continuous, for more than one day.”</w:t>
      </w:r>
      <w:r w:rsidRPr="00DB53E2">
        <w:rPr>
          <w:vertAlign w:val="superscript"/>
        </w:rPr>
        <w:footnoteReference w:id="13"/>
      </w:r>
    </w:p>
    <w:p w:rsidR="00DB53E2" w:rsidRPr="00DB53E2" w:rsidRDefault="00DB53E2" w:rsidP="0060170A">
      <w:pPr>
        <w:pStyle w:val="ParaNum"/>
      </w:pPr>
      <w:r w:rsidRPr="00DB53E2">
        <w:t>The</w:t>
      </w:r>
      <w:r w:rsidRPr="00DB53E2">
        <w:rPr>
          <w:i/>
        </w:rPr>
        <w:t xml:space="preserve"> </w:t>
      </w:r>
      <w:r w:rsidRPr="00DB53E2">
        <w:t>Commission’s</w:t>
      </w:r>
      <w:r w:rsidRPr="00DB53E2">
        <w:rPr>
          <w:i/>
        </w:rPr>
        <w:t xml:space="preserve"> Forfeiture Policy Statement</w:t>
      </w:r>
      <w:r w:rsidRPr="00DB53E2">
        <w:t xml:space="preserve"> and Section 1.80(b) of the Rules establish a base forfeiture amount of $3,000 for failure to file a required form or information.</w:t>
      </w:r>
      <w:r w:rsidRPr="00DB53E2">
        <w:rPr>
          <w:vertAlign w:val="superscript"/>
        </w:rPr>
        <w:footnoteReference w:id="14"/>
      </w:r>
      <w:r w:rsidRPr="00DB53E2">
        <w:t xml:space="preserve">  In determining the appropriate forfeiture amount, we may adjust the base amount upward or downward by considering the factors enumerated in Section 503(b)(2)(E) of the Act, including “the nature, circumstances, extent, and gravity of the violation and, with respect to the violator, the degree of culpability, any history of prior </w:t>
      </w:r>
      <w:r w:rsidRPr="00DB53E2">
        <w:lastRenderedPageBreak/>
        <w:t>offenses, ability to pay, and such other matters as justice may require.”</w:t>
      </w:r>
      <w:r w:rsidRPr="00DB53E2">
        <w:rPr>
          <w:vertAlign w:val="superscript"/>
        </w:rPr>
        <w:footnoteReference w:id="15"/>
      </w:r>
      <w:r w:rsidRPr="00DB53E2">
        <w:t xml:space="preserve">  In this case we propose a</w:t>
      </w:r>
      <w:r w:rsidR="00FD27C1">
        <w:t xml:space="preserve"> total</w:t>
      </w:r>
      <w:r w:rsidRPr="00DB53E2">
        <w:t xml:space="preserve"> forfeiture in the amount of $6,000</w:t>
      </w:r>
      <w:r w:rsidR="00FD27C1">
        <w:t>—$3,000</w:t>
      </w:r>
      <w:r w:rsidRPr="00DB53E2">
        <w:t xml:space="preserve"> for the Licensee’s failure to file </w:t>
      </w:r>
      <w:r w:rsidR="00EF2884">
        <w:t>five</w:t>
      </w:r>
      <w:r w:rsidRPr="00DB53E2">
        <w:t xml:space="preserve"> Children’s Television Programming Report</w:t>
      </w:r>
      <w:r w:rsidR="00EF2884">
        <w:t>s</w:t>
      </w:r>
      <w:r w:rsidRPr="00DB53E2">
        <w:t xml:space="preserve"> in a timely manner, in apparent willful and/or repeated violation of Section 73.3526(e)(11)(iii) of the Rules</w:t>
      </w:r>
      <w:r w:rsidR="00FD27C1">
        <w:t xml:space="preserve">, and $3,000 for Licensee’s </w:t>
      </w:r>
      <w:r w:rsidR="00FD27C1" w:rsidRPr="00B6374A">
        <w:rPr>
          <w:snapToGrid/>
        </w:rPr>
        <w:t xml:space="preserve">failure to report those late filings in its </w:t>
      </w:r>
      <w:r w:rsidR="00FD27C1">
        <w:rPr>
          <w:snapToGrid/>
        </w:rPr>
        <w:t>renewal application, in</w:t>
      </w:r>
      <w:r w:rsidR="00FD27C1" w:rsidRPr="00FD27C1">
        <w:t xml:space="preserve"> </w:t>
      </w:r>
      <w:r w:rsidR="00FD27C1" w:rsidRPr="00DB53E2">
        <w:t>apparent willful and/or repeated violation of Section</w:t>
      </w:r>
      <w:r w:rsidR="00FD27C1">
        <w:t xml:space="preserve"> 73.3514(a) of the Rules</w:t>
      </w:r>
      <w:r w:rsidRPr="00DB53E2">
        <w:t xml:space="preserve">.  </w:t>
      </w:r>
    </w:p>
    <w:p w:rsidR="00DB53E2" w:rsidRPr="00DB53E2" w:rsidRDefault="00DB53E2" w:rsidP="0060170A">
      <w:pPr>
        <w:pStyle w:val="Heading1"/>
      </w:pPr>
      <w:r w:rsidRPr="00DB53E2">
        <w:t>ORDERING CLAUSES</w:t>
      </w:r>
    </w:p>
    <w:p w:rsidR="00DB53E2" w:rsidRPr="00DB53E2" w:rsidRDefault="00DB53E2" w:rsidP="0060170A">
      <w:pPr>
        <w:pStyle w:val="ParaNum"/>
      </w:pPr>
      <w:r w:rsidRPr="00DB53E2">
        <w:t xml:space="preserve">Accordingly, </w:t>
      </w:r>
      <w:r w:rsidRPr="00DB53E2">
        <w:rPr>
          <w:b/>
        </w:rPr>
        <w:t>IT IS ORDERED</w:t>
      </w:r>
      <w:r w:rsidRPr="00DB53E2">
        <w:t xml:space="preserve">, pursuant to Section 503(b) of the Communications Act of 1934, as amended, and Section 1.80 of the Commission’s Rules, that </w:t>
      </w:r>
      <w:r w:rsidR="00111A05">
        <w:t>NPG of Idaho, Inc.</w:t>
      </w:r>
      <w:r w:rsidRPr="00DB53E2">
        <w:t xml:space="preserve"> is hereby </w:t>
      </w:r>
      <w:r w:rsidRPr="00DB53E2">
        <w:rPr>
          <w:b/>
        </w:rPr>
        <w:t>NOTIFIED</w:t>
      </w:r>
      <w:r w:rsidRPr="00DB53E2">
        <w:t xml:space="preserve"> of its </w:t>
      </w:r>
      <w:r w:rsidRPr="00DB53E2">
        <w:rPr>
          <w:b/>
        </w:rPr>
        <w:t>APPARENT LIABILITY FOR FORFEITURE</w:t>
      </w:r>
      <w:r w:rsidRPr="00DB53E2">
        <w:t xml:space="preserve"> in the amount of Six Thousand Dollars ($6,000) for its apparent willful and/or repeated violation of Section</w:t>
      </w:r>
      <w:r w:rsidR="001E2E9D">
        <w:t>s</w:t>
      </w:r>
      <w:r w:rsidRPr="00DB53E2">
        <w:t xml:space="preserve"> 73.3526(e)(11)(iii) </w:t>
      </w:r>
      <w:r w:rsidR="001E2E9D">
        <w:t>and 73.3514(a) of the Rules</w:t>
      </w:r>
      <w:r w:rsidR="001E2E9D" w:rsidRPr="00DB53E2">
        <w:t xml:space="preserve">.  </w:t>
      </w:r>
    </w:p>
    <w:p w:rsidR="00DB53E2" w:rsidRPr="00DB53E2" w:rsidRDefault="00DB53E2" w:rsidP="0060170A">
      <w:pPr>
        <w:pStyle w:val="ParaNum"/>
      </w:pPr>
      <w:r w:rsidRPr="00DB53E2">
        <w:rPr>
          <w:b/>
        </w:rPr>
        <w:t>IT IS FURTHER ORDERED</w:t>
      </w:r>
      <w:r w:rsidRPr="00DB53E2">
        <w:t xml:space="preserve">, pursuant to Section 1.80 of the Commission’s Rules, that within thirty (30) days of the release date of this </w:t>
      </w:r>
      <w:r w:rsidRPr="00DB53E2">
        <w:rPr>
          <w:i/>
        </w:rPr>
        <w:t>NAL,</w:t>
      </w:r>
      <w:r w:rsidRPr="00DB53E2">
        <w:t xml:space="preserve"> </w:t>
      </w:r>
      <w:r w:rsidR="00111A05">
        <w:t>NPG of Idaho, Inc.</w:t>
      </w:r>
      <w:r w:rsidRPr="00DB53E2">
        <w:t xml:space="preserve"> </w:t>
      </w:r>
      <w:r w:rsidRPr="00DB53E2">
        <w:rPr>
          <w:b/>
        </w:rPr>
        <w:t>SHALL</w:t>
      </w:r>
      <w:r w:rsidRPr="00DB53E2">
        <w:t xml:space="preserve"> </w:t>
      </w:r>
      <w:r w:rsidRPr="00DB53E2">
        <w:rPr>
          <w:b/>
        </w:rPr>
        <w:t>PAY</w:t>
      </w:r>
      <w:r w:rsidRPr="00DB53E2">
        <w:t xml:space="preserve"> the full amount of the proposed forfeiture or </w:t>
      </w:r>
      <w:r w:rsidRPr="00DB53E2">
        <w:rPr>
          <w:b/>
        </w:rPr>
        <w:t>SHALL FILE</w:t>
      </w:r>
      <w:r w:rsidRPr="00DB53E2">
        <w:t xml:space="preserve"> a written statement seeking reduction or cancellation of the proposed forfeiture.  </w:t>
      </w:r>
    </w:p>
    <w:p w:rsidR="00DB53E2" w:rsidRPr="00DB53E2" w:rsidRDefault="00DB53E2" w:rsidP="0060170A">
      <w:pPr>
        <w:pStyle w:val="ParaNum"/>
      </w:pPr>
      <w:r w:rsidRPr="00DB53E2">
        <w:t xml:space="preserve">Payment of the proposed forfeiture must be made by check or similar instrument, payable to the order of the Federal Communications Commission.  The payment must include the NAL/Acct. No. and FRN No. referenced in the caption above.  Payment by check or money order may be mailed to Federal Communications Commission, at P.O. Box 979088, St. Louis, MO  63197-9000.  Payment by overnight mail may be sent to U.S. Bank-Government Lockbox #979088, SL-MO-C2-GL, 1005 Convention Plaza, St. Louis, MO  63101.  Payment by wire transfer may be made to ABA Number 021030004, receiving bank: TREAS NYC, BNF: FCC/ACV--27000001 and account number as expressed on the remittance instrument.  If completing the FCC Form 159, enter the NAL/Account number in block number 23A (call sign/other ID), and enter the letters “FORF” in block number 24A (payment type code).  </w:t>
      </w:r>
    </w:p>
    <w:p w:rsidR="00DB53E2" w:rsidRPr="00DB53E2" w:rsidRDefault="00DB53E2" w:rsidP="0060170A">
      <w:pPr>
        <w:pStyle w:val="ParaNum"/>
      </w:pPr>
      <w:r w:rsidRPr="00DB53E2">
        <w:t xml:space="preserve"> The response, if any, must be mailed to Office of the Secretary, Federal Communications Commission, 445 12</w:t>
      </w:r>
      <w:r w:rsidRPr="00DB53E2">
        <w:rPr>
          <w:vertAlign w:val="superscript"/>
        </w:rPr>
        <w:t>th</w:t>
      </w:r>
      <w:r w:rsidRPr="00DB53E2">
        <w:t xml:space="preserve"> Street, S.W., Washington, D.C. 20554, ATTN:  Alison L. Nemeth, </w:t>
      </w:r>
      <w:r w:rsidR="004C1CF5">
        <w:t xml:space="preserve">Attorney-Advisor, </w:t>
      </w:r>
      <w:r w:rsidRPr="00DB53E2">
        <w:t xml:space="preserve">Video Division, Media Bureau, and </w:t>
      </w:r>
      <w:r w:rsidRPr="00DB53E2">
        <w:rPr>
          <w:b/>
        </w:rPr>
        <w:t>MUST INCLUDE</w:t>
      </w:r>
      <w:r w:rsidRPr="00DB53E2">
        <w:t xml:space="preserve"> the NAL/Acct. No. referenced above.</w:t>
      </w:r>
    </w:p>
    <w:p w:rsidR="00DB53E2" w:rsidRPr="00DB53E2" w:rsidRDefault="00DB53E2" w:rsidP="0060170A">
      <w:pPr>
        <w:pStyle w:val="ParaNum"/>
      </w:pPr>
      <w:r w:rsidRPr="00DB53E2">
        <w:t>The Commission will not consider reducing or canceling a forfeiture in response to a claim of inability to pay unless the respondent submits: (1) federal tax returns for the most recent three-year period; (2) financial statements prepared according to generally accepted accounting principles (“GAAP”); or (3) some other reliable and objective documentation that accurately reflects the respondent’s current financial status.  Any claim of inability to pay must specifically identify the basis for the claim by reference to the financial documentation submitted.</w:t>
      </w:r>
      <w:r w:rsidRPr="00DB53E2">
        <w:rPr>
          <w:vertAlign w:val="superscript"/>
        </w:rPr>
        <w:footnoteReference w:id="16"/>
      </w:r>
      <w:r w:rsidRPr="00DB53E2">
        <w:t xml:space="preserve"> </w:t>
      </w:r>
    </w:p>
    <w:p w:rsidR="00DB53E2" w:rsidRPr="00DB53E2" w:rsidRDefault="00DB53E2" w:rsidP="0060170A">
      <w:pPr>
        <w:pStyle w:val="ParaNum"/>
      </w:pPr>
      <w:r w:rsidRPr="00DB53E2">
        <w:t xml:space="preserve">Requests for full payment of the forfeiture proposed in this </w:t>
      </w:r>
      <w:r w:rsidRPr="00DB53E2">
        <w:rPr>
          <w:i/>
        </w:rPr>
        <w:t>NAL</w:t>
      </w:r>
      <w:r w:rsidRPr="00DB53E2">
        <w:t xml:space="preserve"> under the installment plan should be sent to: Associate Managing Director--Financial Operations, 445 12th Street, S.W., Room 1-A625, Washington, D.C. 20554.</w:t>
      </w:r>
      <w:r w:rsidRPr="00DB53E2">
        <w:rPr>
          <w:vertAlign w:val="superscript"/>
        </w:rPr>
        <w:footnoteReference w:id="17"/>
      </w:r>
    </w:p>
    <w:p w:rsidR="00DB53E2" w:rsidRPr="00DB53E2" w:rsidRDefault="00DB53E2" w:rsidP="005F6BE7">
      <w:pPr>
        <w:pStyle w:val="ParaNum"/>
        <w:widowControl/>
      </w:pPr>
      <w:r w:rsidRPr="00DB53E2">
        <w:rPr>
          <w:b/>
        </w:rPr>
        <w:t>IT IS FURTHER ORDERED</w:t>
      </w:r>
      <w:r w:rsidRPr="00DB53E2">
        <w:t xml:space="preserve"> that copies of this </w:t>
      </w:r>
      <w:r w:rsidRPr="00DB53E2">
        <w:rPr>
          <w:i/>
        </w:rPr>
        <w:t>NAL</w:t>
      </w:r>
      <w:r w:rsidRPr="00DB53E2">
        <w:t xml:space="preserve"> shall be sent, by First Class and Certified Mail, Return Receipt Requested, to </w:t>
      </w:r>
      <w:r w:rsidR="00DA3EA3" w:rsidRPr="00C449F5">
        <w:t>NPG of Idaho, Inc.</w:t>
      </w:r>
      <w:r w:rsidRPr="00DB53E2">
        <w:t xml:space="preserve">, </w:t>
      </w:r>
      <w:r w:rsidR="00C449F5" w:rsidRPr="00C449F5">
        <w:rPr>
          <w:color w:val="111111"/>
          <w:lang w:val="en"/>
        </w:rPr>
        <w:t>825 Edmond Street</w:t>
      </w:r>
      <w:r w:rsidR="00C449F5" w:rsidRPr="00C449F5">
        <w:rPr>
          <w:color w:val="111111"/>
          <w:lang w:val="en"/>
        </w:rPr>
        <w:br/>
      </w:r>
      <w:r w:rsidR="00C449F5" w:rsidRPr="00C449F5">
        <w:rPr>
          <w:color w:val="111111"/>
          <w:lang w:val="en"/>
        </w:rPr>
        <w:lastRenderedPageBreak/>
        <w:t>St. Joseph, Missouri 64501</w:t>
      </w:r>
      <w:r w:rsidRPr="00DB53E2">
        <w:t xml:space="preserve">, and to its counsel, </w:t>
      </w:r>
      <w:r w:rsidR="00DA3EA3" w:rsidRPr="00C449F5">
        <w:t>Elizabeth Spainhour</w:t>
      </w:r>
      <w:r w:rsidRPr="00DB53E2">
        <w:t xml:space="preserve">, Esq., </w:t>
      </w:r>
      <w:r w:rsidR="00DA3EA3" w:rsidRPr="00C449F5">
        <w:t>Brooks Pierce</w:t>
      </w:r>
      <w:r w:rsidRPr="00DB53E2">
        <w:t xml:space="preserve">, </w:t>
      </w:r>
      <w:r w:rsidR="00DA3EA3" w:rsidRPr="00C449F5">
        <w:t>1600 Wells Fargo Capitol Center, 150 Fayetteville Street, Raleigh, North Carolina 27601.</w:t>
      </w:r>
    </w:p>
    <w:p w:rsidR="0060170A" w:rsidRDefault="00DB53E2" w:rsidP="005F6BE7">
      <w:pPr>
        <w:widowControl/>
        <w:tabs>
          <w:tab w:val="left" w:pos="0"/>
        </w:tabs>
        <w:suppressAutoHyphens/>
        <w:jc w:val="both"/>
      </w:pPr>
      <w:r w:rsidRPr="00DB53E2">
        <w:tab/>
      </w:r>
      <w:r w:rsidRPr="00DB53E2">
        <w:tab/>
      </w:r>
      <w:r w:rsidRPr="00DB53E2">
        <w:tab/>
      </w:r>
      <w:r w:rsidRPr="00DB53E2">
        <w:tab/>
      </w:r>
      <w:r w:rsidRPr="00DB53E2">
        <w:tab/>
      </w:r>
      <w:r w:rsidRPr="00DB53E2">
        <w:tab/>
      </w:r>
    </w:p>
    <w:p w:rsidR="00DB53E2" w:rsidRPr="00DB53E2" w:rsidRDefault="0060170A" w:rsidP="005F6BE7">
      <w:pPr>
        <w:widowControl/>
        <w:tabs>
          <w:tab w:val="left" w:pos="0"/>
        </w:tabs>
        <w:suppressAutoHyphens/>
        <w:jc w:val="both"/>
      </w:pPr>
      <w:r>
        <w:tab/>
      </w:r>
      <w:r>
        <w:tab/>
      </w:r>
      <w:r>
        <w:tab/>
      </w:r>
      <w:r>
        <w:tab/>
      </w:r>
      <w:r>
        <w:tab/>
      </w:r>
      <w:r>
        <w:tab/>
      </w:r>
      <w:r w:rsidR="00DB53E2" w:rsidRPr="00DB53E2">
        <w:t>FEDERAL COMMUNICATIONS COMMISSION</w:t>
      </w:r>
    </w:p>
    <w:p w:rsidR="00DB53E2" w:rsidRPr="00DB53E2" w:rsidRDefault="00DB53E2" w:rsidP="005F6BE7">
      <w:pPr>
        <w:widowControl/>
        <w:tabs>
          <w:tab w:val="left" w:pos="0"/>
        </w:tabs>
        <w:suppressAutoHyphens/>
        <w:jc w:val="both"/>
      </w:pPr>
    </w:p>
    <w:p w:rsidR="00DB53E2" w:rsidRPr="00DB53E2" w:rsidRDefault="00DB53E2" w:rsidP="005F6BE7">
      <w:pPr>
        <w:widowControl/>
        <w:ind w:firstLine="720"/>
        <w:jc w:val="both"/>
      </w:pPr>
    </w:p>
    <w:p w:rsidR="00DB53E2" w:rsidRPr="00DB53E2" w:rsidRDefault="00DB53E2" w:rsidP="005F6BE7">
      <w:pPr>
        <w:widowControl/>
        <w:tabs>
          <w:tab w:val="left" w:pos="0"/>
        </w:tabs>
        <w:suppressAutoHyphens/>
        <w:jc w:val="both"/>
      </w:pPr>
      <w:r w:rsidRPr="00DB53E2">
        <w:tab/>
      </w:r>
      <w:r w:rsidRPr="00DB53E2">
        <w:tab/>
      </w:r>
      <w:r w:rsidRPr="00DB53E2">
        <w:tab/>
      </w:r>
      <w:r w:rsidRPr="00DB53E2">
        <w:tab/>
      </w:r>
      <w:r w:rsidRPr="00DB53E2">
        <w:tab/>
      </w:r>
      <w:r w:rsidRPr="00DB53E2">
        <w:tab/>
      </w:r>
      <w:r w:rsidRPr="00DB53E2">
        <w:tab/>
      </w:r>
    </w:p>
    <w:p w:rsidR="00DB53E2" w:rsidRPr="00DB53E2" w:rsidRDefault="00DB53E2" w:rsidP="005F6BE7">
      <w:pPr>
        <w:widowControl/>
        <w:tabs>
          <w:tab w:val="left" w:pos="0"/>
        </w:tabs>
        <w:suppressAutoHyphens/>
        <w:jc w:val="both"/>
      </w:pPr>
      <w:r w:rsidRPr="00DB53E2">
        <w:tab/>
      </w:r>
      <w:r w:rsidRPr="00DB53E2">
        <w:tab/>
      </w:r>
      <w:r w:rsidRPr="00DB53E2">
        <w:tab/>
      </w:r>
      <w:r w:rsidRPr="00DB53E2">
        <w:tab/>
      </w:r>
      <w:r w:rsidRPr="00DB53E2">
        <w:tab/>
      </w:r>
      <w:r w:rsidRPr="00DB53E2">
        <w:tab/>
        <w:t>Barbara A. Kreisman</w:t>
      </w:r>
    </w:p>
    <w:p w:rsidR="00DB53E2" w:rsidRPr="00DB53E2" w:rsidRDefault="00DB53E2" w:rsidP="005F6BE7">
      <w:pPr>
        <w:widowControl/>
        <w:tabs>
          <w:tab w:val="left" w:pos="0"/>
        </w:tabs>
        <w:suppressAutoHyphens/>
        <w:jc w:val="both"/>
      </w:pPr>
      <w:r w:rsidRPr="00DB53E2">
        <w:tab/>
      </w:r>
      <w:r w:rsidRPr="00DB53E2">
        <w:tab/>
      </w:r>
      <w:r w:rsidRPr="00DB53E2">
        <w:tab/>
      </w:r>
      <w:r w:rsidRPr="00DB53E2">
        <w:tab/>
      </w:r>
      <w:r w:rsidRPr="00DB53E2">
        <w:tab/>
      </w:r>
      <w:r w:rsidRPr="00DB53E2">
        <w:tab/>
        <w:t>Chief, Video Division</w:t>
      </w:r>
    </w:p>
    <w:p w:rsidR="002518E3" w:rsidRDefault="00DB53E2" w:rsidP="005F6BE7">
      <w:pPr>
        <w:widowControl/>
        <w:tabs>
          <w:tab w:val="left" w:pos="0"/>
        </w:tabs>
        <w:suppressAutoHyphens/>
        <w:jc w:val="both"/>
      </w:pPr>
      <w:r w:rsidRPr="00DB53E2">
        <w:tab/>
      </w:r>
      <w:r w:rsidRPr="00DB53E2">
        <w:tab/>
      </w:r>
      <w:r w:rsidRPr="00DB53E2">
        <w:tab/>
      </w:r>
      <w:r w:rsidRPr="00DB53E2">
        <w:tab/>
      </w:r>
      <w:r w:rsidRPr="00DB53E2">
        <w:tab/>
      </w:r>
      <w:r w:rsidRPr="00DB53E2">
        <w:tab/>
      </w:r>
      <w:r w:rsidR="0060170A">
        <w:t>Media Bureau</w:t>
      </w:r>
    </w:p>
    <w:sectPr w:rsidR="002518E3" w:rsidSect="005F6BE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ECE" w:rsidRDefault="005B0ECE" w:rsidP="00DB53E2">
      <w:r>
        <w:separator/>
      </w:r>
    </w:p>
  </w:endnote>
  <w:endnote w:type="continuationSeparator" w:id="0">
    <w:p w:rsidR="005B0ECE" w:rsidRDefault="005B0ECE" w:rsidP="00DB5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D92" w:rsidRDefault="006017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C6D92" w:rsidRDefault="00795CD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D92" w:rsidRDefault="006017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95CDA">
      <w:rPr>
        <w:rStyle w:val="PageNumber"/>
        <w:noProof/>
      </w:rPr>
      <w:t>4</w:t>
    </w:r>
    <w:r>
      <w:rPr>
        <w:rStyle w:val="PageNumber"/>
      </w:rPr>
      <w:fldChar w:fldCharType="end"/>
    </w:r>
  </w:p>
  <w:p w:rsidR="009C6D92" w:rsidRDefault="00795CDA">
    <w:pPr>
      <w:pStyle w:val="Footer"/>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736" w:rsidRDefault="000C57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ECE" w:rsidRDefault="005B0ECE" w:rsidP="00DB53E2">
      <w:r>
        <w:separator/>
      </w:r>
    </w:p>
  </w:footnote>
  <w:footnote w:type="continuationSeparator" w:id="0">
    <w:p w:rsidR="005B0ECE" w:rsidRDefault="005B0ECE" w:rsidP="00DB53E2">
      <w:r>
        <w:continuationSeparator/>
      </w:r>
    </w:p>
  </w:footnote>
  <w:footnote w:id="1">
    <w:p w:rsidR="00DB53E2" w:rsidRPr="00C34D4C" w:rsidRDefault="00DB53E2" w:rsidP="00C34D4C">
      <w:pPr>
        <w:pStyle w:val="FootnoteText"/>
      </w:pPr>
      <w:r w:rsidRPr="00C34D4C">
        <w:rPr>
          <w:rStyle w:val="FootnoteReference"/>
        </w:rPr>
        <w:footnoteRef/>
      </w:r>
      <w:r w:rsidRPr="00C34D4C">
        <w:t xml:space="preserve"> 47 U.S.C. § 503(b); 47 C.F.R. § 1.80.</w:t>
      </w:r>
    </w:p>
  </w:footnote>
  <w:footnote w:id="2">
    <w:p w:rsidR="00DB53E2" w:rsidRPr="00C34D4C" w:rsidRDefault="00DB53E2" w:rsidP="00C34D4C">
      <w:pPr>
        <w:pStyle w:val="FootnoteText"/>
      </w:pPr>
      <w:r w:rsidRPr="00C34D4C">
        <w:rPr>
          <w:rStyle w:val="FootnoteReference"/>
        </w:rPr>
        <w:footnoteRef/>
      </w:r>
      <w:r w:rsidRPr="00C34D4C">
        <w:t xml:space="preserve"> 47 C.F.R. § 73.3526(e)(11)(iii).</w:t>
      </w:r>
    </w:p>
  </w:footnote>
  <w:footnote w:id="3">
    <w:p w:rsidR="00977589" w:rsidRDefault="00977589">
      <w:pPr>
        <w:pStyle w:val="FootnoteText"/>
      </w:pPr>
      <w:r>
        <w:rPr>
          <w:rStyle w:val="FootnoteReference"/>
        </w:rPr>
        <w:footnoteRef/>
      </w:r>
      <w:r>
        <w:t xml:space="preserve"> 47 C.F.R. § 73.3514(a). </w:t>
      </w:r>
    </w:p>
  </w:footnote>
  <w:footnote w:id="4">
    <w:p w:rsidR="00DB53E2" w:rsidRPr="00C34D4C" w:rsidRDefault="00DB53E2" w:rsidP="00C34D4C">
      <w:pPr>
        <w:pStyle w:val="FootnoteText"/>
      </w:pPr>
      <w:r w:rsidRPr="00C34D4C">
        <w:rPr>
          <w:rStyle w:val="FootnoteReference"/>
        </w:rPr>
        <w:footnoteRef/>
      </w:r>
      <w:r w:rsidRPr="00C34D4C">
        <w:t xml:space="preserve"> 47 C.F.R. § 73.3526(e)(11)(iii).</w:t>
      </w:r>
    </w:p>
  </w:footnote>
  <w:footnote w:id="5">
    <w:p w:rsidR="00DB53E2" w:rsidRPr="00C34D4C" w:rsidRDefault="00DB53E2" w:rsidP="00C34D4C">
      <w:pPr>
        <w:pStyle w:val="FootnoteText"/>
      </w:pPr>
      <w:r w:rsidRPr="00C34D4C">
        <w:rPr>
          <w:rStyle w:val="FootnoteReference"/>
        </w:rPr>
        <w:footnoteRef/>
      </w:r>
      <w:r w:rsidR="00686D62" w:rsidRPr="00C34D4C">
        <w:t xml:space="preserve"> </w:t>
      </w:r>
      <w:r w:rsidRPr="00C34D4C">
        <w:t xml:space="preserve">Licensee filed its Children’s Television Programming Reports late for the </w:t>
      </w:r>
      <w:r w:rsidR="00686D62" w:rsidRPr="00C34D4C">
        <w:t xml:space="preserve">third quarter of 2006, the fourth quarter of 2006, the first quarter of 2007, the second quarter of 2007 and the first quarter of 2010. </w:t>
      </w:r>
    </w:p>
  </w:footnote>
  <w:footnote w:id="6">
    <w:p w:rsidR="00E62613" w:rsidRDefault="00E62613">
      <w:pPr>
        <w:pStyle w:val="FootnoteText"/>
      </w:pPr>
      <w:r>
        <w:rPr>
          <w:rStyle w:val="FootnoteReference"/>
        </w:rPr>
        <w:footnoteRef/>
      </w:r>
      <w:r>
        <w:t xml:space="preserve"> 47 C.F.R. </w:t>
      </w:r>
      <w:r w:rsidRPr="00C34D4C">
        <w:t>§ 73.</w:t>
      </w:r>
      <w:r>
        <w:t xml:space="preserve">3514(a). </w:t>
      </w:r>
    </w:p>
  </w:footnote>
  <w:footnote w:id="7">
    <w:p w:rsidR="002D1C46" w:rsidRDefault="002D1C46" w:rsidP="002D1C46">
      <w:pPr>
        <w:pStyle w:val="FootnoteText"/>
      </w:pPr>
      <w:r>
        <w:rPr>
          <w:rStyle w:val="FootnoteReference"/>
        </w:rPr>
        <w:footnoteRef/>
      </w:r>
      <w:r>
        <w:t xml:space="preserve"> 47 C.F.R. § 73.3514(a). </w:t>
      </w:r>
    </w:p>
  </w:footnote>
  <w:footnote w:id="8">
    <w:p w:rsidR="00DB53E2" w:rsidRPr="00C34D4C" w:rsidRDefault="00DB53E2" w:rsidP="00C34D4C">
      <w:pPr>
        <w:pStyle w:val="FootnoteText"/>
      </w:pPr>
      <w:r w:rsidRPr="00C34D4C">
        <w:rPr>
          <w:rStyle w:val="FootnoteReference"/>
        </w:rPr>
        <w:footnoteRef/>
      </w:r>
      <w:r w:rsidRPr="00C34D4C">
        <w:t xml:space="preserve"> 47 U.S.C. § 503(b)(1)(B); s</w:t>
      </w:r>
      <w:r w:rsidRPr="00C34D4C">
        <w:rPr>
          <w:i/>
          <w:iCs/>
        </w:rPr>
        <w:t>ee also</w:t>
      </w:r>
      <w:r w:rsidRPr="00C34D4C">
        <w:t xml:space="preserve"> 47 C.F.R. § 1.80(a)(1).</w:t>
      </w:r>
    </w:p>
  </w:footnote>
  <w:footnote w:id="9">
    <w:p w:rsidR="00DB53E2" w:rsidRPr="00C34D4C" w:rsidRDefault="00DB53E2" w:rsidP="00C34D4C">
      <w:pPr>
        <w:pStyle w:val="FootnoteText"/>
      </w:pPr>
      <w:r w:rsidRPr="00C34D4C">
        <w:rPr>
          <w:rStyle w:val="FootnoteReference"/>
        </w:rPr>
        <w:footnoteRef/>
      </w:r>
      <w:r w:rsidRPr="00C34D4C">
        <w:t xml:space="preserve"> 47 U.S.C. § 312(f)(1); </w:t>
      </w:r>
      <w:r w:rsidRPr="00C34D4C">
        <w:rPr>
          <w:i/>
        </w:rPr>
        <w:t>See</w:t>
      </w:r>
      <w:r w:rsidRPr="00C34D4C">
        <w:t xml:space="preserve"> </w:t>
      </w:r>
      <w:r w:rsidRPr="00C34D4C">
        <w:rPr>
          <w:i/>
        </w:rPr>
        <w:t>Southern California Broadcasting Co.</w:t>
      </w:r>
      <w:r w:rsidRPr="00C34D4C">
        <w:t>, Memorandum Opinion and Order, 6 FCC Rcd 4387, 4388 (1991), recons. denied, 7 FCC Rcd 3454 (1992) (“</w:t>
      </w:r>
      <w:r w:rsidRPr="00C34D4C">
        <w:rPr>
          <w:i/>
        </w:rPr>
        <w:t>Southern California</w:t>
      </w:r>
      <w:r w:rsidRPr="00C34D4C">
        <w:t>”) (stating that “Commission interpretations of “willful” do not require licensee intent to engage in a violation”).</w:t>
      </w:r>
    </w:p>
  </w:footnote>
  <w:footnote w:id="10">
    <w:p w:rsidR="00DB53E2" w:rsidRPr="00C34D4C" w:rsidRDefault="00DB53E2" w:rsidP="00C34D4C">
      <w:pPr>
        <w:pStyle w:val="FootnoteText"/>
      </w:pPr>
      <w:r w:rsidRPr="00C34D4C">
        <w:rPr>
          <w:rStyle w:val="FootnoteReference"/>
        </w:rPr>
        <w:footnoteRef/>
      </w:r>
      <w:r w:rsidRPr="00C34D4C">
        <w:t xml:space="preserve"> </w:t>
      </w:r>
      <w:r w:rsidRPr="00C34D4C">
        <w:rPr>
          <w:i/>
        </w:rPr>
        <w:t>See</w:t>
      </w:r>
      <w:r w:rsidRPr="00C34D4C">
        <w:t xml:space="preserve"> </w:t>
      </w:r>
      <w:r w:rsidRPr="00C34D4C">
        <w:rPr>
          <w:i/>
        </w:rPr>
        <w:t>PJB Communications of Virginia, Inc.</w:t>
      </w:r>
      <w:r w:rsidRPr="00C34D4C">
        <w:t xml:space="preserve">, Memorandum Opinion and Order 7 FCC Rcd 2088 (1992) (asserting that "[t]he fact that a licensee's violation occurred through inadvertence does not prevent it from being willful. It is not necessary that the violation be intentional”); </w:t>
      </w:r>
      <w:r w:rsidRPr="00C34D4C">
        <w:rPr>
          <w:i/>
        </w:rPr>
        <w:t>see also</w:t>
      </w:r>
      <w:r w:rsidRPr="00C34D4C">
        <w:t xml:space="preserve"> </w:t>
      </w:r>
      <w:r w:rsidRPr="00C34D4C">
        <w:rPr>
          <w:i/>
        </w:rPr>
        <w:t>Southern California</w:t>
      </w:r>
      <w:r w:rsidRPr="00C34D4C">
        <w:t xml:space="preserve">, 6 FCC Rcd at 4387 (finding that “inadvertence ... is at best, ignorance of the law, which the Commission does not consider a mitigating circumstance”); </w:t>
      </w:r>
      <w:r w:rsidRPr="00C34D4C">
        <w:rPr>
          <w:i/>
        </w:rPr>
        <w:t>Standard Communications Corp.</w:t>
      </w:r>
      <w:r w:rsidRPr="00C34D4C">
        <w:t>, Memorandum Opinion and Order, 1 FCC Rcd 358 (1986) (stating that “employee acts or omissions, such as clerical errors in failing to file required forms, do not excuse violations”).</w:t>
      </w:r>
    </w:p>
  </w:footnote>
  <w:footnote w:id="11">
    <w:p w:rsidR="00DB53E2" w:rsidRPr="00C34D4C" w:rsidRDefault="00DB53E2" w:rsidP="00C34D4C">
      <w:pPr>
        <w:pStyle w:val="FootnoteText"/>
      </w:pPr>
      <w:r w:rsidRPr="00C34D4C">
        <w:rPr>
          <w:rStyle w:val="FootnoteReference"/>
        </w:rPr>
        <w:footnoteRef/>
      </w:r>
      <w:r w:rsidRPr="00C34D4C">
        <w:rPr>
          <w:i/>
        </w:rPr>
        <w:t xml:space="preserve"> See</w:t>
      </w:r>
      <w:r w:rsidRPr="00C34D4C">
        <w:t xml:space="preserve"> H.R. Rep. No. 97-765, 97</w:t>
      </w:r>
      <w:r w:rsidRPr="00C34D4C">
        <w:rPr>
          <w:vertAlign w:val="superscript"/>
        </w:rPr>
        <w:t>th</w:t>
      </w:r>
      <w:r w:rsidRPr="00C34D4C">
        <w:t xml:space="preserve"> Cong. 2d Sess. 51 (1982).</w:t>
      </w:r>
    </w:p>
  </w:footnote>
  <w:footnote w:id="12">
    <w:p w:rsidR="00DB53E2" w:rsidRPr="00C34D4C" w:rsidRDefault="00DB53E2" w:rsidP="00C34D4C">
      <w:pPr>
        <w:pStyle w:val="FootnoteText"/>
      </w:pPr>
      <w:r w:rsidRPr="00C34D4C">
        <w:rPr>
          <w:rStyle w:val="FootnoteReference"/>
        </w:rPr>
        <w:footnoteRef/>
      </w:r>
      <w:r w:rsidRPr="00C34D4C">
        <w:rPr>
          <w:i/>
          <w:iCs/>
        </w:rPr>
        <w:t xml:space="preserve"> See Southern California, </w:t>
      </w:r>
      <w:r w:rsidRPr="00C34D4C">
        <w:t>6 FCC Rcd at 4388.</w:t>
      </w:r>
    </w:p>
  </w:footnote>
  <w:footnote w:id="13">
    <w:p w:rsidR="00DB53E2" w:rsidRPr="00C34D4C" w:rsidRDefault="00DB53E2" w:rsidP="00C34D4C">
      <w:pPr>
        <w:pStyle w:val="PlainText"/>
        <w:spacing w:after="120"/>
        <w:jc w:val="both"/>
        <w:rPr>
          <w:rFonts w:ascii="Times New Roman" w:hAnsi="Times New Roman" w:cs="Times New Roman"/>
          <w:sz w:val="20"/>
          <w:szCs w:val="20"/>
        </w:rPr>
      </w:pPr>
      <w:r w:rsidRPr="00C34D4C">
        <w:rPr>
          <w:rStyle w:val="FootnoteReference"/>
          <w:rFonts w:cs="Times New Roman"/>
          <w:szCs w:val="20"/>
        </w:rPr>
        <w:footnoteRef/>
      </w:r>
      <w:r w:rsidRPr="00C34D4C">
        <w:rPr>
          <w:rFonts w:ascii="Times New Roman" w:hAnsi="Times New Roman" w:cs="Times New Roman"/>
          <w:sz w:val="20"/>
          <w:szCs w:val="20"/>
        </w:rPr>
        <w:t xml:space="preserve"> 47 U.S.C. § 312(f)(2); </w:t>
      </w:r>
      <w:r w:rsidRPr="00C34D4C">
        <w:rPr>
          <w:rFonts w:ascii="Times New Roman" w:hAnsi="Times New Roman" w:cs="Times New Roman"/>
          <w:i/>
          <w:sz w:val="20"/>
          <w:szCs w:val="20"/>
        </w:rPr>
        <w:t>see also Callais Cablevision, Inc.</w:t>
      </w:r>
      <w:r w:rsidRPr="00C34D4C">
        <w:rPr>
          <w:rFonts w:ascii="Times New Roman" w:hAnsi="Times New Roman" w:cs="Times New Roman"/>
          <w:sz w:val="20"/>
          <w:szCs w:val="20"/>
        </w:rPr>
        <w:t>, Notice of Apparent Liability for Forfeiture, 16 FCC Rcd 1359, 1362 (2001).</w:t>
      </w:r>
    </w:p>
  </w:footnote>
  <w:footnote w:id="14">
    <w:p w:rsidR="00DB53E2" w:rsidRPr="00C34D4C" w:rsidRDefault="00DB53E2" w:rsidP="00C34D4C">
      <w:pPr>
        <w:pStyle w:val="FootnoteText"/>
      </w:pPr>
      <w:r w:rsidRPr="00C34D4C">
        <w:rPr>
          <w:rStyle w:val="FootnoteReference"/>
        </w:rPr>
        <w:footnoteRef/>
      </w:r>
      <w:r w:rsidRPr="00C34D4C">
        <w:t xml:space="preserve"> </w:t>
      </w:r>
      <w:r w:rsidRPr="00C34D4C">
        <w:rPr>
          <w:i/>
        </w:rPr>
        <w:t>See Forfeiture Policy Statement and Amendment of Section 1.80(b) of the Rules to Incorporate the Forfeiture Guidelines</w:t>
      </w:r>
      <w:r w:rsidRPr="00C34D4C">
        <w:t xml:space="preserve">, Report and Order, 12 FCC Rcd 17087, 17113-15 (1997) </w:t>
      </w:r>
      <w:r w:rsidRPr="00C34D4C">
        <w:rPr>
          <w:i/>
        </w:rPr>
        <w:t>(“Forfeiture Policy Statement”),</w:t>
      </w:r>
      <w:r w:rsidRPr="00C34D4C">
        <w:t xml:space="preserve"> </w:t>
      </w:r>
      <w:r w:rsidRPr="00C34D4C">
        <w:rPr>
          <w:i/>
        </w:rPr>
        <w:t>recon. denied</w:t>
      </w:r>
      <w:r w:rsidRPr="00C34D4C">
        <w:t>, 15 FCC Rcd. 303 (1999); 47 C.F.R. § 1.80(b), note to paragraph (b)(8), Section I.</w:t>
      </w:r>
    </w:p>
  </w:footnote>
  <w:footnote w:id="15">
    <w:p w:rsidR="00DB53E2" w:rsidRPr="00C34D4C" w:rsidRDefault="00DB53E2" w:rsidP="00C34D4C">
      <w:pPr>
        <w:pStyle w:val="FootnoteText"/>
      </w:pPr>
      <w:r w:rsidRPr="00C34D4C">
        <w:rPr>
          <w:rStyle w:val="FootnoteReference"/>
        </w:rPr>
        <w:footnoteRef/>
      </w:r>
      <w:r w:rsidRPr="00C34D4C">
        <w:t xml:space="preserve"> 47 U.S.C. § 503(b)(2)(E); </w:t>
      </w:r>
      <w:r w:rsidRPr="00C34D4C">
        <w:rPr>
          <w:i/>
        </w:rPr>
        <w:t xml:space="preserve">see also Forfeiture Policy Statement, </w:t>
      </w:r>
      <w:r w:rsidRPr="00C34D4C">
        <w:t>12 FCC Rcd at 17100-01; 47 C.F.R. § 1.80(b)(8) and note to paragraph (b)(8), Section II.</w:t>
      </w:r>
    </w:p>
  </w:footnote>
  <w:footnote w:id="16">
    <w:p w:rsidR="00DB53E2" w:rsidRPr="00C34D4C" w:rsidRDefault="00DB53E2" w:rsidP="00C34D4C">
      <w:pPr>
        <w:spacing w:after="120"/>
        <w:jc w:val="both"/>
        <w:rPr>
          <w:sz w:val="20"/>
        </w:rPr>
      </w:pPr>
      <w:r w:rsidRPr="00C34D4C">
        <w:rPr>
          <w:rStyle w:val="FootnoteReference"/>
        </w:rPr>
        <w:footnoteRef/>
      </w:r>
      <w:r w:rsidRPr="00C34D4C">
        <w:rPr>
          <w:sz w:val="20"/>
        </w:rPr>
        <w:t xml:space="preserve"> </w:t>
      </w:r>
      <w:r w:rsidRPr="00C34D4C">
        <w:rPr>
          <w:i/>
          <w:sz w:val="20"/>
        </w:rPr>
        <w:t>See</w:t>
      </w:r>
      <w:r w:rsidRPr="00C34D4C">
        <w:rPr>
          <w:sz w:val="20"/>
        </w:rPr>
        <w:t xml:space="preserve"> </w:t>
      </w:r>
      <w:r w:rsidRPr="00C34D4C">
        <w:rPr>
          <w:i/>
          <w:sz w:val="20"/>
        </w:rPr>
        <w:t>San Jose State Univ.</w:t>
      </w:r>
      <w:r w:rsidRPr="00C34D4C">
        <w:rPr>
          <w:sz w:val="20"/>
        </w:rPr>
        <w:t>, 26 F.C.C. Rcd. 5908 (2011) (noting that “[t]ypically, the Commission uses gross revenue as the primary measuring stick by which it evaluates a licensee's ability to pay. Other financial indicators may be considered….”).</w:t>
      </w:r>
    </w:p>
  </w:footnote>
  <w:footnote w:id="17">
    <w:p w:rsidR="00DB53E2" w:rsidRPr="00C34D4C" w:rsidRDefault="00DB53E2" w:rsidP="00C34D4C">
      <w:pPr>
        <w:pStyle w:val="FootnoteText"/>
      </w:pPr>
      <w:r w:rsidRPr="00C34D4C">
        <w:rPr>
          <w:rStyle w:val="FootnoteReference"/>
        </w:rPr>
        <w:footnoteRef/>
      </w:r>
      <w:r w:rsidRPr="00C34D4C">
        <w:t xml:space="preserve"> </w:t>
      </w:r>
      <w:r w:rsidRPr="00C34D4C">
        <w:rPr>
          <w:i/>
        </w:rPr>
        <w:t>See</w:t>
      </w:r>
      <w:r w:rsidRPr="00C34D4C">
        <w:t xml:space="preserve"> 47 C.F.R. § 1.1914.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736" w:rsidRDefault="000C57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D92" w:rsidRDefault="0060170A">
    <w:pPr>
      <w:pStyle w:val="Header"/>
      <w:rPr>
        <w:b w:val="0"/>
      </w:rPr>
    </w:pPr>
    <w:r>
      <w:rPr>
        <w:b w:val="0"/>
      </w:rPr>
      <w:tab/>
      <w:t>Federal</w:t>
    </w:r>
    <w:r w:rsidR="00C337CB">
      <w:rPr>
        <w:b w:val="0"/>
      </w:rPr>
      <w:t xml:space="preserve"> Communications Commission</w:t>
    </w:r>
    <w:r w:rsidR="00C337CB">
      <w:rPr>
        <w:b w:val="0"/>
      </w:rPr>
      <w:tab/>
      <w:t>DA 15</w:t>
    </w:r>
    <w:r>
      <w:rPr>
        <w:b w:val="0"/>
      </w:rPr>
      <w:t>-</w:t>
    </w:r>
    <w:r w:rsidR="009A454E">
      <w:rPr>
        <w:b w:val="0"/>
      </w:rPr>
      <w:t>196</w:t>
    </w:r>
    <w:r>
      <w:rPr>
        <w:b w:val="0"/>
      </w:rPr>
      <w:t xml:space="preserve"> </w:t>
    </w:r>
  </w:p>
  <w:p w:rsidR="009C6D92" w:rsidRDefault="00DB53E2">
    <w:pPr>
      <w:pStyle w:val="Header"/>
    </w:pPr>
    <w:r>
      <w:rPr>
        <w:noProof/>
      </w:rPr>
      <mc:AlternateContent>
        <mc:Choice Requires="wps">
          <w:drawing>
            <wp:anchor distT="0" distB="0" distL="114300" distR="114300" simplePos="0" relativeHeight="251660288" behindDoc="0" locked="0" layoutInCell="0" allowOverlap="1" wp14:anchorId="3B9C79E5" wp14:editId="7CFD16A9">
              <wp:simplePos x="0" y="0"/>
              <wp:positionH relativeFrom="column">
                <wp:posOffset>0</wp:posOffset>
              </wp:positionH>
              <wp:positionV relativeFrom="paragraph">
                <wp:posOffset>22225</wp:posOffset>
              </wp:positionV>
              <wp:extent cx="59436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rpv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" o:allowincell="f" strokeweight="1.5pt"/>
          </w:pict>
        </mc:Fallback>
      </mc:AlternateContent>
    </w:r>
  </w:p>
  <w:p w:rsidR="009C6D92" w:rsidRDefault="00795C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D92" w:rsidRDefault="0060170A">
    <w:pPr>
      <w:pStyle w:val="Header"/>
      <w:jc w:val="right"/>
      <w:rPr>
        <w:b w:val="0"/>
      </w:rPr>
    </w:pPr>
    <w:r>
      <w:rPr>
        <w:b w:val="0"/>
      </w:rPr>
      <w:t>Federal Communications Commission</w:t>
    </w:r>
    <w:r>
      <w:rPr>
        <w:b w:val="0"/>
      </w:rPr>
      <w:tab/>
      <w:t xml:space="preserve">       </w:t>
    </w:r>
    <w:r w:rsidR="00DB53E2">
      <w:rPr>
        <w:b w:val="0"/>
      </w:rPr>
      <w:t xml:space="preserve">                  DA 15</w:t>
    </w:r>
    <w:r>
      <w:rPr>
        <w:b w:val="0"/>
      </w:rPr>
      <w:t>-</w:t>
    </w:r>
    <w:r w:rsidR="009A454E">
      <w:rPr>
        <w:b w:val="0"/>
      </w:rPr>
      <w:t>196</w:t>
    </w:r>
  </w:p>
  <w:p w:rsidR="009C6D92" w:rsidRDefault="00DB53E2">
    <w:pPr>
      <w:pStyle w:val="Header"/>
    </w:pPr>
    <w:r>
      <w:rPr>
        <w:noProof/>
      </w:rPr>
      <mc:AlternateContent>
        <mc:Choice Requires="wps">
          <w:drawing>
            <wp:anchor distT="0" distB="0" distL="114300" distR="114300" simplePos="0" relativeHeight="251659264" behindDoc="0" locked="0" layoutInCell="0" allowOverlap="1" wp14:anchorId="34A555A0" wp14:editId="45D299C4">
              <wp:simplePos x="0" y="0"/>
              <wp:positionH relativeFrom="column">
                <wp:posOffset>0</wp:posOffset>
              </wp:positionH>
              <wp:positionV relativeFrom="paragraph">
                <wp:posOffset>22225</wp:posOffset>
              </wp:positionV>
              <wp:extent cx="59436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4"/>
  </w:num>
  <w:num w:numId="2">
    <w:abstractNumId w:val="4"/>
  </w:num>
  <w:num w:numId="3">
    <w:abstractNumId w:val="1"/>
  </w:num>
  <w:num w:numId="4">
    <w:abstractNumId w:val="6"/>
  </w:num>
  <w:num w:numId="5">
    <w:abstractNumId w:val="3"/>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linkStyle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3E2"/>
    <w:rsid w:val="000C5736"/>
    <w:rsid w:val="00111A05"/>
    <w:rsid w:val="001D7648"/>
    <w:rsid w:val="001E2E9D"/>
    <w:rsid w:val="0020354F"/>
    <w:rsid w:val="002518E3"/>
    <w:rsid w:val="002D1C46"/>
    <w:rsid w:val="004917A7"/>
    <w:rsid w:val="004C1CF5"/>
    <w:rsid w:val="00510D0D"/>
    <w:rsid w:val="005B0ECE"/>
    <w:rsid w:val="005F6BE7"/>
    <w:rsid w:val="0060170A"/>
    <w:rsid w:val="00604A98"/>
    <w:rsid w:val="0067126E"/>
    <w:rsid w:val="00686D62"/>
    <w:rsid w:val="00694955"/>
    <w:rsid w:val="007148A8"/>
    <w:rsid w:val="00750996"/>
    <w:rsid w:val="00795CDA"/>
    <w:rsid w:val="0095578C"/>
    <w:rsid w:val="00977589"/>
    <w:rsid w:val="009A454E"/>
    <w:rsid w:val="009E5544"/>
    <w:rsid w:val="00A0786F"/>
    <w:rsid w:val="00B060A9"/>
    <w:rsid w:val="00B3114A"/>
    <w:rsid w:val="00B6374A"/>
    <w:rsid w:val="00BE03AB"/>
    <w:rsid w:val="00C337CB"/>
    <w:rsid w:val="00C34D4C"/>
    <w:rsid w:val="00C449F5"/>
    <w:rsid w:val="00CB66D4"/>
    <w:rsid w:val="00CE4A64"/>
    <w:rsid w:val="00D81F48"/>
    <w:rsid w:val="00DA3EA3"/>
    <w:rsid w:val="00DB53E2"/>
    <w:rsid w:val="00E56587"/>
    <w:rsid w:val="00E62613"/>
    <w:rsid w:val="00E754E8"/>
    <w:rsid w:val="00EF2884"/>
    <w:rsid w:val="00FD1B52"/>
    <w:rsid w:val="00FD27C1"/>
    <w:rsid w:val="00FF4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CDA"/>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795CDA"/>
    <w:pPr>
      <w:keepNext/>
      <w:numPr>
        <w:numId w:val="5"/>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95CDA"/>
    <w:pPr>
      <w:keepNext/>
      <w:numPr>
        <w:ilvl w:val="1"/>
        <w:numId w:val="5"/>
      </w:numPr>
      <w:spacing w:after="120"/>
      <w:outlineLvl w:val="1"/>
    </w:pPr>
    <w:rPr>
      <w:b/>
    </w:rPr>
  </w:style>
  <w:style w:type="paragraph" w:styleId="Heading3">
    <w:name w:val="heading 3"/>
    <w:basedOn w:val="Normal"/>
    <w:next w:val="ParaNum"/>
    <w:link w:val="Heading3Char"/>
    <w:qFormat/>
    <w:rsid w:val="00795CDA"/>
    <w:pPr>
      <w:keepNext/>
      <w:numPr>
        <w:ilvl w:val="2"/>
        <w:numId w:val="5"/>
      </w:numPr>
      <w:tabs>
        <w:tab w:val="left" w:pos="2160"/>
      </w:tabs>
      <w:spacing w:after="120"/>
      <w:outlineLvl w:val="2"/>
    </w:pPr>
    <w:rPr>
      <w:b/>
    </w:rPr>
  </w:style>
  <w:style w:type="paragraph" w:styleId="Heading4">
    <w:name w:val="heading 4"/>
    <w:basedOn w:val="Normal"/>
    <w:next w:val="ParaNum"/>
    <w:link w:val="Heading4Char"/>
    <w:qFormat/>
    <w:rsid w:val="00795CDA"/>
    <w:pPr>
      <w:keepNext/>
      <w:numPr>
        <w:ilvl w:val="3"/>
        <w:numId w:val="5"/>
      </w:numPr>
      <w:tabs>
        <w:tab w:val="left" w:pos="2880"/>
      </w:tabs>
      <w:spacing w:after="120"/>
      <w:outlineLvl w:val="3"/>
    </w:pPr>
    <w:rPr>
      <w:b/>
    </w:rPr>
  </w:style>
  <w:style w:type="paragraph" w:styleId="Heading5">
    <w:name w:val="heading 5"/>
    <w:basedOn w:val="Normal"/>
    <w:next w:val="ParaNum"/>
    <w:link w:val="Heading5Char"/>
    <w:qFormat/>
    <w:rsid w:val="00795CDA"/>
    <w:pPr>
      <w:keepNext/>
      <w:numPr>
        <w:ilvl w:val="4"/>
        <w:numId w:val="5"/>
      </w:numPr>
      <w:tabs>
        <w:tab w:val="left" w:pos="3600"/>
      </w:tabs>
      <w:suppressAutoHyphens/>
      <w:spacing w:after="120"/>
      <w:outlineLvl w:val="4"/>
    </w:pPr>
    <w:rPr>
      <w:b/>
    </w:rPr>
  </w:style>
  <w:style w:type="paragraph" w:styleId="Heading6">
    <w:name w:val="heading 6"/>
    <w:basedOn w:val="Normal"/>
    <w:next w:val="ParaNum"/>
    <w:link w:val="Heading6Char"/>
    <w:qFormat/>
    <w:rsid w:val="00795CDA"/>
    <w:pPr>
      <w:numPr>
        <w:ilvl w:val="5"/>
        <w:numId w:val="5"/>
      </w:numPr>
      <w:tabs>
        <w:tab w:val="left" w:pos="4320"/>
      </w:tabs>
      <w:spacing w:after="120"/>
      <w:outlineLvl w:val="5"/>
    </w:pPr>
    <w:rPr>
      <w:b/>
    </w:rPr>
  </w:style>
  <w:style w:type="paragraph" w:styleId="Heading7">
    <w:name w:val="heading 7"/>
    <w:basedOn w:val="Normal"/>
    <w:next w:val="ParaNum"/>
    <w:link w:val="Heading7Char"/>
    <w:qFormat/>
    <w:rsid w:val="00795CDA"/>
    <w:pPr>
      <w:numPr>
        <w:ilvl w:val="6"/>
        <w:numId w:val="5"/>
      </w:numPr>
      <w:tabs>
        <w:tab w:val="left" w:pos="5040"/>
      </w:tabs>
      <w:spacing w:after="120"/>
      <w:ind w:left="5040" w:hanging="720"/>
      <w:outlineLvl w:val="6"/>
    </w:pPr>
    <w:rPr>
      <w:b/>
    </w:rPr>
  </w:style>
  <w:style w:type="paragraph" w:styleId="Heading8">
    <w:name w:val="heading 8"/>
    <w:basedOn w:val="Normal"/>
    <w:next w:val="ParaNum"/>
    <w:link w:val="Heading8Char"/>
    <w:qFormat/>
    <w:rsid w:val="00795CDA"/>
    <w:pPr>
      <w:numPr>
        <w:ilvl w:val="7"/>
        <w:numId w:val="5"/>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795CDA"/>
    <w:pPr>
      <w:numPr>
        <w:ilvl w:val="8"/>
        <w:numId w:val="5"/>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795CD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95CDA"/>
  </w:style>
  <w:style w:type="paragraph" w:styleId="FootnoteText">
    <w:name w:val="footnote text"/>
    <w:link w:val="FootnoteTextChar"/>
    <w:rsid w:val="00795CDA"/>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DB53E2"/>
    <w:rPr>
      <w:rFonts w:ascii="Times New Roman" w:eastAsia="Times New Roman" w:hAnsi="Times New Roman" w:cs="Times New Roman"/>
      <w:sz w:val="20"/>
      <w:szCs w:val="20"/>
    </w:rPr>
  </w:style>
  <w:style w:type="paragraph" w:styleId="Header">
    <w:name w:val="header"/>
    <w:basedOn w:val="Normal"/>
    <w:link w:val="HeaderChar"/>
    <w:autoRedefine/>
    <w:rsid w:val="00795CDA"/>
    <w:pPr>
      <w:tabs>
        <w:tab w:val="center" w:pos="4680"/>
        <w:tab w:val="right" w:pos="9360"/>
      </w:tabs>
    </w:pPr>
    <w:rPr>
      <w:b/>
    </w:rPr>
  </w:style>
  <w:style w:type="character" w:customStyle="1" w:styleId="HeaderChar">
    <w:name w:val="Header Char"/>
    <w:basedOn w:val="DefaultParagraphFont"/>
    <w:link w:val="Header"/>
    <w:rsid w:val="00DB53E2"/>
    <w:rPr>
      <w:rFonts w:ascii="Times New Roman" w:eastAsia="Times New Roman" w:hAnsi="Times New Roman" w:cs="Times New Roman"/>
      <w:b/>
      <w:snapToGrid w:val="0"/>
      <w:kern w:val="28"/>
      <w:szCs w:val="20"/>
    </w:rPr>
  </w:style>
  <w:style w:type="paragraph" w:styleId="Footer">
    <w:name w:val="footer"/>
    <w:basedOn w:val="Normal"/>
    <w:link w:val="FooterChar"/>
    <w:rsid w:val="00795CDA"/>
    <w:pPr>
      <w:tabs>
        <w:tab w:val="center" w:pos="4320"/>
        <w:tab w:val="right" w:pos="8640"/>
      </w:tabs>
    </w:pPr>
  </w:style>
  <w:style w:type="character" w:customStyle="1" w:styleId="FooterChar">
    <w:name w:val="Footer Char"/>
    <w:basedOn w:val="DefaultParagraphFont"/>
    <w:link w:val="Footer"/>
    <w:rsid w:val="00DB53E2"/>
    <w:rPr>
      <w:rFonts w:ascii="Times New Roman" w:eastAsia="Times New Roman" w:hAnsi="Times New Roman" w:cs="Times New Roman"/>
      <w:snapToGrid w:val="0"/>
      <w:kern w:val="28"/>
      <w:szCs w:val="20"/>
    </w:rPr>
  </w:style>
  <w:style w:type="paragraph" w:styleId="PlainText">
    <w:name w:val="Plain Text"/>
    <w:basedOn w:val="Normal"/>
    <w:link w:val="PlainTextChar"/>
    <w:uiPriority w:val="99"/>
    <w:semiHidden/>
    <w:unhideWhenUsed/>
    <w:rsid w:val="00DB53E2"/>
    <w:rPr>
      <w:rFonts w:ascii="Consolas" w:hAnsi="Consolas" w:cs="Consolas"/>
      <w:sz w:val="21"/>
      <w:szCs w:val="21"/>
    </w:rPr>
  </w:style>
  <w:style w:type="character" w:customStyle="1" w:styleId="PlainTextChar">
    <w:name w:val="Plain Text Char"/>
    <w:basedOn w:val="DefaultParagraphFont"/>
    <w:link w:val="PlainText"/>
    <w:uiPriority w:val="99"/>
    <w:semiHidden/>
    <w:rsid w:val="00DB53E2"/>
    <w:rPr>
      <w:rFonts w:ascii="Consolas" w:hAnsi="Consolas" w:cs="Consolas"/>
      <w:sz w:val="21"/>
      <w:szCs w:val="21"/>
    </w:rPr>
  </w:style>
  <w:style w:type="paragraph" w:customStyle="1" w:styleId="ParaNum">
    <w:name w:val="ParaNum"/>
    <w:basedOn w:val="Normal"/>
    <w:rsid w:val="00795CDA"/>
    <w:pPr>
      <w:numPr>
        <w:numId w:val="4"/>
      </w:numPr>
      <w:tabs>
        <w:tab w:val="clear" w:pos="1080"/>
        <w:tab w:val="num" w:pos="1440"/>
      </w:tabs>
      <w:spacing w:after="120"/>
    </w:pPr>
  </w:style>
  <w:style w:type="character" w:styleId="FootnoteReference">
    <w:name w:val="footnote reference"/>
    <w:aliases w:val="Style 4,Style 12,(NECG) Footnote Reference,Appel note de bas de p,Style 124,Style 13,o,fr,Style 3"/>
    <w:rsid w:val="00795CDA"/>
    <w:rPr>
      <w:rFonts w:ascii="Times New Roman" w:hAnsi="Times New Roman"/>
      <w:dstrike w:val="0"/>
      <w:color w:val="auto"/>
      <w:sz w:val="20"/>
      <w:vertAlign w:val="superscript"/>
    </w:rPr>
  </w:style>
  <w:style w:type="character" w:styleId="PageNumber">
    <w:name w:val="page number"/>
    <w:basedOn w:val="DefaultParagraphFont"/>
    <w:rsid w:val="00795CDA"/>
  </w:style>
  <w:style w:type="character" w:customStyle="1" w:styleId="Heading1Char">
    <w:name w:val="Heading 1 Char"/>
    <w:basedOn w:val="DefaultParagraphFont"/>
    <w:link w:val="Heading1"/>
    <w:rsid w:val="0060170A"/>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60170A"/>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60170A"/>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60170A"/>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60170A"/>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60170A"/>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60170A"/>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60170A"/>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60170A"/>
    <w:rPr>
      <w:rFonts w:ascii="Times New Roman" w:eastAsia="Times New Roman" w:hAnsi="Times New Roman" w:cs="Times New Roman"/>
      <w:b/>
      <w:snapToGrid w:val="0"/>
      <w:kern w:val="28"/>
      <w:szCs w:val="20"/>
    </w:rPr>
  </w:style>
  <w:style w:type="paragraph" w:styleId="EndnoteText">
    <w:name w:val="endnote text"/>
    <w:basedOn w:val="Normal"/>
    <w:link w:val="EndnoteTextChar"/>
    <w:semiHidden/>
    <w:rsid w:val="00795CDA"/>
    <w:rPr>
      <w:sz w:val="20"/>
    </w:rPr>
  </w:style>
  <w:style w:type="character" w:customStyle="1" w:styleId="EndnoteTextChar">
    <w:name w:val="Endnote Text Char"/>
    <w:basedOn w:val="DefaultParagraphFont"/>
    <w:link w:val="EndnoteText"/>
    <w:semiHidden/>
    <w:rsid w:val="0060170A"/>
    <w:rPr>
      <w:rFonts w:ascii="Times New Roman" w:eastAsia="Times New Roman" w:hAnsi="Times New Roman" w:cs="Times New Roman"/>
      <w:snapToGrid w:val="0"/>
      <w:kern w:val="28"/>
      <w:sz w:val="20"/>
      <w:szCs w:val="20"/>
    </w:rPr>
  </w:style>
  <w:style w:type="character" w:styleId="EndnoteReference">
    <w:name w:val="endnote reference"/>
    <w:semiHidden/>
    <w:rsid w:val="00795CDA"/>
    <w:rPr>
      <w:vertAlign w:val="superscript"/>
    </w:rPr>
  </w:style>
  <w:style w:type="paragraph" w:styleId="TOC1">
    <w:name w:val="toc 1"/>
    <w:basedOn w:val="Normal"/>
    <w:next w:val="Normal"/>
    <w:semiHidden/>
    <w:rsid w:val="00795CDA"/>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795CDA"/>
    <w:pPr>
      <w:tabs>
        <w:tab w:val="left" w:pos="720"/>
        <w:tab w:val="right" w:leader="dot" w:pos="9360"/>
      </w:tabs>
      <w:suppressAutoHyphens/>
      <w:ind w:left="720" w:right="720" w:hanging="360"/>
    </w:pPr>
    <w:rPr>
      <w:noProof/>
    </w:rPr>
  </w:style>
  <w:style w:type="paragraph" w:styleId="TOC3">
    <w:name w:val="toc 3"/>
    <w:basedOn w:val="Normal"/>
    <w:next w:val="Normal"/>
    <w:semiHidden/>
    <w:rsid w:val="00795CD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95CD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95CD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95CD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95CD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95CD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95CD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95CDA"/>
    <w:pPr>
      <w:tabs>
        <w:tab w:val="right" w:pos="9360"/>
      </w:tabs>
      <w:suppressAutoHyphens/>
    </w:pPr>
  </w:style>
  <w:style w:type="character" w:customStyle="1" w:styleId="EquationCaption">
    <w:name w:val="_Equation Caption"/>
    <w:rsid w:val="00795CDA"/>
  </w:style>
  <w:style w:type="paragraph" w:styleId="BlockText">
    <w:name w:val="Block Text"/>
    <w:basedOn w:val="Normal"/>
    <w:rsid w:val="00795CDA"/>
    <w:pPr>
      <w:spacing w:after="240"/>
      <w:ind w:left="1440" w:right="1440"/>
    </w:pPr>
  </w:style>
  <w:style w:type="paragraph" w:customStyle="1" w:styleId="Paratitle">
    <w:name w:val="Para title"/>
    <w:basedOn w:val="Normal"/>
    <w:rsid w:val="00795CDA"/>
    <w:pPr>
      <w:tabs>
        <w:tab w:val="center" w:pos="9270"/>
      </w:tabs>
      <w:spacing w:after="240"/>
    </w:pPr>
    <w:rPr>
      <w:spacing w:val="-2"/>
    </w:rPr>
  </w:style>
  <w:style w:type="paragraph" w:customStyle="1" w:styleId="Bullet">
    <w:name w:val="Bullet"/>
    <w:basedOn w:val="Normal"/>
    <w:rsid w:val="00795CDA"/>
    <w:pPr>
      <w:tabs>
        <w:tab w:val="left" w:pos="2160"/>
      </w:tabs>
      <w:spacing w:after="220"/>
      <w:ind w:left="2160" w:hanging="720"/>
    </w:pPr>
  </w:style>
  <w:style w:type="paragraph" w:customStyle="1" w:styleId="TableFormat">
    <w:name w:val="TableFormat"/>
    <w:basedOn w:val="Bullet"/>
    <w:rsid w:val="00795CDA"/>
    <w:pPr>
      <w:tabs>
        <w:tab w:val="clear" w:pos="2160"/>
        <w:tab w:val="left" w:pos="5040"/>
      </w:tabs>
      <w:ind w:left="5040" w:hanging="3600"/>
    </w:pPr>
  </w:style>
  <w:style w:type="paragraph" w:customStyle="1" w:styleId="TOCTitle">
    <w:name w:val="TOC Title"/>
    <w:basedOn w:val="Normal"/>
    <w:rsid w:val="00795CD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95CDA"/>
    <w:pPr>
      <w:jc w:val="center"/>
    </w:pPr>
    <w:rPr>
      <w:rFonts w:ascii="Times New Roman Bold" w:hAnsi="Times New Roman Bold"/>
      <w:b/>
      <w:bCs/>
      <w:caps/>
      <w:szCs w:val="22"/>
    </w:rPr>
  </w:style>
  <w:style w:type="character" w:styleId="Hyperlink">
    <w:name w:val="Hyperlink"/>
    <w:rsid w:val="00795CDA"/>
    <w:rPr>
      <w:color w:val="0000FF"/>
      <w:u w:val="single"/>
    </w:rPr>
  </w:style>
  <w:style w:type="character" w:styleId="CommentReference">
    <w:name w:val="annotation reference"/>
    <w:basedOn w:val="DefaultParagraphFont"/>
    <w:uiPriority w:val="99"/>
    <w:semiHidden/>
    <w:unhideWhenUsed/>
    <w:rsid w:val="00CB66D4"/>
    <w:rPr>
      <w:sz w:val="16"/>
      <w:szCs w:val="16"/>
    </w:rPr>
  </w:style>
  <w:style w:type="paragraph" w:styleId="CommentText">
    <w:name w:val="annotation text"/>
    <w:basedOn w:val="Normal"/>
    <w:link w:val="CommentTextChar"/>
    <w:uiPriority w:val="99"/>
    <w:semiHidden/>
    <w:unhideWhenUsed/>
    <w:rsid w:val="00CB66D4"/>
    <w:rPr>
      <w:sz w:val="20"/>
    </w:rPr>
  </w:style>
  <w:style w:type="character" w:customStyle="1" w:styleId="CommentTextChar">
    <w:name w:val="Comment Text Char"/>
    <w:basedOn w:val="DefaultParagraphFont"/>
    <w:link w:val="CommentText"/>
    <w:uiPriority w:val="99"/>
    <w:semiHidden/>
    <w:rsid w:val="00CB66D4"/>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CB66D4"/>
    <w:rPr>
      <w:b/>
      <w:bCs/>
    </w:rPr>
  </w:style>
  <w:style w:type="character" w:customStyle="1" w:styleId="CommentSubjectChar">
    <w:name w:val="Comment Subject Char"/>
    <w:basedOn w:val="CommentTextChar"/>
    <w:link w:val="CommentSubject"/>
    <w:uiPriority w:val="99"/>
    <w:semiHidden/>
    <w:rsid w:val="00CB66D4"/>
    <w:rPr>
      <w:rFonts w:ascii="Times New Roman" w:eastAsia="Times New Roman" w:hAnsi="Times New Roman" w:cs="Times New Roman"/>
      <w:b/>
      <w:bCs/>
      <w:snapToGrid w:val="0"/>
      <w:kern w:val="28"/>
      <w:sz w:val="20"/>
      <w:szCs w:val="20"/>
    </w:rPr>
  </w:style>
  <w:style w:type="paragraph" w:styleId="BalloonText">
    <w:name w:val="Balloon Text"/>
    <w:basedOn w:val="Normal"/>
    <w:link w:val="BalloonTextChar"/>
    <w:uiPriority w:val="99"/>
    <w:semiHidden/>
    <w:unhideWhenUsed/>
    <w:rsid w:val="00CB66D4"/>
    <w:rPr>
      <w:rFonts w:ascii="Tahoma" w:hAnsi="Tahoma" w:cs="Tahoma"/>
      <w:sz w:val="16"/>
      <w:szCs w:val="16"/>
    </w:rPr>
  </w:style>
  <w:style w:type="character" w:customStyle="1" w:styleId="BalloonTextChar">
    <w:name w:val="Balloon Text Char"/>
    <w:basedOn w:val="DefaultParagraphFont"/>
    <w:link w:val="BalloonText"/>
    <w:uiPriority w:val="99"/>
    <w:semiHidden/>
    <w:rsid w:val="00CB66D4"/>
    <w:rPr>
      <w:rFonts w:ascii="Tahoma" w:eastAsia="Times New Roman" w:hAnsi="Tahoma" w:cs="Tahoma"/>
      <w:snapToGrid w:val="0"/>
      <w:kern w:val="28"/>
      <w:sz w:val="16"/>
      <w:szCs w:val="16"/>
    </w:rPr>
  </w:style>
  <w:style w:type="paragraph" w:styleId="Revision">
    <w:name w:val="Revision"/>
    <w:hidden/>
    <w:uiPriority w:val="99"/>
    <w:semiHidden/>
    <w:rsid w:val="005F6BE7"/>
    <w:pPr>
      <w:spacing w:after="0" w:line="240" w:lineRule="auto"/>
    </w:pPr>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CDA"/>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795CDA"/>
    <w:pPr>
      <w:keepNext/>
      <w:numPr>
        <w:numId w:val="5"/>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95CDA"/>
    <w:pPr>
      <w:keepNext/>
      <w:numPr>
        <w:ilvl w:val="1"/>
        <w:numId w:val="5"/>
      </w:numPr>
      <w:spacing w:after="120"/>
      <w:outlineLvl w:val="1"/>
    </w:pPr>
    <w:rPr>
      <w:b/>
    </w:rPr>
  </w:style>
  <w:style w:type="paragraph" w:styleId="Heading3">
    <w:name w:val="heading 3"/>
    <w:basedOn w:val="Normal"/>
    <w:next w:val="ParaNum"/>
    <w:link w:val="Heading3Char"/>
    <w:qFormat/>
    <w:rsid w:val="00795CDA"/>
    <w:pPr>
      <w:keepNext/>
      <w:numPr>
        <w:ilvl w:val="2"/>
        <w:numId w:val="5"/>
      </w:numPr>
      <w:tabs>
        <w:tab w:val="left" w:pos="2160"/>
      </w:tabs>
      <w:spacing w:after="120"/>
      <w:outlineLvl w:val="2"/>
    </w:pPr>
    <w:rPr>
      <w:b/>
    </w:rPr>
  </w:style>
  <w:style w:type="paragraph" w:styleId="Heading4">
    <w:name w:val="heading 4"/>
    <w:basedOn w:val="Normal"/>
    <w:next w:val="ParaNum"/>
    <w:link w:val="Heading4Char"/>
    <w:qFormat/>
    <w:rsid w:val="00795CDA"/>
    <w:pPr>
      <w:keepNext/>
      <w:numPr>
        <w:ilvl w:val="3"/>
        <w:numId w:val="5"/>
      </w:numPr>
      <w:tabs>
        <w:tab w:val="left" w:pos="2880"/>
      </w:tabs>
      <w:spacing w:after="120"/>
      <w:outlineLvl w:val="3"/>
    </w:pPr>
    <w:rPr>
      <w:b/>
    </w:rPr>
  </w:style>
  <w:style w:type="paragraph" w:styleId="Heading5">
    <w:name w:val="heading 5"/>
    <w:basedOn w:val="Normal"/>
    <w:next w:val="ParaNum"/>
    <w:link w:val="Heading5Char"/>
    <w:qFormat/>
    <w:rsid w:val="00795CDA"/>
    <w:pPr>
      <w:keepNext/>
      <w:numPr>
        <w:ilvl w:val="4"/>
        <w:numId w:val="5"/>
      </w:numPr>
      <w:tabs>
        <w:tab w:val="left" w:pos="3600"/>
      </w:tabs>
      <w:suppressAutoHyphens/>
      <w:spacing w:after="120"/>
      <w:outlineLvl w:val="4"/>
    </w:pPr>
    <w:rPr>
      <w:b/>
    </w:rPr>
  </w:style>
  <w:style w:type="paragraph" w:styleId="Heading6">
    <w:name w:val="heading 6"/>
    <w:basedOn w:val="Normal"/>
    <w:next w:val="ParaNum"/>
    <w:link w:val="Heading6Char"/>
    <w:qFormat/>
    <w:rsid w:val="00795CDA"/>
    <w:pPr>
      <w:numPr>
        <w:ilvl w:val="5"/>
        <w:numId w:val="5"/>
      </w:numPr>
      <w:tabs>
        <w:tab w:val="left" w:pos="4320"/>
      </w:tabs>
      <w:spacing w:after="120"/>
      <w:outlineLvl w:val="5"/>
    </w:pPr>
    <w:rPr>
      <w:b/>
    </w:rPr>
  </w:style>
  <w:style w:type="paragraph" w:styleId="Heading7">
    <w:name w:val="heading 7"/>
    <w:basedOn w:val="Normal"/>
    <w:next w:val="ParaNum"/>
    <w:link w:val="Heading7Char"/>
    <w:qFormat/>
    <w:rsid w:val="00795CDA"/>
    <w:pPr>
      <w:numPr>
        <w:ilvl w:val="6"/>
        <w:numId w:val="5"/>
      </w:numPr>
      <w:tabs>
        <w:tab w:val="left" w:pos="5040"/>
      </w:tabs>
      <w:spacing w:after="120"/>
      <w:ind w:left="5040" w:hanging="720"/>
      <w:outlineLvl w:val="6"/>
    </w:pPr>
    <w:rPr>
      <w:b/>
    </w:rPr>
  </w:style>
  <w:style w:type="paragraph" w:styleId="Heading8">
    <w:name w:val="heading 8"/>
    <w:basedOn w:val="Normal"/>
    <w:next w:val="ParaNum"/>
    <w:link w:val="Heading8Char"/>
    <w:qFormat/>
    <w:rsid w:val="00795CDA"/>
    <w:pPr>
      <w:numPr>
        <w:ilvl w:val="7"/>
        <w:numId w:val="5"/>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795CDA"/>
    <w:pPr>
      <w:numPr>
        <w:ilvl w:val="8"/>
        <w:numId w:val="5"/>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795CD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95CDA"/>
  </w:style>
  <w:style w:type="paragraph" w:styleId="FootnoteText">
    <w:name w:val="footnote text"/>
    <w:link w:val="FootnoteTextChar"/>
    <w:rsid w:val="00795CDA"/>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DB53E2"/>
    <w:rPr>
      <w:rFonts w:ascii="Times New Roman" w:eastAsia="Times New Roman" w:hAnsi="Times New Roman" w:cs="Times New Roman"/>
      <w:sz w:val="20"/>
      <w:szCs w:val="20"/>
    </w:rPr>
  </w:style>
  <w:style w:type="paragraph" w:styleId="Header">
    <w:name w:val="header"/>
    <w:basedOn w:val="Normal"/>
    <w:link w:val="HeaderChar"/>
    <w:autoRedefine/>
    <w:rsid w:val="00795CDA"/>
    <w:pPr>
      <w:tabs>
        <w:tab w:val="center" w:pos="4680"/>
        <w:tab w:val="right" w:pos="9360"/>
      </w:tabs>
    </w:pPr>
    <w:rPr>
      <w:b/>
    </w:rPr>
  </w:style>
  <w:style w:type="character" w:customStyle="1" w:styleId="HeaderChar">
    <w:name w:val="Header Char"/>
    <w:basedOn w:val="DefaultParagraphFont"/>
    <w:link w:val="Header"/>
    <w:rsid w:val="00DB53E2"/>
    <w:rPr>
      <w:rFonts w:ascii="Times New Roman" w:eastAsia="Times New Roman" w:hAnsi="Times New Roman" w:cs="Times New Roman"/>
      <w:b/>
      <w:snapToGrid w:val="0"/>
      <w:kern w:val="28"/>
      <w:szCs w:val="20"/>
    </w:rPr>
  </w:style>
  <w:style w:type="paragraph" w:styleId="Footer">
    <w:name w:val="footer"/>
    <w:basedOn w:val="Normal"/>
    <w:link w:val="FooterChar"/>
    <w:rsid w:val="00795CDA"/>
    <w:pPr>
      <w:tabs>
        <w:tab w:val="center" w:pos="4320"/>
        <w:tab w:val="right" w:pos="8640"/>
      </w:tabs>
    </w:pPr>
  </w:style>
  <w:style w:type="character" w:customStyle="1" w:styleId="FooterChar">
    <w:name w:val="Footer Char"/>
    <w:basedOn w:val="DefaultParagraphFont"/>
    <w:link w:val="Footer"/>
    <w:rsid w:val="00DB53E2"/>
    <w:rPr>
      <w:rFonts w:ascii="Times New Roman" w:eastAsia="Times New Roman" w:hAnsi="Times New Roman" w:cs="Times New Roman"/>
      <w:snapToGrid w:val="0"/>
      <w:kern w:val="28"/>
      <w:szCs w:val="20"/>
    </w:rPr>
  </w:style>
  <w:style w:type="paragraph" w:styleId="PlainText">
    <w:name w:val="Plain Text"/>
    <w:basedOn w:val="Normal"/>
    <w:link w:val="PlainTextChar"/>
    <w:uiPriority w:val="99"/>
    <w:semiHidden/>
    <w:unhideWhenUsed/>
    <w:rsid w:val="00DB53E2"/>
    <w:rPr>
      <w:rFonts w:ascii="Consolas" w:hAnsi="Consolas" w:cs="Consolas"/>
      <w:sz w:val="21"/>
      <w:szCs w:val="21"/>
    </w:rPr>
  </w:style>
  <w:style w:type="character" w:customStyle="1" w:styleId="PlainTextChar">
    <w:name w:val="Plain Text Char"/>
    <w:basedOn w:val="DefaultParagraphFont"/>
    <w:link w:val="PlainText"/>
    <w:uiPriority w:val="99"/>
    <w:semiHidden/>
    <w:rsid w:val="00DB53E2"/>
    <w:rPr>
      <w:rFonts w:ascii="Consolas" w:hAnsi="Consolas" w:cs="Consolas"/>
      <w:sz w:val="21"/>
      <w:szCs w:val="21"/>
    </w:rPr>
  </w:style>
  <w:style w:type="paragraph" w:customStyle="1" w:styleId="ParaNum">
    <w:name w:val="ParaNum"/>
    <w:basedOn w:val="Normal"/>
    <w:rsid w:val="00795CDA"/>
    <w:pPr>
      <w:numPr>
        <w:numId w:val="4"/>
      </w:numPr>
      <w:tabs>
        <w:tab w:val="clear" w:pos="1080"/>
        <w:tab w:val="num" w:pos="1440"/>
      </w:tabs>
      <w:spacing w:after="120"/>
    </w:pPr>
  </w:style>
  <w:style w:type="character" w:styleId="FootnoteReference">
    <w:name w:val="footnote reference"/>
    <w:aliases w:val="Style 4,Style 12,(NECG) Footnote Reference,Appel note de bas de p,Style 124,Style 13,o,fr,Style 3"/>
    <w:rsid w:val="00795CDA"/>
    <w:rPr>
      <w:rFonts w:ascii="Times New Roman" w:hAnsi="Times New Roman"/>
      <w:dstrike w:val="0"/>
      <w:color w:val="auto"/>
      <w:sz w:val="20"/>
      <w:vertAlign w:val="superscript"/>
    </w:rPr>
  </w:style>
  <w:style w:type="character" w:styleId="PageNumber">
    <w:name w:val="page number"/>
    <w:basedOn w:val="DefaultParagraphFont"/>
    <w:rsid w:val="00795CDA"/>
  </w:style>
  <w:style w:type="character" w:customStyle="1" w:styleId="Heading1Char">
    <w:name w:val="Heading 1 Char"/>
    <w:basedOn w:val="DefaultParagraphFont"/>
    <w:link w:val="Heading1"/>
    <w:rsid w:val="0060170A"/>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60170A"/>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60170A"/>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60170A"/>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60170A"/>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60170A"/>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60170A"/>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60170A"/>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60170A"/>
    <w:rPr>
      <w:rFonts w:ascii="Times New Roman" w:eastAsia="Times New Roman" w:hAnsi="Times New Roman" w:cs="Times New Roman"/>
      <w:b/>
      <w:snapToGrid w:val="0"/>
      <w:kern w:val="28"/>
      <w:szCs w:val="20"/>
    </w:rPr>
  </w:style>
  <w:style w:type="paragraph" w:styleId="EndnoteText">
    <w:name w:val="endnote text"/>
    <w:basedOn w:val="Normal"/>
    <w:link w:val="EndnoteTextChar"/>
    <w:semiHidden/>
    <w:rsid w:val="00795CDA"/>
    <w:rPr>
      <w:sz w:val="20"/>
    </w:rPr>
  </w:style>
  <w:style w:type="character" w:customStyle="1" w:styleId="EndnoteTextChar">
    <w:name w:val="Endnote Text Char"/>
    <w:basedOn w:val="DefaultParagraphFont"/>
    <w:link w:val="EndnoteText"/>
    <w:semiHidden/>
    <w:rsid w:val="0060170A"/>
    <w:rPr>
      <w:rFonts w:ascii="Times New Roman" w:eastAsia="Times New Roman" w:hAnsi="Times New Roman" w:cs="Times New Roman"/>
      <w:snapToGrid w:val="0"/>
      <w:kern w:val="28"/>
      <w:sz w:val="20"/>
      <w:szCs w:val="20"/>
    </w:rPr>
  </w:style>
  <w:style w:type="character" w:styleId="EndnoteReference">
    <w:name w:val="endnote reference"/>
    <w:semiHidden/>
    <w:rsid w:val="00795CDA"/>
    <w:rPr>
      <w:vertAlign w:val="superscript"/>
    </w:rPr>
  </w:style>
  <w:style w:type="paragraph" w:styleId="TOC1">
    <w:name w:val="toc 1"/>
    <w:basedOn w:val="Normal"/>
    <w:next w:val="Normal"/>
    <w:semiHidden/>
    <w:rsid w:val="00795CDA"/>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795CDA"/>
    <w:pPr>
      <w:tabs>
        <w:tab w:val="left" w:pos="720"/>
        <w:tab w:val="right" w:leader="dot" w:pos="9360"/>
      </w:tabs>
      <w:suppressAutoHyphens/>
      <w:ind w:left="720" w:right="720" w:hanging="360"/>
    </w:pPr>
    <w:rPr>
      <w:noProof/>
    </w:rPr>
  </w:style>
  <w:style w:type="paragraph" w:styleId="TOC3">
    <w:name w:val="toc 3"/>
    <w:basedOn w:val="Normal"/>
    <w:next w:val="Normal"/>
    <w:semiHidden/>
    <w:rsid w:val="00795CD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95CD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95CD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95CD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95CD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95CD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95CD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95CDA"/>
    <w:pPr>
      <w:tabs>
        <w:tab w:val="right" w:pos="9360"/>
      </w:tabs>
      <w:suppressAutoHyphens/>
    </w:pPr>
  </w:style>
  <w:style w:type="character" w:customStyle="1" w:styleId="EquationCaption">
    <w:name w:val="_Equation Caption"/>
    <w:rsid w:val="00795CDA"/>
  </w:style>
  <w:style w:type="paragraph" w:styleId="BlockText">
    <w:name w:val="Block Text"/>
    <w:basedOn w:val="Normal"/>
    <w:rsid w:val="00795CDA"/>
    <w:pPr>
      <w:spacing w:after="240"/>
      <w:ind w:left="1440" w:right="1440"/>
    </w:pPr>
  </w:style>
  <w:style w:type="paragraph" w:customStyle="1" w:styleId="Paratitle">
    <w:name w:val="Para title"/>
    <w:basedOn w:val="Normal"/>
    <w:rsid w:val="00795CDA"/>
    <w:pPr>
      <w:tabs>
        <w:tab w:val="center" w:pos="9270"/>
      </w:tabs>
      <w:spacing w:after="240"/>
    </w:pPr>
    <w:rPr>
      <w:spacing w:val="-2"/>
    </w:rPr>
  </w:style>
  <w:style w:type="paragraph" w:customStyle="1" w:styleId="Bullet">
    <w:name w:val="Bullet"/>
    <w:basedOn w:val="Normal"/>
    <w:rsid w:val="00795CDA"/>
    <w:pPr>
      <w:tabs>
        <w:tab w:val="left" w:pos="2160"/>
      </w:tabs>
      <w:spacing w:after="220"/>
      <w:ind w:left="2160" w:hanging="720"/>
    </w:pPr>
  </w:style>
  <w:style w:type="paragraph" w:customStyle="1" w:styleId="TableFormat">
    <w:name w:val="TableFormat"/>
    <w:basedOn w:val="Bullet"/>
    <w:rsid w:val="00795CDA"/>
    <w:pPr>
      <w:tabs>
        <w:tab w:val="clear" w:pos="2160"/>
        <w:tab w:val="left" w:pos="5040"/>
      </w:tabs>
      <w:ind w:left="5040" w:hanging="3600"/>
    </w:pPr>
  </w:style>
  <w:style w:type="paragraph" w:customStyle="1" w:styleId="TOCTitle">
    <w:name w:val="TOC Title"/>
    <w:basedOn w:val="Normal"/>
    <w:rsid w:val="00795CD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95CDA"/>
    <w:pPr>
      <w:jc w:val="center"/>
    </w:pPr>
    <w:rPr>
      <w:rFonts w:ascii="Times New Roman Bold" w:hAnsi="Times New Roman Bold"/>
      <w:b/>
      <w:bCs/>
      <w:caps/>
      <w:szCs w:val="22"/>
    </w:rPr>
  </w:style>
  <w:style w:type="character" w:styleId="Hyperlink">
    <w:name w:val="Hyperlink"/>
    <w:rsid w:val="00795CDA"/>
    <w:rPr>
      <w:color w:val="0000FF"/>
      <w:u w:val="single"/>
    </w:rPr>
  </w:style>
  <w:style w:type="character" w:styleId="CommentReference">
    <w:name w:val="annotation reference"/>
    <w:basedOn w:val="DefaultParagraphFont"/>
    <w:uiPriority w:val="99"/>
    <w:semiHidden/>
    <w:unhideWhenUsed/>
    <w:rsid w:val="00CB66D4"/>
    <w:rPr>
      <w:sz w:val="16"/>
      <w:szCs w:val="16"/>
    </w:rPr>
  </w:style>
  <w:style w:type="paragraph" w:styleId="CommentText">
    <w:name w:val="annotation text"/>
    <w:basedOn w:val="Normal"/>
    <w:link w:val="CommentTextChar"/>
    <w:uiPriority w:val="99"/>
    <w:semiHidden/>
    <w:unhideWhenUsed/>
    <w:rsid w:val="00CB66D4"/>
    <w:rPr>
      <w:sz w:val="20"/>
    </w:rPr>
  </w:style>
  <w:style w:type="character" w:customStyle="1" w:styleId="CommentTextChar">
    <w:name w:val="Comment Text Char"/>
    <w:basedOn w:val="DefaultParagraphFont"/>
    <w:link w:val="CommentText"/>
    <w:uiPriority w:val="99"/>
    <w:semiHidden/>
    <w:rsid w:val="00CB66D4"/>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CB66D4"/>
    <w:rPr>
      <w:b/>
      <w:bCs/>
    </w:rPr>
  </w:style>
  <w:style w:type="character" w:customStyle="1" w:styleId="CommentSubjectChar">
    <w:name w:val="Comment Subject Char"/>
    <w:basedOn w:val="CommentTextChar"/>
    <w:link w:val="CommentSubject"/>
    <w:uiPriority w:val="99"/>
    <w:semiHidden/>
    <w:rsid w:val="00CB66D4"/>
    <w:rPr>
      <w:rFonts w:ascii="Times New Roman" w:eastAsia="Times New Roman" w:hAnsi="Times New Roman" w:cs="Times New Roman"/>
      <w:b/>
      <w:bCs/>
      <w:snapToGrid w:val="0"/>
      <w:kern w:val="28"/>
      <w:sz w:val="20"/>
      <w:szCs w:val="20"/>
    </w:rPr>
  </w:style>
  <w:style w:type="paragraph" w:styleId="BalloonText">
    <w:name w:val="Balloon Text"/>
    <w:basedOn w:val="Normal"/>
    <w:link w:val="BalloonTextChar"/>
    <w:uiPriority w:val="99"/>
    <w:semiHidden/>
    <w:unhideWhenUsed/>
    <w:rsid w:val="00CB66D4"/>
    <w:rPr>
      <w:rFonts w:ascii="Tahoma" w:hAnsi="Tahoma" w:cs="Tahoma"/>
      <w:sz w:val="16"/>
      <w:szCs w:val="16"/>
    </w:rPr>
  </w:style>
  <w:style w:type="character" w:customStyle="1" w:styleId="BalloonTextChar">
    <w:name w:val="Balloon Text Char"/>
    <w:basedOn w:val="DefaultParagraphFont"/>
    <w:link w:val="BalloonText"/>
    <w:uiPriority w:val="99"/>
    <w:semiHidden/>
    <w:rsid w:val="00CB66D4"/>
    <w:rPr>
      <w:rFonts w:ascii="Tahoma" w:eastAsia="Times New Roman" w:hAnsi="Tahoma" w:cs="Tahoma"/>
      <w:snapToGrid w:val="0"/>
      <w:kern w:val="28"/>
      <w:sz w:val="16"/>
      <w:szCs w:val="16"/>
    </w:rPr>
  </w:style>
  <w:style w:type="paragraph" w:styleId="Revision">
    <w:name w:val="Revision"/>
    <w:hidden/>
    <w:uiPriority w:val="99"/>
    <w:semiHidden/>
    <w:rsid w:val="005F6BE7"/>
    <w:pPr>
      <w:spacing w:after="0" w:line="240" w:lineRule="auto"/>
    </w:pPr>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715293">
      <w:bodyDiv w:val="1"/>
      <w:marLeft w:val="0"/>
      <w:marRight w:val="0"/>
      <w:marTop w:val="0"/>
      <w:marBottom w:val="0"/>
      <w:divBdr>
        <w:top w:val="none" w:sz="0" w:space="0" w:color="auto"/>
        <w:left w:val="none" w:sz="0" w:space="0" w:color="auto"/>
        <w:bottom w:val="none" w:sz="0" w:space="0" w:color="auto"/>
        <w:right w:val="none" w:sz="0" w:space="0" w:color="auto"/>
      </w:divBdr>
      <w:divsChild>
        <w:div w:id="1735395407">
          <w:marLeft w:val="0"/>
          <w:marRight w:val="0"/>
          <w:marTop w:val="0"/>
          <w:marBottom w:val="0"/>
          <w:divBdr>
            <w:top w:val="none" w:sz="0" w:space="0" w:color="auto"/>
            <w:left w:val="none" w:sz="0" w:space="0" w:color="auto"/>
            <w:bottom w:val="none" w:sz="0" w:space="0" w:color="auto"/>
            <w:right w:val="none" w:sz="0" w:space="0" w:color="auto"/>
          </w:divBdr>
          <w:divsChild>
            <w:div w:id="188170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756599">
      <w:bodyDiv w:val="1"/>
      <w:marLeft w:val="0"/>
      <w:marRight w:val="0"/>
      <w:marTop w:val="0"/>
      <w:marBottom w:val="0"/>
      <w:divBdr>
        <w:top w:val="none" w:sz="0" w:space="0" w:color="auto"/>
        <w:left w:val="none" w:sz="0" w:space="0" w:color="auto"/>
        <w:bottom w:val="none" w:sz="0" w:space="0" w:color="auto"/>
        <w:right w:val="none" w:sz="0" w:space="0" w:color="auto"/>
      </w:divBdr>
      <w:divsChild>
        <w:div w:id="454494741">
          <w:marLeft w:val="0"/>
          <w:marRight w:val="0"/>
          <w:marTop w:val="0"/>
          <w:marBottom w:val="0"/>
          <w:divBdr>
            <w:top w:val="none" w:sz="0" w:space="0" w:color="auto"/>
            <w:left w:val="none" w:sz="0" w:space="0" w:color="auto"/>
            <w:bottom w:val="none" w:sz="0" w:space="0" w:color="auto"/>
            <w:right w:val="none" w:sz="0" w:space="0" w:color="auto"/>
          </w:divBdr>
          <w:divsChild>
            <w:div w:id="116905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564024">
      <w:bodyDiv w:val="1"/>
      <w:marLeft w:val="0"/>
      <w:marRight w:val="0"/>
      <w:marTop w:val="0"/>
      <w:marBottom w:val="0"/>
      <w:divBdr>
        <w:top w:val="none" w:sz="0" w:space="0" w:color="auto"/>
        <w:left w:val="none" w:sz="0" w:space="0" w:color="auto"/>
        <w:bottom w:val="none" w:sz="0" w:space="0" w:color="auto"/>
        <w:right w:val="none" w:sz="0" w:space="0" w:color="auto"/>
      </w:divBdr>
      <w:divsChild>
        <w:div w:id="1522937311">
          <w:marLeft w:val="0"/>
          <w:marRight w:val="0"/>
          <w:marTop w:val="0"/>
          <w:marBottom w:val="0"/>
          <w:divBdr>
            <w:top w:val="none" w:sz="0" w:space="0" w:color="auto"/>
            <w:left w:val="none" w:sz="0" w:space="0" w:color="auto"/>
            <w:bottom w:val="none" w:sz="0" w:space="0" w:color="auto"/>
            <w:right w:val="none" w:sz="0" w:space="0" w:color="auto"/>
          </w:divBdr>
          <w:divsChild>
            <w:div w:id="7381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45749">
      <w:bodyDiv w:val="1"/>
      <w:marLeft w:val="0"/>
      <w:marRight w:val="0"/>
      <w:marTop w:val="0"/>
      <w:marBottom w:val="0"/>
      <w:divBdr>
        <w:top w:val="none" w:sz="0" w:space="0" w:color="auto"/>
        <w:left w:val="none" w:sz="0" w:space="0" w:color="auto"/>
        <w:bottom w:val="none" w:sz="0" w:space="0" w:color="auto"/>
        <w:right w:val="none" w:sz="0" w:space="0" w:color="auto"/>
      </w:divBdr>
    </w:div>
    <w:div w:id="1645282172">
      <w:bodyDiv w:val="1"/>
      <w:marLeft w:val="0"/>
      <w:marRight w:val="0"/>
      <w:marTop w:val="0"/>
      <w:marBottom w:val="0"/>
      <w:divBdr>
        <w:top w:val="none" w:sz="0" w:space="0" w:color="auto"/>
        <w:left w:val="none" w:sz="0" w:space="0" w:color="auto"/>
        <w:bottom w:val="none" w:sz="0" w:space="0" w:color="auto"/>
        <w:right w:val="none" w:sz="0" w:space="0" w:color="auto"/>
      </w:divBdr>
      <w:divsChild>
        <w:div w:id="2037804052">
          <w:marLeft w:val="0"/>
          <w:marRight w:val="0"/>
          <w:marTop w:val="0"/>
          <w:marBottom w:val="0"/>
          <w:divBdr>
            <w:top w:val="none" w:sz="0" w:space="0" w:color="auto"/>
            <w:left w:val="none" w:sz="0" w:space="0" w:color="auto"/>
            <w:bottom w:val="none" w:sz="0" w:space="0" w:color="auto"/>
            <w:right w:val="none" w:sz="0" w:space="0" w:color="auto"/>
          </w:divBdr>
          <w:divsChild>
            <w:div w:id="99453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672643">
      <w:bodyDiv w:val="1"/>
      <w:marLeft w:val="0"/>
      <w:marRight w:val="0"/>
      <w:marTop w:val="0"/>
      <w:marBottom w:val="0"/>
      <w:divBdr>
        <w:top w:val="none" w:sz="0" w:space="0" w:color="auto"/>
        <w:left w:val="none" w:sz="0" w:space="0" w:color="auto"/>
        <w:bottom w:val="none" w:sz="0" w:space="0" w:color="auto"/>
        <w:right w:val="none" w:sz="0" w:space="0" w:color="auto"/>
      </w:divBdr>
      <w:divsChild>
        <w:div w:id="474957515">
          <w:marLeft w:val="0"/>
          <w:marRight w:val="0"/>
          <w:marTop w:val="0"/>
          <w:marBottom w:val="0"/>
          <w:divBdr>
            <w:top w:val="none" w:sz="0" w:space="0" w:color="auto"/>
            <w:left w:val="none" w:sz="0" w:space="0" w:color="auto"/>
            <w:bottom w:val="none" w:sz="0" w:space="0" w:color="auto"/>
            <w:right w:val="none" w:sz="0" w:space="0" w:color="auto"/>
          </w:divBdr>
          <w:divsChild>
            <w:div w:id="33627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327686">
      <w:bodyDiv w:val="1"/>
      <w:marLeft w:val="0"/>
      <w:marRight w:val="0"/>
      <w:marTop w:val="0"/>
      <w:marBottom w:val="0"/>
      <w:divBdr>
        <w:top w:val="none" w:sz="0" w:space="0" w:color="auto"/>
        <w:left w:val="none" w:sz="0" w:space="0" w:color="auto"/>
        <w:bottom w:val="none" w:sz="0" w:space="0" w:color="auto"/>
        <w:right w:val="none" w:sz="0" w:space="0" w:color="auto"/>
      </w:divBdr>
      <w:divsChild>
        <w:div w:id="1498956814">
          <w:marLeft w:val="0"/>
          <w:marRight w:val="0"/>
          <w:marTop w:val="0"/>
          <w:marBottom w:val="0"/>
          <w:divBdr>
            <w:top w:val="none" w:sz="0" w:space="0" w:color="auto"/>
            <w:left w:val="none" w:sz="0" w:space="0" w:color="auto"/>
            <w:bottom w:val="none" w:sz="0" w:space="0" w:color="auto"/>
            <w:right w:val="none" w:sz="0" w:space="0" w:color="auto"/>
          </w:divBdr>
          <w:divsChild>
            <w:div w:id="18180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4</Pages>
  <Words>1286</Words>
  <Characters>7050</Characters>
  <Application>Microsoft Office Word</Application>
  <DocSecurity>0</DocSecurity>
  <Lines>123</Lines>
  <Paragraphs>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8370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2015-02-11T21:21:00Z</dcterms:created>
  <dcterms:modified xsi:type="dcterms:W3CDTF">2015-02-11T21:21:00Z</dcterms:modified>
  <cp:category> </cp:category>
  <cp:contentStatus> </cp:contentStatus>
</cp:coreProperties>
</file>