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BD" w:rsidRDefault="001606BD" w:rsidP="001606B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1606BD" w:rsidRDefault="001606BD" w:rsidP="001606BD">
      <w:pPr>
        <w:pStyle w:val="StyleBoldCentered"/>
        <w:widowControl/>
      </w:pPr>
      <w:r>
        <w:t>F</w:t>
      </w:r>
      <w:r>
        <w:rPr>
          <w:caps w:val="0"/>
        </w:rPr>
        <w:t>ederal Communications Commission</w:t>
      </w:r>
    </w:p>
    <w:p w:rsidR="00921803" w:rsidRDefault="001606BD" w:rsidP="00921803">
      <w:pPr>
        <w:pStyle w:val="StyleBoldCentered"/>
      </w:pPr>
      <w:r w:rsidRPr="000637CA">
        <w:rPr>
          <w:caps w:val="0"/>
        </w:rPr>
        <w:t>Washington</w:t>
      </w:r>
      <w:r>
        <w:t>, D.C. 20554</w:t>
      </w:r>
    </w:p>
    <w:p w:rsidR="004C2EE3" w:rsidRDefault="004C2EE3" w:rsidP="0070224F"/>
    <w:p w:rsidR="00D970D5" w:rsidRDefault="00D970D5"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w:t>
            </w:r>
            <w:r w:rsidR="001606BD">
              <w:rPr>
                <w:spacing w:val="-2"/>
              </w:rPr>
              <w:t>s</w:t>
            </w:r>
            <w:r>
              <w:rPr>
                <w:spacing w:val="-2"/>
              </w:rPr>
              <w:t xml:space="preserve"> of</w:t>
            </w:r>
          </w:p>
          <w:p w:rsidR="004C2EE3" w:rsidRDefault="004C2EE3">
            <w:pPr>
              <w:tabs>
                <w:tab w:val="center" w:pos="4680"/>
              </w:tabs>
              <w:suppressAutoHyphens/>
              <w:rPr>
                <w:spacing w:val="-2"/>
              </w:rPr>
            </w:pPr>
          </w:p>
          <w:p w:rsidR="004C2EE3" w:rsidRDefault="00631AB7" w:rsidP="007115F7">
            <w:pPr>
              <w:tabs>
                <w:tab w:val="center" w:pos="4680"/>
              </w:tabs>
              <w:suppressAutoHyphens/>
              <w:rPr>
                <w:spacing w:val="-2"/>
              </w:rPr>
            </w:pPr>
            <w:r>
              <w:rPr>
                <w:spacing w:val="-2"/>
              </w:rPr>
              <w:t>Special Access for Price Cap Local Exchange Carriers</w:t>
            </w:r>
          </w:p>
          <w:p w:rsidR="00631AB7" w:rsidRDefault="00631AB7" w:rsidP="007115F7">
            <w:pPr>
              <w:tabs>
                <w:tab w:val="center" w:pos="4680"/>
              </w:tabs>
              <w:suppressAutoHyphens/>
              <w:rPr>
                <w:spacing w:val="-2"/>
              </w:rPr>
            </w:pPr>
          </w:p>
          <w:p w:rsidR="00631AB7" w:rsidRDefault="00631AB7" w:rsidP="007115F7">
            <w:pPr>
              <w:tabs>
                <w:tab w:val="center" w:pos="4680"/>
              </w:tabs>
              <w:suppressAutoHyphens/>
              <w:rPr>
                <w:spacing w:val="-2"/>
              </w:rPr>
            </w:pPr>
            <w:r>
              <w:rPr>
                <w:spacing w:val="-2"/>
              </w:rPr>
              <w:t xml:space="preserve">AT&amp;T Corporation Petition for Rulemaking to Reform Regulation of Incumbent Local Exchange Carrier Rates for Interstate Special Access </w:t>
            </w:r>
          </w:p>
          <w:p w:rsidR="00631AB7" w:rsidRPr="007115F7" w:rsidRDefault="00631AB7" w:rsidP="007115F7">
            <w:pPr>
              <w:tabs>
                <w:tab w:val="center" w:pos="4680"/>
              </w:tabs>
              <w:suppressAutoHyphens/>
              <w:rPr>
                <w:spacing w:val="-2"/>
              </w:rPr>
            </w:pPr>
            <w:r>
              <w:rPr>
                <w:spacing w:val="-2"/>
              </w:rPr>
              <w:t>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31AB7">
            <w:pPr>
              <w:tabs>
                <w:tab w:val="center" w:pos="4680"/>
              </w:tabs>
              <w:suppressAutoHyphens/>
              <w:rPr>
                <w:spacing w:val="-2"/>
              </w:rPr>
            </w:pPr>
            <w:r>
              <w:rPr>
                <w:spacing w:val="-2"/>
              </w:rPr>
              <w:t>WC Docket No. 05-25</w:t>
            </w:r>
          </w:p>
          <w:p w:rsidR="00631AB7" w:rsidRDefault="00631AB7">
            <w:pPr>
              <w:tabs>
                <w:tab w:val="center" w:pos="4680"/>
              </w:tabs>
              <w:suppressAutoHyphens/>
              <w:rPr>
                <w:spacing w:val="-2"/>
              </w:rPr>
            </w:pPr>
          </w:p>
          <w:p w:rsidR="00631AB7" w:rsidRDefault="00631AB7">
            <w:pPr>
              <w:tabs>
                <w:tab w:val="center" w:pos="4680"/>
              </w:tabs>
              <w:suppressAutoHyphens/>
              <w:rPr>
                <w:spacing w:val="-2"/>
              </w:rPr>
            </w:pPr>
          </w:p>
          <w:p w:rsidR="00631AB7" w:rsidRDefault="00631AB7">
            <w:pPr>
              <w:tabs>
                <w:tab w:val="center" w:pos="4680"/>
              </w:tabs>
              <w:suppressAutoHyphens/>
              <w:rPr>
                <w:spacing w:val="-2"/>
              </w:rPr>
            </w:pPr>
            <w:r>
              <w:rPr>
                <w:spacing w:val="-2"/>
              </w:rPr>
              <w:t>RM-10593</w:t>
            </w:r>
          </w:p>
        </w:tc>
      </w:tr>
    </w:tbl>
    <w:p w:rsidR="004C2EE3" w:rsidRDefault="004C2EE3" w:rsidP="0070224F"/>
    <w:p w:rsidR="001606BD" w:rsidRDefault="001606BD" w:rsidP="0070224F"/>
    <w:p w:rsidR="00841AB1" w:rsidRDefault="00631AB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E0FB5">
        <w:rPr>
          <w:b/>
          <w:spacing w:val="-2"/>
        </w:rPr>
        <w:t xml:space="preserve">February </w:t>
      </w:r>
      <w:r w:rsidR="0039330A">
        <w:rPr>
          <w:b/>
          <w:spacing w:val="-2"/>
        </w:rPr>
        <w:t>18</w:t>
      </w:r>
      <w:r w:rsidR="00EE0FB5">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0FB5">
        <w:rPr>
          <w:b/>
          <w:spacing w:val="-2"/>
        </w:rPr>
        <w:t xml:space="preserve">February </w:t>
      </w:r>
      <w:r w:rsidR="0039330A">
        <w:rPr>
          <w:b/>
          <w:spacing w:val="-2"/>
        </w:rPr>
        <w:t>18</w:t>
      </w:r>
      <w:r w:rsidR="00EE0FB5">
        <w:rPr>
          <w:b/>
          <w:spacing w:val="-2"/>
        </w:rPr>
        <w:t>, 2015</w:t>
      </w:r>
    </w:p>
    <w:p w:rsidR="00822CE0" w:rsidRDefault="00822CE0"/>
    <w:p w:rsidR="004C2EE3" w:rsidRDefault="004C2EE3">
      <w:pPr>
        <w:rPr>
          <w:spacing w:val="-2"/>
        </w:rPr>
      </w:pPr>
      <w:r>
        <w:t xml:space="preserve">By </w:t>
      </w:r>
      <w:r w:rsidR="004E4A22">
        <w:t>the</w:t>
      </w:r>
      <w:r w:rsidR="002A2D2E">
        <w:t xml:space="preserve"> </w:t>
      </w:r>
      <w:r w:rsidR="00631AB7">
        <w:rPr>
          <w:spacing w:val="-2"/>
        </w:rPr>
        <w:t>Associate Chief, Wireline Competition Bureau</w:t>
      </w:r>
      <w:r>
        <w:rPr>
          <w:spacing w:val="-2"/>
        </w:rPr>
        <w:t>:</w:t>
      </w:r>
    </w:p>
    <w:p w:rsidR="00412FC5" w:rsidRDefault="00412FC5" w:rsidP="00412FC5"/>
    <w:p w:rsidR="00631AB7" w:rsidRDefault="00631AB7" w:rsidP="00631AB7">
      <w:pPr>
        <w:pStyle w:val="ParaNum"/>
        <w:widowControl/>
        <w:tabs>
          <w:tab w:val="clear" w:pos="1080"/>
          <w:tab w:val="num" w:pos="1440"/>
        </w:tabs>
      </w:pPr>
      <w:r w:rsidRPr="007B3607">
        <w:t xml:space="preserve">In this </w:t>
      </w:r>
      <w:r>
        <w:t xml:space="preserve">Order, the Wireline Competition Bureau (Bureau) grants a request for a limited extension of </w:t>
      </w:r>
      <w:r w:rsidR="00376E37">
        <w:t>time</w:t>
      </w:r>
      <w:r>
        <w:t xml:space="preserve"> to respond </w:t>
      </w:r>
      <w:r w:rsidR="00D335AC">
        <w:t>to the</w:t>
      </w:r>
      <w:r>
        <w:t xml:space="preserve"> Commission’s data collection in the special access proceeding,</w:t>
      </w:r>
      <w:r>
        <w:rPr>
          <w:rStyle w:val="FootnoteReference"/>
        </w:rPr>
        <w:footnoteReference w:id="2"/>
      </w:r>
      <w:r>
        <w:t xml:space="preserve"> as filed by CenturyLink, Inc. (CenturyLink) on behalf of its subsidiaries.</w:t>
      </w:r>
      <w:r>
        <w:rPr>
          <w:rStyle w:val="FootnoteReference"/>
        </w:rPr>
        <w:footnoteReference w:id="3"/>
      </w:r>
      <w:r>
        <w:t xml:space="preserve">  As discussed below, </w:t>
      </w:r>
      <w:r w:rsidR="00376E37">
        <w:t>we e</w:t>
      </w:r>
      <w:r>
        <w:t>xten</w:t>
      </w:r>
      <w:r w:rsidR="00376E37">
        <w:t>d</w:t>
      </w:r>
      <w:r>
        <w:t xml:space="preserve"> the deadline </w:t>
      </w:r>
      <w:r w:rsidR="00376E37">
        <w:t xml:space="preserve">for CenturyLink </w:t>
      </w:r>
      <w:r>
        <w:t xml:space="preserve">to submit </w:t>
      </w:r>
      <w:r w:rsidR="00376E37">
        <w:t xml:space="preserve">its database container and </w:t>
      </w:r>
      <w:r>
        <w:t>response to Question II.A.5</w:t>
      </w:r>
      <w:r w:rsidR="00376E37">
        <w:t xml:space="preserve"> </w:t>
      </w:r>
      <w:r>
        <w:t xml:space="preserve">until February </w:t>
      </w:r>
      <w:r w:rsidR="006A1057">
        <w:t>20</w:t>
      </w:r>
      <w:r>
        <w:t>, 2015.</w:t>
      </w:r>
    </w:p>
    <w:p w:rsidR="00631AB7" w:rsidRDefault="00631AB7" w:rsidP="00F01858">
      <w:pPr>
        <w:pStyle w:val="ParaNum"/>
        <w:widowControl/>
        <w:tabs>
          <w:tab w:val="clear" w:pos="1080"/>
          <w:tab w:val="num" w:pos="1440"/>
        </w:tabs>
      </w:pPr>
      <w:r>
        <w:t>On December 18, 2012, t</w:t>
      </w:r>
      <w:r w:rsidRPr="00972562">
        <w:t xml:space="preserve">he Commission released the </w:t>
      </w:r>
      <w:r w:rsidRPr="00351AA0">
        <w:rPr>
          <w:i/>
        </w:rPr>
        <w:t>Data Collection Order</w:t>
      </w:r>
      <w:r w:rsidRPr="00972562">
        <w:t>, outlining a data collection for a comprehensive analysis of the special access market</w:t>
      </w:r>
      <w:r w:rsidR="009F1B0F">
        <w:t>,</w:t>
      </w:r>
      <w:r>
        <w:t xml:space="preserve"> and delegat</w:t>
      </w:r>
      <w:r w:rsidR="009F1B0F">
        <w:t>ing</w:t>
      </w:r>
      <w:r>
        <w:t xml:space="preserve"> authority to </w:t>
      </w:r>
      <w:r w:rsidR="000D7D9D">
        <w:t xml:space="preserve">the </w:t>
      </w:r>
      <w:r>
        <w:t>Bureau to implement the collection</w:t>
      </w:r>
      <w:r w:rsidRPr="00972562">
        <w:t>.</w:t>
      </w:r>
      <w:r>
        <w:rPr>
          <w:rStyle w:val="FootnoteReference"/>
        </w:rPr>
        <w:footnoteReference w:id="4"/>
      </w:r>
      <w:r w:rsidRPr="00972562">
        <w:t xml:space="preserve">  </w:t>
      </w:r>
      <w:r w:rsidR="00376E37">
        <w:t xml:space="preserve">The Bureau </w:t>
      </w:r>
      <w:r w:rsidR="000D7D9D">
        <w:t xml:space="preserve">subsequently </w:t>
      </w:r>
      <w:r w:rsidR="00376E37">
        <w:t>set December 15, 2014 as the deadline for responding to the collection</w:t>
      </w:r>
      <w:r w:rsidR="009F1B0F">
        <w:t>,</w:t>
      </w:r>
      <w:r w:rsidR="00376E37">
        <w:t xml:space="preserve"> and later extended this deadline to January 29, 2015 </w:t>
      </w:r>
      <w:r w:rsidR="00577010">
        <w:t xml:space="preserve">for </w:t>
      </w:r>
      <w:r>
        <w:t xml:space="preserve">large businesses </w:t>
      </w:r>
      <w:r>
        <w:lastRenderedPageBreak/>
        <w:t>with more than 1,500 employees</w:t>
      </w:r>
      <w:r w:rsidR="00376E37">
        <w:t>.</w:t>
      </w:r>
      <w:r w:rsidR="00376E37">
        <w:rPr>
          <w:rStyle w:val="FootnoteReference"/>
        </w:rPr>
        <w:footnoteReference w:id="5"/>
      </w:r>
      <w:r w:rsidR="00376E37">
        <w:t xml:space="preserve">  The deadline for </w:t>
      </w:r>
      <w:r>
        <w:t>small business</w:t>
      </w:r>
      <w:r w:rsidR="00376E37">
        <w:t>es</w:t>
      </w:r>
      <w:r>
        <w:t xml:space="preserve"> with 1,500 or fewer employees is February 27, 2015.</w:t>
      </w:r>
      <w:r>
        <w:rPr>
          <w:rStyle w:val="FootnoteReference"/>
        </w:rPr>
        <w:footnoteReference w:id="6"/>
      </w:r>
      <w:r w:rsidRPr="00905FE8">
        <w:t xml:space="preserve"> </w:t>
      </w:r>
    </w:p>
    <w:p w:rsidR="00631AB7" w:rsidRDefault="00AA581A" w:rsidP="00F86DBB">
      <w:pPr>
        <w:pStyle w:val="ParaNum"/>
      </w:pPr>
      <w:r>
        <w:t xml:space="preserve">On </w:t>
      </w:r>
      <w:r w:rsidR="00376E37">
        <w:t xml:space="preserve">the same day as the </w:t>
      </w:r>
      <w:r>
        <w:t>January 29, 2015</w:t>
      </w:r>
      <w:r w:rsidR="00376E37">
        <w:t xml:space="preserve"> filing deadline</w:t>
      </w:r>
      <w:r>
        <w:t xml:space="preserve">, </w:t>
      </w:r>
      <w:r w:rsidR="00631AB7">
        <w:t>CenturyLink</w:t>
      </w:r>
      <w:r w:rsidR="000D7D9D">
        <w:t>, a business with more than 1,500 employees,</w:t>
      </w:r>
      <w:r w:rsidR="00631AB7">
        <w:t xml:space="preserve"> filed a petition </w:t>
      </w:r>
      <w:r w:rsidR="00376E37">
        <w:t>seeking a limited extension of time</w:t>
      </w:r>
      <w:r w:rsidR="006515B1">
        <w:t>,</w:t>
      </w:r>
      <w:r w:rsidR="00376E37">
        <w:t xml:space="preserve"> until February 17, 2015</w:t>
      </w:r>
      <w:r w:rsidR="006515B1">
        <w:t>,</w:t>
      </w:r>
      <w:r w:rsidR="00631AB7">
        <w:t xml:space="preserve"> to submit </w:t>
      </w:r>
      <w:r w:rsidR="0081152C">
        <w:t xml:space="preserve">its </w:t>
      </w:r>
      <w:r w:rsidR="00376E37">
        <w:t xml:space="preserve">database container and its </w:t>
      </w:r>
      <w:r w:rsidR="0081152C">
        <w:t>response to Question II.A.5</w:t>
      </w:r>
      <w:r w:rsidR="006515B1">
        <w:t xml:space="preserve"> of the collection</w:t>
      </w:r>
      <w:r w:rsidR="0009000B">
        <w:t>.</w:t>
      </w:r>
      <w:r w:rsidR="0009000B">
        <w:rPr>
          <w:rStyle w:val="FootnoteReference"/>
        </w:rPr>
        <w:footnoteReference w:id="7"/>
      </w:r>
      <w:r w:rsidR="0009000B">
        <w:t xml:space="preserve">  </w:t>
      </w:r>
      <w:r w:rsidR="007E4F7F">
        <w:t xml:space="preserve">On February 13, 2015, </w:t>
      </w:r>
      <w:r w:rsidR="007E4F7F" w:rsidRPr="00EE3C20">
        <w:t xml:space="preserve">CenturyLink </w:t>
      </w:r>
      <w:r w:rsidR="007E4F7F">
        <w:t xml:space="preserve">supplemented this </w:t>
      </w:r>
      <w:r w:rsidR="007E4F7F" w:rsidRPr="00EE3C20">
        <w:t>request</w:t>
      </w:r>
      <w:r w:rsidR="007E4F7F">
        <w:t xml:space="preserve"> by seeking an additional three days</w:t>
      </w:r>
      <w:r w:rsidR="00A538FB">
        <w:t>,</w:t>
      </w:r>
      <w:r w:rsidR="007E4F7F">
        <w:t xml:space="preserve"> </w:t>
      </w:r>
      <w:r w:rsidR="007E4F7F" w:rsidRPr="00EE3C20">
        <w:t>until February 20, 2015</w:t>
      </w:r>
      <w:r w:rsidR="00A538FB">
        <w:t>,</w:t>
      </w:r>
      <w:r w:rsidR="007E4F7F">
        <w:t xml:space="preserve"> to respond.</w:t>
      </w:r>
      <w:r w:rsidR="007E4F7F">
        <w:rPr>
          <w:rStyle w:val="FootnoteReference"/>
        </w:rPr>
        <w:footnoteReference w:id="8"/>
      </w:r>
      <w:r w:rsidR="007E4F7F">
        <w:t xml:space="preserve">  </w:t>
      </w:r>
      <w:r w:rsidR="0009000B">
        <w:t>The database container is the mechanism by which filers report the quantitative data sought in the collection, e.g., locations with connections, billing information, etc.</w:t>
      </w:r>
      <w:r w:rsidR="0009000B">
        <w:rPr>
          <w:rStyle w:val="FootnoteReference"/>
        </w:rPr>
        <w:footnoteReference w:id="9"/>
      </w:r>
      <w:r w:rsidR="0009000B">
        <w:t xml:space="preserve">  </w:t>
      </w:r>
      <w:r w:rsidR="00D970D5">
        <w:t>CenturyLink states that, w</w:t>
      </w:r>
      <w:r w:rsidR="00A20410">
        <w:t xml:space="preserve">hen reviewing the data in advance of the filing deadline, </w:t>
      </w:r>
      <w:r w:rsidR="00D970D5">
        <w:t>it</w:t>
      </w:r>
      <w:r w:rsidR="00A20410">
        <w:t xml:space="preserve"> discovered</w:t>
      </w:r>
      <w:r w:rsidR="0009000B">
        <w:t xml:space="preserve"> “anomalies in several fields in the billing data collected . . . , which comprise close to 18 million records</w:t>
      </w:r>
      <w:r w:rsidR="00A20410">
        <w:t>.</w:t>
      </w:r>
      <w:r w:rsidR="0009000B">
        <w:t>”</w:t>
      </w:r>
      <w:r w:rsidR="00A20410">
        <w:rPr>
          <w:rStyle w:val="FootnoteReference"/>
        </w:rPr>
        <w:footnoteReference w:id="10"/>
      </w:r>
      <w:r w:rsidR="0009000B">
        <w:t xml:space="preserve"> </w:t>
      </w:r>
      <w:r w:rsidR="00A20410">
        <w:t xml:space="preserve"> CenturyLink therefore requests a limited extension </w:t>
      </w:r>
      <w:r w:rsidR="0009000B">
        <w:t>“to fix as many of these errors as possible.”</w:t>
      </w:r>
      <w:r w:rsidR="0009000B">
        <w:rPr>
          <w:rStyle w:val="FootnoteReference"/>
        </w:rPr>
        <w:footnoteReference w:id="11"/>
      </w:r>
      <w:r w:rsidR="0009000B">
        <w:t xml:space="preserve">  </w:t>
      </w:r>
      <w:r w:rsidR="00D970D5">
        <w:t xml:space="preserve">Regarding </w:t>
      </w:r>
      <w:r w:rsidR="0009000B">
        <w:t>Question II.A.5</w:t>
      </w:r>
      <w:r w:rsidR="000D7D9D">
        <w:t>, which</w:t>
      </w:r>
      <w:r w:rsidR="0009000B">
        <w:t xml:space="preserve"> calls for the provision of</w:t>
      </w:r>
      <w:r w:rsidR="00376E37">
        <w:t xml:space="preserve"> fiber route maps </w:t>
      </w:r>
      <w:r w:rsidR="0009000B">
        <w:t xml:space="preserve">from competitive providers </w:t>
      </w:r>
      <w:r w:rsidR="00376E37">
        <w:t>and the reporting of nodes used to interconnect with third</w:t>
      </w:r>
      <w:r w:rsidR="006515B1">
        <w:t>-</w:t>
      </w:r>
      <w:r w:rsidR="00376E37">
        <w:t>party networks, including the year the node went live</w:t>
      </w:r>
      <w:r w:rsidR="000D7D9D">
        <w:t xml:space="preserve">, </w:t>
      </w:r>
      <w:r w:rsidR="0009000B">
        <w:t>CenturyLink s</w:t>
      </w:r>
      <w:r w:rsidR="00A20410">
        <w:t>eeks</w:t>
      </w:r>
      <w:r w:rsidR="0009000B">
        <w:t xml:space="preserve"> additional time </w:t>
      </w:r>
      <w:r w:rsidR="00A20410">
        <w:t xml:space="preserve">to </w:t>
      </w:r>
      <w:r w:rsidR="000D7D9D">
        <w:t>respond</w:t>
      </w:r>
      <w:r w:rsidR="00A20410">
        <w:t xml:space="preserve"> </w:t>
      </w:r>
      <w:r w:rsidR="0009000B">
        <w:t>due to the “difficulty identifying the in-service date of the Nodes</w:t>
      </w:r>
      <w:r w:rsidR="00A20410">
        <w:t>.</w:t>
      </w:r>
      <w:r w:rsidR="0009000B">
        <w:t>”</w:t>
      </w:r>
      <w:r w:rsidR="00631AB7">
        <w:rPr>
          <w:rStyle w:val="FootnoteReference"/>
        </w:rPr>
        <w:footnoteReference w:id="12"/>
      </w:r>
      <w:r w:rsidR="00631AB7">
        <w:t xml:space="preserve">  </w:t>
      </w:r>
      <w:r w:rsidR="00387D5F">
        <w:t xml:space="preserve">CenturyLink </w:t>
      </w:r>
      <w:r w:rsidR="005C7CFB">
        <w:t xml:space="preserve">timely </w:t>
      </w:r>
      <w:r w:rsidR="00387D5F">
        <w:t xml:space="preserve">filed responses </w:t>
      </w:r>
      <w:r w:rsidR="0009000B">
        <w:t xml:space="preserve">for the remaining </w:t>
      </w:r>
      <w:r w:rsidR="000D7D9D">
        <w:t xml:space="preserve">collection </w:t>
      </w:r>
      <w:r w:rsidR="00A20410">
        <w:t xml:space="preserve">questions </w:t>
      </w:r>
      <w:r w:rsidR="0009000B">
        <w:t>not covered by the database container and Question II.A.5</w:t>
      </w:r>
      <w:r w:rsidR="00387D5F">
        <w:t>.</w:t>
      </w:r>
      <w:r w:rsidR="00387D5F">
        <w:rPr>
          <w:rStyle w:val="FootnoteReference"/>
        </w:rPr>
        <w:footnoteReference w:id="13"/>
      </w:r>
      <w:r w:rsidR="00387D5F">
        <w:t xml:space="preserve">  </w:t>
      </w:r>
    </w:p>
    <w:p w:rsidR="00850A8B" w:rsidRDefault="008466CA" w:rsidP="009620EB">
      <w:pPr>
        <w:pStyle w:val="ParaNum"/>
        <w:widowControl/>
        <w:tabs>
          <w:tab w:val="clear" w:pos="1080"/>
          <w:tab w:val="num" w:pos="1440"/>
        </w:tabs>
      </w:pPr>
      <w:r>
        <w:t>Waiver of the Commission’s rules is appropriate only if special circumstances warrant a deviation from the general</w:t>
      </w:r>
      <w:r w:rsidR="005615C7">
        <w:t xml:space="preserve"> rule, and such deviation will serve the public interest</w:t>
      </w:r>
      <w:r w:rsidR="00631AB7">
        <w:t>.</w:t>
      </w:r>
      <w:r w:rsidR="00701A4B" w:rsidRPr="002C6454">
        <w:rPr>
          <w:rStyle w:val="FootnoteTextChar"/>
          <w:vertAlign w:val="superscript"/>
        </w:rPr>
        <w:footnoteReference w:id="14"/>
      </w:r>
      <w:r w:rsidR="00701A4B" w:rsidRPr="002C6454">
        <w:rPr>
          <w:vertAlign w:val="superscript"/>
        </w:rPr>
        <w:t xml:space="preserve"> </w:t>
      </w:r>
      <w:r w:rsidR="00631AB7">
        <w:t xml:space="preserve"> </w:t>
      </w:r>
      <w:r w:rsidR="00AD68AF">
        <w:t>S</w:t>
      </w:r>
      <w:r w:rsidR="00AD68AF" w:rsidRPr="00F62A15">
        <w:t>ection 1.46 of the Commission’s rules provides that “[i]t is the policy of the Commission that extensions of time shall not be routinely granted.”</w:t>
      </w:r>
      <w:r w:rsidR="00AD68AF">
        <w:rPr>
          <w:rStyle w:val="FootnoteReference"/>
        </w:rPr>
        <w:footnoteReference w:id="15"/>
      </w:r>
      <w:r w:rsidR="00AD68AF" w:rsidRPr="00F62A15">
        <w:t xml:space="preserve"> </w:t>
      </w:r>
      <w:r w:rsidR="00AD68AF">
        <w:t xml:space="preserve"> </w:t>
      </w:r>
      <w:r w:rsidR="000D7D9D">
        <w:t>As noted by the Commission i</w:t>
      </w:r>
      <w:r w:rsidR="00631AB7">
        <w:t xml:space="preserve">n the </w:t>
      </w:r>
      <w:r w:rsidR="00631AB7" w:rsidRPr="00B67A52">
        <w:rPr>
          <w:i/>
        </w:rPr>
        <w:t>Data Collection Order</w:t>
      </w:r>
      <w:r w:rsidR="00631AB7">
        <w:t>, “although the Bureau may employ the existing waiver process under Commission rule 1.3 to waive some or all of the requirements of this [</w:t>
      </w:r>
      <w:r w:rsidR="00631AB7" w:rsidRPr="00B67A52">
        <w:rPr>
          <w:i/>
        </w:rPr>
        <w:t>Data Collection Order</w:t>
      </w:r>
      <w:r w:rsidR="00631AB7">
        <w:t xml:space="preserve">] for individual respondents where good cause is shown, </w:t>
      </w:r>
      <w:r w:rsidR="00B97F1D">
        <w:t xml:space="preserve">. . . </w:t>
      </w:r>
      <w:r w:rsidR="00631AB7">
        <w:t>such waivers must be narrowly tailored to the applicable circumstances.”</w:t>
      </w:r>
      <w:r w:rsidR="00701A4B">
        <w:rPr>
          <w:rStyle w:val="FootnoteReference"/>
        </w:rPr>
        <w:footnoteReference w:id="16"/>
      </w:r>
      <w:r w:rsidR="00F62A15">
        <w:t xml:space="preserve"> </w:t>
      </w:r>
    </w:p>
    <w:p w:rsidR="00631AB7" w:rsidRDefault="00776D91" w:rsidP="00120704">
      <w:pPr>
        <w:pStyle w:val="ParaNum"/>
        <w:widowControl/>
        <w:tabs>
          <w:tab w:val="clear" w:pos="1080"/>
        </w:tabs>
      </w:pPr>
      <w:r>
        <w:t>W</w:t>
      </w:r>
      <w:r w:rsidR="00631AB7">
        <w:t xml:space="preserve">e </w:t>
      </w:r>
      <w:r>
        <w:t>find</w:t>
      </w:r>
      <w:r w:rsidR="00631AB7">
        <w:t xml:space="preserve"> </w:t>
      </w:r>
      <w:r w:rsidR="006515B1">
        <w:t xml:space="preserve">that </w:t>
      </w:r>
      <w:r w:rsidR="00631AB7">
        <w:t xml:space="preserve">a modest extension of time </w:t>
      </w:r>
      <w:r w:rsidR="00A66D6C">
        <w:t xml:space="preserve">until February </w:t>
      </w:r>
      <w:r w:rsidR="00F86DBB">
        <w:t>20</w:t>
      </w:r>
      <w:r>
        <w:t xml:space="preserve">, 2015 </w:t>
      </w:r>
      <w:r w:rsidR="00631AB7">
        <w:t>is warranted</w:t>
      </w:r>
      <w:r w:rsidR="00A66D6C">
        <w:t>.</w:t>
      </w:r>
      <w:r w:rsidR="00631AB7">
        <w:t xml:space="preserve"> </w:t>
      </w:r>
      <w:r w:rsidR="00A66D6C">
        <w:t xml:space="preserve"> </w:t>
      </w:r>
      <w:r w:rsidR="00BA655F">
        <w:t xml:space="preserve">CenturyLink has actively participated </w:t>
      </w:r>
      <w:r w:rsidR="00A66D6C">
        <w:t>throughout the implementation process</w:t>
      </w:r>
      <w:r w:rsidR="00BA655F">
        <w:t xml:space="preserve"> and</w:t>
      </w:r>
      <w:r>
        <w:t xml:space="preserve"> has </w:t>
      </w:r>
      <w:r w:rsidR="00BA655F">
        <w:t xml:space="preserve">clearly </w:t>
      </w:r>
      <w:r>
        <w:t xml:space="preserve">invested </w:t>
      </w:r>
      <w:r>
        <w:lastRenderedPageBreak/>
        <w:t>significant time and resources into responding to the collection</w:t>
      </w:r>
      <w:r w:rsidR="00A66D6C">
        <w:t>.</w:t>
      </w:r>
      <w:r w:rsidR="00BA655F">
        <w:rPr>
          <w:rStyle w:val="FootnoteReference"/>
        </w:rPr>
        <w:footnoteReference w:id="17"/>
      </w:r>
      <w:r w:rsidR="00A66D6C">
        <w:t xml:space="preserve">  </w:t>
      </w:r>
      <w:r w:rsidR="00BA655F">
        <w:t xml:space="preserve">Notwithstanding these efforts, CenturyLink identified errors in the data culled from its various systems late in the process and requires an additional </w:t>
      </w:r>
      <w:r w:rsidR="00F86DBB">
        <w:t>twenty</w:t>
      </w:r>
      <w:r w:rsidR="007E4F7F">
        <w:t>-</w:t>
      </w:r>
      <w:r w:rsidR="00F86DBB">
        <w:t xml:space="preserve">two </w:t>
      </w:r>
      <w:r w:rsidR="00BA655F">
        <w:t>days to implement its plan to correct these errors.  Th</w:t>
      </w:r>
      <w:r w:rsidR="00D056B6">
        <w:t>e extension</w:t>
      </w:r>
      <w:r w:rsidR="00BA655F">
        <w:t xml:space="preserve"> will ultimately improve the quality of the data collected for the Commission’s analysis</w:t>
      </w:r>
      <w:r w:rsidR="0077097A">
        <w:t>,</w:t>
      </w:r>
      <w:r w:rsidR="00BA655F">
        <w:t xml:space="preserve"> </w:t>
      </w:r>
      <w:r w:rsidR="00D056B6">
        <w:t>and</w:t>
      </w:r>
      <w:r w:rsidR="00BA655F">
        <w:t xml:space="preserve"> </w:t>
      </w:r>
      <w:r w:rsidR="00A66D6C">
        <w:t>not</w:t>
      </w:r>
      <w:r>
        <w:t xml:space="preserve"> unduly delay the underlying proceeding as the Bureau continues to receive data until the February 27, 2015 deadline f</w:t>
      </w:r>
      <w:r w:rsidR="0077097A">
        <w:t>or</w:t>
      </w:r>
      <w:r>
        <w:t xml:space="preserve"> small businesses.  </w:t>
      </w:r>
      <w:r w:rsidR="00D970D5">
        <w:t>Granting CenturyLink a l</w:t>
      </w:r>
      <w:r>
        <w:t xml:space="preserve">imited </w:t>
      </w:r>
      <w:r w:rsidR="00D970D5">
        <w:t>extension of time</w:t>
      </w:r>
      <w:r w:rsidR="00A66D6C">
        <w:t xml:space="preserve"> </w:t>
      </w:r>
      <w:r>
        <w:t xml:space="preserve">is </w:t>
      </w:r>
      <w:r w:rsidR="00AB7B99">
        <w:t xml:space="preserve">therefore </w:t>
      </w:r>
      <w:r>
        <w:t>in</w:t>
      </w:r>
      <w:r w:rsidR="00631AB7">
        <w:t xml:space="preserve"> the public interest</w:t>
      </w:r>
      <w:r w:rsidR="00A66D6C">
        <w:t>.</w:t>
      </w:r>
      <w:r w:rsidR="0035400F">
        <w:rPr>
          <w:rStyle w:val="FootnoteReference"/>
        </w:rPr>
        <w:footnoteReference w:id="18"/>
      </w:r>
      <w:r w:rsidR="00631AB7">
        <w:t xml:space="preserve"> </w:t>
      </w:r>
      <w:r w:rsidR="009E0C1D">
        <w:t xml:space="preserve"> </w:t>
      </w:r>
    </w:p>
    <w:p w:rsidR="00631AB7" w:rsidRDefault="00631AB7" w:rsidP="00120704">
      <w:pPr>
        <w:pStyle w:val="ParaNum"/>
        <w:widowControl/>
        <w:tabs>
          <w:tab w:val="clear" w:pos="1080"/>
          <w:tab w:val="num" w:pos="1440"/>
        </w:tabs>
      </w:pPr>
      <w:r>
        <w:t xml:space="preserve">Accordingly, IT IS ORDERED, pursuant to sections 1, 4(i), and 5(c) of the Communications Act of 1934, as amended, 47 U.S.C. §§ 151, 154(i), and 155(c), and sections 0.91, 0.291, 1.3, and 1.46 of the Commission’s rules, 47 C.F.R. §§ 0.91, 0.291, 1.3, and 1.46, </w:t>
      </w:r>
      <w:r w:rsidR="0077097A">
        <w:t xml:space="preserve">that </w:t>
      </w:r>
      <w:r>
        <w:t xml:space="preserve">the petition </w:t>
      </w:r>
      <w:r w:rsidR="00FE5049">
        <w:t xml:space="preserve">and supplemental letter </w:t>
      </w:r>
      <w:r w:rsidR="00A66D6C">
        <w:t xml:space="preserve">filed by CenturyLink, Inc. </w:t>
      </w:r>
      <w:r>
        <w:t xml:space="preserve">for </w:t>
      </w:r>
      <w:r w:rsidR="00A66D6C">
        <w:t xml:space="preserve">limited </w:t>
      </w:r>
      <w:r>
        <w:t xml:space="preserve">waiver of the January 29, 2015 </w:t>
      </w:r>
      <w:r w:rsidR="0077097A">
        <w:t xml:space="preserve">data </w:t>
      </w:r>
      <w:r>
        <w:t>collection deadline</w:t>
      </w:r>
      <w:r w:rsidR="0077097A">
        <w:t>,</w:t>
      </w:r>
      <w:r>
        <w:t xml:space="preserve"> until February </w:t>
      </w:r>
      <w:r w:rsidR="00F86DBB">
        <w:t>20</w:t>
      </w:r>
      <w:r>
        <w:t xml:space="preserve">, 2015, </w:t>
      </w:r>
      <w:r w:rsidR="00254CCA">
        <w:t xml:space="preserve">ARE </w:t>
      </w:r>
      <w:r>
        <w:t>GRANTED</w:t>
      </w:r>
      <w:r w:rsidR="00A66D6C">
        <w:t xml:space="preserve"> to the extent described herein</w:t>
      </w:r>
      <w:r>
        <w:t>.</w:t>
      </w:r>
    </w:p>
    <w:p w:rsidR="00CA043F" w:rsidRDefault="00CA043F" w:rsidP="00CA043F">
      <w:pPr>
        <w:pStyle w:val="ParaNum"/>
        <w:numPr>
          <w:ilvl w:val="0"/>
          <w:numId w:val="0"/>
        </w:numPr>
        <w:ind w:left="720"/>
      </w:pPr>
    </w:p>
    <w:p w:rsidR="00631AB7" w:rsidRDefault="00631AB7" w:rsidP="00701A4B">
      <w:pPr>
        <w:pStyle w:val="ParaNum"/>
        <w:numPr>
          <w:ilvl w:val="0"/>
          <w:numId w:val="0"/>
        </w:numPr>
        <w:ind w:left="4320"/>
      </w:pPr>
      <w:r>
        <w:t>FEDERAL COMMUNICATIONS COMMISSION</w:t>
      </w:r>
    </w:p>
    <w:p w:rsidR="00631AB7" w:rsidRDefault="00631AB7" w:rsidP="00701A4B">
      <w:pPr>
        <w:pStyle w:val="ParaNum"/>
        <w:numPr>
          <w:ilvl w:val="0"/>
          <w:numId w:val="0"/>
        </w:numPr>
        <w:ind w:left="720"/>
      </w:pPr>
    </w:p>
    <w:p w:rsidR="00673921" w:rsidRDefault="00673921" w:rsidP="00701A4B">
      <w:pPr>
        <w:pStyle w:val="ParaNum"/>
        <w:numPr>
          <w:ilvl w:val="0"/>
          <w:numId w:val="0"/>
        </w:numPr>
        <w:ind w:left="720"/>
      </w:pPr>
    </w:p>
    <w:p w:rsidR="00701A4B" w:rsidRDefault="00631AB7" w:rsidP="00701A4B">
      <w:pPr>
        <w:ind w:left="3600" w:firstLine="720"/>
      </w:pPr>
      <w:r>
        <w:t>Deena M. Shetler</w:t>
      </w:r>
    </w:p>
    <w:p w:rsidR="00631AB7" w:rsidRDefault="00631AB7" w:rsidP="00701A4B">
      <w:pPr>
        <w:ind w:left="3600" w:firstLine="720"/>
      </w:pPr>
      <w:r>
        <w:t>Associate Chief</w:t>
      </w:r>
    </w:p>
    <w:p w:rsidR="00631AB7" w:rsidRPr="00631AB7" w:rsidRDefault="00631AB7" w:rsidP="00D00CE1">
      <w:pPr>
        <w:ind w:left="4320"/>
      </w:pPr>
      <w:r>
        <w:t>Wireline Competition Bureau</w:t>
      </w:r>
    </w:p>
    <w:sectPr w:rsidR="00631AB7" w:rsidRPr="00631AB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2D" w:rsidRDefault="0088072D">
      <w:pPr>
        <w:spacing w:line="20" w:lineRule="exact"/>
      </w:pPr>
    </w:p>
  </w:endnote>
  <w:endnote w:type="continuationSeparator" w:id="0">
    <w:p w:rsidR="0088072D" w:rsidRDefault="0088072D">
      <w:r>
        <w:t xml:space="preserve"> </w:t>
      </w:r>
    </w:p>
  </w:endnote>
  <w:endnote w:type="continuationNotice" w:id="1">
    <w:p w:rsidR="0088072D" w:rsidRDefault="008807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45E09">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2D" w:rsidRDefault="0088072D">
      <w:r>
        <w:separator/>
      </w:r>
    </w:p>
  </w:footnote>
  <w:footnote w:type="continuationSeparator" w:id="0">
    <w:p w:rsidR="0088072D" w:rsidRDefault="0088072D" w:rsidP="00C721AC">
      <w:pPr>
        <w:spacing w:before="120"/>
        <w:rPr>
          <w:sz w:val="20"/>
        </w:rPr>
      </w:pPr>
      <w:r>
        <w:rPr>
          <w:sz w:val="20"/>
        </w:rPr>
        <w:t xml:space="preserve">(Continued from previous page)  </w:t>
      </w:r>
      <w:r>
        <w:rPr>
          <w:sz w:val="20"/>
        </w:rPr>
        <w:separator/>
      </w:r>
    </w:p>
  </w:footnote>
  <w:footnote w:type="continuationNotice" w:id="1">
    <w:p w:rsidR="0088072D" w:rsidRDefault="0088072D" w:rsidP="00C721AC">
      <w:pPr>
        <w:jc w:val="right"/>
        <w:rPr>
          <w:sz w:val="20"/>
        </w:rPr>
      </w:pPr>
      <w:r>
        <w:rPr>
          <w:sz w:val="20"/>
        </w:rPr>
        <w:t>(continued….)</w:t>
      </w:r>
    </w:p>
  </w:footnote>
  <w:footnote w:id="2">
    <w:p w:rsidR="00631AB7" w:rsidRDefault="00631AB7" w:rsidP="00631AB7">
      <w:pPr>
        <w:pStyle w:val="FootnoteText"/>
      </w:pPr>
      <w:r>
        <w:rPr>
          <w:rStyle w:val="FootnoteReference"/>
        </w:rPr>
        <w:footnoteRef/>
      </w:r>
      <w:r>
        <w:t xml:space="preserve"> </w:t>
      </w:r>
      <w:r w:rsidRPr="00FF437B">
        <w:rPr>
          <w:i/>
        </w:rPr>
        <w:t>See Special Access for Price Cap Local Exchange Carriers; AT&amp;T Corporation Petition for Rulemaking to Reform Regulation of Incumbent Local Exchange Carrier Rates for Interstate Special Access Services</w:t>
      </w:r>
      <w:r>
        <w:t>, WC Docket No. 05- 25, RM-10593, Order and Further Notice of Proposed Rulemaking, 27 FCC Rcd 16318 (2012) (</w:t>
      </w:r>
      <w:r w:rsidRPr="00351AA0">
        <w:rPr>
          <w:i/>
        </w:rPr>
        <w:t>Data Collection Order</w:t>
      </w:r>
      <w:r>
        <w:t>); Report and Order, 28 FCC Rcd 13189 (Wireline Comp. Bur. 2013); Order on Reconsideration, 29 FCC Rcd 10899 (Wireline Comp. Bur. 2014); Order, 29 FCC Rcd 14346 (Wireline Comp. Bur. 2014) (</w:t>
      </w:r>
      <w:r w:rsidRPr="002A1EBB">
        <w:rPr>
          <w:i/>
        </w:rPr>
        <w:t>Extension Order</w:t>
      </w:r>
      <w:r>
        <w:t>).</w:t>
      </w:r>
    </w:p>
  </w:footnote>
  <w:footnote w:id="3">
    <w:p w:rsidR="00631AB7" w:rsidRDefault="00631AB7" w:rsidP="00631AB7">
      <w:pPr>
        <w:pStyle w:val="FootnoteText"/>
      </w:pPr>
      <w:r>
        <w:rPr>
          <w:rStyle w:val="FootnoteReference"/>
        </w:rPr>
        <w:footnoteRef/>
      </w:r>
      <w:r>
        <w:t xml:space="preserve"> CenturyLink Petition for Limited Waiver of Deadline for Data Submission, WC Docket No. 05-25, RM-10593 (filed Jan. 29, 2015) (CenturyLink Petition)</w:t>
      </w:r>
      <w:r w:rsidR="002F5ED7">
        <w:t>; Letter from Craig J. Brown, Senior Associate General Counsel, CenturyLink, to Marlene H. Dortch, Secretary, FCC, WC Docket No. 05-25, RM-10593 (filed Feb. 13, 2015) (CenturyLink Letter)</w:t>
      </w:r>
      <w:r w:rsidR="00BF7759">
        <w:t xml:space="preserve"> (supplementing the CenturyLink Petition)</w:t>
      </w:r>
      <w:r w:rsidR="002F5ED7">
        <w:t>.</w:t>
      </w:r>
    </w:p>
  </w:footnote>
  <w:footnote w:id="4">
    <w:p w:rsidR="00631AB7" w:rsidRDefault="00631AB7" w:rsidP="00631AB7">
      <w:pPr>
        <w:pStyle w:val="FootnoteText"/>
      </w:pPr>
      <w:r>
        <w:rPr>
          <w:rStyle w:val="FootnoteReference"/>
        </w:rPr>
        <w:footnoteRef/>
      </w:r>
      <w:r>
        <w:t xml:space="preserve"> </w:t>
      </w:r>
      <w:r w:rsidRPr="00351AA0">
        <w:rPr>
          <w:i/>
        </w:rPr>
        <w:t>Data Collection Order</w:t>
      </w:r>
      <w:r>
        <w:t xml:space="preserve">, 27 FCC Rcd at 16340, para. 52. The Commission’s delegation gave the Bureau authority to: “(a) draft instructions to the data collection and modify the data collection based on public feedback; (b) amend the data collection based on feedback received through the [Paperwork Reduction Act] process; (c) make corrections to the data collection to ensure it reflects the Commission’s needs as expressed in [the </w:t>
      </w:r>
      <w:r w:rsidRPr="000637CA">
        <w:rPr>
          <w:i/>
        </w:rPr>
        <w:t>Data Collection Order</w:t>
      </w:r>
      <w:r>
        <w:t xml:space="preserve">]; . . .(d) issue Bureau-level orders and Public Notices specifying the production of specific types of data, specifying a collection mechanism (including necessary forms or formats), and setting deadlines for response to ensure that data collections are complied with in a timely manner; and (e) take other such actions as are necessary to implement [the </w:t>
      </w:r>
      <w:r w:rsidRPr="00D468F9">
        <w:rPr>
          <w:i/>
        </w:rPr>
        <w:t>Data Collection Order</w:t>
      </w:r>
      <w:r>
        <w:t xml:space="preserve">]. . . consistent with [its] terms.” </w:t>
      </w:r>
      <w:r w:rsidR="00015305">
        <w:t xml:space="preserve"> </w:t>
      </w:r>
      <w:r w:rsidRPr="00351AA0">
        <w:rPr>
          <w:i/>
        </w:rPr>
        <w:t>Id</w:t>
      </w:r>
      <w:r>
        <w:t>.</w:t>
      </w:r>
    </w:p>
  </w:footnote>
  <w:footnote w:id="5">
    <w:p w:rsidR="00376E37" w:rsidRDefault="00376E37">
      <w:pPr>
        <w:pStyle w:val="FootnoteText"/>
      </w:pPr>
      <w:r>
        <w:rPr>
          <w:rStyle w:val="FootnoteReference"/>
        </w:rPr>
        <w:footnoteRef/>
      </w:r>
      <w:r>
        <w:t xml:space="preserve"> </w:t>
      </w:r>
      <w:r>
        <w:rPr>
          <w:i/>
        </w:rPr>
        <w:t xml:space="preserve">See </w:t>
      </w:r>
      <w:r w:rsidRPr="00351AA0">
        <w:rPr>
          <w:i/>
        </w:rPr>
        <w:t>Extension Order</w:t>
      </w:r>
      <w:r>
        <w:t>, 29 FCC Rcd at 14346</w:t>
      </w:r>
      <w:r w:rsidR="005F3448">
        <w:t>, para. 1</w:t>
      </w:r>
      <w:r>
        <w:t>.</w:t>
      </w:r>
    </w:p>
  </w:footnote>
  <w:footnote w:id="6">
    <w:p w:rsidR="00631AB7" w:rsidRDefault="00631AB7" w:rsidP="00631AB7">
      <w:pPr>
        <w:pStyle w:val="FootnoteText"/>
      </w:pPr>
      <w:r>
        <w:rPr>
          <w:rStyle w:val="FootnoteReference"/>
        </w:rPr>
        <w:footnoteRef/>
      </w:r>
      <w:r>
        <w:t xml:space="preserve"> </w:t>
      </w:r>
      <w:r w:rsidRPr="00035218">
        <w:rPr>
          <w:i/>
        </w:rPr>
        <w:t>Id</w:t>
      </w:r>
      <w:r>
        <w:t>.</w:t>
      </w:r>
    </w:p>
  </w:footnote>
  <w:footnote w:id="7">
    <w:p w:rsidR="0009000B" w:rsidRDefault="0009000B">
      <w:pPr>
        <w:pStyle w:val="FootnoteText"/>
      </w:pPr>
      <w:r>
        <w:rPr>
          <w:rStyle w:val="FootnoteReference"/>
        </w:rPr>
        <w:footnoteRef/>
      </w:r>
      <w:r>
        <w:t xml:space="preserve"> CenturyLink Petition at 1.</w:t>
      </w:r>
    </w:p>
  </w:footnote>
  <w:footnote w:id="8">
    <w:p w:rsidR="007E4F7F" w:rsidRDefault="007E4F7F" w:rsidP="007E4F7F">
      <w:pPr>
        <w:pStyle w:val="FootnoteText"/>
      </w:pPr>
      <w:r>
        <w:rPr>
          <w:rStyle w:val="FootnoteReference"/>
        </w:rPr>
        <w:footnoteRef/>
      </w:r>
      <w:r>
        <w:t xml:space="preserve"> CenturyLink Letter at 1.</w:t>
      </w:r>
    </w:p>
  </w:footnote>
  <w:footnote w:id="9">
    <w:p w:rsidR="0009000B" w:rsidRDefault="0009000B">
      <w:pPr>
        <w:pStyle w:val="FootnoteText"/>
      </w:pPr>
      <w:r>
        <w:rPr>
          <w:rStyle w:val="FootnoteReference"/>
        </w:rPr>
        <w:footnoteRef/>
      </w:r>
      <w:r>
        <w:t xml:space="preserve"> </w:t>
      </w:r>
      <w:r w:rsidR="005F3448" w:rsidRPr="004B4513">
        <w:rPr>
          <w:i/>
        </w:rPr>
        <w:t xml:space="preserve">See </w:t>
      </w:r>
      <w:r w:rsidR="00415D29" w:rsidRPr="00853244">
        <w:rPr>
          <w:i/>
        </w:rPr>
        <w:t>Wireline Competition Bureau Releases Database Container for Special Access Data Collection</w:t>
      </w:r>
      <w:r w:rsidR="00415D29">
        <w:t xml:space="preserve">, </w:t>
      </w:r>
      <w:r w:rsidR="00415D29" w:rsidRPr="00525B3A">
        <w:t xml:space="preserve">WC Docket No. 05-25, RM-10593, Public Notice, </w:t>
      </w:r>
      <w:r w:rsidR="006515B1">
        <w:t>29 FCC Rcd 14743</w:t>
      </w:r>
      <w:r w:rsidR="00415D29">
        <w:t xml:space="preserve"> (Wireline Comp. Bur. 2014).</w:t>
      </w:r>
    </w:p>
  </w:footnote>
  <w:footnote w:id="10">
    <w:p w:rsidR="00A20410" w:rsidRDefault="00A20410">
      <w:pPr>
        <w:pStyle w:val="FootnoteText"/>
      </w:pPr>
      <w:r>
        <w:rPr>
          <w:rStyle w:val="FootnoteReference"/>
        </w:rPr>
        <w:footnoteRef/>
      </w:r>
      <w:r>
        <w:t xml:space="preserve"> </w:t>
      </w:r>
      <w:r w:rsidR="00415D29">
        <w:t>CenturyLink Petition at 2.</w:t>
      </w:r>
    </w:p>
  </w:footnote>
  <w:footnote w:id="11">
    <w:p w:rsidR="0009000B" w:rsidRDefault="0009000B" w:rsidP="0009000B">
      <w:pPr>
        <w:pStyle w:val="FootnoteText"/>
      </w:pPr>
      <w:r>
        <w:rPr>
          <w:rStyle w:val="FootnoteReference"/>
        </w:rPr>
        <w:footnoteRef/>
      </w:r>
      <w:r>
        <w:t xml:space="preserve"> </w:t>
      </w:r>
      <w:r w:rsidRPr="009E0C1D">
        <w:rPr>
          <w:i/>
        </w:rPr>
        <w:t>Id</w:t>
      </w:r>
      <w:r>
        <w:t>.</w:t>
      </w:r>
      <w:r w:rsidR="005F3448">
        <w:t xml:space="preserve"> at 3. </w:t>
      </w:r>
      <w:r>
        <w:t xml:space="preserve"> </w:t>
      </w:r>
    </w:p>
  </w:footnote>
  <w:footnote w:id="12">
    <w:p w:rsidR="00631AB7" w:rsidRDefault="00631AB7" w:rsidP="00631AB7">
      <w:pPr>
        <w:pStyle w:val="FootnoteText"/>
      </w:pPr>
      <w:r>
        <w:rPr>
          <w:rStyle w:val="FootnoteReference"/>
        </w:rPr>
        <w:footnoteRef/>
      </w:r>
      <w:r>
        <w:t xml:space="preserve"> </w:t>
      </w:r>
      <w:r w:rsidR="009272BF" w:rsidRPr="00673921">
        <w:rPr>
          <w:i/>
        </w:rPr>
        <w:t>Id</w:t>
      </w:r>
      <w:r w:rsidR="009272BF">
        <w:t>.</w:t>
      </w:r>
      <w:r w:rsidR="009272BF" w:rsidRPr="009272BF">
        <w:t xml:space="preserve"> at 2-3</w:t>
      </w:r>
      <w:r w:rsidR="0009000B" w:rsidRPr="009272BF">
        <w:t>.</w:t>
      </w:r>
    </w:p>
  </w:footnote>
  <w:footnote w:id="13">
    <w:p w:rsidR="00387D5F" w:rsidRDefault="00387D5F" w:rsidP="00387D5F">
      <w:pPr>
        <w:pStyle w:val="FootnoteText"/>
      </w:pPr>
      <w:r>
        <w:rPr>
          <w:rStyle w:val="FootnoteReference"/>
        </w:rPr>
        <w:footnoteRef/>
      </w:r>
      <w:r>
        <w:t xml:space="preserve"> </w:t>
      </w:r>
      <w:r w:rsidRPr="00EB53DE">
        <w:rPr>
          <w:i/>
        </w:rPr>
        <w:t>See</w:t>
      </w:r>
      <w:r w:rsidRPr="009E0C1D">
        <w:t xml:space="preserve"> Letter from Craig J. Brown, Senior Associate General Counsel, CenturyLink, to Marlene H. Dortch, Secretary, FCC, WC Docket No. 05-25, RM-10593, at 1 (filed Jan. 29, 2015).  </w:t>
      </w:r>
    </w:p>
  </w:footnote>
  <w:footnote w:id="14">
    <w:p w:rsidR="00701A4B" w:rsidRDefault="00701A4B">
      <w:pPr>
        <w:pStyle w:val="FootnoteText"/>
      </w:pPr>
      <w:r>
        <w:rPr>
          <w:rStyle w:val="FootnoteReference"/>
        </w:rPr>
        <w:footnoteRef/>
      </w:r>
      <w:r>
        <w:t xml:space="preserve"> </w:t>
      </w:r>
      <w:r w:rsidR="005615C7" w:rsidRPr="005615C7">
        <w:rPr>
          <w:i/>
        </w:rPr>
        <w:t>See Northeast Cellular Telephone Co. v. FCC</w:t>
      </w:r>
      <w:r w:rsidR="005615C7" w:rsidRPr="005615C7">
        <w:t>, 897 F.2d 1164, 1166 (D.C. Cir. 1990).</w:t>
      </w:r>
    </w:p>
  </w:footnote>
  <w:footnote w:id="15">
    <w:p w:rsidR="00AD68AF" w:rsidRDefault="00AD68AF" w:rsidP="00AD68AF">
      <w:pPr>
        <w:pStyle w:val="FootnoteText"/>
      </w:pPr>
      <w:r>
        <w:rPr>
          <w:rStyle w:val="FootnoteReference"/>
        </w:rPr>
        <w:footnoteRef/>
      </w:r>
      <w:r>
        <w:t xml:space="preserve"> </w:t>
      </w:r>
      <w:r w:rsidRPr="00F62A15">
        <w:t>47 C.F.R. § 1.46</w:t>
      </w:r>
      <w:r>
        <w:t>.</w:t>
      </w:r>
    </w:p>
  </w:footnote>
  <w:footnote w:id="16">
    <w:p w:rsidR="00701A4B" w:rsidRDefault="00701A4B">
      <w:pPr>
        <w:pStyle w:val="FootnoteText"/>
      </w:pPr>
      <w:r>
        <w:rPr>
          <w:rStyle w:val="FootnoteReference"/>
        </w:rPr>
        <w:footnoteRef/>
      </w:r>
      <w:r>
        <w:t xml:space="preserve"> </w:t>
      </w:r>
      <w:r w:rsidR="009E0C1D" w:rsidRPr="009E0C1D">
        <w:rPr>
          <w:i/>
        </w:rPr>
        <w:t>Data Collection Order</w:t>
      </w:r>
      <w:r w:rsidR="009E0C1D" w:rsidRPr="009E0C1D">
        <w:t>, 27 FCC Rcd at 16340, para. 52 n.111;</w:t>
      </w:r>
      <w:r w:rsidR="009E0C1D" w:rsidRPr="001A2592">
        <w:rPr>
          <w:i/>
        </w:rPr>
        <w:t xml:space="preserve"> s</w:t>
      </w:r>
      <w:r w:rsidR="001135CC" w:rsidRPr="001A2592">
        <w:rPr>
          <w:i/>
        </w:rPr>
        <w:t>ee</w:t>
      </w:r>
      <w:r w:rsidR="001135CC">
        <w:t xml:space="preserve"> 47 C.F.R.§ </w:t>
      </w:r>
      <w:r w:rsidR="009E0C1D">
        <w:t>1.3.</w:t>
      </w:r>
      <w:r w:rsidR="000D7D9D">
        <w:t xml:space="preserve">  The Bureau recently granted in part a request for a limited waiver of the filing deadline</w:t>
      </w:r>
      <w:r w:rsidR="006515B1">
        <w:t>,</w:t>
      </w:r>
      <w:r w:rsidR="000D7D9D">
        <w:t xml:space="preserve"> until February 27, 2015</w:t>
      </w:r>
      <w:r w:rsidR="006515B1">
        <w:t>,</w:t>
      </w:r>
      <w:r w:rsidR="000D7D9D">
        <w:t xml:space="preserve"> to four subsidiaries of FairPoint Communications, Inc. due to pending labor strikes and recent weather-related events.  </w:t>
      </w:r>
      <w:r w:rsidR="000D7D9D" w:rsidRPr="00853244">
        <w:rPr>
          <w:i/>
        </w:rPr>
        <w:t>See Special Access for Price Cap Local Exchange Carriers; AT&amp;T Corporation Petition for Rulemaking to Reform Regulation of Incumbent Local Exchange Carrier Rates for Interstate Special Access Services</w:t>
      </w:r>
      <w:r w:rsidR="000D7D9D" w:rsidRPr="00853244">
        <w:t>, WC Docket No. 05- 25, RM-10593, Order</w:t>
      </w:r>
      <w:r w:rsidR="000D7D9D">
        <w:t>, DA 15-135 (Wireline Comp. Bur. rel. Jan. 29, 2015).</w:t>
      </w:r>
    </w:p>
  </w:footnote>
  <w:footnote w:id="17">
    <w:p w:rsidR="00BA655F" w:rsidRDefault="00BA655F">
      <w:pPr>
        <w:pStyle w:val="FootnoteText"/>
      </w:pPr>
      <w:r>
        <w:rPr>
          <w:rStyle w:val="FootnoteReference"/>
        </w:rPr>
        <w:footnoteRef/>
      </w:r>
      <w:r>
        <w:t xml:space="preserve"> </w:t>
      </w:r>
      <w:r w:rsidR="00D970D5">
        <w:t xml:space="preserve">We note that </w:t>
      </w:r>
      <w:r>
        <w:t xml:space="preserve">CenturyLink </w:t>
      </w:r>
      <w:r w:rsidR="00D970D5">
        <w:t xml:space="preserve">was one of the carriers that assisted </w:t>
      </w:r>
      <w:r>
        <w:t>with beta testing the database container.</w:t>
      </w:r>
    </w:p>
  </w:footnote>
  <w:footnote w:id="18">
    <w:p w:rsidR="0035400F" w:rsidRDefault="0035400F">
      <w:pPr>
        <w:pStyle w:val="FootnoteText"/>
      </w:pPr>
      <w:r>
        <w:rPr>
          <w:rStyle w:val="FootnoteReference"/>
        </w:rPr>
        <w:footnoteRef/>
      </w:r>
      <w:r>
        <w:t xml:space="preserve"> </w:t>
      </w:r>
      <w:r w:rsidR="00673921">
        <w:rPr>
          <w:i/>
        </w:rPr>
        <w:t>S</w:t>
      </w:r>
      <w:r w:rsidR="00673921" w:rsidRPr="00BF29F1">
        <w:rPr>
          <w:i/>
        </w:rPr>
        <w:t>ee</w:t>
      </w:r>
      <w:r w:rsidR="00673921">
        <w:t xml:space="preserve"> 47 C.F.R.</w:t>
      </w:r>
      <w:r w:rsidR="0077097A">
        <w:t xml:space="preserve"> </w:t>
      </w:r>
      <w:r w:rsidR="00673921">
        <w:t xml:space="preserve">§ 1.3; </w:t>
      </w:r>
      <w:r w:rsidR="00673921" w:rsidRPr="00000324">
        <w:rPr>
          <w:i/>
        </w:rPr>
        <w:t>see also</w:t>
      </w:r>
      <w:r w:rsidR="00673921">
        <w:t xml:space="preserve"> </w:t>
      </w:r>
      <w:r w:rsidR="009E0C1D" w:rsidRPr="00853244">
        <w:rPr>
          <w:i/>
        </w:rPr>
        <w:t>Data Collection Order</w:t>
      </w:r>
      <w:r w:rsidR="009E0C1D" w:rsidRPr="009E0C1D">
        <w:t>, 27 FCC Rcd at 16340, para. 52 n.111.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E5" w:rsidRDefault="00877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31AB7">
      <w:t xml:space="preserve">DA </w:t>
    </w:r>
    <w:r w:rsidR="00474F60">
      <w:t>15</w:t>
    </w:r>
    <w:r w:rsidR="00631AB7">
      <w:t>-</w:t>
    </w:r>
    <w:r w:rsidR="00474F60">
      <w:t>202</w:t>
    </w:r>
  </w:p>
  <w:p w:rsidR="00D25FB5" w:rsidRDefault="00631AB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89EC166" wp14:editId="3D6E465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31AB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474F60">
      <w:rPr>
        <w:spacing w:val="-2"/>
      </w:rPr>
      <w:t>15</w:t>
    </w:r>
    <w:r>
      <w:rPr>
        <w:spacing w:val="-2"/>
      </w:rPr>
      <w:t>-</w:t>
    </w:r>
    <w:r w:rsidR="00474F60">
      <w:rPr>
        <w:spacing w:val="-2"/>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B7"/>
    <w:rsid w:val="00000324"/>
    <w:rsid w:val="0001019B"/>
    <w:rsid w:val="00015305"/>
    <w:rsid w:val="00036039"/>
    <w:rsid w:val="00037F90"/>
    <w:rsid w:val="00055319"/>
    <w:rsid w:val="000637CA"/>
    <w:rsid w:val="000875BF"/>
    <w:rsid w:val="0009000B"/>
    <w:rsid w:val="00096D8C"/>
    <w:rsid w:val="000C0B65"/>
    <w:rsid w:val="000D4B90"/>
    <w:rsid w:val="000D7D9D"/>
    <w:rsid w:val="000E05FE"/>
    <w:rsid w:val="000E3D42"/>
    <w:rsid w:val="000E7363"/>
    <w:rsid w:val="001135CC"/>
    <w:rsid w:val="00120704"/>
    <w:rsid w:val="00122BD5"/>
    <w:rsid w:val="00133F79"/>
    <w:rsid w:val="0015649F"/>
    <w:rsid w:val="001606BD"/>
    <w:rsid w:val="00194A66"/>
    <w:rsid w:val="001A2592"/>
    <w:rsid w:val="001A5AC3"/>
    <w:rsid w:val="001D2A47"/>
    <w:rsid w:val="001D6BCF"/>
    <w:rsid w:val="001E01CA"/>
    <w:rsid w:val="0022698C"/>
    <w:rsid w:val="00254CCA"/>
    <w:rsid w:val="00272C2D"/>
    <w:rsid w:val="00275CF5"/>
    <w:rsid w:val="0028301F"/>
    <w:rsid w:val="00285017"/>
    <w:rsid w:val="00294D66"/>
    <w:rsid w:val="002A2D2E"/>
    <w:rsid w:val="002C00E8"/>
    <w:rsid w:val="002C6454"/>
    <w:rsid w:val="002D69CB"/>
    <w:rsid w:val="002E3F67"/>
    <w:rsid w:val="002F5ED7"/>
    <w:rsid w:val="00330F7C"/>
    <w:rsid w:val="00337FA9"/>
    <w:rsid w:val="00343749"/>
    <w:rsid w:val="0035400F"/>
    <w:rsid w:val="003660ED"/>
    <w:rsid w:val="00376DC4"/>
    <w:rsid w:val="00376E37"/>
    <w:rsid w:val="003813F1"/>
    <w:rsid w:val="00387D5F"/>
    <w:rsid w:val="0039330A"/>
    <w:rsid w:val="003A1DB9"/>
    <w:rsid w:val="003B0550"/>
    <w:rsid w:val="003B51FE"/>
    <w:rsid w:val="003B694F"/>
    <w:rsid w:val="003C00D9"/>
    <w:rsid w:val="003E66A0"/>
    <w:rsid w:val="003E67B3"/>
    <w:rsid w:val="003F171C"/>
    <w:rsid w:val="00412FC5"/>
    <w:rsid w:val="00415D29"/>
    <w:rsid w:val="00422276"/>
    <w:rsid w:val="004242F1"/>
    <w:rsid w:val="00442E72"/>
    <w:rsid w:val="00443760"/>
    <w:rsid w:val="00445A00"/>
    <w:rsid w:val="00451B0F"/>
    <w:rsid w:val="00474F60"/>
    <w:rsid w:val="004B4513"/>
    <w:rsid w:val="004C2EE3"/>
    <w:rsid w:val="004E4A22"/>
    <w:rsid w:val="004F173A"/>
    <w:rsid w:val="005003B9"/>
    <w:rsid w:val="00505045"/>
    <w:rsid w:val="00511968"/>
    <w:rsid w:val="00553E2B"/>
    <w:rsid w:val="0055614C"/>
    <w:rsid w:val="005615C7"/>
    <w:rsid w:val="00577010"/>
    <w:rsid w:val="00582263"/>
    <w:rsid w:val="00586795"/>
    <w:rsid w:val="00594672"/>
    <w:rsid w:val="005B2BFA"/>
    <w:rsid w:val="005C7CFB"/>
    <w:rsid w:val="005E14C2"/>
    <w:rsid w:val="005F3448"/>
    <w:rsid w:val="00607BA5"/>
    <w:rsid w:val="0061180A"/>
    <w:rsid w:val="00626EB6"/>
    <w:rsid w:val="00631AB7"/>
    <w:rsid w:val="006454DC"/>
    <w:rsid w:val="00651068"/>
    <w:rsid w:val="006515B1"/>
    <w:rsid w:val="00655D03"/>
    <w:rsid w:val="00673921"/>
    <w:rsid w:val="00683388"/>
    <w:rsid w:val="00683F84"/>
    <w:rsid w:val="006911D4"/>
    <w:rsid w:val="006A1057"/>
    <w:rsid w:val="006A6A81"/>
    <w:rsid w:val="006D5310"/>
    <w:rsid w:val="006F7393"/>
    <w:rsid w:val="00701A4B"/>
    <w:rsid w:val="0070224F"/>
    <w:rsid w:val="00705254"/>
    <w:rsid w:val="007115F7"/>
    <w:rsid w:val="00741682"/>
    <w:rsid w:val="0076371B"/>
    <w:rsid w:val="00764109"/>
    <w:rsid w:val="007664FD"/>
    <w:rsid w:val="0077097A"/>
    <w:rsid w:val="007723E0"/>
    <w:rsid w:val="00776D91"/>
    <w:rsid w:val="00785689"/>
    <w:rsid w:val="0079754B"/>
    <w:rsid w:val="007A1E6D"/>
    <w:rsid w:val="007A66AF"/>
    <w:rsid w:val="007B0EB2"/>
    <w:rsid w:val="007E4F7F"/>
    <w:rsid w:val="00810B6F"/>
    <w:rsid w:val="0081152C"/>
    <w:rsid w:val="0081519E"/>
    <w:rsid w:val="008203BF"/>
    <w:rsid w:val="00822CE0"/>
    <w:rsid w:val="00841AB1"/>
    <w:rsid w:val="008466CA"/>
    <w:rsid w:val="00850A8B"/>
    <w:rsid w:val="0085277E"/>
    <w:rsid w:val="00853244"/>
    <w:rsid w:val="00877DE5"/>
    <w:rsid w:val="0088072D"/>
    <w:rsid w:val="008A5786"/>
    <w:rsid w:val="008C1592"/>
    <w:rsid w:val="008C68F1"/>
    <w:rsid w:val="008D2F0A"/>
    <w:rsid w:val="008D6D67"/>
    <w:rsid w:val="00921803"/>
    <w:rsid w:val="00926503"/>
    <w:rsid w:val="009272BF"/>
    <w:rsid w:val="0093256C"/>
    <w:rsid w:val="00945E09"/>
    <w:rsid w:val="009620EB"/>
    <w:rsid w:val="009726D8"/>
    <w:rsid w:val="00974250"/>
    <w:rsid w:val="009E0169"/>
    <w:rsid w:val="009E0C1D"/>
    <w:rsid w:val="009F1B0F"/>
    <w:rsid w:val="009F76DB"/>
    <w:rsid w:val="00A0637C"/>
    <w:rsid w:val="00A11E47"/>
    <w:rsid w:val="00A20410"/>
    <w:rsid w:val="00A32C3B"/>
    <w:rsid w:val="00A3362D"/>
    <w:rsid w:val="00A441CA"/>
    <w:rsid w:val="00A45F4F"/>
    <w:rsid w:val="00A538FB"/>
    <w:rsid w:val="00A600A9"/>
    <w:rsid w:val="00A6588D"/>
    <w:rsid w:val="00A66D6C"/>
    <w:rsid w:val="00AA55B7"/>
    <w:rsid w:val="00AA581A"/>
    <w:rsid w:val="00AA5B9E"/>
    <w:rsid w:val="00AB2407"/>
    <w:rsid w:val="00AB53DF"/>
    <w:rsid w:val="00AB7B99"/>
    <w:rsid w:val="00AD4809"/>
    <w:rsid w:val="00AD68AF"/>
    <w:rsid w:val="00B07E5C"/>
    <w:rsid w:val="00B47B85"/>
    <w:rsid w:val="00B52E67"/>
    <w:rsid w:val="00B67A52"/>
    <w:rsid w:val="00B71975"/>
    <w:rsid w:val="00B811F7"/>
    <w:rsid w:val="00B97F1D"/>
    <w:rsid w:val="00BA50AE"/>
    <w:rsid w:val="00BA5DC6"/>
    <w:rsid w:val="00BA6196"/>
    <w:rsid w:val="00BA655F"/>
    <w:rsid w:val="00BC6D8C"/>
    <w:rsid w:val="00BF7759"/>
    <w:rsid w:val="00C14982"/>
    <w:rsid w:val="00C248E7"/>
    <w:rsid w:val="00C269E5"/>
    <w:rsid w:val="00C339EA"/>
    <w:rsid w:val="00C34006"/>
    <w:rsid w:val="00C426B1"/>
    <w:rsid w:val="00C66160"/>
    <w:rsid w:val="00C721AC"/>
    <w:rsid w:val="00C90D6A"/>
    <w:rsid w:val="00CA043F"/>
    <w:rsid w:val="00CA047F"/>
    <w:rsid w:val="00CA247E"/>
    <w:rsid w:val="00CB3FEB"/>
    <w:rsid w:val="00CB68B0"/>
    <w:rsid w:val="00CC72B6"/>
    <w:rsid w:val="00D00CE1"/>
    <w:rsid w:val="00D0218D"/>
    <w:rsid w:val="00D056B6"/>
    <w:rsid w:val="00D25FB5"/>
    <w:rsid w:val="00D335AC"/>
    <w:rsid w:val="00D44223"/>
    <w:rsid w:val="00D468F9"/>
    <w:rsid w:val="00D53A4E"/>
    <w:rsid w:val="00D85E19"/>
    <w:rsid w:val="00D970D5"/>
    <w:rsid w:val="00DA0EC2"/>
    <w:rsid w:val="00DA2529"/>
    <w:rsid w:val="00DB130A"/>
    <w:rsid w:val="00DB2EBB"/>
    <w:rsid w:val="00DC10A1"/>
    <w:rsid w:val="00DC2261"/>
    <w:rsid w:val="00DC655F"/>
    <w:rsid w:val="00DD0B59"/>
    <w:rsid w:val="00DD7EBD"/>
    <w:rsid w:val="00DF62B6"/>
    <w:rsid w:val="00E07225"/>
    <w:rsid w:val="00E376CA"/>
    <w:rsid w:val="00E5409F"/>
    <w:rsid w:val="00EB53DE"/>
    <w:rsid w:val="00EC46D4"/>
    <w:rsid w:val="00EE0FB5"/>
    <w:rsid w:val="00EE3C20"/>
    <w:rsid w:val="00EE4A82"/>
    <w:rsid w:val="00EE6488"/>
    <w:rsid w:val="00EF08A1"/>
    <w:rsid w:val="00F01858"/>
    <w:rsid w:val="00F021FA"/>
    <w:rsid w:val="00F420DF"/>
    <w:rsid w:val="00F5324E"/>
    <w:rsid w:val="00F62A15"/>
    <w:rsid w:val="00F62E97"/>
    <w:rsid w:val="00F64209"/>
    <w:rsid w:val="00F651FD"/>
    <w:rsid w:val="00F7075A"/>
    <w:rsid w:val="00F86DBB"/>
    <w:rsid w:val="00F93BF5"/>
    <w:rsid w:val="00FC1BC4"/>
    <w:rsid w:val="00FD78AB"/>
    <w:rsid w:val="00FE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31AB7"/>
  </w:style>
  <w:style w:type="character" w:customStyle="1" w:styleId="ParaNumCharChar1">
    <w:name w:val="ParaNum Char Char1"/>
    <w:link w:val="ParaNum"/>
    <w:rsid w:val="00631AB7"/>
    <w:rPr>
      <w:snapToGrid w:val="0"/>
      <w:kern w:val="28"/>
      <w:sz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31AB7"/>
  </w:style>
  <w:style w:type="character" w:customStyle="1" w:styleId="ParaNumCharChar1">
    <w:name w:val="ParaNum Char Char1"/>
    <w:link w:val="ParaNum"/>
    <w:rsid w:val="00631AB7"/>
    <w:rPr>
      <w:snapToGrid w:val="0"/>
      <w:kern w:val="28"/>
      <w:sz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739</Words>
  <Characters>4049</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2015-02-10T20:41:00Z</cp:lastPrinted>
  <dcterms:created xsi:type="dcterms:W3CDTF">2015-02-18T21:34:00Z</dcterms:created>
  <dcterms:modified xsi:type="dcterms:W3CDTF">2015-02-18T21:34:00Z</dcterms:modified>
  <cp:category> </cp:category>
  <cp:contentStatus> </cp:contentStatus>
</cp:coreProperties>
</file>