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7FC" w:rsidRDefault="003357FC" w:rsidP="003357FC">
      <w:pPr>
        <w:pStyle w:val="Header"/>
        <w:tabs>
          <w:tab w:val="clear" w:pos="4320"/>
          <w:tab w:val="clear" w:pos="8640"/>
        </w:tabs>
        <w:sectPr w:rsidR="003357FC" w:rsidSect="003357F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720" w:bottom="1440" w:left="720" w:header="720" w:footer="1440" w:gutter="0"/>
          <w:cols w:space="720"/>
          <w:titlePg/>
        </w:sectPr>
      </w:pPr>
      <w:bookmarkStart w:id="0" w:name="_GoBack"/>
      <w:bookmarkEnd w:id="0"/>
    </w:p>
    <w:p w:rsidR="003357FC" w:rsidRDefault="003357FC" w:rsidP="003357FC">
      <w:pPr>
        <w:jc w:val="right"/>
        <w:rPr>
          <w:sz w:val="24"/>
        </w:rPr>
      </w:pPr>
      <w:r>
        <w:rPr>
          <w:sz w:val="24"/>
        </w:rPr>
        <w:lastRenderedPageBreak/>
        <w:t>DA 1</w:t>
      </w:r>
      <w:r w:rsidR="00D30902">
        <w:rPr>
          <w:sz w:val="24"/>
        </w:rPr>
        <w:t>5</w:t>
      </w:r>
      <w:r w:rsidRPr="00781EF1">
        <w:rPr>
          <w:sz w:val="24"/>
        </w:rPr>
        <w:t>-</w:t>
      </w:r>
      <w:r w:rsidR="005C0337">
        <w:rPr>
          <w:sz w:val="24"/>
        </w:rPr>
        <w:t>205</w:t>
      </w:r>
    </w:p>
    <w:p w:rsidR="003357FC" w:rsidRDefault="00D30902" w:rsidP="003357FC">
      <w:pPr>
        <w:spacing w:before="60"/>
        <w:jc w:val="right"/>
        <w:rPr>
          <w:sz w:val="24"/>
        </w:rPr>
      </w:pPr>
      <w:r>
        <w:rPr>
          <w:sz w:val="24"/>
        </w:rPr>
        <w:t>February 12, 2015</w:t>
      </w:r>
    </w:p>
    <w:p w:rsidR="003357FC" w:rsidRDefault="003357FC" w:rsidP="003357FC">
      <w:pPr>
        <w:jc w:val="right"/>
        <w:rPr>
          <w:sz w:val="24"/>
        </w:rPr>
      </w:pPr>
    </w:p>
    <w:p w:rsidR="00087E93" w:rsidRPr="00087E93" w:rsidRDefault="00087E93" w:rsidP="00D30902">
      <w:pPr>
        <w:pStyle w:val="BodyText"/>
        <w:spacing w:after="0"/>
        <w:jc w:val="center"/>
        <w:rPr>
          <w:b/>
          <w:color w:val="020100"/>
          <w:szCs w:val="22"/>
        </w:rPr>
      </w:pPr>
      <w:r w:rsidRPr="00087E93">
        <w:rPr>
          <w:b/>
          <w:color w:val="020100"/>
          <w:szCs w:val="22"/>
        </w:rPr>
        <w:t>Wireline Competition Bureau Announces Effective Date for Mandatory Electronic Filing of Domestic Section 214 Applications and Notices of Network Changes</w:t>
      </w:r>
    </w:p>
    <w:p w:rsidR="00087E93" w:rsidRDefault="00087E93" w:rsidP="003357FC">
      <w:pPr>
        <w:pStyle w:val="BodyText"/>
        <w:ind w:left="3845"/>
        <w:rPr>
          <w:color w:val="020100"/>
          <w:szCs w:val="22"/>
        </w:rPr>
      </w:pPr>
    </w:p>
    <w:p w:rsidR="003357FC" w:rsidRPr="0090170E" w:rsidRDefault="003357FC" w:rsidP="003357FC">
      <w:pPr>
        <w:pStyle w:val="BodyText"/>
        <w:ind w:left="3845"/>
        <w:rPr>
          <w:szCs w:val="22"/>
        </w:rPr>
      </w:pPr>
      <w:r w:rsidRPr="0090170E">
        <w:rPr>
          <w:color w:val="020100"/>
          <w:szCs w:val="22"/>
        </w:rPr>
        <w:t xml:space="preserve">GC Docket No. 10-44 </w:t>
      </w:r>
    </w:p>
    <w:p w:rsidR="003357FC" w:rsidRPr="0090170E" w:rsidRDefault="003357FC" w:rsidP="003357FC">
      <w:pPr>
        <w:pStyle w:val="BodyText"/>
        <w:spacing w:before="44"/>
        <w:ind w:firstLine="720"/>
        <w:rPr>
          <w:szCs w:val="22"/>
        </w:rPr>
      </w:pPr>
      <w:r w:rsidRPr="0090170E">
        <w:rPr>
          <w:color w:val="020100"/>
          <w:szCs w:val="22"/>
        </w:rPr>
        <w:t>On</w:t>
      </w:r>
      <w:r w:rsidRPr="0090170E">
        <w:rPr>
          <w:color w:val="020100"/>
          <w:spacing w:val="-7"/>
          <w:szCs w:val="22"/>
        </w:rPr>
        <w:t xml:space="preserve"> </w:t>
      </w:r>
      <w:r w:rsidRPr="0090170E">
        <w:rPr>
          <w:color w:val="020100"/>
          <w:szCs w:val="22"/>
        </w:rPr>
        <w:t>November</w:t>
      </w:r>
      <w:r w:rsidRPr="0090170E">
        <w:rPr>
          <w:color w:val="020100"/>
          <w:spacing w:val="-7"/>
          <w:szCs w:val="22"/>
        </w:rPr>
        <w:t xml:space="preserve"> 26</w:t>
      </w:r>
      <w:r w:rsidRPr="0090170E">
        <w:rPr>
          <w:color w:val="020100"/>
          <w:szCs w:val="22"/>
        </w:rPr>
        <w:t>,</w:t>
      </w:r>
      <w:r w:rsidRPr="0090170E">
        <w:rPr>
          <w:color w:val="020100"/>
          <w:spacing w:val="-6"/>
          <w:szCs w:val="22"/>
        </w:rPr>
        <w:t xml:space="preserve"> </w:t>
      </w:r>
      <w:r w:rsidRPr="0090170E">
        <w:rPr>
          <w:color w:val="020100"/>
          <w:szCs w:val="22"/>
        </w:rPr>
        <w:t>2014,</w:t>
      </w:r>
      <w:r w:rsidRPr="0090170E">
        <w:rPr>
          <w:color w:val="020100"/>
          <w:spacing w:val="-7"/>
          <w:szCs w:val="22"/>
        </w:rPr>
        <w:t xml:space="preserve"> </w:t>
      </w:r>
      <w:r w:rsidRPr="0090170E">
        <w:rPr>
          <w:color w:val="020100"/>
          <w:szCs w:val="22"/>
        </w:rPr>
        <w:t>the</w:t>
      </w:r>
      <w:r w:rsidRPr="0090170E">
        <w:rPr>
          <w:color w:val="020100"/>
          <w:spacing w:val="-6"/>
          <w:szCs w:val="22"/>
        </w:rPr>
        <w:t xml:space="preserve"> </w:t>
      </w:r>
      <w:r w:rsidRPr="0090170E">
        <w:rPr>
          <w:color w:val="020100"/>
          <w:szCs w:val="22"/>
        </w:rPr>
        <w:t>Commission</w:t>
      </w:r>
      <w:r w:rsidRPr="0090170E">
        <w:rPr>
          <w:color w:val="020100"/>
          <w:spacing w:val="-7"/>
          <w:szCs w:val="22"/>
        </w:rPr>
        <w:t xml:space="preserve"> </w:t>
      </w:r>
      <w:r w:rsidRPr="0090170E">
        <w:rPr>
          <w:color w:val="020100"/>
          <w:szCs w:val="22"/>
        </w:rPr>
        <w:t>released</w:t>
      </w:r>
      <w:r w:rsidRPr="0090170E">
        <w:rPr>
          <w:color w:val="020100"/>
          <w:spacing w:val="-7"/>
          <w:szCs w:val="22"/>
        </w:rPr>
        <w:t xml:space="preserve"> </w:t>
      </w:r>
      <w:r w:rsidRPr="0090170E">
        <w:rPr>
          <w:color w:val="020100"/>
          <w:szCs w:val="22"/>
        </w:rPr>
        <w:t>an</w:t>
      </w:r>
      <w:r w:rsidRPr="0090170E">
        <w:rPr>
          <w:color w:val="020100"/>
          <w:spacing w:val="-6"/>
          <w:szCs w:val="22"/>
        </w:rPr>
        <w:t xml:space="preserve"> </w:t>
      </w:r>
      <w:r w:rsidRPr="0090170E">
        <w:rPr>
          <w:color w:val="020100"/>
          <w:szCs w:val="22"/>
        </w:rPr>
        <w:t>order</w:t>
      </w:r>
      <w:r w:rsidRPr="0090170E">
        <w:rPr>
          <w:color w:val="020100"/>
          <w:spacing w:val="-7"/>
          <w:szCs w:val="22"/>
        </w:rPr>
        <w:t xml:space="preserve"> </w:t>
      </w:r>
      <w:r w:rsidRPr="0090170E">
        <w:rPr>
          <w:color w:val="020100"/>
          <w:szCs w:val="22"/>
        </w:rPr>
        <w:t>requiring</w:t>
      </w:r>
      <w:r w:rsidRPr="0090170E">
        <w:rPr>
          <w:color w:val="020100"/>
          <w:spacing w:val="-6"/>
          <w:szCs w:val="22"/>
        </w:rPr>
        <w:t xml:space="preserve"> </w:t>
      </w:r>
      <w:r w:rsidRPr="0090170E">
        <w:rPr>
          <w:color w:val="020100"/>
          <w:szCs w:val="22"/>
        </w:rPr>
        <w:t>electronic</w:t>
      </w:r>
      <w:r w:rsidRPr="0090170E">
        <w:rPr>
          <w:color w:val="020100"/>
          <w:spacing w:val="-7"/>
          <w:szCs w:val="22"/>
        </w:rPr>
        <w:t xml:space="preserve"> </w:t>
      </w:r>
      <w:r w:rsidRPr="0090170E">
        <w:rPr>
          <w:color w:val="020100"/>
          <w:szCs w:val="22"/>
        </w:rPr>
        <w:t>filing</w:t>
      </w:r>
      <w:r w:rsidRPr="0090170E">
        <w:rPr>
          <w:color w:val="020100"/>
          <w:spacing w:val="-6"/>
          <w:szCs w:val="22"/>
        </w:rPr>
        <w:t xml:space="preserve"> </w:t>
      </w:r>
      <w:r w:rsidRPr="0090170E">
        <w:rPr>
          <w:color w:val="020100"/>
          <w:szCs w:val="22"/>
        </w:rPr>
        <w:t>through</w:t>
      </w:r>
      <w:r w:rsidRPr="0090170E">
        <w:rPr>
          <w:color w:val="020100"/>
          <w:spacing w:val="-7"/>
          <w:szCs w:val="22"/>
        </w:rPr>
        <w:t xml:space="preserve"> </w:t>
      </w:r>
      <w:r w:rsidRPr="0090170E">
        <w:rPr>
          <w:color w:val="020100"/>
          <w:szCs w:val="22"/>
        </w:rPr>
        <w:t>the</w:t>
      </w:r>
      <w:r w:rsidRPr="0090170E">
        <w:rPr>
          <w:color w:val="020100"/>
          <w:w w:val="99"/>
          <w:szCs w:val="22"/>
        </w:rPr>
        <w:t xml:space="preserve"> </w:t>
      </w:r>
      <w:r w:rsidRPr="0090170E">
        <w:rPr>
          <w:color w:val="020100"/>
          <w:szCs w:val="22"/>
        </w:rPr>
        <w:t>Commission’s</w:t>
      </w:r>
      <w:r w:rsidRPr="0090170E">
        <w:rPr>
          <w:color w:val="020100"/>
          <w:spacing w:val="-7"/>
          <w:szCs w:val="22"/>
        </w:rPr>
        <w:t xml:space="preserve"> </w:t>
      </w:r>
      <w:r w:rsidRPr="0090170E">
        <w:rPr>
          <w:color w:val="020100"/>
          <w:szCs w:val="22"/>
        </w:rPr>
        <w:t>Electronic</w:t>
      </w:r>
      <w:r w:rsidRPr="0090170E">
        <w:rPr>
          <w:color w:val="020100"/>
          <w:spacing w:val="-7"/>
          <w:szCs w:val="22"/>
        </w:rPr>
        <w:t xml:space="preserve"> </w:t>
      </w:r>
      <w:r w:rsidRPr="0090170E">
        <w:rPr>
          <w:color w:val="020100"/>
          <w:szCs w:val="22"/>
        </w:rPr>
        <w:t>Comment Filing</w:t>
      </w:r>
      <w:r w:rsidRPr="0090170E">
        <w:rPr>
          <w:color w:val="020100"/>
          <w:spacing w:val="-6"/>
          <w:szCs w:val="22"/>
        </w:rPr>
        <w:t xml:space="preserve"> </w:t>
      </w:r>
      <w:r w:rsidRPr="0090170E">
        <w:rPr>
          <w:color w:val="020100"/>
          <w:spacing w:val="-2"/>
          <w:szCs w:val="22"/>
        </w:rPr>
        <w:t>System</w:t>
      </w:r>
      <w:r w:rsidRPr="0090170E">
        <w:rPr>
          <w:color w:val="020100"/>
          <w:spacing w:val="-7"/>
          <w:szCs w:val="22"/>
        </w:rPr>
        <w:t xml:space="preserve"> </w:t>
      </w:r>
      <w:r w:rsidRPr="0090170E">
        <w:rPr>
          <w:color w:val="020100"/>
          <w:szCs w:val="22"/>
        </w:rPr>
        <w:t>(ECFS)</w:t>
      </w:r>
      <w:r w:rsidRPr="0090170E">
        <w:rPr>
          <w:color w:val="020100"/>
          <w:spacing w:val="-6"/>
          <w:szCs w:val="22"/>
        </w:rPr>
        <w:t xml:space="preserve"> for three common types of wireline proceedings:  </w:t>
      </w:r>
      <w:r w:rsidRPr="0090170E">
        <w:rPr>
          <w:szCs w:val="22"/>
        </w:rPr>
        <w:t>(a) applications for authorization of domestic transfers of control under section 214(a) of the Communications Act of 1934, as amended (Act);</w:t>
      </w:r>
      <w:r w:rsidRPr="0090170E">
        <w:rPr>
          <w:rStyle w:val="FootnoteReference"/>
          <w:szCs w:val="22"/>
        </w:rPr>
        <w:footnoteReference w:id="1"/>
      </w:r>
      <w:r w:rsidRPr="0090170E">
        <w:rPr>
          <w:szCs w:val="22"/>
        </w:rPr>
        <w:t xml:space="preserve"> (b) applications for authorization to discontinue, reduce, or impair a service under section 214(a) of the Act;</w:t>
      </w:r>
      <w:r w:rsidRPr="0090170E">
        <w:rPr>
          <w:rStyle w:val="FootnoteReference"/>
          <w:szCs w:val="22"/>
        </w:rPr>
        <w:footnoteReference w:id="2"/>
      </w:r>
      <w:r w:rsidRPr="0090170E">
        <w:rPr>
          <w:szCs w:val="22"/>
        </w:rPr>
        <w:t xml:space="preserve"> and (c) notices of network changes under section 251(c)(5) of the Act.</w:t>
      </w:r>
      <w:r w:rsidRPr="0090170E">
        <w:rPr>
          <w:rStyle w:val="FootnoteReference"/>
          <w:szCs w:val="22"/>
        </w:rPr>
        <w:footnoteReference w:id="3"/>
      </w:r>
      <w:r w:rsidRPr="0090170E">
        <w:rPr>
          <w:color w:val="020100"/>
          <w:position w:val="11"/>
          <w:szCs w:val="22"/>
        </w:rPr>
        <w:t xml:space="preserve"> </w:t>
      </w:r>
      <w:r w:rsidRPr="0090170E">
        <w:rPr>
          <w:color w:val="020100"/>
          <w:spacing w:val="29"/>
          <w:position w:val="11"/>
          <w:szCs w:val="22"/>
        </w:rPr>
        <w:t xml:space="preserve"> </w:t>
      </w:r>
      <w:r w:rsidRPr="0090170E">
        <w:rPr>
          <w:color w:val="020100"/>
          <w:szCs w:val="22"/>
        </w:rPr>
        <w:t>Mandatory</w:t>
      </w:r>
      <w:r w:rsidRPr="0090170E">
        <w:rPr>
          <w:color w:val="020100"/>
          <w:spacing w:val="-12"/>
          <w:szCs w:val="22"/>
        </w:rPr>
        <w:t xml:space="preserve"> </w:t>
      </w:r>
      <w:r w:rsidRPr="0090170E">
        <w:rPr>
          <w:color w:val="020100"/>
          <w:szCs w:val="22"/>
        </w:rPr>
        <w:t>electronic</w:t>
      </w:r>
      <w:r w:rsidRPr="0090170E">
        <w:rPr>
          <w:color w:val="020100"/>
          <w:spacing w:val="-5"/>
          <w:szCs w:val="22"/>
        </w:rPr>
        <w:t xml:space="preserve"> </w:t>
      </w:r>
      <w:r w:rsidRPr="0090170E">
        <w:rPr>
          <w:color w:val="020100"/>
          <w:szCs w:val="22"/>
        </w:rPr>
        <w:t>filing</w:t>
      </w:r>
      <w:r w:rsidRPr="0090170E">
        <w:rPr>
          <w:color w:val="020100"/>
          <w:spacing w:val="-6"/>
          <w:szCs w:val="22"/>
        </w:rPr>
        <w:t xml:space="preserve"> </w:t>
      </w:r>
      <w:r w:rsidRPr="0090170E">
        <w:rPr>
          <w:color w:val="020100"/>
          <w:szCs w:val="22"/>
        </w:rPr>
        <w:t>begins today, February 12, 2015, which is thirty</w:t>
      </w:r>
      <w:r w:rsidRPr="0090170E">
        <w:rPr>
          <w:color w:val="020100"/>
          <w:spacing w:val="-11"/>
          <w:szCs w:val="22"/>
        </w:rPr>
        <w:t xml:space="preserve"> </w:t>
      </w:r>
      <w:r w:rsidRPr="0090170E">
        <w:rPr>
          <w:color w:val="020100"/>
          <w:spacing w:val="-1"/>
          <w:szCs w:val="22"/>
        </w:rPr>
        <w:t>days</w:t>
      </w:r>
      <w:r w:rsidRPr="0090170E">
        <w:rPr>
          <w:color w:val="020100"/>
          <w:spacing w:val="-6"/>
          <w:szCs w:val="22"/>
        </w:rPr>
        <w:t xml:space="preserve"> </w:t>
      </w:r>
      <w:r w:rsidRPr="0090170E">
        <w:rPr>
          <w:color w:val="020100"/>
          <w:szCs w:val="22"/>
        </w:rPr>
        <w:t>after</w:t>
      </w:r>
      <w:r w:rsidRPr="0090170E">
        <w:rPr>
          <w:color w:val="020100"/>
          <w:spacing w:val="1"/>
          <w:szCs w:val="22"/>
        </w:rPr>
        <w:t xml:space="preserve"> </w:t>
      </w:r>
      <w:r w:rsidRPr="0090170E">
        <w:rPr>
          <w:color w:val="020100"/>
          <w:szCs w:val="22"/>
        </w:rPr>
        <w:t>publication</w:t>
      </w:r>
      <w:r w:rsidRPr="0090170E">
        <w:rPr>
          <w:color w:val="020100"/>
          <w:spacing w:val="-6"/>
          <w:szCs w:val="22"/>
        </w:rPr>
        <w:t xml:space="preserve"> </w:t>
      </w:r>
      <w:r w:rsidRPr="0090170E">
        <w:rPr>
          <w:color w:val="020100"/>
          <w:szCs w:val="22"/>
        </w:rPr>
        <w:t>of</w:t>
      </w:r>
      <w:r w:rsidRPr="0090170E">
        <w:rPr>
          <w:color w:val="020100"/>
          <w:spacing w:val="-3"/>
          <w:szCs w:val="22"/>
        </w:rPr>
        <w:t xml:space="preserve"> </w:t>
      </w:r>
      <w:r w:rsidRPr="0090170E">
        <w:rPr>
          <w:color w:val="020100"/>
          <w:szCs w:val="22"/>
        </w:rPr>
        <w:t>the</w:t>
      </w:r>
      <w:r w:rsidRPr="0090170E">
        <w:rPr>
          <w:color w:val="020100"/>
          <w:spacing w:val="-5"/>
          <w:szCs w:val="22"/>
        </w:rPr>
        <w:t xml:space="preserve"> </w:t>
      </w:r>
      <w:r w:rsidRPr="0090170E">
        <w:rPr>
          <w:color w:val="020100"/>
          <w:szCs w:val="22"/>
        </w:rPr>
        <w:t>revised</w:t>
      </w:r>
      <w:r w:rsidRPr="0090170E">
        <w:rPr>
          <w:color w:val="020100"/>
          <w:spacing w:val="-6"/>
          <w:szCs w:val="22"/>
        </w:rPr>
        <w:t xml:space="preserve"> </w:t>
      </w:r>
      <w:r w:rsidRPr="0090170E">
        <w:rPr>
          <w:color w:val="020100"/>
          <w:szCs w:val="22"/>
        </w:rPr>
        <w:t>rules</w:t>
      </w:r>
      <w:r w:rsidRPr="0090170E">
        <w:rPr>
          <w:color w:val="020100"/>
          <w:spacing w:val="-5"/>
          <w:szCs w:val="22"/>
        </w:rPr>
        <w:t xml:space="preserve"> </w:t>
      </w:r>
      <w:r w:rsidRPr="0090170E">
        <w:rPr>
          <w:color w:val="020100"/>
          <w:szCs w:val="22"/>
        </w:rPr>
        <w:t>in</w:t>
      </w:r>
      <w:r w:rsidRPr="0090170E">
        <w:rPr>
          <w:color w:val="020100"/>
          <w:spacing w:val="26"/>
          <w:w w:val="99"/>
          <w:szCs w:val="22"/>
        </w:rPr>
        <w:t xml:space="preserve"> </w:t>
      </w:r>
      <w:r w:rsidRPr="0090170E">
        <w:rPr>
          <w:color w:val="020100"/>
          <w:szCs w:val="22"/>
        </w:rPr>
        <w:t>the</w:t>
      </w:r>
      <w:r w:rsidRPr="0090170E">
        <w:rPr>
          <w:color w:val="020100"/>
          <w:spacing w:val="-11"/>
          <w:szCs w:val="22"/>
        </w:rPr>
        <w:t xml:space="preserve"> </w:t>
      </w:r>
      <w:r w:rsidRPr="0090170E">
        <w:rPr>
          <w:color w:val="020100"/>
          <w:szCs w:val="22"/>
        </w:rPr>
        <w:t>Federal</w:t>
      </w:r>
      <w:r w:rsidRPr="0090170E">
        <w:rPr>
          <w:color w:val="020100"/>
          <w:spacing w:val="-10"/>
          <w:szCs w:val="22"/>
        </w:rPr>
        <w:t xml:space="preserve"> </w:t>
      </w:r>
      <w:r w:rsidRPr="0090170E">
        <w:rPr>
          <w:color w:val="020100"/>
          <w:szCs w:val="22"/>
        </w:rPr>
        <w:t>Register.</w:t>
      </w:r>
      <w:r w:rsidRPr="0090170E">
        <w:rPr>
          <w:rStyle w:val="FootnoteReference"/>
          <w:color w:val="020100"/>
          <w:szCs w:val="22"/>
        </w:rPr>
        <w:footnoteReference w:id="4"/>
      </w:r>
      <w:r w:rsidRPr="0090170E">
        <w:rPr>
          <w:color w:val="020100"/>
          <w:szCs w:val="22"/>
        </w:rPr>
        <w:t xml:space="preserve">  </w:t>
      </w:r>
    </w:p>
    <w:p w:rsidR="003357FC" w:rsidRDefault="003357FC" w:rsidP="003357FC">
      <w:pPr>
        <w:pStyle w:val="BodyText"/>
        <w:spacing w:before="44"/>
        <w:ind w:firstLine="720"/>
        <w:rPr>
          <w:color w:val="020100"/>
          <w:spacing w:val="58"/>
          <w:szCs w:val="22"/>
        </w:rPr>
      </w:pPr>
      <w:r w:rsidRPr="0090170E">
        <w:rPr>
          <w:color w:val="020100"/>
          <w:szCs w:val="22"/>
        </w:rPr>
        <w:t>When</w:t>
      </w:r>
      <w:r w:rsidRPr="0090170E">
        <w:rPr>
          <w:color w:val="020100"/>
          <w:spacing w:val="-6"/>
          <w:szCs w:val="22"/>
        </w:rPr>
        <w:t xml:space="preserve"> </w:t>
      </w:r>
      <w:r w:rsidRPr="0090170E">
        <w:rPr>
          <w:color w:val="020100"/>
          <w:szCs w:val="22"/>
        </w:rPr>
        <w:t>e-filing</w:t>
      </w:r>
      <w:r w:rsidRPr="0090170E">
        <w:rPr>
          <w:color w:val="020100"/>
          <w:spacing w:val="-7"/>
          <w:szCs w:val="22"/>
        </w:rPr>
        <w:t xml:space="preserve"> </w:t>
      </w:r>
      <w:r w:rsidRPr="0090170E">
        <w:rPr>
          <w:color w:val="020100"/>
          <w:szCs w:val="22"/>
        </w:rPr>
        <w:t xml:space="preserve">a new </w:t>
      </w:r>
      <w:r>
        <w:rPr>
          <w:color w:val="020100"/>
          <w:szCs w:val="22"/>
        </w:rPr>
        <w:t xml:space="preserve">domestic section 214 application or notice of network change, </w:t>
      </w:r>
      <w:r w:rsidRPr="0090170E">
        <w:rPr>
          <w:color w:val="020100"/>
          <w:szCs w:val="22"/>
        </w:rPr>
        <w:t>a</w:t>
      </w:r>
      <w:r w:rsidRPr="0090170E">
        <w:rPr>
          <w:color w:val="020100"/>
          <w:spacing w:val="-8"/>
          <w:szCs w:val="22"/>
        </w:rPr>
        <w:t xml:space="preserve"> </w:t>
      </w:r>
      <w:r>
        <w:rPr>
          <w:color w:val="020100"/>
          <w:spacing w:val="-8"/>
          <w:szCs w:val="22"/>
        </w:rPr>
        <w:t xml:space="preserve">filer </w:t>
      </w:r>
      <w:r w:rsidRPr="0090170E">
        <w:rPr>
          <w:color w:val="020100"/>
          <w:szCs w:val="22"/>
        </w:rPr>
        <w:t>must</w:t>
      </w:r>
      <w:r w:rsidRPr="0090170E">
        <w:rPr>
          <w:color w:val="020100"/>
          <w:spacing w:val="-7"/>
          <w:szCs w:val="22"/>
        </w:rPr>
        <w:t xml:space="preserve"> </w:t>
      </w:r>
      <w:r w:rsidRPr="0090170E">
        <w:rPr>
          <w:color w:val="020100"/>
          <w:szCs w:val="22"/>
        </w:rPr>
        <w:t>select</w:t>
      </w:r>
      <w:r w:rsidRPr="0090170E">
        <w:rPr>
          <w:color w:val="020100"/>
          <w:spacing w:val="-8"/>
          <w:szCs w:val="22"/>
        </w:rPr>
        <w:t xml:space="preserve"> </w:t>
      </w:r>
      <w:r w:rsidRPr="0090170E">
        <w:rPr>
          <w:color w:val="020100"/>
          <w:szCs w:val="22"/>
        </w:rPr>
        <w:t>either</w:t>
      </w:r>
      <w:r w:rsidRPr="0090170E">
        <w:rPr>
          <w:color w:val="020100"/>
          <w:spacing w:val="-8"/>
          <w:szCs w:val="22"/>
        </w:rPr>
        <w:t xml:space="preserve"> </w:t>
      </w:r>
      <w:r w:rsidRPr="0090170E">
        <w:rPr>
          <w:color w:val="020100"/>
          <w:szCs w:val="22"/>
        </w:rPr>
        <w:t>“Section</w:t>
      </w:r>
      <w:r w:rsidRPr="0090170E">
        <w:rPr>
          <w:color w:val="020100"/>
          <w:spacing w:val="-8"/>
          <w:szCs w:val="22"/>
        </w:rPr>
        <w:t xml:space="preserve"> </w:t>
      </w:r>
      <w:r w:rsidRPr="0090170E">
        <w:rPr>
          <w:color w:val="020100"/>
          <w:szCs w:val="22"/>
        </w:rPr>
        <w:t>2</w:t>
      </w:r>
      <w:r>
        <w:rPr>
          <w:color w:val="020100"/>
          <w:szCs w:val="22"/>
        </w:rPr>
        <w:t>14</w:t>
      </w:r>
      <w:r w:rsidRPr="0090170E">
        <w:rPr>
          <w:color w:val="020100"/>
          <w:spacing w:val="-7"/>
          <w:szCs w:val="22"/>
        </w:rPr>
        <w:t xml:space="preserve"> </w:t>
      </w:r>
      <w:r>
        <w:rPr>
          <w:color w:val="020100"/>
          <w:spacing w:val="-7"/>
          <w:szCs w:val="22"/>
        </w:rPr>
        <w:t xml:space="preserve">Domestic Transfer of Control Application,”  “Section 214 Domestic Discontinuance Application,” or “Section 251 Network Change Notification” </w:t>
      </w:r>
      <w:r w:rsidRPr="0090170E">
        <w:rPr>
          <w:color w:val="020100"/>
          <w:szCs w:val="22"/>
        </w:rPr>
        <w:t>from</w:t>
      </w:r>
      <w:r w:rsidRPr="0090170E">
        <w:rPr>
          <w:color w:val="020100"/>
          <w:spacing w:val="-7"/>
          <w:szCs w:val="22"/>
        </w:rPr>
        <w:t xml:space="preserve"> </w:t>
      </w:r>
      <w:r w:rsidRPr="0090170E">
        <w:rPr>
          <w:color w:val="020100"/>
          <w:szCs w:val="22"/>
        </w:rPr>
        <w:t>the</w:t>
      </w:r>
      <w:r w:rsidRPr="0090170E">
        <w:rPr>
          <w:color w:val="020100"/>
          <w:spacing w:val="-8"/>
          <w:szCs w:val="22"/>
        </w:rPr>
        <w:t xml:space="preserve"> </w:t>
      </w:r>
      <w:r w:rsidR="00651237">
        <w:rPr>
          <w:color w:val="020100"/>
          <w:spacing w:val="-8"/>
          <w:szCs w:val="22"/>
        </w:rPr>
        <w:t xml:space="preserve">Inbox list of the </w:t>
      </w:r>
      <w:r w:rsidRPr="0090170E">
        <w:rPr>
          <w:color w:val="020100"/>
          <w:szCs w:val="22"/>
        </w:rPr>
        <w:t>“Submit</w:t>
      </w:r>
      <w:r w:rsidRPr="0090170E">
        <w:rPr>
          <w:color w:val="020100"/>
          <w:spacing w:val="-7"/>
          <w:szCs w:val="22"/>
        </w:rPr>
        <w:t xml:space="preserve"> </w:t>
      </w:r>
      <w:r w:rsidRPr="0090170E">
        <w:rPr>
          <w:color w:val="020100"/>
          <w:szCs w:val="22"/>
        </w:rPr>
        <w:t>a</w:t>
      </w:r>
      <w:r w:rsidRPr="0090170E">
        <w:rPr>
          <w:color w:val="020100"/>
          <w:spacing w:val="-8"/>
          <w:szCs w:val="22"/>
        </w:rPr>
        <w:t xml:space="preserve"> </w:t>
      </w:r>
      <w:r w:rsidRPr="0090170E">
        <w:rPr>
          <w:color w:val="020100"/>
          <w:spacing w:val="4"/>
          <w:szCs w:val="22"/>
        </w:rPr>
        <w:t>Non-</w:t>
      </w:r>
      <w:r w:rsidRPr="0090170E">
        <w:rPr>
          <w:color w:val="020100"/>
          <w:szCs w:val="22"/>
        </w:rPr>
        <w:t>Docketed</w:t>
      </w:r>
      <w:r w:rsidRPr="0090170E">
        <w:rPr>
          <w:color w:val="020100"/>
          <w:spacing w:val="-6"/>
          <w:szCs w:val="22"/>
        </w:rPr>
        <w:t xml:space="preserve"> </w:t>
      </w:r>
      <w:r w:rsidRPr="0090170E">
        <w:rPr>
          <w:color w:val="020100"/>
          <w:szCs w:val="22"/>
        </w:rPr>
        <w:t>Filing”</w:t>
      </w:r>
      <w:r w:rsidRPr="0090170E">
        <w:rPr>
          <w:color w:val="020100"/>
          <w:spacing w:val="-6"/>
          <w:szCs w:val="22"/>
        </w:rPr>
        <w:t xml:space="preserve"> </w:t>
      </w:r>
      <w:r w:rsidRPr="0090170E">
        <w:rPr>
          <w:color w:val="020100"/>
          <w:szCs w:val="22"/>
        </w:rPr>
        <w:t>module</w:t>
      </w:r>
      <w:r w:rsidRPr="0090170E">
        <w:rPr>
          <w:color w:val="020100"/>
          <w:spacing w:val="-5"/>
          <w:szCs w:val="22"/>
        </w:rPr>
        <w:t xml:space="preserve"> </w:t>
      </w:r>
      <w:r w:rsidRPr="0090170E">
        <w:rPr>
          <w:color w:val="020100"/>
          <w:szCs w:val="22"/>
        </w:rPr>
        <w:t>of</w:t>
      </w:r>
      <w:r w:rsidRPr="0090170E">
        <w:rPr>
          <w:color w:val="020100"/>
          <w:spacing w:val="-6"/>
          <w:szCs w:val="22"/>
        </w:rPr>
        <w:t xml:space="preserve"> </w:t>
      </w:r>
      <w:r w:rsidRPr="0090170E">
        <w:rPr>
          <w:color w:val="020100"/>
          <w:szCs w:val="22"/>
        </w:rPr>
        <w:t>ECFS.</w:t>
      </w:r>
      <w:r w:rsidRPr="0090170E">
        <w:rPr>
          <w:color w:val="020100"/>
          <w:spacing w:val="58"/>
          <w:szCs w:val="22"/>
        </w:rPr>
        <w:t xml:space="preserve"> </w:t>
      </w:r>
    </w:p>
    <w:p w:rsidR="003357FC" w:rsidRDefault="003357FC" w:rsidP="003357FC">
      <w:pPr>
        <w:pStyle w:val="BodyText"/>
        <w:spacing w:before="44"/>
        <w:ind w:firstLine="720"/>
        <w:rPr>
          <w:color w:val="020100"/>
          <w:spacing w:val="-1"/>
          <w:szCs w:val="22"/>
        </w:rPr>
      </w:pPr>
      <w:r>
        <w:rPr>
          <w:snapToGrid w:val="0"/>
          <w:kern w:val="28"/>
        </w:rPr>
        <w:t xml:space="preserve">For domestic section 214 transfer of control applications, </w:t>
      </w:r>
      <w:r w:rsidRPr="0014780D">
        <w:rPr>
          <w:snapToGrid w:val="0"/>
          <w:kern w:val="28"/>
        </w:rPr>
        <w:t xml:space="preserve">applicants will no longer submit a hard copy of the application </w:t>
      </w:r>
      <w:r>
        <w:rPr>
          <w:snapToGrid w:val="0"/>
          <w:kern w:val="28"/>
        </w:rPr>
        <w:t xml:space="preserve">to U.S. Bank </w:t>
      </w:r>
      <w:r w:rsidRPr="0014780D">
        <w:rPr>
          <w:snapToGrid w:val="0"/>
          <w:kern w:val="28"/>
        </w:rPr>
        <w:t xml:space="preserve">with the fee payment as described in </w:t>
      </w:r>
      <w:r>
        <w:rPr>
          <w:snapToGrid w:val="0"/>
          <w:kern w:val="28"/>
        </w:rPr>
        <w:t>section</w:t>
      </w:r>
      <w:r w:rsidRPr="0014780D">
        <w:rPr>
          <w:snapToGrid w:val="0"/>
          <w:kern w:val="28"/>
        </w:rPr>
        <w:t xml:space="preserve"> 1.1105</w:t>
      </w:r>
      <w:r>
        <w:rPr>
          <w:snapToGrid w:val="0"/>
          <w:kern w:val="28"/>
        </w:rPr>
        <w:t xml:space="preserve"> of the Commission’s rules</w:t>
      </w:r>
      <w:r w:rsidRPr="0014780D">
        <w:rPr>
          <w:snapToGrid w:val="0"/>
          <w:kern w:val="28"/>
        </w:rPr>
        <w:t>.</w:t>
      </w:r>
      <w:r w:rsidRPr="0014780D">
        <w:rPr>
          <w:snapToGrid w:val="0"/>
          <w:kern w:val="28"/>
          <w:sz w:val="20"/>
          <w:vertAlign w:val="superscript"/>
        </w:rPr>
        <w:footnoteReference w:id="5"/>
      </w:r>
      <w:r w:rsidRPr="0014780D">
        <w:rPr>
          <w:snapToGrid w:val="0"/>
          <w:kern w:val="28"/>
        </w:rPr>
        <w:t xml:space="preserve">  Instead, applicants must first transmit the application processing fee to the designated payment center and then file the application electronically using ECFS.  </w:t>
      </w:r>
      <w:r w:rsidRPr="0090170E">
        <w:rPr>
          <w:color w:val="020100"/>
          <w:szCs w:val="22"/>
        </w:rPr>
        <w:t>One option</w:t>
      </w:r>
      <w:r>
        <w:rPr>
          <w:color w:val="020100"/>
          <w:szCs w:val="22"/>
        </w:rPr>
        <w:t xml:space="preserve"> for paying the fee </w:t>
      </w:r>
      <w:r w:rsidRPr="0090170E">
        <w:rPr>
          <w:color w:val="020100"/>
          <w:szCs w:val="22"/>
        </w:rPr>
        <w:t xml:space="preserve">is the Commission’s Fee Filer </w:t>
      </w:r>
      <w:r w:rsidRPr="0090170E">
        <w:rPr>
          <w:color w:val="020100"/>
          <w:spacing w:val="-1"/>
          <w:szCs w:val="22"/>
        </w:rPr>
        <w:t>System</w:t>
      </w:r>
      <w:r w:rsidR="00087E93">
        <w:rPr>
          <w:color w:val="020100"/>
          <w:spacing w:val="-1"/>
          <w:szCs w:val="22"/>
        </w:rPr>
        <w:t xml:space="preserve"> (http://www.fcc.gov/encyclopedia/fee-filer)</w:t>
      </w:r>
      <w:r w:rsidRPr="00264915">
        <w:rPr>
          <w:color w:val="000000" w:themeColor="text1"/>
          <w:spacing w:val="21"/>
          <w:szCs w:val="22"/>
        </w:rPr>
        <w:t>,</w:t>
      </w:r>
      <w:r w:rsidR="00087E93">
        <w:rPr>
          <w:color w:val="000000" w:themeColor="text1"/>
          <w:spacing w:val="21"/>
          <w:szCs w:val="22"/>
        </w:rPr>
        <w:t>w</w:t>
      </w:r>
      <w:r w:rsidRPr="0090170E">
        <w:rPr>
          <w:color w:val="020100"/>
          <w:szCs w:val="22"/>
        </w:rPr>
        <w:t xml:space="preserve">hich </w:t>
      </w:r>
      <w:r w:rsidRPr="0090170E">
        <w:rPr>
          <w:color w:val="020100"/>
          <w:spacing w:val="-1"/>
          <w:szCs w:val="22"/>
        </w:rPr>
        <w:t>provides for online payment of the</w:t>
      </w:r>
      <w:r w:rsidRPr="0090170E">
        <w:rPr>
          <w:color w:val="020100"/>
          <w:spacing w:val="72"/>
          <w:szCs w:val="22"/>
        </w:rPr>
        <w:t xml:space="preserve"> </w:t>
      </w:r>
      <w:r w:rsidRPr="0090170E">
        <w:rPr>
          <w:color w:val="020100"/>
          <w:spacing w:val="-1"/>
          <w:szCs w:val="22"/>
        </w:rPr>
        <w:t xml:space="preserve">application filing </w:t>
      </w:r>
      <w:r w:rsidRPr="0090170E">
        <w:rPr>
          <w:color w:val="020100"/>
          <w:spacing w:val="-2"/>
          <w:szCs w:val="22"/>
        </w:rPr>
        <w:t>fee,</w:t>
      </w:r>
      <w:r w:rsidRPr="0090170E">
        <w:rPr>
          <w:color w:val="020100"/>
          <w:spacing w:val="2"/>
          <w:szCs w:val="22"/>
        </w:rPr>
        <w:t xml:space="preserve"> </w:t>
      </w:r>
      <w:r w:rsidRPr="0090170E">
        <w:rPr>
          <w:color w:val="020100"/>
          <w:szCs w:val="22"/>
        </w:rPr>
        <w:t xml:space="preserve">as well as immediate </w:t>
      </w:r>
      <w:r w:rsidRPr="0090170E">
        <w:rPr>
          <w:color w:val="020100"/>
          <w:spacing w:val="-1"/>
          <w:szCs w:val="22"/>
        </w:rPr>
        <w:t>payment</w:t>
      </w:r>
      <w:r w:rsidRPr="0090170E">
        <w:rPr>
          <w:color w:val="020100"/>
          <w:szCs w:val="22"/>
        </w:rPr>
        <w:t xml:space="preserve"> </w:t>
      </w:r>
      <w:r w:rsidRPr="0090170E">
        <w:rPr>
          <w:color w:val="020100"/>
          <w:spacing w:val="-1"/>
          <w:szCs w:val="22"/>
        </w:rPr>
        <w:t>verification,</w:t>
      </w:r>
      <w:r w:rsidRPr="0090170E">
        <w:rPr>
          <w:color w:val="020100"/>
          <w:szCs w:val="22"/>
        </w:rPr>
        <w:t xml:space="preserve"> and</w:t>
      </w:r>
      <w:r w:rsidRPr="0090170E">
        <w:rPr>
          <w:color w:val="020100"/>
          <w:spacing w:val="-1"/>
          <w:szCs w:val="22"/>
        </w:rPr>
        <w:t xml:space="preserve"> </w:t>
      </w:r>
      <w:r w:rsidRPr="0090170E">
        <w:rPr>
          <w:color w:val="020100"/>
          <w:szCs w:val="22"/>
        </w:rPr>
        <w:t>assists</w:t>
      </w:r>
      <w:r w:rsidRPr="0090170E">
        <w:rPr>
          <w:color w:val="020100"/>
          <w:spacing w:val="-1"/>
          <w:szCs w:val="22"/>
        </w:rPr>
        <w:t xml:space="preserve"> </w:t>
      </w:r>
      <w:r w:rsidRPr="0090170E">
        <w:rPr>
          <w:color w:val="020100"/>
          <w:szCs w:val="22"/>
        </w:rPr>
        <w:t>the</w:t>
      </w:r>
      <w:r w:rsidRPr="0090170E">
        <w:rPr>
          <w:color w:val="020100"/>
          <w:spacing w:val="39"/>
          <w:szCs w:val="22"/>
        </w:rPr>
        <w:t xml:space="preserve"> </w:t>
      </w:r>
      <w:r w:rsidRPr="0090170E">
        <w:rPr>
          <w:color w:val="020100"/>
          <w:spacing w:val="-1"/>
          <w:szCs w:val="22"/>
        </w:rPr>
        <w:t>filer in completing</w:t>
      </w:r>
      <w:r w:rsidRPr="0090170E">
        <w:rPr>
          <w:color w:val="020100"/>
          <w:szCs w:val="22"/>
        </w:rPr>
        <w:t xml:space="preserve"> Form 159 online (both documents must </w:t>
      </w:r>
      <w:r w:rsidRPr="0090170E">
        <w:rPr>
          <w:color w:val="020100"/>
          <w:spacing w:val="-1"/>
          <w:szCs w:val="22"/>
        </w:rPr>
        <w:t xml:space="preserve">be filed with the </w:t>
      </w:r>
      <w:r>
        <w:rPr>
          <w:color w:val="020100"/>
          <w:spacing w:val="-1"/>
          <w:szCs w:val="22"/>
        </w:rPr>
        <w:t>application</w:t>
      </w:r>
      <w:r w:rsidRPr="0090170E">
        <w:rPr>
          <w:color w:val="020100"/>
          <w:spacing w:val="-1"/>
          <w:szCs w:val="22"/>
        </w:rPr>
        <w:t>).</w:t>
      </w:r>
      <w:r>
        <w:rPr>
          <w:snapToGrid w:val="0"/>
          <w:kern w:val="28"/>
        </w:rPr>
        <w:t xml:space="preserve"> </w:t>
      </w:r>
      <w:r w:rsidRPr="0090170E">
        <w:rPr>
          <w:noProof/>
          <w:szCs w:val="22"/>
        </w:rPr>
        <mc:AlternateContent>
          <mc:Choice Requires="wpg">
            <w:drawing>
              <wp:anchor distT="0" distB="0" distL="114300" distR="114300" simplePos="0" relativeHeight="251659264" behindDoc="1" locked="0" layoutInCell="1" allowOverlap="1" wp14:anchorId="72B06A1E" wp14:editId="74E4030C">
                <wp:simplePos x="0" y="0"/>
                <wp:positionH relativeFrom="page">
                  <wp:posOffset>6690360</wp:posOffset>
                </wp:positionH>
                <wp:positionV relativeFrom="paragraph">
                  <wp:posOffset>682625</wp:posOffset>
                </wp:positionV>
                <wp:extent cx="38100" cy="7620"/>
                <wp:effectExtent l="13335" t="6350" r="5715" b="508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7620"/>
                          <a:chOff x="10536" y="1075"/>
                          <a:chExt cx="60" cy="12"/>
                        </a:xfrm>
                      </wpg:grpSpPr>
                      <wps:wsp>
                        <wps:cNvPr id="10" name="Freeform 10"/>
                        <wps:cNvSpPr>
                          <a:spLocks/>
                        </wps:cNvSpPr>
                        <wps:spPr bwMode="auto">
                          <a:xfrm>
                            <a:off x="10536" y="1075"/>
                            <a:ext cx="60" cy="12"/>
                          </a:xfrm>
                          <a:custGeom>
                            <a:avLst/>
                            <a:gdLst>
                              <a:gd name="T0" fmla="+- 0 10536 10536"/>
                              <a:gd name="T1" fmla="*/ T0 w 60"/>
                              <a:gd name="T2" fmla="+- 0 1081 1075"/>
                              <a:gd name="T3" fmla="*/ 1081 h 12"/>
                              <a:gd name="T4" fmla="+- 0 10596 10536"/>
                              <a:gd name="T5" fmla="*/ T4 w 60"/>
                              <a:gd name="T6" fmla="+- 0 1081 1075"/>
                              <a:gd name="T7" fmla="*/ 1081 h 12"/>
                            </a:gdLst>
                            <a:ahLst/>
                            <a:cxnLst>
                              <a:cxn ang="0">
                                <a:pos x="T1" y="T3"/>
                              </a:cxn>
                              <a:cxn ang="0">
                                <a:pos x="T5" y="T7"/>
                              </a:cxn>
                            </a:cxnLst>
                            <a:rect l="0" t="0" r="r" b="b"/>
                            <a:pathLst>
                              <a:path w="60" h="12">
                                <a:moveTo>
                                  <a:pt x="0" y="6"/>
                                </a:moveTo>
                                <a:lnTo>
                                  <a:pt x="60" y="6"/>
                                </a:lnTo>
                              </a:path>
                            </a:pathLst>
                          </a:custGeom>
                          <a:noFill/>
                          <a:ln w="8890">
                            <a:solidFill>
                              <a:srgbClr val="0201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526.8pt;margin-top:53.75pt;width:3pt;height:.6pt;z-index:-251657216;mso-position-horizontal-relative:page" coordorigin="10536,1075" coordsize="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">
                <v:shape id="Freeform 10" o:spid="_x0000_s1027" style="position:absolute;left:10536;top:1075;width:60;height:12;visibility:visible;mso-wrap-style:square;v-text-anchor:top" coordsize="6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D0PcQA&#10;AADbAAAADwAAAGRycy9kb3ducmV2LnhtbESPQWvDMAyF74P9B6NBb6uzwkaX1S3byuhgpzZlZxGr&#10;SbpYNrbbpP++Ogx6k3hP731arEbXqzPF1Hk28DQtQBHX3nbcGNhXX49zUCkjW+w9k4ELJVgt7+8W&#10;WFo/8JbOu9woCeFUooE251BqneqWHKapD8SiHXx0mGWNjbYRBwl3vZ4VxYt22LE0tBjos6X6b3dy&#10;BvBo9z+H199qvXkOfaiO21kcPoyZPIzvb6Ayjflm/r/+toIv9PKLDK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w9D3EAAAA2wAAAA8AAAAAAAAAAAAAAAAAmAIAAGRycy9k&#10;b3ducmV2LnhtbFBLBQYAAAAABAAEAPUAAACJAwAAAAA=&#10;" path="m,6r60,e" filled="f" strokecolor="#020100" strokeweight=".7pt">
                  <v:path arrowok="t" o:connecttype="custom" o:connectlocs="0,1081;60,1081" o:connectangles="0,0"/>
                </v:shape>
                <w10:wrap anchorx="page"/>
              </v:group>
            </w:pict>
          </mc:Fallback>
        </mc:AlternateContent>
      </w:r>
      <w:r>
        <w:rPr>
          <w:snapToGrid w:val="0"/>
          <w:kern w:val="28"/>
        </w:rPr>
        <w:t xml:space="preserve">   </w:t>
      </w:r>
      <w:r>
        <w:rPr>
          <w:color w:val="020100"/>
          <w:spacing w:val="-1"/>
          <w:szCs w:val="22"/>
        </w:rPr>
        <w:t xml:space="preserve">  </w:t>
      </w:r>
    </w:p>
    <w:p w:rsidR="003357FC" w:rsidRPr="009130F2" w:rsidRDefault="003357FC" w:rsidP="003357FC">
      <w:pPr>
        <w:pStyle w:val="BodyText"/>
        <w:spacing w:before="44"/>
        <w:ind w:firstLine="720"/>
        <w:rPr>
          <w:color w:val="020100"/>
          <w:spacing w:val="-1"/>
          <w:szCs w:val="22"/>
        </w:rPr>
      </w:pPr>
      <w:r w:rsidRPr="009130F2">
        <w:rPr>
          <w:color w:val="020100"/>
          <w:spacing w:val="-1"/>
          <w:szCs w:val="22"/>
        </w:rPr>
        <w:lastRenderedPageBreak/>
        <w:t xml:space="preserve">If </w:t>
      </w:r>
      <w:r w:rsidRPr="009130F2">
        <w:rPr>
          <w:color w:val="020100"/>
          <w:szCs w:val="22"/>
        </w:rPr>
        <w:t>a</w:t>
      </w:r>
      <w:r w:rsidRPr="009130F2">
        <w:rPr>
          <w:color w:val="020100"/>
          <w:spacing w:val="-1"/>
          <w:szCs w:val="22"/>
        </w:rPr>
        <w:t xml:space="preserve"> pleading includes confidential information, the </w:t>
      </w:r>
      <w:r w:rsidRPr="009130F2">
        <w:rPr>
          <w:color w:val="020100"/>
          <w:szCs w:val="22"/>
        </w:rPr>
        <w:t>party</w:t>
      </w:r>
      <w:r w:rsidRPr="009130F2">
        <w:rPr>
          <w:color w:val="020100"/>
          <w:spacing w:val="-1"/>
          <w:szCs w:val="22"/>
        </w:rPr>
        <w:t xml:space="preserve"> must file </w:t>
      </w:r>
      <w:r w:rsidRPr="009130F2">
        <w:rPr>
          <w:color w:val="020100"/>
          <w:szCs w:val="22"/>
        </w:rPr>
        <w:t>a</w:t>
      </w:r>
      <w:r w:rsidRPr="009130F2">
        <w:rPr>
          <w:color w:val="020100"/>
          <w:spacing w:val="-1"/>
          <w:szCs w:val="22"/>
        </w:rPr>
        <w:t xml:space="preserve"> redacted version of the</w:t>
      </w:r>
      <w:r w:rsidRPr="009130F2">
        <w:rPr>
          <w:color w:val="020100"/>
          <w:spacing w:val="22"/>
          <w:szCs w:val="22"/>
        </w:rPr>
        <w:t xml:space="preserve"> </w:t>
      </w:r>
      <w:r w:rsidRPr="009130F2">
        <w:rPr>
          <w:color w:val="020100"/>
          <w:spacing w:val="-1"/>
          <w:szCs w:val="22"/>
        </w:rPr>
        <w:t xml:space="preserve">pleading </w:t>
      </w:r>
      <w:r w:rsidR="00065101" w:rsidRPr="009130F2">
        <w:rPr>
          <w:color w:val="020100"/>
          <w:spacing w:val="-1"/>
          <w:szCs w:val="22"/>
        </w:rPr>
        <w:t>via</w:t>
      </w:r>
      <w:r w:rsidRPr="009130F2">
        <w:rPr>
          <w:color w:val="020100"/>
          <w:spacing w:val="-1"/>
          <w:szCs w:val="22"/>
        </w:rPr>
        <w:t xml:space="preserve"> </w:t>
      </w:r>
      <w:r w:rsidRPr="009130F2">
        <w:rPr>
          <w:color w:val="020100"/>
          <w:szCs w:val="22"/>
        </w:rPr>
        <w:t xml:space="preserve">ECFS and </w:t>
      </w:r>
      <w:r w:rsidR="00065101" w:rsidRPr="009130F2">
        <w:rPr>
          <w:color w:val="020100"/>
          <w:szCs w:val="22"/>
        </w:rPr>
        <w:t xml:space="preserve">must also </w:t>
      </w:r>
      <w:r w:rsidRPr="009130F2">
        <w:rPr>
          <w:color w:val="020100"/>
          <w:szCs w:val="22"/>
        </w:rPr>
        <w:t xml:space="preserve">file </w:t>
      </w:r>
      <w:r w:rsidR="00065101" w:rsidRPr="009130F2">
        <w:rPr>
          <w:color w:val="020100"/>
          <w:szCs w:val="22"/>
        </w:rPr>
        <w:t xml:space="preserve">a paper copy of </w:t>
      </w:r>
      <w:r w:rsidRPr="009130F2">
        <w:rPr>
          <w:color w:val="020100"/>
          <w:szCs w:val="22"/>
        </w:rPr>
        <w:t xml:space="preserve">the confidential version with the Office of the </w:t>
      </w:r>
      <w:r w:rsidRPr="009130F2">
        <w:rPr>
          <w:color w:val="020100"/>
          <w:spacing w:val="-1"/>
          <w:szCs w:val="22"/>
        </w:rPr>
        <w:t>Secretary.</w:t>
      </w:r>
      <w:r w:rsidR="00065101" w:rsidRPr="009130F2">
        <w:rPr>
          <w:color w:val="020100"/>
          <w:spacing w:val="-1"/>
          <w:szCs w:val="22"/>
        </w:rPr>
        <w:t xml:space="preserve"> </w:t>
      </w:r>
      <w:r w:rsidR="008F6D79" w:rsidRPr="009130F2">
        <w:rPr>
          <w:rStyle w:val="FootnoteReference"/>
          <w:color w:val="020100"/>
          <w:spacing w:val="-1"/>
          <w:szCs w:val="22"/>
        </w:rPr>
        <w:footnoteReference w:id="6"/>
      </w:r>
      <w:r w:rsidR="009130F2" w:rsidRPr="009130F2">
        <w:rPr>
          <w:color w:val="020100"/>
          <w:spacing w:val="-1"/>
          <w:szCs w:val="22"/>
        </w:rPr>
        <w:t xml:space="preserve">  </w:t>
      </w:r>
      <w:r w:rsidRPr="009130F2">
        <w:rPr>
          <w:color w:val="020100"/>
          <w:spacing w:val="-1"/>
          <w:szCs w:val="22"/>
        </w:rPr>
        <w:t>Parties</w:t>
      </w:r>
      <w:r w:rsidRPr="009130F2">
        <w:rPr>
          <w:color w:val="020100"/>
          <w:spacing w:val="20"/>
          <w:szCs w:val="22"/>
        </w:rPr>
        <w:t xml:space="preserve"> </w:t>
      </w:r>
      <w:r w:rsidRPr="009130F2">
        <w:rPr>
          <w:color w:val="020100"/>
          <w:szCs w:val="22"/>
        </w:rPr>
        <w:t>should file the</w:t>
      </w:r>
      <w:r w:rsidRPr="009130F2">
        <w:rPr>
          <w:color w:val="020100"/>
          <w:spacing w:val="-2"/>
          <w:szCs w:val="22"/>
        </w:rPr>
        <w:t xml:space="preserve"> </w:t>
      </w:r>
      <w:r w:rsidRPr="009130F2">
        <w:rPr>
          <w:color w:val="020100"/>
          <w:spacing w:val="-1"/>
          <w:szCs w:val="22"/>
        </w:rPr>
        <w:t xml:space="preserve">redacted </w:t>
      </w:r>
      <w:r w:rsidRPr="009130F2">
        <w:rPr>
          <w:color w:val="020100"/>
          <w:szCs w:val="22"/>
        </w:rPr>
        <w:t xml:space="preserve">and </w:t>
      </w:r>
      <w:r w:rsidRPr="009130F2">
        <w:rPr>
          <w:color w:val="020100"/>
          <w:spacing w:val="-1"/>
          <w:szCs w:val="22"/>
        </w:rPr>
        <w:t xml:space="preserve">confidential </w:t>
      </w:r>
      <w:r w:rsidRPr="009130F2">
        <w:rPr>
          <w:color w:val="020100"/>
          <w:szCs w:val="22"/>
        </w:rPr>
        <w:t xml:space="preserve">versions of </w:t>
      </w:r>
      <w:r w:rsidRPr="009130F2">
        <w:rPr>
          <w:color w:val="020100"/>
          <w:spacing w:val="-1"/>
          <w:szCs w:val="22"/>
        </w:rPr>
        <w:t xml:space="preserve">pleadings on the </w:t>
      </w:r>
      <w:r w:rsidRPr="009130F2">
        <w:rPr>
          <w:color w:val="020100"/>
          <w:szCs w:val="22"/>
        </w:rPr>
        <w:t xml:space="preserve">same </w:t>
      </w:r>
      <w:r w:rsidRPr="009130F2">
        <w:rPr>
          <w:color w:val="020100"/>
          <w:spacing w:val="-2"/>
          <w:szCs w:val="22"/>
        </w:rPr>
        <w:t>day.</w:t>
      </w:r>
      <w:r w:rsidRPr="009130F2">
        <w:rPr>
          <w:color w:val="020100"/>
          <w:szCs w:val="22"/>
        </w:rPr>
        <w:t xml:space="preserve"> </w:t>
      </w:r>
      <w:r w:rsidRPr="009130F2">
        <w:rPr>
          <w:color w:val="020100"/>
          <w:spacing w:val="2"/>
          <w:szCs w:val="22"/>
        </w:rPr>
        <w:t xml:space="preserve"> </w:t>
      </w:r>
      <w:r w:rsidRPr="009130F2">
        <w:rPr>
          <w:color w:val="020100"/>
          <w:spacing w:val="-1"/>
          <w:szCs w:val="22"/>
        </w:rPr>
        <w:t>Anything</w:t>
      </w:r>
      <w:r w:rsidRPr="009130F2">
        <w:rPr>
          <w:color w:val="020100"/>
          <w:spacing w:val="23"/>
          <w:szCs w:val="22"/>
        </w:rPr>
        <w:t xml:space="preserve"> </w:t>
      </w:r>
      <w:r w:rsidRPr="009130F2">
        <w:rPr>
          <w:color w:val="020100"/>
          <w:spacing w:val="-1"/>
          <w:szCs w:val="22"/>
        </w:rPr>
        <w:t>submitted to ECFS will become public.</w:t>
      </w:r>
      <w:r w:rsidRPr="009130F2">
        <w:rPr>
          <w:color w:val="020100"/>
          <w:spacing w:val="59"/>
          <w:szCs w:val="22"/>
        </w:rPr>
        <w:t xml:space="preserve"> </w:t>
      </w:r>
      <w:r w:rsidR="00D30902" w:rsidRPr="009130F2">
        <w:rPr>
          <w:color w:val="020100"/>
          <w:spacing w:val="59"/>
          <w:szCs w:val="22"/>
        </w:rPr>
        <w:t xml:space="preserve"> </w:t>
      </w:r>
      <w:r w:rsidRPr="009130F2">
        <w:rPr>
          <w:color w:val="020100"/>
          <w:szCs w:val="22"/>
        </w:rPr>
        <w:t>Contact ECFS Help immediately</w:t>
      </w:r>
      <w:r w:rsidRPr="009130F2">
        <w:rPr>
          <w:color w:val="020100"/>
          <w:spacing w:val="-5"/>
          <w:szCs w:val="22"/>
        </w:rPr>
        <w:t xml:space="preserve"> </w:t>
      </w:r>
      <w:r w:rsidRPr="009130F2">
        <w:rPr>
          <w:color w:val="020100"/>
          <w:szCs w:val="22"/>
        </w:rPr>
        <w:t xml:space="preserve">at </w:t>
      </w:r>
      <w:hyperlink r:id="rId14">
        <w:r w:rsidRPr="009130F2">
          <w:rPr>
            <w:color w:val="020100"/>
            <w:spacing w:val="-1"/>
            <w:szCs w:val="22"/>
          </w:rPr>
          <w:t>ecfshelp@fcc.gov,</w:t>
        </w:r>
      </w:hyperlink>
      <w:r w:rsidRPr="009130F2">
        <w:rPr>
          <w:color w:val="020100"/>
          <w:spacing w:val="28"/>
          <w:szCs w:val="22"/>
        </w:rPr>
        <w:t xml:space="preserve"> </w:t>
      </w:r>
      <w:r w:rsidRPr="009130F2">
        <w:rPr>
          <w:color w:val="020100"/>
          <w:spacing w:val="-1"/>
          <w:szCs w:val="22"/>
        </w:rPr>
        <w:t>or 202-418-</w:t>
      </w:r>
      <w:r w:rsidR="00651237">
        <w:rPr>
          <w:color w:val="020100"/>
          <w:spacing w:val="-1"/>
          <w:szCs w:val="22"/>
        </w:rPr>
        <w:t>0193,</w:t>
      </w:r>
      <w:r w:rsidRPr="009130F2">
        <w:rPr>
          <w:color w:val="020100"/>
          <w:szCs w:val="22"/>
        </w:rPr>
        <w:t xml:space="preserve"> if there is a filing </w:t>
      </w:r>
      <w:r w:rsidRPr="009130F2">
        <w:rPr>
          <w:color w:val="020100"/>
          <w:spacing w:val="-1"/>
          <w:szCs w:val="22"/>
        </w:rPr>
        <w:t>error.</w:t>
      </w:r>
    </w:p>
    <w:p w:rsidR="00087E93" w:rsidRPr="009130F2" w:rsidRDefault="00D30902" w:rsidP="00087E93">
      <w:pPr>
        <w:ind w:firstLine="720"/>
        <w:rPr>
          <w:szCs w:val="22"/>
        </w:rPr>
      </w:pPr>
      <w:r w:rsidRPr="009130F2">
        <w:rPr>
          <w:szCs w:val="22"/>
        </w:rPr>
        <w:t>For further in</w:t>
      </w:r>
      <w:r w:rsidR="00651237">
        <w:rPr>
          <w:szCs w:val="22"/>
        </w:rPr>
        <w:t>formation, please contact ECFS H</w:t>
      </w:r>
      <w:r w:rsidRPr="009130F2">
        <w:rPr>
          <w:szCs w:val="22"/>
        </w:rPr>
        <w:t>elp at ecfshelp@fcc.gov or 202-418-0193</w:t>
      </w:r>
      <w:r w:rsidR="00651237">
        <w:rPr>
          <w:szCs w:val="22"/>
        </w:rPr>
        <w:t xml:space="preserve">, </w:t>
      </w:r>
      <w:r w:rsidRPr="009130F2">
        <w:rPr>
          <w:szCs w:val="22"/>
        </w:rPr>
        <w:t>or</w:t>
      </w:r>
      <w:r w:rsidR="00087E93" w:rsidRPr="009130F2">
        <w:rPr>
          <w:szCs w:val="22"/>
        </w:rPr>
        <w:t xml:space="preserve"> Myrva Freeman at (202) 418-1506, Competition Policy Division, Wireline Competition Bureau.</w:t>
      </w:r>
    </w:p>
    <w:p w:rsidR="00087E93" w:rsidRPr="009130F2" w:rsidRDefault="00087E93" w:rsidP="003357FC">
      <w:pPr>
        <w:pStyle w:val="BodyText"/>
        <w:spacing w:before="44"/>
        <w:ind w:firstLine="720"/>
        <w:rPr>
          <w:color w:val="020100"/>
          <w:spacing w:val="58"/>
          <w:szCs w:val="22"/>
        </w:rPr>
      </w:pPr>
    </w:p>
    <w:p w:rsidR="003357FC" w:rsidRDefault="003357FC" w:rsidP="003357FC">
      <w:pPr>
        <w:spacing w:before="120" w:after="240"/>
        <w:jc w:val="center"/>
        <w:rPr>
          <w:sz w:val="24"/>
        </w:rPr>
      </w:pPr>
      <w:r>
        <w:rPr>
          <w:sz w:val="24"/>
        </w:rPr>
        <w:t>- FCC -</w:t>
      </w:r>
    </w:p>
    <w:p w:rsidR="00633615" w:rsidRDefault="00633615" w:rsidP="00633615">
      <w:pPr>
        <w:spacing w:before="120" w:after="240"/>
        <w:rPr>
          <w:sz w:val="24"/>
        </w:rPr>
      </w:pPr>
    </w:p>
    <w:p w:rsidR="00633615" w:rsidRDefault="00633615" w:rsidP="00633615">
      <w:pPr>
        <w:pStyle w:val="NoSpacing"/>
      </w:pPr>
    </w:p>
    <w:p w:rsidR="00633615" w:rsidRDefault="00633615" w:rsidP="00633615">
      <w:pPr>
        <w:spacing w:before="120" w:after="240"/>
        <w:rPr>
          <w:sz w:val="24"/>
        </w:rPr>
      </w:pPr>
    </w:p>
    <w:p w:rsidR="00633615" w:rsidRDefault="00633615" w:rsidP="00633615">
      <w:pPr>
        <w:spacing w:before="120" w:after="240"/>
        <w:rPr>
          <w:sz w:val="24"/>
        </w:rPr>
      </w:pPr>
    </w:p>
    <w:p w:rsidR="00A00CEB" w:rsidRPr="00633615" w:rsidRDefault="00A00CEB" w:rsidP="00633615"/>
    <w:sectPr w:rsidR="00A00CEB" w:rsidRPr="00633615">
      <w:footerReference w:type="default" r:id="rId15"/>
      <w:headerReference w:type="first" r:id="rId16"/>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2DB" w:rsidRDefault="008A12DB">
      <w:r>
        <w:separator/>
      </w:r>
    </w:p>
  </w:endnote>
  <w:endnote w:type="continuationSeparator" w:id="0">
    <w:p w:rsidR="008A12DB" w:rsidRDefault="008A1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News Gothic MT">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pperplate32b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485" w:rsidRDefault="002524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169505"/>
      <w:docPartObj>
        <w:docPartGallery w:val="Page Numbers (Bottom of Page)"/>
        <w:docPartUnique/>
      </w:docPartObj>
    </w:sdtPr>
    <w:sdtEndPr>
      <w:rPr>
        <w:noProof/>
      </w:rPr>
    </w:sdtEndPr>
    <w:sdtContent>
      <w:p w:rsidR="003357FC" w:rsidRDefault="003357FC">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3357FC" w:rsidRDefault="003357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485" w:rsidRDefault="0025248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CEB" w:rsidRDefault="00A00CEB">
    <w:pPr>
      <w:pStyle w:val="Footer"/>
      <w:jc w:val="center"/>
    </w:pPr>
    <w:r>
      <w:rPr>
        <w:rStyle w:val="PageNumber"/>
      </w:rPr>
      <w:fldChar w:fldCharType="begin"/>
    </w:r>
    <w:r>
      <w:rPr>
        <w:rStyle w:val="PageNumber"/>
      </w:rPr>
      <w:instrText xml:space="preserve"> PAGE </w:instrText>
    </w:r>
    <w:r>
      <w:rPr>
        <w:rStyle w:val="PageNumber"/>
      </w:rPr>
      <w:fldChar w:fldCharType="separate"/>
    </w:r>
    <w:r w:rsidR="00517DE6">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2DB" w:rsidRDefault="008A12DB">
      <w:r>
        <w:separator/>
      </w:r>
    </w:p>
  </w:footnote>
  <w:footnote w:type="continuationSeparator" w:id="0">
    <w:p w:rsidR="008A12DB" w:rsidRDefault="008A12DB">
      <w:r>
        <w:continuationSeparator/>
      </w:r>
    </w:p>
  </w:footnote>
  <w:footnote w:id="1">
    <w:p w:rsidR="003357FC" w:rsidRPr="00087E93" w:rsidRDefault="003357FC" w:rsidP="003357FC">
      <w:pPr>
        <w:pStyle w:val="FootnoteText"/>
        <w:rPr>
          <w:sz w:val="20"/>
        </w:rPr>
      </w:pPr>
      <w:r>
        <w:rPr>
          <w:rStyle w:val="FootnoteReference"/>
        </w:rPr>
        <w:footnoteRef/>
      </w:r>
      <w:r>
        <w:t xml:space="preserve"> </w:t>
      </w:r>
      <w:r w:rsidRPr="00087E93">
        <w:rPr>
          <w:sz w:val="20"/>
        </w:rPr>
        <w:t>47 U.S.C. § 214(a).</w:t>
      </w:r>
    </w:p>
  </w:footnote>
  <w:footnote w:id="2">
    <w:p w:rsidR="003357FC" w:rsidRPr="00087E93" w:rsidRDefault="003357FC" w:rsidP="003357FC">
      <w:pPr>
        <w:pStyle w:val="FootnoteText"/>
        <w:rPr>
          <w:sz w:val="20"/>
        </w:rPr>
      </w:pPr>
      <w:r w:rsidRPr="00087E93">
        <w:rPr>
          <w:rStyle w:val="FootnoteReference"/>
          <w:sz w:val="20"/>
        </w:rPr>
        <w:footnoteRef/>
      </w:r>
      <w:r w:rsidRPr="00087E93">
        <w:rPr>
          <w:sz w:val="20"/>
        </w:rPr>
        <w:t xml:space="preserve"> </w:t>
      </w:r>
      <w:r w:rsidRPr="00087E93">
        <w:rPr>
          <w:i/>
          <w:sz w:val="20"/>
        </w:rPr>
        <w:t>Id.</w:t>
      </w:r>
    </w:p>
  </w:footnote>
  <w:footnote w:id="3">
    <w:p w:rsidR="003357FC" w:rsidRPr="00087E93" w:rsidRDefault="003357FC" w:rsidP="003357FC">
      <w:pPr>
        <w:pStyle w:val="FootnoteText"/>
        <w:rPr>
          <w:sz w:val="20"/>
        </w:rPr>
      </w:pPr>
      <w:r w:rsidRPr="00087E93">
        <w:rPr>
          <w:rStyle w:val="FootnoteReference"/>
          <w:sz w:val="20"/>
        </w:rPr>
        <w:footnoteRef/>
      </w:r>
      <w:r w:rsidRPr="00087E93">
        <w:rPr>
          <w:sz w:val="20"/>
        </w:rPr>
        <w:t xml:space="preserve"> 47 U.S.C. § 251(c)(5).</w:t>
      </w:r>
      <w:r w:rsidRPr="00087E93">
        <w:rPr>
          <w:i/>
          <w:color w:val="020100"/>
          <w:sz w:val="20"/>
        </w:rPr>
        <w:t xml:space="preserve">  Amendment</w:t>
      </w:r>
      <w:r w:rsidRPr="00087E93">
        <w:rPr>
          <w:i/>
          <w:color w:val="020100"/>
          <w:spacing w:val="-5"/>
          <w:sz w:val="20"/>
        </w:rPr>
        <w:t xml:space="preserve"> </w:t>
      </w:r>
      <w:r w:rsidRPr="00087E93">
        <w:rPr>
          <w:i/>
          <w:color w:val="020100"/>
          <w:sz w:val="20"/>
        </w:rPr>
        <w:t>of</w:t>
      </w:r>
      <w:r w:rsidRPr="00087E93">
        <w:rPr>
          <w:i/>
          <w:color w:val="020100"/>
          <w:spacing w:val="-4"/>
          <w:sz w:val="20"/>
        </w:rPr>
        <w:t xml:space="preserve"> </w:t>
      </w:r>
      <w:r w:rsidRPr="00087E93">
        <w:rPr>
          <w:i/>
          <w:color w:val="020100"/>
          <w:sz w:val="20"/>
        </w:rPr>
        <w:t>Certain</w:t>
      </w:r>
      <w:r w:rsidRPr="00087E93">
        <w:rPr>
          <w:i/>
          <w:color w:val="020100"/>
          <w:spacing w:val="-4"/>
          <w:sz w:val="20"/>
        </w:rPr>
        <w:t xml:space="preserve"> </w:t>
      </w:r>
      <w:r w:rsidRPr="00087E93">
        <w:rPr>
          <w:i/>
          <w:color w:val="020100"/>
          <w:sz w:val="20"/>
        </w:rPr>
        <w:t>of</w:t>
      </w:r>
      <w:r w:rsidRPr="00087E93">
        <w:rPr>
          <w:i/>
          <w:color w:val="020100"/>
          <w:spacing w:val="-5"/>
          <w:sz w:val="20"/>
        </w:rPr>
        <w:t xml:space="preserve"> </w:t>
      </w:r>
      <w:r w:rsidRPr="00087E93">
        <w:rPr>
          <w:i/>
          <w:color w:val="020100"/>
          <w:sz w:val="20"/>
        </w:rPr>
        <w:t>the</w:t>
      </w:r>
      <w:r w:rsidRPr="00087E93">
        <w:rPr>
          <w:i/>
          <w:color w:val="020100"/>
          <w:spacing w:val="-4"/>
          <w:sz w:val="20"/>
        </w:rPr>
        <w:t xml:space="preserve"> </w:t>
      </w:r>
      <w:r w:rsidRPr="00087E93">
        <w:rPr>
          <w:i/>
          <w:color w:val="020100"/>
          <w:sz w:val="20"/>
        </w:rPr>
        <w:t>Commission’s</w:t>
      </w:r>
      <w:r w:rsidRPr="00087E93">
        <w:rPr>
          <w:i/>
          <w:color w:val="020100"/>
          <w:spacing w:val="-4"/>
          <w:sz w:val="20"/>
        </w:rPr>
        <w:t xml:space="preserve"> </w:t>
      </w:r>
      <w:r w:rsidRPr="00087E93">
        <w:rPr>
          <w:i/>
          <w:color w:val="020100"/>
          <w:sz w:val="20"/>
        </w:rPr>
        <w:t>Part</w:t>
      </w:r>
      <w:r w:rsidRPr="00087E93">
        <w:rPr>
          <w:i/>
          <w:color w:val="020100"/>
          <w:spacing w:val="-5"/>
          <w:sz w:val="20"/>
        </w:rPr>
        <w:t xml:space="preserve"> </w:t>
      </w:r>
      <w:r w:rsidRPr="00087E93">
        <w:rPr>
          <w:i/>
          <w:color w:val="020100"/>
          <w:sz w:val="20"/>
        </w:rPr>
        <w:t>1</w:t>
      </w:r>
      <w:r w:rsidRPr="00087E93">
        <w:rPr>
          <w:i/>
          <w:color w:val="020100"/>
          <w:spacing w:val="-4"/>
          <w:sz w:val="20"/>
        </w:rPr>
        <w:t xml:space="preserve"> </w:t>
      </w:r>
      <w:r w:rsidRPr="00087E93">
        <w:rPr>
          <w:i/>
          <w:color w:val="020100"/>
          <w:sz w:val="20"/>
        </w:rPr>
        <w:t>Rules</w:t>
      </w:r>
      <w:r w:rsidRPr="00087E93">
        <w:rPr>
          <w:i/>
          <w:color w:val="020100"/>
          <w:spacing w:val="-5"/>
          <w:sz w:val="20"/>
        </w:rPr>
        <w:t xml:space="preserve"> </w:t>
      </w:r>
      <w:r w:rsidRPr="00087E93">
        <w:rPr>
          <w:i/>
          <w:color w:val="020100"/>
          <w:sz w:val="20"/>
        </w:rPr>
        <w:t>of</w:t>
      </w:r>
      <w:r w:rsidRPr="00087E93">
        <w:rPr>
          <w:i/>
          <w:color w:val="020100"/>
          <w:spacing w:val="-4"/>
          <w:sz w:val="20"/>
        </w:rPr>
        <w:t xml:space="preserve"> </w:t>
      </w:r>
      <w:r w:rsidRPr="00087E93">
        <w:rPr>
          <w:i/>
          <w:color w:val="020100"/>
          <w:sz w:val="20"/>
        </w:rPr>
        <w:t>Practice</w:t>
      </w:r>
      <w:r w:rsidRPr="00087E93">
        <w:rPr>
          <w:i/>
          <w:color w:val="020100"/>
          <w:spacing w:val="-4"/>
          <w:sz w:val="20"/>
        </w:rPr>
        <w:t xml:space="preserve"> </w:t>
      </w:r>
      <w:r w:rsidRPr="00087E93">
        <w:rPr>
          <w:i/>
          <w:color w:val="020100"/>
          <w:sz w:val="20"/>
        </w:rPr>
        <w:t>and</w:t>
      </w:r>
      <w:r w:rsidRPr="00087E93">
        <w:rPr>
          <w:i/>
          <w:color w:val="020100"/>
          <w:spacing w:val="-5"/>
          <w:sz w:val="20"/>
        </w:rPr>
        <w:t xml:space="preserve"> </w:t>
      </w:r>
      <w:r w:rsidRPr="00087E93">
        <w:rPr>
          <w:i/>
          <w:color w:val="020100"/>
          <w:sz w:val="20"/>
        </w:rPr>
        <w:t>Procedure</w:t>
      </w:r>
      <w:r w:rsidR="00087E93" w:rsidRPr="00087E93">
        <w:rPr>
          <w:i/>
          <w:color w:val="020100"/>
          <w:spacing w:val="-4"/>
          <w:sz w:val="20"/>
        </w:rPr>
        <w:t xml:space="preserve"> and Pa</w:t>
      </w:r>
      <w:r w:rsidRPr="00087E93">
        <w:rPr>
          <w:i/>
          <w:color w:val="020100"/>
          <w:spacing w:val="-4"/>
          <w:sz w:val="20"/>
        </w:rPr>
        <w:t>rt 0 Rules of Commission Organization</w:t>
      </w:r>
      <w:r w:rsidRPr="00087E93">
        <w:rPr>
          <w:color w:val="020100"/>
          <w:spacing w:val="-2"/>
          <w:sz w:val="20"/>
        </w:rPr>
        <w:t>,</w:t>
      </w:r>
      <w:r w:rsidRPr="00087E93">
        <w:rPr>
          <w:color w:val="020100"/>
          <w:spacing w:val="-4"/>
          <w:sz w:val="20"/>
        </w:rPr>
        <w:t xml:space="preserve"> </w:t>
      </w:r>
      <w:r w:rsidRPr="00087E93">
        <w:rPr>
          <w:color w:val="020100"/>
          <w:spacing w:val="-1"/>
          <w:sz w:val="20"/>
        </w:rPr>
        <w:t>GC</w:t>
      </w:r>
      <w:r w:rsidRPr="00087E93">
        <w:rPr>
          <w:color w:val="020100"/>
          <w:spacing w:val="-6"/>
          <w:sz w:val="20"/>
        </w:rPr>
        <w:t xml:space="preserve"> </w:t>
      </w:r>
      <w:r w:rsidRPr="00087E93">
        <w:rPr>
          <w:color w:val="020100"/>
          <w:sz w:val="20"/>
        </w:rPr>
        <w:t>Docket</w:t>
      </w:r>
      <w:r w:rsidRPr="00087E93">
        <w:rPr>
          <w:color w:val="020100"/>
          <w:spacing w:val="-6"/>
          <w:sz w:val="20"/>
        </w:rPr>
        <w:t xml:space="preserve"> </w:t>
      </w:r>
      <w:r w:rsidRPr="00087E93">
        <w:rPr>
          <w:color w:val="020100"/>
          <w:sz w:val="20"/>
        </w:rPr>
        <w:t>No.</w:t>
      </w:r>
      <w:r w:rsidRPr="00087E93">
        <w:rPr>
          <w:color w:val="020100"/>
          <w:spacing w:val="-6"/>
          <w:sz w:val="20"/>
        </w:rPr>
        <w:t xml:space="preserve"> </w:t>
      </w:r>
      <w:r w:rsidRPr="00087E93">
        <w:rPr>
          <w:color w:val="020100"/>
          <w:sz w:val="20"/>
        </w:rPr>
        <w:t>10-44,</w:t>
      </w:r>
      <w:r w:rsidRPr="00087E93">
        <w:rPr>
          <w:color w:val="020100"/>
          <w:spacing w:val="-5"/>
          <w:sz w:val="20"/>
        </w:rPr>
        <w:t xml:space="preserve"> </w:t>
      </w:r>
      <w:r w:rsidR="00D30902">
        <w:rPr>
          <w:color w:val="020100"/>
          <w:spacing w:val="-5"/>
          <w:sz w:val="20"/>
        </w:rPr>
        <w:t xml:space="preserve">Order, </w:t>
      </w:r>
      <w:r w:rsidRPr="00087E93">
        <w:rPr>
          <w:color w:val="020100"/>
          <w:sz w:val="20"/>
        </w:rPr>
        <w:t>FCC</w:t>
      </w:r>
      <w:r w:rsidRPr="00087E93">
        <w:rPr>
          <w:color w:val="020100"/>
          <w:spacing w:val="-5"/>
          <w:sz w:val="20"/>
        </w:rPr>
        <w:t xml:space="preserve"> </w:t>
      </w:r>
      <w:r w:rsidRPr="00087E93">
        <w:rPr>
          <w:color w:val="020100"/>
          <w:spacing w:val="-1"/>
          <w:sz w:val="20"/>
        </w:rPr>
        <w:t>14-183</w:t>
      </w:r>
      <w:r w:rsidRPr="00087E93">
        <w:rPr>
          <w:color w:val="020100"/>
          <w:spacing w:val="-4"/>
          <w:sz w:val="20"/>
        </w:rPr>
        <w:t xml:space="preserve"> </w:t>
      </w:r>
      <w:r w:rsidRPr="00087E93">
        <w:rPr>
          <w:color w:val="020100"/>
          <w:spacing w:val="-1"/>
          <w:sz w:val="20"/>
        </w:rPr>
        <w:t>(rel.</w:t>
      </w:r>
      <w:r w:rsidRPr="00087E93">
        <w:rPr>
          <w:color w:val="020100"/>
          <w:spacing w:val="27"/>
          <w:w w:val="99"/>
          <w:sz w:val="20"/>
        </w:rPr>
        <w:t xml:space="preserve"> </w:t>
      </w:r>
      <w:r w:rsidRPr="00087E93">
        <w:rPr>
          <w:color w:val="020100"/>
          <w:spacing w:val="-1"/>
          <w:sz w:val="20"/>
        </w:rPr>
        <w:t>Nov.</w:t>
      </w:r>
      <w:r w:rsidRPr="00087E93">
        <w:rPr>
          <w:color w:val="020100"/>
          <w:spacing w:val="-4"/>
          <w:sz w:val="20"/>
        </w:rPr>
        <w:t xml:space="preserve"> 26</w:t>
      </w:r>
      <w:r w:rsidRPr="00087E93">
        <w:rPr>
          <w:color w:val="020100"/>
          <w:sz w:val="20"/>
        </w:rPr>
        <w:t>,</w:t>
      </w:r>
      <w:r w:rsidRPr="00087E93">
        <w:rPr>
          <w:color w:val="020100"/>
          <w:spacing w:val="-4"/>
          <w:sz w:val="20"/>
        </w:rPr>
        <w:t xml:space="preserve"> </w:t>
      </w:r>
      <w:r w:rsidRPr="00087E93">
        <w:rPr>
          <w:color w:val="020100"/>
          <w:sz w:val="20"/>
        </w:rPr>
        <w:t>2014)</w:t>
      </w:r>
      <w:r w:rsidR="008F6D79">
        <w:rPr>
          <w:color w:val="020100"/>
          <w:sz w:val="20"/>
        </w:rPr>
        <w:t xml:space="preserve"> (</w:t>
      </w:r>
      <w:r w:rsidR="008F6D79">
        <w:rPr>
          <w:i/>
          <w:color w:val="020100"/>
          <w:sz w:val="20"/>
        </w:rPr>
        <w:t>Wireline E-Filing Order</w:t>
      </w:r>
      <w:r w:rsidR="008F6D79">
        <w:rPr>
          <w:color w:val="020100"/>
          <w:sz w:val="20"/>
        </w:rPr>
        <w:t>)</w:t>
      </w:r>
      <w:r w:rsidRPr="00087E93">
        <w:rPr>
          <w:color w:val="020100"/>
          <w:sz w:val="20"/>
        </w:rPr>
        <w:t>.</w:t>
      </w:r>
    </w:p>
  </w:footnote>
  <w:footnote w:id="4">
    <w:p w:rsidR="003357FC" w:rsidRPr="00087E93" w:rsidRDefault="003357FC" w:rsidP="003357FC">
      <w:pPr>
        <w:pStyle w:val="FootnoteText"/>
        <w:rPr>
          <w:sz w:val="20"/>
        </w:rPr>
      </w:pPr>
      <w:r w:rsidRPr="00087E93">
        <w:rPr>
          <w:rStyle w:val="FootnoteReference"/>
          <w:sz w:val="20"/>
        </w:rPr>
        <w:footnoteRef/>
      </w:r>
      <w:r w:rsidRPr="00087E93">
        <w:rPr>
          <w:sz w:val="20"/>
        </w:rPr>
        <w:t xml:space="preserve"> </w:t>
      </w:r>
      <w:r w:rsidRPr="00087E93">
        <w:rPr>
          <w:i/>
          <w:sz w:val="20"/>
        </w:rPr>
        <w:t>Amendment of the Commission’s Rules of Practice and Procedure; Electronic Filing of Domestic Section 214 Applications and Notices of Network Changes</w:t>
      </w:r>
      <w:r w:rsidRPr="00087E93">
        <w:rPr>
          <w:sz w:val="20"/>
        </w:rPr>
        <w:t>, 80 Fed. Reg. 1586-01 (Jan. 13, 2015).</w:t>
      </w:r>
    </w:p>
  </w:footnote>
  <w:footnote w:id="5">
    <w:p w:rsidR="003357FC" w:rsidRPr="00087E93" w:rsidRDefault="003357FC" w:rsidP="003357FC">
      <w:pPr>
        <w:pStyle w:val="FootnoteText"/>
        <w:rPr>
          <w:sz w:val="20"/>
        </w:rPr>
      </w:pPr>
      <w:r w:rsidRPr="00087E93">
        <w:rPr>
          <w:rStyle w:val="FootnoteReference"/>
          <w:sz w:val="20"/>
        </w:rPr>
        <w:footnoteRef/>
      </w:r>
      <w:r w:rsidRPr="00087E93">
        <w:rPr>
          <w:sz w:val="20"/>
        </w:rPr>
        <w:t xml:space="preserve"> </w:t>
      </w:r>
      <w:r w:rsidRPr="00087E93">
        <w:rPr>
          <w:i/>
          <w:sz w:val="20"/>
        </w:rPr>
        <w:t>See</w:t>
      </w:r>
      <w:r w:rsidRPr="00087E93">
        <w:rPr>
          <w:sz w:val="20"/>
        </w:rPr>
        <w:t xml:space="preserve"> 47 C.F.R. § 1.1105.</w:t>
      </w:r>
      <w:r w:rsidR="00D30902">
        <w:rPr>
          <w:sz w:val="20"/>
        </w:rPr>
        <w:t xml:space="preserve">  There are no application processing fees for domestic section 214 discontinuance applications or notices of network changes.</w:t>
      </w:r>
    </w:p>
  </w:footnote>
  <w:footnote w:id="6">
    <w:p w:rsidR="008F6D79" w:rsidRPr="009130F2" w:rsidRDefault="008F6D79">
      <w:pPr>
        <w:pStyle w:val="FootnoteText"/>
        <w:rPr>
          <w:sz w:val="20"/>
        </w:rPr>
      </w:pPr>
      <w:r>
        <w:rPr>
          <w:rStyle w:val="FootnoteReference"/>
        </w:rPr>
        <w:footnoteRef/>
      </w:r>
      <w:r>
        <w:t xml:space="preserve"> </w:t>
      </w:r>
      <w:r w:rsidRPr="009130F2">
        <w:rPr>
          <w:i/>
          <w:sz w:val="20"/>
        </w:rPr>
        <w:t>See Wireline E-Filing Order</w:t>
      </w:r>
      <w:r w:rsidRPr="009130F2">
        <w:rPr>
          <w:sz w:val="20"/>
        </w:rPr>
        <w:t xml:space="preserve"> at para. 21 (providing instructions for filing of confidential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485" w:rsidRDefault="002524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485" w:rsidRDefault="002524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7FC" w:rsidRPr="005C0337" w:rsidRDefault="003357FC">
    <w:pPr>
      <w:pStyle w:val="Header"/>
      <w:tabs>
        <w:tab w:val="clear" w:pos="4320"/>
        <w:tab w:val="clear" w:pos="8640"/>
      </w:tabs>
      <w:spacing w:before="40"/>
      <w:ind w:firstLine="1080"/>
      <w:rPr>
        <w:rFonts w:ascii="Arial" w:hAnsi="Arial" w:cs="Arial"/>
        <w:b/>
        <w:kern w:val="28"/>
        <w:sz w:val="96"/>
      </w:rPr>
    </w:pPr>
    <w:r>
      <w:rPr>
        <w:rFonts w:ascii="News Gothic MT" w:hAnsi="News Gothic MT"/>
        <w:b/>
        <w:noProof/>
        <w:sz w:val="24"/>
      </w:rPr>
      <w:drawing>
        <wp:anchor distT="0" distB="0" distL="114300" distR="114300" simplePos="0" relativeHeight="251664384" behindDoc="0" locked="0" layoutInCell="0" allowOverlap="1" wp14:anchorId="02D4A5BF" wp14:editId="32E74CC8">
          <wp:simplePos x="0" y="0"/>
          <wp:positionH relativeFrom="column">
            <wp:posOffset>443865</wp:posOffset>
          </wp:positionH>
          <wp:positionV relativeFrom="paragraph">
            <wp:posOffset>107950</wp:posOffset>
          </wp:positionV>
          <wp:extent cx="530225" cy="530225"/>
          <wp:effectExtent l="0" t="0" r="3175" b="3175"/>
          <wp:wrapTopAndBottom/>
          <wp:docPr id="8" name="Picture 8"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Pr="005C0337">
      <w:rPr>
        <w:rFonts w:ascii="Arial" w:hAnsi="Arial" w:cs="Arial"/>
        <w:b/>
        <w:kern w:val="28"/>
        <w:sz w:val="96"/>
      </w:rPr>
      <w:t>PUBLIC NOTICE</w:t>
    </w:r>
  </w:p>
  <w:p w:rsidR="003357FC" w:rsidRDefault="003357FC">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2336" behindDoc="0" locked="0" layoutInCell="0" allowOverlap="1" wp14:anchorId="65667526" wp14:editId="26A91749">
              <wp:simplePos x="0" y="0"/>
              <wp:positionH relativeFrom="column">
                <wp:posOffset>477520</wp:posOffset>
              </wp:positionH>
              <wp:positionV relativeFrom="paragraph">
                <wp:posOffset>697865</wp:posOffset>
              </wp:positionV>
              <wp:extent cx="5886450" cy="254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S6eEWx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61312" behindDoc="0" locked="0" layoutInCell="0" allowOverlap="1" wp14:anchorId="3FEF1540" wp14:editId="520F07E6">
              <wp:simplePos x="0" y="0"/>
              <wp:positionH relativeFrom="column">
                <wp:posOffset>381000</wp:posOffset>
              </wp:positionH>
              <wp:positionV relativeFrom="paragraph">
                <wp:posOffset>5080</wp:posOffset>
              </wp:positionV>
              <wp:extent cx="3108960" cy="64008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57FC" w:rsidRDefault="003357FC">
                          <w:pPr>
                            <w:rPr>
                              <w:rFonts w:ascii="Arial" w:hAnsi="Arial"/>
                              <w:b/>
                            </w:rPr>
                          </w:pPr>
                          <w:r>
                            <w:rPr>
                              <w:rFonts w:ascii="Arial" w:hAnsi="Arial"/>
                              <w:b/>
                            </w:rPr>
                            <w:t>Federal Communications Commission</w:t>
                          </w:r>
                        </w:p>
                        <w:p w:rsidR="003357FC" w:rsidRDefault="003357F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357FC" w:rsidRDefault="003357FC">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0pt;margin-top:.4pt;width:244.8pt;height:5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zvWggIAAA8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" o:allowincell="f" stroked="f">
              <v:textbox>
                <w:txbxContent>
                  <w:p w:rsidR="003357FC" w:rsidRDefault="003357FC">
                    <w:pPr>
                      <w:rPr>
                        <w:rFonts w:ascii="Arial" w:hAnsi="Arial"/>
                        <w:b/>
                      </w:rPr>
                    </w:pPr>
                    <w:r>
                      <w:rPr>
                        <w:rFonts w:ascii="Arial" w:hAnsi="Arial"/>
                        <w:b/>
                      </w:rPr>
                      <w:t>Federal Communications Commission</w:t>
                    </w:r>
                  </w:p>
                  <w:p w:rsidR="003357FC" w:rsidRDefault="003357F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357FC" w:rsidRDefault="003357FC">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0" allowOverlap="1" wp14:anchorId="25AEDF9E" wp14:editId="40C57ACD">
              <wp:simplePos x="0" y="0"/>
              <wp:positionH relativeFrom="column">
                <wp:posOffset>3829050</wp:posOffset>
              </wp:positionH>
              <wp:positionV relativeFrom="paragraph">
                <wp:posOffset>130175</wp:posOffset>
              </wp:positionV>
              <wp:extent cx="2640965" cy="54864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57FC" w:rsidRDefault="003357FC">
                          <w:pPr>
                            <w:spacing w:before="40"/>
                            <w:jc w:val="right"/>
                            <w:rPr>
                              <w:rFonts w:ascii="Arial" w:hAnsi="Arial"/>
                              <w:b/>
                              <w:sz w:val="16"/>
                            </w:rPr>
                          </w:pPr>
                          <w:r>
                            <w:rPr>
                              <w:rFonts w:ascii="Arial" w:hAnsi="Arial"/>
                              <w:b/>
                              <w:sz w:val="16"/>
                            </w:rPr>
                            <w:t>News Media Information: 202-418-0500</w:t>
                          </w:r>
                        </w:p>
                        <w:p w:rsidR="003357FC" w:rsidRDefault="003357FC">
                          <w:pPr>
                            <w:jc w:val="right"/>
                            <w:rPr>
                              <w:rFonts w:ascii="Arial" w:hAnsi="Arial"/>
                              <w:b/>
                              <w:sz w:val="16"/>
                            </w:rPr>
                          </w:pPr>
                          <w:r>
                            <w:rPr>
                              <w:rFonts w:ascii="Arial" w:hAnsi="Arial"/>
                              <w:b/>
                              <w:sz w:val="16"/>
                            </w:rPr>
                            <w:tab/>
                            <w:t>Web: http://www.fcc.gov</w:t>
                          </w:r>
                        </w:p>
                        <w:p w:rsidR="003357FC" w:rsidRDefault="003357FC">
                          <w:pPr>
                            <w:jc w:val="right"/>
                            <w:rPr>
                              <w:rFonts w:ascii="Arial" w:hAnsi="Arial"/>
                              <w:b/>
                              <w:sz w:val="16"/>
                            </w:rPr>
                          </w:pPr>
                          <w:r>
                            <w:rPr>
                              <w:rFonts w:ascii="Arial" w:hAnsi="Arial"/>
                              <w:b/>
                              <w:sz w:val="16"/>
                            </w:rPr>
                            <w:t>TTY: 1-888-835-5322</w:t>
                          </w:r>
                        </w:p>
                        <w:p w:rsidR="003357FC" w:rsidRDefault="003357F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" o:allowincell="f" stroked="f">
              <v:textbox inset=",0,,0">
                <w:txbxContent>
                  <w:p w:rsidR="003357FC" w:rsidRDefault="003357FC">
                    <w:pPr>
                      <w:spacing w:before="40"/>
                      <w:jc w:val="right"/>
                      <w:rPr>
                        <w:rFonts w:ascii="Arial" w:hAnsi="Arial"/>
                        <w:b/>
                        <w:sz w:val="16"/>
                      </w:rPr>
                    </w:pPr>
                    <w:r>
                      <w:rPr>
                        <w:rFonts w:ascii="Arial" w:hAnsi="Arial"/>
                        <w:b/>
                        <w:sz w:val="16"/>
                      </w:rPr>
                      <w:t>News Media Information: 202-418-0500</w:t>
                    </w:r>
                  </w:p>
                  <w:p w:rsidR="003357FC" w:rsidRDefault="003357FC">
                    <w:pPr>
                      <w:jc w:val="right"/>
                      <w:rPr>
                        <w:rFonts w:ascii="Arial" w:hAnsi="Arial"/>
                        <w:b/>
                        <w:sz w:val="16"/>
                      </w:rPr>
                    </w:pPr>
                    <w:r>
                      <w:rPr>
                        <w:rFonts w:ascii="Arial" w:hAnsi="Arial"/>
                        <w:b/>
                        <w:sz w:val="16"/>
                      </w:rPr>
                      <w:tab/>
                      <w:t>Web: http://www.fcc.gov</w:t>
                    </w:r>
                  </w:p>
                  <w:p w:rsidR="003357FC" w:rsidRDefault="003357FC">
                    <w:pPr>
                      <w:jc w:val="right"/>
                      <w:rPr>
                        <w:rFonts w:ascii="Arial" w:hAnsi="Arial"/>
                        <w:b/>
                        <w:sz w:val="16"/>
                      </w:rPr>
                    </w:pPr>
                    <w:r>
                      <w:rPr>
                        <w:rFonts w:ascii="Arial" w:hAnsi="Arial"/>
                        <w:b/>
                        <w:sz w:val="16"/>
                      </w:rPr>
                      <w:t>TTY: 1-888-835-5322</w:t>
                    </w:r>
                  </w:p>
                  <w:p w:rsidR="003357FC" w:rsidRDefault="003357FC">
                    <w:pPr>
                      <w:jc w:val="right"/>
                    </w:pPr>
                  </w:p>
                </w:txbxContent>
              </v:textbox>
            </v:shape>
          </w:pict>
        </mc:Fallback>
      </mc:AlternateContent>
    </w:r>
  </w:p>
  <w:p w:rsidR="003357FC" w:rsidRDefault="003357FC">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CEB" w:rsidRDefault="005F1F9C">
    <w:pPr>
      <w:pStyle w:val="Header"/>
      <w:tabs>
        <w:tab w:val="clear" w:pos="4320"/>
        <w:tab w:val="clear" w:pos="8640"/>
      </w:tabs>
      <w:spacing w:before="40"/>
      <w:ind w:firstLine="1080"/>
      <w:rPr>
        <w:rFonts w:ascii="Copperplate32bc" w:hAnsi="Copperplate32bc"/>
        <w:b/>
        <w:kern w:val="28"/>
        <w:sz w:val="96"/>
      </w:rPr>
    </w:pPr>
    <w:r>
      <w:rPr>
        <w:rFonts w:ascii="Copperplate32bc" w:hAnsi="Copperplate32bc"/>
        <w:b/>
        <w:noProof/>
        <w:sz w:val="24"/>
      </w:rPr>
      <mc:AlternateContent>
        <mc:Choice Requires="wps">
          <w:drawing>
            <wp:anchor distT="0" distB="0" distL="114300" distR="114300" simplePos="0" relativeHeight="251656192" behindDoc="0" locked="0" layoutInCell="1" allowOverlap="1" wp14:anchorId="4CBEE5DC" wp14:editId="5284FAF8">
              <wp:simplePos x="0" y="0"/>
              <wp:positionH relativeFrom="column">
                <wp:posOffset>51435</wp:posOffset>
              </wp:positionH>
              <wp:positionV relativeFrom="paragraph">
                <wp:posOffset>688340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0CEB" w:rsidRDefault="00A00CEB">
                          <w:pPr>
                            <w:rPr>
                              <w:rFonts w:ascii="Arial" w:hAnsi="Arial"/>
                              <w:b/>
                            </w:rPr>
                          </w:pPr>
                          <w:r>
                            <w:rPr>
                              <w:rFonts w:ascii="Arial" w:hAnsi="Arial"/>
                              <w:b/>
                            </w:rPr>
                            <w:t>Federal Communications Commission</w:t>
                          </w:r>
                        </w:p>
                        <w:p w:rsidR="00A00CEB" w:rsidRDefault="00A00CE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00CEB" w:rsidRDefault="00A00CEB">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05pt;margin-top:54.2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" stroked="f">
              <v:textbox>
                <w:txbxContent>
                  <w:p w:rsidR="00A00CEB" w:rsidRDefault="00A00CEB">
                    <w:pPr>
                      <w:rPr>
                        <w:rFonts w:ascii="Arial" w:hAnsi="Arial"/>
                        <w:b/>
                      </w:rPr>
                    </w:pPr>
                    <w:r>
                      <w:rPr>
                        <w:rFonts w:ascii="Arial" w:hAnsi="Arial"/>
                        <w:b/>
                      </w:rPr>
                      <w:t>Federal Communications Commission</w:t>
                    </w:r>
                  </w:p>
                  <w:p w:rsidR="00A00CEB" w:rsidRDefault="00A00CE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00CEB" w:rsidRDefault="00A00CEB">
                    <w:pPr>
                      <w:rPr>
                        <w:rFonts w:ascii="Arial" w:hAnsi="Arial"/>
                        <w:sz w:val="24"/>
                      </w:rPr>
                    </w:pPr>
                    <w:r>
                      <w:rPr>
                        <w:rFonts w:ascii="Arial" w:hAnsi="Arial"/>
                        <w:b/>
                      </w:rPr>
                      <w:t>Washington, D.C. 20554</w:t>
                    </w:r>
                  </w:p>
                </w:txbxContent>
              </v:textbox>
            </v:shape>
          </w:pict>
        </mc:Fallback>
      </mc:AlternateContent>
    </w:r>
    <w:r>
      <w:rPr>
        <w:rFonts w:ascii="Copperplate32bc" w:hAnsi="Copperplate32bc"/>
        <w:b/>
        <w:noProof/>
        <w:sz w:val="24"/>
      </w:rPr>
      <w:drawing>
        <wp:anchor distT="0" distB="0" distL="114300" distR="114300" simplePos="0" relativeHeight="251659264" behindDoc="0" locked="0" layoutInCell="0" allowOverlap="1" wp14:anchorId="529CD1F6" wp14:editId="652FAA59">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00CEB">
      <w:rPr>
        <w:rFonts w:ascii="Copperplate32bc" w:hAnsi="Copperplate32bc"/>
        <w:b/>
        <w:kern w:val="28"/>
        <w:sz w:val="96"/>
      </w:rPr>
      <w:t>PUBLIC NOTICE</w:t>
    </w:r>
  </w:p>
  <w:p w:rsidR="00A00CEB" w:rsidRDefault="00F80BF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70A70C52" wp14:editId="53908685">
              <wp:simplePos x="0" y="0"/>
              <wp:positionH relativeFrom="column">
                <wp:posOffset>-438150</wp:posOffset>
              </wp:positionH>
              <wp:positionV relativeFrom="paragraph">
                <wp:posOffset>655955</wp:posOffset>
              </wp:positionV>
              <wp:extent cx="6858000" cy="2540"/>
              <wp:effectExtent l="0" t="0" r="19050" b="355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zFQ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" o:allowincell="f"/>
          </w:pict>
        </mc:Fallback>
      </mc:AlternateContent>
    </w:r>
    <w:r w:rsidR="005F1F9C">
      <w:rPr>
        <w:rFonts w:ascii="News Gothic MT" w:hAnsi="News Gothic MT"/>
        <w:b/>
        <w:noProof/>
        <w:sz w:val="24"/>
      </w:rPr>
      <mc:AlternateContent>
        <mc:Choice Requires="wps">
          <w:drawing>
            <wp:anchor distT="0" distB="0" distL="114300" distR="114300" simplePos="0" relativeHeight="251658240" behindDoc="0" locked="0" layoutInCell="1" allowOverlap="1" wp14:anchorId="6A858956" wp14:editId="1FF28D19">
              <wp:simplePos x="0" y="0"/>
              <wp:positionH relativeFrom="column">
                <wp:posOffset>3594735</wp:posOffset>
              </wp:positionH>
              <wp:positionV relativeFrom="paragraph">
                <wp:posOffset>76200</wp:posOffset>
              </wp:positionV>
              <wp:extent cx="2640965" cy="5486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0CEB" w:rsidRDefault="00A00CEB">
                          <w:pPr>
                            <w:spacing w:before="40"/>
                            <w:jc w:val="right"/>
                            <w:rPr>
                              <w:rFonts w:ascii="Arial" w:hAnsi="Arial"/>
                              <w:b/>
                              <w:sz w:val="16"/>
                            </w:rPr>
                          </w:pPr>
                          <w:r>
                            <w:rPr>
                              <w:rFonts w:ascii="Arial" w:hAnsi="Arial"/>
                              <w:b/>
                              <w:sz w:val="16"/>
                            </w:rPr>
                            <w:t>News Media Information 202 / 418-0500</w:t>
                          </w:r>
                        </w:p>
                        <w:p w:rsidR="00A00CEB" w:rsidRDefault="00A00CEB">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A00CEB" w:rsidRDefault="00A00CEB">
                          <w:pPr>
                            <w:jc w:val="right"/>
                            <w:rPr>
                              <w:rFonts w:ascii="Arial" w:hAnsi="Arial"/>
                              <w:b/>
                              <w:sz w:val="16"/>
                            </w:rPr>
                          </w:pPr>
                          <w:r>
                            <w:rPr>
                              <w:rFonts w:ascii="Arial" w:hAnsi="Arial"/>
                              <w:b/>
                              <w:sz w:val="16"/>
                            </w:rPr>
                            <w:t>TTY: 1-888-835-5322</w:t>
                          </w:r>
                        </w:p>
                        <w:p w:rsidR="00A00CEB" w:rsidRDefault="00A00CEB">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283.05pt;margin-top: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" stroked="f">
              <v:textbox inset=",0,,0">
                <w:txbxContent>
                  <w:p w:rsidR="00A00CEB" w:rsidRDefault="00A00CEB">
                    <w:pPr>
                      <w:spacing w:before="40"/>
                      <w:jc w:val="right"/>
                      <w:rPr>
                        <w:rFonts w:ascii="Arial" w:hAnsi="Arial"/>
                        <w:b/>
                        <w:sz w:val="16"/>
                      </w:rPr>
                    </w:pPr>
                    <w:r>
                      <w:rPr>
                        <w:rFonts w:ascii="Arial" w:hAnsi="Arial"/>
                        <w:b/>
                        <w:sz w:val="16"/>
                      </w:rPr>
                      <w:t>News Media Information 202 / 418-0500</w:t>
                    </w:r>
                  </w:p>
                  <w:p w:rsidR="00A00CEB" w:rsidRDefault="00A00CEB">
                    <w:pPr>
                      <w:jc w:val="right"/>
                      <w:rPr>
                        <w:rFonts w:ascii="Arial" w:hAnsi="Arial"/>
                        <w:b/>
                        <w:sz w:val="16"/>
                      </w:rPr>
                    </w:pPr>
                    <w:r>
                      <w:rPr>
                        <w:rFonts w:ascii="Arial" w:hAnsi="Arial"/>
                        <w:b/>
                        <w:sz w:val="16"/>
                      </w:rPr>
                      <w:tab/>
                      <w:t xml:space="preserve">Internet: </w:t>
                    </w:r>
                    <w:bookmarkStart w:id="11" w:name="_Hlt233824"/>
                    <w:r>
                      <w:rPr>
                        <w:rFonts w:ascii="Arial" w:hAnsi="Arial"/>
                        <w:b/>
                        <w:sz w:val="16"/>
                      </w:rPr>
                      <w:t>h</w:t>
                    </w:r>
                    <w:bookmarkEnd w:id="11"/>
                    <w:r>
                      <w:rPr>
                        <w:rFonts w:ascii="Arial" w:hAnsi="Arial"/>
                        <w:b/>
                        <w:sz w:val="16"/>
                      </w:rPr>
                      <w:t>ttp://www.fcc.gov</w:t>
                    </w:r>
                  </w:p>
                  <w:p w:rsidR="00A00CEB" w:rsidRDefault="00A00CEB">
                    <w:pPr>
                      <w:jc w:val="right"/>
                      <w:rPr>
                        <w:rFonts w:ascii="Arial" w:hAnsi="Arial"/>
                        <w:b/>
                        <w:sz w:val="16"/>
                      </w:rPr>
                    </w:pPr>
                    <w:r>
                      <w:rPr>
                        <w:rFonts w:ascii="Arial" w:hAnsi="Arial"/>
                        <w:b/>
                        <w:sz w:val="16"/>
                      </w:rPr>
                      <w:t>TTY: 1-888-835-5322</w:t>
                    </w:r>
                  </w:p>
                  <w:p w:rsidR="00A00CEB" w:rsidRDefault="00A00CEB">
                    <w:pPr>
                      <w:jc w:val="right"/>
                    </w:pPr>
                  </w:p>
                </w:txbxContent>
              </v:textbox>
            </v:shape>
          </w:pict>
        </mc:Fallback>
      </mc:AlternateContent>
    </w:r>
  </w:p>
  <w:p w:rsidR="00A00CEB" w:rsidRDefault="00A00CEB">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486C0BC6"/>
    <w:multiLevelType w:val="hybridMultilevel"/>
    <w:tmpl w:val="DD50EB9C"/>
    <w:lvl w:ilvl="0" w:tplc="31D64CC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69DA2957"/>
    <w:multiLevelType w:val="hybridMultilevel"/>
    <w:tmpl w:val="CDE8D978"/>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0"/>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1"/>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US" w:vendorID="8"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35C"/>
    <w:rsid w:val="00034E8A"/>
    <w:rsid w:val="00037E49"/>
    <w:rsid w:val="00040490"/>
    <w:rsid w:val="00061062"/>
    <w:rsid w:val="00065101"/>
    <w:rsid w:val="000830B0"/>
    <w:rsid w:val="00087E93"/>
    <w:rsid w:val="000D273E"/>
    <w:rsid w:val="000D3350"/>
    <w:rsid w:val="001B20E8"/>
    <w:rsid w:val="001C7A00"/>
    <w:rsid w:val="0023493C"/>
    <w:rsid w:val="00244C49"/>
    <w:rsid w:val="00252485"/>
    <w:rsid w:val="002F3485"/>
    <w:rsid w:val="003357FC"/>
    <w:rsid w:val="00344797"/>
    <w:rsid w:val="003671B5"/>
    <w:rsid w:val="003672A2"/>
    <w:rsid w:val="00517DE6"/>
    <w:rsid w:val="00535ED2"/>
    <w:rsid w:val="005C0337"/>
    <w:rsid w:val="005F1F9C"/>
    <w:rsid w:val="005F3978"/>
    <w:rsid w:val="005F5721"/>
    <w:rsid w:val="00633615"/>
    <w:rsid w:val="00651237"/>
    <w:rsid w:val="006F435C"/>
    <w:rsid w:val="00720576"/>
    <w:rsid w:val="0073342C"/>
    <w:rsid w:val="00775983"/>
    <w:rsid w:val="007E7F0A"/>
    <w:rsid w:val="007F3681"/>
    <w:rsid w:val="00810CFE"/>
    <w:rsid w:val="008A12DB"/>
    <w:rsid w:val="008C2883"/>
    <w:rsid w:val="008F6D79"/>
    <w:rsid w:val="009130F2"/>
    <w:rsid w:val="00993287"/>
    <w:rsid w:val="009A3F13"/>
    <w:rsid w:val="00A00CEB"/>
    <w:rsid w:val="00A712EA"/>
    <w:rsid w:val="00AC4883"/>
    <w:rsid w:val="00B31A62"/>
    <w:rsid w:val="00B5609D"/>
    <w:rsid w:val="00CC382E"/>
    <w:rsid w:val="00CD195B"/>
    <w:rsid w:val="00CE5901"/>
    <w:rsid w:val="00D24EDE"/>
    <w:rsid w:val="00D30902"/>
    <w:rsid w:val="00DE6382"/>
    <w:rsid w:val="00DE7084"/>
    <w:rsid w:val="00E54EA6"/>
    <w:rsid w:val="00E86B45"/>
    <w:rsid w:val="00E92D42"/>
    <w:rsid w:val="00EF45A9"/>
    <w:rsid w:val="00F04A8D"/>
    <w:rsid w:val="00F60AF1"/>
    <w:rsid w:val="00F80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Footnote Reference/,Style 6,Style 7,Style 4,Footnote Reference1"/>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character" w:customStyle="1" w:styleId="documentbody1">
    <w:name w:val="documentbody1"/>
    <w:rPr>
      <w:rFonts w:ascii="Verdana" w:hAnsi="Verdana" w:hint="default"/>
      <w:sz w:val="19"/>
      <w:szCs w:val="19"/>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3672A2"/>
    <w:rPr>
      <w:sz w:val="22"/>
    </w:rPr>
  </w:style>
  <w:style w:type="paragraph" w:styleId="NoSpacing">
    <w:name w:val="No Spacing"/>
    <w:uiPriority w:val="1"/>
    <w:qFormat/>
    <w:rsid w:val="00633615"/>
    <w:rPr>
      <w:sz w:val="22"/>
    </w:rPr>
  </w:style>
  <w:style w:type="paragraph" w:styleId="ListParagraph">
    <w:name w:val="List Paragraph"/>
    <w:basedOn w:val="Normal"/>
    <w:uiPriority w:val="34"/>
    <w:qFormat/>
    <w:rsid w:val="003357FC"/>
    <w:pPr>
      <w:ind w:left="720"/>
      <w:contextualSpacing/>
    </w:pPr>
  </w:style>
  <w:style w:type="table" w:styleId="TableGrid">
    <w:name w:val="Table Grid"/>
    <w:basedOn w:val="TableNormal"/>
    <w:uiPriority w:val="59"/>
    <w:rsid w:val="003357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357FC"/>
    <w:rPr>
      <w:sz w:val="22"/>
    </w:rPr>
  </w:style>
  <w:style w:type="paragraph" w:styleId="BodyText">
    <w:name w:val="Body Text"/>
    <w:basedOn w:val="Normal"/>
    <w:link w:val="BodyTextChar"/>
    <w:rsid w:val="003357FC"/>
    <w:pPr>
      <w:spacing w:after="120"/>
    </w:pPr>
  </w:style>
  <w:style w:type="character" w:customStyle="1" w:styleId="BodyTextChar">
    <w:name w:val="Body Text Char"/>
    <w:basedOn w:val="DefaultParagraphFont"/>
    <w:link w:val="BodyText"/>
    <w:rsid w:val="003357F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Footnote Reference/,Style 6,Style 7,Style 4,Footnote Reference1"/>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character" w:customStyle="1" w:styleId="documentbody1">
    <w:name w:val="documentbody1"/>
    <w:rPr>
      <w:rFonts w:ascii="Verdana" w:hAnsi="Verdana" w:hint="default"/>
      <w:sz w:val="19"/>
      <w:szCs w:val="19"/>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3672A2"/>
    <w:rPr>
      <w:sz w:val="22"/>
    </w:rPr>
  </w:style>
  <w:style w:type="paragraph" w:styleId="NoSpacing">
    <w:name w:val="No Spacing"/>
    <w:uiPriority w:val="1"/>
    <w:qFormat/>
    <w:rsid w:val="00633615"/>
    <w:rPr>
      <w:sz w:val="22"/>
    </w:rPr>
  </w:style>
  <w:style w:type="paragraph" w:styleId="ListParagraph">
    <w:name w:val="List Paragraph"/>
    <w:basedOn w:val="Normal"/>
    <w:uiPriority w:val="34"/>
    <w:qFormat/>
    <w:rsid w:val="003357FC"/>
    <w:pPr>
      <w:ind w:left="720"/>
      <w:contextualSpacing/>
    </w:pPr>
  </w:style>
  <w:style w:type="table" w:styleId="TableGrid">
    <w:name w:val="Table Grid"/>
    <w:basedOn w:val="TableNormal"/>
    <w:uiPriority w:val="59"/>
    <w:rsid w:val="003357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357FC"/>
    <w:rPr>
      <w:sz w:val="22"/>
    </w:rPr>
  </w:style>
  <w:style w:type="paragraph" w:styleId="BodyText">
    <w:name w:val="Body Text"/>
    <w:basedOn w:val="Normal"/>
    <w:link w:val="BodyTextChar"/>
    <w:rsid w:val="003357FC"/>
    <w:pPr>
      <w:spacing w:after="120"/>
    </w:pPr>
  </w:style>
  <w:style w:type="character" w:customStyle="1" w:styleId="BodyTextChar">
    <w:name w:val="Body Text Char"/>
    <w:basedOn w:val="DefaultParagraphFont"/>
    <w:link w:val="BodyText"/>
    <w:rsid w:val="003357F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cfshelp@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Landsca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Landscape</Template>
  <TotalTime>0</TotalTime>
  <Pages>2</Pages>
  <Words>375</Words>
  <Characters>2162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2545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2012-10-15T17:34:00Z</cp:lastPrinted>
  <dcterms:created xsi:type="dcterms:W3CDTF">2015-02-12T16:54:00Z</dcterms:created>
  <dcterms:modified xsi:type="dcterms:W3CDTF">2015-02-12T16:54:00Z</dcterms:modified>
  <cp:category> </cp:category>
  <cp:contentStatus> </cp:contentStatus>
</cp:coreProperties>
</file>