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D36507" w:rsidRDefault="000F69DF">
      <w:pPr>
        <w:jc w:val="right"/>
        <w:rPr>
          <w:b/>
          <w:szCs w:val="22"/>
        </w:rPr>
      </w:pPr>
      <w:r w:rsidRPr="00D36507">
        <w:rPr>
          <w:b/>
          <w:szCs w:val="22"/>
        </w:rPr>
        <w:lastRenderedPageBreak/>
        <w:t>DA</w:t>
      </w:r>
      <w:r w:rsidR="007F0447" w:rsidRPr="00D36507">
        <w:rPr>
          <w:b/>
          <w:szCs w:val="22"/>
        </w:rPr>
        <w:t xml:space="preserve"> 15</w:t>
      </w:r>
      <w:r w:rsidR="00876BD6" w:rsidRPr="00D36507">
        <w:rPr>
          <w:b/>
          <w:szCs w:val="22"/>
        </w:rPr>
        <w:t>-</w:t>
      </w:r>
      <w:r w:rsidR="00DD6AC4">
        <w:rPr>
          <w:b/>
          <w:szCs w:val="22"/>
        </w:rPr>
        <w:t>209</w:t>
      </w:r>
    </w:p>
    <w:p w:rsidR="000F69DF" w:rsidRPr="00D36507" w:rsidRDefault="004C0446">
      <w:pPr>
        <w:spacing w:before="60"/>
        <w:jc w:val="right"/>
        <w:rPr>
          <w:b/>
          <w:szCs w:val="22"/>
        </w:rPr>
      </w:pPr>
      <w:r w:rsidRPr="00D36507">
        <w:rPr>
          <w:b/>
          <w:szCs w:val="22"/>
        </w:rPr>
        <w:t xml:space="preserve">February </w:t>
      </w:r>
      <w:r w:rsidR="0008643F">
        <w:rPr>
          <w:b/>
          <w:szCs w:val="22"/>
        </w:rPr>
        <w:t>12</w:t>
      </w:r>
      <w:r w:rsidR="001E68FC" w:rsidRPr="00D36507">
        <w:rPr>
          <w:b/>
          <w:szCs w:val="22"/>
        </w:rPr>
        <w:t>, 201</w:t>
      </w:r>
      <w:r w:rsidR="007F0447" w:rsidRPr="00D36507">
        <w:rPr>
          <w:b/>
          <w:szCs w:val="22"/>
        </w:rPr>
        <w:t>5</w:t>
      </w:r>
    </w:p>
    <w:p w:rsidR="000F69DF" w:rsidRPr="00D36507" w:rsidRDefault="000F69DF">
      <w:pPr>
        <w:jc w:val="right"/>
        <w:rPr>
          <w:szCs w:val="22"/>
        </w:rPr>
      </w:pPr>
    </w:p>
    <w:p w:rsidR="001E68FC" w:rsidRPr="004A244B" w:rsidRDefault="001E68FC" w:rsidP="006D0730">
      <w:pPr>
        <w:jc w:val="center"/>
        <w:rPr>
          <w:b/>
          <w:caps/>
          <w:szCs w:val="22"/>
        </w:rPr>
      </w:pPr>
      <w:r w:rsidRPr="004A244B">
        <w:rPr>
          <w:b/>
          <w:caps/>
          <w:szCs w:val="22"/>
        </w:rPr>
        <w:t>Consumer AND</w:t>
      </w:r>
      <w:r w:rsidRPr="008E0C62">
        <w:rPr>
          <w:b/>
          <w:caps/>
          <w:szCs w:val="22"/>
        </w:rPr>
        <w:t xml:space="preserve"> Governmental Affairs Bureau Seeks Comment o</w:t>
      </w:r>
      <w:r w:rsidR="0079324D" w:rsidRPr="008E0C62">
        <w:rPr>
          <w:b/>
          <w:caps/>
          <w:szCs w:val="22"/>
        </w:rPr>
        <w:t xml:space="preserve">n </w:t>
      </w:r>
      <w:r w:rsidRPr="008E0C62">
        <w:rPr>
          <w:b/>
          <w:caps/>
          <w:szCs w:val="22"/>
        </w:rPr>
        <w:t>PETITION</w:t>
      </w:r>
      <w:r w:rsidR="001A1944" w:rsidRPr="008E0C62">
        <w:rPr>
          <w:b/>
          <w:caps/>
          <w:szCs w:val="22"/>
        </w:rPr>
        <w:t xml:space="preserve"> </w:t>
      </w:r>
      <w:r w:rsidR="004A244B" w:rsidRPr="008E0C62">
        <w:rPr>
          <w:b/>
          <w:caps/>
          <w:szCs w:val="22"/>
        </w:rPr>
        <w:t xml:space="preserve">fILED BY CITIZENS BANK </w:t>
      </w:r>
      <w:r w:rsidR="001A1944" w:rsidRPr="008E0C62">
        <w:rPr>
          <w:b/>
          <w:caps/>
          <w:szCs w:val="22"/>
        </w:rPr>
        <w:t xml:space="preserve">concerning </w:t>
      </w:r>
      <w:r w:rsidR="00CA565D" w:rsidRPr="004A244B">
        <w:rPr>
          <w:b/>
          <w:caps/>
          <w:szCs w:val="22"/>
        </w:rPr>
        <w:t>PRIOR EXPRESS CONSENT UNDER THE TELEPHONE CONSUMER PROTECT</w:t>
      </w:r>
      <w:r w:rsidR="004A244B" w:rsidRPr="004A244B">
        <w:rPr>
          <w:b/>
          <w:caps/>
          <w:szCs w:val="22"/>
        </w:rPr>
        <w:t>ION</w:t>
      </w:r>
      <w:r w:rsidR="00CA565D" w:rsidRPr="004A244B">
        <w:rPr>
          <w:b/>
          <w:caps/>
          <w:szCs w:val="22"/>
        </w:rPr>
        <w:t xml:space="preserve"> ACT</w:t>
      </w:r>
    </w:p>
    <w:p w:rsidR="001E68FC" w:rsidRPr="004A244B" w:rsidRDefault="001E68FC" w:rsidP="001E68FC">
      <w:pPr>
        <w:jc w:val="center"/>
        <w:rPr>
          <w:b/>
          <w:szCs w:val="22"/>
        </w:rPr>
      </w:pPr>
    </w:p>
    <w:p w:rsidR="001E68FC" w:rsidRDefault="001E68FC" w:rsidP="001E68FC">
      <w:pPr>
        <w:jc w:val="center"/>
        <w:rPr>
          <w:b/>
          <w:szCs w:val="22"/>
        </w:rPr>
      </w:pPr>
      <w:r w:rsidRPr="004A244B">
        <w:rPr>
          <w:b/>
          <w:szCs w:val="22"/>
        </w:rPr>
        <w:t>CG Docket No. 02-278</w:t>
      </w:r>
    </w:p>
    <w:p w:rsidR="00B120C8" w:rsidRPr="004A244B" w:rsidRDefault="00B120C8" w:rsidP="001E68FC">
      <w:pPr>
        <w:jc w:val="center"/>
        <w:rPr>
          <w:b/>
          <w:szCs w:val="22"/>
        </w:rPr>
      </w:pPr>
    </w:p>
    <w:p w:rsidR="001E68FC" w:rsidRPr="004A244B" w:rsidRDefault="001E68FC" w:rsidP="001E68FC">
      <w:pPr>
        <w:pStyle w:val="Heading3"/>
        <w:numPr>
          <w:ilvl w:val="0"/>
          <w:numId w:val="0"/>
        </w:numPr>
        <w:spacing w:after="0"/>
        <w:rPr>
          <w:szCs w:val="22"/>
        </w:rPr>
      </w:pPr>
      <w:r w:rsidRPr="004A244B">
        <w:rPr>
          <w:szCs w:val="22"/>
        </w:rPr>
        <w:t>Comment Date</w:t>
      </w:r>
      <w:r w:rsidRPr="004A244B">
        <w:rPr>
          <w:b w:val="0"/>
          <w:szCs w:val="22"/>
        </w:rPr>
        <w:t>:</w:t>
      </w:r>
      <w:r w:rsidR="007F0447" w:rsidRPr="004A244B">
        <w:rPr>
          <w:szCs w:val="22"/>
        </w:rPr>
        <w:t xml:space="preserve">  </w:t>
      </w:r>
      <w:r w:rsidR="0008643F">
        <w:rPr>
          <w:szCs w:val="22"/>
        </w:rPr>
        <w:t>March 16</w:t>
      </w:r>
      <w:r w:rsidR="001777EC" w:rsidRPr="004A244B">
        <w:rPr>
          <w:szCs w:val="22"/>
        </w:rPr>
        <w:t>, 2015</w:t>
      </w:r>
    </w:p>
    <w:p w:rsidR="000F69DF" w:rsidRPr="00D36507" w:rsidRDefault="001E68FC" w:rsidP="00997FAC">
      <w:pPr>
        <w:rPr>
          <w:b/>
          <w:szCs w:val="22"/>
        </w:rPr>
      </w:pPr>
      <w:r w:rsidRPr="007D7565">
        <w:rPr>
          <w:b/>
          <w:szCs w:val="22"/>
        </w:rPr>
        <w:t>Reply Comment Date</w:t>
      </w:r>
      <w:r w:rsidRPr="007D7565">
        <w:rPr>
          <w:szCs w:val="22"/>
        </w:rPr>
        <w:t xml:space="preserve">:  </w:t>
      </w:r>
      <w:r w:rsidR="004C0446" w:rsidRPr="00D36507">
        <w:rPr>
          <w:b/>
          <w:szCs w:val="22"/>
        </w:rPr>
        <w:t xml:space="preserve">March </w:t>
      </w:r>
      <w:r w:rsidR="0008643F">
        <w:rPr>
          <w:b/>
          <w:szCs w:val="22"/>
        </w:rPr>
        <w:t>31</w:t>
      </w:r>
      <w:r w:rsidRPr="00D36507">
        <w:rPr>
          <w:szCs w:val="22"/>
        </w:rPr>
        <w:t xml:space="preserve">, </w:t>
      </w:r>
      <w:r w:rsidR="001777EC" w:rsidRPr="00D36507">
        <w:rPr>
          <w:b/>
          <w:szCs w:val="22"/>
        </w:rPr>
        <w:t>2015</w:t>
      </w:r>
    </w:p>
    <w:p w:rsidR="00DD44B0" w:rsidRPr="00D36507" w:rsidRDefault="00DD44B0" w:rsidP="00997FAC">
      <w:pPr>
        <w:rPr>
          <w:b/>
          <w:szCs w:val="22"/>
        </w:rPr>
      </w:pPr>
    </w:p>
    <w:p w:rsidR="000B5724" w:rsidRPr="00D36507" w:rsidRDefault="001E68FC" w:rsidP="00DD44B0">
      <w:pPr>
        <w:spacing w:before="120" w:after="240"/>
        <w:rPr>
          <w:szCs w:val="22"/>
        </w:rPr>
      </w:pPr>
      <w:r w:rsidRPr="00D36507">
        <w:rPr>
          <w:szCs w:val="22"/>
        </w:rPr>
        <w:tab/>
      </w:r>
      <w:r w:rsidR="00EE07EE" w:rsidRPr="00D36507">
        <w:rPr>
          <w:szCs w:val="22"/>
        </w:rPr>
        <w:t xml:space="preserve"> </w:t>
      </w:r>
      <w:r w:rsidR="00FB57E8" w:rsidRPr="00D36507">
        <w:rPr>
          <w:szCs w:val="22"/>
        </w:rPr>
        <w:t xml:space="preserve">On January 16, 2015, </w:t>
      </w:r>
      <w:r w:rsidR="00FC1E8F" w:rsidRPr="00D36507">
        <w:rPr>
          <w:szCs w:val="22"/>
        </w:rPr>
        <w:t xml:space="preserve">Citizens Bank, N.A. (Citizens) </w:t>
      </w:r>
      <w:r w:rsidR="00FB57E8" w:rsidRPr="00D36507">
        <w:rPr>
          <w:szCs w:val="22"/>
        </w:rPr>
        <w:t>filed a</w:t>
      </w:r>
      <w:r w:rsidR="005D3BDE" w:rsidRPr="00D36507">
        <w:rPr>
          <w:szCs w:val="22"/>
        </w:rPr>
        <w:t xml:space="preserve"> </w:t>
      </w:r>
      <w:r w:rsidR="00FC1E8F" w:rsidRPr="00D36507">
        <w:rPr>
          <w:szCs w:val="22"/>
        </w:rPr>
        <w:t xml:space="preserve">petition </w:t>
      </w:r>
      <w:r w:rsidR="00E00C20" w:rsidRPr="00D36507">
        <w:rPr>
          <w:szCs w:val="22"/>
        </w:rPr>
        <w:t xml:space="preserve">seeking clarification and/or a declaratory ruling </w:t>
      </w:r>
      <w:r w:rsidR="00FC1E8F" w:rsidRPr="00D36507">
        <w:rPr>
          <w:szCs w:val="22"/>
        </w:rPr>
        <w:t>regarding the scope of prior express consent under the Tele</w:t>
      </w:r>
      <w:r w:rsidR="00B00109" w:rsidRPr="00D36507">
        <w:rPr>
          <w:szCs w:val="22"/>
        </w:rPr>
        <w:t>phone</w:t>
      </w:r>
      <w:r w:rsidR="00FC1E8F" w:rsidRPr="00D36507">
        <w:rPr>
          <w:szCs w:val="22"/>
        </w:rPr>
        <w:t xml:space="preserve"> Consumer Protection Act (TCPA).</w:t>
      </w:r>
      <w:r w:rsidR="009E75CD" w:rsidRPr="004A244B">
        <w:rPr>
          <w:rStyle w:val="FootnoteReference"/>
          <w:szCs w:val="22"/>
        </w:rPr>
        <w:footnoteReference w:id="1"/>
      </w:r>
      <w:r w:rsidR="009E75CD" w:rsidRPr="004A244B">
        <w:rPr>
          <w:szCs w:val="22"/>
        </w:rPr>
        <w:t xml:space="preserve"> </w:t>
      </w:r>
      <w:r w:rsidR="00E00C20" w:rsidRPr="00D36507">
        <w:rPr>
          <w:szCs w:val="22"/>
        </w:rPr>
        <w:t xml:space="preserve"> </w:t>
      </w:r>
      <w:r w:rsidR="009E75CD" w:rsidRPr="00D36507">
        <w:rPr>
          <w:szCs w:val="22"/>
        </w:rPr>
        <w:t xml:space="preserve">Specifically, </w:t>
      </w:r>
      <w:r w:rsidR="006A60D9" w:rsidRPr="00D36507">
        <w:rPr>
          <w:szCs w:val="22"/>
        </w:rPr>
        <w:t>the Petition</w:t>
      </w:r>
      <w:r w:rsidR="009E75CD" w:rsidRPr="00D36507">
        <w:rPr>
          <w:szCs w:val="22"/>
        </w:rPr>
        <w:t xml:space="preserve"> asks the Comm</w:t>
      </w:r>
      <w:r w:rsidR="00EF2D44" w:rsidRPr="00D36507">
        <w:rPr>
          <w:szCs w:val="22"/>
        </w:rPr>
        <w:t>i</w:t>
      </w:r>
      <w:r w:rsidR="009E75CD" w:rsidRPr="00D36507">
        <w:rPr>
          <w:szCs w:val="22"/>
        </w:rPr>
        <w:t>ssion</w:t>
      </w:r>
      <w:r w:rsidR="00537AE6" w:rsidRPr="00D36507">
        <w:rPr>
          <w:szCs w:val="22"/>
        </w:rPr>
        <w:t xml:space="preserve"> </w:t>
      </w:r>
      <w:r w:rsidR="009E75CD" w:rsidRPr="00D36507">
        <w:rPr>
          <w:szCs w:val="22"/>
        </w:rPr>
        <w:t xml:space="preserve">to clarify </w:t>
      </w:r>
      <w:r w:rsidR="00371CDF" w:rsidRPr="00D36507">
        <w:rPr>
          <w:szCs w:val="22"/>
        </w:rPr>
        <w:t xml:space="preserve">that where a called party purposefully chooses to </w:t>
      </w:r>
      <w:r w:rsidR="004A244B" w:rsidRPr="00D36507">
        <w:rPr>
          <w:szCs w:val="22"/>
        </w:rPr>
        <w:t xml:space="preserve">advertise his or her </w:t>
      </w:r>
      <w:r w:rsidR="00FB57E8" w:rsidRPr="00D36507">
        <w:rPr>
          <w:szCs w:val="22"/>
        </w:rPr>
        <w:t xml:space="preserve">cellular </w:t>
      </w:r>
      <w:r w:rsidR="00371CDF" w:rsidRPr="00D36507">
        <w:rPr>
          <w:szCs w:val="22"/>
        </w:rPr>
        <w:t>phone number</w:t>
      </w:r>
      <w:r w:rsidR="004A244B" w:rsidRPr="00D36507">
        <w:rPr>
          <w:szCs w:val="22"/>
        </w:rPr>
        <w:t>,</w:t>
      </w:r>
      <w:r w:rsidR="00371CDF" w:rsidRPr="00D36507">
        <w:rPr>
          <w:szCs w:val="22"/>
        </w:rPr>
        <w:t xml:space="preserve"> the called party has</w:t>
      </w:r>
      <w:r w:rsidR="004A244B" w:rsidRPr="00D36507">
        <w:rPr>
          <w:szCs w:val="22"/>
        </w:rPr>
        <w:t xml:space="preserve"> </w:t>
      </w:r>
      <w:r w:rsidR="00371CDF" w:rsidRPr="00D36507">
        <w:rPr>
          <w:szCs w:val="22"/>
        </w:rPr>
        <w:t xml:space="preserve">provided prior express consent to receive </w:t>
      </w:r>
      <w:r w:rsidR="004A244B" w:rsidRPr="00D36507">
        <w:rPr>
          <w:szCs w:val="22"/>
        </w:rPr>
        <w:t xml:space="preserve">autodialed or prerecorded </w:t>
      </w:r>
      <w:r w:rsidR="00C912BD">
        <w:rPr>
          <w:szCs w:val="22"/>
        </w:rPr>
        <w:t>non-telemarketing</w:t>
      </w:r>
      <w:r w:rsidR="00371CDF" w:rsidRPr="00D36507">
        <w:rPr>
          <w:szCs w:val="22"/>
        </w:rPr>
        <w:t xml:space="preserve"> informational calls to the number in question.</w:t>
      </w:r>
      <w:r w:rsidR="00081CB7" w:rsidRPr="004A244B">
        <w:rPr>
          <w:rStyle w:val="FootnoteReference"/>
          <w:szCs w:val="22"/>
        </w:rPr>
        <w:footnoteReference w:id="2"/>
      </w:r>
      <w:r w:rsidR="00EF2D44" w:rsidRPr="00D36507">
        <w:rPr>
          <w:szCs w:val="22"/>
        </w:rPr>
        <w:t xml:space="preserve">  </w:t>
      </w:r>
    </w:p>
    <w:p w:rsidR="005D3BDE" w:rsidRPr="00D36507" w:rsidRDefault="00537AE6" w:rsidP="005D3BDE">
      <w:pPr>
        <w:spacing w:before="120" w:after="240"/>
        <w:ind w:firstLine="720"/>
        <w:rPr>
          <w:szCs w:val="22"/>
        </w:rPr>
      </w:pPr>
      <w:r w:rsidRPr="00D36507">
        <w:rPr>
          <w:szCs w:val="22"/>
        </w:rPr>
        <w:t xml:space="preserve">According to Citizens, </w:t>
      </w:r>
      <w:r w:rsidR="00D25A87">
        <w:rPr>
          <w:szCs w:val="22"/>
        </w:rPr>
        <w:t xml:space="preserve">its </w:t>
      </w:r>
      <w:r w:rsidR="004A244B" w:rsidRPr="00D36507">
        <w:rPr>
          <w:szCs w:val="22"/>
        </w:rPr>
        <w:t xml:space="preserve">requested </w:t>
      </w:r>
      <w:r w:rsidRPr="00D36507">
        <w:rPr>
          <w:szCs w:val="22"/>
        </w:rPr>
        <w:t>clarification would be consistent with the TCPA’s founding principles</w:t>
      </w:r>
      <w:r w:rsidR="00371CDF" w:rsidRPr="00D36507">
        <w:rPr>
          <w:szCs w:val="22"/>
        </w:rPr>
        <w:t xml:space="preserve"> and the Commission’s implementation of the statute.</w:t>
      </w:r>
      <w:r w:rsidR="00371CDF" w:rsidRPr="004A244B">
        <w:rPr>
          <w:rStyle w:val="FootnoteReference"/>
          <w:szCs w:val="22"/>
        </w:rPr>
        <w:footnoteReference w:id="3"/>
      </w:r>
      <w:r w:rsidR="000B5724" w:rsidRPr="00D36507">
        <w:rPr>
          <w:szCs w:val="22"/>
        </w:rPr>
        <w:t xml:space="preserve">  Specifically, Citizens argues that communications related to debt collection are already heavily regulated under numerous federal, state and local laws</w:t>
      </w:r>
      <w:r w:rsidR="00C26803" w:rsidRPr="00D36507">
        <w:rPr>
          <w:szCs w:val="22"/>
        </w:rPr>
        <w:t>,</w:t>
      </w:r>
      <w:r w:rsidR="000B5724" w:rsidRPr="00D36507">
        <w:rPr>
          <w:szCs w:val="22"/>
        </w:rPr>
        <w:t xml:space="preserve"> and </w:t>
      </w:r>
      <w:r w:rsidR="00D25A87">
        <w:rPr>
          <w:szCs w:val="22"/>
        </w:rPr>
        <w:t xml:space="preserve">its requested clarification </w:t>
      </w:r>
      <w:r w:rsidR="004A244B" w:rsidRPr="00D36507">
        <w:rPr>
          <w:szCs w:val="22"/>
        </w:rPr>
        <w:t>therefore will not result in a large number of debt collection calls</w:t>
      </w:r>
      <w:r w:rsidR="000B5724" w:rsidRPr="00D36507">
        <w:rPr>
          <w:szCs w:val="22"/>
        </w:rPr>
        <w:t>.</w:t>
      </w:r>
      <w:r w:rsidR="000B5724" w:rsidRPr="004A244B">
        <w:rPr>
          <w:rStyle w:val="FootnoteReference"/>
          <w:szCs w:val="22"/>
        </w:rPr>
        <w:footnoteReference w:id="4"/>
      </w:r>
      <w:r w:rsidR="000B5724" w:rsidRPr="00D36507">
        <w:rPr>
          <w:szCs w:val="22"/>
        </w:rPr>
        <w:t xml:space="preserve">  In addition, Citizens </w:t>
      </w:r>
      <w:r w:rsidR="008E0C62">
        <w:rPr>
          <w:szCs w:val="22"/>
        </w:rPr>
        <w:t xml:space="preserve">claims </w:t>
      </w:r>
      <w:r w:rsidR="000B5724" w:rsidRPr="00D36507">
        <w:rPr>
          <w:szCs w:val="22"/>
        </w:rPr>
        <w:t xml:space="preserve">that making debt collection calls through </w:t>
      </w:r>
      <w:r w:rsidR="008E0C62">
        <w:rPr>
          <w:szCs w:val="22"/>
        </w:rPr>
        <w:t>auto</w:t>
      </w:r>
      <w:r w:rsidR="000B5724" w:rsidRPr="00D36507">
        <w:rPr>
          <w:szCs w:val="22"/>
        </w:rPr>
        <w:t>dialing technology facilitates efficient and responsible communications by making it easier to</w:t>
      </w:r>
      <w:r w:rsidR="008E0C62">
        <w:rPr>
          <w:szCs w:val="22"/>
        </w:rPr>
        <w:t>:</w:t>
      </w:r>
      <w:r w:rsidR="000B5724" w:rsidRPr="00D36507">
        <w:rPr>
          <w:szCs w:val="22"/>
        </w:rPr>
        <w:t xml:space="preserve"> </w:t>
      </w:r>
      <w:r w:rsidR="009A12B9" w:rsidRPr="00D36507">
        <w:rPr>
          <w:szCs w:val="22"/>
        </w:rPr>
        <w:t xml:space="preserve">1) </w:t>
      </w:r>
      <w:r w:rsidR="000B5724" w:rsidRPr="00D36507">
        <w:rPr>
          <w:szCs w:val="22"/>
        </w:rPr>
        <w:t xml:space="preserve">verify that the right number has been dialed, </w:t>
      </w:r>
      <w:r w:rsidR="009A12B9" w:rsidRPr="00D36507">
        <w:rPr>
          <w:szCs w:val="22"/>
        </w:rPr>
        <w:t xml:space="preserve">2) </w:t>
      </w:r>
      <w:r w:rsidR="000B5724" w:rsidRPr="00D36507">
        <w:rPr>
          <w:szCs w:val="22"/>
        </w:rPr>
        <w:t xml:space="preserve">track the frequency and timing of the calls made, and </w:t>
      </w:r>
      <w:r w:rsidR="009A12B9" w:rsidRPr="00D36507">
        <w:rPr>
          <w:szCs w:val="22"/>
        </w:rPr>
        <w:t xml:space="preserve">3) </w:t>
      </w:r>
      <w:r w:rsidR="000B5724" w:rsidRPr="00D36507">
        <w:rPr>
          <w:szCs w:val="22"/>
        </w:rPr>
        <w:t>ensur</w:t>
      </w:r>
      <w:r w:rsidR="009A12B9" w:rsidRPr="00D36507">
        <w:rPr>
          <w:szCs w:val="22"/>
        </w:rPr>
        <w:t>e</w:t>
      </w:r>
      <w:r w:rsidR="000B5724" w:rsidRPr="00D36507">
        <w:rPr>
          <w:szCs w:val="22"/>
        </w:rPr>
        <w:t xml:space="preserve"> that the information </w:t>
      </w:r>
      <w:r w:rsidR="000B5724" w:rsidRPr="00D36507">
        <w:rPr>
          <w:szCs w:val="22"/>
        </w:rPr>
        <w:lastRenderedPageBreak/>
        <w:t>being relayed to the debtor is permissible and consistent with the federal, state</w:t>
      </w:r>
      <w:r w:rsidR="008E0C62">
        <w:rPr>
          <w:szCs w:val="22"/>
        </w:rPr>
        <w:t>,</w:t>
      </w:r>
      <w:r w:rsidR="000B5724" w:rsidRPr="00D36507">
        <w:rPr>
          <w:szCs w:val="22"/>
        </w:rPr>
        <w:t xml:space="preserve"> and local laws applying to such communications.</w:t>
      </w:r>
      <w:r w:rsidR="000B5724" w:rsidRPr="004A244B">
        <w:rPr>
          <w:rStyle w:val="FootnoteReference"/>
          <w:szCs w:val="22"/>
        </w:rPr>
        <w:footnoteReference w:id="5"/>
      </w:r>
      <w:r w:rsidR="000B5724" w:rsidRPr="00D36507">
        <w:rPr>
          <w:szCs w:val="22"/>
        </w:rPr>
        <w:t xml:space="preserve">  Finally, </w:t>
      </w:r>
      <w:r w:rsidR="00FB57E8" w:rsidRPr="00D36507">
        <w:rPr>
          <w:szCs w:val="22"/>
        </w:rPr>
        <w:t>Citizens contends that the framework it proposes for the treatment of calls to cellular phone numbers that are advertised or otherwise made available for public distribution has already been applied by the Commission to facsimile communications.</w:t>
      </w:r>
      <w:r w:rsidR="008E0C62">
        <w:rPr>
          <w:rStyle w:val="FootnoteReference"/>
          <w:szCs w:val="22"/>
        </w:rPr>
        <w:footnoteReference w:id="6"/>
      </w:r>
    </w:p>
    <w:p w:rsidR="001E68FC" w:rsidRPr="004A244B" w:rsidRDefault="005D3BDE" w:rsidP="005D3BDE">
      <w:pPr>
        <w:spacing w:before="120" w:after="240"/>
        <w:ind w:firstLine="720"/>
        <w:rPr>
          <w:szCs w:val="22"/>
        </w:rPr>
      </w:pPr>
      <w:r w:rsidRPr="00D36507">
        <w:rPr>
          <w:szCs w:val="22"/>
        </w:rPr>
        <w:t>We seek comment from interested parties on the issues raised in this Petition</w:t>
      </w:r>
      <w:r w:rsidRPr="004A244B">
        <w:rPr>
          <w:szCs w:val="22"/>
        </w:rPr>
        <w:t xml:space="preserve">.  </w:t>
      </w:r>
      <w:r w:rsidR="001E68FC" w:rsidRPr="008E0C62">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1E68FC" w:rsidRPr="004A244B">
        <w:rPr>
          <w:i/>
          <w:szCs w:val="22"/>
        </w:rPr>
        <w:t>See</w:t>
      </w:r>
      <w:r w:rsidR="001E68FC" w:rsidRPr="004A244B">
        <w:rPr>
          <w:szCs w:val="22"/>
        </w:rPr>
        <w:t xml:space="preserve"> Electronic Filing of Documents in Rulemaking Proceedings, 63 FR 24121 (1998).</w:t>
      </w:r>
    </w:p>
    <w:p w:rsidR="001E68FC" w:rsidRPr="004A244B" w:rsidRDefault="001E68FC" w:rsidP="001E68FC">
      <w:pPr>
        <w:autoSpaceDE w:val="0"/>
        <w:autoSpaceDN w:val="0"/>
        <w:adjustRightInd w:val="0"/>
        <w:ind w:firstLine="720"/>
        <w:rPr>
          <w:szCs w:val="22"/>
        </w:rPr>
      </w:pPr>
    </w:p>
    <w:p w:rsidR="001E68FC" w:rsidRPr="004A244B" w:rsidRDefault="001E68FC" w:rsidP="001E68FC">
      <w:pPr>
        <w:numPr>
          <w:ilvl w:val="0"/>
          <w:numId w:val="13"/>
        </w:numPr>
        <w:autoSpaceDE w:val="0"/>
        <w:autoSpaceDN w:val="0"/>
        <w:adjustRightInd w:val="0"/>
        <w:rPr>
          <w:szCs w:val="22"/>
        </w:rPr>
      </w:pPr>
      <w:r w:rsidRPr="004A244B">
        <w:rPr>
          <w:szCs w:val="22"/>
        </w:rPr>
        <w:t xml:space="preserve">Electronic Filers:  Comments may be filed electronically using the Internet by accessing ECFS:  http://fjallfoss.fcc.gov/ecfs2/.  </w:t>
      </w:r>
    </w:p>
    <w:p w:rsidR="001E68FC" w:rsidRPr="004A244B" w:rsidRDefault="001E68FC" w:rsidP="001E68FC">
      <w:pPr>
        <w:numPr>
          <w:ilvl w:val="0"/>
          <w:numId w:val="13"/>
        </w:numPr>
        <w:autoSpaceDE w:val="0"/>
        <w:autoSpaceDN w:val="0"/>
        <w:adjustRightInd w:val="0"/>
        <w:rPr>
          <w:szCs w:val="22"/>
        </w:rPr>
      </w:pPr>
      <w:r w:rsidRPr="004A244B">
        <w:rPr>
          <w:szCs w:val="22"/>
        </w:rPr>
        <w:t xml:space="preserve">Paper Filers:  Parties who choose to file by paper must file an original and one copy of each filing.  </w:t>
      </w:r>
    </w:p>
    <w:p w:rsidR="001E68FC" w:rsidRPr="004A244B" w:rsidRDefault="001E68FC" w:rsidP="001E68FC">
      <w:pPr>
        <w:numPr>
          <w:ilvl w:val="0"/>
          <w:numId w:val="13"/>
        </w:numPr>
        <w:autoSpaceDE w:val="0"/>
        <w:autoSpaceDN w:val="0"/>
        <w:adjustRightInd w:val="0"/>
        <w:rPr>
          <w:szCs w:val="22"/>
        </w:rPr>
      </w:pPr>
      <w:r w:rsidRPr="004A24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4A244B" w:rsidRDefault="001E68FC" w:rsidP="001E68FC">
      <w:pPr>
        <w:numPr>
          <w:ilvl w:val="0"/>
          <w:numId w:val="13"/>
        </w:numPr>
        <w:autoSpaceDE w:val="0"/>
        <w:autoSpaceDN w:val="0"/>
        <w:adjustRightInd w:val="0"/>
        <w:rPr>
          <w:szCs w:val="22"/>
        </w:rPr>
      </w:pPr>
      <w:r w:rsidRPr="004A244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4A244B" w:rsidRDefault="001E68FC" w:rsidP="001E68FC">
      <w:pPr>
        <w:numPr>
          <w:ilvl w:val="0"/>
          <w:numId w:val="13"/>
        </w:numPr>
        <w:autoSpaceDE w:val="0"/>
        <w:autoSpaceDN w:val="0"/>
        <w:adjustRightInd w:val="0"/>
        <w:rPr>
          <w:szCs w:val="22"/>
        </w:rPr>
      </w:pPr>
      <w:r w:rsidRPr="004A244B">
        <w:rPr>
          <w:szCs w:val="22"/>
        </w:rPr>
        <w:t>Commercial overnight mail (other than U.S. Postal Service Express Mail and Priority Mail) must be sent to 9300 East Hampton Drive, Capitol Heights, MD  20743.</w:t>
      </w:r>
    </w:p>
    <w:p w:rsidR="001E68FC" w:rsidRPr="004A244B" w:rsidRDefault="001E68FC" w:rsidP="001E68FC">
      <w:pPr>
        <w:numPr>
          <w:ilvl w:val="0"/>
          <w:numId w:val="13"/>
        </w:numPr>
        <w:autoSpaceDE w:val="0"/>
        <w:autoSpaceDN w:val="0"/>
        <w:adjustRightInd w:val="0"/>
        <w:rPr>
          <w:szCs w:val="22"/>
        </w:rPr>
      </w:pPr>
      <w:r w:rsidRPr="004A244B">
        <w:rPr>
          <w:szCs w:val="22"/>
        </w:rPr>
        <w:t>U.S. Postal Service first-class, Express, and Priority mail must be addressed to 445 12th Street, SW, Washington DC  20554.</w:t>
      </w:r>
    </w:p>
    <w:p w:rsidR="001E68FC" w:rsidRPr="004A244B" w:rsidRDefault="001E68FC" w:rsidP="001E68FC">
      <w:pPr>
        <w:autoSpaceDE w:val="0"/>
        <w:autoSpaceDN w:val="0"/>
        <w:adjustRightInd w:val="0"/>
        <w:rPr>
          <w:szCs w:val="22"/>
        </w:rPr>
      </w:pPr>
    </w:p>
    <w:p w:rsidR="001E68FC" w:rsidRPr="00D36507" w:rsidRDefault="001E68FC" w:rsidP="001E68FC">
      <w:pPr>
        <w:ind w:firstLine="720"/>
        <w:rPr>
          <w:szCs w:val="22"/>
        </w:rPr>
      </w:pPr>
      <w:r w:rsidRPr="007D7565">
        <w:rPr>
          <w:szCs w:val="22"/>
        </w:rPr>
        <w:t xml:space="preserve">People with Disabilities:  To request materials in accessible formats for people with disabilities (braille, large print, electronic files, audio format), send an e-mail to </w:t>
      </w:r>
      <w:hyperlink r:id="rId14" w:history="1">
        <w:r w:rsidRPr="00D36507">
          <w:rPr>
            <w:color w:val="0000FF"/>
            <w:szCs w:val="22"/>
            <w:u w:val="single"/>
          </w:rPr>
          <w:t>fcc504@fcc.gov</w:t>
        </w:r>
      </w:hyperlink>
      <w:r w:rsidRPr="007D7565">
        <w:rPr>
          <w:szCs w:val="22"/>
        </w:rPr>
        <w:t xml:space="preserve"> or call the Consumer and Governmental Affairs Bureau at 202-418-0530 (voice), 202-418-0432 (tty).</w:t>
      </w:r>
    </w:p>
    <w:p w:rsidR="001E68FC" w:rsidRPr="004A244B" w:rsidRDefault="001E68FC" w:rsidP="001E68FC">
      <w:pPr>
        <w:autoSpaceDE w:val="0"/>
        <w:autoSpaceDN w:val="0"/>
        <w:adjustRightInd w:val="0"/>
        <w:ind w:firstLine="720"/>
        <w:rPr>
          <w:szCs w:val="22"/>
        </w:rPr>
      </w:pPr>
    </w:p>
    <w:p w:rsidR="001E68FC" w:rsidRPr="007D7565" w:rsidRDefault="001E68FC" w:rsidP="001E68FC">
      <w:pPr>
        <w:ind w:firstLine="720"/>
        <w:rPr>
          <w:szCs w:val="22"/>
        </w:rPr>
      </w:pPr>
      <w:r w:rsidRPr="007D7565">
        <w:rPr>
          <w:szCs w:val="22"/>
        </w:rPr>
        <w:t xml:space="preserve">The proceeding this Notice initiates shall be treated as a “permit-but-disclose” proceeding in accordance with the Commission’s </w:t>
      </w:r>
      <w:r w:rsidRPr="007D7565">
        <w:rPr>
          <w:i/>
          <w:iCs/>
          <w:szCs w:val="22"/>
        </w:rPr>
        <w:t xml:space="preserve">ex parte </w:t>
      </w:r>
      <w:r w:rsidRPr="00D36507">
        <w:rPr>
          <w:szCs w:val="22"/>
        </w:rPr>
        <w:t>rules.</w:t>
      </w:r>
      <w:r w:rsidRPr="007D7565">
        <w:rPr>
          <w:szCs w:val="22"/>
          <w:vertAlign w:val="superscript"/>
        </w:rPr>
        <w:footnoteReference w:id="7"/>
      </w:r>
      <w:r w:rsidRPr="007D7565">
        <w:rPr>
          <w:szCs w:val="22"/>
        </w:rPr>
        <w:t xml:space="preserve">  Persons making </w:t>
      </w:r>
      <w:r w:rsidRPr="007D7565">
        <w:rPr>
          <w:i/>
          <w:szCs w:val="22"/>
        </w:rPr>
        <w:t xml:space="preserve">ex parte </w:t>
      </w:r>
      <w:r w:rsidRPr="00D3650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6507">
        <w:rPr>
          <w:i/>
          <w:iCs/>
          <w:szCs w:val="22"/>
        </w:rPr>
        <w:t xml:space="preserve">ex parte </w:t>
      </w:r>
      <w:r w:rsidRPr="00D36507">
        <w:rPr>
          <w:szCs w:val="22"/>
        </w:rPr>
        <w:t xml:space="preserve">presentations are reminded that memoranda summarizing the presentation must (1) list all persons attending or otherwise participating in the meeting at which the </w:t>
      </w:r>
      <w:r w:rsidRPr="00D36507">
        <w:rPr>
          <w:i/>
          <w:iCs/>
          <w:szCs w:val="22"/>
        </w:rPr>
        <w:t xml:space="preserve">ex parte </w:t>
      </w:r>
      <w:r w:rsidRPr="00D3650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6507">
        <w:rPr>
          <w:i/>
          <w:iCs/>
          <w:szCs w:val="22"/>
        </w:rPr>
        <w:t xml:space="preserve">ex parte </w:t>
      </w:r>
      <w:r w:rsidRPr="00D36507">
        <w:rPr>
          <w:szCs w:val="22"/>
        </w:rPr>
        <w:t xml:space="preserve">meetings are deemed to be written </w:t>
      </w:r>
      <w:r w:rsidRPr="00D36507">
        <w:rPr>
          <w:i/>
          <w:iCs/>
          <w:szCs w:val="22"/>
        </w:rPr>
        <w:t>ex parte</w:t>
      </w:r>
      <w:r w:rsidRPr="00D36507">
        <w:rPr>
          <w:szCs w:val="22"/>
        </w:rPr>
        <w:t xml:space="preserve"> presentations and must be filed consistent with rule 1.1206(b).  In proceedings governed by rule 1.49(f) or for which the Commission has made available a method of electronic filing, written </w:t>
      </w:r>
      <w:r w:rsidRPr="00D36507">
        <w:rPr>
          <w:i/>
          <w:iCs/>
          <w:szCs w:val="22"/>
        </w:rPr>
        <w:t xml:space="preserve">ex parte </w:t>
      </w:r>
      <w:r w:rsidRPr="00D36507">
        <w:rPr>
          <w:szCs w:val="22"/>
        </w:rPr>
        <w:t xml:space="preserve">presentations and memoranda summarizing oral </w:t>
      </w:r>
      <w:r w:rsidRPr="00D36507">
        <w:rPr>
          <w:i/>
          <w:iCs/>
          <w:szCs w:val="22"/>
        </w:rPr>
        <w:t xml:space="preserve">ex parte </w:t>
      </w:r>
      <w:r w:rsidRPr="00D36507">
        <w:rPr>
          <w:szCs w:val="22"/>
        </w:rPr>
        <w:t>presentations, and all attachments thereto, must be filed through the electronic comment filing system available for that proceeding, and must be filed in their native format (</w:t>
      </w:r>
      <w:r w:rsidRPr="00D36507">
        <w:rPr>
          <w:i/>
          <w:iCs/>
          <w:szCs w:val="22"/>
        </w:rPr>
        <w:t>e.g.</w:t>
      </w:r>
      <w:r w:rsidRPr="00D36507">
        <w:rPr>
          <w:szCs w:val="22"/>
        </w:rPr>
        <w:t xml:space="preserve">, .doc, .xml, .ppt, searchable .pdf).  Participants in this proceeding should familiarize themselves with the Commission’s </w:t>
      </w:r>
      <w:r w:rsidRPr="00D36507">
        <w:rPr>
          <w:i/>
          <w:iCs/>
          <w:szCs w:val="22"/>
        </w:rPr>
        <w:t xml:space="preserve">ex parte </w:t>
      </w:r>
      <w:r w:rsidRPr="00D36507">
        <w:rPr>
          <w:szCs w:val="22"/>
        </w:rPr>
        <w:t>rules.</w:t>
      </w:r>
      <w:r w:rsidRPr="004A244B">
        <w:rPr>
          <w:szCs w:val="22"/>
        </w:rPr>
        <w:tab/>
      </w:r>
    </w:p>
    <w:p w:rsidR="001E68FC" w:rsidRPr="004A244B" w:rsidRDefault="001E68FC" w:rsidP="001E68FC">
      <w:pPr>
        <w:autoSpaceDE w:val="0"/>
        <w:autoSpaceDN w:val="0"/>
        <w:adjustRightInd w:val="0"/>
        <w:rPr>
          <w:szCs w:val="22"/>
        </w:rPr>
      </w:pPr>
    </w:p>
    <w:p w:rsidR="001E68FC" w:rsidRPr="004A244B" w:rsidRDefault="001E68FC" w:rsidP="001E68FC">
      <w:pPr>
        <w:rPr>
          <w:szCs w:val="22"/>
        </w:rPr>
      </w:pPr>
      <w:r w:rsidRPr="004A244B">
        <w:rPr>
          <w:b/>
          <w:szCs w:val="22"/>
        </w:rPr>
        <w:t>FOR FURTHER INFORMATION CONTACT:</w:t>
      </w:r>
      <w:r w:rsidRPr="004A244B">
        <w:rPr>
          <w:szCs w:val="22"/>
        </w:rPr>
        <w:t xml:space="preserve">  </w:t>
      </w:r>
      <w:r w:rsidR="00CA565D" w:rsidRPr="004A244B">
        <w:rPr>
          <w:szCs w:val="22"/>
        </w:rPr>
        <w:t>Josh Zeldis</w:t>
      </w:r>
      <w:r w:rsidRPr="004A244B">
        <w:rPr>
          <w:szCs w:val="22"/>
        </w:rPr>
        <w:t>, Consumer and Governmental Affairs Bureau, Federal Communications Co</w:t>
      </w:r>
      <w:r w:rsidR="003D0EBD" w:rsidRPr="004A244B">
        <w:rPr>
          <w:szCs w:val="22"/>
        </w:rPr>
        <w:t>mmission, (202</w:t>
      </w:r>
      <w:r w:rsidRPr="004A244B">
        <w:rPr>
          <w:szCs w:val="22"/>
        </w:rPr>
        <w:t xml:space="preserve">) </w:t>
      </w:r>
      <w:r w:rsidR="003D0EBD" w:rsidRPr="004A244B">
        <w:rPr>
          <w:szCs w:val="22"/>
        </w:rPr>
        <w:t>41</w:t>
      </w:r>
      <w:r w:rsidRPr="004A244B">
        <w:rPr>
          <w:szCs w:val="22"/>
        </w:rPr>
        <w:t>8-</w:t>
      </w:r>
      <w:r w:rsidR="00CA565D" w:rsidRPr="004A244B">
        <w:rPr>
          <w:szCs w:val="22"/>
        </w:rPr>
        <w:t>0715</w:t>
      </w:r>
      <w:r w:rsidR="006D0730" w:rsidRPr="004A244B">
        <w:rPr>
          <w:szCs w:val="22"/>
        </w:rPr>
        <w:t>;</w:t>
      </w:r>
      <w:r w:rsidRPr="004A244B">
        <w:rPr>
          <w:szCs w:val="22"/>
        </w:rPr>
        <w:t xml:space="preserve"> or </w:t>
      </w:r>
      <w:hyperlink r:id="rId15" w:history="1">
        <w:r w:rsidR="00CA565D" w:rsidRPr="004A244B">
          <w:rPr>
            <w:rStyle w:val="Hyperlink"/>
            <w:szCs w:val="22"/>
          </w:rPr>
          <w:t>Josh.Zeldis@fcc.gov</w:t>
        </w:r>
      </w:hyperlink>
      <w:r w:rsidRPr="004A244B">
        <w:rPr>
          <w:szCs w:val="22"/>
        </w:rPr>
        <w:t>.</w:t>
      </w:r>
    </w:p>
    <w:p w:rsidR="00E41CC7" w:rsidRPr="004A244B" w:rsidRDefault="00E41CC7" w:rsidP="001E68FC">
      <w:pPr>
        <w:rPr>
          <w:szCs w:val="22"/>
        </w:rPr>
      </w:pPr>
    </w:p>
    <w:p w:rsidR="006878EA" w:rsidRPr="00D36507" w:rsidRDefault="001E68FC" w:rsidP="00801FF6">
      <w:pPr>
        <w:jc w:val="center"/>
        <w:rPr>
          <w:b/>
          <w:szCs w:val="22"/>
        </w:rPr>
      </w:pPr>
      <w:r w:rsidRPr="00D36507">
        <w:rPr>
          <w:b/>
          <w:szCs w:val="22"/>
        </w:rPr>
        <w:t>-FCC-</w:t>
      </w:r>
    </w:p>
    <w:sectPr w:rsidR="006878EA" w:rsidRPr="00D3650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6F" w:rsidRDefault="00D46F6F">
      <w:r>
        <w:separator/>
      </w:r>
    </w:p>
  </w:endnote>
  <w:endnote w:type="continuationSeparator" w:id="0">
    <w:p w:rsidR="00D46F6F" w:rsidRDefault="00D4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B9" w:rsidRDefault="00525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B9" w:rsidRDefault="00525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24" w:rsidRDefault="000B5724">
    <w:pPr>
      <w:pStyle w:val="Footer"/>
      <w:jc w:val="center"/>
    </w:pPr>
  </w:p>
  <w:p w:rsidR="000B5724" w:rsidRDefault="000B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6F" w:rsidRDefault="00D46F6F">
      <w:r>
        <w:separator/>
      </w:r>
    </w:p>
  </w:footnote>
  <w:footnote w:type="continuationSeparator" w:id="0">
    <w:p w:rsidR="00D46F6F" w:rsidRDefault="00D46F6F">
      <w:r>
        <w:continuationSeparator/>
      </w:r>
    </w:p>
  </w:footnote>
  <w:footnote w:id="1">
    <w:p w:rsidR="000B5724" w:rsidRPr="006A60D9" w:rsidRDefault="000B5724" w:rsidP="009E75CD">
      <w:pPr>
        <w:rPr>
          <w:sz w:val="20"/>
        </w:rPr>
      </w:pPr>
      <w:r w:rsidRPr="007512B4">
        <w:rPr>
          <w:rStyle w:val="FootnoteReference"/>
          <w:sz w:val="20"/>
        </w:rPr>
        <w:footnoteRef/>
      </w:r>
      <w:r w:rsidRPr="007512B4">
        <w:rPr>
          <w:sz w:val="20"/>
        </w:rPr>
        <w:t xml:space="preserve"> </w:t>
      </w:r>
      <w:r>
        <w:rPr>
          <w:sz w:val="20"/>
        </w:rPr>
        <w:t xml:space="preserve">The TCPA is codified at 47 U.S.C. </w:t>
      </w:r>
      <w:r w:rsidRPr="007512B4">
        <w:rPr>
          <w:sz w:val="20"/>
        </w:rPr>
        <w:t>§</w:t>
      </w:r>
      <w:r>
        <w:rPr>
          <w:sz w:val="20"/>
        </w:rPr>
        <w:t xml:space="preserve"> 227.  The Commission’s implementing rules are codified at 47 C.F.R. </w:t>
      </w:r>
      <w:r w:rsidRPr="007512B4">
        <w:rPr>
          <w:sz w:val="20"/>
        </w:rPr>
        <w:t>§</w:t>
      </w:r>
      <w:r>
        <w:rPr>
          <w:sz w:val="20"/>
        </w:rPr>
        <w:t xml:space="preserve"> 64.1200.  In relevant part, the TCPA prohibits any person within the United States from making “any call (other than a call made for emergency purposes or made with the prior express consent of the called party) using any automatic telephone dialing system or artificial or prerecorded voice . . . to any telephone number assigned to a paging service, cellular telephone service . . . or any service for which the called party is charged for the call.”  47 U.S.C. </w:t>
      </w:r>
      <w:r w:rsidRPr="007512B4">
        <w:rPr>
          <w:sz w:val="20"/>
        </w:rPr>
        <w:t>§</w:t>
      </w:r>
      <w:r>
        <w:rPr>
          <w:sz w:val="20"/>
        </w:rPr>
        <w:t xml:space="preserve"> 227(b)(1).</w:t>
      </w:r>
    </w:p>
    <w:p w:rsidR="000B5724" w:rsidRPr="007512B4" w:rsidRDefault="000B5724" w:rsidP="009E75CD">
      <w:pPr>
        <w:rPr>
          <w:sz w:val="20"/>
        </w:rPr>
      </w:pPr>
      <w:r>
        <w:rPr>
          <w:sz w:val="20"/>
        </w:rPr>
        <w:t xml:space="preserve">  </w:t>
      </w:r>
    </w:p>
  </w:footnote>
  <w:footnote w:id="2">
    <w:p w:rsidR="000B5724" w:rsidRDefault="000B5724" w:rsidP="00081CB7">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Citizens Bank, N.A., </w:t>
      </w:r>
      <w:r>
        <w:rPr>
          <w:sz w:val="20"/>
        </w:rPr>
        <w:t>CG Docket No. 02-278 (filed January 16, 2015) (Petition) at 2.  According to its petition, Citizens “provides lending services in select markets nationwide.”</w:t>
      </w:r>
    </w:p>
    <w:p w:rsidR="000B5724" w:rsidRPr="007512B4" w:rsidRDefault="000B5724" w:rsidP="00081CB7">
      <w:pPr>
        <w:rPr>
          <w:sz w:val="20"/>
        </w:rPr>
      </w:pPr>
      <w:r>
        <w:rPr>
          <w:sz w:val="20"/>
        </w:rPr>
        <w:t xml:space="preserve">  </w:t>
      </w:r>
    </w:p>
  </w:footnote>
  <w:footnote w:id="3">
    <w:p w:rsidR="000B5724" w:rsidRDefault="000B5724" w:rsidP="00371CDF">
      <w:pPr>
        <w:rPr>
          <w:sz w:val="20"/>
        </w:rPr>
      </w:pPr>
      <w:r w:rsidRPr="007512B4">
        <w:rPr>
          <w:rStyle w:val="FootnoteReference"/>
          <w:sz w:val="20"/>
        </w:rPr>
        <w:footnoteRef/>
      </w:r>
      <w:r w:rsidRPr="007512B4">
        <w:rPr>
          <w:sz w:val="20"/>
        </w:rPr>
        <w:t xml:space="preserve"> </w:t>
      </w:r>
      <w:r>
        <w:rPr>
          <w:i/>
          <w:sz w:val="20"/>
        </w:rPr>
        <w:t>Id.</w:t>
      </w:r>
      <w:r>
        <w:rPr>
          <w:sz w:val="20"/>
        </w:rPr>
        <w:t xml:space="preserve"> at 16.</w:t>
      </w:r>
    </w:p>
    <w:p w:rsidR="000B5724" w:rsidRPr="007512B4" w:rsidRDefault="000B5724" w:rsidP="00371CDF">
      <w:pPr>
        <w:rPr>
          <w:sz w:val="20"/>
        </w:rPr>
      </w:pPr>
      <w:r>
        <w:rPr>
          <w:sz w:val="20"/>
        </w:rPr>
        <w:t xml:space="preserve">  </w:t>
      </w:r>
    </w:p>
  </w:footnote>
  <w:footnote w:id="4">
    <w:p w:rsidR="000B5724" w:rsidRDefault="000B5724" w:rsidP="000B5724">
      <w:pPr>
        <w:rPr>
          <w:sz w:val="20"/>
        </w:rPr>
      </w:pPr>
      <w:r w:rsidRPr="007512B4">
        <w:rPr>
          <w:rStyle w:val="FootnoteReference"/>
          <w:sz w:val="20"/>
        </w:rPr>
        <w:footnoteRef/>
      </w:r>
      <w:r w:rsidRPr="007512B4">
        <w:rPr>
          <w:sz w:val="20"/>
        </w:rPr>
        <w:t xml:space="preserve"> </w:t>
      </w:r>
      <w:r>
        <w:rPr>
          <w:i/>
          <w:sz w:val="20"/>
        </w:rPr>
        <w:t>Id.</w:t>
      </w:r>
      <w:r>
        <w:rPr>
          <w:sz w:val="20"/>
        </w:rPr>
        <w:t xml:space="preserve"> at 10-13.</w:t>
      </w:r>
    </w:p>
    <w:p w:rsidR="000B5724" w:rsidRPr="007512B4" w:rsidRDefault="000B5724" w:rsidP="000B5724">
      <w:pPr>
        <w:rPr>
          <w:sz w:val="20"/>
        </w:rPr>
      </w:pPr>
      <w:r>
        <w:rPr>
          <w:sz w:val="20"/>
        </w:rPr>
        <w:t xml:space="preserve">  </w:t>
      </w:r>
    </w:p>
  </w:footnote>
  <w:footnote w:id="5">
    <w:p w:rsidR="000B5724" w:rsidRDefault="000B5724" w:rsidP="000B5724">
      <w:pPr>
        <w:rPr>
          <w:sz w:val="20"/>
        </w:rPr>
      </w:pPr>
      <w:r w:rsidRPr="007512B4">
        <w:rPr>
          <w:rStyle w:val="FootnoteReference"/>
          <w:sz w:val="20"/>
        </w:rPr>
        <w:footnoteRef/>
      </w:r>
      <w:r w:rsidRPr="007512B4">
        <w:rPr>
          <w:sz w:val="20"/>
        </w:rPr>
        <w:t xml:space="preserve"> </w:t>
      </w:r>
      <w:r>
        <w:rPr>
          <w:i/>
          <w:sz w:val="20"/>
        </w:rPr>
        <w:t>Id.</w:t>
      </w:r>
      <w:r>
        <w:rPr>
          <w:sz w:val="20"/>
        </w:rPr>
        <w:t xml:space="preserve"> at 11.</w:t>
      </w:r>
    </w:p>
    <w:p w:rsidR="000B5724" w:rsidRPr="007512B4" w:rsidRDefault="000B5724" w:rsidP="000B5724">
      <w:pPr>
        <w:rPr>
          <w:sz w:val="20"/>
        </w:rPr>
      </w:pPr>
      <w:r>
        <w:rPr>
          <w:sz w:val="20"/>
        </w:rPr>
        <w:t xml:space="preserve">  </w:t>
      </w:r>
    </w:p>
  </w:footnote>
  <w:footnote w:id="6">
    <w:p w:rsidR="008E0C62" w:rsidRDefault="008E0C62">
      <w:pPr>
        <w:pStyle w:val="FootnoteText"/>
      </w:pPr>
      <w:r>
        <w:rPr>
          <w:rStyle w:val="FootnoteReference"/>
        </w:rPr>
        <w:footnoteRef/>
      </w:r>
      <w:r>
        <w:t xml:space="preserve"> </w:t>
      </w:r>
      <w:r w:rsidR="00B120C8">
        <w:rPr>
          <w:i/>
          <w:sz w:val="20"/>
        </w:rPr>
        <w:t>Id.</w:t>
      </w:r>
      <w:r w:rsidR="00B120C8">
        <w:rPr>
          <w:sz w:val="20"/>
        </w:rPr>
        <w:t xml:space="preserve"> at 14-15.</w:t>
      </w:r>
    </w:p>
  </w:footnote>
  <w:footnote w:id="7">
    <w:p w:rsidR="000B5724" w:rsidRPr="007512B4" w:rsidRDefault="000B5724"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p w:rsidR="000B5724" w:rsidRPr="007512B4" w:rsidRDefault="000B5724"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B9" w:rsidRDefault="00525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B9" w:rsidRDefault="00525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24" w:rsidRDefault="000B572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3443234" wp14:editId="5A46D147">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9D76935" wp14:editId="07EBFCF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24" w:rsidRDefault="000B5724">
                          <w:pPr>
                            <w:rPr>
                              <w:rFonts w:ascii="Arial" w:hAnsi="Arial"/>
                              <w:b/>
                            </w:rPr>
                          </w:pPr>
                          <w:r>
                            <w:rPr>
                              <w:rFonts w:ascii="Arial" w:hAnsi="Arial"/>
                              <w:b/>
                            </w:rPr>
                            <w:t>Federal Communications Commission</w:t>
                          </w:r>
                        </w:p>
                        <w:p w:rsidR="000B5724" w:rsidRDefault="000B572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724" w:rsidRDefault="000B572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B5724" w:rsidRDefault="000B5724">
                    <w:pPr>
                      <w:rPr>
                        <w:rFonts w:ascii="Arial" w:hAnsi="Arial"/>
                        <w:b/>
                      </w:rPr>
                    </w:pPr>
                    <w:r>
                      <w:rPr>
                        <w:rFonts w:ascii="Arial" w:hAnsi="Arial"/>
                        <w:b/>
                      </w:rPr>
                      <w:t>Federal Communications Commission</w:t>
                    </w:r>
                  </w:p>
                  <w:p w:rsidR="000B5724" w:rsidRDefault="000B572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724" w:rsidRDefault="000B572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0B5724" w:rsidRDefault="000B572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24" w:rsidRDefault="000B5724">
                          <w:pPr>
                            <w:spacing w:before="40"/>
                            <w:jc w:val="right"/>
                            <w:rPr>
                              <w:rFonts w:ascii="Arial" w:hAnsi="Arial"/>
                              <w:b/>
                              <w:sz w:val="16"/>
                            </w:rPr>
                          </w:pPr>
                          <w:r>
                            <w:rPr>
                              <w:rFonts w:ascii="Arial" w:hAnsi="Arial"/>
                              <w:b/>
                              <w:sz w:val="16"/>
                            </w:rPr>
                            <w:t>News Media Information 202 / 418-0500</w:t>
                          </w:r>
                        </w:p>
                        <w:p w:rsidR="000B5724" w:rsidRDefault="000B572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B5724" w:rsidRDefault="000B5724">
                          <w:pPr>
                            <w:jc w:val="right"/>
                            <w:rPr>
                              <w:rFonts w:ascii="Arial" w:hAnsi="Arial"/>
                              <w:b/>
                              <w:sz w:val="16"/>
                            </w:rPr>
                          </w:pPr>
                          <w:r>
                            <w:rPr>
                              <w:rFonts w:ascii="Arial" w:hAnsi="Arial"/>
                              <w:b/>
                              <w:sz w:val="16"/>
                            </w:rPr>
                            <w:t>TTY: 1-888-835-5322</w:t>
                          </w:r>
                        </w:p>
                        <w:p w:rsidR="000B5724" w:rsidRDefault="000B572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B5724" w:rsidRDefault="000B5724">
                    <w:pPr>
                      <w:spacing w:before="40"/>
                      <w:jc w:val="right"/>
                      <w:rPr>
                        <w:rFonts w:ascii="Arial" w:hAnsi="Arial"/>
                        <w:b/>
                        <w:sz w:val="16"/>
                      </w:rPr>
                    </w:pPr>
                    <w:r>
                      <w:rPr>
                        <w:rFonts w:ascii="Arial" w:hAnsi="Arial"/>
                        <w:b/>
                        <w:sz w:val="16"/>
                      </w:rPr>
                      <w:t>News Media Information 202 / 418-0500</w:t>
                    </w:r>
                  </w:p>
                  <w:p w:rsidR="000B5724" w:rsidRDefault="000B572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B5724" w:rsidRDefault="000B5724">
                    <w:pPr>
                      <w:jc w:val="right"/>
                      <w:rPr>
                        <w:rFonts w:ascii="Arial" w:hAnsi="Arial"/>
                        <w:b/>
                        <w:sz w:val="16"/>
                      </w:rPr>
                    </w:pPr>
                    <w:r>
                      <w:rPr>
                        <w:rFonts w:ascii="Arial" w:hAnsi="Arial"/>
                        <w:b/>
                        <w:sz w:val="16"/>
                      </w:rPr>
                      <w:t>TTY: 1-888-835-5322</w:t>
                    </w:r>
                  </w:p>
                  <w:p w:rsidR="000B5724" w:rsidRDefault="000B5724">
                    <w:pPr>
                      <w:jc w:val="right"/>
                    </w:pPr>
                  </w:p>
                </w:txbxContent>
              </v:textbox>
            </v:shape>
          </w:pict>
        </mc:Fallback>
      </mc:AlternateContent>
    </w:r>
  </w:p>
  <w:p w:rsidR="000B5724" w:rsidRDefault="000B572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47B2D"/>
    <w:rsid w:val="000612AD"/>
    <w:rsid w:val="000678E7"/>
    <w:rsid w:val="00081CB7"/>
    <w:rsid w:val="0008643F"/>
    <w:rsid w:val="0009564A"/>
    <w:rsid w:val="000A6B51"/>
    <w:rsid w:val="000B553F"/>
    <w:rsid w:val="000B5724"/>
    <w:rsid w:val="000C1109"/>
    <w:rsid w:val="000C2B80"/>
    <w:rsid w:val="000D11B7"/>
    <w:rsid w:val="000D1C50"/>
    <w:rsid w:val="000D67D4"/>
    <w:rsid w:val="000D6DC2"/>
    <w:rsid w:val="000E2621"/>
    <w:rsid w:val="000E6EA9"/>
    <w:rsid w:val="000F69DF"/>
    <w:rsid w:val="0010035E"/>
    <w:rsid w:val="00113D6D"/>
    <w:rsid w:val="0014052B"/>
    <w:rsid w:val="00146E01"/>
    <w:rsid w:val="00147379"/>
    <w:rsid w:val="00151CBC"/>
    <w:rsid w:val="00170DCF"/>
    <w:rsid w:val="001777EC"/>
    <w:rsid w:val="00186FEF"/>
    <w:rsid w:val="001919F2"/>
    <w:rsid w:val="001A1944"/>
    <w:rsid w:val="001B21B4"/>
    <w:rsid w:val="001B4F07"/>
    <w:rsid w:val="001D2450"/>
    <w:rsid w:val="001E2AAC"/>
    <w:rsid w:val="001E68FC"/>
    <w:rsid w:val="002003A4"/>
    <w:rsid w:val="0021402F"/>
    <w:rsid w:val="0022541B"/>
    <w:rsid w:val="00257984"/>
    <w:rsid w:val="002A23B4"/>
    <w:rsid w:val="002A58ED"/>
    <w:rsid w:val="002C2706"/>
    <w:rsid w:val="002C7AF9"/>
    <w:rsid w:val="002E4455"/>
    <w:rsid w:val="003024F2"/>
    <w:rsid w:val="003128CC"/>
    <w:rsid w:val="00313725"/>
    <w:rsid w:val="00344B57"/>
    <w:rsid w:val="00355318"/>
    <w:rsid w:val="0036187D"/>
    <w:rsid w:val="00362249"/>
    <w:rsid w:val="003676CF"/>
    <w:rsid w:val="00370DD3"/>
    <w:rsid w:val="0037104A"/>
    <w:rsid w:val="00371CDF"/>
    <w:rsid w:val="003967FF"/>
    <w:rsid w:val="00396E93"/>
    <w:rsid w:val="003A53A9"/>
    <w:rsid w:val="003C6359"/>
    <w:rsid w:val="003D0EBD"/>
    <w:rsid w:val="003D49B7"/>
    <w:rsid w:val="003E33B6"/>
    <w:rsid w:val="003E6767"/>
    <w:rsid w:val="003F0FC7"/>
    <w:rsid w:val="003F1F2A"/>
    <w:rsid w:val="003F3F7F"/>
    <w:rsid w:val="003F485F"/>
    <w:rsid w:val="00402B54"/>
    <w:rsid w:val="00404AC2"/>
    <w:rsid w:val="00412C1E"/>
    <w:rsid w:val="00416781"/>
    <w:rsid w:val="00435B46"/>
    <w:rsid w:val="00453BEF"/>
    <w:rsid w:val="0047489A"/>
    <w:rsid w:val="00490546"/>
    <w:rsid w:val="004A244B"/>
    <w:rsid w:val="004C0446"/>
    <w:rsid w:val="004C7702"/>
    <w:rsid w:val="004D6553"/>
    <w:rsid w:val="004F4500"/>
    <w:rsid w:val="005259B9"/>
    <w:rsid w:val="0052637A"/>
    <w:rsid w:val="00534B96"/>
    <w:rsid w:val="00537AE6"/>
    <w:rsid w:val="00574782"/>
    <w:rsid w:val="005A066E"/>
    <w:rsid w:val="005D3BDE"/>
    <w:rsid w:val="005D5554"/>
    <w:rsid w:val="00603053"/>
    <w:rsid w:val="00621993"/>
    <w:rsid w:val="006356C8"/>
    <w:rsid w:val="00635CA0"/>
    <w:rsid w:val="00660991"/>
    <w:rsid w:val="00661A3A"/>
    <w:rsid w:val="00662464"/>
    <w:rsid w:val="006673EC"/>
    <w:rsid w:val="006677EF"/>
    <w:rsid w:val="006823CB"/>
    <w:rsid w:val="00686ACE"/>
    <w:rsid w:val="006878EA"/>
    <w:rsid w:val="006A39DF"/>
    <w:rsid w:val="006A60D9"/>
    <w:rsid w:val="006D0730"/>
    <w:rsid w:val="006D1548"/>
    <w:rsid w:val="006D311F"/>
    <w:rsid w:val="006E5CC9"/>
    <w:rsid w:val="00706CE9"/>
    <w:rsid w:val="007102BF"/>
    <w:rsid w:val="00712EA8"/>
    <w:rsid w:val="00722394"/>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70A4C"/>
    <w:rsid w:val="00783A5B"/>
    <w:rsid w:val="0079324D"/>
    <w:rsid w:val="007A4453"/>
    <w:rsid w:val="007C4136"/>
    <w:rsid w:val="007C584A"/>
    <w:rsid w:val="007D7565"/>
    <w:rsid w:val="007E6789"/>
    <w:rsid w:val="007F0447"/>
    <w:rsid w:val="007F6B74"/>
    <w:rsid w:val="008004B4"/>
    <w:rsid w:val="00801FF6"/>
    <w:rsid w:val="00806515"/>
    <w:rsid w:val="008069C5"/>
    <w:rsid w:val="00816870"/>
    <w:rsid w:val="0083504F"/>
    <w:rsid w:val="0086125D"/>
    <w:rsid w:val="008664FF"/>
    <w:rsid w:val="008675B7"/>
    <w:rsid w:val="00876BD6"/>
    <w:rsid w:val="00877275"/>
    <w:rsid w:val="008A1C4C"/>
    <w:rsid w:val="008A6371"/>
    <w:rsid w:val="008B1B7E"/>
    <w:rsid w:val="008D2EA2"/>
    <w:rsid w:val="008D3C08"/>
    <w:rsid w:val="008E0C62"/>
    <w:rsid w:val="008E2BE7"/>
    <w:rsid w:val="009043F0"/>
    <w:rsid w:val="00923ECA"/>
    <w:rsid w:val="00936927"/>
    <w:rsid w:val="009514F9"/>
    <w:rsid w:val="009541CA"/>
    <w:rsid w:val="00957E98"/>
    <w:rsid w:val="00976015"/>
    <w:rsid w:val="009828F2"/>
    <w:rsid w:val="0098321C"/>
    <w:rsid w:val="00997FAC"/>
    <w:rsid w:val="009A12B9"/>
    <w:rsid w:val="009A12C1"/>
    <w:rsid w:val="009A7D1A"/>
    <w:rsid w:val="009B6268"/>
    <w:rsid w:val="009C5DC2"/>
    <w:rsid w:val="009D0247"/>
    <w:rsid w:val="009D2644"/>
    <w:rsid w:val="009D46E5"/>
    <w:rsid w:val="009E10CA"/>
    <w:rsid w:val="009E75CD"/>
    <w:rsid w:val="00A06A71"/>
    <w:rsid w:val="00A10405"/>
    <w:rsid w:val="00A10E54"/>
    <w:rsid w:val="00A21224"/>
    <w:rsid w:val="00A23B89"/>
    <w:rsid w:val="00A2503C"/>
    <w:rsid w:val="00A27D3A"/>
    <w:rsid w:val="00A57079"/>
    <w:rsid w:val="00A66417"/>
    <w:rsid w:val="00A766DF"/>
    <w:rsid w:val="00A76D5D"/>
    <w:rsid w:val="00A8436D"/>
    <w:rsid w:val="00A90C1C"/>
    <w:rsid w:val="00AA2085"/>
    <w:rsid w:val="00AC0A1F"/>
    <w:rsid w:val="00AC1A23"/>
    <w:rsid w:val="00AD561B"/>
    <w:rsid w:val="00AE3546"/>
    <w:rsid w:val="00AE6525"/>
    <w:rsid w:val="00AF7C67"/>
    <w:rsid w:val="00B00109"/>
    <w:rsid w:val="00B120C8"/>
    <w:rsid w:val="00B1228D"/>
    <w:rsid w:val="00B166C3"/>
    <w:rsid w:val="00B24DCB"/>
    <w:rsid w:val="00B25A6F"/>
    <w:rsid w:val="00B261AB"/>
    <w:rsid w:val="00B26A17"/>
    <w:rsid w:val="00B312B2"/>
    <w:rsid w:val="00B343DF"/>
    <w:rsid w:val="00B41279"/>
    <w:rsid w:val="00B45287"/>
    <w:rsid w:val="00B4731C"/>
    <w:rsid w:val="00B825BB"/>
    <w:rsid w:val="00B878D9"/>
    <w:rsid w:val="00BB0019"/>
    <w:rsid w:val="00BB6ABA"/>
    <w:rsid w:val="00BC1AE9"/>
    <w:rsid w:val="00BC46CF"/>
    <w:rsid w:val="00BC491A"/>
    <w:rsid w:val="00BC51CD"/>
    <w:rsid w:val="00BD3440"/>
    <w:rsid w:val="00BE17FF"/>
    <w:rsid w:val="00C05BE0"/>
    <w:rsid w:val="00C06CA3"/>
    <w:rsid w:val="00C2369C"/>
    <w:rsid w:val="00C26803"/>
    <w:rsid w:val="00C45D0F"/>
    <w:rsid w:val="00C67DFC"/>
    <w:rsid w:val="00C912BD"/>
    <w:rsid w:val="00C92C66"/>
    <w:rsid w:val="00C937A3"/>
    <w:rsid w:val="00CA565D"/>
    <w:rsid w:val="00CC13CC"/>
    <w:rsid w:val="00CC25D9"/>
    <w:rsid w:val="00CC4395"/>
    <w:rsid w:val="00CC5FD0"/>
    <w:rsid w:val="00CD29B5"/>
    <w:rsid w:val="00CD76A8"/>
    <w:rsid w:val="00CE4649"/>
    <w:rsid w:val="00D04267"/>
    <w:rsid w:val="00D04F67"/>
    <w:rsid w:val="00D25A87"/>
    <w:rsid w:val="00D33F24"/>
    <w:rsid w:val="00D36507"/>
    <w:rsid w:val="00D46F6F"/>
    <w:rsid w:val="00D474D2"/>
    <w:rsid w:val="00D62969"/>
    <w:rsid w:val="00D6348F"/>
    <w:rsid w:val="00D80777"/>
    <w:rsid w:val="00DA3FCE"/>
    <w:rsid w:val="00DB28AF"/>
    <w:rsid w:val="00DB63FC"/>
    <w:rsid w:val="00DD44B0"/>
    <w:rsid w:val="00DD6AC4"/>
    <w:rsid w:val="00E00C20"/>
    <w:rsid w:val="00E0155A"/>
    <w:rsid w:val="00E0730A"/>
    <w:rsid w:val="00E177BB"/>
    <w:rsid w:val="00E347E1"/>
    <w:rsid w:val="00E34D55"/>
    <w:rsid w:val="00E41CC7"/>
    <w:rsid w:val="00E63CBF"/>
    <w:rsid w:val="00E86467"/>
    <w:rsid w:val="00E8781B"/>
    <w:rsid w:val="00E92B7B"/>
    <w:rsid w:val="00E92F55"/>
    <w:rsid w:val="00EB686B"/>
    <w:rsid w:val="00EB706B"/>
    <w:rsid w:val="00ED7B1B"/>
    <w:rsid w:val="00EE07EE"/>
    <w:rsid w:val="00EF2D44"/>
    <w:rsid w:val="00EF45EA"/>
    <w:rsid w:val="00F015E1"/>
    <w:rsid w:val="00F30BC0"/>
    <w:rsid w:val="00F41D5F"/>
    <w:rsid w:val="00F46528"/>
    <w:rsid w:val="00F50E6F"/>
    <w:rsid w:val="00F551BD"/>
    <w:rsid w:val="00F62FFB"/>
    <w:rsid w:val="00F716C5"/>
    <w:rsid w:val="00F7186E"/>
    <w:rsid w:val="00F76B2A"/>
    <w:rsid w:val="00FA38C5"/>
    <w:rsid w:val="00FB57E8"/>
    <w:rsid w:val="00FB5FDD"/>
    <w:rsid w:val="00FB7328"/>
    <w:rsid w:val="00FC02B3"/>
    <w:rsid w:val="00FC1E8F"/>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paragraph" w:styleId="Revision">
    <w:name w:val="Revision"/>
    <w:hidden/>
    <w:uiPriority w:val="99"/>
    <w:semiHidden/>
    <w:rsid w:val="00E00C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paragraph" w:styleId="Revision">
    <w:name w:val="Revision"/>
    <w:hidden/>
    <w:uiPriority w:val="99"/>
    <w:semiHidden/>
    <w:rsid w:val="00E00C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sh.Zeldi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2</Pages>
  <Words>859</Words>
  <Characters>4957</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5840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2015-01-29T16:28:00Z</cp:lastPrinted>
  <dcterms:created xsi:type="dcterms:W3CDTF">2015-02-12T19:06:00Z</dcterms:created>
  <dcterms:modified xsi:type="dcterms:W3CDTF">2015-02-12T19:06:00Z</dcterms:modified>
  <cp:category> </cp:category>
  <cp:contentStatus> </cp:contentStatus>
</cp:coreProperties>
</file>