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6" w:rsidRDefault="00F34D54">
      <w:pPr>
        <w:suppressAutoHyphens/>
        <w:outlineLvl w:val="0"/>
      </w:pPr>
      <w:bookmarkStart w:id="0" w:name="_GoBack"/>
      <w:bookmarkEnd w:id="0"/>
      <w:r>
        <w:rPr>
          <w:noProof/>
        </w:rPr>
        <w:drawing>
          <wp:anchor distT="155575" distB="155575" distL="155575" distR="155575" simplePos="0" relativeHeight="251658240" behindDoc="0" locked="0" layoutInCell="1" allowOverlap="1">
            <wp:simplePos x="0" y="0"/>
            <wp:positionH relativeFrom="page">
              <wp:posOffset>251460</wp:posOffset>
            </wp:positionH>
            <wp:positionV relativeFrom="page">
              <wp:posOffset>802640</wp:posOffset>
            </wp:positionV>
            <wp:extent cx="60007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96">
        <w:rPr>
          <w:b/>
          <w:sz w:val="96"/>
        </w:rPr>
        <w:t>PUBLIC NOTICE</w:t>
      </w:r>
    </w:p>
    <w:p w:rsidR="00FF5F96" w:rsidRDefault="00F34D5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-5715</wp:posOffset>
                </wp:positionV>
                <wp:extent cx="219456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96" w:rsidRDefault="00FF5F96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  <w:t>News Media Information 202 / 418-0500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 xml:space="preserve">Internet: </w:t>
                            </w:r>
                            <w:bookmarkStart w:id="1" w:name="_Hlt233824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ttp://www.fcc.gov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TTY: 1-888-835-5322</w:t>
                            </w:r>
                          </w:p>
                          <w:p w:rsidR="00FF5F96" w:rsidRDefault="00FF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-.45pt;width:172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oP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" o:allowincell="f" filled="f" stroked="f">
                <v:textbox>
                  <w:txbxContent>
                    <w:p w:rsidR="00FF5F96" w:rsidRDefault="00FF5F96">
                      <w:pPr>
                        <w:spacing w:before="40"/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  <w:t>News Media Information 202 / 418-0500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Internet: </w:t>
                      </w:r>
                      <w:bookmarkStart w:id="1" w:name="_Hlt233824"/>
                      <w:r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Fonts w:ascii="Arial" w:hAnsi="Arial"/>
                          <w:b/>
                          <w:sz w:val="16"/>
                        </w:rPr>
                        <w:t>ttp://www.fcc.gov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TTY: 1-888-835-5322</w:t>
                      </w:r>
                    </w:p>
                    <w:p w:rsidR="00FF5F96" w:rsidRDefault="00FF5F96"/>
                  </w:txbxContent>
                </v:textbox>
              </v:shape>
            </w:pict>
          </mc:Fallback>
        </mc:AlternateContent>
      </w:r>
    </w:p>
    <w:p w:rsidR="00FF5F96" w:rsidRDefault="00FF5F96">
      <w:pPr>
        <w:suppressAutoHyphens/>
        <w:outlineLvl w:val="0"/>
        <w:rPr>
          <w:b/>
        </w:rPr>
      </w:pPr>
      <w:r>
        <w:rPr>
          <w:b/>
        </w:rPr>
        <w:t>Federal Communications Commission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</w:rPr>
      </w:pPr>
      <w:r>
        <w:rPr>
          <w:b/>
        </w:rPr>
        <w:t>445 12th St., S.W.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outlineLvl w:val="0"/>
      </w:pPr>
      <w:r>
        <w:rPr>
          <w:b/>
        </w:rPr>
        <w:t>Washington, D.C. 20554</w:t>
      </w:r>
    </w:p>
    <w:p w:rsidR="00FF5F96" w:rsidRDefault="00FF5F9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FF5F96" w:rsidRDefault="00FF5F96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 1</w:t>
      </w:r>
      <w:r w:rsidR="003F3BC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-</w:t>
      </w:r>
      <w:r w:rsidR="00E83425">
        <w:rPr>
          <w:color w:val="000000"/>
          <w:sz w:val="22"/>
          <w:szCs w:val="22"/>
        </w:rPr>
        <w:t>211</w:t>
      </w:r>
    </w:p>
    <w:p w:rsidR="00FF5F96" w:rsidRDefault="003F3BC3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February</w:t>
      </w:r>
      <w:r w:rsidR="00FF5F96">
        <w:rPr>
          <w:color w:val="000000"/>
          <w:sz w:val="22"/>
          <w:szCs w:val="22"/>
        </w:rPr>
        <w:t xml:space="preserve"> </w:t>
      </w:r>
      <w:r w:rsidR="00E119B9">
        <w:rPr>
          <w:color w:val="000000"/>
          <w:sz w:val="22"/>
          <w:szCs w:val="22"/>
        </w:rPr>
        <w:t>13</w:t>
      </w:r>
      <w:r w:rsidR="00FF5F96">
        <w:rPr>
          <w:color w:val="000000"/>
          <w:sz w:val="22"/>
          <w:szCs w:val="22"/>
        </w:rPr>
        <w:t>, 201</w:t>
      </w:r>
      <w:r>
        <w:rPr>
          <w:color w:val="000000"/>
          <w:sz w:val="22"/>
          <w:szCs w:val="22"/>
        </w:rPr>
        <w:t>5</w:t>
      </w:r>
    </w:p>
    <w:p w:rsidR="00FF5F96" w:rsidRDefault="00FF5F96">
      <w:pPr>
        <w:jc w:val="right"/>
        <w:outlineLvl w:val="0"/>
        <w:rPr>
          <w:color w:val="000000"/>
          <w:sz w:val="22"/>
          <w:szCs w:val="22"/>
        </w:rPr>
      </w:pPr>
    </w:p>
    <w:p w:rsidR="003F3BC3" w:rsidRDefault="0089457B">
      <w:pPr>
        <w:pStyle w:val="BodyText"/>
        <w:jc w:val="center"/>
        <w:rPr>
          <w:b/>
          <w:szCs w:val="22"/>
        </w:rPr>
      </w:pPr>
      <w:bookmarkStart w:id="2" w:name="OLE_LINK1"/>
      <w:bookmarkStart w:id="3" w:name="OLE_LINK2"/>
      <w:r>
        <w:rPr>
          <w:b/>
          <w:szCs w:val="22"/>
        </w:rPr>
        <w:t xml:space="preserve">INTERNATIONAL BUREAU </w:t>
      </w:r>
      <w:r w:rsidR="0058028E">
        <w:rPr>
          <w:b/>
          <w:szCs w:val="22"/>
        </w:rPr>
        <w:t>ANNOUNCES</w:t>
      </w:r>
      <w:r w:rsidR="00F34D54">
        <w:rPr>
          <w:b/>
          <w:szCs w:val="22"/>
        </w:rPr>
        <w:t xml:space="preserve"> </w:t>
      </w:r>
      <w:r w:rsidR="007B2EED">
        <w:rPr>
          <w:b/>
          <w:szCs w:val="22"/>
        </w:rPr>
        <w:t>THAT</w:t>
      </w:r>
      <w:r w:rsidR="00F34D54">
        <w:rPr>
          <w:b/>
          <w:szCs w:val="22"/>
        </w:rPr>
        <w:t xml:space="preserve"> </w:t>
      </w:r>
      <w:r w:rsidR="003F3BC3">
        <w:rPr>
          <w:b/>
          <w:szCs w:val="22"/>
        </w:rPr>
        <w:t xml:space="preserve">SECTION 43.62 </w:t>
      </w:r>
      <w:r w:rsidR="00FF5F96">
        <w:rPr>
          <w:b/>
          <w:szCs w:val="22"/>
        </w:rPr>
        <w:t xml:space="preserve">INTERNATIONAL </w:t>
      </w:r>
      <w:r w:rsidR="003F3BC3">
        <w:rPr>
          <w:b/>
          <w:szCs w:val="22"/>
        </w:rPr>
        <w:t>R</w:t>
      </w:r>
      <w:r w:rsidR="005962FD">
        <w:rPr>
          <w:b/>
          <w:szCs w:val="22"/>
        </w:rPr>
        <w:t>EP</w:t>
      </w:r>
      <w:r w:rsidR="00F34D54">
        <w:rPr>
          <w:b/>
          <w:szCs w:val="22"/>
        </w:rPr>
        <w:t xml:space="preserve">ORTING REQUIREMENTS </w:t>
      </w:r>
      <w:r w:rsidR="0058028E">
        <w:rPr>
          <w:b/>
          <w:szCs w:val="22"/>
        </w:rPr>
        <w:t>ARE</w:t>
      </w:r>
      <w:r w:rsidR="00F34D54">
        <w:rPr>
          <w:b/>
          <w:szCs w:val="22"/>
        </w:rPr>
        <w:t xml:space="preserve"> EFFECT</w:t>
      </w:r>
      <w:r w:rsidR="0058028E">
        <w:rPr>
          <w:b/>
          <w:szCs w:val="22"/>
        </w:rPr>
        <w:t>IVE AS OF FEBRUARY 11, 2015</w:t>
      </w:r>
    </w:p>
    <w:p w:rsidR="003F3BC3" w:rsidRDefault="003F3BC3">
      <w:pPr>
        <w:pStyle w:val="BodyText"/>
        <w:jc w:val="center"/>
        <w:rPr>
          <w:b/>
          <w:szCs w:val="22"/>
        </w:rPr>
      </w:pPr>
    </w:p>
    <w:p w:rsidR="00FF5F96" w:rsidRDefault="00FF5F9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IB Docket No. 04-112</w:t>
      </w:r>
    </w:p>
    <w:bookmarkEnd w:id="2"/>
    <w:bookmarkEnd w:id="3"/>
    <w:p w:rsidR="00FF5F96" w:rsidRDefault="00FF5F96">
      <w:pPr>
        <w:keepNext/>
        <w:rPr>
          <w:sz w:val="22"/>
          <w:szCs w:val="22"/>
        </w:rPr>
      </w:pPr>
    </w:p>
    <w:p w:rsidR="007B2EED" w:rsidRDefault="00FF5F9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 2013, the Commission released the </w:t>
      </w:r>
      <w:r>
        <w:rPr>
          <w:i/>
          <w:sz w:val="22"/>
          <w:szCs w:val="22"/>
        </w:rPr>
        <w:t>Second Report and Order</w:t>
      </w:r>
      <w:r>
        <w:rPr>
          <w:sz w:val="22"/>
          <w:szCs w:val="22"/>
        </w:rPr>
        <w:t xml:space="preserve"> in this proceeding, revising the annual reporting requirements for </w:t>
      </w:r>
      <w:r w:rsidR="000F76E5">
        <w:rPr>
          <w:sz w:val="22"/>
          <w:szCs w:val="22"/>
        </w:rPr>
        <w:t xml:space="preserve">U.S. providers of international </w:t>
      </w:r>
      <w:r>
        <w:rPr>
          <w:sz w:val="22"/>
          <w:szCs w:val="22"/>
        </w:rPr>
        <w:t>service</w:t>
      </w:r>
      <w:r w:rsidR="000F76E5">
        <w:rPr>
          <w:sz w:val="22"/>
          <w:szCs w:val="22"/>
        </w:rPr>
        <w:t>s and circuit</w:t>
      </w:r>
      <w:r>
        <w:rPr>
          <w:sz w:val="22"/>
          <w:szCs w:val="22"/>
        </w:rPr>
        <w:t>s.</w:t>
      </w:r>
      <w:r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 </w:t>
      </w:r>
      <w:r w:rsidR="003F3BC3">
        <w:rPr>
          <w:sz w:val="22"/>
          <w:szCs w:val="22"/>
        </w:rPr>
        <w:t xml:space="preserve">On February 11, 2015, the rule changes adopted in the </w:t>
      </w:r>
      <w:r w:rsidR="003F3BC3">
        <w:rPr>
          <w:i/>
          <w:sz w:val="22"/>
          <w:szCs w:val="22"/>
        </w:rPr>
        <w:t>Second Report and Order</w:t>
      </w:r>
      <w:r w:rsidR="003F3BC3">
        <w:rPr>
          <w:sz w:val="22"/>
          <w:szCs w:val="22"/>
        </w:rPr>
        <w:t xml:space="preserve"> went into effect.</w:t>
      </w:r>
      <w:r w:rsidR="003F3BC3">
        <w:rPr>
          <w:rStyle w:val="FootnoteReference"/>
          <w:sz w:val="22"/>
          <w:szCs w:val="22"/>
        </w:rPr>
        <w:footnoteReference w:id="2"/>
      </w:r>
      <w:r w:rsidR="00FE57FA">
        <w:rPr>
          <w:sz w:val="22"/>
          <w:szCs w:val="22"/>
        </w:rPr>
        <w:t xml:space="preserve">  </w:t>
      </w:r>
    </w:p>
    <w:p w:rsidR="007B2EED" w:rsidRDefault="007B2EED">
      <w:pPr>
        <w:ind w:firstLine="720"/>
        <w:rPr>
          <w:sz w:val="22"/>
          <w:szCs w:val="22"/>
        </w:rPr>
      </w:pPr>
    </w:p>
    <w:p w:rsidR="00EB7EE1" w:rsidRDefault="00FE57FA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International service providers and circuit capacity holders shall </w:t>
      </w:r>
      <w:r w:rsidR="00EB7EE1">
        <w:rPr>
          <w:sz w:val="22"/>
          <w:szCs w:val="22"/>
        </w:rPr>
        <w:t xml:space="preserve">now </w:t>
      </w:r>
      <w:r>
        <w:rPr>
          <w:sz w:val="22"/>
          <w:szCs w:val="22"/>
        </w:rPr>
        <w:t>file the</w:t>
      </w:r>
      <w:r w:rsidR="00EB7EE1">
        <w:rPr>
          <w:sz w:val="22"/>
          <w:szCs w:val="22"/>
        </w:rPr>
        <w:t xml:space="preserve"> annual international traffic and revenue reports and circuit capacity reports pursuant to the requirements of section 43.62.</w:t>
      </w:r>
      <w:r w:rsidR="00EB7EE1">
        <w:rPr>
          <w:rStyle w:val="FootnoteReference"/>
          <w:sz w:val="22"/>
          <w:szCs w:val="22"/>
        </w:rPr>
        <w:footnoteReference w:id="3"/>
      </w:r>
      <w:r w:rsidR="007B2EED">
        <w:rPr>
          <w:sz w:val="22"/>
          <w:szCs w:val="22"/>
        </w:rPr>
        <w:t xml:space="preserve">  The </w:t>
      </w:r>
      <w:r w:rsidR="007B2EED">
        <w:rPr>
          <w:i/>
          <w:sz w:val="22"/>
          <w:szCs w:val="22"/>
        </w:rPr>
        <w:t>Second Report and Order</w:t>
      </w:r>
      <w:r w:rsidR="007B2EED">
        <w:rPr>
          <w:sz w:val="22"/>
          <w:szCs w:val="22"/>
        </w:rPr>
        <w:t xml:space="preserve"> delegated authority to the International Bureau to publish a filing manual with instructions and reporting requirements for the filing of the annual traffic and revenue and circuit capacity reports.</w:t>
      </w:r>
      <w:r w:rsidR="007B2EED">
        <w:rPr>
          <w:rStyle w:val="FootnoteReference"/>
          <w:sz w:val="22"/>
          <w:szCs w:val="22"/>
        </w:rPr>
        <w:footnoteReference w:id="4"/>
      </w:r>
      <w:r w:rsidR="007B2EED">
        <w:rPr>
          <w:sz w:val="22"/>
          <w:szCs w:val="22"/>
        </w:rPr>
        <w:t xml:space="preserve">  We are separately releasing the Filing Manual,</w:t>
      </w:r>
      <w:r w:rsidR="007B2EED">
        <w:rPr>
          <w:rStyle w:val="FootnoteReference"/>
          <w:sz w:val="22"/>
          <w:szCs w:val="22"/>
        </w:rPr>
        <w:footnoteReference w:id="5"/>
      </w:r>
      <w:r w:rsidR="007B2EED">
        <w:rPr>
          <w:sz w:val="22"/>
          <w:szCs w:val="22"/>
        </w:rPr>
        <w:t xml:space="preserve"> which provides directions including data specifications for completing the traffic and revenue report and the </w:t>
      </w:r>
      <w:r w:rsidR="007B2EED">
        <w:rPr>
          <w:color w:val="000000"/>
          <w:spacing w:val="-3"/>
          <w:sz w:val="22"/>
          <w:szCs w:val="22"/>
        </w:rPr>
        <w:t xml:space="preserve">circuit capacity report.  </w:t>
      </w:r>
      <w:r w:rsidR="0058028E">
        <w:rPr>
          <w:color w:val="000000"/>
          <w:spacing w:val="-3"/>
          <w:sz w:val="22"/>
          <w:szCs w:val="22"/>
        </w:rPr>
        <w:t>T</w:t>
      </w:r>
      <w:r w:rsidR="0058028E" w:rsidRPr="0058028E">
        <w:rPr>
          <w:color w:val="000000"/>
          <w:spacing w:val="-3"/>
          <w:sz w:val="22"/>
          <w:szCs w:val="22"/>
        </w:rPr>
        <w:t>he Filing Manual</w:t>
      </w:r>
      <w:r w:rsidR="007B2EED">
        <w:rPr>
          <w:sz w:val="22"/>
          <w:szCs w:val="22"/>
        </w:rPr>
        <w:t xml:space="preserve"> sets forth instructions on how to file the reports, including who must file, which of the reports to file, the information that each report must contain, and the filing procedures.</w:t>
      </w:r>
    </w:p>
    <w:p w:rsidR="007B2EED" w:rsidRDefault="007B2EED" w:rsidP="00112E24">
      <w:pPr>
        <w:ind w:firstLine="720"/>
        <w:rPr>
          <w:sz w:val="22"/>
          <w:szCs w:val="22"/>
        </w:rPr>
      </w:pPr>
    </w:p>
    <w:p w:rsidR="00112E24" w:rsidRDefault="008F5013" w:rsidP="00112E24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Commission is </w:t>
      </w:r>
      <w:r w:rsidR="000F76E5">
        <w:rPr>
          <w:sz w:val="22"/>
          <w:szCs w:val="22"/>
        </w:rPr>
        <w:t>developing a</w:t>
      </w:r>
      <w:r w:rsidR="007B2EED">
        <w:rPr>
          <w:sz w:val="22"/>
          <w:szCs w:val="22"/>
        </w:rPr>
        <w:t xml:space="preserve"> new</w:t>
      </w:r>
      <w:r w:rsidR="000F76E5">
        <w:rPr>
          <w:sz w:val="22"/>
          <w:szCs w:val="22"/>
        </w:rPr>
        <w:t xml:space="preserve"> </w:t>
      </w:r>
      <w:r w:rsidR="001F0DFF">
        <w:rPr>
          <w:sz w:val="22"/>
          <w:szCs w:val="22"/>
        </w:rPr>
        <w:t>electronic</w:t>
      </w:r>
      <w:r w:rsidR="000F76E5">
        <w:rPr>
          <w:sz w:val="22"/>
          <w:szCs w:val="22"/>
        </w:rPr>
        <w:t xml:space="preserve"> filing system </w:t>
      </w:r>
      <w:r w:rsidR="001F0DFF">
        <w:rPr>
          <w:sz w:val="22"/>
          <w:szCs w:val="22"/>
        </w:rPr>
        <w:t xml:space="preserve">(Part 43 online filing system) </w:t>
      </w:r>
      <w:r w:rsidR="000F76E5">
        <w:rPr>
          <w:sz w:val="22"/>
          <w:szCs w:val="22"/>
        </w:rPr>
        <w:t xml:space="preserve">for the annual reports </w:t>
      </w:r>
      <w:r w:rsidR="001F0DFF">
        <w:rPr>
          <w:sz w:val="22"/>
          <w:szCs w:val="22"/>
        </w:rPr>
        <w:t>pursuant to</w:t>
      </w:r>
      <w:r w:rsidR="007B2EED">
        <w:rPr>
          <w:sz w:val="22"/>
          <w:szCs w:val="22"/>
        </w:rPr>
        <w:t xml:space="preserve"> section 43.62.  The </w:t>
      </w:r>
      <w:r w:rsidR="001F0DFF">
        <w:rPr>
          <w:sz w:val="22"/>
          <w:szCs w:val="22"/>
        </w:rPr>
        <w:t>Part 43 online</w:t>
      </w:r>
      <w:r w:rsidR="000F76E5">
        <w:rPr>
          <w:sz w:val="22"/>
          <w:szCs w:val="22"/>
        </w:rPr>
        <w:t xml:space="preserve"> filing system is not </w:t>
      </w:r>
      <w:r w:rsidR="007B2EED">
        <w:rPr>
          <w:sz w:val="22"/>
          <w:szCs w:val="22"/>
        </w:rPr>
        <w:t>yet open</w:t>
      </w:r>
      <w:r w:rsidR="000E3FB8">
        <w:rPr>
          <w:sz w:val="22"/>
          <w:szCs w:val="22"/>
        </w:rPr>
        <w:t xml:space="preserve"> to accept the circuit capacity reports.  </w:t>
      </w:r>
      <w:r w:rsidR="00112E24">
        <w:rPr>
          <w:sz w:val="22"/>
          <w:szCs w:val="22"/>
        </w:rPr>
        <w:t>We will release</w:t>
      </w:r>
      <w:r w:rsidR="00BA6D7A">
        <w:rPr>
          <w:sz w:val="22"/>
          <w:szCs w:val="22"/>
        </w:rPr>
        <w:t xml:space="preserve"> a</w:t>
      </w:r>
      <w:r w:rsidR="00112E24">
        <w:rPr>
          <w:sz w:val="22"/>
          <w:szCs w:val="22"/>
        </w:rPr>
        <w:t xml:space="preserve"> </w:t>
      </w:r>
      <w:r w:rsidR="007B2EED">
        <w:rPr>
          <w:sz w:val="22"/>
          <w:szCs w:val="22"/>
        </w:rPr>
        <w:t xml:space="preserve">separate </w:t>
      </w:r>
      <w:r w:rsidR="00112E24">
        <w:rPr>
          <w:sz w:val="22"/>
          <w:szCs w:val="22"/>
        </w:rPr>
        <w:t xml:space="preserve">public notice announcing </w:t>
      </w:r>
      <w:r>
        <w:rPr>
          <w:sz w:val="22"/>
          <w:szCs w:val="22"/>
        </w:rPr>
        <w:t>the filing date for the annual circuit capacity</w:t>
      </w:r>
      <w:r w:rsidR="000F76E5">
        <w:rPr>
          <w:sz w:val="22"/>
          <w:szCs w:val="22"/>
        </w:rPr>
        <w:t xml:space="preserve"> </w:t>
      </w:r>
      <w:r w:rsidR="00CA7E5B">
        <w:rPr>
          <w:sz w:val="22"/>
          <w:szCs w:val="22"/>
        </w:rPr>
        <w:t xml:space="preserve">reports </w:t>
      </w:r>
      <w:r w:rsidR="000F76E5">
        <w:rPr>
          <w:sz w:val="22"/>
          <w:szCs w:val="22"/>
        </w:rPr>
        <w:t xml:space="preserve">and </w:t>
      </w:r>
      <w:r w:rsidR="00907B37">
        <w:rPr>
          <w:sz w:val="22"/>
          <w:szCs w:val="22"/>
        </w:rPr>
        <w:t>h</w:t>
      </w:r>
      <w:r w:rsidR="00112E24">
        <w:rPr>
          <w:sz w:val="22"/>
          <w:szCs w:val="22"/>
        </w:rPr>
        <w:t xml:space="preserve">ow to </w:t>
      </w:r>
      <w:r w:rsidR="00CA2511">
        <w:rPr>
          <w:sz w:val="22"/>
          <w:szCs w:val="22"/>
        </w:rPr>
        <w:t>file the data electronically</w:t>
      </w:r>
      <w:r w:rsidR="001F0DFF">
        <w:rPr>
          <w:sz w:val="22"/>
          <w:szCs w:val="22"/>
        </w:rPr>
        <w:t xml:space="preserve"> using the Part 43 online filing system</w:t>
      </w:r>
      <w:r w:rsidR="00CA2511">
        <w:rPr>
          <w:sz w:val="22"/>
          <w:szCs w:val="22"/>
        </w:rPr>
        <w:t>.</w:t>
      </w:r>
    </w:p>
    <w:p w:rsidR="00FF5F96" w:rsidRDefault="00FF5F96">
      <w:pPr>
        <w:rPr>
          <w:sz w:val="22"/>
          <w:szCs w:val="22"/>
        </w:rPr>
      </w:pPr>
    </w:p>
    <w:p w:rsidR="00FF5F96" w:rsidRDefault="00FF5F96" w:rsidP="00112E24">
      <w:pPr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For additional information, contact:</w:t>
      </w:r>
      <w:r w:rsidR="005E72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David Krech, Policy Division, International Bureau, </w:t>
      </w:r>
      <w:hyperlink r:id="rId9" w:history="1">
        <w:r>
          <w:rPr>
            <w:rStyle w:val="Hyperlink"/>
            <w:sz w:val="22"/>
            <w:szCs w:val="22"/>
          </w:rPr>
          <w:t>David.Krech@fcc.gov</w:t>
        </w:r>
      </w:hyperlink>
      <w:r>
        <w:rPr>
          <w:sz w:val="22"/>
          <w:szCs w:val="22"/>
        </w:rPr>
        <w:t>, 202-418-7443</w:t>
      </w:r>
      <w:r w:rsidR="005E7258">
        <w:rPr>
          <w:sz w:val="22"/>
          <w:szCs w:val="22"/>
        </w:rPr>
        <w:t xml:space="preserve">. </w:t>
      </w:r>
    </w:p>
    <w:p w:rsidR="00CA2511" w:rsidRDefault="00CA2511" w:rsidP="00112E24">
      <w:pPr>
        <w:keepNext/>
        <w:ind w:firstLine="720"/>
        <w:rPr>
          <w:sz w:val="22"/>
          <w:szCs w:val="22"/>
        </w:rPr>
      </w:pPr>
    </w:p>
    <w:p w:rsidR="00606B33" w:rsidRDefault="00FF5F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FCC -</w:t>
      </w:r>
    </w:p>
    <w:sectPr w:rsidR="00606B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37" w:rsidRDefault="00C33037">
      <w:r>
        <w:separator/>
      </w:r>
    </w:p>
  </w:endnote>
  <w:endnote w:type="continuationSeparator" w:id="0">
    <w:p w:rsidR="00C33037" w:rsidRDefault="00C3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43E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43E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3E" w:rsidRDefault="00B0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37" w:rsidRDefault="00C33037">
      <w:r>
        <w:separator/>
      </w:r>
    </w:p>
  </w:footnote>
  <w:footnote w:type="continuationSeparator" w:id="0">
    <w:p w:rsidR="00C33037" w:rsidRDefault="00C33037">
      <w:r>
        <w:continuationSeparator/>
      </w:r>
    </w:p>
  </w:footnote>
  <w:footnote w:id="1">
    <w:p w:rsidR="00FF5F96" w:rsidRDefault="00FF5F96" w:rsidP="00910371">
      <w:pPr>
        <w:pStyle w:val="FootnoteText"/>
        <w:spacing w:after="120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t xml:space="preserve"> </w:t>
      </w:r>
      <w:r>
        <w:rPr>
          <w:i/>
        </w:rPr>
        <w:t>See Reporting Requirements for U.S. Providers of International Telecommunications Services, Amendment of Part 43 of the Commission’s Rules</w:t>
      </w:r>
      <w:r>
        <w:t>, IB Docket No. 04-112, Second Report and Order, FCC 13-6, 28 FCC Rcd 575 (2013) (</w:t>
      </w:r>
      <w:r>
        <w:rPr>
          <w:i/>
        </w:rPr>
        <w:t>Second Report and Order</w:t>
      </w:r>
      <w:r>
        <w:t xml:space="preserve">), </w:t>
      </w:r>
      <w:r>
        <w:rPr>
          <w:i/>
        </w:rPr>
        <w:t>recon. pending.</w:t>
      </w:r>
    </w:p>
  </w:footnote>
  <w:footnote w:id="2">
    <w:p w:rsidR="003F3BC3" w:rsidRPr="003F3BC3" w:rsidRDefault="003F3BC3" w:rsidP="0091037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7E321E">
        <w:t xml:space="preserve">80 </w:t>
      </w:r>
      <w:r>
        <w:t xml:space="preserve">Fed. Reg. </w:t>
      </w:r>
      <w:r w:rsidR="007E321E">
        <w:t>7547</w:t>
      </w:r>
      <w:r>
        <w:t xml:space="preserve"> (Feb</w:t>
      </w:r>
      <w:r w:rsidR="00CA7E5B">
        <w:t>.</w:t>
      </w:r>
      <w:r>
        <w:t xml:space="preserve"> 11, 2015).</w:t>
      </w:r>
    </w:p>
  </w:footnote>
  <w:footnote w:id="3">
    <w:p w:rsidR="00EB7EE1" w:rsidRDefault="00EB7EE1" w:rsidP="0091037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C.F.R. § 43.62.</w:t>
      </w:r>
    </w:p>
  </w:footnote>
  <w:footnote w:id="4">
    <w:p w:rsidR="007B2EED" w:rsidRDefault="007B2EED" w:rsidP="007B2EED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Second Report and Order, </w:t>
      </w:r>
      <w:r>
        <w:t xml:space="preserve">28 FCC Rcd at 581-81, ¶ 20.  </w:t>
      </w:r>
      <w:r>
        <w:rPr>
          <w:i/>
        </w:rPr>
        <w:t xml:space="preserve">See also </w:t>
      </w:r>
      <w:r>
        <w:t>47 C.F.R. § 43.62(d).</w:t>
      </w:r>
    </w:p>
  </w:footnote>
  <w:footnote w:id="5">
    <w:p w:rsidR="007B2EED" w:rsidRDefault="007B2EED" w:rsidP="007B2EED">
      <w:pPr>
        <w:pStyle w:val="FootnoteText"/>
      </w:pPr>
      <w:r>
        <w:rPr>
          <w:rStyle w:val="FootnoteReference"/>
        </w:rPr>
        <w:footnoteRef/>
      </w:r>
      <w:r>
        <w:t xml:space="preserve"> Filing Manual for Section 43.62 Annual Reports, February 2015, DA 15-</w:t>
      </w:r>
      <w:r w:rsidR="00E119B9">
        <w:t>206</w:t>
      </w:r>
      <w:r>
        <w:t xml:space="preserve"> (Int’l Bur. rel. Feb</w:t>
      </w:r>
      <w:r w:rsidR="00E119B9">
        <w:t>.</w:t>
      </w:r>
      <w:r>
        <w:t xml:space="preserve"> </w:t>
      </w:r>
      <w:r w:rsidR="00E119B9">
        <w:t>13</w:t>
      </w:r>
      <w:r>
        <w:t>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3E" w:rsidRDefault="00B03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Pr="00B0343E" w:rsidRDefault="00FF5F96" w:rsidP="00B03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3E" w:rsidRDefault="00B034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FF7"/>
    <w:multiLevelType w:val="singleLevel"/>
    <w:tmpl w:val="10921A46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E714F"/>
    <w:multiLevelType w:val="multilevel"/>
    <w:tmpl w:val="774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637"/>
    <w:multiLevelType w:val="hybridMultilevel"/>
    <w:tmpl w:val="9842C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A7438"/>
    <w:multiLevelType w:val="hybridMultilevel"/>
    <w:tmpl w:val="CBD8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2BAB"/>
    <w:multiLevelType w:val="hybridMultilevel"/>
    <w:tmpl w:val="F280B698"/>
    <w:lvl w:ilvl="0" w:tplc="6CBA9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F72"/>
    <w:multiLevelType w:val="hybridMultilevel"/>
    <w:tmpl w:val="5DDA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38F5"/>
    <w:multiLevelType w:val="hybridMultilevel"/>
    <w:tmpl w:val="82D00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6733"/>
    <w:multiLevelType w:val="hybridMultilevel"/>
    <w:tmpl w:val="244CECE4"/>
    <w:lvl w:ilvl="0" w:tplc="2076BC38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942A2"/>
    <w:multiLevelType w:val="multilevel"/>
    <w:tmpl w:val="147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4033A"/>
    <w:multiLevelType w:val="hybridMultilevel"/>
    <w:tmpl w:val="07E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BC3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97DB2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74D6A"/>
    <w:multiLevelType w:val="multilevel"/>
    <w:tmpl w:val="263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B3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703ECE"/>
    <w:multiLevelType w:val="hybridMultilevel"/>
    <w:tmpl w:val="46EC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82770"/>
    <w:multiLevelType w:val="hybridMultilevel"/>
    <w:tmpl w:val="7E7E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74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1B0455"/>
    <w:multiLevelType w:val="hybridMultilevel"/>
    <w:tmpl w:val="5A8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85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B03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16D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C4CE3"/>
    <w:multiLevelType w:val="hybridMultilevel"/>
    <w:tmpl w:val="D6FC11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3E763F5"/>
    <w:multiLevelType w:val="hybridMultilevel"/>
    <w:tmpl w:val="DA6265BC"/>
    <w:lvl w:ilvl="0" w:tplc="AEEC204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4F5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3F5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8B4555"/>
    <w:multiLevelType w:val="hybridMultilevel"/>
    <w:tmpl w:val="B038E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4EC4"/>
    <w:multiLevelType w:val="hybridMultilevel"/>
    <w:tmpl w:val="0D1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E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ED4940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92598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8">
    <w:nsid w:val="52362AA3"/>
    <w:multiLevelType w:val="hybridMultilevel"/>
    <w:tmpl w:val="CCCC2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709"/>
    <w:multiLevelType w:val="multilevel"/>
    <w:tmpl w:val="019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A5687"/>
    <w:multiLevelType w:val="hybridMultilevel"/>
    <w:tmpl w:val="499438B6"/>
    <w:lvl w:ilvl="0" w:tplc="352650B2">
      <w:start w:val="1"/>
      <w:numFmt w:val="lowerLetter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1">
    <w:nsid w:val="59747975"/>
    <w:multiLevelType w:val="hybridMultilevel"/>
    <w:tmpl w:val="9F3A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977CB"/>
    <w:multiLevelType w:val="hybridMultilevel"/>
    <w:tmpl w:val="11A4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4730A8"/>
    <w:multiLevelType w:val="hybridMultilevel"/>
    <w:tmpl w:val="A618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8189C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5">
    <w:nsid w:val="6479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7A51F4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7">
    <w:nsid w:val="6F9625D5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8">
    <w:nsid w:val="72056BC5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406A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40">
    <w:nsid w:val="774B5714"/>
    <w:multiLevelType w:val="multilevel"/>
    <w:tmpl w:val="AF1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15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F36157D"/>
    <w:multiLevelType w:val="multilevel"/>
    <w:tmpl w:val="82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8564B"/>
    <w:multiLevelType w:val="multilevel"/>
    <w:tmpl w:val="8A8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22"/>
  </w:num>
  <w:num w:numId="5">
    <w:abstractNumId w:val="21"/>
  </w:num>
  <w:num w:numId="6">
    <w:abstractNumId w:val="35"/>
  </w:num>
  <w:num w:numId="7">
    <w:abstractNumId w:val="12"/>
  </w:num>
  <w:num w:numId="8">
    <w:abstractNumId w:val="15"/>
  </w:num>
  <w:num w:numId="9">
    <w:abstractNumId w:val="34"/>
  </w:num>
  <w:num w:numId="10">
    <w:abstractNumId w:val="37"/>
  </w:num>
  <w:num w:numId="11">
    <w:abstractNumId w:val="36"/>
  </w:num>
  <w:num w:numId="12">
    <w:abstractNumId w:val="27"/>
  </w:num>
  <w:num w:numId="13">
    <w:abstractNumId w:val="39"/>
  </w:num>
  <w:num w:numId="14">
    <w:abstractNumId w:val="6"/>
  </w:num>
  <w:num w:numId="15">
    <w:abstractNumId w:val="42"/>
  </w:num>
  <w:num w:numId="16">
    <w:abstractNumId w:val="33"/>
  </w:num>
  <w:num w:numId="17">
    <w:abstractNumId w:val="31"/>
  </w:num>
  <w:num w:numId="18">
    <w:abstractNumId w:val="14"/>
  </w:num>
  <w:num w:numId="19">
    <w:abstractNumId w:val="28"/>
  </w:num>
  <w:num w:numId="20">
    <w:abstractNumId w:val="13"/>
  </w:num>
  <w:num w:numId="21">
    <w:abstractNumId w:val="5"/>
  </w:num>
  <w:num w:numId="22">
    <w:abstractNumId w:val="26"/>
  </w:num>
  <w:num w:numId="23">
    <w:abstractNumId w:val="38"/>
  </w:num>
  <w:num w:numId="24">
    <w:abstractNumId w:val="9"/>
  </w:num>
  <w:num w:numId="25">
    <w:abstractNumId w:val="10"/>
  </w:num>
  <w:num w:numId="26">
    <w:abstractNumId w:val="18"/>
  </w:num>
  <w:num w:numId="27">
    <w:abstractNumId w:val="17"/>
  </w:num>
  <w:num w:numId="28">
    <w:abstractNumId w:val="20"/>
  </w:num>
  <w:num w:numId="29">
    <w:abstractNumId w:val="7"/>
  </w:num>
  <w:num w:numId="30">
    <w:abstractNumId w:val="3"/>
  </w:num>
  <w:num w:numId="31">
    <w:abstractNumId w:val="19"/>
  </w:num>
  <w:num w:numId="32">
    <w:abstractNumId w:val="2"/>
  </w:num>
  <w:num w:numId="33">
    <w:abstractNumId w:val="16"/>
  </w:num>
  <w:num w:numId="34">
    <w:abstractNumId w:val="8"/>
  </w:num>
  <w:num w:numId="35">
    <w:abstractNumId w:val="1"/>
  </w:num>
  <w:num w:numId="36">
    <w:abstractNumId w:val="11"/>
  </w:num>
  <w:num w:numId="37">
    <w:abstractNumId w:val="40"/>
  </w:num>
  <w:num w:numId="38">
    <w:abstractNumId w:val="29"/>
  </w:num>
  <w:num w:numId="39">
    <w:abstractNumId w:val="43"/>
  </w:num>
  <w:num w:numId="40">
    <w:abstractNumId w:val="23"/>
  </w:num>
  <w:num w:numId="41">
    <w:abstractNumId w:val="4"/>
  </w:num>
  <w:num w:numId="42">
    <w:abstractNumId w:val="30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5"/>
    <w:rsid w:val="00043AA2"/>
    <w:rsid w:val="000B31B9"/>
    <w:rsid w:val="000E3FB8"/>
    <w:rsid w:val="000F76E5"/>
    <w:rsid w:val="00112E24"/>
    <w:rsid w:val="00175FE4"/>
    <w:rsid w:val="001F0DFF"/>
    <w:rsid w:val="003379D5"/>
    <w:rsid w:val="003F3BC3"/>
    <w:rsid w:val="004D0930"/>
    <w:rsid w:val="004E5A83"/>
    <w:rsid w:val="0058028E"/>
    <w:rsid w:val="005962FD"/>
    <w:rsid w:val="005E7258"/>
    <w:rsid w:val="00606B33"/>
    <w:rsid w:val="007B2EED"/>
    <w:rsid w:val="007C31BD"/>
    <w:rsid w:val="007E321E"/>
    <w:rsid w:val="007F65DE"/>
    <w:rsid w:val="00840F46"/>
    <w:rsid w:val="0089457B"/>
    <w:rsid w:val="008F5013"/>
    <w:rsid w:val="00907B37"/>
    <w:rsid w:val="00910371"/>
    <w:rsid w:val="00914B09"/>
    <w:rsid w:val="00A47569"/>
    <w:rsid w:val="00AC49C6"/>
    <w:rsid w:val="00B0343E"/>
    <w:rsid w:val="00B36BE2"/>
    <w:rsid w:val="00BA6D7A"/>
    <w:rsid w:val="00C33037"/>
    <w:rsid w:val="00CA2511"/>
    <w:rsid w:val="00CA7E5B"/>
    <w:rsid w:val="00E119B9"/>
    <w:rsid w:val="00E41B60"/>
    <w:rsid w:val="00E83425"/>
    <w:rsid w:val="00EB7EE1"/>
    <w:rsid w:val="00F34D54"/>
    <w:rsid w:val="00F6244B"/>
    <w:rsid w:val="00F84751"/>
    <w:rsid w:val="00FB4D67"/>
    <w:rsid w:val="00FE57F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d.Krech@fcc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1627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1908</CharactersWithSpaces>
  <SharedDoc>false</SharedDoc>
  <HyperlinkBase> </HyperlinkBase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mailto:David.Krech@fcc.gov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2008-09-04T13:37:00Z</cp:lastPrinted>
  <dcterms:created xsi:type="dcterms:W3CDTF">2015-02-12T20:33:00Z</dcterms:created>
  <dcterms:modified xsi:type="dcterms:W3CDTF">2015-02-12T20:33:00Z</dcterms:modified>
  <cp:category> </cp:category>
  <cp:contentStatus> </cp:contentStatus>
</cp:coreProperties>
</file>