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0C" w:rsidRPr="0058223B" w:rsidRDefault="00026E0C" w:rsidP="00026E0C">
      <w:pPr>
        <w:jc w:val="center"/>
        <w:rPr>
          <w:b/>
          <w:szCs w:val="22"/>
        </w:rPr>
      </w:pPr>
      <w:bookmarkStart w:id="0" w:name="_GoBack"/>
      <w:bookmarkEnd w:id="0"/>
      <w:r w:rsidRPr="0058223B">
        <w:rPr>
          <w:b/>
          <w:kern w:val="0"/>
          <w:szCs w:val="22"/>
        </w:rPr>
        <w:t>Before</w:t>
      </w:r>
      <w:r w:rsidRPr="0058223B">
        <w:rPr>
          <w:b/>
          <w:szCs w:val="22"/>
        </w:rPr>
        <w:t xml:space="preserve"> the</w:t>
      </w:r>
    </w:p>
    <w:p w:rsidR="00026E0C" w:rsidRPr="0058223B" w:rsidRDefault="00026E0C" w:rsidP="00026E0C">
      <w:pPr>
        <w:pStyle w:val="StyleBoldCentered"/>
        <w:rPr>
          <w:rFonts w:ascii="Times New Roman" w:hAnsi="Times New Roman"/>
        </w:rPr>
      </w:pPr>
      <w:r w:rsidRPr="0058223B">
        <w:rPr>
          <w:rFonts w:ascii="Times New Roman" w:hAnsi="Times New Roman"/>
        </w:rPr>
        <w:t>F</w:t>
      </w:r>
      <w:r w:rsidRPr="0058223B">
        <w:rPr>
          <w:rFonts w:ascii="Times New Roman" w:hAnsi="Times New Roman"/>
          <w:caps w:val="0"/>
        </w:rPr>
        <w:t>ederal Communications Commission</w:t>
      </w:r>
    </w:p>
    <w:p w:rsidR="00026E0C" w:rsidRPr="0058223B" w:rsidRDefault="00026E0C" w:rsidP="00026E0C">
      <w:pPr>
        <w:pStyle w:val="StyleBoldCentered"/>
        <w:rPr>
          <w:rFonts w:ascii="Times New Roman" w:hAnsi="Times New Roman"/>
        </w:rPr>
      </w:pPr>
      <w:r w:rsidRPr="0058223B">
        <w:rPr>
          <w:rFonts w:ascii="Times New Roman" w:hAnsi="Times New Roman"/>
          <w:caps w:val="0"/>
        </w:rPr>
        <w:t>Washington, D.C. 20554</w:t>
      </w:r>
    </w:p>
    <w:p w:rsidR="00026E0C" w:rsidRPr="0058223B" w:rsidRDefault="00026E0C" w:rsidP="00026E0C">
      <w:pPr>
        <w:rPr>
          <w:szCs w:val="22"/>
        </w:rPr>
      </w:pPr>
    </w:p>
    <w:tbl>
      <w:tblPr>
        <w:tblW w:w="0" w:type="auto"/>
        <w:tblLayout w:type="fixed"/>
        <w:tblLook w:val="0000" w:firstRow="0" w:lastRow="0" w:firstColumn="0" w:lastColumn="0" w:noHBand="0" w:noVBand="0"/>
      </w:tblPr>
      <w:tblGrid>
        <w:gridCol w:w="4698"/>
        <w:gridCol w:w="630"/>
        <w:gridCol w:w="4248"/>
      </w:tblGrid>
      <w:tr w:rsidR="00026E0C" w:rsidRPr="0058223B">
        <w:tc>
          <w:tcPr>
            <w:tcW w:w="4698" w:type="dxa"/>
          </w:tcPr>
          <w:p w:rsidR="00026E0C" w:rsidRPr="0058223B" w:rsidRDefault="00026E0C" w:rsidP="00026E0C">
            <w:pPr>
              <w:tabs>
                <w:tab w:val="center" w:pos="4680"/>
              </w:tabs>
              <w:suppressAutoHyphens/>
              <w:rPr>
                <w:spacing w:val="-2"/>
                <w:szCs w:val="22"/>
              </w:rPr>
            </w:pPr>
            <w:r w:rsidRPr="0058223B">
              <w:rPr>
                <w:spacing w:val="-2"/>
                <w:szCs w:val="22"/>
              </w:rPr>
              <w:t>In the Matter of</w:t>
            </w:r>
          </w:p>
          <w:p w:rsidR="00026E0C" w:rsidRPr="0058223B" w:rsidRDefault="00026E0C" w:rsidP="00026E0C">
            <w:pPr>
              <w:tabs>
                <w:tab w:val="center" w:pos="4680"/>
              </w:tabs>
              <w:suppressAutoHyphens/>
              <w:rPr>
                <w:spacing w:val="-2"/>
                <w:szCs w:val="22"/>
              </w:rPr>
            </w:pPr>
          </w:p>
          <w:p w:rsidR="00026E0C" w:rsidRPr="0058223B" w:rsidRDefault="006B1C96" w:rsidP="00026E0C">
            <w:pPr>
              <w:tabs>
                <w:tab w:val="center" w:pos="4680"/>
              </w:tabs>
              <w:suppressAutoHyphens/>
              <w:rPr>
                <w:b/>
                <w:spacing w:val="-2"/>
                <w:szCs w:val="22"/>
              </w:rPr>
            </w:pPr>
            <w:r>
              <w:rPr>
                <w:b/>
                <w:spacing w:val="-2"/>
                <w:szCs w:val="22"/>
              </w:rPr>
              <w:t>The Syner Foundation, Inc.</w:t>
            </w:r>
          </w:p>
          <w:p w:rsidR="00026E0C" w:rsidRPr="0058223B" w:rsidRDefault="00026E0C" w:rsidP="00026E0C">
            <w:pPr>
              <w:tabs>
                <w:tab w:val="center" w:pos="4680"/>
              </w:tabs>
              <w:suppressAutoHyphens/>
              <w:rPr>
                <w:spacing w:val="-2"/>
                <w:szCs w:val="22"/>
              </w:rPr>
            </w:pPr>
          </w:p>
          <w:p w:rsidR="00026E0C" w:rsidRPr="0058223B" w:rsidRDefault="00026E0C" w:rsidP="006B1C96">
            <w:pPr>
              <w:tabs>
                <w:tab w:val="center" w:pos="4680"/>
              </w:tabs>
              <w:suppressAutoHyphens/>
              <w:rPr>
                <w:spacing w:val="-2"/>
                <w:szCs w:val="22"/>
              </w:rPr>
            </w:pPr>
            <w:r w:rsidRPr="0058223B">
              <w:rPr>
                <w:szCs w:val="22"/>
              </w:rPr>
              <w:t xml:space="preserve">Licensee of Station </w:t>
            </w:r>
            <w:r w:rsidR="006B1C96">
              <w:rPr>
                <w:szCs w:val="22"/>
              </w:rPr>
              <w:t>WQAZ-LP</w:t>
            </w:r>
            <w:r w:rsidRPr="0058223B">
              <w:rPr>
                <w:szCs w:val="22"/>
              </w:rPr>
              <w:t xml:space="preserve">, </w:t>
            </w:r>
            <w:r w:rsidR="006B1C96">
              <w:rPr>
                <w:szCs w:val="22"/>
              </w:rPr>
              <w:t>Edmond</w:t>
            </w:r>
            <w:r w:rsidRPr="0058223B">
              <w:rPr>
                <w:szCs w:val="22"/>
              </w:rPr>
              <w:t xml:space="preserve">, </w:t>
            </w:r>
            <w:r w:rsidR="006B1C96">
              <w:rPr>
                <w:szCs w:val="22"/>
              </w:rPr>
              <w:t>West Virginia</w:t>
            </w:r>
          </w:p>
        </w:tc>
        <w:tc>
          <w:tcPr>
            <w:tcW w:w="630" w:type="dxa"/>
          </w:tcPr>
          <w:p w:rsidR="00026E0C" w:rsidRPr="0058223B" w:rsidRDefault="00026E0C" w:rsidP="00026E0C">
            <w:pPr>
              <w:tabs>
                <w:tab w:val="center" w:pos="4680"/>
              </w:tabs>
              <w:suppressAutoHyphens/>
              <w:rPr>
                <w:b/>
                <w:spacing w:val="-2"/>
                <w:szCs w:val="22"/>
              </w:rPr>
            </w:pPr>
            <w:r w:rsidRPr="0058223B">
              <w:rPr>
                <w:b/>
                <w:spacing w:val="-2"/>
                <w:szCs w:val="22"/>
              </w:rPr>
              <w:t>)</w:t>
            </w:r>
          </w:p>
          <w:p w:rsidR="00026E0C" w:rsidRPr="0058223B" w:rsidRDefault="00026E0C" w:rsidP="00026E0C">
            <w:pPr>
              <w:tabs>
                <w:tab w:val="center" w:pos="4680"/>
              </w:tabs>
              <w:suppressAutoHyphens/>
              <w:rPr>
                <w:b/>
                <w:spacing w:val="-2"/>
                <w:szCs w:val="22"/>
              </w:rPr>
            </w:pPr>
            <w:r w:rsidRPr="0058223B">
              <w:rPr>
                <w:b/>
                <w:spacing w:val="-2"/>
                <w:szCs w:val="22"/>
              </w:rPr>
              <w:t>)</w:t>
            </w:r>
          </w:p>
          <w:p w:rsidR="00026E0C" w:rsidRPr="0058223B" w:rsidRDefault="00026E0C" w:rsidP="00026E0C">
            <w:pPr>
              <w:tabs>
                <w:tab w:val="center" w:pos="4680"/>
              </w:tabs>
              <w:suppressAutoHyphens/>
              <w:rPr>
                <w:b/>
                <w:spacing w:val="-2"/>
                <w:szCs w:val="22"/>
              </w:rPr>
            </w:pPr>
            <w:r w:rsidRPr="0058223B">
              <w:rPr>
                <w:b/>
                <w:spacing w:val="-2"/>
                <w:szCs w:val="22"/>
              </w:rPr>
              <w:t>)</w:t>
            </w:r>
          </w:p>
          <w:p w:rsidR="00026E0C" w:rsidRPr="0058223B" w:rsidRDefault="00026E0C" w:rsidP="00026E0C">
            <w:pPr>
              <w:tabs>
                <w:tab w:val="center" w:pos="4680"/>
              </w:tabs>
              <w:suppressAutoHyphens/>
              <w:rPr>
                <w:b/>
                <w:spacing w:val="-2"/>
                <w:szCs w:val="22"/>
              </w:rPr>
            </w:pPr>
            <w:r w:rsidRPr="0058223B">
              <w:rPr>
                <w:b/>
                <w:spacing w:val="-2"/>
                <w:szCs w:val="22"/>
              </w:rPr>
              <w:t>)</w:t>
            </w:r>
          </w:p>
          <w:p w:rsidR="00026E0C" w:rsidRPr="0058223B" w:rsidRDefault="00026E0C" w:rsidP="00026E0C">
            <w:pPr>
              <w:tabs>
                <w:tab w:val="center" w:pos="4680"/>
              </w:tabs>
              <w:suppressAutoHyphens/>
              <w:rPr>
                <w:b/>
                <w:spacing w:val="-2"/>
                <w:szCs w:val="22"/>
              </w:rPr>
            </w:pPr>
            <w:r w:rsidRPr="0058223B">
              <w:rPr>
                <w:b/>
                <w:spacing w:val="-2"/>
                <w:szCs w:val="22"/>
              </w:rPr>
              <w:t>)</w:t>
            </w:r>
          </w:p>
          <w:p w:rsidR="00026E0C" w:rsidRPr="0058223B" w:rsidRDefault="00026E0C" w:rsidP="00026E0C">
            <w:pPr>
              <w:tabs>
                <w:tab w:val="center" w:pos="4680"/>
              </w:tabs>
              <w:suppressAutoHyphens/>
              <w:rPr>
                <w:b/>
                <w:spacing w:val="-2"/>
                <w:szCs w:val="22"/>
              </w:rPr>
            </w:pPr>
            <w:r w:rsidRPr="0058223B">
              <w:rPr>
                <w:b/>
                <w:spacing w:val="-2"/>
                <w:szCs w:val="22"/>
              </w:rPr>
              <w:t>)</w:t>
            </w:r>
          </w:p>
          <w:p w:rsidR="00026E0C" w:rsidRPr="0058223B" w:rsidRDefault="00026E0C" w:rsidP="00026E0C">
            <w:pPr>
              <w:tabs>
                <w:tab w:val="center" w:pos="4680"/>
              </w:tabs>
              <w:suppressAutoHyphens/>
              <w:rPr>
                <w:b/>
                <w:spacing w:val="-2"/>
                <w:szCs w:val="22"/>
              </w:rPr>
            </w:pPr>
            <w:r w:rsidRPr="0058223B">
              <w:rPr>
                <w:b/>
                <w:spacing w:val="-2"/>
                <w:szCs w:val="22"/>
              </w:rPr>
              <w:t>)</w:t>
            </w:r>
          </w:p>
          <w:p w:rsidR="00026E0C" w:rsidRPr="0058223B" w:rsidRDefault="00026E0C" w:rsidP="00026E0C">
            <w:pPr>
              <w:tabs>
                <w:tab w:val="center" w:pos="4680"/>
              </w:tabs>
              <w:suppressAutoHyphens/>
              <w:rPr>
                <w:b/>
                <w:spacing w:val="-2"/>
                <w:szCs w:val="22"/>
              </w:rPr>
            </w:pPr>
            <w:r w:rsidRPr="0058223B">
              <w:rPr>
                <w:b/>
                <w:spacing w:val="-2"/>
                <w:szCs w:val="22"/>
              </w:rPr>
              <w:t>)</w:t>
            </w:r>
          </w:p>
          <w:p w:rsidR="00026E0C" w:rsidRPr="0058223B" w:rsidRDefault="00026E0C" w:rsidP="00026E0C">
            <w:pPr>
              <w:tabs>
                <w:tab w:val="center" w:pos="4680"/>
              </w:tabs>
              <w:suppressAutoHyphens/>
              <w:rPr>
                <w:b/>
                <w:spacing w:val="-2"/>
                <w:szCs w:val="22"/>
              </w:rPr>
            </w:pPr>
            <w:r w:rsidRPr="0058223B">
              <w:rPr>
                <w:b/>
                <w:spacing w:val="-2"/>
                <w:szCs w:val="22"/>
              </w:rPr>
              <w:t>)</w:t>
            </w:r>
          </w:p>
          <w:p w:rsidR="00026E0C" w:rsidRPr="0058223B" w:rsidRDefault="00026E0C" w:rsidP="00026E0C">
            <w:pPr>
              <w:tabs>
                <w:tab w:val="center" w:pos="4680"/>
              </w:tabs>
              <w:suppressAutoHyphens/>
              <w:rPr>
                <w:spacing w:val="-2"/>
                <w:szCs w:val="22"/>
              </w:rPr>
            </w:pPr>
            <w:r w:rsidRPr="0058223B">
              <w:rPr>
                <w:b/>
                <w:spacing w:val="-2"/>
                <w:szCs w:val="22"/>
              </w:rPr>
              <w:t>)</w:t>
            </w:r>
          </w:p>
        </w:tc>
        <w:tc>
          <w:tcPr>
            <w:tcW w:w="4248" w:type="dxa"/>
          </w:tcPr>
          <w:p w:rsidR="00026E0C" w:rsidRPr="0058223B" w:rsidRDefault="00026E0C" w:rsidP="00026E0C">
            <w:pPr>
              <w:tabs>
                <w:tab w:val="center" w:pos="4680"/>
              </w:tabs>
              <w:suppressAutoHyphens/>
              <w:rPr>
                <w:spacing w:val="-2"/>
                <w:szCs w:val="22"/>
              </w:rPr>
            </w:pPr>
          </w:p>
          <w:p w:rsidR="00026E0C" w:rsidRPr="0058223B" w:rsidRDefault="00026E0C" w:rsidP="00026E0C">
            <w:pPr>
              <w:pStyle w:val="TOAHeading"/>
              <w:tabs>
                <w:tab w:val="clear" w:pos="9360"/>
                <w:tab w:val="center" w:pos="4680"/>
              </w:tabs>
              <w:rPr>
                <w:spacing w:val="-2"/>
                <w:szCs w:val="22"/>
              </w:rPr>
            </w:pPr>
          </w:p>
          <w:p w:rsidR="00026E0C" w:rsidRPr="0001199F" w:rsidRDefault="00026E0C" w:rsidP="00026E0C">
            <w:pPr>
              <w:pStyle w:val="Title"/>
              <w:jc w:val="left"/>
              <w:rPr>
                <w:b w:val="0"/>
                <w:szCs w:val="22"/>
                <w:lang w:val="en-US" w:eastAsia="en-US"/>
              </w:rPr>
            </w:pPr>
            <w:r w:rsidRPr="0001199F">
              <w:rPr>
                <w:b w:val="0"/>
                <w:szCs w:val="22"/>
                <w:lang w:val="en-US" w:eastAsia="en-US"/>
              </w:rPr>
              <w:t>File No</w:t>
            </w:r>
            <w:r w:rsidR="006B1C96">
              <w:rPr>
                <w:b w:val="0"/>
                <w:szCs w:val="22"/>
                <w:lang w:val="en-US" w:eastAsia="en-US"/>
              </w:rPr>
              <w:t>.:  EB-IHD-14-00016416 (formerly EB-11-IH-1130)</w:t>
            </w:r>
            <w:r w:rsidRPr="0001199F">
              <w:rPr>
                <w:b w:val="0"/>
                <w:szCs w:val="22"/>
                <w:lang w:val="en-US" w:eastAsia="en-US"/>
              </w:rPr>
              <w:t xml:space="preserve"> </w:t>
            </w:r>
          </w:p>
          <w:p w:rsidR="00026E0C" w:rsidRPr="0001199F" w:rsidRDefault="00026E0C" w:rsidP="00026E0C">
            <w:pPr>
              <w:pStyle w:val="Title"/>
              <w:jc w:val="left"/>
              <w:rPr>
                <w:b w:val="0"/>
                <w:szCs w:val="22"/>
                <w:lang w:val="en-US" w:eastAsia="en-US"/>
              </w:rPr>
            </w:pPr>
            <w:r w:rsidRPr="0001199F">
              <w:rPr>
                <w:b w:val="0"/>
                <w:szCs w:val="22"/>
                <w:lang w:val="en-US" w:eastAsia="en-US"/>
              </w:rPr>
              <w:t xml:space="preserve">                  </w:t>
            </w:r>
          </w:p>
          <w:p w:rsidR="00FC20F4" w:rsidRDefault="00026E0C" w:rsidP="00FC20F4">
            <w:r w:rsidRPr="0001199F">
              <w:rPr>
                <w:szCs w:val="22"/>
              </w:rPr>
              <w:t xml:space="preserve">Acct. No.:  </w:t>
            </w:r>
            <w:r w:rsidR="00FC20F4">
              <w:t>201532080008</w:t>
            </w:r>
          </w:p>
          <w:p w:rsidR="00026E0C" w:rsidRPr="0001199F" w:rsidRDefault="00026E0C" w:rsidP="00026E0C">
            <w:pPr>
              <w:pStyle w:val="Title"/>
              <w:jc w:val="left"/>
              <w:rPr>
                <w:b w:val="0"/>
                <w:szCs w:val="22"/>
                <w:lang w:val="en-US" w:eastAsia="en-US"/>
              </w:rPr>
            </w:pPr>
          </w:p>
          <w:p w:rsidR="00026E0C" w:rsidRPr="0001199F" w:rsidRDefault="00026E0C" w:rsidP="00026E0C">
            <w:pPr>
              <w:pStyle w:val="Title"/>
              <w:jc w:val="left"/>
              <w:rPr>
                <w:b w:val="0"/>
                <w:szCs w:val="22"/>
                <w:lang w:val="en-US" w:eastAsia="en-US"/>
              </w:rPr>
            </w:pPr>
            <w:r w:rsidRPr="0001199F">
              <w:rPr>
                <w:b w:val="0"/>
                <w:szCs w:val="22"/>
                <w:lang w:val="en-US" w:eastAsia="en-US"/>
              </w:rPr>
              <w:t>FRN:  000</w:t>
            </w:r>
            <w:r w:rsidR="006B1C96">
              <w:rPr>
                <w:b w:val="0"/>
                <w:szCs w:val="22"/>
                <w:lang w:val="en-US" w:eastAsia="en-US"/>
              </w:rPr>
              <w:t>9577859</w:t>
            </w:r>
          </w:p>
          <w:p w:rsidR="00026E0C" w:rsidRPr="0001199F" w:rsidRDefault="00026E0C" w:rsidP="00026E0C">
            <w:pPr>
              <w:pStyle w:val="Title"/>
              <w:jc w:val="left"/>
              <w:rPr>
                <w:b w:val="0"/>
                <w:szCs w:val="22"/>
                <w:lang w:val="en-US" w:eastAsia="en-US"/>
              </w:rPr>
            </w:pPr>
          </w:p>
          <w:p w:rsidR="00026E0C" w:rsidRPr="0001199F" w:rsidRDefault="00026E0C" w:rsidP="00026E0C">
            <w:pPr>
              <w:pStyle w:val="Title"/>
              <w:jc w:val="left"/>
              <w:rPr>
                <w:b w:val="0"/>
                <w:szCs w:val="22"/>
                <w:lang w:val="en-US" w:eastAsia="en-US"/>
              </w:rPr>
            </w:pPr>
            <w:r w:rsidRPr="0001199F">
              <w:rPr>
                <w:b w:val="0"/>
                <w:szCs w:val="22"/>
                <w:lang w:val="en-US" w:eastAsia="en-US"/>
              </w:rPr>
              <w:t xml:space="preserve">Facility ID No.:  </w:t>
            </w:r>
            <w:r w:rsidR="006B1C96">
              <w:rPr>
                <w:b w:val="0"/>
                <w:szCs w:val="22"/>
                <w:lang w:val="en-US" w:eastAsia="en-US"/>
              </w:rPr>
              <w:t>134635</w:t>
            </w:r>
          </w:p>
          <w:p w:rsidR="00026E0C" w:rsidRPr="0058223B" w:rsidRDefault="00026E0C" w:rsidP="00026E0C">
            <w:pPr>
              <w:tabs>
                <w:tab w:val="center" w:pos="4680"/>
              </w:tabs>
              <w:suppressAutoHyphens/>
              <w:rPr>
                <w:spacing w:val="-2"/>
                <w:szCs w:val="22"/>
              </w:rPr>
            </w:pPr>
          </w:p>
        </w:tc>
      </w:tr>
    </w:tbl>
    <w:p w:rsidR="00026E0C" w:rsidRPr="0058223B" w:rsidRDefault="00026E0C" w:rsidP="00026E0C">
      <w:pPr>
        <w:rPr>
          <w:szCs w:val="22"/>
        </w:rPr>
      </w:pPr>
    </w:p>
    <w:p w:rsidR="00026E0C" w:rsidRPr="0058223B" w:rsidRDefault="00026E0C" w:rsidP="00026E0C">
      <w:pPr>
        <w:pStyle w:val="StyleBoldCentered"/>
        <w:rPr>
          <w:rFonts w:ascii="Times New Roman" w:hAnsi="Times New Roman"/>
        </w:rPr>
      </w:pPr>
      <w:r w:rsidRPr="0058223B">
        <w:rPr>
          <w:rFonts w:ascii="Times New Roman" w:hAnsi="Times New Roman"/>
        </w:rPr>
        <w:t>order</w:t>
      </w:r>
    </w:p>
    <w:p w:rsidR="00026E0C" w:rsidRPr="0058223B" w:rsidRDefault="00026E0C" w:rsidP="00026E0C">
      <w:pPr>
        <w:tabs>
          <w:tab w:val="left" w:pos="-720"/>
        </w:tabs>
        <w:suppressAutoHyphens/>
        <w:spacing w:line="227" w:lineRule="auto"/>
        <w:rPr>
          <w:spacing w:val="-2"/>
          <w:szCs w:val="22"/>
        </w:rPr>
      </w:pPr>
    </w:p>
    <w:p w:rsidR="00026E0C" w:rsidRPr="0058223B" w:rsidRDefault="00026E0C" w:rsidP="00026E0C">
      <w:pPr>
        <w:tabs>
          <w:tab w:val="left" w:pos="720"/>
          <w:tab w:val="right" w:pos="9360"/>
        </w:tabs>
        <w:suppressAutoHyphens/>
        <w:spacing w:line="227" w:lineRule="auto"/>
        <w:rPr>
          <w:b/>
          <w:spacing w:val="-2"/>
          <w:szCs w:val="22"/>
        </w:rPr>
      </w:pPr>
      <w:r w:rsidRPr="0058223B">
        <w:rPr>
          <w:b/>
          <w:spacing w:val="-2"/>
          <w:szCs w:val="22"/>
        </w:rPr>
        <w:t xml:space="preserve">Adopted:  </w:t>
      </w:r>
      <w:r w:rsidR="002E45C3">
        <w:rPr>
          <w:b/>
          <w:spacing w:val="-2"/>
          <w:szCs w:val="22"/>
        </w:rPr>
        <w:t>February</w:t>
      </w:r>
      <w:r w:rsidR="002E45C3" w:rsidRPr="0058223B">
        <w:rPr>
          <w:b/>
          <w:spacing w:val="-2"/>
          <w:szCs w:val="22"/>
        </w:rPr>
        <w:t xml:space="preserve"> </w:t>
      </w:r>
      <w:r w:rsidR="00C621BB">
        <w:rPr>
          <w:b/>
          <w:spacing w:val="-2"/>
          <w:szCs w:val="22"/>
        </w:rPr>
        <w:t>26</w:t>
      </w:r>
      <w:r w:rsidRPr="0058223B">
        <w:rPr>
          <w:b/>
          <w:spacing w:val="-2"/>
          <w:szCs w:val="22"/>
        </w:rPr>
        <w:t>, 201</w:t>
      </w:r>
      <w:r w:rsidR="002E45C3">
        <w:rPr>
          <w:b/>
          <w:spacing w:val="-2"/>
          <w:szCs w:val="22"/>
        </w:rPr>
        <w:t>5</w:t>
      </w:r>
      <w:r w:rsidRPr="0058223B">
        <w:rPr>
          <w:b/>
          <w:spacing w:val="-2"/>
          <w:szCs w:val="22"/>
        </w:rPr>
        <w:tab/>
        <w:t xml:space="preserve">Released:  </w:t>
      </w:r>
      <w:r w:rsidR="002E45C3">
        <w:rPr>
          <w:b/>
          <w:spacing w:val="-2"/>
          <w:szCs w:val="22"/>
        </w:rPr>
        <w:t>February</w:t>
      </w:r>
      <w:r w:rsidR="002E45C3" w:rsidRPr="0058223B">
        <w:rPr>
          <w:b/>
          <w:spacing w:val="-2"/>
          <w:szCs w:val="22"/>
        </w:rPr>
        <w:t xml:space="preserve"> </w:t>
      </w:r>
      <w:r w:rsidR="00C621BB">
        <w:rPr>
          <w:b/>
          <w:spacing w:val="-2"/>
          <w:szCs w:val="22"/>
        </w:rPr>
        <w:t>27</w:t>
      </w:r>
      <w:r w:rsidRPr="0058223B">
        <w:rPr>
          <w:b/>
          <w:spacing w:val="-2"/>
          <w:szCs w:val="22"/>
        </w:rPr>
        <w:t>, 201</w:t>
      </w:r>
      <w:r w:rsidR="002E45C3">
        <w:rPr>
          <w:b/>
          <w:spacing w:val="-2"/>
          <w:szCs w:val="22"/>
        </w:rPr>
        <w:t>5</w:t>
      </w:r>
    </w:p>
    <w:p w:rsidR="00026E0C" w:rsidRPr="0058223B" w:rsidRDefault="00026E0C" w:rsidP="00026E0C">
      <w:pPr>
        <w:rPr>
          <w:szCs w:val="22"/>
        </w:rPr>
      </w:pPr>
    </w:p>
    <w:p w:rsidR="00026E0C" w:rsidRPr="00A3584B" w:rsidRDefault="00026E0C" w:rsidP="00795A4A">
      <w:pPr>
        <w:pStyle w:val="MediumGrid21"/>
        <w:rPr>
          <w:szCs w:val="22"/>
        </w:rPr>
      </w:pPr>
      <w:r w:rsidRPr="0058223B">
        <w:rPr>
          <w:szCs w:val="22"/>
        </w:rPr>
        <w:t>By the</w:t>
      </w:r>
      <w:r w:rsidRPr="00A3584B">
        <w:rPr>
          <w:sz w:val="22"/>
          <w:szCs w:val="22"/>
        </w:rPr>
        <w:t xml:space="preserve"> </w:t>
      </w:r>
      <w:r w:rsidR="00275A5E">
        <w:rPr>
          <w:sz w:val="22"/>
          <w:szCs w:val="22"/>
        </w:rPr>
        <w:t xml:space="preserve">Deputy </w:t>
      </w:r>
      <w:r w:rsidRPr="0058223B">
        <w:rPr>
          <w:sz w:val="22"/>
          <w:szCs w:val="22"/>
        </w:rPr>
        <w:t xml:space="preserve">Chief, </w:t>
      </w:r>
      <w:r w:rsidRPr="00E47BD9">
        <w:rPr>
          <w:spacing w:val="-2"/>
          <w:sz w:val="22"/>
          <w:szCs w:val="22"/>
        </w:rPr>
        <w:t>Enforcement Bureau:</w:t>
      </w:r>
    </w:p>
    <w:p w:rsidR="00026E0C" w:rsidRPr="0058223B" w:rsidRDefault="00026E0C" w:rsidP="00026E0C">
      <w:pPr>
        <w:rPr>
          <w:szCs w:val="22"/>
        </w:rPr>
      </w:pPr>
    </w:p>
    <w:p w:rsidR="00A74FF2" w:rsidRPr="00FC37D2" w:rsidRDefault="000125B4" w:rsidP="002D5448">
      <w:pPr>
        <w:pStyle w:val="ParaNum"/>
        <w:widowControl/>
        <w:numPr>
          <w:ilvl w:val="0"/>
          <w:numId w:val="7"/>
        </w:numPr>
        <w:snapToGrid w:val="0"/>
        <w:rPr>
          <w:szCs w:val="22"/>
        </w:rPr>
      </w:pPr>
      <w:r>
        <w:rPr>
          <w:szCs w:val="22"/>
        </w:rPr>
        <w:t xml:space="preserve">     </w:t>
      </w:r>
      <w:r w:rsidR="00627077" w:rsidRPr="00FC37D2">
        <w:rPr>
          <w:szCs w:val="22"/>
        </w:rPr>
        <w:t xml:space="preserve">The </w:t>
      </w:r>
      <w:r w:rsidR="008B02DD">
        <w:rPr>
          <w:szCs w:val="22"/>
        </w:rPr>
        <w:t xml:space="preserve">Enforcement Bureau (Bureau) of the Federal Communications </w:t>
      </w:r>
      <w:r w:rsidR="00627077" w:rsidRPr="00FC37D2">
        <w:rPr>
          <w:szCs w:val="22"/>
        </w:rPr>
        <w:t>Commission</w:t>
      </w:r>
      <w:r w:rsidR="008C484A">
        <w:rPr>
          <w:szCs w:val="22"/>
        </w:rPr>
        <w:t xml:space="preserve"> </w:t>
      </w:r>
      <w:r w:rsidR="008B02DD">
        <w:rPr>
          <w:szCs w:val="22"/>
        </w:rPr>
        <w:t xml:space="preserve">(Commission) has entered into a Consent Decree to resolve its investigation into whether </w:t>
      </w:r>
      <w:r w:rsidR="00184241">
        <w:rPr>
          <w:szCs w:val="22"/>
        </w:rPr>
        <w:t>T</w:t>
      </w:r>
      <w:r w:rsidR="008B02DD">
        <w:rPr>
          <w:szCs w:val="22"/>
        </w:rPr>
        <w:t>he Syner Foundation, Inc.</w:t>
      </w:r>
      <w:r w:rsidR="008B02DD" w:rsidRPr="00FC37D2">
        <w:rPr>
          <w:szCs w:val="22"/>
        </w:rPr>
        <w:t xml:space="preserve">, licensee of </w:t>
      </w:r>
      <w:r w:rsidR="008B02DD">
        <w:rPr>
          <w:szCs w:val="22"/>
        </w:rPr>
        <w:t xml:space="preserve">WQAZ-LP (Syner), </w:t>
      </w:r>
      <w:r w:rsidR="008B02DD" w:rsidRPr="00FC37D2">
        <w:rPr>
          <w:szCs w:val="22"/>
        </w:rPr>
        <w:t xml:space="preserve">broadcast </w:t>
      </w:r>
      <w:r w:rsidR="008B02DD">
        <w:rPr>
          <w:szCs w:val="22"/>
        </w:rPr>
        <w:t xml:space="preserve">announcements that </w:t>
      </w:r>
      <w:r w:rsidR="007B6323">
        <w:rPr>
          <w:szCs w:val="22"/>
        </w:rPr>
        <w:t>promoted the products, services or</w:t>
      </w:r>
      <w:r w:rsidR="00436A87">
        <w:rPr>
          <w:szCs w:val="22"/>
        </w:rPr>
        <w:t xml:space="preserve"> businesses of its financial</w:t>
      </w:r>
      <w:r w:rsidR="007B6323">
        <w:rPr>
          <w:szCs w:val="22"/>
        </w:rPr>
        <w:t xml:space="preserve"> contributors.  Such announcements would violate</w:t>
      </w:r>
      <w:r w:rsidR="008B02DD">
        <w:rPr>
          <w:szCs w:val="22"/>
        </w:rPr>
        <w:t xml:space="preserve"> the underwriting rules</w:t>
      </w:r>
      <w:r w:rsidR="008C484A">
        <w:rPr>
          <w:szCs w:val="22"/>
        </w:rPr>
        <w:t xml:space="preserve"> that prohibit</w:t>
      </w:r>
      <w:r w:rsidR="00B60B99">
        <w:rPr>
          <w:szCs w:val="22"/>
        </w:rPr>
        <w:t xml:space="preserve"> </w:t>
      </w:r>
      <w:r w:rsidR="007B6323">
        <w:rPr>
          <w:szCs w:val="22"/>
        </w:rPr>
        <w:t xml:space="preserve">noncommercial educational </w:t>
      </w:r>
      <w:r w:rsidR="00B60B99">
        <w:rPr>
          <w:szCs w:val="22"/>
        </w:rPr>
        <w:t>radio and television stations</w:t>
      </w:r>
      <w:r w:rsidR="008C484A">
        <w:rPr>
          <w:szCs w:val="22"/>
        </w:rPr>
        <w:t xml:space="preserve"> from broadcasting advertisements.  </w:t>
      </w:r>
      <w:r w:rsidR="007B6323">
        <w:rPr>
          <w:szCs w:val="22"/>
        </w:rPr>
        <w:t>N</w:t>
      </w:r>
      <w:r w:rsidR="008C484A">
        <w:rPr>
          <w:szCs w:val="22"/>
        </w:rPr>
        <w:t xml:space="preserve">oncommercial broadcasters </w:t>
      </w:r>
      <w:r w:rsidR="00A86416">
        <w:rPr>
          <w:szCs w:val="22"/>
        </w:rPr>
        <w:t xml:space="preserve">are licensed to use spectrum that is </w:t>
      </w:r>
      <w:r w:rsidR="00B60B99">
        <w:rPr>
          <w:szCs w:val="22"/>
        </w:rPr>
        <w:t xml:space="preserve">specifically reserved for them, and they benefit from reduced regulatory fees due to their noncommercial status.  </w:t>
      </w:r>
      <w:r w:rsidR="007B6323">
        <w:rPr>
          <w:szCs w:val="22"/>
        </w:rPr>
        <w:t>While t</w:t>
      </w:r>
      <w:r w:rsidR="003170FD">
        <w:rPr>
          <w:szCs w:val="22"/>
        </w:rPr>
        <w:t xml:space="preserve">he law </w:t>
      </w:r>
      <w:r w:rsidR="007B6323">
        <w:rPr>
          <w:szCs w:val="22"/>
        </w:rPr>
        <w:t>allows</w:t>
      </w:r>
      <w:r w:rsidR="003170FD">
        <w:rPr>
          <w:szCs w:val="22"/>
        </w:rPr>
        <w:t xml:space="preserve"> </w:t>
      </w:r>
      <w:r w:rsidR="00B60B99">
        <w:rPr>
          <w:szCs w:val="22"/>
        </w:rPr>
        <w:t>noncommercial stations</w:t>
      </w:r>
      <w:r w:rsidR="003170FD">
        <w:rPr>
          <w:szCs w:val="22"/>
        </w:rPr>
        <w:t xml:space="preserve"> </w:t>
      </w:r>
      <w:r w:rsidR="008C484A">
        <w:rPr>
          <w:szCs w:val="22"/>
        </w:rPr>
        <w:t xml:space="preserve">to broadcast </w:t>
      </w:r>
      <w:r w:rsidR="000933AA">
        <w:rPr>
          <w:szCs w:val="22"/>
        </w:rPr>
        <w:t>announcements that identify and thank</w:t>
      </w:r>
      <w:r w:rsidR="008C484A">
        <w:rPr>
          <w:szCs w:val="22"/>
        </w:rPr>
        <w:t xml:space="preserve"> entities that contribute to the station</w:t>
      </w:r>
      <w:r w:rsidR="00035046">
        <w:rPr>
          <w:szCs w:val="22"/>
        </w:rPr>
        <w:t xml:space="preserve">, </w:t>
      </w:r>
      <w:r w:rsidR="007B6323">
        <w:rPr>
          <w:szCs w:val="22"/>
        </w:rPr>
        <w:t xml:space="preserve">it prohibits stations from </w:t>
      </w:r>
      <w:r w:rsidR="00035046">
        <w:rPr>
          <w:szCs w:val="22"/>
        </w:rPr>
        <w:t>promot</w:t>
      </w:r>
      <w:r w:rsidR="007B6323">
        <w:rPr>
          <w:szCs w:val="22"/>
        </w:rPr>
        <w:t>ing</w:t>
      </w:r>
      <w:r w:rsidR="00035046">
        <w:rPr>
          <w:szCs w:val="22"/>
        </w:rPr>
        <w:t xml:space="preserve"> the products</w:t>
      </w:r>
      <w:r w:rsidR="007B6323">
        <w:rPr>
          <w:szCs w:val="22"/>
        </w:rPr>
        <w:t xml:space="preserve">, </w:t>
      </w:r>
      <w:r w:rsidR="00035046">
        <w:rPr>
          <w:szCs w:val="22"/>
        </w:rPr>
        <w:t xml:space="preserve">services </w:t>
      </w:r>
      <w:r w:rsidR="007B6323">
        <w:rPr>
          <w:szCs w:val="22"/>
        </w:rPr>
        <w:t xml:space="preserve">or businesses </w:t>
      </w:r>
      <w:r w:rsidR="00035046">
        <w:rPr>
          <w:szCs w:val="22"/>
        </w:rPr>
        <w:t xml:space="preserve">of these </w:t>
      </w:r>
      <w:r w:rsidR="007B6323">
        <w:rPr>
          <w:szCs w:val="22"/>
        </w:rPr>
        <w:t>contributors</w:t>
      </w:r>
      <w:r w:rsidR="008C484A">
        <w:rPr>
          <w:szCs w:val="22"/>
        </w:rPr>
        <w:t>.</w:t>
      </w:r>
      <w:r w:rsidR="003A49E3">
        <w:rPr>
          <w:szCs w:val="22"/>
        </w:rPr>
        <w:t xml:space="preserve">  </w:t>
      </w:r>
      <w:r>
        <w:rPr>
          <w:szCs w:val="22"/>
        </w:rPr>
        <w:t xml:space="preserve">Our enforcement actions </w:t>
      </w:r>
      <w:r w:rsidR="007B6323">
        <w:rPr>
          <w:szCs w:val="22"/>
        </w:rPr>
        <w:t xml:space="preserve">to </w:t>
      </w:r>
      <w:r w:rsidR="00035046">
        <w:rPr>
          <w:szCs w:val="22"/>
        </w:rPr>
        <w:t>address</w:t>
      </w:r>
      <w:r>
        <w:rPr>
          <w:szCs w:val="22"/>
        </w:rPr>
        <w:t xml:space="preserve"> abuse</w:t>
      </w:r>
      <w:r w:rsidR="00035046">
        <w:rPr>
          <w:szCs w:val="22"/>
        </w:rPr>
        <w:t>s</w:t>
      </w:r>
      <w:r>
        <w:rPr>
          <w:szCs w:val="22"/>
        </w:rPr>
        <w:t xml:space="preserve"> of the underwriting laws </w:t>
      </w:r>
      <w:r w:rsidR="003170FD">
        <w:rPr>
          <w:szCs w:val="22"/>
        </w:rPr>
        <w:t>protect the public</w:t>
      </w:r>
      <w:r w:rsidR="007B6323">
        <w:rPr>
          <w:szCs w:val="22"/>
        </w:rPr>
        <w:t>’s use and enjoyment of commercial</w:t>
      </w:r>
      <w:r w:rsidR="00026953">
        <w:rPr>
          <w:szCs w:val="22"/>
        </w:rPr>
        <w:t>-</w:t>
      </w:r>
      <w:r w:rsidR="007B6323">
        <w:rPr>
          <w:szCs w:val="22"/>
        </w:rPr>
        <w:t>free broadcasts in</w:t>
      </w:r>
      <w:r w:rsidR="003170FD">
        <w:rPr>
          <w:szCs w:val="22"/>
        </w:rPr>
        <w:t xml:space="preserve"> the spectrum</w:t>
      </w:r>
      <w:r w:rsidR="007B6323">
        <w:rPr>
          <w:szCs w:val="22"/>
        </w:rPr>
        <w:t xml:space="preserve"> </w:t>
      </w:r>
      <w:r w:rsidR="00026953">
        <w:rPr>
          <w:szCs w:val="22"/>
        </w:rPr>
        <w:t>t</w:t>
      </w:r>
      <w:r w:rsidR="003170FD">
        <w:rPr>
          <w:szCs w:val="22"/>
        </w:rPr>
        <w:t xml:space="preserve">hat is specifically reserved for noncommercial broadcasters.  Our </w:t>
      </w:r>
      <w:r w:rsidR="005D26C5">
        <w:rPr>
          <w:szCs w:val="22"/>
        </w:rPr>
        <w:t xml:space="preserve">efforts </w:t>
      </w:r>
      <w:r w:rsidR="003170FD">
        <w:rPr>
          <w:szCs w:val="22"/>
        </w:rPr>
        <w:t xml:space="preserve">also provide a level playing field for the noncommercial broadcasters that obey the law and </w:t>
      </w:r>
      <w:r w:rsidR="000E740D">
        <w:rPr>
          <w:szCs w:val="22"/>
        </w:rPr>
        <w:t xml:space="preserve">for the commercial broadcasters that are entitled to seek revenue from advertising.  </w:t>
      </w:r>
      <w:r w:rsidR="003170FD">
        <w:rPr>
          <w:szCs w:val="22"/>
        </w:rPr>
        <w:t>Low</w:t>
      </w:r>
      <w:r w:rsidR="00026953">
        <w:rPr>
          <w:szCs w:val="22"/>
        </w:rPr>
        <w:t>-</w:t>
      </w:r>
      <w:r w:rsidR="003170FD">
        <w:rPr>
          <w:szCs w:val="22"/>
        </w:rPr>
        <w:t>power FM radio stations</w:t>
      </w:r>
      <w:r w:rsidR="000E740D">
        <w:rPr>
          <w:szCs w:val="22"/>
        </w:rPr>
        <w:t xml:space="preserve"> are licensed to provide noncommercial, locally oriented programming for their communities.  The Commission takes action when necessary to enforce the laws </w:t>
      </w:r>
      <w:r w:rsidR="003170FD">
        <w:rPr>
          <w:szCs w:val="22"/>
        </w:rPr>
        <w:t>prohibit</w:t>
      </w:r>
      <w:r w:rsidR="000E740D">
        <w:rPr>
          <w:szCs w:val="22"/>
        </w:rPr>
        <w:t>ing low power FM stations</w:t>
      </w:r>
      <w:r w:rsidR="003170FD">
        <w:rPr>
          <w:szCs w:val="22"/>
        </w:rPr>
        <w:t xml:space="preserve"> from airing announcements that promote for-profit advertisers.  </w:t>
      </w:r>
    </w:p>
    <w:p w:rsidR="007C5CC5" w:rsidRPr="00845D98" w:rsidRDefault="00851564" w:rsidP="00845D98">
      <w:pPr>
        <w:pStyle w:val="ParaNum"/>
        <w:numPr>
          <w:ilvl w:val="0"/>
          <w:numId w:val="7"/>
        </w:numPr>
        <w:tabs>
          <w:tab w:val="clear" w:pos="1080"/>
          <w:tab w:val="num" w:pos="1440"/>
        </w:tabs>
        <w:rPr>
          <w:szCs w:val="22"/>
        </w:rPr>
      </w:pPr>
      <w:r w:rsidRPr="00FC37D2">
        <w:rPr>
          <w:szCs w:val="22"/>
        </w:rPr>
        <w:t>In this case, the Enforcement Bureau of the Federal Communic</w:t>
      </w:r>
      <w:r w:rsidR="00FC37D2">
        <w:rPr>
          <w:szCs w:val="22"/>
        </w:rPr>
        <w:t>ations Commission investigated</w:t>
      </w:r>
      <w:r w:rsidRPr="00FC37D2">
        <w:rPr>
          <w:szCs w:val="22"/>
        </w:rPr>
        <w:t xml:space="preserve"> complaint</w:t>
      </w:r>
      <w:r w:rsidR="00FC37D2">
        <w:rPr>
          <w:szCs w:val="22"/>
        </w:rPr>
        <w:t>s</w:t>
      </w:r>
      <w:r w:rsidRPr="00FC37D2">
        <w:rPr>
          <w:szCs w:val="22"/>
        </w:rPr>
        <w:t xml:space="preserve"> </w:t>
      </w:r>
      <w:r w:rsidR="00865262">
        <w:rPr>
          <w:szCs w:val="22"/>
        </w:rPr>
        <w:t xml:space="preserve">alleging </w:t>
      </w:r>
      <w:r w:rsidRPr="00FC37D2">
        <w:rPr>
          <w:szCs w:val="22"/>
        </w:rPr>
        <w:t xml:space="preserve">that </w:t>
      </w:r>
      <w:r w:rsidR="00FC37D2">
        <w:rPr>
          <w:szCs w:val="22"/>
        </w:rPr>
        <w:t xml:space="preserve">Station WQAZ-LP, Edmond, West Virginia, </w:t>
      </w:r>
      <w:r w:rsidR="00152625">
        <w:rPr>
          <w:szCs w:val="22"/>
        </w:rPr>
        <w:t xml:space="preserve">a low-power FM radio station, </w:t>
      </w:r>
      <w:r w:rsidRPr="00FC37D2">
        <w:rPr>
          <w:szCs w:val="22"/>
        </w:rPr>
        <w:t xml:space="preserve">broadcast </w:t>
      </w:r>
      <w:r w:rsidR="00714799">
        <w:rPr>
          <w:szCs w:val="22"/>
        </w:rPr>
        <w:t xml:space="preserve">announcements </w:t>
      </w:r>
      <w:r w:rsidR="00865262">
        <w:rPr>
          <w:szCs w:val="22"/>
        </w:rPr>
        <w:t>that violated the underwriting rules</w:t>
      </w:r>
      <w:r w:rsidR="00F36B0B">
        <w:rPr>
          <w:szCs w:val="22"/>
        </w:rPr>
        <w:t>.</w:t>
      </w:r>
      <w:r w:rsidRPr="00FC37D2">
        <w:rPr>
          <w:szCs w:val="22"/>
        </w:rPr>
        <w:t xml:space="preserve">  </w:t>
      </w:r>
      <w:r w:rsidR="00714799">
        <w:rPr>
          <w:szCs w:val="22"/>
        </w:rPr>
        <w:t xml:space="preserve">Syner </w:t>
      </w:r>
      <w:r w:rsidRPr="00FC37D2">
        <w:rPr>
          <w:szCs w:val="22"/>
        </w:rPr>
        <w:t>admits that the</w:t>
      </w:r>
      <w:r w:rsidR="00865262">
        <w:rPr>
          <w:szCs w:val="22"/>
        </w:rPr>
        <w:t>se</w:t>
      </w:r>
      <w:r w:rsidRPr="00FC37D2">
        <w:rPr>
          <w:szCs w:val="22"/>
        </w:rPr>
        <w:t xml:space="preserve"> broadcasts violated the </w:t>
      </w:r>
      <w:r w:rsidR="00F45EF2">
        <w:rPr>
          <w:szCs w:val="22"/>
        </w:rPr>
        <w:t xml:space="preserve">Commission’s </w:t>
      </w:r>
      <w:r w:rsidR="00714799">
        <w:rPr>
          <w:szCs w:val="22"/>
        </w:rPr>
        <w:t>underwriting laws</w:t>
      </w:r>
      <w:r w:rsidR="003A49E3">
        <w:rPr>
          <w:szCs w:val="22"/>
        </w:rPr>
        <w:t>,</w:t>
      </w:r>
      <w:r w:rsidR="00865262">
        <w:rPr>
          <w:szCs w:val="22"/>
        </w:rPr>
        <w:t xml:space="preserve"> and will</w:t>
      </w:r>
      <w:r w:rsidRPr="00FC37D2">
        <w:rPr>
          <w:szCs w:val="22"/>
        </w:rPr>
        <w:t xml:space="preserve"> </w:t>
      </w:r>
      <w:r w:rsidR="00714799">
        <w:rPr>
          <w:szCs w:val="22"/>
        </w:rPr>
        <w:t xml:space="preserve">pay </w:t>
      </w:r>
      <w:r w:rsidR="00865262">
        <w:rPr>
          <w:szCs w:val="22"/>
        </w:rPr>
        <w:t xml:space="preserve">a civil penalty of </w:t>
      </w:r>
      <w:r w:rsidR="00714799">
        <w:rPr>
          <w:szCs w:val="22"/>
        </w:rPr>
        <w:t>$16</w:t>
      </w:r>
      <w:r w:rsidRPr="00FC37D2">
        <w:rPr>
          <w:szCs w:val="22"/>
        </w:rPr>
        <w:t>,000</w:t>
      </w:r>
      <w:r w:rsidR="00865262">
        <w:rPr>
          <w:szCs w:val="22"/>
        </w:rPr>
        <w:t>.</w:t>
      </w:r>
      <w:r w:rsidR="003A49E3">
        <w:rPr>
          <w:rStyle w:val="FootnoteReference"/>
          <w:szCs w:val="22"/>
        </w:rPr>
        <w:footnoteReference w:id="2"/>
      </w:r>
      <w:r w:rsidR="00865262">
        <w:rPr>
          <w:szCs w:val="22"/>
        </w:rPr>
        <w:t xml:space="preserve">  Syner will also</w:t>
      </w:r>
      <w:r w:rsidRPr="00FC37D2">
        <w:rPr>
          <w:szCs w:val="22"/>
        </w:rPr>
        <w:t xml:space="preserve"> implement a three-year compliance plan to avoid future</w:t>
      </w:r>
      <w:r w:rsidRPr="00845D98">
        <w:rPr>
          <w:szCs w:val="22"/>
        </w:rPr>
        <w:t xml:space="preserve"> violations of the </w:t>
      </w:r>
      <w:r w:rsidR="00F45EF2">
        <w:rPr>
          <w:szCs w:val="22"/>
        </w:rPr>
        <w:t xml:space="preserve">Commission’s </w:t>
      </w:r>
      <w:r w:rsidR="00714799">
        <w:rPr>
          <w:szCs w:val="22"/>
        </w:rPr>
        <w:t>underwriting</w:t>
      </w:r>
      <w:r w:rsidRPr="00845D98">
        <w:rPr>
          <w:szCs w:val="22"/>
        </w:rPr>
        <w:t xml:space="preserve"> laws.</w:t>
      </w:r>
      <w:r w:rsidR="007C5CC5" w:rsidRPr="00845D98">
        <w:rPr>
          <w:szCs w:val="22"/>
        </w:rPr>
        <w:t xml:space="preserve">  </w:t>
      </w:r>
    </w:p>
    <w:p w:rsidR="008348B4" w:rsidRDefault="00651968" w:rsidP="00B63DB0">
      <w:pPr>
        <w:pStyle w:val="ParaNum"/>
        <w:numPr>
          <w:ilvl w:val="0"/>
          <w:numId w:val="7"/>
        </w:numPr>
        <w:tabs>
          <w:tab w:val="clear" w:pos="1080"/>
          <w:tab w:val="num" w:pos="1440"/>
        </w:tabs>
        <w:rPr>
          <w:szCs w:val="22"/>
        </w:rPr>
      </w:pPr>
      <w:r>
        <w:rPr>
          <w:szCs w:val="22"/>
        </w:rPr>
        <w:lastRenderedPageBreak/>
        <w:t xml:space="preserve">After reviewing the terms of the Consent Decree and evaluating the facts before us, we find that the public interest would be served by adopting the Consent Decree and terminating the referenced investigation regarding Syner’s compliance with </w:t>
      </w:r>
      <w:r w:rsidRPr="0058223B">
        <w:rPr>
          <w:szCs w:val="22"/>
        </w:rPr>
        <w:t xml:space="preserve">Section </w:t>
      </w:r>
      <w:r>
        <w:rPr>
          <w:szCs w:val="22"/>
        </w:rPr>
        <w:t>399b</w:t>
      </w:r>
      <w:r w:rsidRPr="0058223B">
        <w:rPr>
          <w:szCs w:val="22"/>
        </w:rPr>
        <w:t xml:space="preserve"> of the </w:t>
      </w:r>
      <w:r>
        <w:rPr>
          <w:szCs w:val="22"/>
        </w:rPr>
        <w:t>Communications Act of 1934</w:t>
      </w:r>
      <w:r w:rsidRPr="0058223B">
        <w:rPr>
          <w:szCs w:val="22"/>
        </w:rPr>
        <w:t>, as amended</w:t>
      </w:r>
      <w:r>
        <w:rPr>
          <w:szCs w:val="22"/>
        </w:rPr>
        <w:t xml:space="preserve"> (Act)</w:t>
      </w:r>
      <w:r w:rsidRPr="0058223B">
        <w:rPr>
          <w:szCs w:val="22"/>
        </w:rPr>
        <w:t>,</w:t>
      </w:r>
      <w:r>
        <w:rPr>
          <w:rStyle w:val="FootnoteReference"/>
          <w:szCs w:val="22"/>
        </w:rPr>
        <w:footnoteReference w:id="3"/>
      </w:r>
      <w:r w:rsidRPr="0058223B">
        <w:rPr>
          <w:szCs w:val="22"/>
        </w:rPr>
        <w:t xml:space="preserve"> and Section</w:t>
      </w:r>
      <w:r>
        <w:rPr>
          <w:szCs w:val="22"/>
        </w:rPr>
        <w:t>s</w:t>
      </w:r>
      <w:r w:rsidRPr="0058223B">
        <w:rPr>
          <w:szCs w:val="22"/>
        </w:rPr>
        <w:t xml:space="preserve"> 73</w:t>
      </w:r>
      <w:r>
        <w:rPr>
          <w:szCs w:val="22"/>
        </w:rPr>
        <w:t>.801 and 73.503(d)</w:t>
      </w:r>
      <w:r w:rsidRPr="0058223B">
        <w:rPr>
          <w:szCs w:val="22"/>
        </w:rPr>
        <w:t xml:space="preserve"> of the Commission’s rules (Rules)</w:t>
      </w:r>
      <w:r>
        <w:rPr>
          <w:szCs w:val="22"/>
        </w:rPr>
        <w:t>,</w:t>
      </w:r>
      <w:r w:rsidRPr="0058223B">
        <w:rPr>
          <w:rStyle w:val="FootnoteReference"/>
          <w:sz w:val="22"/>
          <w:szCs w:val="22"/>
        </w:rPr>
        <w:footnoteReference w:id="4"/>
      </w:r>
      <w:r>
        <w:rPr>
          <w:szCs w:val="22"/>
        </w:rPr>
        <w:t xml:space="preserve">  </w:t>
      </w:r>
      <w:r w:rsidRPr="0058223B">
        <w:rPr>
          <w:szCs w:val="22"/>
        </w:rPr>
        <w:t xml:space="preserve">pertaining to </w:t>
      </w:r>
      <w:r>
        <w:rPr>
          <w:szCs w:val="22"/>
        </w:rPr>
        <w:t>noncommercial underwriting aired over low-power FM stations</w:t>
      </w:r>
      <w:r w:rsidRPr="0058223B">
        <w:rPr>
          <w:szCs w:val="22"/>
        </w:rPr>
        <w:t>.</w:t>
      </w:r>
      <w:r>
        <w:rPr>
          <w:szCs w:val="22"/>
        </w:rPr>
        <w:t xml:space="preserve">  </w:t>
      </w:r>
    </w:p>
    <w:p w:rsidR="00026E0C" w:rsidRPr="00F45EF2" w:rsidRDefault="00026E0C" w:rsidP="00B63DB0">
      <w:pPr>
        <w:pStyle w:val="ParaNum"/>
        <w:numPr>
          <w:ilvl w:val="0"/>
          <w:numId w:val="7"/>
        </w:numPr>
        <w:tabs>
          <w:tab w:val="clear" w:pos="1080"/>
          <w:tab w:val="num" w:pos="1440"/>
        </w:tabs>
        <w:rPr>
          <w:szCs w:val="22"/>
        </w:rPr>
      </w:pPr>
      <w:r w:rsidRPr="00F45EF2">
        <w:rPr>
          <w:szCs w:val="22"/>
        </w:rPr>
        <w:t xml:space="preserve">In the absence of material new evidence relating to this matter, we conclude that our investigation raises no substantial or material questions of fact as to whether </w:t>
      </w:r>
      <w:r w:rsidR="00714799" w:rsidRPr="00F45EF2">
        <w:rPr>
          <w:szCs w:val="22"/>
        </w:rPr>
        <w:t>Syner</w:t>
      </w:r>
      <w:r w:rsidRPr="00F45EF2">
        <w:rPr>
          <w:szCs w:val="22"/>
        </w:rPr>
        <w:t xml:space="preserve"> possesses the basic qualifications, including those related to character, to hold or obtain any Commission license or authorization.</w:t>
      </w:r>
    </w:p>
    <w:p w:rsidR="00026E0C" w:rsidRPr="0058223B" w:rsidRDefault="00026E0C" w:rsidP="00026E0C">
      <w:pPr>
        <w:pStyle w:val="ParaNum"/>
        <w:widowControl/>
        <w:numPr>
          <w:ilvl w:val="0"/>
          <w:numId w:val="7"/>
        </w:numPr>
        <w:tabs>
          <w:tab w:val="clear" w:pos="1080"/>
          <w:tab w:val="num" w:pos="1440"/>
        </w:tabs>
        <w:rPr>
          <w:szCs w:val="22"/>
        </w:rPr>
      </w:pPr>
      <w:r w:rsidRPr="0058223B">
        <w:rPr>
          <w:szCs w:val="22"/>
        </w:rPr>
        <w:t xml:space="preserve">Accordingly, </w:t>
      </w:r>
      <w:r w:rsidRPr="0058223B">
        <w:rPr>
          <w:b/>
          <w:szCs w:val="22"/>
        </w:rPr>
        <w:t>IT IS ORDERED</w:t>
      </w:r>
      <w:r w:rsidRPr="0058223B">
        <w:rPr>
          <w:szCs w:val="22"/>
        </w:rPr>
        <w:t xml:space="preserve"> that, pursuant to Section 4(i)</w:t>
      </w:r>
      <w:r w:rsidR="00810831">
        <w:rPr>
          <w:szCs w:val="22"/>
        </w:rPr>
        <w:t xml:space="preserve"> </w:t>
      </w:r>
      <w:r w:rsidRPr="0058223B">
        <w:rPr>
          <w:szCs w:val="22"/>
        </w:rPr>
        <w:t>of the Act</w:t>
      </w:r>
      <w:r w:rsidRPr="00CB74F9">
        <w:rPr>
          <w:rStyle w:val="FootnoteReference"/>
          <w:sz w:val="22"/>
        </w:rPr>
        <w:footnoteReference w:id="5"/>
      </w:r>
      <w:r w:rsidRPr="0058223B">
        <w:rPr>
          <w:szCs w:val="22"/>
        </w:rPr>
        <w:t xml:space="preserve"> and </w:t>
      </w:r>
      <w:r w:rsidR="00810831">
        <w:rPr>
          <w:szCs w:val="22"/>
        </w:rPr>
        <w:t xml:space="preserve">the authority delegated by </w:t>
      </w:r>
      <w:r w:rsidRPr="0058223B">
        <w:rPr>
          <w:szCs w:val="22"/>
        </w:rPr>
        <w:t>Sections 0.111 and 0.311 of the Rules,</w:t>
      </w:r>
      <w:r w:rsidRPr="00CB74F9">
        <w:rPr>
          <w:rStyle w:val="FootnoteReference"/>
          <w:sz w:val="22"/>
        </w:rPr>
        <w:footnoteReference w:id="6"/>
      </w:r>
      <w:r w:rsidRPr="0058223B">
        <w:rPr>
          <w:szCs w:val="22"/>
        </w:rPr>
        <w:t xml:space="preserve"> the Consent Decree </w:t>
      </w:r>
      <w:r w:rsidRPr="0058223B">
        <w:rPr>
          <w:b/>
          <w:szCs w:val="22"/>
        </w:rPr>
        <w:t>IS ADOPTED</w:t>
      </w:r>
      <w:r w:rsidR="00810831">
        <w:rPr>
          <w:b/>
          <w:szCs w:val="22"/>
        </w:rPr>
        <w:t xml:space="preserve"> </w:t>
      </w:r>
      <w:r w:rsidR="00810831">
        <w:rPr>
          <w:szCs w:val="22"/>
        </w:rPr>
        <w:t>and its terms incorporated by reference</w:t>
      </w:r>
      <w:r w:rsidRPr="0058223B">
        <w:rPr>
          <w:szCs w:val="22"/>
        </w:rPr>
        <w:t>.</w:t>
      </w:r>
    </w:p>
    <w:p w:rsidR="00026E0C" w:rsidRPr="0058223B" w:rsidRDefault="00026E0C" w:rsidP="00026E0C">
      <w:pPr>
        <w:pStyle w:val="ParaNum"/>
        <w:numPr>
          <w:ilvl w:val="0"/>
          <w:numId w:val="7"/>
        </w:numPr>
        <w:tabs>
          <w:tab w:val="clear" w:pos="1080"/>
          <w:tab w:val="num" w:pos="1440"/>
        </w:tabs>
        <w:rPr>
          <w:szCs w:val="22"/>
        </w:rPr>
      </w:pPr>
      <w:r w:rsidRPr="0058223B">
        <w:rPr>
          <w:b/>
          <w:szCs w:val="22"/>
        </w:rPr>
        <w:t>IT IS FURTHER ORDERED</w:t>
      </w:r>
      <w:r w:rsidRPr="0058223B">
        <w:rPr>
          <w:szCs w:val="22"/>
        </w:rPr>
        <w:t xml:space="preserve"> that the above-captioned investigation </w:t>
      </w:r>
      <w:r w:rsidRPr="0058223B">
        <w:rPr>
          <w:b/>
          <w:szCs w:val="22"/>
        </w:rPr>
        <w:t>IS</w:t>
      </w:r>
      <w:r w:rsidRPr="0058223B">
        <w:rPr>
          <w:szCs w:val="22"/>
        </w:rPr>
        <w:t xml:space="preserve"> </w:t>
      </w:r>
      <w:r w:rsidRPr="0058223B">
        <w:rPr>
          <w:b/>
          <w:szCs w:val="22"/>
        </w:rPr>
        <w:t>TERMINATED</w:t>
      </w:r>
      <w:r w:rsidRPr="0058223B">
        <w:rPr>
          <w:szCs w:val="22"/>
        </w:rPr>
        <w:t>.</w:t>
      </w:r>
    </w:p>
    <w:p w:rsidR="00026E0C" w:rsidRDefault="00026E0C" w:rsidP="00026E0C">
      <w:pPr>
        <w:pStyle w:val="ParaNum"/>
        <w:numPr>
          <w:ilvl w:val="0"/>
          <w:numId w:val="7"/>
        </w:numPr>
        <w:tabs>
          <w:tab w:val="clear" w:pos="1080"/>
          <w:tab w:val="num" w:pos="1440"/>
        </w:tabs>
        <w:rPr>
          <w:szCs w:val="22"/>
        </w:rPr>
      </w:pPr>
      <w:r w:rsidRPr="0058223B">
        <w:rPr>
          <w:b/>
          <w:szCs w:val="22"/>
        </w:rPr>
        <w:t xml:space="preserve">IT IS FURTHER ORDERED </w:t>
      </w:r>
      <w:r w:rsidRPr="0058223B">
        <w:rPr>
          <w:szCs w:val="22"/>
        </w:rPr>
        <w:t>that any third-party complaints and a</w:t>
      </w:r>
      <w:r w:rsidR="003102C8">
        <w:rPr>
          <w:szCs w:val="22"/>
        </w:rPr>
        <w:t xml:space="preserve">llegations against </w:t>
      </w:r>
      <w:r w:rsidR="00714799">
        <w:rPr>
          <w:szCs w:val="22"/>
        </w:rPr>
        <w:t>WQAZ-LP</w:t>
      </w:r>
      <w:r w:rsidR="003102C8">
        <w:rPr>
          <w:szCs w:val="22"/>
        </w:rPr>
        <w:t xml:space="preserve"> </w:t>
      </w:r>
      <w:r w:rsidRPr="0058223B">
        <w:rPr>
          <w:szCs w:val="22"/>
        </w:rPr>
        <w:t xml:space="preserve">and/or </w:t>
      </w:r>
      <w:r w:rsidR="00714799">
        <w:rPr>
          <w:szCs w:val="22"/>
        </w:rPr>
        <w:t>Syner</w:t>
      </w:r>
      <w:r w:rsidRPr="0058223B">
        <w:rPr>
          <w:szCs w:val="22"/>
        </w:rPr>
        <w:t xml:space="preserve"> related to the above-captioned investigation that are currently pending before the Bureau as of the date of this Consent Decree</w:t>
      </w:r>
      <w:r w:rsidRPr="0058223B">
        <w:rPr>
          <w:b/>
          <w:szCs w:val="22"/>
        </w:rPr>
        <w:t xml:space="preserve"> ARE DISMISSED</w:t>
      </w:r>
      <w:r w:rsidRPr="0058223B">
        <w:rPr>
          <w:szCs w:val="22"/>
        </w:rPr>
        <w:t>.</w:t>
      </w:r>
    </w:p>
    <w:p w:rsidR="00026E0C" w:rsidRPr="0058223B" w:rsidRDefault="00026E0C" w:rsidP="00026E0C">
      <w:pPr>
        <w:pStyle w:val="ParaNum"/>
        <w:numPr>
          <w:ilvl w:val="0"/>
          <w:numId w:val="7"/>
        </w:numPr>
        <w:tabs>
          <w:tab w:val="clear" w:pos="1080"/>
          <w:tab w:val="num" w:pos="1440"/>
        </w:tabs>
        <w:rPr>
          <w:szCs w:val="22"/>
        </w:rPr>
      </w:pPr>
      <w:r w:rsidRPr="0058223B">
        <w:rPr>
          <w:b/>
          <w:szCs w:val="22"/>
        </w:rPr>
        <w:t>IT IS FURTHER ORDERED</w:t>
      </w:r>
      <w:r w:rsidRPr="0058223B">
        <w:rPr>
          <w:szCs w:val="22"/>
        </w:rPr>
        <w:t xml:space="preserve"> that a copy of this Order and Consent Decree shall be sent by </w:t>
      </w:r>
      <w:r w:rsidR="00810831">
        <w:rPr>
          <w:szCs w:val="22"/>
        </w:rPr>
        <w:t xml:space="preserve">first class mail </w:t>
      </w:r>
      <w:r w:rsidR="003102C8">
        <w:rPr>
          <w:szCs w:val="22"/>
        </w:rPr>
        <w:t xml:space="preserve">and </w:t>
      </w:r>
      <w:r w:rsidR="00810831">
        <w:rPr>
          <w:szCs w:val="22"/>
        </w:rPr>
        <w:t>c</w:t>
      </w:r>
      <w:r w:rsidR="003102C8">
        <w:rPr>
          <w:szCs w:val="22"/>
        </w:rPr>
        <w:t xml:space="preserve">ertified </w:t>
      </w:r>
      <w:r w:rsidR="00810831">
        <w:rPr>
          <w:szCs w:val="22"/>
        </w:rPr>
        <w:t>m</w:t>
      </w:r>
      <w:r w:rsidR="003102C8">
        <w:rPr>
          <w:szCs w:val="22"/>
        </w:rPr>
        <w:t>ail</w:t>
      </w:r>
      <w:r w:rsidR="00810831">
        <w:rPr>
          <w:szCs w:val="22"/>
        </w:rPr>
        <w:t>, return receipt requested,</w:t>
      </w:r>
      <w:r w:rsidRPr="0058223B">
        <w:rPr>
          <w:szCs w:val="22"/>
        </w:rPr>
        <w:t xml:space="preserve"> </w:t>
      </w:r>
      <w:r w:rsidR="003102C8">
        <w:rPr>
          <w:szCs w:val="22"/>
        </w:rPr>
        <w:t xml:space="preserve">to </w:t>
      </w:r>
      <w:r w:rsidR="00714799">
        <w:rPr>
          <w:szCs w:val="22"/>
        </w:rPr>
        <w:t>Syner’s</w:t>
      </w:r>
      <w:r w:rsidRPr="0058223B">
        <w:rPr>
          <w:szCs w:val="22"/>
        </w:rPr>
        <w:t xml:space="preserve"> counsel, </w:t>
      </w:r>
      <w:r w:rsidR="00714799">
        <w:rPr>
          <w:szCs w:val="22"/>
        </w:rPr>
        <w:t>Lee J. Peltzman</w:t>
      </w:r>
      <w:r w:rsidRPr="0058223B">
        <w:rPr>
          <w:szCs w:val="22"/>
        </w:rPr>
        <w:t xml:space="preserve">, Esq., </w:t>
      </w:r>
      <w:r w:rsidR="00714799">
        <w:rPr>
          <w:szCs w:val="22"/>
        </w:rPr>
        <w:t>Shainis &amp; Peltzman, 1850 M Street, N.W., Suite 240, Washington, D.C. 20036</w:t>
      </w:r>
      <w:r w:rsidRPr="0058223B">
        <w:rPr>
          <w:szCs w:val="22"/>
        </w:rPr>
        <w:t xml:space="preserve">.  </w:t>
      </w:r>
    </w:p>
    <w:p w:rsidR="00026E0C" w:rsidRPr="0058223B" w:rsidRDefault="00026E0C" w:rsidP="00026E0C">
      <w:pPr>
        <w:rPr>
          <w:szCs w:val="22"/>
        </w:rPr>
      </w:pPr>
    </w:p>
    <w:p w:rsidR="00026E0C" w:rsidRPr="0058223B" w:rsidRDefault="00026E0C" w:rsidP="00026E0C">
      <w:pPr>
        <w:tabs>
          <w:tab w:val="left" w:pos="4320"/>
        </w:tabs>
        <w:rPr>
          <w:szCs w:val="22"/>
        </w:rPr>
      </w:pPr>
      <w:r w:rsidRPr="0058223B">
        <w:rPr>
          <w:szCs w:val="22"/>
        </w:rPr>
        <w:tab/>
        <w:t>FEDERAL COMMUNICATIONS COMMISSION</w:t>
      </w:r>
    </w:p>
    <w:p w:rsidR="00026E0C" w:rsidRPr="0058223B" w:rsidRDefault="00026E0C" w:rsidP="00026E0C">
      <w:pPr>
        <w:tabs>
          <w:tab w:val="left" w:pos="4320"/>
        </w:tabs>
        <w:rPr>
          <w:szCs w:val="22"/>
        </w:rPr>
      </w:pPr>
    </w:p>
    <w:p w:rsidR="00026E0C" w:rsidRPr="0058223B" w:rsidRDefault="00026E0C" w:rsidP="00026E0C">
      <w:pPr>
        <w:tabs>
          <w:tab w:val="left" w:pos="4320"/>
        </w:tabs>
        <w:rPr>
          <w:szCs w:val="22"/>
        </w:rPr>
      </w:pPr>
    </w:p>
    <w:p w:rsidR="00026E0C" w:rsidRPr="0058223B" w:rsidRDefault="00026E0C" w:rsidP="00026E0C">
      <w:pPr>
        <w:tabs>
          <w:tab w:val="left" w:pos="4320"/>
        </w:tabs>
        <w:rPr>
          <w:szCs w:val="22"/>
        </w:rPr>
      </w:pPr>
    </w:p>
    <w:p w:rsidR="003102C8" w:rsidRDefault="00026E0C" w:rsidP="00F97309">
      <w:pPr>
        <w:tabs>
          <w:tab w:val="left" w:pos="4320"/>
        </w:tabs>
        <w:rPr>
          <w:szCs w:val="22"/>
        </w:rPr>
      </w:pPr>
      <w:r w:rsidRPr="0058223B">
        <w:rPr>
          <w:szCs w:val="22"/>
        </w:rPr>
        <w:tab/>
      </w:r>
    </w:p>
    <w:p w:rsidR="00522103" w:rsidRPr="00F97309" w:rsidRDefault="003102C8" w:rsidP="00F97309">
      <w:pPr>
        <w:tabs>
          <w:tab w:val="left" w:pos="4320"/>
        </w:tabs>
      </w:pPr>
      <w:r>
        <w:rPr>
          <w:szCs w:val="22"/>
        </w:rPr>
        <w:tab/>
      </w:r>
      <w:r w:rsidR="000A65D6">
        <w:t>Phil</w:t>
      </w:r>
      <w:r w:rsidR="00FC019D">
        <w:t>lip</w:t>
      </w:r>
      <w:r w:rsidR="000A65D6">
        <w:t xml:space="preserve"> Rosario</w:t>
      </w:r>
    </w:p>
    <w:p w:rsidR="00026E0C" w:rsidRDefault="000A65D6" w:rsidP="00795A4A">
      <w:pPr>
        <w:pStyle w:val="MediumGrid21"/>
        <w:ind w:firstLine="4320"/>
        <w:rPr>
          <w:sz w:val="22"/>
          <w:szCs w:val="22"/>
        </w:rPr>
      </w:pPr>
      <w:r>
        <w:rPr>
          <w:sz w:val="22"/>
          <w:szCs w:val="22"/>
        </w:rPr>
        <w:t xml:space="preserve">Deputy </w:t>
      </w:r>
      <w:r w:rsidR="00026E0C" w:rsidRPr="0058223B">
        <w:rPr>
          <w:sz w:val="22"/>
          <w:szCs w:val="22"/>
        </w:rPr>
        <w:t>Chief</w:t>
      </w:r>
    </w:p>
    <w:p w:rsidR="00436A87" w:rsidRDefault="00436A87" w:rsidP="00795A4A">
      <w:pPr>
        <w:pStyle w:val="MediumGrid21"/>
        <w:ind w:firstLine="4320"/>
        <w:rPr>
          <w:szCs w:val="22"/>
        </w:rPr>
      </w:pPr>
      <w:r>
        <w:rPr>
          <w:sz w:val="22"/>
          <w:szCs w:val="22"/>
        </w:rPr>
        <w:t>Enforcement Bureau</w:t>
      </w:r>
    </w:p>
    <w:p w:rsidR="00850A0D" w:rsidRDefault="00026E0C" w:rsidP="005F150C">
      <w:pPr>
        <w:tabs>
          <w:tab w:val="left" w:pos="4320"/>
        </w:tabs>
        <w:rPr>
          <w:szCs w:val="22"/>
        </w:rPr>
        <w:sectPr w:rsidR="00850A0D" w:rsidSect="00E014B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299"/>
        </w:sectPr>
      </w:pPr>
      <w:r w:rsidRPr="0058223B">
        <w:rPr>
          <w:szCs w:val="22"/>
        </w:rPr>
        <w:tab/>
      </w:r>
    </w:p>
    <w:p w:rsidR="003C3D5C" w:rsidRDefault="003C3D5C" w:rsidP="005F150C">
      <w:pPr>
        <w:tabs>
          <w:tab w:val="left" w:pos="4320"/>
        </w:tabs>
        <w:rPr>
          <w:szCs w:val="22"/>
        </w:rPr>
        <w:sectPr w:rsidR="003C3D5C" w:rsidSect="00E014BC">
          <w:endnotePr>
            <w:numFmt w:val="decimal"/>
          </w:endnotePr>
          <w:pgSz w:w="12240" w:h="15840"/>
          <w:pgMar w:top="1440" w:right="1440" w:bottom="1440" w:left="1440" w:header="720" w:footer="720" w:gutter="0"/>
          <w:pgNumType w:start="1"/>
          <w:cols w:space="720"/>
          <w:noEndnote/>
          <w:titlePg/>
          <w:docGrid w:linePitch="299"/>
        </w:sectPr>
      </w:pPr>
    </w:p>
    <w:p w:rsidR="00241AA2" w:rsidRPr="0058223B" w:rsidRDefault="00241AA2" w:rsidP="00241AA2">
      <w:pPr>
        <w:jc w:val="center"/>
        <w:rPr>
          <w:b/>
          <w:szCs w:val="22"/>
        </w:rPr>
      </w:pPr>
      <w:r w:rsidRPr="0058223B">
        <w:rPr>
          <w:b/>
          <w:kern w:val="0"/>
          <w:szCs w:val="22"/>
        </w:rPr>
        <w:t>Before</w:t>
      </w:r>
      <w:r w:rsidRPr="0058223B">
        <w:rPr>
          <w:b/>
          <w:szCs w:val="22"/>
        </w:rPr>
        <w:t xml:space="preserve"> the</w:t>
      </w:r>
    </w:p>
    <w:p w:rsidR="00241AA2" w:rsidRPr="0058223B" w:rsidRDefault="00241AA2" w:rsidP="00241AA2">
      <w:pPr>
        <w:pStyle w:val="StyleBoldCentered"/>
        <w:rPr>
          <w:rFonts w:ascii="Times New Roman" w:hAnsi="Times New Roman"/>
        </w:rPr>
      </w:pPr>
      <w:r w:rsidRPr="0058223B">
        <w:rPr>
          <w:rFonts w:ascii="Times New Roman" w:hAnsi="Times New Roman"/>
        </w:rPr>
        <w:t>F</w:t>
      </w:r>
      <w:r w:rsidRPr="0058223B">
        <w:rPr>
          <w:rFonts w:ascii="Times New Roman" w:hAnsi="Times New Roman"/>
          <w:caps w:val="0"/>
        </w:rPr>
        <w:t>ederal Communications Commission</w:t>
      </w:r>
    </w:p>
    <w:p w:rsidR="00241AA2" w:rsidRPr="0058223B" w:rsidRDefault="00241AA2" w:rsidP="00241AA2">
      <w:pPr>
        <w:pStyle w:val="StyleBoldCentered"/>
        <w:rPr>
          <w:rFonts w:ascii="Times New Roman" w:hAnsi="Times New Roman"/>
        </w:rPr>
      </w:pPr>
      <w:r w:rsidRPr="0058223B">
        <w:rPr>
          <w:rFonts w:ascii="Times New Roman" w:hAnsi="Times New Roman"/>
          <w:caps w:val="0"/>
        </w:rPr>
        <w:t>Washington, D.C. 20554</w:t>
      </w:r>
    </w:p>
    <w:p w:rsidR="00241AA2" w:rsidRPr="0058223B" w:rsidRDefault="00241AA2" w:rsidP="00241AA2">
      <w:pPr>
        <w:rPr>
          <w:szCs w:val="22"/>
        </w:rPr>
      </w:pPr>
    </w:p>
    <w:tbl>
      <w:tblPr>
        <w:tblW w:w="0" w:type="auto"/>
        <w:tblLayout w:type="fixed"/>
        <w:tblLook w:val="0000" w:firstRow="0" w:lastRow="0" w:firstColumn="0" w:lastColumn="0" w:noHBand="0" w:noVBand="0"/>
      </w:tblPr>
      <w:tblGrid>
        <w:gridCol w:w="4698"/>
        <w:gridCol w:w="630"/>
        <w:gridCol w:w="4248"/>
      </w:tblGrid>
      <w:tr w:rsidR="00241AA2" w:rsidRPr="0058223B" w:rsidTr="00465063">
        <w:tc>
          <w:tcPr>
            <w:tcW w:w="4698" w:type="dxa"/>
          </w:tcPr>
          <w:p w:rsidR="00241AA2" w:rsidRPr="0058223B" w:rsidRDefault="00241AA2" w:rsidP="00465063">
            <w:pPr>
              <w:tabs>
                <w:tab w:val="center" w:pos="4680"/>
              </w:tabs>
              <w:suppressAutoHyphens/>
              <w:rPr>
                <w:spacing w:val="-2"/>
                <w:szCs w:val="22"/>
              </w:rPr>
            </w:pPr>
            <w:r w:rsidRPr="0058223B">
              <w:rPr>
                <w:spacing w:val="-2"/>
                <w:szCs w:val="22"/>
              </w:rPr>
              <w:t>In the Matter of</w:t>
            </w:r>
          </w:p>
          <w:p w:rsidR="00241AA2" w:rsidRPr="0058223B" w:rsidRDefault="00241AA2" w:rsidP="00E014BC">
            <w:pPr>
              <w:widowControl/>
              <w:tabs>
                <w:tab w:val="center" w:pos="4680"/>
              </w:tabs>
              <w:suppressAutoHyphens/>
              <w:rPr>
                <w:snapToGrid/>
                <w:spacing w:val="-2"/>
                <w:szCs w:val="22"/>
              </w:rPr>
            </w:pPr>
          </w:p>
          <w:p w:rsidR="00241AA2" w:rsidRPr="0058223B" w:rsidRDefault="00241AA2" w:rsidP="00465063">
            <w:pPr>
              <w:tabs>
                <w:tab w:val="center" w:pos="4680"/>
              </w:tabs>
              <w:suppressAutoHyphens/>
              <w:rPr>
                <w:b/>
                <w:spacing w:val="-2"/>
                <w:szCs w:val="22"/>
              </w:rPr>
            </w:pPr>
            <w:r>
              <w:rPr>
                <w:b/>
                <w:spacing w:val="-2"/>
                <w:szCs w:val="22"/>
              </w:rPr>
              <w:t>The Syner Foundation, Inc.</w:t>
            </w:r>
          </w:p>
          <w:p w:rsidR="00241AA2" w:rsidRPr="0058223B" w:rsidRDefault="00241AA2" w:rsidP="00465063">
            <w:pPr>
              <w:tabs>
                <w:tab w:val="center" w:pos="4680"/>
              </w:tabs>
              <w:suppressAutoHyphens/>
              <w:rPr>
                <w:spacing w:val="-2"/>
                <w:szCs w:val="22"/>
              </w:rPr>
            </w:pPr>
          </w:p>
          <w:p w:rsidR="00241AA2" w:rsidRPr="0058223B" w:rsidRDefault="00241AA2" w:rsidP="00465063">
            <w:pPr>
              <w:tabs>
                <w:tab w:val="center" w:pos="4680"/>
              </w:tabs>
              <w:suppressAutoHyphens/>
              <w:rPr>
                <w:spacing w:val="-2"/>
                <w:szCs w:val="22"/>
              </w:rPr>
            </w:pPr>
            <w:r w:rsidRPr="0058223B">
              <w:rPr>
                <w:szCs w:val="22"/>
              </w:rPr>
              <w:t xml:space="preserve">Licensee of Station </w:t>
            </w:r>
            <w:r>
              <w:rPr>
                <w:szCs w:val="22"/>
              </w:rPr>
              <w:t>WQAZ-LP</w:t>
            </w:r>
            <w:r w:rsidRPr="0058223B">
              <w:rPr>
                <w:szCs w:val="22"/>
              </w:rPr>
              <w:t xml:space="preserve">, </w:t>
            </w:r>
            <w:r>
              <w:rPr>
                <w:szCs w:val="22"/>
              </w:rPr>
              <w:t>Edmond</w:t>
            </w:r>
            <w:r w:rsidRPr="0058223B">
              <w:rPr>
                <w:szCs w:val="22"/>
              </w:rPr>
              <w:t xml:space="preserve">, </w:t>
            </w:r>
            <w:r>
              <w:rPr>
                <w:szCs w:val="22"/>
              </w:rPr>
              <w:t>West Virginia</w:t>
            </w:r>
          </w:p>
        </w:tc>
        <w:tc>
          <w:tcPr>
            <w:tcW w:w="630" w:type="dxa"/>
          </w:tcPr>
          <w:p w:rsidR="00241AA2" w:rsidRPr="0058223B" w:rsidRDefault="00241AA2" w:rsidP="00465063">
            <w:pPr>
              <w:tabs>
                <w:tab w:val="center" w:pos="4680"/>
              </w:tabs>
              <w:suppressAutoHyphens/>
              <w:rPr>
                <w:b/>
                <w:spacing w:val="-2"/>
                <w:szCs w:val="22"/>
              </w:rPr>
            </w:pPr>
            <w:r w:rsidRPr="0058223B">
              <w:rPr>
                <w:b/>
                <w:spacing w:val="-2"/>
                <w:szCs w:val="22"/>
              </w:rPr>
              <w:t>)</w:t>
            </w:r>
          </w:p>
          <w:p w:rsidR="00241AA2" w:rsidRPr="0058223B" w:rsidRDefault="00241AA2" w:rsidP="00465063">
            <w:pPr>
              <w:tabs>
                <w:tab w:val="center" w:pos="4680"/>
              </w:tabs>
              <w:suppressAutoHyphens/>
              <w:rPr>
                <w:b/>
                <w:spacing w:val="-2"/>
                <w:szCs w:val="22"/>
              </w:rPr>
            </w:pPr>
            <w:r w:rsidRPr="0058223B">
              <w:rPr>
                <w:b/>
                <w:spacing w:val="-2"/>
                <w:szCs w:val="22"/>
              </w:rPr>
              <w:t>)</w:t>
            </w:r>
          </w:p>
          <w:p w:rsidR="00241AA2" w:rsidRPr="0058223B" w:rsidRDefault="00241AA2" w:rsidP="00465063">
            <w:pPr>
              <w:tabs>
                <w:tab w:val="center" w:pos="4680"/>
              </w:tabs>
              <w:suppressAutoHyphens/>
              <w:rPr>
                <w:b/>
                <w:spacing w:val="-2"/>
                <w:szCs w:val="22"/>
              </w:rPr>
            </w:pPr>
            <w:r w:rsidRPr="0058223B">
              <w:rPr>
                <w:b/>
                <w:spacing w:val="-2"/>
                <w:szCs w:val="22"/>
              </w:rPr>
              <w:t>)</w:t>
            </w:r>
          </w:p>
          <w:p w:rsidR="00241AA2" w:rsidRPr="0058223B" w:rsidRDefault="00241AA2" w:rsidP="00465063">
            <w:pPr>
              <w:tabs>
                <w:tab w:val="center" w:pos="4680"/>
              </w:tabs>
              <w:suppressAutoHyphens/>
              <w:rPr>
                <w:b/>
                <w:spacing w:val="-2"/>
                <w:szCs w:val="22"/>
              </w:rPr>
            </w:pPr>
            <w:r w:rsidRPr="0058223B">
              <w:rPr>
                <w:b/>
                <w:spacing w:val="-2"/>
                <w:szCs w:val="22"/>
              </w:rPr>
              <w:t>)</w:t>
            </w:r>
          </w:p>
          <w:p w:rsidR="00241AA2" w:rsidRPr="0058223B" w:rsidRDefault="00241AA2" w:rsidP="00465063">
            <w:pPr>
              <w:tabs>
                <w:tab w:val="center" w:pos="4680"/>
              </w:tabs>
              <w:suppressAutoHyphens/>
              <w:rPr>
                <w:b/>
                <w:spacing w:val="-2"/>
                <w:szCs w:val="22"/>
              </w:rPr>
            </w:pPr>
            <w:r w:rsidRPr="0058223B">
              <w:rPr>
                <w:b/>
                <w:spacing w:val="-2"/>
                <w:szCs w:val="22"/>
              </w:rPr>
              <w:t>)</w:t>
            </w:r>
          </w:p>
          <w:p w:rsidR="00241AA2" w:rsidRPr="0058223B" w:rsidRDefault="00241AA2" w:rsidP="00465063">
            <w:pPr>
              <w:tabs>
                <w:tab w:val="center" w:pos="4680"/>
              </w:tabs>
              <w:suppressAutoHyphens/>
              <w:rPr>
                <w:b/>
                <w:spacing w:val="-2"/>
                <w:szCs w:val="22"/>
              </w:rPr>
            </w:pPr>
            <w:r w:rsidRPr="0058223B">
              <w:rPr>
                <w:b/>
                <w:spacing w:val="-2"/>
                <w:szCs w:val="22"/>
              </w:rPr>
              <w:t>)</w:t>
            </w:r>
          </w:p>
          <w:p w:rsidR="00241AA2" w:rsidRPr="0058223B" w:rsidRDefault="00241AA2" w:rsidP="00465063">
            <w:pPr>
              <w:tabs>
                <w:tab w:val="center" w:pos="4680"/>
              </w:tabs>
              <w:suppressAutoHyphens/>
              <w:rPr>
                <w:b/>
                <w:spacing w:val="-2"/>
                <w:szCs w:val="22"/>
              </w:rPr>
            </w:pPr>
            <w:r w:rsidRPr="0058223B">
              <w:rPr>
                <w:b/>
                <w:spacing w:val="-2"/>
                <w:szCs w:val="22"/>
              </w:rPr>
              <w:t>)</w:t>
            </w:r>
          </w:p>
          <w:p w:rsidR="00241AA2" w:rsidRPr="0058223B" w:rsidRDefault="00241AA2" w:rsidP="00465063">
            <w:pPr>
              <w:tabs>
                <w:tab w:val="center" w:pos="4680"/>
              </w:tabs>
              <w:suppressAutoHyphens/>
              <w:rPr>
                <w:b/>
                <w:spacing w:val="-2"/>
                <w:szCs w:val="22"/>
              </w:rPr>
            </w:pPr>
            <w:r w:rsidRPr="0058223B">
              <w:rPr>
                <w:b/>
                <w:spacing w:val="-2"/>
                <w:szCs w:val="22"/>
              </w:rPr>
              <w:t>)</w:t>
            </w:r>
          </w:p>
          <w:p w:rsidR="00241AA2" w:rsidRPr="0058223B" w:rsidRDefault="00241AA2" w:rsidP="00465063">
            <w:pPr>
              <w:tabs>
                <w:tab w:val="center" w:pos="4680"/>
              </w:tabs>
              <w:suppressAutoHyphens/>
              <w:rPr>
                <w:b/>
                <w:spacing w:val="-2"/>
                <w:szCs w:val="22"/>
              </w:rPr>
            </w:pPr>
            <w:r w:rsidRPr="0058223B">
              <w:rPr>
                <w:b/>
                <w:spacing w:val="-2"/>
                <w:szCs w:val="22"/>
              </w:rPr>
              <w:t>)</w:t>
            </w:r>
          </w:p>
          <w:p w:rsidR="00241AA2" w:rsidRPr="0058223B" w:rsidRDefault="00241AA2" w:rsidP="00465063">
            <w:pPr>
              <w:tabs>
                <w:tab w:val="center" w:pos="4680"/>
              </w:tabs>
              <w:suppressAutoHyphens/>
              <w:rPr>
                <w:spacing w:val="-2"/>
                <w:szCs w:val="22"/>
              </w:rPr>
            </w:pPr>
            <w:r w:rsidRPr="0058223B">
              <w:rPr>
                <w:b/>
                <w:spacing w:val="-2"/>
                <w:szCs w:val="22"/>
              </w:rPr>
              <w:t>)</w:t>
            </w:r>
          </w:p>
        </w:tc>
        <w:tc>
          <w:tcPr>
            <w:tcW w:w="4248" w:type="dxa"/>
          </w:tcPr>
          <w:p w:rsidR="00241AA2" w:rsidRPr="0058223B" w:rsidRDefault="00241AA2" w:rsidP="00465063">
            <w:pPr>
              <w:tabs>
                <w:tab w:val="center" w:pos="4680"/>
              </w:tabs>
              <w:suppressAutoHyphens/>
              <w:rPr>
                <w:spacing w:val="-2"/>
                <w:szCs w:val="22"/>
              </w:rPr>
            </w:pPr>
          </w:p>
          <w:p w:rsidR="00241AA2" w:rsidRPr="0058223B" w:rsidRDefault="00241AA2" w:rsidP="00465063">
            <w:pPr>
              <w:pStyle w:val="TOAHeading"/>
              <w:tabs>
                <w:tab w:val="clear" w:pos="9360"/>
                <w:tab w:val="center" w:pos="4680"/>
              </w:tabs>
              <w:rPr>
                <w:spacing w:val="-2"/>
                <w:szCs w:val="22"/>
              </w:rPr>
            </w:pPr>
          </w:p>
          <w:p w:rsidR="00241AA2" w:rsidRPr="0001199F" w:rsidRDefault="00241AA2" w:rsidP="00465063">
            <w:pPr>
              <w:pStyle w:val="Title"/>
              <w:jc w:val="left"/>
              <w:rPr>
                <w:b w:val="0"/>
                <w:szCs w:val="22"/>
                <w:lang w:val="en-US" w:eastAsia="en-US"/>
              </w:rPr>
            </w:pPr>
            <w:r w:rsidRPr="0001199F">
              <w:rPr>
                <w:b w:val="0"/>
                <w:szCs w:val="22"/>
                <w:lang w:val="en-US" w:eastAsia="en-US"/>
              </w:rPr>
              <w:t>File No</w:t>
            </w:r>
            <w:r>
              <w:rPr>
                <w:b w:val="0"/>
                <w:szCs w:val="22"/>
                <w:lang w:val="en-US" w:eastAsia="en-US"/>
              </w:rPr>
              <w:t>.:  EB-IHD-14-00016416 (formerly EB-11-IH-1130)</w:t>
            </w:r>
            <w:r w:rsidRPr="0001199F">
              <w:rPr>
                <w:b w:val="0"/>
                <w:szCs w:val="22"/>
                <w:lang w:val="en-US" w:eastAsia="en-US"/>
              </w:rPr>
              <w:t xml:space="preserve"> </w:t>
            </w:r>
          </w:p>
          <w:p w:rsidR="00241AA2" w:rsidRPr="0001199F" w:rsidRDefault="00241AA2" w:rsidP="00465063">
            <w:pPr>
              <w:pStyle w:val="Title"/>
              <w:jc w:val="left"/>
              <w:rPr>
                <w:b w:val="0"/>
                <w:szCs w:val="22"/>
                <w:lang w:val="en-US" w:eastAsia="en-US"/>
              </w:rPr>
            </w:pPr>
            <w:r w:rsidRPr="0001199F">
              <w:rPr>
                <w:b w:val="0"/>
                <w:szCs w:val="22"/>
                <w:lang w:val="en-US" w:eastAsia="en-US"/>
              </w:rPr>
              <w:t xml:space="preserve">                  </w:t>
            </w:r>
          </w:p>
          <w:p w:rsidR="00241AA2" w:rsidRPr="00FC20F4" w:rsidRDefault="00241AA2" w:rsidP="00FC20F4">
            <w:r w:rsidRPr="0001199F">
              <w:rPr>
                <w:szCs w:val="22"/>
              </w:rPr>
              <w:t xml:space="preserve">Acct. No.:  </w:t>
            </w:r>
            <w:r w:rsidR="00FC20F4">
              <w:t>201532080008</w:t>
            </w:r>
          </w:p>
          <w:p w:rsidR="00241AA2" w:rsidRPr="0001199F" w:rsidRDefault="00241AA2" w:rsidP="00465063">
            <w:pPr>
              <w:pStyle w:val="Title"/>
              <w:jc w:val="left"/>
              <w:rPr>
                <w:b w:val="0"/>
                <w:szCs w:val="22"/>
                <w:lang w:val="en-US" w:eastAsia="en-US"/>
              </w:rPr>
            </w:pPr>
          </w:p>
          <w:p w:rsidR="00241AA2" w:rsidRPr="0001199F" w:rsidRDefault="00241AA2" w:rsidP="00465063">
            <w:pPr>
              <w:pStyle w:val="Title"/>
              <w:jc w:val="left"/>
              <w:rPr>
                <w:b w:val="0"/>
                <w:szCs w:val="22"/>
                <w:lang w:val="en-US" w:eastAsia="en-US"/>
              </w:rPr>
            </w:pPr>
            <w:r w:rsidRPr="0001199F">
              <w:rPr>
                <w:b w:val="0"/>
                <w:szCs w:val="22"/>
                <w:lang w:val="en-US" w:eastAsia="en-US"/>
              </w:rPr>
              <w:t>FRN:  000</w:t>
            </w:r>
            <w:r>
              <w:rPr>
                <w:b w:val="0"/>
                <w:szCs w:val="22"/>
                <w:lang w:val="en-US" w:eastAsia="en-US"/>
              </w:rPr>
              <w:t>9577859</w:t>
            </w:r>
          </w:p>
          <w:p w:rsidR="00241AA2" w:rsidRPr="0001199F" w:rsidRDefault="00241AA2" w:rsidP="00465063">
            <w:pPr>
              <w:pStyle w:val="Title"/>
              <w:jc w:val="left"/>
              <w:rPr>
                <w:b w:val="0"/>
                <w:szCs w:val="22"/>
                <w:lang w:val="en-US" w:eastAsia="en-US"/>
              </w:rPr>
            </w:pPr>
          </w:p>
          <w:p w:rsidR="00241AA2" w:rsidRPr="0001199F" w:rsidRDefault="00241AA2" w:rsidP="00465063">
            <w:pPr>
              <w:pStyle w:val="Title"/>
              <w:jc w:val="left"/>
              <w:rPr>
                <w:b w:val="0"/>
                <w:szCs w:val="22"/>
                <w:lang w:val="en-US" w:eastAsia="en-US"/>
              </w:rPr>
            </w:pPr>
            <w:r w:rsidRPr="0001199F">
              <w:rPr>
                <w:b w:val="0"/>
                <w:szCs w:val="22"/>
                <w:lang w:val="en-US" w:eastAsia="en-US"/>
              </w:rPr>
              <w:t xml:space="preserve">Facility ID No.:  </w:t>
            </w:r>
            <w:r>
              <w:rPr>
                <w:b w:val="0"/>
                <w:szCs w:val="22"/>
                <w:lang w:val="en-US" w:eastAsia="en-US"/>
              </w:rPr>
              <w:t>134635</w:t>
            </w:r>
          </w:p>
          <w:p w:rsidR="00241AA2" w:rsidRPr="0058223B" w:rsidRDefault="00241AA2" w:rsidP="00465063">
            <w:pPr>
              <w:tabs>
                <w:tab w:val="center" w:pos="4680"/>
              </w:tabs>
              <w:suppressAutoHyphens/>
              <w:rPr>
                <w:spacing w:val="-2"/>
                <w:szCs w:val="22"/>
              </w:rPr>
            </w:pPr>
          </w:p>
        </w:tc>
      </w:tr>
    </w:tbl>
    <w:p w:rsidR="00026E0C" w:rsidRPr="0058223B" w:rsidRDefault="00026E0C" w:rsidP="00026E0C">
      <w:pPr>
        <w:pStyle w:val="StyleBoldCentered"/>
        <w:rPr>
          <w:rFonts w:ascii="Times New Roman" w:hAnsi="Times New Roman"/>
        </w:rPr>
      </w:pPr>
      <w:r w:rsidRPr="0058223B">
        <w:rPr>
          <w:rFonts w:ascii="Times New Roman" w:hAnsi="Times New Roman"/>
        </w:rPr>
        <w:t>consent decree</w:t>
      </w:r>
    </w:p>
    <w:p w:rsidR="00026E0C" w:rsidRPr="0058223B" w:rsidRDefault="00026E0C" w:rsidP="00026E0C">
      <w:pPr>
        <w:pStyle w:val="StyleBoldCentered"/>
        <w:rPr>
          <w:rFonts w:ascii="Times New Roman" w:hAnsi="Times New Roman"/>
        </w:rPr>
      </w:pPr>
    </w:p>
    <w:p w:rsidR="00026E0C" w:rsidRPr="0058223B" w:rsidRDefault="00026E0C" w:rsidP="00026E0C">
      <w:pPr>
        <w:pStyle w:val="ParaNum"/>
        <w:numPr>
          <w:ilvl w:val="0"/>
          <w:numId w:val="28"/>
        </w:numPr>
        <w:tabs>
          <w:tab w:val="clear" w:pos="1080"/>
        </w:tabs>
        <w:rPr>
          <w:szCs w:val="22"/>
        </w:rPr>
      </w:pPr>
      <w:r w:rsidRPr="0058223B">
        <w:rPr>
          <w:szCs w:val="22"/>
        </w:rPr>
        <w:t xml:space="preserve">The Enforcement Bureau (Bureau) of the Federal Communications Commission and </w:t>
      </w:r>
      <w:r w:rsidR="00BE5045">
        <w:rPr>
          <w:szCs w:val="22"/>
        </w:rPr>
        <w:t>The Syner Foundation, Inc.</w:t>
      </w:r>
      <w:r w:rsidRPr="0058223B">
        <w:rPr>
          <w:szCs w:val="22"/>
        </w:rPr>
        <w:t xml:space="preserve">, </w:t>
      </w:r>
      <w:r w:rsidR="000A6EA3">
        <w:rPr>
          <w:szCs w:val="22"/>
        </w:rPr>
        <w:t xml:space="preserve">licensee of Station </w:t>
      </w:r>
      <w:r w:rsidR="00BE5045">
        <w:rPr>
          <w:szCs w:val="22"/>
        </w:rPr>
        <w:t>WQAZ-LP,</w:t>
      </w:r>
      <w:r w:rsidR="000A6EA3">
        <w:rPr>
          <w:szCs w:val="22"/>
        </w:rPr>
        <w:t xml:space="preserve"> </w:t>
      </w:r>
      <w:r w:rsidRPr="0058223B">
        <w:rPr>
          <w:szCs w:val="22"/>
        </w:rPr>
        <w:t xml:space="preserve">by their authorized representatives, hereby enter into this Consent Decree for the purpose of terminating the </w:t>
      </w:r>
      <w:r w:rsidR="00184241">
        <w:rPr>
          <w:szCs w:val="22"/>
        </w:rPr>
        <w:t xml:space="preserve">Enforcement </w:t>
      </w:r>
      <w:r w:rsidRPr="0058223B">
        <w:rPr>
          <w:szCs w:val="22"/>
        </w:rPr>
        <w:t xml:space="preserve">Bureau’s investigation into </w:t>
      </w:r>
      <w:r w:rsidR="00523538">
        <w:rPr>
          <w:szCs w:val="22"/>
        </w:rPr>
        <w:t xml:space="preserve">whether </w:t>
      </w:r>
      <w:r w:rsidR="00184241">
        <w:rPr>
          <w:szCs w:val="22"/>
        </w:rPr>
        <w:t xml:space="preserve">The </w:t>
      </w:r>
      <w:r w:rsidR="00BE5045">
        <w:rPr>
          <w:szCs w:val="22"/>
        </w:rPr>
        <w:t>Syner</w:t>
      </w:r>
      <w:r w:rsidR="00184241">
        <w:rPr>
          <w:szCs w:val="22"/>
        </w:rPr>
        <w:t xml:space="preserve"> Foundation</w:t>
      </w:r>
      <w:r w:rsidRPr="0058223B">
        <w:rPr>
          <w:szCs w:val="22"/>
        </w:rPr>
        <w:t xml:space="preserve"> violat</w:t>
      </w:r>
      <w:r w:rsidR="00523538">
        <w:rPr>
          <w:szCs w:val="22"/>
        </w:rPr>
        <w:t>ed</w:t>
      </w:r>
      <w:r w:rsidR="000A6EA3">
        <w:rPr>
          <w:szCs w:val="22"/>
        </w:rPr>
        <w:t xml:space="preserve"> </w:t>
      </w:r>
      <w:r w:rsidR="00BE5045">
        <w:rPr>
          <w:szCs w:val="22"/>
        </w:rPr>
        <w:t>Section 399b</w:t>
      </w:r>
      <w:r w:rsidR="000A6EA3" w:rsidRPr="0058223B">
        <w:rPr>
          <w:szCs w:val="22"/>
        </w:rPr>
        <w:t xml:space="preserve"> of the </w:t>
      </w:r>
      <w:r w:rsidR="000A6EA3">
        <w:rPr>
          <w:szCs w:val="22"/>
        </w:rPr>
        <w:t>Communications Act of 1934</w:t>
      </w:r>
      <w:r w:rsidR="000A6EA3" w:rsidRPr="0058223B">
        <w:rPr>
          <w:szCs w:val="22"/>
        </w:rPr>
        <w:t>, as amended</w:t>
      </w:r>
      <w:r w:rsidR="000A6EA3">
        <w:rPr>
          <w:szCs w:val="22"/>
        </w:rPr>
        <w:t xml:space="preserve"> (Act)</w:t>
      </w:r>
      <w:r w:rsidR="00BE5045">
        <w:rPr>
          <w:szCs w:val="22"/>
        </w:rPr>
        <w:t>, and Section</w:t>
      </w:r>
      <w:r w:rsidR="00F45EF2">
        <w:rPr>
          <w:szCs w:val="22"/>
        </w:rPr>
        <w:t>s</w:t>
      </w:r>
      <w:r w:rsidR="00BE5045">
        <w:rPr>
          <w:szCs w:val="22"/>
        </w:rPr>
        <w:t xml:space="preserve"> 73.</w:t>
      </w:r>
      <w:r w:rsidR="00F45EF2">
        <w:rPr>
          <w:szCs w:val="22"/>
        </w:rPr>
        <w:t>801 and 73.</w:t>
      </w:r>
      <w:r w:rsidR="00BE5045">
        <w:rPr>
          <w:szCs w:val="22"/>
        </w:rPr>
        <w:t>503</w:t>
      </w:r>
      <w:r w:rsidR="000125B4">
        <w:rPr>
          <w:szCs w:val="22"/>
        </w:rPr>
        <w:t>(d)</w:t>
      </w:r>
      <w:r w:rsidR="000A6EA3" w:rsidRPr="0058223B">
        <w:rPr>
          <w:szCs w:val="22"/>
        </w:rPr>
        <w:t xml:space="preserve"> of the Commission’s rules (Rules) </w:t>
      </w:r>
      <w:r w:rsidR="00523538">
        <w:rPr>
          <w:szCs w:val="22"/>
        </w:rPr>
        <w:t>in connection with</w:t>
      </w:r>
      <w:r w:rsidR="000A6EA3" w:rsidRPr="0058223B">
        <w:rPr>
          <w:szCs w:val="22"/>
        </w:rPr>
        <w:t xml:space="preserve"> </w:t>
      </w:r>
      <w:r w:rsidR="00BE5045">
        <w:rPr>
          <w:szCs w:val="22"/>
        </w:rPr>
        <w:t>noncommercial underwriting</w:t>
      </w:r>
      <w:r w:rsidR="00F45EF2">
        <w:rPr>
          <w:szCs w:val="22"/>
        </w:rPr>
        <w:t xml:space="preserve"> over low-power FM stations</w:t>
      </w:r>
      <w:r w:rsidR="000A6EA3" w:rsidRPr="0058223B">
        <w:rPr>
          <w:szCs w:val="22"/>
        </w:rPr>
        <w:t>.</w:t>
      </w:r>
    </w:p>
    <w:p w:rsidR="00026E0C" w:rsidRPr="0058223B" w:rsidRDefault="00026E0C" w:rsidP="00026E0C">
      <w:pPr>
        <w:pStyle w:val="Heading1"/>
        <w:rPr>
          <w:rFonts w:ascii="Times New Roman" w:hAnsi="Times New Roman"/>
          <w:szCs w:val="22"/>
        </w:rPr>
      </w:pPr>
      <w:r w:rsidRPr="0058223B">
        <w:rPr>
          <w:rFonts w:ascii="Times New Roman" w:hAnsi="Times New Roman"/>
          <w:szCs w:val="22"/>
        </w:rPr>
        <w:t>Definitions</w:t>
      </w:r>
    </w:p>
    <w:p w:rsidR="00026E0C" w:rsidRPr="0058223B" w:rsidRDefault="00026E0C" w:rsidP="00026E0C">
      <w:pPr>
        <w:pStyle w:val="ParaNum"/>
        <w:numPr>
          <w:ilvl w:val="0"/>
          <w:numId w:val="8"/>
        </w:numPr>
        <w:tabs>
          <w:tab w:val="clear" w:pos="1080"/>
        </w:tabs>
        <w:rPr>
          <w:szCs w:val="22"/>
        </w:rPr>
      </w:pPr>
      <w:r w:rsidRPr="0058223B">
        <w:rPr>
          <w:szCs w:val="22"/>
        </w:rPr>
        <w:t>For the purposes of this Consent Decree, the following definitions shall apply:</w:t>
      </w:r>
    </w:p>
    <w:p w:rsidR="00026E0C" w:rsidRPr="0058223B" w:rsidRDefault="00026E0C" w:rsidP="00B63DB0">
      <w:pPr>
        <w:numPr>
          <w:ilvl w:val="0"/>
          <w:numId w:val="4"/>
        </w:numPr>
        <w:tabs>
          <w:tab w:val="clear" w:pos="3960"/>
        </w:tabs>
        <w:spacing w:after="120"/>
        <w:ind w:left="1890"/>
        <w:rPr>
          <w:szCs w:val="22"/>
        </w:rPr>
      </w:pPr>
      <w:r w:rsidRPr="0058223B">
        <w:rPr>
          <w:szCs w:val="22"/>
        </w:rPr>
        <w:t>“Act” means the Communications Act of 1934, as amended</w:t>
      </w:r>
      <w:r w:rsidR="00523538">
        <w:rPr>
          <w:szCs w:val="22"/>
        </w:rPr>
        <w:t>.</w:t>
      </w:r>
      <w:r w:rsidR="00523538">
        <w:rPr>
          <w:rStyle w:val="FootnoteReference"/>
          <w:szCs w:val="22"/>
        </w:rPr>
        <w:footnoteReference w:id="7"/>
      </w:r>
    </w:p>
    <w:p w:rsidR="00026E0C" w:rsidRPr="0058223B" w:rsidRDefault="00026E0C" w:rsidP="00B63DB0">
      <w:pPr>
        <w:numPr>
          <w:ilvl w:val="0"/>
          <w:numId w:val="4"/>
        </w:numPr>
        <w:tabs>
          <w:tab w:val="clear" w:pos="3960"/>
        </w:tabs>
        <w:spacing w:after="120"/>
        <w:ind w:left="1890"/>
        <w:rPr>
          <w:szCs w:val="22"/>
        </w:rPr>
      </w:pPr>
      <w:r w:rsidRPr="0058223B">
        <w:rPr>
          <w:szCs w:val="22"/>
        </w:rPr>
        <w:t>“Adopting Order” means an order of the Bureau adopting the terms of this Consent Decree without change, addition, deletion, or modification.</w:t>
      </w:r>
    </w:p>
    <w:p w:rsidR="00026E0C" w:rsidRPr="0058223B" w:rsidRDefault="00026E0C" w:rsidP="00B63DB0">
      <w:pPr>
        <w:numPr>
          <w:ilvl w:val="0"/>
          <w:numId w:val="4"/>
        </w:numPr>
        <w:tabs>
          <w:tab w:val="clear" w:pos="3960"/>
        </w:tabs>
        <w:spacing w:after="120"/>
        <w:ind w:left="1890"/>
        <w:rPr>
          <w:szCs w:val="22"/>
        </w:rPr>
      </w:pPr>
      <w:r w:rsidRPr="0058223B">
        <w:rPr>
          <w:szCs w:val="22"/>
        </w:rPr>
        <w:t>“Bureau” means the Enforcement Bureau of the Federal Communications Commission.</w:t>
      </w:r>
    </w:p>
    <w:p w:rsidR="00026E0C" w:rsidRPr="0058223B" w:rsidRDefault="00026E0C" w:rsidP="00B63DB0">
      <w:pPr>
        <w:numPr>
          <w:ilvl w:val="0"/>
          <w:numId w:val="4"/>
        </w:numPr>
        <w:tabs>
          <w:tab w:val="clear" w:pos="3960"/>
        </w:tabs>
        <w:spacing w:after="120"/>
        <w:ind w:left="1890"/>
        <w:rPr>
          <w:szCs w:val="22"/>
        </w:rPr>
      </w:pPr>
      <w:r w:rsidRPr="0058223B">
        <w:rPr>
          <w:szCs w:val="22"/>
        </w:rPr>
        <w:t>“Commission” and “FCC” mean the Federal Communications Commission and all of its bureaus and offices.</w:t>
      </w:r>
    </w:p>
    <w:p w:rsidR="00026E0C" w:rsidRPr="0058223B" w:rsidRDefault="00026E0C" w:rsidP="00B63DB0">
      <w:pPr>
        <w:numPr>
          <w:ilvl w:val="0"/>
          <w:numId w:val="4"/>
        </w:numPr>
        <w:tabs>
          <w:tab w:val="clear" w:pos="3960"/>
        </w:tabs>
        <w:spacing w:after="120"/>
        <w:ind w:left="1890"/>
        <w:rPr>
          <w:szCs w:val="22"/>
        </w:rPr>
      </w:pPr>
      <w:r w:rsidRPr="0058223B">
        <w:rPr>
          <w:szCs w:val="22"/>
        </w:rPr>
        <w:t xml:space="preserve">“Communications Laws” means collectively, the Act, the Rules, and the published and promulgated orders and decisions of the Commission to which each Commission licensee, including </w:t>
      </w:r>
      <w:r w:rsidR="00E366A3">
        <w:rPr>
          <w:szCs w:val="22"/>
        </w:rPr>
        <w:t>Syner</w:t>
      </w:r>
      <w:r w:rsidRPr="0058223B">
        <w:rPr>
          <w:szCs w:val="22"/>
        </w:rPr>
        <w:t>, is subject by virtue of its being a Commission licensee, including but not limited to</w:t>
      </w:r>
      <w:r w:rsidR="00721159">
        <w:rPr>
          <w:szCs w:val="22"/>
        </w:rPr>
        <w:t xml:space="preserve"> the </w:t>
      </w:r>
      <w:r w:rsidR="00E366A3">
        <w:rPr>
          <w:szCs w:val="22"/>
        </w:rPr>
        <w:t>Underwriting Laws.</w:t>
      </w:r>
    </w:p>
    <w:p w:rsidR="00026E0C" w:rsidRDefault="00026E0C" w:rsidP="00B63DB0">
      <w:pPr>
        <w:numPr>
          <w:ilvl w:val="0"/>
          <w:numId w:val="4"/>
        </w:numPr>
        <w:tabs>
          <w:tab w:val="clear" w:pos="3960"/>
        </w:tabs>
        <w:spacing w:after="120"/>
        <w:ind w:left="1890"/>
        <w:rPr>
          <w:szCs w:val="22"/>
        </w:rPr>
      </w:pPr>
      <w:r w:rsidRPr="0058223B">
        <w:rPr>
          <w:szCs w:val="22"/>
        </w:rPr>
        <w:t>“Complaint</w:t>
      </w:r>
      <w:r w:rsidR="00E366A3">
        <w:rPr>
          <w:szCs w:val="22"/>
        </w:rPr>
        <w:t>s</w:t>
      </w:r>
      <w:r w:rsidRPr="0058223B">
        <w:rPr>
          <w:szCs w:val="22"/>
        </w:rPr>
        <w:t xml:space="preserve">” means the third-party </w:t>
      </w:r>
      <w:r w:rsidR="007C5C82">
        <w:rPr>
          <w:szCs w:val="22"/>
        </w:rPr>
        <w:t>submissions</w:t>
      </w:r>
      <w:r w:rsidR="007C5C82" w:rsidRPr="0058223B">
        <w:rPr>
          <w:szCs w:val="22"/>
        </w:rPr>
        <w:t xml:space="preserve"> </w:t>
      </w:r>
      <w:r w:rsidRPr="0058223B">
        <w:rPr>
          <w:szCs w:val="22"/>
        </w:rPr>
        <w:t xml:space="preserve">received by, or in the possession of, the Bureau and alleging violation of </w:t>
      </w:r>
      <w:r w:rsidR="00721159">
        <w:rPr>
          <w:szCs w:val="22"/>
        </w:rPr>
        <w:t xml:space="preserve">the </w:t>
      </w:r>
      <w:r w:rsidR="00E366A3">
        <w:rPr>
          <w:szCs w:val="22"/>
        </w:rPr>
        <w:t>Underwriting</w:t>
      </w:r>
      <w:r w:rsidR="00721159" w:rsidRPr="0058223B">
        <w:rPr>
          <w:szCs w:val="22"/>
        </w:rPr>
        <w:t xml:space="preserve"> Laws</w:t>
      </w:r>
      <w:r w:rsidRPr="0058223B">
        <w:rPr>
          <w:szCs w:val="22"/>
        </w:rPr>
        <w:t>, as described in this Consent Decree at paragraph 4.</w:t>
      </w:r>
    </w:p>
    <w:p w:rsidR="00EA4654" w:rsidRPr="0058223B" w:rsidRDefault="00EA4654" w:rsidP="00B63DB0">
      <w:pPr>
        <w:numPr>
          <w:ilvl w:val="0"/>
          <w:numId w:val="4"/>
        </w:numPr>
        <w:tabs>
          <w:tab w:val="clear" w:pos="3960"/>
        </w:tabs>
        <w:spacing w:after="120"/>
        <w:ind w:left="1890"/>
        <w:rPr>
          <w:szCs w:val="22"/>
        </w:rPr>
      </w:pPr>
      <w:r>
        <w:rPr>
          <w:szCs w:val="22"/>
        </w:rPr>
        <w:t xml:space="preserve">“Compliance Officer” means </w:t>
      </w:r>
      <w:r w:rsidRPr="00EB6A7F">
        <w:rPr>
          <w:szCs w:val="22"/>
        </w:rPr>
        <w:t>an FCC regulatory counsel or in-house counsel</w:t>
      </w:r>
      <w:r>
        <w:rPr>
          <w:szCs w:val="22"/>
        </w:rPr>
        <w:t xml:space="preserve">, or </w:t>
      </w:r>
      <w:r w:rsidRPr="00EB6A7F">
        <w:rPr>
          <w:szCs w:val="22"/>
        </w:rPr>
        <w:t xml:space="preserve">a senior corporate manager with the requisite corporate and organizational authority to serve </w:t>
      </w:r>
      <w:r>
        <w:rPr>
          <w:szCs w:val="22"/>
        </w:rPr>
        <w:t xml:space="preserve">in this capacity in consultation with and assisted </w:t>
      </w:r>
      <w:r w:rsidRPr="00EB6A7F">
        <w:rPr>
          <w:szCs w:val="22"/>
        </w:rPr>
        <w:t>by outside regulatory counsel</w:t>
      </w:r>
      <w:r>
        <w:rPr>
          <w:szCs w:val="22"/>
        </w:rPr>
        <w:t>.</w:t>
      </w:r>
    </w:p>
    <w:p w:rsidR="00026E0C" w:rsidRPr="0058223B" w:rsidRDefault="00026E0C" w:rsidP="00B63DB0">
      <w:pPr>
        <w:numPr>
          <w:ilvl w:val="0"/>
          <w:numId w:val="4"/>
        </w:numPr>
        <w:tabs>
          <w:tab w:val="clear" w:pos="3960"/>
        </w:tabs>
        <w:spacing w:after="120"/>
        <w:ind w:left="1890"/>
        <w:rPr>
          <w:szCs w:val="22"/>
        </w:rPr>
      </w:pPr>
      <w:r w:rsidRPr="0058223B">
        <w:rPr>
          <w:szCs w:val="22"/>
        </w:rPr>
        <w:t>“Compliance Plan” means the compliance obligations, program, and procedures described in this Consent Decree at paragraph 1</w:t>
      </w:r>
      <w:r w:rsidR="00DD117D">
        <w:rPr>
          <w:szCs w:val="22"/>
        </w:rPr>
        <w:t>2</w:t>
      </w:r>
      <w:r w:rsidRPr="0058223B">
        <w:rPr>
          <w:szCs w:val="22"/>
        </w:rPr>
        <w:t>.</w:t>
      </w:r>
    </w:p>
    <w:p w:rsidR="00026E0C" w:rsidRPr="005021B3" w:rsidRDefault="005021B3" w:rsidP="00B63DB0">
      <w:pPr>
        <w:numPr>
          <w:ilvl w:val="0"/>
          <w:numId w:val="4"/>
        </w:numPr>
        <w:tabs>
          <w:tab w:val="clear" w:pos="3960"/>
        </w:tabs>
        <w:spacing w:after="120"/>
        <w:ind w:left="1890"/>
        <w:rPr>
          <w:szCs w:val="22"/>
        </w:rPr>
      </w:pPr>
      <w:r>
        <w:rPr>
          <w:szCs w:val="22"/>
        </w:rPr>
        <w:t xml:space="preserve">“Covered Employee” means all employees and agents of </w:t>
      </w:r>
      <w:r w:rsidR="004240E3">
        <w:rPr>
          <w:szCs w:val="22"/>
        </w:rPr>
        <w:t xml:space="preserve">Syner </w:t>
      </w:r>
      <w:r>
        <w:rPr>
          <w:szCs w:val="22"/>
        </w:rPr>
        <w:t>who perform, or supervise, oversee, or manage the performance of duties related to</w:t>
      </w:r>
      <w:r w:rsidR="007455A9">
        <w:rPr>
          <w:szCs w:val="22"/>
        </w:rPr>
        <w:t xml:space="preserve"> </w:t>
      </w:r>
      <w:r w:rsidR="004240E3">
        <w:rPr>
          <w:szCs w:val="22"/>
        </w:rPr>
        <w:t>Syner</w:t>
      </w:r>
      <w:r>
        <w:rPr>
          <w:szCs w:val="22"/>
        </w:rPr>
        <w:t xml:space="preserve">’s responsibilities under the </w:t>
      </w:r>
      <w:r w:rsidR="0050393B">
        <w:rPr>
          <w:szCs w:val="22"/>
        </w:rPr>
        <w:t xml:space="preserve">Communications Laws, including the </w:t>
      </w:r>
      <w:r>
        <w:rPr>
          <w:szCs w:val="22"/>
        </w:rPr>
        <w:t>Underwriting Laws</w:t>
      </w:r>
      <w:r w:rsidR="00026E0C" w:rsidRPr="005021B3">
        <w:rPr>
          <w:szCs w:val="22"/>
        </w:rPr>
        <w:t>.</w:t>
      </w:r>
    </w:p>
    <w:p w:rsidR="00026E0C" w:rsidRPr="0058223B" w:rsidRDefault="00026E0C" w:rsidP="00B63DB0">
      <w:pPr>
        <w:numPr>
          <w:ilvl w:val="0"/>
          <w:numId w:val="4"/>
        </w:numPr>
        <w:tabs>
          <w:tab w:val="clear" w:pos="3960"/>
        </w:tabs>
        <w:spacing w:after="120"/>
        <w:ind w:left="1890"/>
        <w:rPr>
          <w:szCs w:val="22"/>
        </w:rPr>
      </w:pPr>
      <w:r w:rsidRPr="0058223B">
        <w:rPr>
          <w:szCs w:val="22"/>
        </w:rPr>
        <w:t xml:space="preserve">“Effective Date” means the date </w:t>
      </w:r>
      <w:r w:rsidR="0050393B">
        <w:rPr>
          <w:szCs w:val="22"/>
        </w:rPr>
        <w:t>by which both the Bureau and Syner have signed the Consent Decree</w:t>
      </w:r>
      <w:r w:rsidRPr="0058223B">
        <w:rPr>
          <w:szCs w:val="22"/>
        </w:rPr>
        <w:t>.</w:t>
      </w:r>
    </w:p>
    <w:p w:rsidR="005021B3" w:rsidRPr="004240E3" w:rsidRDefault="00026E0C" w:rsidP="00B63DB0">
      <w:pPr>
        <w:numPr>
          <w:ilvl w:val="0"/>
          <w:numId w:val="4"/>
        </w:numPr>
        <w:tabs>
          <w:tab w:val="clear" w:pos="3960"/>
        </w:tabs>
        <w:spacing w:after="120"/>
        <w:ind w:left="1890"/>
        <w:rPr>
          <w:szCs w:val="22"/>
        </w:rPr>
      </w:pPr>
      <w:r w:rsidRPr="0058223B">
        <w:rPr>
          <w:szCs w:val="22"/>
        </w:rPr>
        <w:t>“Investigation” means the investigation commenced by the Bureau</w:t>
      </w:r>
      <w:r w:rsidR="008E382F">
        <w:rPr>
          <w:szCs w:val="22"/>
        </w:rPr>
        <w:t xml:space="preserve"> in EB-IHD-14-00016416 (formerly EB-11-IH-1130)</w:t>
      </w:r>
      <w:r w:rsidR="00721159">
        <w:rPr>
          <w:szCs w:val="22"/>
        </w:rPr>
        <w:t xml:space="preserve"> regarding whether </w:t>
      </w:r>
      <w:r w:rsidR="005021B3">
        <w:rPr>
          <w:szCs w:val="22"/>
        </w:rPr>
        <w:t>Syner</w:t>
      </w:r>
      <w:r w:rsidRPr="0058223B">
        <w:rPr>
          <w:szCs w:val="22"/>
        </w:rPr>
        <w:t xml:space="preserve"> violated the </w:t>
      </w:r>
      <w:r w:rsidR="005021B3">
        <w:rPr>
          <w:szCs w:val="22"/>
        </w:rPr>
        <w:t>Underwriting</w:t>
      </w:r>
      <w:r w:rsidRPr="0058223B">
        <w:rPr>
          <w:szCs w:val="22"/>
        </w:rPr>
        <w:t xml:space="preserve"> Laws</w:t>
      </w:r>
      <w:r w:rsidR="008E382F">
        <w:rPr>
          <w:szCs w:val="22"/>
        </w:rPr>
        <w:t>.</w:t>
      </w:r>
    </w:p>
    <w:p w:rsidR="00026E0C" w:rsidRPr="0058223B" w:rsidRDefault="005021B3" w:rsidP="00B63DB0">
      <w:pPr>
        <w:numPr>
          <w:ilvl w:val="0"/>
          <w:numId w:val="4"/>
        </w:numPr>
        <w:tabs>
          <w:tab w:val="clear" w:pos="3960"/>
        </w:tabs>
        <w:spacing w:after="120"/>
        <w:ind w:left="1890"/>
        <w:rPr>
          <w:szCs w:val="22"/>
        </w:rPr>
      </w:pPr>
      <w:r w:rsidRPr="0058223B">
        <w:rPr>
          <w:szCs w:val="22"/>
        </w:rPr>
        <w:t xml:space="preserve"> </w:t>
      </w:r>
      <w:r w:rsidR="00026E0C" w:rsidRPr="0058223B">
        <w:rPr>
          <w:szCs w:val="22"/>
        </w:rPr>
        <w:t xml:space="preserve">“Operating Procedures” means the standard, internal operating procedures and compliance policies established by </w:t>
      </w:r>
      <w:r>
        <w:rPr>
          <w:szCs w:val="22"/>
        </w:rPr>
        <w:t>Syner</w:t>
      </w:r>
      <w:r w:rsidR="00026E0C" w:rsidRPr="0058223B">
        <w:rPr>
          <w:szCs w:val="22"/>
        </w:rPr>
        <w:t xml:space="preserve"> to implement the Compliance Plan.</w:t>
      </w:r>
    </w:p>
    <w:p w:rsidR="00026E0C" w:rsidRPr="0058223B" w:rsidRDefault="00026E0C" w:rsidP="00B63DB0">
      <w:pPr>
        <w:numPr>
          <w:ilvl w:val="0"/>
          <w:numId w:val="4"/>
        </w:numPr>
        <w:tabs>
          <w:tab w:val="clear" w:pos="3960"/>
        </w:tabs>
        <w:spacing w:after="120"/>
        <w:ind w:left="1890"/>
        <w:rPr>
          <w:szCs w:val="22"/>
        </w:rPr>
      </w:pPr>
      <w:r w:rsidRPr="0058223B">
        <w:rPr>
          <w:szCs w:val="22"/>
        </w:rPr>
        <w:t xml:space="preserve">“Parties” means </w:t>
      </w:r>
      <w:r w:rsidR="005021B3">
        <w:rPr>
          <w:szCs w:val="22"/>
        </w:rPr>
        <w:t>Syner</w:t>
      </w:r>
      <w:r w:rsidRPr="0058223B">
        <w:rPr>
          <w:szCs w:val="22"/>
        </w:rPr>
        <w:t xml:space="preserve"> and the Bureau, each of which is a “Party.”</w:t>
      </w:r>
    </w:p>
    <w:p w:rsidR="00026E0C" w:rsidRPr="0058223B" w:rsidRDefault="00026E0C" w:rsidP="00B63DB0">
      <w:pPr>
        <w:numPr>
          <w:ilvl w:val="0"/>
          <w:numId w:val="4"/>
        </w:numPr>
        <w:tabs>
          <w:tab w:val="clear" w:pos="3960"/>
        </w:tabs>
        <w:spacing w:after="120"/>
        <w:ind w:left="1890"/>
        <w:rPr>
          <w:szCs w:val="22"/>
        </w:rPr>
      </w:pPr>
      <w:r w:rsidRPr="0058223B">
        <w:rPr>
          <w:szCs w:val="22"/>
        </w:rPr>
        <w:t>“Rules” means the Commission’s regulations found in Title 47 of the Code of Federal Regulations.</w:t>
      </w:r>
    </w:p>
    <w:p w:rsidR="00026E0C" w:rsidRDefault="00026E0C" w:rsidP="00B63DB0">
      <w:pPr>
        <w:numPr>
          <w:ilvl w:val="0"/>
          <w:numId w:val="4"/>
        </w:numPr>
        <w:tabs>
          <w:tab w:val="clear" w:pos="3960"/>
        </w:tabs>
        <w:spacing w:after="120"/>
        <w:ind w:left="1890"/>
        <w:rPr>
          <w:szCs w:val="22"/>
        </w:rPr>
      </w:pPr>
      <w:r w:rsidRPr="0058223B">
        <w:rPr>
          <w:szCs w:val="22"/>
        </w:rPr>
        <w:t xml:space="preserve">“Station” means </w:t>
      </w:r>
      <w:r w:rsidR="00F45EF2">
        <w:rPr>
          <w:szCs w:val="22"/>
        </w:rPr>
        <w:t xml:space="preserve">low power FM </w:t>
      </w:r>
      <w:r w:rsidRPr="0058223B">
        <w:rPr>
          <w:szCs w:val="22"/>
        </w:rPr>
        <w:t xml:space="preserve">Station </w:t>
      </w:r>
      <w:r w:rsidR="00F45EF2">
        <w:rPr>
          <w:szCs w:val="22"/>
        </w:rPr>
        <w:t>WQAZ-LP, Edmond, West Virginia</w:t>
      </w:r>
      <w:r w:rsidRPr="0058223B">
        <w:rPr>
          <w:szCs w:val="22"/>
        </w:rPr>
        <w:t xml:space="preserve"> (Facility ID </w:t>
      </w:r>
      <w:r w:rsidR="000125B4">
        <w:rPr>
          <w:szCs w:val="22"/>
        </w:rPr>
        <w:t>134635</w:t>
      </w:r>
      <w:r w:rsidRPr="0058223B">
        <w:rPr>
          <w:szCs w:val="22"/>
        </w:rPr>
        <w:t>).</w:t>
      </w:r>
    </w:p>
    <w:p w:rsidR="005021B3" w:rsidRDefault="005021B3" w:rsidP="00B63DB0">
      <w:pPr>
        <w:numPr>
          <w:ilvl w:val="0"/>
          <w:numId w:val="4"/>
        </w:numPr>
        <w:tabs>
          <w:tab w:val="clear" w:pos="3960"/>
        </w:tabs>
        <w:spacing w:after="120"/>
        <w:ind w:left="1890"/>
        <w:rPr>
          <w:szCs w:val="22"/>
        </w:rPr>
      </w:pPr>
      <w:r>
        <w:rPr>
          <w:szCs w:val="22"/>
        </w:rPr>
        <w:t xml:space="preserve">“Syner” </w:t>
      </w:r>
      <w:r w:rsidRPr="0058223B">
        <w:rPr>
          <w:szCs w:val="22"/>
        </w:rPr>
        <w:t xml:space="preserve">means </w:t>
      </w:r>
      <w:r>
        <w:rPr>
          <w:szCs w:val="22"/>
        </w:rPr>
        <w:t>The Syner Foundation, Inc</w:t>
      </w:r>
      <w:r w:rsidR="007455A9">
        <w:rPr>
          <w:szCs w:val="22"/>
        </w:rPr>
        <w:t xml:space="preserve">., </w:t>
      </w:r>
      <w:r w:rsidR="008E382F">
        <w:rPr>
          <w:szCs w:val="22"/>
        </w:rPr>
        <w:t>and</w:t>
      </w:r>
      <w:r w:rsidRPr="0058223B">
        <w:rPr>
          <w:szCs w:val="22"/>
        </w:rPr>
        <w:t xml:space="preserve"> its affiliates</w:t>
      </w:r>
      <w:r w:rsidR="008E382F">
        <w:rPr>
          <w:szCs w:val="22"/>
        </w:rPr>
        <w:t xml:space="preserve">, </w:t>
      </w:r>
      <w:r w:rsidR="008E382F" w:rsidRPr="0058223B">
        <w:rPr>
          <w:szCs w:val="22"/>
        </w:rPr>
        <w:t>subsidiaries</w:t>
      </w:r>
      <w:r w:rsidRPr="0058223B">
        <w:rPr>
          <w:szCs w:val="22"/>
        </w:rPr>
        <w:t>, predecessors-in-interest, and successors-in-interest.</w:t>
      </w:r>
    </w:p>
    <w:p w:rsidR="005021B3" w:rsidRPr="002F22EE" w:rsidRDefault="005021B3" w:rsidP="00B63DB0">
      <w:pPr>
        <w:numPr>
          <w:ilvl w:val="0"/>
          <w:numId w:val="4"/>
        </w:numPr>
        <w:tabs>
          <w:tab w:val="clear" w:pos="3960"/>
        </w:tabs>
        <w:spacing w:after="120"/>
        <w:ind w:left="1890"/>
        <w:rPr>
          <w:szCs w:val="22"/>
        </w:rPr>
      </w:pPr>
      <w:r w:rsidRPr="0058223B">
        <w:rPr>
          <w:szCs w:val="22"/>
        </w:rPr>
        <w:t>“</w:t>
      </w:r>
      <w:r>
        <w:rPr>
          <w:szCs w:val="22"/>
        </w:rPr>
        <w:t>Underwriting</w:t>
      </w:r>
      <w:r w:rsidRPr="0058223B">
        <w:rPr>
          <w:szCs w:val="22"/>
        </w:rPr>
        <w:t xml:space="preserve"> Laws” means, individua</w:t>
      </w:r>
      <w:r>
        <w:rPr>
          <w:szCs w:val="22"/>
        </w:rPr>
        <w:t>lly or collectively, Section 399b</w:t>
      </w:r>
      <w:r w:rsidRPr="0058223B">
        <w:rPr>
          <w:szCs w:val="22"/>
        </w:rPr>
        <w:t xml:space="preserve"> of the Act</w:t>
      </w:r>
      <w:r w:rsidR="000125B4">
        <w:rPr>
          <w:szCs w:val="22"/>
        </w:rPr>
        <w:t>,</w:t>
      </w:r>
      <w:r>
        <w:rPr>
          <w:szCs w:val="22"/>
        </w:rPr>
        <w:t xml:space="preserve"> Section</w:t>
      </w:r>
      <w:r w:rsidR="000125B4">
        <w:rPr>
          <w:szCs w:val="22"/>
        </w:rPr>
        <w:t xml:space="preserve"> 73.801 and Section </w:t>
      </w:r>
      <w:r>
        <w:rPr>
          <w:szCs w:val="22"/>
        </w:rPr>
        <w:t>73.503(d)</w:t>
      </w:r>
      <w:r w:rsidRPr="0058223B">
        <w:rPr>
          <w:szCs w:val="22"/>
        </w:rPr>
        <w:t xml:space="preserve"> of the Rules,</w:t>
      </w:r>
      <w:r w:rsidRPr="00CB74F9">
        <w:rPr>
          <w:rStyle w:val="FootnoteReference"/>
          <w:sz w:val="22"/>
        </w:rPr>
        <w:footnoteReference w:id="8"/>
      </w:r>
      <w:r w:rsidRPr="0058223B">
        <w:rPr>
          <w:szCs w:val="22"/>
        </w:rPr>
        <w:t xml:space="preserve"> and the decisions and orders of the Commission interpreting these provisions.</w:t>
      </w:r>
    </w:p>
    <w:p w:rsidR="00026E0C" w:rsidRPr="00E014BC" w:rsidRDefault="00026E0C" w:rsidP="00CB0FBD">
      <w:pPr>
        <w:pStyle w:val="Heading1"/>
      </w:pPr>
      <w:r w:rsidRPr="00E014BC">
        <w:t>background</w:t>
      </w:r>
    </w:p>
    <w:p w:rsidR="00800759" w:rsidRDefault="00800759" w:rsidP="00CB74F9">
      <w:pPr>
        <w:pStyle w:val="ParaNum"/>
        <w:tabs>
          <w:tab w:val="clear" w:pos="1440"/>
        </w:tabs>
        <w:rPr>
          <w:szCs w:val="22"/>
        </w:rPr>
      </w:pPr>
      <w:r>
        <w:rPr>
          <w:szCs w:val="22"/>
        </w:rPr>
        <w:t>The Underwriting Laws define advertisements as program material broadcast “in exchange for any remuneration” and intended to “promote any service, facility, or product,” of for-profit entities.</w:t>
      </w:r>
      <w:r>
        <w:rPr>
          <w:szCs w:val="22"/>
          <w:vertAlign w:val="superscript"/>
        </w:rPr>
        <w:footnoteReference w:id="9"/>
      </w:r>
      <w:r>
        <w:rPr>
          <w:szCs w:val="22"/>
        </w:rPr>
        <w:t xml:space="preserve">  Section 399</w:t>
      </w:r>
      <w:r w:rsidR="007455A9">
        <w:rPr>
          <w:szCs w:val="22"/>
        </w:rPr>
        <w:t>b</w:t>
      </w:r>
      <w:r>
        <w:rPr>
          <w:szCs w:val="22"/>
        </w:rPr>
        <w:t>(b)(2) specifically provides that noncommercial educational stations may not broadcast advertisements.</w:t>
      </w:r>
      <w:r>
        <w:rPr>
          <w:szCs w:val="22"/>
          <w:vertAlign w:val="superscript"/>
        </w:rPr>
        <w:footnoteReference w:id="10"/>
      </w:r>
      <w:r>
        <w:rPr>
          <w:szCs w:val="22"/>
        </w:rPr>
        <w:t xml:space="preserve">  Although contributors of funds to such stations may receive on-air acknowledgements of their support, the Commission has held that such acknowledgements </w:t>
      </w:r>
      <w:r w:rsidR="00A81FBC">
        <w:rPr>
          <w:szCs w:val="22"/>
        </w:rPr>
        <w:t xml:space="preserve">are </w:t>
      </w:r>
      <w:r>
        <w:rPr>
          <w:szCs w:val="22"/>
        </w:rPr>
        <w:t xml:space="preserve">for identification purposes only, and </w:t>
      </w:r>
      <w:r w:rsidR="00A81FBC">
        <w:rPr>
          <w:szCs w:val="22"/>
        </w:rPr>
        <w:t>must</w:t>
      </w:r>
      <w:r>
        <w:rPr>
          <w:szCs w:val="22"/>
        </w:rPr>
        <w:t xml:space="preserve"> not promote the contributors’ products, services, or businesses.</w:t>
      </w:r>
      <w:r>
        <w:rPr>
          <w:szCs w:val="22"/>
          <w:vertAlign w:val="superscript"/>
        </w:rPr>
        <w:footnoteReference w:id="11"/>
      </w:r>
      <w:r>
        <w:rPr>
          <w:szCs w:val="22"/>
        </w:rPr>
        <w:t xml:space="preserve">  Specifically, such </w:t>
      </w:r>
      <w:r w:rsidRPr="007B4B9E">
        <w:t>announcements</w:t>
      </w:r>
      <w:r>
        <w:rPr>
          <w:szCs w:val="22"/>
        </w:rPr>
        <w:t xml:space="preserve"> m</w:t>
      </w:r>
      <w:r w:rsidR="00A81FBC">
        <w:rPr>
          <w:szCs w:val="22"/>
        </w:rPr>
        <w:t>ust</w:t>
      </w:r>
      <w:r>
        <w:rPr>
          <w:szCs w:val="22"/>
        </w:rPr>
        <w:t xml:space="preserve"> not contain comparative or qualitative descriptions, price information, calls to action, or inducements to buy, sell, rent, or lease.</w:t>
      </w:r>
      <w:r>
        <w:rPr>
          <w:szCs w:val="22"/>
          <w:vertAlign w:val="superscript"/>
        </w:rPr>
        <w:footnoteReference w:id="12"/>
      </w:r>
      <w:r>
        <w:rPr>
          <w:szCs w:val="22"/>
        </w:rPr>
        <w:t xml:space="preserve">  </w:t>
      </w:r>
    </w:p>
    <w:p w:rsidR="000D028E" w:rsidRDefault="007871E4" w:rsidP="00656C57">
      <w:pPr>
        <w:pStyle w:val="ParaNum"/>
        <w:tabs>
          <w:tab w:val="clear" w:pos="1440"/>
        </w:tabs>
        <w:rPr>
          <w:szCs w:val="22"/>
        </w:rPr>
      </w:pPr>
      <w:r>
        <w:t>The Commission received multiple Complaints alleging</w:t>
      </w:r>
      <w:r w:rsidR="00C83DE2">
        <w:t xml:space="preserve"> </w:t>
      </w:r>
      <w:r>
        <w:t>that Syner violated the Underwriting Laws by airing announcements</w:t>
      </w:r>
      <w:r w:rsidR="002F22EE">
        <w:t>,</w:t>
      </w:r>
      <w:r>
        <w:t xml:space="preserve"> on Station WQAZ-LP</w:t>
      </w:r>
      <w:r w:rsidR="005362F1">
        <w:t xml:space="preserve"> during the time period from</w:t>
      </w:r>
      <w:r>
        <w:t xml:space="preserve"> August 2010 </w:t>
      </w:r>
      <w:r w:rsidR="005362F1">
        <w:t>to</w:t>
      </w:r>
      <w:r>
        <w:t xml:space="preserve"> October 2010, </w:t>
      </w:r>
      <w:r w:rsidR="002F22EE">
        <w:t>which promoted products or services, and contained qualitative descriptions and comparative language, pricing information, and calls to action</w:t>
      </w:r>
      <w:r>
        <w:t>.</w:t>
      </w:r>
      <w:r>
        <w:rPr>
          <w:vertAlign w:val="superscript"/>
        </w:rPr>
        <w:footnoteReference w:id="13"/>
      </w:r>
      <w:r>
        <w:t xml:space="preserve">  </w:t>
      </w:r>
      <w:r w:rsidR="00C83DE2">
        <w:t>T</w:t>
      </w:r>
      <w:r>
        <w:t>he Bureau issued a Letter of Inquiry directing Syner to submit</w:t>
      </w:r>
      <w:r w:rsidR="00C83DE2">
        <w:t xml:space="preserve"> documents describing </w:t>
      </w:r>
      <w:r>
        <w:t>its compliance with the Underwriting Laws.</w:t>
      </w:r>
      <w:r>
        <w:rPr>
          <w:vertAlign w:val="superscript"/>
        </w:rPr>
        <w:footnoteReference w:id="14"/>
      </w:r>
      <w:r w:rsidR="00C83DE2">
        <w:t xml:space="preserve">  </w:t>
      </w:r>
      <w:r w:rsidR="000D028E" w:rsidRPr="00C83DE2">
        <w:rPr>
          <w:szCs w:val="22"/>
        </w:rPr>
        <w:t>Syner responded</w:t>
      </w:r>
      <w:r w:rsidR="002F22EE">
        <w:rPr>
          <w:szCs w:val="22"/>
        </w:rPr>
        <w:t>,</w:t>
      </w:r>
      <w:r w:rsidR="00C83DE2">
        <w:rPr>
          <w:rStyle w:val="FootnoteReference"/>
          <w:szCs w:val="22"/>
        </w:rPr>
        <w:footnoteReference w:id="15"/>
      </w:r>
      <w:r w:rsidR="00C83DE2" w:rsidRPr="00C83DE2">
        <w:rPr>
          <w:szCs w:val="22"/>
        </w:rPr>
        <w:t xml:space="preserve"> </w:t>
      </w:r>
      <w:r w:rsidR="000D028E" w:rsidRPr="00C83DE2">
        <w:rPr>
          <w:szCs w:val="22"/>
        </w:rPr>
        <w:t xml:space="preserve"> </w:t>
      </w:r>
      <w:r w:rsidR="00C83DE2">
        <w:rPr>
          <w:szCs w:val="22"/>
        </w:rPr>
        <w:t xml:space="preserve">and </w:t>
      </w:r>
      <w:r w:rsidR="000D028E" w:rsidRPr="00C83DE2">
        <w:rPr>
          <w:szCs w:val="22"/>
        </w:rPr>
        <w:t xml:space="preserve">admits that it broadcast </w:t>
      </w:r>
      <w:r w:rsidR="000125B4" w:rsidRPr="00C83DE2">
        <w:rPr>
          <w:szCs w:val="22"/>
        </w:rPr>
        <w:t>the</w:t>
      </w:r>
      <w:r w:rsidR="000D028E" w:rsidRPr="00C83DE2">
        <w:rPr>
          <w:szCs w:val="22"/>
        </w:rPr>
        <w:t xml:space="preserve"> complained-of underwriting announcements over Station WQAZ-LP</w:t>
      </w:r>
      <w:r w:rsidR="002F22EE">
        <w:rPr>
          <w:szCs w:val="22"/>
        </w:rPr>
        <w:t>,</w:t>
      </w:r>
      <w:r w:rsidR="00C83DE2">
        <w:rPr>
          <w:szCs w:val="22"/>
        </w:rPr>
        <w:t xml:space="preserve"> and that the Complaints were accurate.</w:t>
      </w:r>
      <w:r w:rsidR="00DD117D">
        <w:rPr>
          <w:rStyle w:val="FootnoteReference"/>
          <w:szCs w:val="22"/>
        </w:rPr>
        <w:footnoteReference w:id="16"/>
      </w:r>
      <w:r w:rsidR="00EB6A7F" w:rsidRPr="00C83DE2">
        <w:rPr>
          <w:szCs w:val="22"/>
        </w:rPr>
        <w:t xml:space="preserve">  Thereafter</w:t>
      </w:r>
      <w:r w:rsidR="002F22EE">
        <w:rPr>
          <w:szCs w:val="22"/>
        </w:rPr>
        <w:t>,</w:t>
      </w:r>
      <w:r w:rsidR="00EB6A7F" w:rsidRPr="00C83DE2">
        <w:rPr>
          <w:szCs w:val="22"/>
        </w:rPr>
        <w:t xml:space="preserve"> the Parties agreed to enter into this Consent Decree.</w:t>
      </w:r>
    </w:p>
    <w:p w:rsidR="00723C59" w:rsidRDefault="00723C59" w:rsidP="00501243">
      <w:pPr>
        <w:pStyle w:val="Heading1"/>
        <w:rPr>
          <w:szCs w:val="22"/>
        </w:rPr>
      </w:pPr>
      <w:r w:rsidRPr="00723C59">
        <w:t>Ter</w:t>
      </w:r>
      <w:r>
        <w:t>MS OF AGREEMENT</w:t>
      </w:r>
    </w:p>
    <w:p w:rsidR="00026E0C" w:rsidRPr="0058223B" w:rsidRDefault="00026E0C" w:rsidP="00CB74F9">
      <w:pPr>
        <w:pStyle w:val="ParaNum"/>
        <w:tabs>
          <w:tab w:val="clear" w:pos="1440"/>
        </w:tabs>
        <w:rPr>
          <w:szCs w:val="22"/>
          <w:u w:val="single"/>
        </w:rPr>
      </w:pPr>
      <w:r w:rsidRPr="0058223B">
        <w:rPr>
          <w:b/>
          <w:szCs w:val="22"/>
          <w:u w:val="single"/>
        </w:rPr>
        <w:t>Adopting Order</w:t>
      </w:r>
      <w:r w:rsidRPr="0058223B">
        <w:rPr>
          <w:szCs w:val="22"/>
        </w:rPr>
        <w:t>.</w:t>
      </w:r>
      <w:r w:rsidRPr="0058223B">
        <w:rPr>
          <w:b/>
          <w:szCs w:val="22"/>
        </w:rPr>
        <w:t xml:space="preserve">  </w:t>
      </w:r>
      <w:r w:rsidRPr="0058223B">
        <w:rPr>
          <w:szCs w:val="22"/>
        </w:rPr>
        <w:t xml:space="preserve">The </w:t>
      </w:r>
      <w:r w:rsidR="007B4B9E">
        <w:rPr>
          <w:szCs w:val="22"/>
        </w:rPr>
        <w:t>provisions of this Consent Decree shall be incorporated by the Bureau in an Adopting Order without change, addition, deletion, or modification.</w:t>
      </w:r>
      <w:r w:rsidRPr="0058223B">
        <w:rPr>
          <w:b/>
          <w:szCs w:val="22"/>
          <w:u w:val="single"/>
        </w:rPr>
        <w:t xml:space="preserve"> </w:t>
      </w:r>
    </w:p>
    <w:p w:rsidR="00026E0C" w:rsidRPr="0058223B" w:rsidRDefault="00026E0C" w:rsidP="00656C57">
      <w:pPr>
        <w:pStyle w:val="ParaNum"/>
        <w:tabs>
          <w:tab w:val="clear" w:pos="1440"/>
        </w:tabs>
        <w:rPr>
          <w:szCs w:val="22"/>
        </w:rPr>
      </w:pPr>
      <w:r w:rsidRPr="0058223B">
        <w:rPr>
          <w:b/>
          <w:szCs w:val="22"/>
          <w:u w:val="single"/>
        </w:rPr>
        <w:t>Jurisdiction</w:t>
      </w:r>
      <w:r w:rsidRPr="0058223B">
        <w:rPr>
          <w:szCs w:val="22"/>
        </w:rPr>
        <w:t xml:space="preserve">.  </w:t>
      </w:r>
      <w:r w:rsidR="00EB6A7F">
        <w:rPr>
          <w:szCs w:val="22"/>
        </w:rPr>
        <w:t>Syner</w:t>
      </w:r>
      <w:r w:rsidRPr="0058223B">
        <w:rPr>
          <w:szCs w:val="22"/>
        </w:rPr>
        <w:t xml:space="preserve"> agrees that the </w:t>
      </w:r>
      <w:r w:rsidRPr="0058223B">
        <w:rPr>
          <w:bCs/>
          <w:szCs w:val="22"/>
        </w:rPr>
        <w:t>Bureau</w:t>
      </w:r>
      <w:r w:rsidRPr="0058223B">
        <w:rPr>
          <w:szCs w:val="22"/>
        </w:rPr>
        <w:t xml:space="preserve"> has jurisdiction over it and the matters contained in this Consent Decree and that the Bureau has the authority to enter into and adopt this Consent Decree.</w:t>
      </w:r>
    </w:p>
    <w:p w:rsidR="00026E0C" w:rsidRPr="0058223B" w:rsidRDefault="00026E0C" w:rsidP="00B63DB0">
      <w:pPr>
        <w:pStyle w:val="ParaNum"/>
        <w:tabs>
          <w:tab w:val="clear" w:pos="1440"/>
        </w:tabs>
        <w:rPr>
          <w:szCs w:val="22"/>
        </w:rPr>
      </w:pPr>
      <w:r w:rsidRPr="0058223B">
        <w:rPr>
          <w:b/>
          <w:szCs w:val="22"/>
          <w:u w:val="single"/>
        </w:rPr>
        <w:t>Effective Date; Violations</w:t>
      </w:r>
      <w:r w:rsidRPr="0058223B">
        <w:rPr>
          <w:szCs w:val="22"/>
        </w:rPr>
        <w:t>.</w:t>
      </w:r>
      <w:r w:rsidRPr="0058223B">
        <w:rPr>
          <w:b/>
          <w:szCs w:val="22"/>
        </w:rPr>
        <w:t xml:space="preserve">  </w:t>
      </w:r>
      <w:r w:rsidRPr="0058223B">
        <w:rPr>
          <w:szCs w:val="22"/>
        </w:rPr>
        <w:t xml:space="preserve">The Parties agree that this Consent Decree shall become effective on the Effective Date as defined herein.  As of the Effective Date, the </w:t>
      </w:r>
      <w:r w:rsidR="00334980">
        <w:rPr>
          <w:szCs w:val="22"/>
        </w:rPr>
        <w:t>Parties agree that this Consent Decree shall have the same force and effect as any other order of the Commission.</w:t>
      </w:r>
    </w:p>
    <w:p w:rsidR="00026E0C" w:rsidRPr="00E014BC" w:rsidRDefault="00026E0C" w:rsidP="00795A4A">
      <w:pPr>
        <w:pStyle w:val="ParaNum"/>
        <w:numPr>
          <w:ilvl w:val="0"/>
          <w:numId w:val="8"/>
        </w:numPr>
        <w:tabs>
          <w:tab w:val="clear" w:pos="1080"/>
        </w:tabs>
        <w:rPr>
          <w:szCs w:val="22"/>
        </w:rPr>
      </w:pPr>
      <w:r w:rsidRPr="0058223B">
        <w:rPr>
          <w:b/>
          <w:szCs w:val="22"/>
          <w:u w:val="single"/>
        </w:rPr>
        <w:t>Termination of Investigation</w:t>
      </w:r>
      <w:r w:rsidRPr="0058223B">
        <w:rPr>
          <w:szCs w:val="22"/>
        </w:rPr>
        <w:t>.</w:t>
      </w:r>
      <w:r w:rsidRPr="0058223B">
        <w:rPr>
          <w:b/>
          <w:szCs w:val="22"/>
        </w:rPr>
        <w:t xml:space="preserve">  </w:t>
      </w:r>
      <w:r w:rsidRPr="0058223B">
        <w:rPr>
          <w:szCs w:val="22"/>
        </w:rPr>
        <w:t>In express reliance on the covenants and representations in this Consent Decree and to avoid further expenditure of public resources, the Bureau agrees to terminate the Investigation</w:t>
      </w:r>
      <w:r w:rsidR="00E40080">
        <w:rPr>
          <w:szCs w:val="22"/>
        </w:rPr>
        <w:t xml:space="preserve"> and dismiss the Complaints</w:t>
      </w:r>
      <w:r w:rsidRPr="0058223B">
        <w:rPr>
          <w:szCs w:val="22"/>
        </w:rPr>
        <w:t>.  In consideration for the termination of the Investigation</w:t>
      </w:r>
      <w:r w:rsidR="00E40080">
        <w:rPr>
          <w:szCs w:val="22"/>
        </w:rPr>
        <w:t xml:space="preserve"> and dismissal of the Complaints</w:t>
      </w:r>
      <w:r w:rsidRPr="0058223B">
        <w:rPr>
          <w:szCs w:val="22"/>
        </w:rPr>
        <w:t xml:space="preserve">, </w:t>
      </w:r>
      <w:r w:rsidR="00EB6A7F">
        <w:rPr>
          <w:szCs w:val="22"/>
        </w:rPr>
        <w:t>Syner</w:t>
      </w:r>
      <w:r w:rsidRPr="0058223B">
        <w:rPr>
          <w:szCs w:val="22"/>
        </w:rPr>
        <w:t xml:space="preserve"> agrees to the terms, conditions, and procedures contained herein.  The Bureau further agrees that in the absence of new material evidence, </w:t>
      </w:r>
      <w:r w:rsidR="00E40080">
        <w:rPr>
          <w:szCs w:val="22"/>
        </w:rPr>
        <w:t>it</w:t>
      </w:r>
      <w:r w:rsidRPr="0058223B">
        <w:rPr>
          <w:szCs w:val="22"/>
        </w:rPr>
        <w:t xml:space="preserve"> will not use the facts developed in the Investigation through the Effective Date, or the existence of this Consent Decree, to institute on its own motion</w:t>
      </w:r>
      <w:r w:rsidR="00E40080">
        <w:rPr>
          <w:szCs w:val="22"/>
        </w:rPr>
        <w:t>,</w:t>
      </w:r>
      <w:r w:rsidRPr="0058223B">
        <w:rPr>
          <w:szCs w:val="22"/>
        </w:rPr>
        <w:t xml:space="preserve"> any new proceeding, formal or informal, or take any action on its own motion against </w:t>
      </w:r>
      <w:r w:rsidR="00EB6A7F">
        <w:rPr>
          <w:szCs w:val="22"/>
        </w:rPr>
        <w:t>Syner</w:t>
      </w:r>
      <w:r w:rsidRPr="0058223B">
        <w:rPr>
          <w:szCs w:val="22"/>
        </w:rPr>
        <w:t xml:space="preserve">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w:t>
      </w:r>
      <w:r w:rsidR="00EB6A7F">
        <w:rPr>
          <w:szCs w:val="22"/>
        </w:rPr>
        <w:t>Syner</w:t>
      </w:r>
      <w:r w:rsidRPr="0058223B">
        <w:rPr>
          <w:szCs w:val="22"/>
        </w:rPr>
        <w:t xml:space="preserve"> with respect to </w:t>
      </w:r>
      <w:r w:rsidR="00EB6A7F">
        <w:rPr>
          <w:szCs w:val="22"/>
        </w:rPr>
        <w:t>Syner’s</w:t>
      </w:r>
      <w:r w:rsidRPr="0058223B">
        <w:rPr>
          <w:szCs w:val="22"/>
        </w:rPr>
        <w:t xml:space="preserve"> basic qualifications, including its character qualifications, to be a Commission licensee or hold Commission licenses or authorizations.</w:t>
      </w:r>
    </w:p>
    <w:p w:rsidR="00126030" w:rsidRPr="00B63DB0" w:rsidRDefault="00072CD8" w:rsidP="00026E0C">
      <w:pPr>
        <w:pStyle w:val="ParaNum"/>
        <w:numPr>
          <w:ilvl w:val="0"/>
          <w:numId w:val="8"/>
        </w:numPr>
        <w:tabs>
          <w:tab w:val="clear" w:pos="1080"/>
        </w:tabs>
        <w:rPr>
          <w:rStyle w:val="CommentReference"/>
          <w:rFonts w:eastAsia="MS Mincho"/>
          <w:sz w:val="22"/>
        </w:rPr>
      </w:pPr>
      <w:r w:rsidRPr="0058223B">
        <w:rPr>
          <w:b/>
          <w:szCs w:val="22"/>
          <w:u w:val="single"/>
        </w:rPr>
        <w:t>Admission</w:t>
      </w:r>
      <w:r w:rsidR="00043FF9">
        <w:rPr>
          <w:b/>
          <w:szCs w:val="22"/>
          <w:u w:val="single"/>
        </w:rPr>
        <w:t xml:space="preserve"> </w:t>
      </w:r>
      <w:r w:rsidRPr="0058223B">
        <w:rPr>
          <w:b/>
          <w:szCs w:val="22"/>
          <w:u w:val="single"/>
        </w:rPr>
        <w:t>of Liability</w:t>
      </w:r>
      <w:r w:rsidRPr="0058223B">
        <w:rPr>
          <w:szCs w:val="22"/>
        </w:rPr>
        <w:t>.</w:t>
      </w:r>
      <w:r w:rsidRPr="0058223B">
        <w:rPr>
          <w:b/>
          <w:szCs w:val="22"/>
        </w:rPr>
        <w:t xml:space="preserve">  </w:t>
      </w:r>
      <w:r w:rsidR="00EB6A7F">
        <w:rPr>
          <w:rFonts w:eastAsia="MS Mincho"/>
          <w:szCs w:val="22"/>
        </w:rPr>
        <w:t>Syner</w:t>
      </w:r>
      <w:r w:rsidRPr="0058223B">
        <w:rPr>
          <w:rFonts w:eastAsia="MS Mincho"/>
          <w:szCs w:val="22"/>
        </w:rPr>
        <w:t xml:space="preserve"> admits</w:t>
      </w:r>
      <w:r w:rsidR="00126030">
        <w:rPr>
          <w:rFonts w:eastAsia="MS Mincho"/>
          <w:szCs w:val="22"/>
        </w:rPr>
        <w:t xml:space="preserve">, </w:t>
      </w:r>
      <w:r w:rsidRPr="0058223B">
        <w:rPr>
          <w:rFonts w:eastAsia="MS Mincho"/>
          <w:szCs w:val="22"/>
        </w:rPr>
        <w:t xml:space="preserve">in express reliance on the provisions of paragraph </w:t>
      </w:r>
      <w:r w:rsidR="00C83DE2">
        <w:rPr>
          <w:rFonts w:eastAsia="MS Mincho"/>
          <w:szCs w:val="22"/>
        </w:rPr>
        <w:t>8</w:t>
      </w:r>
      <w:r w:rsidRPr="0058223B">
        <w:rPr>
          <w:rFonts w:eastAsia="MS Mincho"/>
          <w:szCs w:val="22"/>
        </w:rPr>
        <w:t xml:space="preserve"> herein, that its actions with respect to the broadcast of the material referenced in paragraph </w:t>
      </w:r>
      <w:r w:rsidR="00EB6A7F">
        <w:rPr>
          <w:rFonts w:eastAsia="MS Mincho"/>
          <w:szCs w:val="22"/>
        </w:rPr>
        <w:t>4</w:t>
      </w:r>
      <w:r w:rsidRPr="0058223B">
        <w:rPr>
          <w:rFonts w:eastAsia="MS Mincho"/>
          <w:szCs w:val="22"/>
        </w:rPr>
        <w:t xml:space="preserve"> of this Consent Decree violated the Commission’s </w:t>
      </w:r>
      <w:r w:rsidR="00EB6A7F">
        <w:rPr>
          <w:rFonts w:eastAsia="MS Mincho"/>
          <w:szCs w:val="22"/>
        </w:rPr>
        <w:t>Underwriting</w:t>
      </w:r>
      <w:r w:rsidRPr="0058223B">
        <w:rPr>
          <w:rFonts w:eastAsia="MS Mincho"/>
          <w:szCs w:val="22"/>
        </w:rPr>
        <w:t xml:space="preserve"> Laws</w:t>
      </w:r>
      <w:r>
        <w:rPr>
          <w:rStyle w:val="CommentReference"/>
        </w:rPr>
        <w:t>.</w:t>
      </w:r>
    </w:p>
    <w:p w:rsidR="00126030" w:rsidRPr="0058223B" w:rsidRDefault="00126030" w:rsidP="00126030">
      <w:pPr>
        <w:pStyle w:val="ParaNum"/>
        <w:numPr>
          <w:ilvl w:val="0"/>
          <w:numId w:val="8"/>
        </w:numPr>
        <w:tabs>
          <w:tab w:val="clear" w:pos="1080"/>
        </w:tabs>
        <w:rPr>
          <w:rFonts w:eastAsia="MS Mincho"/>
          <w:szCs w:val="22"/>
        </w:rPr>
      </w:pPr>
      <w:r w:rsidRPr="0058223B">
        <w:rPr>
          <w:b/>
          <w:szCs w:val="22"/>
          <w:u w:val="single"/>
        </w:rPr>
        <w:t>Civil Penalty</w:t>
      </w:r>
      <w:r w:rsidRPr="0058223B">
        <w:rPr>
          <w:szCs w:val="22"/>
        </w:rPr>
        <w:t xml:space="preserve">.  </w:t>
      </w:r>
      <w:r>
        <w:rPr>
          <w:szCs w:val="22"/>
        </w:rPr>
        <w:t xml:space="preserve">Syner </w:t>
      </w:r>
      <w:r w:rsidRPr="0058223B">
        <w:rPr>
          <w:rFonts w:eastAsia="MS Mincho"/>
          <w:szCs w:val="22"/>
        </w:rPr>
        <w:t xml:space="preserve">will </w:t>
      </w:r>
      <w:r>
        <w:rPr>
          <w:rFonts w:eastAsia="MS Mincho"/>
          <w:szCs w:val="22"/>
        </w:rPr>
        <w:t>pay a civil penalty</w:t>
      </w:r>
      <w:r w:rsidRPr="0058223B">
        <w:rPr>
          <w:rFonts w:eastAsia="MS Mincho"/>
          <w:szCs w:val="22"/>
        </w:rPr>
        <w:t xml:space="preserve"> to the United States Treasury in the amount of </w:t>
      </w:r>
      <w:r>
        <w:rPr>
          <w:rFonts w:eastAsia="MS Mincho"/>
          <w:szCs w:val="22"/>
        </w:rPr>
        <w:t xml:space="preserve">sixteen thousand dollars ($16,000).  Payment is to be made in quarterly installments of two thousand dollars </w:t>
      </w:r>
      <w:r>
        <w:t xml:space="preserve">($2,000) each to be made over a 24-month period; the first payment of which is due </w:t>
      </w:r>
      <w:r w:rsidRPr="0058223B">
        <w:rPr>
          <w:rFonts w:eastAsia="MS Mincho"/>
          <w:szCs w:val="22"/>
        </w:rPr>
        <w:t>within thirty (30) calendar days after the Effective Date.  </w:t>
      </w:r>
      <w:r>
        <w:rPr>
          <w:rFonts w:eastAsia="MS Mincho"/>
          <w:szCs w:val="22"/>
        </w:rPr>
        <w:t>Syner acknowledges and agrees that upon execution of this Consent Decree, the civil penalty and each installment Payment shall become a “Claim” or “Debt” as defined in 31 U.S.C. § 3701(b)(1).</w:t>
      </w:r>
      <w:r>
        <w:rPr>
          <w:rStyle w:val="FootnoteReference"/>
          <w:rFonts w:eastAsia="MS Mincho"/>
          <w:szCs w:val="22"/>
        </w:rPr>
        <w:footnoteReference w:id="17"/>
      </w:r>
      <w:r>
        <w:rPr>
          <w:rFonts w:eastAsia="MS Mincho"/>
          <w:szCs w:val="22"/>
        </w:rPr>
        <w:t xml:space="preserve">  Syner</w:t>
      </w:r>
      <w:r w:rsidRPr="0058223B">
        <w:rPr>
          <w:szCs w:val="22"/>
        </w:rPr>
        <w:t xml:space="preserve"> </w:t>
      </w:r>
      <w:r w:rsidRPr="0058223B">
        <w:rPr>
          <w:rFonts w:eastAsia="MS Mincho"/>
          <w:szCs w:val="22"/>
        </w:rPr>
        <w:t xml:space="preserve">shall send electronic notification of payment to </w:t>
      </w:r>
      <w:r w:rsidRPr="0058223B">
        <w:rPr>
          <w:szCs w:val="22"/>
        </w:rPr>
        <w:t xml:space="preserve">Jeffrey J. Gee at Jeffrey.Gee@fcc.gov, Kenneth M. Scheibel, Jr. at Kenneth.Scheibel@fcc.gov, and to </w:t>
      </w:r>
      <w:r>
        <w:rPr>
          <w:szCs w:val="22"/>
        </w:rPr>
        <w:t>Jennifer A. Lewis at Jennifer.lewis@fcc.gov</w:t>
      </w:r>
      <w:r w:rsidRPr="0058223B">
        <w:rPr>
          <w:rFonts w:eastAsia="MS Mincho"/>
          <w:szCs w:val="22"/>
        </w:rPr>
        <w:t xml:space="preserve"> on the date said payment is made.  The payment must be made by check or similar instrument, wire transfer, or credit card, and must include the Account Number and FRN referenced above.  Regardless of the form of payment, </w:t>
      </w:r>
      <w:r w:rsidRPr="007C5CC5">
        <w:rPr>
          <w:rFonts w:eastAsia="MS Mincho"/>
          <w:szCs w:val="22"/>
        </w:rPr>
        <w:t>a completed FCC Form 159 (Remittance Advice)</w:t>
      </w:r>
      <w:r w:rsidRPr="007C5CC5">
        <w:rPr>
          <w:rStyle w:val="FootnoteReference"/>
          <w:rFonts w:eastAsia="MS Mincho"/>
          <w:sz w:val="22"/>
          <w:szCs w:val="22"/>
        </w:rPr>
        <w:footnoteReference w:id="18"/>
      </w:r>
      <w:r>
        <w:rPr>
          <w:rFonts w:eastAsia="MS Mincho"/>
          <w:szCs w:val="22"/>
        </w:rPr>
        <w:t xml:space="preserve"> </w:t>
      </w:r>
      <w:r w:rsidR="00F96F84">
        <w:rPr>
          <w:rFonts w:eastAsia="MS Mincho"/>
          <w:szCs w:val="22"/>
        </w:rPr>
        <w:t>m</w:t>
      </w:r>
      <w:r>
        <w:rPr>
          <w:rFonts w:eastAsia="MS Mincho"/>
          <w:szCs w:val="22"/>
        </w:rPr>
        <w:t>ust be submitted.</w:t>
      </w:r>
      <w:r w:rsidRPr="007C5CC5">
        <w:rPr>
          <w:rFonts w:eastAsia="MS Mincho"/>
          <w:szCs w:val="22"/>
        </w:rPr>
        <w:t xml:space="preserve">  When completing the FCC Form 159, enter the Account Number in block number 23A (call sign/other ID) and enter</w:t>
      </w:r>
      <w:r w:rsidRPr="0058223B">
        <w:rPr>
          <w:rFonts w:eastAsia="MS Mincho"/>
          <w:szCs w:val="22"/>
        </w:rPr>
        <w:t xml:space="preserve"> the letters “FORF” in block nu</w:t>
      </w:r>
      <w:r>
        <w:rPr>
          <w:rFonts w:eastAsia="MS Mincho"/>
          <w:szCs w:val="22"/>
        </w:rPr>
        <w:t>mber 24A (payment type code).  </w:t>
      </w:r>
      <w:r w:rsidRPr="0058223B">
        <w:rPr>
          <w:color w:val="000000"/>
          <w:szCs w:val="22"/>
        </w:rPr>
        <w:t xml:space="preserve">Below are additional instructions that should </w:t>
      </w:r>
      <w:r>
        <w:rPr>
          <w:color w:val="000000"/>
          <w:szCs w:val="22"/>
        </w:rPr>
        <w:t xml:space="preserve">be </w:t>
      </w:r>
      <w:r w:rsidRPr="0058223B">
        <w:rPr>
          <w:color w:val="000000"/>
          <w:szCs w:val="22"/>
        </w:rPr>
        <w:t>follow</w:t>
      </w:r>
      <w:r>
        <w:rPr>
          <w:color w:val="000000"/>
          <w:szCs w:val="22"/>
        </w:rPr>
        <w:t>ed</w:t>
      </w:r>
      <w:r w:rsidRPr="0058223B">
        <w:rPr>
          <w:color w:val="000000"/>
          <w:szCs w:val="22"/>
        </w:rPr>
        <w:t xml:space="preserve"> based on the form of payment select</w:t>
      </w:r>
      <w:r>
        <w:rPr>
          <w:color w:val="000000"/>
          <w:szCs w:val="22"/>
        </w:rPr>
        <w:t>ed</w:t>
      </w:r>
      <w:r w:rsidRPr="0058223B">
        <w:rPr>
          <w:color w:val="000000"/>
          <w:szCs w:val="22"/>
        </w:rPr>
        <w:t>:</w:t>
      </w:r>
    </w:p>
    <w:p w:rsidR="00126030" w:rsidRPr="007C0B39" w:rsidRDefault="00126030" w:rsidP="00126030">
      <w:pPr>
        <w:pStyle w:val="ParaNum"/>
        <w:numPr>
          <w:ilvl w:val="0"/>
          <w:numId w:val="6"/>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rsidR="00126030" w:rsidRPr="00154BEB" w:rsidRDefault="00126030" w:rsidP="00126030">
      <w:pPr>
        <w:pStyle w:val="ParaNum"/>
        <w:numPr>
          <w:ilvl w:val="0"/>
          <w:numId w:val="6"/>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r w:rsidRPr="00154BEB">
        <w:rPr>
          <w:rFonts w:eastAsia="MS Mincho"/>
          <w:szCs w:val="22"/>
        </w:rPr>
        <w:t> </w:t>
      </w:r>
    </w:p>
    <w:p w:rsidR="00126030" w:rsidRDefault="00126030" w:rsidP="00CB74F9">
      <w:pPr>
        <w:pStyle w:val="ParaNum"/>
        <w:widowControl/>
        <w:numPr>
          <w:ilvl w:val="0"/>
          <w:numId w:val="6"/>
        </w:numPr>
        <w:rPr>
          <w:rFonts w:eastAsia="MS Mincho"/>
          <w:szCs w:val="22"/>
        </w:rPr>
      </w:pPr>
      <w:r w:rsidRPr="00154BEB">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026E0C" w:rsidRPr="00501243" w:rsidRDefault="00126030" w:rsidP="007455A9">
      <w:pPr>
        <w:pStyle w:val="ParaNum"/>
        <w:numPr>
          <w:ilvl w:val="0"/>
          <w:numId w:val="0"/>
        </w:numPr>
        <w:rPr>
          <w:rFonts w:eastAsia="MS Mincho"/>
          <w:szCs w:val="22"/>
        </w:rPr>
      </w:pPr>
      <w:r w:rsidRPr="007C0B39">
        <w:rPr>
          <w:rFonts w:eastAsia="MS Mincho"/>
        </w:rPr>
        <w:t>Questions regarding payment procedures should be addressed to the Financial Operations Group Help Desk by phone, 1-877-480-3201, or by e-mail, ARINQUIRIES@fcc.gov.</w:t>
      </w:r>
      <w:r w:rsidR="00026E0C" w:rsidRPr="0058223B">
        <w:rPr>
          <w:szCs w:val="22"/>
        </w:rPr>
        <w:t xml:space="preserve"> </w:t>
      </w:r>
    </w:p>
    <w:p w:rsidR="006E2A54" w:rsidRPr="00EB6A7F" w:rsidRDefault="006E2A54" w:rsidP="00B63DB0">
      <w:pPr>
        <w:pStyle w:val="ParaNum"/>
        <w:numPr>
          <w:ilvl w:val="0"/>
          <w:numId w:val="8"/>
        </w:numPr>
        <w:tabs>
          <w:tab w:val="clear" w:pos="1080"/>
        </w:tabs>
        <w:rPr>
          <w:szCs w:val="22"/>
        </w:rPr>
      </w:pPr>
      <w:r w:rsidRPr="00EB6A7F">
        <w:rPr>
          <w:rFonts w:ascii="Times New Roman Bold" w:hAnsi="Times New Roman Bold"/>
          <w:szCs w:val="22"/>
          <w:u w:val="single"/>
        </w:rPr>
        <w:t>Compliance Officer</w:t>
      </w:r>
      <w:r w:rsidRPr="00EB6A7F">
        <w:rPr>
          <w:szCs w:val="22"/>
        </w:rPr>
        <w:t xml:space="preserve">.  Within thirty (30) calendar days after the Effective Date, </w:t>
      </w:r>
      <w:r w:rsidR="004240E3">
        <w:rPr>
          <w:szCs w:val="22"/>
        </w:rPr>
        <w:t>Syner</w:t>
      </w:r>
      <w:r w:rsidRPr="00EB6A7F">
        <w:rPr>
          <w:szCs w:val="22"/>
        </w:rPr>
        <w:t xml:space="preserve"> shall designate a</w:t>
      </w:r>
      <w:r w:rsidR="00D92BDD">
        <w:rPr>
          <w:szCs w:val="22"/>
        </w:rPr>
        <w:t xml:space="preserve"> senior corporate manager with the requisite corporate and organizational authority to serve as a Compliance Officer and to discharge the duties set forth below.</w:t>
      </w:r>
      <w:r>
        <w:rPr>
          <w:szCs w:val="22"/>
        </w:rPr>
        <w:t xml:space="preserve">  The </w:t>
      </w:r>
      <w:r w:rsidR="00D92BDD">
        <w:rPr>
          <w:szCs w:val="22"/>
        </w:rPr>
        <w:t xml:space="preserve">person designated as </w:t>
      </w:r>
      <w:r>
        <w:rPr>
          <w:szCs w:val="22"/>
        </w:rPr>
        <w:t>Compliance Officer</w:t>
      </w:r>
      <w:r w:rsidRPr="00EB6A7F">
        <w:rPr>
          <w:szCs w:val="22"/>
        </w:rPr>
        <w:t xml:space="preserve"> shall be responsible for developing, implementing, and administering </w:t>
      </w:r>
      <w:r w:rsidR="00D92BDD">
        <w:rPr>
          <w:szCs w:val="22"/>
        </w:rPr>
        <w:t>the</w:t>
      </w:r>
      <w:r w:rsidRPr="00EB6A7F">
        <w:rPr>
          <w:szCs w:val="22"/>
        </w:rPr>
        <w:t xml:space="preserve"> Compliance Plan </w:t>
      </w:r>
      <w:r w:rsidRPr="00501243">
        <w:rPr>
          <w:rFonts w:eastAsia="MS Mincho"/>
          <w:szCs w:val="22"/>
        </w:rPr>
        <w:t>and</w:t>
      </w:r>
      <w:r w:rsidRPr="00EB6A7F">
        <w:rPr>
          <w:szCs w:val="22"/>
        </w:rPr>
        <w:t xml:space="preserve"> ensuring that </w:t>
      </w:r>
      <w:r w:rsidR="00D92BDD">
        <w:rPr>
          <w:szCs w:val="22"/>
        </w:rPr>
        <w:t>Syner</w:t>
      </w:r>
      <w:r w:rsidRPr="00EB6A7F">
        <w:rPr>
          <w:szCs w:val="22"/>
        </w:rPr>
        <w:t xml:space="preserve"> complies with the terms and conditions of the Compliance Plan and this Consent Decree.  In addition to the general knowledge of the </w:t>
      </w:r>
      <w:r w:rsidR="00D92BDD">
        <w:rPr>
          <w:szCs w:val="22"/>
        </w:rPr>
        <w:t>Communications Laws</w:t>
      </w:r>
      <w:r w:rsidRPr="00EB6A7F">
        <w:rPr>
          <w:szCs w:val="22"/>
        </w:rPr>
        <w:t xml:space="preserve"> necessary to discharge his</w:t>
      </w:r>
      <w:r w:rsidR="00D92BDD">
        <w:rPr>
          <w:szCs w:val="22"/>
        </w:rPr>
        <w:t xml:space="preserve"> or </w:t>
      </w:r>
      <w:r w:rsidRPr="00EB6A7F">
        <w:rPr>
          <w:szCs w:val="22"/>
        </w:rPr>
        <w:t xml:space="preserve">her duties under this Consent Decree, the Compliance Officer shall have specific knowledge of the Underwriting Laws before assuming his/her duties.    </w:t>
      </w:r>
    </w:p>
    <w:p w:rsidR="006E2A54" w:rsidRPr="006E2A54" w:rsidRDefault="006E2A54" w:rsidP="00C86340">
      <w:pPr>
        <w:pStyle w:val="ParaNum"/>
        <w:keepLines/>
        <w:numPr>
          <w:ilvl w:val="0"/>
          <w:numId w:val="8"/>
        </w:numPr>
        <w:tabs>
          <w:tab w:val="clear" w:pos="1080"/>
        </w:tabs>
        <w:rPr>
          <w:color w:val="000000"/>
          <w:szCs w:val="22"/>
        </w:rPr>
      </w:pPr>
      <w:r>
        <w:rPr>
          <w:rFonts w:ascii="Times New Roman Bold" w:hAnsi="Times New Roman Bold"/>
          <w:szCs w:val="22"/>
          <w:u w:val="single"/>
        </w:rPr>
        <w:t>Compliance Plan</w:t>
      </w:r>
      <w:r>
        <w:rPr>
          <w:szCs w:val="22"/>
        </w:rPr>
        <w:t>.  For purposes of settling the matters set forth herein,</w:t>
      </w:r>
      <w:r>
        <w:rPr>
          <w:rFonts w:ascii="Times New Roman Bold" w:hAnsi="Times New Roman Bold"/>
          <w:szCs w:val="22"/>
        </w:rPr>
        <w:t xml:space="preserve"> </w:t>
      </w:r>
      <w:r w:rsidR="00920D1A">
        <w:rPr>
          <w:szCs w:val="22"/>
        </w:rPr>
        <w:t>Syner</w:t>
      </w:r>
      <w:r>
        <w:rPr>
          <w:szCs w:val="22"/>
        </w:rPr>
        <w:t xml:space="preserve"> agrees that it shall, within sixty (60) calendar days </w:t>
      </w:r>
      <w:r w:rsidR="00920D1A">
        <w:rPr>
          <w:szCs w:val="22"/>
        </w:rPr>
        <w:t>after</w:t>
      </w:r>
      <w:r>
        <w:rPr>
          <w:szCs w:val="22"/>
        </w:rPr>
        <w:t xml:space="preserve"> the Effective Date, </w:t>
      </w:r>
      <w:r w:rsidR="00920D1A">
        <w:rPr>
          <w:szCs w:val="22"/>
        </w:rPr>
        <w:t xml:space="preserve">develop and </w:t>
      </w:r>
      <w:r>
        <w:rPr>
          <w:szCs w:val="22"/>
        </w:rPr>
        <w:t xml:space="preserve">implement a Compliance Plan designed to </w:t>
      </w:r>
      <w:r w:rsidR="00920D1A">
        <w:rPr>
          <w:szCs w:val="22"/>
        </w:rPr>
        <w:t xml:space="preserve">ensure future compliance with the Communications Laws and with the terms and conditions of this Consent Decree.  With respect to the </w:t>
      </w:r>
      <w:r>
        <w:rPr>
          <w:szCs w:val="22"/>
        </w:rPr>
        <w:t xml:space="preserve">Underwriting Laws, </w:t>
      </w:r>
      <w:r w:rsidR="00920D1A">
        <w:rPr>
          <w:szCs w:val="22"/>
        </w:rPr>
        <w:t>Syner will implement</w:t>
      </w:r>
      <w:r w:rsidR="00920D1A" w:rsidRPr="00B63DB0">
        <w:t xml:space="preserve">, at a minimum, the following </w:t>
      </w:r>
      <w:r w:rsidR="00920D1A">
        <w:rPr>
          <w:szCs w:val="22"/>
        </w:rPr>
        <w:t>procedures</w:t>
      </w:r>
      <w:r w:rsidRPr="006E2A54">
        <w:rPr>
          <w:color w:val="000000"/>
          <w:szCs w:val="22"/>
        </w:rPr>
        <w:t xml:space="preserve">: </w:t>
      </w:r>
    </w:p>
    <w:p w:rsidR="006E2A54" w:rsidRPr="00501243" w:rsidRDefault="006E2A54" w:rsidP="00B63DB0">
      <w:pPr>
        <w:numPr>
          <w:ilvl w:val="0"/>
          <w:numId w:val="43"/>
        </w:numPr>
        <w:spacing w:after="120"/>
        <w:rPr>
          <w:rFonts w:ascii="Times New Roman Bold" w:hAnsi="Times New Roman Bold"/>
          <w:b/>
          <w:color w:val="000000"/>
          <w:szCs w:val="22"/>
        </w:rPr>
      </w:pPr>
      <w:r w:rsidRPr="006E2A54">
        <w:rPr>
          <w:b/>
          <w:bCs/>
          <w:color w:val="000000"/>
          <w:szCs w:val="22"/>
          <w:u w:val="single"/>
        </w:rPr>
        <w:t>Consultation with Counsel</w:t>
      </w:r>
      <w:r w:rsidRPr="006E2A54">
        <w:rPr>
          <w:bCs/>
          <w:color w:val="000000"/>
          <w:szCs w:val="22"/>
        </w:rPr>
        <w:t>.</w:t>
      </w:r>
      <w:r>
        <w:rPr>
          <w:bCs/>
          <w:color w:val="000000"/>
          <w:szCs w:val="22"/>
        </w:rPr>
        <w:t xml:space="preserve">  If the Compliance Officer is not an FCC regulatory counsel or in-house counsel, </w:t>
      </w:r>
      <w:r w:rsidR="007C00EA">
        <w:rPr>
          <w:bCs/>
          <w:color w:val="000000"/>
          <w:szCs w:val="22"/>
        </w:rPr>
        <w:t>Syner</w:t>
      </w:r>
      <w:r>
        <w:rPr>
          <w:bCs/>
          <w:color w:val="000000"/>
          <w:szCs w:val="22"/>
        </w:rPr>
        <w:t xml:space="preserve"> shall consult with </w:t>
      </w:r>
      <w:r w:rsidRPr="00B63DB0">
        <w:t>outside</w:t>
      </w:r>
      <w:r>
        <w:rPr>
          <w:bCs/>
          <w:color w:val="000000"/>
          <w:szCs w:val="22"/>
        </w:rPr>
        <w:t xml:space="preserve"> FCC regulatory counsel regarding </w:t>
      </w:r>
      <w:r w:rsidR="007C00EA">
        <w:rPr>
          <w:bCs/>
          <w:color w:val="000000"/>
          <w:szCs w:val="22"/>
        </w:rPr>
        <w:t>Syner’s</w:t>
      </w:r>
      <w:r>
        <w:rPr>
          <w:bCs/>
          <w:color w:val="000000"/>
          <w:szCs w:val="22"/>
        </w:rPr>
        <w:t xml:space="preserve"> overall compliance with the Underwriting Laws.  Such consultations shall occur on a biannual basis, if not more frequently.</w:t>
      </w:r>
      <w:r>
        <w:rPr>
          <w:b/>
          <w:bCs/>
          <w:color w:val="000000"/>
          <w:szCs w:val="22"/>
          <w:u w:val="single"/>
        </w:rPr>
        <w:t xml:space="preserve">  </w:t>
      </w:r>
    </w:p>
    <w:p w:rsidR="006E2A54" w:rsidRPr="00501243" w:rsidRDefault="006E2A54" w:rsidP="00B63DB0">
      <w:pPr>
        <w:numPr>
          <w:ilvl w:val="0"/>
          <w:numId w:val="43"/>
        </w:numPr>
        <w:spacing w:after="120"/>
        <w:rPr>
          <w:rFonts w:ascii="Times New Roman Bold" w:hAnsi="Times New Roman Bold"/>
          <w:b/>
          <w:color w:val="000000"/>
          <w:szCs w:val="22"/>
        </w:rPr>
      </w:pPr>
      <w:r w:rsidRPr="00501243">
        <w:rPr>
          <w:b/>
          <w:bCs/>
          <w:color w:val="000000"/>
          <w:szCs w:val="22"/>
          <w:u w:val="single"/>
        </w:rPr>
        <w:t>Operating Procedures</w:t>
      </w:r>
      <w:r w:rsidRPr="00501243">
        <w:rPr>
          <w:color w:val="000000"/>
          <w:szCs w:val="22"/>
        </w:rPr>
        <w:t xml:space="preserve">.  Within sixty (60) calendar days after the Effective Date, Licensee shall establish Operating Procedures that all Covered Employees must follow to help ensure </w:t>
      </w:r>
      <w:r w:rsidR="007C00EA">
        <w:rPr>
          <w:color w:val="000000"/>
          <w:szCs w:val="22"/>
        </w:rPr>
        <w:t>Syner’s</w:t>
      </w:r>
      <w:r w:rsidRPr="00501243">
        <w:rPr>
          <w:color w:val="000000"/>
          <w:szCs w:val="22"/>
        </w:rPr>
        <w:t xml:space="preserve"> compliance with the Communications Laws, including the Underwriting Laws.  </w:t>
      </w:r>
      <w:r w:rsidR="007C00EA">
        <w:rPr>
          <w:color w:val="000000"/>
          <w:szCs w:val="22"/>
        </w:rPr>
        <w:t>Syner’s</w:t>
      </w:r>
      <w:r w:rsidRPr="00501243">
        <w:rPr>
          <w:color w:val="000000"/>
          <w:szCs w:val="22"/>
        </w:rPr>
        <w:t xml:space="preserve"> Operating Procedures shall include internal procedures and policies specifically designed to ensure that </w:t>
      </w:r>
      <w:r w:rsidR="003D5FB3">
        <w:rPr>
          <w:color w:val="000000"/>
          <w:szCs w:val="22"/>
        </w:rPr>
        <w:t>Syner</w:t>
      </w:r>
      <w:r w:rsidRPr="00501243">
        <w:rPr>
          <w:color w:val="000000"/>
          <w:szCs w:val="22"/>
        </w:rPr>
        <w:t xml:space="preserve"> complies with the Underwriting Laws.  </w:t>
      </w:r>
      <w:r w:rsidR="003D5FB3">
        <w:rPr>
          <w:color w:val="000000"/>
          <w:szCs w:val="22"/>
        </w:rPr>
        <w:t>Syner</w:t>
      </w:r>
      <w:r w:rsidRPr="00501243">
        <w:rPr>
          <w:color w:val="000000"/>
          <w:szCs w:val="22"/>
        </w:rPr>
        <w:t xml:space="preserve"> shall use a multi-level review procedure for underwriting content to be aired on the Stations.  The Compliance Officer, or a management-level employee of </w:t>
      </w:r>
      <w:r w:rsidR="003D5FB3">
        <w:rPr>
          <w:color w:val="000000"/>
          <w:szCs w:val="22"/>
        </w:rPr>
        <w:t>Syner</w:t>
      </w:r>
      <w:r w:rsidRPr="00501243">
        <w:rPr>
          <w:color w:val="000000"/>
          <w:szCs w:val="22"/>
        </w:rPr>
        <w:t xml:space="preserve"> directly supervised by the Compliance Officer, shall review all scripts of underwriting announcements prior to broadcast.  </w:t>
      </w:r>
      <w:r w:rsidR="003D5FB3">
        <w:rPr>
          <w:color w:val="000000"/>
          <w:szCs w:val="22"/>
        </w:rPr>
        <w:t>Syner</w:t>
      </w:r>
      <w:r w:rsidRPr="00501243">
        <w:rPr>
          <w:color w:val="000000"/>
          <w:szCs w:val="22"/>
        </w:rPr>
        <w:t xml:space="preserve"> shall develop an Underwriting Compliance Checklist that describes the steps that a Covered Employee must follow to ensure that all material approved for broadcast is consistent with relevant past Commission precedent regarding the Underwriting Laws.    </w:t>
      </w:r>
    </w:p>
    <w:p w:rsidR="006E2A54" w:rsidRPr="00B63DB0" w:rsidRDefault="006E2A54" w:rsidP="00B63DB0">
      <w:pPr>
        <w:numPr>
          <w:ilvl w:val="0"/>
          <w:numId w:val="43"/>
        </w:numPr>
        <w:spacing w:after="120"/>
        <w:rPr>
          <w:rFonts w:ascii="Times New Roman Bold" w:hAnsi="Times New Roman Bold"/>
          <w:b/>
          <w:color w:val="000000"/>
        </w:rPr>
      </w:pPr>
      <w:r w:rsidRPr="00501243">
        <w:rPr>
          <w:b/>
          <w:color w:val="000000"/>
          <w:szCs w:val="22"/>
          <w:u w:val="single"/>
        </w:rPr>
        <w:t>Compliance Manual</w:t>
      </w:r>
      <w:r w:rsidRPr="00501243">
        <w:rPr>
          <w:color w:val="000000"/>
          <w:szCs w:val="22"/>
        </w:rPr>
        <w:t xml:space="preserve">.  Within sixty (60) calendar days of the Effective Date, </w:t>
      </w:r>
      <w:r w:rsidR="003D5FB3">
        <w:rPr>
          <w:color w:val="000000"/>
          <w:szCs w:val="22"/>
        </w:rPr>
        <w:t>Syner</w:t>
      </w:r>
      <w:r w:rsidRPr="00501243">
        <w:rPr>
          <w:color w:val="000000"/>
          <w:szCs w:val="22"/>
        </w:rPr>
        <w:t xml:space="preserve"> shall develop and distribute a Compliance Manual to all Covered Employees.  The Compliance Manual shall explain the Underwriting Laws</w:t>
      </w:r>
      <w:r w:rsidRPr="00CB74F9">
        <w:rPr>
          <w:color w:val="000000"/>
        </w:rPr>
        <w:t>,</w:t>
      </w:r>
      <w:r w:rsidRPr="00501243">
        <w:rPr>
          <w:color w:val="000000"/>
          <w:szCs w:val="22"/>
        </w:rPr>
        <w:t xml:space="preserve"> and set forth the Operating Procedures that the Covered Employees shall follow to help ensure </w:t>
      </w:r>
      <w:r w:rsidR="003D5FB3">
        <w:rPr>
          <w:szCs w:val="22"/>
        </w:rPr>
        <w:t>Syner’s</w:t>
      </w:r>
      <w:r w:rsidRPr="006E2A54">
        <w:rPr>
          <w:szCs w:val="22"/>
        </w:rPr>
        <w:t xml:space="preserve"> compliance with the Communications Laws, including the Underwriting Laws.  </w:t>
      </w:r>
      <w:r w:rsidR="003D5FB3">
        <w:rPr>
          <w:szCs w:val="22"/>
        </w:rPr>
        <w:t>Syner</w:t>
      </w:r>
      <w:r w:rsidRPr="006E2A54">
        <w:rPr>
          <w:szCs w:val="22"/>
        </w:rPr>
        <w:t xml:space="preserve"> shall periodically review and revise the Compliance Manual as necessary to ensure the information set forth therein remains current and </w:t>
      </w:r>
      <w:r w:rsidR="003D5FB3">
        <w:rPr>
          <w:szCs w:val="22"/>
        </w:rPr>
        <w:t>accurate</w:t>
      </w:r>
      <w:r w:rsidRPr="006E2A54">
        <w:rPr>
          <w:szCs w:val="22"/>
        </w:rPr>
        <w:t xml:space="preserve">.  </w:t>
      </w:r>
      <w:r w:rsidR="003D5FB3">
        <w:rPr>
          <w:szCs w:val="22"/>
        </w:rPr>
        <w:t>Syner</w:t>
      </w:r>
      <w:r w:rsidRPr="006E2A54">
        <w:rPr>
          <w:szCs w:val="22"/>
        </w:rPr>
        <w:t xml:space="preserve"> shall distribute any revisions to the Compliance Manual promptly to all Covered Employees.  </w:t>
      </w:r>
    </w:p>
    <w:p w:rsidR="006E2A54" w:rsidRPr="00B63DB0" w:rsidRDefault="006E2A54" w:rsidP="00B63DB0">
      <w:pPr>
        <w:numPr>
          <w:ilvl w:val="0"/>
          <w:numId w:val="43"/>
        </w:numPr>
        <w:spacing w:after="120"/>
        <w:rPr>
          <w:rFonts w:ascii="Times New Roman Bold" w:hAnsi="Times New Roman Bold"/>
          <w:b/>
          <w:color w:val="000000"/>
        </w:rPr>
      </w:pPr>
      <w:r w:rsidRPr="00501243">
        <w:rPr>
          <w:rFonts w:ascii="Times New Roman Bold" w:hAnsi="Times New Roman Bold"/>
          <w:szCs w:val="22"/>
          <w:u w:val="single"/>
        </w:rPr>
        <w:t>Compliance Training Program</w:t>
      </w:r>
      <w:r w:rsidRPr="006E2A54">
        <w:rPr>
          <w:szCs w:val="22"/>
        </w:rPr>
        <w:t xml:space="preserve">.  </w:t>
      </w:r>
      <w:r w:rsidR="003D5FB3">
        <w:rPr>
          <w:szCs w:val="22"/>
        </w:rPr>
        <w:t>Syner</w:t>
      </w:r>
      <w:r w:rsidRPr="006E2A54">
        <w:rPr>
          <w:szCs w:val="22"/>
        </w:rPr>
        <w:t xml:space="preserve"> shall </w:t>
      </w:r>
      <w:r w:rsidR="003D5FB3">
        <w:rPr>
          <w:szCs w:val="22"/>
        </w:rPr>
        <w:t xml:space="preserve">establish and implement a </w:t>
      </w:r>
      <w:r w:rsidR="00682C49">
        <w:rPr>
          <w:szCs w:val="22"/>
        </w:rPr>
        <w:t>Compliance</w:t>
      </w:r>
      <w:r w:rsidR="003D5FB3">
        <w:rPr>
          <w:szCs w:val="22"/>
        </w:rPr>
        <w:t xml:space="preserve"> Training Program on compliance with the Underwriting Laws and the Operating Procedures.  As part of the Compliance Training Program, Covered Employees shall be advised of Syner’s obligation to report any noncompliance with the Underwriting Laws under paragraph </w:t>
      </w:r>
      <w:r w:rsidR="003D5FB3" w:rsidRPr="00CB74F9">
        <w:t>1</w:t>
      </w:r>
      <w:r w:rsidR="00682C49" w:rsidRPr="00656C57">
        <w:t>3</w:t>
      </w:r>
      <w:r w:rsidR="003D5FB3">
        <w:rPr>
          <w:szCs w:val="22"/>
        </w:rPr>
        <w:t xml:space="preserve"> of this Consent Decree and shall be instructed on how to disclose noncompliance to the Compliance Officer.  All Covered Employees shall be trained pursuant to the Compliance </w:t>
      </w:r>
      <w:r w:rsidR="007E252A">
        <w:rPr>
          <w:szCs w:val="22"/>
        </w:rPr>
        <w:t xml:space="preserve">Training Program within </w:t>
      </w:r>
      <w:r w:rsidR="00682C49">
        <w:rPr>
          <w:szCs w:val="22"/>
        </w:rPr>
        <w:t xml:space="preserve">ninety </w:t>
      </w:r>
      <w:r w:rsidR="007E252A">
        <w:rPr>
          <w:szCs w:val="22"/>
        </w:rPr>
        <w:t>(90) calendar days after the Effective Date, except that any person who becomes a Covered Employee at any time after the initial Compliance Training Program shall be trained within thirty (30) calendar days after the date such person becomes a Covered Employee.  Syner shall repeat compliance training on an annual basis, and shall periodically review and revise the Compliance Training Program as necessary to ensure that it remains current and complete and to enhance its effectiveness.</w:t>
      </w:r>
    </w:p>
    <w:p w:rsidR="006E2A54" w:rsidRPr="00B63DB0" w:rsidRDefault="006E2A54" w:rsidP="00B63DB0">
      <w:pPr>
        <w:numPr>
          <w:ilvl w:val="0"/>
          <w:numId w:val="43"/>
        </w:numPr>
        <w:spacing w:after="120"/>
        <w:rPr>
          <w:rFonts w:ascii="Times New Roman Bold" w:hAnsi="Times New Roman Bold"/>
          <w:b/>
          <w:color w:val="000000"/>
        </w:rPr>
      </w:pPr>
      <w:r w:rsidRPr="00B63DB0">
        <w:rPr>
          <w:rFonts w:ascii="Times New Roman Bold" w:hAnsi="Times New Roman Bold"/>
          <w:u w:val="single"/>
        </w:rPr>
        <w:t>Compliance</w:t>
      </w:r>
      <w:r w:rsidRPr="006E2A54">
        <w:rPr>
          <w:rFonts w:ascii="Times New Roman Bold" w:hAnsi="Times New Roman Bold"/>
          <w:b/>
          <w:szCs w:val="22"/>
          <w:u w:val="single"/>
        </w:rPr>
        <w:t xml:space="preserve"> Education Program</w:t>
      </w:r>
      <w:r w:rsidRPr="006E2A54">
        <w:rPr>
          <w:szCs w:val="22"/>
        </w:rPr>
        <w:t xml:space="preserve">.  </w:t>
      </w:r>
      <w:r w:rsidR="007E252A">
        <w:rPr>
          <w:szCs w:val="22"/>
        </w:rPr>
        <w:t>Syner</w:t>
      </w:r>
      <w:r w:rsidRPr="006E2A54">
        <w:rPr>
          <w:szCs w:val="22"/>
        </w:rPr>
        <w:t xml:space="preserve"> shall implement and maintain a plan to educate prospective underwriters about appropriate underwriting content and about how </w:t>
      </w:r>
      <w:r w:rsidR="007E252A">
        <w:rPr>
          <w:szCs w:val="22"/>
        </w:rPr>
        <w:t>Syner</w:t>
      </w:r>
      <w:r w:rsidRPr="006E2A54">
        <w:rPr>
          <w:szCs w:val="22"/>
        </w:rPr>
        <w:t xml:space="preserve"> incorporates such underwriting content in the announcements that it prepares for underwriter approval and eventual broadcast over the Station.  To that end, </w:t>
      </w:r>
      <w:r w:rsidR="007E252A">
        <w:rPr>
          <w:szCs w:val="22"/>
        </w:rPr>
        <w:t>Syner</w:t>
      </w:r>
      <w:r w:rsidRPr="006E2A54">
        <w:rPr>
          <w:szCs w:val="22"/>
        </w:rPr>
        <w:t xml:space="preserve"> shall summarize the Underwriting Laws for each prospective client before accepting any contract with a prospective client to air underwriting announcements over the Station, and shall prepare the underwriting announcement for the underwriter’s review.  </w:t>
      </w:r>
      <w:r w:rsidR="007E252A">
        <w:rPr>
          <w:szCs w:val="22"/>
        </w:rPr>
        <w:t>Syner</w:t>
      </w:r>
      <w:r w:rsidRPr="006E2A54">
        <w:rPr>
          <w:szCs w:val="22"/>
        </w:rPr>
        <w:t xml:space="preserve"> shall not broadcast over any Station any announcement that does not comply with the Underwriting Rules.</w:t>
      </w:r>
    </w:p>
    <w:p w:rsidR="006E2A54" w:rsidRDefault="006E2A54" w:rsidP="00B63DB0">
      <w:pPr>
        <w:pStyle w:val="ParaNum"/>
        <w:numPr>
          <w:ilvl w:val="0"/>
          <w:numId w:val="8"/>
        </w:numPr>
        <w:tabs>
          <w:tab w:val="clear" w:pos="1080"/>
        </w:tabs>
        <w:rPr>
          <w:szCs w:val="22"/>
        </w:rPr>
      </w:pPr>
      <w:r>
        <w:rPr>
          <w:b/>
          <w:szCs w:val="22"/>
          <w:u w:val="single"/>
        </w:rPr>
        <w:t>Reporting Noncompliance</w:t>
      </w:r>
      <w:r>
        <w:rPr>
          <w:szCs w:val="22"/>
        </w:rPr>
        <w:t xml:space="preserve">.  </w:t>
      </w:r>
      <w:r w:rsidR="007E252A">
        <w:rPr>
          <w:szCs w:val="22"/>
        </w:rPr>
        <w:t>Syner</w:t>
      </w:r>
      <w:r>
        <w:rPr>
          <w:szCs w:val="22"/>
        </w:rPr>
        <w:t xml:space="preserve"> shall report any noncompliance with the Underwriting Laws</w:t>
      </w:r>
      <w:r>
        <w:rPr>
          <w:color w:val="000000"/>
          <w:szCs w:val="22"/>
        </w:rPr>
        <w:t xml:space="preserve"> </w:t>
      </w:r>
      <w:r>
        <w:rPr>
          <w:szCs w:val="22"/>
        </w:rPr>
        <w:t xml:space="preserve">and with the terms and conditions of this Consent Decree within thirty (30) calendar days after discovery of such noncompliance.  Such reports shall include a detailed explanation of:  (i) each instance of noncompliance; (ii) the steps that </w:t>
      </w:r>
      <w:r w:rsidR="007E252A">
        <w:rPr>
          <w:szCs w:val="22"/>
        </w:rPr>
        <w:t>Syner</w:t>
      </w:r>
      <w:r>
        <w:rPr>
          <w:szCs w:val="22"/>
        </w:rPr>
        <w:t xml:space="preserve"> has </w:t>
      </w:r>
      <w:r w:rsidRPr="00501243">
        <w:rPr>
          <w:rFonts w:eastAsia="MS Mincho"/>
          <w:szCs w:val="22"/>
        </w:rPr>
        <w:t>taken</w:t>
      </w:r>
      <w:r>
        <w:rPr>
          <w:szCs w:val="22"/>
        </w:rPr>
        <w:t xml:space="preserve"> or will take to remedy such noncompliance; (iii) the schedule on which such remedial actions will be taken; and (iv) the steps that </w:t>
      </w:r>
      <w:r w:rsidR="007E252A">
        <w:rPr>
          <w:szCs w:val="22"/>
        </w:rPr>
        <w:t>Syner</w:t>
      </w:r>
      <w:r>
        <w:rPr>
          <w:szCs w:val="22"/>
        </w:rPr>
        <w:t xml:space="preserve"> 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Jeffrey J. Gee at Jeffrey.Gee@fcc.gov, Kenneth M. Scheibel, Jr. at Kenneth.Scheibel@fcc.gov, and Jennifer A. Lewis at Jennifer.Lewis@fcc.gov.  </w:t>
      </w:r>
    </w:p>
    <w:p w:rsidR="006E2A54" w:rsidRDefault="006E2A54" w:rsidP="00B63DB0">
      <w:pPr>
        <w:pStyle w:val="ParaNum"/>
        <w:numPr>
          <w:ilvl w:val="0"/>
          <w:numId w:val="8"/>
        </w:numPr>
        <w:tabs>
          <w:tab w:val="clear" w:pos="1080"/>
        </w:tabs>
        <w:rPr>
          <w:szCs w:val="22"/>
        </w:rPr>
      </w:pPr>
      <w:r>
        <w:rPr>
          <w:rFonts w:ascii="Times New Roman Bold" w:hAnsi="Times New Roman Bold"/>
          <w:szCs w:val="22"/>
          <w:u w:val="single"/>
        </w:rPr>
        <w:t>Compliance Reports</w:t>
      </w:r>
      <w:r>
        <w:rPr>
          <w:szCs w:val="22"/>
        </w:rPr>
        <w:t xml:space="preserve">.  </w:t>
      </w:r>
      <w:r w:rsidR="007E252A">
        <w:rPr>
          <w:szCs w:val="22"/>
        </w:rPr>
        <w:t>Syner</w:t>
      </w:r>
      <w:r>
        <w:rPr>
          <w:szCs w:val="22"/>
        </w:rPr>
        <w:t xml:space="preserve"> shall file Compliance Reports with the Commission ninety (90) days after the Effective Date, twelve (12) months after the Effective Date, twenty-four (24) months after the Effective Date, and thirty-six (36) months after the Effective Date.</w:t>
      </w:r>
    </w:p>
    <w:p w:rsidR="006E2A54" w:rsidRPr="005362F1" w:rsidRDefault="006E2A54" w:rsidP="00B63DB0">
      <w:pPr>
        <w:numPr>
          <w:ilvl w:val="0"/>
          <w:numId w:val="44"/>
        </w:numPr>
        <w:spacing w:after="120"/>
        <w:rPr>
          <w:szCs w:val="22"/>
        </w:rPr>
      </w:pPr>
      <w:r>
        <w:rPr>
          <w:bCs/>
          <w:color w:val="000000"/>
          <w:szCs w:val="22"/>
        </w:rPr>
        <w:t>Each</w:t>
      </w:r>
      <w:r>
        <w:rPr>
          <w:szCs w:val="22"/>
        </w:rPr>
        <w:t xml:space="preserve"> Compliance Report shall include a detailed description of </w:t>
      </w:r>
      <w:r w:rsidR="007E252A">
        <w:rPr>
          <w:szCs w:val="22"/>
        </w:rPr>
        <w:t>Syner’s</w:t>
      </w:r>
      <w:r>
        <w:rPr>
          <w:szCs w:val="22"/>
        </w:rPr>
        <w:t xml:space="preserve"> efforts during the relevant period to comply with the terms and conditions of this Consent Decree</w:t>
      </w:r>
      <w:r w:rsidRPr="00CB74F9">
        <w:t xml:space="preserve"> and</w:t>
      </w:r>
      <w:r>
        <w:rPr>
          <w:szCs w:val="22"/>
        </w:rPr>
        <w:t xml:space="preserve"> the Underwriting Laws.  In addition, each Compliance Report shall include a certification by the Compliance Officer, as an agent and on behalf of </w:t>
      </w:r>
      <w:r w:rsidR="007E252A">
        <w:rPr>
          <w:szCs w:val="22"/>
        </w:rPr>
        <w:t>Syner</w:t>
      </w:r>
      <w:r>
        <w:rPr>
          <w:szCs w:val="22"/>
        </w:rPr>
        <w:t xml:space="preserve">, stating that the Compliance Officer has personal knowledge that </w:t>
      </w:r>
      <w:r w:rsidR="007E252A">
        <w:rPr>
          <w:szCs w:val="22"/>
        </w:rPr>
        <w:t>Syner</w:t>
      </w:r>
      <w:r w:rsidR="007C5C82">
        <w:rPr>
          <w:szCs w:val="22"/>
        </w:rPr>
        <w:t>:</w:t>
      </w:r>
      <w:r>
        <w:rPr>
          <w:szCs w:val="22"/>
        </w:rPr>
        <w:t xml:space="preserve"> </w:t>
      </w:r>
      <w:r w:rsidR="007C5C82">
        <w:rPr>
          <w:szCs w:val="22"/>
        </w:rPr>
        <w:t xml:space="preserve"> </w:t>
      </w:r>
      <w:r>
        <w:rPr>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w:t>
      </w:r>
      <w:r w:rsidRPr="009C62C7">
        <w:t>Paragraph 1</w:t>
      </w:r>
      <w:r w:rsidR="00682C49" w:rsidRPr="00CB74F9">
        <w:t>3</w:t>
      </w:r>
      <w:r>
        <w:rPr>
          <w:szCs w:val="22"/>
        </w:rPr>
        <w:t xml:space="preserve"> </w:t>
      </w:r>
      <w:r w:rsidR="00A45AD5">
        <w:rPr>
          <w:szCs w:val="22"/>
        </w:rPr>
        <w:t>of this Consent Decree</w:t>
      </w:r>
      <w:r>
        <w:rPr>
          <w:szCs w:val="22"/>
        </w:rPr>
        <w:t>.</w:t>
      </w:r>
    </w:p>
    <w:p w:rsidR="006E2A54" w:rsidRDefault="006E2A54" w:rsidP="00B63DB0">
      <w:pPr>
        <w:numPr>
          <w:ilvl w:val="0"/>
          <w:numId w:val="44"/>
        </w:numPr>
        <w:spacing w:after="120"/>
        <w:rPr>
          <w:szCs w:val="22"/>
        </w:rPr>
      </w:pPr>
      <w:r>
        <w:rPr>
          <w:szCs w:val="22"/>
        </w:rPr>
        <w:t xml:space="preserve">The Compliance Officer’s certification shall be accompanied by a statement explaining the basis for such certification and </w:t>
      </w:r>
      <w:r w:rsidR="00A45AD5">
        <w:rPr>
          <w:szCs w:val="22"/>
        </w:rPr>
        <w:t>shall</w:t>
      </w:r>
      <w:r>
        <w:rPr>
          <w:szCs w:val="22"/>
        </w:rPr>
        <w:t xml:space="preserve"> comply with Section 1.16 of the Rules and be subscribed to as true under penalty of perjury in substantially the form set forth therein.</w:t>
      </w:r>
      <w:r w:rsidR="00A45AD5" w:rsidRPr="00A45AD5">
        <w:rPr>
          <w:rStyle w:val="FootnoteReference"/>
          <w:szCs w:val="22"/>
        </w:rPr>
        <w:t xml:space="preserve"> </w:t>
      </w:r>
      <w:r w:rsidR="00A45AD5">
        <w:rPr>
          <w:rStyle w:val="FootnoteReference"/>
          <w:szCs w:val="22"/>
        </w:rPr>
        <w:footnoteReference w:id="19"/>
      </w:r>
      <w:r w:rsidR="00A45AD5">
        <w:rPr>
          <w:szCs w:val="22"/>
        </w:rPr>
        <w:t xml:space="preserve"> </w:t>
      </w:r>
      <w:r>
        <w:rPr>
          <w:szCs w:val="22"/>
        </w:rPr>
        <w:t xml:space="preserve"> </w:t>
      </w:r>
    </w:p>
    <w:p w:rsidR="006E2A54" w:rsidRDefault="006E2A54" w:rsidP="00B63DB0">
      <w:pPr>
        <w:numPr>
          <w:ilvl w:val="0"/>
          <w:numId w:val="44"/>
        </w:numPr>
        <w:spacing w:after="120"/>
        <w:rPr>
          <w:szCs w:val="22"/>
        </w:rPr>
      </w:pPr>
      <w:r>
        <w:rPr>
          <w:szCs w:val="22"/>
        </w:rPr>
        <w:t xml:space="preserve">If the Compliance Officer cannot provide the requisite certification, the Compliance Officer, as an agent and on behalf of </w:t>
      </w:r>
      <w:r w:rsidR="00A45AD5">
        <w:rPr>
          <w:szCs w:val="22"/>
        </w:rPr>
        <w:t>Syner</w:t>
      </w:r>
      <w:r>
        <w:rPr>
          <w:szCs w:val="22"/>
        </w:rPr>
        <w:t xml:space="preserve">, shall provide the Commission with a detailed explanation of the reason(s) why and describe fully:  (i) each instance of noncompliance; (ii) the steps that </w:t>
      </w:r>
      <w:r w:rsidR="00A45AD5">
        <w:rPr>
          <w:szCs w:val="22"/>
        </w:rPr>
        <w:t>Syner</w:t>
      </w:r>
      <w:r>
        <w:rPr>
          <w:szCs w:val="22"/>
        </w:rPr>
        <w:t xml:space="preserve"> has taken or will take to remedy such noncompliance, including the schedule on which proposed remedial actions will be taken; and (iii) the steps that </w:t>
      </w:r>
      <w:r w:rsidR="00A45AD5">
        <w:rPr>
          <w:szCs w:val="22"/>
        </w:rPr>
        <w:t>Syner</w:t>
      </w:r>
      <w:r>
        <w:rPr>
          <w:szCs w:val="22"/>
        </w:rPr>
        <w:t xml:space="preserve"> has taken or will take to prevent the recurrence of any such noncompliance, including the schedule on which such preventive action will be taken. </w:t>
      </w:r>
    </w:p>
    <w:p w:rsidR="004240E3" w:rsidRDefault="006E2A54" w:rsidP="00C86340">
      <w:pPr>
        <w:keepLines/>
        <w:widowControl/>
        <w:numPr>
          <w:ilvl w:val="0"/>
          <w:numId w:val="44"/>
        </w:numPr>
        <w:spacing w:after="120"/>
        <w:rPr>
          <w:szCs w:val="22"/>
        </w:rPr>
      </w:pPr>
      <w:r>
        <w:rPr>
          <w:szCs w:val="22"/>
        </w:rPr>
        <w:t xml:space="preserve">All Compliance Reports shall be submitted to the Chief, Investigations and Hearings Division, Enforcement Bureau, Federal Communications Commission, Room 4-C330, 445 12th Street, S.W., Washington, D.C. 20554, with a copy submitted electronically to Jeffrey J. Gee at Jeffrey.Gee@fcc.gov, Kenneth M. Scheibel, Jr. at Kenneth.Scheibel@fcc.gov, and </w:t>
      </w:r>
      <w:r w:rsidRPr="00CB74F9">
        <w:t>Jennifer A. Lewis</w:t>
      </w:r>
      <w:r>
        <w:rPr>
          <w:szCs w:val="22"/>
        </w:rPr>
        <w:t xml:space="preserve"> at </w:t>
      </w:r>
      <w:r w:rsidRPr="00CB74F9">
        <w:t>Jennifer</w:t>
      </w:r>
      <w:r>
        <w:rPr>
          <w:szCs w:val="22"/>
        </w:rPr>
        <w:t>.</w:t>
      </w:r>
      <w:r w:rsidRPr="00CB74F9">
        <w:t>Lewis</w:t>
      </w:r>
      <w:r>
        <w:rPr>
          <w:szCs w:val="22"/>
        </w:rPr>
        <w:t xml:space="preserve">@fcc.gov.   </w:t>
      </w:r>
    </w:p>
    <w:p w:rsidR="006E2A54" w:rsidRDefault="004240E3" w:rsidP="00B63DB0">
      <w:pPr>
        <w:pStyle w:val="ParaNum"/>
        <w:numPr>
          <w:ilvl w:val="0"/>
          <w:numId w:val="8"/>
        </w:numPr>
        <w:tabs>
          <w:tab w:val="clear" w:pos="1080"/>
        </w:tabs>
        <w:rPr>
          <w:szCs w:val="22"/>
        </w:rPr>
      </w:pPr>
      <w:r>
        <w:rPr>
          <w:b/>
          <w:szCs w:val="22"/>
          <w:u w:val="single"/>
        </w:rPr>
        <w:t>Termination Date</w:t>
      </w:r>
      <w:r>
        <w:rPr>
          <w:szCs w:val="22"/>
        </w:rPr>
        <w:t>.  Unless stated otherwise,</w:t>
      </w:r>
      <w:r>
        <w:rPr>
          <w:b/>
          <w:szCs w:val="22"/>
        </w:rPr>
        <w:t xml:space="preserve"> </w:t>
      </w:r>
      <w:r>
        <w:rPr>
          <w:szCs w:val="22"/>
        </w:rPr>
        <w:t xml:space="preserve">the requirements set forth in Paragraphs </w:t>
      </w:r>
      <w:r w:rsidRPr="009C62C7">
        <w:t>1</w:t>
      </w:r>
      <w:r w:rsidR="00682C49">
        <w:t>1</w:t>
      </w:r>
      <w:r w:rsidRPr="009C62C7">
        <w:t xml:space="preserve"> through 1</w:t>
      </w:r>
      <w:r w:rsidR="00682C49">
        <w:t>4</w:t>
      </w:r>
      <w:r>
        <w:rPr>
          <w:szCs w:val="22"/>
        </w:rPr>
        <w:t xml:space="preserve"> of this Consent Decree shall expire thirty-six (36) months after the Effective Date.</w:t>
      </w:r>
    </w:p>
    <w:p w:rsidR="00A45AD5" w:rsidRPr="00501243" w:rsidRDefault="00A45AD5" w:rsidP="00B63DB0">
      <w:pPr>
        <w:pStyle w:val="ParaNum"/>
        <w:numPr>
          <w:ilvl w:val="0"/>
          <w:numId w:val="8"/>
        </w:numPr>
        <w:tabs>
          <w:tab w:val="clear" w:pos="1080"/>
        </w:tabs>
        <w:rPr>
          <w:szCs w:val="22"/>
        </w:rPr>
      </w:pPr>
      <w:r>
        <w:rPr>
          <w:b/>
          <w:szCs w:val="22"/>
          <w:u w:val="single"/>
        </w:rPr>
        <w:t>Underwriting Complaints; Subsequent Investigations</w:t>
      </w:r>
      <w:r>
        <w:rPr>
          <w:szCs w:val="22"/>
        </w:rPr>
        <w:t xml:space="preserve">.   </w:t>
      </w:r>
      <w:r w:rsidR="00B45A01">
        <w:rPr>
          <w:szCs w:val="22"/>
        </w:rPr>
        <w:t>N</w:t>
      </w:r>
      <w:r>
        <w:rPr>
          <w:szCs w:val="22"/>
        </w:rPr>
        <w:t xml:space="preserve">othing in this Consent Decree shall prevent the Commission or its delegated authority from adjudicating complaints filed pursuant to the Underwriting Laws against </w:t>
      </w:r>
      <w:r w:rsidR="00B45A01">
        <w:rPr>
          <w:szCs w:val="22"/>
        </w:rPr>
        <w:t>Syner</w:t>
      </w:r>
      <w:r>
        <w:rPr>
          <w:szCs w:val="22"/>
        </w:rPr>
        <w:t xml:space="preserve"> or its affiliates for alleged violations of the Act or the Commission’s rules or for any other type of alleged misconduct, regardless of when such misconduct took place.  The Commission’s adjudication of any such complaints will be based solely on the record developed in that proceeding.  Except as expressly provided in this Consent Decree, this Consent Decree shall not prevent the Commission from investigating new evidence of noncompliance by Licensee with the Act or the Rules.</w:t>
      </w:r>
    </w:p>
    <w:p w:rsidR="009B29B3" w:rsidRDefault="009B29B3" w:rsidP="00154BEB">
      <w:pPr>
        <w:pStyle w:val="ParaNum"/>
        <w:numPr>
          <w:ilvl w:val="0"/>
          <w:numId w:val="8"/>
        </w:numPr>
        <w:tabs>
          <w:tab w:val="clear" w:pos="1080"/>
          <w:tab w:val="left" w:pos="1440"/>
        </w:tabs>
        <w:rPr>
          <w:szCs w:val="22"/>
        </w:rPr>
      </w:pPr>
      <w:r>
        <w:rPr>
          <w:b/>
          <w:szCs w:val="22"/>
          <w:u w:val="single"/>
        </w:rPr>
        <w:t>Event of Default by Nonpayment</w:t>
      </w:r>
      <w:r>
        <w:rPr>
          <w:szCs w:val="22"/>
        </w:rPr>
        <w:t xml:space="preserve">.  </w:t>
      </w:r>
      <w:r w:rsidR="00154BEB">
        <w:rPr>
          <w:szCs w:val="22"/>
        </w:rPr>
        <w:t xml:space="preserve">Syner </w:t>
      </w:r>
      <w:r>
        <w:rPr>
          <w:szCs w:val="22"/>
        </w:rPr>
        <w:t xml:space="preserve">agrees that an Event of Default shall occur upon the failure by </w:t>
      </w:r>
      <w:r w:rsidR="00154BEB">
        <w:rPr>
          <w:szCs w:val="22"/>
        </w:rPr>
        <w:t xml:space="preserve">Syner </w:t>
      </w:r>
      <w:r>
        <w:rPr>
          <w:szCs w:val="22"/>
        </w:rPr>
        <w:t>to pay the full amount of any Installment Payment on or before the due date specified in this Consent Decree.</w:t>
      </w:r>
    </w:p>
    <w:p w:rsidR="009B29B3" w:rsidRPr="00154BEB" w:rsidRDefault="009B29B3" w:rsidP="00154BEB">
      <w:pPr>
        <w:pStyle w:val="ParaNum"/>
        <w:numPr>
          <w:ilvl w:val="0"/>
          <w:numId w:val="8"/>
        </w:numPr>
        <w:tabs>
          <w:tab w:val="clear" w:pos="1080"/>
          <w:tab w:val="left" w:pos="1440"/>
        </w:tabs>
        <w:rPr>
          <w:szCs w:val="22"/>
        </w:rPr>
      </w:pPr>
      <w:r w:rsidRPr="00154BEB">
        <w:rPr>
          <w:b/>
          <w:szCs w:val="22"/>
          <w:u w:val="single"/>
        </w:rPr>
        <w:t>Interest, Charges for Collection, and Acceleration of Maturity Date</w:t>
      </w:r>
      <w:r w:rsidRPr="00154BEB">
        <w:rPr>
          <w:szCs w:val="22"/>
        </w:rPr>
        <w:t xml:space="preserve">.  </w:t>
      </w:r>
      <w:r w:rsidR="00154BEB" w:rsidRPr="00154BEB">
        <w:rPr>
          <w:szCs w:val="22"/>
        </w:rPr>
        <w:t>After</w:t>
      </w:r>
      <w:r w:rsidRPr="00154BEB">
        <w:rPr>
          <w:szCs w:val="22"/>
        </w:rPr>
        <w:t xml:space="preserve"> an Event of Default </w:t>
      </w:r>
      <w:r w:rsidR="00154BEB" w:rsidRPr="00154BEB">
        <w:rPr>
          <w:szCs w:val="22"/>
        </w:rPr>
        <w:t>has occurred</w:t>
      </w:r>
      <w:r w:rsidRPr="00154BEB">
        <w:rPr>
          <w:szCs w:val="22"/>
        </w:rPr>
        <w:t xml:space="preserve"> under this Consent Decree, </w:t>
      </w:r>
      <w:r w:rsidR="00154BEB" w:rsidRPr="00154BEB">
        <w:rPr>
          <w:szCs w:val="22"/>
        </w:rPr>
        <w:t xml:space="preserve">the then unpaid amount of the civil penalty shall accrue interest, computed using the </w:t>
      </w:r>
      <w:r w:rsidRPr="00154BEB">
        <w:rPr>
          <w:szCs w:val="22"/>
        </w:rPr>
        <w:t>U.S. Prime Rate in effect on the date of the Event of Default plus 4.75 percent</w:t>
      </w:r>
      <w:r w:rsidR="00154BEB" w:rsidRPr="00154BEB">
        <w:rPr>
          <w:szCs w:val="22"/>
        </w:rPr>
        <w:t>,</w:t>
      </w:r>
      <w:r w:rsidRPr="00154BEB">
        <w:rPr>
          <w:szCs w:val="22"/>
        </w:rPr>
        <w:t xml:space="preserve"> from the date of the Event of Default until payment in full.</w:t>
      </w:r>
      <w:r w:rsidR="00154BEB" w:rsidRPr="00154BEB">
        <w:rPr>
          <w:szCs w:val="22"/>
        </w:rPr>
        <w:t xml:space="preserve">  </w:t>
      </w:r>
      <w:r w:rsidRPr="00154BEB">
        <w:rPr>
          <w:szCs w:val="22"/>
        </w:rPr>
        <w:t xml:space="preserve">Upon an Event of Default, the then unpaid amount of the </w:t>
      </w:r>
      <w:r w:rsidR="00154BEB">
        <w:rPr>
          <w:szCs w:val="22"/>
        </w:rPr>
        <w:t>civil penalty</w:t>
      </w:r>
      <w:r w:rsidRPr="00154BEB">
        <w:rPr>
          <w:szCs w:val="22"/>
        </w:rPr>
        <w:t xml:space="preserve">, together with interest, any penalties permitted and/or required by the law, including but not limited to 31 U.S.C. § 3717 and administrative charges, plus the costs of collection, litigation, and attorneys’ fees, </w:t>
      </w:r>
      <w:r w:rsidR="00154BEB">
        <w:rPr>
          <w:szCs w:val="22"/>
        </w:rPr>
        <w:t>shall become</w:t>
      </w:r>
      <w:r w:rsidRPr="00154BEB">
        <w:rPr>
          <w:szCs w:val="22"/>
        </w:rPr>
        <w:t xml:space="preserve"> immediately due and payable, without notice, presentment, demand, protest, or notice of protest of any kind, all of which are waived by </w:t>
      </w:r>
      <w:r w:rsidR="00154BEB">
        <w:rPr>
          <w:szCs w:val="22"/>
        </w:rPr>
        <w:t>Syner</w:t>
      </w:r>
      <w:r w:rsidRPr="00154BEB">
        <w:rPr>
          <w:szCs w:val="22"/>
        </w:rPr>
        <w:t>.</w:t>
      </w:r>
    </w:p>
    <w:p w:rsidR="00026E0C" w:rsidRDefault="00026E0C" w:rsidP="00026E0C">
      <w:pPr>
        <w:pStyle w:val="ParaNum"/>
        <w:numPr>
          <w:ilvl w:val="0"/>
          <w:numId w:val="8"/>
        </w:numPr>
        <w:tabs>
          <w:tab w:val="clear" w:pos="1080"/>
        </w:tabs>
        <w:rPr>
          <w:szCs w:val="22"/>
        </w:rPr>
      </w:pPr>
      <w:r w:rsidRPr="0058223B">
        <w:rPr>
          <w:b/>
          <w:szCs w:val="22"/>
          <w:u w:val="single"/>
        </w:rPr>
        <w:t>Waivers</w:t>
      </w:r>
      <w:r w:rsidRPr="0058223B">
        <w:rPr>
          <w:szCs w:val="22"/>
        </w:rPr>
        <w:t xml:space="preserve">.  </w:t>
      </w:r>
      <w:r w:rsidR="00154BEB">
        <w:rPr>
          <w:szCs w:val="22"/>
        </w:rPr>
        <w:t xml:space="preserve">As of the Effective Date, </w:t>
      </w:r>
      <w:r w:rsidR="00B25B48">
        <w:rPr>
          <w:szCs w:val="22"/>
        </w:rPr>
        <w:t>Syner</w:t>
      </w:r>
      <w:r w:rsidRPr="0058223B">
        <w:rPr>
          <w:szCs w:val="22"/>
        </w:rPr>
        <w:t xml:space="preserve"> waives any and all rights it may have to seek administrative or judicial reconsideration, review, appeal, or stay, or to otherwise challenge or contest the validity of this Consent Decree and the Adopting Order</w:t>
      </w:r>
      <w:r w:rsidR="00154BEB">
        <w:rPr>
          <w:szCs w:val="22"/>
        </w:rPr>
        <w:t>.</w:t>
      </w:r>
      <w:r w:rsidRPr="0058223B">
        <w:rPr>
          <w:szCs w:val="22"/>
        </w:rPr>
        <w:t xml:space="preserve">  </w:t>
      </w:r>
      <w:r w:rsidR="00B25B48">
        <w:rPr>
          <w:szCs w:val="22"/>
        </w:rPr>
        <w:t>Syner</w:t>
      </w:r>
      <w:r w:rsidRPr="0058223B">
        <w:rPr>
          <w:szCs w:val="22"/>
        </w:rPr>
        <w:t xml:space="preserve"> shall retain the right to challenge Commission interpretation of the Consent Decree or any terms contained herein.  If </w:t>
      </w:r>
      <w:r w:rsidR="00154BEB">
        <w:rPr>
          <w:szCs w:val="22"/>
        </w:rPr>
        <w:t>either</w:t>
      </w:r>
      <w:r w:rsidR="00154BEB" w:rsidRPr="0058223B">
        <w:rPr>
          <w:szCs w:val="22"/>
        </w:rPr>
        <w:t xml:space="preserve"> </w:t>
      </w:r>
      <w:r w:rsidRPr="0058223B">
        <w:rPr>
          <w:szCs w:val="22"/>
        </w:rPr>
        <w:t xml:space="preserve">Party (or the United States on behalf of the Commission) brings a judicial action to enforce the terms of the </w:t>
      </w:r>
      <w:r w:rsidR="00154BEB">
        <w:rPr>
          <w:szCs w:val="22"/>
        </w:rPr>
        <w:t xml:space="preserve">Consent Decree or the </w:t>
      </w:r>
      <w:r w:rsidRPr="0058223B">
        <w:rPr>
          <w:szCs w:val="22"/>
        </w:rPr>
        <w:t xml:space="preserve">Adopting Order, neither </w:t>
      </w:r>
      <w:r w:rsidR="00B25B48">
        <w:rPr>
          <w:szCs w:val="22"/>
        </w:rPr>
        <w:t>Syner</w:t>
      </w:r>
      <w:r w:rsidRPr="0058223B">
        <w:rPr>
          <w:szCs w:val="22"/>
        </w:rPr>
        <w:t xml:space="preserve"> nor the Commission shall contest the validity of the Consent Decree or the Adopting Order, and </w:t>
      </w:r>
      <w:r w:rsidR="00B25B48">
        <w:rPr>
          <w:szCs w:val="22"/>
        </w:rPr>
        <w:t>Syner</w:t>
      </w:r>
      <w:r w:rsidRPr="0058223B">
        <w:rPr>
          <w:szCs w:val="22"/>
        </w:rPr>
        <w:t xml:space="preserve"> shall waive any statutory right to a trial </w:t>
      </w:r>
      <w:r w:rsidRPr="0058223B">
        <w:rPr>
          <w:i/>
          <w:szCs w:val="22"/>
        </w:rPr>
        <w:t>de novo</w:t>
      </w:r>
      <w:r w:rsidRPr="0058223B">
        <w:rPr>
          <w:szCs w:val="22"/>
        </w:rPr>
        <w:t xml:space="preserve">.  </w:t>
      </w:r>
      <w:r w:rsidR="00B25B48">
        <w:rPr>
          <w:szCs w:val="22"/>
        </w:rPr>
        <w:t>Syner</w:t>
      </w:r>
      <w:r w:rsidRPr="0058223B">
        <w:rPr>
          <w:szCs w:val="22"/>
        </w:rPr>
        <w:t xml:space="preserve"> hereby agrees to waive any claims it may </w:t>
      </w:r>
      <w:r w:rsidR="00A027EB">
        <w:rPr>
          <w:szCs w:val="22"/>
        </w:rPr>
        <w:t xml:space="preserve">otherwise </w:t>
      </w:r>
      <w:r w:rsidRPr="0058223B">
        <w:rPr>
          <w:szCs w:val="22"/>
        </w:rPr>
        <w:t xml:space="preserve">have under </w:t>
      </w:r>
      <w:r w:rsidR="00A64FAF">
        <w:rPr>
          <w:szCs w:val="22"/>
        </w:rPr>
        <w:t>the Equal Access to Justice Act</w:t>
      </w:r>
      <w:r w:rsidR="00A64FAF">
        <w:rPr>
          <w:rStyle w:val="FootnoteReference"/>
          <w:szCs w:val="22"/>
        </w:rPr>
        <w:footnoteReference w:id="20"/>
      </w:r>
      <w:r w:rsidR="00A64FAF">
        <w:rPr>
          <w:szCs w:val="22"/>
        </w:rPr>
        <w:t xml:space="preserve"> </w:t>
      </w:r>
      <w:r w:rsidRPr="0058223B">
        <w:rPr>
          <w:szCs w:val="22"/>
        </w:rPr>
        <w:t>relating to the matters addressed in this Consent Decree.</w:t>
      </w:r>
    </w:p>
    <w:p w:rsidR="00B25B48" w:rsidRPr="00B25B48" w:rsidRDefault="00B25B48" w:rsidP="00B63DB0">
      <w:pPr>
        <w:pStyle w:val="ParaNum"/>
        <w:numPr>
          <w:ilvl w:val="0"/>
          <w:numId w:val="8"/>
        </w:numPr>
        <w:tabs>
          <w:tab w:val="clear" w:pos="1080"/>
        </w:tabs>
      </w:pPr>
      <w:r>
        <w:rPr>
          <w:b/>
          <w:u w:val="single"/>
        </w:rPr>
        <w:t>Severability</w:t>
      </w:r>
      <w:r>
        <w:t xml:space="preserve">.  The Parties agree that if any of the provisions of the Consent Decree shall be </w:t>
      </w:r>
      <w:r w:rsidR="00A027EB">
        <w:t>held</w:t>
      </w:r>
      <w:r>
        <w:t xml:space="preserve"> unenforceable</w:t>
      </w:r>
      <w:r w:rsidR="00A027EB">
        <w:t xml:space="preserve"> by any court of competent jurisdiction</w:t>
      </w:r>
      <w:r>
        <w:t xml:space="preserve">, such unenforceability shall </w:t>
      </w:r>
      <w:r w:rsidR="00A027EB">
        <w:t xml:space="preserve">not render unenforceable </w:t>
      </w:r>
      <w:r>
        <w:t xml:space="preserve"> the entire Consent Decree, but rather the entire Consent Decree shall be </w:t>
      </w:r>
      <w:r w:rsidRPr="00A027EB">
        <w:rPr>
          <w:szCs w:val="22"/>
        </w:rPr>
        <w:t>construed</w:t>
      </w:r>
      <w:r>
        <w:t xml:space="preserve"> as if not containing the particular unenforceable provision or provisions, and the rights and obligations of the Parties shall be construed and enforced accordingly.  </w:t>
      </w:r>
      <w:r>
        <w:rPr>
          <w:rFonts w:ascii="Times New Roman Bold" w:hAnsi="Times New Roman Bold"/>
        </w:rPr>
        <w:t xml:space="preserve">  </w:t>
      </w:r>
    </w:p>
    <w:p w:rsidR="00026E0C" w:rsidRPr="0058223B" w:rsidRDefault="00026E0C" w:rsidP="00CB74F9">
      <w:pPr>
        <w:pStyle w:val="ParaNum"/>
        <w:numPr>
          <w:ilvl w:val="0"/>
          <w:numId w:val="8"/>
        </w:numPr>
        <w:tabs>
          <w:tab w:val="clear" w:pos="1080"/>
        </w:tabs>
        <w:rPr>
          <w:szCs w:val="22"/>
        </w:rPr>
      </w:pPr>
      <w:r w:rsidRPr="0058223B">
        <w:rPr>
          <w:b/>
          <w:szCs w:val="22"/>
          <w:u w:val="single"/>
        </w:rPr>
        <w:t>Invalidity</w:t>
      </w:r>
      <w:r w:rsidRPr="0058223B">
        <w:rPr>
          <w:szCs w:val="22"/>
        </w:rPr>
        <w:t xml:space="preserve">.  In the event that this Consent Decree in its entirety is rendered invalid by any court of competent jurisdiction, it shall </w:t>
      </w:r>
      <w:r w:rsidRPr="00A027EB">
        <w:t>become</w:t>
      </w:r>
      <w:r w:rsidRPr="0058223B">
        <w:rPr>
          <w:szCs w:val="22"/>
        </w:rPr>
        <w:t xml:space="preserve"> null and void and may not be used in any manner in any legal proceeding.  </w:t>
      </w:r>
    </w:p>
    <w:p w:rsidR="00026E0C" w:rsidRPr="0058223B" w:rsidRDefault="00026E0C" w:rsidP="00026E0C">
      <w:pPr>
        <w:pStyle w:val="ParaNum"/>
        <w:widowControl/>
        <w:numPr>
          <w:ilvl w:val="0"/>
          <w:numId w:val="8"/>
        </w:numPr>
        <w:tabs>
          <w:tab w:val="clear" w:pos="1080"/>
        </w:tabs>
        <w:rPr>
          <w:szCs w:val="22"/>
        </w:rPr>
      </w:pPr>
      <w:r w:rsidRPr="0058223B">
        <w:rPr>
          <w:b/>
          <w:szCs w:val="22"/>
          <w:u w:val="single"/>
        </w:rPr>
        <w:t>Subsequent Rule or Order</w:t>
      </w:r>
      <w:r w:rsidRPr="0058223B">
        <w:rPr>
          <w:szCs w:val="22"/>
        </w:rPr>
        <w:t xml:space="preserve">.  The Parties agree that if any provision of this Consent Decree conflicts with any subsequent Rule or </w:t>
      </w:r>
      <w:r w:rsidR="00A027EB">
        <w:rPr>
          <w:szCs w:val="22"/>
        </w:rPr>
        <w:t>O</w:t>
      </w:r>
      <w:r w:rsidRPr="0058223B">
        <w:rPr>
          <w:szCs w:val="22"/>
        </w:rPr>
        <w:t xml:space="preserve">rder adopted by the Commission (except an </w:t>
      </w:r>
      <w:r w:rsidR="00A027EB">
        <w:rPr>
          <w:szCs w:val="22"/>
        </w:rPr>
        <w:t>O</w:t>
      </w:r>
      <w:r w:rsidRPr="0058223B">
        <w:rPr>
          <w:szCs w:val="22"/>
        </w:rPr>
        <w:t xml:space="preserve">rder specifically intended to revise the terms of this Consent Decree to which </w:t>
      </w:r>
      <w:r w:rsidR="003E5343">
        <w:rPr>
          <w:szCs w:val="22"/>
        </w:rPr>
        <w:t>Syner</w:t>
      </w:r>
      <w:r w:rsidRPr="0058223B">
        <w:rPr>
          <w:szCs w:val="22"/>
        </w:rPr>
        <w:t xml:space="preserve"> does not expressly consent) that provision will be superseded by such Rule or </w:t>
      </w:r>
      <w:r w:rsidR="00A027EB">
        <w:rPr>
          <w:szCs w:val="22"/>
        </w:rPr>
        <w:t>O</w:t>
      </w:r>
      <w:r w:rsidRPr="0058223B">
        <w:rPr>
          <w:szCs w:val="22"/>
        </w:rPr>
        <w:t>rder.</w:t>
      </w:r>
    </w:p>
    <w:p w:rsidR="00026E0C" w:rsidRPr="0058223B" w:rsidRDefault="00026E0C" w:rsidP="00026E0C">
      <w:pPr>
        <w:pStyle w:val="ParaNum"/>
        <w:numPr>
          <w:ilvl w:val="0"/>
          <w:numId w:val="8"/>
        </w:numPr>
        <w:tabs>
          <w:tab w:val="clear" w:pos="1080"/>
        </w:tabs>
        <w:rPr>
          <w:rFonts w:eastAsia="MS Mincho"/>
          <w:szCs w:val="22"/>
        </w:rPr>
      </w:pPr>
      <w:r w:rsidRPr="0058223B">
        <w:rPr>
          <w:b/>
          <w:szCs w:val="22"/>
          <w:u w:val="single"/>
        </w:rPr>
        <w:t>Successors and Assigns</w:t>
      </w:r>
      <w:r w:rsidRPr="0058223B">
        <w:rPr>
          <w:szCs w:val="22"/>
        </w:rPr>
        <w:t xml:space="preserve">.  </w:t>
      </w:r>
      <w:r w:rsidR="003E5343">
        <w:rPr>
          <w:szCs w:val="22"/>
        </w:rPr>
        <w:t>Syner</w:t>
      </w:r>
      <w:r w:rsidRPr="0058223B">
        <w:rPr>
          <w:szCs w:val="22"/>
        </w:rPr>
        <w:t xml:space="preserve"> agrees that the provisions of this Consent Decree shall be binding on </w:t>
      </w:r>
      <w:r w:rsidR="00072CD8">
        <w:rPr>
          <w:szCs w:val="22"/>
        </w:rPr>
        <w:t>its</w:t>
      </w:r>
      <w:r w:rsidRPr="0058223B">
        <w:rPr>
          <w:szCs w:val="22"/>
        </w:rPr>
        <w:t xml:space="preserve"> successors, assigns, and transferees. </w:t>
      </w:r>
    </w:p>
    <w:p w:rsidR="00026E0C" w:rsidRPr="0058223B" w:rsidRDefault="00026E0C" w:rsidP="00026E0C">
      <w:pPr>
        <w:pStyle w:val="ParaNum"/>
        <w:numPr>
          <w:ilvl w:val="0"/>
          <w:numId w:val="8"/>
        </w:numPr>
        <w:tabs>
          <w:tab w:val="clear" w:pos="1080"/>
        </w:tabs>
        <w:rPr>
          <w:color w:val="000000"/>
          <w:szCs w:val="22"/>
        </w:rPr>
      </w:pPr>
      <w:r w:rsidRPr="0058223B">
        <w:rPr>
          <w:b/>
          <w:szCs w:val="22"/>
          <w:u w:val="single"/>
        </w:rPr>
        <w:t>Final Settlement</w:t>
      </w:r>
      <w:r w:rsidRPr="0058223B">
        <w:rPr>
          <w:szCs w:val="22"/>
        </w:rPr>
        <w:t>.  The Parties agree and acknowledge that this Consent Decree shall constitute a final settlement between the Parties with respect to the Investigation.</w:t>
      </w:r>
    </w:p>
    <w:p w:rsidR="00026E0C" w:rsidRPr="0058223B" w:rsidRDefault="00026E0C" w:rsidP="00026E0C">
      <w:pPr>
        <w:pStyle w:val="ParaNum"/>
        <w:numPr>
          <w:ilvl w:val="0"/>
          <w:numId w:val="8"/>
        </w:numPr>
        <w:tabs>
          <w:tab w:val="clear" w:pos="1080"/>
        </w:tabs>
        <w:rPr>
          <w:szCs w:val="22"/>
        </w:rPr>
      </w:pPr>
      <w:r w:rsidRPr="0058223B">
        <w:rPr>
          <w:b/>
          <w:szCs w:val="22"/>
          <w:u w:val="single"/>
        </w:rPr>
        <w:t>Modifications</w:t>
      </w:r>
      <w:r w:rsidRPr="0058223B">
        <w:rPr>
          <w:szCs w:val="22"/>
        </w:rPr>
        <w:t xml:space="preserve">.  This Consent Decree cannot be modified without the advance written consent of </w:t>
      </w:r>
      <w:r w:rsidR="00A027EB">
        <w:rPr>
          <w:szCs w:val="22"/>
        </w:rPr>
        <w:t>both</w:t>
      </w:r>
      <w:r w:rsidR="00A027EB" w:rsidRPr="0058223B">
        <w:rPr>
          <w:szCs w:val="22"/>
        </w:rPr>
        <w:t xml:space="preserve"> </w:t>
      </w:r>
      <w:r w:rsidRPr="0058223B">
        <w:rPr>
          <w:szCs w:val="22"/>
        </w:rPr>
        <w:t>Parties.</w:t>
      </w:r>
    </w:p>
    <w:p w:rsidR="00026E0C" w:rsidRPr="0058223B" w:rsidRDefault="00026E0C" w:rsidP="00026E0C">
      <w:pPr>
        <w:pStyle w:val="ParaNum"/>
        <w:numPr>
          <w:ilvl w:val="0"/>
          <w:numId w:val="8"/>
        </w:numPr>
        <w:tabs>
          <w:tab w:val="clear" w:pos="1080"/>
        </w:tabs>
        <w:rPr>
          <w:szCs w:val="22"/>
        </w:rPr>
      </w:pPr>
      <w:r w:rsidRPr="0058223B">
        <w:rPr>
          <w:b/>
          <w:szCs w:val="22"/>
          <w:u w:val="single"/>
        </w:rPr>
        <w:t>Paragraph Headings</w:t>
      </w:r>
      <w:r w:rsidRPr="0058223B">
        <w:rPr>
          <w:szCs w:val="22"/>
        </w:rPr>
        <w:t>.  The headings of the paragraphs in this Consent Decree are inserted for convenience only and are not intended to affect the meaning or interpretation of this Consent Decree.</w:t>
      </w:r>
    </w:p>
    <w:p w:rsidR="00973268" w:rsidRPr="00A027EB" w:rsidRDefault="00026E0C" w:rsidP="00501243">
      <w:pPr>
        <w:pStyle w:val="ParaNum"/>
        <w:numPr>
          <w:ilvl w:val="0"/>
          <w:numId w:val="8"/>
        </w:numPr>
        <w:tabs>
          <w:tab w:val="clear" w:pos="1080"/>
        </w:tabs>
        <w:rPr>
          <w:szCs w:val="22"/>
        </w:rPr>
      </w:pPr>
      <w:r w:rsidRPr="00A027EB">
        <w:rPr>
          <w:b/>
          <w:szCs w:val="22"/>
          <w:u w:val="single"/>
        </w:rPr>
        <w:t>Authorized Representative</w:t>
      </w:r>
      <w:r w:rsidRPr="00A027EB">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26E0C" w:rsidRPr="0058223B" w:rsidRDefault="00026E0C" w:rsidP="00026E0C">
      <w:pPr>
        <w:pStyle w:val="ParaNum"/>
        <w:numPr>
          <w:ilvl w:val="0"/>
          <w:numId w:val="8"/>
        </w:numPr>
        <w:tabs>
          <w:tab w:val="clear" w:pos="1080"/>
        </w:tabs>
        <w:rPr>
          <w:szCs w:val="22"/>
        </w:rPr>
      </w:pPr>
      <w:r w:rsidRPr="0058223B">
        <w:rPr>
          <w:b/>
          <w:szCs w:val="22"/>
          <w:u w:val="single"/>
        </w:rPr>
        <w:t>Counterparts</w:t>
      </w:r>
      <w:r w:rsidRPr="0058223B">
        <w:rPr>
          <w:szCs w:val="22"/>
        </w:rPr>
        <w:t>.  This Consent Decree may be signed in any number of counterparts (including by facsimile)</w:t>
      </w:r>
      <w:r w:rsidR="00A027EB">
        <w:rPr>
          <w:szCs w:val="22"/>
        </w:rPr>
        <w:t>.</w:t>
      </w:r>
      <w:r w:rsidRPr="0058223B">
        <w:rPr>
          <w:szCs w:val="22"/>
        </w:rPr>
        <w:t xml:space="preserve"> </w:t>
      </w:r>
      <w:r w:rsidR="00A027EB">
        <w:rPr>
          <w:szCs w:val="22"/>
        </w:rPr>
        <w:t xml:space="preserve"> E</w:t>
      </w:r>
      <w:r w:rsidRPr="0058223B">
        <w:rPr>
          <w:szCs w:val="22"/>
        </w:rPr>
        <w:t xml:space="preserve">ach </w:t>
      </w:r>
      <w:r w:rsidR="00A027EB">
        <w:rPr>
          <w:szCs w:val="22"/>
        </w:rPr>
        <w:t>counterpart</w:t>
      </w:r>
      <w:r w:rsidRPr="0058223B">
        <w:rPr>
          <w:szCs w:val="22"/>
        </w:rPr>
        <w:t xml:space="preserve">, when executed and delivered, shall be an original, and all of </w:t>
      </w:r>
      <w:r w:rsidR="00A027EB">
        <w:rPr>
          <w:szCs w:val="22"/>
        </w:rPr>
        <w:t>the</w:t>
      </w:r>
      <w:r w:rsidR="00A027EB" w:rsidRPr="0058223B">
        <w:rPr>
          <w:szCs w:val="22"/>
        </w:rPr>
        <w:t xml:space="preserve"> </w:t>
      </w:r>
      <w:r w:rsidRPr="0058223B">
        <w:rPr>
          <w:szCs w:val="22"/>
        </w:rPr>
        <w:t>counterparts together shall constitute one and the same fully executed instrument.</w:t>
      </w:r>
    </w:p>
    <w:p w:rsidR="00026E0C" w:rsidRPr="0058223B" w:rsidRDefault="00026E0C" w:rsidP="00026E0C">
      <w:pPr>
        <w:pStyle w:val="par1"/>
        <w:tabs>
          <w:tab w:val="clear" w:pos="1080"/>
        </w:tabs>
        <w:ind w:firstLine="0"/>
        <w:rPr>
          <w:szCs w:val="22"/>
        </w:rPr>
      </w:pPr>
    </w:p>
    <w:p w:rsidR="00026E0C" w:rsidRPr="0058223B" w:rsidRDefault="00026E0C" w:rsidP="0014549F">
      <w:pPr>
        <w:pStyle w:val="MediumGrid21"/>
        <w:ind w:firstLine="4320"/>
        <w:rPr>
          <w:szCs w:val="22"/>
        </w:rPr>
      </w:pPr>
      <w:r w:rsidRPr="0058223B">
        <w:rPr>
          <w:sz w:val="22"/>
          <w:szCs w:val="22"/>
        </w:rPr>
        <w:t>FEDERAL COMMUNICATIONS COMMISSION</w:t>
      </w:r>
    </w:p>
    <w:p w:rsidR="00026E0C" w:rsidRPr="0058223B" w:rsidRDefault="00026E0C" w:rsidP="009C62C7">
      <w:pPr>
        <w:rPr>
          <w:szCs w:val="22"/>
        </w:rPr>
      </w:pPr>
    </w:p>
    <w:p w:rsidR="00026E0C" w:rsidRPr="0058223B" w:rsidRDefault="00026E0C" w:rsidP="00026E0C">
      <w:pPr>
        <w:ind w:firstLine="4320"/>
        <w:jc w:val="center"/>
        <w:rPr>
          <w:szCs w:val="22"/>
        </w:rPr>
      </w:pPr>
    </w:p>
    <w:p w:rsidR="00026E0C" w:rsidRPr="0058223B" w:rsidRDefault="00026E0C" w:rsidP="0014549F">
      <w:pPr>
        <w:pStyle w:val="MediumGrid21"/>
        <w:ind w:firstLine="4320"/>
        <w:rPr>
          <w:szCs w:val="22"/>
        </w:rPr>
      </w:pPr>
      <w:r w:rsidRPr="0058223B">
        <w:rPr>
          <w:sz w:val="22"/>
          <w:szCs w:val="22"/>
        </w:rPr>
        <w:t>___________________________</w:t>
      </w:r>
    </w:p>
    <w:p w:rsidR="00026E0C" w:rsidRDefault="000A65D6" w:rsidP="0014549F">
      <w:pPr>
        <w:pStyle w:val="MediumGrid21"/>
        <w:ind w:firstLine="4320"/>
        <w:rPr>
          <w:sz w:val="22"/>
          <w:szCs w:val="22"/>
        </w:rPr>
      </w:pPr>
      <w:r>
        <w:rPr>
          <w:sz w:val="22"/>
          <w:szCs w:val="22"/>
        </w:rPr>
        <w:t>Phil</w:t>
      </w:r>
      <w:r w:rsidR="00FC019D">
        <w:rPr>
          <w:sz w:val="22"/>
          <w:szCs w:val="22"/>
        </w:rPr>
        <w:t>lip</w:t>
      </w:r>
      <w:r>
        <w:rPr>
          <w:sz w:val="22"/>
          <w:szCs w:val="22"/>
        </w:rPr>
        <w:t xml:space="preserve"> Rosario</w:t>
      </w:r>
    </w:p>
    <w:p w:rsidR="000A65D6" w:rsidRDefault="000A65D6" w:rsidP="0014549F">
      <w:pPr>
        <w:pStyle w:val="MediumGrid21"/>
        <w:ind w:firstLine="4320"/>
        <w:rPr>
          <w:szCs w:val="22"/>
        </w:rPr>
      </w:pPr>
      <w:r>
        <w:rPr>
          <w:sz w:val="22"/>
          <w:szCs w:val="22"/>
        </w:rPr>
        <w:t>Deputy Chief</w:t>
      </w:r>
    </w:p>
    <w:p w:rsidR="00026E0C" w:rsidRPr="0058223B" w:rsidRDefault="00026E0C" w:rsidP="0014549F">
      <w:pPr>
        <w:pStyle w:val="MediumGrid21"/>
        <w:ind w:firstLine="4320"/>
        <w:rPr>
          <w:szCs w:val="22"/>
        </w:rPr>
      </w:pPr>
      <w:r w:rsidRPr="0058223B">
        <w:rPr>
          <w:sz w:val="22"/>
          <w:szCs w:val="22"/>
        </w:rPr>
        <w:t>Enforcement Bureau</w:t>
      </w:r>
    </w:p>
    <w:p w:rsidR="00026E0C" w:rsidRPr="0058223B" w:rsidRDefault="00026E0C" w:rsidP="00026E0C">
      <w:pPr>
        <w:keepNext/>
        <w:ind w:firstLine="4320"/>
        <w:rPr>
          <w:szCs w:val="22"/>
        </w:rPr>
      </w:pPr>
    </w:p>
    <w:p w:rsidR="00026E0C" w:rsidRPr="0058223B" w:rsidRDefault="00026E0C" w:rsidP="00026E0C">
      <w:pPr>
        <w:keepNext/>
        <w:ind w:firstLine="4320"/>
        <w:rPr>
          <w:szCs w:val="22"/>
        </w:rPr>
      </w:pPr>
    </w:p>
    <w:p w:rsidR="00026E0C" w:rsidRPr="0058223B" w:rsidRDefault="00026E0C" w:rsidP="0014549F">
      <w:pPr>
        <w:pStyle w:val="MediumGrid21"/>
        <w:ind w:firstLine="4320"/>
        <w:rPr>
          <w:szCs w:val="22"/>
        </w:rPr>
      </w:pPr>
      <w:r w:rsidRPr="0058223B">
        <w:rPr>
          <w:sz w:val="22"/>
          <w:szCs w:val="22"/>
        </w:rPr>
        <w:t>___________________________</w:t>
      </w:r>
    </w:p>
    <w:p w:rsidR="00026E0C" w:rsidRPr="0058223B" w:rsidRDefault="00026E0C" w:rsidP="0014549F">
      <w:pPr>
        <w:pStyle w:val="MediumGrid21"/>
        <w:ind w:firstLine="4320"/>
        <w:rPr>
          <w:szCs w:val="22"/>
        </w:rPr>
      </w:pPr>
      <w:r w:rsidRPr="0058223B">
        <w:rPr>
          <w:sz w:val="22"/>
          <w:szCs w:val="22"/>
        </w:rPr>
        <w:t>Date</w:t>
      </w:r>
    </w:p>
    <w:p w:rsidR="00026E0C" w:rsidRPr="0058223B" w:rsidRDefault="00026E0C" w:rsidP="00026E0C">
      <w:pPr>
        <w:ind w:firstLine="4320"/>
        <w:rPr>
          <w:szCs w:val="22"/>
        </w:rPr>
      </w:pPr>
    </w:p>
    <w:p w:rsidR="00026E0C" w:rsidRPr="0058223B" w:rsidRDefault="00B25B48" w:rsidP="00026E0C">
      <w:pPr>
        <w:ind w:left="4320"/>
        <w:rPr>
          <w:szCs w:val="22"/>
        </w:rPr>
      </w:pPr>
      <w:r>
        <w:rPr>
          <w:szCs w:val="22"/>
        </w:rPr>
        <w:t>The Syner Foundation, Inc.</w:t>
      </w:r>
    </w:p>
    <w:p w:rsidR="00026E0C" w:rsidRPr="0058223B" w:rsidRDefault="00026E0C" w:rsidP="0014549F">
      <w:pPr>
        <w:pStyle w:val="MediumGrid21"/>
        <w:ind w:firstLine="4320"/>
        <w:rPr>
          <w:szCs w:val="22"/>
        </w:rPr>
      </w:pPr>
    </w:p>
    <w:p w:rsidR="00026E0C" w:rsidRPr="0058223B" w:rsidRDefault="00026E0C" w:rsidP="0014549F">
      <w:pPr>
        <w:pStyle w:val="MediumGrid21"/>
        <w:ind w:firstLine="4320"/>
        <w:rPr>
          <w:szCs w:val="22"/>
        </w:rPr>
      </w:pPr>
    </w:p>
    <w:p w:rsidR="00026E0C" w:rsidRPr="0058223B" w:rsidRDefault="00026E0C" w:rsidP="0014549F">
      <w:pPr>
        <w:pStyle w:val="MediumGrid21"/>
        <w:ind w:firstLine="4320"/>
        <w:rPr>
          <w:szCs w:val="22"/>
        </w:rPr>
      </w:pPr>
      <w:r w:rsidRPr="0058223B">
        <w:rPr>
          <w:sz w:val="22"/>
          <w:szCs w:val="22"/>
        </w:rPr>
        <w:t>_____________________________</w:t>
      </w:r>
    </w:p>
    <w:p w:rsidR="00026E0C" w:rsidRDefault="00086577" w:rsidP="0014549F">
      <w:pPr>
        <w:pStyle w:val="MediumGrid21"/>
        <w:ind w:firstLine="4320"/>
        <w:rPr>
          <w:sz w:val="22"/>
          <w:szCs w:val="22"/>
        </w:rPr>
      </w:pPr>
      <w:r>
        <w:rPr>
          <w:sz w:val="22"/>
          <w:szCs w:val="22"/>
        </w:rPr>
        <w:t>Shari Syner</w:t>
      </w:r>
    </w:p>
    <w:p w:rsidR="00086577" w:rsidRDefault="00086577" w:rsidP="0014549F">
      <w:pPr>
        <w:pStyle w:val="MediumGrid21"/>
        <w:ind w:firstLine="4320"/>
        <w:rPr>
          <w:sz w:val="22"/>
          <w:szCs w:val="22"/>
        </w:rPr>
      </w:pPr>
      <w:r>
        <w:rPr>
          <w:sz w:val="22"/>
          <w:szCs w:val="22"/>
        </w:rPr>
        <w:t>President</w:t>
      </w:r>
    </w:p>
    <w:p w:rsidR="00086577" w:rsidRPr="0058223B" w:rsidRDefault="00086577" w:rsidP="0014549F">
      <w:pPr>
        <w:pStyle w:val="MediumGrid21"/>
        <w:ind w:firstLine="4320"/>
        <w:rPr>
          <w:szCs w:val="22"/>
        </w:rPr>
      </w:pPr>
      <w:r>
        <w:rPr>
          <w:sz w:val="22"/>
          <w:szCs w:val="22"/>
        </w:rPr>
        <w:t>The Syner Foundation</w:t>
      </w:r>
    </w:p>
    <w:p w:rsidR="00026E0C" w:rsidRPr="0058223B" w:rsidRDefault="00026E0C" w:rsidP="00B63DB0">
      <w:pPr>
        <w:ind w:firstLine="4320"/>
        <w:jc w:val="both"/>
        <w:rPr>
          <w:color w:val="000000"/>
          <w:szCs w:val="22"/>
        </w:rPr>
      </w:pPr>
    </w:p>
    <w:p w:rsidR="00026E0C" w:rsidRPr="0058223B" w:rsidRDefault="00026E0C" w:rsidP="00B63DB0">
      <w:pPr>
        <w:ind w:firstLine="4320"/>
        <w:jc w:val="both"/>
        <w:rPr>
          <w:color w:val="000000"/>
          <w:szCs w:val="22"/>
        </w:rPr>
      </w:pPr>
    </w:p>
    <w:p w:rsidR="00026E0C" w:rsidRPr="0058223B" w:rsidRDefault="00026E0C" w:rsidP="0014549F">
      <w:pPr>
        <w:pStyle w:val="MediumGrid21"/>
        <w:ind w:firstLine="4320"/>
        <w:rPr>
          <w:szCs w:val="22"/>
        </w:rPr>
      </w:pPr>
      <w:r w:rsidRPr="0058223B">
        <w:rPr>
          <w:sz w:val="22"/>
          <w:szCs w:val="22"/>
        </w:rPr>
        <w:t>_____________________________</w:t>
      </w:r>
    </w:p>
    <w:p w:rsidR="00026E0C" w:rsidRPr="0058223B" w:rsidRDefault="00026E0C" w:rsidP="0014549F">
      <w:pPr>
        <w:pStyle w:val="MediumGrid21"/>
        <w:ind w:firstLine="4320"/>
        <w:rPr>
          <w:szCs w:val="22"/>
        </w:rPr>
      </w:pPr>
      <w:r w:rsidRPr="0058223B">
        <w:rPr>
          <w:sz w:val="22"/>
          <w:szCs w:val="22"/>
        </w:rPr>
        <w:t>Date</w:t>
      </w:r>
    </w:p>
    <w:sectPr w:rsidR="00026E0C" w:rsidRPr="0058223B" w:rsidSect="00E014BC">
      <w:footnotePr>
        <w:numRestart w:val="eachSect"/>
      </w:footnotePr>
      <w:endnotePr>
        <w:numFmt w:val="decimal"/>
      </w:endnotePr>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35" w:rsidRDefault="00673235">
      <w:pPr>
        <w:spacing w:line="20" w:lineRule="exact"/>
      </w:pPr>
    </w:p>
  </w:endnote>
  <w:endnote w:type="continuationSeparator" w:id="0">
    <w:p w:rsidR="00673235" w:rsidRDefault="00673235">
      <w:r>
        <w:t xml:space="preserve"> </w:t>
      </w:r>
    </w:p>
  </w:endnote>
  <w:endnote w:type="continuationNotice" w:id="1">
    <w:p w:rsidR="00673235" w:rsidRDefault="006732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2A" w:rsidRDefault="007E252A" w:rsidP="00026E0C">
    <w:pPr>
      <w:pStyle w:val="Footer"/>
      <w:framePr w:wrap="around" w:vAnchor="text" w:hAnchor="margin" w:xAlign="center" w:y="1"/>
    </w:pPr>
    <w:r>
      <w:fldChar w:fldCharType="begin"/>
    </w:r>
    <w:r>
      <w:instrText xml:space="preserve">PAGE  </w:instrText>
    </w:r>
    <w:r>
      <w:fldChar w:fldCharType="end"/>
    </w:r>
  </w:p>
  <w:p w:rsidR="007E252A" w:rsidRDefault="007E252A">
    <w:pPr>
      <w:pStyle w:val="Footer"/>
    </w:pPr>
  </w:p>
  <w:p w:rsidR="007E252A" w:rsidRDefault="007E25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2A" w:rsidRDefault="007E252A" w:rsidP="00026E0C">
    <w:pPr>
      <w:pStyle w:val="Footer"/>
      <w:framePr w:wrap="around" w:vAnchor="text" w:hAnchor="margin" w:xAlign="center" w:y="1"/>
    </w:pPr>
    <w:r>
      <w:fldChar w:fldCharType="begin"/>
    </w:r>
    <w:r>
      <w:instrText xml:space="preserve">PAGE  </w:instrText>
    </w:r>
    <w:r>
      <w:fldChar w:fldCharType="separate"/>
    </w:r>
    <w:r w:rsidR="00C621BB">
      <w:rPr>
        <w:noProof/>
      </w:rPr>
      <w:t>2</w:t>
    </w:r>
    <w:r>
      <w:fldChar w:fldCharType="end"/>
    </w:r>
  </w:p>
  <w:p w:rsidR="007E252A" w:rsidRPr="00D109D2" w:rsidRDefault="007E252A" w:rsidP="00026E0C">
    <w:pPr>
      <w:suppressAutoHyphens/>
      <w:spacing w:line="227" w:lineRule="auto"/>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2A" w:rsidRDefault="007E252A" w:rsidP="00026E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35" w:rsidRDefault="00673235">
      <w:r>
        <w:separator/>
      </w:r>
    </w:p>
  </w:footnote>
  <w:footnote w:type="continuationSeparator" w:id="0">
    <w:p w:rsidR="00673235" w:rsidRDefault="00673235" w:rsidP="00026E0C">
      <w:pPr>
        <w:spacing w:before="120"/>
        <w:rPr>
          <w:sz w:val="20"/>
        </w:rPr>
      </w:pPr>
      <w:r>
        <w:rPr>
          <w:sz w:val="20"/>
        </w:rPr>
        <w:t xml:space="preserve">(Continued from previous page)  </w:t>
      </w:r>
      <w:r>
        <w:rPr>
          <w:sz w:val="20"/>
        </w:rPr>
        <w:separator/>
      </w:r>
    </w:p>
  </w:footnote>
  <w:footnote w:type="continuationNotice" w:id="1">
    <w:p w:rsidR="00673235" w:rsidRDefault="00673235" w:rsidP="00026E0C">
      <w:pPr>
        <w:jc w:val="right"/>
        <w:rPr>
          <w:sz w:val="20"/>
        </w:rPr>
      </w:pPr>
      <w:r>
        <w:rPr>
          <w:sz w:val="20"/>
        </w:rPr>
        <w:t>(continued….)</w:t>
      </w:r>
    </w:p>
  </w:footnote>
  <w:footnote w:id="2">
    <w:p w:rsidR="007E252A" w:rsidRPr="00635EC7" w:rsidRDefault="007E252A" w:rsidP="00D83606">
      <w:pPr>
        <w:pStyle w:val="FootnoteText"/>
        <w:rPr>
          <w:i/>
          <w:iCs/>
          <w:color w:val="010101"/>
        </w:rPr>
      </w:pPr>
      <w:r w:rsidRPr="00351D9E">
        <w:rPr>
          <w:rStyle w:val="FootnoteReference"/>
        </w:rPr>
        <w:footnoteRef/>
      </w:r>
      <w:r w:rsidRPr="00351D9E">
        <w:t xml:space="preserve"> </w:t>
      </w:r>
      <w:r>
        <w:t xml:space="preserve">The </w:t>
      </w:r>
      <w:r w:rsidRPr="00351D9E">
        <w:t xml:space="preserve">$16,000 </w:t>
      </w:r>
      <w:r>
        <w:t xml:space="preserve">civil </w:t>
      </w:r>
      <w:r w:rsidRPr="00351D9E">
        <w:t>penalty</w:t>
      </w:r>
      <w:r>
        <w:t xml:space="preserve"> reflects Syner’s showing of financial hardship, which the Bureau considered and accepted, consistent with</w:t>
      </w:r>
      <w:r w:rsidRPr="00351D9E">
        <w:t xml:space="preserve"> the Commission’s Forfeiture Policy</w:t>
      </w:r>
      <w:r w:rsidRPr="00635EC7">
        <w:t xml:space="preserve"> Statement.  </w:t>
      </w:r>
      <w:r>
        <w:rPr>
          <w:i/>
        </w:rPr>
        <w:t xml:space="preserve">See </w:t>
      </w:r>
      <w:r w:rsidRPr="00635EC7">
        <w:rPr>
          <w:i/>
          <w:iCs/>
          <w:color w:val="010101"/>
        </w:rPr>
        <w:t xml:space="preserve">The Commission’s Forfeiture Policy Statement </w:t>
      </w:r>
      <w:r w:rsidRPr="00D83606">
        <w:t>and</w:t>
      </w:r>
      <w:r w:rsidRPr="00635EC7">
        <w:rPr>
          <w:i/>
          <w:iCs/>
          <w:color w:val="010101"/>
        </w:rPr>
        <w:t xml:space="preserve"> Amendment of Section 1.80 of the Rules to Incorporate the</w:t>
      </w:r>
      <w:r>
        <w:rPr>
          <w:i/>
          <w:iCs/>
          <w:color w:val="010101"/>
        </w:rPr>
        <w:t xml:space="preserve"> </w:t>
      </w:r>
      <w:r w:rsidRPr="00635EC7">
        <w:rPr>
          <w:i/>
          <w:iCs/>
          <w:color w:val="010101"/>
        </w:rPr>
        <w:t>Forfeiture Guidelines</w:t>
      </w:r>
      <w:r w:rsidRPr="00635EC7">
        <w:rPr>
          <w:color w:val="010101"/>
        </w:rPr>
        <w:t xml:space="preserve">, Report and Order, 12 FCC Rcd 17087 (1997), </w:t>
      </w:r>
      <w:r w:rsidRPr="00FA084F">
        <w:rPr>
          <w:i/>
          <w:iCs/>
          <w:color w:val="010101"/>
        </w:rPr>
        <w:t>recon</w:t>
      </w:r>
      <w:r w:rsidR="00FA084F">
        <w:rPr>
          <w:i/>
          <w:iCs/>
          <w:color w:val="010101"/>
        </w:rPr>
        <w:t>s</w:t>
      </w:r>
      <w:r w:rsidRPr="00635EC7">
        <w:rPr>
          <w:i/>
          <w:iCs/>
          <w:color w:val="010101"/>
        </w:rPr>
        <w:t>. denied</w:t>
      </w:r>
      <w:r w:rsidRPr="00635EC7">
        <w:rPr>
          <w:color w:val="010101"/>
        </w:rPr>
        <w:t>, 15 FCC Rcd 303 (1999)</w:t>
      </w:r>
      <w:r>
        <w:rPr>
          <w:color w:val="010101"/>
        </w:rPr>
        <w:t xml:space="preserve"> </w:t>
      </w:r>
      <w:r w:rsidRPr="00635EC7">
        <w:rPr>
          <w:color w:val="010101"/>
        </w:rPr>
        <w:t>(</w:t>
      </w:r>
      <w:r w:rsidRPr="00635EC7">
        <w:rPr>
          <w:i/>
          <w:iCs/>
          <w:color w:val="010101"/>
        </w:rPr>
        <w:t>Forfeiture Policy Statement</w:t>
      </w:r>
      <w:r w:rsidRPr="00635EC7">
        <w:rPr>
          <w:color w:val="010101"/>
        </w:rPr>
        <w:t>)</w:t>
      </w:r>
      <w:r>
        <w:rPr>
          <w:color w:val="010101"/>
        </w:rPr>
        <w:t>.</w:t>
      </w:r>
    </w:p>
  </w:footnote>
  <w:footnote w:id="3">
    <w:p w:rsidR="00651968" w:rsidRDefault="00651968" w:rsidP="00651968">
      <w:pPr>
        <w:pStyle w:val="FootnoteText"/>
      </w:pPr>
      <w:r>
        <w:rPr>
          <w:rStyle w:val="FootnoteReference"/>
        </w:rPr>
        <w:footnoteRef/>
      </w:r>
      <w:r>
        <w:t xml:space="preserve"> </w:t>
      </w:r>
      <w:r w:rsidRPr="000D028E">
        <w:t>47 U.S.C. § 399b</w:t>
      </w:r>
      <w:r>
        <w:t>.</w:t>
      </w:r>
    </w:p>
  </w:footnote>
  <w:footnote w:id="4">
    <w:p w:rsidR="00651968" w:rsidRPr="000D028E" w:rsidRDefault="00651968" w:rsidP="00651968">
      <w:pPr>
        <w:pStyle w:val="FootnoteText"/>
      </w:pPr>
      <w:r w:rsidRPr="000D028E">
        <w:rPr>
          <w:rStyle w:val="FootnoteReference"/>
        </w:rPr>
        <w:footnoteRef/>
      </w:r>
      <w:r>
        <w:t xml:space="preserve"> </w:t>
      </w:r>
      <w:r w:rsidRPr="000D028E">
        <w:t>47 C.F.R. §§ 73.</w:t>
      </w:r>
      <w:r>
        <w:t>801 and 73.</w:t>
      </w:r>
      <w:r w:rsidRPr="000D028E">
        <w:t>503(d).</w:t>
      </w:r>
    </w:p>
  </w:footnote>
  <w:footnote w:id="5">
    <w:p w:rsidR="007E252A" w:rsidRPr="000D028E" w:rsidRDefault="007E252A" w:rsidP="000D028E">
      <w:pPr>
        <w:pStyle w:val="FootnoteText"/>
      </w:pPr>
      <w:r w:rsidRPr="000D028E">
        <w:rPr>
          <w:rStyle w:val="FootnoteReference"/>
        </w:rPr>
        <w:footnoteRef/>
      </w:r>
      <w:r w:rsidRPr="000D028E">
        <w:t xml:space="preserve"> 47 U.S.C. §§ 154(i).</w:t>
      </w:r>
    </w:p>
  </w:footnote>
  <w:footnote w:id="6">
    <w:p w:rsidR="007E252A" w:rsidRPr="000D028E" w:rsidRDefault="007E252A" w:rsidP="000D028E">
      <w:pPr>
        <w:pStyle w:val="FootnoteText"/>
      </w:pPr>
      <w:r w:rsidRPr="000D028E">
        <w:rPr>
          <w:rStyle w:val="FootnoteReference"/>
          <w:bCs/>
        </w:rPr>
        <w:footnoteRef/>
      </w:r>
      <w:r w:rsidRPr="000D028E">
        <w:t xml:space="preserve"> 47 C.F.R. §§ 0.111, 0.311.</w:t>
      </w:r>
    </w:p>
  </w:footnote>
  <w:footnote w:id="7">
    <w:p w:rsidR="007E252A" w:rsidRPr="00523538" w:rsidRDefault="007E252A">
      <w:pPr>
        <w:pStyle w:val="FootnoteText"/>
      </w:pPr>
      <w:r>
        <w:rPr>
          <w:rStyle w:val="FootnoteReference"/>
        </w:rPr>
        <w:footnoteRef/>
      </w:r>
      <w:r>
        <w:t xml:space="preserve"> 47 U.S.C. </w:t>
      </w:r>
      <w:r w:rsidRPr="0058223B">
        <w:rPr>
          <w:szCs w:val="22"/>
        </w:rPr>
        <w:t>§</w:t>
      </w:r>
      <w:r>
        <w:rPr>
          <w:szCs w:val="22"/>
        </w:rPr>
        <w:t xml:space="preserve"> 151 </w:t>
      </w:r>
      <w:r>
        <w:rPr>
          <w:i/>
          <w:szCs w:val="22"/>
        </w:rPr>
        <w:t>et seq</w:t>
      </w:r>
      <w:r w:rsidRPr="00501243">
        <w:rPr>
          <w:szCs w:val="22"/>
        </w:rPr>
        <w:t>.</w:t>
      </w:r>
    </w:p>
  </w:footnote>
  <w:footnote w:id="8">
    <w:p w:rsidR="007E252A" w:rsidRPr="000D028E" w:rsidRDefault="007E252A" w:rsidP="000D028E">
      <w:pPr>
        <w:pStyle w:val="FootnoteText"/>
      </w:pPr>
      <w:r w:rsidRPr="000D028E">
        <w:rPr>
          <w:rStyle w:val="FootnoteReference"/>
        </w:rPr>
        <w:footnoteRef/>
      </w:r>
      <w:r w:rsidRPr="000D028E">
        <w:t xml:space="preserve"> 47 U.S.C. § 399b; 47 C.F.R. §§ 73.</w:t>
      </w:r>
      <w:r>
        <w:t>801 and 73.</w:t>
      </w:r>
      <w:r w:rsidRPr="000D028E">
        <w:t>503</w:t>
      </w:r>
      <w:r>
        <w:t>(d)</w:t>
      </w:r>
      <w:r w:rsidRPr="000D028E">
        <w:t>.</w:t>
      </w:r>
    </w:p>
  </w:footnote>
  <w:footnote w:id="9">
    <w:p w:rsidR="007E252A" w:rsidRPr="000D028E" w:rsidRDefault="007E252A" w:rsidP="000D028E">
      <w:pPr>
        <w:pStyle w:val="FootnoteText"/>
      </w:pPr>
      <w:r w:rsidRPr="000D028E">
        <w:rPr>
          <w:rStyle w:val="FootnoteReference"/>
        </w:rPr>
        <w:footnoteRef/>
      </w:r>
      <w:r w:rsidRPr="000D028E">
        <w:t xml:space="preserve"> 47 U.S.C. § 399b(a).    </w:t>
      </w:r>
    </w:p>
  </w:footnote>
  <w:footnote w:id="10">
    <w:p w:rsidR="007E252A" w:rsidRPr="000D028E" w:rsidRDefault="007E252A" w:rsidP="000D028E">
      <w:pPr>
        <w:pStyle w:val="FootnoteText"/>
      </w:pPr>
      <w:r w:rsidRPr="000D028E">
        <w:rPr>
          <w:rStyle w:val="FootnoteReference"/>
        </w:rPr>
        <w:footnoteRef/>
      </w:r>
      <w:r w:rsidRPr="000D028E">
        <w:t xml:space="preserve"> 47 U.S.C. § 399b(b)(2).</w:t>
      </w:r>
    </w:p>
  </w:footnote>
  <w:footnote w:id="11">
    <w:p w:rsidR="007E252A" w:rsidRPr="000D028E" w:rsidRDefault="007E252A" w:rsidP="000D028E">
      <w:pPr>
        <w:pStyle w:val="FootnoteText"/>
        <w:rPr>
          <w:rStyle w:val="FootnoteReference"/>
        </w:rPr>
      </w:pPr>
      <w:r w:rsidRPr="000D028E">
        <w:rPr>
          <w:rStyle w:val="FootnoteReference"/>
        </w:rPr>
        <w:footnoteRef/>
      </w:r>
      <w:r w:rsidRPr="000D028E">
        <w:rPr>
          <w:rStyle w:val="FootnoteReference"/>
        </w:rPr>
        <w:t xml:space="preserve"> </w:t>
      </w:r>
      <w:r>
        <w:rPr>
          <w:i/>
        </w:rPr>
        <w:t xml:space="preserve">See Policy Concerning the Noncommercial Nature of Educational Broadcasting Stations, </w:t>
      </w:r>
      <w:r w:rsidRPr="000D028E">
        <w:t>Public Notice</w:t>
      </w:r>
      <w:r>
        <w:t>, FCC 86-161</w:t>
      </w:r>
      <w:r w:rsidRPr="000D028E">
        <w:t xml:space="preserve"> (1986), republished, 7 FCC Rcd 827 (1992)</w:t>
      </w:r>
      <w:r>
        <w:rPr>
          <w:i/>
        </w:rPr>
        <w:t xml:space="preserve"> (</w:t>
      </w:r>
      <w:r w:rsidR="007C5C82" w:rsidRPr="00025895">
        <w:t>citin</w:t>
      </w:r>
      <w:r w:rsidR="007C5C82">
        <w:t xml:space="preserve">g </w:t>
      </w:r>
      <w:r>
        <w:rPr>
          <w:i/>
        </w:rPr>
        <w:t>1986 Public Notice)</w:t>
      </w:r>
      <w:r>
        <w:t>.</w:t>
      </w:r>
    </w:p>
  </w:footnote>
  <w:footnote w:id="12">
    <w:p w:rsidR="007E252A" w:rsidRPr="000D028E" w:rsidRDefault="007E252A" w:rsidP="000D028E">
      <w:pPr>
        <w:pStyle w:val="FootnoteText"/>
        <w:rPr>
          <w:rStyle w:val="FootnoteReference"/>
        </w:rPr>
      </w:pPr>
      <w:r w:rsidRPr="000D028E">
        <w:rPr>
          <w:rStyle w:val="FootnoteReference"/>
        </w:rPr>
        <w:footnoteRef/>
      </w:r>
      <w:r w:rsidRPr="000D028E">
        <w:rPr>
          <w:rStyle w:val="FootnoteReference"/>
        </w:rPr>
        <w:t xml:space="preserve"> </w:t>
      </w:r>
      <w:r>
        <w:rPr>
          <w:i/>
        </w:rPr>
        <w:t>See id</w:t>
      </w:r>
      <w:r w:rsidRPr="00B63DB0">
        <w:t>.</w:t>
      </w:r>
      <w:r w:rsidR="00F96F84">
        <w:t xml:space="preserve">; </w:t>
      </w:r>
      <w:r w:rsidR="00F96F84">
        <w:rPr>
          <w:i/>
        </w:rPr>
        <w:t xml:space="preserve">see </w:t>
      </w:r>
      <w:r>
        <w:rPr>
          <w:i/>
        </w:rPr>
        <w:t>also</w:t>
      </w:r>
      <w:r w:rsidRPr="00A81FBC">
        <w:rPr>
          <w:i/>
          <w:snapToGrid w:val="0"/>
          <w:kern w:val="28"/>
          <w:sz w:val="22"/>
        </w:rPr>
        <w:t xml:space="preserve"> </w:t>
      </w:r>
      <w:r w:rsidRPr="00A81FBC">
        <w:rPr>
          <w:i/>
        </w:rPr>
        <w:t xml:space="preserve">Xavier </w:t>
      </w:r>
      <w:r w:rsidRPr="00775D83">
        <w:rPr>
          <w:i/>
        </w:rPr>
        <w:t>Univ</w:t>
      </w:r>
      <w:r>
        <w:t>.</w:t>
      </w:r>
      <w:r w:rsidRPr="00A81FBC">
        <w:rPr>
          <w:i/>
        </w:rPr>
        <w:t xml:space="preserve">, </w:t>
      </w:r>
      <w:r w:rsidRPr="002F22EE">
        <w:t>Memorandum Opinion and Order, 5 FCC Rcd 4920, 4921, para. 6 (199</w:t>
      </w:r>
      <w:r>
        <w:t>0</w:t>
      </w:r>
      <w:r w:rsidRPr="002F22EE">
        <w:t xml:space="preserve">) </w:t>
      </w:r>
      <w:r w:rsidRPr="00025895">
        <w:t>(citing 1986 Public Notice).</w:t>
      </w:r>
      <w:r w:rsidRPr="00A81FBC">
        <w:rPr>
          <w:i/>
        </w:rPr>
        <w:t xml:space="preserve"> </w:t>
      </w:r>
      <w:r w:rsidRPr="000D028E">
        <w:rPr>
          <w:rStyle w:val="FootnoteReference"/>
        </w:rPr>
        <w:t xml:space="preserve">  </w:t>
      </w:r>
    </w:p>
  </w:footnote>
  <w:footnote w:id="13">
    <w:p w:rsidR="007E252A" w:rsidRPr="00E014BC" w:rsidRDefault="007E252A" w:rsidP="00B63DB0">
      <w:pPr>
        <w:spacing w:after="120"/>
        <w:rPr>
          <w:rStyle w:val="FootnoteReference"/>
          <w:vertAlign w:val="baseline"/>
        </w:rPr>
      </w:pPr>
      <w:r w:rsidRPr="000D028E">
        <w:rPr>
          <w:rStyle w:val="FootnoteReference"/>
        </w:rPr>
        <w:footnoteRef/>
      </w:r>
      <w:r w:rsidRPr="000D028E">
        <w:rPr>
          <w:rStyle w:val="FootnoteReference"/>
        </w:rPr>
        <w:t xml:space="preserve"> </w:t>
      </w:r>
      <w:r w:rsidRPr="00DA62C9">
        <w:rPr>
          <w:i/>
          <w:iCs/>
          <w:snapToGrid/>
          <w:kern w:val="0"/>
          <w:sz w:val="20"/>
        </w:rPr>
        <w:t>See</w:t>
      </w:r>
      <w:r>
        <w:rPr>
          <w:i/>
          <w:iCs/>
          <w:snapToGrid/>
          <w:kern w:val="0"/>
          <w:sz w:val="20"/>
        </w:rPr>
        <w:t>, e.g.,</w:t>
      </w:r>
      <w:r w:rsidRPr="00DA62C9">
        <w:rPr>
          <w:i/>
          <w:iCs/>
          <w:snapToGrid/>
          <w:kern w:val="0"/>
          <w:sz w:val="20"/>
        </w:rPr>
        <w:t xml:space="preserve"> </w:t>
      </w:r>
      <w:r w:rsidRPr="00DA62C9">
        <w:rPr>
          <w:snapToGrid/>
          <w:kern w:val="0"/>
          <w:sz w:val="20"/>
        </w:rPr>
        <w:t xml:space="preserve">Confidential Complaint </w:t>
      </w:r>
      <w:r>
        <w:rPr>
          <w:snapToGrid/>
          <w:kern w:val="0"/>
          <w:sz w:val="20"/>
        </w:rPr>
        <w:t>(</w:t>
      </w:r>
      <w:r w:rsidRPr="00DA62C9">
        <w:rPr>
          <w:snapToGrid/>
          <w:kern w:val="0"/>
          <w:sz w:val="20"/>
        </w:rPr>
        <w:t>Oct</w:t>
      </w:r>
      <w:r>
        <w:rPr>
          <w:snapToGrid/>
          <w:kern w:val="0"/>
          <w:sz w:val="20"/>
        </w:rPr>
        <w:t>.</w:t>
      </w:r>
      <w:r w:rsidRPr="00DA62C9">
        <w:rPr>
          <w:snapToGrid/>
          <w:kern w:val="0"/>
          <w:sz w:val="20"/>
        </w:rPr>
        <w:t xml:space="preserve"> 13, 2010</w:t>
      </w:r>
      <w:r w:rsidRPr="00025895">
        <w:rPr>
          <w:snapToGrid/>
          <w:kern w:val="0"/>
          <w:sz w:val="20"/>
        </w:rPr>
        <w:t xml:space="preserve">) (on file in </w:t>
      </w:r>
      <w:r w:rsidR="002A4D19" w:rsidRPr="00025895">
        <w:rPr>
          <w:snapToGrid/>
          <w:kern w:val="0"/>
          <w:sz w:val="20"/>
        </w:rPr>
        <w:t>EB-IHD-14-00016416 (formerly EB</w:t>
      </w:r>
      <w:r w:rsidR="002A4D19" w:rsidRPr="002A4D19">
        <w:rPr>
          <w:snapToGrid/>
          <w:kern w:val="0"/>
          <w:sz w:val="20"/>
        </w:rPr>
        <w:t xml:space="preserve"> -11-IH-1130</w:t>
      </w:r>
      <w:r w:rsidRPr="00025895">
        <w:rPr>
          <w:snapToGrid/>
          <w:kern w:val="0"/>
          <w:sz w:val="20"/>
        </w:rPr>
        <w:t>)</w:t>
      </w:r>
      <w:r w:rsidR="002A4D19" w:rsidRPr="00025895">
        <w:rPr>
          <w:snapToGrid/>
          <w:kern w:val="0"/>
          <w:sz w:val="20"/>
        </w:rPr>
        <w:t>)</w:t>
      </w:r>
      <w:r w:rsidRPr="00025895">
        <w:rPr>
          <w:kern w:val="0"/>
          <w:sz w:val="20"/>
        </w:rPr>
        <w:t xml:space="preserve"> (</w:t>
      </w:r>
      <w:r w:rsidRPr="002A4D19">
        <w:rPr>
          <w:snapToGrid/>
          <w:kern w:val="0"/>
          <w:sz w:val="20"/>
        </w:rPr>
        <w:t>First Complaint).</w:t>
      </w:r>
      <w:r w:rsidR="00F96F84">
        <w:rPr>
          <w:snapToGrid/>
          <w:kern w:val="0"/>
          <w:sz w:val="20"/>
        </w:rPr>
        <w:t xml:space="preserve">  T</w:t>
      </w:r>
      <w:r w:rsidRPr="002A4D19">
        <w:rPr>
          <w:snapToGrid/>
          <w:kern w:val="0"/>
          <w:sz w:val="20"/>
        </w:rPr>
        <w:t xml:space="preserve">he complainant has requested confidentiality pursuant to 47 C.F.R. </w:t>
      </w:r>
      <w:r w:rsidRPr="002A4D19">
        <w:rPr>
          <w:b/>
          <w:bCs/>
          <w:snapToGrid/>
          <w:kern w:val="0"/>
          <w:sz w:val="20"/>
        </w:rPr>
        <w:t xml:space="preserve">§ </w:t>
      </w:r>
      <w:r w:rsidRPr="002A4D19">
        <w:rPr>
          <w:snapToGrid/>
          <w:kern w:val="0"/>
          <w:sz w:val="20"/>
        </w:rPr>
        <w:t xml:space="preserve">0.459(b) of </w:t>
      </w:r>
      <w:r w:rsidRPr="007C5C82">
        <w:rPr>
          <w:snapToGrid/>
          <w:kern w:val="0"/>
          <w:sz w:val="20"/>
        </w:rPr>
        <w:t xml:space="preserve">the Commission’s rules.  </w:t>
      </w:r>
      <w:r w:rsidRPr="007C5C82">
        <w:rPr>
          <w:i/>
          <w:iCs/>
          <w:snapToGrid/>
          <w:kern w:val="0"/>
          <w:sz w:val="20"/>
        </w:rPr>
        <w:t xml:space="preserve">See </w:t>
      </w:r>
      <w:r w:rsidRPr="009955B8">
        <w:rPr>
          <w:snapToGrid/>
          <w:kern w:val="0"/>
          <w:sz w:val="20"/>
        </w:rPr>
        <w:t xml:space="preserve">47 C.F.R. § 0.459; </w:t>
      </w:r>
      <w:r w:rsidRPr="009955B8">
        <w:rPr>
          <w:i/>
          <w:iCs/>
          <w:snapToGrid/>
          <w:kern w:val="0"/>
          <w:sz w:val="20"/>
        </w:rPr>
        <w:t>In the</w:t>
      </w:r>
      <w:r w:rsidRPr="00E014BC">
        <w:rPr>
          <w:i/>
          <w:iCs/>
          <w:snapToGrid/>
          <w:kern w:val="0"/>
          <w:sz w:val="20"/>
        </w:rPr>
        <w:t xml:space="preserve"> Matter of</w:t>
      </w:r>
      <w:r>
        <w:rPr>
          <w:i/>
          <w:iCs/>
          <w:snapToGrid/>
          <w:kern w:val="0"/>
          <w:sz w:val="20"/>
        </w:rPr>
        <w:t xml:space="preserve"> </w:t>
      </w:r>
      <w:r w:rsidRPr="00E014BC">
        <w:rPr>
          <w:i/>
          <w:iCs/>
          <w:snapToGrid/>
          <w:kern w:val="0"/>
          <w:sz w:val="20"/>
        </w:rPr>
        <w:t>Examination of Current Policy Concerning the Treatment of Confidential Information Submitted to the Commission,</w:t>
      </w:r>
      <w:r>
        <w:rPr>
          <w:i/>
          <w:iCs/>
          <w:snapToGrid/>
          <w:kern w:val="0"/>
          <w:sz w:val="20"/>
        </w:rPr>
        <w:t xml:space="preserve"> </w:t>
      </w:r>
      <w:r w:rsidRPr="00E014BC">
        <w:rPr>
          <w:snapToGrid/>
          <w:kern w:val="0"/>
          <w:sz w:val="20"/>
        </w:rPr>
        <w:t>Report and Order, 13 FCC Rcd 24816 at 24826 (1998).</w:t>
      </w:r>
      <w:r w:rsidR="007C5C82">
        <w:rPr>
          <w:snapToGrid/>
          <w:kern w:val="0"/>
          <w:sz w:val="20"/>
        </w:rPr>
        <w:t xml:space="preserve"> </w:t>
      </w:r>
      <w:r w:rsidRPr="00E014BC">
        <w:rPr>
          <w:snapToGrid/>
          <w:kern w:val="0"/>
          <w:sz w:val="20"/>
        </w:rPr>
        <w:t xml:space="preserve"> </w:t>
      </w:r>
      <w:r w:rsidRPr="00E014BC">
        <w:rPr>
          <w:i/>
          <w:iCs/>
          <w:snapToGrid/>
          <w:kern w:val="0"/>
          <w:sz w:val="20"/>
        </w:rPr>
        <w:t xml:space="preserve">See also </w:t>
      </w:r>
      <w:r w:rsidRPr="00E014BC">
        <w:rPr>
          <w:snapToGrid/>
          <w:kern w:val="0"/>
          <w:sz w:val="20"/>
        </w:rPr>
        <w:t xml:space="preserve">Complaint, dated March 19, 2013 (on file in </w:t>
      </w:r>
      <w:r w:rsidRPr="00E014BC">
        <w:rPr>
          <w:sz w:val="20"/>
        </w:rPr>
        <w:t>EB-IHD-14-00016416 (formerly EB-11-IH-1130))</w:t>
      </w:r>
      <w:r w:rsidRPr="00334980">
        <w:rPr>
          <w:snapToGrid/>
          <w:kern w:val="0"/>
          <w:sz w:val="20"/>
        </w:rPr>
        <w:t xml:space="preserve"> </w:t>
      </w:r>
      <w:r w:rsidRPr="00E014BC">
        <w:rPr>
          <w:snapToGrid/>
          <w:kern w:val="0"/>
          <w:sz w:val="20"/>
        </w:rPr>
        <w:t>(Second</w:t>
      </w:r>
      <w:r>
        <w:rPr>
          <w:snapToGrid/>
          <w:kern w:val="0"/>
          <w:sz w:val="20"/>
        </w:rPr>
        <w:t xml:space="preserve"> </w:t>
      </w:r>
      <w:r w:rsidRPr="00E014BC">
        <w:rPr>
          <w:snapToGrid/>
          <w:kern w:val="0"/>
          <w:sz w:val="20"/>
        </w:rPr>
        <w:t>Complai</w:t>
      </w:r>
      <w:r>
        <w:rPr>
          <w:snapToGrid/>
          <w:kern w:val="0"/>
          <w:sz w:val="20"/>
        </w:rPr>
        <w:t>nt, collectively t</w:t>
      </w:r>
      <w:r w:rsidRPr="00E014BC">
        <w:rPr>
          <w:snapToGrid/>
          <w:kern w:val="0"/>
          <w:sz w:val="20"/>
        </w:rPr>
        <w:t>he Complaints)</w:t>
      </w:r>
      <w:r w:rsidRPr="00E014BC">
        <w:rPr>
          <w:sz w:val="20"/>
        </w:rPr>
        <w:t xml:space="preserve">.  The </w:t>
      </w:r>
      <w:r>
        <w:rPr>
          <w:sz w:val="20"/>
        </w:rPr>
        <w:t>C</w:t>
      </w:r>
      <w:r w:rsidRPr="00E014BC">
        <w:rPr>
          <w:sz w:val="20"/>
        </w:rPr>
        <w:t>omplaints also contend that Syner engaged in unauthorized transfer of control and violated the Commission’s LPFM cross-ownership rules, which allegations, upon investigation, we have determined are unfounded</w:t>
      </w:r>
      <w:r>
        <w:rPr>
          <w:sz w:val="20"/>
        </w:rPr>
        <w:t>.</w:t>
      </w:r>
    </w:p>
  </w:footnote>
  <w:footnote w:id="14">
    <w:p w:rsidR="007E252A" w:rsidRPr="000D028E" w:rsidRDefault="007E252A" w:rsidP="000D028E">
      <w:pPr>
        <w:pStyle w:val="FootnoteText"/>
        <w:rPr>
          <w:rStyle w:val="FootnoteReference"/>
        </w:rPr>
      </w:pPr>
      <w:r w:rsidRPr="00DA62C9">
        <w:rPr>
          <w:rStyle w:val="FootnoteReference"/>
        </w:rPr>
        <w:footnoteRef/>
      </w:r>
      <w:r w:rsidRPr="00DA62C9">
        <w:rPr>
          <w:rStyle w:val="FootnoteReference"/>
        </w:rPr>
        <w:t xml:space="preserve">    </w:t>
      </w:r>
      <w:r w:rsidRPr="00DA62C9">
        <w:rPr>
          <w:i/>
        </w:rPr>
        <w:t xml:space="preserve">See </w:t>
      </w:r>
      <w:r w:rsidRPr="00DA62C9">
        <w:t xml:space="preserve">Letter from Kenneth M. Scheibel, Jr., Assistant Chief, Investigations and Hearings Division, </w:t>
      </w:r>
      <w:r>
        <w:t xml:space="preserve">FCC </w:t>
      </w:r>
      <w:r w:rsidRPr="00DA62C9">
        <w:t>Enforcement Bureau</w:t>
      </w:r>
      <w:r>
        <w:t>,</w:t>
      </w:r>
      <w:r w:rsidRPr="00DA62C9">
        <w:t xml:space="preserve"> to </w:t>
      </w:r>
      <w:r w:rsidRPr="00BA3B95">
        <w:t>The Syner Foundation (Apr. 10, 2013</w:t>
      </w:r>
      <w:r w:rsidRPr="000D028E">
        <w:t>) (</w:t>
      </w:r>
      <w:r>
        <w:t xml:space="preserve">on file in </w:t>
      </w:r>
      <w:r w:rsidRPr="000D028E">
        <w:t>EB-IHD-14-00016416 (formerly EB-11-IH-1130)).</w:t>
      </w:r>
    </w:p>
  </w:footnote>
  <w:footnote w:id="15">
    <w:p w:rsidR="007E252A" w:rsidRDefault="007E252A" w:rsidP="00C83DE2">
      <w:pPr>
        <w:pStyle w:val="FootnoteText"/>
      </w:pPr>
      <w:r>
        <w:rPr>
          <w:rStyle w:val="FootnoteReference"/>
        </w:rPr>
        <w:footnoteRef/>
      </w:r>
      <w:r>
        <w:rPr>
          <w:rStyle w:val="FootnoteReference"/>
        </w:rPr>
        <w:t xml:space="preserve"> </w:t>
      </w:r>
      <w:r w:rsidRPr="00D83606">
        <w:rPr>
          <w:i/>
        </w:rPr>
        <w:t>See</w:t>
      </w:r>
      <w:r>
        <w:t xml:space="preserve"> Letter f</w:t>
      </w:r>
      <w:r w:rsidRPr="000D028E">
        <w:t>rom</w:t>
      </w:r>
      <w:r>
        <w:t xml:space="preserve"> Lee J. Peltzman, Counsel for The Syner Foundation to Marlene H. Dortch, Secretary, Federal Communications Commission (June 13, 2013) (on file in </w:t>
      </w:r>
      <w:r w:rsidRPr="000D028E">
        <w:t>EB-IHD-14-00016416 (formerly EB-11-IH-1130)</w:t>
      </w:r>
      <w:r>
        <w:t>) (LOI Response).</w:t>
      </w:r>
    </w:p>
  </w:footnote>
  <w:footnote w:id="16">
    <w:p w:rsidR="007E252A" w:rsidRPr="00DD117D" w:rsidRDefault="007E252A">
      <w:pPr>
        <w:pStyle w:val="FootnoteText"/>
      </w:pPr>
      <w:r>
        <w:rPr>
          <w:rStyle w:val="FootnoteReference"/>
        </w:rPr>
        <w:footnoteRef/>
      </w:r>
      <w:r>
        <w:t xml:space="preserve"> </w:t>
      </w:r>
      <w:r>
        <w:rPr>
          <w:i/>
        </w:rPr>
        <w:t>See id</w:t>
      </w:r>
      <w:r>
        <w:t>.</w:t>
      </w:r>
    </w:p>
  </w:footnote>
  <w:footnote w:id="17">
    <w:p w:rsidR="00126030" w:rsidRDefault="00126030" w:rsidP="00126030">
      <w:pPr>
        <w:pStyle w:val="FootnoteText"/>
      </w:pPr>
      <w:r>
        <w:rPr>
          <w:rStyle w:val="FootnoteReference"/>
        </w:rPr>
        <w:footnoteRef/>
      </w:r>
      <w:r>
        <w:t xml:space="preserve"> Debt Collection Improvement Act of 1996, Pub. L. No. 104-134, 110 Stat. 1321, 1358 (Apr. 26, 1996).</w:t>
      </w:r>
    </w:p>
  </w:footnote>
  <w:footnote w:id="18">
    <w:p w:rsidR="00126030" w:rsidRPr="000D028E" w:rsidRDefault="00126030" w:rsidP="00126030">
      <w:pPr>
        <w:pStyle w:val="FootnoteText"/>
        <w:keepLines/>
      </w:pPr>
      <w:r w:rsidRPr="000D028E">
        <w:rPr>
          <w:rStyle w:val="FootnoteReference"/>
        </w:rPr>
        <w:footnoteRef/>
      </w:r>
      <w:r w:rsidRPr="000D028E">
        <w:t xml:space="preserve"> </w:t>
      </w:r>
      <w:r w:rsidRPr="000D028E">
        <w:rPr>
          <w:rFonts w:eastAsia="MS Mincho"/>
        </w:rPr>
        <w:t>An FCC Form 159 and detailed instructions for completing the form may be obtained at http://www.fcc.gov/Forms/Form159/159.pdf.</w:t>
      </w:r>
    </w:p>
  </w:footnote>
  <w:footnote w:id="19">
    <w:p w:rsidR="00A45AD5" w:rsidRDefault="00A45AD5" w:rsidP="00A45AD5">
      <w:pPr>
        <w:pStyle w:val="FootnoteText"/>
        <w:rPr>
          <w:lang w:bidi="x-none"/>
        </w:rPr>
      </w:pPr>
      <w:r>
        <w:rPr>
          <w:rStyle w:val="FootnoteReference"/>
        </w:rPr>
        <w:footnoteRef/>
      </w:r>
      <w:r>
        <w:t xml:space="preserve"> </w:t>
      </w:r>
      <w:r>
        <w:rPr>
          <w:i/>
        </w:rPr>
        <w:t>See</w:t>
      </w:r>
      <w:r>
        <w:t xml:space="preserve"> 47 C.F.R. § 1.16.</w:t>
      </w:r>
    </w:p>
  </w:footnote>
  <w:footnote w:id="20">
    <w:p w:rsidR="007E252A" w:rsidRPr="000D028E" w:rsidRDefault="007E252A" w:rsidP="000D028E">
      <w:pPr>
        <w:pStyle w:val="FootnoteText"/>
      </w:pPr>
      <w:r w:rsidRPr="000D028E">
        <w:rPr>
          <w:rStyle w:val="FootnoteReference"/>
        </w:rPr>
        <w:footnoteRef/>
      </w:r>
      <w:r w:rsidRPr="000D028E">
        <w:t xml:space="preserve"> </w:t>
      </w:r>
      <w:r w:rsidR="00A027EB">
        <w:rPr>
          <w:i/>
        </w:rPr>
        <w:t>See</w:t>
      </w:r>
      <w:r w:rsidR="00A027EB" w:rsidRPr="00B63DB0">
        <w:rPr>
          <w:i/>
        </w:rPr>
        <w:t xml:space="preserve"> </w:t>
      </w:r>
      <w:r w:rsidRPr="000D028E">
        <w:t>5 U.S.C. § 504; 47 C.F.R. §</w:t>
      </w:r>
      <w:r w:rsidR="00A027EB" w:rsidRPr="000D028E">
        <w:t>§</w:t>
      </w:r>
      <w:r w:rsidRPr="000D028E">
        <w:t xml:space="preserve"> 1.150</w:t>
      </w:r>
      <w:r w:rsidR="00A027EB">
        <w:t>1–1.530</w:t>
      </w:r>
      <w:r w:rsidRPr="000D02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5" w:rsidRDefault="002F7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2A" w:rsidRDefault="007E252A" w:rsidP="00026E0C">
    <w:pPr>
      <w:pStyle w:val="Header"/>
      <w:rPr>
        <w:b w:val="0"/>
      </w:rPr>
    </w:pPr>
    <w:r>
      <w:tab/>
      <w:t>Federal Communications Commission</w:t>
    </w:r>
    <w:r>
      <w:tab/>
      <w:t>DA 1</w:t>
    </w:r>
    <w:r w:rsidR="002E45C3">
      <w:t>5</w:t>
    </w:r>
    <w:r>
      <w:t>-</w:t>
    </w:r>
    <w:r w:rsidR="002E45C3">
      <w:t>214</w:t>
    </w:r>
  </w:p>
  <w:p w:rsidR="007E252A" w:rsidRPr="0014549F" w:rsidRDefault="009E54AB" w:rsidP="0014549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2A" w:rsidRPr="00E014BC" w:rsidRDefault="007E252A" w:rsidP="00026E0C">
    <w:pPr>
      <w:pStyle w:val="Header"/>
    </w:pPr>
  </w:p>
  <w:p w:rsidR="007E252A" w:rsidRDefault="009E54AB" w:rsidP="00026E0C">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7E252A">
      <w:tab/>
      <w:t>Federal Communications Commission</w:t>
    </w:r>
    <w:r w:rsidR="007E252A">
      <w:tab/>
    </w:r>
    <w:r w:rsidR="007E252A">
      <w:rPr>
        <w:spacing w:val="-2"/>
      </w:rPr>
      <w:t>DA 1</w:t>
    </w:r>
    <w:r w:rsidR="002E45C3">
      <w:rPr>
        <w:spacing w:val="-2"/>
      </w:rPr>
      <w:t>5</w:t>
    </w:r>
    <w:r w:rsidR="007E252A">
      <w:rPr>
        <w:spacing w:val="-2"/>
      </w:rPr>
      <w:t>-</w:t>
    </w:r>
    <w:r w:rsidR="002E45C3">
      <w:rPr>
        <w:spacing w:val="-2"/>
      </w:rPr>
      <w:t>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8E600E7"/>
    <w:multiLevelType w:val="hybridMultilevel"/>
    <w:tmpl w:val="79ECDFCC"/>
    <w:lvl w:ilvl="0" w:tplc="2ECEDAEE">
      <w:start w:val="1"/>
      <w:numFmt w:val="decimal"/>
      <w:lvlText w:val="%1."/>
      <w:lvlJc w:val="left"/>
      <w:pPr>
        <w:tabs>
          <w:tab w:val="num" w:pos="1620"/>
        </w:tabs>
        <w:ind w:left="1620" w:hanging="720"/>
      </w:pPr>
      <w:rPr>
        <w:rFonts w:hint="default"/>
        <w:sz w:val="22"/>
        <w:szCs w:val="22"/>
      </w:rPr>
    </w:lvl>
    <w:lvl w:ilvl="1" w:tplc="17DC9C8C">
      <w:start w:val="1"/>
      <w:numFmt w:val="lowerLetter"/>
      <w:lvlText w:val="(%2)"/>
      <w:lvlJc w:val="left"/>
      <w:pPr>
        <w:tabs>
          <w:tab w:val="num" w:pos="1800"/>
        </w:tabs>
        <w:ind w:left="1800" w:hanging="360"/>
      </w:pPr>
      <w:rPr>
        <w:rFonts w:ascii="Times New Roman" w:eastAsia="Times New Roman" w:hAnsi="Times New Roman" w:cs="Times New Roman"/>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4907F2C"/>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7">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23B1743F"/>
    <w:multiLevelType w:val="hybridMultilevel"/>
    <w:tmpl w:val="65D63FE6"/>
    <w:lvl w:ilvl="0" w:tplc="AAD8AAAC">
      <w:start w:val="1"/>
      <w:numFmt w:val="lowerLetter"/>
      <w:lvlText w:val="(%1)"/>
      <w:lvlJc w:val="left"/>
      <w:pPr>
        <w:tabs>
          <w:tab w:val="num" w:pos="1872"/>
        </w:tabs>
        <w:ind w:left="1872" w:hanging="432"/>
      </w:pPr>
      <w:rPr>
        <w:rFonts w:ascii="Times New Roman" w:hAnsi="Times New Roman" w:cs="Times New Roman" w:hint="default"/>
        <w:b w:val="0"/>
        <w:i w:val="0"/>
        <w:sz w:val="22"/>
        <w:szCs w:val="22"/>
      </w:rPr>
    </w:lvl>
    <w:lvl w:ilvl="1" w:tplc="FFFFFFFF">
      <w:start w:val="1"/>
      <w:numFmt w:val="lowerLetter"/>
      <w:lvlText w:val="%2."/>
      <w:lvlJc w:val="left"/>
      <w:pPr>
        <w:tabs>
          <w:tab w:val="num" w:pos="2088"/>
        </w:tabs>
        <w:ind w:left="2088" w:hanging="360"/>
      </w:pPr>
      <w:rPr>
        <w:rFonts w:cs="Times New Roman"/>
      </w:rPr>
    </w:lvl>
    <w:lvl w:ilvl="2" w:tplc="FFFFFFFF" w:tentative="1">
      <w:start w:val="1"/>
      <w:numFmt w:val="lowerRoman"/>
      <w:lvlText w:val="%3."/>
      <w:lvlJc w:val="right"/>
      <w:pPr>
        <w:tabs>
          <w:tab w:val="num" w:pos="2808"/>
        </w:tabs>
        <w:ind w:left="2808" w:hanging="180"/>
      </w:pPr>
      <w:rPr>
        <w:rFonts w:cs="Times New Roman"/>
      </w:rPr>
    </w:lvl>
    <w:lvl w:ilvl="3" w:tplc="FFFFFFFF" w:tentative="1">
      <w:start w:val="1"/>
      <w:numFmt w:val="decimal"/>
      <w:lvlText w:val="%4."/>
      <w:lvlJc w:val="left"/>
      <w:pPr>
        <w:tabs>
          <w:tab w:val="num" w:pos="3528"/>
        </w:tabs>
        <w:ind w:left="3528" w:hanging="360"/>
      </w:pPr>
      <w:rPr>
        <w:rFonts w:cs="Times New Roman"/>
      </w:rPr>
    </w:lvl>
    <w:lvl w:ilvl="4" w:tplc="FFFFFFFF" w:tentative="1">
      <w:start w:val="1"/>
      <w:numFmt w:val="lowerLetter"/>
      <w:lvlText w:val="%5."/>
      <w:lvlJc w:val="left"/>
      <w:pPr>
        <w:tabs>
          <w:tab w:val="num" w:pos="4248"/>
        </w:tabs>
        <w:ind w:left="4248" w:hanging="360"/>
      </w:pPr>
      <w:rPr>
        <w:rFonts w:cs="Times New Roman"/>
      </w:rPr>
    </w:lvl>
    <w:lvl w:ilvl="5" w:tplc="FFFFFFFF" w:tentative="1">
      <w:start w:val="1"/>
      <w:numFmt w:val="lowerRoman"/>
      <w:lvlText w:val="%6."/>
      <w:lvlJc w:val="right"/>
      <w:pPr>
        <w:tabs>
          <w:tab w:val="num" w:pos="4968"/>
        </w:tabs>
        <w:ind w:left="4968" w:hanging="180"/>
      </w:pPr>
      <w:rPr>
        <w:rFonts w:cs="Times New Roman"/>
      </w:rPr>
    </w:lvl>
    <w:lvl w:ilvl="6" w:tplc="FFFFFFFF" w:tentative="1">
      <w:start w:val="1"/>
      <w:numFmt w:val="decimal"/>
      <w:lvlText w:val="%7."/>
      <w:lvlJc w:val="left"/>
      <w:pPr>
        <w:tabs>
          <w:tab w:val="num" w:pos="5688"/>
        </w:tabs>
        <w:ind w:left="5688" w:hanging="360"/>
      </w:pPr>
      <w:rPr>
        <w:rFonts w:cs="Times New Roman"/>
      </w:rPr>
    </w:lvl>
    <w:lvl w:ilvl="7" w:tplc="FFFFFFFF" w:tentative="1">
      <w:start w:val="1"/>
      <w:numFmt w:val="lowerLetter"/>
      <w:lvlText w:val="%8."/>
      <w:lvlJc w:val="left"/>
      <w:pPr>
        <w:tabs>
          <w:tab w:val="num" w:pos="6408"/>
        </w:tabs>
        <w:ind w:left="6408" w:hanging="360"/>
      </w:pPr>
      <w:rPr>
        <w:rFonts w:cs="Times New Roman"/>
      </w:rPr>
    </w:lvl>
    <w:lvl w:ilvl="8" w:tplc="FFFFFFFF" w:tentative="1">
      <w:start w:val="1"/>
      <w:numFmt w:val="lowerRoman"/>
      <w:lvlText w:val="%9."/>
      <w:lvlJc w:val="right"/>
      <w:pPr>
        <w:tabs>
          <w:tab w:val="num" w:pos="7128"/>
        </w:tabs>
        <w:ind w:left="7128" w:hanging="180"/>
      </w:pPr>
      <w:rPr>
        <w:rFonts w:cs="Times New Roman"/>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4">
    <w:nsid w:val="305E3024"/>
    <w:multiLevelType w:val="singleLevel"/>
    <w:tmpl w:val="EA9E5D9A"/>
    <w:lvl w:ilvl="0">
      <w:start w:val="2"/>
      <w:numFmt w:val="decimal"/>
      <w:lvlText w:val="%1."/>
      <w:lvlJc w:val="left"/>
      <w:pPr>
        <w:tabs>
          <w:tab w:val="num" w:pos="1080"/>
        </w:tabs>
        <w:ind w:left="0" w:firstLine="720"/>
      </w:pPr>
    </w:lvl>
  </w:abstractNum>
  <w:abstractNum w:abstractNumId="15">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7">
    <w:nsid w:val="3A6F62ED"/>
    <w:multiLevelType w:val="multilevel"/>
    <w:tmpl w:val="58AC472E"/>
    <w:styleLink w:val="Style1"/>
    <w:lvl w:ilvl="0">
      <w:start w:val="1"/>
      <w:numFmt w:val="lowerLetter"/>
      <w:lvlText w:val="%1."/>
      <w:lvlJc w:val="left"/>
      <w:pPr>
        <w:tabs>
          <w:tab w:val="num" w:pos="1800"/>
        </w:tabs>
        <w:ind w:left="180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9">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nsid w:val="43D27EFD"/>
    <w:multiLevelType w:val="singleLevel"/>
    <w:tmpl w:val="42701C86"/>
    <w:lvl w:ilvl="0">
      <w:start w:val="1"/>
      <w:numFmt w:val="decimal"/>
      <w:lvlText w:val="%1."/>
      <w:lvlJc w:val="left"/>
      <w:pPr>
        <w:tabs>
          <w:tab w:val="num" w:pos="1440"/>
        </w:tabs>
        <w:ind w:left="1440" w:hanging="720"/>
      </w:p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3">
    <w:nsid w:val="52A07F49"/>
    <w:multiLevelType w:val="multilevel"/>
    <w:tmpl w:val="57220BDE"/>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53D97BEF"/>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25">
    <w:nsid w:val="5FFF125B"/>
    <w:multiLevelType w:val="singleLevel"/>
    <w:tmpl w:val="B1F45678"/>
    <w:lvl w:ilvl="0">
      <w:start w:val="1"/>
      <w:numFmt w:val="decimal"/>
      <w:lvlText w:val="%1."/>
      <w:lvlJc w:val="left"/>
      <w:pPr>
        <w:tabs>
          <w:tab w:val="num" w:pos="1080"/>
        </w:tabs>
        <w:ind w:left="0" w:firstLine="720"/>
      </w:p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03621C9"/>
    <w:multiLevelType w:val="singleLevel"/>
    <w:tmpl w:val="373411A8"/>
    <w:lvl w:ilvl="0">
      <w:start w:val="1"/>
      <w:numFmt w:val="decimal"/>
      <w:lvlText w:val="%1."/>
      <w:lvlJc w:val="left"/>
      <w:pPr>
        <w:tabs>
          <w:tab w:val="num" w:pos="1080"/>
        </w:tabs>
        <w:ind w:left="0" w:firstLine="720"/>
      </w:pPr>
    </w:lvl>
  </w:abstractNum>
  <w:abstractNum w:abstractNumId="31">
    <w:nsid w:val="751C7F3B"/>
    <w:multiLevelType w:val="hybridMultilevel"/>
    <w:tmpl w:val="65D63FE6"/>
    <w:lvl w:ilvl="0" w:tplc="AAD8AAAC">
      <w:start w:val="1"/>
      <w:numFmt w:val="lowerLetter"/>
      <w:lvlText w:val="(%1)"/>
      <w:lvlJc w:val="left"/>
      <w:pPr>
        <w:tabs>
          <w:tab w:val="num" w:pos="1872"/>
        </w:tabs>
        <w:ind w:left="1872" w:hanging="432"/>
      </w:pPr>
      <w:rPr>
        <w:rFonts w:ascii="Times New Roman" w:hAnsi="Times New Roman" w:cs="Times New Roman" w:hint="default"/>
        <w:b w:val="0"/>
        <w:i w:val="0"/>
        <w:sz w:val="22"/>
        <w:szCs w:val="22"/>
      </w:rPr>
    </w:lvl>
    <w:lvl w:ilvl="1" w:tplc="FFFFFFFF">
      <w:start w:val="1"/>
      <w:numFmt w:val="lowerLetter"/>
      <w:lvlText w:val="%2."/>
      <w:lvlJc w:val="left"/>
      <w:pPr>
        <w:tabs>
          <w:tab w:val="num" w:pos="2088"/>
        </w:tabs>
        <w:ind w:left="2088" w:hanging="360"/>
      </w:pPr>
      <w:rPr>
        <w:rFonts w:cs="Times New Roman"/>
      </w:rPr>
    </w:lvl>
    <w:lvl w:ilvl="2" w:tplc="FFFFFFFF" w:tentative="1">
      <w:start w:val="1"/>
      <w:numFmt w:val="lowerRoman"/>
      <w:lvlText w:val="%3."/>
      <w:lvlJc w:val="right"/>
      <w:pPr>
        <w:tabs>
          <w:tab w:val="num" w:pos="2808"/>
        </w:tabs>
        <w:ind w:left="2808" w:hanging="180"/>
      </w:pPr>
      <w:rPr>
        <w:rFonts w:cs="Times New Roman"/>
      </w:rPr>
    </w:lvl>
    <w:lvl w:ilvl="3" w:tplc="FFFFFFFF" w:tentative="1">
      <w:start w:val="1"/>
      <w:numFmt w:val="decimal"/>
      <w:lvlText w:val="%4."/>
      <w:lvlJc w:val="left"/>
      <w:pPr>
        <w:tabs>
          <w:tab w:val="num" w:pos="3528"/>
        </w:tabs>
        <w:ind w:left="3528" w:hanging="360"/>
      </w:pPr>
      <w:rPr>
        <w:rFonts w:cs="Times New Roman"/>
      </w:rPr>
    </w:lvl>
    <w:lvl w:ilvl="4" w:tplc="FFFFFFFF" w:tentative="1">
      <w:start w:val="1"/>
      <w:numFmt w:val="lowerLetter"/>
      <w:lvlText w:val="%5."/>
      <w:lvlJc w:val="left"/>
      <w:pPr>
        <w:tabs>
          <w:tab w:val="num" w:pos="4248"/>
        </w:tabs>
        <w:ind w:left="4248" w:hanging="360"/>
      </w:pPr>
      <w:rPr>
        <w:rFonts w:cs="Times New Roman"/>
      </w:rPr>
    </w:lvl>
    <w:lvl w:ilvl="5" w:tplc="FFFFFFFF" w:tentative="1">
      <w:start w:val="1"/>
      <w:numFmt w:val="lowerRoman"/>
      <w:lvlText w:val="%6."/>
      <w:lvlJc w:val="right"/>
      <w:pPr>
        <w:tabs>
          <w:tab w:val="num" w:pos="4968"/>
        </w:tabs>
        <w:ind w:left="4968" w:hanging="180"/>
      </w:pPr>
      <w:rPr>
        <w:rFonts w:cs="Times New Roman"/>
      </w:rPr>
    </w:lvl>
    <w:lvl w:ilvl="6" w:tplc="FFFFFFFF" w:tentative="1">
      <w:start w:val="1"/>
      <w:numFmt w:val="decimal"/>
      <w:lvlText w:val="%7."/>
      <w:lvlJc w:val="left"/>
      <w:pPr>
        <w:tabs>
          <w:tab w:val="num" w:pos="5688"/>
        </w:tabs>
        <w:ind w:left="5688" w:hanging="360"/>
      </w:pPr>
      <w:rPr>
        <w:rFonts w:cs="Times New Roman"/>
      </w:rPr>
    </w:lvl>
    <w:lvl w:ilvl="7" w:tplc="FFFFFFFF" w:tentative="1">
      <w:start w:val="1"/>
      <w:numFmt w:val="lowerLetter"/>
      <w:lvlText w:val="%8."/>
      <w:lvlJc w:val="left"/>
      <w:pPr>
        <w:tabs>
          <w:tab w:val="num" w:pos="6408"/>
        </w:tabs>
        <w:ind w:left="6408" w:hanging="360"/>
      </w:pPr>
      <w:rPr>
        <w:rFonts w:cs="Times New Roman"/>
      </w:rPr>
    </w:lvl>
    <w:lvl w:ilvl="8" w:tplc="FFFFFFFF" w:tentative="1">
      <w:start w:val="1"/>
      <w:numFmt w:val="lowerRoman"/>
      <w:lvlText w:val="%9."/>
      <w:lvlJc w:val="right"/>
      <w:pPr>
        <w:tabs>
          <w:tab w:val="num" w:pos="7128"/>
        </w:tabs>
        <w:ind w:left="7128" w:hanging="180"/>
      </w:pPr>
      <w:rPr>
        <w:rFonts w:cs="Times New Roman"/>
      </w:rPr>
    </w:lvl>
  </w:abstractNum>
  <w:abstractNum w:abstractNumId="32">
    <w:nsid w:val="755A4D86"/>
    <w:multiLevelType w:val="multilevel"/>
    <w:tmpl w:val="58AC472E"/>
    <w:numStyleLink w:val="Style1"/>
  </w:abstractNum>
  <w:abstractNum w:abstractNumId="33">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4">
    <w:nsid w:val="78495135"/>
    <w:multiLevelType w:val="hybridMultilevel"/>
    <w:tmpl w:val="58AC472E"/>
    <w:lvl w:ilvl="0" w:tplc="FFFFFFFF">
      <w:start w:val="1"/>
      <w:numFmt w:val="lowerLetter"/>
      <w:lvlText w:val="%1."/>
      <w:lvlJc w:val="left"/>
      <w:pPr>
        <w:tabs>
          <w:tab w:val="num" w:pos="2340"/>
        </w:tabs>
        <w:ind w:left="2340" w:hanging="360"/>
      </w:pPr>
      <w:rPr>
        <w:rFonts w:hint="default"/>
        <w:b w:val="0"/>
      </w:rPr>
    </w:lvl>
    <w:lvl w:ilvl="1" w:tplc="FFFFFFFF">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5">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6"/>
  </w:num>
  <w:num w:numId="2">
    <w:abstractNumId w:val="12"/>
  </w:num>
  <w:num w:numId="3">
    <w:abstractNumId w:val="29"/>
  </w:num>
  <w:num w:numId="4">
    <w:abstractNumId w:val="6"/>
  </w:num>
  <w:num w:numId="5">
    <w:abstractNumId w:val="4"/>
  </w:num>
  <w:num w:numId="6">
    <w:abstractNumId w:val="19"/>
  </w:num>
  <w:num w:numId="7">
    <w:abstractNumId w:val="26"/>
    <w:lvlOverride w:ilvl="0">
      <w:startOverride w:val="1"/>
    </w:lvlOverride>
  </w:num>
  <w:num w:numId="8">
    <w:abstractNumId w:val="26"/>
  </w:num>
  <w:num w:numId="9">
    <w:abstractNumId w:val="26"/>
  </w:num>
  <w:num w:numId="10">
    <w:abstractNumId w:val="21"/>
  </w:num>
  <w:num w:numId="11">
    <w:abstractNumId w:val="26"/>
    <w:lvlOverride w:ilvl="0">
      <w:startOverride w:val="1"/>
    </w:lvlOverride>
  </w:num>
  <w:num w:numId="12">
    <w:abstractNumId w:val="10"/>
  </w:num>
  <w:num w:numId="13">
    <w:abstractNumId w:val="26"/>
  </w:num>
  <w:num w:numId="14">
    <w:abstractNumId w:val="26"/>
  </w:num>
  <w:num w:numId="15">
    <w:abstractNumId w:val="26"/>
  </w:num>
  <w:num w:numId="16">
    <w:abstractNumId w:val="26"/>
  </w:num>
  <w:num w:numId="17">
    <w:abstractNumId w:val="11"/>
  </w:num>
  <w:num w:numId="18">
    <w:abstractNumId w:val="3"/>
  </w:num>
  <w:num w:numId="19">
    <w:abstractNumId w:val="26"/>
  </w:num>
  <w:num w:numId="20">
    <w:abstractNumId w:val="12"/>
  </w:num>
  <w:num w:numId="21">
    <w:abstractNumId w:val="12"/>
  </w:num>
  <w:num w:numId="22">
    <w:abstractNumId w:val="26"/>
    <w:lvlOverride w:ilvl="0">
      <w:startOverride w:val="1"/>
    </w:lvlOverride>
  </w:num>
  <w:num w:numId="23">
    <w:abstractNumId w:val="26"/>
  </w:num>
  <w:num w:numId="24">
    <w:abstractNumId w:val="26"/>
    <w:lvlOverride w:ilvl="0">
      <w:startOverride w:val="1"/>
    </w:lvlOverride>
  </w:num>
  <w:num w:numId="25">
    <w:abstractNumId w:val="26"/>
  </w:num>
  <w:num w:numId="26">
    <w:abstractNumId w:val="26"/>
    <w:lvlOverride w:ilvl="0">
      <w:startOverride w:val="1"/>
    </w:lvlOverride>
  </w:num>
  <w:num w:numId="27">
    <w:abstractNumId w:val="26"/>
  </w:num>
  <w:num w:numId="28">
    <w:abstractNumId w:val="26"/>
    <w:lvlOverride w:ilvl="0">
      <w:startOverride w:val="1"/>
    </w:lvlOverride>
  </w:num>
  <w:num w:numId="29">
    <w:abstractNumId w:val="26"/>
  </w:num>
  <w:num w:numId="30">
    <w:abstractNumId w:val="24"/>
  </w:num>
  <w:num w:numId="31">
    <w:abstractNumId w:val="23"/>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34"/>
  </w:num>
  <w:num w:numId="40">
    <w:abstractNumId w:val="17"/>
  </w:num>
  <w:num w:numId="41">
    <w:abstractNumId w:val="32"/>
  </w:num>
  <w:num w:numId="42">
    <w:abstractNumId w:val="12"/>
  </w:num>
  <w:num w:numId="43">
    <w:abstractNumId w:val="9"/>
  </w:num>
  <w:num w:numId="44">
    <w:abstractNumId w:val="31"/>
  </w:num>
  <w:num w:numId="45">
    <w:abstractNumId w:val="15"/>
  </w:num>
  <w:num w:numId="46">
    <w:abstractNumId w:val="28"/>
  </w:num>
  <w:num w:numId="47">
    <w:abstractNumId w:val="25"/>
  </w:num>
  <w:num w:numId="48">
    <w:abstractNumId w:val="30"/>
  </w:num>
  <w:num w:numId="49">
    <w:abstractNumId w:val="14"/>
  </w:num>
  <w:num w:numId="50">
    <w:abstractNumId w:val="16"/>
  </w:num>
  <w:num w:numId="51">
    <w:abstractNumId w:val="20"/>
  </w:num>
  <w:num w:numId="52">
    <w:abstractNumId w:val="1"/>
  </w:num>
  <w:num w:numId="53">
    <w:abstractNumId w:val="0"/>
  </w:num>
  <w:num w:numId="54">
    <w:abstractNumId w:val="5"/>
  </w:num>
  <w:num w:numId="55">
    <w:abstractNumId w:val="13"/>
  </w:num>
  <w:num w:numId="56">
    <w:abstractNumId w:val="22"/>
  </w:num>
  <w:num w:numId="57">
    <w:abstractNumId w:val="7"/>
  </w:num>
  <w:num w:numId="58">
    <w:abstractNumId w:val="18"/>
  </w:num>
  <w:num w:numId="59">
    <w:abstractNumId w:val="8"/>
  </w:num>
  <w:num w:numId="60">
    <w:abstractNumId w:val="33"/>
  </w:num>
  <w:num w:numId="61">
    <w:abstractNumId w:val="2"/>
  </w:num>
  <w:num w:numId="62">
    <w:abstractNumId w:val="27"/>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1BC1"/>
    <w:rsid w:val="00001E45"/>
    <w:rsid w:val="00010222"/>
    <w:rsid w:val="000125B4"/>
    <w:rsid w:val="00012C94"/>
    <w:rsid w:val="00025895"/>
    <w:rsid w:val="00026953"/>
    <w:rsid w:val="00026E0C"/>
    <w:rsid w:val="00035046"/>
    <w:rsid w:val="000373F2"/>
    <w:rsid w:val="00041E28"/>
    <w:rsid w:val="00043FF9"/>
    <w:rsid w:val="0005753E"/>
    <w:rsid w:val="00057540"/>
    <w:rsid w:val="00062AAA"/>
    <w:rsid w:val="000723B3"/>
    <w:rsid w:val="00072CD8"/>
    <w:rsid w:val="00077002"/>
    <w:rsid w:val="00077DA3"/>
    <w:rsid w:val="00077E25"/>
    <w:rsid w:val="00086577"/>
    <w:rsid w:val="00090FAB"/>
    <w:rsid w:val="000933AA"/>
    <w:rsid w:val="000A01A5"/>
    <w:rsid w:val="000A0488"/>
    <w:rsid w:val="000A65D6"/>
    <w:rsid w:val="000A6EA3"/>
    <w:rsid w:val="000C48AB"/>
    <w:rsid w:val="000D028E"/>
    <w:rsid w:val="000E740D"/>
    <w:rsid w:val="000F7D23"/>
    <w:rsid w:val="00106969"/>
    <w:rsid w:val="00126030"/>
    <w:rsid w:val="00143194"/>
    <w:rsid w:val="0014549F"/>
    <w:rsid w:val="00150964"/>
    <w:rsid w:val="00152625"/>
    <w:rsid w:val="00154BEB"/>
    <w:rsid w:val="00171CC9"/>
    <w:rsid w:val="00184241"/>
    <w:rsid w:val="00187131"/>
    <w:rsid w:val="00190CD3"/>
    <w:rsid w:val="00190D62"/>
    <w:rsid w:val="00190DEB"/>
    <w:rsid w:val="001B7ED0"/>
    <w:rsid w:val="001C62C1"/>
    <w:rsid w:val="001D7757"/>
    <w:rsid w:val="001E1FB9"/>
    <w:rsid w:val="001F25A4"/>
    <w:rsid w:val="001F3835"/>
    <w:rsid w:val="001F58C0"/>
    <w:rsid w:val="00201BC1"/>
    <w:rsid w:val="002126BD"/>
    <w:rsid w:val="0022497A"/>
    <w:rsid w:val="0022607F"/>
    <w:rsid w:val="002406C3"/>
    <w:rsid w:val="00241AA2"/>
    <w:rsid w:val="002435AC"/>
    <w:rsid w:val="002475AF"/>
    <w:rsid w:val="00253729"/>
    <w:rsid w:val="00270A55"/>
    <w:rsid w:val="00270BDD"/>
    <w:rsid w:val="00275A5E"/>
    <w:rsid w:val="00277CB1"/>
    <w:rsid w:val="002A4D19"/>
    <w:rsid w:val="002D032C"/>
    <w:rsid w:val="002D5448"/>
    <w:rsid w:val="002D5C49"/>
    <w:rsid w:val="002E45C3"/>
    <w:rsid w:val="002E6970"/>
    <w:rsid w:val="002F22EE"/>
    <w:rsid w:val="002F7185"/>
    <w:rsid w:val="003102C8"/>
    <w:rsid w:val="00310B78"/>
    <w:rsid w:val="00310D9E"/>
    <w:rsid w:val="0031458A"/>
    <w:rsid w:val="003170FD"/>
    <w:rsid w:val="00334980"/>
    <w:rsid w:val="00336285"/>
    <w:rsid w:val="003437E0"/>
    <w:rsid w:val="00346B6B"/>
    <w:rsid w:val="003517E5"/>
    <w:rsid w:val="00351D9E"/>
    <w:rsid w:val="003878F4"/>
    <w:rsid w:val="00387DD0"/>
    <w:rsid w:val="003A49E3"/>
    <w:rsid w:val="003B1AD7"/>
    <w:rsid w:val="003B481E"/>
    <w:rsid w:val="003C3D5C"/>
    <w:rsid w:val="003D1FF4"/>
    <w:rsid w:val="003D5FB3"/>
    <w:rsid w:val="003E5343"/>
    <w:rsid w:val="003F06D1"/>
    <w:rsid w:val="003F167E"/>
    <w:rsid w:val="0041665E"/>
    <w:rsid w:val="004240E3"/>
    <w:rsid w:val="00434435"/>
    <w:rsid w:val="00436A87"/>
    <w:rsid w:val="00446FE9"/>
    <w:rsid w:val="004508E5"/>
    <w:rsid w:val="004628DE"/>
    <w:rsid w:val="00465063"/>
    <w:rsid w:val="00486D55"/>
    <w:rsid w:val="004929D6"/>
    <w:rsid w:val="004933D6"/>
    <w:rsid w:val="004E16F9"/>
    <w:rsid w:val="004E21A7"/>
    <w:rsid w:val="004F3038"/>
    <w:rsid w:val="004F6E4B"/>
    <w:rsid w:val="00500128"/>
    <w:rsid w:val="00501243"/>
    <w:rsid w:val="00501D5F"/>
    <w:rsid w:val="005021B3"/>
    <w:rsid w:val="0050393B"/>
    <w:rsid w:val="005159F8"/>
    <w:rsid w:val="00521CFC"/>
    <w:rsid w:val="00522103"/>
    <w:rsid w:val="00523538"/>
    <w:rsid w:val="005362F1"/>
    <w:rsid w:val="00583C15"/>
    <w:rsid w:val="00595570"/>
    <w:rsid w:val="005A11E0"/>
    <w:rsid w:val="005D26C5"/>
    <w:rsid w:val="005E3F82"/>
    <w:rsid w:val="005E6F03"/>
    <w:rsid w:val="005F150C"/>
    <w:rsid w:val="005F5648"/>
    <w:rsid w:val="00606C8B"/>
    <w:rsid w:val="0061643B"/>
    <w:rsid w:val="00621B67"/>
    <w:rsid w:val="00622AF7"/>
    <w:rsid w:val="00627077"/>
    <w:rsid w:val="00633DC4"/>
    <w:rsid w:val="00635EC7"/>
    <w:rsid w:val="006414CD"/>
    <w:rsid w:val="00651968"/>
    <w:rsid w:val="00656C57"/>
    <w:rsid w:val="00657DD8"/>
    <w:rsid w:val="0066084B"/>
    <w:rsid w:val="00662216"/>
    <w:rsid w:val="00672E0A"/>
    <w:rsid w:val="00673235"/>
    <w:rsid w:val="00682C49"/>
    <w:rsid w:val="00694A83"/>
    <w:rsid w:val="006A7D95"/>
    <w:rsid w:val="006B1C96"/>
    <w:rsid w:val="006C14F0"/>
    <w:rsid w:val="006E2A54"/>
    <w:rsid w:val="007003AC"/>
    <w:rsid w:val="00702341"/>
    <w:rsid w:val="00714799"/>
    <w:rsid w:val="00721159"/>
    <w:rsid w:val="00723C59"/>
    <w:rsid w:val="00733D64"/>
    <w:rsid w:val="00734278"/>
    <w:rsid w:val="007455A9"/>
    <w:rsid w:val="00775D83"/>
    <w:rsid w:val="00777BD4"/>
    <w:rsid w:val="007871E4"/>
    <w:rsid w:val="00795A4A"/>
    <w:rsid w:val="007A07F6"/>
    <w:rsid w:val="007B468A"/>
    <w:rsid w:val="007B4B9E"/>
    <w:rsid w:val="007B6323"/>
    <w:rsid w:val="007C00EA"/>
    <w:rsid w:val="007C5C82"/>
    <w:rsid w:val="007C5CC5"/>
    <w:rsid w:val="007D06CF"/>
    <w:rsid w:val="007E1D4E"/>
    <w:rsid w:val="007E252A"/>
    <w:rsid w:val="00800759"/>
    <w:rsid w:val="00810831"/>
    <w:rsid w:val="008178DA"/>
    <w:rsid w:val="008336BB"/>
    <w:rsid w:val="008348B4"/>
    <w:rsid w:val="00836727"/>
    <w:rsid w:val="00843A83"/>
    <w:rsid w:val="00845D98"/>
    <w:rsid w:val="00850567"/>
    <w:rsid w:val="00850A0D"/>
    <w:rsid w:val="00851564"/>
    <w:rsid w:val="00865262"/>
    <w:rsid w:val="00866E42"/>
    <w:rsid w:val="008739A1"/>
    <w:rsid w:val="008871CA"/>
    <w:rsid w:val="008970F6"/>
    <w:rsid w:val="008A1EDA"/>
    <w:rsid w:val="008B02DD"/>
    <w:rsid w:val="008B04A0"/>
    <w:rsid w:val="008B6221"/>
    <w:rsid w:val="008B68D4"/>
    <w:rsid w:val="008C1FC7"/>
    <w:rsid w:val="008C484A"/>
    <w:rsid w:val="008E382F"/>
    <w:rsid w:val="00904412"/>
    <w:rsid w:val="00920D1A"/>
    <w:rsid w:val="00926F9F"/>
    <w:rsid w:val="009311C8"/>
    <w:rsid w:val="0093297A"/>
    <w:rsid w:val="00933330"/>
    <w:rsid w:val="00936CF3"/>
    <w:rsid w:val="00973268"/>
    <w:rsid w:val="0099426C"/>
    <w:rsid w:val="009955B8"/>
    <w:rsid w:val="00995DF5"/>
    <w:rsid w:val="009B29B3"/>
    <w:rsid w:val="009B6772"/>
    <w:rsid w:val="009C62C7"/>
    <w:rsid w:val="009D3403"/>
    <w:rsid w:val="009E1F36"/>
    <w:rsid w:val="009E3330"/>
    <w:rsid w:val="009E54AB"/>
    <w:rsid w:val="00A027EB"/>
    <w:rsid w:val="00A45AD5"/>
    <w:rsid w:val="00A5398D"/>
    <w:rsid w:val="00A64FAF"/>
    <w:rsid w:val="00A72527"/>
    <w:rsid w:val="00A74FF2"/>
    <w:rsid w:val="00A81FBC"/>
    <w:rsid w:val="00A82AFB"/>
    <w:rsid w:val="00A86416"/>
    <w:rsid w:val="00A87E98"/>
    <w:rsid w:val="00A92248"/>
    <w:rsid w:val="00AA12A6"/>
    <w:rsid w:val="00AC1E92"/>
    <w:rsid w:val="00AC2FFB"/>
    <w:rsid w:val="00AD6CEB"/>
    <w:rsid w:val="00AF639D"/>
    <w:rsid w:val="00AF64A7"/>
    <w:rsid w:val="00B121AB"/>
    <w:rsid w:val="00B25B48"/>
    <w:rsid w:val="00B3139A"/>
    <w:rsid w:val="00B36BC1"/>
    <w:rsid w:val="00B45A01"/>
    <w:rsid w:val="00B60B99"/>
    <w:rsid w:val="00B63DB0"/>
    <w:rsid w:val="00B720AC"/>
    <w:rsid w:val="00B754CA"/>
    <w:rsid w:val="00B77887"/>
    <w:rsid w:val="00B802DD"/>
    <w:rsid w:val="00B93AA7"/>
    <w:rsid w:val="00B93C90"/>
    <w:rsid w:val="00BA14C4"/>
    <w:rsid w:val="00BA3B95"/>
    <w:rsid w:val="00BB1A7F"/>
    <w:rsid w:val="00BC33EF"/>
    <w:rsid w:val="00BD0022"/>
    <w:rsid w:val="00BE156D"/>
    <w:rsid w:val="00BE1F68"/>
    <w:rsid w:val="00BE5045"/>
    <w:rsid w:val="00C06449"/>
    <w:rsid w:val="00C10705"/>
    <w:rsid w:val="00C20D09"/>
    <w:rsid w:val="00C216F3"/>
    <w:rsid w:val="00C22A13"/>
    <w:rsid w:val="00C314DA"/>
    <w:rsid w:val="00C32F55"/>
    <w:rsid w:val="00C35686"/>
    <w:rsid w:val="00C43AFF"/>
    <w:rsid w:val="00C55E69"/>
    <w:rsid w:val="00C621BB"/>
    <w:rsid w:val="00C82823"/>
    <w:rsid w:val="00C83C4E"/>
    <w:rsid w:val="00C83DE2"/>
    <w:rsid w:val="00C86340"/>
    <w:rsid w:val="00CA5A0E"/>
    <w:rsid w:val="00CB0E43"/>
    <w:rsid w:val="00CB0FBD"/>
    <w:rsid w:val="00CB74F9"/>
    <w:rsid w:val="00CC4148"/>
    <w:rsid w:val="00CE2800"/>
    <w:rsid w:val="00D04AC4"/>
    <w:rsid w:val="00D3565A"/>
    <w:rsid w:val="00D44C05"/>
    <w:rsid w:val="00D54C05"/>
    <w:rsid w:val="00D737D5"/>
    <w:rsid w:val="00D76C3A"/>
    <w:rsid w:val="00D80918"/>
    <w:rsid w:val="00D83606"/>
    <w:rsid w:val="00D9258C"/>
    <w:rsid w:val="00D92BDD"/>
    <w:rsid w:val="00D95DE1"/>
    <w:rsid w:val="00DA1E06"/>
    <w:rsid w:val="00DA62C9"/>
    <w:rsid w:val="00DA6DE6"/>
    <w:rsid w:val="00DA776B"/>
    <w:rsid w:val="00DC2659"/>
    <w:rsid w:val="00DD117D"/>
    <w:rsid w:val="00DD4446"/>
    <w:rsid w:val="00DE32D3"/>
    <w:rsid w:val="00DE3C8F"/>
    <w:rsid w:val="00DE4150"/>
    <w:rsid w:val="00DF6058"/>
    <w:rsid w:val="00E014BC"/>
    <w:rsid w:val="00E24547"/>
    <w:rsid w:val="00E27884"/>
    <w:rsid w:val="00E366A3"/>
    <w:rsid w:val="00E40080"/>
    <w:rsid w:val="00E47BD9"/>
    <w:rsid w:val="00E559CC"/>
    <w:rsid w:val="00E577FD"/>
    <w:rsid w:val="00E64344"/>
    <w:rsid w:val="00E73655"/>
    <w:rsid w:val="00E76EE0"/>
    <w:rsid w:val="00E82263"/>
    <w:rsid w:val="00E8799E"/>
    <w:rsid w:val="00EA4654"/>
    <w:rsid w:val="00EB69BE"/>
    <w:rsid w:val="00EB6A7F"/>
    <w:rsid w:val="00EB6F10"/>
    <w:rsid w:val="00ED406C"/>
    <w:rsid w:val="00ED72BD"/>
    <w:rsid w:val="00ED72FB"/>
    <w:rsid w:val="00EE0784"/>
    <w:rsid w:val="00F03CFC"/>
    <w:rsid w:val="00F10348"/>
    <w:rsid w:val="00F110D7"/>
    <w:rsid w:val="00F23BA8"/>
    <w:rsid w:val="00F342E6"/>
    <w:rsid w:val="00F349FE"/>
    <w:rsid w:val="00F36B0B"/>
    <w:rsid w:val="00F45EF2"/>
    <w:rsid w:val="00F51665"/>
    <w:rsid w:val="00F536FD"/>
    <w:rsid w:val="00F6147B"/>
    <w:rsid w:val="00F71B4B"/>
    <w:rsid w:val="00F75AE3"/>
    <w:rsid w:val="00F76A2A"/>
    <w:rsid w:val="00F778C6"/>
    <w:rsid w:val="00F93FD4"/>
    <w:rsid w:val="00F96F84"/>
    <w:rsid w:val="00F97309"/>
    <w:rsid w:val="00FA084F"/>
    <w:rsid w:val="00FA7F96"/>
    <w:rsid w:val="00FB5659"/>
    <w:rsid w:val="00FC019D"/>
    <w:rsid w:val="00FC20F4"/>
    <w:rsid w:val="00FC37D2"/>
    <w:rsid w:val="00FD2CA6"/>
    <w:rsid w:val="00FE3B94"/>
    <w:rsid w:val="00FE57D3"/>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4AB"/>
    <w:pPr>
      <w:widowControl w:val="0"/>
    </w:pPr>
    <w:rPr>
      <w:snapToGrid w:val="0"/>
      <w:kern w:val="28"/>
      <w:sz w:val="22"/>
    </w:rPr>
  </w:style>
  <w:style w:type="paragraph" w:styleId="Heading1">
    <w:name w:val="heading 1"/>
    <w:basedOn w:val="Normal"/>
    <w:next w:val="ParaNum"/>
    <w:link w:val="Heading1Char"/>
    <w:qFormat/>
    <w:rsid w:val="009E54A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54AB"/>
    <w:pPr>
      <w:keepNext/>
      <w:numPr>
        <w:ilvl w:val="1"/>
        <w:numId w:val="2"/>
      </w:numPr>
      <w:spacing w:after="120"/>
      <w:outlineLvl w:val="1"/>
    </w:pPr>
    <w:rPr>
      <w:b/>
    </w:rPr>
  </w:style>
  <w:style w:type="paragraph" w:styleId="Heading3">
    <w:name w:val="heading 3"/>
    <w:basedOn w:val="Normal"/>
    <w:next w:val="ParaNum"/>
    <w:qFormat/>
    <w:rsid w:val="009E54AB"/>
    <w:pPr>
      <w:keepNext/>
      <w:numPr>
        <w:ilvl w:val="2"/>
        <w:numId w:val="2"/>
      </w:numPr>
      <w:tabs>
        <w:tab w:val="left" w:pos="2160"/>
      </w:tabs>
      <w:spacing w:after="120"/>
      <w:outlineLvl w:val="2"/>
    </w:pPr>
    <w:rPr>
      <w:b/>
    </w:rPr>
  </w:style>
  <w:style w:type="paragraph" w:styleId="Heading4">
    <w:name w:val="heading 4"/>
    <w:basedOn w:val="Normal"/>
    <w:next w:val="ParaNum"/>
    <w:qFormat/>
    <w:rsid w:val="009E54AB"/>
    <w:pPr>
      <w:keepNext/>
      <w:numPr>
        <w:ilvl w:val="3"/>
        <w:numId w:val="2"/>
      </w:numPr>
      <w:tabs>
        <w:tab w:val="left" w:pos="2880"/>
      </w:tabs>
      <w:spacing w:after="120"/>
      <w:outlineLvl w:val="3"/>
    </w:pPr>
    <w:rPr>
      <w:b/>
    </w:rPr>
  </w:style>
  <w:style w:type="paragraph" w:styleId="Heading5">
    <w:name w:val="heading 5"/>
    <w:basedOn w:val="Normal"/>
    <w:next w:val="ParaNum"/>
    <w:qFormat/>
    <w:rsid w:val="009E54A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54AB"/>
    <w:pPr>
      <w:numPr>
        <w:ilvl w:val="5"/>
        <w:numId w:val="2"/>
      </w:numPr>
      <w:tabs>
        <w:tab w:val="left" w:pos="4320"/>
      </w:tabs>
      <w:spacing w:after="120"/>
      <w:outlineLvl w:val="5"/>
    </w:pPr>
    <w:rPr>
      <w:b/>
    </w:rPr>
  </w:style>
  <w:style w:type="paragraph" w:styleId="Heading7">
    <w:name w:val="heading 7"/>
    <w:basedOn w:val="Normal"/>
    <w:next w:val="ParaNum"/>
    <w:qFormat/>
    <w:rsid w:val="009E54A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54A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54A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54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54AB"/>
  </w:style>
  <w:style w:type="paragraph" w:customStyle="1" w:styleId="ParaNum">
    <w:name w:val="ParaNum"/>
    <w:basedOn w:val="Normal"/>
    <w:link w:val="ParaNumChar"/>
    <w:rsid w:val="009E54AB"/>
    <w:pPr>
      <w:numPr>
        <w:numId w:val="1"/>
      </w:numPr>
      <w:tabs>
        <w:tab w:val="clear" w:pos="1080"/>
        <w:tab w:val="num" w:pos="1440"/>
      </w:tabs>
      <w:spacing w:after="120"/>
    </w:pPr>
  </w:style>
  <w:style w:type="paragraph" w:styleId="EndnoteText">
    <w:name w:val="endnote text"/>
    <w:basedOn w:val="Normal"/>
    <w:semiHidden/>
    <w:rsid w:val="009E54AB"/>
    <w:rPr>
      <w:sz w:val="20"/>
    </w:rPr>
  </w:style>
  <w:style w:type="character" w:styleId="EndnoteReference">
    <w:name w:val="endnote reference"/>
    <w:semiHidden/>
    <w:rsid w:val="009E54AB"/>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Car"/>
    <w:link w:val="FootnoteTextChar1"/>
    <w:rsid w:val="009E54AB"/>
    <w:pPr>
      <w:spacing w:after="120"/>
    </w:pPr>
  </w:style>
  <w:style w:type="character" w:styleId="FootnoteReference">
    <w:name w:val="footnote reference"/>
    <w:aliases w:val="Style 4,Style 12,(NECG) Footnote Reference,Appel note de bas de p,Style 124,Style 13,o,fr,Style 3"/>
    <w:rsid w:val="009E54AB"/>
    <w:rPr>
      <w:rFonts w:ascii="Times New Roman" w:hAnsi="Times New Roman"/>
      <w:dstrike w:val="0"/>
      <w:color w:val="auto"/>
      <w:sz w:val="20"/>
      <w:vertAlign w:val="superscript"/>
    </w:rPr>
  </w:style>
  <w:style w:type="paragraph" w:styleId="TOC1">
    <w:name w:val="toc 1"/>
    <w:basedOn w:val="Normal"/>
    <w:next w:val="Normal"/>
    <w:semiHidden/>
    <w:rsid w:val="009E54A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4AB"/>
    <w:pPr>
      <w:tabs>
        <w:tab w:val="left" w:pos="720"/>
        <w:tab w:val="right" w:leader="dot" w:pos="9360"/>
      </w:tabs>
      <w:suppressAutoHyphens/>
      <w:ind w:left="720" w:right="720" w:hanging="360"/>
    </w:pPr>
    <w:rPr>
      <w:noProof/>
    </w:rPr>
  </w:style>
  <w:style w:type="paragraph" w:styleId="TOC3">
    <w:name w:val="toc 3"/>
    <w:basedOn w:val="Normal"/>
    <w:next w:val="Normal"/>
    <w:semiHidden/>
    <w:rsid w:val="009E54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4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4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4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4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4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4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4AB"/>
    <w:pPr>
      <w:tabs>
        <w:tab w:val="right" w:pos="9360"/>
      </w:tabs>
      <w:suppressAutoHyphens/>
    </w:pPr>
  </w:style>
  <w:style w:type="character" w:customStyle="1" w:styleId="EquationCaption">
    <w:name w:val="_Equation Caption"/>
    <w:rsid w:val="009E54AB"/>
  </w:style>
  <w:style w:type="paragraph" w:styleId="Header">
    <w:name w:val="header"/>
    <w:basedOn w:val="Normal"/>
    <w:autoRedefine/>
    <w:rsid w:val="009E54AB"/>
    <w:pPr>
      <w:tabs>
        <w:tab w:val="center" w:pos="4680"/>
        <w:tab w:val="right" w:pos="9360"/>
      </w:tabs>
    </w:pPr>
    <w:rPr>
      <w:b/>
    </w:rPr>
  </w:style>
  <w:style w:type="paragraph" w:styleId="Footer">
    <w:name w:val="footer"/>
    <w:basedOn w:val="Normal"/>
    <w:rsid w:val="009E54AB"/>
    <w:pPr>
      <w:tabs>
        <w:tab w:val="center" w:pos="4320"/>
        <w:tab w:val="right" w:pos="8640"/>
      </w:tabs>
    </w:pPr>
  </w:style>
  <w:style w:type="character" w:styleId="PageNumber">
    <w:name w:val="page number"/>
    <w:basedOn w:val="DefaultParagraphFont"/>
    <w:rsid w:val="009E54AB"/>
  </w:style>
  <w:style w:type="paragraph" w:styleId="BlockText">
    <w:name w:val="Block Text"/>
    <w:basedOn w:val="Normal"/>
    <w:rsid w:val="009E54AB"/>
    <w:pPr>
      <w:spacing w:after="240"/>
      <w:ind w:left="1440" w:right="1440"/>
    </w:pPr>
  </w:style>
  <w:style w:type="paragraph" w:customStyle="1" w:styleId="Paratitle">
    <w:name w:val="Para title"/>
    <w:basedOn w:val="Normal"/>
    <w:rsid w:val="009E54AB"/>
    <w:pPr>
      <w:tabs>
        <w:tab w:val="center" w:pos="9270"/>
      </w:tabs>
      <w:spacing w:after="240"/>
    </w:pPr>
    <w:rPr>
      <w:spacing w:val="-2"/>
    </w:rPr>
  </w:style>
  <w:style w:type="paragraph" w:customStyle="1" w:styleId="Bullet">
    <w:name w:val="Bullet"/>
    <w:basedOn w:val="Normal"/>
    <w:rsid w:val="009E54AB"/>
    <w:pPr>
      <w:tabs>
        <w:tab w:val="left" w:pos="2160"/>
      </w:tabs>
      <w:spacing w:after="220"/>
      <w:ind w:left="2160" w:hanging="720"/>
    </w:pPr>
  </w:style>
  <w:style w:type="paragraph" w:customStyle="1" w:styleId="TableFormat">
    <w:name w:val="TableFormat"/>
    <w:basedOn w:val="Bullet"/>
    <w:rsid w:val="009E54AB"/>
    <w:pPr>
      <w:tabs>
        <w:tab w:val="clear" w:pos="2160"/>
        <w:tab w:val="left" w:pos="5040"/>
      </w:tabs>
      <w:ind w:left="5040" w:hanging="3600"/>
    </w:pPr>
  </w:style>
  <w:style w:type="paragraph" w:customStyle="1" w:styleId="TOCTitle">
    <w:name w:val="TOC Title"/>
    <w:basedOn w:val="Normal"/>
    <w:rsid w:val="009E54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4AB"/>
    <w:pPr>
      <w:jc w:val="center"/>
    </w:pPr>
    <w:rPr>
      <w:rFonts w:ascii="Times New Roman Bold" w:hAnsi="Times New Roman Bold"/>
      <w:b/>
      <w:bCs/>
      <w:caps/>
      <w:szCs w:val="22"/>
    </w:rPr>
  </w:style>
  <w:style w:type="character" w:styleId="Hyperlink">
    <w:name w:val="Hyperlink"/>
    <w:rsid w:val="009E54AB"/>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lang w:val="x-none" w:eastAsia="x-none"/>
    </w:rPr>
  </w:style>
  <w:style w:type="character" w:customStyle="1" w:styleId="TitleChar">
    <w:name w:val="Title Char"/>
    <w:link w:val="Title"/>
    <w:rsid w:val="00835ED4"/>
    <w:rPr>
      <w:b/>
      <w:sz w:val="22"/>
    </w:rPr>
  </w:style>
  <w:style w:type="paragraph" w:styleId="BalloonText">
    <w:name w:val="Balloon Text"/>
    <w:basedOn w:val="Normal"/>
    <w:link w:val="BalloonTextChar"/>
    <w:rsid w:val="00CB74F9"/>
    <w:rPr>
      <w:rFonts w:ascii="Lucida Grande" w:hAnsi="Lucida Grande"/>
      <w:sz w:val="18"/>
      <w:szCs w:val="18"/>
      <w:lang w:val="x-none" w:eastAsia="x-none"/>
    </w:rPr>
  </w:style>
  <w:style w:type="character" w:customStyle="1" w:styleId="BalloonTextChar">
    <w:name w:val="Balloon Text Char"/>
    <w:link w:val="BalloonText"/>
    <w:rsid w:val="00835ED4"/>
    <w:rPr>
      <w:rFonts w:ascii="Lucida Grande" w:hAnsi="Lucida Grande"/>
      <w:snapToGrid w:val="0"/>
      <w:kern w:val="28"/>
      <w:sz w:val="18"/>
      <w:szCs w:val="18"/>
      <w:lang w:val="x-none" w:eastAsia="x-non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uiPriority w:val="99"/>
    <w:rsid w:val="00CB74F9"/>
    <w:pPr>
      <w:tabs>
        <w:tab w:val="num" w:pos="1080"/>
      </w:tabs>
      <w:ind w:firstLine="720"/>
    </w:pPr>
    <w:rPr>
      <w:lang w:val="x-none" w:eastAsia="x-none"/>
    </w:rPr>
  </w:style>
  <w:style w:type="character" w:customStyle="1" w:styleId="par1Char">
    <w:name w:val="par1 Char"/>
    <w:link w:val="par1"/>
    <w:uiPriority w:val="99"/>
    <w:locked/>
    <w:rsid w:val="00042570"/>
    <w:rPr>
      <w:snapToGrid w:val="0"/>
      <w:kern w:val="28"/>
      <w:sz w:val="22"/>
      <w:lang w:val="x-none" w:eastAsia="x-none"/>
    </w:rPr>
  </w:style>
  <w:style w:type="paragraph" w:customStyle="1" w:styleId="ColorfulList-Accent11">
    <w:name w:val="Colorful List - Accent 11"/>
    <w:basedOn w:val="Normal"/>
    <w:qFormat/>
    <w:rsid w:val="00CB74F9"/>
    <w:pPr>
      <w:widowControl/>
      <w:ind w:left="720"/>
    </w:pPr>
    <w:rPr>
      <w:snapToGrid/>
      <w:kern w:val="0"/>
      <w:sz w:val="24"/>
      <w:szCs w:val="24"/>
    </w:rPr>
  </w:style>
  <w:style w:type="character" w:customStyle="1" w:styleId="Heading1Char">
    <w:name w:val="Heading 1 Char"/>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uiPriority w:val="99"/>
    <w:rsid w:val="00DC6C15"/>
    <w:pPr>
      <w:keepNext/>
      <w:suppressAutoHyphens/>
      <w:spacing w:after="120"/>
      <w:outlineLvl w:val="0"/>
    </w:pPr>
    <w:rPr>
      <w:rFonts w:ascii="Times New Roman Bold" w:eastAsia="Calibri" w:hAnsi="Times New Roman Bold"/>
      <w:caps/>
      <w:color w:val="000000"/>
      <w:sz w:val="24"/>
    </w:rPr>
  </w:style>
  <w:style w:type="paragraph" w:customStyle="1" w:styleId="MediumGrid21">
    <w:name w:val="Medium Grid 21"/>
    <w:uiPriority w:val="99"/>
    <w:qFormat/>
    <w:rsid w:val="00DC6C15"/>
    <w:rPr>
      <w:sz w:val="24"/>
      <w:szCs w:val="24"/>
    </w:rPr>
  </w:style>
  <w:style w:type="character" w:styleId="CommentReference">
    <w:name w:val="annotation reference"/>
    <w:uiPriority w:val="99"/>
    <w:rsid w:val="000E06E8"/>
    <w:rPr>
      <w:sz w:val="16"/>
      <w:szCs w:val="16"/>
    </w:rPr>
  </w:style>
  <w:style w:type="paragraph" w:styleId="CommentText">
    <w:name w:val="annotation text"/>
    <w:basedOn w:val="Normal"/>
    <w:link w:val="CommentTextChar"/>
    <w:uiPriority w:val="99"/>
    <w:rsid w:val="00CB74F9"/>
    <w:rPr>
      <w:sz w:val="20"/>
      <w:lang w:val="x-none" w:eastAsia="x-none"/>
    </w:rPr>
  </w:style>
  <w:style w:type="character" w:customStyle="1" w:styleId="CommentTextChar">
    <w:name w:val="Comment Text Char"/>
    <w:link w:val="CommentText"/>
    <w:uiPriority w:val="99"/>
    <w:rsid w:val="000E06E8"/>
    <w:rPr>
      <w:snapToGrid w:val="0"/>
      <w:kern w:val="28"/>
      <w:lang w:val="x-none" w:eastAsia="x-none"/>
    </w:rPr>
  </w:style>
  <w:style w:type="paragraph" w:styleId="CommentSubject">
    <w:name w:val="annotation subject"/>
    <w:basedOn w:val="CommentText"/>
    <w:next w:val="CommentText"/>
    <w:link w:val="CommentSubjectChar"/>
    <w:rsid w:val="00CB74F9"/>
    <w:rPr>
      <w:b/>
      <w:bCs/>
    </w:rPr>
  </w:style>
  <w:style w:type="character" w:customStyle="1" w:styleId="CommentSubjectChar">
    <w:name w:val="Comment Subject Char"/>
    <w:link w:val="CommentSubject"/>
    <w:rsid w:val="000E06E8"/>
    <w:rPr>
      <w:b/>
      <w:bCs/>
      <w:snapToGrid w:val="0"/>
      <w:kern w:val="28"/>
      <w:lang w:val="x-none" w:eastAsia="x-none"/>
    </w:rPr>
  </w:style>
  <w:style w:type="paragraph" w:customStyle="1" w:styleId="ColorfulShading-Accent11">
    <w:name w:val="Colorful Shading - Accent 11"/>
    <w:hidden/>
    <w:uiPriority w:val="71"/>
    <w:rsid w:val="00F60C09"/>
    <w:rPr>
      <w:snapToGrid w:val="0"/>
      <w:kern w:val="28"/>
      <w:sz w:val="22"/>
    </w:rPr>
  </w:style>
  <w:style w:type="paragraph" w:styleId="Revision">
    <w:name w:val="Revision"/>
    <w:hidden/>
    <w:uiPriority w:val="71"/>
    <w:rsid w:val="00A5398D"/>
    <w:rPr>
      <w:snapToGrid w:val="0"/>
      <w:kern w:val="28"/>
      <w:sz w:val="22"/>
    </w:rPr>
  </w:style>
  <w:style w:type="numbering" w:customStyle="1" w:styleId="Style1">
    <w:name w:val="Style1"/>
    <w:rsid w:val="00EB6A7F"/>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4AB"/>
    <w:pPr>
      <w:widowControl w:val="0"/>
    </w:pPr>
    <w:rPr>
      <w:snapToGrid w:val="0"/>
      <w:kern w:val="28"/>
      <w:sz w:val="22"/>
    </w:rPr>
  </w:style>
  <w:style w:type="paragraph" w:styleId="Heading1">
    <w:name w:val="heading 1"/>
    <w:basedOn w:val="Normal"/>
    <w:next w:val="ParaNum"/>
    <w:link w:val="Heading1Char"/>
    <w:qFormat/>
    <w:rsid w:val="009E54A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54AB"/>
    <w:pPr>
      <w:keepNext/>
      <w:numPr>
        <w:ilvl w:val="1"/>
        <w:numId w:val="2"/>
      </w:numPr>
      <w:spacing w:after="120"/>
      <w:outlineLvl w:val="1"/>
    </w:pPr>
    <w:rPr>
      <w:b/>
    </w:rPr>
  </w:style>
  <w:style w:type="paragraph" w:styleId="Heading3">
    <w:name w:val="heading 3"/>
    <w:basedOn w:val="Normal"/>
    <w:next w:val="ParaNum"/>
    <w:qFormat/>
    <w:rsid w:val="009E54AB"/>
    <w:pPr>
      <w:keepNext/>
      <w:numPr>
        <w:ilvl w:val="2"/>
        <w:numId w:val="2"/>
      </w:numPr>
      <w:tabs>
        <w:tab w:val="left" w:pos="2160"/>
      </w:tabs>
      <w:spacing w:after="120"/>
      <w:outlineLvl w:val="2"/>
    </w:pPr>
    <w:rPr>
      <w:b/>
    </w:rPr>
  </w:style>
  <w:style w:type="paragraph" w:styleId="Heading4">
    <w:name w:val="heading 4"/>
    <w:basedOn w:val="Normal"/>
    <w:next w:val="ParaNum"/>
    <w:qFormat/>
    <w:rsid w:val="009E54AB"/>
    <w:pPr>
      <w:keepNext/>
      <w:numPr>
        <w:ilvl w:val="3"/>
        <w:numId w:val="2"/>
      </w:numPr>
      <w:tabs>
        <w:tab w:val="left" w:pos="2880"/>
      </w:tabs>
      <w:spacing w:after="120"/>
      <w:outlineLvl w:val="3"/>
    </w:pPr>
    <w:rPr>
      <w:b/>
    </w:rPr>
  </w:style>
  <w:style w:type="paragraph" w:styleId="Heading5">
    <w:name w:val="heading 5"/>
    <w:basedOn w:val="Normal"/>
    <w:next w:val="ParaNum"/>
    <w:qFormat/>
    <w:rsid w:val="009E54A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54AB"/>
    <w:pPr>
      <w:numPr>
        <w:ilvl w:val="5"/>
        <w:numId w:val="2"/>
      </w:numPr>
      <w:tabs>
        <w:tab w:val="left" w:pos="4320"/>
      </w:tabs>
      <w:spacing w:after="120"/>
      <w:outlineLvl w:val="5"/>
    </w:pPr>
    <w:rPr>
      <w:b/>
    </w:rPr>
  </w:style>
  <w:style w:type="paragraph" w:styleId="Heading7">
    <w:name w:val="heading 7"/>
    <w:basedOn w:val="Normal"/>
    <w:next w:val="ParaNum"/>
    <w:qFormat/>
    <w:rsid w:val="009E54A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54A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54A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54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54AB"/>
  </w:style>
  <w:style w:type="paragraph" w:customStyle="1" w:styleId="ParaNum">
    <w:name w:val="ParaNum"/>
    <w:basedOn w:val="Normal"/>
    <w:link w:val="ParaNumChar"/>
    <w:rsid w:val="009E54AB"/>
    <w:pPr>
      <w:numPr>
        <w:numId w:val="1"/>
      </w:numPr>
      <w:tabs>
        <w:tab w:val="clear" w:pos="1080"/>
        <w:tab w:val="num" w:pos="1440"/>
      </w:tabs>
      <w:spacing w:after="120"/>
    </w:pPr>
  </w:style>
  <w:style w:type="paragraph" w:styleId="EndnoteText">
    <w:name w:val="endnote text"/>
    <w:basedOn w:val="Normal"/>
    <w:semiHidden/>
    <w:rsid w:val="009E54AB"/>
    <w:rPr>
      <w:sz w:val="20"/>
    </w:rPr>
  </w:style>
  <w:style w:type="character" w:styleId="EndnoteReference">
    <w:name w:val="endnote reference"/>
    <w:semiHidden/>
    <w:rsid w:val="009E54AB"/>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Car"/>
    <w:link w:val="FootnoteTextChar1"/>
    <w:rsid w:val="009E54AB"/>
    <w:pPr>
      <w:spacing w:after="120"/>
    </w:pPr>
  </w:style>
  <w:style w:type="character" w:styleId="FootnoteReference">
    <w:name w:val="footnote reference"/>
    <w:aliases w:val="Style 4,Style 12,(NECG) Footnote Reference,Appel note de bas de p,Style 124,Style 13,o,fr,Style 3"/>
    <w:rsid w:val="009E54AB"/>
    <w:rPr>
      <w:rFonts w:ascii="Times New Roman" w:hAnsi="Times New Roman"/>
      <w:dstrike w:val="0"/>
      <w:color w:val="auto"/>
      <w:sz w:val="20"/>
      <w:vertAlign w:val="superscript"/>
    </w:rPr>
  </w:style>
  <w:style w:type="paragraph" w:styleId="TOC1">
    <w:name w:val="toc 1"/>
    <w:basedOn w:val="Normal"/>
    <w:next w:val="Normal"/>
    <w:semiHidden/>
    <w:rsid w:val="009E54A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4AB"/>
    <w:pPr>
      <w:tabs>
        <w:tab w:val="left" w:pos="720"/>
        <w:tab w:val="right" w:leader="dot" w:pos="9360"/>
      </w:tabs>
      <w:suppressAutoHyphens/>
      <w:ind w:left="720" w:right="720" w:hanging="360"/>
    </w:pPr>
    <w:rPr>
      <w:noProof/>
    </w:rPr>
  </w:style>
  <w:style w:type="paragraph" w:styleId="TOC3">
    <w:name w:val="toc 3"/>
    <w:basedOn w:val="Normal"/>
    <w:next w:val="Normal"/>
    <w:semiHidden/>
    <w:rsid w:val="009E54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4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4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4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4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4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4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4AB"/>
    <w:pPr>
      <w:tabs>
        <w:tab w:val="right" w:pos="9360"/>
      </w:tabs>
      <w:suppressAutoHyphens/>
    </w:pPr>
  </w:style>
  <w:style w:type="character" w:customStyle="1" w:styleId="EquationCaption">
    <w:name w:val="_Equation Caption"/>
    <w:rsid w:val="009E54AB"/>
  </w:style>
  <w:style w:type="paragraph" w:styleId="Header">
    <w:name w:val="header"/>
    <w:basedOn w:val="Normal"/>
    <w:autoRedefine/>
    <w:rsid w:val="009E54AB"/>
    <w:pPr>
      <w:tabs>
        <w:tab w:val="center" w:pos="4680"/>
        <w:tab w:val="right" w:pos="9360"/>
      </w:tabs>
    </w:pPr>
    <w:rPr>
      <w:b/>
    </w:rPr>
  </w:style>
  <w:style w:type="paragraph" w:styleId="Footer">
    <w:name w:val="footer"/>
    <w:basedOn w:val="Normal"/>
    <w:rsid w:val="009E54AB"/>
    <w:pPr>
      <w:tabs>
        <w:tab w:val="center" w:pos="4320"/>
        <w:tab w:val="right" w:pos="8640"/>
      </w:tabs>
    </w:pPr>
  </w:style>
  <w:style w:type="character" w:styleId="PageNumber">
    <w:name w:val="page number"/>
    <w:basedOn w:val="DefaultParagraphFont"/>
    <w:rsid w:val="009E54AB"/>
  </w:style>
  <w:style w:type="paragraph" w:styleId="BlockText">
    <w:name w:val="Block Text"/>
    <w:basedOn w:val="Normal"/>
    <w:rsid w:val="009E54AB"/>
    <w:pPr>
      <w:spacing w:after="240"/>
      <w:ind w:left="1440" w:right="1440"/>
    </w:pPr>
  </w:style>
  <w:style w:type="paragraph" w:customStyle="1" w:styleId="Paratitle">
    <w:name w:val="Para title"/>
    <w:basedOn w:val="Normal"/>
    <w:rsid w:val="009E54AB"/>
    <w:pPr>
      <w:tabs>
        <w:tab w:val="center" w:pos="9270"/>
      </w:tabs>
      <w:spacing w:after="240"/>
    </w:pPr>
    <w:rPr>
      <w:spacing w:val="-2"/>
    </w:rPr>
  </w:style>
  <w:style w:type="paragraph" w:customStyle="1" w:styleId="Bullet">
    <w:name w:val="Bullet"/>
    <w:basedOn w:val="Normal"/>
    <w:rsid w:val="009E54AB"/>
    <w:pPr>
      <w:tabs>
        <w:tab w:val="left" w:pos="2160"/>
      </w:tabs>
      <w:spacing w:after="220"/>
      <w:ind w:left="2160" w:hanging="720"/>
    </w:pPr>
  </w:style>
  <w:style w:type="paragraph" w:customStyle="1" w:styleId="TableFormat">
    <w:name w:val="TableFormat"/>
    <w:basedOn w:val="Bullet"/>
    <w:rsid w:val="009E54AB"/>
    <w:pPr>
      <w:tabs>
        <w:tab w:val="clear" w:pos="2160"/>
        <w:tab w:val="left" w:pos="5040"/>
      </w:tabs>
      <w:ind w:left="5040" w:hanging="3600"/>
    </w:pPr>
  </w:style>
  <w:style w:type="paragraph" w:customStyle="1" w:styleId="TOCTitle">
    <w:name w:val="TOC Title"/>
    <w:basedOn w:val="Normal"/>
    <w:rsid w:val="009E54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4AB"/>
    <w:pPr>
      <w:jc w:val="center"/>
    </w:pPr>
    <w:rPr>
      <w:rFonts w:ascii="Times New Roman Bold" w:hAnsi="Times New Roman Bold"/>
      <w:b/>
      <w:bCs/>
      <w:caps/>
      <w:szCs w:val="22"/>
    </w:rPr>
  </w:style>
  <w:style w:type="character" w:styleId="Hyperlink">
    <w:name w:val="Hyperlink"/>
    <w:rsid w:val="009E54AB"/>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lang w:val="x-none" w:eastAsia="x-none"/>
    </w:rPr>
  </w:style>
  <w:style w:type="character" w:customStyle="1" w:styleId="TitleChar">
    <w:name w:val="Title Char"/>
    <w:link w:val="Title"/>
    <w:rsid w:val="00835ED4"/>
    <w:rPr>
      <w:b/>
      <w:sz w:val="22"/>
    </w:rPr>
  </w:style>
  <w:style w:type="paragraph" w:styleId="BalloonText">
    <w:name w:val="Balloon Text"/>
    <w:basedOn w:val="Normal"/>
    <w:link w:val="BalloonTextChar"/>
    <w:rsid w:val="00CB74F9"/>
    <w:rPr>
      <w:rFonts w:ascii="Lucida Grande" w:hAnsi="Lucida Grande"/>
      <w:sz w:val="18"/>
      <w:szCs w:val="18"/>
      <w:lang w:val="x-none" w:eastAsia="x-none"/>
    </w:rPr>
  </w:style>
  <w:style w:type="character" w:customStyle="1" w:styleId="BalloonTextChar">
    <w:name w:val="Balloon Text Char"/>
    <w:link w:val="BalloonText"/>
    <w:rsid w:val="00835ED4"/>
    <w:rPr>
      <w:rFonts w:ascii="Lucida Grande" w:hAnsi="Lucida Grande"/>
      <w:snapToGrid w:val="0"/>
      <w:kern w:val="28"/>
      <w:sz w:val="18"/>
      <w:szCs w:val="18"/>
      <w:lang w:val="x-none" w:eastAsia="x-non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uiPriority w:val="99"/>
    <w:rsid w:val="00CB74F9"/>
    <w:pPr>
      <w:tabs>
        <w:tab w:val="num" w:pos="1080"/>
      </w:tabs>
      <w:ind w:firstLine="720"/>
    </w:pPr>
    <w:rPr>
      <w:lang w:val="x-none" w:eastAsia="x-none"/>
    </w:rPr>
  </w:style>
  <w:style w:type="character" w:customStyle="1" w:styleId="par1Char">
    <w:name w:val="par1 Char"/>
    <w:link w:val="par1"/>
    <w:uiPriority w:val="99"/>
    <w:locked/>
    <w:rsid w:val="00042570"/>
    <w:rPr>
      <w:snapToGrid w:val="0"/>
      <w:kern w:val="28"/>
      <w:sz w:val="22"/>
      <w:lang w:val="x-none" w:eastAsia="x-none"/>
    </w:rPr>
  </w:style>
  <w:style w:type="paragraph" w:customStyle="1" w:styleId="ColorfulList-Accent11">
    <w:name w:val="Colorful List - Accent 11"/>
    <w:basedOn w:val="Normal"/>
    <w:qFormat/>
    <w:rsid w:val="00CB74F9"/>
    <w:pPr>
      <w:widowControl/>
      <w:ind w:left="720"/>
    </w:pPr>
    <w:rPr>
      <w:snapToGrid/>
      <w:kern w:val="0"/>
      <w:sz w:val="24"/>
      <w:szCs w:val="24"/>
    </w:rPr>
  </w:style>
  <w:style w:type="character" w:customStyle="1" w:styleId="Heading1Char">
    <w:name w:val="Heading 1 Char"/>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uiPriority w:val="99"/>
    <w:rsid w:val="00DC6C15"/>
    <w:pPr>
      <w:keepNext/>
      <w:suppressAutoHyphens/>
      <w:spacing w:after="120"/>
      <w:outlineLvl w:val="0"/>
    </w:pPr>
    <w:rPr>
      <w:rFonts w:ascii="Times New Roman Bold" w:eastAsia="Calibri" w:hAnsi="Times New Roman Bold"/>
      <w:caps/>
      <w:color w:val="000000"/>
      <w:sz w:val="24"/>
    </w:rPr>
  </w:style>
  <w:style w:type="paragraph" w:customStyle="1" w:styleId="MediumGrid21">
    <w:name w:val="Medium Grid 21"/>
    <w:uiPriority w:val="99"/>
    <w:qFormat/>
    <w:rsid w:val="00DC6C15"/>
    <w:rPr>
      <w:sz w:val="24"/>
      <w:szCs w:val="24"/>
    </w:rPr>
  </w:style>
  <w:style w:type="character" w:styleId="CommentReference">
    <w:name w:val="annotation reference"/>
    <w:uiPriority w:val="99"/>
    <w:rsid w:val="000E06E8"/>
    <w:rPr>
      <w:sz w:val="16"/>
      <w:szCs w:val="16"/>
    </w:rPr>
  </w:style>
  <w:style w:type="paragraph" w:styleId="CommentText">
    <w:name w:val="annotation text"/>
    <w:basedOn w:val="Normal"/>
    <w:link w:val="CommentTextChar"/>
    <w:uiPriority w:val="99"/>
    <w:rsid w:val="00CB74F9"/>
    <w:rPr>
      <w:sz w:val="20"/>
      <w:lang w:val="x-none" w:eastAsia="x-none"/>
    </w:rPr>
  </w:style>
  <w:style w:type="character" w:customStyle="1" w:styleId="CommentTextChar">
    <w:name w:val="Comment Text Char"/>
    <w:link w:val="CommentText"/>
    <w:uiPriority w:val="99"/>
    <w:rsid w:val="000E06E8"/>
    <w:rPr>
      <w:snapToGrid w:val="0"/>
      <w:kern w:val="28"/>
      <w:lang w:val="x-none" w:eastAsia="x-none"/>
    </w:rPr>
  </w:style>
  <w:style w:type="paragraph" w:styleId="CommentSubject">
    <w:name w:val="annotation subject"/>
    <w:basedOn w:val="CommentText"/>
    <w:next w:val="CommentText"/>
    <w:link w:val="CommentSubjectChar"/>
    <w:rsid w:val="00CB74F9"/>
    <w:rPr>
      <w:b/>
      <w:bCs/>
    </w:rPr>
  </w:style>
  <w:style w:type="character" w:customStyle="1" w:styleId="CommentSubjectChar">
    <w:name w:val="Comment Subject Char"/>
    <w:link w:val="CommentSubject"/>
    <w:rsid w:val="000E06E8"/>
    <w:rPr>
      <w:b/>
      <w:bCs/>
      <w:snapToGrid w:val="0"/>
      <w:kern w:val="28"/>
      <w:lang w:val="x-none" w:eastAsia="x-none"/>
    </w:rPr>
  </w:style>
  <w:style w:type="paragraph" w:customStyle="1" w:styleId="ColorfulShading-Accent11">
    <w:name w:val="Colorful Shading - Accent 11"/>
    <w:hidden/>
    <w:uiPriority w:val="71"/>
    <w:rsid w:val="00F60C09"/>
    <w:rPr>
      <w:snapToGrid w:val="0"/>
      <w:kern w:val="28"/>
      <w:sz w:val="22"/>
    </w:rPr>
  </w:style>
  <w:style w:type="paragraph" w:styleId="Revision">
    <w:name w:val="Revision"/>
    <w:hidden/>
    <w:uiPriority w:val="71"/>
    <w:rsid w:val="00A5398D"/>
    <w:rPr>
      <w:snapToGrid w:val="0"/>
      <w:kern w:val="28"/>
      <w:sz w:val="22"/>
    </w:rPr>
  </w:style>
  <w:style w:type="numbering" w:customStyle="1" w:styleId="Style1">
    <w:name w:val="Style1"/>
    <w:rsid w:val="00EB6A7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2456">
      <w:bodyDiv w:val="1"/>
      <w:marLeft w:val="0"/>
      <w:marRight w:val="0"/>
      <w:marTop w:val="0"/>
      <w:marBottom w:val="0"/>
      <w:divBdr>
        <w:top w:val="none" w:sz="0" w:space="0" w:color="auto"/>
        <w:left w:val="none" w:sz="0" w:space="0" w:color="auto"/>
        <w:bottom w:val="none" w:sz="0" w:space="0" w:color="auto"/>
        <w:right w:val="none" w:sz="0" w:space="0" w:color="auto"/>
      </w:divBdr>
    </w:div>
    <w:div w:id="369114522">
      <w:bodyDiv w:val="1"/>
      <w:marLeft w:val="0"/>
      <w:marRight w:val="0"/>
      <w:marTop w:val="0"/>
      <w:marBottom w:val="0"/>
      <w:divBdr>
        <w:top w:val="none" w:sz="0" w:space="0" w:color="auto"/>
        <w:left w:val="none" w:sz="0" w:space="0" w:color="auto"/>
        <w:bottom w:val="none" w:sz="0" w:space="0" w:color="auto"/>
        <w:right w:val="none" w:sz="0" w:space="0" w:color="auto"/>
      </w:divBdr>
    </w:div>
    <w:div w:id="523135224">
      <w:bodyDiv w:val="1"/>
      <w:marLeft w:val="0"/>
      <w:marRight w:val="0"/>
      <w:marTop w:val="0"/>
      <w:marBottom w:val="0"/>
      <w:divBdr>
        <w:top w:val="none" w:sz="0" w:space="0" w:color="auto"/>
        <w:left w:val="none" w:sz="0" w:space="0" w:color="auto"/>
        <w:bottom w:val="none" w:sz="0" w:space="0" w:color="auto"/>
        <w:right w:val="none" w:sz="0" w:space="0" w:color="auto"/>
      </w:divBdr>
    </w:div>
    <w:div w:id="899899701">
      <w:bodyDiv w:val="1"/>
      <w:marLeft w:val="0"/>
      <w:marRight w:val="0"/>
      <w:marTop w:val="0"/>
      <w:marBottom w:val="0"/>
      <w:divBdr>
        <w:top w:val="none" w:sz="0" w:space="0" w:color="auto"/>
        <w:left w:val="none" w:sz="0" w:space="0" w:color="auto"/>
        <w:bottom w:val="none" w:sz="0" w:space="0" w:color="auto"/>
        <w:right w:val="none" w:sz="0" w:space="0" w:color="auto"/>
      </w:divBdr>
    </w:div>
    <w:div w:id="1346901121">
      <w:bodyDiv w:val="1"/>
      <w:marLeft w:val="0"/>
      <w:marRight w:val="0"/>
      <w:marTop w:val="0"/>
      <w:marBottom w:val="0"/>
      <w:divBdr>
        <w:top w:val="none" w:sz="0" w:space="0" w:color="auto"/>
        <w:left w:val="none" w:sz="0" w:space="0" w:color="auto"/>
        <w:bottom w:val="none" w:sz="0" w:space="0" w:color="auto"/>
        <w:right w:val="none" w:sz="0" w:space="0" w:color="auto"/>
      </w:divBdr>
    </w:div>
    <w:div w:id="1534535950">
      <w:bodyDiv w:val="1"/>
      <w:marLeft w:val="0"/>
      <w:marRight w:val="0"/>
      <w:marTop w:val="0"/>
      <w:marBottom w:val="0"/>
      <w:divBdr>
        <w:top w:val="none" w:sz="0" w:space="0" w:color="auto"/>
        <w:left w:val="none" w:sz="0" w:space="0" w:color="auto"/>
        <w:bottom w:val="none" w:sz="0" w:space="0" w:color="auto"/>
        <w:right w:val="none" w:sz="0" w:space="0" w:color="auto"/>
      </w:divBdr>
    </w:div>
    <w:div w:id="1884829178">
      <w:bodyDiv w:val="1"/>
      <w:marLeft w:val="0"/>
      <w:marRight w:val="0"/>
      <w:marTop w:val="0"/>
      <w:marBottom w:val="0"/>
      <w:divBdr>
        <w:top w:val="none" w:sz="0" w:space="0" w:color="auto"/>
        <w:left w:val="none" w:sz="0" w:space="0" w:color="auto"/>
        <w:bottom w:val="none" w:sz="0" w:space="0" w:color="auto"/>
        <w:right w:val="none" w:sz="0" w:space="0" w:color="auto"/>
      </w:divBdr>
    </w:div>
    <w:div w:id="2110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4085</Words>
  <Characters>23228</Characters>
  <Application>Microsoft Office Word</Application>
  <DocSecurity>0</DocSecurity>
  <Lines>429</Lines>
  <Paragraphs>131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27374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2014-04-25T14:13:00Z</cp:lastPrinted>
  <dcterms:created xsi:type="dcterms:W3CDTF">2015-02-26T23:13:00Z</dcterms:created>
  <dcterms:modified xsi:type="dcterms:W3CDTF">2015-02-26T23:13:00Z</dcterms:modified>
  <cp:category> </cp:category>
  <cp:contentStatus> </cp:contentStatus>
</cp:coreProperties>
</file>