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9254" w14:textId="77777777" w:rsidR="004C2EE3" w:rsidRPr="00DB062D" w:rsidRDefault="004C2EE3" w:rsidP="00A47B38">
      <w:pPr>
        <w:widowControl/>
        <w:jc w:val="center"/>
        <w:rPr>
          <w:b/>
          <w:szCs w:val="22"/>
        </w:rPr>
      </w:pPr>
      <w:bookmarkStart w:id="0" w:name="_GoBack"/>
      <w:bookmarkEnd w:id="0"/>
      <w:r w:rsidRPr="00DB062D">
        <w:rPr>
          <w:b/>
          <w:kern w:val="0"/>
          <w:szCs w:val="22"/>
        </w:rPr>
        <w:t>Before</w:t>
      </w:r>
      <w:r w:rsidRPr="00DB062D">
        <w:rPr>
          <w:b/>
          <w:szCs w:val="22"/>
        </w:rPr>
        <w:t xml:space="preserve"> the</w:t>
      </w:r>
    </w:p>
    <w:p w14:paraId="49748718" w14:textId="77777777" w:rsidR="0030006A" w:rsidRPr="00DB062D" w:rsidRDefault="00921803" w:rsidP="00A71C4E">
      <w:pPr>
        <w:jc w:val="center"/>
        <w:rPr>
          <w:b/>
          <w:szCs w:val="22"/>
        </w:rPr>
      </w:pPr>
      <w:r w:rsidRPr="00DB062D">
        <w:rPr>
          <w:b/>
          <w:szCs w:val="22"/>
        </w:rPr>
        <w:t>Federal Communications Commission</w:t>
      </w:r>
    </w:p>
    <w:p w14:paraId="166F70BF" w14:textId="77777777" w:rsidR="004C2EE3" w:rsidRPr="00DB062D" w:rsidRDefault="00810B6F" w:rsidP="00A47B38">
      <w:pPr>
        <w:pStyle w:val="StyleBoldCentered"/>
        <w:widowControl/>
        <w:rPr>
          <w:rFonts w:ascii="Times New Roman" w:hAnsi="Times New Roman"/>
        </w:rPr>
      </w:pPr>
      <w:r w:rsidRPr="00DB062D">
        <w:rPr>
          <w:rFonts w:ascii="Times New Roman" w:hAnsi="Times New Roman"/>
          <w:caps w:val="0"/>
        </w:rPr>
        <w:t>Washington, D.C. 20554</w:t>
      </w:r>
    </w:p>
    <w:p w14:paraId="4C451EBC" w14:textId="77777777" w:rsidR="004C2EE3" w:rsidRPr="00DB062D" w:rsidRDefault="004C2EE3" w:rsidP="00A47B38">
      <w:pPr>
        <w:widowControl/>
        <w:rPr>
          <w:szCs w:val="22"/>
        </w:rPr>
      </w:pPr>
    </w:p>
    <w:tbl>
      <w:tblPr>
        <w:tblW w:w="0" w:type="auto"/>
        <w:tblLayout w:type="fixed"/>
        <w:tblLook w:val="0000" w:firstRow="0" w:lastRow="0" w:firstColumn="0" w:lastColumn="0" w:noHBand="0" w:noVBand="0"/>
      </w:tblPr>
      <w:tblGrid>
        <w:gridCol w:w="4698"/>
        <w:gridCol w:w="630"/>
        <w:gridCol w:w="4248"/>
      </w:tblGrid>
      <w:tr w:rsidR="004C2EE3" w:rsidRPr="00DB062D" w14:paraId="58BED5AF" w14:textId="77777777">
        <w:tc>
          <w:tcPr>
            <w:tcW w:w="4698" w:type="dxa"/>
          </w:tcPr>
          <w:p w14:paraId="12B8F9DA" w14:textId="77777777" w:rsidR="004C2EE3" w:rsidRPr="00DB062D" w:rsidRDefault="004C2EE3" w:rsidP="00A47B38">
            <w:pPr>
              <w:widowControl/>
              <w:tabs>
                <w:tab w:val="center" w:pos="4680"/>
              </w:tabs>
              <w:suppressAutoHyphens/>
              <w:rPr>
                <w:spacing w:val="-2"/>
                <w:szCs w:val="22"/>
              </w:rPr>
            </w:pPr>
            <w:r w:rsidRPr="00DB062D">
              <w:rPr>
                <w:spacing w:val="-2"/>
                <w:szCs w:val="22"/>
              </w:rPr>
              <w:t>In the Matter of</w:t>
            </w:r>
          </w:p>
          <w:p w14:paraId="5D55D4B8" w14:textId="77777777" w:rsidR="004C2EE3" w:rsidRPr="00DB062D" w:rsidRDefault="004C2EE3" w:rsidP="00A47B38">
            <w:pPr>
              <w:widowControl/>
              <w:tabs>
                <w:tab w:val="center" w:pos="4680"/>
              </w:tabs>
              <w:suppressAutoHyphens/>
              <w:rPr>
                <w:spacing w:val="-2"/>
                <w:szCs w:val="22"/>
              </w:rPr>
            </w:pPr>
          </w:p>
          <w:p w14:paraId="40CE7D59" w14:textId="77777777" w:rsidR="00CC04E7" w:rsidRPr="00DB062D" w:rsidRDefault="00CC04E7" w:rsidP="00A47B38">
            <w:pPr>
              <w:widowControl/>
              <w:tabs>
                <w:tab w:val="center" w:pos="4680"/>
              </w:tabs>
              <w:suppressAutoHyphens/>
              <w:rPr>
                <w:spacing w:val="-2"/>
                <w:szCs w:val="22"/>
              </w:rPr>
            </w:pPr>
            <w:r w:rsidRPr="00DB062D">
              <w:rPr>
                <w:spacing w:val="-2"/>
                <w:szCs w:val="22"/>
              </w:rPr>
              <w:t>Rural Call Completion</w:t>
            </w:r>
          </w:p>
        </w:tc>
        <w:tc>
          <w:tcPr>
            <w:tcW w:w="630" w:type="dxa"/>
          </w:tcPr>
          <w:p w14:paraId="4CAB8564" w14:textId="77777777" w:rsidR="004C2EE3" w:rsidRPr="00DB062D" w:rsidRDefault="004C2EE3" w:rsidP="00A47B38">
            <w:pPr>
              <w:widowControl/>
              <w:tabs>
                <w:tab w:val="center" w:pos="4680"/>
              </w:tabs>
              <w:suppressAutoHyphens/>
              <w:rPr>
                <w:b/>
                <w:spacing w:val="-2"/>
                <w:szCs w:val="22"/>
              </w:rPr>
            </w:pPr>
            <w:r w:rsidRPr="00DB062D">
              <w:rPr>
                <w:b/>
                <w:spacing w:val="-2"/>
                <w:szCs w:val="22"/>
              </w:rPr>
              <w:t>)</w:t>
            </w:r>
          </w:p>
          <w:p w14:paraId="6B2920CC" w14:textId="77777777" w:rsidR="004C2EE3" w:rsidRPr="00DB062D" w:rsidRDefault="004C2EE3" w:rsidP="00A47B38">
            <w:pPr>
              <w:widowControl/>
              <w:tabs>
                <w:tab w:val="center" w:pos="4680"/>
              </w:tabs>
              <w:suppressAutoHyphens/>
              <w:rPr>
                <w:b/>
                <w:spacing w:val="-2"/>
                <w:szCs w:val="22"/>
              </w:rPr>
            </w:pPr>
            <w:r w:rsidRPr="00DB062D">
              <w:rPr>
                <w:b/>
                <w:spacing w:val="-2"/>
                <w:szCs w:val="22"/>
              </w:rPr>
              <w:t>)</w:t>
            </w:r>
          </w:p>
          <w:p w14:paraId="23DC194A" w14:textId="77777777" w:rsidR="00CC04E7" w:rsidRPr="00DB062D" w:rsidRDefault="004C2EE3" w:rsidP="00A47B38">
            <w:pPr>
              <w:widowControl/>
              <w:tabs>
                <w:tab w:val="center" w:pos="4680"/>
              </w:tabs>
              <w:suppressAutoHyphens/>
              <w:rPr>
                <w:b/>
                <w:spacing w:val="-2"/>
                <w:szCs w:val="22"/>
              </w:rPr>
            </w:pPr>
            <w:r w:rsidRPr="00DB062D">
              <w:rPr>
                <w:b/>
                <w:spacing w:val="-2"/>
                <w:szCs w:val="22"/>
              </w:rPr>
              <w:t>)</w:t>
            </w:r>
          </w:p>
          <w:p w14:paraId="4DC2E401" w14:textId="77777777" w:rsidR="004C2EE3" w:rsidRPr="00DB062D" w:rsidRDefault="004C2EE3" w:rsidP="00A47B38">
            <w:pPr>
              <w:widowControl/>
              <w:tabs>
                <w:tab w:val="center" w:pos="4680"/>
              </w:tabs>
              <w:suppressAutoHyphens/>
              <w:rPr>
                <w:spacing w:val="-2"/>
                <w:szCs w:val="22"/>
              </w:rPr>
            </w:pPr>
          </w:p>
        </w:tc>
        <w:tc>
          <w:tcPr>
            <w:tcW w:w="4248" w:type="dxa"/>
          </w:tcPr>
          <w:p w14:paraId="48B1D613" w14:textId="77777777" w:rsidR="004C2EE3" w:rsidRPr="00DB062D" w:rsidRDefault="004C2EE3" w:rsidP="00A47B38">
            <w:pPr>
              <w:widowControl/>
              <w:tabs>
                <w:tab w:val="center" w:pos="4680"/>
              </w:tabs>
              <w:suppressAutoHyphens/>
              <w:rPr>
                <w:spacing w:val="-2"/>
                <w:szCs w:val="22"/>
              </w:rPr>
            </w:pPr>
          </w:p>
          <w:p w14:paraId="696E7D54" w14:textId="77777777" w:rsidR="004C2EE3" w:rsidRPr="00DB062D" w:rsidRDefault="004C2EE3" w:rsidP="00A47B38">
            <w:pPr>
              <w:pStyle w:val="TOAHeading"/>
              <w:widowControl/>
              <w:tabs>
                <w:tab w:val="clear" w:pos="9360"/>
                <w:tab w:val="center" w:pos="4680"/>
              </w:tabs>
              <w:rPr>
                <w:spacing w:val="-2"/>
                <w:szCs w:val="22"/>
              </w:rPr>
            </w:pPr>
          </w:p>
          <w:p w14:paraId="4ECAE4F8" w14:textId="77777777" w:rsidR="004C2EE3" w:rsidRPr="00DB062D" w:rsidRDefault="00CC04E7" w:rsidP="00A47B38">
            <w:pPr>
              <w:widowControl/>
              <w:tabs>
                <w:tab w:val="center" w:pos="4680"/>
              </w:tabs>
              <w:suppressAutoHyphens/>
              <w:rPr>
                <w:spacing w:val="-2"/>
                <w:szCs w:val="22"/>
              </w:rPr>
            </w:pPr>
            <w:r w:rsidRPr="00DB062D">
              <w:rPr>
                <w:spacing w:val="-2"/>
                <w:szCs w:val="22"/>
              </w:rPr>
              <w:t>WC Docket No. 13-39</w:t>
            </w:r>
          </w:p>
        </w:tc>
      </w:tr>
    </w:tbl>
    <w:p w14:paraId="2C188161" w14:textId="77777777" w:rsidR="004C2EE3" w:rsidRPr="00DB062D" w:rsidRDefault="004C2EE3" w:rsidP="00A47B38">
      <w:pPr>
        <w:widowControl/>
        <w:rPr>
          <w:szCs w:val="22"/>
        </w:rPr>
      </w:pPr>
    </w:p>
    <w:p w14:paraId="432821CE" w14:textId="77777777" w:rsidR="00841AB1" w:rsidRPr="00DB062D" w:rsidRDefault="00BE4C19" w:rsidP="00A47B38">
      <w:pPr>
        <w:pStyle w:val="StyleBoldCentered"/>
        <w:widowControl/>
        <w:rPr>
          <w:rFonts w:ascii="Times New Roman" w:hAnsi="Times New Roman"/>
        </w:rPr>
      </w:pPr>
      <w:r>
        <w:rPr>
          <w:rFonts w:ascii="Times New Roman" w:hAnsi="Times New Roman"/>
        </w:rPr>
        <w:t>Declaratory Ruling</w:t>
      </w:r>
    </w:p>
    <w:p w14:paraId="75A5C52F" w14:textId="77777777" w:rsidR="004C2EE3" w:rsidRPr="00DB062D" w:rsidRDefault="004C2EE3" w:rsidP="00A47B38">
      <w:pPr>
        <w:widowControl/>
        <w:tabs>
          <w:tab w:val="left" w:pos="-720"/>
        </w:tabs>
        <w:suppressAutoHyphens/>
        <w:spacing w:line="227" w:lineRule="auto"/>
        <w:rPr>
          <w:spacing w:val="-2"/>
          <w:szCs w:val="22"/>
        </w:rPr>
      </w:pPr>
    </w:p>
    <w:p w14:paraId="738A84BF" w14:textId="511345D3" w:rsidR="004C2EE3" w:rsidRPr="00DB062D" w:rsidRDefault="004C2EE3" w:rsidP="00A47B38">
      <w:pPr>
        <w:widowControl/>
        <w:tabs>
          <w:tab w:val="left" w:pos="720"/>
          <w:tab w:val="right" w:pos="9360"/>
        </w:tabs>
        <w:suppressAutoHyphens/>
        <w:spacing w:line="227" w:lineRule="auto"/>
        <w:rPr>
          <w:spacing w:val="-2"/>
          <w:szCs w:val="22"/>
        </w:rPr>
      </w:pPr>
      <w:r w:rsidRPr="00DB062D">
        <w:rPr>
          <w:b/>
          <w:spacing w:val="-2"/>
          <w:szCs w:val="22"/>
        </w:rPr>
        <w:t xml:space="preserve">Adopted:  </w:t>
      </w:r>
      <w:r w:rsidR="00B72F85">
        <w:rPr>
          <w:b/>
          <w:spacing w:val="-2"/>
          <w:szCs w:val="22"/>
        </w:rPr>
        <w:t>February</w:t>
      </w:r>
      <w:r w:rsidR="00AB09C5" w:rsidRPr="00DB062D">
        <w:rPr>
          <w:b/>
          <w:spacing w:val="-2"/>
          <w:szCs w:val="22"/>
        </w:rPr>
        <w:t xml:space="preserve"> </w:t>
      </w:r>
      <w:r w:rsidR="002C5813">
        <w:rPr>
          <w:b/>
          <w:spacing w:val="-2"/>
          <w:szCs w:val="22"/>
        </w:rPr>
        <w:t>13</w:t>
      </w:r>
      <w:r w:rsidR="00CC04E7" w:rsidRPr="00DB062D">
        <w:rPr>
          <w:b/>
          <w:spacing w:val="-2"/>
          <w:szCs w:val="22"/>
        </w:rPr>
        <w:t>, 201</w:t>
      </w:r>
      <w:r w:rsidR="003E1B83">
        <w:rPr>
          <w:b/>
          <w:spacing w:val="-2"/>
          <w:szCs w:val="22"/>
        </w:rPr>
        <w:t>5</w:t>
      </w:r>
      <w:r w:rsidRPr="00DB062D">
        <w:rPr>
          <w:b/>
          <w:spacing w:val="-2"/>
          <w:szCs w:val="22"/>
        </w:rPr>
        <w:tab/>
      </w:r>
      <w:r w:rsidR="00822CE0" w:rsidRPr="00DB062D">
        <w:rPr>
          <w:b/>
          <w:spacing w:val="-2"/>
          <w:szCs w:val="22"/>
        </w:rPr>
        <w:t>Released</w:t>
      </w:r>
      <w:r w:rsidRPr="00DB062D">
        <w:rPr>
          <w:b/>
          <w:spacing w:val="-2"/>
          <w:szCs w:val="22"/>
        </w:rPr>
        <w:t>:</w:t>
      </w:r>
      <w:r w:rsidR="00822CE0" w:rsidRPr="00DB062D">
        <w:rPr>
          <w:b/>
          <w:spacing w:val="-2"/>
          <w:szCs w:val="22"/>
        </w:rPr>
        <w:t xml:space="preserve"> </w:t>
      </w:r>
      <w:r w:rsidRPr="00DB062D">
        <w:rPr>
          <w:b/>
          <w:spacing w:val="-2"/>
          <w:szCs w:val="22"/>
        </w:rPr>
        <w:t xml:space="preserve"> </w:t>
      </w:r>
      <w:r w:rsidR="00B72F85">
        <w:rPr>
          <w:b/>
          <w:spacing w:val="-2"/>
          <w:szCs w:val="22"/>
        </w:rPr>
        <w:t>February</w:t>
      </w:r>
      <w:r w:rsidR="00AB09C5" w:rsidRPr="00DB062D">
        <w:rPr>
          <w:b/>
          <w:spacing w:val="-2"/>
          <w:szCs w:val="22"/>
        </w:rPr>
        <w:t xml:space="preserve"> </w:t>
      </w:r>
      <w:r w:rsidR="002C5813">
        <w:rPr>
          <w:b/>
          <w:spacing w:val="-2"/>
          <w:szCs w:val="22"/>
        </w:rPr>
        <w:t>13</w:t>
      </w:r>
      <w:r w:rsidR="00CC04E7" w:rsidRPr="00DB062D">
        <w:rPr>
          <w:b/>
          <w:spacing w:val="-2"/>
          <w:szCs w:val="22"/>
        </w:rPr>
        <w:t>, 201</w:t>
      </w:r>
      <w:r w:rsidR="003E1B83">
        <w:rPr>
          <w:b/>
          <w:spacing w:val="-2"/>
          <w:szCs w:val="22"/>
        </w:rPr>
        <w:t>5</w:t>
      </w:r>
    </w:p>
    <w:p w14:paraId="24138A26" w14:textId="77777777" w:rsidR="00822CE0" w:rsidRPr="00DB062D" w:rsidRDefault="00822CE0" w:rsidP="00A47B38">
      <w:pPr>
        <w:widowControl/>
        <w:rPr>
          <w:szCs w:val="22"/>
        </w:rPr>
      </w:pPr>
    </w:p>
    <w:p w14:paraId="1CA7A9E6" w14:textId="77777777" w:rsidR="00822CE0" w:rsidRPr="00DB062D" w:rsidRDefault="004C2EE3" w:rsidP="00A47B38">
      <w:pPr>
        <w:widowControl/>
        <w:rPr>
          <w:spacing w:val="-2"/>
          <w:szCs w:val="22"/>
        </w:rPr>
      </w:pPr>
      <w:r w:rsidRPr="00DB062D">
        <w:rPr>
          <w:szCs w:val="22"/>
        </w:rPr>
        <w:t xml:space="preserve">By </w:t>
      </w:r>
      <w:r w:rsidR="00CC04E7" w:rsidRPr="00DB062D">
        <w:rPr>
          <w:spacing w:val="-2"/>
          <w:szCs w:val="22"/>
        </w:rPr>
        <w:t>the Chief, Wireline Competition Bureau</w:t>
      </w:r>
      <w:r w:rsidRPr="00DB062D">
        <w:rPr>
          <w:spacing w:val="-2"/>
          <w:szCs w:val="22"/>
        </w:rPr>
        <w:t>:</w:t>
      </w:r>
    </w:p>
    <w:p w14:paraId="672DAB14" w14:textId="77777777" w:rsidR="00B51D66" w:rsidRPr="00DB062D" w:rsidRDefault="00B51D66" w:rsidP="00A47B38">
      <w:pPr>
        <w:widowControl/>
        <w:rPr>
          <w:spacing w:val="-2"/>
          <w:szCs w:val="22"/>
        </w:rPr>
      </w:pPr>
      <w:bookmarkStart w:id="1" w:name="start_here"/>
      <w:bookmarkEnd w:id="1"/>
    </w:p>
    <w:p w14:paraId="5E0905E4" w14:textId="77777777" w:rsidR="00CC04E7" w:rsidRPr="00DB062D" w:rsidRDefault="00CC04E7" w:rsidP="00A47B38">
      <w:pPr>
        <w:pStyle w:val="Heading1"/>
        <w:widowControl/>
        <w:spacing w:after="220"/>
        <w:rPr>
          <w:rFonts w:ascii="Times New Roman" w:hAnsi="Times New Roman"/>
          <w:szCs w:val="22"/>
        </w:rPr>
      </w:pPr>
      <w:bookmarkStart w:id="2" w:name="_Toc400549569"/>
      <w:r w:rsidRPr="00DB062D">
        <w:rPr>
          <w:rFonts w:ascii="Times New Roman" w:hAnsi="Times New Roman"/>
          <w:szCs w:val="22"/>
        </w:rPr>
        <w:t>Introduction</w:t>
      </w:r>
      <w:bookmarkEnd w:id="2"/>
    </w:p>
    <w:p w14:paraId="1B33DDB0" w14:textId="77777777" w:rsidR="00B82F20" w:rsidRPr="00DB062D" w:rsidRDefault="00920331" w:rsidP="008D374D">
      <w:pPr>
        <w:pStyle w:val="ParaNum"/>
        <w:widowControl/>
        <w:numPr>
          <w:ilvl w:val="0"/>
          <w:numId w:val="3"/>
        </w:numPr>
        <w:tabs>
          <w:tab w:val="clear" w:pos="1080"/>
          <w:tab w:val="num" w:pos="1440"/>
          <w:tab w:val="left" w:pos="8280"/>
        </w:tabs>
        <w:spacing w:after="240"/>
        <w:rPr>
          <w:szCs w:val="22"/>
        </w:rPr>
      </w:pPr>
      <w:r w:rsidRPr="00DB062D">
        <w:rPr>
          <w:szCs w:val="22"/>
        </w:rPr>
        <w:t xml:space="preserve">In October 2013, the Federal Communications Commission (Commission) adopted </w:t>
      </w:r>
      <w:r w:rsidR="004001A8" w:rsidRPr="00DB062D">
        <w:rPr>
          <w:szCs w:val="22"/>
        </w:rPr>
        <w:t xml:space="preserve">the </w:t>
      </w:r>
      <w:r w:rsidR="004001A8" w:rsidRPr="00DB062D">
        <w:rPr>
          <w:i/>
          <w:szCs w:val="22"/>
        </w:rPr>
        <w:t>Rural Call Completion Order</w:t>
      </w:r>
      <w:r w:rsidR="004001A8" w:rsidRPr="00DB062D">
        <w:rPr>
          <w:szCs w:val="22"/>
        </w:rPr>
        <w:t>, which requires</w:t>
      </w:r>
      <w:r w:rsidRPr="00DB062D">
        <w:rPr>
          <w:szCs w:val="22"/>
        </w:rPr>
        <w:t xml:space="preserve"> telephone service providers to record, retain</w:t>
      </w:r>
      <w:r w:rsidR="00AB6C7A" w:rsidRPr="00DB062D">
        <w:rPr>
          <w:szCs w:val="22"/>
        </w:rPr>
        <w:t>,</w:t>
      </w:r>
      <w:r w:rsidRPr="00DB062D">
        <w:rPr>
          <w:szCs w:val="22"/>
        </w:rPr>
        <w:t xml:space="preserve"> and report certain data related to call completion.</w:t>
      </w:r>
      <w:r w:rsidRPr="002C7466">
        <w:rPr>
          <w:rStyle w:val="FootnoteReference"/>
          <w:sz w:val="22"/>
          <w:szCs w:val="22"/>
        </w:rPr>
        <w:footnoteReference w:id="2"/>
      </w:r>
      <w:r w:rsidRPr="00DB062D">
        <w:rPr>
          <w:szCs w:val="22"/>
        </w:rPr>
        <w:t xml:space="preserve">  </w:t>
      </w:r>
      <w:r w:rsidR="003E043C" w:rsidRPr="00DB062D">
        <w:rPr>
          <w:szCs w:val="22"/>
        </w:rPr>
        <w:t xml:space="preserve">In this </w:t>
      </w:r>
      <w:r w:rsidR="00BE4C19">
        <w:rPr>
          <w:szCs w:val="22"/>
        </w:rPr>
        <w:t>Declaratory Ruling</w:t>
      </w:r>
      <w:r w:rsidR="003E043C" w:rsidRPr="00DB062D">
        <w:rPr>
          <w:szCs w:val="22"/>
        </w:rPr>
        <w:t xml:space="preserve">, the Wireline Competition Bureau (Bureau) provides additional </w:t>
      </w:r>
      <w:r w:rsidR="006C1EAE" w:rsidRPr="00DB062D">
        <w:rPr>
          <w:szCs w:val="22"/>
        </w:rPr>
        <w:t xml:space="preserve">guidance </w:t>
      </w:r>
      <w:r w:rsidR="00DB6622" w:rsidRPr="00DB062D">
        <w:rPr>
          <w:szCs w:val="22"/>
        </w:rPr>
        <w:t xml:space="preserve">regarding </w:t>
      </w:r>
      <w:r w:rsidRPr="00DB062D">
        <w:rPr>
          <w:szCs w:val="22"/>
        </w:rPr>
        <w:t xml:space="preserve">how </w:t>
      </w:r>
      <w:r w:rsidR="00125AC3" w:rsidRPr="00DB062D">
        <w:rPr>
          <w:szCs w:val="22"/>
        </w:rPr>
        <w:t xml:space="preserve">providers must </w:t>
      </w:r>
      <w:r w:rsidR="004E03C3" w:rsidRPr="00DB062D">
        <w:rPr>
          <w:szCs w:val="22"/>
        </w:rPr>
        <w:t xml:space="preserve">record, </w:t>
      </w:r>
      <w:r w:rsidR="00125AC3" w:rsidRPr="00DB062D">
        <w:rPr>
          <w:szCs w:val="22"/>
        </w:rPr>
        <w:t>retain</w:t>
      </w:r>
      <w:r w:rsidR="004E03C3" w:rsidRPr="00DB062D">
        <w:rPr>
          <w:szCs w:val="22"/>
        </w:rPr>
        <w:t>,</w:t>
      </w:r>
      <w:r w:rsidR="00125AC3" w:rsidRPr="00DB062D">
        <w:rPr>
          <w:szCs w:val="22"/>
        </w:rPr>
        <w:t xml:space="preserve"> and report </w:t>
      </w:r>
      <w:r w:rsidRPr="00DB062D">
        <w:rPr>
          <w:szCs w:val="22"/>
        </w:rPr>
        <w:t>the requisite information</w:t>
      </w:r>
      <w:r w:rsidR="00125AC3" w:rsidRPr="00DB062D">
        <w:rPr>
          <w:szCs w:val="22"/>
        </w:rPr>
        <w:t>.</w:t>
      </w:r>
      <w:r w:rsidR="00125AC3" w:rsidRPr="002C7466">
        <w:rPr>
          <w:rStyle w:val="FootnoteReference"/>
          <w:sz w:val="22"/>
          <w:szCs w:val="22"/>
        </w:rPr>
        <w:footnoteReference w:id="3"/>
      </w:r>
      <w:r w:rsidR="00125AC3" w:rsidRPr="00DB062D">
        <w:rPr>
          <w:szCs w:val="22"/>
        </w:rPr>
        <w:t xml:space="preserve">  </w:t>
      </w:r>
      <w:r w:rsidR="004001A8" w:rsidRPr="00DB062D">
        <w:rPr>
          <w:szCs w:val="22"/>
        </w:rPr>
        <w:t xml:space="preserve">Specifically, we clarify that </w:t>
      </w:r>
      <w:r w:rsidR="00652CDF">
        <w:rPr>
          <w:szCs w:val="22"/>
        </w:rPr>
        <w:t>c</w:t>
      </w:r>
      <w:r w:rsidR="00FC4AE6">
        <w:rPr>
          <w:szCs w:val="22"/>
        </w:rPr>
        <w:t>overed providers</w:t>
      </w:r>
      <w:r w:rsidR="00FC4AE6" w:rsidRPr="00DB062D">
        <w:rPr>
          <w:szCs w:val="22"/>
        </w:rPr>
        <w:t xml:space="preserve"> </w:t>
      </w:r>
      <w:r w:rsidR="00CE79DA" w:rsidRPr="00DB062D">
        <w:rPr>
          <w:szCs w:val="22"/>
        </w:rPr>
        <w:t xml:space="preserve">must abide by the definitions of call attempt categories specified in the text of the </w:t>
      </w:r>
      <w:r w:rsidR="00966526" w:rsidRPr="00DB062D">
        <w:rPr>
          <w:i/>
          <w:szCs w:val="22"/>
        </w:rPr>
        <w:t>Rural Call Completion Order</w:t>
      </w:r>
      <w:r w:rsidR="00966526" w:rsidRPr="00DB062D">
        <w:rPr>
          <w:szCs w:val="22"/>
        </w:rPr>
        <w:t>.</w:t>
      </w:r>
      <w:r w:rsidR="00652CDF" w:rsidRPr="002C7466">
        <w:rPr>
          <w:rStyle w:val="FootnoteReference"/>
          <w:sz w:val="22"/>
          <w:szCs w:val="22"/>
        </w:rPr>
        <w:footnoteReference w:id="4"/>
      </w:r>
      <w:r w:rsidR="00966526" w:rsidRPr="00DB062D">
        <w:rPr>
          <w:szCs w:val="22"/>
        </w:rPr>
        <w:t xml:space="preserve">  </w:t>
      </w:r>
      <w:r w:rsidR="00BD070F">
        <w:rPr>
          <w:szCs w:val="22"/>
        </w:rPr>
        <w:t xml:space="preserve">As set forth below, we find that the text of the </w:t>
      </w:r>
      <w:r w:rsidR="00BD070F" w:rsidRPr="00BE4C19">
        <w:rPr>
          <w:i/>
          <w:szCs w:val="22"/>
        </w:rPr>
        <w:t>Order</w:t>
      </w:r>
      <w:r w:rsidR="00BD070F">
        <w:rPr>
          <w:szCs w:val="22"/>
        </w:rPr>
        <w:t xml:space="preserve"> and the language in Appendix C appended thereto can and should be read in a consistent manner.  Indeed, to read the </w:t>
      </w:r>
      <w:r w:rsidR="00BD070F" w:rsidRPr="00BE4C19">
        <w:rPr>
          <w:i/>
          <w:szCs w:val="22"/>
        </w:rPr>
        <w:t>Order</w:t>
      </w:r>
      <w:r w:rsidR="00BD070F">
        <w:rPr>
          <w:szCs w:val="22"/>
        </w:rPr>
        <w:t xml:space="preserve"> and Appendix C as inconsistent requires an overly narrow construction of Appendix C that is at odds with the text of the </w:t>
      </w:r>
      <w:r w:rsidR="00BD070F" w:rsidRPr="00BE4C19">
        <w:rPr>
          <w:i/>
          <w:szCs w:val="22"/>
        </w:rPr>
        <w:t>Order</w:t>
      </w:r>
      <w:r w:rsidR="00BD070F">
        <w:rPr>
          <w:szCs w:val="22"/>
        </w:rPr>
        <w:t xml:space="preserve"> as well as the Commission’s underlying goals. More specifically, to the extent that some parties contend that Appendix C permits</w:t>
      </w:r>
      <w:r w:rsidR="00652CDF">
        <w:rPr>
          <w:szCs w:val="22"/>
        </w:rPr>
        <w:t xml:space="preserve"> covered providers </w:t>
      </w:r>
      <w:r w:rsidR="00C91325">
        <w:rPr>
          <w:szCs w:val="22"/>
        </w:rPr>
        <w:t xml:space="preserve">to </w:t>
      </w:r>
      <w:r w:rsidR="00652CDF">
        <w:rPr>
          <w:szCs w:val="22"/>
        </w:rPr>
        <w:t>count certain unanswered call</w:t>
      </w:r>
      <w:r w:rsidR="00284743">
        <w:rPr>
          <w:szCs w:val="22"/>
        </w:rPr>
        <w:t xml:space="preserve"> attempt</w:t>
      </w:r>
      <w:r w:rsidR="00652CDF">
        <w:rPr>
          <w:szCs w:val="22"/>
        </w:rPr>
        <w:t xml:space="preserve">s as answered calls for purposes of the new rules, we </w:t>
      </w:r>
      <w:r w:rsidR="00BD070F">
        <w:rPr>
          <w:szCs w:val="22"/>
        </w:rPr>
        <w:t>reject those contentions</w:t>
      </w:r>
      <w:r w:rsidR="00652CDF">
        <w:rPr>
          <w:szCs w:val="22"/>
        </w:rPr>
        <w:t xml:space="preserve">.  </w:t>
      </w:r>
      <w:r w:rsidR="0036384A">
        <w:rPr>
          <w:szCs w:val="22"/>
        </w:rPr>
        <w:t>T</w:t>
      </w:r>
      <w:r w:rsidR="00B75C86">
        <w:rPr>
          <w:szCs w:val="22"/>
        </w:rPr>
        <w:t>h</w:t>
      </w:r>
      <w:r w:rsidR="00BD070F">
        <w:rPr>
          <w:szCs w:val="22"/>
        </w:rPr>
        <w:t>e</w:t>
      </w:r>
      <w:r w:rsidR="00B75C86" w:rsidRPr="00B75C86">
        <w:rPr>
          <w:szCs w:val="22"/>
        </w:rPr>
        <w:t xml:space="preserve"> </w:t>
      </w:r>
      <w:r w:rsidR="00BE4C19">
        <w:rPr>
          <w:szCs w:val="22"/>
        </w:rPr>
        <w:t>Declaratory Ruling</w:t>
      </w:r>
      <w:r w:rsidR="00BD070F">
        <w:rPr>
          <w:szCs w:val="22"/>
        </w:rPr>
        <w:t xml:space="preserve"> we adopt today </w:t>
      </w:r>
      <w:r w:rsidR="00B75C86" w:rsidRPr="00B75C86">
        <w:rPr>
          <w:szCs w:val="22"/>
        </w:rPr>
        <w:t>will</w:t>
      </w:r>
      <w:r w:rsidR="00DE7A66">
        <w:rPr>
          <w:szCs w:val="22"/>
        </w:rPr>
        <w:t xml:space="preserve"> </w:t>
      </w:r>
      <w:r w:rsidR="0036384A">
        <w:rPr>
          <w:szCs w:val="22"/>
        </w:rPr>
        <w:t xml:space="preserve">provide </w:t>
      </w:r>
      <w:r w:rsidR="00DE7A66">
        <w:rPr>
          <w:szCs w:val="22"/>
        </w:rPr>
        <w:t>clarity and</w:t>
      </w:r>
      <w:r w:rsidR="00B75C86" w:rsidRPr="00B75C86">
        <w:rPr>
          <w:szCs w:val="22"/>
        </w:rPr>
        <w:t xml:space="preserve"> effectuate the Commission’s intent in adopting the rural call completion rules.</w:t>
      </w:r>
    </w:p>
    <w:p w14:paraId="2FCC64F5" w14:textId="77777777" w:rsidR="00821095" w:rsidRPr="002C7466" w:rsidRDefault="003E043C" w:rsidP="00821095">
      <w:pPr>
        <w:pStyle w:val="Heading1"/>
        <w:widowControl/>
        <w:spacing w:after="220"/>
        <w:rPr>
          <w:rFonts w:ascii="Times New Roman" w:hAnsi="Times New Roman"/>
          <w:szCs w:val="22"/>
        </w:rPr>
      </w:pPr>
      <w:bookmarkStart w:id="3" w:name="_Toc400549570"/>
      <w:r w:rsidRPr="00DB062D">
        <w:rPr>
          <w:rFonts w:ascii="Times New Roman" w:hAnsi="Times New Roman"/>
          <w:szCs w:val="22"/>
        </w:rPr>
        <w:t>BACKGROUND</w:t>
      </w:r>
      <w:bookmarkEnd w:id="3"/>
    </w:p>
    <w:p w14:paraId="4F49D170" w14:textId="77777777" w:rsidR="00347768" w:rsidRPr="00DB062D" w:rsidRDefault="00821095" w:rsidP="008D374D">
      <w:pPr>
        <w:pStyle w:val="ParaNum"/>
        <w:widowControl/>
        <w:numPr>
          <w:ilvl w:val="0"/>
          <w:numId w:val="3"/>
        </w:numPr>
        <w:tabs>
          <w:tab w:val="clear" w:pos="1080"/>
          <w:tab w:val="num" w:pos="1440"/>
          <w:tab w:val="left" w:pos="8280"/>
        </w:tabs>
        <w:spacing w:after="240"/>
        <w:rPr>
          <w:szCs w:val="22"/>
        </w:rPr>
      </w:pPr>
      <w:r w:rsidRPr="00DB062D">
        <w:rPr>
          <w:i/>
          <w:szCs w:val="22"/>
        </w:rPr>
        <w:t>Rural Call Completion Order</w:t>
      </w:r>
      <w:r w:rsidRPr="00DB062D">
        <w:rPr>
          <w:szCs w:val="22"/>
        </w:rPr>
        <w:t xml:space="preserve">.  </w:t>
      </w:r>
      <w:r w:rsidR="00E53B7E" w:rsidRPr="00DB062D">
        <w:rPr>
          <w:szCs w:val="22"/>
        </w:rPr>
        <w:t>In</w:t>
      </w:r>
      <w:r w:rsidR="00A06180" w:rsidRPr="008365C3">
        <w:rPr>
          <w:szCs w:val="22"/>
        </w:rPr>
        <w:t xml:space="preserve"> </w:t>
      </w:r>
      <w:r w:rsidR="003E043C" w:rsidRPr="00D008C4">
        <w:rPr>
          <w:szCs w:val="22"/>
        </w:rPr>
        <w:t xml:space="preserve">the </w:t>
      </w:r>
      <w:r w:rsidR="00874073" w:rsidRPr="00D008C4">
        <w:rPr>
          <w:i/>
          <w:szCs w:val="22"/>
        </w:rPr>
        <w:t>Order</w:t>
      </w:r>
      <w:r w:rsidR="00323A95" w:rsidRPr="00D008C4">
        <w:rPr>
          <w:szCs w:val="22"/>
        </w:rPr>
        <w:t>,</w:t>
      </w:r>
      <w:r w:rsidR="003E043C" w:rsidRPr="00D008C4">
        <w:rPr>
          <w:szCs w:val="22"/>
        </w:rPr>
        <w:t xml:space="preserve"> </w:t>
      </w:r>
      <w:r w:rsidR="00E53B7E" w:rsidRPr="00D008C4">
        <w:rPr>
          <w:szCs w:val="22"/>
        </w:rPr>
        <w:t>the Commission adopted</w:t>
      </w:r>
      <w:r w:rsidR="00532DBE" w:rsidRPr="00D008C4">
        <w:rPr>
          <w:szCs w:val="22"/>
        </w:rPr>
        <w:t xml:space="preserve"> </w:t>
      </w:r>
      <w:r w:rsidR="003E043C" w:rsidRPr="00D008C4">
        <w:rPr>
          <w:szCs w:val="22"/>
        </w:rPr>
        <w:t>rules to address significant concerns about the completion of long-distance call</w:t>
      </w:r>
      <w:r w:rsidR="00284743">
        <w:rPr>
          <w:szCs w:val="22"/>
        </w:rPr>
        <w:t xml:space="preserve"> attempt</w:t>
      </w:r>
      <w:r w:rsidR="003E043C" w:rsidRPr="00D008C4">
        <w:rPr>
          <w:szCs w:val="22"/>
        </w:rPr>
        <w:t>s to rural areas</w:t>
      </w:r>
      <w:r w:rsidR="0072487A" w:rsidRPr="00DB062D">
        <w:rPr>
          <w:szCs w:val="22"/>
        </w:rPr>
        <w:t xml:space="preserve">, including new reporting </w:t>
      </w:r>
      <w:r w:rsidR="0072487A" w:rsidRPr="007B2503">
        <w:rPr>
          <w:snapToGrid/>
          <w:kern w:val="0"/>
          <w:szCs w:val="22"/>
        </w:rPr>
        <w:t>requirements</w:t>
      </w:r>
      <w:r w:rsidR="003E043C" w:rsidRPr="00DB062D">
        <w:rPr>
          <w:szCs w:val="22"/>
        </w:rPr>
        <w:t>.</w:t>
      </w:r>
      <w:r w:rsidR="003E043C" w:rsidRPr="00DB062D">
        <w:rPr>
          <w:rStyle w:val="FootnoteReference"/>
          <w:sz w:val="22"/>
          <w:szCs w:val="22"/>
        </w:rPr>
        <w:footnoteReference w:id="5"/>
      </w:r>
      <w:r w:rsidR="003E043C" w:rsidRPr="00DB062D">
        <w:rPr>
          <w:szCs w:val="22"/>
        </w:rPr>
        <w:t xml:space="preserve">  The</w:t>
      </w:r>
      <w:r w:rsidR="004D527F" w:rsidRPr="00DB062D">
        <w:rPr>
          <w:szCs w:val="22"/>
        </w:rPr>
        <w:t>se rules</w:t>
      </w:r>
      <w:r w:rsidR="003E043C" w:rsidRPr="00DB062D">
        <w:rPr>
          <w:szCs w:val="22"/>
        </w:rPr>
        <w:t xml:space="preserve"> require covered providers to </w:t>
      </w:r>
      <w:r w:rsidR="00C946BF" w:rsidRPr="00DB062D">
        <w:rPr>
          <w:szCs w:val="22"/>
        </w:rPr>
        <w:t>record</w:t>
      </w:r>
      <w:r w:rsidR="00DE7A66">
        <w:rPr>
          <w:szCs w:val="22"/>
        </w:rPr>
        <w:t>,</w:t>
      </w:r>
      <w:r w:rsidR="00C946BF" w:rsidRPr="00DB062D">
        <w:rPr>
          <w:szCs w:val="22"/>
        </w:rPr>
        <w:t xml:space="preserve"> retain</w:t>
      </w:r>
      <w:r w:rsidR="00DE7A66">
        <w:rPr>
          <w:szCs w:val="22"/>
        </w:rPr>
        <w:t>, and report</w:t>
      </w:r>
      <w:r w:rsidR="00C946BF" w:rsidRPr="00DB062D">
        <w:rPr>
          <w:szCs w:val="22"/>
        </w:rPr>
        <w:t xml:space="preserve"> </w:t>
      </w:r>
      <w:r w:rsidR="00DE7A66">
        <w:rPr>
          <w:szCs w:val="22"/>
        </w:rPr>
        <w:t xml:space="preserve">certain </w:t>
      </w:r>
      <w:r w:rsidR="00C946BF" w:rsidRPr="00DB062D">
        <w:rPr>
          <w:szCs w:val="22"/>
        </w:rPr>
        <w:t xml:space="preserve">information about </w:t>
      </w:r>
      <w:r w:rsidR="00DE7A66">
        <w:rPr>
          <w:szCs w:val="22"/>
        </w:rPr>
        <w:t>whether call attempts are</w:t>
      </w:r>
      <w:r w:rsidR="00C946BF" w:rsidRPr="00DB062D">
        <w:rPr>
          <w:szCs w:val="22"/>
        </w:rPr>
        <w:t xml:space="preserve"> </w:t>
      </w:r>
      <w:r w:rsidR="00574670" w:rsidRPr="00DB062D">
        <w:rPr>
          <w:szCs w:val="22"/>
        </w:rPr>
        <w:t>“</w:t>
      </w:r>
      <w:r w:rsidR="00C946BF" w:rsidRPr="00DB062D">
        <w:rPr>
          <w:szCs w:val="22"/>
        </w:rPr>
        <w:t>answered</w:t>
      </w:r>
      <w:r w:rsidR="00DE7A66">
        <w:rPr>
          <w:szCs w:val="22"/>
        </w:rPr>
        <w:t>,</w:t>
      </w:r>
      <w:r w:rsidR="00574670" w:rsidRPr="00DB062D">
        <w:rPr>
          <w:szCs w:val="22"/>
        </w:rPr>
        <w:t>”</w:t>
      </w:r>
      <w:r w:rsidR="00C946BF" w:rsidRPr="00DB062D">
        <w:rPr>
          <w:szCs w:val="22"/>
        </w:rPr>
        <w:t xml:space="preserve"> </w:t>
      </w:r>
      <w:r w:rsidR="00DE7A66">
        <w:rPr>
          <w:szCs w:val="22"/>
        </w:rPr>
        <w:t>or</w:t>
      </w:r>
      <w:r w:rsidR="00C946BF" w:rsidRPr="00DB062D">
        <w:rPr>
          <w:szCs w:val="22"/>
        </w:rPr>
        <w:t xml:space="preserve"> signaled as </w:t>
      </w:r>
      <w:r w:rsidR="00574670" w:rsidRPr="00DB062D">
        <w:rPr>
          <w:szCs w:val="22"/>
        </w:rPr>
        <w:t>“</w:t>
      </w:r>
      <w:r w:rsidR="00C946BF" w:rsidRPr="00DB062D">
        <w:rPr>
          <w:szCs w:val="22"/>
        </w:rPr>
        <w:t>busy,</w:t>
      </w:r>
      <w:r w:rsidR="00574670" w:rsidRPr="00DB062D">
        <w:rPr>
          <w:szCs w:val="22"/>
        </w:rPr>
        <w:t>”</w:t>
      </w:r>
      <w:r w:rsidR="00C946BF" w:rsidRPr="00DB062D">
        <w:rPr>
          <w:szCs w:val="22"/>
        </w:rPr>
        <w:t xml:space="preserve"> </w:t>
      </w:r>
      <w:r w:rsidR="00574670" w:rsidRPr="00DB062D">
        <w:rPr>
          <w:szCs w:val="22"/>
        </w:rPr>
        <w:t>“</w:t>
      </w:r>
      <w:r w:rsidR="00C946BF" w:rsidRPr="00DB062D">
        <w:rPr>
          <w:szCs w:val="22"/>
        </w:rPr>
        <w:t>ring no answer,</w:t>
      </w:r>
      <w:r w:rsidR="00574670" w:rsidRPr="00DB062D">
        <w:rPr>
          <w:szCs w:val="22"/>
        </w:rPr>
        <w:t>”</w:t>
      </w:r>
      <w:r w:rsidR="00C946BF" w:rsidRPr="00DB062D">
        <w:rPr>
          <w:szCs w:val="22"/>
        </w:rPr>
        <w:t xml:space="preserve"> or </w:t>
      </w:r>
      <w:r w:rsidR="00574670" w:rsidRPr="00DB062D">
        <w:rPr>
          <w:szCs w:val="22"/>
        </w:rPr>
        <w:lastRenderedPageBreak/>
        <w:t>“</w:t>
      </w:r>
      <w:r w:rsidR="00C946BF" w:rsidRPr="00DB062D">
        <w:rPr>
          <w:szCs w:val="22"/>
        </w:rPr>
        <w:t>unassigned number.</w:t>
      </w:r>
      <w:r w:rsidR="00574670" w:rsidRPr="00DB062D">
        <w:rPr>
          <w:szCs w:val="22"/>
        </w:rPr>
        <w:t>”</w:t>
      </w:r>
      <w:r w:rsidR="00C946BF" w:rsidRPr="002C7466">
        <w:rPr>
          <w:rStyle w:val="FootnoteReference"/>
          <w:sz w:val="22"/>
          <w:szCs w:val="22"/>
        </w:rPr>
        <w:footnoteReference w:id="6"/>
      </w:r>
      <w:r w:rsidR="003E043C" w:rsidRPr="00DB062D">
        <w:rPr>
          <w:szCs w:val="22"/>
        </w:rPr>
        <w:t xml:space="preserve"> </w:t>
      </w:r>
      <w:r w:rsidR="004D527F" w:rsidRPr="00DB062D">
        <w:rPr>
          <w:szCs w:val="22"/>
        </w:rPr>
        <w:t xml:space="preserve"> </w:t>
      </w:r>
      <w:r w:rsidR="002A60B0" w:rsidRPr="00DB062D">
        <w:rPr>
          <w:szCs w:val="22"/>
        </w:rPr>
        <w:t xml:space="preserve">Covered providers </w:t>
      </w:r>
      <w:r w:rsidR="00A242E9" w:rsidRPr="00DB062D">
        <w:rPr>
          <w:szCs w:val="22"/>
        </w:rPr>
        <w:t>must</w:t>
      </w:r>
      <w:r w:rsidR="002A60B0" w:rsidRPr="00DB062D">
        <w:rPr>
          <w:szCs w:val="22"/>
        </w:rPr>
        <w:t xml:space="preserve"> report information</w:t>
      </w:r>
      <w:r w:rsidR="00A242E9" w:rsidRPr="00DB062D">
        <w:rPr>
          <w:szCs w:val="22"/>
        </w:rPr>
        <w:t xml:space="preserve"> </w:t>
      </w:r>
      <w:r w:rsidR="007448B8" w:rsidRPr="00DB062D">
        <w:rPr>
          <w:szCs w:val="22"/>
        </w:rPr>
        <w:t xml:space="preserve">individually </w:t>
      </w:r>
      <w:r w:rsidR="004D527F" w:rsidRPr="00DB062D">
        <w:rPr>
          <w:szCs w:val="22"/>
        </w:rPr>
        <w:t xml:space="preserve">for each rural </w:t>
      </w:r>
      <w:r w:rsidR="009677A9" w:rsidRPr="009677A9">
        <w:rPr>
          <w:szCs w:val="22"/>
        </w:rPr>
        <w:t>o</w:t>
      </w:r>
      <w:r w:rsidR="009677A9">
        <w:rPr>
          <w:szCs w:val="22"/>
        </w:rPr>
        <w:t>perating company number (“OCN”)</w:t>
      </w:r>
      <w:r w:rsidR="004D527F" w:rsidRPr="00DB062D">
        <w:rPr>
          <w:szCs w:val="22"/>
        </w:rPr>
        <w:t xml:space="preserve"> and</w:t>
      </w:r>
      <w:r w:rsidR="007448B8" w:rsidRPr="00DB062D">
        <w:rPr>
          <w:szCs w:val="22"/>
        </w:rPr>
        <w:t xml:space="preserve"> in the aggregate</w:t>
      </w:r>
      <w:r w:rsidR="004D527F" w:rsidRPr="00DB062D">
        <w:rPr>
          <w:szCs w:val="22"/>
        </w:rPr>
        <w:t xml:space="preserve"> for nonrural OCNs</w:t>
      </w:r>
      <w:r w:rsidR="00A242E9" w:rsidRPr="00DB062D">
        <w:rPr>
          <w:szCs w:val="22"/>
        </w:rPr>
        <w:t>.</w:t>
      </w:r>
      <w:r w:rsidR="001B0BE8" w:rsidRPr="002C7466">
        <w:rPr>
          <w:rStyle w:val="FootnoteReference"/>
          <w:sz w:val="22"/>
          <w:szCs w:val="22"/>
        </w:rPr>
        <w:footnoteReference w:id="7"/>
      </w:r>
      <w:r w:rsidR="00A242E9" w:rsidRPr="00DB062D">
        <w:rPr>
          <w:szCs w:val="22"/>
        </w:rPr>
        <w:t xml:space="preserve"> </w:t>
      </w:r>
      <w:r w:rsidR="003E043C" w:rsidRPr="00DB062D">
        <w:rPr>
          <w:szCs w:val="22"/>
        </w:rPr>
        <w:t xml:space="preserve"> </w:t>
      </w:r>
      <w:r w:rsidR="009C0256" w:rsidRPr="00DB062D">
        <w:rPr>
          <w:szCs w:val="22"/>
        </w:rPr>
        <w:t xml:space="preserve">The </w:t>
      </w:r>
      <w:r w:rsidR="009C0256" w:rsidRPr="00DB062D">
        <w:rPr>
          <w:i/>
          <w:szCs w:val="22"/>
        </w:rPr>
        <w:t xml:space="preserve">Rural Call Completion Order </w:t>
      </w:r>
      <w:r w:rsidR="00FE5E60" w:rsidRPr="00DB062D">
        <w:rPr>
          <w:szCs w:val="22"/>
        </w:rPr>
        <w:t xml:space="preserve">defined </w:t>
      </w:r>
      <w:r w:rsidR="009C0256" w:rsidRPr="00DB062D">
        <w:rPr>
          <w:szCs w:val="22"/>
        </w:rPr>
        <w:t>each category of call attempt as follows:</w:t>
      </w:r>
    </w:p>
    <w:p w14:paraId="5DF485A2" w14:textId="77777777" w:rsidR="00821095" w:rsidRPr="00DB062D" w:rsidRDefault="009C0256" w:rsidP="00F90E2F">
      <w:pPr>
        <w:pStyle w:val="ParaNum"/>
        <w:widowControl/>
        <w:numPr>
          <w:ilvl w:val="0"/>
          <w:numId w:val="0"/>
        </w:numPr>
        <w:tabs>
          <w:tab w:val="left" w:pos="8280"/>
        </w:tabs>
        <w:spacing w:after="240"/>
        <w:ind w:left="720" w:right="720"/>
        <w:rPr>
          <w:szCs w:val="22"/>
        </w:rPr>
      </w:pPr>
      <w:r w:rsidRPr="00DB062D">
        <w:rPr>
          <w:i/>
          <w:szCs w:val="22"/>
        </w:rPr>
        <w:t>“Answered</w:t>
      </w:r>
      <w:r w:rsidR="00E967DF" w:rsidRPr="00DB062D">
        <w:rPr>
          <w:i/>
          <w:szCs w:val="22"/>
        </w:rPr>
        <w:t>.</w:t>
      </w:r>
      <w:r w:rsidRPr="00DB062D">
        <w:rPr>
          <w:i/>
          <w:szCs w:val="22"/>
        </w:rPr>
        <w:t xml:space="preserve">”  </w:t>
      </w:r>
      <w:r w:rsidR="003E043C" w:rsidRPr="00DB062D">
        <w:rPr>
          <w:szCs w:val="22"/>
        </w:rPr>
        <w:t xml:space="preserve">The </w:t>
      </w:r>
      <w:r w:rsidR="003E043C" w:rsidRPr="00DB062D">
        <w:rPr>
          <w:i/>
          <w:szCs w:val="22"/>
        </w:rPr>
        <w:t xml:space="preserve">Rural Call Completion Order </w:t>
      </w:r>
      <w:r w:rsidR="003E043C" w:rsidRPr="00DB062D">
        <w:rPr>
          <w:szCs w:val="22"/>
        </w:rPr>
        <w:t>define</w:t>
      </w:r>
      <w:r w:rsidR="00347768" w:rsidRPr="00DB062D">
        <w:rPr>
          <w:szCs w:val="22"/>
        </w:rPr>
        <w:t>d</w:t>
      </w:r>
      <w:r w:rsidR="003E043C" w:rsidRPr="00DB062D">
        <w:rPr>
          <w:szCs w:val="22"/>
        </w:rPr>
        <w:t xml:space="preserve"> an “answered call” as</w:t>
      </w:r>
      <w:r w:rsidRPr="00DB062D">
        <w:rPr>
          <w:szCs w:val="22"/>
        </w:rPr>
        <w:t xml:space="preserve"> </w:t>
      </w:r>
      <w:r w:rsidR="005952C8" w:rsidRPr="00DB062D">
        <w:rPr>
          <w:szCs w:val="22"/>
        </w:rPr>
        <w:t>“</w:t>
      </w:r>
      <w:r w:rsidR="003E043C" w:rsidRPr="00DB062D">
        <w:rPr>
          <w:szCs w:val="22"/>
        </w:rPr>
        <w:t>a call that was answered by or on behalf of the called party (including calls completed to devices, services or parties that answer the call such as an interactive voice response, answering service, voicemail</w:t>
      </w:r>
      <w:r w:rsidR="002A60B0" w:rsidRPr="00DB062D">
        <w:rPr>
          <w:szCs w:val="22"/>
        </w:rPr>
        <w:t>,</w:t>
      </w:r>
      <w:r w:rsidR="003E043C" w:rsidRPr="00DB062D">
        <w:rPr>
          <w:szCs w:val="22"/>
        </w:rPr>
        <w:t xml:space="preserve"> or call-forwarding system), causing the network to register that the terminating party is prepared to receive information from the calling user.</w:t>
      </w:r>
      <w:r w:rsidR="00821095" w:rsidRPr="00DB062D">
        <w:rPr>
          <w:szCs w:val="22"/>
        </w:rPr>
        <w:t>”</w:t>
      </w:r>
      <w:r w:rsidR="003E043C" w:rsidRPr="00DB062D">
        <w:rPr>
          <w:rStyle w:val="FootnoteReference"/>
          <w:sz w:val="22"/>
          <w:szCs w:val="22"/>
        </w:rPr>
        <w:footnoteReference w:id="8"/>
      </w:r>
      <w:r w:rsidR="000767E9" w:rsidRPr="00DB062D">
        <w:rPr>
          <w:szCs w:val="22"/>
        </w:rPr>
        <w:t xml:space="preserve">  </w:t>
      </w:r>
    </w:p>
    <w:p w14:paraId="08B790CA" w14:textId="77777777" w:rsidR="00821095" w:rsidRPr="00DB062D" w:rsidRDefault="00E967DF" w:rsidP="00F90E2F">
      <w:pPr>
        <w:pStyle w:val="ParaNum"/>
        <w:widowControl/>
        <w:numPr>
          <w:ilvl w:val="0"/>
          <w:numId w:val="0"/>
        </w:numPr>
        <w:spacing w:after="240"/>
        <w:ind w:left="720" w:right="720"/>
        <w:rPr>
          <w:szCs w:val="22"/>
        </w:rPr>
      </w:pPr>
      <w:r w:rsidRPr="00DB062D">
        <w:rPr>
          <w:i/>
          <w:szCs w:val="22"/>
        </w:rPr>
        <w:t xml:space="preserve">“Ring No Answer.”  </w:t>
      </w:r>
      <w:r w:rsidR="00347768" w:rsidRPr="00DB062D">
        <w:rPr>
          <w:szCs w:val="22"/>
        </w:rPr>
        <w:t xml:space="preserve">In </w:t>
      </w:r>
      <w:r w:rsidR="00D80025" w:rsidRPr="00DB062D">
        <w:rPr>
          <w:szCs w:val="22"/>
        </w:rPr>
        <w:t xml:space="preserve">the </w:t>
      </w:r>
      <w:r w:rsidR="00D80025" w:rsidRPr="00DB062D">
        <w:rPr>
          <w:i/>
          <w:szCs w:val="22"/>
        </w:rPr>
        <w:t>Rural Call Completion Order</w:t>
      </w:r>
      <w:r w:rsidR="00D80025" w:rsidRPr="00DB062D">
        <w:rPr>
          <w:szCs w:val="22"/>
        </w:rPr>
        <w:t xml:space="preserve">, the Commission noted that, if a call attempt is not answered, a “User” category cause value </w:t>
      </w:r>
      <w:r w:rsidR="00D80025" w:rsidRPr="00BD070F">
        <w:rPr>
          <w:i/>
          <w:szCs w:val="22"/>
        </w:rPr>
        <w:t>such as</w:t>
      </w:r>
      <w:r w:rsidR="00D80025" w:rsidRPr="00DB062D">
        <w:rPr>
          <w:szCs w:val="22"/>
        </w:rPr>
        <w:t xml:space="preserve"> “‘no user responding’ (cause value 18) is returned.”</w:t>
      </w:r>
      <w:r w:rsidR="00D80025" w:rsidRPr="002C7466">
        <w:rPr>
          <w:rStyle w:val="FootnoteReference"/>
          <w:sz w:val="22"/>
          <w:szCs w:val="22"/>
        </w:rPr>
        <w:footnoteReference w:id="9"/>
      </w:r>
      <w:r w:rsidR="00D80025" w:rsidRPr="00DB062D">
        <w:rPr>
          <w:szCs w:val="22"/>
        </w:rPr>
        <w:t xml:space="preserve">  </w:t>
      </w:r>
      <w:r w:rsidR="00821095" w:rsidRPr="00DB062D">
        <w:rPr>
          <w:szCs w:val="22"/>
        </w:rPr>
        <w:t xml:space="preserve">  </w:t>
      </w:r>
    </w:p>
    <w:p w14:paraId="053A4F4E" w14:textId="77777777" w:rsidR="00D5239A" w:rsidRPr="00DB062D" w:rsidRDefault="00E967DF" w:rsidP="00F90E2F">
      <w:pPr>
        <w:pStyle w:val="ParaNum"/>
        <w:widowControl/>
        <w:numPr>
          <w:ilvl w:val="0"/>
          <w:numId w:val="0"/>
        </w:numPr>
        <w:spacing w:after="240"/>
        <w:ind w:left="720" w:right="720"/>
        <w:rPr>
          <w:szCs w:val="22"/>
        </w:rPr>
      </w:pPr>
      <w:r w:rsidRPr="002C7466">
        <w:rPr>
          <w:i/>
          <w:szCs w:val="22"/>
        </w:rPr>
        <w:t xml:space="preserve">“Busy.”  </w:t>
      </w:r>
      <w:r w:rsidR="00347768" w:rsidRPr="002C7466">
        <w:rPr>
          <w:szCs w:val="22"/>
        </w:rPr>
        <w:t>T</w:t>
      </w:r>
      <w:r w:rsidR="00275EA9" w:rsidRPr="002C7466">
        <w:rPr>
          <w:szCs w:val="22"/>
        </w:rPr>
        <w:t xml:space="preserve">he </w:t>
      </w:r>
      <w:r w:rsidR="00FE30D9" w:rsidRPr="002C7466">
        <w:rPr>
          <w:i/>
          <w:szCs w:val="22"/>
        </w:rPr>
        <w:t xml:space="preserve">Rural Call Completion </w:t>
      </w:r>
      <w:r w:rsidR="00275EA9" w:rsidRPr="002C7466">
        <w:rPr>
          <w:i/>
          <w:szCs w:val="22"/>
        </w:rPr>
        <w:t xml:space="preserve">Order </w:t>
      </w:r>
      <w:r w:rsidR="00275EA9" w:rsidRPr="002C7466">
        <w:rPr>
          <w:szCs w:val="22"/>
        </w:rPr>
        <w:t>note</w:t>
      </w:r>
      <w:r w:rsidR="00347768" w:rsidRPr="002C7466">
        <w:rPr>
          <w:szCs w:val="22"/>
        </w:rPr>
        <w:t>d</w:t>
      </w:r>
      <w:r w:rsidR="00275EA9" w:rsidRPr="002C7466">
        <w:rPr>
          <w:szCs w:val="22"/>
        </w:rPr>
        <w:t xml:space="preserve"> that the SIP cause code for a busy signal is 486 and</w:t>
      </w:r>
      <w:r w:rsidR="002A60B0" w:rsidRPr="002C7466">
        <w:rPr>
          <w:szCs w:val="22"/>
        </w:rPr>
        <w:t xml:space="preserve"> that</w:t>
      </w:r>
      <w:r w:rsidR="00275EA9" w:rsidRPr="002C7466">
        <w:rPr>
          <w:szCs w:val="22"/>
        </w:rPr>
        <w:t xml:space="preserve"> the SS7 cause code for a busy signal is cause value 17.</w:t>
      </w:r>
      <w:r w:rsidR="00945F86" w:rsidRPr="002C7466">
        <w:rPr>
          <w:rStyle w:val="FootnoteReference"/>
          <w:sz w:val="22"/>
          <w:szCs w:val="22"/>
        </w:rPr>
        <w:footnoteReference w:id="10"/>
      </w:r>
      <w:r w:rsidR="0020196D" w:rsidRPr="002C7466">
        <w:rPr>
          <w:szCs w:val="22"/>
        </w:rPr>
        <w:t xml:space="preserve">  </w:t>
      </w:r>
      <w:r w:rsidR="002F5BE4" w:rsidRPr="002C7466">
        <w:rPr>
          <w:szCs w:val="22"/>
        </w:rPr>
        <w:t>It also state</w:t>
      </w:r>
      <w:r w:rsidR="00347768" w:rsidRPr="002C7466">
        <w:rPr>
          <w:szCs w:val="22"/>
        </w:rPr>
        <w:t>d</w:t>
      </w:r>
      <w:r w:rsidR="002F5BE4" w:rsidRPr="002C7466">
        <w:rPr>
          <w:szCs w:val="22"/>
        </w:rPr>
        <w:t xml:space="preserve"> “that user busy signaling may in reality reflect network problems.”</w:t>
      </w:r>
      <w:r w:rsidR="002F5BE4" w:rsidRPr="002C7466">
        <w:rPr>
          <w:rStyle w:val="FootnoteReference"/>
          <w:sz w:val="22"/>
          <w:szCs w:val="22"/>
        </w:rPr>
        <w:footnoteReference w:id="11"/>
      </w:r>
      <w:r w:rsidR="002F5BE4" w:rsidRPr="002C7466">
        <w:rPr>
          <w:szCs w:val="22"/>
        </w:rPr>
        <w:t xml:space="preserve">  </w:t>
      </w:r>
    </w:p>
    <w:p w14:paraId="29012679" w14:textId="77777777" w:rsidR="00275EA9" w:rsidRDefault="00E967DF" w:rsidP="00F90E2F">
      <w:pPr>
        <w:pStyle w:val="ParaNum"/>
        <w:widowControl/>
        <w:numPr>
          <w:ilvl w:val="0"/>
          <w:numId w:val="0"/>
        </w:numPr>
        <w:spacing w:after="240"/>
        <w:ind w:left="720" w:right="720"/>
        <w:rPr>
          <w:szCs w:val="22"/>
        </w:rPr>
      </w:pPr>
      <w:r w:rsidRPr="002C7466">
        <w:rPr>
          <w:i/>
          <w:szCs w:val="22"/>
        </w:rPr>
        <w:t xml:space="preserve">“Unassigned Number.”  </w:t>
      </w:r>
      <w:r w:rsidR="00FE30D9" w:rsidRPr="002C7466">
        <w:rPr>
          <w:szCs w:val="22"/>
        </w:rPr>
        <w:t>T</w:t>
      </w:r>
      <w:r w:rsidR="00546A8E" w:rsidRPr="002C7466">
        <w:rPr>
          <w:szCs w:val="22"/>
        </w:rPr>
        <w:t xml:space="preserve">he </w:t>
      </w:r>
      <w:r w:rsidR="002A60B0" w:rsidRPr="002C7466">
        <w:rPr>
          <w:i/>
          <w:szCs w:val="22"/>
        </w:rPr>
        <w:t>Rural Call Completion Order</w:t>
      </w:r>
      <w:r w:rsidR="00546A8E" w:rsidRPr="002C7466">
        <w:rPr>
          <w:szCs w:val="22"/>
        </w:rPr>
        <w:t xml:space="preserve"> </w:t>
      </w:r>
      <w:r w:rsidR="00331F14" w:rsidRPr="002C7466">
        <w:rPr>
          <w:szCs w:val="22"/>
        </w:rPr>
        <w:t xml:space="preserve">stated that, </w:t>
      </w:r>
      <w:r w:rsidRPr="002C7466">
        <w:rPr>
          <w:szCs w:val="22"/>
        </w:rPr>
        <w:t>“</w:t>
      </w:r>
      <w:r w:rsidR="00331F14" w:rsidRPr="002C7466">
        <w:rPr>
          <w:szCs w:val="22"/>
        </w:rPr>
        <w:t>[f]or purposes of this Order, an unassigned number is one for which a call cannot be completed because it is not assigned to an end user.</w:t>
      </w:r>
      <w:r w:rsidRPr="002C7466">
        <w:rPr>
          <w:szCs w:val="22"/>
        </w:rPr>
        <w:t>”</w:t>
      </w:r>
      <w:r w:rsidR="00331F14" w:rsidRPr="002C7466">
        <w:rPr>
          <w:rStyle w:val="FootnoteReference"/>
          <w:sz w:val="22"/>
          <w:szCs w:val="22"/>
        </w:rPr>
        <w:footnoteReference w:id="12"/>
      </w:r>
      <w:r w:rsidR="00331F14" w:rsidRPr="002C7466">
        <w:rPr>
          <w:szCs w:val="22"/>
        </w:rPr>
        <w:t xml:space="preserve">  The Commission also noted</w:t>
      </w:r>
      <w:r w:rsidR="00275EA9" w:rsidRPr="002C7466">
        <w:rPr>
          <w:szCs w:val="22"/>
        </w:rPr>
        <w:t xml:space="preserve"> that </w:t>
      </w:r>
      <w:r w:rsidR="00275EA9" w:rsidRPr="00BD070F">
        <w:rPr>
          <w:i/>
          <w:szCs w:val="22"/>
        </w:rPr>
        <w:t>one “commonly occurring</w:t>
      </w:r>
      <w:r w:rsidR="00275EA9" w:rsidRPr="002C7466">
        <w:rPr>
          <w:szCs w:val="22"/>
        </w:rPr>
        <w:t xml:space="preserve"> ‘User’ cause is ‘unallocated (unassigned) number’ (cause value 1), which indicates that the caller has dialed a properly formatted telephone number, but that number itself is not assigned to an end user.”</w:t>
      </w:r>
      <w:r w:rsidR="0020196D" w:rsidRPr="002C7466">
        <w:rPr>
          <w:rStyle w:val="FootnoteReference"/>
          <w:sz w:val="22"/>
          <w:szCs w:val="22"/>
        </w:rPr>
        <w:footnoteReference w:id="13"/>
      </w:r>
      <w:r w:rsidR="00275EA9" w:rsidRPr="002C7466">
        <w:rPr>
          <w:szCs w:val="22"/>
        </w:rPr>
        <w:t xml:space="preserve">  </w:t>
      </w:r>
    </w:p>
    <w:p w14:paraId="2C2DC035" w14:textId="77777777" w:rsidR="00DE7A66" w:rsidRPr="00DE7A66" w:rsidRDefault="00DE7A66" w:rsidP="008D374D">
      <w:pPr>
        <w:pStyle w:val="ParaNum"/>
        <w:widowControl/>
        <w:numPr>
          <w:ilvl w:val="0"/>
          <w:numId w:val="0"/>
        </w:numPr>
        <w:spacing w:after="240"/>
        <w:rPr>
          <w:szCs w:val="22"/>
        </w:rPr>
      </w:pPr>
      <w:r w:rsidRPr="00DB062D">
        <w:rPr>
          <w:szCs w:val="22"/>
        </w:rPr>
        <w:t xml:space="preserve">Appendix C </w:t>
      </w:r>
      <w:r w:rsidR="0036384A">
        <w:rPr>
          <w:szCs w:val="22"/>
        </w:rPr>
        <w:t xml:space="preserve">to the </w:t>
      </w:r>
      <w:r w:rsidR="0036384A">
        <w:rPr>
          <w:i/>
          <w:szCs w:val="22"/>
        </w:rPr>
        <w:t xml:space="preserve">Order </w:t>
      </w:r>
      <w:r w:rsidRPr="00DB062D">
        <w:rPr>
          <w:szCs w:val="22"/>
        </w:rPr>
        <w:t>provided a reporting template for covered providers to use when filing the required call completion data with the Commission each quarter.</w:t>
      </w:r>
      <w:r w:rsidRPr="00DB062D">
        <w:rPr>
          <w:rStyle w:val="FootnoteReference"/>
          <w:sz w:val="22"/>
          <w:szCs w:val="22"/>
        </w:rPr>
        <w:footnoteReference w:id="14"/>
      </w:r>
      <w:r w:rsidRPr="00DB062D">
        <w:rPr>
          <w:szCs w:val="22"/>
        </w:rPr>
        <w:t xml:space="preserve">  The legend accompanying this reporting template identified specific Integrated Services Digital Network User Part (ISUP) Cause values and corresponding Session Initiation Protocol (SIP) Response messages for each category of call attempt that must be reported.</w:t>
      </w:r>
      <w:r w:rsidRPr="002C7466">
        <w:rPr>
          <w:rStyle w:val="FootnoteReference"/>
          <w:sz w:val="22"/>
          <w:szCs w:val="22"/>
        </w:rPr>
        <w:footnoteReference w:id="15"/>
      </w:r>
      <w:r w:rsidRPr="00DB062D">
        <w:rPr>
          <w:szCs w:val="22"/>
        </w:rPr>
        <w:t xml:space="preserve">  </w:t>
      </w:r>
      <w:r w:rsidR="00652CDF">
        <w:rPr>
          <w:szCs w:val="22"/>
        </w:rPr>
        <w:t>In particular, Appendix C states, “</w:t>
      </w:r>
      <w:r w:rsidR="00652CDF" w:rsidRPr="00BD070F">
        <w:rPr>
          <w:szCs w:val="22"/>
        </w:rPr>
        <w:t xml:space="preserve">Answered </w:t>
      </w:r>
      <w:r w:rsidR="00652CDF">
        <w:rPr>
          <w:szCs w:val="22"/>
        </w:rPr>
        <w:t>= calls signaled back with ISUP 16 &amp; 31 and SIP BYE &amp; CANCEL.”</w:t>
      </w:r>
      <w:r w:rsidR="00652CDF">
        <w:rPr>
          <w:rStyle w:val="FootnoteReference"/>
          <w:szCs w:val="22"/>
        </w:rPr>
        <w:footnoteReference w:id="16"/>
      </w:r>
    </w:p>
    <w:p w14:paraId="72337955" w14:textId="77777777" w:rsidR="003E043C" w:rsidRPr="00FC4AE6" w:rsidRDefault="00FC4AE6" w:rsidP="008D374D">
      <w:pPr>
        <w:pStyle w:val="ParaNum"/>
        <w:widowControl/>
        <w:numPr>
          <w:ilvl w:val="0"/>
          <w:numId w:val="3"/>
        </w:numPr>
        <w:tabs>
          <w:tab w:val="clear" w:pos="1080"/>
          <w:tab w:val="num" w:pos="1440"/>
          <w:tab w:val="left" w:pos="8280"/>
        </w:tabs>
        <w:spacing w:after="240"/>
        <w:rPr>
          <w:szCs w:val="22"/>
        </w:rPr>
      </w:pPr>
      <w:r>
        <w:rPr>
          <w:i/>
          <w:szCs w:val="22"/>
        </w:rPr>
        <w:t>Public Notice</w:t>
      </w:r>
      <w:r w:rsidR="0072055B" w:rsidRPr="002C7466">
        <w:rPr>
          <w:szCs w:val="22"/>
        </w:rPr>
        <w:t xml:space="preserve">.  </w:t>
      </w:r>
      <w:r w:rsidRPr="002C7466">
        <w:rPr>
          <w:szCs w:val="22"/>
        </w:rPr>
        <w:t xml:space="preserve">Following release of the </w:t>
      </w:r>
      <w:r w:rsidRPr="002C7466">
        <w:rPr>
          <w:i/>
          <w:szCs w:val="22"/>
        </w:rPr>
        <w:t>Rural Call Completion Order</w:t>
      </w:r>
      <w:r w:rsidRPr="002C7466">
        <w:rPr>
          <w:szCs w:val="22"/>
        </w:rPr>
        <w:t xml:space="preserve">, </w:t>
      </w:r>
      <w:r>
        <w:rPr>
          <w:szCs w:val="22"/>
        </w:rPr>
        <w:t>Level 3 and Verizon</w:t>
      </w:r>
      <w:r w:rsidR="00515FAC" w:rsidRPr="002C7466">
        <w:rPr>
          <w:szCs w:val="22"/>
        </w:rPr>
        <w:t xml:space="preserve"> raised concerns </w:t>
      </w:r>
      <w:r w:rsidR="00652CDF">
        <w:rPr>
          <w:szCs w:val="22"/>
        </w:rPr>
        <w:t xml:space="preserve">that </w:t>
      </w:r>
      <w:r w:rsidR="00652CDF" w:rsidRPr="007B2503">
        <w:rPr>
          <w:snapToGrid/>
          <w:kern w:val="0"/>
          <w:szCs w:val="22"/>
        </w:rPr>
        <w:t>release</w:t>
      </w:r>
      <w:r w:rsidR="00652CDF">
        <w:rPr>
          <w:szCs w:val="22"/>
        </w:rPr>
        <w:t xml:space="preserve"> cause code 16 is also used to indicate that the calling party hung up before the called party answered, i.e., when the call</w:t>
      </w:r>
      <w:r w:rsidR="006D3D66">
        <w:rPr>
          <w:szCs w:val="22"/>
        </w:rPr>
        <w:t xml:space="preserve"> attempt</w:t>
      </w:r>
      <w:r w:rsidR="00652CDF">
        <w:rPr>
          <w:szCs w:val="22"/>
        </w:rPr>
        <w:t xml:space="preserve"> was not answered.  </w:t>
      </w:r>
      <w:r w:rsidR="00652CDF" w:rsidRPr="002C7466">
        <w:rPr>
          <w:szCs w:val="22"/>
        </w:rPr>
        <w:t xml:space="preserve"> </w:t>
      </w:r>
      <w:r w:rsidR="00753A52">
        <w:rPr>
          <w:szCs w:val="22"/>
        </w:rPr>
        <w:t>They assert that c</w:t>
      </w:r>
      <w:r w:rsidR="00652CDF">
        <w:rPr>
          <w:szCs w:val="22"/>
        </w:rPr>
        <w:t xml:space="preserve">ounting such </w:t>
      </w:r>
      <w:r w:rsidR="009933F1">
        <w:rPr>
          <w:szCs w:val="22"/>
        </w:rPr>
        <w:t xml:space="preserve">unanswered </w:t>
      </w:r>
      <w:r w:rsidR="00652CDF">
        <w:rPr>
          <w:szCs w:val="22"/>
        </w:rPr>
        <w:t>call</w:t>
      </w:r>
      <w:r w:rsidR="006D3D66">
        <w:rPr>
          <w:szCs w:val="22"/>
        </w:rPr>
        <w:t xml:space="preserve"> attempt</w:t>
      </w:r>
      <w:r w:rsidR="00652CDF">
        <w:rPr>
          <w:szCs w:val="22"/>
        </w:rPr>
        <w:t>s as “answered”</w:t>
      </w:r>
      <w:r w:rsidR="006D3D66">
        <w:rPr>
          <w:szCs w:val="22"/>
        </w:rPr>
        <w:t xml:space="preserve"> calls</w:t>
      </w:r>
      <w:r w:rsidR="00652CDF">
        <w:rPr>
          <w:szCs w:val="22"/>
        </w:rPr>
        <w:t xml:space="preserve"> would result in much higher call answer rates</w:t>
      </w:r>
      <w:r w:rsidR="00515FAC" w:rsidRPr="002C7466">
        <w:rPr>
          <w:szCs w:val="22"/>
        </w:rPr>
        <w:t>.</w:t>
      </w:r>
      <w:r w:rsidR="003E043C" w:rsidRPr="00DB062D">
        <w:rPr>
          <w:rStyle w:val="FootnoteReference"/>
          <w:sz w:val="22"/>
          <w:szCs w:val="22"/>
        </w:rPr>
        <w:footnoteReference w:id="17"/>
      </w:r>
      <w:r>
        <w:rPr>
          <w:szCs w:val="22"/>
        </w:rPr>
        <w:t xml:space="preserve">  </w:t>
      </w:r>
      <w:r w:rsidR="00C7197A" w:rsidRPr="00FC4AE6">
        <w:rPr>
          <w:szCs w:val="22"/>
        </w:rPr>
        <w:t xml:space="preserve">In </w:t>
      </w:r>
      <w:r w:rsidR="003E043C" w:rsidRPr="00FC4AE6">
        <w:rPr>
          <w:szCs w:val="22"/>
        </w:rPr>
        <w:t>response</w:t>
      </w:r>
      <w:r w:rsidR="00F4380E" w:rsidRPr="00FC4AE6">
        <w:rPr>
          <w:szCs w:val="22"/>
        </w:rPr>
        <w:t>,</w:t>
      </w:r>
      <w:r w:rsidR="00C7197A" w:rsidRPr="00FC4AE6">
        <w:rPr>
          <w:rStyle w:val="FootnoteReference"/>
          <w:sz w:val="22"/>
          <w:szCs w:val="22"/>
          <w:vertAlign w:val="baseline"/>
        </w:rPr>
        <w:t xml:space="preserve"> </w:t>
      </w:r>
      <w:r w:rsidR="00C7197A" w:rsidRPr="00FC4AE6">
        <w:rPr>
          <w:szCs w:val="22"/>
        </w:rPr>
        <w:t>the Bureau released a Public Notice on April 21, 2014,</w:t>
      </w:r>
      <w:r w:rsidR="00123D5D" w:rsidRPr="00DB062D">
        <w:rPr>
          <w:rStyle w:val="FootnoteReference"/>
          <w:sz w:val="22"/>
          <w:szCs w:val="22"/>
        </w:rPr>
        <w:footnoteReference w:id="18"/>
      </w:r>
      <w:r w:rsidR="00C7197A" w:rsidRPr="00FC4AE6">
        <w:rPr>
          <w:szCs w:val="22"/>
        </w:rPr>
        <w:t xml:space="preserve"> seeking</w:t>
      </w:r>
      <w:r w:rsidR="003E043C" w:rsidRPr="00FC4AE6">
        <w:rPr>
          <w:szCs w:val="22"/>
        </w:rPr>
        <w:t xml:space="preserve"> comment on </w:t>
      </w:r>
      <w:r w:rsidR="009677A9">
        <w:rPr>
          <w:szCs w:val="22"/>
        </w:rPr>
        <w:t>“</w:t>
      </w:r>
      <w:r w:rsidR="009677A9" w:rsidRPr="009677A9">
        <w:rPr>
          <w:szCs w:val="22"/>
        </w:rPr>
        <w:t>whether to modify or otherwise provide assistance regarding [the] criteria described in Appendix C of the Rural Call Completion Order for categorizing certain types of call attempts.”</w:t>
      </w:r>
      <w:r w:rsidR="003E043C" w:rsidRPr="00DB062D">
        <w:rPr>
          <w:rStyle w:val="FootnoteReference"/>
          <w:sz w:val="22"/>
          <w:szCs w:val="22"/>
        </w:rPr>
        <w:footnoteReference w:id="19"/>
      </w:r>
      <w:r w:rsidR="00FE5E60" w:rsidRPr="00FC4AE6">
        <w:rPr>
          <w:szCs w:val="22"/>
        </w:rPr>
        <w:t xml:space="preserve">  </w:t>
      </w:r>
      <w:r w:rsidR="003E043C" w:rsidRPr="00FC4AE6">
        <w:rPr>
          <w:szCs w:val="22"/>
        </w:rPr>
        <w:t>The Bureau received comments from</w:t>
      </w:r>
      <w:r w:rsidR="0097425B" w:rsidRPr="00FC4AE6">
        <w:rPr>
          <w:szCs w:val="22"/>
        </w:rPr>
        <w:t xml:space="preserve"> Alliance for Telecommunications Industry Solutions (ATIS),</w:t>
      </w:r>
      <w:r w:rsidR="003E043C" w:rsidRPr="00FC4AE6">
        <w:rPr>
          <w:szCs w:val="22"/>
        </w:rPr>
        <w:t xml:space="preserve"> CenturyLink, COMPTEL, Level 3, the National Cable &amp; Telecommunications Association (NCTA), Verizon and Verizon Wireless (Verizon), </w:t>
      </w:r>
      <w:r w:rsidR="00DC5E0F" w:rsidRPr="00FC4AE6">
        <w:rPr>
          <w:szCs w:val="22"/>
        </w:rPr>
        <w:t xml:space="preserve">the Voice Communication Exchange Committee (VCXC), </w:t>
      </w:r>
      <w:r w:rsidR="003E043C" w:rsidRPr="00FC4AE6">
        <w:rPr>
          <w:szCs w:val="22"/>
        </w:rPr>
        <w:t>XO Communications, LLC (XO)</w:t>
      </w:r>
      <w:r w:rsidR="00B843D7" w:rsidRPr="00FC4AE6">
        <w:rPr>
          <w:szCs w:val="22"/>
        </w:rPr>
        <w:t>, and ZipDX</w:t>
      </w:r>
      <w:r w:rsidR="003E043C" w:rsidRPr="00FC4AE6">
        <w:rPr>
          <w:szCs w:val="22"/>
        </w:rPr>
        <w:t>.</w:t>
      </w:r>
      <w:r w:rsidR="003E043C" w:rsidRPr="00DB062D">
        <w:rPr>
          <w:rStyle w:val="FootnoteReference"/>
          <w:sz w:val="22"/>
          <w:szCs w:val="22"/>
        </w:rPr>
        <w:footnoteReference w:id="20"/>
      </w:r>
      <w:r w:rsidR="00FA22D4" w:rsidRPr="00FC4AE6">
        <w:rPr>
          <w:szCs w:val="22"/>
        </w:rPr>
        <w:t xml:space="preserve">  </w:t>
      </w:r>
    </w:p>
    <w:p w14:paraId="3BC2A80B" w14:textId="77777777" w:rsidR="003E043C" w:rsidRPr="00DB062D" w:rsidRDefault="003E043C" w:rsidP="003E043C">
      <w:pPr>
        <w:pStyle w:val="Heading1"/>
        <w:widowControl/>
        <w:spacing w:after="220"/>
        <w:rPr>
          <w:rFonts w:ascii="Times New Roman" w:hAnsi="Times New Roman"/>
          <w:szCs w:val="22"/>
        </w:rPr>
      </w:pPr>
      <w:bookmarkStart w:id="4" w:name="_Toc400549571"/>
      <w:r w:rsidRPr="00DB062D">
        <w:rPr>
          <w:rFonts w:ascii="Times New Roman" w:hAnsi="Times New Roman"/>
          <w:szCs w:val="22"/>
        </w:rPr>
        <w:t>discussion</w:t>
      </w:r>
      <w:bookmarkEnd w:id="4"/>
    </w:p>
    <w:p w14:paraId="35B572B5" w14:textId="77777777" w:rsidR="00244192" w:rsidRDefault="0019716D" w:rsidP="00234E06">
      <w:pPr>
        <w:pStyle w:val="Heading2"/>
      </w:pPr>
      <w:r>
        <w:t>Covered Providers May Not Count Unanswered Call</w:t>
      </w:r>
      <w:r w:rsidR="00015EEE">
        <w:t xml:space="preserve"> Attempt</w:t>
      </w:r>
      <w:r>
        <w:t>s As Answered Calls</w:t>
      </w:r>
    </w:p>
    <w:p w14:paraId="0CFE52E3" w14:textId="77777777" w:rsidR="00753A52" w:rsidRDefault="00753A52" w:rsidP="008D374D">
      <w:pPr>
        <w:pStyle w:val="ParaNum"/>
        <w:widowControl/>
        <w:numPr>
          <w:ilvl w:val="0"/>
          <w:numId w:val="3"/>
        </w:numPr>
        <w:tabs>
          <w:tab w:val="clear" w:pos="1080"/>
          <w:tab w:val="num" w:pos="1440"/>
          <w:tab w:val="left" w:pos="8280"/>
        </w:tabs>
        <w:spacing w:after="240"/>
        <w:rPr>
          <w:szCs w:val="22"/>
        </w:rPr>
      </w:pPr>
      <w:r>
        <w:rPr>
          <w:szCs w:val="22"/>
        </w:rPr>
        <w:t>T</w:t>
      </w:r>
      <w:r w:rsidR="00C91325">
        <w:rPr>
          <w:szCs w:val="22"/>
        </w:rPr>
        <w:t xml:space="preserve">he </w:t>
      </w:r>
      <w:r w:rsidR="00C91325" w:rsidRPr="00FC4AE6">
        <w:rPr>
          <w:i/>
          <w:szCs w:val="22"/>
        </w:rPr>
        <w:t>Rural Call Completion Order</w:t>
      </w:r>
      <w:r w:rsidR="00C91325">
        <w:rPr>
          <w:szCs w:val="22"/>
        </w:rPr>
        <w:t xml:space="preserve"> </w:t>
      </w:r>
      <w:r>
        <w:rPr>
          <w:szCs w:val="22"/>
        </w:rPr>
        <w:t xml:space="preserve">made clear </w:t>
      </w:r>
      <w:r w:rsidR="00C91325">
        <w:rPr>
          <w:szCs w:val="22"/>
        </w:rPr>
        <w:t>that the Commission did not intend to permit covered providers to count unanswered call</w:t>
      </w:r>
      <w:r w:rsidR="006D3D66">
        <w:rPr>
          <w:szCs w:val="22"/>
        </w:rPr>
        <w:t xml:space="preserve"> attempt</w:t>
      </w:r>
      <w:r w:rsidR="00C91325">
        <w:rPr>
          <w:szCs w:val="22"/>
        </w:rPr>
        <w:t xml:space="preserve">s as answered calls.  </w:t>
      </w:r>
      <w:r w:rsidR="00C91325" w:rsidRPr="00DB062D">
        <w:rPr>
          <w:szCs w:val="22"/>
        </w:rPr>
        <w:t xml:space="preserve">The </w:t>
      </w:r>
      <w:r w:rsidR="00C91325" w:rsidRPr="00DB062D">
        <w:rPr>
          <w:i/>
          <w:szCs w:val="22"/>
        </w:rPr>
        <w:t xml:space="preserve">Order </w:t>
      </w:r>
      <w:r w:rsidR="00C91325" w:rsidRPr="00DB062D">
        <w:rPr>
          <w:szCs w:val="22"/>
        </w:rPr>
        <w:t xml:space="preserve">defined an “answered call” as “a call that was answered by or on behalf of the called party </w:t>
      </w:r>
      <w:r w:rsidR="00C91325">
        <w:rPr>
          <w:szCs w:val="22"/>
        </w:rPr>
        <w:t>. . .</w:t>
      </w:r>
      <w:r w:rsidR="00C91325" w:rsidRPr="00DB062D">
        <w:rPr>
          <w:szCs w:val="22"/>
        </w:rPr>
        <w:t xml:space="preserve"> causing the network to register that the terminating party is prepared to receive information from the calling user.”</w:t>
      </w:r>
      <w:r w:rsidR="00C91325" w:rsidRPr="00DB062D">
        <w:rPr>
          <w:rStyle w:val="FootnoteReference"/>
          <w:sz w:val="22"/>
          <w:szCs w:val="22"/>
        </w:rPr>
        <w:footnoteReference w:id="21"/>
      </w:r>
      <w:r w:rsidR="00C91325" w:rsidRPr="00FC4AE6">
        <w:rPr>
          <w:i/>
          <w:szCs w:val="22"/>
        </w:rPr>
        <w:t xml:space="preserve"> </w:t>
      </w:r>
      <w:r w:rsidR="00C91325">
        <w:rPr>
          <w:szCs w:val="22"/>
        </w:rPr>
        <w:t xml:space="preserve"> </w:t>
      </w:r>
      <w:r w:rsidR="0019716D">
        <w:rPr>
          <w:szCs w:val="22"/>
        </w:rPr>
        <w:t>That definition is not met when a calling party hangs up before the called party answers the call.</w:t>
      </w:r>
      <w:r>
        <w:rPr>
          <w:szCs w:val="22"/>
        </w:rPr>
        <w:t xml:space="preserve">  Nothing in Appendix C contradicts that intent.</w:t>
      </w:r>
      <w:r w:rsidR="0019716D">
        <w:rPr>
          <w:szCs w:val="22"/>
        </w:rPr>
        <w:t xml:space="preserve">  </w:t>
      </w:r>
    </w:p>
    <w:p w14:paraId="13BE8CBC" w14:textId="77777777" w:rsidR="0019716D" w:rsidRDefault="009933F1" w:rsidP="008D374D">
      <w:pPr>
        <w:pStyle w:val="ParaNum"/>
        <w:widowControl/>
        <w:numPr>
          <w:ilvl w:val="0"/>
          <w:numId w:val="3"/>
        </w:numPr>
        <w:tabs>
          <w:tab w:val="clear" w:pos="1080"/>
          <w:tab w:val="num" w:pos="1440"/>
          <w:tab w:val="left" w:pos="8280"/>
        </w:tabs>
        <w:spacing w:after="240"/>
        <w:rPr>
          <w:szCs w:val="22"/>
        </w:rPr>
      </w:pPr>
      <w:r>
        <w:rPr>
          <w:szCs w:val="22"/>
        </w:rPr>
        <w:t xml:space="preserve">Appendix C was </w:t>
      </w:r>
      <w:r w:rsidR="00753A52">
        <w:rPr>
          <w:szCs w:val="22"/>
        </w:rPr>
        <w:t xml:space="preserve">developed </w:t>
      </w:r>
      <w:r>
        <w:rPr>
          <w:szCs w:val="22"/>
        </w:rPr>
        <w:t>to provide a format for certain data reporting</w:t>
      </w:r>
      <w:r w:rsidR="00753A52">
        <w:rPr>
          <w:szCs w:val="22"/>
        </w:rPr>
        <w:t>; it does</w:t>
      </w:r>
      <w:r>
        <w:rPr>
          <w:szCs w:val="22"/>
        </w:rPr>
        <w:t xml:space="preserve"> not </w:t>
      </w:r>
      <w:r w:rsidR="00753A52">
        <w:rPr>
          <w:szCs w:val="22"/>
        </w:rPr>
        <w:t>create</w:t>
      </w:r>
      <w:r w:rsidR="000F7A81">
        <w:rPr>
          <w:szCs w:val="22"/>
        </w:rPr>
        <w:t>,</w:t>
      </w:r>
      <w:r w:rsidR="00753A52">
        <w:rPr>
          <w:szCs w:val="22"/>
        </w:rPr>
        <w:t xml:space="preserve"> modify</w:t>
      </w:r>
      <w:r w:rsidR="000F7A81">
        <w:rPr>
          <w:szCs w:val="22"/>
        </w:rPr>
        <w:t xml:space="preserve"> or narrow </w:t>
      </w:r>
      <w:r>
        <w:rPr>
          <w:szCs w:val="22"/>
        </w:rPr>
        <w:t xml:space="preserve">terms already discussed in detail in the </w:t>
      </w:r>
      <w:r>
        <w:rPr>
          <w:i/>
          <w:szCs w:val="22"/>
        </w:rPr>
        <w:t>Order.</w:t>
      </w:r>
      <w:r w:rsidR="00E93F41">
        <w:rPr>
          <w:rStyle w:val="FootnoteReference"/>
          <w:i/>
          <w:szCs w:val="22"/>
        </w:rPr>
        <w:footnoteReference w:id="22"/>
      </w:r>
      <w:r>
        <w:rPr>
          <w:i/>
          <w:szCs w:val="22"/>
        </w:rPr>
        <w:t xml:space="preserve">  </w:t>
      </w:r>
      <w:r w:rsidR="00E93F41">
        <w:rPr>
          <w:szCs w:val="22"/>
        </w:rPr>
        <w:t>Moreover</w:t>
      </w:r>
      <w:r w:rsidR="0019716D">
        <w:rPr>
          <w:szCs w:val="22"/>
        </w:rPr>
        <w:t xml:space="preserve">, we find that </w:t>
      </w:r>
      <w:r>
        <w:rPr>
          <w:szCs w:val="22"/>
        </w:rPr>
        <w:t xml:space="preserve">the legend to </w:t>
      </w:r>
      <w:r w:rsidR="0019716D">
        <w:rPr>
          <w:szCs w:val="22"/>
        </w:rPr>
        <w:t xml:space="preserve">Appendix C must be viewed in light of the </w:t>
      </w:r>
      <w:r w:rsidR="0019716D" w:rsidRPr="00FC4AE6">
        <w:rPr>
          <w:i/>
          <w:szCs w:val="22"/>
        </w:rPr>
        <w:t>Rural Call Completion Order</w:t>
      </w:r>
      <w:r w:rsidR="0019716D">
        <w:rPr>
          <w:szCs w:val="22"/>
        </w:rPr>
        <w:t xml:space="preserve"> as a whole.  </w:t>
      </w:r>
      <w:r w:rsidR="00E93F41">
        <w:rPr>
          <w:szCs w:val="22"/>
        </w:rPr>
        <w:t xml:space="preserve">Some parties suggest that the legend to Appendix C, viewed in isolation, could be read to permit covered providers to count call attempts as “answered” as long as the network generates SIP cause code 16, even if the calling party hangs up before the call is answered.  We disagree.  That reading </w:t>
      </w:r>
      <w:r w:rsidR="000F7A81">
        <w:rPr>
          <w:szCs w:val="22"/>
        </w:rPr>
        <w:t xml:space="preserve">is inconsistent with the language of the </w:t>
      </w:r>
      <w:r w:rsidR="000F7A81" w:rsidRPr="00BE4C19">
        <w:rPr>
          <w:i/>
          <w:szCs w:val="22"/>
        </w:rPr>
        <w:t>Order</w:t>
      </w:r>
      <w:r w:rsidR="000F7A81">
        <w:rPr>
          <w:szCs w:val="22"/>
        </w:rPr>
        <w:t xml:space="preserve"> and ignores the fact that Appendix C provides a filing “template.”</w:t>
      </w:r>
      <w:r w:rsidR="000F7A81">
        <w:rPr>
          <w:rStyle w:val="FootnoteReference"/>
          <w:szCs w:val="22"/>
        </w:rPr>
        <w:footnoteReference w:id="23"/>
      </w:r>
      <w:r w:rsidR="000F7A81">
        <w:rPr>
          <w:szCs w:val="22"/>
        </w:rPr>
        <w:t xml:space="preserve"> </w:t>
      </w:r>
      <w:r w:rsidR="00E93F41">
        <w:rPr>
          <w:szCs w:val="22"/>
        </w:rPr>
        <w:t xml:space="preserve"> </w:t>
      </w:r>
      <w:r w:rsidR="0019716D">
        <w:rPr>
          <w:szCs w:val="22"/>
        </w:rPr>
        <w:t xml:space="preserve">We </w:t>
      </w:r>
      <w:r w:rsidR="000F7A81">
        <w:rPr>
          <w:szCs w:val="22"/>
        </w:rPr>
        <w:t xml:space="preserve">therefore </w:t>
      </w:r>
      <w:r w:rsidR="009677A9">
        <w:rPr>
          <w:szCs w:val="22"/>
        </w:rPr>
        <w:t>clarify</w:t>
      </w:r>
      <w:r w:rsidR="0019716D" w:rsidRPr="00BD070F">
        <w:rPr>
          <w:szCs w:val="22"/>
        </w:rPr>
        <w:t xml:space="preserve"> that covered provider</w:t>
      </w:r>
      <w:r w:rsidR="0019716D">
        <w:rPr>
          <w:szCs w:val="22"/>
        </w:rPr>
        <w:t>s</w:t>
      </w:r>
      <w:r w:rsidR="0019716D" w:rsidRPr="00BD070F">
        <w:rPr>
          <w:szCs w:val="22"/>
        </w:rPr>
        <w:t xml:space="preserve"> may </w:t>
      </w:r>
      <w:r w:rsidR="0019716D">
        <w:rPr>
          <w:szCs w:val="22"/>
        </w:rPr>
        <w:t xml:space="preserve">count </w:t>
      </w:r>
      <w:r w:rsidR="000F7A81">
        <w:rPr>
          <w:szCs w:val="22"/>
        </w:rPr>
        <w:t xml:space="preserve">as answered calls </w:t>
      </w:r>
      <w:r w:rsidR="0019716D">
        <w:rPr>
          <w:szCs w:val="22"/>
        </w:rPr>
        <w:t>only call</w:t>
      </w:r>
      <w:r w:rsidR="006D3D66">
        <w:rPr>
          <w:szCs w:val="22"/>
        </w:rPr>
        <w:t xml:space="preserve"> attempt</w:t>
      </w:r>
      <w:r w:rsidR="0019716D">
        <w:rPr>
          <w:szCs w:val="22"/>
        </w:rPr>
        <w:t xml:space="preserve">s that meet the definition of “answered calls” in the </w:t>
      </w:r>
      <w:r w:rsidR="0019716D">
        <w:rPr>
          <w:i/>
          <w:szCs w:val="22"/>
        </w:rPr>
        <w:t>Order</w:t>
      </w:r>
      <w:r w:rsidR="0019716D">
        <w:rPr>
          <w:szCs w:val="22"/>
        </w:rPr>
        <w:t xml:space="preserve">.  </w:t>
      </w:r>
      <w:r w:rsidR="000F7A81">
        <w:rPr>
          <w:szCs w:val="22"/>
        </w:rPr>
        <w:t>If</w:t>
      </w:r>
      <w:r w:rsidR="0019716D">
        <w:rPr>
          <w:szCs w:val="22"/>
        </w:rPr>
        <w:t xml:space="preserve"> the calling party hangs up before a call</w:t>
      </w:r>
      <w:r w:rsidR="006D3D66">
        <w:rPr>
          <w:szCs w:val="22"/>
        </w:rPr>
        <w:t xml:space="preserve"> attempt</w:t>
      </w:r>
      <w:r w:rsidR="0019716D">
        <w:rPr>
          <w:szCs w:val="22"/>
        </w:rPr>
        <w:t xml:space="preserve"> is answered, covered providers may not count that call</w:t>
      </w:r>
      <w:r w:rsidR="006D3D66">
        <w:rPr>
          <w:szCs w:val="22"/>
        </w:rPr>
        <w:t xml:space="preserve"> attempt</w:t>
      </w:r>
      <w:r w:rsidR="0019716D">
        <w:rPr>
          <w:szCs w:val="22"/>
        </w:rPr>
        <w:t xml:space="preserve"> as an answered call even if it generates cause code 16.   </w:t>
      </w:r>
    </w:p>
    <w:p w14:paraId="1029B99A" w14:textId="78E72125" w:rsidR="00472F16" w:rsidRPr="0019716D" w:rsidRDefault="0019716D" w:rsidP="008D374D">
      <w:pPr>
        <w:pStyle w:val="ParaNum"/>
        <w:widowControl/>
        <w:numPr>
          <w:ilvl w:val="0"/>
          <w:numId w:val="3"/>
        </w:numPr>
        <w:tabs>
          <w:tab w:val="clear" w:pos="1080"/>
          <w:tab w:val="num" w:pos="1440"/>
          <w:tab w:val="left" w:pos="8280"/>
        </w:tabs>
        <w:spacing w:after="240"/>
        <w:rPr>
          <w:szCs w:val="22"/>
        </w:rPr>
      </w:pPr>
      <w:r w:rsidRPr="007B2503">
        <w:rPr>
          <w:snapToGrid/>
          <w:kern w:val="0"/>
          <w:szCs w:val="22"/>
        </w:rPr>
        <w:t>We</w:t>
      </w:r>
      <w:r w:rsidRPr="0019716D">
        <w:rPr>
          <w:szCs w:val="22"/>
        </w:rPr>
        <w:t xml:space="preserve"> also find that the Commission intended </w:t>
      </w:r>
      <w:r w:rsidR="00221B23" w:rsidRPr="0019716D">
        <w:rPr>
          <w:szCs w:val="22"/>
        </w:rPr>
        <w:t xml:space="preserve">the </w:t>
      </w:r>
      <w:r w:rsidRPr="0019716D">
        <w:rPr>
          <w:szCs w:val="22"/>
        </w:rPr>
        <w:t>cause codes</w:t>
      </w:r>
      <w:r w:rsidR="00221B23" w:rsidRPr="0019716D">
        <w:rPr>
          <w:szCs w:val="22"/>
        </w:rPr>
        <w:t xml:space="preserve"> </w:t>
      </w:r>
      <w:r w:rsidRPr="0019716D">
        <w:rPr>
          <w:szCs w:val="22"/>
        </w:rPr>
        <w:t xml:space="preserve">referenced </w:t>
      </w:r>
      <w:r w:rsidR="00221B23" w:rsidRPr="0019716D">
        <w:rPr>
          <w:szCs w:val="22"/>
        </w:rPr>
        <w:t xml:space="preserve">in the legend to Appendix C </w:t>
      </w:r>
      <w:r w:rsidRPr="0019716D">
        <w:rPr>
          <w:szCs w:val="22"/>
        </w:rPr>
        <w:t xml:space="preserve">to be used as </w:t>
      </w:r>
      <w:r w:rsidR="00C03036" w:rsidRPr="0019716D">
        <w:rPr>
          <w:szCs w:val="22"/>
        </w:rPr>
        <w:t xml:space="preserve">examples, rather than </w:t>
      </w:r>
      <w:r w:rsidR="00B72F85">
        <w:rPr>
          <w:szCs w:val="22"/>
        </w:rPr>
        <w:t>exhaustive</w:t>
      </w:r>
      <w:r w:rsidR="00B72F85" w:rsidRPr="0019716D">
        <w:rPr>
          <w:szCs w:val="22"/>
        </w:rPr>
        <w:t xml:space="preserve"> </w:t>
      </w:r>
      <w:r w:rsidR="00C03036" w:rsidRPr="0019716D">
        <w:rPr>
          <w:szCs w:val="22"/>
        </w:rPr>
        <w:t xml:space="preserve">definitions, of possible ways for providers to identify the different categories of call attempts </w:t>
      </w:r>
      <w:r w:rsidR="00DE7A66" w:rsidRPr="0019716D">
        <w:rPr>
          <w:szCs w:val="22"/>
        </w:rPr>
        <w:t xml:space="preserve">required by the </w:t>
      </w:r>
      <w:r w:rsidR="00DE7A66" w:rsidRPr="0019716D">
        <w:rPr>
          <w:i/>
          <w:szCs w:val="22"/>
        </w:rPr>
        <w:t>Order</w:t>
      </w:r>
      <w:r w:rsidR="009968C6" w:rsidRPr="0019716D">
        <w:rPr>
          <w:szCs w:val="22"/>
        </w:rPr>
        <w:t>.</w:t>
      </w:r>
      <w:r w:rsidR="00FE5E60" w:rsidRPr="002C7466">
        <w:rPr>
          <w:rStyle w:val="FootnoteReference"/>
          <w:sz w:val="22"/>
          <w:szCs w:val="22"/>
        </w:rPr>
        <w:footnoteReference w:id="24"/>
      </w:r>
      <w:r w:rsidR="009968C6" w:rsidRPr="0019716D">
        <w:rPr>
          <w:szCs w:val="22"/>
        </w:rPr>
        <w:t xml:space="preserve">  </w:t>
      </w:r>
      <w:r w:rsidR="000C2E8A" w:rsidRPr="0019716D">
        <w:rPr>
          <w:szCs w:val="22"/>
        </w:rPr>
        <w:t xml:space="preserve">We reject arguments that </w:t>
      </w:r>
      <w:r w:rsidRPr="0019716D">
        <w:rPr>
          <w:szCs w:val="22"/>
        </w:rPr>
        <w:t xml:space="preserve">the legend to Appendix C </w:t>
      </w:r>
      <w:r w:rsidR="006C030D">
        <w:rPr>
          <w:szCs w:val="22"/>
        </w:rPr>
        <w:t>is inconsistent with or overrides</w:t>
      </w:r>
      <w:r w:rsidRPr="0019716D">
        <w:rPr>
          <w:szCs w:val="22"/>
        </w:rPr>
        <w:t xml:space="preserve"> the language of the </w:t>
      </w:r>
      <w:r w:rsidRPr="0019716D">
        <w:rPr>
          <w:i/>
          <w:szCs w:val="22"/>
        </w:rPr>
        <w:t>Order</w:t>
      </w:r>
      <w:r w:rsidR="000C2E8A" w:rsidRPr="0019716D">
        <w:rPr>
          <w:szCs w:val="22"/>
        </w:rPr>
        <w:t>.</w:t>
      </w:r>
      <w:r w:rsidR="000C2E8A" w:rsidRPr="002C7466">
        <w:rPr>
          <w:rStyle w:val="FootnoteReference"/>
          <w:sz w:val="22"/>
          <w:szCs w:val="22"/>
        </w:rPr>
        <w:footnoteReference w:id="25"/>
      </w:r>
      <w:r w:rsidR="00472F16" w:rsidRPr="0019716D">
        <w:rPr>
          <w:szCs w:val="22"/>
        </w:rPr>
        <w:t xml:space="preserve">  </w:t>
      </w:r>
      <w:r w:rsidR="009677A9" w:rsidRPr="009677A9">
        <w:rPr>
          <w:szCs w:val="22"/>
        </w:rPr>
        <w:t xml:space="preserve">Nothing in the </w:t>
      </w:r>
      <w:r w:rsidR="009677A9" w:rsidRPr="00BE4C19">
        <w:rPr>
          <w:i/>
          <w:szCs w:val="22"/>
        </w:rPr>
        <w:t>Order</w:t>
      </w:r>
      <w:r w:rsidR="009677A9" w:rsidRPr="009677A9">
        <w:rPr>
          <w:szCs w:val="22"/>
        </w:rPr>
        <w:t xml:space="preserve"> suggests such a reading, and, to the contrary, Appen</w:t>
      </w:r>
      <w:r w:rsidR="009677A9">
        <w:rPr>
          <w:szCs w:val="22"/>
        </w:rPr>
        <w:t>dix C</w:t>
      </w:r>
      <w:r w:rsidR="009677A9" w:rsidRPr="009677A9">
        <w:rPr>
          <w:szCs w:val="22"/>
        </w:rPr>
        <w:t xml:space="preserve"> readily lends itself to an interpretation that is consistent with the </w:t>
      </w:r>
      <w:r w:rsidR="009677A9" w:rsidRPr="00BE4C19">
        <w:rPr>
          <w:i/>
          <w:szCs w:val="22"/>
        </w:rPr>
        <w:t>Order</w:t>
      </w:r>
      <w:r w:rsidR="009677A9">
        <w:rPr>
          <w:szCs w:val="22"/>
        </w:rPr>
        <w:t xml:space="preserve">.  For instance, </w:t>
      </w:r>
      <w:r w:rsidR="00113CB9" w:rsidRPr="0019716D">
        <w:rPr>
          <w:szCs w:val="22"/>
        </w:rPr>
        <w:t>Appendix C states that call attempts are “generally”</w:t>
      </w:r>
      <w:r w:rsidR="00AE52EB" w:rsidRPr="0019716D">
        <w:rPr>
          <w:szCs w:val="22"/>
        </w:rPr>
        <w:t xml:space="preserve"> </w:t>
      </w:r>
      <w:r w:rsidR="002C7466" w:rsidRPr="0019716D">
        <w:rPr>
          <w:sz w:val="20"/>
        </w:rPr>
        <w:t>—</w:t>
      </w:r>
      <w:r w:rsidR="00AE52EB" w:rsidRPr="0019716D">
        <w:rPr>
          <w:szCs w:val="22"/>
        </w:rPr>
        <w:t xml:space="preserve"> </w:t>
      </w:r>
      <w:r w:rsidR="00113CB9" w:rsidRPr="0019716D">
        <w:rPr>
          <w:szCs w:val="22"/>
        </w:rPr>
        <w:t>not exclusively</w:t>
      </w:r>
      <w:r w:rsidR="00AE52EB" w:rsidRPr="0019716D">
        <w:rPr>
          <w:szCs w:val="22"/>
        </w:rPr>
        <w:t xml:space="preserve"> </w:t>
      </w:r>
      <w:r w:rsidR="002C7466" w:rsidRPr="0019716D">
        <w:rPr>
          <w:sz w:val="20"/>
        </w:rPr>
        <w:t>—</w:t>
      </w:r>
      <w:r w:rsidR="00AE52EB" w:rsidRPr="0019716D">
        <w:rPr>
          <w:szCs w:val="22"/>
        </w:rPr>
        <w:t xml:space="preserve"> </w:t>
      </w:r>
      <w:r w:rsidR="00113CB9" w:rsidRPr="0019716D">
        <w:rPr>
          <w:szCs w:val="22"/>
        </w:rPr>
        <w:t>categorized by the cause codes identified in the legend.</w:t>
      </w:r>
      <w:r w:rsidR="00113CB9" w:rsidRPr="002C7466">
        <w:rPr>
          <w:rStyle w:val="FootnoteReference"/>
          <w:sz w:val="22"/>
          <w:szCs w:val="22"/>
        </w:rPr>
        <w:footnoteReference w:id="26"/>
      </w:r>
      <w:r w:rsidR="00113CB9" w:rsidRPr="0019716D">
        <w:rPr>
          <w:szCs w:val="22"/>
        </w:rPr>
        <w:t xml:space="preserve">  </w:t>
      </w:r>
      <w:r w:rsidR="00306C07" w:rsidRPr="0019716D">
        <w:rPr>
          <w:szCs w:val="22"/>
        </w:rPr>
        <w:t>T</w:t>
      </w:r>
      <w:r w:rsidR="00113CB9" w:rsidRPr="0019716D">
        <w:rPr>
          <w:szCs w:val="22"/>
        </w:rPr>
        <w:t xml:space="preserve">he </w:t>
      </w:r>
      <w:r w:rsidR="00113CB9" w:rsidRPr="0019716D">
        <w:rPr>
          <w:i/>
          <w:szCs w:val="22"/>
        </w:rPr>
        <w:t xml:space="preserve">Order </w:t>
      </w:r>
      <w:r w:rsidR="00306C07" w:rsidRPr="0019716D">
        <w:rPr>
          <w:szCs w:val="22"/>
        </w:rPr>
        <w:t>explained that an indication</w:t>
      </w:r>
      <w:r w:rsidR="00113CB9" w:rsidRPr="0019716D">
        <w:rPr>
          <w:szCs w:val="22"/>
        </w:rPr>
        <w:t xml:space="preserve"> of whether a call attempt is signaled as “</w:t>
      </w:r>
      <w:r w:rsidR="00306C07" w:rsidRPr="0019716D">
        <w:rPr>
          <w:szCs w:val="22"/>
        </w:rPr>
        <w:t xml:space="preserve">busy, </w:t>
      </w:r>
      <w:r w:rsidR="00113CB9" w:rsidRPr="0019716D">
        <w:rPr>
          <w:szCs w:val="22"/>
        </w:rPr>
        <w:t>ring no answer</w:t>
      </w:r>
      <w:r w:rsidR="00306C07" w:rsidRPr="0019716D">
        <w:rPr>
          <w:szCs w:val="22"/>
        </w:rPr>
        <w:t>, or unassigned number</w:t>
      </w:r>
      <w:r w:rsidR="00113CB9" w:rsidRPr="0019716D">
        <w:rPr>
          <w:szCs w:val="22"/>
        </w:rPr>
        <w:t>” is “</w:t>
      </w:r>
      <w:r w:rsidR="00113CB9" w:rsidRPr="0019716D">
        <w:rPr>
          <w:i/>
          <w:szCs w:val="22"/>
        </w:rPr>
        <w:t>likely</w:t>
      </w:r>
      <w:r w:rsidR="00113CB9" w:rsidRPr="0019716D">
        <w:rPr>
          <w:szCs w:val="22"/>
        </w:rPr>
        <w:t xml:space="preserve"> to take the form of an SS7 signaling cause code or SIP signaling message code</w:t>
      </w:r>
      <w:r>
        <w:rPr>
          <w:szCs w:val="22"/>
        </w:rPr>
        <w:t>,</w:t>
      </w:r>
      <w:r w:rsidR="00113CB9" w:rsidRPr="0019716D">
        <w:rPr>
          <w:szCs w:val="22"/>
        </w:rPr>
        <w:t>” but</w:t>
      </w:r>
      <w:r w:rsidR="00306C07" w:rsidRPr="0019716D">
        <w:rPr>
          <w:szCs w:val="22"/>
        </w:rPr>
        <w:t xml:space="preserve"> the </w:t>
      </w:r>
      <w:r w:rsidR="00306C07" w:rsidRPr="0019716D">
        <w:rPr>
          <w:i/>
          <w:szCs w:val="22"/>
        </w:rPr>
        <w:t xml:space="preserve">Order </w:t>
      </w:r>
      <w:r w:rsidR="00306C07" w:rsidRPr="0019716D">
        <w:rPr>
          <w:szCs w:val="22"/>
        </w:rPr>
        <w:t>de</w:t>
      </w:r>
      <w:r w:rsidR="00113CB9" w:rsidRPr="0019716D">
        <w:rPr>
          <w:szCs w:val="22"/>
        </w:rPr>
        <w:t>clined to fully specify the relevant cause codes.</w:t>
      </w:r>
      <w:r w:rsidR="00113CB9" w:rsidRPr="002C7466">
        <w:rPr>
          <w:rStyle w:val="FootnoteReference"/>
          <w:sz w:val="22"/>
          <w:szCs w:val="22"/>
        </w:rPr>
        <w:footnoteReference w:id="27"/>
      </w:r>
      <w:r w:rsidR="00113CB9" w:rsidRPr="0019716D">
        <w:rPr>
          <w:szCs w:val="22"/>
        </w:rPr>
        <w:t xml:space="preserve">  </w:t>
      </w:r>
      <w:r w:rsidR="00306C07" w:rsidRPr="0019716D">
        <w:rPr>
          <w:szCs w:val="22"/>
        </w:rPr>
        <w:t>Similarly, t</w:t>
      </w:r>
      <w:r w:rsidR="00113CB9" w:rsidRPr="0019716D">
        <w:rPr>
          <w:szCs w:val="22"/>
        </w:rPr>
        <w:t xml:space="preserve">he </w:t>
      </w:r>
      <w:r w:rsidR="00113CB9" w:rsidRPr="0019716D">
        <w:rPr>
          <w:i/>
          <w:szCs w:val="22"/>
        </w:rPr>
        <w:t xml:space="preserve">Order </w:t>
      </w:r>
      <w:r w:rsidR="00113CB9" w:rsidRPr="0019716D">
        <w:rPr>
          <w:szCs w:val="22"/>
        </w:rPr>
        <w:t>merely identifies several cause codes that may indicate that a call is “busy</w:t>
      </w:r>
      <w:r w:rsidR="006C030D">
        <w:rPr>
          <w:szCs w:val="22"/>
        </w:rPr>
        <w:t>;</w:t>
      </w:r>
      <w:r w:rsidR="00113CB9" w:rsidRPr="0019716D">
        <w:rPr>
          <w:szCs w:val="22"/>
        </w:rPr>
        <w:t>” it does not state that these codes are the exclusive identifiers of “busy” call</w:t>
      </w:r>
      <w:r w:rsidR="00015EEE">
        <w:rPr>
          <w:szCs w:val="22"/>
        </w:rPr>
        <w:t xml:space="preserve"> attempt</w:t>
      </w:r>
      <w:r w:rsidR="00113CB9" w:rsidRPr="0019716D">
        <w:rPr>
          <w:szCs w:val="22"/>
        </w:rPr>
        <w:t>s.</w:t>
      </w:r>
      <w:r w:rsidR="00113CB9" w:rsidRPr="002C7466">
        <w:rPr>
          <w:rStyle w:val="FootnoteReference"/>
          <w:sz w:val="22"/>
          <w:szCs w:val="22"/>
        </w:rPr>
        <w:footnoteReference w:id="28"/>
      </w:r>
      <w:r w:rsidR="00113CB9" w:rsidRPr="0019716D">
        <w:rPr>
          <w:szCs w:val="22"/>
        </w:rPr>
        <w:t xml:space="preserve">  </w:t>
      </w:r>
    </w:p>
    <w:p w14:paraId="2BC2105B" w14:textId="77777777" w:rsidR="00306C07" w:rsidRPr="002C7466" w:rsidRDefault="00472F16" w:rsidP="008D374D">
      <w:pPr>
        <w:pStyle w:val="ParaNum"/>
        <w:widowControl/>
        <w:numPr>
          <w:ilvl w:val="0"/>
          <w:numId w:val="3"/>
        </w:numPr>
        <w:tabs>
          <w:tab w:val="clear" w:pos="1080"/>
          <w:tab w:val="num" w:pos="1440"/>
          <w:tab w:val="left" w:pos="8280"/>
        </w:tabs>
        <w:spacing w:after="240"/>
        <w:rPr>
          <w:szCs w:val="22"/>
        </w:rPr>
      </w:pPr>
      <w:r w:rsidRPr="007B2503">
        <w:rPr>
          <w:snapToGrid/>
          <w:kern w:val="0"/>
          <w:szCs w:val="22"/>
        </w:rPr>
        <w:t>Perhaps</w:t>
      </w:r>
      <w:r w:rsidRPr="002C7466">
        <w:rPr>
          <w:szCs w:val="22"/>
        </w:rPr>
        <w:t xml:space="preserve"> most significantly, the Commission stated in the </w:t>
      </w:r>
      <w:r w:rsidRPr="00DB062D">
        <w:rPr>
          <w:i/>
          <w:szCs w:val="22"/>
        </w:rPr>
        <w:t xml:space="preserve">Order </w:t>
      </w:r>
      <w:r w:rsidRPr="00DB062D">
        <w:rPr>
          <w:szCs w:val="22"/>
        </w:rPr>
        <w:t>that its intent is to collect the required data “while accommodating differences in the specific cause codes or other data that providers may have, to give them flexibility to report such data based on their own network configurations,” and “to accommodate differences in signaling technology.”</w:t>
      </w:r>
      <w:r w:rsidRPr="002C7466">
        <w:rPr>
          <w:rStyle w:val="FootnoteReference"/>
          <w:sz w:val="22"/>
          <w:szCs w:val="22"/>
        </w:rPr>
        <w:footnoteReference w:id="29"/>
      </w:r>
      <w:r w:rsidRPr="00DB062D">
        <w:rPr>
          <w:szCs w:val="22"/>
        </w:rPr>
        <w:t xml:space="preserve">  Prescribing </w:t>
      </w:r>
      <w:r w:rsidR="009677A9">
        <w:rPr>
          <w:szCs w:val="22"/>
        </w:rPr>
        <w:t xml:space="preserve">a rigid menu of </w:t>
      </w:r>
      <w:r w:rsidRPr="00DB062D">
        <w:rPr>
          <w:szCs w:val="22"/>
        </w:rPr>
        <w:t xml:space="preserve">specific codes </w:t>
      </w:r>
      <w:r w:rsidR="009677A9" w:rsidRPr="009677A9">
        <w:rPr>
          <w:szCs w:val="22"/>
        </w:rPr>
        <w:t xml:space="preserve">that must always be used, regardless of circumstance, </w:t>
      </w:r>
      <w:r w:rsidRPr="00DB062D">
        <w:rPr>
          <w:szCs w:val="22"/>
        </w:rPr>
        <w:t xml:space="preserve">would be contrary to this specified intent.  </w:t>
      </w:r>
      <w:r w:rsidR="00DE7A66">
        <w:rPr>
          <w:szCs w:val="22"/>
        </w:rPr>
        <w:t>T</w:t>
      </w:r>
      <w:r w:rsidR="00113CB9" w:rsidRPr="00DB062D">
        <w:rPr>
          <w:szCs w:val="22"/>
        </w:rPr>
        <w:t xml:space="preserve">he rules adopted in the </w:t>
      </w:r>
      <w:r w:rsidR="00113CB9" w:rsidRPr="00DB062D">
        <w:rPr>
          <w:i/>
          <w:szCs w:val="22"/>
        </w:rPr>
        <w:t>Rural Call Completion Order</w:t>
      </w:r>
      <w:r w:rsidR="00113CB9" w:rsidRPr="00DB062D">
        <w:rPr>
          <w:szCs w:val="22"/>
        </w:rPr>
        <w:t xml:space="preserve"> that address recordkeeping and retention state that </w:t>
      </w:r>
      <w:r w:rsidR="00341E69" w:rsidRPr="00DB062D">
        <w:rPr>
          <w:szCs w:val="22"/>
        </w:rPr>
        <w:t xml:space="preserve">an </w:t>
      </w:r>
      <w:r w:rsidR="00113CB9" w:rsidRPr="002C7466">
        <w:rPr>
          <w:szCs w:val="22"/>
        </w:rPr>
        <w:t>“indication [of whether the call attempt was signaled busy, ring no answer, or unassigned number] may take the form of an SS7 signaling cause code or SIP signaling message code as</w:t>
      </w:r>
      <w:r w:rsidR="00306C07" w:rsidRPr="002C7466">
        <w:rPr>
          <w:szCs w:val="22"/>
        </w:rPr>
        <w:t>sociated with each call attempt,</w:t>
      </w:r>
      <w:r w:rsidR="00113CB9" w:rsidRPr="002C7466">
        <w:rPr>
          <w:szCs w:val="22"/>
        </w:rPr>
        <w:t>”</w:t>
      </w:r>
      <w:r w:rsidR="00306C07" w:rsidRPr="002C7466">
        <w:rPr>
          <w:szCs w:val="22"/>
        </w:rPr>
        <w:t xml:space="preserve"> without specifying any particular codes.</w:t>
      </w:r>
      <w:r w:rsidR="00113CB9" w:rsidRPr="002C7466">
        <w:rPr>
          <w:rStyle w:val="FootnoteReference"/>
          <w:sz w:val="22"/>
          <w:szCs w:val="22"/>
        </w:rPr>
        <w:footnoteReference w:id="30"/>
      </w:r>
      <w:r w:rsidR="00113CB9" w:rsidRPr="002C7466">
        <w:rPr>
          <w:szCs w:val="22"/>
        </w:rPr>
        <w:t xml:space="preserve">  </w:t>
      </w:r>
    </w:p>
    <w:p w14:paraId="4EFA2A81" w14:textId="77777777" w:rsidR="000C2E8A" w:rsidRPr="002C7466" w:rsidRDefault="00B1792D" w:rsidP="008D374D">
      <w:pPr>
        <w:pStyle w:val="ParaNum"/>
        <w:widowControl/>
        <w:numPr>
          <w:ilvl w:val="0"/>
          <w:numId w:val="3"/>
        </w:numPr>
        <w:tabs>
          <w:tab w:val="clear" w:pos="1080"/>
          <w:tab w:val="num" w:pos="1440"/>
          <w:tab w:val="left" w:pos="8280"/>
        </w:tabs>
        <w:spacing w:after="240"/>
        <w:rPr>
          <w:szCs w:val="22"/>
        </w:rPr>
      </w:pPr>
      <w:r w:rsidRPr="00DB062D">
        <w:rPr>
          <w:szCs w:val="22"/>
        </w:rPr>
        <w:t xml:space="preserve"> </w:t>
      </w:r>
      <w:r w:rsidR="003C55ED" w:rsidRPr="00DB062D">
        <w:rPr>
          <w:szCs w:val="22"/>
        </w:rPr>
        <w:t>S</w:t>
      </w:r>
      <w:r w:rsidR="0075579A" w:rsidRPr="00DB062D">
        <w:rPr>
          <w:szCs w:val="22"/>
        </w:rPr>
        <w:t xml:space="preserve">everal commenters argue that </w:t>
      </w:r>
      <w:r w:rsidR="00AD77E6" w:rsidRPr="00DB062D">
        <w:rPr>
          <w:szCs w:val="22"/>
        </w:rPr>
        <w:t>categorizing “answered,” “busy,” “ring no answer,” and “unassigned number” call</w:t>
      </w:r>
      <w:r w:rsidR="00BA73B8" w:rsidRPr="00DB062D">
        <w:rPr>
          <w:szCs w:val="22"/>
        </w:rPr>
        <w:t xml:space="preserve"> attempt</w:t>
      </w:r>
      <w:r w:rsidR="00AD77E6" w:rsidRPr="00DB062D">
        <w:rPr>
          <w:szCs w:val="22"/>
        </w:rPr>
        <w:t>s consistent with the ISUP Cause values and corresponding SIP Response messages identified in the Appendix C legend will result in confusion and the submission of inaccurate data.</w:t>
      </w:r>
      <w:r w:rsidR="00AD77E6" w:rsidRPr="002C7466">
        <w:rPr>
          <w:rStyle w:val="FootnoteReference"/>
          <w:sz w:val="22"/>
          <w:szCs w:val="22"/>
        </w:rPr>
        <w:footnoteReference w:id="31"/>
      </w:r>
      <w:r w:rsidR="00AD77E6" w:rsidRPr="00DB062D">
        <w:rPr>
          <w:szCs w:val="22"/>
        </w:rPr>
        <w:t xml:space="preserve">  </w:t>
      </w:r>
      <w:r w:rsidR="00306C07" w:rsidRPr="00DB062D">
        <w:rPr>
          <w:szCs w:val="22"/>
        </w:rPr>
        <w:t xml:space="preserve">We </w:t>
      </w:r>
      <w:r w:rsidR="0019716D">
        <w:rPr>
          <w:szCs w:val="22"/>
        </w:rPr>
        <w:t>reject</w:t>
      </w:r>
      <w:r w:rsidR="00306C07" w:rsidRPr="00DB062D">
        <w:rPr>
          <w:szCs w:val="22"/>
        </w:rPr>
        <w:t xml:space="preserve"> these claims</w:t>
      </w:r>
      <w:r w:rsidR="006B4BF7">
        <w:rPr>
          <w:szCs w:val="22"/>
        </w:rPr>
        <w:t xml:space="preserve"> b</w:t>
      </w:r>
      <w:r w:rsidR="00306C07" w:rsidRPr="00DB062D">
        <w:rPr>
          <w:szCs w:val="22"/>
        </w:rPr>
        <w:t xml:space="preserve">ecause the Appendix C call attempt category descriptions merely serve as </w:t>
      </w:r>
      <w:r w:rsidR="00FC4AE6">
        <w:rPr>
          <w:szCs w:val="22"/>
        </w:rPr>
        <w:t>examples</w:t>
      </w:r>
      <w:r w:rsidR="00DE7A66">
        <w:rPr>
          <w:szCs w:val="22"/>
        </w:rPr>
        <w:t xml:space="preserve">; </w:t>
      </w:r>
      <w:r w:rsidR="00306C07" w:rsidRPr="00DB062D">
        <w:rPr>
          <w:szCs w:val="22"/>
        </w:rPr>
        <w:t xml:space="preserve">they may not </w:t>
      </w:r>
      <w:r w:rsidR="00DE7A66">
        <w:rPr>
          <w:szCs w:val="22"/>
        </w:rPr>
        <w:t xml:space="preserve">fully </w:t>
      </w:r>
      <w:r w:rsidR="00306C07" w:rsidRPr="00DB062D">
        <w:rPr>
          <w:szCs w:val="22"/>
        </w:rPr>
        <w:t>capture every call attempt category</w:t>
      </w:r>
      <w:r w:rsidR="006971C3">
        <w:rPr>
          <w:szCs w:val="22"/>
        </w:rPr>
        <w:t xml:space="preserve"> completely</w:t>
      </w:r>
      <w:r w:rsidR="00A265A0">
        <w:rPr>
          <w:szCs w:val="22"/>
        </w:rPr>
        <w:t xml:space="preserve">, and they may not be </w:t>
      </w:r>
      <w:r w:rsidR="009677A9">
        <w:rPr>
          <w:szCs w:val="22"/>
        </w:rPr>
        <w:t>appropriate</w:t>
      </w:r>
      <w:r w:rsidR="00A265A0">
        <w:rPr>
          <w:szCs w:val="22"/>
        </w:rPr>
        <w:t xml:space="preserve"> in all cases</w:t>
      </w:r>
      <w:r w:rsidR="00306C07" w:rsidRPr="00DB062D">
        <w:rPr>
          <w:szCs w:val="22"/>
        </w:rPr>
        <w:t>.</w:t>
      </w:r>
      <w:r w:rsidR="00A265A0">
        <w:rPr>
          <w:szCs w:val="22"/>
        </w:rPr>
        <w:t xml:space="preserve">  Since the Appendix C codes are merely examples, providers must determine whether they are appropriate for use in each case.</w:t>
      </w:r>
      <w:r w:rsidR="00306C07" w:rsidRPr="00DB062D">
        <w:rPr>
          <w:szCs w:val="22"/>
        </w:rPr>
        <w:t xml:space="preserve">  </w:t>
      </w:r>
      <w:r w:rsidR="000C2E8A" w:rsidRPr="00DB062D">
        <w:rPr>
          <w:szCs w:val="22"/>
        </w:rPr>
        <w:t xml:space="preserve">For similar reasons, we </w:t>
      </w:r>
      <w:r w:rsidR="009677A9">
        <w:rPr>
          <w:szCs w:val="22"/>
        </w:rPr>
        <w:t xml:space="preserve">find no reason </w:t>
      </w:r>
      <w:r w:rsidR="000C2E8A" w:rsidRPr="00DB062D">
        <w:rPr>
          <w:szCs w:val="22"/>
        </w:rPr>
        <w:t xml:space="preserve">to adopt commenter suggestions to eliminate the specific ISUP cause codes included in </w:t>
      </w:r>
      <w:r w:rsidR="009933F1">
        <w:rPr>
          <w:szCs w:val="22"/>
        </w:rPr>
        <w:t xml:space="preserve">the </w:t>
      </w:r>
      <w:r w:rsidR="000C2E8A" w:rsidRPr="00DB062D">
        <w:rPr>
          <w:szCs w:val="22"/>
        </w:rPr>
        <w:t>Appendix C</w:t>
      </w:r>
      <w:r w:rsidR="009933F1">
        <w:rPr>
          <w:szCs w:val="22"/>
        </w:rPr>
        <w:t xml:space="preserve"> legend</w:t>
      </w:r>
      <w:r w:rsidR="000C2E8A" w:rsidRPr="00DB062D">
        <w:rPr>
          <w:szCs w:val="22"/>
        </w:rPr>
        <w:t>.</w:t>
      </w:r>
      <w:r w:rsidR="000C2E8A" w:rsidRPr="00DB062D">
        <w:rPr>
          <w:rStyle w:val="FootnoteReference"/>
          <w:sz w:val="22"/>
          <w:szCs w:val="22"/>
        </w:rPr>
        <w:footnoteReference w:id="32"/>
      </w:r>
      <w:r w:rsidR="000C2E8A" w:rsidRPr="00DB062D">
        <w:rPr>
          <w:szCs w:val="22"/>
        </w:rPr>
        <w:t xml:space="preserve">  </w:t>
      </w:r>
      <w:r w:rsidR="0019716D">
        <w:rPr>
          <w:szCs w:val="22"/>
        </w:rPr>
        <w:t>Deleting the cause codes listed in Appendix C</w:t>
      </w:r>
      <w:r w:rsidR="000C2E8A" w:rsidRPr="00DB062D">
        <w:rPr>
          <w:szCs w:val="22"/>
        </w:rPr>
        <w:t xml:space="preserve"> would not alter the definitions</w:t>
      </w:r>
      <w:r w:rsidR="000A3B43" w:rsidRPr="00DB062D">
        <w:rPr>
          <w:szCs w:val="22"/>
        </w:rPr>
        <w:t xml:space="preserve"> </w:t>
      </w:r>
      <w:r w:rsidR="0019716D">
        <w:rPr>
          <w:szCs w:val="22"/>
        </w:rPr>
        <w:t xml:space="preserve">in the </w:t>
      </w:r>
      <w:r w:rsidR="0019716D">
        <w:rPr>
          <w:i/>
          <w:szCs w:val="22"/>
        </w:rPr>
        <w:t xml:space="preserve">Order </w:t>
      </w:r>
      <w:r w:rsidR="000A3B43" w:rsidRPr="00DB062D">
        <w:rPr>
          <w:szCs w:val="22"/>
        </w:rPr>
        <w:t xml:space="preserve">that </w:t>
      </w:r>
      <w:r w:rsidR="00FC4AE6">
        <w:rPr>
          <w:szCs w:val="22"/>
        </w:rPr>
        <w:t>covered providers</w:t>
      </w:r>
      <w:r w:rsidR="000A3B43" w:rsidRPr="00DB062D">
        <w:rPr>
          <w:szCs w:val="22"/>
        </w:rPr>
        <w:t xml:space="preserve"> must </w:t>
      </w:r>
      <w:r w:rsidR="0019716D">
        <w:rPr>
          <w:szCs w:val="22"/>
        </w:rPr>
        <w:t>follow</w:t>
      </w:r>
      <w:r w:rsidR="000A3B43" w:rsidRPr="00DB062D">
        <w:rPr>
          <w:szCs w:val="22"/>
        </w:rPr>
        <w:t>, and t</w:t>
      </w:r>
      <w:r w:rsidR="00FC4AE6">
        <w:rPr>
          <w:szCs w:val="22"/>
        </w:rPr>
        <w:t>herefore there is nothing significant to be gained through their elimination.</w:t>
      </w:r>
      <w:r w:rsidR="000C2E8A" w:rsidRPr="00DB062D">
        <w:rPr>
          <w:szCs w:val="22"/>
        </w:rPr>
        <w:t xml:space="preserve">    </w:t>
      </w:r>
    </w:p>
    <w:p w14:paraId="6E3D8096" w14:textId="77777777" w:rsidR="00B1792D" w:rsidRPr="00D008C4" w:rsidRDefault="000C2E8A" w:rsidP="008D374D">
      <w:pPr>
        <w:pStyle w:val="ParaNum"/>
        <w:widowControl/>
        <w:numPr>
          <w:ilvl w:val="0"/>
          <w:numId w:val="3"/>
        </w:numPr>
        <w:tabs>
          <w:tab w:val="clear" w:pos="1080"/>
          <w:tab w:val="num" w:pos="1440"/>
          <w:tab w:val="left" w:pos="8280"/>
        </w:tabs>
        <w:spacing w:after="240"/>
        <w:rPr>
          <w:szCs w:val="22"/>
        </w:rPr>
      </w:pPr>
      <w:r w:rsidRPr="00DB062D">
        <w:rPr>
          <w:szCs w:val="22"/>
        </w:rPr>
        <w:t xml:space="preserve">We also </w:t>
      </w:r>
      <w:r w:rsidR="009677A9">
        <w:rPr>
          <w:szCs w:val="22"/>
        </w:rPr>
        <w:t xml:space="preserve">do not think it necessary </w:t>
      </w:r>
      <w:r w:rsidRPr="00DB062D">
        <w:rPr>
          <w:szCs w:val="22"/>
        </w:rPr>
        <w:t>to specify alternative codes</w:t>
      </w:r>
      <w:r w:rsidR="000A3B43" w:rsidRPr="00DB062D">
        <w:rPr>
          <w:szCs w:val="22"/>
        </w:rPr>
        <w:t xml:space="preserve"> or other call </w:t>
      </w:r>
      <w:r w:rsidR="00001A87">
        <w:rPr>
          <w:szCs w:val="22"/>
        </w:rPr>
        <w:t xml:space="preserve">attempt </w:t>
      </w:r>
      <w:r w:rsidR="000A3B43" w:rsidRPr="00DB062D">
        <w:rPr>
          <w:szCs w:val="22"/>
        </w:rPr>
        <w:t>categorization methods</w:t>
      </w:r>
      <w:r w:rsidRPr="002C7466">
        <w:rPr>
          <w:rStyle w:val="FootnoteReference"/>
          <w:sz w:val="22"/>
          <w:szCs w:val="22"/>
        </w:rPr>
        <w:footnoteReference w:id="33"/>
      </w:r>
      <w:r w:rsidRPr="00DB062D">
        <w:rPr>
          <w:szCs w:val="22"/>
        </w:rPr>
        <w:t xml:space="preserve"> and/or solicit further comment on the code definitions.</w:t>
      </w:r>
      <w:r w:rsidRPr="002C7466">
        <w:rPr>
          <w:rStyle w:val="FootnoteReference"/>
          <w:sz w:val="22"/>
          <w:szCs w:val="22"/>
        </w:rPr>
        <w:footnoteReference w:id="34"/>
      </w:r>
      <w:r w:rsidR="000A3B43" w:rsidRPr="00DB062D">
        <w:rPr>
          <w:szCs w:val="22"/>
        </w:rPr>
        <w:t xml:space="preserve">  </w:t>
      </w:r>
      <w:r w:rsidRPr="00DB062D">
        <w:rPr>
          <w:szCs w:val="22"/>
        </w:rPr>
        <w:t xml:space="preserve">Any </w:t>
      </w:r>
      <w:r w:rsidR="00015EEE">
        <w:rPr>
          <w:szCs w:val="22"/>
        </w:rPr>
        <w:t>undertaking</w:t>
      </w:r>
      <w:r w:rsidRPr="00DB062D">
        <w:rPr>
          <w:szCs w:val="22"/>
        </w:rPr>
        <w:t xml:space="preserve"> to identify specific cause codes as the exclusive methods of categorizing call attempts will necessarily supersede the level of specificity in the </w:t>
      </w:r>
      <w:r w:rsidRPr="00DB062D">
        <w:rPr>
          <w:i/>
          <w:szCs w:val="22"/>
        </w:rPr>
        <w:t xml:space="preserve">Order </w:t>
      </w:r>
      <w:r w:rsidRPr="00DB062D">
        <w:rPr>
          <w:szCs w:val="22"/>
        </w:rPr>
        <w:t xml:space="preserve">and therefore conflict with the </w:t>
      </w:r>
      <w:r w:rsidRPr="00DB062D">
        <w:rPr>
          <w:i/>
          <w:szCs w:val="22"/>
        </w:rPr>
        <w:t>Order</w:t>
      </w:r>
      <w:r w:rsidRPr="00DB062D">
        <w:rPr>
          <w:szCs w:val="22"/>
        </w:rPr>
        <w:t>’s text and intent</w:t>
      </w:r>
      <w:r w:rsidR="000C5EF3" w:rsidRPr="00DB062D">
        <w:rPr>
          <w:szCs w:val="22"/>
        </w:rPr>
        <w:t xml:space="preserve"> to provide flexibility</w:t>
      </w:r>
      <w:r w:rsidRPr="00DB062D">
        <w:rPr>
          <w:szCs w:val="22"/>
        </w:rPr>
        <w:t>.</w:t>
      </w:r>
      <w:r w:rsidRPr="00DB062D">
        <w:rPr>
          <w:szCs w:val="22"/>
          <w:vertAlign w:val="superscript"/>
        </w:rPr>
        <w:footnoteReference w:id="35"/>
      </w:r>
      <w:r w:rsidRPr="00DB062D">
        <w:rPr>
          <w:szCs w:val="22"/>
        </w:rPr>
        <w:t xml:space="preserve">  </w:t>
      </w:r>
      <w:r w:rsidR="00165C46">
        <w:rPr>
          <w:szCs w:val="22"/>
        </w:rPr>
        <w:t>Indeed</w:t>
      </w:r>
      <w:r w:rsidRPr="00DB062D">
        <w:rPr>
          <w:szCs w:val="22"/>
        </w:rPr>
        <w:t xml:space="preserve">, the </w:t>
      </w:r>
      <w:r w:rsidR="00165C46">
        <w:rPr>
          <w:szCs w:val="22"/>
        </w:rPr>
        <w:t>variations</w:t>
      </w:r>
      <w:r w:rsidR="00165C46" w:rsidRPr="00DB062D">
        <w:rPr>
          <w:szCs w:val="22"/>
        </w:rPr>
        <w:t xml:space="preserve"> </w:t>
      </w:r>
      <w:r w:rsidRPr="00DB062D">
        <w:rPr>
          <w:szCs w:val="22"/>
        </w:rPr>
        <w:t xml:space="preserve">in the approaches proposed demonstrate that </w:t>
      </w:r>
      <w:r w:rsidR="00442894">
        <w:rPr>
          <w:szCs w:val="22"/>
        </w:rPr>
        <w:t>providers</w:t>
      </w:r>
      <w:r w:rsidRPr="00DB062D">
        <w:rPr>
          <w:szCs w:val="22"/>
        </w:rPr>
        <w:t>’ systems categorize call</w:t>
      </w:r>
      <w:r w:rsidR="00015EEE">
        <w:rPr>
          <w:szCs w:val="22"/>
        </w:rPr>
        <w:t xml:space="preserve"> attempt</w:t>
      </w:r>
      <w:r w:rsidRPr="00DB062D">
        <w:rPr>
          <w:szCs w:val="22"/>
        </w:rPr>
        <w:t xml:space="preserve">s differently.  </w:t>
      </w:r>
      <w:r w:rsidR="00442894">
        <w:rPr>
          <w:szCs w:val="22"/>
        </w:rPr>
        <w:t xml:space="preserve">Providers </w:t>
      </w:r>
      <w:r w:rsidR="00CE79DA" w:rsidRPr="00DB062D">
        <w:rPr>
          <w:szCs w:val="22"/>
        </w:rPr>
        <w:t xml:space="preserve">should rely on the definitions in the </w:t>
      </w:r>
      <w:r w:rsidR="00CE79DA" w:rsidRPr="00DB062D">
        <w:rPr>
          <w:i/>
          <w:szCs w:val="22"/>
        </w:rPr>
        <w:t>Rural Call Completion Order</w:t>
      </w:r>
      <w:r w:rsidR="00CE79DA" w:rsidRPr="00DB062D">
        <w:rPr>
          <w:szCs w:val="22"/>
        </w:rPr>
        <w:t xml:space="preserve">, and they may consider the codes specified in </w:t>
      </w:r>
      <w:r w:rsidR="009933F1">
        <w:rPr>
          <w:szCs w:val="22"/>
        </w:rPr>
        <w:t xml:space="preserve">the </w:t>
      </w:r>
      <w:r w:rsidR="00CE79DA" w:rsidRPr="00DB062D">
        <w:rPr>
          <w:szCs w:val="22"/>
        </w:rPr>
        <w:t xml:space="preserve">Appendix C </w:t>
      </w:r>
      <w:r w:rsidR="009933F1">
        <w:rPr>
          <w:szCs w:val="22"/>
        </w:rPr>
        <w:t xml:space="preserve">legend </w:t>
      </w:r>
      <w:r w:rsidR="00CE79DA" w:rsidRPr="00DB062D">
        <w:rPr>
          <w:szCs w:val="22"/>
        </w:rPr>
        <w:t xml:space="preserve">as relevant examples.  </w:t>
      </w:r>
      <w:r w:rsidR="00165C46">
        <w:rPr>
          <w:szCs w:val="22"/>
        </w:rPr>
        <w:t>Because</w:t>
      </w:r>
      <w:r w:rsidR="00165C46" w:rsidRPr="00DB062D">
        <w:rPr>
          <w:szCs w:val="22"/>
        </w:rPr>
        <w:t xml:space="preserve"> </w:t>
      </w:r>
      <w:r w:rsidR="00CE79DA" w:rsidRPr="00DB062D">
        <w:rPr>
          <w:szCs w:val="22"/>
        </w:rPr>
        <w:t xml:space="preserve">the </w:t>
      </w:r>
      <w:r w:rsidR="00CE79DA" w:rsidRPr="00DB062D">
        <w:rPr>
          <w:i/>
          <w:szCs w:val="22"/>
        </w:rPr>
        <w:t>Rural Call Completion Order</w:t>
      </w:r>
      <w:r w:rsidR="00CE79DA" w:rsidRPr="00DB062D">
        <w:rPr>
          <w:szCs w:val="22"/>
        </w:rPr>
        <w:t xml:space="preserve"> does not </w:t>
      </w:r>
      <w:r w:rsidR="00165C46">
        <w:rPr>
          <w:szCs w:val="22"/>
        </w:rPr>
        <w:t>precisely define certain</w:t>
      </w:r>
      <w:r w:rsidR="00CE79DA" w:rsidRPr="00DB062D">
        <w:rPr>
          <w:szCs w:val="22"/>
        </w:rPr>
        <w:t xml:space="preserve"> call attempt </w:t>
      </w:r>
      <w:r w:rsidR="00165C46" w:rsidRPr="00DB062D">
        <w:rPr>
          <w:szCs w:val="22"/>
        </w:rPr>
        <w:t>categor</w:t>
      </w:r>
      <w:r w:rsidR="00165C46">
        <w:rPr>
          <w:szCs w:val="22"/>
        </w:rPr>
        <w:t>ies</w:t>
      </w:r>
      <w:r w:rsidR="00CE79DA" w:rsidRPr="00DB062D">
        <w:rPr>
          <w:szCs w:val="22"/>
        </w:rPr>
        <w:t xml:space="preserve">, it permits </w:t>
      </w:r>
      <w:r w:rsidR="009677A9">
        <w:rPr>
          <w:szCs w:val="22"/>
        </w:rPr>
        <w:t xml:space="preserve">some flexibility </w:t>
      </w:r>
      <w:r w:rsidR="00CE79DA" w:rsidRPr="00DB062D">
        <w:rPr>
          <w:szCs w:val="22"/>
        </w:rPr>
        <w:t xml:space="preserve">so long as the approach that </w:t>
      </w:r>
      <w:r w:rsidR="009677A9">
        <w:rPr>
          <w:szCs w:val="22"/>
        </w:rPr>
        <w:t>providers adopt is</w:t>
      </w:r>
      <w:r w:rsidR="00CE79DA" w:rsidRPr="00DB062D">
        <w:rPr>
          <w:szCs w:val="22"/>
        </w:rPr>
        <w:t xml:space="preserve"> consistent with </w:t>
      </w:r>
      <w:r w:rsidR="00CE79DA" w:rsidRPr="002C7466">
        <w:rPr>
          <w:snapToGrid/>
          <w:kern w:val="0"/>
          <w:szCs w:val="22"/>
        </w:rPr>
        <w:t>the</w:t>
      </w:r>
      <w:r w:rsidR="00165C46">
        <w:rPr>
          <w:snapToGrid/>
          <w:kern w:val="0"/>
          <w:szCs w:val="22"/>
        </w:rPr>
        <w:t xml:space="preserve"> language and goals in the</w:t>
      </w:r>
      <w:r w:rsidR="00CE79DA" w:rsidRPr="00DB062D">
        <w:rPr>
          <w:szCs w:val="22"/>
        </w:rPr>
        <w:t xml:space="preserve"> </w:t>
      </w:r>
      <w:r w:rsidR="00CE79DA" w:rsidRPr="00DB062D">
        <w:rPr>
          <w:i/>
          <w:szCs w:val="22"/>
        </w:rPr>
        <w:t>Order</w:t>
      </w:r>
      <w:r w:rsidR="00CE79DA" w:rsidRPr="00DB062D">
        <w:rPr>
          <w:szCs w:val="22"/>
        </w:rPr>
        <w:t>.</w:t>
      </w:r>
      <w:r w:rsidR="00CE79DA" w:rsidRPr="008365C3">
        <w:rPr>
          <w:szCs w:val="22"/>
        </w:rPr>
        <w:t xml:space="preserve">  </w:t>
      </w:r>
    </w:p>
    <w:p w14:paraId="487ADFA5" w14:textId="77777777" w:rsidR="000A3B43" w:rsidRPr="00DB062D" w:rsidRDefault="000A3B43" w:rsidP="008D374D">
      <w:pPr>
        <w:pStyle w:val="ParaNum"/>
        <w:widowControl/>
        <w:numPr>
          <w:ilvl w:val="0"/>
          <w:numId w:val="3"/>
        </w:numPr>
        <w:tabs>
          <w:tab w:val="clear" w:pos="1080"/>
          <w:tab w:val="num" w:pos="1440"/>
          <w:tab w:val="left" w:pos="8280"/>
        </w:tabs>
        <w:spacing w:after="240"/>
        <w:rPr>
          <w:szCs w:val="22"/>
        </w:rPr>
      </w:pPr>
      <w:r w:rsidRPr="00DB062D">
        <w:rPr>
          <w:szCs w:val="22"/>
        </w:rPr>
        <w:t>We disagree with commenters that argue that declining to specify mandatory codes heightens the chances for reporting inaccurate and/or misleading data.</w:t>
      </w:r>
      <w:r w:rsidRPr="00DB062D">
        <w:rPr>
          <w:rStyle w:val="FootnoteReference"/>
          <w:sz w:val="22"/>
          <w:szCs w:val="22"/>
        </w:rPr>
        <w:footnoteReference w:id="36"/>
      </w:r>
      <w:r w:rsidRPr="00DB062D">
        <w:rPr>
          <w:szCs w:val="22"/>
        </w:rPr>
        <w:t xml:space="preserve">  </w:t>
      </w:r>
      <w:r w:rsidR="00165C46">
        <w:rPr>
          <w:szCs w:val="22"/>
        </w:rPr>
        <w:t>A</w:t>
      </w:r>
      <w:r w:rsidR="00165C46" w:rsidRPr="00DB062D">
        <w:rPr>
          <w:szCs w:val="22"/>
        </w:rPr>
        <w:t xml:space="preserve">llowing </w:t>
      </w:r>
      <w:r w:rsidRPr="00DB062D">
        <w:rPr>
          <w:szCs w:val="22"/>
        </w:rPr>
        <w:t xml:space="preserve">providers to identify categories of call attempts in the way that comports best with their existing methods of tracking, recording, and billing (so long as doing so is consistent with the </w:t>
      </w:r>
      <w:r w:rsidRPr="00DB062D">
        <w:rPr>
          <w:i/>
          <w:szCs w:val="22"/>
        </w:rPr>
        <w:t>Order</w:t>
      </w:r>
      <w:r w:rsidRPr="00DB062D">
        <w:rPr>
          <w:szCs w:val="22"/>
        </w:rPr>
        <w:t xml:space="preserve">) will </w:t>
      </w:r>
      <w:r w:rsidR="00165C46" w:rsidRPr="00DB062D">
        <w:rPr>
          <w:szCs w:val="22"/>
        </w:rPr>
        <w:t>produc</w:t>
      </w:r>
      <w:r w:rsidR="00165C46">
        <w:rPr>
          <w:szCs w:val="22"/>
        </w:rPr>
        <w:t>e</w:t>
      </w:r>
      <w:r w:rsidR="00165C46" w:rsidRPr="00DB062D">
        <w:rPr>
          <w:szCs w:val="22"/>
        </w:rPr>
        <w:t xml:space="preserve"> </w:t>
      </w:r>
      <w:r w:rsidRPr="00DB062D">
        <w:rPr>
          <w:szCs w:val="22"/>
        </w:rPr>
        <w:t>more accurate data.  Provider descriptions of the methodologies used to identify call attempt categories will help to ensure that the Bureau is able to interpret the reported data</w:t>
      </w:r>
      <w:r w:rsidR="00165C46">
        <w:rPr>
          <w:szCs w:val="22"/>
        </w:rPr>
        <w:t xml:space="preserve"> accurately</w:t>
      </w:r>
      <w:r w:rsidRPr="00DB062D">
        <w:rPr>
          <w:szCs w:val="22"/>
        </w:rPr>
        <w:t xml:space="preserve">.  Providers therefore </w:t>
      </w:r>
      <w:r w:rsidR="00FF215C" w:rsidRPr="00DB062D">
        <w:rPr>
          <w:szCs w:val="22"/>
        </w:rPr>
        <w:t>should make clear the method used to identify these call attempt categories in their quarterly reports.</w:t>
      </w:r>
      <w:r w:rsidR="002B0C93" w:rsidRPr="002C7466">
        <w:rPr>
          <w:rStyle w:val="FootnoteReference"/>
          <w:sz w:val="22"/>
          <w:szCs w:val="22"/>
        </w:rPr>
        <w:footnoteReference w:id="37"/>
      </w:r>
      <w:r w:rsidR="00FF215C" w:rsidRPr="00DB062D">
        <w:rPr>
          <w:szCs w:val="22"/>
        </w:rPr>
        <w:t xml:space="preserve">  </w:t>
      </w:r>
      <w:r w:rsidRPr="00DB062D">
        <w:rPr>
          <w:szCs w:val="22"/>
        </w:rPr>
        <w:t xml:space="preserve"> </w:t>
      </w:r>
    </w:p>
    <w:p w14:paraId="2CE29F2D" w14:textId="77777777" w:rsidR="00472F16" w:rsidRPr="002C7466" w:rsidRDefault="00472F16" w:rsidP="00472F16">
      <w:pPr>
        <w:pStyle w:val="Heading2"/>
        <w:rPr>
          <w:szCs w:val="22"/>
        </w:rPr>
      </w:pPr>
      <w:r w:rsidRPr="002C7466">
        <w:rPr>
          <w:szCs w:val="22"/>
        </w:rPr>
        <w:t>Additional Commenter Requests</w:t>
      </w:r>
    </w:p>
    <w:p w14:paraId="0D0139D9" w14:textId="7D5482F5" w:rsidR="00FF215C" w:rsidRPr="00DB062D" w:rsidRDefault="00472F16" w:rsidP="008D374D">
      <w:pPr>
        <w:pStyle w:val="ParaNum"/>
        <w:widowControl/>
        <w:numPr>
          <w:ilvl w:val="0"/>
          <w:numId w:val="3"/>
        </w:numPr>
        <w:tabs>
          <w:tab w:val="clear" w:pos="1080"/>
          <w:tab w:val="num" w:pos="1440"/>
          <w:tab w:val="left" w:pos="8280"/>
        </w:tabs>
        <w:spacing w:after="240"/>
        <w:rPr>
          <w:szCs w:val="22"/>
        </w:rPr>
      </w:pPr>
      <w:r w:rsidRPr="00DB062D">
        <w:rPr>
          <w:i/>
          <w:szCs w:val="22"/>
        </w:rPr>
        <w:t xml:space="preserve">Additional Time.  </w:t>
      </w:r>
      <w:r w:rsidR="00FF215C" w:rsidRPr="00DB062D">
        <w:rPr>
          <w:szCs w:val="22"/>
        </w:rPr>
        <w:t xml:space="preserve">Verizon requests additional time if we “modify what constitutes an answered call or require the </w:t>
      </w:r>
      <w:r w:rsidR="00FF215C" w:rsidRPr="007B2503">
        <w:rPr>
          <w:snapToGrid/>
          <w:kern w:val="0"/>
          <w:szCs w:val="22"/>
        </w:rPr>
        <w:t>reporting</w:t>
      </w:r>
      <w:r w:rsidR="00FF215C" w:rsidRPr="00DB062D">
        <w:rPr>
          <w:szCs w:val="22"/>
        </w:rPr>
        <w:t xml:space="preserve"> of additional data.”</w:t>
      </w:r>
      <w:r w:rsidR="00FC4AE6" w:rsidRPr="002C7466">
        <w:rPr>
          <w:rStyle w:val="FootnoteReference"/>
          <w:sz w:val="22"/>
          <w:szCs w:val="22"/>
        </w:rPr>
        <w:footnoteReference w:id="38"/>
      </w:r>
      <w:r w:rsidR="00FF215C" w:rsidRPr="00DB062D">
        <w:rPr>
          <w:szCs w:val="22"/>
        </w:rPr>
        <w:t xml:space="preserve">  </w:t>
      </w:r>
      <w:r w:rsidR="00FC4AE6">
        <w:rPr>
          <w:szCs w:val="22"/>
        </w:rPr>
        <w:t xml:space="preserve">Similarly, </w:t>
      </w:r>
      <w:r w:rsidR="00FC4AE6" w:rsidRPr="00DB062D">
        <w:rPr>
          <w:szCs w:val="22"/>
        </w:rPr>
        <w:t>COMPTEL and XO assert that the Commission should delay the effective date of the recordkeeping, retention, and reporting rules pending the issu</w:t>
      </w:r>
      <w:r w:rsidR="00FC4AE6">
        <w:rPr>
          <w:szCs w:val="22"/>
        </w:rPr>
        <w:t>ance of clarifying instructions</w:t>
      </w:r>
      <w:r w:rsidR="00FC4AE6" w:rsidRPr="002C7466">
        <w:rPr>
          <w:szCs w:val="22"/>
        </w:rPr>
        <w:t>.</w:t>
      </w:r>
      <w:r w:rsidR="00FC4AE6" w:rsidRPr="002C7466">
        <w:rPr>
          <w:rStyle w:val="FootnoteReference"/>
          <w:sz w:val="22"/>
          <w:szCs w:val="22"/>
        </w:rPr>
        <w:footnoteReference w:id="39"/>
      </w:r>
      <w:r w:rsidR="00FC4AE6" w:rsidRPr="002C7466">
        <w:rPr>
          <w:szCs w:val="22"/>
        </w:rPr>
        <w:t xml:space="preserve">  </w:t>
      </w:r>
      <w:r w:rsidR="00165C46">
        <w:rPr>
          <w:szCs w:val="22"/>
        </w:rPr>
        <w:t>Because</w:t>
      </w:r>
      <w:r w:rsidR="00165C46" w:rsidRPr="00DB062D">
        <w:rPr>
          <w:szCs w:val="22"/>
        </w:rPr>
        <w:t xml:space="preserve"> </w:t>
      </w:r>
      <w:r w:rsidR="00FF215C" w:rsidRPr="00DB062D">
        <w:rPr>
          <w:szCs w:val="22"/>
        </w:rPr>
        <w:t xml:space="preserve">we do </w:t>
      </w:r>
      <w:r w:rsidR="00FC4AE6">
        <w:rPr>
          <w:szCs w:val="22"/>
        </w:rPr>
        <w:t xml:space="preserve">not alter the data collection requirement by the </w:t>
      </w:r>
      <w:r w:rsidR="00FC4AE6">
        <w:rPr>
          <w:i/>
          <w:szCs w:val="22"/>
        </w:rPr>
        <w:t xml:space="preserve">Order </w:t>
      </w:r>
      <w:r w:rsidR="003965AC">
        <w:rPr>
          <w:szCs w:val="22"/>
        </w:rPr>
        <w:t xml:space="preserve">or provide clarifying instructions, we </w:t>
      </w:r>
      <w:r w:rsidR="00AC1A83" w:rsidRPr="00AC1A83">
        <w:rPr>
          <w:szCs w:val="22"/>
        </w:rPr>
        <w:t xml:space="preserve">conclude there is no reason to grant additional </w:t>
      </w:r>
      <w:r w:rsidR="00AC1A83">
        <w:rPr>
          <w:szCs w:val="22"/>
        </w:rPr>
        <w:t>time</w:t>
      </w:r>
      <w:r w:rsidR="003965AC">
        <w:rPr>
          <w:szCs w:val="22"/>
        </w:rPr>
        <w:t>.  Further,</w:t>
      </w:r>
      <w:r w:rsidR="00FF215C" w:rsidRPr="00DB062D">
        <w:rPr>
          <w:szCs w:val="22"/>
        </w:rPr>
        <w:t xml:space="preserve"> </w:t>
      </w:r>
      <w:r w:rsidR="00165C46">
        <w:rPr>
          <w:szCs w:val="22"/>
        </w:rPr>
        <w:t xml:space="preserve">our clarification in this </w:t>
      </w:r>
      <w:r w:rsidR="00BE4C19">
        <w:rPr>
          <w:szCs w:val="22"/>
        </w:rPr>
        <w:t xml:space="preserve">Declaratory Ruling </w:t>
      </w:r>
      <w:r w:rsidR="00165C46">
        <w:rPr>
          <w:szCs w:val="22"/>
        </w:rPr>
        <w:t>that covered providers have significant flexibility should obviate the need for extra time.</w:t>
      </w:r>
      <w:r w:rsidR="004D2260">
        <w:rPr>
          <w:rStyle w:val="FootnoteReference"/>
          <w:szCs w:val="22"/>
        </w:rPr>
        <w:footnoteReference w:id="40"/>
      </w:r>
    </w:p>
    <w:p w14:paraId="0314EBAA" w14:textId="77777777" w:rsidR="00704F2E" w:rsidRPr="00DB062D" w:rsidRDefault="00243391" w:rsidP="008D374D">
      <w:pPr>
        <w:pStyle w:val="ParaNum"/>
        <w:widowControl/>
        <w:numPr>
          <w:ilvl w:val="0"/>
          <w:numId w:val="3"/>
        </w:numPr>
        <w:tabs>
          <w:tab w:val="clear" w:pos="1080"/>
          <w:tab w:val="num" w:pos="1440"/>
          <w:tab w:val="left" w:pos="8280"/>
        </w:tabs>
        <w:spacing w:after="240"/>
        <w:rPr>
          <w:szCs w:val="22"/>
        </w:rPr>
      </w:pPr>
      <w:r w:rsidRPr="00DB062D">
        <w:rPr>
          <w:i/>
          <w:szCs w:val="22"/>
        </w:rPr>
        <w:t xml:space="preserve">Estimate Severity of Rural Call Completion Problems.  </w:t>
      </w:r>
      <w:r w:rsidR="003965AC">
        <w:rPr>
          <w:szCs w:val="22"/>
        </w:rPr>
        <w:t>VCXC</w:t>
      </w:r>
      <w:r w:rsidR="00472F16" w:rsidRPr="00DB062D">
        <w:rPr>
          <w:szCs w:val="22"/>
        </w:rPr>
        <w:t xml:space="preserve"> recommends that </w:t>
      </w:r>
      <w:r w:rsidR="00704F2E" w:rsidRPr="00DB062D">
        <w:rPr>
          <w:szCs w:val="22"/>
        </w:rPr>
        <w:t xml:space="preserve">before proceeding, the Commission should estimate the percentage of total calls reflecting rural call completion problems, the error rate for respondent call completion data, and the percentage of calls in the </w:t>
      </w:r>
      <w:r w:rsidR="00521F4D" w:rsidRPr="00DB062D">
        <w:rPr>
          <w:szCs w:val="22"/>
        </w:rPr>
        <w:t>indeterminate</w:t>
      </w:r>
      <w:r w:rsidR="00704F2E" w:rsidRPr="00DB062D">
        <w:rPr>
          <w:szCs w:val="22"/>
        </w:rPr>
        <w:t xml:space="preserve"> category.</w:t>
      </w:r>
      <w:r w:rsidR="00704F2E" w:rsidRPr="00DB062D">
        <w:rPr>
          <w:rStyle w:val="FootnoteReference"/>
          <w:sz w:val="22"/>
          <w:szCs w:val="22"/>
        </w:rPr>
        <w:footnoteReference w:id="41"/>
      </w:r>
      <w:r w:rsidR="00704F2E" w:rsidRPr="00DB062D">
        <w:rPr>
          <w:szCs w:val="22"/>
        </w:rPr>
        <w:t xml:space="preserve">  VCXC further recommends that the Commission define the “confidence interval serving as the target for data reliability.”</w:t>
      </w:r>
      <w:r w:rsidR="00704F2E" w:rsidRPr="00DB062D">
        <w:rPr>
          <w:rStyle w:val="FootnoteReference"/>
          <w:sz w:val="22"/>
          <w:szCs w:val="22"/>
        </w:rPr>
        <w:footnoteReference w:id="42"/>
      </w:r>
      <w:r w:rsidR="00160D53" w:rsidRPr="00DB062D">
        <w:rPr>
          <w:szCs w:val="22"/>
        </w:rPr>
        <w:t xml:space="preserve">  VCXC asserts that “[t]he exercise fails as a basis for FCC actions unless the error rate and the </w:t>
      </w:r>
      <w:r w:rsidR="00AC1A83">
        <w:rPr>
          <w:szCs w:val="22"/>
        </w:rPr>
        <w:t>[</w:t>
      </w:r>
      <w:r w:rsidR="00AC1A83" w:rsidRPr="00DB062D">
        <w:rPr>
          <w:szCs w:val="22"/>
        </w:rPr>
        <w:t>indeterminate</w:t>
      </w:r>
      <w:r w:rsidR="00AC1A83">
        <w:rPr>
          <w:szCs w:val="22"/>
        </w:rPr>
        <w:t>]</w:t>
      </w:r>
      <w:r w:rsidR="00160D53" w:rsidRPr="00DB062D">
        <w:rPr>
          <w:szCs w:val="22"/>
        </w:rPr>
        <w:t xml:space="preserve"> category remain a small fraction of the problematic calls serving as the purpose for the data collection.”</w:t>
      </w:r>
      <w:r w:rsidRPr="002C7466">
        <w:rPr>
          <w:rStyle w:val="FootnoteReference"/>
          <w:sz w:val="22"/>
          <w:szCs w:val="22"/>
        </w:rPr>
        <w:footnoteReference w:id="43"/>
      </w:r>
    </w:p>
    <w:p w14:paraId="54A18437" w14:textId="7AF9E709" w:rsidR="00FA774B" w:rsidRPr="002C7466" w:rsidRDefault="00F224F1" w:rsidP="008D374D">
      <w:pPr>
        <w:pStyle w:val="ParaNum"/>
        <w:widowControl/>
        <w:numPr>
          <w:ilvl w:val="0"/>
          <w:numId w:val="3"/>
        </w:numPr>
        <w:tabs>
          <w:tab w:val="clear" w:pos="1080"/>
          <w:tab w:val="num" w:pos="1440"/>
          <w:tab w:val="left" w:pos="8280"/>
        </w:tabs>
        <w:spacing w:after="240"/>
        <w:rPr>
          <w:szCs w:val="22"/>
        </w:rPr>
      </w:pPr>
      <w:r w:rsidRPr="00DB062D">
        <w:rPr>
          <w:szCs w:val="22"/>
        </w:rPr>
        <w:t xml:space="preserve">We </w:t>
      </w:r>
      <w:r w:rsidRPr="007B2503">
        <w:rPr>
          <w:snapToGrid/>
          <w:kern w:val="0"/>
          <w:szCs w:val="22"/>
        </w:rPr>
        <w:t>decline</w:t>
      </w:r>
      <w:r w:rsidRPr="00DB062D">
        <w:rPr>
          <w:szCs w:val="22"/>
        </w:rPr>
        <w:t xml:space="preserve"> to </w:t>
      </w:r>
      <w:r w:rsidR="00160D53" w:rsidRPr="00DB062D">
        <w:rPr>
          <w:szCs w:val="22"/>
        </w:rPr>
        <w:t xml:space="preserve">undertake the calculations requested by VCXC.  </w:t>
      </w:r>
      <w:r w:rsidR="00165C46">
        <w:rPr>
          <w:szCs w:val="22"/>
        </w:rPr>
        <w:t xml:space="preserve">To the extent that VCXC is seeking reconsideration of the </w:t>
      </w:r>
      <w:r w:rsidR="00165C46">
        <w:rPr>
          <w:i/>
          <w:szCs w:val="22"/>
        </w:rPr>
        <w:t>Order</w:t>
      </w:r>
      <w:r w:rsidR="00165C46">
        <w:rPr>
          <w:szCs w:val="22"/>
        </w:rPr>
        <w:t>, such a request is untimely.</w:t>
      </w:r>
      <w:r w:rsidR="00244192">
        <w:rPr>
          <w:rStyle w:val="FootnoteReference"/>
          <w:szCs w:val="22"/>
        </w:rPr>
        <w:footnoteReference w:id="44"/>
      </w:r>
      <w:r w:rsidR="00165C46">
        <w:rPr>
          <w:szCs w:val="22"/>
        </w:rPr>
        <w:t xml:space="preserve"> </w:t>
      </w:r>
      <w:r w:rsidR="00832F3A">
        <w:rPr>
          <w:szCs w:val="22"/>
        </w:rPr>
        <w:t xml:space="preserve"> </w:t>
      </w:r>
      <w:r w:rsidR="00165C46">
        <w:rPr>
          <w:szCs w:val="22"/>
        </w:rPr>
        <w:t>Further, the Commission has</w:t>
      </w:r>
      <w:r w:rsidR="00704F2E" w:rsidRPr="00DB062D">
        <w:rPr>
          <w:szCs w:val="22"/>
        </w:rPr>
        <w:t xml:space="preserve"> a sufficient record of </w:t>
      </w:r>
      <w:r w:rsidR="00AC1A83" w:rsidRPr="00AC1A83">
        <w:rPr>
          <w:szCs w:val="22"/>
        </w:rPr>
        <w:t xml:space="preserve">“frequent and pervasive” </w:t>
      </w:r>
      <w:r w:rsidR="00704F2E" w:rsidRPr="00DB062D">
        <w:rPr>
          <w:szCs w:val="22"/>
        </w:rPr>
        <w:t>rural call completion problems</w:t>
      </w:r>
      <w:r w:rsidR="00704F2E" w:rsidRPr="00DB062D">
        <w:rPr>
          <w:rStyle w:val="FootnoteReference"/>
          <w:sz w:val="22"/>
          <w:szCs w:val="22"/>
        </w:rPr>
        <w:footnoteReference w:id="45"/>
      </w:r>
      <w:r w:rsidR="00704F2E" w:rsidRPr="00DB062D">
        <w:rPr>
          <w:szCs w:val="22"/>
        </w:rPr>
        <w:t xml:space="preserve"> to justify </w:t>
      </w:r>
      <w:r w:rsidR="00165C46">
        <w:rPr>
          <w:szCs w:val="22"/>
        </w:rPr>
        <w:t>its rules</w:t>
      </w:r>
      <w:r w:rsidR="00490747" w:rsidRPr="00DB062D">
        <w:rPr>
          <w:szCs w:val="22"/>
        </w:rPr>
        <w:t xml:space="preserve"> to address rural call completion issues</w:t>
      </w:r>
      <w:r w:rsidR="00704F2E" w:rsidRPr="00DB062D">
        <w:rPr>
          <w:szCs w:val="22"/>
        </w:rPr>
        <w:t xml:space="preserve">, including the adoption of this </w:t>
      </w:r>
      <w:r w:rsidR="00BE4C19">
        <w:rPr>
          <w:szCs w:val="22"/>
        </w:rPr>
        <w:t>Declaratory Ruling</w:t>
      </w:r>
      <w:r w:rsidR="00704F2E" w:rsidRPr="00DB062D">
        <w:rPr>
          <w:szCs w:val="22"/>
        </w:rPr>
        <w:t>.</w:t>
      </w:r>
      <w:r w:rsidR="005A2026" w:rsidRPr="00DB062D">
        <w:rPr>
          <w:szCs w:val="22"/>
        </w:rPr>
        <w:t xml:space="preserve"> </w:t>
      </w:r>
      <w:r w:rsidR="00704F2E" w:rsidRPr="00DB062D">
        <w:rPr>
          <w:szCs w:val="22"/>
        </w:rPr>
        <w:t xml:space="preserve"> The Commission, moreover, cannot </w:t>
      </w:r>
      <w:r w:rsidR="0076497C" w:rsidRPr="00DB062D">
        <w:rPr>
          <w:szCs w:val="22"/>
        </w:rPr>
        <w:t xml:space="preserve">determine </w:t>
      </w:r>
      <w:r w:rsidR="00704F2E" w:rsidRPr="00DB062D">
        <w:rPr>
          <w:szCs w:val="22"/>
        </w:rPr>
        <w:t xml:space="preserve">the </w:t>
      </w:r>
      <w:r w:rsidR="0076497C" w:rsidRPr="00DB062D">
        <w:rPr>
          <w:szCs w:val="22"/>
        </w:rPr>
        <w:t>accuracy of</w:t>
      </w:r>
      <w:r w:rsidR="00704F2E" w:rsidRPr="00DB062D">
        <w:rPr>
          <w:szCs w:val="22"/>
        </w:rPr>
        <w:t xml:space="preserve"> respondent call completion data until such data </w:t>
      </w:r>
      <w:r w:rsidR="00244192">
        <w:rPr>
          <w:szCs w:val="22"/>
        </w:rPr>
        <w:t>are</w:t>
      </w:r>
      <w:r w:rsidR="00244192" w:rsidRPr="00DB062D">
        <w:rPr>
          <w:szCs w:val="22"/>
        </w:rPr>
        <w:t xml:space="preserve"> </w:t>
      </w:r>
      <w:r w:rsidR="00704F2E" w:rsidRPr="00DB062D">
        <w:rPr>
          <w:szCs w:val="22"/>
        </w:rPr>
        <w:t xml:space="preserve">obtained </w:t>
      </w:r>
      <w:r w:rsidR="005D553E" w:rsidRPr="00DB062D">
        <w:rPr>
          <w:szCs w:val="22"/>
        </w:rPr>
        <w:t>and analyzed</w:t>
      </w:r>
      <w:r w:rsidR="00165C46">
        <w:rPr>
          <w:szCs w:val="22"/>
        </w:rPr>
        <w:t>, as provided in</w:t>
      </w:r>
      <w:r w:rsidR="00704F2E" w:rsidRPr="00DB062D">
        <w:rPr>
          <w:szCs w:val="22"/>
        </w:rPr>
        <w:t xml:space="preserve"> the recordkeeping and retention rules adopted in the </w:t>
      </w:r>
      <w:r w:rsidR="00597186" w:rsidRPr="00DB062D">
        <w:rPr>
          <w:i/>
          <w:szCs w:val="22"/>
        </w:rPr>
        <w:t>Rural Call Completion O</w:t>
      </w:r>
      <w:r w:rsidR="00704F2E" w:rsidRPr="00DB062D">
        <w:rPr>
          <w:i/>
          <w:szCs w:val="22"/>
        </w:rPr>
        <w:t>rder</w:t>
      </w:r>
      <w:r w:rsidR="00704F2E" w:rsidRPr="00DB062D">
        <w:rPr>
          <w:szCs w:val="22"/>
        </w:rPr>
        <w:t xml:space="preserve">.  </w:t>
      </w:r>
      <w:r w:rsidR="00165C46">
        <w:rPr>
          <w:szCs w:val="22"/>
        </w:rPr>
        <w:t xml:space="preserve">To the extent that VCXC is asserting that we must define call completion categories </w:t>
      </w:r>
      <w:r w:rsidR="00924E05">
        <w:rPr>
          <w:szCs w:val="22"/>
        </w:rPr>
        <w:t>more precisely and prescriptively</w:t>
      </w:r>
      <w:r w:rsidR="00165C46">
        <w:rPr>
          <w:szCs w:val="22"/>
        </w:rPr>
        <w:t xml:space="preserve">, we disagree.  </w:t>
      </w:r>
      <w:r w:rsidR="00472F16" w:rsidRPr="00DB062D">
        <w:rPr>
          <w:szCs w:val="22"/>
        </w:rPr>
        <w:t xml:space="preserve">Consistent with the </w:t>
      </w:r>
      <w:r w:rsidR="00472F16" w:rsidRPr="00DB062D">
        <w:rPr>
          <w:i/>
          <w:szCs w:val="22"/>
        </w:rPr>
        <w:t>Rural Call Completion Order</w:t>
      </w:r>
      <w:r w:rsidR="00472F16" w:rsidRPr="00DB062D">
        <w:rPr>
          <w:szCs w:val="22"/>
        </w:rPr>
        <w:t>, we anticipate</w:t>
      </w:r>
      <w:r w:rsidR="008A4917" w:rsidRPr="00DB062D">
        <w:rPr>
          <w:szCs w:val="22"/>
        </w:rPr>
        <w:t xml:space="preserve"> that a certain degree of flexibility</w:t>
      </w:r>
      <w:r w:rsidRPr="00DB062D">
        <w:rPr>
          <w:szCs w:val="22"/>
        </w:rPr>
        <w:t xml:space="preserve"> in reporting methodology</w:t>
      </w:r>
      <w:r w:rsidR="008A4917" w:rsidRPr="00DB062D">
        <w:rPr>
          <w:szCs w:val="22"/>
        </w:rPr>
        <w:t xml:space="preserve"> is needed to ensure that we receive data </w:t>
      </w:r>
      <w:r w:rsidR="00472F16" w:rsidRPr="00DB062D">
        <w:rPr>
          <w:szCs w:val="22"/>
        </w:rPr>
        <w:t xml:space="preserve">that accurately accounts for differences in </w:t>
      </w:r>
      <w:r w:rsidR="00442894">
        <w:rPr>
          <w:szCs w:val="22"/>
        </w:rPr>
        <w:t>provider</w:t>
      </w:r>
      <w:r w:rsidR="00472F16" w:rsidRPr="00DB062D">
        <w:rPr>
          <w:szCs w:val="22"/>
        </w:rPr>
        <w:t xml:space="preserve"> systems and technology</w:t>
      </w:r>
      <w:r w:rsidR="008A4917" w:rsidRPr="00DB062D">
        <w:rPr>
          <w:szCs w:val="22"/>
        </w:rPr>
        <w:t>.</w:t>
      </w:r>
      <w:r w:rsidR="00660D47" w:rsidRPr="00DB062D">
        <w:rPr>
          <w:szCs w:val="22"/>
        </w:rPr>
        <w:t xml:space="preserve">  </w:t>
      </w:r>
    </w:p>
    <w:p w14:paraId="535A194F" w14:textId="7704CB02" w:rsidR="00CA0F22" w:rsidRPr="002C7466" w:rsidRDefault="00CA0F22" w:rsidP="008D374D">
      <w:pPr>
        <w:pStyle w:val="ParaNum"/>
        <w:widowControl/>
        <w:numPr>
          <w:ilvl w:val="0"/>
          <w:numId w:val="3"/>
        </w:numPr>
        <w:tabs>
          <w:tab w:val="clear" w:pos="1080"/>
          <w:tab w:val="num" w:pos="1440"/>
          <w:tab w:val="left" w:pos="8280"/>
        </w:tabs>
        <w:spacing w:after="240"/>
        <w:rPr>
          <w:szCs w:val="22"/>
        </w:rPr>
      </w:pPr>
      <w:r w:rsidRPr="00DB062D">
        <w:rPr>
          <w:i/>
          <w:szCs w:val="22"/>
        </w:rPr>
        <w:t>Additional Categories</w:t>
      </w:r>
      <w:r w:rsidRPr="00DB062D">
        <w:rPr>
          <w:szCs w:val="22"/>
        </w:rPr>
        <w:t>.  ZipDX argues that the reporting template should also include a column for “network failure,” noting that circumstances such as “all circuits busy” still occur and are distinct from “user busy.”</w:t>
      </w:r>
      <w:r w:rsidRPr="002C7466">
        <w:rPr>
          <w:rStyle w:val="FootnoteReference"/>
          <w:sz w:val="22"/>
          <w:szCs w:val="22"/>
        </w:rPr>
        <w:footnoteReference w:id="46"/>
      </w:r>
      <w:r w:rsidRPr="00DB062D">
        <w:rPr>
          <w:szCs w:val="22"/>
        </w:rPr>
        <w:t xml:space="preserve">  ZipDX also asserts that there should be a column for “call was unanswered and we don’t know what happened.”</w:t>
      </w:r>
      <w:r w:rsidR="00B41DF5" w:rsidRPr="002C7466">
        <w:rPr>
          <w:rStyle w:val="FootnoteReference"/>
          <w:sz w:val="22"/>
          <w:szCs w:val="22"/>
        </w:rPr>
        <w:footnoteReference w:id="47"/>
      </w:r>
      <w:r w:rsidRPr="00DB062D">
        <w:rPr>
          <w:szCs w:val="22"/>
        </w:rPr>
        <w:t xml:space="preserve">  </w:t>
      </w:r>
      <w:r w:rsidR="00B41DF5" w:rsidRPr="00DB062D">
        <w:rPr>
          <w:szCs w:val="22"/>
        </w:rPr>
        <w:t xml:space="preserve">ZipDX further argues that the data collection mandated in the </w:t>
      </w:r>
      <w:r w:rsidR="00B41DF5" w:rsidRPr="00DB062D">
        <w:rPr>
          <w:i/>
          <w:szCs w:val="22"/>
        </w:rPr>
        <w:t>Rural Call Completion Order</w:t>
      </w:r>
      <w:r w:rsidR="00B41DF5" w:rsidRPr="00DB062D">
        <w:rPr>
          <w:szCs w:val="22"/>
        </w:rPr>
        <w:t xml:space="preserve"> will prove mostly ineffective and wasteful.</w:t>
      </w:r>
      <w:r w:rsidR="00B41DF5" w:rsidRPr="002C7466">
        <w:rPr>
          <w:rStyle w:val="FootnoteReference"/>
          <w:sz w:val="22"/>
          <w:szCs w:val="22"/>
        </w:rPr>
        <w:footnoteReference w:id="48"/>
      </w:r>
      <w:r w:rsidR="0055263D" w:rsidRPr="00DB062D">
        <w:rPr>
          <w:szCs w:val="22"/>
        </w:rPr>
        <w:t xml:space="preserve">  Finally, ZipDX states that rural citizens and their providers “would be better served if the resources were invested in developing efficient, near-real-time methods and systems for quickly investigating and resolving call–completion problems on a case-by-case basis as they are reported.</w:t>
      </w:r>
      <w:r w:rsidR="0004150A" w:rsidRPr="00DB062D">
        <w:rPr>
          <w:szCs w:val="22"/>
        </w:rPr>
        <w:t>”</w:t>
      </w:r>
      <w:r w:rsidR="0055263D" w:rsidRPr="002C7466">
        <w:rPr>
          <w:rStyle w:val="FootnoteReference"/>
          <w:sz w:val="22"/>
          <w:szCs w:val="22"/>
        </w:rPr>
        <w:footnoteReference w:id="49"/>
      </w:r>
      <w:r w:rsidR="0055263D" w:rsidRPr="00DB062D">
        <w:rPr>
          <w:szCs w:val="22"/>
        </w:rPr>
        <w:t xml:space="preserve">  These arguments are beyond the scope of this </w:t>
      </w:r>
      <w:r w:rsidR="00BE4C19">
        <w:rPr>
          <w:szCs w:val="22"/>
        </w:rPr>
        <w:t>Declaratory Ruling</w:t>
      </w:r>
      <w:r w:rsidR="00BE4C19" w:rsidRPr="00DB062D">
        <w:rPr>
          <w:szCs w:val="22"/>
        </w:rPr>
        <w:t xml:space="preserve"> </w:t>
      </w:r>
      <w:r w:rsidR="0055263D" w:rsidRPr="00DB062D">
        <w:rPr>
          <w:szCs w:val="22"/>
        </w:rPr>
        <w:t xml:space="preserve">and would require Commission reconsideration of its actions in the </w:t>
      </w:r>
      <w:r w:rsidR="0055263D" w:rsidRPr="00DB062D">
        <w:rPr>
          <w:i/>
          <w:szCs w:val="22"/>
        </w:rPr>
        <w:t>Rural Call Completion Order</w:t>
      </w:r>
      <w:r w:rsidR="0055263D" w:rsidRPr="00DB062D">
        <w:rPr>
          <w:szCs w:val="22"/>
        </w:rPr>
        <w:t>.</w:t>
      </w:r>
      <w:r w:rsidR="0055263D" w:rsidRPr="002C7466">
        <w:rPr>
          <w:rStyle w:val="FootnoteReference"/>
          <w:sz w:val="22"/>
          <w:szCs w:val="22"/>
        </w:rPr>
        <w:footnoteReference w:id="50"/>
      </w:r>
      <w:r w:rsidR="0055263D" w:rsidRPr="00DB062D">
        <w:rPr>
          <w:szCs w:val="22"/>
        </w:rPr>
        <w:t xml:space="preserve">  Further, the actions taken in the </w:t>
      </w:r>
      <w:r w:rsidR="0055263D" w:rsidRPr="00DB062D">
        <w:rPr>
          <w:i/>
          <w:szCs w:val="22"/>
        </w:rPr>
        <w:t xml:space="preserve">Rural Call Completion Order </w:t>
      </w:r>
      <w:r w:rsidR="0055263D" w:rsidRPr="00DB062D">
        <w:rPr>
          <w:szCs w:val="22"/>
        </w:rPr>
        <w:t>were designed to enable the Commission to work with providers to address and resolve call completion problems, by ensuring that providers record</w:t>
      </w:r>
      <w:r w:rsidR="00A15B49" w:rsidRPr="00DB062D">
        <w:rPr>
          <w:szCs w:val="22"/>
        </w:rPr>
        <w:t xml:space="preserve">, </w:t>
      </w:r>
      <w:r w:rsidR="0055263D" w:rsidRPr="00DB062D">
        <w:rPr>
          <w:szCs w:val="22"/>
        </w:rPr>
        <w:t>retain</w:t>
      </w:r>
      <w:r w:rsidR="00A15B49" w:rsidRPr="00DB062D">
        <w:rPr>
          <w:szCs w:val="22"/>
        </w:rPr>
        <w:t>, and report</w:t>
      </w:r>
      <w:r w:rsidR="0055263D" w:rsidRPr="00DB062D">
        <w:rPr>
          <w:szCs w:val="22"/>
        </w:rPr>
        <w:t xml:space="preserve"> information critical for that </w:t>
      </w:r>
      <w:r w:rsidR="00A15B49" w:rsidRPr="00DB062D">
        <w:rPr>
          <w:szCs w:val="22"/>
        </w:rPr>
        <w:t>purpose</w:t>
      </w:r>
      <w:r w:rsidR="0055263D" w:rsidRPr="00DB062D">
        <w:rPr>
          <w:szCs w:val="22"/>
        </w:rPr>
        <w:t>.</w:t>
      </w:r>
      <w:r w:rsidR="00A63717">
        <w:rPr>
          <w:rStyle w:val="FootnoteReference"/>
          <w:szCs w:val="22"/>
        </w:rPr>
        <w:footnoteReference w:id="51"/>
      </w:r>
      <w:r w:rsidR="0055263D" w:rsidRPr="00DB062D">
        <w:rPr>
          <w:szCs w:val="22"/>
        </w:rPr>
        <w:t xml:space="preserve">  </w:t>
      </w:r>
    </w:p>
    <w:p w14:paraId="4289C8AF" w14:textId="77777777" w:rsidR="001523F6" w:rsidRPr="00DB062D" w:rsidRDefault="001523F6" w:rsidP="001523F6">
      <w:pPr>
        <w:pStyle w:val="Heading1"/>
        <w:spacing w:after="240"/>
        <w:rPr>
          <w:rFonts w:ascii="Times New Roman" w:hAnsi="Times New Roman"/>
          <w:szCs w:val="22"/>
        </w:rPr>
      </w:pPr>
      <w:bookmarkStart w:id="5" w:name="_Toc400549578"/>
      <w:r w:rsidRPr="00DB062D">
        <w:rPr>
          <w:rFonts w:ascii="Times New Roman" w:hAnsi="Times New Roman"/>
          <w:szCs w:val="22"/>
        </w:rPr>
        <w:t>Conclusion</w:t>
      </w:r>
      <w:bookmarkEnd w:id="5"/>
    </w:p>
    <w:p w14:paraId="3AE4CB60" w14:textId="01E46320" w:rsidR="003C0BD2" w:rsidRPr="00DB062D" w:rsidRDefault="00A704D0" w:rsidP="008D374D">
      <w:pPr>
        <w:pStyle w:val="ParaNum"/>
        <w:widowControl/>
        <w:numPr>
          <w:ilvl w:val="0"/>
          <w:numId w:val="3"/>
        </w:numPr>
        <w:tabs>
          <w:tab w:val="clear" w:pos="1080"/>
          <w:tab w:val="num" w:pos="1440"/>
          <w:tab w:val="left" w:pos="8280"/>
        </w:tabs>
        <w:spacing w:after="240"/>
        <w:rPr>
          <w:szCs w:val="22"/>
        </w:rPr>
      </w:pPr>
      <w:r w:rsidRPr="007B2503">
        <w:rPr>
          <w:snapToGrid/>
          <w:kern w:val="0"/>
          <w:szCs w:val="22"/>
        </w:rPr>
        <w:t>In</w:t>
      </w:r>
      <w:r w:rsidRPr="00DB062D">
        <w:rPr>
          <w:szCs w:val="22"/>
        </w:rPr>
        <w:t xml:space="preserve"> </w:t>
      </w:r>
      <w:r w:rsidR="00472F16" w:rsidRPr="00DB062D">
        <w:rPr>
          <w:szCs w:val="22"/>
        </w:rPr>
        <w:t>sum</w:t>
      </w:r>
      <w:r w:rsidRPr="00DB062D">
        <w:rPr>
          <w:szCs w:val="22"/>
        </w:rPr>
        <w:t xml:space="preserve">, </w:t>
      </w:r>
      <w:r w:rsidR="003E1B83" w:rsidRPr="003E1B83">
        <w:rPr>
          <w:szCs w:val="22"/>
        </w:rPr>
        <w:t>consistent with the Commissio</w:t>
      </w:r>
      <w:r w:rsidR="003E1B83">
        <w:rPr>
          <w:szCs w:val="22"/>
        </w:rPr>
        <w:t xml:space="preserve">n’s </w:t>
      </w:r>
      <w:r w:rsidR="00B72F85">
        <w:rPr>
          <w:szCs w:val="22"/>
        </w:rPr>
        <w:t xml:space="preserve">stated </w:t>
      </w:r>
      <w:r w:rsidR="003E1B83">
        <w:rPr>
          <w:szCs w:val="22"/>
        </w:rPr>
        <w:t xml:space="preserve">intent in the </w:t>
      </w:r>
      <w:r w:rsidR="003E1B83" w:rsidRPr="00B355B2">
        <w:rPr>
          <w:i/>
          <w:szCs w:val="22"/>
        </w:rPr>
        <w:t>Order</w:t>
      </w:r>
      <w:r w:rsidR="003E1B83">
        <w:rPr>
          <w:szCs w:val="22"/>
        </w:rPr>
        <w:t xml:space="preserve">, </w:t>
      </w:r>
      <w:r w:rsidRPr="00DB062D">
        <w:rPr>
          <w:szCs w:val="22"/>
        </w:rPr>
        <w:t xml:space="preserve">we </w:t>
      </w:r>
      <w:r w:rsidR="003E1B83">
        <w:rPr>
          <w:szCs w:val="22"/>
        </w:rPr>
        <w:t>clarify</w:t>
      </w:r>
      <w:r w:rsidR="00096C53">
        <w:rPr>
          <w:szCs w:val="22"/>
        </w:rPr>
        <w:t xml:space="preserve"> that covered providers may not count unanswered call</w:t>
      </w:r>
      <w:r w:rsidR="006D3D66">
        <w:rPr>
          <w:szCs w:val="22"/>
        </w:rPr>
        <w:t xml:space="preserve"> attempt</w:t>
      </w:r>
      <w:r w:rsidR="00096C53">
        <w:rPr>
          <w:szCs w:val="22"/>
        </w:rPr>
        <w:t xml:space="preserve">s as answered calls under the Commission’s data retention and reporting rules.  We </w:t>
      </w:r>
      <w:r w:rsidRPr="00DB062D">
        <w:rPr>
          <w:szCs w:val="22"/>
        </w:rPr>
        <w:t>clarify that the explanatory notes in Appendix C describing “answered”</w:t>
      </w:r>
      <w:r w:rsidR="00A265A0">
        <w:rPr>
          <w:szCs w:val="22"/>
        </w:rPr>
        <w:t xml:space="preserve"> calls and</w:t>
      </w:r>
      <w:r w:rsidRPr="00DB062D">
        <w:rPr>
          <w:szCs w:val="22"/>
        </w:rPr>
        <w:t xml:space="preserve"> “busy,” “ring no answer,” and “unassigned number” call attempts </w:t>
      </w:r>
      <w:r w:rsidR="00CF7CBE" w:rsidRPr="00DB062D">
        <w:rPr>
          <w:szCs w:val="22"/>
        </w:rPr>
        <w:t>are</w:t>
      </w:r>
      <w:r w:rsidRPr="00DB062D">
        <w:rPr>
          <w:szCs w:val="22"/>
        </w:rPr>
        <w:t xml:space="preserve"> intended to serve as examples rather than exclusive definitions.  </w:t>
      </w:r>
      <w:r w:rsidR="00472F16" w:rsidRPr="00DB062D">
        <w:rPr>
          <w:szCs w:val="22"/>
        </w:rPr>
        <w:t>We reiterate that</w:t>
      </w:r>
      <w:r w:rsidRPr="00DB062D">
        <w:rPr>
          <w:szCs w:val="22"/>
        </w:rPr>
        <w:t xml:space="preserve"> </w:t>
      </w:r>
      <w:r w:rsidR="00472F16" w:rsidRPr="00DB062D">
        <w:rPr>
          <w:szCs w:val="22"/>
        </w:rPr>
        <w:t>p</w:t>
      </w:r>
      <w:r w:rsidR="00A82A4D" w:rsidRPr="00DB062D">
        <w:rPr>
          <w:szCs w:val="22"/>
        </w:rPr>
        <w:t>roviders should, as part of their quarterly reports to the Commission required under 47 C</w:t>
      </w:r>
      <w:r w:rsidR="00472F16" w:rsidRPr="00DB062D">
        <w:rPr>
          <w:szCs w:val="22"/>
        </w:rPr>
        <w:t>.</w:t>
      </w:r>
      <w:r w:rsidR="00A82A4D" w:rsidRPr="00DB062D">
        <w:rPr>
          <w:szCs w:val="22"/>
        </w:rPr>
        <w:t>F</w:t>
      </w:r>
      <w:r w:rsidR="00472F16" w:rsidRPr="00DB062D">
        <w:rPr>
          <w:szCs w:val="22"/>
        </w:rPr>
        <w:t>.</w:t>
      </w:r>
      <w:r w:rsidR="00A82A4D" w:rsidRPr="00DB062D">
        <w:rPr>
          <w:szCs w:val="22"/>
        </w:rPr>
        <w:t>R</w:t>
      </w:r>
      <w:r w:rsidR="00472F16" w:rsidRPr="00DB062D">
        <w:rPr>
          <w:szCs w:val="22"/>
        </w:rPr>
        <w:t>.</w:t>
      </w:r>
      <w:r w:rsidR="00A82A4D" w:rsidRPr="00DB062D">
        <w:rPr>
          <w:szCs w:val="22"/>
        </w:rPr>
        <w:t xml:space="preserve"> § 64.2105, explain the method they used to identify these call attempt categories.</w:t>
      </w:r>
    </w:p>
    <w:p w14:paraId="49F7CAD7" w14:textId="77777777" w:rsidR="00CC04E7" w:rsidRPr="00DB062D" w:rsidRDefault="00CC04E7" w:rsidP="00A47B38">
      <w:pPr>
        <w:pStyle w:val="Heading1"/>
        <w:widowControl/>
        <w:spacing w:after="220"/>
        <w:rPr>
          <w:rFonts w:ascii="Times New Roman" w:hAnsi="Times New Roman"/>
          <w:szCs w:val="22"/>
        </w:rPr>
      </w:pPr>
      <w:bookmarkStart w:id="6" w:name="_Toc400549579"/>
      <w:r w:rsidRPr="00DB062D">
        <w:rPr>
          <w:rFonts w:ascii="Times New Roman" w:hAnsi="Times New Roman"/>
          <w:szCs w:val="22"/>
        </w:rPr>
        <w:t>Ordering clauseS</w:t>
      </w:r>
      <w:bookmarkEnd w:id="6"/>
    </w:p>
    <w:p w14:paraId="422D6928" w14:textId="63C3DEF8" w:rsidR="00E714EF" w:rsidRPr="00A63717" w:rsidRDefault="00CC04E7" w:rsidP="008D374D">
      <w:pPr>
        <w:pStyle w:val="ParaNum"/>
        <w:widowControl/>
        <w:numPr>
          <w:ilvl w:val="0"/>
          <w:numId w:val="3"/>
        </w:numPr>
        <w:tabs>
          <w:tab w:val="clear" w:pos="1080"/>
          <w:tab w:val="num" w:pos="1440"/>
          <w:tab w:val="left" w:pos="8280"/>
        </w:tabs>
        <w:spacing w:after="240"/>
        <w:rPr>
          <w:rFonts w:eastAsia="Batang"/>
          <w:szCs w:val="22"/>
          <w:lang w:eastAsia="ja-JP"/>
        </w:rPr>
      </w:pPr>
      <w:r w:rsidRPr="00DB062D">
        <w:rPr>
          <w:szCs w:val="22"/>
        </w:rPr>
        <w:t>Accordingly, IT IS ORD</w:t>
      </w:r>
      <w:r w:rsidR="009F4D0A" w:rsidRPr="00DB062D">
        <w:rPr>
          <w:szCs w:val="22"/>
        </w:rPr>
        <w:t xml:space="preserve">ERED, pursuant to </w:t>
      </w:r>
      <w:r w:rsidR="00244192">
        <w:rPr>
          <w:szCs w:val="22"/>
        </w:rPr>
        <w:t>section</w:t>
      </w:r>
      <w:r w:rsidR="00F77FDB">
        <w:rPr>
          <w:szCs w:val="22"/>
        </w:rPr>
        <w:t>s 1-5 and</w:t>
      </w:r>
      <w:r w:rsidR="00244192">
        <w:rPr>
          <w:szCs w:val="22"/>
        </w:rPr>
        <w:t xml:space="preserve"> 201(b) of the </w:t>
      </w:r>
      <w:r w:rsidR="00244192" w:rsidRPr="004D2260">
        <w:rPr>
          <w:szCs w:val="22"/>
        </w:rPr>
        <w:t xml:space="preserve">Communications Act of 1934, </w:t>
      </w:r>
      <w:r w:rsidR="00F77FDB">
        <w:rPr>
          <w:szCs w:val="22"/>
        </w:rPr>
        <w:t xml:space="preserve">as amended, </w:t>
      </w:r>
      <w:r w:rsidR="00244192" w:rsidRPr="004D2260">
        <w:rPr>
          <w:szCs w:val="22"/>
        </w:rPr>
        <w:t>47 U.S.C. §</w:t>
      </w:r>
      <w:r w:rsidR="00F77FDB">
        <w:rPr>
          <w:szCs w:val="22"/>
        </w:rPr>
        <w:t>§</w:t>
      </w:r>
      <w:r w:rsidR="00244192" w:rsidRPr="004D2260">
        <w:rPr>
          <w:szCs w:val="22"/>
        </w:rPr>
        <w:t xml:space="preserve"> </w:t>
      </w:r>
      <w:r w:rsidR="00F77FDB">
        <w:rPr>
          <w:szCs w:val="22"/>
        </w:rPr>
        <w:t xml:space="preserve">151-155, </w:t>
      </w:r>
      <w:r w:rsidR="00244192" w:rsidRPr="004D2260">
        <w:rPr>
          <w:szCs w:val="22"/>
        </w:rPr>
        <w:t xml:space="preserve">201(b), and </w:t>
      </w:r>
      <w:r w:rsidR="009F4D0A" w:rsidRPr="004D2260">
        <w:rPr>
          <w:szCs w:val="22"/>
        </w:rPr>
        <w:t>sections 0.91</w:t>
      </w:r>
      <w:r w:rsidR="00B355B2">
        <w:rPr>
          <w:szCs w:val="22"/>
        </w:rPr>
        <w:t xml:space="preserve">, </w:t>
      </w:r>
      <w:r w:rsidR="009F4D0A" w:rsidRPr="004D2260">
        <w:rPr>
          <w:szCs w:val="22"/>
        </w:rPr>
        <w:t>0.291</w:t>
      </w:r>
      <w:r w:rsidR="00B355B2">
        <w:rPr>
          <w:szCs w:val="22"/>
        </w:rPr>
        <w:t>, and 1.2</w:t>
      </w:r>
      <w:r w:rsidRPr="004D2260">
        <w:rPr>
          <w:szCs w:val="22"/>
        </w:rPr>
        <w:t xml:space="preserve"> of the Commission</w:t>
      </w:r>
      <w:r w:rsidR="00F04F3E" w:rsidRPr="004D2260">
        <w:rPr>
          <w:szCs w:val="22"/>
        </w:rPr>
        <w:t>’</w:t>
      </w:r>
      <w:r w:rsidRPr="004D2260">
        <w:rPr>
          <w:szCs w:val="22"/>
        </w:rPr>
        <w:t>s rule</w:t>
      </w:r>
      <w:r w:rsidR="009F4D0A" w:rsidRPr="004D2260">
        <w:rPr>
          <w:szCs w:val="22"/>
        </w:rPr>
        <w:t>s, 47 C.F.R. §§ 0.91, 0.291</w:t>
      </w:r>
      <w:r w:rsidRPr="00D70FB8">
        <w:rPr>
          <w:szCs w:val="22"/>
        </w:rPr>
        <w:t xml:space="preserve">, </w:t>
      </w:r>
      <w:r w:rsidR="00B355B2">
        <w:rPr>
          <w:szCs w:val="22"/>
        </w:rPr>
        <w:t xml:space="preserve">and 1.2, </w:t>
      </w:r>
      <w:r w:rsidR="00F77FDB">
        <w:rPr>
          <w:szCs w:val="22"/>
        </w:rPr>
        <w:t xml:space="preserve">that </w:t>
      </w:r>
      <w:r w:rsidR="002F10CA" w:rsidRPr="00D70FB8">
        <w:rPr>
          <w:szCs w:val="22"/>
        </w:rPr>
        <w:t xml:space="preserve">this </w:t>
      </w:r>
      <w:r w:rsidR="00BE4C19" w:rsidRPr="003964AB">
        <w:rPr>
          <w:szCs w:val="22"/>
        </w:rPr>
        <w:t xml:space="preserve">Declaratory Ruling </w:t>
      </w:r>
      <w:r w:rsidR="002F10CA" w:rsidRPr="003964AB">
        <w:rPr>
          <w:szCs w:val="22"/>
        </w:rPr>
        <w:t>in WC Docket No. 13-39 IS ADOPTED.</w:t>
      </w:r>
    </w:p>
    <w:p w14:paraId="0E10AFA1" w14:textId="11F51AEE" w:rsidR="00472F16" w:rsidRPr="004D2260" w:rsidRDefault="00694DC5" w:rsidP="008D374D">
      <w:pPr>
        <w:pStyle w:val="ParaNum"/>
        <w:widowControl/>
        <w:numPr>
          <w:ilvl w:val="0"/>
          <w:numId w:val="3"/>
        </w:numPr>
        <w:tabs>
          <w:tab w:val="clear" w:pos="1080"/>
          <w:tab w:val="num" w:pos="1440"/>
          <w:tab w:val="left" w:pos="8280"/>
        </w:tabs>
        <w:spacing w:after="240"/>
        <w:rPr>
          <w:szCs w:val="22"/>
        </w:rPr>
      </w:pPr>
      <w:r w:rsidRPr="00694DC5">
        <w:rPr>
          <w:snapToGrid/>
          <w:kern w:val="0"/>
          <w:szCs w:val="22"/>
        </w:rPr>
        <w:t xml:space="preserve">IT IS FURTHER ORDERED that </w:t>
      </w:r>
      <w:r w:rsidRPr="008D374D">
        <w:rPr>
          <w:szCs w:val="22"/>
        </w:rPr>
        <w:t>pursuant</w:t>
      </w:r>
      <w:r w:rsidRPr="00694DC5">
        <w:rPr>
          <w:snapToGrid/>
          <w:kern w:val="0"/>
          <w:szCs w:val="22"/>
        </w:rPr>
        <w:t xml:space="preserve"> to section 1.10</w:t>
      </w:r>
      <w:r w:rsidR="00F77FDB">
        <w:rPr>
          <w:snapToGrid/>
          <w:kern w:val="0"/>
          <w:szCs w:val="22"/>
        </w:rPr>
        <w:t>2</w:t>
      </w:r>
      <w:r w:rsidRPr="00694DC5">
        <w:rPr>
          <w:snapToGrid/>
          <w:kern w:val="0"/>
          <w:szCs w:val="22"/>
        </w:rPr>
        <w:t>(</w:t>
      </w:r>
      <w:r w:rsidR="00F77FDB">
        <w:rPr>
          <w:snapToGrid/>
          <w:kern w:val="0"/>
          <w:szCs w:val="22"/>
        </w:rPr>
        <w:t>b</w:t>
      </w:r>
      <w:r w:rsidRPr="00694DC5">
        <w:rPr>
          <w:snapToGrid/>
          <w:kern w:val="0"/>
          <w:szCs w:val="22"/>
        </w:rPr>
        <w:t>) of the Commission</w:t>
      </w:r>
      <w:r w:rsidR="008D374D">
        <w:rPr>
          <w:snapToGrid/>
          <w:kern w:val="0"/>
          <w:szCs w:val="22"/>
        </w:rPr>
        <w:t>’</w:t>
      </w:r>
      <w:r w:rsidRPr="00694DC5">
        <w:rPr>
          <w:snapToGrid/>
          <w:kern w:val="0"/>
          <w:szCs w:val="22"/>
        </w:rPr>
        <w:t>s rules, 47</w:t>
      </w:r>
      <w:r>
        <w:rPr>
          <w:snapToGrid/>
          <w:kern w:val="0"/>
          <w:szCs w:val="22"/>
        </w:rPr>
        <w:t xml:space="preserve"> C.F.R. § 1.10</w:t>
      </w:r>
      <w:r w:rsidR="00F77FDB">
        <w:rPr>
          <w:snapToGrid/>
          <w:kern w:val="0"/>
          <w:szCs w:val="22"/>
        </w:rPr>
        <w:t>2</w:t>
      </w:r>
      <w:r>
        <w:rPr>
          <w:snapToGrid/>
          <w:kern w:val="0"/>
          <w:szCs w:val="22"/>
        </w:rPr>
        <w:t>(</w:t>
      </w:r>
      <w:r w:rsidR="00F77FDB">
        <w:rPr>
          <w:snapToGrid/>
          <w:kern w:val="0"/>
          <w:szCs w:val="22"/>
        </w:rPr>
        <w:t>b</w:t>
      </w:r>
      <w:r>
        <w:rPr>
          <w:snapToGrid/>
          <w:kern w:val="0"/>
          <w:szCs w:val="22"/>
        </w:rPr>
        <w:t>), this Declaratory Ruling</w:t>
      </w:r>
      <w:r w:rsidRPr="00694DC5">
        <w:rPr>
          <w:snapToGrid/>
          <w:kern w:val="0"/>
          <w:szCs w:val="22"/>
        </w:rPr>
        <w:t xml:space="preserve"> SHALL BE EFFECTIVE upon release.</w:t>
      </w:r>
    </w:p>
    <w:p w14:paraId="312E7221" w14:textId="77777777" w:rsidR="00CC04E7" w:rsidRPr="004D2260" w:rsidRDefault="00CC04E7" w:rsidP="00A47B38">
      <w:pPr>
        <w:pStyle w:val="ParaNum"/>
        <w:widowControl/>
        <w:numPr>
          <w:ilvl w:val="0"/>
          <w:numId w:val="0"/>
        </w:numPr>
        <w:spacing w:after="0"/>
        <w:rPr>
          <w:szCs w:val="22"/>
        </w:rPr>
      </w:pPr>
      <w:r w:rsidRPr="004D2260">
        <w:rPr>
          <w:szCs w:val="22"/>
        </w:rPr>
        <w:tab/>
      </w:r>
      <w:r w:rsidRPr="004D2260">
        <w:rPr>
          <w:szCs w:val="22"/>
        </w:rPr>
        <w:tab/>
      </w:r>
      <w:r w:rsidRPr="004D2260">
        <w:rPr>
          <w:szCs w:val="22"/>
        </w:rPr>
        <w:tab/>
      </w:r>
      <w:r w:rsidRPr="004D2260">
        <w:rPr>
          <w:szCs w:val="22"/>
        </w:rPr>
        <w:tab/>
      </w:r>
      <w:r w:rsidRPr="004D2260">
        <w:rPr>
          <w:szCs w:val="22"/>
        </w:rPr>
        <w:tab/>
        <w:t>FEDERAL COMMUNICATIONS COMMISSION</w:t>
      </w:r>
    </w:p>
    <w:p w14:paraId="5DDD3022" w14:textId="77777777" w:rsidR="00CC04E7" w:rsidRPr="00D70FB8" w:rsidRDefault="00CC04E7" w:rsidP="00A47B38">
      <w:pPr>
        <w:pStyle w:val="ParaNum"/>
        <w:widowControl/>
        <w:numPr>
          <w:ilvl w:val="0"/>
          <w:numId w:val="0"/>
        </w:numPr>
        <w:spacing w:after="0"/>
        <w:rPr>
          <w:szCs w:val="22"/>
        </w:rPr>
      </w:pPr>
    </w:p>
    <w:p w14:paraId="098C6185" w14:textId="77777777" w:rsidR="00CC04E7" w:rsidRPr="00DB062D" w:rsidRDefault="00CC04E7" w:rsidP="00A47B38">
      <w:pPr>
        <w:pStyle w:val="ParaNum"/>
        <w:widowControl/>
        <w:numPr>
          <w:ilvl w:val="0"/>
          <w:numId w:val="0"/>
        </w:numPr>
        <w:spacing w:after="0"/>
        <w:rPr>
          <w:szCs w:val="22"/>
        </w:rPr>
      </w:pPr>
    </w:p>
    <w:p w14:paraId="6985E4A2" w14:textId="77777777" w:rsidR="00CC04E7" w:rsidRPr="00DB062D" w:rsidRDefault="00CC04E7" w:rsidP="00A47B38">
      <w:pPr>
        <w:pStyle w:val="ParaNum"/>
        <w:widowControl/>
        <w:numPr>
          <w:ilvl w:val="0"/>
          <w:numId w:val="0"/>
        </w:numPr>
        <w:spacing w:after="0"/>
        <w:rPr>
          <w:szCs w:val="22"/>
        </w:rPr>
      </w:pPr>
    </w:p>
    <w:p w14:paraId="50A11954" w14:textId="77777777" w:rsidR="00CC04E7" w:rsidRPr="00DB062D" w:rsidRDefault="00CC04E7" w:rsidP="00A47B38">
      <w:pPr>
        <w:pStyle w:val="ParaNum"/>
        <w:widowControl/>
        <w:numPr>
          <w:ilvl w:val="0"/>
          <w:numId w:val="0"/>
        </w:numPr>
        <w:spacing w:after="0"/>
        <w:rPr>
          <w:szCs w:val="22"/>
        </w:rPr>
      </w:pPr>
    </w:p>
    <w:p w14:paraId="4F559CBB" w14:textId="77777777" w:rsidR="00CC04E7" w:rsidRPr="00DB062D" w:rsidRDefault="00CC04E7" w:rsidP="00A47B38">
      <w:pPr>
        <w:pStyle w:val="ParaNum"/>
        <w:widowControl/>
        <w:numPr>
          <w:ilvl w:val="0"/>
          <w:numId w:val="0"/>
        </w:numPr>
        <w:spacing w:after="0"/>
        <w:rPr>
          <w:szCs w:val="22"/>
        </w:rPr>
      </w:pPr>
      <w:r w:rsidRPr="00DB062D">
        <w:rPr>
          <w:szCs w:val="22"/>
        </w:rPr>
        <w:tab/>
      </w:r>
      <w:r w:rsidRPr="00DB062D">
        <w:rPr>
          <w:szCs w:val="22"/>
        </w:rPr>
        <w:tab/>
      </w:r>
      <w:r w:rsidRPr="00DB062D">
        <w:rPr>
          <w:szCs w:val="22"/>
        </w:rPr>
        <w:tab/>
      </w:r>
      <w:r w:rsidRPr="00DB062D">
        <w:rPr>
          <w:szCs w:val="22"/>
        </w:rPr>
        <w:tab/>
      </w:r>
      <w:r w:rsidRPr="00DB062D">
        <w:rPr>
          <w:szCs w:val="22"/>
        </w:rPr>
        <w:tab/>
        <w:t>Julie A. Veach</w:t>
      </w:r>
    </w:p>
    <w:p w14:paraId="226A9D62" w14:textId="77777777" w:rsidR="00CC04E7" w:rsidRPr="00DB062D" w:rsidRDefault="00CC04E7" w:rsidP="00A47B38">
      <w:pPr>
        <w:pStyle w:val="ParaNum"/>
        <w:widowControl/>
        <w:numPr>
          <w:ilvl w:val="0"/>
          <w:numId w:val="0"/>
        </w:numPr>
        <w:spacing w:after="0"/>
        <w:rPr>
          <w:szCs w:val="22"/>
        </w:rPr>
      </w:pPr>
      <w:r w:rsidRPr="00DB062D">
        <w:rPr>
          <w:szCs w:val="22"/>
        </w:rPr>
        <w:tab/>
      </w:r>
      <w:r w:rsidRPr="00DB062D">
        <w:rPr>
          <w:szCs w:val="22"/>
        </w:rPr>
        <w:tab/>
      </w:r>
      <w:r w:rsidRPr="00DB062D">
        <w:rPr>
          <w:szCs w:val="22"/>
        </w:rPr>
        <w:tab/>
      </w:r>
      <w:r w:rsidRPr="00DB062D">
        <w:rPr>
          <w:szCs w:val="22"/>
        </w:rPr>
        <w:tab/>
      </w:r>
      <w:r w:rsidRPr="00DB062D">
        <w:rPr>
          <w:szCs w:val="22"/>
        </w:rPr>
        <w:tab/>
        <w:t>Chief</w:t>
      </w:r>
    </w:p>
    <w:p w14:paraId="6F247E35" w14:textId="77777777" w:rsidR="00015C84" w:rsidRPr="00DB062D" w:rsidRDefault="00CC04E7" w:rsidP="00BE3606">
      <w:pPr>
        <w:pStyle w:val="ParaNum"/>
        <w:widowControl/>
        <w:numPr>
          <w:ilvl w:val="0"/>
          <w:numId w:val="0"/>
        </w:numPr>
        <w:ind w:firstLine="720"/>
        <w:rPr>
          <w:szCs w:val="22"/>
        </w:rPr>
      </w:pPr>
      <w:r w:rsidRPr="00DB062D">
        <w:rPr>
          <w:szCs w:val="22"/>
        </w:rPr>
        <w:tab/>
      </w:r>
      <w:r w:rsidRPr="00DB062D">
        <w:rPr>
          <w:szCs w:val="22"/>
        </w:rPr>
        <w:tab/>
      </w:r>
      <w:r w:rsidRPr="00DB062D">
        <w:rPr>
          <w:szCs w:val="22"/>
        </w:rPr>
        <w:tab/>
      </w:r>
      <w:r w:rsidRPr="00DB062D">
        <w:rPr>
          <w:szCs w:val="22"/>
        </w:rPr>
        <w:tab/>
        <w:t>Wireline Competition Bureau</w:t>
      </w:r>
    </w:p>
    <w:sectPr w:rsidR="00015C84" w:rsidRPr="00DB062D"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0E3C0" w14:textId="77777777" w:rsidR="002066BC" w:rsidRDefault="002066BC">
      <w:pPr>
        <w:spacing w:line="20" w:lineRule="exact"/>
      </w:pPr>
    </w:p>
  </w:endnote>
  <w:endnote w:type="continuationSeparator" w:id="0">
    <w:p w14:paraId="5935C5A5" w14:textId="77777777" w:rsidR="002066BC" w:rsidRDefault="002066BC">
      <w:r>
        <w:t xml:space="preserve"> </w:t>
      </w:r>
    </w:p>
  </w:endnote>
  <w:endnote w:type="continuationNotice" w:id="1">
    <w:p w14:paraId="48DAE9D2" w14:textId="77777777" w:rsidR="002066BC" w:rsidRDefault="002066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56D0" w14:textId="77777777" w:rsidR="00A63717" w:rsidRDefault="00A63717" w:rsidP="0055614C">
    <w:pPr>
      <w:pStyle w:val="Footer"/>
      <w:framePr w:wrap="around" w:vAnchor="text" w:hAnchor="margin" w:xAlign="center" w:y="1"/>
    </w:pPr>
    <w:r>
      <w:fldChar w:fldCharType="begin"/>
    </w:r>
    <w:r>
      <w:instrText xml:space="preserve">PAGE  </w:instrText>
    </w:r>
    <w:r>
      <w:fldChar w:fldCharType="end"/>
    </w:r>
  </w:p>
  <w:p w14:paraId="06BD4F18" w14:textId="77777777" w:rsidR="00A63717" w:rsidRDefault="00A6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0AB0" w14:textId="77777777" w:rsidR="00A63717" w:rsidRDefault="00A63717" w:rsidP="0055614C">
    <w:pPr>
      <w:pStyle w:val="Footer"/>
      <w:framePr w:wrap="around" w:vAnchor="text" w:hAnchor="margin" w:xAlign="center" w:y="1"/>
    </w:pPr>
    <w:r>
      <w:fldChar w:fldCharType="begin"/>
    </w:r>
    <w:r>
      <w:instrText xml:space="preserve">PAGE  </w:instrText>
    </w:r>
    <w:r>
      <w:fldChar w:fldCharType="separate"/>
    </w:r>
    <w:r w:rsidR="009D2989">
      <w:rPr>
        <w:noProof/>
      </w:rPr>
      <w:t>8</w:t>
    </w:r>
    <w:r>
      <w:fldChar w:fldCharType="end"/>
    </w:r>
  </w:p>
  <w:p w14:paraId="38EDE43F" w14:textId="77777777" w:rsidR="00A63717" w:rsidRDefault="00A63717">
    <w:pPr>
      <w:suppressAutoHyphens/>
      <w:spacing w:line="227" w:lineRule="auto"/>
    </w:pPr>
  </w:p>
  <w:p w14:paraId="195A045B" w14:textId="4EAD6211" w:rsidR="00A63717" w:rsidRDefault="00A63717" w:rsidP="00D2245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18AA" w14:textId="77777777" w:rsidR="00A63717" w:rsidRDefault="00A63717">
    <w:pPr>
      <w:pStyle w:val="Footer"/>
      <w:tabs>
        <w:tab w:val="clear" w:pos="8640"/>
      </w:tabs>
    </w:pPr>
  </w:p>
  <w:p w14:paraId="142B0023" w14:textId="2664E35F" w:rsidR="00A63717" w:rsidRDefault="00A63717" w:rsidP="00F373DB">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1599A" w14:textId="77777777" w:rsidR="002066BC" w:rsidRDefault="002066BC">
      <w:r>
        <w:separator/>
      </w:r>
    </w:p>
  </w:footnote>
  <w:footnote w:type="continuationSeparator" w:id="0">
    <w:p w14:paraId="73EB97A3" w14:textId="77777777" w:rsidR="002066BC" w:rsidRDefault="002066BC" w:rsidP="00C721AC">
      <w:pPr>
        <w:spacing w:before="120"/>
        <w:rPr>
          <w:sz w:val="20"/>
        </w:rPr>
      </w:pPr>
      <w:r>
        <w:rPr>
          <w:sz w:val="20"/>
        </w:rPr>
        <w:t xml:space="preserve">(Continued from previous page)  </w:t>
      </w:r>
      <w:r>
        <w:rPr>
          <w:sz w:val="20"/>
        </w:rPr>
        <w:separator/>
      </w:r>
    </w:p>
  </w:footnote>
  <w:footnote w:type="continuationNotice" w:id="1">
    <w:p w14:paraId="20CB28E2" w14:textId="77777777" w:rsidR="002066BC" w:rsidRDefault="002066BC" w:rsidP="00C721AC">
      <w:pPr>
        <w:jc w:val="right"/>
        <w:rPr>
          <w:sz w:val="20"/>
        </w:rPr>
      </w:pPr>
      <w:r>
        <w:rPr>
          <w:sz w:val="20"/>
        </w:rPr>
        <w:t>(continued….)</w:t>
      </w:r>
    </w:p>
  </w:footnote>
  <w:footnote w:id="2">
    <w:p w14:paraId="3B2DFEB9" w14:textId="77777777" w:rsidR="00A63717" w:rsidRPr="00DB062D" w:rsidRDefault="00A63717">
      <w:pPr>
        <w:pStyle w:val="FootnoteText"/>
      </w:pPr>
      <w:r w:rsidRPr="00DB062D">
        <w:rPr>
          <w:rStyle w:val="FootnoteReference"/>
        </w:rPr>
        <w:footnoteRef/>
      </w:r>
      <w:r w:rsidRPr="00DB062D">
        <w:t xml:space="preserve"> </w:t>
      </w:r>
      <w:r w:rsidRPr="00DB062D">
        <w:rPr>
          <w:i/>
        </w:rPr>
        <w:t>See Rural Call Completion</w:t>
      </w:r>
      <w:r w:rsidRPr="00DB062D">
        <w:t>, WC Docket No. 13-39, Report and Order and Further Notice of Proposed Rulemaking, 28 FCC Rcd 16154 (2013) (</w:t>
      </w:r>
      <w:r w:rsidRPr="00DB062D">
        <w:rPr>
          <w:i/>
        </w:rPr>
        <w:t xml:space="preserve">Rural Call Completion Order </w:t>
      </w:r>
      <w:r w:rsidRPr="00DB062D">
        <w:t xml:space="preserve">or </w:t>
      </w:r>
      <w:r w:rsidRPr="00DB062D">
        <w:rPr>
          <w:i/>
        </w:rPr>
        <w:t>Order</w:t>
      </w:r>
      <w:r w:rsidRPr="00DB062D">
        <w:t>).</w:t>
      </w:r>
    </w:p>
  </w:footnote>
  <w:footnote w:id="3">
    <w:p w14:paraId="6E91D094" w14:textId="01FC3904" w:rsidR="00A63717" w:rsidRPr="00DB062D" w:rsidRDefault="00A63717" w:rsidP="00203C5F">
      <w:pPr>
        <w:pStyle w:val="FootnoteText"/>
      </w:pPr>
      <w:r w:rsidRPr="00DB062D">
        <w:rPr>
          <w:rStyle w:val="FootnoteReference"/>
        </w:rPr>
        <w:footnoteRef/>
      </w:r>
      <w:r w:rsidRPr="00DB062D">
        <w:t xml:space="preserve"> </w:t>
      </w:r>
      <w:r w:rsidRPr="00DB062D">
        <w:rPr>
          <w:i/>
        </w:rPr>
        <w:t xml:space="preserve">See </w:t>
      </w:r>
      <w:r w:rsidRPr="00DB062D">
        <w:t>47 C.F.R. §§ 64.2103, 64.2105</w:t>
      </w:r>
      <w:r w:rsidR="00694DC5">
        <w:t xml:space="preserve">; </w:t>
      </w:r>
      <w:r w:rsidR="00694DC5">
        <w:rPr>
          <w:i/>
        </w:rPr>
        <w:t xml:space="preserve">see also </w:t>
      </w:r>
      <w:r w:rsidR="00694DC5">
        <w:t>5 U.S.C. § 554(e) (“The agency, with like effect as in the case of other orders and in its sound discretion, may issue a declaratory order to terminate a controversy or remove uncertainty.”);  47 C.F.R. § 1.2 (“The Commission may, in accordance with section 5(d) of the Administrative Procedure Act, on motion or on its own motion issue a declaratory ruling terminating a controversy or removing uncertainty.”)</w:t>
      </w:r>
      <w:r w:rsidRPr="00DB062D">
        <w:t xml:space="preserve">.  The </w:t>
      </w:r>
      <w:r w:rsidRPr="00DB062D">
        <w:rPr>
          <w:i/>
        </w:rPr>
        <w:t xml:space="preserve">Rural Call Completion Order </w:t>
      </w:r>
      <w:r w:rsidRPr="00DB062D">
        <w:t xml:space="preserve">directs that “[b]efore any reports are due, the Wireline Competition Bureau will release a public notice that explains the filing mechanism in detail.  Bureau staff will work with providers to ensure that the providers have the tools they need to complete and file the form in the least burdensome manner possible.”  </w:t>
      </w:r>
      <w:r w:rsidRPr="00DB062D">
        <w:rPr>
          <w:i/>
        </w:rPr>
        <w:t>Rural Call Completion Order</w:t>
      </w:r>
      <w:r w:rsidRPr="00DB062D">
        <w:t>, 28 FCC Rcd at 16184, para. 66.</w:t>
      </w:r>
    </w:p>
  </w:footnote>
  <w:footnote w:id="4">
    <w:p w14:paraId="6AFBAD1B" w14:textId="7C755B63" w:rsidR="00A63717" w:rsidRPr="00DB062D" w:rsidRDefault="00A63717" w:rsidP="00652CDF">
      <w:pPr>
        <w:pStyle w:val="FootnoteText"/>
      </w:pPr>
      <w:r w:rsidRPr="00DB062D">
        <w:rPr>
          <w:rStyle w:val="FootnoteReference"/>
        </w:rPr>
        <w:footnoteRef/>
      </w:r>
      <w:r w:rsidRPr="00DB062D">
        <w:t xml:space="preserve"> </w:t>
      </w:r>
      <w:r w:rsidRPr="00DB062D">
        <w:rPr>
          <w:i/>
        </w:rPr>
        <w:t xml:space="preserve">See </w:t>
      </w:r>
      <w:r w:rsidR="00E40868" w:rsidRPr="00DB062D">
        <w:rPr>
          <w:i/>
        </w:rPr>
        <w:t>Rural Call Completion Order</w:t>
      </w:r>
      <w:r w:rsidR="00E40868">
        <w:t xml:space="preserve">, 28 FCC Rcd </w:t>
      </w:r>
      <w:r w:rsidRPr="00DB062D">
        <w:t>at 16174-76, 16184-88, paras. 42-43, 65-73.</w:t>
      </w:r>
    </w:p>
  </w:footnote>
  <w:footnote w:id="5">
    <w:p w14:paraId="542CE203" w14:textId="77777777" w:rsidR="00A63717" w:rsidRPr="00DB062D" w:rsidRDefault="00A63717" w:rsidP="003E043C">
      <w:pPr>
        <w:pStyle w:val="FootnoteText"/>
      </w:pPr>
      <w:r w:rsidRPr="00DB062D">
        <w:rPr>
          <w:rStyle w:val="FootnoteReference"/>
        </w:rPr>
        <w:footnoteRef/>
      </w:r>
      <w:r w:rsidRPr="00DB062D">
        <w:t xml:space="preserve"> </w:t>
      </w:r>
      <w:r w:rsidRPr="00DB062D">
        <w:rPr>
          <w:i/>
        </w:rPr>
        <w:t>See id</w:t>
      </w:r>
      <w:r w:rsidRPr="00DB062D">
        <w:t>. at 16155, para. 1.</w:t>
      </w:r>
    </w:p>
  </w:footnote>
  <w:footnote w:id="6">
    <w:p w14:paraId="58E77B02" w14:textId="238540B1" w:rsidR="00A63717" w:rsidRPr="006971C3" w:rsidRDefault="00A63717">
      <w:pPr>
        <w:pStyle w:val="FootnoteText"/>
      </w:pPr>
      <w:r w:rsidRPr="00DB062D">
        <w:rPr>
          <w:rStyle w:val="FootnoteReference"/>
        </w:rPr>
        <w:footnoteRef/>
      </w:r>
      <w:r w:rsidRPr="00DB062D">
        <w:t xml:space="preserve"> 47 C.F.R. §§ 64.2103(e)(8)-(9)</w:t>
      </w:r>
      <w:r>
        <w:t>, 64.2105(b)</w:t>
      </w:r>
      <w:r w:rsidRPr="00DB062D">
        <w:t xml:space="preserve">; </w:t>
      </w:r>
      <w:r w:rsidRPr="00DB062D">
        <w:rPr>
          <w:i/>
        </w:rPr>
        <w:t>Rural Call Completion Order</w:t>
      </w:r>
      <w:r w:rsidRPr="00DB062D">
        <w:t>, 28 FCC Rcd at 16174-77</w:t>
      </w:r>
      <w:r>
        <w:t xml:space="preserve">, </w:t>
      </w:r>
      <w:r w:rsidRPr="00DB062D">
        <w:t>16184-87, paras. 40-46</w:t>
      </w:r>
      <w:r>
        <w:t xml:space="preserve">, </w:t>
      </w:r>
      <w:r w:rsidRPr="00DB062D">
        <w:t>65, 68-72</w:t>
      </w:r>
      <w:r>
        <w:t xml:space="preserve">; </w:t>
      </w:r>
      <w:r>
        <w:rPr>
          <w:i/>
        </w:rPr>
        <w:t xml:space="preserve">see also </w:t>
      </w:r>
      <w:r w:rsidRPr="009859C2">
        <w:rPr>
          <w:i/>
        </w:rPr>
        <w:t>Rural Call Completion</w:t>
      </w:r>
      <w:r w:rsidRPr="009859C2">
        <w:t xml:space="preserve">, WC Docket No. 13-39, Order on Reconsideration, </w:t>
      </w:r>
      <w:r w:rsidR="00631AAA">
        <w:t>29 FCC Rcd 14026</w:t>
      </w:r>
      <w:r w:rsidRPr="009859C2">
        <w:t xml:space="preserve"> (2014)</w:t>
      </w:r>
      <w:r>
        <w:t xml:space="preserve"> (</w:t>
      </w:r>
      <w:r>
        <w:rPr>
          <w:i/>
        </w:rPr>
        <w:t>Rural Call Completion Recon Order</w:t>
      </w:r>
      <w:r>
        <w:t>) (providing exemption for narrow category of intraLATA call attempts).</w:t>
      </w:r>
    </w:p>
  </w:footnote>
  <w:footnote w:id="7">
    <w:p w14:paraId="4366E779" w14:textId="77777777" w:rsidR="00A63717" w:rsidRPr="00DB062D" w:rsidRDefault="00A63717" w:rsidP="001B0BE8">
      <w:pPr>
        <w:pStyle w:val="FootnoteText"/>
      </w:pPr>
      <w:r w:rsidRPr="00DB062D">
        <w:rPr>
          <w:rStyle w:val="FootnoteReference"/>
        </w:rPr>
        <w:footnoteRef/>
      </w:r>
      <w:r w:rsidRPr="00DB062D">
        <w:t xml:space="preserve"> </w:t>
      </w:r>
      <w:r w:rsidRPr="00DB062D">
        <w:rPr>
          <w:i/>
        </w:rPr>
        <w:t>Rural Call Completion Order</w:t>
      </w:r>
      <w:r w:rsidRPr="00DB062D">
        <w:t xml:space="preserve">, 28 FCC Rcd at 16184-87, paras. 65, 68-72. </w:t>
      </w:r>
    </w:p>
  </w:footnote>
  <w:footnote w:id="8">
    <w:p w14:paraId="5DCAEE70" w14:textId="77777777" w:rsidR="00A63717" w:rsidRPr="00DB062D" w:rsidRDefault="00A63717" w:rsidP="003E043C">
      <w:pPr>
        <w:pStyle w:val="FootnoteText"/>
      </w:pPr>
      <w:r w:rsidRPr="00DB062D">
        <w:rPr>
          <w:rStyle w:val="FootnoteReference"/>
        </w:rPr>
        <w:footnoteRef/>
      </w:r>
      <w:r w:rsidRPr="00DB062D">
        <w:t xml:space="preserve"> </w:t>
      </w:r>
      <w:r>
        <w:rPr>
          <w:i/>
        </w:rPr>
        <w:t xml:space="preserve">Id. </w:t>
      </w:r>
      <w:r w:rsidRPr="00DB062D">
        <w:t>at 16187, para. 72.  The Commission emphasized that “the call answer rate is the data point least susceptible to variations in data reporting or to differences in the quality or accuracy of signaling:  the called party either answered the call or did not answer the call.”</w:t>
      </w:r>
      <w:r w:rsidRPr="00DB062D">
        <w:rPr>
          <w:i/>
        </w:rPr>
        <w:t xml:space="preserve">  Id.</w:t>
      </w:r>
      <w:r w:rsidRPr="00DB062D">
        <w:t xml:space="preserve"> at 16186, para. 71.  </w:t>
      </w:r>
    </w:p>
  </w:footnote>
  <w:footnote w:id="9">
    <w:p w14:paraId="4D2A2497" w14:textId="77777777" w:rsidR="00A63717" w:rsidRPr="00DB062D" w:rsidRDefault="00A63717" w:rsidP="00D80025">
      <w:pPr>
        <w:pStyle w:val="FootnoteText"/>
      </w:pPr>
      <w:r w:rsidRPr="00DB062D">
        <w:rPr>
          <w:rStyle w:val="FootnoteReference"/>
        </w:rPr>
        <w:footnoteRef/>
      </w:r>
      <w:r w:rsidRPr="00DB062D">
        <w:t xml:space="preserve"> </w:t>
      </w:r>
      <w:r w:rsidRPr="00DB062D">
        <w:rPr>
          <w:i/>
        </w:rPr>
        <w:t>Id</w:t>
      </w:r>
      <w:r w:rsidRPr="00DB062D">
        <w:t>. at 16175, para. 43, n.120</w:t>
      </w:r>
      <w:r>
        <w:t xml:space="preserve"> (emphasis added)</w:t>
      </w:r>
      <w:r w:rsidRPr="00DB062D">
        <w:t>.</w:t>
      </w:r>
    </w:p>
  </w:footnote>
  <w:footnote w:id="10">
    <w:p w14:paraId="64CA8FE4"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 xml:space="preserve">. at 16175, 16187, para. 43 n.120, para. 71 n.195.  </w:t>
      </w:r>
    </w:p>
  </w:footnote>
  <w:footnote w:id="11">
    <w:p w14:paraId="49FF1244" w14:textId="77777777" w:rsidR="00A63717" w:rsidRPr="00DB062D" w:rsidRDefault="00A63717">
      <w:pPr>
        <w:pStyle w:val="FootnoteText"/>
      </w:pPr>
      <w:r w:rsidRPr="00DB062D">
        <w:rPr>
          <w:rStyle w:val="FootnoteReference"/>
        </w:rPr>
        <w:footnoteRef/>
      </w:r>
      <w:r w:rsidRPr="00DB062D">
        <w:t xml:space="preserve"> </w:t>
      </w:r>
      <w:r w:rsidRPr="00DB062D">
        <w:rPr>
          <w:i/>
        </w:rPr>
        <w:t xml:space="preserve">Id. </w:t>
      </w:r>
      <w:r w:rsidRPr="00DB062D">
        <w:t>at 16176, para. 43.</w:t>
      </w:r>
    </w:p>
  </w:footnote>
  <w:footnote w:id="12">
    <w:p w14:paraId="596C9EE2" w14:textId="77777777" w:rsidR="00A63717" w:rsidRPr="00DB062D" w:rsidRDefault="00A63717">
      <w:pPr>
        <w:pStyle w:val="FootnoteText"/>
      </w:pPr>
      <w:r w:rsidRPr="00DB062D">
        <w:rPr>
          <w:rStyle w:val="FootnoteReference"/>
        </w:rPr>
        <w:footnoteRef/>
      </w:r>
      <w:r w:rsidRPr="00DB062D">
        <w:t xml:space="preserve"> </w:t>
      </w:r>
      <w:r w:rsidRPr="001B0BE8">
        <w:rPr>
          <w:i/>
        </w:rPr>
        <w:t>Id.</w:t>
      </w:r>
      <w:r w:rsidRPr="00DB062D">
        <w:t xml:space="preserve"> at 16185, para. 68 n.186.  </w:t>
      </w:r>
    </w:p>
  </w:footnote>
  <w:footnote w:id="13">
    <w:p w14:paraId="37181852"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 xml:space="preserve"> at 16175, para. 43 n.120</w:t>
      </w:r>
      <w:r>
        <w:t xml:space="preserve"> (emphasis added)</w:t>
      </w:r>
      <w:r w:rsidRPr="00DB062D">
        <w:t xml:space="preserve">.  </w:t>
      </w:r>
    </w:p>
  </w:footnote>
  <w:footnote w:id="14">
    <w:p w14:paraId="3269E1EC" w14:textId="77777777" w:rsidR="00A63717" w:rsidRPr="00DB062D" w:rsidRDefault="00A63717" w:rsidP="00DE7A66">
      <w:pPr>
        <w:pStyle w:val="FootnoteText"/>
      </w:pPr>
      <w:r w:rsidRPr="00DB062D">
        <w:rPr>
          <w:rStyle w:val="FootnoteReference"/>
        </w:rPr>
        <w:footnoteRef/>
      </w:r>
      <w:r w:rsidRPr="00DB062D">
        <w:t xml:space="preserve"> </w:t>
      </w:r>
      <w:r w:rsidRPr="00DB062D">
        <w:rPr>
          <w:i/>
        </w:rPr>
        <w:t>Id</w:t>
      </w:r>
      <w:r w:rsidRPr="00DB062D">
        <w:t xml:space="preserve">. at 16218, Appx. C.  The electronic spreadsheet will be provided by the Commission.  </w:t>
      </w:r>
    </w:p>
  </w:footnote>
  <w:footnote w:id="15">
    <w:p w14:paraId="230CF64D" w14:textId="77777777" w:rsidR="00A63717" w:rsidRPr="00DB062D" w:rsidRDefault="00A63717" w:rsidP="00DE7A66">
      <w:pPr>
        <w:pStyle w:val="FootnoteText"/>
      </w:pPr>
      <w:r w:rsidRPr="00DB062D">
        <w:rPr>
          <w:rStyle w:val="FootnoteReference"/>
        </w:rPr>
        <w:footnoteRef/>
      </w:r>
      <w:r w:rsidRPr="00DB062D">
        <w:t xml:space="preserve"> ISUP and SIP release cause codes are used within the network to identify the outcome of a given call</w:t>
      </w:r>
      <w:r>
        <w:t xml:space="preserve"> attempt</w:t>
      </w:r>
      <w:r w:rsidRPr="00DB062D">
        <w:t xml:space="preserve">.  </w:t>
      </w:r>
      <w:r w:rsidRPr="00DB062D">
        <w:rPr>
          <w:i/>
        </w:rPr>
        <w:t xml:space="preserve">See </w:t>
      </w:r>
      <w:r w:rsidRPr="00DB062D">
        <w:t>Harry Newton, Newton’s Telecom Dictionary 648, 1051 (26th ed. 2011).</w:t>
      </w:r>
    </w:p>
  </w:footnote>
  <w:footnote w:id="16">
    <w:p w14:paraId="43519A1A" w14:textId="56690CEA" w:rsidR="00A63717" w:rsidRDefault="00A63717" w:rsidP="00652CDF">
      <w:pPr>
        <w:pStyle w:val="FootnoteText"/>
      </w:pPr>
      <w:r>
        <w:rPr>
          <w:rStyle w:val="FootnoteReference"/>
        </w:rPr>
        <w:footnoteRef/>
      </w:r>
      <w:r>
        <w:t xml:space="preserve"> </w:t>
      </w:r>
      <w:r w:rsidRPr="00DB062D">
        <w:rPr>
          <w:i/>
        </w:rPr>
        <w:t>Rural Call Completion Order</w:t>
      </w:r>
      <w:r w:rsidRPr="00DB062D">
        <w:t xml:space="preserve">, 28 FCC Rcd </w:t>
      </w:r>
      <w:r>
        <w:t>a</w:t>
      </w:r>
      <w:r w:rsidRPr="00DB062D">
        <w:t>t</w:t>
      </w:r>
      <w:r>
        <w:t xml:space="preserve"> </w:t>
      </w:r>
      <w:r w:rsidRPr="00DB062D">
        <w:t xml:space="preserve">16218, Appx. C. </w:t>
      </w:r>
      <w:r>
        <w:t xml:space="preserve"> Note that the Commission’s example of “Answered” in the Appendix C legend referred to a “call” whereas the examples of the unanswered subcategories all refer to “call attempts.” </w:t>
      </w:r>
      <w:r w:rsidR="00E40868">
        <w:t xml:space="preserve"> </w:t>
      </w:r>
      <w:r>
        <w:t xml:space="preserve">The Commission has also made it clear </w:t>
      </w:r>
      <w:r w:rsidRPr="00C72210">
        <w:t>that the call</w:t>
      </w:r>
      <w:r>
        <w:t xml:space="preserve"> attempt</w:t>
      </w:r>
      <w:r w:rsidRPr="00C72210">
        <w:t xml:space="preserve"> has to be first answered by the called party for a release code of 16 or 31 to indicate that the call was</w:t>
      </w:r>
      <w:r>
        <w:t xml:space="preserve"> an answered call.  </w:t>
      </w:r>
      <w:r>
        <w:rPr>
          <w:i/>
        </w:rPr>
        <w:t>Se</w:t>
      </w:r>
      <w:r w:rsidRPr="00DB062D">
        <w:rPr>
          <w:i/>
        </w:rPr>
        <w:t>e Rural Call Completion</w:t>
      </w:r>
      <w:r>
        <w:rPr>
          <w:i/>
        </w:rPr>
        <w:t xml:space="preserve">, </w:t>
      </w:r>
      <w:r w:rsidRPr="00DB062D">
        <w:t>WC Docket No. 13-3</w:t>
      </w:r>
      <w:r>
        <w:t xml:space="preserve">9, </w:t>
      </w:r>
      <w:r w:rsidRPr="00DB062D">
        <w:t>Notice of Propo</w:t>
      </w:r>
      <w:r>
        <w:t>sed Rulemaking, 28</w:t>
      </w:r>
      <w:r>
        <w:rPr>
          <w:i/>
        </w:rPr>
        <w:t xml:space="preserve"> </w:t>
      </w:r>
      <w:r>
        <w:t xml:space="preserve">FCC Rcd </w:t>
      </w:r>
      <w:r w:rsidR="00E40868">
        <w:t xml:space="preserve">1569, </w:t>
      </w:r>
      <w:r>
        <w:t>1578</w:t>
      </w:r>
      <w:r w:rsidR="006C6130">
        <w:t>,</w:t>
      </w:r>
      <w:r w:rsidR="00E40868">
        <w:t xml:space="preserve"> para. 29 n.54</w:t>
      </w:r>
      <w:r>
        <w:t xml:space="preserve"> </w:t>
      </w:r>
      <w:r w:rsidRPr="00DB062D">
        <w:t>(2013)</w:t>
      </w:r>
      <w:r w:rsidR="00E40868">
        <w:t xml:space="preserve"> (“</w:t>
      </w:r>
      <w:r w:rsidR="00E40868" w:rsidRPr="00C72210">
        <w:t xml:space="preserve">For example, when a call attempt is answered by the called party, the terminating provider typically sends one of the </w:t>
      </w:r>
      <w:r w:rsidR="00E40868">
        <w:t>‘</w:t>
      </w:r>
      <w:r w:rsidR="00E40868" w:rsidRPr="00C72210">
        <w:t>Call Completed</w:t>
      </w:r>
      <w:r w:rsidR="00E40868">
        <w:t>’</w:t>
      </w:r>
      <w:r w:rsidR="00E40868" w:rsidRPr="00C72210">
        <w:t xml:space="preserve"> category cause values, such as </w:t>
      </w:r>
      <w:r w:rsidR="00E40868">
        <w:t>‘</w:t>
      </w:r>
      <w:r w:rsidR="00E40868" w:rsidRPr="00C72210">
        <w:t>normal call clearing</w:t>
      </w:r>
      <w:r w:rsidR="00E40868">
        <w:t>’</w:t>
      </w:r>
      <w:r w:rsidR="00E40868" w:rsidRPr="00C72210">
        <w:t xml:space="preserve"> (cause value 16) or </w:t>
      </w:r>
      <w:r w:rsidR="00E40868">
        <w:t>‘</w:t>
      </w:r>
      <w:r w:rsidR="00E40868" w:rsidRPr="00C72210">
        <w:t>normal, unspecified</w:t>
      </w:r>
      <w:r w:rsidR="00E40868">
        <w:t>’</w:t>
      </w:r>
      <w:r w:rsidR="00E40868" w:rsidRPr="00C72210">
        <w:t xml:space="preserve"> (cause value 31) when one of the parties terminates the conversation by hanging up</w:t>
      </w:r>
      <w:r w:rsidR="00E40868">
        <w:t>.”)</w:t>
      </w:r>
      <w:r>
        <w:t>.</w:t>
      </w:r>
      <w:r w:rsidRPr="00DB062D">
        <w:t xml:space="preserve"> </w:t>
      </w:r>
      <w:r>
        <w:t xml:space="preserve">  </w:t>
      </w:r>
    </w:p>
  </w:footnote>
  <w:footnote w:id="17">
    <w:p w14:paraId="2C919EC7" w14:textId="77777777" w:rsidR="00A63717" w:rsidRPr="00DB062D" w:rsidRDefault="00A63717" w:rsidP="003E043C">
      <w:pPr>
        <w:pStyle w:val="FootnoteText"/>
      </w:pPr>
      <w:r w:rsidRPr="00DB062D">
        <w:rPr>
          <w:rStyle w:val="FootnoteReference"/>
        </w:rPr>
        <w:footnoteRef/>
      </w:r>
      <w:r w:rsidRPr="00DB062D">
        <w:t xml:space="preserve"> </w:t>
      </w:r>
      <w:r w:rsidRPr="00DB062D">
        <w:rPr>
          <w:i/>
        </w:rPr>
        <w:t xml:space="preserve">See </w:t>
      </w:r>
      <w:r w:rsidRPr="00DB062D">
        <w:t xml:space="preserve">Letter from Maggie McCready, Vice President, Federal Regulatory Affairs, Verizon, to Marlene H. Dortch, Secretary, FCC, WC Docket No. 13-39 (filed Mar. 24, 2014) (Verizon Mar. 24, 2014 </w:t>
      </w:r>
      <w:r w:rsidRPr="00DB062D">
        <w:rPr>
          <w:i/>
        </w:rPr>
        <w:t>Ex Parte</w:t>
      </w:r>
      <w:r w:rsidRPr="00DB062D">
        <w:t xml:space="preserve">); Letter from Joseph C. Cavender, Vice President, Federal Affairs, Level 3, to Marlene H. Dortch, Secretary, FCC, WC Docket No. 13-39 (filed Jan. 29, 2014) (Level 3 Jan. 29, 2014 </w:t>
      </w:r>
      <w:r w:rsidRPr="00DB062D">
        <w:rPr>
          <w:i/>
        </w:rPr>
        <w:t>Ex Parte</w:t>
      </w:r>
      <w:r w:rsidRPr="00DB062D">
        <w:t>).</w:t>
      </w:r>
    </w:p>
  </w:footnote>
  <w:footnote w:id="18">
    <w:p w14:paraId="69850F22" w14:textId="77777777" w:rsidR="00A63717" w:rsidRPr="00DB062D" w:rsidRDefault="00A63717" w:rsidP="00123D5D">
      <w:pPr>
        <w:pStyle w:val="FootnoteText"/>
      </w:pPr>
      <w:r w:rsidRPr="00DB062D">
        <w:rPr>
          <w:rStyle w:val="FootnoteReference"/>
        </w:rPr>
        <w:footnoteRef/>
      </w:r>
      <w:r w:rsidRPr="00DB062D">
        <w:t xml:space="preserve"> </w:t>
      </w:r>
      <w:r w:rsidRPr="00DB062D">
        <w:rPr>
          <w:i/>
        </w:rPr>
        <w:t>See Wireline Competition Bureau Seeks Comment on Whether to Clarify Appendix C of the Rural Call Completion Order</w:t>
      </w:r>
      <w:r w:rsidRPr="00DB062D">
        <w:t>, WC Docket No. 13-39, Public Notice, 29 FCC Rcd 3927 (Wireline Comp. Bur. 2014) (</w:t>
      </w:r>
      <w:r w:rsidRPr="00DB062D">
        <w:rPr>
          <w:i/>
        </w:rPr>
        <w:t>Clarification PN</w:t>
      </w:r>
      <w:r w:rsidRPr="00DB062D">
        <w:t>).</w:t>
      </w:r>
    </w:p>
  </w:footnote>
  <w:footnote w:id="19">
    <w:p w14:paraId="30A27933" w14:textId="77777777" w:rsidR="00A63717" w:rsidRPr="009C0FAF" w:rsidRDefault="00A63717" w:rsidP="003E043C">
      <w:pPr>
        <w:pStyle w:val="FootnoteText"/>
        <w:rPr>
          <w:b/>
        </w:rPr>
      </w:pPr>
      <w:r w:rsidRPr="00DB062D">
        <w:rPr>
          <w:rStyle w:val="FootnoteReference"/>
        </w:rPr>
        <w:footnoteRef/>
      </w:r>
      <w:r w:rsidRPr="00DB062D">
        <w:t xml:space="preserve"> </w:t>
      </w:r>
      <w:r w:rsidRPr="00DB062D">
        <w:rPr>
          <w:i/>
        </w:rPr>
        <w:t>Id.</w:t>
      </w:r>
      <w:r w:rsidRPr="00DB062D">
        <w:t xml:space="preserve"> at 3928.</w:t>
      </w:r>
    </w:p>
  </w:footnote>
  <w:footnote w:id="20">
    <w:p w14:paraId="641057F1" w14:textId="77777777" w:rsidR="00A63717" w:rsidRPr="00DB062D" w:rsidRDefault="00A63717" w:rsidP="003E043C">
      <w:pPr>
        <w:pStyle w:val="FootnoteText"/>
      </w:pPr>
      <w:r w:rsidRPr="00DB062D">
        <w:rPr>
          <w:rStyle w:val="FootnoteReference"/>
        </w:rPr>
        <w:footnoteRef/>
      </w:r>
      <w:r w:rsidRPr="00DB062D">
        <w:t xml:space="preserve"> </w:t>
      </w:r>
      <w:r w:rsidRPr="00DB062D">
        <w:rPr>
          <w:i/>
        </w:rPr>
        <w:t xml:space="preserve">See </w:t>
      </w:r>
      <w:r w:rsidRPr="00DB062D">
        <w:t>ATIS Comments, WC Docket No. 13-39 (filed May 27, 2014) (ATIS Comments); CenturyLink Comments, WC Docket No. 13-39, at 1-3 (filed May 13, 2014) (CenturyLink Comments)</w:t>
      </w:r>
      <w:r w:rsidRPr="00DB062D">
        <w:rPr>
          <w:color w:val="231F20"/>
        </w:rPr>
        <w:t xml:space="preserve">; </w:t>
      </w:r>
      <w:r w:rsidRPr="00DB062D">
        <w:rPr>
          <w:color w:val="010101"/>
        </w:rPr>
        <w:t xml:space="preserve">COMPTEL Comments, WC Docket No. 13-39, at 3-5 (filed May 13, 2014) (COMPTEL Comments); Level 3 Comments, WC Docket No. 13-39 (filed May 13, 2014) (Level 3 Comments); </w:t>
      </w:r>
      <w:r w:rsidRPr="002C7466">
        <w:t xml:space="preserve">National Cable &amp; Telecommunications Association (NCTA) Comments, </w:t>
      </w:r>
      <w:r w:rsidRPr="00DB062D">
        <w:rPr>
          <w:color w:val="010101"/>
        </w:rPr>
        <w:t xml:space="preserve">WC Docket No. 13-39, at 2 (filed May 13, 2014) (NCTA Comments); Verizon Comments, WC Docket No. 13-39 (filed May 13, 2014) (Verizon Comments); Voice Communication Exchange Committee (VCXC) Comments, WC Docket No. 13-39 (filed May 13, 2014) (VCXC Comments); XO Comments, WC Docket No. 13-39 (filed May 14, 2014) (XO Comments); ZipDX Comments, WC Docket No. 13-39 (filed Apr. 28, 2014) (ZipDX Comments).  Although the ATIS Comments and XO Comments were filed after the comment due date of May 13, 2014, we consider and respond to these comments in this </w:t>
      </w:r>
      <w:r>
        <w:rPr>
          <w:color w:val="010101"/>
        </w:rPr>
        <w:t>Declaratory Ruling</w:t>
      </w:r>
      <w:r w:rsidRPr="00DB062D">
        <w:rPr>
          <w:color w:val="010101"/>
        </w:rPr>
        <w:t>.</w:t>
      </w:r>
    </w:p>
  </w:footnote>
  <w:footnote w:id="21">
    <w:p w14:paraId="620A9E27" w14:textId="77777777" w:rsidR="00A63717" w:rsidRPr="00DB062D" w:rsidRDefault="00A63717" w:rsidP="00C91325">
      <w:pPr>
        <w:pStyle w:val="FootnoteText"/>
      </w:pPr>
      <w:r w:rsidRPr="00DB062D">
        <w:rPr>
          <w:rStyle w:val="FootnoteReference"/>
        </w:rPr>
        <w:footnoteRef/>
      </w:r>
      <w:r w:rsidRPr="00DB062D">
        <w:t xml:space="preserve"> </w:t>
      </w:r>
      <w:r w:rsidRPr="00DB062D">
        <w:rPr>
          <w:i/>
        </w:rPr>
        <w:t>Rural Call Completion Order</w:t>
      </w:r>
      <w:r w:rsidRPr="00DB062D">
        <w:t>, 28 FCC Rcd</w:t>
      </w:r>
      <w:r w:rsidRPr="00DB062D">
        <w:rPr>
          <w:i/>
        </w:rPr>
        <w:t>.</w:t>
      </w:r>
      <w:r w:rsidRPr="00DB062D">
        <w:t xml:space="preserve"> </w:t>
      </w:r>
      <w:r>
        <w:t>a</w:t>
      </w:r>
      <w:r w:rsidRPr="00DB062D">
        <w:t>t</w:t>
      </w:r>
      <w:r>
        <w:t xml:space="preserve"> </w:t>
      </w:r>
      <w:r w:rsidRPr="00DB062D">
        <w:t xml:space="preserve">16187, para. 72.    </w:t>
      </w:r>
    </w:p>
  </w:footnote>
  <w:footnote w:id="22">
    <w:p w14:paraId="4C6223B2" w14:textId="77777777" w:rsidR="00A63717" w:rsidRPr="00E93F41" w:rsidRDefault="00A63717">
      <w:pPr>
        <w:pStyle w:val="FootnoteText"/>
      </w:pPr>
      <w:r>
        <w:rPr>
          <w:rStyle w:val="FootnoteReference"/>
        </w:rPr>
        <w:footnoteRef/>
      </w:r>
      <w:r>
        <w:t xml:space="preserve"> </w:t>
      </w:r>
      <w:r>
        <w:rPr>
          <w:i/>
        </w:rPr>
        <w:t>Rural Call Completion Order</w:t>
      </w:r>
      <w:r w:rsidRPr="00B355B2">
        <w:t>,</w:t>
      </w:r>
      <w:r>
        <w:t xml:space="preserve"> 28 FCC Rcd at 16184, para. 66.</w:t>
      </w:r>
    </w:p>
  </w:footnote>
  <w:footnote w:id="23">
    <w:p w14:paraId="6C004239" w14:textId="77777777" w:rsidR="00A63717" w:rsidRPr="000F7A81" w:rsidRDefault="00A63717">
      <w:pPr>
        <w:pStyle w:val="FootnoteText"/>
      </w:pPr>
      <w:r>
        <w:rPr>
          <w:rStyle w:val="FootnoteReference"/>
        </w:rPr>
        <w:footnoteRef/>
      </w:r>
      <w:r>
        <w:t xml:space="preserve"> </w:t>
      </w:r>
      <w:r>
        <w:rPr>
          <w:i/>
        </w:rPr>
        <w:t>Id.</w:t>
      </w:r>
    </w:p>
  </w:footnote>
  <w:footnote w:id="24">
    <w:p w14:paraId="60F96763" w14:textId="77777777" w:rsidR="00A63717" w:rsidRPr="00DB062D" w:rsidRDefault="00A63717">
      <w:pPr>
        <w:pStyle w:val="FootnoteText"/>
      </w:pPr>
      <w:r w:rsidRPr="00DB062D">
        <w:rPr>
          <w:rStyle w:val="FootnoteReference"/>
        </w:rPr>
        <w:footnoteRef/>
      </w:r>
      <w:r w:rsidRPr="00DB062D">
        <w:t xml:space="preserve"> </w:t>
      </w:r>
      <w:r w:rsidRPr="00DB062D">
        <w:rPr>
          <w:i/>
        </w:rPr>
        <w:t>Rural Call Completion Order</w:t>
      </w:r>
      <w:r w:rsidRPr="00DB062D">
        <w:t>, 28 FCC Rcd at 16184, para. 66.</w:t>
      </w:r>
    </w:p>
  </w:footnote>
  <w:footnote w:id="25">
    <w:p w14:paraId="5B002358" w14:textId="77777777" w:rsidR="00A63717" w:rsidRPr="00DB062D" w:rsidRDefault="00A63717">
      <w:pPr>
        <w:pStyle w:val="FootnoteText"/>
      </w:pPr>
      <w:r w:rsidRPr="00DB062D">
        <w:rPr>
          <w:rStyle w:val="FootnoteReference"/>
        </w:rPr>
        <w:footnoteRef/>
      </w:r>
      <w:r w:rsidRPr="00DB062D">
        <w:t xml:space="preserve"> </w:t>
      </w:r>
      <w:r w:rsidRPr="00DB062D">
        <w:rPr>
          <w:i/>
        </w:rPr>
        <w:t>See, e.g.</w:t>
      </w:r>
      <w:r w:rsidRPr="00DB062D">
        <w:t xml:space="preserve">, NCTA Comments at 2 (suggesting that calls should be reported as “answered” only if they meet criteria in the Appendix C legend </w:t>
      </w:r>
      <w:r w:rsidRPr="002C7466">
        <w:rPr>
          <w:i/>
        </w:rPr>
        <w:t>and</w:t>
      </w:r>
      <w:r w:rsidRPr="002C7466">
        <w:t xml:space="preserve"> they are identified as answered); Verizon Comments at 1 (arguing that, </w:t>
      </w:r>
      <w:r>
        <w:t xml:space="preserve">as to </w:t>
      </w:r>
      <w:r w:rsidRPr="002C7466">
        <w:t>“answered” call attempts, the Commission should retain the “release ca</w:t>
      </w:r>
      <w:r>
        <w:t xml:space="preserve">use code” methodology </w:t>
      </w:r>
      <w:r w:rsidRPr="002C7466">
        <w:t>in Appendix C).</w:t>
      </w:r>
    </w:p>
  </w:footnote>
  <w:footnote w:id="26">
    <w:p w14:paraId="2F58D3C4" w14:textId="77777777" w:rsidR="00A63717" w:rsidRPr="00DB062D" w:rsidRDefault="00A63717" w:rsidP="00113CB9">
      <w:pPr>
        <w:pStyle w:val="FootnoteText"/>
      </w:pPr>
      <w:r w:rsidRPr="00DB062D">
        <w:rPr>
          <w:rStyle w:val="FootnoteReference"/>
        </w:rPr>
        <w:footnoteRef/>
      </w:r>
      <w:r w:rsidRPr="00DB062D">
        <w:t xml:space="preserve"> </w:t>
      </w:r>
      <w:r w:rsidRPr="00DB062D">
        <w:rPr>
          <w:i/>
        </w:rPr>
        <w:t>See Rural Call Completion Order</w:t>
      </w:r>
      <w:r w:rsidRPr="00DB062D">
        <w:t xml:space="preserve">, 28 FCC Rcd at 16218, Appx. C.  </w:t>
      </w:r>
    </w:p>
  </w:footnote>
  <w:footnote w:id="27">
    <w:p w14:paraId="7DC0D626" w14:textId="77777777" w:rsidR="00A63717" w:rsidRPr="00DB062D" w:rsidRDefault="00A63717" w:rsidP="00113CB9">
      <w:pPr>
        <w:pStyle w:val="FootnoteText"/>
      </w:pPr>
      <w:r w:rsidRPr="00DB062D">
        <w:rPr>
          <w:rStyle w:val="FootnoteReference"/>
        </w:rPr>
        <w:footnoteRef/>
      </w:r>
      <w:r w:rsidRPr="00DB062D">
        <w:t xml:space="preserve"> </w:t>
      </w:r>
      <w:r w:rsidRPr="00DB062D">
        <w:rPr>
          <w:i/>
        </w:rPr>
        <w:t>Id</w:t>
      </w:r>
      <w:r w:rsidRPr="00DB062D">
        <w:t>. at 16176, para. 43 (emphasis added).</w:t>
      </w:r>
      <w:r>
        <w:t xml:space="preserve">  </w:t>
      </w:r>
      <w:r>
        <w:rPr>
          <w:szCs w:val="22"/>
        </w:rPr>
        <w:t>For</w:t>
      </w:r>
      <w:r w:rsidRPr="0019716D">
        <w:rPr>
          <w:szCs w:val="22"/>
        </w:rPr>
        <w:t xml:space="preserve"> example, while the </w:t>
      </w:r>
      <w:r w:rsidRPr="0019716D">
        <w:rPr>
          <w:i/>
          <w:szCs w:val="22"/>
        </w:rPr>
        <w:t xml:space="preserve">Order </w:t>
      </w:r>
      <w:r w:rsidRPr="001D4C1B">
        <w:rPr>
          <w:szCs w:val="22"/>
        </w:rPr>
        <w:t>contemplates that one “commonly occurring ‘User’ cause is ‘unallocated (unassigned) number’ (cause value 1),”</w:t>
      </w:r>
      <w:r>
        <w:rPr>
          <w:szCs w:val="22"/>
        </w:rPr>
        <w:t xml:space="preserve"> </w:t>
      </w:r>
      <w:r w:rsidRPr="0019716D">
        <w:rPr>
          <w:szCs w:val="22"/>
        </w:rPr>
        <w:t>it does not suggest that this is the only cause code that might comport with the defini</w:t>
      </w:r>
      <w:r w:rsidRPr="001D4C1B">
        <w:rPr>
          <w:szCs w:val="22"/>
        </w:rPr>
        <w:t xml:space="preserve">tion given therein.  </w:t>
      </w:r>
      <w:r w:rsidRPr="00DB062D" w:rsidDel="0019716D">
        <w:rPr>
          <w:i/>
        </w:rPr>
        <w:t>Id</w:t>
      </w:r>
      <w:r w:rsidRPr="00DB062D" w:rsidDel="0019716D">
        <w:t>. at 16175, para. 43 n.120</w:t>
      </w:r>
      <w:r>
        <w:t xml:space="preserve">. </w:t>
      </w:r>
    </w:p>
  </w:footnote>
  <w:footnote w:id="28">
    <w:p w14:paraId="69E468BD"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 xml:space="preserve">. at 16176, para. 43.  </w:t>
      </w:r>
    </w:p>
  </w:footnote>
  <w:footnote w:id="29">
    <w:p w14:paraId="7A92FB17" w14:textId="77777777" w:rsidR="00A63717" w:rsidRPr="00DB062D" w:rsidRDefault="00A63717" w:rsidP="00472F16">
      <w:pPr>
        <w:pStyle w:val="FootnoteText"/>
      </w:pPr>
      <w:r w:rsidRPr="00DB062D">
        <w:rPr>
          <w:rStyle w:val="FootnoteReference"/>
        </w:rPr>
        <w:footnoteRef/>
      </w:r>
      <w:r w:rsidRPr="00DB062D">
        <w:t xml:space="preserve"> </w:t>
      </w:r>
      <w:r w:rsidRPr="001B0BE8">
        <w:rPr>
          <w:i/>
        </w:rPr>
        <w:t>Id.</w:t>
      </w:r>
      <w:r w:rsidRPr="00DB062D">
        <w:t xml:space="preserve"> at 16187, para. 71 n.195.</w:t>
      </w:r>
    </w:p>
  </w:footnote>
  <w:footnote w:id="30">
    <w:p w14:paraId="73B798CA" w14:textId="77777777" w:rsidR="00A63717" w:rsidRPr="00DB062D" w:rsidRDefault="00A63717">
      <w:pPr>
        <w:pStyle w:val="FootnoteText"/>
      </w:pPr>
      <w:r w:rsidRPr="00DB062D">
        <w:rPr>
          <w:rStyle w:val="FootnoteReference"/>
        </w:rPr>
        <w:footnoteRef/>
      </w:r>
      <w:r w:rsidRPr="00DB062D">
        <w:t xml:space="preserve"> 47 C.F.R. § 64.2103(e)(9); </w:t>
      </w:r>
      <w:r w:rsidRPr="00DB062D">
        <w:rPr>
          <w:i/>
        </w:rPr>
        <w:t>see also</w:t>
      </w:r>
      <w:r w:rsidRPr="00DB062D">
        <w:t xml:space="preserve"> 47 C.F.R. § 64.2103(e)(8) (“[A]n indication of whether the call attempt was answered . . . may take the form of an SS7 signaling cause code or SIP signaling message code associated with each call attempt.”).</w:t>
      </w:r>
    </w:p>
  </w:footnote>
  <w:footnote w:id="31">
    <w:p w14:paraId="656D6BE6" w14:textId="77777777" w:rsidR="00A63717" w:rsidRPr="00DB062D" w:rsidRDefault="00A63717" w:rsidP="00AD77E6">
      <w:pPr>
        <w:pStyle w:val="FootnoteText"/>
      </w:pPr>
      <w:r w:rsidRPr="00DB062D">
        <w:rPr>
          <w:rStyle w:val="FootnoteReference"/>
        </w:rPr>
        <w:footnoteRef/>
      </w:r>
      <w:r w:rsidRPr="00DB062D">
        <w:t xml:space="preserve"> </w:t>
      </w:r>
      <w:r w:rsidRPr="00DB062D">
        <w:rPr>
          <w:i/>
        </w:rPr>
        <w:t>See, e.g.</w:t>
      </w:r>
      <w:r w:rsidRPr="00DB062D">
        <w:t xml:space="preserve">, CenturyLink Comments at 2-3, COMPTEL Comments at 1-4; Level 3 Comments at 2-3; NCTA Comments at 1; XO Comments at 2-4; Verizon March 24, 2014 </w:t>
      </w:r>
      <w:r w:rsidRPr="00DB062D">
        <w:rPr>
          <w:i/>
        </w:rPr>
        <w:t>Ex Parte</w:t>
      </w:r>
      <w:r w:rsidRPr="00DB062D">
        <w:t xml:space="preserve"> at 1.</w:t>
      </w:r>
    </w:p>
  </w:footnote>
  <w:footnote w:id="32">
    <w:p w14:paraId="31D153C3" w14:textId="77777777" w:rsidR="00A63717" w:rsidRPr="00DB062D" w:rsidRDefault="00A63717" w:rsidP="000C2E8A">
      <w:pPr>
        <w:pStyle w:val="FootnoteText"/>
      </w:pPr>
      <w:r w:rsidRPr="00DB062D">
        <w:rPr>
          <w:rStyle w:val="FootnoteReference"/>
        </w:rPr>
        <w:footnoteRef/>
      </w:r>
      <w:r w:rsidRPr="00DB062D">
        <w:t xml:space="preserve"> </w:t>
      </w:r>
      <w:r w:rsidRPr="00DB062D">
        <w:rPr>
          <w:i/>
        </w:rPr>
        <w:t>See, e.g.</w:t>
      </w:r>
      <w:r w:rsidRPr="00DB062D">
        <w:t>,</w:t>
      </w:r>
      <w:r w:rsidRPr="00DB062D">
        <w:rPr>
          <w:i/>
        </w:rPr>
        <w:t xml:space="preserve"> </w:t>
      </w:r>
      <w:r w:rsidRPr="00DB062D">
        <w:t>COMPTEL Comments at 5-6; XO Comments at 2.</w:t>
      </w:r>
    </w:p>
  </w:footnote>
  <w:footnote w:id="33">
    <w:p w14:paraId="46872752" w14:textId="77777777" w:rsidR="00A63717" w:rsidRPr="00DB062D" w:rsidRDefault="00A63717">
      <w:pPr>
        <w:pStyle w:val="FootnoteText"/>
      </w:pPr>
      <w:r w:rsidRPr="00DB062D">
        <w:rPr>
          <w:rStyle w:val="FootnoteReference"/>
        </w:rPr>
        <w:footnoteRef/>
      </w:r>
      <w:r w:rsidRPr="00DB062D">
        <w:t xml:space="preserve"> </w:t>
      </w:r>
      <w:r w:rsidRPr="00DB062D">
        <w:rPr>
          <w:i/>
        </w:rPr>
        <w:t>See, e.g.</w:t>
      </w:r>
      <w:r w:rsidRPr="00DB062D">
        <w:t>,</w:t>
      </w:r>
      <w:r w:rsidRPr="00DB062D">
        <w:rPr>
          <w:i/>
        </w:rPr>
        <w:t xml:space="preserve"> </w:t>
      </w:r>
      <w:r w:rsidRPr="00DB062D">
        <w:t>CenturyLink Comments at 2-3 (stating that the best means to categorize a c</w:t>
      </w:r>
      <w:r>
        <w:t xml:space="preserve">all as an “answered call” is </w:t>
      </w:r>
      <w:r w:rsidRPr="00DB062D">
        <w:t>to investigate into the calls via the Call Detail Record (CDR) for the indicator of conversation time which aligns with how billing to customers is determined); NCTA Comments at 2 (asserting that when call detail records indicate that calls with ISUP 16 and 31 and SIP BYE and CANCEL codes are unanswered, they should be reported as “ring no answer” calls).</w:t>
      </w:r>
    </w:p>
  </w:footnote>
  <w:footnote w:id="34">
    <w:p w14:paraId="49FC5991" w14:textId="77777777" w:rsidR="00A63717" w:rsidRPr="00DB062D" w:rsidRDefault="00A63717">
      <w:pPr>
        <w:pStyle w:val="FootnoteText"/>
      </w:pPr>
      <w:r w:rsidRPr="00DB062D">
        <w:rPr>
          <w:rStyle w:val="FootnoteReference"/>
        </w:rPr>
        <w:footnoteRef/>
      </w:r>
      <w:r w:rsidRPr="00DB062D">
        <w:t xml:space="preserve"> </w:t>
      </w:r>
      <w:r w:rsidRPr="00DB062D">
        <w:rPr>
          <w:i/>
        </w:rPr>
        <w:t>See, e.g.</w:t>
      </w:r>
      <w:r w:rsidRPr="00DB062D">
        <w:t>,</w:t>
      </w:r>
      <w:r w:rsidRPr="00DB062D">
        <w:rPr>
          <w:i/>
        </w:rPr>
        <w:t xml:space="preserve"> </w:t>
      </w:r>
      <w:r w:rsidRPr="00DB062D">
        <w:t>COMPTEL Comments at 5-6; Verizon Comments at 4; XO Comments at 2</w:t>
      </w:r>
      <w:r w:rsidRPr="002C7466">
        <w:t>;</w:t>
      </w:r>
      <w:r w:rsidRPr="00DB062D">
        <w:t xml:space="preserve"> </w:t>
      </w:r>
      <w:r w:rsidRPr="00DB062D">
        <w:rPr>
          <w:i/>
        </w:rPr>
        <w:t>see also</w:t>
      </w:r>
      <w:r w:rsidRPr="00DB062D">
        <w:t xml:space="preserve"> ATIS Comments at 2 (stating that there is “substantial evidence on the record that the Commission’s focus on reporting of call answer rates is misplaced and that call answer rates—however they are determined—will not reliably identify rural OCNs with call delivery issues”).  </w:t>
      </w:r>
    </w:p>
  </w:footnote>
  <w:footnote w:id="35">
    <w:p w14:paraId="7104F547" w14:textId="77777777" w:rsidR="00A63717" w:rsidRPr="00DB062D" w:rsidRDefault="00A63717" w:rsidP="000C2E8A">
      <w:pPr>
        <w:pStyle w:val="FootnoteText"/>
      </w:pPr>
      <w:r w:rsidRPr="00DB062D">
        <w:rPr>
          <w:rStyle w:val="FootnoteReference"/>
        </w:rPr>
        <w:footnoteRef/>
      </w:r>
      <w:r w:rsidRPr="00DB062D">
        <w:t xml:space="preserve"> Such arguments </w:t>
      </w:r>
      <w:r w:rsidRPr="002C7466">
        <w:t xml:space="preserve">would have been more appropriately raised in a petition for reconsideration of the </w:t>
      </w:r>
      <w:r w:rsidRPr="002C7466">
        <w:rPr>
          <w:i/>
        </w:rPr>
        <w:t>Rural Call Completion Order</w:t>
      </w:r>
      <w:r w:rsidRPr="002C7466">
        <w:t>.  The Bureau does not have the authority to revisit the Commission’s</w:t>
      </w:r>
      <w:r w:rsidRPr="002C7466">
        <w:rPr>
          <w:i/>
        </w:rPr>
        <w:t xml:space="preserve"> </w:t>
      </w:r>
      <w:r w:rsidRPr="002C7466">
        <w:t>decision.</w:t>
      </w:r>
    </w:p>
  </w:footnote>
  <w:footnote w:id="36">
    <w:p w14:paraId="66428A52" w14:textId="77777777" w:rsidR="00A63717" w:rsidRPr="00DB062D" w:rsidRDefault="00A63717" w:rsidP="000A3B43">
      <w:pPr>
        <w:autoSpaceDE w:val="0"/>
        <w:autoSpaceDN w:val="0"/>
        <w:adjustRightInd w:val="0"/>
        <w:spacing w:after="120"/>
        <w:rPr>
          <w:sz w:val="20"/>
        </w:rPr>
      </w:pPr>
      <w:r w:rsidRPr="00DB062D">
        <w:rPr>
          <w:rStyle w:val="FootnoteReference"/>
        </w:rPr>
        <w:footnoteRef/>
      </w:r>
      <w:r w:rsidRPr="00DB062D">
        <w:rPr>
          <w:sz w:val="20"/>
        </w:rPr>
        <w:t xml:space="preserve"> </w:t>
      </w:r>
      <w:r w:rsidRPr="008365C3">
        <w:rPr>
          <w:i/>
          <w:sz w:val="20"/>
        </w:rPr>
        <w:t>See, e.g.</w:t>
      </w:r>
      <w:r w:rsidRPr="00D008C4">
        <w:rPr>
          <w:sz w:val="20"/>
        </w:rPr>
        <w:t xml:space="preserve">, XO </w:t>
      </w:r>
      <w:r w:rsidRPr="00843EFF">
        <w:rPr>
          <w:sz w:val="20"/>
        </w:rPr>
        <w:t xml:space="preserve">Comments at 5-7.  </w:t>
      </w:r>
    </w:p>
  </w:footnote>
  <w:footnote w:id="37">
    <w:p w14:paraId="21C14A6D" w14:textId="2FC71F84" w:rsidR="00A63717" w:rsidRPr="00DB062D" w:rsidRDefault="00A63717">
      <w:pPr>
        <w:pStyle w:val="FootnoteText"/>
      </w:pPr>
      <w:r w:rsidRPr="00DB062D">
        <w:rPr>
          <w:rStyle w:val="FootnoteReference"/>
        </w:rPr>
        <w:footnoteRef/>
      </w:r>
      <w:r w:rsidRPr="00DB062D">
        <w:t xml:space="preserve"> Under 47 C.F.R. § 64.2105(a), covered providers are required to submit to the Commission quarterly reports containing the recording and retention data required by the rules adopted in the </w:t>
      </w:r>
      <w:r w:rsidRPr="00DB062D">
        <w:rPr>
          <w:i/>
        </w:rPr>
        <w:t>Rural Call Completion Order</w:t>
      </w:r>
      <w:r w:rsidRPr="00DB062D">
        <w:t xml:space="preserve">.  </w:t>
      </w:r>
      <w:r w:rsidRPr="00DB062D">
        <w:rPr>
          <w:i/>
        </w:rPr>
        <w:t xml:space="preserve">See </w:t>
      </w:r>
      <w:r w:rsidRPr="00DB062D">
        <w:t xml:space="preserve">47 C.F.R. §§ 64.2103, 64.2105; </w:t>
      </w:r>
      <w:r w:rsidRPr="00DB062D">
        <w:rPr>
          <w:i/>
        </w:rPr>
        <w:t>Rural Call Completion Order</w:t>
      </w:r>
      <w:r w:rsidRPr="00DB062D">
        <w:t xml:space="preserve">, 28 FCC Rcd at 16211-214, Appx. A.  Before any reports are due, the Bureau will release a public notice that explains the filing mechanism in detail. The effective date of the information collections in these rules will be announced in the Federal Register, and covered providers must begin recording the data included in the reports they file with the Commission on the first day of the calendar month that is at least 20 days after the effective date.  </w:t>
      </w:r>
      <w:r w:rsidRPr="00DB062D">
        <w:rPr>
          <w:i/>
        </w:rPr>
        <w:t>See Rural Call Completion Order</w:t>
      </w:r>
      <w:r w:rsidRPr="00DB062D">
        <w:t>, 28 FCC Rcd at 16184, para. 66.</w:t>
      </w:r>
    </w:p>
  </w:footnote>
  <w:footnote w:id="38">
    <w:p w14:paraId="0F50FAE3" w14:textId="77777777" w:rsidR="00A63717" w:rsidRPr="00DB062D" w:rsidRDefault="00A63717" w:rsidP="00FC4AE6">
      <w:pPr>
        <w:pStyle w:val="FootnoteText"/>
      </w:pPr>
      <w:r w:rsidRPr="00DB062D">
        <w:rPr>
          <w:rStyle w:val="FootnoteReference"/>
        </w:rPr>
        <w:footnoteRef/>
      </w:r>
      <w:r w:rsidRPr="00DB062D">
        <w:t xml:space="preserve"> </w:t>
      </w:r>
      <w:r w:rsidRPr="00DB062D">
        <w:rPr>
          <w:i/>
        </w:rPr>
        <w:t xml:space="preserve">See </w:t>
      </w:r>
      <w:r w:rsidRPr="00DB062D">
        <w:t xml:space="preserve">Verizon Comments at 6.  </w:t>
      </w:r>
    </w:p>
  </w:footnote>
  <w:footnote w:id="39">
    <w:p w14:paraId="30B58E4A" w14:textId="77777777" w:rsidR="00A63717" w:rsidRPr="00DB062D" w:rsidRDefault="00A63717" w:rsidP="00FC4AE6">
      <w:pPr>
        <w:pStyle w:val="FootnoteText"/>
      </w:pPr>
      <w:r w:rsidRPr="00DB062D">
        <w:rPr>
          <w:rStyle w:val="FootnoteReference"/>
        </w:rPr>
        <w:footnoteRef/>
      </w:r>
      <w:r w:rsidRPr="00DB062D">
        <w:t xml:space="preserve"> </w:t>
      </w:r>
      <w:r w:rsidRPr="00DB062D">
        <w:rPr>
          <w:i/>
        </w:rPr>
        <w:t xml:space="preserve">See </w:t>
      </w:r>
      <w:r w:rsidRPr="00DB062D">
        <w:t>COMPTEL Comments at 5; XO Comments at 2, 5.</w:t>
      </w:r>
    </w:p>
  </w:footnote>
  <w:footnote w:id="40">
    <w:p w14:paraId="40206CB9" w14:textId="0ADCA74C" w:rsidR="00A63717" w:rsidRPr="004D2260" w:rsidRDefault="00A63717">
      <w:pPr>
        <w:pStyle w:val="FootnoteText"/>
      </w:pPr>
      <w:r>
        <w:rPr>
          <w:rStyle w:val="FootnoteReference"/>
        </w:rPr>
        <w:footnoteRef/>
      </w:r>
      <w:r>
        <w:t xml:space="preserve"> We note that the data retention and reporting obligations adopted in the </w:t>
      </w:r>
      <w:r>
        <w:rPr>
          <w:i/>
        </w:rPr>
        <w:t xml:space="preserve">Rural Call Completion Order </w:t>
      </w:r>
      <w:r>
        <w:t xml:space="preserve">and modified in the </w:t>
      </w:r>
      <w:r>
        <w:rPr>
          <w:i/>
        </w:rPr>
        <w:t>Rural Call Completion Recon Order</w:t>
      </w:r>
      <w:r>
        <w:t xml:space="preserve"> will not become effective until an announcement is published in the Federal Register of the Office of Management and Budget (OMB) providing approval.  </w:t>
      </w:r>
      <w:r>
        <w:rPr>
          <w:i/>
        </w:rPr>
        <w:t>See Rural Call Completion Recon Order</w:t>
      </w:r>
      <w:r>
        <w:t xml:space="preserve">, </w:t>
      </w:r>
      <w:r w:rsidR="00631AAA">
        <w:t>29 FCC Rcd at 14044-45</w:t>
      </w:r>
      <w:r>
        <w:t xml:space="preserve">, para. 44.  </w:t>
      </w:r>
      <w:r w:rsidR="00631AAA">
        <w:t xml:space="preserve">OMB granted its approval on </w:t>
      </w:r>
      <w:r w:rsidR="006C6130">
        <w:t xml:space="preserve">January 29, 2015.  </w:t>
      </w:r>
      <w:r w:rsidR="006C6130" w:rsidRPr="006C6130">
        <w:t xml:space="preserve"> </w:t>
      </w:r>
      <w:r w:rsidR="006C6130">
        <w:rPr>
          <w:i/>
        </w:rPr>
        <w:t xml:space="preserve">See </w:t>
      </w:r>
      <w:r w:rsidR="006C6130">
        <w:t>OMB Control Number History, OMB Control Number</w:t>
      </w:r>
      <w:r w:rsidR="006C6130" w:rsidRPr="006C6130">
        <w:t xml:space="preserve"> 3060-1186</w:t>
      </w:r>
      <w:r w:rsidR="006C6130">
        <w:t xml:space="preserve">, </w:t>
      </w:r>
      <w:hyperlink r:id="rId1" w:history="1">
        <w:r w:rsidR="006C6130" w:rsidRPr="006C6130">
          <w:rPr>
            <w:rStyle w:val="Hyperlink"/>
          </w:rPr>
          <w:t>http://www.reginfo.gov/public/do/PRAOMBHistory?ombControlNumber=3060-1186</w:t>
        </w:r>
      </w:hyperlink>
      <w:r w:rsidR="006C6130" w:rsidRPr="006C6130">
        <w:t xml:space="preserve">.  </w:t>
      </w:r>
    </w:p>
  </w:footnote>
  <w:footnote w:id="41">
    <w:p w14:paraId="36F7C5C1" w14:textId="77777777" w:rsidR="00A63717" w:rsidRPr="00DB062D" w:rsidRDefault="00A63717" w:rsidP="00704F2E">
      <w:pPr>
        <w:pStyle w:val="FootnoteText"/>
      </w:pPr>
      <w:r w:rsidRPr="00DB062D">
        <w:rPr>
          <w:rStyle w:val="FootnoteReference"/>
        </w:rPr>
        <w:footnoteRef/>
      </w:r>
      <w:r w:rsidRPr="00DB062D">
        <w:t xml:space="preserve"> VCXC Comments at 1.</w:t>
      </w:r>
    </w:p>
  </w:footnote>
  <w:footnote w:id="42">
    <w:p w14:paraId="5A6A6111" w14:textId="77777777" w:rsidR="00A63717" w:rsidRPr="00DB062D" w:rsidRDefault="00A63717" w:rsidP="00704F2E">
      <w:pPr>
        <w:pStyle w:val="FootnoteText"/>
      </w:pPr>
      <w:r w:rsidRPr="00DB062D">
        <w:rPr>
          <w:rStyle w:val="FootnoteReference"/>
        </w:rPr>
        <w:footnoteRef/>
      </w:r>
      <w:r w:rsidRPr="00DB062D">
        <w:t xml:space="preserve"> </w:t>
      </w:r>
      <w:r>
        <w:rPr>
          <w:i/>
        </w:rPr>
        <w:t>Id.</w:t>
      </w:r>
      <w:r w:rsidRPr="00DB062D">
        <w:t xml:space="preserve"> at 1.  VCXC states further that the anecdotes motivating the data collection suggest a problem with less than 1% of calls, while a rev</w:t>
      </w:r>
      <w:r>
        <w:t xml:space="preserve">iew of comments suggests that </w:t>
      </w:r>
      <w:r w:rsidRPr="00DB062D">
        <w:t xml:space="preserve">coding </w:t>
      </w:r>
      <w:r>
        <w:t xml:space="preserve">is </w:t>
      </w:r>
      <w:r w:rsidRPr="00DB062D">
        <w:t xml:space="preserve">uncertain for at least 20% of calls.  </w:t>
      </w:r>
      <w:r w:rsidRPr="00DB062D">
        <w:rPr>
          <w:i/>
        </w:rPr>
        <w:t>Id</w:t>
      </w:r>
      <w:r w:rsidRPr="00DB062D">
        <w:t>.  We note that VCXC provides no basis for asserting that coding is uncertain for 20% of calls.</w:t>
      </w:r>
    </w:p>
  </w:footnote>
  <w:footnote w:id="43">
    <w:p w14:paraId="3E1AAEDB"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 at 1.</w:t>
      </w:r>
    </w:p>
  </w:footnote>
  <w:footnote w:id="44">
    <w:p w14:paraId="20B2CDB2" w14:textId="7711BA70" w:rsidR="00A63717" w:rsidRPr="00B355B2" w:rsidRDefault="00A63717">
      <w:pPr>
        <w:pStyle w:val="FootnoteText"/>
        <w:rPr>
          <w:szCs w:val="22"/>
        </w:rPr>
      </w:pPr>
      <w:r>
        <w:rPr>
          <w:rStyle w:val="FootnoteReference"/>
        </w:rPr>
        <w:footnoteRef/>
      </w:r>
      <w:r>
        <w:t xml:space="preserve"> A petition for reconsideration of a final order in a rulemaking proceeding must be filed within 30 days from the date of public notice of such action.  </w:t>
      </w:r>
      <w:r w:rsidRPr="00DB062D">
        <w:rPr>
          <w:szCs w:val="22"/>
        </w:rPr>
        <w:t>47 C.F.R.</w:t>
      </w:r>
      <w:r>
        <w:rPr>
          <w:szCs w:val="22"/>
        </w:rPr>
        <w:t xml:space="preserve"> § 1.429(d).  VCXC’s comments in this proceeding were filed on May 13, 2014, one hundred forty-seven days after the </w:t>
      </w:r>
      <w:r>
        <w:rPr>
          <w:i/>
          <w:szCs w:val="22"/>
        </w:rPr>
        <w:t xml:space="preserve">Rural Call Completion Order </w:t>
      </w:r>
      <w:r>
        <w:rPr>
          <w:szCs w:val="22"/>
        </w:rPr>
        <w:t xml:space="preserve">was published in the Federal Register on December 17, 2013.  </w:t>
      </w:r>
      <w:r>
        <w:rPr>
          <w:i/>
          <w:szCs w:val="22"/>
        </w:rPr>
        <w:t xml:space="preserve">See </w:t>
      </w:r>
      <w:r>
        <w:rPr>
          <w:szCs w:val="22"/>
        </w:rPr>
        <w:t xml:space="preserve">VCXC Comments at 1; </w:t>
      </w:r>
      <w:r w:rsidR="00F651E8">
        <w:rPr>
          <w:szCs w:val="22"/>
        </w:rPr>
        <w:t>FCC, Rural Call Completion, 78 Fed. Reg. 76218 (Dec. 17, 2013),</w:t>
      </w:r>
      <w:r>
        <w:rPr>
          <w:szCs w:val="22"/>
        </w:rPr>
        <w:t xml:space="preserve"> </w:t>
      </w:r>
      <w:hyperlink r:id="rId2" w:history="1">
        <w:r w:rsidRPr="00B355B2">
          <w:rPr>
            <w:rStyle w:val="Hyperlink"/>
            <w:szCs w:val="22"/>
          </w:rPr>
          <w:t>http://www.gpo.gov/fdsys/pkg/FR-2013-12-17/xml/FR-2013-12-17.xml#seqnum76218</w:t>
        </w:r>
      </w:hyperlink>
      <w:r>
        <w:rPr>
          <w:szCs w:val="22"/>
        </w:rPr>
        <w:t>.</w:t>
      </w:r>
    </w:p>
  </w:footnote>
  <w:footnote w:id="45">
    <w:p w14:paraId="0689D9BE" w14:textId="77777777" w:rsidR="00A63717" w:rsidRPr="00DB062D" w:rsidRDefault="00A63717">
      <w:pPr>
        <w:pStyle w:val="FootnoteText"/>
      </w:pPr>
      <w:r w:rsidRPr="00DB062D">
        <w:rPr>
          <w:rStyle w:val="FootnoteReference"/>
        </w:rPr>
        <w:footnoteRef/>
      </w:r>
      <w:r w:rsidRPr="00DB062D">
        <w:t xml:space="preserve"> </w:t>
      </w:r>
      <w:r w:rsidRPr="00DB062D">
        <w:rPr>
          <w:i/>
          <w:iCs/>
        </w:rPr>
        <w:t>Rural Call Completion Order</w:t>
      </w:r>
      <w:r w:rsidRPr="00DB062D">
        <w:t>, 28 FCC Rcd at 16160-162, 16215-217, para.</w:t>
      </w:r>
      <w:r>
        <w:t xml:space="preserve"> 13; </w:t>
      </w:r>
      <w:r>
        <w:rPr>
          <w:i/>
        </w:rPr>
        <w:t>see also id.</w:t>
      </w:r>
      <w:r>
        <w:t xml:space="preserve"> at paras.</w:t>
      </w:r>
      <w:r w:rsidRPr="00DB062D">
        <w:t xml:space="preserve"> 1-15, Appx. A.</w:t>
      </w:r>
    </w:p>
  </w:footnote>
  <w:footnote w:id="46">
    <w:p w14:paraId="71730AB6" w14:textId="77777777" w:rsidR="00A63717" w:rsidRPr="00DB062D" w:rsidRDefault="00A63717">
      <w:pPr>
        <w:pStyle w:val="FootnoteText"/>
      </w:pPr>
      <w:r w:rsidRPr="00DB062D">
        <w:rPr>
          <w:rStyle w:val="FootnoteReference"/>
        </w:rPr>
        <w:footnoteRef/>
      </w:r>
      <w:r w:rsidRPr="00DB062D">
        <w:t xml:space="preserve"> ZipDX Comments at 4.  </w:t>
      </w:r>
    </w:p>
  </w:footnote>
  <w:footnote w:id="47">
    <w:p w14:paraId="656EED43"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 xml:space="preserve">.  </w:t>
      </w:r>
    </w:p>
  </w:footnote>
  <w:footnote w:id="48">
    <w:p w14:paraId="6B911AFF"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 xml:space="preserve">.  </w:t>
      </w:r>
    </w:p>
  </w:footnote>
  <w:footnote w:id="49">
    <w:p w14:paraId="38C5ABE9" w14:textId="77777777" w:rsidR="00A63717" w:rsidRPr="00DB062D" w:rsidRDefault="00A63717">
      <w:pPr>
        <w:pStyle w:val="FootnoteText"/>
      </w:pPr>
      <w:r w:rsidRPr="00DB062D">
        <w:rPr>
          <w:rStyle w:val="FootnoteReference"/>
        </w:rPr>
        <w:footnoteRef/>
      </w:r>
      <w:r w:rsidRPr="00DB062D">
        <w:t xml:space="preserve"> </w:t>
      </w:r>
      <w:r w:rsidRPr="00DB062D">
        <w:rPr>
          <w:i/>
        </w:rPr>
        <w:t>Id</w:t>
      </w:r>
      <w:r w:rsidRPr="00DB062D">
        <w:t>.</w:t>
      </w:r>
    </w:p>
  </w:footnote>
  <w:footnote w:id="50">
    <w:p w14:paraId="1260EC7A" w14:textId="117D4DA9" w:rsidR="00A63717" w:rsidRPr="00DB062D" w:rsidRDefault="00A63717" w:rsidP="0055263D">
      <w:pPr>
        <w:pStyle w:val="FootnoteText"/>
      </w:pPr>
      <w:r w:rsidRPr="00DB062D">
        <w:rPr>
          <w:rStyle w:val="FootnoteReference"/>
        </w:rPr>
        <w:footnoteRef/>
      </w:r>
      <w:r w:rsidRPr="00DB062D">
        <w:t xml:space="preserve"> ZipDX did not file a timely petition for reconsideration of the Commission’s </w:t>
      </w:r>
      <w:r w:rsidRPr="00DB062D">
        <w:rPr>
          <w:i/>
        </w:rPr>
        <w:t>Rural Call Completion Order</w:t>
      </w:r>
      <w:r w:rsidRPr="00DB062D">
        <w:t>.</w:t>
      </w:r>
      <w:r>
        <w:t xml:space="preserve">  ZipDX’s </w:t>
      </w:r>
      <w:r w:rsidR="00B355B2">
        <w:t xml:space="preserve">comments </w:t>
      </w:r>
      <w:r>
        <w:t xml:space="preserve">were filed on April 28, 2014, one hundred thirty-two days after </w:t>
      </w:r>
      <w:r>
        <w:rPr>
          <w:szCs w:val="22"/>
        </w:rPr>
        <w:t xml:space="preserve">the </w:t>
      </w:r>
      <w:r>
        <w:rPr>
          <w:i/>
          <w:szCs w:val="22"/>
        </w:rPr>
        <w:t xml:space="preserve">Rural Call Completion Order </w:t>
      </w:r>
      <w:r>
        <w:rPr>
          <w:szCs w:val="22"/>
        </w:rPr>
        <w:t xml:space="preserve">was published in the Federal Register on December 17, 2013.  </w:t>
      </w:r>
      <w:r>
        <w:rPr>
          <w:i/>
          <w:szCs w:val="22"/>
        </w:rPr>
        <w:t xml:space="preserve">See </w:t>
      </w:r>
      <w:r>
        <w:rPr>
          <w:szCs w:val="22"/>
        </w:rPr>
        <w:t>ZipDX Comments at 1.</w:t>
      </w:r>
    </w:p>
  </w:footnote>
  <w:footnote w:id="51">
    <w:p w14:paraId="488F2A0C" w14:textId="59E7B488" w:rsidR="00A63717" w:rsidRPr="00A63717" w:rsidRDefault="00A63717">
      <w:pPr>
        <w:pStyle w:val="FootnoteText"/>
      </w:pPr>
      <w:r>
        <w:rPr>
          <w:rStyle w:val="FootnoteReference"/>
        </w:rPr>
        <w:footnoteRef/>
      </w:r>
      <w:r>
        <w:t xml:space="preserve"> </w:t>
      </w:r>
      <w:r>
        <w:rPr>
          <w:i/>
        </w:rPr>
        <w:t>See Rural Call Completion Order</w:t>
      </w:r>
      <w:r>
        <w:t>, 28 FCC at 16174,</w:t>
      </w:r>
      <w:r w:rsidR="00DB35FA">
        <w:t xml:space="preserve"> 16184-185,</w:t>
      </w:r>
      <w:r>
        <w:t xml:space="preserve"> para</w:t>
      </w:r>
      <w:r w:rsidR="00DB35FA">
        <w:t>s</w:t>
      </w:r>
      <w:r>
        <w:t>. 40</w:t>
      </w:r>
      <w:r w:rsidR="00DB35FA">
        <w:t>, 66-67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0145" w14:textId="77777777" w:rsidR="008B5F20" w:rsidRDefault="008B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5277" w14:textId="0C4CE3A2" w:rsidR="00A63717" w:rsidRDefault="00A63717" w:rsidP="008319B8">
    <w:pPr>
      <w:pStyle w:val="Header"/>
    </w:pPr>
    <w:r>
      <w:rPr>
        <w:noProof/>
        <w:snapToGrid/>
      </w:rPr>
      <mc:AlternateContent>
        <mc:Choice Requires="wps">
          <w:drawing>
            <wp:anchor distT="0" distB="0" distL="114300" distR="114300" simplePos="0" relativeHeight="251660288" behindDoc="1" locked="0" layoutInCell="0" allowOverlap="1" wp14:anchorId="1E930E91" wp14:editId="0AA29E2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2C5813" w:rsidRPr="002C5813">
      <w:t>DA 15-217</w:t>
    </w:r>
  </w:p>
  <w:p w14:paraId="09828D14" w14:textId="77777777" w:rsidR="00A63717" w:rsidRDefault="00A6371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6567" w14:textId="7E8995E8" w:rsidR="00A63717" w:rsidRDefault="00A63717" w:rsidP="00CC04E7">
    <w:pPr>
      <w:pStyle w:val="Header"/>
    </w:pPr>
    <w:r>
      <w:rPr>
        <w:noProof/>
        <w:snapToGrid/>
      </w:rPr>
      <mc:AlternateContent>
        <mc:Choice Requires="wps">
          <w:drawing>
            <wp:anchor distT="0" distB="0" distL="114300" distR="114300" simplePos="0" relativeHeight="251658240" behindDoc="1" locked="0" layoutInCell="0" allowOverlap="1" wp14:anchorId="1B9A10F7" wp14:editId="0089A28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C5813" w:rsidRPr="002C5813">
      <w:t>DA 15-217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4AAF8C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7E6"/>
    <w:rsid w:val="00001A87"/>
    <w:rsid w:val="00006B0B"/>
    <w:rsid w:val="000073E3"/>
    <w:rsid w:val="00007DE9"/>
    <w:rsid w:val="0001191D"/>
    <w:rsid w:val="000124E3"/>
    <w:rsid w:val="0001494F"/>
    <w:rsid w:val="000157CC"/>
    <w:rsid w:val="00015C84"/>
    <w:rsid w:val="00015EEE"/>
    <w:rsid w:val="00024093"/>
    <w:rsid w:val="000241E8"/>
    <w:rsid w:val="00030627"/>
    <w:rsid w:val="00030DB8"/>
    <w:rsid w:val="000327B0"/>
    <w:rsid w:val="0003596E"/>
    <w:rsid w:val="00036039"/>
    <w:rsid w:val="00037F90"/>
    <w:rsid w:val="0004150A"/>
    <w:rsid w:val="00041D5D"/>
    <w:rsid w:val="0005019B"/>
    <w:rsid w:val="00051797"/>
    <w:rsid w:val="000521EA"/>
    <w:rsid w:val="0005353C"/>
    <w:rsid w:val="0006065A"/>
    <w:rsid w:val="00061E33"/>
    <w:rsid w:val="000656C4"/>
    <w:rsid w:val="000662F2"/>
    <w:rsid w:val="0007097A"/>
    <w:rsid w:val="000743BB"/>
    <w:rsid w:val="000767E9"/>
    <w:rsid w:val="000769C1"/>
    <w:rsid w:val="00077331"/>
    <w:rsid w:val="00077577"/>
    <w:rsid w:val="00077A19"/>
    <w:rsid w:val="000808BC"/>
    <w:rsid w:val="000841BC"/>
    <w:rsid w:val="00085CF6"/>
    <w:rsid w:val="00086011"/>
    <w:rsid w:val="000875BF"/>
    <w:rsid w:val="00093B00"/>
    <w:rsid w:val="0009668C"/>
    <w:rsid w:val="00096C53"/>
    <w:rsid w:val="00096D8C"/>
    <w:rsid w:val="000A3B43"/>
    <w:rsid w:val="000A7EAF"/>
    <w:rsid w:val="000B1EAB"/>
    <w:rsid w:val="000B5765"/>
    <w:rsid w:val="000C0B65"/>
    <w:rsid w:val="000C2E8A"/>
    <w:rsid w:val="000C3CEB"/>
    <w:rsid w:val="000C5EF3"/>
    <w:rsid w:val="000C653E"/>
    <w:rsid w:val="000D4809"/>
    <w:rsid w:val="000D6A92"/>
    <w:rsid w:val="000D70F4"/>
    <w:rsid w:val="000E05FE"/>
    <w:rsid w:val="000E1310"/>
    <w:rsid w:val="000E1B12"/>
    <w:rsid w:val="000E2ADF"/>
    <w:rsid w:val="000E2E7A"/>
    <w:rsid w:val="000E3D42"/>
    <w:rsid w:val="000E7B12"/>
    <w:rsid w:val="000F2381"/>
    <w:rsid w:val="000F7A81"/>
    <w:rsid w:val="001059F4"/>
    <w:rsid w:val="00106CDC"/>
    <w:rsid w:val="00107526"/>
    <w:rsid w:val="001114F4"/>
    <w:rsid w:val="00113CB9"/>
    <w:rsid w:val="0011742B"/>
    <w:rsid w:val="00117685"/>
    <w:rsid w:val="00121736"/>
    <w:rsid w:val="001224EF"/>
    <w:rsid w:val="00122BD5"/>
    <w:rsid w:val="00123D5D"/>
    <w:rsid w:val="00123D72"/>
    <w:rsid w:val="00125AC3"/>
    <w:rsid w:val="00126AD0"/>
    <w:rsid w:val="00127657"/>
    <w:rsid w:val="00130F5B"/>
    <w:rsid w:val="00131191"/>
    <w:rsid w:val="00133DF4"/>
    <w:rsid w:val="00133F79"/>
    <w:rsid w:val="001403CC"/>
    <w:rsid w:val="001523F6"/>
    <w:rsid w:val="00160D53"/>
    <w:rsid w:val="00163CA8"/>
    <w:rsid w:val="00165C46"/>
    <w:rsid w:val="00167A6C"/>
    <w:rsid w:val="00170058"/>
    <w:rsid w:val="001716EC"/>
    <w:rsid w:val="00176D23"/>
    <w:rsid w:val="001778C0"/>
    <w:rsid w:val="00180CCB"/>
    <w:rsid w:val="00185289"/>
    <w:rsid w:val="00187F99"/>
    <w:rsid w:val="00194A66"/>
    <w:rsid w:val="00195414"/>
    <w:rsid w:val="00196A46"/>
    <w:rsid w:val="0019716D"/>
    <w:rsid w:val="001A00DA"/>
    <w:rsid w:val="001A50B4"/>
    <w:rsid w:val="001A6C7F"/>
    <w:rsid w:val="001B0BE8"/>
    <w:rsid w:val="001B299B"/>
    <w:rsid w:val="001B4FB0"/>
    <w:rsid w:val="001B6EDD"/>
    <w:rsid w:val="001C2448"/>
    <w:rsid w:val="001C5CA5"/>
    <w:rsid w:val="001D0595"/>
    <w:rsid w:val="001D4824"/>
    <w:rsid w:val="001D6BCF"/>
    <w:rsid w:val="001E01CA"/>
    <w:rsid w:val="001E1761"/>
    <w:rsid w:val="001F111E"/>
    <w:rsid w:val="001F2286"/>
    <w:rsid w:val="001F295E"/>
    <w:rsid w:val="001F2A19"/>
    <w:rsid w:val="001F519C"/>
    <w:rsid w:val="001F7525"/>
    <w:rsid w:val="0020196D"/>
    <w:rsid w:val="00203C5F"/>
    <w:rsid w:val="002066BC"/>
    <w:rsid w:val="00221B23"/>
    <w:rsid w:val="002228B5"/>
    <w:rsid w:val="00230D71"/>
    <w:rsid w:val="00230F86"/>
    <w:rsid w:val="00232996"/>
    <w:rsid w:val="00233539"/>
    <w:rsid w:val="00234854"/>
    <w:rsid w:val="00234E06"/>
    <w:rsid w:val="00240004"/>
    <w:rsid w:val="00242F46"/>
    <w:rsid w:val="00243391"/>
    <w:rsid w:val="002434D2"/>
    <w:rsid w:val="00244192"/>
    <w:rsid w:val="00246994"/>
    <w:rsid w:val="002529B0"/>
    <w:rsid w:val="00253DBE"/>
    <w:rsid w:val="00260F45"/>
    <w:rsid w:val="00261064"/>
    <w:rsid w:val="00261B6F"/>
    <w:rsid w:val="00263777"/>
    <w:rsid w:val="00263C09"/>
    <w:rsid w:val="002642DD"/>
    <w:rsid w:val="002669D9"/>
    <w:rsid w:val="002715FC"/>
    <w:rsid w:val="002733B8"/>
    <w:rsid w:val="00273E4D"/>
    <w:rsid w:val="00275621"/>
    <w:rsid w:val="00275A31"/>
    <w:rsid w:val="00275C56"/>
    <w:rsid w:val="00275CF5"/>
    <w:rsid w:val="00275EA9"/>
    <w:rsid w:val="0027730A"/>
    <w:rsid w:val="002807C4"/>
    <w:rsid w:val="0028301F"/>
    <w:rsid w:val="00284743"/>
    <w:rsid w:val="00285017"/>
    <w:rsid w:val="002867D0"/>
    <w:rsid w:val="002A2D2E"/>
    <w:rsid w:val="002A3F36"/>
    <w:rsid w:val="002A47E7"/>
    <w:rsid w:val="002A559B"/>
    <w:rsid w:val="002A58EC"/>
    <w:rsid w:val="002A60B0"/>
    <w:rsid w:val="002B0C93"/>
    <w:rsid w:val="002B52BF"/>
    <w:rsid w:val="002C00E8"/>
    <w:rsid w:val="002C2F35"/>
    <w:rsid w:val="002C5813"/>
    <w:rsid w:val="002C7466"/>
    <w:rsid w:val="002D54EC"/>
    <w:rsid w:val="002E1169"/>
    <w:rsid w:val="002E324F"/>
    <w:rsid w:val="002E33F9"/>
    <w:rsid w:val="002E363D"/>
    <w:rsid w:val="002F094B"/>
    <w:rsid w:val="002F10CA"/>
    <w:rsid w:val="002F353D"/>
    <w:rsid w:val="002F5BE4"/>
    <w:rsid w:val="0030006A"/>
    <w:rsid w:val="00300203"/>
    <w:rsid w:val="00301191"/>
    <w:rsid w:val="003012CC"/>
    <w:rsid w:val="00302007"/>
    <w:rsid w:val="003023C5"/>
    <w:rsid w:val="00302757"/>
    <w:rsid w:val="00306186"/>
    <w:rsid w:val="00306C07"/>
    <w:rsid w:val="00307820"/>
    <w:rsid w:val="003102AE"/>
    <w:rsid w:val="003116CE"/>
    <w:rsid w:val="00312306"/>
    <w:rsid w:val="003169F8"/>
    <w:rsid w:val="00317192"/>
    <w:rsid w:val="00317F90"/>
    <w:rsid w:val="0032127C"/>
    <w:rsid w:val="003224E5"/>
    <w:rsid w:val="00323A95"/>
    <w:rsid w:val="00325169"/>
    <w:rsid w:val="00331F14"/>
    <w:rsid w:val="00332423"/>
    <w:rsid w:val="00333FD3"/>
    <w:rsid w:val="00341E69"/>
    <w:rsid w:val="00342089"/>
    <w:rsid w:val="00342BD4"/>
    <w:rsid w:val="00343749"/>
    <w:rsid w:val="00344810"/>
    <w:rsid w:val="00344AAA"/>
    <w:rsid w:val="00347768"/>
    <w:rsid w:val="00347B95"/>
    <w:rsid w:val="003627C2"/>
    <w:rsid w:val="00362A01"/>
    <w:rsid w:val="0036384A"/>
    <w:rsid w:val="003660ED"/>
    <w:rsid w:val="003800FE"/>
    <w:rsid w:val="00383677"/>
    <w:rsid w:val="00386FB1"/>
    <w:rsid w:val="00390E50"/>
    <w:rsid w:val="00393AFD"/>
    <w:rsid w:val="003964AB"/>
    <w:rsid w:val="003965AC"/>
    <w:rsid w:val="00397A50"/>
    <w:rsid w:val="003A3580"/>
    <w:rsid w:val="003A3592"/>
    <w:rsid w:val="003B0550"/>
    <w:rsid w:val="003B5B33"/>
    <w:rsid w:val="003B694F"/>
    <w:rsid w:val="003B6F8D"/>
    <w:rsid w:val="003B7422"/>
    <w:rsid w:val="003B76DC"/>
    <w:rsid w:val="003C0B10"/>
    <w:rsid w:val="003C0BD2"/>
    <w:rsid w:val="003C224E"/>
    <w:rsid w:val="003C3055"/>
    <w:rsid w:val="003C388A"/>
    <w:rsid w:val="003C3D8A"/>
    <w:rsid w:val="003C4DB6"/>
    <w:rsid w:val="003C55ED"/>
    <w:rsid w:val="003C76D1"/>
    <w:rsid w:val="003C76ED"/>
    <w:rsid w:val="003D0734"/>
    <w:rsid w:val="003D2731"/>
    <w:rsid w:val="003D730D"/>
    <w:rsid w:val="003E043C"/>
    <w:rsid w:val="003E0F86"/>
    <w:rsid w:val="003E1B83"/>
    <w:rsid w:val="003E3968"/>
    <w:rsid w:val="003E42DA"/>
    <w:rsid w:val="003E7E15"/>
    <w:rsid w:val="003F171C"/>
    <w:rsid w:val="003F1890"/>
    <w:rsid w:val="003F1D8C"/>
    <w:rsid w:val="003F369C"/>
    <w:rsid w:val="003F3BEB"/>
    <w:rsid w:val="003F5CF3"/>
    <w:rsid w:val="003F619E"/>
    <w:rsid w:val="003F7C2B"/>
    <w:rsid w:val="004001A8"/>
    <w:rsid w:val="00400711"/>
    <w:rsid w:val="004050F9"/>
    <w:rsid w:val="004066E6"/>
    <w:rsid w:val="00406BA0"/>
    <w:rsid w:val="00412FC5"/>
    <w:rsid w:val="00413B06"/>
    <w:rsid w:val="0041617F"/>
    <w:rsid w:val="004207A0"/>
    <w:rsid w:val="0042114B"/>
    <w:rsid w:val="00421D73"/>
    <w:rsid w:val="00422276"/>
    <w:rsid w:val="004242F1"/>
    <w:rsid w:val="004252BE"/>
    <w:rsid w:val="00426589"/>
    <w:rsid w:val="0043312F"/>
    <w:rsid w:val="00433A6D"/>
    <w:rsid w:val="00436381"/>
    <w:rsid w:val="00437538"/>
    <w:rsid w:val="00442894"/>
    <w:rsid w:val="004432F5"/>
    <w:rsid w:val="00443950"/>
    <w:rsid w:val="00443E83"/>
    <w:rsid w:val="00445A00"/>
    <w:rsid w:val="0045182D"/>
    <w:rsid w:val="00451B0F"/>
    <w:rsid w:val="00457773"/>
    <w:rsid w:val="0046209C"/>
    <w:rsid w:val="0046545D"/>
    <w:rsid w:val="00467306"/>
    <w:rsid w:val="00467E9E"/>
    <w:rsid w:val="00472F16"/>
    <w:rsid w:val="00472F84"/>
    <w:rsid w:val="00473B83"/>
    <w:rsid w:val="004742F1"/>
    <w:rsid w:val="0048062C"/>
    <w:rsid w:val="004815B4"/>
    <w:rsid w:val="00483B01"/>
    <w:rsid w:val="00484714"/>
    <w:rsid w:val="00487956"/>
    <w:rsid w:val="00490747"/>
    <w:rsid w:val="004A0BD0"/>
    <w:rsid w:val="004A1AB8"/>
    <w:rsid w:val="004A715E"/>
    <w:rsid w:val="004B3B41"/>
    <w:rsid w:val="004B5F51"/>
    <w:rsid w:val="004B73E0"/>
    <w:rsid w:val="004C01C4"/>
    <w:rsid w:val="004C2B2C"/>
    <w:rsid w:val="004C2EE3"/>
    <w:rsid w:val="004C5829"/>
    <w:rsid w:val="004D2260"/>
    <w:rsid w:val="004D3E4B"/>
    <w:rsid w:val="004D527F"/>
    <w:rsid w:val="004D6C10"/>
    <w:rsid w:val="004E03C3"/>
    <w:rsid w:val="004E4A22"/>
    <w:rsid w:val="004E5EED"/>
    <w:rsid w:val="004F598A"/>
    <w:rsid w:val="004F599A"/>
    <w:rsid w:val="004F5C93"/>
    <w:rsid w:val="004F65DC"/>
    <w:rsid w:val="004F6F51"/>
    <w:rsid w:val="00501487"/>
    <w:rsid w:val="00505EA2"/>
    <w:rsid w:val="00511968"/>
    <w:rsid w:val="005131B1"/>
    <w:rsid w:val="00514B70"/>
    <w:rsid w:val="00515FAC"/>
    <w:rsid w:val="00521922"/>
    <w:rsid w:val="00521F4D"/>
    <w:rsid w:val="00524D5E"/>
    <w:rsid w:val="005275EE"/>
    <w:rsid w:val="005275F0"/>
    <w:rsid w:val="00532DBE"/>
    <w:rsid w:val="00536DF4"/>
    <w:rsid w:val="00540330"/>
    <w:rsid w:val="0054535C"/>
    <w:rsid w:val="00546A8E"/>
    <w:rsid w:val="00551B0A"/>
    <w:rsid w:val="0055263D"/>
    <w:rsid w:val="005529A0"/>
    <w:rsid w:val="00553D9A"/>
    <w:rsid w:val="0055614C"/>
    <w:rsid w:val="00562AD4"/>
    <w:rsid w:val="00565043"/>
    <w:rsid w:val="005735C1"/>
    <w:rsid w:val="00574526"/>
    <w:rsid w:val="00574670"/>
    <w:rsid w:val="00576B71"/>
    <w:rsid w:val="005778E2"/>
    <w:rsid w:val="005822D7"/>
    <w:rsid w:val="0058339F"/>
    <w:rsid w:val="00584BA1"/>
    <w:rsid w:val="00590D94"/>
    <w:rsid w:val="005952C8"/>
    <w:rsid w:val="00597186"/>
    <w:rsid w:val="005A0BE7"/>
    <w:rsid w:val="005A1B8A"/>
    <w:rsid w:val="005A2026"/>
    <w:rsid w:val="005A4950"/>
    <w:rsid w:val="005A5CEB"/>
    <w:rsid w:val="005A5DE6"/>
    <w:rsid w:val="005A7017"/>
    <w:rsid w:val="005B2C04"/>
    <w:rsid w:val="005B3A34"/>
    <w:rsid w:val="005C268C"/>
    <w:rsid w:val="005D23BA"/>
    <w:rsid w:val="005D2C7E"/>
    <w:rsid w:val="005D35EB"/>
    <w:rsid w:val="005D553E"/>
    <w:rsid w:val="005D6FE6"/>
    <w:rsid w:val="005D72B9"/>
    <w:rsid w:val="005E09B6"/>
    <w:rsid w:val="005E14C2"/>
    <w:rsid w:val="005E2E86"/>
    <w:rsid w:val="005E3AA7"/>
    <w:rsid w:val="005F08D9"/>
    <w:rsid w:val="005F363E"/>
    <w:rsid w:val="005F5524"/>
    <w:rsid w:val="005F5E52"/>
    <w:rsid w:val="005F6AEF"/>
    <w:rsid w:val="00600B3C"/>
    <w:rsid w:val="00600DE3"/>
    <w:rsid w:val="00600E58"/>
    <w:rsid w:val="00604A36"/>
    <w:rsid w:val="0060528B"/>
    <w:rsid w:val="006070FA"/>
    <w:rsid w:val="00607BA5"/>
    <w:rsid w:val="00611442"/>
    <w:rsid w:val="0061180A"/>
    <w:rsid w:val="00616CFC"/>
    <w:rsid w:val="00624D4A"/>
    <w:rsid w:val="00625270"/>
    <w:rsid w:val="00626EB6"/>
    <w:rsid w:val="0063026A"/>
    <w:rsid w:val="00631AAA"/>
    <w:rsid w:val="006335FB"/>
    <w:rsid w:val="00634D8E"/>
    <w:rsid w:val="00635E5A"/>
    <w:rsid w:val="006408CD"/>
    <w:rsid w:val="00643CBE"/>
    <w:rsid w:val="00644227"/>
    <w:rsid w:val="00650CA3"/>
    <w:rsid w:val="0065215B"/>
    <w:rsid w:val="00652CDF"/>
    <w:rsid w:val="006537E9"/>
    <w:rsid w:val="00655D03"/>
    <w:rsid w:val="00657A98"/>
    <w:rsid w:val="00660D47"/>
    <w:rsid w:val="00660E23"/>
    <w:rsid w:val="00664C4E"/>
    <w:rsid w:val="00670136"/>
    <w:rsid w:val="00671182"/>
    <w:rsid w:val="00680C7E"/>
    <w:rsid w:val="006829E8"/>
    <w:rsid w:val="00683388"/>
    <w:rsid w:val="00683F84"/>
    <w:rsid w:val="006854DC"/>
    <w:rsid w:val="00686C69"/>
    <w:rsid w:val="006904DC"/>
    <w:rsid w:val="006912BF"/>
    <w:rsid w:val="00693AF1"/>
    <w:rsid w:val="00694DC5"/>
    <w:rsid w:val="006971C3"/>
    <w:rsid w:val="006A234D"/>
    <w:rsid w:val="006A3B53"/>
    <w:rsid w:val="006A6A81"/>
    <w:rsid w:val="006B37B6"/>
    <w:rsid w:val="006B3D44"/>
    <w:rsid w:val="006B4BF7"/>
    <w:rsid w:val="006B5340"/>
    <w:rsid w:val="006C030D"/>
    <w:rsid w:val="006C15FC"/>
    <w:rsid w:val="006C1EAE"/>
    <w:rsid w:val="006C2899"/>
    <w:rsid w:val="006C49E1"/>
    <w:rsid w:val="006C6130"/>
    <w:rsid w:val="006C72A2"/>
    <w:rsid w:val="006D0ED9"/>
    <w:rsid w:val="006D3D66"/>
    <w:rsid w:val="006D4D00"/>
    <w:rsid w:val="006E1002"/>
    <w:rsid w:val="006E10DB"/>
    <w:rsid w:val="006E1DD2"/>
    <w:rsid w:val="006E31C5"/>
    <w:rsid w:val="006E4455"/>
    <w:rsid w:val="006F7393"/>
    <w:rsid w:val="0070224F"/>
    <w:rsid w:val="00704F2E"/>
    <w:rsid w:val="007115F7"/>
    <w:rsid w:val="0072052F"/>
    <w:rsid w:val="0072055B"/>
    <w:rsid w:val="0072487A"/>
    <w:rsid w:val="007327F3"/>
    <w:rsid w:val="00741AF3"/>
    <w:rsid w:val="00744859"/>
    <w:rsid w:val="007448B8"/>
    <w:rsid w:val="00746FAE"/>
    <w:rsid w:val="00751926"/>
    <w:rsid w:val="0075391A"/>
    <w:rsid w:val="00753A52"/>
    <w:rsid w:val="0075579A"/>
    <w:rsid w:val="007557BF"/>
    <w:rsid w:val="0076103A"/>
    <w:rsid w:val="00761C15"/>
    <w:rsid w:val="0076497C"/>
    <w:rsid w:val="007703CB"/>
    <w:rsid w:val="0077791C"/>
    <w:rsid w:val="00780600"/>
    <w:rsid w:val="00782B32"/>
    <w:rsid w:val="00785689"/>
    <w:rsid w:val="00791B47"/>
    <w:rsid w:val="007920F8"/>
    <w:rsid w:val="00796BF9"/>
    <w:rsid w:val="0079754B"/>
    <w:rsid w:val="007A0A28"/>
    <w:rsid w:val="007A1E6D"/>
    <w:rsid w:val="007A5D09"/>
    <w:rsid w:val="007B0E21"/>
    <w:rsid w:val="007B0EB2"/>
    <w:rsid w:val="007B2503"/>
    <w:rsid w:val="007B67A5"/>
    <w:rsid w:val="007B7E11"/>
    <w:rsid w:val="007C0974"/>
    <w:rsid w:val="007C166B"/>
    <w:rsid w:val="007C2E28"/>
    <w:rsid w:val="007D03A9"/>
    <w:rsid w:val="007D4BC3"/>
    <w:rsid w:val="007D70EC"/>
    <w:rsid w:val="007E5B2B"/>
    <w:rsid w:val="007E71D9"/>
    <w:rsid w:val="007F4CC0"/>
    <w:rsid w:val="0080464C"/>
    <w:rsid w:val="00806831"/>
    <w:rsid w:val="00810B6F"/>
    <w:rsid w:val="00814B55"/>
    <w:rsid w:val="008173DD"/>
    <w:rsid w:val="00821095"/>
    <w:rsid w:val="008229E8"/>
    <w:rsid w:val="00822CE0"/>
    <w:rsid w:val="008319B8"/>
    <w:rsid w:val="00832AE9"/>
    <w:rsid w:val="00832F3A"/>
    <w:rsid w:val="0083301E"/>
    <w:rsid w:val="008365C3"/>
    <w:rsid w:val="00840C05"/>
    <w:rsid w:val="00841AB1"/>
    <w:rsid w:val="00843EFF"/>
    <w:rsid w:val="008446DD"/>
    <w:rsid w:val="008507D9"/>
    <w:rsid w:val="0085409F"/>
    <w:rsid w:val="008564FB"/>
    <w:rsid w:val="008573D3"/>
    <w:rsid w:val="008573D7"/>
    <w:rsid w:val="00857DCE"/>
    <w:rsid w:val="0086078E"/>
    <w:rsid w:val="00860CA2"/>
    <w:rsid w:val="008639A2"/>
    <w:rsid w:val="008671BE"/>
    <w:rsid w:val="0086739E"/>
    <w:rsid w:val="00867A24"/>
    <w:rsid w:val="00872D02"/>
    <w:rsid w:val="00873573"/>
    <w:rsid w:val="00874073"/>
    <w:rsid w:val="00874223"/>
    <w:rsid w:val="00874D0C"/>
    <w:rsid w:val="008778D6"/>
    <w:rsid w:val="00880472"/>
    <w:rsid w:val="0088052E"/>
    <w:rsid w:val="0088135B"/>
    <w:rsid w:val="00881573"/>
    <w:rsid w:val="00886CBA"/>
    <w:rsid w:val="00887497"/>
    <w:rsid w:val="00887C58"/>
    <w:rsid w:val="00887CC6"/>
    <w:rsid w:val="00890FE7"/>
    <w:rsid w:val="00891F4C"/>
    <w:rsid w:val="00895385"/>
    <w:rsid w:val="008A3DAC"/>
    <w:rsid w:val="008A4917"/>
    <w:rsid w:val="008B0C60"/>
    <w:rsid w:val="008B2E58"/>
    <w:rsid w:val="008B417E"/>
    <w:rsid w:val="008B5F20"/>
    <w:rsid w:val="008B682F"/>
    <w:rsid w:val="008C000E"/>
    <w:rsid w:val="008C1E69"/>
    <w:rsid w:val="008C249C"/>
    <w:rsid w:val="008C5AF8"/>
    <w:rsid w:val="008C68F1"/>
    <w:rsid w:val="008C75D0"/>
    <w:rsid w:val="008D082E"/>
    <w:rsid w:val="008D22A3"/>
    <w:rsid w:val="008D374D"/>
    <w:rsid w:val="008F235D"/>
    <w:rsid w:val="008F2959"/>
    <w:rsid w:val="008F6A7B"/>
    <w:rsid w:val="008F770F"/>
    <w:rsid w:val="00900080"/>
    <w:rsid w:val="00900F12"/>
    <w:rsid w:val="00902FBE"/>
    <w:rsid w:val="00903E89"/>
    <w:rsid w:val="0090545E"/>
    <w:rsid w:val="00911F3E"/>
    <w:rsid w:val="00911F4A"/>
    <w:rsid w:val="009138D4"/>
    <w:rsid w:val="00916CEB"/>
    <w:rsid w:val="00917CD9"/>
    <w:rsid w:val="00920331"/>
    <w:rsid w:val="0092077E"/>
    <w:rsid w:val="00921803"/>
    <w:rsid w:val="00922EC5"/>
    <w:rsid w:val="00924E05"/>
    <w:rsid w:val="00926159"/>
    <w:rsid w:val="00926503"/>
    <w:rsid w:val="009270CB"/>
    <w:rsid w:val="009352E2"/>
    <w:rsid w:val="00936EDD"/>
    <w:rsid w:val="0094226D"/>
    <w:rsid w:val="00945F03"/>
    <w:rsid w:val="00945F86"/>
    <w:rsid w:val="0094739F"/>
    <w:rsid w:val="00952B1C"/>
    <w:rsid w:val="009604A3"/>
    <w:rsid w:val="0096311E"/>
    <w:rsid w:val="009631A9"/>
    <w:rsid w:val="009640E2"/>
    <w:rsid w:val="00966526"/>
    <w:rsid w:val="009677A9"/>
    <w:rsid w:val="00971969"/>
    <w:rsid w:val="009726D8"/>
    <w:rsid w:val="00972D18"/>
    <w:rsid w:val="0097425B"/>
    <w:rsid w:val="009838A8"/>
    <w:rsid w:val="0098744A"/>
    <w:rsid w:val="009932D7"/>
    <w:rsid w:val="009933F1"/>
    <w:rsid w:val="0099626A"/>
    <w:rsid w:val="009968C6"/>
    <w:rsid w:val="00996B7C"/>
    <w:rsid w:val="009A2B21"/>
    <w:rsid w:val="009A518B"/>
    <w:rsid w:val="009B0C33"/>
    <w:rsid w:val="009B7D87"/>
    <w:rsid w:val="009C0256"/>
    <w:rsid w:val="009C049E"/>
    <w:rsid w:val="009C0FAF"/>
    <w:rsid w:val="009C6B70"/>
    <w:rsid w:val="009C6E48"/>
    <w:rsid w:val="009D04C5"/>
    <w:rsid w:val="009D065E"/>
    <w:rsid w:val="009D0B93"/>
    <w:rsid w:val="009D1399"/>
    <w:rsid w:val="009D2989"/>
    <w:rsid w:val="009D30CC"/>
    <w:rsid w:val="009D36C6"/>
    <w:rsid w:val="009D4647"/>
    <w:rsid w:val="009D7775"/>
    <w:rsid w:val="009E24E3"/>
    <w:rsid w:val="009E4AC4"/>
    <w:rsid w:val="009E637B"/>
    <w:rsid w:val="009F4062"/>
    <w:rsid w:val="009F47FE"/>
    <w:rsid w:val="009F4D0A"/>
    <w:rsid w:val="009F4EAE"/>
    <w:rsid w:val="009F7005"/>
    <w:rsid w:val="009F76DB"/>
    <w:rsid w:val="009F79D4"/>
    <w:rsid w:val="00A06180"/>
    <w:rsid w:val="00A10D2C"/>
    <w:rsid w:val="00A147AA"/>
    <w:rsid w:val="00A14B47"/>
    <w:rsid w:val="00A14F39"/>
    <w:rsid w:val="00A15B49"/>
    <w:rsid w:val="00A15C4E"/>
    <w:rsid w:val="00A16A28"/>
    <w:rsid w:val="00A16F86"/>
    <w:rsid w:val="00A242E9"/>
    <w:rsid w:val="00A262A0"/>
    <w:rsid w:val="00A265A0"/>
    <w:rsid w:val="00A30B97"/>
    <w:rsid w:val="00A32C3B"/>
    <w:rsid w:val="00A34BB4"/>
    <w:rsid w:val="00A43531"/>
    <w:rsid w:val="00A442B3"/>
    <w:rsid w:val="00A45F4F"/>
    <w:rsid w:val="00A47B38"/>
    <w:rsid w:val="00A50D0F"/>
    <w:rsid w:val="00A50E84"/>
    <w:rsid w:val="00A548B5"/>
    <w:rsid w:val="00A600A9"/>
    <w:rsid w:val="00A611D0"/>
    <w:rsid w:val="00A614D0"/>
    <w:rsid w:val="00A627FD"/>
    <w:rsid w:val="00A63717"/>
    <w:rsid w:val="00A665AA"/>
    <w:rsid w:val="00A704D0"/>
    <w:rsid w:val="00A71C4E"/>
    <w:rsid w:val="00A7555B"/>
    <w:rsid w:val="00A755D7"/>
    <w:rsid w:val="00A81DC2"/>
    <w:rsid w:val="00A82A4D"/>
    <w:rsid w:val="00A8387A"/>
    <w:rsid w:val="00AA018B"/>
    <w:rsid w:val="00AA0E69"/>
    <w:rsid w:val="00AA2040"/>
    <w:rsid w:val="00AA55B7"/>
    <w:rsid w:val="00AA5B9E"/>
    <w:rsid w:val="00AB09C5"/>
    <w:rsid w:val="00AB2407"/>
    <w:rsid w:val="00AB32B3"/>
    <w:rsid w:val="00AB53DF"/>
    <w:rsid w:val="00AB6C7A"/>
    <w:rsid w:val="00AC1A83"/>
    <w:rsid w:val="00AC1C60"/>
    <w:rsid w:val="00AC3F53"/>
    <w:rsid w:val="00AD1329"/>
    <w:rsid w:val="00AD1622"/>
    <w:rsid w:val="00AD63FF"/>
    <w:rsid w:val="00AD77E6"/>
    <w:rsid w:val="00AE317D"/>
    <w:rsid w:val="00AE3757"/>
    <w:rsid w:val="00AE460F"/>
    <w:rsid w:val="00AE477D"/>
    <w:rsid w:val="00AE4C2C"/>
    <w:rsid w:val="00AE514F"/>
    <w:rsid w:val="00AE52EB"/>
    <w:rsid w:val="00AF028D"/>
    <w:rsid w:val="00AF24B3"/>
    <w:rsid w:val="00AF4DD0"/>
    <w:rsid w:val="00AF5C9D"/>
    <w:rsid w:val="00AF5F98"/>
    <w:rsid w:val="00AF64F7"/>
    <w:rsid w:val="00AF67F9"/>
    <w:rsid w:val="00B034BA"/>
    <w:rsid w:val="00B04861"/>
    <w:rsid w:val="00B07CAD"/>
    <w:rsid w:val="00B07E5C"/>
    <w:rsid w:val="00B1230D"/>
    <w:rsid w:val="00B16326"/>
    <w:rsid w:val="00B1769E"/>
    <w:rsid w:val="00B1792D"/>
    <w:rsid w:val="00B21628"/>
    <w:rsid w:val="00B24D2E"/>
    <w:rsid w:val="00B355B2"/>
    <w:rsid w:val="00B41DF5"/>
    <w:rsid w:val="00B430F9"/>
    <w:rsid w:val="00B46194"/>
    <w:rsid w:val="00B46573"/>
    <w:rsid w:val="00B50F6E"/>
    <w:rsid w:val="00B51D66"/>
    <w:rsid w:val="00B54119"/>
    <w:rsid w:val="00B56DA2"/>
    <w:rsid w:val="00B6010E"/>
    <w:rsid w:val="00B65E9F"/>
    <w:rsid w:val="00B66E7A"/>
    <w:rsid w:val="00B715E7"/>
    <w:rsid w:val="00B716B7"/>
    <w:rsid w:val="00B72F85"/>
    <w:rsid w:val="00B73234"/>
    <w:rsid w:val="00B75C86"/>
    <w:rsid w:val="00B75E4D"/>
    <w:rsid w:val="00B76047"/>
    <w:rsid w:val="00B77075"/>
    <w:rsid w:val="00B774EE"/>
    <w:rsid w:val="00B807A1"/>
    <w:rsid w:val="00B811F7"/>
    <w:rsid w:val="00B82F20"/>
    <w:rsid w:val="00B843D7"/>
    <w:rsid w:val="00B8558C"/>
    <w:rsid w:val="00B91344"/>
    <w:rsid w:val="00B953C1"/>
    <w:rsid w:val="00B97BEF"/>
    <w:rsid w:val="00BA25AD"/>
    <w:rsid w:val="00BA5DC6"/>
    <w:rsid w:val="00BA6196"/>
    <w:rsid w:val="00BA73B8"/>
    <w:rsid w:val="00BB5A7E"/>
    <w:rsid w:val="00BC6D8C"/>
    <w:rsid w:val="00BD070F"/>
    <w:rsid w:val="00BD1D3A"/>
    <w:rsid w:val="00BD31C9"/>
    <w:rsid w:val="00BD3480"/>
    <w:rsid w:val="00BE0375"/>
    <w:rsid w:val="00BE3606"/>
    <w:rsid w:val="00BE4C19"/>
    <w:rsid w:val="00BF4D4F"/>
    <w:rsid w:val="00BF544C"/>
    <w:rsid w:val="00BF7661"/>
    <w:rsid w:val="00C00AC8"/>
    <w:rsid w:val="00C00E1C"/>
    <w:rsid w:val="00C01BA2"/>
    <w:rsid w:val="00C03036"/>
    <w:rsid w:val="00C057C5"/>
    <w:rsid w:val="00C07E08"/>
    <w:rsid w:val="00C10A9A"/>
    <w:rsid w:val="00C11474"/>
    <w:rsid w:val="00C12044"/>
    <w:rsid w:val="00C16D1B"/>
    <w:rsid w:val="00C22A21"/>
    <w:rsid w:val="00C234E0"/>
    <w:rsid w:val="00C25C0E"/>
    <w:rsid w:val="00C32D1A"/>
    <w:rsid w:val="00C34006"/>
    <w:rsid w:val="00C3492B"/>
    <w:rsid w:val="00C34D25"/>
    <w:rsid w:val="00C41331"/>
    <w:rsid w:val="00C416F3"/>
    <w:rsid w:val="00C426B1"/>
    <w:rsid w:val="00C4382D"/>
    <w:rsid w:val="00C51A2C"/>
    <w:rsid w:val="00C60DB5"/>
    <w:rsid w:val="00C60FE0"/>
    <w:rsid w:val="00C6469F"/>
    <w:rsid w:val="00C65E25"/>
    <w:rsid w:val="00C66160"/>
    <w:rsid w:val="00C701D4"/>
    <w:rsid w:val="00C703E6"/>
    <w:rsid w:val="00C70493"/>
    <w:rsid w:val="00C7197A"/>
    <w:rsid w:val="00C721AC"/>
    <w:rsid w:val="00C72210"/>
    <w:rsid w:val="00C736EC"/>
    <w:rsid w:val="00C7395F"/>
    <w:rsid w:val="00C75074"/>
    <w:rsid w:val="00C80986"/>
    <w:rsid w:val="00C816E6"/>
    <w:rsid w:val="00C837E8"/>
    <w:rsid w:val="00C8728C"/>
    <w:rsid w:val="00C90D6A"/>
    <w:rsid w:val="00C91325"/>
    <w:rsid w:val="00C946BF"/>
    <w:rsid w:val="00CA0799"/>
    <w:rsid w:val="00CA0F22"/>
    <w:rsid w:val="00CA247E"/>
    <w:rsid w:val="00CA29B2"/>
    <w:rsid w:val="00CA4CCC"/>
    <w:rsid w:val="00CA4E7C"/>
    <w:rsid w:val="00CA7B66"/>
    <w:rsid w:val="00CB507D"/>
    <w:rsid w:val="00CC04E7"/>
    <w:rsid w:val="00CC456E"/>
    <w:rsid w:val="00CC72B6"/>
    <w:rsid w:val="00CD1AE8"/>
    <w:rsid w:val="00CE1539"/>
    <w:rsid w:val="00CE76FE"/>
    <w:rsid w:val="00CE79DA"/>
    <w:rsid w:val="00CE7FB6"/>
    <w:rsid w:val="00CF1833"/>
    <w:rsid w:val="00CF1DEA"/>
    <w:rsid w:val="00CF6AB8"/>
    <w:rsid w:val="00CF7C6E"/>
    <w:rsid w:val="00CF7CBE"/>
    <w:rsid w:val="00D0010D"/>
    <w:rsid w:val="00D00166"/>
    <w:rsid w:val="00D008C4"/>
    <w:rsid w:val="00D0218D"/>
    <w:rsid w:val="00D055FB"/>
    <w:rsid w:val="00D06326"/>
    <w:rsid w:val="00D073A2"/>
    <w:rsid w:val="00D12BE6"/>
    <w:rsid w:val="00D12D0A"/>
    <w:rsid w:val="00D16A29"/>
    <w:rsid w:val="00D16D30"/>
    <w:rsid w:val="00D17D0D"/>
    <w:rsid w:val="00D2245D"/>
    <w:rsid w:val="00D22E37"/>
    <w:rsid w:val="00D23C69"/>
    <w:rsid w:val="00D253CF"/>
    <w:rsid w:val="00D25FB5"/>
    <w:rsid w:val="00D30880"/>
    <w:rsid w:val="00D32604"/>
    <w:rsid w:val="00D344A0"/>
    <w:rsid w:val="00D3469F"/>
    <w:rsid w:val="00D34C9B"/>
    <w:rsid w:val="00D36968"/>
    <w:rsid w:val="00D3736D"/>
    <w:rsid w:val="00D41283"/>
    <w:rsid w:val="00D41E55"/>
    <w:rsid w:val="00D41F2C"/>
    <w:rsid w:val="00D4408E"/>
    <w:rsid w:val="00D44223"/>
    <w:rsid w:val="00D45A09"/>
    <w:rsid w:val="00D45FCE"/>
    <w:rsid w:val="00D4682D"/>
    <w:rsid w:val="00D50604"/>
    <w:rsid w:val="00D5239A"/>
    <w:rsid w:val="00D530F9"/>
    <w:rsid w:val="00D55477"/>
    <w:rsid w:val="00D66ACD"/>
    <w:rsid w:val="00D67EED"/>
    <w:rsid w:val="00D70FB8"/>
    <w:rsid w:val="00D7352F"/>
    <w:rsid w:val="00D73B14"/>
    <w:rsid w:val="00D765E1"/>
    <w:rsid w:val="00D77F56"/>
    <w:rsid w:val="00D80025"/>
    <w:rsid w:val="00D82EA4"/>
    <w:rsid w:val="00D83AB4"/>
    <w:rsid w:val="00D87D9F"/>
    <w:rsid w:val="00D9204A"/>
    <w:rsid w:val="00D92BD6"/>
    <w:rsid w:val="00DA2529"/>
    <w:rsid w:val="00DA2BD0"/>
    <w:rsid w:val="00DA5EC0"/>
    <w:rsid w:val="00DA5F45"/>
    <w:rsid w:val="00DB062D"/>
    <w:rsid w:val="00DB130A"/>
    <w:rsid w:val="00DB19EB"/>
    <w:rsid w:val="00DB232D"/>
    <w:rsid w:val="00DB2331"/>
    <w:rsid w:val="00DB2EBB"/>
    <w:rsid w:val="00DB35FA"/>
    <w:rsid w:val="00DB4299"/>
    <w:rsid w:val="00DB6622"/>
    <w:rsid w:val="00DC0547"/>
    <w:rsid w:val="00DC10A1"/>
    <w:rsid w:val="00DC12DC"/>
    <w:rsid w:val="00DC439A"/>
    <w:rsid w:val="00DC4910"/>
    <w:rsid w:val="00DC5E0F"/>
    <w:rsid w:val="00DC655F"/>
    <w:rsid w:val="00DD0B59"/>
    <w:rsid w:val="00DD286B"/>
    <w:rsid w:val="00DD4EC5"/>
    <w:rsid w:val="00DD79C8"/>
    <w:rsid w:val="00DD7EBD"/>
    <w:rsid w:val="00DE5AA9"/>
    <w:rsid w:val="00DE7A66"/>
    <w:rsid w:val="00DF32F7"/>
    <w:rsid w:val="00DF5776"/>
    <w:rsid w:val="00DF62B6"/>
    <w:rsid w:val="00DF65C2"/>
    <w:rsid w:val="00E01E3F"/>
    <w:rsid w:val="00E02544"/>
    <w:rsid w:val="00E07225"/>
    <w:rsid w:val="00E0762E"/>
    <w:rsid w:val="00E153B9"/>
    <w:rsid w:val="00E177F7"/>
    <w:rsid w:val="00E21AE4"/>
    <w:rsid w:val="00E22152"/>
    <w:rsid w:val="00E22D20"/>
    <w:rsid w:val="00E2447F"/>
    <w:rsid w:val="00E26407"/>
    <w:rsid w:val="00E330D1"/>
    <w:rsid w:val="00E34087"/>
    <w:rsid w:val="00E3489B"/>
    <w:rsid w:val="00E35E46"/>
    <w:rsid w:val="00E370CF"/>
    <w:rsid w:val="00E40868"/>
    <w:rsid w:val="00E41645"/>
    <w:rsid w:val="00E41E31"/>
    <w:rsid w:val="00E443DA"/>
    <w:rsid w:val="00E500E2"/>
    <w:rsid w:val="00E52FD0"/>
    <w:rsid w:val="00E53B7E"/>
    <w:rsid w:val="00E53EB0"/>
    <w:rsid w:val="00E5409F"/>
    <w:rsid w:val="00E56859"/>
    <w:rsid w:val="00E576B1"/>
    <w:rsid w:val="00E63935"/>
    <w:rsid w:val="00E714EF"/>
    <w:rsid w:val="00E71BA8"/>
    <w:rsid w:val="00E72FE6"/>
    <w:rsid w:val="00E74FE5"/>
    <w:rsid w:val="00E7793D"/>
    <w:rsid w:val="00E80DBC"/>
    <w:rsid w:val="00E816FC"/>
    <w:rsid w:val="00E83D16"/>
    <w:rsid w:val="00E8531D"/>
    <w:rsid w:val="00E85D2C"/>
    <w:rsid w:val="00E864CC"/>
    <w:rsid w:val="00E909DB"/>
    <w:rsid w:val="00E93F41"/>
    <w:rsid w:val="00E944E8"/>
    <w:rsid w:val="00E9519D"/>
    <w:rsid w:val="00E967DF"/>
    <w:rsid w:val="00E979AA"/>
    <w:rsid w:val="00EA0DFB"/>
    <w:rsid w:val="00EA41D2"/>
    <w:rsid w:val="00EA6DE1"/>
    <w:rsid w:val="00EB42A6"/>
    <w:rsid w:val="00EB6B62"/>
    <w:rsid w:val="00EC1AA7"/>
    <w:rsid w:val="00EC365A"/>
    <w:rsid w:val="00ED0277"/>
    <w:rsid w:val="00ED042A"/>
    <w:rsid w:val="00EE08A9"/>
    <w:rsid w:val="00EE14AE"/>
    <w:rsid w:val="00EE30E8"/>
    <w:rsid w:val="00EE6488"/>
    <w:rsid w:val="00EE6CF0"/>
    <w:rsid w:val="00EF1701"/>
    <w:rsid w:val="00EF2084"/>
    <w:rsid w:val="00EF2833"/>
    <w:rsid w:val="00EF3BB3"/>
    <w:rsid w:val="00F021FA"/>
    <w:rsid w:val="00F04F3E"/>
    <w:rsid w:val="00F05595"/>
    <w:rsid w:val="00F07237"/>
    <w:rsid w:val="00F10FE3"/>
    <w:rsid w:val="00F144D0"/>
    <w:rsid w:val="00F201A8"/>
    <w:rsid w:val="00F20BC3"/>
    <w:rsid w:val="00F21527"/>
    <w:rsid w:val="00F21A05"/>
    <w:rsid w:val="00F224F1"/>
    <w:rsid w:val="00F2606E"/>
    <w:rsid w:val="00F26E7F"/>
    <w:rsid w:val="00F27DE3"/>
    <w:rsid w:val="00F32A18"/>
    <w:rsid w:val="00F373DB"/>
    <w:rsid w:val="00F37C84"/>
    <w:rsid w:val="00F42997"/>
    <w:rsid w:val="00F436C6"/>
    <w:rsid w:val="00F4380E"/>
    <w:rsid w:val="00F459AB"/>
    <w:rsid w:val="00F45C72"/>
    <w:rsid w:val="00F50F55"/>
    <w:rsid w:val="00F53451"/>
    <w:rsid w:val="00F574E6"/>
    <w:rsid w:val="00F607B7"/>
    <w:rsid w:val="00F614F0"/>
    <w:rsid w:val="00F62E97"/>
    <w:rsid w:val="00F64209"/>
    <w:rsid w:val="00F651E8"/>
    <w:rsid w:val="00F718FB"/>
    <w:rsid w:val="00F73BB9"/>
    <w:rsid w:val="00F779A3"/>
    <w:rsid w:val="00F77FDB"/>
    <w:rsid w:val="00F81894"/>
    <w:rsid w:val="00F830B2"/>
    <w:rsid w:val="00F84B1A"/>
    <w:rsid w:val="00F854EC"/>
    <w:rsid w:val="00F8755B"/>
    <w:rsid w:val="00F87FD6"/>
    <w:rsid w:val="00F90E2F"/>
    <w:rsid w:val="00F91FAB"/>
    <w:rsid w:val="00F93BF5"/>
    <w:rsid w:val="00F95688"/>
    <w:rsid w:val="00F95966"/>
    <w:rsid w:val="00FA0A16"/>
    <w:rsid w:val="00FA22D4"/>
    <w:rsid w:val="00FA5072"/>
    <w:rsid w:val="00FA774B"/>
    <w:rsid w:val="00FA7FAF"/>
    <w:rsid w:val="00FB70D0"/>
    <w:rsid w:val="00FB7681"/>
    <w:rsid w:val="00FC25A4"/>
    <w:rsid w:val="00FC2EF2"/>
    <w:rsid w:val="00FC4AE6"/>
    <w:rsid w:val="00FC6A80"/>
    <w:rsid w:val="00FC7962"/>
    <w:rsid w:val="00FD7009"/>
    <w:rsid w:val="00FE0562"/>
    <w:rsid w:val="00FE18A4"/>
    <w:rsid w:val="00FE30D9"/>
    <w:rsid w:val="00FE4ABB"/>
    <w:rsid w:val="00FE50AB"/>
    <w:rsid w:val="00FE5816"/>
    <w:rsid w:val="00FE5CC8"/>
    <w:rsid w:val="00FE5E60"/>
    <w:rsid w:val="00FF215C"/>
    <w:rsid w:val="00FF4011"/>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54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D4A"/>
    <w:pPr>
      <w:widowControl w:val="0"/>
    </w:pPr>
    <w:rPr>
      <w:snapToGrid w:val="0"/>
      <w:kern w:val="28"/>
      <w:sz w:val="22"/>
    </w:rPr>
  </w:style>
  <w:style w:type="paragraph" w:styleId="Heading1">
    <w:name w:val="heading 1"/>
    <w:basedOn w:val="Normal"/>
    <w:next w:val="ParaNum"/>
    <w:qFormat/>
    <w:rsid w:val="00624D4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4D4A"/>
    <w:pPr>
      <w:keepNext/>
      <w:numPr>
        <w:ilvl w:val="1"/>
        <w:numId w:val="2"/>
      </w:numPr>
      <w:spacing w:after="120"/>
      <w:outlineLvl w:val="1"/>
    </w:pPr>
    <w:rPr>
      <w:b/>
    </w:rPr>
  </w:style>
  <w:style w:type="paragraph" w:styleId="Heading3">
    <w:name w:val="heading 3"/>
    <w:basedOn w:val="Normal"/>
    <w:next w:val="ParaNum"/>
    <w:qFormat/>
    <w:rsid w:val="00624D4A"/>
    <w:pPr>
      <w:keepNext/>
      <w:numPr>
        <w:ilvl w:val="2"/>
        <w:numId w:val="2"/>
      </w:numPr>
      <w:tabs>
        <w:tab w:val="left" w:pos="2160"/>
      </w:tabs>
      <w:spacing w:after="120"/>
      <w:outlineLvl w:val="2"/>
    </w:pPr>
    <w:rPr>
      <w:b/>
    </w:rPr>
  </w:style>
  <w:style w:type="paragraph" w:styleId="Heading4">
    <w:name w:val="heading 4"/>
    <w:basedOn w:val="Normal"/>
    <w:next w:val="ParaNum"/>
    <w:qFormat/>
    <w:rsid w:val="00624D4A"/>
    <w:pPr>
      <w:keepNext/>
      <w:numPr>
        <w:ilvl w:val="3"/>
        <w:numId w:val="2"/>
      </w:numPr>
      <w:tabs>
        <w:tab w:val="left" w:pos="2880"/>
      </w:tabs>
      <w:spacing w:after="120"/>
      <w:outlineLvl w:val="3"/>
    </w:pPr>
    <w:rPr>
      <w:b/>
    </w:rPr>
  </w:style>
  <w:style w:type="paragraph" w:styleId="Heading5">
    <w:name w:val="heading 5"/>
    <w:basedOn w:val="Normal"/>
    <w:next w:val="ParaNum"/>
    <w:qFormat/>
    <w:rsid w:val="00624D4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24D4A"/>
    <w:pPr>
      <w:numPr>
        <w:ilvl w:val="5"/>
        <w:numId w:val="2"/>
      </w:numPr>
      <w:tabs>
        <w:tab w:val="left" w:pos="4320"/>
      </w:tabs>
      <w:spacing w:after="120"/>
      <w:outlineLvl w:val="5"/>
    </w:pPr>
    <w:rPr>
      <w:b/>
    </w:rPr>
  </w:style>
  <w:style w:type="paragraph" w:styleId="Heading7">
    <w:name w:val="heading 7"/>
    <w:basedOn w:val="Normal"/>
    <w:next w:val="ParaNum"/>
    <w:qFormat/>
    <w:rsid w:val="00624D4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24D4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24D4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4D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D4A"/>
  </w:style>
  <w:style w:type="paragraph" w:customStyle="1" w:styleId="ParaNum">
    <w:name w:val="ParaNum"/>
    <w:basedOn w:val="Normal"/>
    <w:rsid w:val="00624D4A"/>
    <w:pPr>
      <w:numPr>
        <w:numId w:val="1"/>
      </w:numPr>
      <w:tabs>
        <w:tab w:val="clear" w:pos="1080"/>
        <w:tab w:val="num" w:pos="1440"/>
      </w:tabs>
      <w:spacing w:after="120"/>
    </w:pPr>
  </w:style>
  <w:style w:type="paragraph" w:styleId="EndnoteText">
    <w:name w:val="endnote text"/>
    <w:basedOn w:val="Normal"/>
    <w:semiHidden/>
    <w:rsid w:val="00624D4A"/>
    <w:rPr>
      <w:sz w:val="20"/>
    </w:rPr>
  </w:style>
  <w:style w:type="character" w:styleId="EndnoteReference">
    <w:name w:val="endnote reference"/>
    <w:semiHidden/>
    <w:rsid w:val="00624D4A"/>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624D4A"/>
    <w:pPr>
      <w:spacing w:after="120"/>
    </w:pPr>
  </w:style>
  <w:style w:type="character" w:styleId="FootnoteReference">
    <w:name w:val="footnote reference"/>
    <w:aliases w:val="Style 12,(NECG) Footnote Reference,Style 13,Appel note de bas de p,Style 124,fr,o,Style 3,FR,Style 17,Footnote Reference/,Style 6,Style 7"/>
    <w:rsid w:val="00624D4A"/>
    <w:rPr>
      <w:rFonts w:ascii="Times New Roman" w:hAnsi="Times New Roman"/>
      <w:dstrike w:val="0"/>
      <w:color w:val="auto"/>
      <w:sz w:val="20"/>
      <w:vertAlign w:val="superscript"/>
    </w:rPr>
  </w:style>
  <w:style w:type="paragraph" w:styleId="TOC1">
    <w:name w:val="toc 1"/>
    <w:basedOn w:val="Normal"/>
    <w:next w:val="Normal"/>
    <w:rsid w:val="00624D4A"/>
    <w:pPr>
      <w:tabs>
        <w:tab w:val="left" w:pos="360"/>
        <w:tab w:val="right" w:leader="dot" w:pos="9360"/>
      </w:tabs>
      <w:suppressAutoHyphens/>
      <w:ind w:left="360" w:right="720" w:hanging="360"/>
    </w:pPr>
    <w:rPr>
      <w:caps/>
      <w:noProof/>
    </w:rPr>
  </w:style>
  <w:style w:type="paragraph" w:styleId="TOC2">
    <w:name w:val="toc 2"/>
    <w:basedOn w:val="Normal"/>
    <w:next w:val="Normal"/>
    <w:rsid w:val="00624D4A"/>
    <w:pPr>
      <w:tabs>
        <w:tab w:val="left" w:pos="720"/>
        <w:tab w:val="right" w:leader="dot" w:pos="9360"/>
      </w:tabs>
      <w:suppressAutoHyphens/>
      <w:ind w:left="720" w:right="720" w:hanging="360"/>
    </w:pPr>
    <w:rPr>
      <w:noProof/>
    </w:rPr>
  </w:style>
  <w:style w:type="paragraph" w:styleId="TOC3">
    <w:name w:val="toc 3"/>
    <w:basedOn w:val="Normal"/>
    <w:next w:val="Normal"/>
    <w:rsid w:val="00624D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4D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4D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4D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4D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4D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4D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4D4A"/>
    <w:pPr>
      <w:tabs>
        <w:tab w:val="right" w:pos="9360"/>
      </w:tabs>
      <w:suppressAutoHyphens/>
    </w:pPr>
  </w:style>
  <w:style w:type="character" w:customStyle="1" w:styleId="EquationCaption">
    <w:name w:val="_Equation Caption"/>
    <w:rsid w:val="00624D4A"/>
  </w:style>
  <w:style w:type="paragraph" w:styleId="Header">
    <w:name w:val="header"/>
    <w:basedOn w:val="Normal"/>
    <w:autoRedefine/>
    <w:rsid w:val="00624D4A"/>
    <w:pPr>
      <w:tabs>
        <w:tab w:val="center" w:pos="4680"/>
        <w:tab w:val="right" w:pos="9360"/>
      </w:tabs>
    </w:pPr>
    <w:rPr>
      <w:b/>
    </w:rPr>
  </w:style>
  <w:style w:type="paragraph" w:styleId="Footer">
    <w:name w:val="footer"/>
    <w:basedOn w:val="Normal"/>
    <w:rsid w:val="00624D4A"/>
    <w:pPr>
      <w:tabs>
        <w:tab w:val="center" w:pos="4320"/>
        <w:tab w:val="right" w:pos="8640"/>
      </w:tabs>
    </w:pPr>
  </w:style>
  <w:style w:type="character" w:styleId="PageNumber">
    <w:name w:val="page number"/>
    <w:basedOn w:val="DefaultParagraphFont"/>
    <w:rsid w:val="00624D4A"/>
  </w:style>
  <w:style w:type="paragraph" w:styleId="BlockText">
    <w:name w:val="Block Text"/>
    <w:basedOn w:val="Normal"/>
    <w:rsid w:val="00624D4A"/>
    <w:pPr>
      <w:spacing w:after="240"/>
      <w:ind w:left="1440" w:right="1440"/>
    </w:pPr>
  </w:style>
  <w:style w:type="paragraph" w:customStyle="1" w:styleId="Paratitle">
    <w:name w:val="Para title"/>
    <w:basedOn w:val="Normal"/>
    <w:rsid w:val="00624D4A"/>
    <w:pPr>
      <w:tabs>
        <w:tab w:val="center" w:pos="9270"/>
      </w:tabs>
      <w:spacing w:after="240"/>
    </w:pPr>
    <w:rPr>
      <w:spacing w:val="-2"/>
    </w:rPr>
  </w:style>
  <w:style w:type="paragraph" w:customStyle="1" w:styleId="Bullet">
    <w:name w:val="Bullet"/>
    <w:basedOn w:val="Normal"/>
    <w:rsid w:val="00624D4A"/>
    <w:pPr>
      <w:tabs>
        <w:tab w:val="left" w:pos="2160"/>
      </w:tabs>
      <w:spacing w:after="220"/>
      <w:ind w:left="2160" w:hanging="720"/>
    </w:pPr>
  </w:style>
  <w:style w:type="paragraph" w:customStyle="1" w:styleId="TableFormat">
    <w:name w:val="TableFormat"/>
    <w:basedOn w:val="Bullet"/>
    <w:rsid w:val="00624D4A"/>
    <w:pPr>
      <w:tabs>
        <w:tab w:val="clear" w:pos="2160"/>
        <w:tab w:val="left" w:pos="5040"/>
      </w:tabs>
      <w:ind w:left="5040" w:hanging="3600"/>
    </w:pPr>
  </w:style>
  <w:style w:type="paragraph" w:customStyle="1" w:styleId="TOCTitle">
    <w:name w:val="TOC Title"/>
    <w:basedOn w:val="Normal"/>
    <w:rsid w:val="00624D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4D4A"/>
    <w:pPr>
      <w:jc w:val="center"/>
    </w:pPr>
    <w:rPr>
      <w:rFonts w:ascii="Times New Roman Bold" w:hAnsi="Times New Roman Bold"/>
      <w:b/>
      <w:bCs/>
      <w:caps/>
      <w:szCs w:val="22"/>
    </w:rPr>
  </w:style>
  <w:style w:type="character" w:styleId="Hyperlink">
    <w:name w:val="Hyperlink"/>
    <w:rsid w:val="00624D4A"/>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3E043C"/>
    <w:pPr>
      <w:widowControl/>
      <w:ind w:left="720"/>
      <w:contextualSpacing/>
    </w:pPr>
    <w:rPr>
      <w:snapToGrid/>
      <w:kern w:val="0"/>
      <w:sz w:val="24"/>
    </w:rPr>
  </w:style>
  <w:style w:type="paragraph" w:styleId="NormalWeb">
    <w:name w:val="Normal (Web)"/>
    <w:basedOn w:val="Normal"/>
    <w:unhideWhenUsed/>
    <w:rsid w:val="00015C84"/>
    <w:pPr>
      <w:widowControl/>
    </w:pPr>
    <w:rPr>
      <w:snapToGrid/>
      <w:kern w:val="0"/>
      <w:sz w:val="24"/>
    </w:rPr>
  </w:style>
  <w:style w:type="paragraph" w:styleId="Revision">
    <w:name w:val="Revision"/>
    <w:hidden/>
    <w:uiPriority w:val="99"/>
    <w:semiHidden/>
    <w:rsid w:val="00CE7FB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D4A"/>
    <w:pPr>
      <w:widowControl w:val="0"/>
    </w:pPr>
    <w:rPr>
      <w:snapToGrid w:val="0"/>
      <w:kern w:val="28"/>
      <w:sz w:val="22"/>
    </w:rPr>
  </w:style>
  <w:style w:type="paragraph" w:styleId="Heading1">
    <w:name w:val="heading 1"/>
    <w:basedOn w:val="Normal"/>
    <w:next w:val="ParaNum"/>
    <w:qFormat/>
    <w:rsid w:val="00624D4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4D4A"/>
    <w:pPr>
      <w:keepNext/>
      <w:numPr>
        <w:ilvl w:val="1"/>
        <w:numId w:val="2"/>
      </w:numPr>
      <w:spacing w:after="120"/>
      <w:outlineLvl w:val="1"/>
    </w:pPr>
    <w:rPr>
      <w:b/>
    </w:rPr>
  </w:style>
  <w:style w:type="paragraph" w:styleId="Heading3">
    <w:name w:val="heading 3"/>
    <w:basedOn w:val="Normal"/>
    <w:next w:val="ParaNum"/>
    <w:qFormat/>
    <w:rsid w:val="00624D4A"/>
    <w:pPr>
      <w:keepNext/>
      <w:numPr>
        <w:ilvl w:val="2"/>
        <w:numId w:val="2"/>
      </w:numPr>
      <w:tabs>
        <w:tab w:val="left" w:pos="2160"/>
      </w:tabs>
      <w:spacing w:after="120"/>
      <w:outlineLvl w:val="2"/>
    </w:pPr>
    <w:rPr>
      <w:b/>
    </w:rPr>
  </w:style>
  <w:style w:type="paragraph" w:styleId="Heading4">
    <w:name w:val="heading 4"/>
    <w:basedOn w:val="Normal"/>
    <w:next w:val="ParaNum"/>
    <w:qFormat/>
    <w:rsid w:val="00624D4A"/>
    <w:pPr>
      <w:keepNext/>
      <w:numPr>
        <w:ilvl w:val="3"/>
        <w:numId w:val="2"/>
      </w:numPr>
      <w:tabs>
        <w:tab w:val="left" w:pos="2880"/>
      </w:tabs>
      <w:spacing w:after="120"/>
      <w:outlineLvl w:val="3"/>
    </w:pPr>
    <w:rPr>
      <w:b/>
    </w:rPr>
  </w:style>
  <w:style w:type="paragraph" w:styleId="Heading5">
    <w:name w:val="heading 5"/>
    <w:basedOn w:val="Normal"/>
    <w:next w:val="ParaNum"/>
    <w:qFormat/>
    <w:rsid w:val="00624D4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24D4A"/>
    <w:pPr>
      <w:numPr>
        <w:ilvl w:val="5"/>
        <w:numId w:val="2"/>
      </w:numPr>
      <w:tabs>
        <w:tab w:val="left" w:pos="4320"/>
      </w:tabs>
      <w:spacing w:after="120"/>
      <w:outlineLvl w:val="5"/>
    </w:pPr>
    <w:rPr>
      <w:b/>
    </w:rPr>
  </w:style>
  <w:style w:type="paragraph" w:styleId="Heading7">
    <w:name w:val="heading 7"/>
    <w:basedOn w:val="Normal"/>
    <w:next w:val="ParaNum"/>
    <w:qFormat/>
    <w:rsid w:val="00624D4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24D4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24D4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4D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D4A"/>
  </w:style>
  <w:style w:type="paragraph" w:customStyle="1" w:styleId="ParaNum">
    <w:name w:val="ParaNum"/>
    <w:basedOn w:val="Normal"/>
    <w:rsid w:val="00624D4A"/>
    <w:pPr>
      <w:numPr>
        <w:numId w:val="1"/>
      </w:numPr>
      <w:tabs>
        <w:tab w:val="clear" w:pos="1080"/>
        <w:tab w:val="num" w:pos="1440"/>
      </w:tabs>
      <w:spacing w:after="120"/>
    </w:pPr>
  </w:style>
  <w:style w:type="paragraph" w:styleId="EndnoteText">
    <w:name w:val="endnote text"/>
    <w:basedOn w:val="Normal"/>
    <w:semiHidden/>
    <w:rsid w:val="00624D4A"/>
    <w:rPr>
      <w:sz w:val="20"/>
    </w:rPr>
  </w:style>
  <w:style w:type="character" w:styleId="EndnoteReference">
    <w:name w:val="endnote reference"/>
    <w:semiHidden/>
    <w:rsid w:val="00624D4A"/>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624D4A"/>
    <w:pPr>
      <w:spacing w:after="120"/>
    </w:pPr>
  </w:style>
  <w:style w:type="character" w:styleId="FootnoteReference">
    <w:name w:val="footnote reference"/>
    <w:aliases w:val="Style 12,(NECG) Footnote Reference,Style 13,Appel note de bas de p,Style 124,fr,o,Style 3,FR,Style 17,Footnote Reference/,Style 6,Style 7"/>
    <w:rsid w:val="00624D4A"/>
    <w:rPr>
      <w:rFonts w:ascii="Times New Roman" w:hAnsi="Times New Roman"/>
      <w:dstrike w:val="0"/>
      <w:color w:val="auto"/>
      <w:sz w:val="20"/>
      <w:vertAlign w:val="superscript"/>
    </w:rPr>
  </w:style>
  <w:style w:type="paragraph" w:styleId="TOC1">
    <w:name w:val="toc 1"/>
    <w:basedOn w:val="Normal"/>
    <w:next w:val="Normal"/>
    <w:rsid w:val="00624D4A"/>
    <w:pPr>
      <w:tabs>
        <w:tab w:val="left" w:pos="360"/>
        <w:tab w:val="right" w:leader="dot" w:pos="9360"/>
      </w:tabs>
      <w:suppressAutoHyphens/>
      <w:ind w:left="360" w:right="720" w:hanging="360"/>
    </w:pPr>
    <w:rPr>
      <w:caps/>
      <w:noProof/>
    </w:rPr>
  </w:style>
  <w:style w:type="paragraph" w:styleId="TOC2">
    <w:name w:val="toc 2"/>
    <w:basedOn w:val="Normal"/>
    <w:next w:val="Normal"/>
    <w:rsid w:val="00624D4A"/>
    <w:pPr>
      <w:tabs>
        <w:tab w:val="left" w:pos="720"/>
        <w:tab w:val="right" w:leader="dot" w:pos="9360"/>
      </w:tabs>
      <w:suppressAutoHyphens/>
      <w:ind w:left="720" w:right="720" w:hanging="360"/>
    </w:pPr>
    <w:rPr>
      <w:noProof/>
    </w:rPr>
  </w:style>
  <w:style w:type="paragraph" w:styleId="TOC3">
    <w:name w:val="toc 3"/>
    <w:basedOn w:val="Normal"/>
    <w:next w:val="Normal"/>
    <w:rsid w:val="00624D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4D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4D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4D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4D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4D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4D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4D4A"/>
    <w:pPr>
      <w:tabs>
        <w:tab w:val="right" w:pos="9360"/>
      </w:tabs>
      <w:suppressAutoHyphens/>
    </w:pPr>
  </w:style>
  <w:style w:type="character" w:customStyle="1" w:styleId="EquationCaption">
    <w:name w:val="_Equation Caption"/>
    <w:rsid w:val="00624D4A"/>
  </w:style>
  <w:style w:type="paragraph" w:styleId="Header">
    <w:name w:val="header"/>
    <w:basedOn w:val="Normal"/>
    <w:autoRedefine/>
    <w:rsid w:val="00624D4A"/>
    <w:pPr>
      <w:tabs>
        <w:tab w:val="center" w:pos="4680"/>
        <w:tab w:val="right" w:pos="9360"/>
      </w:tabs>
    </w:pPr>
    <w:rPr>
      <w:b/>
    </w:rPr>
  </w:style>
  <w:style w:type="paragraph" w:styleId="Footer">
    <w:name w:val="footer"/>
    <w:basedOn w:val="Normal"/>
    <w:rsid w:val="00624D4A"/>
    <w:pPr>
      <w:tabs>
        <w:tab w:val="center" w:pos="4320"/>
        <w:tab w:val="right" w:pos="8640"/>
      </w:tabs>
    </w:pPr>
  </w:style>
  <w:style w:type="character" w:styleId="PageNumber">
    <w:name w:val="page number"/>
    <w:basedOn w:val="DefaultParagraphFont"/>
    <w:rsid w:val="00624D4A"/>
  </w:style>
  <w:style w:type="paragraph" w:styleId="BlockText">
    <w:name w:val="Block Text"/>
    <w:basedOn w:val="Normal"/>
    <w:rsid w:val="00624D4A"/>
    <w:pPr>
      <w:spacing w:after="240"/>
      <w:ind w:left="1440" w:right="1440"/>
    </w:pPr>
  </w:style>
  <w:style w:type="paragraph" w:customStyle="1" w:styleId="Paratitle">
    <w:name w:val="Para title"/>
    <w:basedOn w:val="Normal"/>
    <w:rsid w:val="00624D4A"/>
    <w:pPr>
      <w:tabs>
        <w:tab w:val="center" w:pos="9270"/>
      </w:tabs>
      <w:spacing w:after="240"/>
    </w:pPr>
    <w:rPr>
      <w:spacing w:val="-2"/>
    </w:rPr>
  </w:style>
  <w:style w:type="paragraph" w:customStyle="1" w:styleId="Bullet">
    <w:name w:val="Bullet"/>
    <w:basedOn w:val="Normal"/>
    <w:rsid w:val="00624D4A"/>
    <w:pPr>
      <w:tabs>
        <w:tab w:val="left" w:pos="2160"/>
      </w:tabs>
      <w:spacing w:after="220"/>
      <w:ind w:left="2160" w:hanging="720"/>
    </w:pPr>
  </w:style>
  <w:style w:type="paragraph" w:customStyle="1" w:styleId="TableFormat">
    <w:name w:val="TableFormat"/>
    <w:basedOn w:val="Bullet"/>
    <w:rsid w:val="00624D4A"/>
    <w:pPr>
      <w:tabs>
        <w:tab w:val="clear" w:pos="2160"/>
        <w:tab w:val="left" w:pos="5040"/>
      </w:tabs>
      <w:ind w:left="5040" w:hanging="3600"/>
    </w:pPr>
  </w:style>
  <w:style w:type="paragraph" w:customStyle="1" w:styleId="TOCTitle">
    <w:name w:val="TOC Title"/>
    <w:basedOn w:val="Normal"/>
    <w:rsid w:val="00624D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4D4A"/>
    <w:pPr>
      <w:jc w:val="center"/>
    </w:pPr>
    <w:rPr>
      <w:rFonts w:ascii="Times New Roman Bold" w:hAnsi="Times New Roman Bold"/>
      <w:b/>
      <w:bCs/>
      <w:caps/>
      <w:szCs w:val="22"/>
    </w:rPr>
  </w:style>
  <w:style w:type="character" w:styleId="Hyperlink">
    <w:name w:val="Hyperlink"/>
    <w:rsid w:val="00624D4A"/>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3E043C"/>
    <w:pPr>
      <w:widowControl/>
      <w:ind w:left="720"/>
      <w:contextualSpacing/>
    </w:pPr>
    <w:rPr>
      <w:snapToGrid/>
      <w:kern w:val="0"/>
      <w:sz w:val="24"/>
    </w:rPr>
  </w:style>
  <w:style w:type="paragraph" w:styleId="NormalWeb">
    <w:name w:val="Normal (Web)"/>
    <w:basedOn w:val="Normal"/>
    <w:unhideWhenUsed/>
    <w:rsid w:val="00015C84"/>
    <w:pPr>
      <w:widowControl/>
    </w:pPr>
    <w:rPr>
      <w:snapToGrid/>
      <w:kern w:val="0"/>
      <w:sz w:val="24"/>
    </w:rPr>
  </w:style>
  <w:style w:type="paragraph" w:styleId="Revision">
    <w:name w:val="Revision"/>
    <w:hidden/>
    <w:uiPriority w:val="99"/>
    <w:semiHidden/>
    <w:rsid w:val="00CE7FB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058">
      <w:bodyDiv w:val="1"/>
      <w:marLeft w:val="0"/>
      <w:marRight w:val="0"/>
      <w:marTop w:val="0"/>
      <w:marBottom w:val="0"/>
      <w:divBdr>
        <w:top w:val="none" w:sz="0" w:space="0" w:color="auto"/>
        <w:left w:val="none" w:sz="0" w:space="0" w:color="auto"/>
        <w:bottom w:val="none" w:sz="0" w:space="0" w:color="auto"/>
        <w:right w:val="none" w:sz="0" w:space="0" w:color="auto"/>
      </w:divBdr>
    </w:div>
    <w:div w:id="1286811134">
      <w:bodyDiv w:val="1"/>
      <w:marLeft w:val="0"/>
      <w:marRight w:val="0"/>
      <w:marTop w:val="0"/>
      <w:marBottom w:val="0"/>
      <w:divBdr>
        <w:top w:val="none" w:sz="0" w:space="0" w:color="auto"/>
        <w:left w:val="none" w:sz="0" w:space="0" w:color="auto"/>
        <w:bottom w:val="none" w:sz="0" w:space="0" w:color="auto"/>
        <w:right w:val="none" w:sz="0" w:space="0" w:color="auto"/>
      </w:divBdr>
    </w:div>
    <w:div w:id="17828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pkg/FR-2013-12-17/xml/FR-2013-12-17.xml%23seqnum76218" TargetMode="External"/><Relationship Id="rId1" Type="http://schemas.openxmlformats.org/officeDocument/2006/relationships/hyperlink" Target="http://www.reginfo.gov/public/do/PRAOMBHistory?ombControlNumber=3060-1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2495</Words>
  <Characters>13604</Characters>
  <Application>Microsoft Office Word</Application>
  <DocSecurity>0</DocSecurity>
  <Lines>205</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2015-02-13T21:36:00Z</cp:lastPrinted>
  <dcterms:created xsi:type="dcterms:W3CDTF">2015-02-13T22:38:00Z</dcterms:created>
  <dcterms:modified xsi:type="dcterms:W3CDTF">2015-02-13T22:38:00Z</dcterms:modified>
  <cp:category> </cp:category>
  <cp:contentStatus> </cp:contentStatus>
</cp:coreProperties>
</file>