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941C00" w:rsidRDefault="004C2EE3" w:rsidP="00941C00">
      <w:pPr>
        <w:jc w:val="center"/>
        <w:rPr>
          <w:b/>
        </w:rPr>
      </w:pPr>
      <w:bookmarkStart w:id="0" w:name="_GoBack"/>
      <w:bookmarkEnd w:id="0"/>
      <w:r w:rsidRPr="00941C00">
        <w:rPr>
          <w:b/>
        </w:rPr>
        <w:t>Before the</w:t>
      </w:r>
    </w:p>
    <w:p w:rsidR="00921803" w:rsidRPr="00941C00" w:rsidRDefault="00921803" w:rsidP="00941C00">
      <w:pPr>
        <w:pStyle w:val="StyleBoldCentered"/>
        <w:rPr>
          <w:rFonts w:ascii="Times New Roman" w:hAnsi="Times New Roman"/>
        </w:rPr>
      </w:pPr>
      <w:r w:rsidRPr="00941C00">
        <w:rPr>
          <w:rFonts w:ascii="Times New Roman" w:hAnsi="Times New Roman"/>
        </w:rPr>
        <w:t>F</w:t>
      </w:r>
      <w:r w:rsidRPr="00941C00">
        <w:rPr>
          <w:rFonts w:ascii="Times New Roman" w:hAnsi="Times New Roman"/>
          <w:caps w:val="0"/>
        </w:rPr>
        <w:t>ederal Communications Commission</w:t>
      </w:r>
    </w:p>
    <w:p w:rsidR="004C2EE3" w:rsidRDefault="00810B6F" w:rsidP="00941C00">
      <w:pPr>
        <w:pStyle w:val="StyleBoldCentered"/>
        <w:rPr>
          <w:rFonts w:ascii="Times New Roman" w:hAnsi="Times New Roman"/>
          <w:caps w:val="0"/>
        </w:rPr>
      </w:pPr>
      <w:r w:rsidRPr="00941C00">
        <w:rPr>
          <w:rFonts w:ascii="Times New Roman" w:hAnsi="Times New Roman"/>
          <w:caps w:val="0"/>
        </w:rPr>
        <w:t>Washington, D.C. 20554</w:t>
      </w:r>
    </w:p>
    <w:p w:rsidR="00941C00" w:rsidRDefault="00941C00" w:rsidP="00941C00">
      <w:pPr>
        <w:pStyle w:val="StyleBoldCentered"/>
        <w:rPr>
          <w:rFonts w:ascii="Times New Roman" w:hAnsi="Times New Roman"/>
          <w:caps w:val="0"/>
        </w:rPr>
      </w:pPr>
    </w:p>
    <w:p w:rsidR="00941C00" w:rsidRPr="00941C00" w:rsidRDefault="00941C00" w:rsidP="00941C00">
      <w:pPr>
        <w:pStyle w:val="StyleBoldCentered"/>
        <w:rPr>
          <w:rFonts w:ascii="Times New Roman" w:hAnsi="Times New Roman"/>
        </w:rPr>
      </w:pPr>
    </w:p>
    <w:tbl>
      <w:tblPr>
        <w:tblW w:w="0" w:type="auto"/>
        <w:tblLayout w:type="fixed"/>
        <w:tblLook w:val="0000" w:firstRow="0" w:lastRow="0" w:firstColumn="0" w:lastColumn="0" w:noHBand="0" w:noVBand="0"/>
      </w:tblPr>
      <w:tblGrid>
        <w:gridCol w:w="4698"/>
        <w:gridCol w:w="630"/>
        <w:gridCol w:w="4248"/>
      </w:tblGrid>
      <w:tr w:rsidR="004C2EE3" w:rsidRPr="00941C00">
        <w:tc>
          <w:tcPr>
            <w:tcW w:w="4698" w:type="dxa"/>
          </w:tcPr>
          <w:p w:rsidR="00941C00" w:rsidRDefault="004C2EE3" w:rsidP="00941C00">
            <w:pPr>
              <w:tabs>
                <w:tab w:val="center" w:pos="4680"/>
              </w:tabs>
              <w:suppressAutoHyphens/>
              <w:rPr>
                <w:spacing w:val="-2"/>
              </w:rPr>
            </w:pPr>
            <w:r w:rsidRPr="00941C00">
              <w:rPr>
                <w:spacing w:val="-2"/>
              </w:rPr>
              <w:t>In the Matter of</w:t>
            </w:r>
            <w:r w:rsidR="00941C00">
              <w:rPr>
                <w:spacing w:val="-2"/>
              </w:rPr>
              <w:t xml:space="preserve"> </w:t>
            </w:r>
          </w:p>
          <w:p w:rsidR="00941C00" w:rsidRDefault="00941C00" w:rsidP="00941C00">
            <w:pPr>
              <w:tabs>
                <w:tab w:val="center" w:pos="4680"/>
              </w:tabs>
              <w:suppressAutoHyphens/>
              <w:rPr>
                <w:spacing w:val="-2"/>
              </w:rPr>
            </w:pPr>
          </w:p>
          <w:p w:rsidR="004C2EE3" w:rsidRDefault="00C46EFC" w:rsidP="00941C00">
            <w:pPr>
              <w:tabs>
                <w:tab w:val="center" w:pos="4680"/>
              </w:tabs>
              <w:suppressAutoHyphens/>
              <w:rPr>
                <w:spacing w:val="-2"/>
              </w:rPr>
            </w:pPr>
            <w:r w:rsidRPr="00941C00">
              <w:rPr>
                <w:spacing w:val="-2"/>
              </w:rPr>
              <w:t>Technology Transitions</w:t>
            </w:r>
          </w:p>
          <w:p w:rsidR="00941C00" w:rsidRPr="00941C00" w:rsidRDefault="00941C00" w:rsidP="00941C00">
            <w:pPr>
              <w:tabs>
                <w:tab w:val="center" w:pos="4680"/>
              </w:tabs>
              <w:suppressAutoHyphens/>
              <w:rPr>
                <w:spacing w:val="-2"/>
              </w:rPr>
            </w:pPr>
          </w:p>
          <w:p w:rsidR="00C46EFC" w:rsidRPr="00941C00" w:rsidRDefault="00C46EFC" w:rsidP="00941C00">
            <w:pPr>
              <w:tabs>
                <w:tab w:val="center" w:pos="4680"/>
              </w:tabs>
              <w:suppressAutoHyphens/>
              <w:rPr>
                <w:spacing w:val="-2"/>
              </w:rPr>
            </w:pPr>
            <w:r w:rsidRPr="00941C00">
              <w:rPr>
                <w:spacing w:val="-2"/>
              </w:rPr>
              <w:t>AT&amp;T Petition to Launch a Proceeding Concerning the TDM-to-IP Transition</w:t>
            </w:r>
          </w:p>
        </w:tc>
        <w:tc>
          <w:tcPr>
            <w:tcW w:w="630" w:type="dxa"/>
          </w:tcPr>
          <w:p w:rsidR="004C2EE3" w:rsidRPr="00941C00" w:rsidRDefault="004C2EE3" w:rsidP="00941C00">
            <w:pPr>
              <w:tabs>
                <w:tab w:val="center" w:pos="4680"/>
              </w:tabs>
              <w:suppressAutoHyphens/>
              <w:rPr>
                <w:b/>
                <w:spacing w:val="-2"/>
              </w:rPr>
            </w:pPr>
            <w:r w:rsidRPr="00941C00">
              <w:rPr>
                <w:b/>
                <w:spacing w:val="-2"/>
              </w:rPr>
              <w:t>)</w:t>
            </w:r>
          </w:p>
          <w:p w:rsidR="004C2EE3" w:rsidRPr="00941C00" w:rsidRDefault="004C2EE3" w:rsidP="00941C00">
            <w:pPr>
              <w:tabs>
                <w:tab w:val="center" w:pos="4680"/>
              </w:tabs>
              <w:suppressAutoHyphens/>
              <w:rPr>
                <w:b/>
                <w:spacing w:val="-2"/>
              </w:rPr>
            </w:pPr>
            <w:r w:rsidRPr="00941C00">
              <w:rPr>
                <w:b/>
                <w:spacing w:val="-2"/>
              </w:rPr>
              <w:t>)</w:t>
            </w:r>
          </w:p>
          <w:p w:rsidR="004C2EE3" w:rsidRPr="00941C00" w:rsidRDefault="004C2EE3" w:rsidP="00941C00">
            <w:pPr>
              <w:tabs>
                <w:tab w:val="center" w:pos="4680"/>
              </w:tabs>
              <w:suppressAutoHyphens/>
              <w:rPr>
                <w:b/>
                <w:spacing w:val="-2"/>
              </w:rPr>
            </w:pPr>
            <w:r w:rsidRPr="00941C00">
              <w:rPr>
                <w:b/>
                <w:spacing w:val="-2"/>
              </w:rPr>
              <w:t>)</w:t>
            </w:r>
          </w:p>
          <w:p w:rsidR="004C2EE3" w:rsidRDefault="004C2EE3" w:rsidP="00941C00">
            <w:pPr>
              <w:tabs>
                <w:tab w:val="center" w:pos="4680"/>
              </w:tabs>
              <w:suppressAutoHyphens/>
              <w:rPr>
                <w:b/>
                <w:spacing w:val="-2"/>
              </w:rPr>
            </w:pPr>
            <w:r w:rsidRPr="00941C00">
              <w:rPr>
                <w:b/>
                <w:spacing w:val="-2"/>
              </w:rPr>
              <w:t>)</w:t>
            </w:r>
          </w:p>
          <w:p w:rsidR="00941C00" w:rsidRDefault="00941C00" w:rsidP="00941C00">
            <w:pPr>
              <w:tabs>
                <w:tab w:val="center" w:pos="4680"/>
              </w:tabs>
              <w:suppressAutoHyphens/>
              <w:rPr>
                <w:b/>
                <w:spacing w:val="-2"/>
              </w:rPr>
            </w:pPr>
            <w:r w:rsidRPr="00941C00">
              <w:rPr>
                <w:b/>
                <w:spacing w:val="-2"/>
              </w:rPr>
              <w:t>)</w:t>
            </w:r>
          </w:p>
          <w:p w:rsidR="00941C00" w:rsidRPr="00941C00" w:rsidRDefault="00941C00" w:rsidP="00941C00">
            <w:pPr>
              <w:tabs>
                <w:tab w:val="center" w:pos="4680"/>
              </w:tabs>
              <w:suppressAutoHyphens/>
              <w:rPr>
                <w:b/>
                <w:spacing w:val="-2"/>
              </w:rPr>
            </w:pPr>
            <w:r w:rsidRPr="00941C00">
              <w:rPr>
                <w:b/>
                <w:spacing w:val="-2"/>
              </w:rPr>
              <w:t>)</w:t>
            </w:r>
          </w:p>
          <w:p w:rsidR="004C2EE3" w:rsidRPr="00941C00" w:rsidRDefault="004C2EE3" w:rsidP="00941C00">
            <w:pPr>
              <w:tabs>
                <w:tab w:val="center" w:pos="4680"/>
              </w:tabs>
              <w:suppressAutoHyphens/>
              <w:rPr>
                <w:spacing w:val="-2"/>
              </w:rPr>
            </w:pPr>
          </w:p>
        </w:tc>
        <w:tc>
          <w:tcPr>
            <w:tcW w:w="4248" w:type="dxa"/>
          </w:tcPr>
          <w:p w:rsidR="00941C00" w:rsidRDefault="00941C00" w:rsidP="00941C00">
            <w:pPr>
              <w:tabs>
                <w:tab w:val="center" w:pos="4680"/>
              </w:tabs>
              <w:suppressAutoHyphens/>
              <w:rPr>
                <w:spacing w:val="-2"/>
              </w:rPr>
            </w:pPr>
          </w:p>
          <w:p w:rsidR="00941C00" w:rsidRDefault="00941C00" w:rsidP="00941C00">
            <w:pPr>
              <w:tabs>
                <w:tab w:val="center" w:pos="4680"/>
              </w:tabs>
              <w:suppressAutoHyphens/>
              <w:rPr>
                <w:spacing w:val="-2"/>
              </w:rPr>
            </w:pPr>
          </w:p>
          <w:p w:rsidR="004C2EE3" w:rsidRPr="00941C00" w:rsidRDefault="00C46EFC" w:rsidP="00941C00">
            <w:pPr>
              <w:tabs>
                <w:tab w:val="center" w:pos="4680"/>
              </w:tabs>
              <w:suppressAutoHyphens/>
              <w:rPr>
                <w:spacing w:val="-2"/>
              </w:rPr>
            </w:pPr>
            <w:r w:rsidRPr="00941C00">
              <w:rPr>
                <w:spacing w:val="-2"/>
              </w:rPr>
              <w:t>GN Docket No. 13-5</w:t>
            </w:r>
          </w:p>
          <w:p w:rsidR="00C46EFC" w:rsidRPr="00941C00" w:rsidRDefault="00C46EFC" w:rsidP="00941C00">
            <w:pPr>
              <w:tabs>
                <w:tab w:val="center" w:pos="4680"/>
              </w:tabs>
              <w:suppressAutoHyphens/>
              <w:rPr>
                <w:spacing w:val="-2"/>
              </w:rPr>
            </w:pPr>
          </w:p>
          <w:p w:rsidR="00C46EFC" w:rsidRPr="00941C00" w:rsidRDefault="00C46EFC" w:rsidP="00941C00">
            <w:pPr>
              <w:tabs>
                <w:tab w:val="center" w:pos="4680"/>
              </w:tabs>
              <w:suppressAutoHyphens/>
              <w:rPr>
                <w:spacing w:val="-2"/>
              </w:rPr>
            </w:pPr>
            <w:r w:rsidRPr="00941C00">
              <w:rPr>
                <w:spacing w:val="-2"/>
              </w:rPr>
              <w:t>GN Docket No. 12-353</w:t>
            </w:r>
          </w:p>
          <w:p w:rsidR="00C46EFC" w:rsidRPr="00941C00" w:rsidRDefault="00C46EFC" w:rsidP="00941C00">
            <w:pPr>
              <w:tabs>
                <w:tab w:val="center" w:pos="4680"/>
              </w:tabs>
              <w:suppressAutoHyphens/>
              <w:rPr>
                <w:spacing w:val="-2"/>
              </w:rPr>
            </w:pPr>
          </w:p>
        </w:tc>
      </w:tr>
    </w:tbl>
    <w:p w:rsidR="00841AB1" w:rsidRPr="00941C00" w:rsidRDefault="00C46EFC" w:rsidP="00941C00">
      <w:pPr>
        <w:pStyle w:val="StyleBoldCentered"/>
        <w:rPr>
          <w:rFonts w:ascii="Times New Roman" w:hAnsi="Times New Roman"/>
        </w:rPr>
      </w:pPr>
      <w:r w:rsidRPr="00941C00">
        <w:rPr>
          <w:rFonts w:ascii="Times New Roman" w:hAnsi="Times New Roman"/>
        </w:rPr>
        <w:t>ORDER</w:t>
      </w:r>
    </w:p>
    <w:p w:rsidR="004C2EE3" w:rsidRPr="00941C00" w:rsidRDefault="004C2EE3">
      <w:pPr>
        <w:tabs>
          <w:tab w:val="left" w:pos="-720"/>
        </w:tabs>
        <w:suppressAutoHyphens/>
        <w:spacing w:line="227" w:lineRule="auto"/>
        <w:rPr>
          <w:spacing w:val="-2"/>
        </w:rPr>
      </w:pPr>
    </w:p>
    <w:p w:rsidR="004C2EE3" w:rsidRPr="00941C00" w:rsidRDefault="004C2EE3" w:rsidP="00133F79">
      <w:pPr>
        <w:tabs>
          <w:tab w:val="left" w:pos="720"/>
          <w:tab w:val="right" w:pos="9360"/>
        </w:tabs>
        <w:suppressAutoHyphens/>
        <w:spacing w:line="227" w:lineRule="auto"/>
        <w:rPr>
          <w:spacing w:val="-2"/>
        </w:rPr>
      </w:pPr>
      <w:r w:rsidRPr="00941C00">
        <w:rPr>
          <w:b/>
          <w:spacing w:val="-2"/>
        </w:rPr>
        <w:t xml:space="preserve">Adopted:  </w:t>
      </w:r>
      <w:r w:rsidR="00141753">
        <w:rPr>
          <w:b/>
          <w:spacing w:val="-2"/>
        </w:rPr>
        <w:t>January 7, 2015</w:t>
      </w:r>
      <w:r w:rsidRPr="00941C00">
        <w:rPr>
          <w:b/>
          <w:spacing w:val="-2"/>
        </w:rPr>
        <w:tab/>
      </w:r>
      <w:r w:rsidR="00822CE0" w:rsidRPr="00941C00">
        <w:rPr>
          <w:b/>
          <w:spacing w:val="-2"/>
        </w:rPr>
        <w:t>Released</w:t>
      </w:r>
      <w:r w:rsidRPr="00941C00">
        <w:rPr>
          <w:b/>
          <w:spacing w:val="-2"/>
        </w:rPr>
        <w:t>:</w:t>
      </w:r>
      <w:r w:rsidR="00822CE0" w:rsidRPr="00941C00">
        <w:rPr>
          <w:b/>
          <w:spacing w:val="-2"/>
        </w:rPr>
        <w:t xml:space="preserve"> </w:t>
      </w:r>
      <w:r w:rsidRPr="00941C00">
        <w:rPr>
          <w:b/>
          <w:spacing w:val="-2"/>
        </w:rPr>
        <w:t xml:space="preserve"> </w:t>
      </w:r>
      <w:r w:rsidR="00141753">
        <w:rPr>
          <w:b/>
          <w:spacing w:val="-2"/>
        </w:rPr>
        <w:t>January 7, 2015</w:t>
      </w:r>
    </w:p>
    <w:p w:rsidR="00145A06" w:rsidRDefault="00145A06"/>
    <w:p w:rsidR="004C2EE3" w:rsidRDefault="004C2EE3">
      <w:pPr>
        <w:rPr>
          <w:spacing w:val="-2"/>
        </w:rPr>
      </w:pPr>
      <w:r w:rsidRPr="00941C00">
        <w:t xml:space="preserve">By </w:t>
      </w:r>
      <w:r w:rsidR="004E4A22" w:rsidRPr="00941C00">
        <w:t>the</w:t>
      </w:r>
      <w:r w:rsidR="002A2D2E" w:rsidRPr="00941C00">
        <w:t xml:space="preserve"> </w:t>
      </w:r>
      <w:r w:rsidR="001F2669" w:rsidRPr="00941C00">
        <w:rPr>
          <w:spacing w:val="-2"/>
        </w:rPr>
        <w:t>Chief, Wireline Competition Bureau</w:t>
      </w:r>
      <w:r w:rsidRPr="00941C00">
        <w:rPr>
          <w:spacing w:val="-2"/>
        </w:rPr>
        <w:t>:</w:t>
      </w:r>
    </w:p>
    <w:p w:rsidR="00145A06" w:rsidRPr="00941C00" w:rsidRDefault="00145A06">
      <w:pPr>
        <w:rPr>
          <w:spacing w:val="-2"/>
        </w:rPr>
      </w:pPr>
    </w:p>
    <w:p w:rsidR="002C00E8" w:rsidRPr="00145A06" w:rsidRDefault="00C46EFC" w:rsidP="00145A06">
      <w:pPr>
        <w:pStyle w:val="Heading1"/>
        <w:rPr>
          <w:rFonts w:ascii="Times New Roman" w:hAnsi="Times New Roman"/>
        </w:rPr>
      </w:pPr>
      <w:r w:rsidRPr="00145A06">
        <w:rPr>
          <w:rFonts w:ascii="Times New Roman" w:hAnsi="Times New Roman"/>
        </w:rPr>
        <w:t>INTRODUCTION</w:t>
      </w:r>
    </w:p>
    <w:p w:rsidR="00C46EFC" w:rsidRPr="00941C00" w:rsidRDefault="00C46EFC" w:rsidP="00865DC4">
      <w:pPr>
        <w:pStyle w:val="ParaNum"/>
      </w:pPr>
      <w:r w:rsidRPr="00941C00">
        <w:t>In this Order, we grant in part and deny in part a challenge filed by Public Knowledge and the National Consumer Law Center</w:t>
      </w:r>
      <w:r w:rsidR="006F05CD" w:rsidRPr="00941C00">
        <w:t xml:space="preserve"> (Public Knowledge)</w:t>
      </w:r>
      <w:r w:rsidRPr="00941C00">
        <w:rPr>
          <w:rStyle w:val="FootnoteReference"/>
          <w:sz w:val="22"/>
        </w:rPr>
        <w:footnoteReference w:id="2"/>
      </w:r>
      <w:r w:rsidRPr="00941C00">
        <w:t xml:space="preserve"> to AT&amp;T’s designation as confidential</w:t>
      </w:r>
      <w:r w:rsidR="008B4768">
        <w:t>,</w:t>
      </w:r>
      <w:r w:rsidRPr="00941C00">
        <w:t xml:space="preserve"> </w:t>
      </w:r>
      <w:r w:rsidR="00232B81" w:rsidRPr="00941C00">
        <w:t>under the terms of pertinent Commission protective orders</w:t>
      </w:r>
      <w:r w:rsidR="008B4768">
        <w:t>,</w:t>
      </w:r>
      <w:r w:rsidR="00232B81" w:rsidRPr="00941C00">
        <w:t xml:space="preserve"> </w:t>
      </w:r>
      <w:r w:rsidR="00015B25" w:rsidRPr="00941C00">
        <w:t>certain information in</w:t>
      </w:r>
      <w:r w:rsidRPr="00941C00">
        <w:t xml:space="preserve"> its Proposal for Wire Center Trials</w:t>
      </w:r>
      <w:r w:rsidRPr="00941C00">
        <w:rPr>
          <w:rStyle w:val="FootnoteReference"/>
          <w:sz w:val="22"/>
        </w:rPr>
        <w:footnoteReference w:id="3"/>
      </w:r>
      <w:r w:rsidR="00A5479C" w:rsidRPr="00941C00">
        <w:t xml:space="preserve"> filed pursuant to the Commis</w:t>
      </w:r>
      <w:r w:rsidR="00E75C57" w:rsidRPr="00941C00">
        <w:t>s</w:t>
      </w:r>
      <w:r w:rsidR="00A5479C" w:rsidRPr="00941C00">
        <w:t>i</w:t>
      </w:r>
      <w:r w:rsidR="00E75C57" w:rsidRPr="00941C00">
        <w:t>on’s</w:t>
      </w:r>
      <w:r w:rsidRPr="00941C00">
        <w:t xml:space="preserve"> January 2014 </w:t>
      </w:r>
      <w:r w:rsidRPr="00941C00">
        <w:rPr>
          <w:i/>
        </w:rPr>
        <w:t>Technology Transitions Order</w:t>
      </w:r>
      <w:r w:rsidRPr="00941C00">
        <w:t>.</w:t>
      </w:r>
      <w:r w:rsidRPr="00941C00">
        <w:rPr>
          <w:rStyle w:val="FootnoteReference"/>
          <w:sz w:val="22"/>
        </w:rPr>
        <w:footnoteReference w:id="4"/>
      </w:r>
      <w:r w:rsidRPr="00941C00">
        <w:t xml:space="preserve">  </w:t>
      </w:r>
      <w:r w:rsidR="00232B81" w:rsidRPr="00941C00">
        <w:t>Specifically, Public Knowledge challenges AT&amp;T’s confidentiality designation of information in the Proposal regarding</w:t>
      </w:r>
      <w:r w:rsidR="004841FE" w:rsidRPr="00941C00">
        <w:t>:</w:t>
      </w:r>
      <w:r w:rsidR="00232B81" w:rsidRPr="00941C00">
        <w:t xml:space="preserve"> </w:t>
      </w:r>
      <w:r w:rsidR="002E04F0" w:rsidRPr="00941C00">
        <w:t xml:space="preserve"> </w:t>
      </w:r>
      <w:r w:rsidR="00232B81" w:rsidRPr="00941C00">
        <w:t xml:space="preserve">(1) </w:t>
      </w:r>
      <w:r w:rsidR="00071E90" w:rsidRPr="00941C00">
        <w:t xml:space="preserve">the percentage of </w:t>
      </w:r>
      <w:r w:rsidR="00975736" w:rsidRPr="00941C00">
        <w:t xml:space="preserve">living units in Carbon Hill </w:t>
      </w:r>
      <w:r w:rsidR="00775DEE" w:rsidRPr="00941C00">
        <w:t>that will receive wireline and/or wireless broadband service</w:t>
      </w:r>
      <w:r w:rsidR="00071E90" w:rsidRPr="00941C00">
        <w:t>,</w:t>
      </w:r>
      <w:r w:rsidR="00232B81" w:rsidRPr="00941C00">
        <w:t xml:space="preserve"> which Public Knowledge asserts that AT&amp;T made public subsequent to submission; and (2) the</w:t>
      </w:r>
      <w:r w:rsidR="00755004">
        <w:t xml:space="preserve"> detailed</w:t>
      </w:r>
      <w:r w:rsidR="00232B81" w:rsidRPr="00941C00">
        <w:t xml:space="preserve"> timeline for AT&amp;T’s proposed trials.</w:t>
      </w:r>
      <w:r w:rsidR="00071E90" w:rsidRPr="00941C00">
        <w:t xml:space="preserve"> </w:t>
      </w:r>
      <w:r w:rsidR="00232B81" w:rsidRPr="00941C00">
        <w:t xml:space="preserve"> For the reasons stated below, we grant the challenge as to the former </w:t>
      </w:r>
      <w:r w:rsidR="00C2110C">
        <w:t xml:space="preserve">designation </w:t>
      </w:r>
      <w:r w:rsidR="00232B81" w:rsidRPr="00941C00">
        <w:t>and deny it as to the latter.</w:t>
      </w:r>
      <w:r w:rsidR="007230C1">
        <w:t xml:space="preserve">  As to </w:t>
      </w:r>
      <w:r w:rsidR="00DE79FB">
        <w:t>the detailed timeline</w:t>
      </w:r>
      <w:r w:rsidR="007230C1">
        <w:t xml:space="preserve">, we agree with Public Knowledge that the trials must be conducted responsibly and transparently.  However, AT&amp;T </w:t>
      </w:r>
      <w:r w:rsidR="00C051D6">
        <w:t>does not yet seek Commission</w:t>
      </w:r>
      <w:r w:rsidR="00865DC4">
        <w:t xml:space="preserve"> authorization for its trials</w:t>
      </w:r>
      <w:r w:rsidR="00C051D6">
        <w:t xml:space="preserve">.  When it does, </w:t>
      </w:r>
      <w:r w:rsidR="00865DC4">
        <w:t xml:space="preserve">the Commission will ensure that the public is able to </w:t>
      </w:r>
      <w:r w:rsidR="00865DC4" w:rsidRPr="00865DC4">
        <w:t xml:space="preserve">participate fully in </w:t>
      </w:r>
      <w:r w:rsidR="00E8528F">
        <w:t>that process</w:t>
      </w:r>
      <w:r w:rsidR="00865DC4" w:rsidRPr="00865DC4">
        <w:t>.</w:t>
      </w:r>
    </w:p>
    <w:p w:rsidR="00071E90" w:rsidRPr="00941C00" w:rsidRDefault="00071E90" w:rsidP="00071E90">
      <w:pPr>
        <w:pStyle w:val="Heading1"/>
        <w:rPr>
          <w:rFonts w:ascii="Times New Roman" w:hAnsi="Times New Roman"/>
        </w:rPr>
      </w:pPr>
      <w:r w:rsidRPr="00941C00">
        <w:rPr>
          <w:rFonts w:ascii="Times New Roman" w:hAnsi="Times New Roman"/>
        </w:rPr>
        <w:t>BACKGROUND</w:t>
      </w:r>
    </w:p>
    <w:p w:rsidR="003932AF" w:rsidRPr="00941C00" w:rsidRDefault="003932AF" w:rsidP="003932AF">
      <w:pPr>
        <w:pStyle w:val="ParaNum"/>
      </w:pPr>
      <w:r w:rsidRPr="00941C00">
        <w:t xml:space="preserve">On January 31, 2014, the Commission released the </w:t>
      </w:r>
      <w:r w:rsidRPr="00941C00">
        <w:rPr>
          <w:i/>
        </w:rPr>
        <w:t>Technology Transitions Order</w:t>
      </w:r>
      <w:r w:rsidRPr="00941C00">
        <w:t>.  Among other things, the Order solicited proposals for “service-based experiments”</w:t>
      </w:r>
      <w:r w:rsidR="00EE4025">
        <w:t xml:space="preserve"> </w:t>
      </w:r>
      <w:r w:rsidR="00B051C1" w:rsidRPr="00941C00">
        <w:t>—</w:t>
      </w:r>
      <w:r w:rsidR="00EE4025">
        <w:t xml:space="preserve"> </w:t>
      </w:r>
      <w:r w:rsidRPr="00B80F02">
        <w:t>i.e.</w:t>
      </w:r>
      <w:r w:rsidRPr="00941C00">
        <w:t>, “experiments in which incumbent providers seek to substitute new communications technologies for the TDM-based services over copper lines that they currently are providing to customers</w:t>
      </w:r>
      <w:r w:rsidR="00F707D3" w:rsidRPr="00941C00">
        <w:t xml:space="preserve"> . . . </w:t>
      </w:r>
      <w:r w:rsidRPr="00941C00">
        <w:t>.”</w:t>
      </w:r>
      <w:r w:rsidRPr="00941C00">
        <w:rPr>
          <w:rStyle w:val="FootnoteReference"/>
          <w:sz w:val="22"/>
        </w:rPr>
        <w:footnoteReference w:id="5"/>
      </w:r>
      <w:r w:rsidRPr="00941C00">
        <w:t xml:space="preserve">  The </w:t>
      </w:r>
      <w:r w:rsidR="00865DC4">
        <w:rPr>
          <w:i/>
        </w:rPr>
        <w:t>Technology Transitions Order</w:t>
      </w:r>
      <w:r w:rsidRPr="00941C00">
        <w:t xml:space="preserve"> established a framework for such proposals.  The purpose behind seeking proposals for service-based experiments </w:t>
      </w:r>
      <w:r w:rsidR="00865DC4">
        <w:t>is</w:t>
      </w:r>
      <w:r w:rsidRPr="00941C00">
        <w:t xml:space="preserve"> to “speed technological advances by preserving the positive attributes of network services that customers have come to expect.”</w:t>
      </w:r>
      <w:r w:rsidRPr="00941C00">
        <w:rPr>
          <w:rStyle w:val="FootnoteReference"/>
          <w:sz w:val="22"/>
        </w:rPr>
        <w:footnoteReference w:id="6"/>
      </w:r>
      <w:r w:rsidRPr="00941C00">
        <w:t xml:space="preserve">  </w:t>
      </w:r>
    </w:p>
    <w:p w:rsidR="00564663" w:rsidRPr="00941C00" w:rsidRDefault="00BB2F09" w:rsidP="0047285D">
      <w:pPr>
        <w:pStyle w:val="ParaNum"/>
      </w:pPr>
      <w:r w:rsidRPr="00941C00">
        <w:lastRenderedPageBreak/>
        <w:t xml:space="preserve">On February 27, 2014, the Wireline Competition Bureau </w:t>
      </w:r>
      <w:r w:rsidR="00B051C1">
        <w:t xml:space="preserve">(Bureau) </w:t>
      </w:r>
      <w:r w:rsidRPr="00941C00">
        <w:t>issued two protective orders</w:t>
      </w:r>
      <w:r w:rsidR="00865DC4">
        <w:t xml:space="preserve"> governing treatment of confidential information submitted in connection with </w:t>
      </w:r>
      <w:r w:rsidR="00C2110C">
        <w:t xml:space="preserve">proposed </w:t>
      </w:r>
      <w:r w:rsidR="00865DC4">
        <w:t>service-based experiments</w:t>
      </w:r>
      <w:r w:rsidRPr="00941C00">
        <w:t>.</w:t>
      </w:r>
      <w:r w:rsidRPr="00941C00">
        <w:rPr>
          <w:rStyle w:val="FootnoteReference"/>
          <w:sz w:val="22"/>
        </w:rPr>
        <w:footnoteReference w:id="7"/>
      </w:r>
      <w:r w:rsidRPr="00941C00">
        <w:t xml:space="preserve">  The </w:t>
      </w:r>
      <w:r w:rsidRPr="00D11274">
        <w:rPr>
          <w:i/>
        </w:rPr>
        <w:t>Protective Order</w:t>
      </w:r>
      <w:r w:rsidRPr="00941C00">
        <w:t xml:space="preserve"> </w:t>
      </w:r>
      <w:r w:rsidR="00D11274">
        <w:t xml:space="preserve">governs the treatment of “confidential information,” and the </w:t>
      </w:r>
      <w:r w:rsidR="00D11274" w:rsidRPr="00D11274">
        <w:rPr>
          <w:i/>
        </w:rPr>
        <w:t xml:space="preserve">Second Protective Order </w:t>
      </w:r>
      <w:r w:rsidR="00D11274">
        <w:t>governs the treatment of “highly confidential information.”</w:t>
      </w:r>
      <w:r w:rsidR="00D11274">
        <w:rPr>
          <w:rStyle w:val="FootnoteReference"/>
        </w:rPr>
        <w:footnoteReference w:id="8"/>
      </w:r>
      <w:r w:rsidRPr="00941C00">
        <w:t xml:space="preserve">  </w:t>
      </w:r>
      <w:r w:rsidR="00D11274">
        <w:t xml:space="preserve">In </w:t>
      </w:r>
      <w:r w:rsidR="00564663" w:rsidRPr="00941C00">
        <w:t xml:space="preserve">adopting the </w:t>
      </w:r>
      <w:r w:rsidR="00564663" w:rsidRPr="00D11274">
        <w:rPr>
          <w:i/>
        </w:rPr>
        <w:t>Protective Orders</w:t>
      </w:r>
      <w:r w:rsidR="00564663" w:rsidRPr="00941C00">
        <w:t>, the Bureau acknowledged the importance of allow</w:t>
      </w:r>
      <w:r w:rsidR="00D11274">
        <w:t>ing public participation in proceedings concerning service-based experiments</w:t>
      </w:r>
      <w:r w:rsidR="00564663" w:rsidRPr="00941C00">
        <w:t>.</w:t>
      </w:r>
      <w:r w:rsidR="00564663" w:rsidRPr="00941C00">
        <w:rPr>
          <w:rStyle w:val="FootnoteReference"/>
          <w:sz w:val="22"/>
        </w:rPr>
        <w:footnoteReference w:id="9"/>
      </w:r>
      <w:r w:rsidR="00564663" w:rsidRPr="00941C00">
        <w:t xml:space="preserve">  </w:t>
      </w:r>
    </w:p>
    <w:p w:rsidR="00762C60" w:rsidRPr="00941C00" w:rsidRDefault="003932AF" w:rsidP="00203B37">
      <w:pPr>
        <w:pStyle w:val="ParaNum"/>
      </w:pPr>
      <w:r w:rsidRPr="00941C00">
        <w:t xml:space="preserve">In response to the </w:t>
      </w:r>
      <w:r w:rsidRPr="00941C00">
        <w:rPr>
          <w:i/>
        </w:rPr>
        <w:t>Technology Transitions Order</w:t>
      </w:r>
      <w:r w:rsidRPr="00941C00">
        <w:t xml:space="preserve">, on February 27, 2014, AT&amp;T filed </w:t>
      </w:r>
      <w:r w:rsidR="00C2110C">
        <w:t xml:space="preserve">its </w:t>
      </w:r>
      <w:r w:rsidRPr="00941C00">
        <w:t xml:space="preserve">Proposal to conduct service-based experiments in two trial wire centers.  AT&amp;T proposes to conduct service-based experiments in two wire centers:  Carbon Hill, AL and Kings Point </w:t>
      </w:r>
      <w:r w:rsidR="008B4768">
        <w:t>(</w:t>
      </w:r>
      <w:r w:rsidRPr="00941C00">
        <w:t>a/k/a West Delray Beach</w:t>
      </w:r>
      <w:r w:rsidR="008B4768">
        <w:t>)</w:t>
      </w:r>
      <w:r w:rsidRPr="00941C00">
        <w:t>, FL.</w:t>
      </w:r>
      <w:r w:rsidR="006343F7" w:rsidRPr="00941C00">
        <w:t xml:space="preserve">  </w:t>
      </w:r>
      <w:r w:rsidRPr="00941C00">
        <w:t xml:space="preserve">The </w:t>
      </w:r>
      <w:r w:rsidR="00C2110C">
        <w:t>P</w:t>
      </w:r>
      <w:r w:rsidRPr="00941C00">
        <w:t>roposal does not itself seek any regulatory action</w:t>
      </w:r>
      <w:r w:rsidR="00C2110C">
        <w:t>, and</w:t>
      </w:r>
      <w:r w:rsidRPr="00941C00">
        <w:t xml:space="preserve"> nothing has been filed yet that would enable AT&amp;T to commence the first phase of the trials.</w:t>
      </w:r>
      <w:r w:rsidRPr="00941C00">
        <w:rPr>
          <w:rStyle w:val="FootnoteReference"/>
          <w:sz w:val="22"/>
        </w:rPr>
        <w:footnoteReference w:id="10"/>
      </w:r>
    </w:p>
    <w:p w:rsidR="005D2C66" w:rsidRDefault="00246BB3" w:rsidP="00EE4025">
      <w:pPr>
        <w:pStyle w:val="ParaNum"/>
        <w:widowControl/>
      </w:pPr>
      <w:r w:rsidRPr="00941C00">
        <w:t xml:space="preserve">Pursuant to the </w:t>
      </w:r>
      <w:r w:rsidR="007D720B" w:rsidRPr="005D2C66">
        <w:rPr>
          <w:i/>
        </w:rPr>
        <w:t>P</w:t>
      </w:r>
      <w:r w:rsidRPr="005D2C66">
        <w:rPr>
          <w:i/>
        </w:rPr>
        <w:t xml:space="preserve">rotective </w:t>
      </w:r>
      <w:r w:rsidR="007D720B" w:rsidRPr="005D2C66">
        <w:rPr>
          <w:i/>
        </w:rPr>
        <w:t>O</w:t>
      </w:r>
      <w:r w:rsidRPr="005D2C66">
        <w:rPr>
          <w:i/>
        </w:rPr>
        <w:t>rders</w:t>
      </w:r>
      <w:r w:rsidRPr="00941C00">
        <w:t xml:space="preserve">, AT&amp;T designated as </w:t>
      </w:r>
      <w:r w:rsidR="00C2110C">
        <w:t>C</w:t>
      </w:r>
      <w:r w:rsidRPr="00941C00">
        <w:t>onfidential information</w:t>
      </w:r>
      <w:r w:rsidR="00A5479C" w:rsidRPr="00941C00">
        <w:t xml:space="preserve"> in</w:t>
      </w:r>
      <w:r w:rsidRPr="00941C00">
        <w:t xml:space="preserve"> its </w:t>
      </w:r>
      <w:r w:rsidR="00852B7F" w:rsidRPr="00941C00">
        <w:t>P</w:t>
      </w:r>
      <w:r w:rsidRPr="00941C00">
        <w:t>roposal regarding the percentage of living units in Carbon Hill that will receive wireline and/or wireless broadband service</w:t>
      </w:r>
      <w:r w:rsidR="00852B7F" w:rsidRPr="00941C00">
        <w:t>.</w:t>
      </w:r>
      <w:r w:rsidRPr="00941C00">
        <w:rPr>
          <w:rStyle w:val="FootnoteReference"/>
          <w:sz w:val="22"/>
        </w:rPr>
        <w:footnoteReference w:id="11"/>
      </w:r>
      <w:r w:rsidRPr="00941C00">
        <w:t xml:space="preserve">  </w:t>
      </w:r>
      <w:r w:rsidR="00852B7F" w:rsidRPr="00941C00">
        <w:t xml:space="preserve">It also designated as </w:t>
      </w:r>
      <w:r w:rsidR="00C2110C">
        <w:t>H</w:t>
      </w:r>
      <w:r w:rsidR="00852B7F" w:rsidRPr="00941C00">
        <w:t xml:space="preserve">ighly </w:t>
      </w:r>
      <w:r w:rsidR="00C2110C">
        <w:t>C</w:t>
      </w:r>
      <w:r w:rsidR="00852B7F" w:rsidRPr="00941C00">
        <w:t xml:space="preserve">onfidential </w:t>
      </w:r>
      <w:r w:rsidRPr="00941C00">
        <w:t>information regarding the timeline for its proposed trials.</w:t>
      </w:r>
      <w:r w:rsidRPr="00941C00">
        <w:rPr>
          <w:rStyle w:val="FootnoteReference"/>
          <w:sz w:val="22"/>
        </w:rPr>
        <w:footnoteReference w:id="12"/>
      </w:r>
      <w:r w:rsidR="00BE1F3D" w:rsidRPr="00941C00">
        <w:t xml:space="preserve">  </w:t>
      </w:r>
      <w:r w:rsidR="00B051C1">
        <w:t>AT&amp;T has not made public a concrete ti</w:t>
      </w:r>
      <w:r w:rsidR="005D2C66">
        <w:t>meline for its proposed trials, but it has “made clear [that it] would not seek approval to withdraw TDM services in the trial wire centers any earlier than the second half of 2015.”</w:t>
      </w:r>
      <w:bookmarkStart w:id="1" w:name="_Ref406680169"/>
      <w:r w:rsidR="005D2C66" w:rsidRPr="005D2C66">
        <w:rPr>
          <w:rStyle w:val="FootnoteReference"/>
        </w:rPr>
        <w:t xml:space="preserve"> </w:t>
      </w:r>
      <w:r w:rsidR="005D2C66">
        <w:rPr>
          <w:rStyle w:val="FootnoteReference"/>
        </w:rPr>
        <w:footnoteReference w:id="13"/>
      </w:r>
      <w:bookmarkEnd w:id="1"/>
      <w:r w:rsidR="005D2C66">
        <w:t xml:space="preserve">  </w:t>
      </w:r>
    </w:p>
    <w:p w:rsidR="00D7613F" w:rsidRPr="00941C00" w:rsidRDefault="00155E31" w:rsidP="00AF1147">
      <w:pPr>
        <w:pStyle w:val="ParaNum"/>
      </w:pPr>
      <w:r w:rsidRPr="00941C00">
        <w:t>On April 8, 2014, Public Knowledge challenge</w:t>
      </w:r>
      <w:r w:rsidR="00C2110C">
        <w:t>d</w:t>
      </w:r>
      <w:r w:rsidRPr="00941C00">
        <w:t xml:space="preserve"> AT&amp;T’s designation of </w:t>
      </w:r>
      <w:r w:rsidR="004538E6">
        <w:t>certain</w:t>
      </w:r>
      <w:r w:rsidR="00BE1F3D" w:rsidRPr="00941C00">
        <w:t xml:space="preserve"> </w:t>
      </w:r>
      <w:r w:rsidRPr="00941C00">
        <w:t xml:space="preserve">information as </w:t>
      </w:r>
      <w:r w:rsidR="00F60948" w:rsidRPr="00941C00">
        <w:t xml:space="preserve">either </w:t>
      </w:r>
      <w:r w:rsidR="00C2110C">
        <w:t>C</w:t>
      </w:r>
      <w:r w:rsidRPr="00941C00">
        <w:t>onfidential</w:t>
      </w:r>
      <w:r w:rsidR="00F707D3" w:rsidRPr="00941C00">
        <w:t xml:space="preserve"> or </w:t>
      </w:r>
      <w:r w:rsidR="00C2110C">
        <w:t>H</w:t>
      </w:r>
      <w:r w:rsidR="00F707D3" w:rsidRPr="00941C00">
        <w:t xml:space="preserve">ighly </w:t>
      </w:r>
      <w:r w:rsidR="00C2110C">
        <w:t>C</w:t>
      </w:r>
      <w:r w:rsidR="00F707D3" w:rsidRPr="00941C00">
        <w:t>onfidential pursuant</w:t>
      </w:r>
      <w:r w:rsidR="00A051CA" w:rsidRPr="00941C00">
        <w:t xml:space="preserve"> to the </w:t>
      </w:r>
      <w:r w:rsidR="00A051CA" w:rsidRPr="00E8528F">
        <w:rPr>
          <w:i/>
        </w:rPr>
        <w:t>Protective Orders</w:t>
      </w:r>
      <w:r w:rsidRPr="00941C00">
        <w:t>.</w:t>
      </w:r>
      <w:r w:rsidR="008544AB" w:rsidRPr="00941C00">
        <w:t xml:space="preserve">  </w:t>
      </w:r>
      <w:r w:rsidR="004538E6">
        <w:t xml:space="preserve">Public Knowledge </w:t>
      </w:r>
      <w:r w:rsidR="00E8528F">
        <w:t>notes that “t</w:t>
      </w:r>
      <w:r w:rsidR="00E8528F" w:rsidRPr="00E8528F">
        <w:t>he Commission wisely established that proposed experiments should first be open for public comment before approving or rejecting carriers’ proposals</w:t>
      </w:r>
      <w:r w:rsidR="00E8528F">
        <w:t xml:space="preserve">,” but asserts that </w:t>
      </w:r>
      <w:r w:rsidR="004538E6">
        <w:t>“</w:t>
      </w:r>
      <w:r w:rsidR="00BE6611">
        <w:t>the entire effort of engaging in a public dialogue to ensure effective, responsible trials is undermined if the carrier proposing the trials can withhold critical basic information about the trials themselves.</w:t>
      </w:r>
      <w:r w:rsidR="00AF1147">
        <w:t>”</w:t>
      </w:r>
      <w:r w:rsidR="0093291C">
        <w:rPr>
          <w:rStyle w:val="FootnoteReference"/>
        </w:rPr>
        <w:footnoteReference w:id="14"/>
      </w:r>
      <w:r w:rsidR="0093291C">
        <w:t xml:space="preserve">  </w:t>
      </w:r>
      <w:r w:rsidR="008544AB" w:rsidRPr="00941C00">
        <w:t>AT&amp;T filed a reply on April 15, 2014.</w:t>
      </w:r>
      <w:r w:rsidR="008544AB" w:rsidRPr="00941C00">
        <w:rPr>
          <w:rStyle w:val="FootnoteReference"/>
          <w:sz w:val="22"/>
        </w:rPr>
        <w:footnoteReference w:id="15"/>
      </w:r>
    </w:p>
    <w:p w:rsidR="00975736" w:rsidRPr="00941C00" w:rsidRDefault="00975736" w:rsidP="00975736">
      <w:pPr>
        <w:pStyle w:val="Heading1"/>
        <w:rPr>
          <w:rFonts w:ascii="Times New Roman" w:hAnsi="Times New Roman"/>
        </w:rPr>
      </w:pPr>
      <w:r w:rsidRPr="00941C00">
        <w:rPr>
          <w:rFonts w:ascii="Times New Roman" w:hAnsi="Times New Roman"/>
        </w:rPr>
        <w:lastRenderedPageBreak/>
        <w:t>discussion</w:t>
      </w:r>
    </w:p>
    <w:p w:rsidR="00975736" w:rsidRPr="00941C00" w:rsidRDefault="00390E62" w:rsidP="00390E62">
      <w:pPr>
        <w:pStyle w:val="Heading2"/>
      </w:pPr>
      <w:r w:rsidRPr="00941C00">
        <w:t>Percentages</w:t>
      </w:r>
      <w:r w:rsidR="00F707D3" w:rsidRPr="00941C00">
        <w:t xml:space="preserve"> of Living Units That Will Receive Wireline and/or Wireless Service</w:t>
      </w:r>
    </w:p>
    <w:p w:rsidR="00390E62" w:rsidRPr="00941C00" w:rsidRDefault="008544AB" w:rsidP="00203B37">
      <w:pPr>
        <w:pStyle w:val="ParaNum"/>
      </w:pPr>
      <w:r w:rsidRPr="00941C00">
        <w:t xml:space="preserve">In its Proposal, AT&amp;T designated as </w:t>
      </w:r>
      <w:r w:rsidR="00C2110C">
        <w:t>C</w:t>
      </w:r>
      <w:r w:rsidRPr="00941C00">
        <w:t>onfidential information regarding the percentage of living units in Carbon Hill that would be receiving wireline and/or wireless broadband service.  However, AT&amp;T disclosed that information to a trade publication, and the information appeared in an article in that publication on February 28, 2014.</w:t>
      </w:r>
      <w:r w:rsidR="00A051CA" w:rsidRPr="00941C00">
        <w:rPr>
          <w:rStyle w:val="FootnoteReference"/>
          <w:sz w:val="22"/>
        </w:rPr>
        <w:footnoteReference w:id="16"/>
      </w:r>
      <w:r w:rsidRPr="00941C00">
        <w:t xml:space="preserve">  As a result, Public Knowledge assert</w:t>
      </w:r>
      <w:r w:rsidR="006343F7" w:rsidRPr="00941C00">
        <w:t>s</w:t>
      </w:r>
      <w:r w:rsidRPr="00941C00">
        <w:t xml:space="preserve"> that AT&amp;T should be required to resubmit its Proposal with this information unredacted.  In its Reply</w:t>
      </w:r>
      <w:r w:rsidR="00FE2042" w:rsidRPr="00941C00">
        <w:t>, AT&amp;T acknowledged that this information was “inadvertently disclosed in a press briefing.”</w:t>
      </w:r>
      <w:r w:rsidR="00FE2042" w:rsidRPr="00941C00">
        <w:rPr>
          <w:rStyle w:val="FootnoteReference"/>
          <w:sz w:val="22"/>
        </w:rPr>
        <w:footnoteReference w:id="17"/>
      </w:r>
      <w:r w:rsidR="00FE2042" w:rsidRPr="00941C00">
        <w:t xml:space="preserve">  It thus indicated that it does not oppose</w:t>
      </w:r>
      <w:r w:rsidRPr="00941C00">
        <w:t xml:space="preserve"> </w:t>
      </w:r>
      <w:r w:rsidR="00FE2042" w:rsidRPr="00941C00">
        <w:t>the Public Knowledge Challenge with respect to this information.</w:t>
      </w:r>
      <w:r w:rsidR="00FE2042" w:rsidRPr="00941C00">
        <w:rPr>
          <w:rStyle w:val="FootnoteReference"/>
          <w:sz w:val="22"/>
        </w:rPr>
        <w:footnoteReference w:id="18"/>
      </w:r>
      <w:r w:rsidR="00FE2042" w:rsidRPr="00941C00">
        <w:t xml:space="preserve">  We therefore grant the Challenge with respect to the information in the AT&amp;T Proposal regarding the number of living units in Carbon Hill that will receive wireline an</w:t>
      </w:r>
      <w:r w:rsidR="00522357" w:rsidRPr="00941C00">
        <w:t xml:space="preserve">d/or wireless broadband service and </w:t>
      </w:r>
      <w:r w:rsidR="00B9468C">
        <w:t>direct</w:t>
      </w:r>
      <w:r w:rsidR="00522357" w:rsidRPr="00941C00">
        <w:t xml:space="preserve"> AT&amp;T </w:t>
      </w:r>
      <w:r w:rsidR="00B9468C">
        <w:t>to</w:t>
      </w:r>
      <w:r w:rsidR="00522357" w:rsidRPr="00941C00">
        <w:t xml:space="preserve"> file </w:t>
      </w:r>
      <w:r w:rsidR="00C2110C" w:rsidRPr="00941C00">
        <w:t xml:space="preserve">within 14 days of the release of this Order </w:t>
      </w:r>
      <w:r w:rsidR="00522357" w:rsidRPr="00941C00">
        <w:t>a revised public version of its Proposal and attachments in which that information is no longer redacted.</w:t>
      </w:r>
    </w:p>
    <w:p w:rsidR="00390E62" w:rsidRPr="00941C00" w:rsidRDefault="00AF1147" w:rsidP="00390E62">
      <w:pPr>
        <w:pStyle w:val="Heading2"/>
      </w:pPr>
      <w:r>
        <w:t xml:space="preserve">Detailed </w:t>
      </w:r>
      <w:r w:rsidR="00390E62" w:rsidRPr="00941C00">
        <w:t>Timeline</w:t>
      </w:r>
    </w:p>
    <w:p w:rsidR="005776DE" w:rsidRDefault="00AF1147" w:rsidP="00203B37">
      <w:pPr>
        <w:pStyle w:val="ParaNum"/>
      </w:pPr>
      <w:r>
        <w:t xml:space="preserve">We deny Public Knowledge’s Challenge as to the detailed timeline for AT&amp;T’s trials.  </w:t>
      </w:r>
      <w:r w:rsidR="005776DE">
        <w:t>We agree with</w:t>
      </w:r>
      <w:r w:rsidR="0047285D">
        <w:t xml:space="preserve"> </w:t>
      </w:r>
      <w:r w:rsidR="005776DE">
        <w:t>Public Knowledge that “the trials themselves must be conducted responsibly and transparently to ensure the real people in the trial wire centers are not harmed or left behind.”</w:t>
      </w:r>
      <w:r w:rsidR="005776DE">
        <w:rPr>
          <w:rStyle w:val="FootnoteReference"/>
        </w:rPr>
        <w:footnoteReference w:id="19"/>
      </w:r>
      <w:r w:rsidR="005776DE">
        <w:t xml:space="preserve">  We also agree that the experiments “should first be open for public comment before approving or rejecting carriers’ proposals.”</w:t>
      </w:r>
      <w:r w:rsidR="005776DE">
        <w:rPr>
          <w:rStyle w:val="FootnoteReference"/>
        </w:rPr>
        <w:footnoteReference w:id="20"/>
      </w:r>
      <w:r w:rsidR="005776DE">
        <w:t xml:space="preserve">  Here, however, AT&amp;T has publicly stated that it is not yet seeking Commission </w:t>
      </w:r>
      <w:r w:rsidR="00B051C1">
        <w:t xml:space="preserve">authorizations </w:t>
      </w:r>
      <w:r w:rsidR="005776DE">
        <w:t xml:space="preserve">and that it will not file the necessary applications to grandfather or discontinue services on a trial basis in Carbon Hill and West Delray Beach until </w:t>
      </w:r>
      <w:r w:rsidR="007D0C50">
        <w:t xml:space="preserve">at least </w:t>
      </w:r>
      <w:r w:rsidR="005776DE">
        <w:t>the second half of 2015.</w:t>
      </w:r>
      <w:r>
        <w:t xml:space="preserve">  T</w:t>
      </w:r>
      <w:r w:rsidR="005776DE">
        <w:t xml:space="preserve">he Commission will </w:t>
      </w:r>
      <w:r>
        <w:t>seek</w:t>
      </w:r>
      <w:r w:rsidR="005776DE">
        <w:t xml:space="preserve"> public comment</w:t>
      </w:r>
      <w:r>
        <w:t xml:space="preserve"> on these applications </w:t>
      </w:r>
      <w:r w:rsidR="00E8528F">
        <w:t xml:space="preserve">and the timelines they propose </w:t>
      </w:r>
      <w:r>
        <w:t>when they are filed</w:t>
      </w:r>
      <w:r w:rsidR="005776DE">
        <w:t>, ensuring that the public has a chance to participate fully in the process.</w:t>
      </w:r>
    </w:p>
    <w:p w:rsidR="00523A15" w:rsidRPr="00523A15" w:rsidRDefault="00865DC4" w:rsidP="00523A15">
      <w:pPr>
        <w:pStyle w:val="ParaNum"/>
      </w:pPr>
      <w:r>
        <w:t>In the interim</w:t>
      </w:r>
      <w:r w:rsidR="00486AAE">
        <w:t xml:space="preserve">, we </w:t>
      </w:r>
      <w:r w:rsidR="007D0C50">
        <w:t>find that AT&amp;T</w:t>
      </w:r>
      <w:r w:rsidR="00486AAE">
        <w:t xml:space="preserve"> has justified highly confidential treatment </w:t>
      </w:r>
      <w:r>
        <w:t xml:space="preserve">of its detailed timeline information </w:t>
      </w:r>
      <w:r w:rsidR="00486AAE">
        <w:t xml:space="preserve">pursuant to the </w:t>
      </w:r>
      <w:r w:rsidR="00486AAE" w:rsidRPr="00523A15">
        <w:rPr>
          <w:i/>
        </w:rPr>
        <w:t>Second Protective Order</w:t>
      </w:r>
      <w:r w:rsidR="00486AAE">
        <w:t xml:space="preserve">.  </w:t>
      </w:r>
      <w:r w:rsidR="00A92717" w:rsidRPr="00941C00">
        <w:rPr>
          <w:color w:val="000000"/>
        </w:rPr>
        <w:t xml:space="preserve">AT&amp;T </w:t>
      </w:r>
      <w:r w:rsidR="00F60851">
        <w:rPr>
          <w:color w:val="000000"/>
        </w:rPr>
        <w:t xml:space="preserve">states </w:t>
      </w:r>
      <w:r w:rsidR="00A92717" w:rsidRPr="00941C00">
        <w:rPr>
          <w:color w:val="000000"/>
        </w:rPr>
        <w:t>that it “does not customarily disclose product migration timeframes, such as the ones at issue here, to the public until its services reach the implementation phase</w:t>
      </w:r>
      <w:r w:rsidR="00A92717">
        <w:rPr>
          <w:color w:val="000000"/>
        </w:rPr>
        <w:t>.”</w:t>
      </w:r>
      <w:r w:rsidR="00A92717" w:rsidRPr="00A92717">
        <w:rPr>
          <w:rStyle w:val="EndnoteReference"/>
        </w:rPr>
        <w:t xml:space="preserve"> </w:t>
      </w:r>
      <w:r w:rsidR="00A92717" w:rsidRPr="00941C00">
        <w:rPr>
          <w:rStyle w:val="FootnoteReference"/>
          <w:sz w:val="22"/>
        </w:rPr>
        <w:footnoteReference w:id="21"/>
      </w:r>
      <w:r w:rsidR="00A92717">
        <w:t xml:space="preserve">  </w:t>
      </w:r>
      <w:r>
        <w:rPr>
          <w:color w:val="000000"/>
        </w:rPr>
        <w:t>AT&amp;T asserts</w:t>
      </w:r>
      <w:r w:rsidR="00486AAE" w:rsidRPr="00523A15">
        <w:rPr>
          <w:color w:val="000000"/>
        </w:rPr>
        <w:t xml:space="preserve"> </w:t>
      </w:r>
      <w:r w:rsidR="00A92717">
        <w:rPr>
          <w:color w:val="000000"/>
        </w:rPr>
        <w:t xml:space="preserve">that the detailed timeline information is commercially sensitive, </w:t>
      </w:r>
      <w:r w:rsidR="00486AAE" w:rsidRPr="00523A15">
        <w:rPr>
          <w:color w:val="000000"/>
        </w:rPr>
        <w:t xml:space="preserve">that premature disclosure of the timeline information could give competitors the information they would need to try to roll out competing IP-based services in those markets before AT&amp;T’s proposed roll-out dates, thereby giving </w:t>
      </w:r>
      <w:r w:rsidR="00C00C44">
        <w:rPr>
          <w:color w:val="000000"/>
        </w:rPr>
        <w:t>competitors</w:t>
      </w:r>
      <w:r w:rsidR="00486AAE" w:rsidRPr="00523A15">
        <w:rPr>
          <w:color w:val="000000"/>
        </w:rPr>
        <w:t xml:space="preserve"> a competitive edge</w:t>
      </w:r>
      <w:r w:rsidR="00C00C44">
        <w:rPr>
          <w:color w:val="000000"/>
        </w:rPr>
        <w:t xml:space="preserve"> and causing AT&amp;T substantial harm</w:t>
      </w:r>
      <w:r w:rsidR="00486AAE" w:rsidRPr="00523A15">
        <w:rPr>
          <w:color w:val="000000"/>
        </w:rPr>
        <w:t>.</w:t>
      </w:r>
      <w:r w:rsidR="00486AAE" w:rsidRPr="00941C00">
        <w:rPr>
          <w:rStyle w:val="FootnoteReference"/>
          <w:sz w:val="22"/>
        </w:rPr>
        <w:footnoteReference w:id="22"/>
      </w:r>
      <w:r w:rsidR="00486AAE" w:rsidRPr="00523A15">
        <w:rPr>
          <w:color w:val="000000"/>
        </w:rPr>
        <w:t xml:space="preserve">  </w:t>
      </w:r>
      <w:r>
        <w:rPr>
          <w:color w:val="000000"/>
        </w:rPr>
        <w:t xml:space="preserve">We </w:t>
      </w:r>
      <w:r w:rsidR="002D3DFC">
        <w:rPr>
          <w:color w:val="000000"/>
        </w:rPr>
        <w:t xml:space="preserve">note that </w:t>
      </w:r>
      <w:r>
        <w:rPr>
          <w:color w:val="000000"/>
        </w:rPr>
        <w:t xml:space="preserve">the filing of </w:t>
      </w:r>
      <w:r w:rsidR="007D0C50">
        <w:rPr>
          <w:color w:val="000000"/>
        </w:rPr>
        <w:t xml:space="preserve">AT&amp;T’s section 214(a) applications </w:t>
      </w:r>
      <w:r>
        <w:rPr>
          <w:color w:val="000000"/>
        </w:rPr>
        <w:t>—</w:t>
      </w:r>
      <w:r w:rsidR="00EE4025">
        <w:rPr>
          <w:color w:val="000000"/>
        </w:rPr>
        <w:t xml:space="preserve"> </w:t>
      </w:r>
      <w:r>
        <w:rPr>
          <w:color w:val="000000"/>
        </w:rPr>
        <w:t>much less any action on them or implementation by AT&amp;T</w:t>
      </w:r>
      <w:r w:rsidR="00EE4025">
        <w:rPr>
          <w:color w:val="000000"/>
        </w:rPr>
        <w:t xml:space="preserve"> </w:t>
      </w:r>
      <w:r>
        <w:rPr>
          <w:color w:val="000000"/>
        </w:rPr>
        <w:t>—</w:t>
      </w:r>
      <w:r w:rsidR="00EE4025">
        <w:rPr>
          <w:color w:val="000000"/>
        </w:rPr>
        <w:t xml:space="preserve"> </w:t>
      </w:r>
      <w:r>
        <w:rPr>
          <w:color w:val="000000"/>
        </w:rPr>
        <w:t>is over six months away, at a minimum.</w:t>
      </w:r>
      <w:r>
        <w:t xml:space="preserve"> </w:t>
      </w:r>
      <w:r>
        <w:rPr>
          <w:color w:val="000000"/>
        </w:rPr>
        <w:t xml:space="preserve"> </w:t>
      </w:r>
      <w:r w:rsidR="00F60851">
        <w:rPr>
          <w:color w:val="000000"/>
        </w:rPr>
        <w:t xml:space="preserve">We therefore agree with AT&amp;T that </w:t>
      </w:r>
      <w:r w:rsidR="00060FEC">
        <w:rPr>
          <w:color w:val="000000"/>
        </w:rPr>
        <w:t xml:space="preserve">under the circumstances presented here, its detailed timeline </w:t>
      </w:r>
      <w:r w:rsidR="00F60851">
        <w:rPr>
          <w:color w:val="000000"/>
        </w:rPr>
        <w:t xml:space="preserve">is commercially sensitive and that disclosing it </w:t>
      </w:r>
      <w:r w:rsidR="00060FEC">
        <w:rPr>
          <w:color w:val="000000"/>
        </w:rPr>
        <w:t xml:space="preserve">now </w:t>
      </w:r>
      <w:r w:rsidR="00F60851">
        <w:rPr>
          <w:color w:val="000000"/>
        </w:rPr>
        <w:t>would cause AT&amp;T competitive harm</w:t>
      </w:r>
      <w:r w:rsidR="00060FEC">
        <w:rPr>
          <w:color w:val="000000"/>
        </w:rPr>
        <w:t>;</w:t>
      </w:r>
      <w:r w:rsidR="00F60851">
        <w:rPr>
          <w:rStyle w:val="FootnoteReference"/>
        </w:rPr>
        <w:footnoteReference w:id="23"/>
      </w:r>
      <w:r w:rsidR="00060FEC">
        <w:rPr>
          <w:color w:val="000000"/>
        </w:rPr>
        <w:t xml:space="preserve"> a</w:t>
      </w:r>
      <w:r w:rsidR="00F60851">
        <w:rPr>
          <w:color w:val="000000"/>
        </w:rPr>
        <w:t>ccordingly</w:t>
      </w:r>
      <w:r w:rsidR="00060FEC">
        <w:rPr>
          <w:color w:val="000000"/>
        </w:rPr>
        <w:t xml:space="preserve">, we </w:t>
      </w:r>
      <w:r w:rsidR="00F60851">
        <w:rPr>
          <w:color w:val="000000"/>
        </w:rPr>
        <w:t xml:space="preserve">conclude that it </w:t>
      </w:r>
      <w:r w:rsidR="00060FEC">
        <w:rPr>
          <w:color w:val="000000"/>
        </w:rPr>
        <w:t>should not be released to the public at this time</w:t>
      </w:r>
      <w:r w:rsidR="00F60851">
        <w:rPr>
          <w:color w:val="000000"/>
        </w:rPr>
        <w:t xml:space="preserve">.  </w:t>
      </w:r>
      <w:r w:rsidR="00060FEC">
        <w:rPr>
          <w:color w:val="000000"/>
        </w:rPr>
        <w:t>Also, w</w:t>
      </w:r>
      <w:r w:rsidR="00523A15" w:rsidRPr="00523A15">
        <w:rPr>
          <w:color w:val="000000"/>
        </w:rPr>
        <w:t xml:space="preserve">ere </w:t>
      </w:r>
      <w:r w:rsidR="007D0C50">
        <w:rPr>
          <w:color w:val="000000"/>
        </w:rPr>
        <w:t>we to require AT&amp;T to disclose detailed timeline</w:t>
      </w:r>
      <w:r w:rsidR="00523A15" w:rsidRPr="00523A15">
        <w:rPr>
          <w:color w:val="000000"/>
        </w:rPr>
        <w:t xml:space="preserve"> information at this </w:t>
      </w:r>
      <w:r w:rsidR="00C00C44">
        <w:rPr>
          <w:color w:val="000000"/>
        </w:rPr>
        <w:t xml:space="preserve">early </w:t>
      </w:r>
      <w:r w:rsidR="00523A15" w:rsidRPr="00523A15">
        <w:rPr>
          <w:color w:val="000000"/>
        </w:rPr>
        <w:t>stage, we fear that we would harm the Commission’s ability to obtain</w:t>
      </w:r>
      <w:r w:rsidR="007D0C50">
        <w:rPr>
          <w:color w:val="000000"/>
        </w:rPr>
        <w:t xml:space="preserve"> similar voluntary early disclosures</w:t>
      </w:r>
      <w:r w:rsidR="00523A15" w:rsidRPr="00523A15">
        <w:rPr>
          <w:color w:val="000000"/>
        </w:rPr>
        <w:t xml:space="preserve"> in the future </w:t>
      </w:r>
      <w:r w:rsidR="007D0C50">
        <w:rPr>
          <w:color w:val="000000"/>
        </w:rPr>
        <w:t xml:space="preserve">and </w:t>
      </w:r>
      <w:r w:rsidR="00C00C44">
        <w:rPr>
          <w:color w:val="000000"/>
        </w:rPr>
        <w:t>discourage pa</w:t>
      </w:r>
      <w:r w:rsidR="007D0C50">
        <w:rPr>
          <w:color w:val="000000"/>
        </w:rPr>
        <w:t>rticipation in trials</w:t>
      </w:r>
      <w:r w:rsidR="00523A15" w:rsidRPr="00523A15">
        <w:rPr>
          <w:color w:val="000000"/>
        </w:rPr>
        <w:t xml:space="preserve">.  </w:t>
      </w:r>
    </w:p>
    <w:p w:rsidR="006744C0" w:rsidRPr="00941C00" w:rsidRDefault="002F0694" w:rsidP="00050202">
      <w:pPr>
        <w:pStyle w:val="ParaNum"/>
      </w:pPr>
      <w:r>
        <w:t xml:space="preserve">But we also </w:t>
      </w:r>
      <w:r w:rsidR="00DB1A2D">
        <w:t>agree with Public Knowledge that the</w:t>
      </w:r>
      <w:r w:rsidR="00C00C44">
        <w:t xml:space="preserve"> </w:t>
      </w:r>
      <w:r w:rsidR="00AA5DD5">
        <w:t>public must have an opportunity for informed participation</w:t>
      </w:r>
      <w:r w:rsidR="0038658E">
        <w:t xml:space="preserve">. </w:t>
      </w:r>
      <w:bookmarkStart w:id="2" w:name="co_tablefootnote_79_1"/>
      <w:bookmarkEnd w:id="2"/>
      <w:r w:rsidR="00523A15">
        <w:t xml:space="preserve"> </w:t>
      </w:r>
      <w:r w:rsidR="00E5226E" w:rsidRPr="00523A15">
        <w:rPr>
          <w:color w:val="000000"/>
        </w:rPr>
        <w:t xml:space="preserve">Importantly, there will be a public process to evaluate AT&amp;T’s proposed </w:t>
      </w:r>
      <w:r w:rsidR="00C1678D">
        <w:rPr>
          <w:color w:val="000000"/>
        </w:rPr>
        <w:t xml:space="preserve">grandfathering and </w:t>
      </w:r>
      <w:r w:rsidR="00E5226E" w:rsidRPr="00523A15">
        <w:rPr>
          <w:color w:val="000000"/>
        </w:rPr>
        <w:t>discontinuance when it files its applications pursuant to section 214(a),</w:t>
      </w:r>
      <w:r w:rsidR="00C164A5" w:rsidRPr="00941C00">
        <w:rPr>
          <w:rStyle w:val="FootnoteReference"/>
          <w:sz w:val="22"/>
        </w:rPr>
        <w:footnoteReference w:id="24"/>
      </w:r>
      <w:r w:rsidR="00E5226E" w:rsidRPr="00523A15">
        <w:rPr>
          <w:color w:val="000000"/>
        </w:rPr>
        <w:t xml:space="preserve"> </w:t>
      </w:r>
      <w:r w:rsidR="00E8528F">
        <w:rPr>
          <w:color w:val="000000"/>
        </w:rPr>
        <w:t xml:space="preserve">as is the case with </w:t>
      </w:r>
      <w:r w:rsidR="00C1678D">
        <w:rPr>
          <w:color w:val="000000"/>
        </w:rPr>
        <w:t>such</w:t>
      </w:r>
      <w:r w:rsidR="00E8528F">
        <w:rPr>
          <w:color w:val="000000"/>
        </w:rPr>
        <w:t xml:space="preserve"> requests generally</w:t>
      </w:r>
      <w:r w:rsidR="00E5226E" w:rsidRPr="00523A15">
        <w:rPr>
          <w:color w:val="000000"/>
        </w:rPr>
        <w:t>.</w:t>
      </w:r>
      <w:r w:rsidR="003B1D28" w:rsidRPr="00941C00">
        <w:rPr>
          <w:rStyle w:val="FootnoteReference"/>
          <w:sz w:val="22"/>
        </w:rPr>
        <w:footnoteReference w:id="25"/>
      </w:r>
      <w:r w:rsidR="00050202" w:rsidRPr="00523A15">
        <w:rPr>
          <w:color w:val="000000"/>
        </w:rPr>
        <w:t xml:space="preserve">  </w:t>
      </w:r>
      <w:r w:rsidR="00523A15" w:rsidRPr="00523A15">
        <w:rPr>
          <w:color w:val="000000"/>
        </w:rPr>
        <w:t>We</w:t>
      </w:r>
      <w:r w:rsidR="006744C0" w:rsidRPr="00523A15">
        <w:rPr>
          <w:color w:val="000000"/>
        </w:rPr>
        <w:t xml:space="preserve"> emphasize that robust public comment on the grandfather and discontinuance applications will be essential.  Accordingly, we would be disinclined to allow information in those applications, when filed, to be subject to confidential treatment—absent extraordinary and unanticipated circumstances.</w:t>
      </w:r>
    </w:p>
    <w:p w:rsidR="00975736" w:rsidRPr="00941C00" w:rsidRDefault="00975736" w:rsidP="00975736">
      <w:pPr>
        <w:pStyle w:val="Heading1"/>
        <w:rPr>
          <w:rFonts w:ascii="Times New Roman" w:hAnsi="Times New Roman"/>
        </w:rPr>
      </w:pPr>
      <w:r w:rsidRPr="00941C00">
        <w:rPr>
          <w:rFonts w:ascii="Times New Roman" w:hAnsi="Times New Roman"/>
        </w:rPr>
        <w:t>ORDERING CLAUSES</w:t>
      </w:r>
    </w:p>
    <w:p w:rsidR="00975736" w:rsidRPr="00941C00" w:rsidRDefault="00975736" w:rsidP="00203B37">
      <w:pPr>
        <w:pStyle w:val="ParaNum"/>
      </w:pPr>
      <w:r w:rsidRPr="00941C00">
        <w:t>Accordingly, IT IS ORDERED</w:t>
      </w:r>
      <w:r w:rsidR="00414B72" w:rsidRPr="00941C00">
        <w:t xml:space="preserve"> pursuant to sections 4(i) and 4(j) of the Communications Act, as amended, 47 U.S.C. § 154(i) </w:t>
      </w:r>
      <w:r w:rsidR="00414B72" w:rsidRPr="00F5061C">
        <w:t xml:space="preserve">&amp; (j), </w:t>
      </w:r>
      <w:hyperlink r:id="rId8" w:history="1">
        <w:r w:rsidR="00F5061C" w:rsidRPr="00F5061C">
          <w:t>Section 4</w:t>
        </w:r>
      </w:hyperlink>
      <w:r w:rsidR="00F5061C" w:rsidRPr="00F5061C">
        <w:t xml:space="preserve"> </w:t>
      </w:r>
      <w:r w:rsidR="00F5061C" w:rsidRPr="00F5061C">
        <w:rPr>
          <w:color w:val="000000"/>
        </w:rPr>
        <w:t>of the Freedom of</w:t>
      </w:r>
      <w:r w:rsidR="00F5061C">
        <w:rPr>
          <w:color w:val="000000"/>
        </w:rPr>
        <w:t xml:space="preserve"> Information</w:t>
      </w:r>
      <w:r w:rsidR="00F5061C" w:rsidRPr="00DE15CA">
        <w:t xml:space="preserve"> Act, </w:t>
      </w:r>
      <w:hyperlink r:id="rId9" w:anchor="co_pp_6ad60000aeea7" w:history="1">
        <w:r w:rsidR="00F5061C" w:rsidRPr="00DE15CA">
          <w:t>5 U.S.C. § 552(b)(4)</w:t>
        </w:r>
      </w:hyperlink>
      <w:r w:rsidR="00F5061C" w:rsidRPr="00DE15CA">
        <w:t xml:space="preserve">, </w:t>
      </w:r>
      <w:r w:rsidR="00414B72" w:rsidRPr="00DE15CA">
        <w:t>and sections 0.91</w:t>
      </w:r>
      <w:r w:rsidR="00203B37" w:rsidRPr="00DE15CA">
        <w:t>,</w:t>
      </w:r>
      <w:r w:rsidR="00414B72" w:rsidRPr="00DE15CA">
        <w:t xml:space="preserve"> 0.291</w:t>
      </w:r>
      <w:r w:rsidR="00203B37" w:rsidRPr="00DE15CA">
        <w:t>, and 0.459</w:t>
      </w:r>
      <w:r w:rsidR="00414B72" w:rsidRPr="00DE15CA">
        <w:t xml:space="preserve"> of the Commission’s rules, 47 C.F.R</w:t>
      </w:r>
      <w:r w:rsidR="00414B72" w:rsidRPr="00941C00">
        <w:t xml:space="preserve">. §§ 0.91, 0.291, </w:t>
      </w:r>
      <w:r w:rsidR="00203B37" w:rsidRPr="00941C00">
        <w:t xml:space="preserve">0.459, </w:t>
      </w:r>
      <w:r w:rsidRPr="00941C00">
        <w:t>that</w:t>
      </w:r>
      <w:r w:rsidR="004E583E" w:rsidRPr="00941C00">
        <w:t xml:space="preserve"> the Public Knowledge Challenge is GRANTED IN PART and DENIED IN PART.</w:t>
      </w:r>
    </w:p>
    <w:p w:rsidR="004E583E" w:rsidRDefault="004E583E" w:rsidP="00141753">
      <w:pPr>
        <w:pStyle w:val="ParaNum"/>
        <w:spacing w:after="0"/>
      </w:pPr>
      <w:r w:rsidRPr="00941C00">
        <w:t xml:space="preserve">IT IS FURTHER ORDERED that </w:t>
      </w:r>
      <w:r w:rsidR="00B42F0D" w:rsidRPr="00941C00">
        <w:t xml:space="preserve">within </w:t>
      </w:r>
      <w:r w:rsidR="00F1534D" w:rsidRPr="00941C00">
        <w:t>14</w:t>
      </w:r>
      <w:r w:rsidR="00B42F0D" w:rsidRPr="00941C00">
        <w:t xml:space="preserve"> days of release of this Order, </w:t>
      </w:r>
      <w:r w:rsidRPr="00941C00">
        <w:t>AT&amp;T must resubmit its Proposal and attachments thereto with the information regarding the number of living units in Carbon Hill that will receive wireline and/or wireless broadband service unredacted.</w:t>
      </w:r>
    </w:p>
    <w:p w:rsidR="00DE79FB" w:rsidRPr="00941C00" w:rsidRDefault="00DE79FB" w:rsidP="00141753">
      <w:pPr>
        <w:pStyle w:val="ParaNum"/>
        <w:numPr>
          <w:ilvl w:val="0"/>
          <w:numId w:val="0"/>
        </w:numPr>
        <w:spacing w:after="0"/>
        <w:ind w:left="720"/>
      </w:pPr>
    </w:p>
    <w:p w:rsidR="00975736" w:rsidRPr="00941C00" w:rsidRDefault="00975736" w:rsidP="00975736">
      <w:pPr>
        <w:pStyle w:val="ParaNum"/>
        <w:numPr>
          <w:ilvl w:val="0"/>
          <w:numId w:val="0"/>
        </w:numPr>
        <w:spacing w:after="0"/>
        <w:ind w:left="4752"/>
      </w:pPr>
      <w:r w:rsidRPr="00941C00">
        <w:t>FEDERAL COMMUNICATIONS COMMISSION</w:t>
      </w:r>
    </w:p>
    <w:p w:rsidR="00975736" w:rsidRPr="00941C00" w:rsidRDefault="00975736" w:rsidP="00975736">
      <w:pPr>
        <w:pStyle w:val="ParaNum"/>
        <w:numPr>
          <w:ilvl w:val="0"/>
          <w:numId w:val="0"/>
        </w:numPr>
        <w:spacing w:after="0"/>
        <w:ind w:left="4752"/>
      </w:pPr>
    </w:p>
    <w:p w:rsidR="00975736" w:rsidRPr="00941C00" w:rsidRDefault="00975736" w:rsidP="00975736">
      <w:pPr>
        <w:pStyle w:val="ParaNum"/>
        <w:numPr>
          <w:ilvl w:val="0"/>
          <w:numId w:val="0"/>
        </w:numPr>
        <w:spacing w:after="0"/>
        <w:ind w:left="4752"/>
      </w:pPr>
    </w:p>
    <w:p w:rsidR="00975736" w:rsidRPr="00941C00" w:rsidRDefault="00975736" w:rsidP="00975736">
      <w:pPr>
        <w:pStyle w:val="ParaNum"/>
        <w:numPr>
          <w:ilvl w:val="0"/>
          <w:numId w:val="0"/>
        </w:numPr>
        <w:spacing w:after="0"/>
        <w:ind w:left="4752"/>
      </w:pPr>
    </w:p>
    <w:p w:rsidR="00343649" w:rsidRPr="00941C00" w:rsidRDefault="00343649" w:rsidP="00975736">
      <w:pPr>
        <w:pStyle w:val="ParaNum"/>
        <w:numPr>
          <w:ilvl w:val="0"/>
          <w:numId w:val="0"/>
        </w:numPr>
        <w:spacing w:after="0"/>
        <w:ind w:left="4752"/>
      </w:pPr>
    </w:p>
    <w:p w:rsidR="00975736" w:rsidRPr="00941C00" w:rsidRDefault="00975736" w:rsidP="00975736">
      <w:pPr>
        <w:pStyle w:val="ParaNum"/>
        <w:numPr>
          <w:ilvl w:val="0"/>
          <w:numId w:val="0"/>
        </w:numPr>
        <w:spacing w:after="0"/>
        <w:ind w:left="4752"/>
      </w:pPr>
      <w:r w:rsidRPr="00941C00">
        <w:t>Julie A. Veach</w:t>
      </w:r>
    </w:p>
    <w:p w:rsidR="00975736" w:rsidRPr="00941C00" w:rsidRDefault="00975736" w:rsidP="00975736">
      <w:pPr>
        <w:pStyle w:val="ParaNum"/>
        <w:numPr>
          <w:ilvl w:val="0"/>
          <w:numId w:val="0"/>
        </w:numPr>
        <w:spacing w:after="0"/>
        <w:ind w:left="4752"/>
      </w:pPr>
      <w:r w:rsidRPr="00941C00">
        <w:t>Chief, Wireline Competition Bureau</w:t>
      </w:r>
    </w:p>
    <w:sectPr w:rsidR="00975736" w:rsidRPr="00941C00"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DA" w:rsidRDefault="006656DA">
      <w:pPr>
        <w:spacing w:line="20" w:lineRule="exact"/>
      </w:pPr>
    </w:p>
  </w:endnote>
  <w:endnote w:type="continuationSeparator" w:id="0">
    <w:p w:rsidR="006656DA" w:rsidRDefault="006656DA">
      <w:r>
        <w:t xml:space="preserve"> </w:t>
      </w:r>
    </w:p>
  </w:endnote>
  <w:endnote w:type="continuationNotice" w:id="1">
    <w:p w:rsidR="006656DA" w:rsidRDefault="006656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D485A">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DA" w:rsidRDefault="006656DA">
      <w:r>
        <w:separator/>
      </w:r>
    </w:p>
  </w:footnote>
  <w:footnote w:type="continuationSeparator" w:id="0">
    <w:p w:rsidR="006656DA" w:rsidRDefault="006656DA" w:rsidP="00C721AC">
      <w:pPr>
        <w:spacing w:before="120"/>
        <w:rPr>
          <w:sz w:val="20"/>
        </w:rPr>
      </w:pPr>
      <w:r>
        <w:rPr>
          <w:sz w:val="20"/>
        </w:rPr>
        <w:t xml:space="preserve">(Continued from previous page)  </w:t>
      </w:r>
      <w:r>
        <w:rPr>
          <w:sz w:val="20"/>
        </w:rPr>
        <w:separator/>
      </w:r>
    </w:p>
  </w:footnote>
  <w:footnote w:type="continuationNotice" w:id="1">
    <w:p w:rsidR="006656DA" w:rsidRDefault="006656DA" w:rsidP="00C721AC">
      <w:pPr>
        <w:jc w:val="right"/>
        <w:rPr>
          <w:sz w:val="20"/>
        </w:rPr>
      </w:pPr>
      <w:r>
        <w:rPr>
          <w:sz w:val="20"/>
        </w:rPr>
        <w:t>(continued….)</w:t>
      </w:r>
    </w:p>
  </w:footnote>
  <w:footnote w:id="2">
    <w:p w:rsidR="00C46EFC" w:rsidRDefault="00C46EFC" w:rsidP="00C46EFC">
      <w:pPr>
        <w:pStyle w:val="FootnoteText"/>
      </w:pPr>
      <w:r>
        <w:rPr>
          <w:rStyle w:val="FootnoteReference"/>
        </w:rPr>
        <w:footnoteRef/>
      </w:r>
      <w:r>
        <w:t xml:space="preserve"> Challenge to Confidentiality Designation of Public Knowledge and the National Consumer Law Center, on Behalf of Its Low-Income Clients</w:t>
      </w:r>
      <w:r w:rsidR="006343F7">
        <w:t>, GN Docket Nos. 13-5 and 12-353</w:t>
      </w:r>
      <w:r>
        <w:t xml:space="preserve"> (filed Apr. 8, 2014)</w:t>
      </w:r>
      <w:r w:rsidR="00B62E98">
        <w:t xml:space="preserve"> (Challenge)</w:t>
      </w:r>
      <w:r>
        <w:t>.</w:t>
      </w:r>
    </w:p>
  </w:footnote>
  <w:footnote w:id="3">
    <w:p w:rsidR="00C46EFC" w:rsidRDefault="00C46EFC">
      <w:pPr>
        <w:pStyle w:val="FootnoteText"/>
      </w:pPr>
      <w:r>
        <w:rPr>
          <w:rStyle w:val="FootnoteReference"/>
        </w:rPr>
        <w:footnoteRef/>
      </w:r>
      <w:r>
        <w:t xml:space="preserve"> </w:t>
      </w:r>
      <w:r w:rsidR="00B62E98" w:rsidRPr="000E1336">
        <w:t>AT&amp;T Proposal for Wire Center Trials, GN Docket Nos. 13-5 and 12-353 (filed Feb. 27, 2014) (Proposal).</w:t>
      </w:r>
    </w:p>
  </w:footnote>
  <w:footnote w:id="4">
    <w:p w:rsidR="00C46EFC" w:rsidRDefault="00C46EFC">
      <w:pPr>
        <w:pStyle w:val="FootnoteText"/>
      </w:pPr>
      <w:r>
        <w:rPr>
          <w:rStyle w:val="FootnoteReference"/>
        </w:rPr>
        <w:footnoteRef/>
      </w:r>
      <w:r>
        <w:t xml:space="preserve"> </w:t>
      </w:r>
      <w:r w:rsidRPr="009949DC">
        <w:rPr>
          <w:i/>
          <w:iCs/>
        </w:rPr>
        <w:t xml:space="preserve">Technology Transitions, </w:t>
      </w:r>
      <w:r w:rsidRPr="00FF1828">
        <w:rPr>
          <w:i/>
          <w:iCs/>
        </w:rPr>
        <w:t>et al.</w:t>
      </w:r>
      <w:r w:rsidRPr="009949DC">
        <w:t>, GN Docket No. 13-5 et al., Order, Report and Order and Further Notice of Propo</w:t>
      </w:r>
      <w:r>
        <w:t>s</w:t>
      </w:r>
      <w:r w:rsidRPr="009949DC">
        <w:t>ed Rulemaking, Report and Order, Order and Further Notice of Proposed Rulemaking, Proposal for Ongoing Data Initiative, 29 FCC Rcd 1433, 14</w:t>
      </w:r>
      <w:r>
        <w:t>35</w:t>
      </w:r>
      <w:r w:rsidRPr="009949DC">
        <w:t>, paras. 1</w:t>
      </w:r>
      <w:r>
        <w:t xml:space="preserve"> </w:t>
      </w:r>
      <w:r w:rsidRPr="009949DC">
        <w:t>(2014) (</w:t>
      </w:r>
      <w:r w:rsidRPr="009949DC">
        <w:rPr>
          <w:i/>
          <w:iCs/>
        </w:rPr>
        <w:t>Technology Transitions Order</w:t>
      </w:r>
      <w:r w:rsidRPr="009949DC">
        <w:t>)</w:t>
      </w:r>
      <w:r>
        <w:t>.</w:t>
      </w:r>
    </w:p>
  </w:footnote>
  <w:footnote w:id="5">
    <w:p w:rsidR="003932AF" w:rsidRPr="009B569F" w:rsidRDefault="003932AF" w:rsidP="003932AF">
      <w:pPr>
        <w:pStyle w:val="FootnoteText"/>
      </w:pPr>
      <w:r w:rsidRPr="009B569F">
        <w:rPr>
          <w:rStyle w:val="FootnoteReference"/>
        </w:rPr>
        <w:footnoteRef/>
      </w:r>
      <w:r w:rsidRPr="009B569F">
        <w:t xml:space="preserve"> </w:t>
      </w:r>
      <w:r w:rsidR="00DB1F9C">
        <w:rPr>
          <w:i/>
        </w:rPr>
        <w:t>Id.</w:t>
      </w:r>
      <w:r w:rsidRPr="000E1336">
        <w:t xml:space="preserve"> at </w:t>
      </w:r>
      <w:r w:rsidR="00DB1F9C">
        <w:t xml:space="preserve">1441, </w:t>
      </w:r>
      <w:r>
        <w:t>para.</w:t>
      </w:r>
      <w:r w:rsidRPr="000E1336">
        <w:t xml:space="preserve"> 22.</w:t>
      </w:r>
    </w:p>
  </w:footnote>
  <w:footnote w:id="6">
    <w:p w:rsidR="003932AF" w:rsidRPr="009B569F" w:rsidRDefault="003932AF" w:rsidP="003932AF">
      <w:pPr>
        <w:pStyle w:val="FootnoteText"/>
      </w:pPr>
      <w:r w:rsidRPr="000E1336">
        <w:rPr>
          <w:rStyle w:val="FootnoteReference"/>
        </w:rPr>
        <w:footnoteRef/>
      </w:r>
      <w:r w:rsidRPr="000E1336">
        <w:t xml:space="preserve"> </w:t>
      </w:r>
      <w:r w:rsidR="00DB1F9C">
        <w:rPr>
          <w:i/>
        </w:rPr>
        <w:t>Id.</w:t>
      </w:r>
      <w:r w:rsidRPr="000E1336">
        <w:t xml:space="preserve"> at </w:t>
      </w:r>
      <w:r w:rsidR="00DB1F9C">
        <w:t xml:space="preserve">1441, </w:t>
      </w:r>
      <w:r>
        <w:t>para.</w:t>
      </w:r>
      <w:r w:rsidRPr="000E1336">
        <w:t xml:space="preserve"> 23.</w:t>
      </w:r>
    </w:p>
  </w:footnote>
  <w:footnote w:id="7">
    <w:p w:rsidR="00BB2F09" w:rsidRDefault="00BB2F09" w:rsidP="00BB2F09">
      <w:pPr>
        <w:pStyle w:val="FootnoteText"/>
      </w:pPr>
      <w:r>
        <w:rPr>
          <w:rStyle w:val="FootnoteReference"/>
        </w:rPr>
        <w:footnoteRef/>
      </w:r>
      <w:r>
        <w:t xml:space="preserve"> </w:t>
      </w:r>
      <w:r w:rsidR="00141753">
        <w:rPr>
          <w:i/>
        </w:rPr>
        <w:t>Technology Transitions</w:t>
      </w:r>
      <w:r w:rsidRPr="00EC5A59">
        <w:rPr>
          <w:i/>
        </w:rPr>
        <w:t xml:space="preserve"> et al.</w:t>
      </w:r>
      <w:r>
        <w:t xml:space="preserve">, GN Docket No. 13-5 et al., Protective Order, </w:t>
      </w:r>
      <w:r w:rsidR="00DE79FB">
        <w:t>29 FCC Rcd  2014</w:t>
      </w:r>
      <w:r>
        <w:t xml:space="preserve"> (Wireline Comp. Bur. 2014) (</w:t>
      </w:r>
      <w:r w:rsidRPr="00EC5A59">
        <w:rPr>
          <w:i/>
        </w:rPr>
        <w:t>Protective Order</w:t>
      </w:r>
      <w:r>
        <w:t xml:space="preserve">); </w:t>
      </w:r>
      <w:r w:rsidRPr="00EC5A59">
        <w:rPr>
          <w:i/>
        </w:rPr>
        <w:t>Technology Transitions et al.</w:t>
      </w:r>
      <w:r>
        <w:t xml:space="preserve">, GN Docket No. 13-5 et al., Second Protective Order, </w:t>
      </w:r>
      <w:r w:rsidR="00DE79FB">
        <w:t>29 FCC Rcd 2022</w:t>
      </w:r>
      <w:r>
        <w:t xml:space="preserve"> (Wireline Comp. Bur. 2014) (</w:t>
      </w:r>
      <w:r w:rsidRPr="00EC5A59">
        <w:rPr>
          <w:i/>
        </w:rPr>
        <w:t>Second</w:t>
      </w:r>
      <w:r>
        <w:t xml:space="preserve"> </w:t>
      </w:r>
      <w:r w:rsidRPr="00EC5A59">
        <w:rPr>
          <w:i/>
        </w:rPr>
        <w:t>Protective Order</w:t>
      </w:r>
      <w:r>
        <w:t xml:space="preserve">) (collectively, the </w:t>
      </w:r>
      <w:r w:rsidRPr="007D720B">
        <w:rPr>
          <w:i/>
        </w:rPr>
        <w:t>Protective Orders</w:t>
      </w:r>
      <w:r>
        <w:t>).</w:t>
      </w:r>
    </w:p>
  </w:footnote>
  <w:footnote w:id="8">
    <w:p w:rsidR="00D11274" w:rsidRDefault="00D11274">
      <w:pPr>
        <w:pStyle w:val="FootnoteText"/>
      </w:pPr>
      <w:r>
        <w:rPr>
          <w:rStyle w:val="FootnoteReference"/>
        </w:rPr>
        <w:footnoteRef/>
      </w:r>
      <w:r>
        <w:t xml:space="preserve"> </w:t>
      </w:r>
      <w:r w:rsidRPr="00D11274">
        <w:t>The term “</w:t>
      </w:r>
      <w:r w:rsidR="00C2110C">
        <w:t>C</w:t>
      </w:r>
      <w:r w:rsidRPr="00D11274">
        <w:t xml:space="preserve">onfidential </w:t>
      </w:r>
      <w:r w:rsidR="00C2110C">
        <w:t>I</w:t>
      </w:r>
      <w:r w:rsidRPr="00D11274">
        <w:t>nformation” is</w:t>
      </w:r>
      <w:r>
        <w:t xml:space="preserve"> defined </w:t>
      </w:r>
      <w:r w:rsidRPr="00D11274">
        <w:t>as “information that is not otherwise available from publicly available sources and that is subject to protection under the Freedom of Information Act (‘FOIA’), 5 U.S.C. § 552, and the Commission’s implementing rules.”</w:t>
      </w:r>
      <w:r w:rsidRPr="00D11274">
        <w:rPr>
          <w:i/>
        </w:rPr>
        <w:t xml:space="preserve"> </w:t>
      </w:r>
      <w:r w:rsidR="00A75D36">
        <w:rPr>
          <w:i/>
        </w:rPr>
        <w:t xml:space="preserve"> </w:t>
      </w:r>
      <w:r w:rsidRPr="00A21C3E">
        <w:rPr>
          <w:i/>
        </w:rPr>
        <w:t>Protective Order</w:t>
      </w:r>
      <w:r>
        <w:t>, 29 FCC Rcd at 2015, para. 2.  To qualify as “</w:t>
      </w:r>
      <w:r w:rsidR="00C2110C">
        <w:t>H</w:t>
      </w:r>
      <w:r>
        <w:t xml:space="preserve">ighly </w:t>
      </w:r>
      <w:r w:rsidR="00C2110C">
        <w:t>C</w:t>
      </w:r>
      <w:r>
        <w:t xml:space="preserve">onfidential </w:t>
      </w:r>
      <w:r w:rsidR="00C2110C">
        <w:t>I</w:t>
      </w:r>
      <w:r>
        <w:t xml:space="preserve">nformation,” the information in question must, among other things, be “some of [the submitting party’s] </w:t>
      </w:r>
      <w:r w:rsidRPr="00D11274">
        <w:t xml:space="preserve">most sensitive business data which, if released to competitors or those with whom the </w:t>
      </w:r>
      <w:r>
        <w:t>[party]</w:t>
      </w:r>
      <w:r w:rsidRPr="00D11274">
        <w:t xml:space="preserve"> does business, would allow those persons to gain a significant advantage in the marketplace or in negotiations</w:t>
      </w:r>
      <w:r>
        <w:t xml:space="preserve">.”  </w:t>
      </w:r>
      <w:r w:rsidRPr="00A21C3E">
        <w:rPr>
          <w:i/>
        </w:rPr>
        <w:t>Second Protective Order</w:t>
      </w:r>
      <w:r>
        <w:t>, 29 FCC Rcd at 2023, para. 2.</w:t>
      </w:r>
    </w:p>
  </w:footnote>
  <w:footnote w:id="9">
    <w:p w:rsidR="00564663" w:rsidRDefault="00564663" w:rsidP="00564663">
      <w:pPr>
        <w:pStyle w:val="FootnoteText"/>
      </w:pPr>
      <w:r>
        <w:rPr>
          <w:rStyle w:val="FootnoteReference"/>
        </w:rPr>
        <w:footnoteRef/>
      </w:r>
      <w:r w:rsidRPr="00D570A3">
        <w:rPr>
          <w:i/>
        </w:rPr>
        <w:t xml:space="preserve"> Protective Order</w:t>
      </w:r>
      <w:r w:rsidR="00DE79FB">
        <w:t>, 29 FCC Rcd</w:t>
      </w:r>
      <w:r>
        <w:t xml:space="preserve"> at </w:t>
      </w:r>
      <w:r w:rsidR="00DE79FB">
        <w:t>2015</w:t>
      </w:r>
      <w:r>
        <w:t xml:space="preserve">, para. 1; </w:t>
      </w:r>
      <w:r w:rsidRPr="00D570A3">
        <w:rPr>
          <w:i/>
        </w:rPr>
        <w:t>Second Protective Order</w:t>
      </w:r>
      <w:r w:rsidR="00DE79FB">
        <w:t>, 29 FCC Rcd at 2022</w:t>
      </w:r>
      <w:r>
        <w:t>, para. 1.</w:t>
      </w:r>
    </w:p>
  </w:footnote>
  <w:footnote w:id="10">
    <w:p w:rsidR="003932AF" w:rsidRPr="00AF1147" w:rsidRDefault="003932AF" w:rsidP="00AF1147">
      <w:pPr>
        <w:pStyle w:val="FootnoteText"/>
        <w:rPr>
          <w:i/>
        </w:rPr>
      </w:pPr>
      <w:r w:rsidRPr="009B569F">
        <w:rPr>
          <w:rStyle w:val="FootnoteReference"/>
        </w:rPr>
        <w:footnoteRef/>
      </w:r>
      <w:r w:rsidRPr="000E1336">
        <w:t xml:space="preserve"> </w:t>
      </w:r>
      <w:r w:rsidR="00AF1147">
        <w:rPr>
          <w:i/>
        </w:rPr>
        <w:t xml:space="preserve">See </w:t>
      </w:r>
      <w:r w:rsidR="00AF1147" w:rsidRPr="002429B9">
        <w:t xml:space="preserve">Letter from </w:t>
      </w:r>
      <w:r w:rsidR="00AF1147">
        <w:t>Frank S. Simone</w:t>
      </w:r>
      <w:r w:rsidR="00AF1147" w:rsidRPr="002429B9">
        <w:t xml:space="preserve">, </w:t>
      </w:r>
      <w:r w:rsidR="00AF1147">
        <w:t>Asst. V.P. Federal Regulatory</w:t>
      </w:r>
      <w:r w:rsidR="00AF1147" w:rsidRPr="002429B9">
        <w:t xml:space="preserve">, </w:t>
      </w:r>
      <w:r w:rsidR="00AF1147">
        <w:t>AT&amp;T Services, Inc.</w:t>
      </w:r>
      <w:r w:rsidR="00AF1147" w:rsidRPr="002429B9">
        <w:t>, to Marlene H. Dortch, Secretary, FCC, GN Docket Nos. 13-5, 12-353</w:t>
      </w:r>
      <w:r w:rsidR="00141753">
        <w:t>,</w:t>
      </w:r>
      <w:r w:rsidR="00AF1147" w:rsidRPr="002429B9">
        <w:t xml:space="preserve"> at </w:t>
      </w:r>
      <w:r w:rsidR="00AF1147">
        <w:t>2</w:t>
      </w:r>
      <w:r w:rsidR="00AF1147" w:rsidRPr="002429B9">
        <w:t xml:space="preserve"> (filed </w:t>
      </w:r>
      <w:r w:rsidR="00AF1147">
        <w:t>June 6</w:t>
      </w:r>
      <w:r w:rsidR="00AF1147" w:rsidRPr="002429B9">
        <w:t>, 2014)</w:t>
      </w:r>
      <w:r w:rsidR="00AF1147">
        <w:t xml:space="preserve"> (</w:t>
      </w:r>
      <w:r w:rsidR="00AF1147" w:rsidRPr="00AF1147">
        <w:t>AT&amp;T June 6 Letter</w:t>
      </w:r>
      <w:r w:rsidR="00AF1147">
        <w:t xml:space="preserve">) (clarifying that AT&amp;T “had not requested a formal decision on [its] proposal to conduct wire center trials”); </w:t>
      </w:r>
      <w:r w:rsidR="00AF1147">
        <w:rPr>
          <w:i/>
        </w:rPr>
        <w:t>see also</w:t>
      </w:r>
      <w:r>
        <w:t xml:space="preserve"> </w:t>
      </w:r>
      <w:r w:rsidRPr="000E1336">
        <w:t>AT&amp;</w:t>
      </w:r>
      <w:r>
        <w:t>T Proposal, Operating Plan</w:t>
      </w:r>
      <w:r w:rsidR="00AF1147">
        <w:t>.</w:t>
      </w:r>
    </w:p>
  </w:footnote>
  <w:footnote w:id="11">
    <w:p w:rsidR="00246BB3" w:rsidRDefault="00246BB3" w:rsidP="00246BB3">
      <w:pPr>
        <w:pStyle w:val="FootnoteText"/>
      </w:pPr>
      <w:r>
        <w:rPr>
          <w:rStyle w:val="FootnoteReference"/>
        </w:rPr>
        <w:footnoteRef/>
      </w:r>
      <w:r>
        <w:t xml:space="preserve"> AT&amp;T Proposal at 14,</w:t>
      </w:r>
      <w:r w:rsidR="00141753">
        <w:t xml:space="preserve"> and</w:t>
      </w:r>
      <w:r>
        <w:t xml:space="preserve"> Operating Plan at 44.</w:t>
      </w:r>
    </w:p>
  </w:footnote>
  <w:footnote w:id="12">
    <w:p w:rsidR="00246BB3" w:rsidRDefault="00246BB3" w:rsidP="00246BB3">
      <w:pPr>
        <w:pStyle w:val="FootnoteText"/>
      </w:pPr>
      <w:r>
        <w:rPr>
          <w:rStyle w:val="FootnoteReference"/>
        </w:rPr>
        <w:footnoteRef/>
      </w:r>
      <w:r>
        <w:t xml:space="preserve"> AT&amp;T Proposal, Operating Plan at Exhs. D and E; </w:t>
      </w:r>
      <w:r w:rsidRPr="00693043">
        <w:rPr>
          <w:i/>
        </w:rPr>
        <w:t>see also</w:t>
      </w:r>
      <w:r>
        <w:t xml:space="preserve"> AT&amp;T Proposal at 20, 21</w:t>
      </w:r>
      <w:r w:rsidR="00EE4025">
        <w:t>,</w:t>
      </w:r>
      <w:r>
        <w:t xml:space="preserve"> and Operating Plan at 15.</w:t>
      </w:r>
    </w:p>
  </w:footnote>
  <w:footnote w:id="13">
    <w:p w:rsidR="005D2C66" w:rsidRDefault="005D2C66" w:rsidP="005D2C66">
      <w:pPr>
        <w:pStyle w:val="FootnoteText"/>
      </w:pPr>
      <w:r>
        <w:rPr>
          <w:rStyle w:val="FootnoteReference"/>
        </w:rPr>
        <w:footnoteRef/>
      </w:r>
      <w:r>
        <w:t xml:space="preserve"> </w:t>
      </w:r>
      <w:r w:rsidR="00AF1147">
        <w:t>AT&amp;T June 6 Letter at 2</w:t>
      </w:r>
      <w:r>
        <w:t xml:space="preserve">; </w:t>
      </w:r>
      <w:r>
        <w:rPr>
          <w:i/>
        </w:rPr>
        <w:t xml:space="preserve">see also </w:t>
      </w:r>
      <w:r w:rsidRPr="002429B9">
        <w:t xml:space="preserve">Letter from </w:t>
      </w:r>
      <w:r>
        <w:t>Robert C. Barber</w:t>
      </w:r>
      <w:r w:rsidRPr="002429B9">
        <w:t xml:space="preserve">, </w:t>
      </w:r>
      <w:r>
        <w:t>General Attorney</w:t>
      </w:r>
      <w:r w:rsidRPr="002429B9">
        <w:t xml:space="preserve">, </w:t>
      </w:r>
      <w:r>
        <w:t>AT&amp;T Services, Inc.</w:t>
      </w:r>
      <w:r w:rsidRPr="002429B9">
        <w:t>, to Marlene H. Dortch, Secretary, FCC, GN Docket Nos. 13-5, 12-353</w:t>
      </w:r>
      <w:r w:rsidR="00141753">
        <w:t>,</w:t>
      </w:r>
      <w:r w:rsidRPr="002429B9">
        <w:t xml:space="preserve"> at </w:t>
      </w:r>
      <w:r>
        <w:t>1</w:t>
      </w:r>
      <w:r w:rsidRPr="002429B9">
        <w:t xml:space="preserve"> (filed </w:t>
      </w:r>
      <w:r>
        <w:t>May 27</w:t>
      </w:r>
      <w:r w:rsidRPr="002429B9">
        <w:t>, 2014)</w:t>
      </w:r>
      <w:r>
        <w:t xml:space="preserve"> (stating that AT&amp;T “does not currently anticipate seeking approval to grandfather any TDM service earlier than the second half of 2015”).</w:t>
      </w:r>
    </w:p>
  </w:footnote>
  <w:footnote w:id="14">
    <w:p w:rsidR="0093291C" w:rsidRPr="00AF1147" w:rsidRDefault="0093291C">
      <w:pPr>
        <w:pStyle w:val="FootnoteText"/>
      </w:pPr>
      <w:r>
        <w:rPr>
          <w:rStyle w:val="FootnoteReference"/>
        </w:rPr>
        <w:footnoteRef/>
      </w:r>
      <w:r>
        <w:t xml:space="preserve"> </w:t>
      </w:r>
      <w:r w:rsidR="00865DC4">
        <w:t>Public Knowledge Challenge at 7.</w:t>
      </w:r>
    </w:p>
  </w:footnote>
  <w:footnote w:id="15">
    <w:p w:rsidR="008544AB" w:rsidRDefault="008544AB">
      <w:pPr>
        <w:pStyle w:val="FootnoteText"/>
      </w:pPr>
      <w:r>
        <w:rPr>
          <w:rStyle w:val="FootnoteReference"/>
        </w:rPr>
        <w:footnoteRef/>
      </w:r>
      <w:r>
        <w:t xml:space="preserve"> </w:t>
      </w:r>
      <w:r w:rsidR="00DB1F9C" w:rsidRPr="00D570A3">
        <w:rPr>
          <w:i/>
        </w:rPr>
        <w:t>See generally</w:t>
      </w:r>
      <w:r w:rsidR="00DB1F9C">
        <w:t xml:space="preserve"> AT&amp;T Reply</w:t>
      </w:r>
      <w:r>
        <w:t>.</w:t>
      </w:r>
    </w:p>
  </w:footnote>
  <w:footnote w:id="16">
    <w:p w:rsidR="00A051CA" w:rsidRDefault="00A051CA">
      <w:pPr>
        <w:pStyle w:val="FootnoteText"/>
      </w:pPr>
      <w:r>
        <w:rPr>
          <w:rStyle w:val="FootnoteReference"/>
        </w:rPr>
        <w:footnoteRef/>
      </w:r>
      <w:r w:rsidR="00DB1F9C">
        <w:t xml:space="preserve"> </w:t>
      </w:r>
      <w:r w:rsidR="00DB1F9C" w:rsidRPr="00D570A3">
        <w:rPr>
          <w:i/>
        </w:rPr>
        <w:t>Id.</w:t>
      </w:r>
      <w:r>
        <w:t xml:space="preserve"> at 1; </w:t>
      </w:r>
      <w:r w:rsidRPr="00D570A3">
        <w:rPr>
          <w:i/>
        </w:rPr>
        <w:t>AT&amp;T Proposes IP Transition Trials for Rural, Suburban Wire Centers</w:t>
      </w:r>
      <w:r>
        <w:t xml:space="preserve">, </w:t>
      </w:r>
      <w:r w:rsidRPr="00EE4025">
        <w:t>TR Daily</w:t>
      </w:r>
      <w:r>
        <w:t xml:space="preserve"> (Feb. 28, 2014).</w:t>
      </w:r>
    </w:p>
  </w:footnote>
  <w:footnote w:id="17">
    <w:p w:rsidR="00FE2042" w:rsidRDefault="00FE2042">
      <w:pPr>
        <w:pStyle w:val="FootnoteText"/>
      </w:pPr>
      <w:r>
        <w:rPr>
          <w:rStyle w:val="FootnoteReference"/>
        </w:rPr>
        <w:footnoteRef/>
      </w:r>
      <w:r>
        <w:t xml:space="preserve"> AT&amp;T Reply at 1.</w:t>
      </w:r>
    </w:p>
  </w:footnote>
  <w:footnote w:id="18">
    <w:p w:rsidR="00FE2042" w:rsidRDefault="00FE2042">
      <w:pPr>
        <w:pStyle w:val="FootnoteText"/>
      </w:pPr>
      <w:r>
        <w:rPr>
          <w:rStyle w:val="FootnoteReference"/>
        </w:rPr>
        <w:footnoteRef/>
      </w:r>
      <w:r>
        <w:t xml:space="preserve"> </w:t>
      </w:r>
      <w:r w:rsidR="00DB1F9C" w:rsidRPr="00D570A3">
        <w:rPr>
          <w:i/>
        </w:rPr>
        <w:t>Id</w:t>
      </w:r>
      <w:r>
        <w:t>.</w:t>
      </w:r>
    </w:p>
  </w:footnote>
  <w:footnote w:id="19">
    <w:p w:rsidR="005776DE" w:rsidRDefault="005776DE">
      <w:pPr>
        <w:pStyle w:val="FootnoteText"/>
      </w:pPr>
      <w:r>
        <w:rPr>
          <w:rStyle w:val="FootnoteReference"/>
        </w:rPr>
        <w:footnoteRef/>
      </w:r>
      <w:r>
        <w:t xml:space="preserve"> Public Knowledge Challenge at 7.</w:t>
      </w:r>
    </w:p>
  </w:footnote>
  <w:footnote w:id="20">
    <w:p w:rsidR="005776DE" w:rsidRDefault="005776DE">
      <w:pPr>
        <w:pStyle w:val="FootnoteText"/>
      </w:pPr>
      <w:r>
        <w:rPr>
          <w:rStyle w:val="FootnoteReference"/>
        </w:rPr>
        <w:footnoteRef/>
      </w:r>
      <w:r>
        <w:t xml:space="preserve"> </w:t>
      </w:r>
      <w:r w:rsidRPr="005378EE">
        <w:rPr>
          <w:i/>
        </w:rPr>
        <w:t>Id</w:t>
      </w:r>
      <w:r>
        <w:t>.</w:t>
      </w:r>
    </w:p>
  </w:footnote>
  <w:footnote w:id="21">
    <w:p w:rsidR="00A92717" w:rsidRDefault="00A92717" w:rsidP="00A92717">
      <w:pPr>
        <w:pStyle w:val="FootnoteText"/>
      </w:pPr>
      <w:r>
        <w:rPr>
          <w:rStyle w:val="FootnoteReference"/>
        </w:rPr>
        <w:footnoteRef/>
      </w:r>
      <w:r>
        <w:t xml:space="preserve"> AT&amp;T Reply at 5.</w:t>
      </w:r>
    </w:p>
  </w:footnote>
  <w:footnote w:id="22">
    <w:p w:rsidR="00486AAE" w:rsidRDefault="00486AAE" w:rsidP="00486AAE">
      <w:pPr>
        <w:pStyle w:val="FootnoteText"/>
      </w:pPr>
      <w:r>
        <w:rPr>
          <w:rStyle w:val="FootnoteReference"/>
        </w:rPr>
        <w:footnoteRef/>
      </w:r>
      <w:r>
        <w:t xml:space="preserve"> </w:t>
      </w:r>
      <w:r w:rsidR="00A92717">
        <w:rPr>
          <w:i/>
        </w:rPr>
        <w:t xml:space="preserve">Id.  </w:t>
      </w:r>
      <w:r>
        <w:t xml:space="preserve">  </w:t>
      </w:r>
    </w:p>
  </w:footnote>
  <w:footnote w:id="23">
    <w:p w:rsidR="00F60851" w:rsidRPr="00B80F02" w:rsidRDefault="00F60851">
      <w:pPr>
        <w:pStyle w:val="FootnoteText"/>
        <w:rPr>
          <w:i/>
        </w:rPr>
      </w:pPr>
      <w:r>
        <w:rPr>
          <w:rStyle w:val="FootnoteReference"/>
        </w:rPr>
        <w:footnoteRef/>
      </w:r>
      <w:r>
        <w:t xml:space="preserve"> </w:t>
      </w:r>
      <w:r>
        <w:rPr>
          <w:i/>
        </w:rPr>
        <w:t xml:space="preserve">See </w:t>
      </w:r>
      <w:r w:rsidRPr="00A5479C">
        <w:rPr>
          <w:i/>
        </w:rPr>
        <w:t>National Community Reinvestment Coalition v National Credit Union Admin.</w:t>
      </w:r>
      <w:r>
        <w:t>, 290 F. Supp. 2d 124, 135 (D.D.C. 2003) (“Business and marketing plans by their nature usually contain information that would cause competitive harm if disclosed.”)</w:t>
      </w:r>
      <w:r w:rsidR="00141753">
        <w:t>.</w:t>
      </w:r>
    </w:p>
  </w:footnote>
  <w:footnote w:id="24">
    <w:p w:rsidR="00C164A5" w:rsidRDefault="00C164A5">
      <w:pPr>
        <w:pStyle w:val="FootnoteText"/>
      </w:pPr>
      <w:r>
        <w:rPr>
          <w:rStyle w:val="FootnoteReference"/>
        </w:rPr>
        <w:footnoteRef/>
      </w:r>
      <w:r>
        <w:t xml:space="preserve"> </w:t>
      </w:r>
      <w:r w:rsidRPr="00D570A3">
        <w:rPr>
          <w:i/>
        </w:rPr>
        <w:t>See</w:t>
      </w:r>
      <w:r>
        <w:t xml:space="preserve"> 47 C.F.R. § 63.71.</w:t>
      </w:r>
    </w:p>
  </w:footnote>
  <w:footnote w:id="25">
    <w:p w:rsidR="003B1D28" w:rsidRDefault="003B1D28">
      <w:pPr>
        <w:pStyle w:val="FootnoteText"/>
      </w:pPr>
      <w:r>
        <w:rPr>
          <w:rStyle w:val="FootnoteReference"/>
        </w:rPr>
        <w:footnoteRef/>
      </w:r>
      <w:r>
        <w:t xml:space="preserve"> “</w:t>
      </w:r>
      <w:r w:rsidRPr="007A6FE3">
        <w:t>This process allows the Commission to satisfy its obligation under the Act to protect the public interest and to minimize harm to consumers.</w:t>
      </w:r>
      <w:r>
        <w:t xml:space="preserve">”  </w:t>
      </w:r>
      <w:r w:rsidRPr="00D570A3">
        <w:rPr>
          <w:i/>
          <w:szCs w:val="22"/>
        </w:rPr>
        <w:t>Ensuring Customer Premises Equipment Backup Power for Continuity of Communications et al.</w:t>
      </w:r>
      <w:r>
        <w:rPr>
          <w:szCs w:val="22"/>
        </w:rPr>
        <w:t xml:space="preserve">, PS Docket No. 14-174 et al., Notice of Proposed Rulemaking and Declaratory Ruling, </w:t>
      </w:r>
      <w:r w:rsidR="00687B2C">
        <w:rPr>
          <w:szCs w:val="22"/>
        </w:rPr>
        <w:t>FCC 14-185, para. 5 (rel. Nov. 25,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32" w:rsidRDefault="002E7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41753">
      <w:t>DA 15-</w:t>
    </w:r>
    <w:r w:rsidR="0053368E">
      <w:t>22</w:t>
    </w:r>
  </w:p>
  <w:p w:rsidR="00D25FB5" w:rsidRDefault="00B62E9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1F5F867" wp14:editId="24474AC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62E9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41753">
      <w:rPr>
        <w:spacing w:val="-2"/>
      </w:rPr>
      <w:t>DA 15-</w:t>
    </w:r>
    <w:r w:rsidR="0053368E">
      <w:rPr>
        <w:spacing w:val="-2"/>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DB01C0"/>
    <w:multiLevelType w:val="hybridMultilevel"/>
    <w:tmpl w:val="7F82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4"/>
  </w:num>
  <w:num w:numId="32">
    <w:abstractNumId w:val="6"/>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FC"/>
    <w:rsid w:val="00015B25"/>
    <w:rsid w:val="00036039"/>
    <w:rsid w:val="00037F90"/>
    <w:rsid w:val="00050202"/>
    <w:rsid w:val="00060FEC"/>
    <w:rsid w:val="00071E90"/>
    <w:rsid w:val="000808F5"/>
    <w:rsid w:val="000875BF"/>
    <w:rsid w:val="00093200"/>
    <w:rsid w:val="00096D8C"/>
    <w:rsid w:val="000B2467"/>
    <w:rsid w:val="000C0B65"/>
    <w:rsid w:val="000C11B2"/>
    <w:rsid w:val="000D166B"/>
    <w:rsid w:val="000E05FE"/>
    <w:rsid w:val="000E3D42"/>
    <w:rsid w:val="000F7D94"/>
    <w:rsid w:val="00122AD1"/>
    <w:rsid w:val="00122BD5"/>
    <w:rsid w:val="00124BB3"/>
    <w:rsid w:val="00132D7F"/>
    <w:rsid w:val="00133F79"/>
    <w:rsid w:val="00141753"/>
    <w:rsid w:val="00145A06"/>
    <w:rsid w:val="00155E31"/>
    <w:rsid w:val="0016002E"/>
    <w:rsid w:val="00160A37"/>
    <w:rsid w:val="00193F0C"/>
    <w:rsid w:val="00194A66"/>
    <w:rsid w:val="001C1057"/>
    <w:rsid w:val="001C2B64"/>
    <w:rsid w:val="001D6BCF"/>
    <w:rsid w:val="001E01CA"/>
    <w:rsid w:val="001F2669"/>
    <w:rsid w:val="00203B37"/>
    <w:rsid w:val="002177EF"/>
    <w:rsid w:val="00226CA6"/>
    <w:rsid w:val="00232B81"/>
    <w:rsid w:val="002429B9"/>
    <w:rsid w:val="00246BB3"/>
    <w:rsid w:val="00270B4E"/>
    <w:rsid w:val="00271FFA"/>
    <w:rsid w:val="0027517E"/>
    <w:rsid w:val="00275CF5"/>
    <w:rsid w:val="00281682"/>
    <w:rsid w:val="0028301F"/>
    <w:rsid w:val="0028313D"/>
    <w:rsid w:val="00285017"/>
    <w:rsid w:val="00291B97"/>
    <w:rsid w:val="00297FA4"/>
    <w:rsid w:val="002A2D2E"/>
    <w:rsid w:val="002C00E8"/>
    <w:rsid w:val="002C512E"/>
    <w:rsid w:val="002D3DFC"/>
    <w:rsid w:val="002D548F"/>
    <w:rsid w:val="002E04F0"/>
    <w:rsid w:val="002E252D"/>
    <w:rsid w:val="002E7732"/>
    <w:rsid w:val="002F0694"/>
    <w:rsid w:val="0031478C"/>
    <w:rsid w:val="00323B39"/>
    <w:rsid w:val="0034187A"/>
    <w:rsid w:val="00343649"/>
    <w:rsid w:val="00343749"/>
    <w:rsid w:val="00344EE1"/>
    <w:rsid w:val="003477FE"/>
    <w:rsid w:val="00352DCA"/>
    <w:rsid w:val="003660ED"/>
    <w:rsid w:val="00370763"/>
    <w:rsid w:val="0037602C"/>
    <w:rsid w:val="00380722"/>
    <w:rsid w:val="0038658E"/>
    <w:rsid w:val="00390E62"/>
    <w:rsid w:val="003932AF"/>
    <w:rsid w:val="003B0550"/>
    <w:rsid w:val="003B1D28"/>
    <w:rsid w:val="003B694F"/>
    <w:rsid w:val="003D1289"/>
    <w:rsid w:val="003D48F8"/>
    <w:rsid w:val="003E098F"/>
    <w:rsid w:val="003E5F9D"/>
    <w:rsid w:val="003F171C"/>
    <w:rsid w:val="003F2288"/>
    <w:rsid w:val="00412FC5"/>
    <w:rsid w:val="00414B72"/>
    <w:rsid w:val="004168A0"/>
    <w:rsid w:val="00417703"/>
    <w:rsid w:val="00422276"/>
    <w:rsid w:val="004242F1"/>
    <w:rsid w:val="00424482"/>
    <w:rsid w:val="004413EF"/>
    <w:rsid w:val="00445A00"/>
    <w:rsid w:val="00451B0F"/>
    <w:rsid w:val="004532A6"/>
    <w:rsid w:val="004538E6"/>
    <w:rsid w:val="004556A2"/>
    <w:rsid w:val="0045738F"/>
    <w:rsid w:val="0047285D"/>
    <w:rsid w:val="004841FE"/>
    <w:rsid w:val="00486AAE"/>
    <w:rsid w:val="00495D39"/>
    <w:rsid w:val="004A4F56"/>
    <w:rsid w:val="004C2EE3"/>
    <w:rsid w:val="004E1DA9"/>
    <w:rsid w:val="004E4A22"/>
    <w:rsid w:val="004E583E"/>
    <w:rsid w:val="004E742D"/>
    <w:rsid w:val="004F5C02"/>
    <w:rsid w:val="00511968"/>
    <w:rsid w:val="00514E95"/>
    <w:rsid w:val="0052176A"/>
    <w:rsid w:val="00522357"/>
    <w:rsid w:val="00523A15"/>
    <w:rsid w:val="0053368E"/>
    <w:rsid w:val="005378EE"/>
    <w:rsid w:val="00542333"/>
    <w:rsid w:val="0055614C"/>
    <w:rsid w:val="005617F5"/>
    <w:rsid w:val="00564663"/>
    <w:rsid w:val="00572D41"/>
    <w:rsid w:val="005776DE"/>
    <w:rsid w:val="005B20D1"/>
    <w:rsid w:val="005D1AF9"/>
    <w:rsid w:val="005D2C66"/>
    <w:rsid w:val="005D485A"/>
    <w:rsid w:val="005E14C2"/>
    <w:rsid w:val="005E18AA"/>
    <w:rsid w:val="005F0264"/>
    <w:rsid w:val="005F4E60"/>
    <w:rsid w:val="005F75E7"/>
    <w:rsid w:val="00607BA5"/>
    <w:rsid w:val="006106A9"/>
    <w:rsid w:val="0061180A"/>
    <w:rsid w:val="006220B8"/>
    <w:rsid w:val="00626EB6"/>
    <w:rsid w:val="006343F7"/>
    <w:rsid w:val="00646600"/>
    <w:rsid w:val="00655D03"/>
    <w:rsid w:val="006656DA"/>
    <w:rsid w:val="00665EAF"/>
    <w:rsid w:val="00671F97"/>
    <w:rsid w:val="006744C0"/>
    <w:rsid w:val="00683388"/>
    <w:rsid w:val="00683F84"/>
    <w:rsid w:val="00684979"/>
    <w:rsid w:val="00684A51"/>
    <w:rsid w:val="00687B2C"/>
    <w:rsid w:val="00693043"/>
    <w:rsid w:val="006A6A81"/>
    <w:rsid w:val="006B75D1"/>
    <w:rsid w:val="006E5E33"/>
    <w:rsid w:val="006E7B32"/>
    <w:rsid w:val="006F05CD"/>
    <w:rsid w:val="006F4E44"/>
    <w:rsid w:val="006F5785"/>
    <w:rsid w:val="006F7393"/>
    <w:rsid w:val="006F7525"/>
    <w:rsid w:val="0070224F"/>
    <w:rsid w:val="00706EF8"/>
    <w:rsid w:val="00711295"/>
    <w:rsid w:val="007115F7"/>
    <w:rsid w:val="00713756"/>
    <w:rsid w:val="007230C1"/>
    <w:rsid w:val="0073612E"/>
    <w:rsid w:val="00755004"/>
    <w:rsid w:val="00762C60"/>
    <w:rsid w:val="00775DEE"/>
    <w:rsid w:val="00785689"/>
    <w:rsid w:val="0079754B"/>
    <w:rsid w:val="007A1E6D"/>
    <w:rsid w:val="007B0EB2"/>
    <w:rsid w:val="007D0C50"/>
    <w:rsid w:val="007D720B"/>
    <w:rsid w:val="007E568E"/>
    <w:rsid w:val="007F7610"/>
    <w:rsid w:val="008046BA"/>
    <w:rsid w:val="00810B6F"/>
    <w:rsid w:val="00822CE0"/>
    <w:rsid w:val="00841AB1"/>
    <w:rsid w:val="00852B7F"/>
    <w:rsid w:val="008544AB"/>
    <w:rsid w:val="00865D19"/>
    <w:rsid w:val="00865DC4"/>
    <w:rsid w:val="00871986"/>
    <w:rsid w:val="00877404"/>
    <w:rsid w:val="00880B5B"/>
    <w:rsid w:val="0089067C"/>
    <w:rsid w:val="00895FAB"/>
    <w:rsid w:val="008B4768"/>
    <w:rsid w:val="008C68F1"/>
    <w:rsid w:val="008E0709"/>
    <w:rsid w:val="00921803"/>
    <w:rsid w:val="00925919"/>
    <w:rsid w:val="00926503"/>
    <w:rsid w:val="0093291C"/>
    <w:rsid w:val="00941C00"/>
    <w:rsid w:val="009547CA"/>
    <w:rsid w:val="00955BFB"/>
    <w:rsid w:val="0095729C"/>
    <w:rsid w:val="009701F2"/>
    <w:rsid w:val="009726D8"/>
    <w:rsid w:val="00975736"/>
    <w:rsid w:val="00997D9B"/>
    <w:rsid w:val="009A10D6"/>
    <w:rsid w:val="009B7CC5"/>
    <w:rsid w:val="009C60BF"/>
    <w:rsid w:val="009D6CFE"/>
    <w:rsid w:val="009F76DB"/>
    <w:rsid w:val="00A01C14"/>
    <w:rsid w:val="00A0479A"/>
    <w:rsid w:val="00A051CA"/>
    <w:rsid w:val="00A114E6"/>
    <w:rsid w:val="00A116FA"/>
    <w:rsid w:val="00A21C3E"/>
    <w:rsid w:val="00A25AA9"/>
    <w:rsid w:val="00A32C3B"/>
    <w:rsid w:val="00A45F4F"/>
    <w:rsid w:val="00A5479C"/>
    <w:rsid w:val="00A600A9"/>
    <w:rsid w:val="00A75D36"/>
    <w:rsid w:val="00A875D1"/>
    <w:rsid w:val="00A92717"/>
    <w:rsid w:val="00A9522C"/>
    <w:rsid w:val="00AA55B7"/>
    <w:rsid w:val="00AA5B9E"/>
    <w:rsid w:val="00AA5DD5"/>
    <w:rsid w:val="00AB2407"/>
    <w:rsid w:val="00AB53DF"/>
    <w:rsid w:val="00AD3A4B"/>
    <w:rsid w:val="00AE6406"/>
    <w:rsid w:val="00AE70C1"/>
    <w:rsid w:val="00AF04D3"/>
    <w:rsid w:val="00AF1147"/>
    <w:rsid w:val="00B051C1"/>
    <w:rsid w:val="00B07E5C"/>
    <w:rsid w:val="00B2095C"/>
    <w:rsid w:val="00B217B3"/>
    <w:rsid w:val="00B42F0D"/>
    <w:rsid w:val="00B459E0"/>
    <w:rsid w:val="00B62E98"/>
    <w:rsid w:val="00B63BF8"/>
    <w:rsid w:val="00B66FBF"/>
    <w:rsid w:val="00B80F02"/>
    <w:rsid w:val="00B811F7"/>
    <w:rsid w:val="00B868B8"/>
    <w:rsid w:val="00B9468C"/>
    <w:rsid w:val="00BA5DC6"/>
    <w:rsid w:val="00BA6196"/>
    <w:rsid w:val="00BB2F09"/>
    <w:rsid w:val="00BC35FC"/>
    <w:rsid w:val="00BC6D8C"/>
    <w:rsid w:val="00BE1F3D"/>
    <w:rsid w:val="00BE6611"/>
    <w:rsid w:val="00BF1D7A"/>
    <w:rsid w:val="00BF3AD7"/>
    <w:rsid w:val="00C00C44"/>
    <w:rsid w:val="00C051D6"/>
    <w:rsid w:val="00C164A5"/>
    <w:rsid w:val="00C1678D"/>
    <w:rsid w:val="00C2110C"/>
    <w:rsid w:val="00C23078"/>
    <w:rsid w:val="00C32FD5"/>
    <w:rsid w:val="00C34006"/>
    <w:rsid w:val="00C426B1"/>
    <w:rsid w:val="00C46EFC"/>
    <w:rsid w:val="00C503F8"/>
    <w:rsid w:val="00C66160"/>
    <w:rsid w:val="00C67ECF"/>
    <w:rsid w:val="00C71921"/>
    <w:rsid w:val="00C721AC"/>
    <w:rsid w:val="00C90D45"/>
    <w:rsid w:val="00C90D6A"/>
    <w:rsid w:val="00CA247E"/>
    <w:rsid w:val="00CB5A9D"/>
    <w:rsid w:val="00CC545B"/>
    <w:rsid w:val="00CC72B6"/>
    <w:rsid w:val="00CE06FB"/>
    <w:rsid w:val="00CE5373"/>
    <w:rsid w:val="00D0218D"/>
    <w:rsid w:val="00D11274"/>
    <w:rsid w:val="00D12E17"/>
    <w:rsid w:val="00D25FB5"/>
    <w:rsid w:val="00D35246"/>
    <w:rsid w:val="00D44223"/>
    <w:rsid w:val="00D51B77"/>
    <w:rsid w:val="00D52DF5"/>
    <w:rsid w:val="00D570A3"/>
    <w:rsid w:val="00D6076A"/>
    <w:rsid w:val="00D7613F"/>
    <w:rsid w:val="00D857D5"/>
    <w:rsid w:val="00DA2529"/>
    <w:rsid w:val="00DB1158"/>
    <w:rsid w:val="00DB130A"/>
    <w:rsid w:val="00DB1A2D"/>
    <w:rsid w:val="00DB1F9C"/>
    <w:rsid w:val="00DB2EBB"/>
    <w:rsid w:val="00DC10A1"/>
    <w:rsid w:val="00DC655F"/>
    <w:rsid w:val="00DD0B59"/>
    <w:rsid w:val="00DD7EBD"/>
    <w:rsid w:val="00DE15CA"/>
    <w:rsid w:val="00DE79FB"/>
    <w:rsid w:val="00DF293E"/>
    <w:rsid w:val="00DF62B6"/>
    <w:rsid w:val="00E053B6"/>
    <w:rsid w:val="00E053FF"/>
    <w:rsid w:val="00E07225"/>
    <w:rsid w:val="00E139F1"/>
    <w:rsid w:val="00E234A7"/>
    <w:rsid w:val="00E25D52"/>
    <w:rsid w:val="00E32545"/>
    <w:rsid w:val="00E5226E"/>
    <w:rsid w:val="00E5409F"/>
    <w:rsid w:val="00E55959"/>
    <w:rsid w:val="00E74EF8"/>
    <w:rsid w:val="00E75C57"/>
    <w:rsid w:val="00E8528F"/>
    <w:rsid w:val="00E90601"/>
    <w:rsid w:val="00EB5A4A"/>
    <w:rsid w:val="00EC5A59"/>
    <w:rsid w:val="00EE4025"/>
    <w:rsid w:val="00EE4539"/>
    <w:rsid w:val="00EE6488"/>
    <w:rsid w:val="00EF5099"/>
    <w:rsid w:val="00EF7A74"/>
    <w:rsid w:val="00F021FA"/>
    <w:rsid w:val="00F05B44"/>
    <w:rsid w:val="00F12483"/>
    <w:rsid w:val="00F1534D"/>
    <w:rsid w:val="00F26769"/>
    <w:rsid w:val="00F320FF"/>
    <w:rsid w:val="00F42D29"/>
    <w:rsid w:val="00F5061C"/>
    <w:rsid w:val="00F60851"/>
    <w:rsid w:val="00F60948"/>
    <w:rsid w:val="00F62E97"/>
    <w:rsid w:val="00F63C53"/>
    <w:rsid w:val="00F64179"/>
    <w:rsid w:val="00F64209"/>
    <w:rsid w:val="00F67A17"/>
    <w:rsid w:val="00F707D3"/>
    <w:rsid w:val="00F93BF5"/>
    <w:rsid w:val="00FC7485"/>
    <w:rsid w:val="00FD1060"/>
    <w:rsid w:val="00FE2042"/>
    <w:rsid w:val="00F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85A"/>
    <w:pPr>
      <w:widowControl w:val="0"/>
    </w:pPr>
    <w:rPr>
      <w:snapToGrid w:val="0"/>
      <w:kern w:val="28"/>
      <w:sz w:val="22"/>
    </w:rPr>
  </w:style>
  <w:style w:type="paragraph" w:styleId="Heading1">
    <w:name w:val="heading 1"/>
    <w:basedOn w:val="Normal"/>
    <w:next w:val="ParaNum"/>
    <w:qFormat/>
    <w:rsid w:val="005D48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485A"/>
    <w:pPr>
      <w:keepNext/>
      <w:numPr>
        <w:ilvl w:val="1"/>
        <w:numId w:val="3"/>
      </w:numPr>
      <w:spacing w:after="120"/>
      <w:outlineLvl w:val="1"/>
    </w:pPr>
    <w:rPr>
      <w:b/>
    </w:rPr>
  </w:style>
  <w:style w:type="paragraph" w:styleId="Heading3">
    <w:name w:val="heading 3"/>
    <w:basedOn w:val="Normal"/>
    <w:next w:val="ParaNum"/>
    <w:qFormat/>
    <w:rsid w:val="005D485A"/>
    <w:pPr>
      <w:keepNext/>
      <w:numPr>
        <w:ilvl w:val="2"/>
        <w:numId w:val="3"/>
      </w:numPr>
      <w:tabs>
        <w:tab w:val="left" w:pos="2160"/>
      </w:tabs>
      <w:spacing w:after="120"/>
      <w:outlineLvl w:val="2"/>
    </w:pPr>
    <w:rPr>
      <w:b/>
    </w:rPr>
  </w:style>
  <w:style w:type="paragraph" w:styleId="Heading4">
    <w:name w:val="heading 4"/>
    <w:basedOn w:val="Normal"/>
    <w:next w:val="ParaNum"/>
    <w:qFormat/>
    <w:rsid w:val="005D485A"/>
    <w:pPr>
      <w:keepNext/>
      <w:numPr>
        <w:ilvl w:val="3"/>
        <w:numId w:val="3"/>
      </w:numPr>
      <w:tabs>
        <w:tab w:val="left" w:pos="2880"/>
      </w:tabs>
      <w:spacing w:after="120"/>
      <w:outlineLvl w:val="3"/>
    </w:pPr>
    <w:rPr>
      <w:b/>
    </w:rPr>
  </w:style>
  <w:style w:type="paragraph" w:styleId="Heading5">
    <w:name w:val="heading 5"/>
    <w:basedOn w:val="Normal"/>
    <w:next w:val="ParaNum"/>
    <w:qFormat/>
    <w:rsid w:val="005D485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485A"/>
    <w:pPr>
      <w:numPr>
        <w:ilvl w:val="5"/>
        <w:numId w:val="3"/>
      </w:numPr>
      <w:tabs>
        <w:tab w:val="left" w:pos="4320"/>
      </w:tabs>
      <w:spacing w:after="120"/>
      <w:outlineLvl w:val="5"/>
    </w:pPr>
    <w:rPr>
      <w:b/>
    </w:rPr>
  </w:style>
  <w:style w:type="paragraph" w:styleId="Heading7">
    <w:name w:val="heading 7"/>
    <w:basedOn w:val="Normal"/>
    <w:next w:val="ParaNum"/>
    <w:qFormat/>
    <w:rsid w:val="005D48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48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48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48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485A"/>
  </w:style>
  <w:style w:type="paragraph" w:customStyle="1" w:styleId="ParaNum">
    <w:name w:val="ParaNum"/>
    <w:basedOn w:val="Normal"/>
    <w:rsid w:val="005D485A"/>
    <w:pPr>
      <w:numPr>
        <w:numId w:val="2"/>
      </w:numPr>
      <w:tabs>
        <w:tab w:val="clear" w:pos="1080"/>
        <w:tab w:val="num" w:pos="1440"/>
      </w:tabs>
      <w:spacing w:after="120"/>
    </w:pPr>
  </w:style>
  <w:style w:type="paragraph" w:styleId="EndnoteText">
    <w:name w:val="endnote text"/>
    <w:basedOn w:val="Normal"/>
    <w:semiHidden/>
    <w:rsid w:val="005D485A"/>
    <w:rPr>
      <w:sz w:val="20"/>
    </w:rPr>
  </w:style>
  <w:style w:type="character" w:styleId="EndnoteReference">
    <w:name w:val="endnote reference"/>
    <w:semiHidden/>
    <w:rsid w:val="005D485A"/>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5D485A"/>
    <w:pPr>
      <w:spacing w:after="120"/>
    </w:pPr>
  </w:style>
  <w:style w:type="character" w:styleId="FootnoteReference">
    <w:name w:val="footnote reference"/>
    <w:aliases w:val="Style 13,Style 12,(NECG) Footnote Reference,Appel note de bas de p,Style 124,o,fr,Style 3,FR,Style 17,Footnote Reference/,Style 6,Style 7"/>
    <w:rsid w:val="005D485A"/>
    <w:rPr>
      <w:rFonts w:ascii="Times New Roman" w:hAnsi="Times New Roman"/>
      <w:dstrike w:val="0"/>
      <w:color w:val="auto"/>
      <w:sz w:val="20"/>
      <w:vertAlign w:val="superscript"/>
    </w:rPr>
  </w:style>
  <w:style w:type="paragraph" w:styleId="TOC1">
    <w:name w:val="toc 1"/>
    <w:basedOn w:val="Normal"/>
    <w:next w:val="Normal"/>
    <w:semiHidden/>
    <w:rsid w:val="005D48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485A"/>
    <w:pPr>
      <w:tabs>
        <w:tab w:val="left" w:pos="720"/>
        <w:tab w:val="right" w:leader="dot" w:pos="9360"/>
      </w:tabs>
      <w:suppressAutoHyphens/>
      <w:ind w:left="720" w:right="720" w:hanging="360"/>
    </w:pPr>
    <w:rPr>
      <w:noProof/>
    </w:rPr>
  </w:style>
  <w:style w:type="paragraph" w:styleId="TOC3">
    <w:name w:val="toc 3"/>
    <w:basedOn w:val="Normal"/>
    <w:next w:val="Normal"/>
    <w:semiHidden/>
    <w:rsid w:val="005D48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48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48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48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48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48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48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485A"/>
    <w:pPr>
      <w:tabs>
        <w:tab w:val="right" w:pos="9360"/>
      </w:tabs>
      <w:suppressAutoHyphens/>
    </w:pPr>
  </w:style>
  <w:style w:type="character" w:customStyle="1" w:styleId="EquationCaption">
    <w:name w:val="_Equation Caption"/>
    <w:rsid w:val="005D485A"/>
  </w:style>
  <w:style w:type="paragraph" w:styleId="Header">
    <w:name w:val="header"/>
    <w:basedOn w:val="Normal"/>
    <w:autoRedefine/>
    <w:rsid w:val="005D485A"/>
    <w:pPr>
      <w:tabs>
        <w:tab w:val="center" w:pos="4680"/>
        <w:tab w:val="right" w:pos="9360"/>
      </w:tabs>
    </w:pPr>
    <w:rPr>
      <w:b/>
    </w:rPr>
  </w:style>
  <w:style w:type="paragraph" w:styleId="Footer">
    <w:name w:val="footer"/>
    <w:basedOn w:val="Normal"/>
    <w:rsid w:val="005D485A"/>
    <w:pPr>
      <w:tabs>
        <w:tab w:val="center" w:pos="4320"/>
        <w:tab w:val="right" w:pos="8640"/>
      </w:tabs>
    </w:pPr>
  </w:style>
  <w:style w:type="character" w:styleId="PageNumber">
    <w:name w:val="page number"/>
    <w:basedOn w:val="DefaultParagraphFont"/>
    <w:rsid w:val="005D485A"/>
  </w:style>
  <w:style w:type="paragraph" w:styleId="BlockText">
    <w:name w:val="Block Text"/>
    <w:basedOn w:val="Normal"/>
    <w:rsid w:val="005D485A"/>
    <w:pPr>
      <w:spacing w:after="240"/>
      <w:ind w:left="1440" w:right="1440"/>
    </w:pPr>
  </w:style>
  <w:style w:type="paragraph" w:customStyle="1" w:styleId="Paratitle">
    <w:name w:val="Para title"/>
    <w:basedOn w:val="Normal"/>
    <w:rsid w:val="005D485A"/>
    <w:pPr>
      <w:tabs>
        <w:tab w:val="center" w:pos="9270"/>
      </w:tabs>
      <w:spacing w:after="240"/>
    </w:pPr>
    <w:rPr>
      <w:spacing w:val="-2"/>
    </w:rPr>
  </w:style>
  <w:style w:type="paragraph" w:customStyle="1" w:styleId="Bullet">
    <w:name w:val="Bullet"/>
    <w:basedOn w:val="Normal"/>
    <w:rsid w:val="005D485A"/>
    <w:pPr>
      <w:tabs>
        <w:tab w:val="left" w:pos="2160"/>
      </w:tabs>
      <w:spacing w:after="220"/>
      <w:ind w:left="2160" w:hanging="720"/>
    </w:pPr>
  </w:style>
  <w:style w:type="paragraph" w:customStyle="1" w:styleId="TableFormat">
    <w:name w:val="TableFormat"/>
    <w:basedOn w:val="Bullet"/>
    <w:rsid w:val="005D485A"/>
    <w:pPr>
      <w:tabs>
        <w:tab w:val="clear" w:pos="2160"/>
        <w:tab w:val="left" w:pos="5040"/>
      </w:tabs>
      <w:ind w:left="5040" w:hanging="3600"/>
    </w:pPr>
  </w:style>
  <w:style w:type="paragraph" w:customStyle="1" w:styleId="TOCTitle">
    <w:name w:val="TOC Title"/>
    <w:basedOn w:val="Normal"/>
    <w:rsid w:val="005D48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485A"/>
    <w:pPr>
      <w:jc w:val="center"/>
    </w:pPr>
    <w:rPr>
      <w:rFonts w:ascii="Times New Roman Bold" w:hAnsi="Times New Roman Bold"/>
      <w:b/>
      <w:bCs/>
      <w:caps/>
      <w:szCs w:val="22"/>
    </w:rPr>
  </w:style>
  <w:style w:type="character" w:styleId="Hyperlink">
    <w:name w:val="Hyperlink"/>
    <w:rsid w:val="005D485A"/>
    <w:rPr>
      <w:color w:val="0000FF"/>
      <w:u w:val="single"/>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3932AF"/>
  </w:style>
  <w:style w:type="paragraph" w:styleId="BalloonText">
    <w:name w:val="Balloon Text"/>
    <w:basedOn w:val="Normal"/>
    <w:link w:val="BalloonTextChar"/>
    <w:rsid w:val="00232B81"/>
    <w:rPr>
      <w:rFonts w:ascii="Tahoma" w:hAnsi="Tahoma" w:cs="Tahoma"/>
      <w:sz w:val="16"/>
      <w:szCs w:val="16"/>
    </w:rPr>
  </w:style>
  <w:style w:type="character" w:customStyle="1" w:styleId="BalloonTextChar">
    <w:name w:val="Balloon Text Char"/>
    <w:basedOn w:val="DefaultParagraphFont"/>
    <w:link w:val="BalloonText"/>
    <w:rsid w:val="00232B81"/>
    <w:rPr>
      <w:rFonts w:ascii="Tahoma" w:hAnsi="Tahoma" w:cs="Tahoma"/>
      <w:snapToGrid w:val="0"/>
      <w:kern w:val="28"/>
      <w:sz w:val="16"/>
      <w:szCs w:val="16"/>
    </w:rPr>
  </w:style>
  <w:style w:type="character" w:styleId="CommentReference">
    <w:name w:val="annotation reference"/>
    <w:basedOn w:val="DefaultParagraphFont"/>
    <w:rsid w:val="00232B81"/>
    <w:rPr>
      <w:sz w:val="16"/>
      <w:szCs w:val="16"/>
    </w:rPr>
  </w:style>
  <w:style w:type="paragraph" w:styleId="CommentText">
    <w:name w:val="annotation text"/>
    <w:basedOn w:val="Normal"/>
    <w:link w:val="CommentTextChar"/>
    <w:rsid w:val="00232B81"/>
    <w:rPr>
      <w:sz w:val="20"/>
    </w:rPr>
  </w:style>
  <w:style w:type="character" w:customStyle="1" w:styleId="CommentTextChar">
    <w:name w:val="Comment Text Char"/>
    <w:basedOn w:val="DefaultParagraphFont"/>
    <w:link w:val="CommentText"/>
    <w:rsid w:val="00232B81"/>
    <w:rPr>
      <w:snapToGrid w:val="0"/>
      <w:kern w:val="28"/>
    </w:rPr>
  </w:style>
  <w:style w:type="paragraph" w:styleId="CommentSubject">
    <w:name w:val="annotation subject"/>
    <w:basedOn w:val="CommentText"/>
    <w:next w:val="CommentText"/>
    <w:link w:val="CommentSubjectChar"/>
    <w:rsid w:val="00232B81"/>
    <w:rPr>
      <w:b/>
      <w:bCs/>
    </w:rPr>
  </w:style>
  <w:style w:type="character" w:customStyle="1" w:styleId="CommentSubjectChar">
    <w:name w:val="Comment Subject Char"/>
    <w:basedOn w:val="CommentTextChar"/>
    <w:link w:val="CommentSubject"/>
    <w:rsid w:val="00232B81"/>
    <w:rPr>
      <w:b/>
      <w:bCs/>
      <w:snapToGrid w:val="0"/>
      <w:kern w:val="28"/>
    </w:rPr>
  </w:style>
  <w:style w:type="character" w:customStyle="1" w:styleId="cosearchterm">
    <w:name w:val="co_searchterm"/>
    <w:basedOn w:val="DefaultParagraphFont"/>
    <w:rsid w:val="00226CA6"/>
  </w:style>
  <w:style w:type="paragraph" w:styleId="ListParagraph">
    <w:name w:val="List Paragraph"/>
    <w:basedOn w:val="Normal"/>
    <w:uiPriority w:val="34"/>
    <w:qFormat/>
    <w:rsid w:val="00755004"/>
    <w:pPr>
      <w:widowControl/>
      <w:ind w:left="720"/>
    </w:pPr>
    <w:rPr>
      <w:rFonts w:ascii="Calibri" w:eastAsiaTheme="minorHAnsi" w:hAnsi="Calibri" w:cs="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85A"/>
    <w:pPr>
      <w:widowControl w:val="0"/>
    </w:pPr>
    <w:rPr>
      <w:snapToGrid w:val="0"/>
      <w:kern w:val="28"/>
      <w:sz w:val="22"/>
    </w:rPr>
  </w:style>
  <w:style w:type="paragraph" w:styleId="Heading1">
    <w:name w:val="heading 1"/>
    <w:basedOn w:val="Normal"/>
    <w:next w:val="ParaNum"/>
    <w:qFormat/>
    <w:rsid w:val="005D48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485A"/>
    <w:pPr>
      <w:keepNext/>
      <w:numPr>
        <w:ilvl w:val="1"/>
        <w:numId w:val="3"/>
      </w:numPr>
      <w:spacing w:after="120"/>
      <w:outlineLvl w:val="1"/>
    </w:pPr>
    <w:rPr>
      <w:b/>
    </w:rPr>
  </w:style>
  <w:style w:type="paragraph" w:styleId="Heading3">
    <w:name w:val="heading 3"/>
    <w:basedOn w:val="Normal"/>
    <w:next w:val="ParaNum"/>
    <w:qFormat/>
    <w:rsid w:val="005D485A"/>
    <w:pPr>
      <w:keepNext/>
      <w:numPr>
        <w:ilvl w:val="2"/>
        <w:numId w:val="3"/>
      </w:numPr>
      <w:tabs>
        <w:tab w:val="left" w:pos="2160"/>
      </w:tabs>
      <w:spacing w:after="120"/>
      <w:outlineLvl w:val="2"/>
    </w:pPr>
    <w:rPr>
      <w:b/>
    </w:rPr>
  </w:style>
  <w:style w:type="paragraph" w:styleId="Heading4">
    <w:name w:val="heading 4"/>
    <w:basedOn w:val="Normal"/>
    <w:next w:val="ParaNum"/>
    <w:qFormat/>
    <w:rsid w:val="005D485A"/>
    <w:pPr>
      <w:keepNext/>
      <w:numPr>
        <w:ilvl w:val="3"/>
        <w:numId w:val="3"/>
      </w:numPr>
      <w:tabs>
        <w:tab w:val="left" w:pos="2880"/>
      </w:tabs>
      <w:spacing w:after="120"/>
      <w:outlineLvl w:val="3"/>
    </w:pPr>
    <w:rPr>
      <w:b/>
    </w:rPr>
  </w:style>
  <w:style w:type="paragraph" w:styleId="Heading5">
    <w:name w:val="heading 5"/>
    <w:basedOn w:val="Normal"/>
    <w:next w:val="ParaNum"/>
    <w:qFormat/>
    <w:rsid w:val="005D485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485A"/>
    <w:pPr>
      <w:numPr>
        <w:ilvl w:val="5"/>
        <w:numId w:val="3"/>
      </w:numPr>
      <w:tabs>
        <w:tab w:val="left" w:pos="4320"/>
      </w:tabs>
      <w:spacing w:after="120"/>
      <w:outlineLvl w:val="5"/>
    </w:pPr>
    <w:rPr>
      <w:b/>
    </w:rPr>
  </w:style>
  <w:style w:type="paragraph" w:styleId="Heading7">
    <w:name w:val="heading 7"/>
    <w:basedOn w:val="Normal"/>
    <w:next w:val="ParaNum"/>
    <w:qFormat/>
    <w:rsid w:val="005D48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48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48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48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485A"/>
  </w:style>
  <w:style w:type="paragraph" w:customStyle="1" w:styleId="ParaNum">
    <w:name w:val="ParaNum"/>
    <w:basedOn w:val="Normal"/>
    <w:rsid w:val="005D485A"/>
    <w:pPr>
      <w:numPr>
        <w:numId w:val="2"/>
      </w:numPr>
      <w:tabs>
        <w:tab w:val="clear" w:pos="1080"/>
        <w:tab w:val="num" w:pos="1440"/>
      </w:tabs>
      <w:spacing w:after="120"/>
    </w:pPr>
  </w:style>
  <w:style w:type="paragraph" w:styleId="EndnoteText">
    <w:name w:val="endnote text"/>
    <w:basedOn w:val="Normal"/>
    <w:semiHidden/>
    <w:rsid w:val="005D485A"/>
    <w:rPr>
      <w:sz w:val="20"/>
    </w:rPr>
  </w:style>
  <w:style w:type="character" w:styleId="EndnoteReference">
    <w:name w:val="endnote reference"/>
    <w:semiHidden/>
    <w:rsid w:val="005D485A"/>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5D485A"/>
    <w:pPr>
      <w:spacing w:after="120"/>
    </w:pPr>
  </w:style>
  <w:style w:type="character" w:styleId="FootnoteReference">
    <w:name w:val="footnote reference"/>
    <w:aliases w:val="Style 13,Style 12,(NECG) Footnote Reference,Appel note de bas de p,Style 124,o,fr,Style 3,FR,Style 17,Footnote Reference/,Style 6,Style 7"/>
    <w:rsid w:val="005D485A"/>
    <w:rPr>
      <w:rFonts w:ascii="Times New Roman" w:hAnsi="Times New Roman"/>
      <w:dstrike w:val="0"/>
      <w:color w:val="auto"/>
      <w:sz w:val="20"/>
      <w:vertAlign w:val="superscript"/>
    </w:rPr>
  </w:style>
  <w:style w:type="paragraph" w:styleId="TOC1">
    <w:name w:val="toc 1"/>
    <w:basedOn w:val="Normal"/>
    <w:next w:val="Normal"/>
    <w:semiHidden/>
    <w:rsid w:val="005D48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485A"/>
    <w:pPr>
      <w:tabs>
        <w:tab w:val="left" w:pos="720"/>
        <w:tab w:val="right" w:leader="dot" w:pos="9360"/>
      </w:tabs>
      <w:suppressAutoHyphens/>
      <w:ind w:left="720" w:right="720" w:hanging="360"/>
    </w:pPr>
    <w:rPr>
      <w:noProof/>
    </w:rPr>
  </w:style>
  <w:style w:type="paragraph" w:styleId="TOC3">
    <w:name w:val="toc 3"/>
    <w:basedOn w:val="Normal"/>
    <w:next w:val="Normal"/>
    <w:semiHidden/>
    <w:rsid w:val="005D48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48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48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48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48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48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48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485A"/>
    <w:pPr>
      <w:tabs>
        <w:tab w:val="right" w:pos="9360"/>
      </w:tabs>
      <w:suppressAutoHyphens/>
    </w:pPr>
  </w:style>
  <w:style w:type="character" w:customStyle="1" w:styleId="EquationCaption">
    <w:name w:val="_Equation Caption"/>
    <w:rsid w:val="005D485A"/>
  </w:style>
  <w:style w:type="paragraph" w:styleId="Header">
    <w:name w:val="header"/>
    <w:basedOn w:val="Normal"/>
    <w:autoRedefine/>
    <w:rsid w:val="005D485A"/>
    <w:pPr>
      <w:tabs>
        <w:tab w:val="center" w:pos="4680"/>
        <w:tab w:val="right" w:pos="9360"/>
      </w:tabs>
    </w:pPr>
    <w:rPr>
      <w:b/>
    </w:rPr>
  </w:style>
  <w:style w:type="paragraph" w:styleId="Footer">
    <w:name w:val="footer"/>
    <w:basedOn w:val="Normal"/>
    <w:rsid w:val="005D485A"/>
    <w:pPr>
      <w:tabs>
        <w:tab w:val="center" w:pos="4320"/>
        <w:tab w:val="right" w:pos="8640"/>
      </w:tabs>
    </w:pPr>
  </w:style>
  <w:style w:type="character" w:styleId="PageNumber">
    <w:name w:val="page number"/>
    <w:basedOn w:val="DefaultParagraphFont"/>
    <w:rsid w:val="005D485A"/>
  </w:style>
  <w:style w:type="paragraph" w:styleId="BlockText">
    <w:name w:val="Block Text"/>
    <w:basedOn w:val="Normal"/>
    <w:rsid w:val="005D485A"/>
    <w:pPr>
      <w:spacing w:after="240"/>
      <w:ind w:left="1440" w:right="1440"/>
    </w:pPr>
  </w:style>
  <w:style w:type="paragraph" w:customStyle="1" w:styleId="Paratitle">
    <w:name w:val="Para title"/>
    <w:basedOn w:val="Normal"/>
    <w:rsid w:val="005D485A"/>
    <w:pPr>
      <w:tabs>
        <w:tab w:val="center" w:pos="9270"/>
      </w:tabs>
      <w:spacing w:after="240"/>
    </w:pPr>
    <w:rPr>
      <w:spacing w:val="-2"/>
    </w:rPr>
  </w:style>
  <w:style w:type="paragraph" w:customStyle="1" w:styleId="Bullet">
    <w:name w:val="Bullet"/>
    <w:basedOn w:val="Normal"/>
    <w:rsid w:val="005D485A"/>
    <w:pPr>
      <w:tabs>
        <w:tab w:val="left" w:pos="2160"/>
      </w:tabs>
      <w:spacing w:after="220"/>
      <w:ind w:left="2160" w:hanging="720"/>
    </w:pPr>
  </w:style>
  <w:style w:type="paragraph" w:customStyle="1" w:styleId="TableFormat">
    <w:name w:val="TableFormat"/>
    <w:basedOn w:val="Bullet"/>
    <w:rsid w:val="005D485A"/>
    <w:pPr>
      <w:tabs>
        <w:tab w:val="clear" w:pos="2160"/>
        <w:tab w:val="left" w:pos="5040"/>
      </w:tabs>
      <w:ind w:left="5040" w:hanging="3600"/>
    </w:pPr>
  </w:style>
  <w:style w:type="paragraph" w:customStyle="1" w:styleId="TOCTitle">
    <w:name w:val="TOC Title"/>
    <w:basedOn w:val="Normal"/>
    <w:rsid w:val="005D48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485A"/>
    <w:pPr>
      <w:jc w:val="center"/>
    </w:pPr>
    <w:rPr>
      <w:rFonts w:ascii="Times New Roman Bold" w:hAnsi="Times New Roman Bold"/>
      <w:b/>
      <w:bCs/>
      <w:caps/>
      <w:szCs w:val="22"/>
    </w:rPr>
  </w:style>
  <w:style w:type="character" w:styleId="Hyperlink">
    <w:name w:val="Hyperlink"/>
    <w:rsid w:val="005D485A"/>
    <w:rPr>
      <w:color w:val="0000FF"/>
      <w:u w:val="single"/>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3932AF"/>
  </w:style>
  <w:style w:type="paragraph" w:styleId="BalloonText">
    <w:name w:val="Balloon Text"/>
    <w:basedOn w:val="Normal"/>
    <w:link w:val="BalloonTextChar"/>
    <w:rsid w:val="00232B81"/>
    <w:rPr>
      <w:rFonts w:ascii="Tahoma" w:hAnsi="Tahoma" w:cs="Tahoma"/>
      <w:sz w:val="16"/>
      <w:szCs w:val="16"/>
    </w:rPr>
  </w:style>
  <w:style w:type="character" w:customStyle="1" w:styleId="BalloonTextChar">
    <w:name w:val="Balloon Text Char"/>
    <w:basedOn w:val="DefaultParagraphFont"/>
    <w:link w:val="BalloonText"/>
    <w:rsid w:val="00232B81"/>
    <w:rPr>
      <w:rFonts w:ascii="Tahoma" w:hAnsi="Tahoma" w:cs="Tahoma"/>
      <w:snapToGrid w:val="0"/>
      <w:kern w:val="28"/>
      <w:sz w:val="16"/>
      <w:szCs w:val="16"/>
    </w:rPr>
  </w:style>
  <w:style w:type="character" w:styleId="CommentReference">
    <w:name w:val="annotation reference"/>
    <w:basedOn w:val="DefaultParagraphFont"/>
    <w:rsid w:val="00232B81"/>
    <w:rPr>
      <w:sz w:val="16"/>
      <w:szCs w:val="16"/>
    </w:rPr>
  </w:style>
  <w:style w:type="paragraph" w:styleId="CommentText">
    <w:name w:val="annotation text"/>
    <w:basedOn w:val="Normal"/>
    <w:link w:val="CommentTextChar"/>
    <w:rsid w:val="00232B81"/>
    <w:rPr>
      <w:sz w:val="20"/>
    </w:rPr>
  </w:style>
  <w:style w:type="character" w:customStyle="1" w:styleId="CommentTextChar">
    <w:name w:val="Comment Text Char"/>
    <w:basedOn w:val="DefaultParagraphFont"/>
    <w:link w:val="CommentText"/>
    <w:rsid w:val="00232B81"/>
    <w:rPr>
      <w:snapToGrid w:val="0"/>
      <w:kern w:val="28"/>
    </w:rPr>
  </w:style>
  <w:style w:type="paragraph" w:styleId="CommentSubject">
    <w:name w:val="annotation subject"/>
    <w:basedOn w:val="CommentText"/>
    <w:next w:val="CommentText"/>
    <w:link w:val="CommentSubjectChar"/>
    <w:rsid w:val="00232B81"/>
    <w:rPr>
      <w:b/>
      <w:bCs/>
    </w:rPr>
  </w:style>
  <w:style w:type="character" w:customStyle="1" w:styleId="CommentSubjectChar">
    <w:name w:val="Comment Subject Char"/>
    <w:basedOn w:val="CommentTextChar"/>
    <w:link w:val="CommentSubject"/>
    <w:rsid w:val="00232B81"/>
    <w:rPr>
      <w:b/>
      <w:bCs/>
      <w:snapToGrid w:val="0"/>
      <w:kern w:val="28"/>
    </w:rPr>
  </w:style>
  <w:style w:type="character" w:customStyle="1" w:styleId="cosearchterm">
    <w:name w:val="co_searchterm"/>
    <w:basedOn w:val="DefaultParagraphFont"/>
    <w:rsid w:val="00226CA6"/>
  </w:style>
  <w:style w:type="paragraph" w:styleId="ListParagraph">
    <w:name w:val="List Paragraph"/>
    <w:basedOn w:val="Normal"/>
    <w:uiPriority w:val="34"/>
    <w:qFormat/>
    <w:rsid w:val="00755004"/>
    <w:pPr>
      <w:widowControl/>
      <w:ind w:left="720"/>
    </w:pPr>
    <w:rPr>
      <w:rFonts w:ascii="Calibri" w:eastAsiaTheme="minorHAns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280">
      <w:bodyDiv w:val="1"/>
      <w:marLeft w:val="0"/>
      <w:marRight w:val="0"/>
      <w:marTop w:val="0"/>
      <w:marBottom w:val="0"/>
      <w:divBdr>
        <w:top w:val="none" w:sz="0" w:space="0" w:color="auto"/>
        <w:left w:val="none" w:sz="0" w:space="0" w:color="auto"/>
        <w:bottom w:val="none" w:sz="0" w:space="0" w:color="auto"/>
        <w:right w:val="none" w:sz="0" w:space="0" w:color="auto"/>
      </w:divBdr>
    </w:div>
    <w:div w:id="1102725541">
      <w:bodyDiv w:val="1"/>
      <w:marLeft w:val="0"/>
      <w:marRight w:val="0"/>
      <w:marTop w:val="0"/>
      <w:marBottom w:val="0"/>
      <w:divBdr>
        <w:top w:val="none" w:sz="0" w:space="0" w:color="auto"/>
        <w:left w:val="none" w:sz="0" w:space="0" w:color="auto"/>
        <w:bottom w:val="none" w:sz="0" w:space="0" w:color="auto"/>
        <w:right w:val="none" w:sz="0" w:space="0" w:color="auto"/>
      </w:divBdr>
    </w:div>
    <w:div w:id="1631745412">
      <w:bodyDiv w:val="1"/>
      <w:marLeft w:val="0"/>
      <w:marRight w:val="0"/>
      <w:marTop w:val="0"/>
      <w:marBottom w:val="0"/>
      <w:divBdr>
        <w:top w:val="none" w:sz="0" w:space="0" w:color="auto"/>
        <w:left w:val="none" w:sz="0" w:space="0" w:color="auto"/>
        <w:bottom w:val="none" w:sz="0" w:space="0" w:color="auto"/>
        <w:right w:val="none" w:sz="0" w:space="0" w:color="auto"/>
      </w:divBdr>
      <w:divsChild>
        <w:div w:id="2123114317">
          <w:marLeft w:val="0"/>
          <w:marRight w:val="0"/>
          <w:marTop w:val="0"/>
          <w:marBottom w:val="0"/>
          <w:divBdr>
            <w:top w:val="none" w:sz="0" w:space="0" w:color="auto"/>
            <w:left w:val="none" w:sz="0" w:space="0" w:color="auto"/>
            <w:bottom w:val="none" w:sz="0" w:space="0" w:color="auto"/>
            <w:right w:val="none" w:sz="0" w:space="0" w:color="auto"/>
          </w:divBdr>
        </w:div>
        <w:div w:id="909584758">
          <w:marLeft w:val="0"/>
          <w:marRight w:val="0"/>
          <w:marTop w:val="0"/>
          <w:marBottom w:val="0"/>
          <w:divBdr>
            <w:top w:val="none" w:sz="0" w:space="0" w:color="auto"/>
            <w:left w:val="none" w:sz="0" w:space="0" w:color="auto"/>
            <w:bottom w:val="none" w:sz="0" w:space="0" w:color="auto"/>
            <w:right w:val="none" w:sz="0" w:space="0" w:color="auto"/>
          </w:divBdr>
        </w:div>
        <w:div w:id="623078026">
          <w:marLeft w:val="0"/>
          <w:marRight w:val="0"/>
          <w:marTop w:val="0"/>
          <w:marBottom w:val="0"/>
          <w:divBdr>
            <w:top w:val="none" w:sz="0" w:space="0" w:color="auto"/>
            <w:left w:val="none" w:sz="0" w:space="0" w:color="auto"/>
            <w:bottom w:val="none" w:sz="0" w:space="0" w:color="auto"/>
            <w:right w:val="none" w:sz="0" w:space="0" w:color="auto"/>
          </w:divBdr>
        </w:div>
      </w:divsChild>
    </w:div>
    <w:div w:id="17437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546&amp;cite=47USCAS4&amp;originatingDoc=I04038c27661311e4a795ac035416da91&amp;refType=LQ&amp;originationContext=document&amp;vr=3.0&amp;rs=cblt1.0&amp;transitionType=DocumentItem&amp;contextData=(sc.Searc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law.com/Link/Document/FullText?findType=L&amp;pubNum=1000546&amp;cite=5USCAS552&amp;originationContext=document&amp;vr=3.0&amp;rs=cblt1.0&amp;transitionType=DocumentItem&amp;contextData=(sc.Searc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1379</Words>
  <Characters>7747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9138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2015-01-07T19:26:00Z</cp:lastPrinted>
  <dcterms:created xsi:type="dcterms:W3CDTF">2015-01-07T19:58:00Z</dcterms:created>
  <dcterms:modified xsi:type="dcterms:W3CDTF">2015-01-07T19:58:00Z</dcterms:modified>
  <cp:category> </cp:category>
  <cp:contentStatus> </cp:contentStatus>
</cp:coreProperties>
</file>