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2F" w:rsidRDefault="0002302F">
      <w:pPr>
        <w:jc w:val="center"/>
        <w:rPr>
          <w:b/>
          <w:szCs w:val="22"/>
        </w:rPr>
      </w:pPr>
      <w:bookmarkStart w:id="0" w:name="_GoBack"/>
      <w:bookmarkEnd w:id="0"/>
      <w:r>
        <w:rPr>
          <w:b/>
          <w:szCs w:val="22"/>
        </w:rPr>
        <w:t>Before the</w:t>
      </w:r>
    </w:p>
    <w:p w:rsidR="0002302F" w:rsidRDefault="0002302F">
      <w:pPr>
        <w:jc w:val="center"/>
        <w:rPr>
          <w:b/>
          <w:szCs w:val="22"/>
        </w:rPr>
      </w:pPr>
      <w:r>
        <w:rPr>
          <w:b/>
          <w:szCs w:val="22"/>
        </w:rPr>
        <w:t>Federal Communications Commission</w:t>
      </w:r>
    </w:p>
    <w:p w:rsidR="0002302F" w:rsidRDefault="0002302F">
      <w:pPr>
        <w:jc w:val="center"/>
        <w:rPr>
          <w:b/>
          <w:szCs w:val="22"/>
        </w:rPr>
      </w:pPr>
      <w:r>
        <w:rPr>
          <w:b/>
          <w:szCs w:val="22"/>
        </w:rPr>
        <w:t>Washington, D.C. 20554</w:t>
      </w:r>
    </w:p>
    <w:p w:rsidR="0002302F" w:rsidRDefault="0002302F">
      <w:pPr>
        <w:jc w:val="center"/>
        <w:rPr>
          <w:szCs w:val="22"/>
        </w:rPr>
      </w:pPr>
    </w:p>
    <w:p w:rsidR="0002302F" w:rsidRDefault="0002302F">
      <w:pPr>
        <w:rPr>
          <w:szCs w:val="22"/>
        </w:rPr>
      </w:pPr>
    </w:p>
    <w:tbl>
      <w:tblPr>
        <w:tblW w:w="0" w:type="auto"/>
        <w:tblLayout w:type="fixed"/>
        <w:tblLook w:val="0000" w:firstRow="0" w:lastRow="0" w:firstColumn="0" w:lastColumn="0" w:noHBand="0" w:noVBand="0"/>
      </w:tblPr>
      <w:tblGrid>
        <w:gridCol w:w="4698"/>
        <w:gridCol w:w="720"/>
        <w:gridCol w:w="4230"/>
      </w:tblGrid>
      <w:tr w:rsidR="0002302F">
        <w:tc>
          <w:tcPr>
            <w:tcW w:w="4698" w:type="dxa"/>
          </w:tcPr>
          <w:p w:rsidR="0002302F" w:rsidRDefault="00661875">
            <w:pPr>
              <w:ind w:right="-18"/>
              <w:rPr>
                <w:szCs w:val="22"/>
              </w:rPr>
            </w:pPr>
            <w:r>
              <w:rPr>
                <w:szCs w:val="22"/>
              </w:rPr>
              <w:t>In the M</w:t>
            </w:r>
            <w:r w:rsidR="0002302F">
              <w:rPr>
                <w:szCs w:val="22"/>
              </w:rPr>
              <w:t>atter of</w:t>
            </w:r>
          </w:p>
          <w:p w:rsidR="0002302F" w:rsidRDefault="0002302F">
            <w:pPr>
              <w:ind w:right="-18"/>
              <w:rPr>
                <w:szCs w:val="22"/>
              </w:rPr>
            </w:pPr>
          </w:p>
          <w:p w:rsidR="0002302F" w:rsidRDefault="0002302F">
            <w:pPr>
              <w:ind w:right="-18"/>
              <w:rPr>
                <w:szCs w:val="22"/>
              </w:rPr>
            </w:pPr>
            <w:r>
              <w:rPr>
                <w:szCs w:val="22"/>
              </w:rPr>
              <w:t xml:space="preserve">Universal Service High-Cost Filing </w:t>
            </w:r>
          </w:p>
          <w:p w:rsidR="0002302F" w:rsidRDefault="0002302F">
            <w:pPr>
              <w:ind w:right="-18"/>
              <w:rPr>
                <w:szCs w:val="22"/>
              </w:rPr>
            </w:pPr>
            <w:r>
              <w:rPr>
                <w:szCs w:val="22"/>
              </w:rPr>
              <w:t>Deadlines</w:t>
            </w:r>
          </w:p>
          <w:p w:rsidR="0002302F" w:rsidRDefault="0002302F">
            <w:pPr>
              <w:ind w:right="-18"/>
              <w:rPr>
                <w:szCs w:val="22"/>
              </w:rPr>
            </w:pPr>
          </w:p>
          <w:p w:rsidR="0002302F" w:rsidRDefault="0002302F">
            <w:pPr>
              <w:ind w:right="-18"/>
              <w:rPr>
                <w:szCs w:val="22"/>
              </w:rPr>
            </w:pPr>
          </w:p>
        </w:tc>
        <w:tc>
          <w:tcPr>
            <w:tcW w:w="720" w:type="dxa"/>
          </w:tcPr>
          <w:p w:rsidR="0002302F" w:rsidRDefault="0002302F">
            <w:pPr>
              <w:rPr>
                <w:b/>
                <w:szCs w:val="22"/>
              </w:rPr>
            </w:pPr>
            <w:r>
              <w:rPr>
                <w:b/>
                <w:szCs w:val="22"/>
              </w:rPr>
              <w:t>)</w:t>
            </w:r>
          </w:p>
          <w:p w:rsidR="0002302F" w:rsidRDefault="0002302F">
            <w:pPr>
              <w:rPr>
                <w:b/>
                <w:szCs w:val="22"/>
              </w:rPr>
            </w:pPr>
            <w:r>
              <w:rPr>
                <w:b/>
                <w:szCs w:val="22"/>
              </w:rPr>
              <w:t>)</w:t>
            </w:r>
          </w:p>
          <w:p w:rsidR="0002302F" w:rsidRDefault="0002302F">
            <w:pPr>
              <w:rPr>
                <w:b/>
                <w:szCs w:val="22"/>
              </w:rPr>
            </w:pPr>
            <w:r>
              <w:rPr>
                <w:b/>
                <w:szCs w:val="22"/>
              </w:rPr>
              <w:t>)</w:t>
            </w:r>
          </w:p>
          <w:p w:rsidR="0002302F" w:rsidRDefault="0002302F">
            <w:pPr>
              <w:rPr>
                <w:b/>
                <w:szCs w:val="22"/>
              </w:rPr>
            </w:pPr>
            <w:r>
              <w:rPr>
                <w:b/>
                <w:szCs w:val="22"/>
              </w:rPr>
              <w:t>)</w:t>
            </w:r>
          </w:p>
          <w:p w:rsidR="0002302F" w:rsidRDefault="0002302F">
            <w:pPr>
              <w:rPr>
                <w:b/>
                <w:szCs w:val="22"/>
              </w:rPr>
            </w:pPr>
            <w:r>
              <w:rPr>
                <w:b/>
                <w:szCs w:val="22"/>
              </w:rPr>
              <w:t>)</w:t>
            </w:r>
          </w:p>
          <w:p w:rsidR="0002302F" w:rsidRDefault="0002302F">
            <w:pPr>
              <w:rPr>
                <w:b/>
                <w:szCs w:val="22"/>
              </w:rPr>
            </w:pPr>
            <w:r>
              <w:rPr>
                <w:b/>
                <w:szCs w:val="22"/>
              </w:rPr>
              <w:t>)</w:t>
            </w:r>
          </w:p>
          <w:p w:rsidR="0002302F" w:rsidRDefault="0002302F" w:rsidP="00661875">
            <w:pPr>
              <w:rPr>
                <w:b/>
                <w:szCs w:val="22"/>
              </w:rPr>
            </w:pPr>
          </w:p>
        </w:tc>
        <w:tc>
          <w:tcPr>
            <w:tcW w:w="4230" w:type="dxa"/>
          </w:tcPr>
          <w:p w:rsidR="0002302F" w:rsidRDefault="0002302F">
            <w:pPr>
              <w:rPr>
                <w:szCs w:val="22"/>
              </w:rPr>
            </w:pPr>
          </w:p>
          <w:p w:rsidR="0002302F" w:rsidRDefault="0002302F">
            <w:pPr>
              <w:rPr>
                <w:szCs w:val="22"/>
              </w:rPr>
            </w:pPr>
          </w:p>
          <w:p w:rsidR="0002302F" w:rsidRDefault="0002302F">
            <w:pPr>
              <w:rPr>
                <w:szCs w:val="22"/>
              </w:rPr>
            </w:pPr>
            <w:r>
              <w:rPr>
                <w:szCs w:val="22"/>
              </w:rPr>
              <w:t>WC Docket No. 08-71</w:t>
            </w:r>
          </w:p>
          <w:p w:rsidR="0002302F" w:rsidRDefault="0002302F">
            <w:pPr>
              <w:rPr>
                <w:szCs w:val="22"/>
              </w:rPr>
            </w:pPr>
          </w:p>
          <w:p w:rsidR="0002302F" w:rsidRDefault="0002302F">
            <w:pPr>
              <w:rPr>
                <w:szCs w:val="22"/>
              </w:rPr>
            </w:pPr>
          </w:p>
          <w:p w:rsidR="0002302F" w:rsidRDefault="0002302F">
            <w:pPr>
              <w:rPr>
                <w:szCs w:val="22"/>
              </w:rPr>
            </w:pPr>
          </w:p>
        </w:tc>
      </w:tr>
    </w:tbl>
    <w:p w:rsidR="0002302F" w:rsidRDefault="0002302F">
      <w:pPr>
        <w:spacing w:before="120"/>
        <w:jc w:val="center"/>
        <w:rPr>
          <w:b/>
          <w:szCs w:val="22"/>
        </w:rPr>
      </w:pPr>
      <w:r>
        <w:rPr>
          <w:b/>
          <w:spacing w:val="-2"/>
          <w:szCs w:val="22"/>
        </w:rPr>
        <w:t>ORDER</w:t>
      </w:r>
    </w:p>
    <w:p w:rsidR="0002302F" w:rsidRDefault="0002302F">
      <w:pPr>
        <w:rPr>
          <w:szCs w:val="22"/>
        </w:rPr>
      </w:pPr>
    </w:p>
    <w:p w:rsidR="0002302F" w:rsidRDefault="0002302F">
      <w:pPr>
        <w:tabs>
          <w:tab w:val="left" w:pos="5760"/>
        </w:tabs>
        <w:rPr>
          <w:b/>
          <w:szCs w:val="22"/>
        </w:rPr>
      </w:pPr>
      <w:r>
        <w:rPr>
          <w:b/>
          <w:szCs w:val="22"/>
        </w:rPr>
        <w:t xml:space="preserve">Adopted:  </w:t>
      </w:r>
      <w:r w:rsidR="000B07ED">
        <w:rPr>
          <w:b/>
          <w:spacing w:val="-2"/>
          <w:szCs w:val="22"/>
        </w:rPr>
        <w:t>February 24, 2015</w:t>
      </w:r>
      <w:r>
        <w:rPr>
          <w:b/>
          <w:szCs w:val="22"/>
        </w:rPr>
        <w:tab/>
      </w:r>
      <w:r>
        <w:rPr>
          <w:b/>
          <w:szCs w:val="22"/>
        </w:rPr>
        <w:tab/>
        <w:t xml:space="preserve">Released:  </w:t>
      </w:r>
      <w:r w:rsidR="000B07ED">
        <w:rPr>
          <w:b/>
          <w:spacing w:val="-2"/>
          <w:szCs w:val="22"/>
        </w:rPr>
        <w:t>February 24, 2015</w:t>
      </w:r>
    </w:p>
    <w:p w:rsidR="0002302F" w:rsidRDefault="0002302F">
      <w:pPr>
        <w:tabs>
          <w:tab w:val="left" w:pos="5760"/>
        </w:tabs>
        <w:rPr>
          <w:b/>
          <w:szCs w:val="22"/>
        </w:rPr>
      </w:pPr>
    </w:p>
    <w:p w:rsidR="0002302F" w:rsidRDefault="0002302F">
      <w:pPr>
        <w:tabs>
          <w:tab w:val="left" w:pos="5760"/>
        </w:tabs>
        <w:rPr>
          <w:spacing w:val="-2"/>
          <w:szCs w:val="22"/>
        </w:rPr>
      </w:pPr>
      <w:r>
        <w:rPr>
          <w:szCs w:val="22"/>
        </w:rPr>
        <w:t xml:space="preserve">By the </w:t>
      </w:r>
      <w:r w:rsidR="00A1195A">
        <w:rPr>
          <w:szCs w:val="22"/>
        </w:rPr>
        <w:t xml:space="preserve">Deputy Chief, </w:t>
      </w:r>
      <w:r w:rsidR="000C3097">
        <w:rPr>
          <w:szCs w:val="22"/>
        </w:rPr>
        <w:t>Wireline Competition Bureau</w:t>
      </w:r>
      <w:r>
        <w:rPr>
          <w:spacing w:val="-2"/>
          <w:szCs w:val="22"/>
        </w:rPr>
        <w:t>:</w:t>
      </w:r>
    </w:p>
    <w:p w:rsidR="00161001" w:rsidRDefault="00161001">
      <w:pPr>
        <w:tabs>
          <w:tab w:val="left" w:pos="5760"/>
        </w:tabs>
        <w:rPr>
          <w:spacing w:val="-2"/>
          <w:szCs w:val="22"/>
        </w:rPr>
      </w:pPr>
    </w:p>
    <w:p w:rsidR="00161001" w:rsidRPr="00161001" w:rsidRDefault="00161001" w:rsidP="00161001">
      <w:pPr>
        <w:pStyle w:val="Heading1"/>
        <w:widowControl/>
        <w:rPr>
          <w:b w:val="0"/>
          <w:szCs w:val="22"/>
        </w:rPr>
      </w:pPr>
      <w:r>
        <w:rPr>
          <w:szCs w:val="22"/>
        </w:rPr>
        <w:t>introduction</w:t>
      </w:r>
    </w:p>
    <w:p w:rsidR="00B22667" w:rsidRPr="00B22667" w:rsidRDefault="00B22667" w:rsidP="00B22667">
      <w:pPr>
        <w:pStyle w:val="ParaNum"/>
        <w:widowControl/>
        <w:tabs>
          <w:tab w:val="clear" w:pos="1080"/>
        </w:tabs>
        <w:jc w:val="left"/>
      </w:pPr>
      <w:r>
        <w:rPr>
          <w:szCs w:val="22"/>
        </w:rPr>
        <w:t>In this Order, we deny a petition filed by Virgin Islands Telephone Corp. d/b/a Innovative Telephone (Innovative) for a waiver of the National Exchange Carrier Association’s (NECA) rolling 24-month adjustment period.</w:t>
      </w:r>
      <w:r>
        <w:rPr>
          <w:rStyle w:val="FootnoteReference"/>
          <w:szCs w:val="22"/>
        </w:rPr>
        <w:footnoteReference w:id="2"/>
      </w:r>
      <w:r>
        <w:rPr>
          <w:szCs w:val="22"/>
        </w:rPr>
        <w:t xml:space="preserve">  Innovative has not shown good cause for a waiver of the NECA’s rolling 24-month adjustment period or that such a waiver is in the public interest.</w:t>
      </w:r>
      <w:r>
        <w:rPr>
          <w:rStyle w:val="FootnoteReference"/>
          <w:szCs w:val="22"/>
        </w:rPr>
        <w:footnoteReference w:id="3"/>
      </w:r>
      <w:r>
        <w:rPr>
          <w:szCs w:val="22"/>
        </w:rPr>
        <w:t xml:space="preserve">  Accordingly, we deny Innovative’s petition.</w:t>
      </w:r>
    </w:p>
    <w:p w:rsidR="00B22667" w:rsidRDefault="00B22667" w:rsidP="00B22667">
      <w:pPr>
        <w:pStyle w:val="Heading1"/>
        <w:widowControl/>
        <w:rPr>
          <w:szCs w:val="22"/>
        </w:rPr>
      </w:pPr>
      <w:r>
        <w:rPr>
          <w:szCs w:val="22"/>
        </w:rPr>
        <w:t>background</w:t>
      </w:r>
    </w:p>
    <w:p w:rsidR="00251561" w:rsidRDefault="00CE68CB" w:rsidP="00B22667">
      <w:pPr>
        <w:pStyle w:val="ParaNum"/>
        <w:widowControl/>
        <w:tabs>
          <w:tab w:val="clear" w:pos="1080"/>
        </w:tabs>
        <w:jc w:val="left"/>
      </w:pPr>
      <w:r>
        <w:t xml:space="preserve">Under </w:t>
      </w:r>
      <w:r w:rsidR="00AC005F">
        <w:t>the Commission’s rules</w:t>
      </w:r>
      <w:r>
        <w:t>,</w:t>
      </w:r>
      <w:r w:rsidR="00AC005F">
        <w:t xml:space="preserve"> t</w:t>
      </w:r>
      <w:r w:rsidR="002D312A">
        <w:t>he National Exchange Carrier Association (</w:t>
      </w:r>
      <w:r w:rsidR="002D312A" w:rsidRPr="00F10119">
        <w:t>NECA</w:t>
      </w:r>
      <w:r w:rsidR="002D312A">
        <w:t xml:space="preserve">) </w:t>
      </w:r>
      <w:r w:rsidR="00926220">
        <w:t>is required to</w:t>
      </w:r>
      <w:r w:rsidR="002D312A">
        <w:t xml:space="preserve"> </w:t>
      </w:r>
      <w:r w:rsidR="00926220">
        <w:t xml:space="preserve">“collect, </w:t>
      </w:r>
      <w:r w:rsidR="002D312A">
        <w:t>process, and submit data for the Universal Service Fund (USF) HCLS program.”</w:t>
      </w:r>
      <w:r w:rsidR="007C231E">
        <w:rPr>
          <w:rStyle w:val="FootnoteReference"/>
        </w:rPr>
        <w:footnoteReference w:id="4"/>
      </w:r>
      <w:r w:rsidR="007C231E">
        <w:t xml:space="preserve"> </w:t>
      </w:r>
      <w:r w:rsidR="00926220">
        <w:t xml:space="preserve"> O</w:t>
      </w:r>
      <w:r w:rsidR="00F10119" w:rsidRPr="00F10119">
        <w:t>n</w:t>
      </w:r>
      <w:r w:rsidR="002D312A">
        <w:t xml:space="preserve"> July 31 of each year, </w:t>
      </w:r>
      <w:r w:rsidR="000D0B8F">
        <w:t>eligible telecommunications carriers (ETC</w:t>
      </w:r>
      <w:r w:rsidR="006405DF">
        <w:t>s</w:t>
      </w:r>
      <w:r w:rsidR="000D0B8F">
        <w:t>)</w:t>
      </w:r>
      <w:r w:rsidR="00F10119" w:rsidRPr="00F10119">
        <w:t xml:space="preserve"> submit to NECA </w:t>
      </w:r>
      <w:r w:rsidR="009C3E71">
        <w:t>financial, loop, and cost</w:t>
      </w:r>
      <w:r w:rsidR="00D74AFB">
        <w:t>-</w:t>
      </w:r>
      <w:r w:rsidR="009C3E71">
        <w:t>study data as of December 31st of the prior year</w:t>
      </w:r>
      <w:r w:rsidR="00F10119" w:rsidRPr="00F10119">
        <w:t>.</w:t>
      </w:r>
      <w:r w:rsidR="009C3E71">
        <w:rPr>
          <w:rStyle w:val="FootnoteReference"/>
        </w:rPr>
        <w:footnoteReference w:id="5"/>
      </w:r>
      <w:r w:rsidR="00F10119" w:rsidRPr="00F10119">
        <w:t xml:space="preserve"> </w:t>
      </w:r>
      <w:r w:rsidR="00926220">
        <w:t xml:space="preserve"> </w:t>
      </w:r>
      <w:r w:rsidR="00251561">
        <w:t xml:space="preserve"> The data initially reported by ETCs is often based on estimates</w:t>
      </w:r>
      <w:r w:rsidR="00927EF5">
        <w:t>,</w:t>
      </w:r>
      <w:r w:rsidR="00251561">
        <w:t xml:space="preserve"> which are then replaced by actual results as the information becomes available.  Under NECA’s data reconciliation rules, ETCs have 24 months within which they must “true-up” cost data with actual numbers before the settlements window is considered closed for </w:t>
      </w:r>
      <w:r w:rsidR="00C20D45">
        <w:t>ETC</w:t>
      </w:r>
      <w:r w:rsidR="00251561">
        <w:t>-initiated revisions.</w:t>
      </w:r>
      <w:r w:rsidR="00251561">
        <w:rPr>
          <w:rStyle w:val="FootnoteReference"/>
        </w:rPr>
        <w:footnoteReference w:id="6"/>
      </w:r>
      <w:r w:rsidR="00251561">
        <w:t xml:space="preserve">  Thus, at the end of each calendar month, the corresponding month two years prior closes for purposes of company-initiated data adjustments.</w:t>
      </w:r>
      <w:r w:rsidR="00251561">
        <w:rPr>
          <w:rStyle w:val="FootnoteReference"/>
        </w:rPr>
        <w:footnoteReference w:id="7"/>
      </w:r>
    </w:p>
    <w:p w:rsidR="00F74173" w:rsidRDefault="00F10119" w:rsidP="00251561">
      <w:pPr>
        <w:pStyle w:val="ParaNum"/>
        <w:widowControl/>
        <w:tabs>
          <w:tab w:val="clear" w:pos="1080"/>
        </w:tabs>
        <w:jc w:val="left"/>
      </w:pPr>
      <w:r w:rsidRPr="00F10119">
        <w:lastRenderedPageBreak/>
        <w:t xml:space="preserve">NECA compiles and analyzes </w:t>
      </w:r>
      <w:r w:rsidR="00251561">
        <w:t>the submitted</w:t>
      </w:r>
      <w:r w:rsidRPr="00F10119">
        <w:t xml:space="preserve"> data to determine the average cost per loop for each</w:t>
      </w:r>
      <w:r w:rsidR="002D312A">
        <w:t xml:space="preserve"> </w:t>
      </w:r>
      <w:r w:rsidR="000D0B8F">
        <w:t>ETC</w:t>
      </w:r>
      <w:r w:rsidR="00C53CD8">
        <w:t xml:space="preserve"> </w:t>
      </w:r>
      <w:r w:rsidRPr="00F10119">
        <w:t xml:space="preserve">as well as the </w:t>
      </w:r>
      <w:r w:rsidR="00EB14B0">
        <w:t>national average cost per loop (NACPL)</w:t>
      </w:r>
      <w:r w:rsidRPr="00F10119">
        <w:t>.</w:t>
      </w:r>
      <w:r w:rsidR="000D0B8F">
        <w:rPr>
          <w:rStyle w:val="FootnoteReference"/>
        </w:rPr>
        <w:footnoteReference w:id="8"/>
      </w:r>
      <w:r w:rsidR="00996821">
        <w:t xml:space="preserve">  Each cost-company </w:t>
      </w:r>
      <w:r w:rsidR="000D0B8F">
        <w:t>ETC</w:t>
      </w:r>
      <w:r w:rsidR="00D816CC">
        <w:t>’</w:t>
      </w:r>
      <w:r w:rsidR="000D0B8F">
        <w:t>s</w:t>
      </w:r>
      <w:r w:rsidRPr="00F10119">
        <w:t xml:space="preserve"> high</w:t>
      </w:r>
      <w:r w:rsidR="002D312A">
        <w:t xml:space="preserve"> </w:t>
      </w:r>
      <w:r w:rsidRPr="00F10119">
        <w:t>cost loop support</w:t>
      </w:r>
      <w:r w:rsidR="001F0813">
        <w:t xml:space="preserve"> (HCLS)</w:t>
      </w:r>
      <w:r w:rsidRPr="00F10119">
        <w:t xml:space="preserve"> amount for the following year is based upon the relationship between the</w:t>
      </w:r>
      <w:r w:rsidR="002D312A">
        <w:t xml:space="preserve"> </w:t>
      </w:r>
      <w:r w:rsidR="00D816CC">
        <w:t>ETC’s</w:t>
      </w:r>
      <w:r w:rsidRPr="00F10119">
        <w:t xml:space="preserve"> average cost per loop and the </w:t>
      </w:r>
      <w:r w:rsidR="006704D9">
        <w:t>NACPL</w:t>
      </w:r>
      <w:r w:rsidRPr="00F10119">
        <w:t>.</w:t>
      </w:r>
      <w:r w:rsidR="00D816CC">
        <w:rPr>
          <w:rStyle w:val="FootnoteReference"/>
        </w:rPr>
        <w:footnoteReference w:id="9"/>
      </w:r>
      <w:r w:rsidRPr="00F10119">
        <w:t xml:space="preserve"> </w:t>
      </w:r>
    </w:p>
    <w:p w:rsidR="006704D9" w:rsidRDefault="005726A1" w:rsidP="00FA7248">
      <w:pPr>
        <w:pStyle w:val="ParaNum"/>
        <w:widowControl/>
        <w:tabs>
          <w:tab w:val="clear" w:pos="1080"/>
        </w:tabs>
        <w:jc w:val="left"/>
      </w:pPr>
      <w:r>
        <w:t xml:space="preserve">Innovative, as </w:t>
      </w:r>
      <w:r w:rsidR="00251561">
        <w:t>an ETC</w:t>
      </w:r>
      <w:r>
        <w:t>, submitted its 2009 settlement data to NECA in July 2010.</w:t>
      </w:r>
      <w:r>
        <w:rPr>
          <w:rStyle w:val="FootnoteReference"/>
        </w:rPr>
        <w:footnoteReference w:id="10"/>
      </w:r>
      <w:r>
        <w:t xml:space="preserve">  </w:t>
      </w:r>
      <w:r w:rsidR="00D07031">
        <w:t>I</w:t>
      </w:r>
      <w:r>
        <w:t xml:space="preserve">n November 2011, Innovative implemented a new </w:t>
      </w:r>
      <w:r w:rsidR="00472A42">
        <w:t xml:space="preserve">physical facilities </w:t>
      </w:r>
      <w:r>
        <w:t xml:space="preserve">database that allowed the company to </w:t>
      </w:r>
      <w:r w:rsidR="00D07031">
        <w:t xml:space="preserve">calculate </w:t>
      </w:r>
      <w:r w:rsidR="00472A42">
        <w:t>more accurately</w:t>
      </w:r>
      <w:r>
        <w:t xml:space="preserve"> the number of access lines and loops it had in service.</w:t>
      </w:r>
      <w:r>
        <w:rPr>
          <w:rStyle w:val="FootnoteReference"/>
        </w:rPr>
        <w:footnoteReference w:id="11"/>
      </w:r>
      <w:r>
        <w:t xml:space="preserve">  </w:t>
      </w:r>
      <w:r w:rsidR="00AA16CE">
        <w:t>Using this new</w:t>
      </w:r>
      <w:r>
        <w:t xml:space="preserve"> database, Innovative determined that the 2009 loop count data submitted to NECA erroneously included loops that were related to non-switched wideband services.</w:t>
      </w:r>
      <w:r>
        <w:rPr>
          <w:rStyle w:val="FootnoteReference"/>
        </w:rPr>
        <w:footnoteReference w:id="12"/>
      </w:r>
      <w:r w:rsidR="004311A2">
        <w:t xml:space="preserve">  Pursuant to NECA </w:t>
      </w:r>
      <w:r w:rsidR="00E45BBF">
        <w:t xml:space="preserve">cost submission </w:t>
      </w:r>
      <w:r w:rsidR="008818DD">
        <w:t>policies</w:t>
      </w:r>
      <w:r w:rsidR="004311A2">
        <w:t>, an incumbent local exchange carrier (ILEC) is required to exclude all non-switched wideband services from its loop and access line count data submitted for USF data collection and NECA pooling purposes.</w:t>
      </w:r>
      <w:r w:rsidR="004311A2">
        <w:rPr>
          <w:rStyle w:val="FootnoteReference"/>
        </w:rPr>
        <w:footnoteReference w:id="13"/>
      </w:r>
      <w:r w:rsidR="004311A2">
        <w:t xml:space="preserve">  As a result of Innovative’s error, </w:t>
      </w:r>
      <w:r w:rsidR="00433F3D">
        <w:t>its</w:t>
      </w:r>
      <w:r w:rsidR="004311A2">
        <w:t xml:space="preserve"> 2009 line count was overstated by 1</w:t>
      </w:r>
      <w:r w:rsidR="00DB03D4">
        <w:t>,</w:t>
      </w:r>
      <w:r w:rsidR="004311A2">
        <w:t>805 loops</w:t>
      </w:r>
      <w:r w:rsidR="00DB03D4">
        <w:t>,</w:t>
      </w:r>
      <w:r w:rsidR="004311A2">
        <w:t xml:space="preserve"> </w:t>
      </w:r>
      <w:r w:rsidR="00996821">
        <w:t xml:space="preserve">which effectively lowered </w:t>
      </w:r>
      <w:r w:rsidR="00A03C81">
        <w:t>Innovative’s</w:t>
      </w:r>
      <w:r w:rsidR="00996821">
        <w:t xml:space="preserve"> average cost per loop and thereby reduced the amount of HCLS it would otherwise have received in 2011 by </w:t>
      </w:r>
      <w:r w:rsidR="004311A2">
        <w:t>$565,860.</w:t>
      </w:r>
      <w:r w:rsidR="00BB0A31">
        <w:rPr>
          <w:rStyle w:val="FootnoteReference"/>
        </w:rPr>
        <w:footnoteReference w:id="14"/>
      </w:r>
      <w:r w:rsidR="003E3398">
        <w:t xml:space="preserve">  </w:t>
      </w:r>
      <w:r w:rsidR="004216E5">
        <w:t xml:space="preserve">Pursuant </w:t>
      </w:r>
      <w:r w:rsidR="003E3398">
        <w:t xml:space="preserve">to NECA’s 24-month rolling window, </w:t>
      </w:r>
      <w:r w:rsidR="00AB70C1">
        <w:t xml:space="preserve">corrections to </w:t>
      </w:r>
      <w:r w:rsidR="002E1A0B">
        <w:t>Innovative’s</w:t>
      </w:r>
      <w:r w:rsidR="00AB70C1">
        <w:t xml:space="preserve"> </w:t>
      </w:r>
      <w:r w:rsidR="003E3398">
        <w:t>January 2011 to October 2011</w:t>
      </w:r>
      <w:r w:rsidR="00AB70C1">
        <w:t xml:space="preserve"> HCLS calculations w</w:t>
      </w:r>
      <w:r w:rsidR="004216E5">
        <w:t>ere</w:t>
      </w:r>
      <w:r w:rsidR="00AB70C1">
        <w:t xml:space="preserve"> no longer permitted</w:t>
      </w:r>
      <w:r w:rsidR="003E3398">
        <w:t>.</w:t>
      </w:r>
      <w:r w:rsidR="003E3398">
        <w:rPr>
          <w:rStyle w:val="FootnoteReference"/>
        </w:rPr>
        <w:footnoteReference w:id="15"/>
      </w:r>
      <w:r w:rsidR="00043F98">
        <w:t xml:space="preserve">  Innovative requests that the Commission grant </w:t>
      </w:r>
      <w:r w:rsidR="00DC43B1">
        <w:t xml:space="preserve">a </w:t>
      </w:r>
      <w:r w:rsidR="00043F98">
        <w:t xml:space="preserve">waiver and direct NECA to reopen the 24-month adjustment window and recalculate Innovative’s 2011 HCLS </w:t>
      </w:r>
      <w:r w:rsidR="006704D9">
        <w:t xml:space="preserve">support amount </w:t>
      </w:r>
      <w:r w:rsidR="00DC43B1">
        <w:t xml:space="preserve">from </w:t>
      </w:r>
      <w:r w:rsidR="006704D9">
        <w:t>January 2011 to October 2011</w:t>
      </w:r>
      <w:r w:rsidR="00DC43B1">
        <w:t xml:space="preserve"> using </w:t>
      </w:r>
      <w:r w:rsidR="006704D9">
        <w:t>corrected loop count data</w:t>
      </w:r>
      <w:r w:rsidR="00043F98">
        <w:t>.</w:t>
      </w:r>
      <w:r w:rsidR="00043F98">
        <w:rPr>
          <w:rStyle w:val="FootnoteReference"/>
        </w:rPr>
        <w:footnoteReference w:id="16"/>
      </w:r>
      <w:r w:rsidR="00FA7248">
        <w:t xml:space="preserve">  According to Innovative, </w:t>
      </w:r>
      <w:r w:rsidR="00043F98">
        <w:t xml:space="preserve">the accuracy of its 2011 high-cost loop support is critical because, pursuant to </w:t>
      </w:r>
      <w:r w:rsidR="00E45BBF">
        <w:t>s</w:t>
      </w:r>
      <w:r w:rsidR="00043F98">
        <w:t>ection 54.312(a) of the Commission’s rules, a price cap carrier’s baseline support amount for frozen Connect America Fund (CAF) support is based on the carrier’s total 2011 support as determined by the Universal Service Administrative Company (USAC) on January 31, 2012.</w:t>
      </w:r>
      <w:r w:rsidR="00043F98">
        <w:rPr>
          <w:rStyle w:val="FootnoteReference"/>
        </w:rPr>
        <w:footnoteReference w:id="17"/>
      </w:r>
      <w:r w:rsidR="00043F98">
        <w:t xml:space="preserve">  </w:t>
      </w:r>
    </w:p>
    <w:p w:rsidR="00043F98" w:rsidRPr="00F10119" w:rsidRDefault="008D6035" w:rsidP="007C231E">
      <w:pPr>
        <w:pStyle w:val="ParaNum"/>
        <w:widowControl/>
        <w:tabs>
          <w:tab w:val="clear" w:pos="1080"/>
        </w:tabs>
        <w:jc w:val="left"/>
      </w:pPr>
      <w:r>
        <w:t xml:space="preserve">Nearly three years after filing its petition, </w:t>
      </w:r>
      <w:r w:rsidR="002D3422">
        <w:t>Innovative</w:t>
      </w:r>
      <w:r w:rsidR="006704D9">
        <w:t xml:space="preserve"> </w:t>
      </w:r>
      <w:r>
        <w:t>raised a new argument</w:t>
      </w:r>
      <w:r w:rsidR="00927EF5">
        <w:t xml:space="preserve"> in support of its request for waiver</w:t>
      </w:r>
      <w:r>
        <w:t xml:space="preserve">, </w:t>
      </w:r>
      <w:r w:rsidR="009F6DAD">
        <w:t>not</w:t>
      </w:r>
      <w:r>
        <w:t>ing</w:t>
      </w:r>
      <w:r w:rsidR="00E45BBF">
        <w:t xml:space="preserve"> in an ex parte </w:t>
      </w:r>
      <w:r w:rsidR="009F6DAD">
        <w:t xml:space="preserve">that, </w:t>
      </w:r>
      <w:r w:rsidR="00445476">
        <w:t>although NECA properly corrected Innovative’s</w:t>
      </w:r>
      <w:r w:rsidR="009F6DAD">
        <w:t xml:space="preserve"> November and December 2011 loop count information, </w:t>
      </w:r>
      <w:r w:rsidR="002D3422">
        <w:t xml:space="preserve">USAC failed to </w:t>
      </w:r>
      <w:r w:rsidR="00C42BAE">
        <w:t>include this corrected loop-count data in Innovative’s frozen</w:t>
      </w:r>
      <w:r w:rsidR="002D3422">
        <w:t xml:space="preserve"> support </w:t>
      </w:r>
      <w:r w:rsidR="00C42BAE">
        <w:t xml:space="preserve">baseline </w:t>
      </w:r>
      <w:r w:rsidR="002D3422">
        <w:t>amount</w:t>
      </w:r>
      <w:r w:rsidR="003A7DB9">
        <w:t xml:space="preserve"> as of January 31, 2012</w:t>
      </w:r>
      <w:r w:rsidR="002D3422">
        <w:t>.</w:t>
      </w:r>
      <w:r w:rsidR="002D3422">
        <w:rPr>
          <w:rStyle w:val="FootnoteReference"/>
        </w:rPr>
        <w:footnoteReference w:id="18"/>
      </w:r>
      <w:r w:rsidR="002D3422">
        <w:t xml:space="preserve">  </w:t>
      </w:r>
      <w:r w:rsidR="00927EF5">
        <w:t>Innovative now argues that because its</w:t>
      </w:r>
      <w:r w:rsidR="009F6DAD">
        <w:t xml:space="preserve"> November and December 2011 baseline support was </w:t>
      </w:r>
      <w:r w:rsidR="00445476">
        <w:t>computed using</w:t>
      </w:r>
      <w:r w:rsidR="009F6DAD">
        <w:t xml:space="preserve"> </w:t>
      </w:r>
      <w:r w:rsidR="00EE362C">
        <w:t xml:space="preserve">previously submitted </w:t>
      </w:r>
      <w:r w:rsidR="009F6DAD">
        <w:t>loop counts</w:t>
      </w:r>
      <w:r w:rsidR="00927EF5">
        <w:t xml:space="preserve">, and did not reflect any correction by </w:t>
      </w:r>
      <w:r w:rsidR="009F6DAD">
        <w:t>NECA</w:t>
      </w:r>
      <w:r w:rsidR="00927EF5">
        <w:t>, that</w:t>
      </w:r>
      <w:r w:rsidR="00CE19C4">
        <w:t xml:space="preserve"> </w:t>
      </w:r>
      <w:r w:rsidR="009F6DAD">
        <w:t>resulted in Innovative’s frozen CAF support being understated by $113,172 annually.</w:t>
      </w:r>
      <w:r w:rsidR="009F6DAD">
        <w:rPr>
          <w:rStyle w:val="FootnoteReference"/>
        </w:rPr>
        <w:footnoteReference w:id="19"/>
      </w:r>
      <w:r w:rsidR="009F6DAD">
        <w:t xml:space="preserve">  </w:t>
      </w:r>
      <w:r w:rsidR="006E3447">
        <w:t xml:space="preserve">Innovative requests that the </w:t>
      </w:r>
      <w:r>
        <w:t xml:space="preserve">frozen support baseline be corrected to include amounts associated with </w:t>
      </w:r>
      <w:r w:rsidR="00C42BAE">
        <w:t xml:space="preserve">the November and December 2011 </w:t>
      </w:r>
      <w:r w:rsidR="00DB03D4">
        <w:t>revised</w:t>
      </w:r>
      <w:r w:rsidR="00C42BAE">
        <w:t xml:space="preserve"> loop-count data from the frozen support baseline,</w:t>
      </w:r>
      <w:r w:rsidR="006E3447">
        <w:t xml:space="preserve"> which</w:t>
      </w:r>
      <w:r w:rsidR="00E27B36">
        <w:t xml:space="preserve">, together with the </w:t>
      </w:r>
      <w:r w:rsidR="00DB03D4">
        <w:t>revised</w:t>
      </w:r>
      <w:r w:rsidR="00E27B36">
        <w:t xml:space="preserve"> January </w:t>
      </w:r>
      <w:r w:rsidR="00DB03D4">
        <w:t>through</w:t>
      </w:r>
      <w:r w:rsidR="00E27B36">
        <w:t xml:space="preserve"> October 2011 loop counts,</w:t>
      </w:r>
      <w:r w:rsidR="006E3447">
        <w:t xml:space="preserve"> would increase Innovative’s annual frozen </w:t>
      </w:r>
      <w:r w:rsidR="00C42BAE">
        <w:t>CAF support by $679,032</w:t>
      </w:r>
      <w:r w:rsidR="006E3447">
        <w:t>.</w:t>
      </w:r>
      <w:r w:rsidR="006E3447">
        <w:rPr>
          <w:rStyle w:val="FootnoteReference"/>
        </w:rPr>
        <w:footnoteReference w:id="20"/>
      </w:r>
      <w:r w:rsidR="009F6DAD">
        <w:t xml:space="preserve"> </w:t>
      </w:r>
    </w:p>
    <w:p w:rsidR="0002302F" w:rsidRDefault="0002302F">
      <w:pPr>
        <w:pStyle w:val="Heading1"/>
        <w:widowControl/>
        <w:rPr>
          <w:szCs w:val="22"/>
        </w:rPr>
      </w:pPr>
      <w:r>
        <w:rPr>
          <w:szCs w:val="22"/>
        </w:rPr>
        <w:t>DISCUSSION</w:t>
      </w:r>
    </w:p>
    <w:p w:rsidR="00A72E63" w:rsidRPr="00B8431E" w:rsidRDefault="0002302F" w:rsidP="00C42BAE">
      <w:pPr>
        <w:pStyle w:val="ParaNum"/>
        <w:widowControl/>
        <w:tabs>
          <w:tab w:val="clear" w:pos="1080"/>
        </w:tabs>
        <w:jc w:val="left"/>
        <w:rPr>
          <w:szCs w:val="22"/>
        </w:rPr>
      </w:pPr>
      <w:r w:rsidRPr="001728BB">
        <w:rPr>
          <w:szCs w:val="22"/>
          <w:shd w:val="clear" w:color="auto" w:fill="FFFFFF"/>
        </w:rPr>
        <w:t xml:space="preserve">We find that </w:t>
      </w:r>
      <w:r w:rsidR="00712F43" w:rsidRPr="001728BB">
        <w:rPr>
          <w:szCs w:val="22"/>
          <w:shd w:val="clear" w:color="auto" w:fill="FFFFFF"/>
        </w:rPr>
        <w:t>Innovative</w:t>
      </w:r>
      <w:r w:rsidR="00A72E63" w:rsidRPr="001728BB">
        <w:rPr>
          <w:szCs w:val="22"/>
          <w:shd w:val="clear" w:color="auto" w:fill="FFFFFF"/>
        </w:rPr>
        <w:t xml:space="preserve"> has</w:t>
      </w:r>
      <w:r w:rsidRPr="001728BB">
        <w:rPr>
          <w:szCs w:val="22"/>
          <w:shd w:val="clear" w:color="auto" w:fill="FFFFFF"/>
        </w:rPr>
        <w:t xml:space="preserve"> </w:t>
      </w:r>
      <w:r w:rsidR="008C5948" w:rsidRPr="001728BB">
        <w:rPr>
          <w:szCs w:val="22"/>
          <w:shd w:val="clear" w:color="auto" w:fill="FFFFFF"/>
        </w:rPr>
        <w:t xml:space="preserve">not </w:t>
      </w:r>
      <w:r w:rsidRPr="001728BB">
        <w:rPr>
          <w:szCs w:val="22"/>
          <w:shd w:val="clear" w:color="auto" w:fill="FFFFFF"/>
        </w:rPr>
        <w:t xml:space="preserve">demonstrated good cause </w:t>
      </w:r>
      <w:bookmarkStart w:id="1" w:name="FN[FN93]"/>
      <w:bookmarkEnd w:id="1"/>
      <w:r w:rsidR="00DE47F9" w:rsidRPr="001728BB">
        <w:rPr>
          <w:szCs w:val="22"/>
          <w:shd w:val="clear" w:color="auto" w:fill="FFFFFF"/>
        </w:rPr>
        <w:t>for a waiver</w:t>
      </w:r>
      <w:r w:rsidRPr="001728BB">
        <w:rPr>
          <w:szCs w:val="22"/>
          <w:shd w:val="clear" w:color="auto" w:fill="FFFFFF"/>
        </w:rPr>
        <w:t>.</w:t>
      </w:r>
      <w:r>
        <w:rPr>
          <w:rStyle w:val="FootnoteReference"/>
          <w:szCs w:val="22"/>
          <w:shd w:val="clear" w:color="auto" w:fill="FFFFFF"/>
        </w:rPr>
        <w:footnoteReference w:id="21"/>
      </w:r>
      <w:r w:rsidR="006225CB" w:rsidRPr="001728BB">
        <w:rPr>
          <w:szCs w:val="22"/>
          <w:shd w:val="clear" w:color="auto" w:fill="FFFFFF"/>
        </w:rPr>
        <w:t xml:space="preserve">  </w:t>
      </w:r>
      <w:r w:rsidR="00EE362C">
        <w:rPr>
          <w:szCs w:val="22"/>
          <w:shd w:val="clear" w:color="auto" w:fill="FFFFFF"/>
        </w:rPr>
        <w:t>A w</w:t>
      </w:r>
      <w:r w:rsidR="000C7D74" w:rsidRPr="001728BB">
        <w:rPr>
          <w:szCs w:val="22"/>
          <w:shd w:val="clear" w:color="auto" w:fill="FFFFFF"/>
        </w:rPr>
        <w:t>aiver is appropriate for more effective implementation of overall policy on an individual basis</w:t>
      </w:r>
      <w:r w:rsidR="00927EF5">
        <w:rPr>
          <w:szCs w:val="22"/>
          <w:shd w:val="clear" w:color="auto" w:fill="FFFFFF"/>
        </w:rPr>
        <w:t>,</w:t>
      </w:r>
      <w:r w:rsidR="000C7D74">
        <w:rPr>
          <w:rStyle w:val="FootnoteReference"/>
          <w:szCs w:val="22"/>
          <w:shd w:val="clear" w:color="auto" w:fill="FFFFFF"/>
        </w:rPr>
        <w:footnoteReference w:id="22"/>
      </w:r>
      <w:r w:rsidR="000C7D74" w:rsidRPr="001728BB">
        <w:rPr>
          <w:szCs w:val="22"/>
          <w:shd w:val="clear" w:color="auto" w:fill="FFFFFF"/>
        </w:rPr>
        <w:t xml:space="preserve"> and when</w:t>
      </w:r>
      <w:r w:rsidR="00A72E63" w:rsidRPr="001728BB">
        <w:rPr>
          <w:szCs w:val="22"/>
          <w:shd w:val="clear" w:color="auto" w:fill="FFFFFF"/>
        </w:rPr>
        <w:t xml:space="preserve"> </w:t>
      </w:r>
      <w:r w:rsidR="000C7D74" w:rsidRPr="001728BB">
        <w:rPr>
          <w:szCs w:val="22"/>
          <w:shd w:val="clear" w:color="auto" w:fill="FFFFFF"/>
        </w:rPr>
        <w:t>special circumstances warrant a deviation from the Commission’s rules to service the public interest.</w:t>
      </w:r>
      <w:r w:rsidR="000C7D74">
        <w:rPr>
          <w:rStyle w:val="FootnoteReference"/>
          <w:szCs w:val="22"/>
          <w:shd w:val="clear" w:color="auto" w:fill="FFFFFF"/>
        </w:rPr>
        <w:footnoteReference w:id="23"/>
      </w:r>
      <w:r w:rsidR="000C7D74" w:rsidRPr="001728BB">
        <w:rPr>
          <w:szCs w:val="22"/>
          <w:shd w:val="clear" w:color="auto" w:fill="FFFFFF"/>
        </w:rPr>
        <w:t xml:space="preserve">  </w:t>
      </w:r>
      <w:r w:rsidR="00A7673C">
        <w:rPr>
          <w:szCs w:val="22"/>
          <w:shd w:val="clear" w:color="auto" w:fill="FFFFFF"/>
        </w:rPr>
        <w:t>Innovative</w:t>
      </w:r>
      <w:r w:rsidR="000C7D74" w:rsidRPr="001728BB">
        <w:rPr>
          <w:szCs w:val="22"/>
          <w:shd w:val="clear" w:color="auto" w:fill="FFFFFF"/>
        </w:rPr>
        <w:t xml:space="preserve">’s mistake in filing </w:t>
      </w:r>
      <w:r w:rsidR="00A7673C">
        <w:rPr>
          <w:szCs w:val="22"/>
          <w:shd w:val="clear" w:color="auto" w:fill="FFFFFF"/>
        </w:rPr>
        <w:t xml:space="preserve">incorrect loop count data </w:t>
      </w:r>
      <w:r w:rsidR="00927EF5">
        <w:rPr>
          <w:szCs w:val="22"/>
          <w:shd w:val="clear" w:color="auto" w:fill="FFFFFF"/>
        </w:rPr>
        <w:t xml:space="preserve">prior to November 2011 </w:t>
      </w:r>
      <w:r w:rsidR="00E950A5">
        <w:rPr>
          <w:szCs w:val="22"/>
          <w:shd w:val="clear" w:color="auto" w:fill="FFFFFF"/>
        </w:rPr>
        <w:t>resulted solely from</w:t>
      </w:r>
      <w:r w:rsidR="00A7673C">
        <w:rPr>
          <w:szCs w:val="22"/>
          <w:shd w:val="clear" w:color="auto" w:fill="FFFFFF"/>
        </w:rPr>
        <w:t xml:space="preserve"> Innovative’s own </w:t>
      </w:r>
      <w:r w:rsidR="00927EF5">
        <w:rPr>
          <w:szCs w:val="22"/>
          <w:shd w:val="clear" w:color="auto" w:fill="FFFFFF"/>
        </w:rPr>
        <w:t>actions</w:t>
      </w:r>
      <w:r w:rsidR="000C7D74" w:rsidRPr="001728BB">
        <w:rPr>
          <w:szCs w:val="22"/>
          <w:shd w:val="clear" w:color="auto" w:fill="FFFFFF"/>
        </w:rPr>
        <w:t>.</w:t>
      </w:r>
      <w:r w:rsidR="00B8431E">
        <w:rPr>
          <w:rStyle w:val="FootnoteReference"/>
          <w:szCs w:val="22"/>
          <w:shd w:val="clear" w:color="auto" w:fill="FFFFFF"/>
        </w:rPr>
        <w:footnoteReference w:id="24"/>
      </w:r>
      <w:r w:rsidR="00521FB6" w:rsidRPr="001728BB">
        <w:rPr>
          <w:szCs w:val="22"/>
          <w:shd w:val="clear" w:color="auto" w:fill="FFFFFF"/>
        </w:rPr>
        <w:t xml:space="preserve">  </w:t>
      </w:r>
      <w:r w:rsidR="00521FB6" w:rsidRPr="00B8431E">
        <w:rPr>
          <w:szCs w:val="22"/>
          <w:shd w:val="clear" w:color="auto" w:fill="FFFFFF"/>
        </w:rPr>
        <w:t xml:space="preserve">In addition, we are not persuaded that </w:t>
      </w:r>
      <w:r w:rsidR="00B8431E">
        <w:rPr>
          <w:szCs w:val="22"/>
          <w:shd w:val="clear" w:color="auto" w:fill="FFFFFF"/>
        </w:rPr>
        <w:t>Innovative will face “further strain”</w:t>
      </w:r>
      <w:r w:rsidR="00521FB6" w:rsidRPr="00B8431E">
        <w:rPr>
          <w:szCs w:val="22"/>
          <w:shd w:val="clear" w:color="auto" w:fill="FFFFFF"/>
        </w:rPr>
        <w:t xml:space="preserve"> in its ability to provide quality service to its consumers absent waiver </w:t>
      </w:r>
      <w:r w:rsidR="00B8431E">
        <w:rPr>
          <w:szCs w:val="22"/>
          <w:shd w:val="clear" w:color="auto" w:fill="FFFFFF"/>
        </w:rPr>
        <w:t xml:space="preserve">or recalculation of frozen CAF support </w:t>
      </w:r>
      <w:r w:rsidR="00521FB6" w:rsidRPr="00B8431E">
        <w:rPr>
          <w:szCs w:val="22"/>
          <w:shd w:val="clear" w:color="auto" w:fill="FFFFFF"/>
        </w:rPr>
        <w:t>in this circumstance</w:t>
      </w:r>
      <w:r w:rsidR="00E950A5">
        <w:rPr>
          <w:szCs w:val="22"/>
          <w:shd w:val="clear" w:color="auto" w:fill="FFFFFF"/>
        </w:rPr>
        <w:t>,</w:t>
      </w:r>
      <w:r w:rsidR="00521FB6">
        <w:rPr>
          <w:rStyle w:val="FootnoteReference"/>
          <w:szCs w:val="22"/>
          <w:shd w:val="clear" w:color="auto" w:fill="FFFFFF"/>
        </w:rPr>
        <w:footnoteReference w:id="25"/>
      </w:r>
      <w:r w:rsidR="00E950A5">
        <w:rPr>
          <w:szCs w:val="22"/>
          <w:shd w:val="clear" w:color="auto" w:fill="FFFFFF"/>
        </w:rPr>
        <w:t xml:space="preserve"> and Innovative has not shown that the frozen support it is receiving is inadequate.  </w:t>
      </w:r>
      <w:r w:rsidR="003B4279">
        <w:rPr>
          <w:szCs w:val="22"/>
          <w:shd w:val="clear" w:color="auto" w:fill="FFFFFF"/>
        </w:rPr>
        <w:t>Therefore</w:t>
      </w:r>
      <w:r w:rsidR="00521FB6" w:rsidRPr="00B8431E">
        <w:rPr>
          <w:szCs w:val="22"/>
          <w:shd w:val="clear" w:color="auto" w:fill="FFFFFF"/>
        </w:rPr>
        <w:t xml:space="preserve">, we deny </w:t>
      </w:r>
      <w:r w:rsidR="00B8431E">
        <w:rPr>
          <w:szCs w:val="22"/>
          <w:shd w:val="clear" w:color="auto" w:fill="FFFFFF"/>
        </w:rPr>
        <w:t>Innovative</w:t>
      </w:r>
      <w:r w:rsidR="00521FB6" w:rsidRPr="00B8431E">
        <w:rPr>
          <w:szCs w:val="22"/>
          <w:shd w:val="clear" w:color="auto" w:fill="FFFFFF"/>
        </w:rPr>
        <w:t xml:space="preserve">’s request for waiver. </w:t>
      </w:r>
    </w:p>
    <w:p w:rsidR="003A7DB9" w:rsidRPr="00B7773D" w:rsidRDefault="003A7DB9" w:rsidP="00B7773D">
      <w:pPr>
        <w:pStyle w:val="ParaNum"/>
        <w:widowControl/>
        <w:tabs>
          <w:tab w:val="clear" w:pos="1080"/>
        </w:tabs>
        <w:jc w:val="left"/>
        <w:rPr>
          <w:szCs w:val="22"/>
        </w:rPr>
      </w:pPr>
      <w:r>
        <w:rPr>
          <w:szCs w:val="22"/>
        </w:rPr>
        <w:t xml:space="preserve">In its petition, </w:t>
      </w:r>
      <w:r w:rsidR="001C6238" w:rsidRPr="00B7773D">
        <w:rPr>
          <w:szCs w:val="22"/>
        </w:rPr>
        <w:t xml:space="preserve">Innovative </w:t>
      </w:r>
      <w:r w:rsidR="00E950A5" w:rsidRPr="00B7773D">
        <w:rPr>
          <w:szCs w:val="22"/>
        </w:rPr>
        <w:t>asks</w:t>
      </w:r>
      <w:r w:rsidR="001C6238" w:rsidRPr="00B7773D">
        <w:rPr>
          <w:szCs w:val="22"/>
        </w:rPr>
        <w:t xml:space="preserve"> </w:t>
      </w:r>
      <w:r w:rsidR="00E11699" w:rsidRPr="00B7773D">
        <w:rPr>
          <w:szCs w:val="22"/>
        </w:rPr>
        <w:t xml:space="preserve">that </w:t>
      </w:r>
      <w:r w:rsidR="00927EF5" w:rsidRPr="00B7773D">
        <w:rPr>
          <w:szCs w:val="22"/>
        </w:rPr>
        <w:t>we</w:t>
      </w:r>
      <w:r w:rsidR="00D35220" w:rsidRPr="00B7773D">
        <w:rPr>
          <w:szCs w:val="22"/>
        </w:rPr>
        <w:t xml:space="preserve"> direct NECA to waive the 24-month adjustment window and recalculate Innovative’s HCLS support for January to October 2011.</w:t>
      </w:r>
      <w:r w:rsidR="00D35220">
        <w:rPr>
          <w:rStyle w:val="FootnoteReference"/>
          <w:szCs w:val="22"/>
        </w:rPr>
        <w:footnoteReference w:id="26"/>
      </w:r>
      <w:r w:rsidR="00D35220" w:rsidRPr="00B7773D">
        <w:rPr>
          <w:szCs w:val="22"/>
        </w:rPr>
        <w:t xml:space="preserve">  Innovative admits that the 24-month filing window is not embodied in a Commis</w:t>
      </w:r>
      <w:r w:rsidR="00D35220" w:rsidRPr="000C3097">
        <w:rPr>
          <w:szCs w:val="22"/>
        </w:rPr>
        <w:t>sion rule but argues that the Commission has the “power to direct NECA to reopen and readjust data for pool months which have already closed” for good cause.</w:t>
      </w:r>
      <w:r w:rsidR="00D35220">
        <w:rPr>
          <w:rStyle w:val="FootnoteReference"/>
          <w:szCs w:val="22"/>
        </w:rPr>
        <w:footnoteReference w:id="27"/>
      </w:r>
      <w:r w:rsidR="00D35220" w:rsidRPr="00B7773D">
        <w:rPr>
          <w:szCs w:val="22"/>
        </w:rPr>
        <w:t xml:space="preserve">  Innovative has failed to show</w:t>
      </w:r>
      <w:r w:rsidR="00927EF5" w:rsidRPr="00B7773D">
        <w:rPr>
          <w:szCs w:val="22"/>
        </w:rPr>
        <w:t>, however,</w:t>
      </w:r>
      <w:r w:rsidR="00D35220" w:rsidRPr="00B7773D">
        <w:rPr>
          <w:szCs w:val="22"/>
        </w:rPr>
        <w:t xml:space="preserve"> </w:t>
      </w:r>
      <w:r w:rsidR="000377A6" w:rsidRPr="000C3097">
        <w:rPr>
          <w:szCs w:val="22"/>
        </w:rPr>
        <w:t xml:space="preserve">that doing so </w:t>
      </w:r>
      <w:r w:rsidR="00927EF5" w:rsidRPr="000C3097">
        <w:rPr>
          <w:szCs w:val="22"/>
        </w:rPr>
        <w:t xml:space="preserve">in this case </w:t>
      </w:r>
      <w:r w:rsidR="000377A6" w:rsidRPr="000C3097">
        <w:rPr>
          <w:szCs w:val="22"/>
        </w:rPr>
        <w:t>is in the public interest</w:t>
      </w:r>
      <w:r w:rsidR="00D35220" w:rsidRPr="000C3097">
        <w:rPr>
          <w:szCs w:val="22"/>
        </w:rPr>
        <w:t>.</w:t>
      </w:r>
      <w:r w:rsidR="00CF6FF9" w:rsidRPr="000C3097">
        <w:rPr>
          <w:szCs w:val="22"/>
        </w:rPr>
        <w:t xml:space="preserve">  Innovative, through its own negligence, </w:t>
      </w:r>
      <w:r w:rsidR="00CF6FF9" w:rsidRPr="000C3097">
        <w:rPr>
          <w:szCs w:val="22"/>
          <w:shd w:val="clear" w:color="auto" w:fill="FFFFFF"/>
        </w:rPr>
        <w:t xml:space="preserve">filed incorrect loop count data </w:t>
      </w:r>
      <w:r w:rsidR="00927EF5" w:rsidRPr="000C3097">
        <w:rPr>
          <w:szCs w:val="22"/>
          <w:shd w:val="clear" w:color="auto" w:fill="FFFFFF"/>
        </w:rPr>
        <w:t xml:space="preserve">for an extended period of time, </w:t>
      </w:r>
      <w:r w:rsidR="00433F3D" w:rsidRPr="000C3097">
        <w:rPr>
          <w:szCs w:val="22"/>
          <w:shd w:val="clear" w:color="auto" w:fill="FFFFFF"/>
        </w:rPr>
        <w:t>which resulted</w:t>
      </w:r>
      <w:r w:rsidR="00CF6FF9" w:rsidRPr="000C3097">
        <w:rPr>
          <w:szCs w:val="22"/>
          <w:shd w:val="clear" w:color="auto" w:fill="FFFFFF"/>
        </w:rPr>
        <w:t xml:space="preserve"> in Innovative receiving less </w:t>
      </w:r>
      <w:r w:rsidR="007E6B65" w:rsidRPr="000C3097">
        <w:rPr>
          <w:szCs w:val="22"/>
          <w:shd w:val="clear" w:color="auto" w:fill="FFFFFF"/>
        </w:rPr>
        <w:t>HCLS</w:t>
      </w:r>
      <w:r w:rsidR="00CF6FF9" w:rsidRPr="000C3097">
        <w:rPr>
          <w:szCs w:val="22"/>
          <w:shd w:val="clear" w:color="auto" w:fill="FFFFFF"/>
        </w:rPr>
        <w:t xml:space="preserve"> support than </w:t>
      </w:r>
      <w:r w:rsidR="00927EF5" w:rsidRPr="000C3097">
        <w:rPr>
          <w:szCs w:val="22"/>
          <w:shd w:val="clear" w:color="auto" w:fill="FFFFFF"/>
        </w:rPr>
        <w:t xml:space="preserve">it </w:t>
      </w:r>
      <w:r w:rsidR="00CF6FF9" w:rsidRPr="000C3097">
        <w:rPr>
          <w:szCs w:val="22"/>
          <w:shd w:val="clear" w:color="auto" w:fill="FFFFFF"/>
        </w:rPr>
        <w:t xml:space="preserve">otherwise </w:t>
      </w:r>
      <w:r w:rsidR="00927EF5" w:rsidRPr="000C3097">
        <w:rPr>
          <w:szCs w:val="22"/>
          <w:shd w:val="clear" w:color="auto" w:fill="FFFFFF"/>
        </w:rPr>
        <w:t xml:space="preserve">would </w:t>
      </w:r>
      <w:r w:rsidR="00CF6FF9" w:rsidRPr="000C3097">
        <w:rPr>
          <w:szCs w:val="22"/>
          <w:shd w:val="clear" w:color="auto" w:fill="FFFFFF"/>
        </w:rPr>
        <w:t>have received.</w:t>
      </w:r>
      <w:r w:rsidR="00CF6FF9">
        <w:rPr>
          <w:rStyle w:val="FootnoteReference"/>
          <w:szCs w:val="22"/>
          <w:shd w:val="clear" w:color="auto" w:fill="FFFFFF"/>
        </w:rPr>
        <w:footnoteReference w:id="28"/>
      </w:r>
      <w:r w:rsidR="00CF6FF9" w:rsidRPr="00B7773D">
        <w:rPr>
          <w:szCs w:val="22"/>
          <w:shd w:val="clear" w:color="auto" w:fill="FFFFFF"/>
        </w:rPr>
        <w:t xml:space="preserve">  </w:t>
      </w:r>
      <w:r w:rsidR="00927EF5" w:rsidRPr="00B7773D">
        <w:rPr>
          <w:szCs w:val="22"/>
          <w:shd w:val="clear" w:color="auto" w:fill="FFFFFF"/>
        </w:rPr>
        <w:t xml:space="preserve">It is necessary to enforce strictly the 24-month window for correcting information so that there can be finality in the </w:t>
      </w:r>
      <w:r w:rsidR="00927EF5" w:rsidRPr="000C3097">
        <w:rPr>
          <w:szCs w:val="22"/>
          <w:shd w:val="clear" w:color="auto" w:fill="FFFFFF"/>
        </w:rPr>
        <w:t xml:space="preserve">calculation of HCLS payments.  </w:t>
      </w:r>
      <w:r w:rsidR="000C3097">
        <w:rPr>
          <w:szCs w:val="22"/>
          <w:shd w:val="clear" w:color="auto" w:fill="FFFFFF"/>
        </w:rPr>
        <w:t>I</w:t>
      </w:r>
      <w:r w:rsidR="0087140C" w:rsidRPr="00B7773D">
        <w:rPr>
          <w:szCs w:val="22"/>
        </w:rPr>
        <w:t xml:space="preserve">f carriers were permitted to adjust their </w:t>
      </w:r>
      <w:r w:rsidR="00613684" w:rsidRPr="00B7773D">
        <w:rPr>
          <w:szCs w:val="22"/>
        </w:rPr>
        <w:t xml:space="preserve">settlement </w:t>
      </w:r>
      <w:r w:rsidR="0087140C" w:rsidRPr="00B7773D">
        <w:rPr>
          <w:szCs w:val="22"/>
        </w:rPr>
        <w:t xml:space="preserve">data outside of the 24-month adjustment window, NECA </w:t>
      </w:r>
      <w:r w:rsidR="00EB14B0" w:rsidRPr="00B7773D">
        <w:rPr>
          <w:szCs w:val="22"/>
        </w:rPr>
        <w:t xml:space="preserve">would be required </w:t>
      </w:r>
      <w:r w:rsidR="001C5020" w:rsidRPr="00B7773D">
        <w:rPr>
          <w:szCs w:val="22"/>
        </w:rPr>
        <w:t xml:space="preserve">continually </w:t>
      </w:r>
      <w:r w:rsidR="00EB14B0" w:rsidRPr="00B7773D">
        <w:rPr>
          <w:szCs w:val="22"/>
        </w:rPr>
        <w:t>to</w:t>
      </w:r>
      <w:r w:rsidR="0087140C" w:rsidRPr="00B7773D">
        <w:rPr>
          <w:szCs w:val="22"/>
        </w:rPr>
        <w:t xml:space="preserve"> adjust the NACPL</w:t>
      </w:r>
      <w:r w:rsidR="001C5020" w:rsidRPr="00B7773D">
        <w:rPr>
          <w:szCs w:val="22"/>
        </w:rPr>
        <w:t>.</w:t>
      </w:r>
      <w:r w:rsidR="009E5CFC">
        <w:rPr>
          <w:rStyle w:val="FootnoteReference"/>
          <w:szCs w:val="22"/>
        </w:rPr>
        <w:footnoteReference w:id="29"/>
      </w:r>
      <w:r w:rsidR="00E15888" w:rsidRPr="00B7773D">
        <w:rPr>
          <w:szCs w:val="22"/>
        </w:rPr>
        <w:t xml:space="preserve"> </w:t>
      </w:r>
      <w:r w:rsidR="001C5020" w:rsidRPr="00B7773D">
        <w:rPr>
          <w:szCs w:val="22"/>
        </w:rPr>
        <w:t xml:space="preserve"> “U</w:t>
      </w:r>
      <w:r w:rsidR="00EB14B0" w:rsidRPr="00B7773D">
        <w:rPr>
          <w:szCs w:val="22"/>
        </w:rPr>
        <w:t>nder the cap, a funding increase for any carrier must be offset by funding decreases for others</w:t>
      </w:r>
      <w:r w:rsidR="00461E72" w:rsidRPr="00B7773D">
        <w:rPr>
          <w:szCs w:val="22"/>
        </w:rPr>
        <w:t>,</w:t>
      </w:r>
      <w:r w:rsidR="00EB14B0" w:rsidRPr="00B7773D">
        <w:rPr>
          <w:szCs w:val="22"/>
        </w:rPr>
        <w:t>”</w:t>
      </w:r>
      <w:r w:rsidR="009E5CFC">
        <w:rPr>
          <w:rStyle w:val="FootnoteReference"/>
          <w:szCs w:val="22"/>
        </w:rPr>
        <w:footnoteReference w:id="30"/>
      </w:r>
      <w:r w:rsidR="00EB14B0" w:rsidRPr="00B7773D">
        <w:rPr>
          <w:szCs w:val="22"/>
        </w:rPr>
        <w:t xml:space="preserve"> </w:t>
      </w:r>
      <w:r w:rsidR="00461E72" w:rsidRPr="00B7773D">
        <w:rPr>
          <w:szCs w:val="22"/>
        </w:rPr>
        <w:t>so</w:t>
      </w:r>
      <w:r w:rsidR="00E15888" w:rsidRPr="00B7773D">
        <w:rPr>
          <w:szCs w:val="22"/>
        </w:rPr>
        <w:t xml:space="preserve"> </w:t>
      </w:r>
      <w:r w:rsidR="00E11699" w:rsidRPr="00B7773D">
        <w:rPr>
          <w:szCs w:val="22"/>
        </w:rPr>
        <w:t>changes</w:t>
      </w:r>
      <w:r w:rsidR="0087140C" w:rsidRPr="00B7773D">
        <w:rPr>
          <w:szCs w:val="22"/>
        </w:rPr>
        <w:t xml:space="preserve"> </w:t>
      </w:r>
      <w:r>
        <w:rPr>
          <w:szCs w:val="22"/>
        </w:rPr>
        <w:t xml:space="preserve">in </w:t>
      </w:r>
      <w:r w:rsidR="0087140C" w:rsidRPr="00B7773D">
        <w:rPr>
          <w:szCs w:val="22"/>
        </w:rPr>
        <w:t xml:space="preserve">the NACPL </w:t>
      </w:r>
      <w:r w:rsidR="00F5789A">
        <w:rPr>
          <w:szCs w:val="22"/>
        </w:rPr>
        <w:t>affect</w:t>
      </w:r>
      <w:r w:rsidR="0087140C" w:rsidRPr="00B7773D">
        <w:rPr>
          <w:szCs w:val="22"/>
        </w:rPr>
        <w:t xml:space="preserve"> disbursements to </w:t>
      </w:r>
      <w:r>
        <w:rPr>
          <w:szCs w:val="22"/>
        </w:rPr>
        <w:t xml:space="preserve">other </w:t>
      </w:r>
      <w:r w:rsidR="0087140C" w:rsidRPr="00B7773D">
        <w:rPr>
          <w:szCs w:val="22"/>
        </w:rPr>
        <w:t>carriers</w:t>
      </w:r>
      <w:r w:rsidR="00EB14B0" w:rsidRPr="00B7773D">
        <w:rPr>
          <w:szCs w:val="22"/>
        </w:rPr>
        <w:t>.</w:t>
      </w:r>
      <w:r w:rsidR="00A523D2" w:rsidRPr="00B7773D">
        <w:rPr>
          <w:szCs w:val="22"/>
        </w:rPr>
        <w:t xml:space="preserve">  </w:t>
      </w:r>
      <w:r w:rsidR="000C3097">
        <w:rPr>
          <w:szCs w:val="22"/>
          <w:shd w:val="clear" w:color="auto" w:fill="FFFFFF"/>
        </w:rPr>
        <w:t>Moreover, r</w:t>
      </w:r>
      <w:r w:rsidR="000C3097" w:rsidRPr="000C3097">
        <w:rPr>
          <w:szCs w:val="22"/>
          <w:shd w:val="clear" w:color="auto" w:fill="FFFFFF"/>
        </w:rPr>
        <w:t>e-opening the 24-month window would be inconsistent with the Commission’s recent decision to enforce high-cost filing deadlines strictly and reduce support for late filings.</w:t>
      </w:r>
      <w:r w:rsidR="000C3097">
        <w:rPr>
          <w:rStyle w:val="FootnoteReference"/>
          <w:szCs w:val="22"/>
          <w:shd w:val="clear" w:color="auto" w:fill="FFFFFF"/>
        </w:rPr>
        <w:footnoteReference w:id="31"/>
      </w:r>
      <w:r w:rsidR="000C3097" w:rsidRPr="00B7773D">
        <w:rPr>
          <w:szCs w:val="22"/>
          <w:shd w:val="clear" w:color="auto" w:fill="FFFFFF"/>
        </w:rPr>
        <w:t xml:space="preserve"> </w:t>
      </w:r>
      <w:r w:rsidR="00F5789A">
        <w:rPr>
          <w:szCs w:val="22"/>
          <w:shd w:val="clear" w:color="auto" w:fill="FFFFFF"/>
        </w:rPr>
        <w:t xml:space="preserve"> </w:t>
      </w:r>
      <w:r w:rsidR="00A523D2" w:rsidRPr="00B7773D">
        <w:rPr>
          <w:szCs w:val="22"/>
        </w:rPr>
        <w:t>Therefore, we find that it is not in the public interest to grant Innovative’s waiver request.</w:t>
      </w:r>
      <w:r w:rsidR="00F056EF" w:rsidRPr="00832F63">
        <w:rPr>
          <w:rStyle w:val="FootnoteReference"/>
        </w:rPr>
        <w:footnoteReference w:id="32"/>
      </w:r>
      <w:r>
        <w:rPr>
          <w:szCs w:val="22"/>
        </w:rPr>
        <w:t xml:space="preserve">  </w:t>
      </w:r>
    </w:p>
    <w:p w:rsidR="00572798" w:rsidRPr="00930655" w:rsidRDefault="006704D9" w:rsidP="006704D9">
      <w:pPr>
        <w:pStyle w:val="ParaNum"/>
        <w:widowControl/>
        <w:tabs>
          <w:tab w:val="clear" w:pos="1080"/>
        </w:tabs>
        <w:jc w:val="left"/>
        <w:rPr>
          <w:szCs w:val="22"/>
        </w:rPr>
      </w:pPr>
      <w:r w:rsidRPr="00930655">
        <w:rPr>
          <w:szCs w:val="22"/>
          <w:shd w:val="clear" w:color="auto" w:fill="FFFFFF"/>
        </w:rPr>
        <w:t xml:space="preserve">In addition, </w:t>
      </w:r>
      <w:r w:rsidR="00B7773D">
        <w:rPr>
          <w:szCs w:val="22"/>
          <w:shd w:val="clear" w:color="auto" w:fill="FFFFFF"/>
        </w:rPr>
        <w:t xml:space="preserve">we are not persuaded by </w:t>
      </w:r>
      <w:r w:rsidR="005E57E6" w:rsidRPr="00930655">
        <w:rPr>
          <w:szCs w:val="22"/>
          <w:shd w:val="clear" w:color="auto" w:fill="FFFFFF"/>
        </w:rPr>
        <w:t>Innovative</w:t>
      </w:r>
      <w:r w:rsidR="00B7773D">
        <w:rPr>
          <w:szCs w:val="22"/>
          <w:shd w:val="clear" w:color="auto" w:fill="FFFFFF"/>
        </w:rPr>
        <w:t>’s</w:t>
      </w:r>
      <w:r w:rsidR="005E57E6" w:rsidRPr="00930655">
        <w:rPr>
          <w:szCs w:val="22"/>
          <w:shd w:val="clear" w:color="auto" w:fill="FFFFFF"/>
        </w:rPr>
        <w:t xml:space="preserve"> a</w:t>
      </w:r>
      <w:r w:rsidR="00F91168" w:rsidRPr="00930655">
        <w:rPr>
          <w:szCs w:val="22"/>
          <w:shd w:val="clear" w:color="auto" w:fill="FFFFFF"/>
        </w:rPr>
        <w:t>rgu</w:t>
      </w:r>
      <w:r w:rsidR="00B7773D">
        <w:rPr>
          <w:szCs w:val="22"/>
          <w:shd w:val="clear" w:color="auto" w:fill="FFFFFF"/>
        </w:rPr>
        <w:t>ment</w:t>
      </w:r>
      <w:r w:rsidR="003A7DB9">
        <w:rPr>
          <w:szCs w:val="22"/>
          <w:shd w:val="clear" w:color="auto" w:fill="FFFFFF"/>
        </w:rPr>
        <w:t xml:space="preserve"> newly raised in 2014 </w:t>
      </w:r>
      <w:r w:rsidR="00F91168" w:rsidRPr="00930655">
        <w:rPr>
          <w:szCs w:val="22"/>
          <w:shd w:val="clear" w:color="auto" w:fill="FFFFFF"/>
        </w:rPr>
        <w:t xml:space="preserve">that </w:t>
      </w:r>
      <w:r w:rsidR="00B7773D">
        <w:rPr>
          <w:szCs w:val="22"/>
          <w:shd w:val="clear" w:color="auto" w:fill="FFFFFF"/>
        </w:rPr>
        <w:t xml:space="preserve">we should </w:t>
      </w:r>
      <w:r w:rsidR="005E57E6" w:rsidRPr="00930655">
        <w:rPr>
          <w:szCs w:val="22"/>
          <w:shd w:val="clear" w:color="auto" w:fill="FFFFFF"/>
        </w:rPr>
        <w:t xml:space="preserve">grant its waiver request </w:t>
      </w:r>
      <w:r w:rsidR="00F91168" w:rsidRPr="00930655">
        <w:rPr>
          <w:szCs w:val="22"/>
          <w:shd w:val="clear" w:color="auto" w:fill="FFFFFF"/>
        </w:rPr>
        <w:t>to “ensure that accurate loop count data are used in calculating Innovative’s [frozen] universal service support.”</w:t>
      </w:r>
      <w:r w:rsidR="00F91168">
        <w:rPr>
          <w:rStyle w:val="FootnoteReference"/>
          <w:szCs w:val="22"/>
          <w:shd w:val="clear" w:color="auto" w:fill="FFFFFF"/>
        </w:rPr>
        <w:footnoteReference w:id="33"/>
      </w:r>
      <w:r w:rsidR="00F91168" w:rsidRPr="00930655">
        <w:rPr>
          <w:szCs w:val="22"/>
          <w:shd w:val="clear" w:color="auto" w:fill="FFFFFF"/>
        </w:rPr>
        <w:t xml:space="preserve">  </w:t>
      </w:r>
      <w:r w:rsidR="00A523D2" w:rsidRPr="00930655">
        <w:rPr>
          <w:szCs w:val="22"/>
          <w:shd w:val="clear" w:color="auto" w:fill="FFFFFF"/>
        </w:rPr>
        <w:t xml:space="preserve">Innovative notes that pursuant to </w:t>
      </w:r>
      <w:r w:rsidR="00E45BBF">
        <w:rPr>
          <w:szCs w:val="22"/>
          <w:shd w:val="clear" w:color="auto" w:fill="FFFFFF"/>
        </w:rPr>
        <w:t>s</w:t>
      </w:r>
      <w:r w:rsidR="00A523D2" w:rsidRPr="00930655">
        <w:rPr>
          <w:szCs w:val="22"/>
          <w:shd w:val="clear" w:color="auto" w:fill="FFFFFF"/>
        </w:rPr>
        <w:t>ection 54.312(a) of the Commission’s rules, a price cap carrier’s frozen CAF support is based on the carrier’s total 2011 support as determined by USAC on January 31, 2012.</w:t>
      </w:r>
      <w:r w:rsidR="00A523D2">
        <w:rPr>
          <w:rStyle w:val="FootnoteReference"/>
          <w:szCs w:val="22"/>
          <w:shd w:val="clear" w:color="auto" w:fill="FFFFFF"/>
        </w:rPr>
        <w:footnoteReference w:id="34"/>
      </w:r>
      <w:r w:rsidR="00976CB9" w:rsidRPr="00930655">
        <w:rPr>
          <w:szCs w:val="22"/>
          <w:shd w:val="clear" w:color="auto" w:fill="FFFFFF"/>
        </w:rPr>
        <w:t xml:space="preserve">  </w:t>
      </w:r>
      <w:r w:rsidR="000C3097">
        <w:rPr>
          <w:szCs w:val="22"/>
          <w:shd w:val="clear" w:color="auto" w:fill="FFFFFF"/>
        </w:rPr>
        <w:t>T</w:t>
      </w:r>
      <w:r w:rsidR="008326C4" w:rsidRPr="00930655">
        <w:rPr>
          <w:szCs w:val="22"/>
          <w:shd w:val="clear" w:color="auto" w:fill="FFFFFF"/>
        </w:rPr>
        <w:t xml:space="preserve">he </w:t>
      </w:r>
      <w:r w:rsidR="00140736" w:rsidRPr="00930655">
        <w:rPr>
          <w:i/>
        </w:rPr>
        <w:t>USF/ICC Transformation Order</w:t>
      </w:r>
      <w:r w:rsidR="00140736" w:rsidRPr="00930655">
        <w:rPr>
          <w:rStyle w:val="FootnoteReference"/>
          <w:szCs w:val="22"/>
          <w:shd w:val="clear" w:color="auto" w:fill="FFFFFF"/>
        </w:rPr>
        <w:t xml:space="preserve"> </w:t>
      </w:r>
      <w:r w:rsidR="00140736" w:rsidRPr="00930655">
        <w:rPr>
          <w:szCs w:val="22"/>
          <w:shd w:val="clear" w:color="auto" w:fill="FFFFFF"/>
        </w:rPr>
        <w:t xml:space="preserve"> stated that the Commission will “provide frozen high-cost support to such carriers equal to the amount of support each carrier </w:t>
      </w:r>
      <w:r w:rsidR="00140736" w:rsidRPr="00930655">
        <w:rPr>
          <w:i/>
          <w:szCs w:val="22"/>
          <w:shd w:val="clear" w:color="auto" w:fill="FFFFFF"/>
        </w:rPr>
        <w:t>received</w:t>
      </w:r>
      <w:r w:rsidR="00140736" w:rsidRPr="00930655">
        <w:rPr>
          <w:szCs w:val="22"/>
          <w:shd w:val="clear" w:color="auto" w:fill="FFFFFF"/>
        </w:rPr>
        <w:t xml:space="preserve"> in 2011 in a given study area.”</w:t>
      </w:r>
      <w:r w:rsidR="008326C4">
        <w:rPr>
          <w:rStyle w:val="FootnoteReference"/>
          <w:szCs w:val="22"/>
          <w:shd w:val="clear" w:color="auto" w:fill="FFFFFF"/>
        </w:rPr>
        <w:footnoteReference w:id="35"/>
      </w:r>
      <w:r w:rsidR="005E57E6" w:rsidRPr="00930655">
        <w:rPr>
          <w:szCs w:val="22"/>
          <w:shd w:val="clear" w:color="auto" w:fill="FFFFFF"/>
        </w:rPr>
        <w:t xml:space="preserve">  Further, the Commission </w:t>
      </w:r>
      <w:r w:rsidR="00070A17" w:rsidRPr="00930655">
        <w:rPr>
          <w:szCs w:val="22"/>
          <w:shd w:val="clear" w:color="auto" w:fill="FFFFFF"/>
        </w:rPr>
        <w:t>provided</w:t>
      </w:r>
      <w:r w:rsidR="005E57E6" w:rsidRPr="00930655">
        <w:rPr>
          <w:szCs w:val="22"/>
          <w:shd w:val="clear" w:color="auto" w:fill="FFFFFF"/>
        </w:rPr>
        <w:t xml:space="preserve"> that “[f]rozen high-cost support amounts will be calculated by USAC and will be equal to the amount of support disbursed</w:t>
      </w:r>
      <w:r w:rsidR="00572798" w:rsidRPr="00930655">
        <w:rPr>
          <w:szCs w:val="22"/>
          <w:shd w:val="clear" w:color="auto" w:fill="FFFFFF"/>
        </w:rPr>
        <w:t xml:space="preserve"> in 2011, without regard to prior period adjustments related to years other than 2011 and as determined by USAC on January 31, 2012</w:t>
      </w:r>
      <w:r w:rsidR="005E57E6" w:rsidRPr="00930655">
        <w:rPr>
          <w:szCs w:val="22"/>
          <w:shd w:val="clear" w:color="auto" w:fill="FFFFFF"/>
        </w:rPr>
        <w:t>.”</w:t>
      </w:r>
      <w:r w:rsidR="005E57E6">
        <w:rPr>
          <w:rStyle w:val="FootnoteReference"/>
          <w:szCs w:val="22"/>
          <w:shd w:val="clear" w:color="auto" w:fill="FFFFFF"/>
        </w:rPr>
        <w:footnoteReference w:id="36"/>
      </w:r>
      <w:r w:rsidR="00F91168" w:rsidRPr="00930655">
        <w:rPr>
          <w:szCs w:val="22"/>
          <w:shd w:val="clear" w:color="auto" w:fill="FFFFFF"/>
        </w:rPr>
        <w:t xml:space="preserve">  The Commission </w:t>
      </w:r>
      <w:r w:rsidR="00AE1DD8" w:rsidRPr="00930655">
        <w:rPr>
          <w:szCs w:val="22"/>
          <w:shd w:val="clear" w:color="auto" w:fill="FFFFFF"/>
        </w:rPr>
        <w:t xml:space="preserve">specifically defined </w:t>
      </w:r>
      <w:r w:rsidR="00070A17" w:rsidRPr="00930655">
        <w:rPr>
          <w:szCs w:val="22"/>
          <w:shd w:val="clear" w:color="auto" w:fill="FFFFFF"/>
        </w:rPr>
        <w:t xml:space="preserve">a carrier’s frozen support baseline </w:t>
      </w:r>
      <w:r w:rsidR="00AE1DD8" w:rsidRPr="00930655">
        <w:rPr>
          <w:szCs w:val="22"/>
          <w:shd w:val="clear" w:color="auto" w:fill="FFFFFF"/>
        </w:rPr>
        <w:t>as that</w:t>
      </w:r>
      <w:r w:rsidR="00F91168" w:rsidRPr="00930655">
        <w:rPr>
          <w:szCs w:val="22"/>
          <w:shd w:val="clear" w:color="auto" w:fill="FFFFFF"/>
        </w:rPr>
        <w:t xml:space="preserve"> “received” and “disbursed” rather than “owed” or “accruing</w:t>
      </w:r>
      <w:r w:rsidR="00070A17" w:rsidRPr="00930655">
        <w:rPr>
          <w:szCs w:val="22"/>
          <w:shd w:val="clear" w:color="auto" w:fill="FFFFFF"/>
        </w:rPr>
        <w:t>.</w:t>
      </w:r>
      <w:r w:rsidR="00F91168" w:rsidRPr="00930655">
        <w:rPr>
          <w:szCs w:val="22"/>
          <w:shd w:val="clear" w:color="auto" w:fill="FFFFFF"/>
        </w:rPr>
        <w:t>”</w:t>
      </w:r>
      <w:r w:rsidR="00572798" w:rsidRPr="00930655">
        <w:rPr>
          <w:szCs w:val="22"/>
          <w:shd w:val="clear" w:color="auto" w:fill="FFFFFF"/>
        </w:rPr>
        <w:t xml:space="preserve">  The Commission also </w:t>
      </w:r>
      <w:r w:rsidR="00E3477D" w:rsidRPr="00930655">
        <w:rPr>
          <w:szCs w:val="22"/>
          <w:shd w:val="clear" w:color="auto" w:fill="FFFFFF"/>
        </w:rPr>
        <w:t xml:space="preserve">made clear that </w:t>
      </w:r>
      <w:r w:rsidR="00613684" w:rsidRPr="00930655">
        <w:rPr>
          <w:szCs w:val="22"/>
          <w:shd w:val="clear" w:color="auto" w:fill="FFFFFF"/>
        </w:rPr>
        <w:t xml:space="preserve">frozen </w:t>
      </w:r>
      <w:r w:rsidR="00E3477D" w:rsidRPr="00930655">
        <w:rPr>
          <w:szCs w:val="22"/>
          <w:shd w:val="clear" w:color="auto" w:fill="FFFFFF"/>
        </w:rPr>
        <w:t>support was to be determined</w:t>
      </w:r>
      <w:r w:rsidR="00572798" w:rsidRPr="00930655">
        <w:rPr>
          <w:szCs w:val="22"/>
          <w:shd w:val="clear" w:color="auto" w:fill="FFFFFF"/>
        </w:rPr>
        <w:t xml:space="preserve"> “without regard to prior period adjustments related to years other than 2011</w:t>
      </w:r>
      <w:r w:rsidR="00E3477D" w:rsidRPr="00930655">
        <w:rPr>
          <w:szCs w:val="22"/>
          <w:shd w:val="clear" w:color="auto" w:fill="FFFFFF"/>
        </w:rPr>
        <w:t>,</w:t>
      </w:r>
      <w:r w:rsidR="00572798" w:rsidRPr="00930655">
        <w:rPr>
          <w:szCs w:val="22"/>
          <w:shd w:val="clear" w:color="auto" w:fill="FFFFFF"/>
        </w:rPr>
        <w:t xml:space="preserve">” </w:t>
      </w:r>
      <w:r w:rsidR="00BA096B" w:rsidRPr="00930655">
        <w:rPr>
          <w:szCs w:val="22"/>
          <w:shd w:val="clear" w:color="auto" w:fill="FFFFFF"/>
        </w:rPr>
        <w:t>meaning that</w:t>
      </w:r>
      <w:r w:rsidR="00E3477D" w:rsidRPr="00930655">
        <w:rPr>
          <w:szCs w:val="22"/>
          <w:shd w:val="clear" w:color="auto" w:fill="FFFFFF"/>
        </w:rPr>
        <w:t xml:space="preserve"> </w:t>
      </w:r>
      <w:r w:rsidR="00572798" w:rsidRPr="00930655">
        <w:rPr>
          <w:szCs w:val="22"/>
          <w:shd w:val="clear" w:color="auto" w:fill="FFFFFF"/>
        </w:rPr>
        <w:t>any prior period adjustments actually disbursed in 2011 are included in the frozen support base</w:t>
      </w:r>
      <w:r w:rsidR="00317C5B" w:rsidRPr="00930655">
        <w:rPr>
          <w:szCs w:val="22"/>
          <w:shd w:val="clear" w:color="auto" w:fill="FFFFFF"/>
        </w:rPr>
        <w:t>line</w:t>
      </w:r>
      <w:r w:rsidR="00572798" w:rsidRPr="00930655">
        <w:rPr>
          <w:szCs w:val="22"/>
          <w:shd w:val="clear" w:color="auto" w:fill="FFFFFF"/>
        </w:rPr>
        <w:t xml:space="preserve"> and any prior period adjustments </w:t>
      </w:r>
      <w:r w:rsidR="00E3477D" w:rsidRPr="00930655">
        <w:rPr>
          <w:szCs w:val="22"/>
          <w:shd w:val="clear" w:color="auto" w:fill="FFFFFF"/>
        </w:rPr>
        <w:t xml:space="preserve">disbursed </w:t>
      </w:r>
      <w:r w:rsidR="00572798" w:rsidRPr="00930655">
        <w:rPr>
          <w:szCs w:val="22"/>
          <w:shd w:val="clear" w:color="auto" w:fill="FFFFFF"/>
        </w:rPr>
        <w:t xml:space="preserve">after January 31, 2012 </w:t>
      </w:r>
      <w:r w:rsidR="00BA096B" w:rsidRPr="00930655">
        <w:rPr>
          <w:szCs w:val="22"/>
          <w:shd w:val="clear" w:color="auto" w:fill="FFFFFF"/>
        </w:rPr>
        <w:t>are excluded</w:t>
      </w:r>
      <w:r w:rsidR="00572798" w:rsidRPr="00930655">
        <w:rPr>
          <w:szCs w:val="22"/>
          <w:shd w:val="clear" w:color="auto" w:fill="FFFFFF"/>
        </w:rPr>
        <w:t>.</w:t>
      </w:r>
      <w:r w:rsidR="00572798">
        <w:rPr>
          <w:rStyle w:val="FootnoteReference"/>
          <w:szCs w:val="22"/>
          <w:shd w:val="clear" w:color="auto" w:fill="FFFFFF"/>
        </w:rPr>
        <w:footnoteReference w:id="37"/>
      </w:r>
      <w:r w:rsidRPr="00930655">
        <w:rPr>
          <w:szCs w:val="22"/>
        </w:rPr>
        <w:t xml:space="preserve">  </w:t>
      </w:r>
      <w:r w:rsidR="008D6035">
        <w:t>T</w:t>
      </w:r>
      <w:r w:rsidR="000C3097">
        <w:t xml:space="preserve">he language used by </w:t>
      </w:r>
      <w:r w:rsidR="00F11ECB">
        <w:t>t</w:t>
      </w:r>
      <w:r w:rsidR="00BA096B">
        <w:t xml:space="preserve">he Commission </w:t>
      </w:r>
      <w:r w:rsidR="008D6035">
        <w:t xml:space="preserve">thus </w:t>
      </w:r>
      <w:r w:rsidR="00BA096B">
        <w:t>specifically exclude</w:t>
      </w:r>
      <w:r w:rsidR="000C3097">
        <w:t>d</w:t>
      </w:r>
      <w:r w:rsidR="00BA096B">
        <w:t xml:space="preserve"> the adjustments requested by Innovative</w:t>
      </w:r>
      <w:r w:rsidR="00572798">
        <w:t xml:space="preserve">.  </w:t>
      </w:r>
      <w:r w:rsidR="00514815">
        <w:t xml:space="preserve">For these same reasons, no waiver is warranted </w:t>
      </w:r>
      <w:r w:rsidR="00572798">
        <w:t>to adjust Innovative’s frozen support base</w:t>
      </w:r>
      <w:r w:rsidR="00317C5B">
        <w:t>line</w:t>
      </w:r>
      <w:r w:rsidR="00572798">
        <w:t xml:space="preserve"> amount </w:t>
      </w:r>
      <w:r w:rsidR="00572798" w:rsidRPr="00930655">
        <w:rPr>
          <w:szCs w:val="22"/>
          <w:shd w:val="clear" w:color="auto" w:fill="FFFFFF"/>
        </w:rPr>
        <w:t>to include support derived from the properly corrected November and December 2011 loop-count data</w:t>
      </w:r>
      <w:r w:rsidR="008D6035">
        <w:rPr>
          <w:szCs w:val="22"/>
          <w:shd w:val="clear" w:color="auto" w:fill="FFFFFF"/>
        </w:rPr>
        <w:t xml:space="preserve"> that should have been paid but was not disbursed in calendar year 2011</w:t>
      </w:r>
      <w:r w:rsidR="00572798" w:rsidRPr="00930655">
        <w:rPr>
          <w:szCs w:val="22"/>
          <w:shd w:val="clear" w:color="auto" w:fill="FFFFFF"/>
        </w:rPr>
        <w:t>.</w:t>
      </w:r>
      <w:r w:rsidR="00317C5B" w:rsidRPr="00930655">
        <w:rPr>
          <w:szCs w:val="22"/>
          <w:shd w:val="clear" w:color="auto" w:fill="FFFFFF"/>
        </w:rPr>
        <w:t xml:space="preserve">  </w:t>
      </w:r>
      <w:r w:rsidRPr="00930655">
        <w:rPr>
          <w:szCs w:val="22"/>
          <w:shd w:val="clear" w:color="auto" w:fill="FFFFFF"/>
        </w:rPr>
        <w:t xml:space="preserve">  </w:t>
      </w:r>
      <w:r w:rsidR="00317C5B" w:rsidRPr="00930655">
        <w:rPr>
          <w:szCs w:val="22"/>
          <w:shd w:val="clear" w:color="auto" w:fill="FFFFFF"/>
        </w:rPr>
        <w:t xml:space="preserve">  </w:t>
      </w:r>
    </w:p>
    <w:p w:rsidR="0002302F" w:rsidRDefault="0002302F">
      <w:pPr>
        <w:pStyle w:val="Heading1"/>
        <w:widowControl/>
        <w:rPr>
          <w:szCs w:val="22"/>
        </w:rPr>
      </w:pPr>
      <w:r>
        <w:rPr>
          <w:szCs w:val="22"/>
        </w:rPr>
        <w:t>ORDERING CLAUSES</w:t>
      </w:r>
    </w:p>
    <w:p w:rsidR="00DC60F8" w:rsidRDefault="00DC60F8" w:rsidP="00DC60F8">
      <w:pPr>
        <w:pStyle w:val="ParaNum"/>
        <w:widowControl/>
        <w:tabs>
          <w:tab w:val="clear" w:pos="1080"/>
        </w:tabs>
        <w:jc w:val="left"/>
        <w:rPr>
          <w:szCs w:val="22"/>
        </w:rPr>
      </w:pPr>
      <w:r>
        <w:rPr>
          <w:szCs w:val="22"/>
        </w:rPr>
        <w:t xml:space="preserve">Accordingly, IT IS ORDERED, pursuant to sections 1, 4(i), 5(c), 201, and 254 of the Communications Act of 1934, as amended, 47 U.S.C. §§ 151, 154(i), 155(c), 201, 254, sections </w:t>
      </w:r>
      <w:r>
        <w:t xml:space="preserve">0.91, 0.291, 1.3 </w:t>
      </w:r>
      <w:r>
        <w:rPr>
          <w:szCs w:val="22"/>
        </w:rPr>
        <w:t>of the Commission’s rules, 47 C.F.R. §§ 0.91, 0.291, 1.3, that this Order IS ADOPTED.</w:t>
      </w:r>
    </w:p>
    <w:p w:rsidR="00022ECD" w:rsidRDefault="00DC60F8" w:rsidP="001A625A">
      <w:pPr>
        <w:pStyle w:val="ParaNum"/>
        <w:widowControl/>
        <w:tabs>
          <w:tab w:val="clear" w:pos="1080"/>
        </w:tabs>
        <w:jc w:val="left"/>
        <w:rPr>
          <w:szCs w:val="22"/>
        </w:rPr>
      </w:pPr>
      <w:r>
        <w:rPr>
          <w:szCs w:val="22"/>
        </w:rPr>
        <w:t xml:space="preserve">IT IS FURTHER ORDERED that the petition for waiver of NECA’s rolling 24-month adjustment period, filed by </w:t>
      </w:r>
      <w:r w:rsidR="00CE68CB">
        <w:rPr>
          <w:szCs w:val="22"/>
        </w:rPr>
        <w:t>Virgin Islands Telephone Corp. d/b/a Innovative Telephone</w:t>
      </w:r>
      <w:r>
        <w:rPr>
          <w:szCs w:val="22"/>
        </w:rPr>
        <w:t>, IS DENIED as described herein.</w:t>
      </w:r>
    </w:p>
    <w:p w:rsidR="00BA096B" w:rsidRDefault="00BA096B" w:rsidP="001A625A">
      <w:pPr>
        <w:pStyle w:val="ParaNum"/>
        <w:widowControl/>
        <w:tabs>
          <w:tab w:val="clear" w:pos="1080"/>
        </w:tabs>
        <w:jc w:val="left"/>
        <w:rPr>
          <w:szCs w:val="22"/>
        </w:rPr>
      </w:pPr>
      <w:r>
        <w:rPr>
          <w:szCs w:val="22"/>
        </w:rPr>
        <w:t>IT IS FURTHER ORDERED that, pursuant to section 1.102(b)(1) of the Commission’s rules, 47 C.F.R. § 1.102(b)(1), this Order SHALL BE EFFECTIVE upon release.</w:t>
      </w:r>
    </w:p>
    <w:p w:rsidR="00BA096B" w:rsidRDefault="00BA096B" w:rsidP="00DC60F8">
      <w:pPr>
        <w:pStyle w:val="Header"/>
        <w:tabs>
          <w:tab w:val="clear" w:pos="4320"/>
          <w:tab w:val="clear" w:pos="8640"/>
        </w:tabs>
        <w:ind w:left="4320"/>
        <w:rPr>
          <w:szCs w:val="22"/>
        </w:rPr>
      </w:pPr>
    </w:p>
    <w:p w:rsidR="00DC60F8" w:rsidRDefault="00DC60F8" w:rsidP="00DC60F8">
      <w:pPr>
        <w:pStyle w:val="Header"/>
        <w:tabs>
          <w:tab w:val="clear" w:pos="4320"/>
          <w:tab w:val="clear" w:pos="8640"/>
        </w:tabs>
        <w:ind w:left="4320"/>
        <w:rPr>
          <w:szCs w:val="22"/>
        </w:rPr>
      </w:pPr>
      <w:r>
        <w:rPr>
          <w:szCs w:val="22"/>
        </w:rPr>
        <w:t>FEDERAL COMMUNICATIONS COMMISSION</w:t>
      </w:r>
    </w:p>
    <w:p w:rsidR="00DC60F8" w:rsidRDefault="00DC60F8" w:rsidP="00DC60F8">
      <w:pPr>
        <w:pStyle w:val="Header"/>
        <w:tabs>
          <w:tab w:val="clear" w:pos="4320"/>
          <w:tab w:val="clear" w:pos="8640"/>
        </w:tabs>
        <w:rPr>
          <w:szCs w:val="22"/>
        </w:rPr>
      </w:pPr>
    </w:p>
    <w:p w:rsidR="00DC60F8" w:rsidRDefault="00DC60F8" w:rsidP="00DC60F8">
      <w:pPr>
        <w:pStyle w:val="Header"/>
        <w:tabs>
          <w:tab w:val="clear" w:pos="4320"/>
          <w:tab w:val="clear" w:pos="8640"/>
        </w:tabs>
        <w:rPr>
          <w:szCs w:val="22"/>
        </w:rPr>
      </w:pPr>
    </w:p>
    <w:p w:rsidR="00DC60F8" w:rsidRDefault="00DC60F8" w:rsidP="00DC60F8">
      <w:pPr>
        <w:pStyle w:val="Header"/>
        <w:tabs>
          <w:tab w:val="clear" w:pos="4320"/>
          <w:tab w:val="clear" w:pos="8640"/>
        </w:tabs>
        <w:rPr>
          <w:szCs w:val="22"/>
        </w:rPr>
      </w:pPr>
    </w:p>
    <w:p w:rsidR="00DC60F8" w:rsidRDefault="00DC60F8" w:rsidP="00DC60F8">
      <w:pPr>
        <w:pStyle w:val="Header"/>
        <w:tabs>
          <w:tab w:val="clear" w:pos="4320"/>
          <w:tab w:val="clear" w:pos="8640"/>
        </w:tabs>
        <w:rPr>
          <w:szCs w:val="22"/>
        </w:rPr>
      </w:pPr>
    </w:p>
    <w:p w:rsidR="00DC60F8" w:rsidRDefault="00DC60F8" w:rsidP="00DC60F8">
      <w:pPr>
        <w:rPr>
          <w:szCs w:val="22"/>
        </w:rPr>
      </w:pPr>
      <w:r>
        <w:rPr>
          <w:szCs w:val="22"/>
        </w:rPr>
        <w:tab/>
      </w:r>
      <w:r>
        <w:rPr>
          <w:szCs w:val="22"/>
        </w:rPr>
        <w:tab/>
      </w:r>
      <w:r>
        <w:rPr>
          <w:szCs w:val="22"/>
        </w:rPr>
        <w:tab/>
      </w:r>
      <w:r>
        <w:rPr>
          <w:szCs w:val="22"/>
        </w:rPr>
        <w:tab/>
      </w:r>
      <w:r>
        <w:rPr>
          <w:szCs w:val="22"/>
        </w:rPr>
        <w:tab/>
      </w:r>
      <w:r>
        <w:rPr>
          <w:szCs w:val="22"/>
        </w:rPr>
        <w:tab/>
        <w:t>Carol E. Mattey</w:t>
      </w:r>
      <w:r>
        <w:rPr>
          <w:szCs w:val="22"/>
        </w:rPr>
        <w:tab/>
      </w:r>
      <w:r>
        <w:rPr>
          <w:szCs w:val="22"/>
        </w:rPr>
        <w:tab/>
      </w:r>
      <w:r>
        <w:rPr>
          <w:szCs w:val="22"/>
        </w:rPr>
        <w:tab/>
      </w:r>
    </w:p>
    <w:p w:rsidR="00DC60F8" w:rsidRDefault="00DC60F8" w:rsidP="00DC60F8">
      <w:pPr>
        <w:rPr>
          <w:szCs w:val="22"/>
        </w:rPr>
      </w:pPr>
      <w:r>
        <w:rPr>
          <w:szCs w:val="22"/>
        </w:rPr>
        <w:tab/>
      </w:r>
      <w:r>
        <w:rPr>
          <w:szCs w:val="22"/>
        </w:rPr>
        <w:tab/>
      </w:r>
      <w:r>
        <w:rPr>
          <w:szCs w:val="22"/>
        </w:rPr>
        <w:tab/>
      </w:r>
      <w:r>
        <w:rPr>
          <w:szCs w:val="22"/>
        </w:rPr>
        <w:tab/>
      </w:r>
      <w:r>
        <w:rPr>
          <w:szCs w:val="22"/>
        </w:rPr>
        <w:tab/>
      </w:r>
      <w:r>
        <w:rPr>
          <w:szCs w:val="22"/>
        </w:rPr>
        <w:tab/>
        <w:t>Deputy Chief</w:t>
      </w:r>
    </w:p>
    <w:p w:rsidR="0002302F" w:rsidRDefault="00DC60F8" w:rsidP="00720510">
      <w:pPr>
        <w:pStyle w:val="ParaNum"/>
        <w:numPr>
          <w:ilvl w:val="0"/>
          <w:numId w:val="0"/>
        </w:numPr>
        <w:spacing w:after="0"/>
        <w:ind w:firstLine="720"/>
        <w:jc w:val="left"/>
        <w:rPr>
          <w:szCs w:val="22"/>
        </w:rPr>
      </w:pPr>
      <w:r>
        <w:rPr>
          <w:szCs w:val="22"/>
        </w:rPr>
        <w:tab/>
      </w:r>
      <w:r>
        <w:rPr>
          <w:szCs w:val="22"/>
        </w:rPr>
        <w:tab/>
      </w:r>
      <w:r>
        <w:rPr>
          <w:szCs w:val="22"/>
        </w:rPr>
        <w:tab/>
      </w:r>
      <w:r>
        <w:rPr>
          <w:szCs w:val="22"/>
        </w:rPr>
        <w:tab/>
      </w:r>
      <w:r>
        <w:rPr>
          <w:szCs w:val="22"/>
        </w:rPr>
        <w:tab/>
        <w:t>Wireline Competition Bureau</w:t>
      </w:r>
    </w:p>
    <w:sectPr w:rsidR="000230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EC" w:rsidRDefault="001E3DEC">
      <w:r>
        <w:separator/>
      </w:r>
    </w:p>
  </w:endnote>
  <w:endnote w:type="continuationSeparator" w:id="0">
    <w:p w:rsidR="001E3DEC" w:rsidRDefault="001E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DF" w:rsidRDefault="00C86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F8" w:rsidRDefault="00B525F8">
    <w:pPr>
      <w:pStyle w:val="Footer"/>
      <w:jc w:val="center"/>
    </w:pPr>
    <w:r>
      <w:rPr>
        <w:rStyle w:val="PageNumber"/>
      </w:rPr>
      <w:fldChar w:fldCharType="begin"/>
    </w:r>
    <w:r>
      <w:rPr>
        <w:rStyle w:val="PageNumber"/>
      </w:rPr>
      <w:instrText xml:space="preserve"> PAGE </w:instrText>
    </w:r>
    <w:r>
      <w:rPr>
        <w:rStyle w:val="PageNumber"/>
      </w:rPr>
      <w:fldChar w:fldCharType="separate"/>
    </w:r>
    <w:r w:rsidR="00C865DF">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DF" w:rsidRDefault="00C8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EC" w:rsidRDefault="001E3DEC">
      <w:pPr>
        <w:rPr>
          <w:sz w:val="20"/>
        </w:rPr>
      </w:pPr>
      <w:r>
        <w:rPr>
          <w:sz w:val="20"/>
        </w:rPr>
        <w:separator/>
      </w:r>
    </w:p>
  </w:footnote>
  <w:footnote w:type="continuationSeparator" w:id="0">
    <w:p w:rsidR="001E3DEC" w:rsidRDefault="001E3DEC">
      <w:pPr>
        <w:rPr>
          <w:sz w:val="20"/>
        </w:rPr>
      </w:pPr>
      <w:r>
        <w:rPr>
          <w:sz w:val="20"/>
        </w:rPr>
        <w:t xml:space="preserve">(Continued from previous page) </w:t>
      </w:r>
      <w:r>
        <w:rPr>
          <w:sz w:val="20"/>
        </w:rPr>
        <w:separator/>
      </w:r>
    </w:p>
  </w:footnote>
  <w:footnote w:type="continuationNotice" w:id="1">
    <w:p w:rsidR="001E3DEC" w:rsidRDefault="001E3DEC">
      <w:pPr>
        <w:jc w:val="right"/>
        <w:rPr>
          <w:sz w:val="20"/>
        </w:rPr>
      </w:pPr>
      <w:r>
        <w:rPr>
          <w:sz w:val="20"/>
        </w:rPr>
        <w:t>(continued...)</w:t>
      </w:r>
    </w:p>
  </w:footnote>
  <w:footnote w:id="2">
    <w:p w:rsidR="00B22667" w:rsidRPr="00C42BAE" w:rsidRDefault="00B22667" w:rsidP="00A03C81">
      <w:pPr>
        <w:pStyle w:val="FootnoteText"/>
        <w:jc w:val="left"/>
      </w:pPr>
      <w:r w:rsidRPr="00C42BAE">
        <w:rPr>
          <w:rStyle w:val="FootnoteReference"/>
        </w:rPr>
        <w:footnoteRef/>
      </w:r>
      <w:r w:rsidRPr="00C42BAE">
        <w:t xml:space="preserve"> Virgin Islands Telephone Corp. d/b/a Innovative Telephone Petition for Waiver of the National Exchange Carrier Association Adjustment Period, WC Docket No. 08-71 (filed Dec. 19, 2011) (Innovative Petition). </w:t>
      </w:r>
    </w:p>
  </w:footnote>
  <w:footnote w:id="3">
    <w:p w:rsidR="00B22667" w:rsidRPr="00C42BAE" w:rsidRDefault="00B22667" w:rsidP="00A03C81">
      <w:pPr>
        <w:autoSpaceDE w:val="0"/>
        <w:autoSpaceDN w:val="0"/>
        <w:adjustRightInd w:val="0"/>
        <w:spacing w:after="120"/>
        <w:rPr>
          <w:sz w:val="20"/>
        </w:rPr>
      </w:pPr>
      <w:r w:rsidRPr="00C42BAE">
        <w:rPr>
          <w:rStyle w:val="FootnoteReference"/>
          <w:sz w:val="20"/>
        </w:rPr>
        <w:footnoteRef/>
      </w:r>
      <w:r w:rsidRPr="00C42BAE">
        <w:rPr>
          <w:sz w:val="20"/>
        </w:rPr>
        <w:t xml:space="preserve"> </w:t>
      </w:r>
      <w:r w:rsidRPr="00C42BAE">
        <w:rPr>
          <w:i/>
          <w:iCs/>
          <w:sz w:val="20"/>
        </w:rPr>
        <w:t>Northeast Cellular Telephone Co. v. FCC</w:t>
      </w:r>
      <w:r w:rsidRPr="0081525A">
        <w:rPr>
          <w:iCs/>
          <w:sz w:val="20"/>
        </w:rPr>
        <w:t>,</w:t>
      </w:r>
      <w:r w:rsidRPr="00C42BAE">
        <w:rPr>
          <w:i/>
          <w:iCs/>
          <w:sz w:val="20"/>
        </w:rPr>
        <w:t xml:space="preserve"> </w:t>
      </w:r>
      <w:r w:rsidRPr="00C42BAE">
        <w:rPr>
          <w:sz w:val="20"/>
        </w:rPr>
        <w:t xml:space="preserve">897 F.2d 1164, 1166 (D.C. Cir. 1990).   </w:t>
      </w:r>
      <w:r w:rsidRPr="00C42BAE">
        <w:rPr>
          <w:i/>
          <w:iCs/>
          <w:sz w:val="20"/>
        </w:rPr>
        <w:t xml:space="preserve">See also </w:t>
      </w:r>
      <w:r w:rsidRPr="00C42BAE">
        <w:rPr>
          <w:sz w:val="20"/>
        </w:rPr>
        <w:t>47 C.F.R. § 1.925(b)(3)(i).</w:t>
      </w:r>
    </w:p>
  </w:footnote>
  <w:footnote w:id="4">
    <w:p w:rsidR="007C231E" w:rsidRPr="00C42BAE" w:rsidRDefault="007C231E" w:rsidP="00A03C81">
      <w:pPr>
        <w:pStyle w:val="FootnoteText"/>
        <w:jc w:val="left"/>
      </w:pPr>
      <w:r w:rsidRPr="00C42BAE">
        <w:rPr>
          <w:rStyle w:val="FootnoteReference"/>
        </w:rPr>
        <w:footnoteRef/>
      </w:r>
      <w:r w:rsidRPr="00C42BAE">
        <w:t xml:space="preserve"> </w:t>
      </w:r>
      <w:r w:rsidR="009C3E71" w:rsidRPr="00C42BAE">
        <w:t>Comments of the National Exchange Carrier Association, WC Docket No. 08-71, at 4 (filed Jan. 23, 2012) (NECA Comments).</w:t>
      </w:r>
      <w:r w:rsidR="00A16408">
        <w:t xml:space="preserve">  </w:t>
      </w:r>
    </w:p>
  </w:footnote>
  <w:footnote w:id="5">
    <w:p w:rsidR="009C3E71" w:rsidRPr="00C42BAE" w:rsidRDefault="009C3E71" w:rsidP="00A03C81">
      <w:pPr>
        <w:pStyle w:val="FootnoteText"/>
        <w:jc w:val="left"/>
        <w:rPr>
          <w:i/>
        </w:rPr>
      </w:pPr>
      <w:r w:rsidRPr="00C42BAE">
        <w:rPr>
          <w:rStyle w:val="FootnoteReference"/>
        </w:rPr>
        <w:footnoteRef/>
      </w:r>
      <w:r w:rsidRPr="00C42BAE">
        <w:t xml:space="preserve"> </w:t>
      </w:r>
      <w:r w:rsidRPr="00C42BAE">
        <w:rPr>
          <w:i/>
        </w:rPr>
        <w:t xml:space="preserve">See </w:t>
      </w:r>
      <w:r w:rsidR="007773E7" w:rsidRPr="0081525A">
        <w:rPr>
          <w:i/>
        </w:rPr>
        <w:t>id.</w:t>
      </w:r>
      <w:r w:rsidR="00A16408" w:rsidRPr="00160F9D">
        <w:t xml:space="preserve"> at 4</w:t>
      </w:r>
      <w:r w:rsidRPr="00160F9D">
        <w:t>.</w:t>
      </w:r>
    </w:p>
  </w:footnote>
  <w:footnote w:id="6">
    <w:p w:rsidR="00251561" w:rsidRPr="00C42BAE" w:rsidRDefault="00251561" w:rsidP="00A03C81">
      <w:pPr>
        <w:pStyle w:val="FootnoteText"/>
        <w:jc w:val="left"/>
      </w:pPr>
      <w:r w:rsidRPr="00C42BAE">
        <w:rPr>
          <w:rStyle w:val="FootnoteReference"/>
        </w:rPr>
        <w:footnoteRef/>
      </w:r>
      <w:r w:rsidRPr="00C42BAE">
        <w:t xml:space="preserve"> </w:t>
      </w:r>
      <w:r w:rsidRPr="00C42BAE">
        <w:rPr>
          <w:i/>
        </w:rPr>
        <w:t>See id.</w:t>
      </w:r>
    </w:p>
  </w:footnote>
  <w:footnote w:id="7">
    <w:p w:rsidR="00251561" w:rsidRPr="00C42BAE" w:rsidRDefault="00251561" w:rsidP="00A03C81">
      <w:pPr>
        <w:pStyle w:val="FootnoteText"/>
        <w:jc w:val="left"/>
      </w:pPr>
      <w:r w:rsidRPr="00C42BAE">
        <w:rPr>
          <w:rStyle w:val="FootnoteReference"/>
        </w:rPr>
        <w:footnoteRef/>
      </w:r>
      <w:r w:rsidRPr="00C42BAE">
        <w:t xml:space="preserve"> </w:t>
      </w:r>
      <w:r w:rsidRPr="00C42BAE">
        <w:rPr>
          <w:i/>
        </w:rPr>
        <w:t>See id.</w:t>
      </w:r>
    </w:p>
  </w:footnote>
  <w:footnote w:id="8">
    <w:p w:rsidR="000D0B8F" w:rsidRPr="00C42BAE" w:rsidRDefault="000D0B8F" w:rsidP="00A03C81">
      <w:pPr>
        <w:pStyle w:val="FootnoteText"/>
        <w:jc w:val="left"/>
      </w:pPr>
      <w:r w:rsidRPr="00C42BAE">
        <w:rPr>
          <w:rStyle w:val="FootnoteReference"/>
        </w:rPr>
        <w:footnoteRef/>
      </w:r>
      <w:r w:rsidRPr="00C42BAE">
        <w:t xml:space="preserve"> </w:t>
      </w:r>
      <w:r w:rsidRPr="00C42BAE">
        <w:rPr>
          <w:i/>
        </w:rPr>
        <w:t>See id.</w:t>
      </w:r>
    </w:p>
  </w:footnote>
  <w:footnote w:id="9">
    <w:p w:rsidR="00D816CC" w:rsidRPr="00C42BAE" w:rsidRDefault="00D816CC" w:rsidP="00A03C81">
      <w:pPr>
        <w:pStyle w:val="FootnoteText"/>
        <w:jc w:val="left"/>
      </w:pPr>
      <w:r w:rsidRPr="00C42BAE">
        <w:rPr>
          <w:rStyle w:val="FootnoteReference"/>
        </w:rPr>
        <w:footnoteRef/>
      </w:r>
      <w:r w:rsidRPr="00C42BAE">
        <w:t xml:space="preserve"> </w:t>
      </w:r>
      <w:r w:rsidRPr="00C42BAE">
        <w:rPr>
          <w:i/>
        </w:rPr>
        <w:t>See id</w:t>
      </w:r>
      <w:r w:rsidR="007773E7">
        <w:rPr>
          <w:i/>
        </w:rPr>
        <w:t>.</w:t>
      </w:r>
      <w:r w:rsidRPr="00C42BAE">
        <w:rPr>
          <w:i/>
        </w:rPr>
        <w:t xml:space="preserve"> </w:t>
      </w:r>
      <w:r w:rsidRPr="00C42BAE">
        <w:t>at 3-4.</w:t>
      </w:r>
    </w:p>
  </w:footnote>
  <w:footnote w:id="10">
    <w:p w:rsidR="005726A1" w:rsidRPr="00C42BAE" w:rsidRDefault="005726A1" w:rsidP="00A03C81">
      <w:pPr>
        <w:pStyle w:val="FootnoteText"/>
        <w:jc w:val="left"/>
      </w:pPr>
      <w:r w:rsidRPr="00C42BAE">
        <w:rPr>
          <w:rStyle w:val="FootnoteReference"/>
        </w:rPr>
        <w:footnoteRef/>
      </w:r>
      <w:r w:rsidRPr="00C42BAE">
        <w:t xml:space="preserve"> </w:t>
      </w:r>
      <w:r w:rsidR="00BB0A31" w:rsidRPr="00C42BAE">
        <w:rPr>
          <w:i/>
        </w:rPr>
        <w:t xml:space="preserve">See </w:t>
      </w:r>
      <w:r w:rsidRPr="00C42BAE">
        <w:t>Innovative Petition at 3.</w:t>
      </w:r>
    </w:p>
  </w:footnote>
  <w:footnote w:id="11">
    <w:p w:rsidR="005726A1" w:rsidRPr="00C42BAE" w:rsidRDefault="005726A1" w:rsidP="00A03C81">
      <w:pPr>
        <w:pStyle w:val="FootnoteText"/>
        <w:jc w:val="left"/>
      </w:pPr>
      <w:r w:rsidRPr="00C42BAE">
        <w:rPr>
          <w:rStyle w:val="FootnoteReference"/>
        </w:rPr>
        <w:footnoteRef/>
      </w:r>
      <w:r w:rsidRPr="00C42BAE">
        <w:t xml:space="preserve"> </w:t>
      </w:r>
      <w:r w:rsidRPr="00C42BAE">
        <w:rPr>
          <w:i/>
        </w:rPr>
        <w:t xml:space="preserve">See id. </w:t>
      </w:r>
      <w:r w:rsidRPr="00C42BAE">
        <w:t>at 4.</w:t>
      </w:r>
    </w:p>
  </w:footnote>
  <w:footnote w:id="12">
    <w:p w:rsidR="005726A1" w:rsidRPr="00C42BAE" w:rsidRDefault="005726A1" w:rsidP="00A03C81">
      <w:pPr>
        <w:pStyle w:val="FootnoteText"/>
        <w:jc w:val="left"/>
      </w:pPr>
      <w:r w:rsidRPr="00C42BAE">
        <w:rPr>
          <w:rStyle w:val="FootnoteReference"/>
        </w:rPr>
        <w:footnoteRef/>
      </w:r>
      <w:r w:rsidRPr="00C42BAE">
        <w:t xml:space="preserve"> </w:t>
      </w:r>
      <w:r w:rsidRPr="00C42BAE">
        <w:rPr>
          <w:i/>
        </w:rPr>
        <w:t>See id.</w:t>
      </w:r>
    </w:p>
  </w:footnote>
  <w:footnote w:id="13">
    <w:p w:rsidR="004311A2" w:rsidRPr="00C42BAE" w:rsidRDefault="004311A2" w:rsidP="00A03C81">
      <w:pPr>
        <w:pStyle w:val="FootnoteText"/>
        <w:jc w:val="left"/>
        <w:rPr>
          <w:i/>
        </w:rPr>
      </w:pPr>
      <w:r w:rsidRPr="00C42BAE">
        <w:rPr>
          <w:rStyle w:val="FootnoteReference"/>
        </w:rPr>
        <w:footnoteRef/>
      </w:r>
      <w:r w:rsidRPr="00C42BAE">
        <w:t xml:space="preserve"> </w:t>
      </w:r>
      <w:r w:rsidRPr="00C42BAE">
        <w:rPr>
          <w:i/>
        </w:rPr>
        <w:t xml:space="preserve">See </w:t>
      </w:r>
      <w:r w:rsidRPr="00C42BAE">
        <w:t>“Loop Count Guide for USF, Cost Study, and Cost Company Pool Reporting,” NECA, Version 30 (Aug. 10, 2010</w:t>
      </w:r>
      <w:r w:rsidR="007773E7">
        <w:t>),</w:t>
      </w:r>
      <w:r w:rsidR="00CE68CB">
        <w:t xml:space="preserve"> </w:t>
      </w:r>
      <w:r w:rsidR="00CE68CB" w:rsidRPr="00350483">
        <w:rPr>
          <w:i/>
        </w:rPr>
        <w:t>a</w:t>
      </w:r>
      <w:r w:rsidRPr="00350483">
        <w:rPr>
          <w:i/>
        </w:rPr>
        <w:t>vailable at</w:t>
      </w:r>
      <w:r w:rsidRPr="00C42BAE">
        <w:rPr>
          <w:i/>
        </w:rPr>
        <w:t xml:space="preserve"> </w:t>
      </w:r>
      <w:hyperlink r:id="rId1" w:history="1">
        <w:r w:rsidR="007773E7" w:rsidRPr="008C09BB">
          <w:rPr>
            <w:rStyle w:val="Hyperlink"/>
          </w:rPr>
          <w:t>http://www.mossadams.com/mossadams/media/Documents/webcasts%20and%20presentations/Telecom/NECA-Loop-Count-Guide.pdf</w:t>
        </w:r>
      </w:hyperlink>
      <w:r w:rsidRPr="00C42BAE">
        <w:t>.</w:t>
      </w:r>
    </w:p>
  </w:footnote>
  <w:footnote w:id="14">
    <w:p w:rsidR="00BB0A31" w:rsidRPr="00C42BAE" w:rsidRDefault="00BB0A31" w:rsidP="00A03C81">
      <w:pPr>
        <w:pStyle w:val="FootnoteText"/>
        <w:jc w:val="left"/>
      </w:pPr>
      <w:r w:rsidRPr="00C42BAE">
        <w:rPr>
          <w:rStyle w:val="FootnoteReference"/>
        </w:rPr>
        <w:footnoteRef/>
      </w:r>
      <w:r w:rsidRPr="00C42BAE">
        <w:t xml:space="preserve"> </w:t>
      </w:r>
      <w:r w:rsidRPr="00C42BAE">
        <w:rPr>
          <w:i/>
        </w:rPr>
        <w:t xml:space="preserve">See </w:t>
      </w:r>
      <w:r w:rsidRPr="00C42BAE">
        <w:t xml:space="preserve">Innovative Petition at 4-5; </w:t>
      </w:r>
      <w:r w:rsidR="00CE68CB">
        <w:rPr>
          <w:i/>
        </w:rPr>
        <w:t>s</w:t>
      </w:r>
      <w:r w:rsidR="00CE68CB" w:rsidRPr="00C42BAE">
        <w:rPr>
          <w:i/>
        </w:rPr>
        <w:t>ee</w:t>
      </w:r>
      <w:r w:rsidR="00CE68CB" w:rsidRPr="00C42BAE">
        <w:t xml:space="preserve"> </w:t>
      </w:r>
      <w:r w:rsidRPr="00C42BAE">
        <w:t>Letter from Bennett L. Ross, Counsel to Virgin Islands Telephone Corp. d/b/a Innovative Telephone, to Marlene H. Dortch, Secretary, FCC, WC Docket No. 08-71, at 1-2 (filed Sept. 11, 2014) (Innovative Ex Parte).</w:t>
      </w:r>
      <w:r w:rsidR="00E45BBF">
        <w:t xml:space="preserve">  </w:t>
      </w:r>
      <w:r w:rsidR="00CE19C4">
        <w:t>Carriers eligible</w:t>
      </w:r>
      <w:r w:rsidR="00FE2D87">
        <w:t xml:space="preserve"> for </w:t>
      </w:r>
      <w:r w:rsidR="00CE19C4">
        <w:t xml:space="preserve">HCLS </w:t>
      </w:r>
      <w:r w:rsidR="004813FE">
        <w:t>are</w:t>
      </w:r>
      <w:r w:rsidR="00CE19C4">
        <w:t xml:space="preserve"> </w:t>
      </w:r>
      <w:r w:rsidR="00CE19C4" w:rsidRPr="00832F63">
        <w:t>reimburse</w:t>
      </w:r>
      <w:r w:rsidR="004813FE">
        <w:t>d</w:t>
      </w:r>
      <w:r w:rsidR="00CE19C4" w:rsidRPr="00832F63">
        <w:t xml:space="preserve"> 65 percent of the loop costs in excess of 115 percent</w:t>
      </w:r>
      <w:r w:rsidR="004813FE">
        <w:t xml:space="preserve"> of the NACPL</w:t>
      </w:r>
      <w:r w:rsidR="00CE19C4" w:rsidRPr="00832F63">
        <w:t xml:space="preserve"> but less than 150 percent of the NACPL, and 75 percent of loop costs in excess of 150 percent of the NACPL.</w:t>
      </w:r>
      <w:r w:rsidR="00CE19C4">
        <w:t xml:space="preserve">  </w:t>
      </w:r>
      <w:r w:rsidR="00CE19C4" w:rsidRPr="00832F63">
        <w:t xml:space="preserve">To the extent a carrier </w:t>
      </w:r>
      <w:r w:rsidR="00CE19C4">
        <w:t>experiences</w:t>
      </w:r>
      <w:r w:rsidR="00CE19C4" w:rsidRPr="00832F63">
        <w:t xml:space="preserve"> access line loss, for whatever reason, its cost per loop will rise because the total costs for the study area are divided by a smaller number.  </w:t>
      </w:r>
      <w:r w:rsidR="004813FE">
        <w:t>T</w:t>
      </w:r>
      <w:r w:rsidR="00CE19C4">
        <w:t xml:space="preserve">he fact that Innovative </w:t>
      </w:r>
      <w:r w:rsidR="0049122F">
        <w:t xml:space="preserve">subsequently </w:t>
      </w:r>
      <w:r w:rsidR="004813FE">
        <w:t>reported</w:t>
      </w:r>
      <w:r w:rsidR="00CE19C4">
        <w:t xml:space="preserve"> </w:t>
      </w:r>
      <w:r w:rsidR="008818DD">
        <w:t>fewer</w:t>
      </w:r>
      <w:r w:rsidR="00CE19C4">
        <w:t xml:space="preserve"> lines </w:t>
      </w:r>
      <w:r w:rsidR="0049122F">
        <w:t>for</w:t>
      </w:r>
      <w:r w:rsidR="00CE19C4">
        <w:t xml:space="preserve"> 2009 than originally would result in </w:t>
      </w:r>
      <w:r w:rsidR="0049122F">
        <w:t>increased</w:t>
      </w:r>
      <w:r w:rsidR="00CE19C4">
        <w:t xml:space="preserve"> HCLS because </w:t>
      </w:r>
      <w:r w:rsidR="0049122F">
        <w:t>Innovative’s</w:t>
      </w:r>
      <w:r w:rsidR="00CE19C4">
        <w:t xml:space="preserve"> cost per loop </w:t>
      </w:r>
      <w:r w:rsidR="0049122F">
        <w:t>would</w:t>
      </w:r>
      <w:r w:rsidR="00CE19C4">
        <w:t xml:space="preserve"> rise in relation to the NACPL.  </w:t>
      </w:r>
      <w:r w:rsidR="00CE19C4">
        <w:rPr>
          <w:i/>
        </w:rPr>
        <w:t xml:space="preserve">See </w:t>
      </w:r>
      <w:r w:rsidR="00CE19C4" w:rsidRPr="00832F63">
        <w:t>47 C.F.R. § 54.1310.  The Commission’s HCLS rules were formerly c</w:t>
      </w:r>
      <w:r w:rsidR="00CE19C4">
        <w:t xml:space="preserve">odified in Part 36, subpart F; </w:t>
      </w:r>
      <w:r w:rsidR="003A7DB9">
        <w:t xml:space="preserve">in 2014, those rules were moved to Part 54, subpart M. </w:t>
      </w:r>
      <w:r w:rsidR="003A7DB9" w:rsidRPr="00B22667">
        <w:rPr>
          <w:i/>
        </w:rPr>
        <w:t>S</w:t>
      </w:r>
      <w:r w:rsidR="00CE19C4">
        <w:rPr>
          <w:i/>
        </w:rPr>
        <w:t xml:space="preserve">ee </w:t>
      </w:r>
      <w:r w:rsidR="003A7DB9">
        <w:rPr>
          <w:i/>
        </w:rPr>
        <w:t xml:space="preserve">also </w:t>
      </w:r>
      <w:r w:rsidR="00CE19C4" w:rsidRPr="00C42BAE">
        <w:rPr>
          <w:i/>
          <w:shd w:val="clear" w:color="auto" w:fill="FFFFFF"/>
        </w:rPr>
        <w:t>Connect America Fund et al</w:t>
      </w:r>
      <w:r w:rsidR="00CE19C4" w:rsidRPr="00C42BAE">
        <w:rPr>
          <w:shd w:val="clear" w:color="auto" w:fill="FFFFFF"/>
        </w:rPr>
        <w:t xml:space="preserve">., WC Docket No. 10-90 et al., Report and Order, </w:t>
      </w:r>
      <w:r w:rsidR="00CE19C4">
        <w:rPr>
          <w:shd w:val="clear" w:color="auto" w:fill="FFFFFF"/>
        </w:rPr>
        <w:t>29 FCC Rcd 15644, 15679-84, paras. 101-114</w:t>
      </w:r>
      <w:r w:rsidR="00CE19C4" w:rsidRPr="00C42BAE">
        <w:rPr>
          <w:shd w:val="clear" w:color="auto" w:fill="FFFFFF"/>
        </w:rPr>
        <w:t xml:space="preserve"> (rel.</w:t>
      </w:r>
      <w:r w:rsidR="00CE19C4">
        <w:rPr>
          <w:shd w:val="clear" w:color="auto" w:fill="FFFFFF"/>
        </w:rPr>
        <w:t xml:space="preserve"> Dec. 18</w:t>
      </w:r>
      <w:r w:rsidR="00CE19C4" w:rsidRPr="00B72B8B">
        <w:rPr>
          <w:shd w:val="clear" w:color="auto" w:fill="FFFFFF"/>
        </w:rPr>
        <w:t>, 2014</w:t>
      </w:r>
      <w:r w:rsidR="00CE19C4" w:rsidRPr="00A16408">
        <w:rPr>
          <w:shd w:val="clear" w:color="auto" w:fill="FFFFFF"/>
        </w:rPr>
        <w:t>) (</w:t>
      </w:r>
      <w:r w:rsidR="00CE19C4" w:rsidRPr="00A16408">
        <w:rPr>
          <w:i/>
          <w:shd w:val="clear" w:color="auto" w:fill="FFFFFF"/>
        </w:rPr>
        <w:t>December 2014 Connect America Order</w:t>
      </w:r>
      <w:r w:rsidR="00CE19C4" w:rsidRPr="00A16408">
        <w:rPr>
          <w:shd w:val="clear" w:color="auto" w:fill="FFFFFF"/>
        </w:rPr>
        <w:t>).</w:t>
      </w:r>
      <w:r w:rsidR="00CE19C4" w:rsidRPr="00A16408">
        <w:t xml:space="preserve">  </w:t>
      </w:r>
      <w:r w:rsidR="00CE19C4">
        <w:t xml:space="preserve">  </w:t>
      </w:r>
    </w:p>
  </w:footnote>
  <w:footnote w:id="15">
    <w:p w:rsidR="003E3398" w:rsidRPr="00C42BAE" w:rsidRDefault="003E3398" w:rsidP="00A03C81">
      <w:pPr>
        <w:pStyle w:val="FootnoteText"/>
        <w:jc w:val="left"/>
      </w:pPr>
      <w:r w:rsidRPr="00C42BAE">
        <w:rPr>
          <w:rStyle w:val="FootnoteReference"/>
        </w:rPr>
        <w:footnoteRef/>
      </w:r>
      <w:r w:rsidRPr="00C42BAE">
        <w:t xml:space="preserve"> </w:t>
      </w:r>
      <w:r w:rsidRPr="00C42BAE">
        <w:rPr>
          <w:i/>
        </w:rPr>
        <w:t xml:space="preserve">See </w:t>
      </w:r>
      <w:r w:rsidRPr="00C42BAE">
        <w:t>Innovative Petition at 5; Innovative Ex Parte at 2.</w:t>
      </w:r>
      <w:r w:rsidR="00CE19C4">
        <w:t xml:space="preserve">  </w:t>
      </w:r>
      <w:r w:rsidR="0049122F">
        <w:t>As noted above, u</w:t>
      </w:r>
      <w:r w:rsidR="00CE19C4">
        <w:t xml:space="preserve">nder NECA’s data reconciliation </w:t>
      </w:r>
      <w:r w:rsidR="0049122F">
        <w:t>policies</w:t>
      </w:r>
      <w:r w:rsidR="00CE19C4">
        <w:t xml:space="preserve">, ETCs have 24 months within which they must “true-up” cost data with actual numbers before the settlements window is considered closed for ETC-initiated revisions.  </w:t>
      </w:r>
      <w:r w:rsidR="0049122F">
        <w:t xml:space="preserve">Because </w:t>
      </w:r>
      <w:r w:rsidR="00CE19C4">
        <w:t xml:space="preserve">Innovative did not notify NECA of the error in its 2009 loop count data until November 2011, Innovative was unable to adjust or “true-up” </w:t>
      </w:r>
      <w:r w:rsidR="0049122F">
        <w:t>Innovative’s</w:t>
      </w:r>
      <w:r w:rsidR="00CE19C4">
        <w:t xml:space="preserve"> loop count data from January 2009 </w:t>
      </w:r>
      <w:r w:rsidR="0049122F">
        <w:t>through</w:t>
      </w:r>
      <w:r w:rsidR="00CE19C4">
        <w:t xml:space="preserve"> October 2009 </w:t>
      </w:r>
      <w:r w:rsidR="0049122F">
        <w:t>because the</w:t>
      </w:r>
      <w:r w:rsidR="00CE19C4">
        <w:t xml:space="preserve"> 24-month rolling adjustment window</w:t>
      </w:r>
      <w:r w:rsidR="0049122F">
        <w:t xml:space="preserve"> had already closed</w:t>
      </w:r>
      <w:r w:rsidR="00CE19C4">
        <w:t>.  The 24-month rolling adjustment window only permitted revisions to Innovative’s November 2009</w:t>
      </w:r>
      <w:r w:rsidR="0049122F">
        <w:t xml:space="preserve"> through</w:t>
      </w:r>
      <w:r w:rsidR="00CE19C4">
        <w:t xml:space="preserve"> December 2009 loop count data.  </w:t>
      </w:r>
      <w:r w:rsidR="00CE19C4">
        <w:rPr>
          <w:i/>
        </w:rPr>
        <w:t>See</w:t>
      </w:r>
      <w:r w:rsidR="00CE19C4" w:rsidRPr="00CE19C4">
        <w:t xml:space="preserve"> </w:t>
      </w:r>
      <w:r w:rsidR="00CE19C4" w:rsidRPr="00160F9D">
        <w:t>NECA Comments at 4.</w:t>
      </w:r>
      <w:r w:rsidR="00CE19C4">
        <w:rPr>
          <w:i/>
        </w:rPr>
        <w:t xml:space="preserve"> </w:t>
      </w:r>
    </w:p>
  </w:footnote>
  <w:footnote w:id="16">
    <w:p w:rsidR="00043F98" w:rsidRPr="00C42BAE" w:rsidRDefault="00043F98" w:rsidP="00A03C81">
      <w:pPr>
        <w:pStyle w:val="FootnoteText"/>
        <w:jc w:val="left"/>
      </w:pPr>
      <w:r w:rsidRPr="00C42BAE">
        <w:rPr>
          <w:rStyle w:val="FootnoteReference"/>
        </w:rPr>
        <w:footnoteRef/>
      </w:r>
      <w:r w:rsidRPr="00C42BAE">
        <w:t xml:space="preserve"> </w:t>
      </w:r>
      <w:r w:rsidRPr="00C42BAE">
        <w:rPr>
          <w:i/>
        </w:rPr>
        <w:t xml:space="preserve">See </w:t>
      </w:r>
      <w:r w:rsidRPr="00C42BAE">
        <w:t>Innovative Petition at 10.</w:t>
      </w:r>
    </w:p>
  </w:footnote>
  <w:footnote w:id="17">
    <w:p w:rsidR="00043F98" w:rsidRPr="00C42BAE" w:rsidRDefault="00043F98" w:rsidP="00A03C81">
      <w:pPr>
        <w:pStyle w:val="FootnoteText"/>
        <w:jc w:val="left"/>
      </w:pPr>
      <w:r w:rsidRPr="00C42BAE">
        <w:rPr>
          <w:rStyle w:val="FootnoteReference"/>
        </w:rPr>
        <w:footnoteRef/>
      </w:r>
      <w:r w:rsidRPr="00C42BAE">
        <w:t xml:space="preserve"> </w:t>
      </w:r>
      <w:r w:rsidRPr="00C42BAE">
        <w:rPr>
          <w:i/>
        </w:rPr>
        <w:t xml:space="preserve">See </w:t>
      </w:r>
      <w:r w:rsidRPr="00C42BAE">
        <w:t>Innovative Ex Parte at 2.</w:t>
      </w:r>
    </w:p>
  </w:footnote>
  <w:footnote w:id="18">
    <w:p w:rsidR="002D3422" w:rsidRPr="00C42BAE" w:rsidRDefault="002D3422" w:rsidP="00A03C81">
      <w:pPr>
        <w:pStyle w:val="FootnoteText"/>
        <w:jc w:val="left"/>
      </w:pPr>
      <w:r w:rsidRPr="00C42BAE">
        <w:rPr>
          <w:rStyle w:val="FootnoteReference"/>
        </w:rPr>
        <w:footnoteRef/>
      </w:r>
      <w:r w:rsidRPr="00C42BAE">
        <w:t xml:space="preserve"> </w:t>
      </w:r>
      <w:r w:rsidRPr="00C42BAE">
        <w:rPr>
          <w:i/>
        </w:rPr>
        <w:t xml:space="preserve">See id. </w:t>
      </w:r>
      <w:r w:rsidRPr="00C42BAE">
        <w:t>at 3-4.</w:t>
      </w:r>
    </w:p>
  </w:footnote>
  <w:footnote w:id="19">
    <w:p w:rsidR="009F6DAD" w:rsidRPr="00C42BAE" w:rsidRDefault="009F6DAD" w:rsidP="00A03C81">
      <w:pPr>
        <w:pStyle w:val="FootnoteText"/>
        <w:jc w:val="left"/>
      </w:pPr>
      <w:r w:rsidRPr="00C42BAE">
        <w:rPr>
          <w:rStyle w:val="FootnoteReference"/>
        </w:rPr>
        <w:footnoteRef/>
      </w:r>
      <w:r w:rsidRPr="00C42BAE">
        <w:t xml:space="preserve"> </w:t>
      </w:r>
      <w:r w:rsidRPr="00C42BAE">
        <w:rPr>
          <w:i/>
        </w:rPr>
        <w:t>See id.</w:t>
      </w:r>
    </w:p>
  </w:footnote>
  <w:footnote w:id="20">
    <w:p w:rsidR="006E3447" w:rsidRPr="00C42BAE" w:rsidRDefault="006E3447" w:rsidP="00A03C81">
      <w:pPr>
        <w:pStyle w:val="FootnoteText"/>
        <w:jc w:val="left"/>
      </w:pPr>
      <w:r w:rsidRPr="00C42BAE">
        <w:rPr>
          <w:rStyle w:val="FootnoteReference"/>
        </w:rPr>
        <w:footnoteRef/>
      </w:r>
      <w:r w:rsidRPr="00C42BAE">
        <w:t xml:space="preserve"> </w:t>
      </w:r>
      <w:r w:rsidRPr="00C42BAE">
        <w:rPr>
          <w:i/>
        </w:rPr>
        <w:t>See id.</w:t>
      </w:r>
      <w:r w:rsidRPr="00C42BAE">
        <w:t>at 4.</w:t>
      </w:r>
    </w:p>
  </w:footnote>
  <w:footnote w:id="21">
    <w:p w:rsidR="00B525F8" w:rsidRPr="00C42BAE" w:rsidRDefault="00B525F8" w:rsidP="00A03C81">
      <w:pPr>
        <w:pStyle w:val="FootnoteText"/>
        <w:jc w:val="left"/>
      </w:pPr>
      <w:r w:rsidRPr="00C42BAE">
        <w:rPr>
          <w:rStyle w:val="FootnoteReference"/>
        </w:rPr>
        <w:footnoteRef/>
      </w:r>
      <w:r w:rsidRPr="00C42BAE">
        <w:t xml:space="preserve"> </w:t>
      </w:r>
      <w:r w:rsidRPr="00C42BAE">
        <w:rPr>
          <w:shd w:val="clear" w:color="auto" w:fill="FFFFFF"/>
        </w:rPr>
        <w:t>Generally, the Commission’s rules may be waived for good cause shown.  47 C.F.R. § 1.3.  The Commission may exercise its discretion to waive a rule where the particular facts make strict compliance inconsistent with the public interest.  </w:t>
      </w:r>
      <w:r w:rsidRPr="00C42BAE">
        <w:rPr>
          <w:i/>
          <w:iCs/>
          <w:shd w:val="clear" w:color="auto" w:fill="FFFFFF"/>
        </w:rPr>
        <w:t>Northeast Cellular Telephone Co. v. FCC</w:t>
      </w:r>
      <w:r w:rsidRPr="00C42BAE">
        <w:rPr>
          <w:shd w:val="clear" w:color="auto" w:fill="FFFFFF"/>
        </w:rPr>
        <w:t>, 897 F.2d 1164, 1166 (D.C. Cir. 1990) (</w:t>
      </w:r>
      <w:r w:rsidRPr="00C42BAE">
        <w:rPr>
          <w:i/>
          <w:iCs/>
          <w:shd w:val="clear" w:color="auto" w:fill="FFFFFF"/>
        </w:rPr>
        <w:t>Northeast Cellular</w:t>
      </w:r>
      <w:r w:rsidRPr="00C42BAE">
        <w:rPr>
          <w:shd w:val="clear" w:color="auto" w:fill="FFFFFF"/>
        </w:rPr>
        <w:t xml:space="preserve">).  In addition, the Commission may take into account considerations of hardship, equity, or more effective implementation of overall policy on an individual basis.  </w:t>
      </w:r>
      <w:r w:rsidRPr="00C42BAE">
        <w:rPr>
          <w:i/>
          <w:iCs/>
          <w:shd w:val="clear" w:color="auto" w:fill="FFFFFF"/>
        </w:rPr>
        <w:t>WAIT Radio v. FCC</w:t>
      </w:r>
      <w:r w:rsidRPr="00C42BAE">
        <w:rPr>
          <w:shd w:val="clear" w:color="auto" w:fill="FFFFFF"/>
        </w:rPr>
        <w:t>, 418 F.2d 1153, 1159 (D.C. Cir. 1969); </w:t>
      </w:r>
      <w:hyperlink r:id="rId2" w:tgtFrame="_top" w:history="1">
        <w:r w:rsidRPr="00C42BAE">
          <w:rPr>
            <w:i/>
            <w:iCs/>
            <w:shd w:val="clear" w:color="auto" w:fill="FFFFFF"/>
          </w:rPr>
          <w:t>Northeast Cellular</w:t>
        </w:r>
        <w:r w:rsidRPr="00C42BAE">
          <w:rPr>
            <w:shd w:val="clear" w:color="auto" w:fill="FFFFFF"/>
          </w:rPr>
          <w:t>, 897 F.2d at 1166</w:t>
        </w:r>
      </w:hyperlink>
      <w:r w:rsidRPr="00C42BAE">
        <w:rPr>
          <w:shd w:val="clear" w:color="auto" w:fill="FFFFFF"/>
        </w:rPr>
        <w:t xml:space="preserve">.  Waiver of the Commission’s rules is appropriate only if both (i) special circumstances warrant a deviation from the general rule, and (ii) such deviation will serve the public interest.  </w:t>
      </w:r>
      <w:r w:rsidR="009505F3">
        <w:rPr>
          <w:shd w:val="clear" w:color="auto" w:fill="FFFFFF"/>
        </w:rPr>
        <w:t xml:space="preserve">“[D]eadlines can only be waived under ‘unusual or compelling circumstances.’”  </w:t>
      </w:r>
      <w:r w:rsidRPr="00C42BAE">
        <w:rPr>
          <w:i/>
          <w:iCs/>
          <w:shd w:val="clear" w:color="auto" w:fill="FFFFFF"/>
        </w:rPr>
        <w:t>NetworkIP, LLC v. FCC</w:t>
      </w:r>
      <w:r w:rsidRPr="00C42BAE">
        <w:rPr>
          <w:shd w:val="clear" w:color="auto" w:fill="FFFFFF"/>
        </w:rPr>
        <w:t>, 548 F.3d 116, 125-28 (D.C. Cir. 2008)</w:t>
      </w:r>
      <w:r w:rsidR="007773E7">
        <w:rPr>
          <w:shd w:val="clear" w:color="auto" w:fill="FFFFFF"/>
        </w:rPr>
        <w:t>;</w:t>
      </w:r>
      <w:r w:rsidRPr="00C42BAE">
        <w:rPr>
          <w:shd w:val="clear" w:color="auto" w:fill="FFFFFF"/>
        </w:rPr>
        <w:t> </w:t>
      </w:r>
      <w:r w:rsidRPr="00C42BAE">
        <w:rPr>
          <w:i/>
          <w:iCs/>
          <w:shd w:val="clear" w:color="auto" w:fill="FFFFFF"/>
        </w:rPr>
        <w:t>Northeast Cellular</w:t>
      </w:r>
      <w:r w:rsidRPr="00C42BAE">
        <w:rPr>
          <w:shd w:val="clear" w:color="auto" w:fill="FFFFFF"/>
        </w:rPr>
        <w:t>, 897 F.2d at 1166.</w:t>
      </w:r>
    </w:p>
  </w:footnote>
  <w:footnote w:id="22">
    <w:p w:rsidR="00B525F8" w:rsidRPr="00C42BAE" w:rsidRDefault="00B525F8" w:rsidP="00A03C81">
      <w:pPr>
        <w:pStyle w:val="FootnoteText"/>
        <w:jc w:val="left"/>
      </w:pPr>
      <w:r w:rsidRPr="00C42BAE">
        <w:rPr>
          <w:rStyle w:val="FootnoteReference"/>
        </w:rPr>
        <w:footnoteRef/>
      </w:r>
      <w:r w:rsidRPr="00C42BAE">
        <w:t xml:space="preserve"> </w:t>
      </w:r>
      <w:r w:rsidRPr="00C42BAE">
        <w:rPr>
          <w:i/>
          <w:iCs/>
        </w:rPr>
        <w:t xml:space="preserve">WAIT Radio v. FCC, </w:t>
      </w:r>
      <w:r w:rsidRPr="00C42BAE">
        <w:t xml:space="preserve">418 F.2d 1153, 1159 (D.C. Cir. 1969), </w:t>
      </w:r>
      <w:r w:rsidRPr="00C42BAE">
        <w:rPr>
          <w:i/>
          <w:iCs/>
        </w:rPr>
        <w:t>cert. denied</w:t>
      </w:r>
      <w:r w:rsidRPr="000169AB">
        <w:rPr>
          <w:iCs/>
        </w:rPr>
        <w:t>,</w:t>
      </w:r>
      <w:r w:rsidRPr="00C42BAE">
        <w:rPr>
          <w:i/>
          <w:iCs/>
        </w:rPr>
        <w:t xml:space="preserve"> </w:t>
      </w:r>
      <w:r w:rsidRPr="00C42BAE">
        <w:t xml:space="preserve">409 U.S. 1027 (1972); 47 C.F.R. § 1.3; </w:t>
      </w:r>
      <w:r w:rsidRPr="00C42BAE">
        <w:rPr>
          <w:i/>
          <w:iCs/>
        </w:rPr>
        <w:t xml:space="preserve">see also </w:t>
      </w:r>
      <w:r w:rsidRPr="00C42BAE">
        <w:t>47 C.F.R. § 1.925(b)(3).</w:t>
      </w:r>
    </w:p>
  </w:footnote>
  <w:footnote w:id="23">
    <w:p w:rsidR="00B8431E" w:rsidRPr="00C42BAE" w:rsidRDefault="00B525F8" w:rsidP="00A03C81">
      <w:pPr>
        <w:autoSpaceDE w:val="0"/>
        <w:autoSpaceDN w:val="0"/>
        <w:adjustRightInd w:val="0"/>
        <w:spacing w:after="120"/>
        <w:rPr>
          <w:sz w:val="20"/>
        </w:rPr>
      </w:pPr>
      <w:r w:rsidRPr="00C42BAE">
        <w:rPr>
          <w:rStyle w:val="FootnoteReference"/>
          <w:sz w:val="20"/>
        </w:rPr>
        <w:footnoteRef/>
      </w:r>
      <w:r w:rsidRPr="00C42BAE">
        <w:rPr>
          <w:sz w:val="20"/>
        </w:rPr>
        <w:t xml:space="preserve"> </w:t>
      </w:r>
      <w:r w:rsidRPr="00C42BAE">
        <w:rPr>
          <w:i/>
          <w:iCs/>
          <w:sz w:val="20"/>
        </w:rPr>
        <w:t xml:space="preserve">Northeast Cellular Telephone Co. v. FCC, </w:t>
      </w:r>
      <w:r w:rsidRPr="00C42BAE">
        <w:rPr>
          <w:sz w:val="20"/>
        </w:rPr>
        <w:t xml:space="preserve">897 F.2d 1164, 1166 (D.C. Cir. 1990); </w:t>
      </w:r>
      <w:r w:rsidR="00AE75D0">
        <w:rPr>
          <w:i/>
          <w:iCs/>
          <w:sz w:val="20"/>
        </w:rPr>
        <w:t>s</w:t>
      </w:r>
      <w:r w:rsidRPr="00C42BAE">
        <w:rPr>
          <w:i/>
          <w:iCs/>
          <w:sz w:val="20"/>
        </w:rPr>
        <w:t xml:space="preserve">ee also </w:t>
      </w:r>
      <w:r w:rsidRPr="00C42BAE">
        <w:rPr>
          <w:sz w:val="20"/>
        </w:rPr>
        <w:t>47 C.F.R. §</w:t>
      </w:r>
      <w:r w:rsidR="00F12DEA" w:rsidRPr="00C42BAE">
        <w:rPr>
          <w:sz w:val="20"/>
        </w:rPr>
        <w:t> </w:t>
      </w:r>
      <w:r w:rsidRPr="00C42BAE">
        <w:rPr>
          <w:sz w:val="20"/>
        </w:rPr>
        <w:t>1.925(b)(3)(i).</w:t>
      </w:r>
    </w:p>
  </w:footnote>
  <w:footnote w:id="24">
    <w:p w:rsidR="00B8431E" w:rsidRPr="00C42BAE" w:rsidRDefault="00B8431E" w:rsidP="00A03C81">
      <w:pPr>
        <w:pStyle w:val="FootnoteText"/>
        <w:jc w:val="left"/>
      </w:pPr>
      <w:r w:rsidRPr="00C42BAE">
        <w:rPr>
          <w:rStyle w:val="FootnoteReference"/>
        </w:rPr>
        <w:footnoteRef/>
      </w:r>
      <w:r w:rsidRPr="00C42BAE">
        <w:t xml:space="preserve"> </w:t>
      </w:r>
      <w:r w:rsidRPr="00C42BAE">
        <w:rPr>
          <w:i/>
        </w:rPr>
        <w:t xml:space="preserve">See </w:t>
      </w:r>
      <w:r w:rsidRPr="00C42BAE">
        <w:t>Innovative Petition at 3-4.</w:t>
      </w:r>
    </w:p>
  </w:footnote>
  <w:footnote w:id="25">
    <w:p w:rsidR="00521FB6" w:rsidRPr="00C42BAE" w:rsidRDefault="00521FB6" w:rsidP="00A03C81">
      <w:pPr>
        <w:pStyle w:val="FootnoteText"/>
        <w:jc w:val="left"/>
      </w:pPr>
      <w:r w:rsidRPr="00C42BAE">
        <w:rPr>
          <w:rStyle w:val="FootnoteReference"/>
        </w:rPr>
        <w:footnoteRef/>
      </w:r>
      <w:r w:rsidRPr="00C42BAE">
        <w:t xml:space="preserve"> </w:t>
      </w:r>
      <w:r w:rsidR="00B8431E" w:rsidRPr="00C42BAE">
        <w:rPr>
          <w:i/>
        </w:rPr>
        <w:t xml:space="preserve">See </w:t>
      </w:r>
      <w:r w:rsidR="00D35220" w:rsidRPr="00C42BAE">
        <w:rPr>
          <w:i/>
        </w:rPr>
        <w:t>id.</w:t>
      </w:r>
      <w:r w:rsidR="00B8431E" w:rsidRPr="00C42BAE">
        <w:t xml:space="preserve"> at 8-9.</w:t>
      </w:r>
    </w:p>
  </w:footnote>
  <w:footnote w:id="26">
    <w:p w:rsidR="00D35220" w:rsidRPr="00C42BAE" w:rsidRDefault="00D35220" w:rsidP="00A03C81">
      <w:pPr>
        <w:pStyle w:val="FootnoteText"/>
        <w:jc w:val="left"/>
      </w:pPr>
      <w:r w:rsidRPr="00C42BAE">
        <w:rPr>
          <w:rStyle w:val="FootnoteReference"/>
        </w:rPr>
        <w:footnoteRef/>
      </w:r>
      <w:r w:rsidRPr="00C42BAE">
        <w:t xml:space="preserve"> </w:t>
      </w:r>
      <w:r w:rsidRPr="00C42BAE">
        <w:rPr>
          <w:i/>
        </w:rPr>
        <w:t>See id.</w:t>
      </w:r>
      <w:r w:rsidRPr="00C42BAE">
        <w:t xml:space="preserve"> at 6.</w:t>
      </w:r>
    </w:p>
  </w:footnote>
  <w:footnote w:id="27">
    <w:p w:rsidR="00D35220" w:rsidRPr="00C42BAE" w:rsidRDefault="00D35220" w:rsidP="00A03C81">
      <w:pPr>
        <w:pStyle w:val="FootnoteText"/>
        <w:jc w:val="left"/>
      </w:pPr>
      <w:r w:rsidRPr="00C42BAE">
        <w:rPr>
          <w:rStyle w:val="FootnoteReference"/>
        </w:rPr>
        <w:footnoteRef/>
      </w:r>
      <w:r w:rsidRPr="00C42BAE">
        <w:t xml:space="preserve"> </w:t>
      </w:r>
      <w:r w:rsidRPr="00C42BAE">
        <w:rPr>
          <w:i/>
        </w:rPr>
        <w:t>See id.</w:t>
      </w:r>
      <w:r w:rsidRPr="00C42BAE">
        <w:t xml:space="preserve"> at 5-6.</w:t>
      </w:r>
    </w:p>
  </w:footnote>
  <w:footnote w:id="28">
    <w:p w:rsidR="00CF6FF9" w:rsidRPr="00C42BAE" w:rsidRDefault="00CF6FF9" w:rsidP="00A03C81">
      <w:pPr>
        <w:pStyle w:val="FootnoteText"/>
        <w:jc w:val="left"/>
      </w:pPr>
      <w:r w:rsidRPr="00C42BAE">
        <w:rPr>
          <w:rStyle w:val="FootnoteReference"/>
        </w:rPr>
        <w:footnoteRef/>
      </w:r>
      <w:r w:rsidRPr="00C42BAE">
        <w:t xml:space="preserve"> </w:t>
      </w:r>
      <w:r w:rsidRPr="00C42BAE">
        <w:rPr>
          <w:i/>
        </w:rPr>
        <w:t>See id.</w:t>
      </w:r>
      <w:r w:rsidRPr="00C42BAE">
        <w:t xml:space="preserve"> at 3-4.</w:t>
      </w:r>
    </w:p>
  </w:footnote>
  <w:footnote w:id="29">
    <w:p w:rsidR="009E5CFC" w:rsidRDefault="009E5CFC" w:rsidP="00A03C81">
      <w:pPr>
        <w:pStyle w:val="FootnoteText"/>
        <w:jc w:val="left"/>
      </w:pPr>
      <w:r>
        <w:rPr>
          <w:rStyle w:val="FootnoteReference"/>
        </w:rPr>
        <w:footnoteRef/>
      </w:r>
      <w:r>
        <w:t xml:space="preserve"> </w:t>
      </w:r>
      <w:r w:rsidRPr="00C42BAE">
        <w:rPr>
          <w:i/>
        </w:rPr>
        <w:t xml:space="preserve">See </w:t>
      </w:r>
      <w:r w:rsidRPr="00C42BAE">
        <w:t>NECA Comments at 5-6.</w:t>
      </w:r>
      <w:r w:rsidR="00930655">
        <w:t xml:space="preserve">  </w:t>
      </w:r>
      <w:r w:rsidR="003A7DB9">
        <w:t>NECA indicates that t</w:t>
      </w:r>
      <w:r w:rsidR="00930655">
        <w:t xml:space="preserve">he 24-month adjustment window is the product of a contractual agreement between NECA and its member companies and has been in place since NECA began operations in the early 1980s.   The 24-month window provides smaller companies with time following the </w:t>
      </w:r>
      <w:r w:rsidR="00C16AC3">
        <w:t>end</w:t>
      </w:r>
      <w:r w:rsidR="00930655">
        <w:t xml:space="preserve"> of a study period to finalize total company accounting data and conduct the necessary cost studies.  </w:t>
      </w:r>
      <w:r w:rsidR="00930655">
        <w:rPr>
          <w:i/>
        </w:rPr>
        <w:t xml:space="preserve">See </w:t>
      </w:r>
      <w:r w:rsidR="00930655">
        <w:t>Letter from Richard A. Askoff, Executive Director – Regulatory&amp; Government Relations, NECA, to Marlene H. Dortch, Secretary, FCC, WC Docket No. 05-29, at 3, 5-6 (filed Jan. 28, 2005).</w:t>
      </w:r>
    </w:p>
  </w:footnote>
  <w:footnote w:id="30">
    <w:p w:rsidR="009E5CFC" w:rsidRDefault="009E5CFC" w:rsidP="00A03C81">
      <w:pPr>
        <w:pStyle w:val="FootnoteText"/>
        <w:jc w:val="left"/>
      </w:pPr>
      <w:r>
        <w:rPr>
          <w:rStyle w:val="FootnoteReference"/>
        </w:rPr>
        <w:footnoteRef/>
      </w:r>
      <w:r>
        <w:t xml:space="preserve"> </w:t>
      </w:r>
      <w:r w:rsidRPr="00C42BAE">
        <w:rPr>
          <w:i/>
        </w:rPr>
        <w:t xml:space="preserve">See id. </w:t>
      </w:r>
      <w:r w:rsidRPr="00C42BAE">
        <w:t>at 5.</w:t>
      </w:r>
    </w:p>
  </w:footnote>
  <w:footnote w:id="31">
    <w:p w:rsidR="000C3097" w:rsidRPr="00930655" w:rsidRDefault="000C3097" w:rsidP="00A03C81">
      <w:pPr>
        <w:pStyle w:val="FootnoteText"/>
        <w:jc w:val="left"/>
      </w:pPr>
      <w:r w:rsidRPr="00C42BAE">
        <w:rPr>
          <w:rStyle w:val="FootnoteReference"/>
        </w:rPr>
        <w:footnoteRef/>
      </w:r>
      <w:r w:rsidRPr="00C42BAE">
        <w:t xml:space="preserve"> </w:t>
      </w:r>
      <w:r w:rsidRPr="00C42BAE">
        <w:rPr>
          <w:i/>
        </w:rPr>
        <w:t xml:space="preserve">See </w:t>
      </w:r>
      <w:r w:rsidR="00CE19C4" w:rsidRPr="00A16408">
        <w:rPr>
          <w:i/>
          <w:shd w:val="clear" w:color="auto" w:fill="FFFFFF"/>
        </w:rPr>
        <w:t>December 2014 Connect America Order</w:t>
      </w:r>
      <w:r w:rsidR="007773E7">
        <w:rPr>
          <w:shd w:val="clear" w:color="auto" w:fill="FFFFFF"/>
        </w:rPr>
        <w:t>,</w:t>
      </w:r>
      <w:r w:rsidR="00CE19C4" w:rsidRPr="00C42BAE" w:rsidDel="00CE19C4">
        <w:rPr>
          <w:i/>
          <w:shd w:val="clear" w:color="auto" w:fill="FFFFFF"/>
        </w:rPr>
        <w:t xml:space="preserve"> </w:t>
      </w:r>
      <w:r>
        <w:rPr>
          <w:shd w:val="clear" w:color="auto" w:fill="FFFFFF"/>
        </w:rPr>
        <w:t xml:space="preserve">29 FCC Rcd </w:t>
      </w:r>
      <w:r w:rsidR="00CE19C4">
        <w:rPr>
          <w:shd w:val="clear" w:color="auto" w:fill="FFFFFF"/>
        </w:rPr>
        <w:t>at</w:t>
      </w:r>
      <w:r>
        <w:rPr>
          <w:shd w:val="clear" w:color="auto" w:fill="FFFFFF"/>
        </w:rPr>
        <w:t xml:space="preserve"> 15689-92</w:t>
      </w:r>
      <w:r w:rsidRPr="00C42BAE">
        <w:rPr>
          <w:shd w:val="clear" w:color="auto" w:fill="FFFFFF"/>
        </w:rPr>
        <w:t>, paras. 127-136</w:t>
      </w:r>
      <w:r w:rsidR="00CE19C4">
        <w:rPr>
          <w:shd w:val="clear" w:color="auto" w:fill="FFFFFF"/>
        </w:rPr>
        <w:t xml:space="preserve">. </w:t>
      </w:r>
      <w:r w:rsidRPr="00A16408">
        <w:rPr>
          <w:shd w:val="clear" w:color="auto" w:fill="FFFFFF"/>
        </w:rPr>
        <w:t xml:space="preserve">While Innovative </w:t>
      </w:r>
      <w:r>
        <w:rPr>
          <w:shd w:val="clear" w:color="auto" w:fill="FFFFFF"/>
        </w:rPr>
        <w:t>claims that</w:t>
      </w:r>
      <w:r w:rsidRPr="00B72B8B">
        <w:rPr>
          <w:shd w:val="clear" w:color="auto" w:fill="FFFFFF"/>
        </w:rPr>
        <w:t xml:space="preserve"> various</w:t>
      </w:r>
      <w:r w:rsidRPr="00C42BAE">
        <w:rPr>
          <w:shd w:val="clear" w:color="auto" w:fill="FFFFFF"/>
        </w:rPr>
        <w:t xml:space="preserve"> Commission and Bureau level orders provide the authority necessary to grant Innovative’s request, </w:t>
      </w:r>
      <w:r w:rsidRPr="00FB4473">
        <w:rPr>
          <w:i/>
          <w:shd w:val="clear" w:color="auto" w:fill="FFFFFF"/>
        </w:rPr>
        <w:t>s</w:t>
      </w:r>
      <w:r w:rsidRPr="00C42BAE">
        <w:rPr>
          <w:i/>
          <w:shd w:val="clear" w:color="auto" w:fill="FFFFFF"/>
        </w:rPr>
        <w:t xml:space="preserve">ee </w:t>
      </w:r>
      <w:r w:rsidRPr="00C42BAE">
        <w:t>Innovative Petition at 3-4</w:t>
      </w:r>
      <w:r>
        <w:t xml:space="preserve"> </w:t>
      </w:r>
      <w:r w:rsidRPr="00C42BAE">
        <w:t>n</w:t>
      </w:r>
      <w:r>
        <w:t>.</w:t>
      </w:r>
      <w:r w:rsidRPr="00C42BAE">
        <w:t>18</w:t>
      </w:r>
      <w:r>
        <w:t xml:space="preserve">, </w:t>
      </w:r>
      <w:r>
        <w:rPr>
          <w:shd w:val="clear" w:color="auto" w:fill="FFFFFF"/>
        </w:rPr>
        <w:t xml:space="preserve">we note that </w:t>
      </w:r>
      <w:r w:rsidRPr="00C42BAE">
        <w:rPr>
          <w:shd w:val="clear" w:color="auto" w:fill="FFFFFF"/>
        </w:rPr>
        <w:t>the Commission has never granted a waiver directing NECA to open its 24-month adjustment window</w:t>
      </w:r>
      <w:r>
        <w:rPr>
          <w:shd w:val="clear" w:color="auto" w:fill="FFFFFF"/>
        </w:rPr>
        <w:t>.  Moreover,</w:t>
      </w:r>
      <w:r w:rsidRPr="00C42BAE">
        <w:rPr>
          <w:shd w:val="clear" w:color="auto" w:fill="FFFFFF"/>
        </w:rPr>
        <w:t xml:space="preserve"> </w:t>
      </w:r>
      <w:r>
        <w:rPr>
          <w:shd w:val="clear" w:color="auto" w:fill="FFFFFF"/>
        </w:rPr>
        <w:t>the fact that the Commission could do so does not mean that such action is in the public interest in this case</w:t>
      </w:r>
      <w:r w:rsidRPr="00C42BAE">
        <w:rPr>
          <w:shd w:val="clear" w:color="auto" w:fill="FFFFFF"/>
        </w:rPr>
        <w:t>.</w:t>
      </w:r>
    </w:p>
  </w:footnote>
  <w:footnote w:id="32">
    <w:p w:rsidR="00F056EF" w:rsidRPr="00832F63" w:rsidRDefault="00F056EF" w:rsidP="00A03C81">
      <w:pPr>
        <w:pStyle w:val="FootnoteText"/>
        <w:jc w:val="left"/>
      </w:pPr>
      <w:r w:rsidRPr="00832F63">
        <w:rPr>
          <w:rStyle w:val="FootnoteReference"/>
        </w:rPr>
        <w:footnoteRef/>
      </w:r>
      <w:r w:rsidRPr="00832F63">
        <w:t xml:space="preserve"> We note that the Commission has strictly enforced filing deadlines in other contexts</w:t>
      </w:r>
      <w:r w:rsidRPr="00832F63">
        <w:rPr>
          <w:i/>
        </w:rPr>
        <w:t>.  See, e.g.</w:t>
      </w:r>
      <w:r w:rsidRPr="002245DF">
        <w:t>,</w:t>
      </w:r>
      <w:r w:rsidRPr="00832F63">
        <w:rPr>
          <w:i/>
        </w:rPr>
        <w:t xml:space="preserve"> Vanessa Cintron, Noble Ventures, Inc., On Request for Inspection of Records</w:t>
      </w:r>
      <w:r w:rsidRPr="00832F63">
        <w:t>, FOIA Control No. 2014-282, Memorandum Opinion and Order</w:t>
      </w:r>
      <w:r w:rsidR="00211874">
        <w:t xml:space="preserve">, </w:t>
      </w:r>
      <w:r w:rsidR="0081525A" w:rsidRPr="00350483">
        <w:rPr>
          <w:iCs/>
          <w:color w:val="333333"/>
          <w:shd w:val="clear" w:color="auto" w:fill="FFFFFF"/>
        </w:rPr>
        <w:t>29 FCC Rcd 11583</w:t>
      </w:r>
      <w:r w:rsidRPr="00832F63">
        <w:t xml:space="preserve"> (2014) (dismissing an application for review that was filed three days late and noting “[w]hile losing the right of appeal when a deadline is missed by a brief time ‘may seem unduly harsh . . . short of exceptional circumstances (which are not present here), courts have generally respected statutory and regulatory deadlines’”); </w:t>
      </w:r>
      <w:r w:rsidRPr="00832F63">
        <w:rPr>
          <w:i/>
        </w:rPr>
        <w:t>Totally Jesus Network, Inc. Application for a New NCE FM Station at Gold Beach , Oregon, et al.</w:t>
      </w:r>
      <w:r w:rsidRPr="00832F63">
        <w:t xml:space="preserve">, File No. BNPED-20071018AON, Memorandum Opinion and Order, 29 FCC Rcd 6414 (2014) (affirming a decision to dismiss an application for a new noncommercial FM station after the applicant experienced technical difficulties and filed nine days past the filing deadline).  </w:t>
      </w:r>
    </w:p>
  </w:footnote>
  <w:footnote w:id="33">
    <w:p w:rsidR="00F91168" w:rsidRPr="00C42BAE" w:rsidRDefault="00F91168" w:rsidP="00A03C81">
      <w:pPr>
        <w:pStyle w:val="FootnoteText"/>
        <w:jc w:val="left"/>
      </w:pPr>
      <w:r w:rsidRPr="00C42BAE">
        <w:rPr>
          <w:rStyle w:val="FootnoteReference"/>
        </w:rPr>
        <w:footnoteRef/>
      </w:r>
      <w:r w:rsidRPr="00C42BAE">
        <w:t xml:space="preserve"> </w:t>
      </w:r>
      <w:r w:rsidRPr="00C42BAE">
        <w:rPr>
          <w:i/>
        </w:rPr>
        <w:t xml:space="preserve">See </w:t>
      </w:r>
      <w:r w:rsidRPr="00C42BAE">
        <w:t>Innovative Ex Parte at 2.</w:t>
      </w:r>
    </w:p>
  </w:footnote>
  <w:footnote w:id="34">
    <w:p w:rsidR="00A523D2" w:rsidRPr="00C42BAE" w:rsidRDefault="00A523D2" w:rsidP="00A03C81">
      <w:pPr>
        <w:pStyle w:val="FootnoteText"/>
        <w:jc w:val="left"/>
      </w:pPr>
      <w:r w:rsidRPr="00C42BAE">
        <w:rPr>
          <w:rStyle w:val="FootnoteReference"/>
        </w:rPr>
        <w:footnoteRef/>
      </w:r>
      <w:r w:rsidRPr="00C42BAE">
        <w:t xml:space="preserve"> </w:t>
      </w:r>
      <w:r w:rsidRPr="00C42BAE">
        <w:rPr>
          <w:i/>
        </w:rPr>
        <w:t xml:space="preserve">See </w:t>
      </w:r>
      <w:r w:rsidR="00F91168" w:rsidRPr="00C42BAE">
        <w:rPr>
          <w:i/>
        </w:rPr>
        <w:t xml:space="preserve">id. </w:t>
      </w:r>
      <w:r w:rsidR="00F91168" w:rsidRPr="00C42BAE">
        <w:t>at 3.</w:t>
      </w:r>
    </w:p>
  </w:footnote>
  <w:footnote w:id="35">
    <w:p w:rsidR="008326C4" w:rsidRPr="00C42BAE" w:rsidRDefault="008326C4" w:rsidP="00A03C81">
      <w:pPr>
        <w:pStyle w:val="FootnoteText"/>
        <w:jc w:val="left"/>
      </w:pPr>
      <w:r w:rsidRPr="00C42BAE">
        <w:rPr>
          <w:rStyle w:val="FootnoteReference"/>
        </w:rPr>
        <w:footnoteRef/>
      </w:r>
      <w:r w:rsidRPr="00C42BAE">
        <w:t xml:space="preserve"> </w:t>
      </w:r>
      <w:r w:rsidRPr="00C42BAE">
        <w:rPr>
          <w:i/>
        </w:rPr>
        <w:t xml:space="preserve">See Connect America Fund et al, </w:t>
      </w:r>
      <w:r w:rsidRPr="00C42BAE">
        <w:t>WC Docket Nos. 10-90 et al., Report and Order and Further Notice of Proposed Rulemaking, 26 FCC Rcd 17663</w:t>
      </w:r>
      <w:r w:rsidR="00140736" w:rsidRPr="00C42BAE">
        <w:t xml:space="preserve">, </w:t>
      </w:r>
      <w:r w:rsidR="005E57E6" w:rsidRPr="00C42BAE">
        <w:t>17715, para. 133</w:t>
      </w:r>
      <w:r w:rsidRPr="00C42BAE">
        <w:t xml:space="preserve"> (2011) (</w:t>
      </w:r>
      <w:r w:rsidRPr="00C42BAE">
        <w:rPr>
          <w:i/>
        </w:rPr>
        <w:t>USF/ICC Transformation Order</w:t>
      </w:r>
      <w:r w:rsidR="000B08EE" w:rsidRPr="00C42BAE">
        <w:t>)</w:t>
      </w:r>
      <w:r w:rsidR="008241C0">
        <w:t xml:space="preserve"> (emphasis added).</w:t>
      </w:r>
    </w:p>
  </w:footnote>
  <w:footnote w:id="36">
    <w:p w:rsidR="005E57E6" w:rsidRPr="000E150C" w:rsidRDefault="005E57E6" w:rsidP="00A03C81">
      <w:pPr>
        <w:pStyle w:val="FootnoteText"/>
        <w:jc w:val="left"/>
      </w:pPr>
      <w:r w:rsidRPr="000E150C">
        <w:rPr>
          <w:rStyle w:val="FootnoteReference"/>
        </w:rPr>
        <w:footnoteRef/>
      </w:r>
      <w:r w:rsidRPr="000E150C">
        <w:t xml:space="preserve"> </w:t>
      </w:r>
      <w:r w:rsidR="00211874" w:rsidRPr="000E150C">
        <w:rPr>
          <w:i/>
        </w:rPr>
        <w:t>Id.</w:t>
      </w:r>
      <w:r w:rsidRPr="000E150C">
        <w:t xml:space="preserve"> at 17715, para. 133</w:t>
      </w:r>
      <w:r w:rsidR="00211874" w:rsidRPr="000E150C">
        <w:t>, n.</w:t>
      </w:r>
      <w:r w:rsidRPr="000E150C">
        <w:t>212.</w:t>
      </w:r>
    </w:p>
  </w:footnote>
  <w:footnote w:id="37">
    <w:p w:rsidR="00572798" w:rsidRPr="00C42BAE" w:rsidRDefault="00572798" w:rsidP="00A03C81">
      <w:pPr>
        <w:pStyle w:val="FootnoteText"/>
        <w:jc w:val="left"/>
      </w:pPr>
      <w:r w:rsidRPr="000E150C">
        <w:rPr>
          <w:rStyle w:val="FootnoteReference"/>
        </w:rPr>
        <w:footnoteRef/>
      </w:r>
      <w:r w:rsidRPr="000E150C">
        <w:t xml:space="preserve"> </w:t>
      </w:r>
      <w:r w:rsidRPr="000E150C">
        <w:rPr>
          <w:i/>
        </w:rPr>
        <w:t>See id.</w:t>
      </w:r>
      <w:r w:rsidR="00A26CAB" w:rsidRPr="005615A3">
        <w:t>;</w:t>
      </w:r>
      <w:r w:rsidR="00A26CAB" w:rsidRPr="000E150C">
        <w:rPr>
          <w:i/>
        </w:rPr>
        <w:t xml:space="preserve"> see also</w:t>
      </w:r>
      <w:r w:rsidR="00A26CAB" w:rsidRPr="000E150C">
        <w:t xml:space="preserve"> </w:t>
      </w:r>
      <w:r w:rsidR="00A26CAB" w:rsidRPr="000E150C">
        <w:rPr>
          <w:bCs/>
          <w:i/>
          <w:shd w:val="clear" w:color="auto" w:fill="FFFFFF"/>
        </w:rPr>
        <w:t>Petitions for Waiver of Universal Service High-Cost Filing Deadlines, et al.</w:t>
      </w:r>
      <w:r w:rsidR="00A26CAB" w:rsidRPr="005615A3">
        <w:rPr>
          <w:bCs/>
          <w:shd w:val="clear" w:color="auto" w:fill="FFFFFF"/>
        </w:rPr>
        <w:t xml:space="preserve">, </w:t>
      </w:r>
      <w:r w:rsidR="005615A3" w:rsidRPr="005615A3">
        <w:rPr>
          <w:bCs/>
          <w:shd w:val="clear" w:color="auto" w:fill="FFFFFF"/>
        </w:rPr>
        <w:t>WC Docket No. 08-71</w:t>
      </w:r>
      <w:r w:rsidR="005615A3">
        <w:rPr>
          <w:bCs/>
          <w:shd w:val="clear" w:color="auto" w:fill="FFFFFF"/>
        </w:rPr>
        <w:t xml:space="preserve">, </w:t>
      </w:r>
      <w:r w:rsidR="00A26CAB" w:rsidRPr="000E150C">
        <w:rPr>
          <w:bCs/>
          <w:shd w:val="clear" w:color="auto" w:fill="FFFFFF"/>
        </w:rPr>
        <w:t>Order, 28 FCC Rcd 14856, 14858 n.12 (Wireline Comp. Bur. 2013) (</w:t>
      </w:r>
      <w:r w:rsidR="00A26CAB" w:rsidRPr="000E150C">
        <w:t xml:space="preserve">“Frozen support was calculated by USAC on January 31, 2012 based on </w:t>
      </w:r>
      <w:r w:rsidR="00A26CAB" w:rsidRPr="006E2D3A">
        <w:t xml:space="preserve">the amount of support disbursed to carriers in 2011. Thus, any adjustments or true-ups made to 2011 support after January 31, 2012 do not affect price cap carriers and their rate-of-return affiliates’ frozen high-cost support.” </w:t>
      </w:r>
      <w:r w:rsidR="00A26CAB" w:rsidRPr="006E2D3A">
        <w:rPr>
          <w:bCs/>
          <w:shd w:val="clear" w:color="auto" w:fill="FFFFFF"/>
        </w:rPr>
        <w:t>(citations omitted)).</w:t>
      </w:r>
      <w:r w:rsidR="000B07ED" w:rsidRPr="006E2D3A">
        <w:rPr>
          <w:bCs/>
          <w:shd w:val="clear" w:color="auto" w:fill="FFFFFF"/>
        </w:rPr>
        <w:t xml:space="preserve">  We note that carriers serving </w:t>
      </w:r>
      <w:r w:rsidR="000B07ED" w:rsidRPr="006E2D3A">
        <w:t>110 study areas</w:t>
      </w:r>
      <w:r w:rsidR="00591AAF" w:rsidRPr="006E2D3A">
        <w:t xml:space="preserve"> are similarly situated to Innovative and </w:t>
      </w:r>
      <w:r w:rsidR="000B07ED" w:rsidRPr="006E2D3A">
        <w:t>received support for prior periods after the January 31, 2012 cutoff that was not included in the frozen baseline amounts</w:t>
      </w:r>
      <w:r w:rsidR="00B93B98" w:rsidRPr="006E2D3A">
        <w:t xml:space="preserve">.  </w:t>
      </w:r>
      <w:r w:rsidR="00B93B98" w:rsidRPr="00720510">
        <w:rPr>
          <w:i/>
        </w:rPr>
        <w:t>See</w:t>
      </w:r>
      <w:r w:rsidR="000B07ED" w:rsidRPr="006E2D3A">
        <w:t xml:space="preserve"> </w:t>
      </w:r>
      <w:r w:rsidR="00A1195A">
        <w:t xml:space="preserve">Industry Analysis and Technology Division, Wireline Competition Bureau, </w:t>
      </w:r>
      <w:r w:rsidR="00A1195A" w:rsidRPr="00720510">
        <w:rPr>
          <w:i/>
        </w:rPr>
        <w:t xml:space="preserve">2014 Universal Service </w:t>
      </w:r>
      <w:r w:rsidR="00B93B98" w:rsidRPr="00720510">
        <w:rPr>
          <w:i/>
        </w:rPr>
        <w:t>Monitoring Report</w:t>
      </w:r>
      <w:r w:rsidR="00B93B98" w:rsidRPr="006E2D3A">
        <w:t>,</w:t>
      </w:r>
      <w:r w:rsidR="000B07ED" w:rsidRPr="006E2D3A">
        <w:t xml:space="preserve"> “HC Disbursements - by Study Area.xlsx</w:t>
      </w:r>
      <w:r w:rsidR="00B93B98" w:rsidRPr="006E2D3A">
        <w:t>,</w:t>
      </w:r>
      <w:r w:rsidR="000B07ED" w:rsidRPr="006E2D3A">
        <w:t xml:space="preserve">” </w:t>
      </w:r>
      <w:r w:rsidR="00B93B98" w:rsidRPr="006E2D3A">
        <w:rPr>
          <w:i/>
        </w:rPr>
        <w:t>available at</w:t>
      </w:r>
      <w:r w:rsidR="00B93B98" w:rsidRPr="006E2D3A">
        <w:t xml:space="preserve"> </w:t>
      </w:r>
      <w:hyperlink r:id="rId3" w:history="1">
        <w:r w:rsidR="00CB4A12" w:rsidRPr="00A142EA">
          <w:rPr>
            <w:rStyle w:val="Hyperlink"/>
          </w:rPr>
          <w:t>http://www.fcc.gov/Bureaus/Common_Carrier/Reports/FCC-State_Link/Monitor/2014_MR_Supplementary_Material.zip</w:t>
        </w:r>
      </w:hyperlink>
      <w:r w:rsidR="000B07ED" w:rsidRPr="006E2D3A">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DF" w:rsidRDefault="00C86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F8" w:rsidRDefault="00B525F8">
    <w:pPr>
      <w:pStyle w:val="Header"/>
      <w:tabs>
        <w:tab w:val="clear" w:pos="4320"/>
        <w:tab w:val="clear" w:pos="8640"/>
        <w:tab w:val="center" w:pos="4680"/>
        <w:tab w:val="right" w:pos="9360"/>
      </w:tabs>
      <w:rPr>
        <w:b/>
      </w:rPr>
    </w:pPr>
    <w:r>
      <w:rPr>
        <w:b/>
      </w:rPr>
      <w:tab/>
      <w:t xml:space="preserve">Federal Communications </w:t>
    </w:r>
    <w:r w:rsidR="003647E7">
      <w:rPr>
        <w:b/>
      </w:rPr>
      <w:t>Commission</w:t>
    </w:r>
    <w:r w:rsidR="003647E7">
      <w:rPr>
        <w:b/>
      </w:rPr>
      <w:tab/>
      <w:t xml:space="preserve">    DA 15-</w:t>
    </w:r>
    <w:r w:rsidR="00CB4A12">
      <w:rPr>
        <w:b/>
      </w:rPr>
      <w:t>247</w:t>
    </w:r>
  </w:p>
  <w:p w:rsidR="00B525F8" w:rsidRDefault="00777C3F">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28B2083F" wp14:editId="50F32B62">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525F8" w:rsidRDefault="00B52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F8" w:rsidRDefault="00B525F8">
    <w:pPr>
      <w:pStyle w:val="Header"/>
      <w:tabs>
        <w:tab w:val="clear" w:pos="4320"/>
        <w:tab w:val="clear" w:pos="8640"/>
        <w:tab w:val="center" w:pos="4680"/>
        <w:tab w:val="right" w:pos="9360"/>
      </w:tabs>
      <w:rPr>
        <w:b/>
      </w:rPr>
    </w:pPr>
    <w:r>
      <w:rPr>
        <w:b/>
      </w:rPr>
      <w:tab/>
      <w:t>Federal Communications Commission</w:t>
    </w:r>
    <w:r>
      <w:rPr>
        <w:b/>
      </w:rPr>
      <w:tab/>
      <w:t xml:space="preserve">    </w:t>
    </w:r>
    <w:r w:rsidR="003647E7">
      <w:rPr>
        <w:b/>
      </w:rPr>
      <w:t>DA 15</w:t>
    </w:r>
    <w:r>
      <w:rPr>
        <w:b/>
      </w:rPr>
      <w:t>-</w:t>
    </w:r>
    <w:r w:rsidR="00CB4A12">
      <w:rPr>
        <w:b/>
      </w:rPr>
      <w:t>247</w:t>
    </w:r>
  </w:p>
  <w:p w:rsidR="00B525F8" w:rsidRDefault="00777C3F">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14:anchorId="758A8A32" wp14:editId="5EE4A336">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A7"/>
    <w:multiLevelType w:val="hybridMultilevel"/>
    <w:tmpl w:val="B34AA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5C7178"/>
    <w:multiLevelType w:val="hybridMultilevel"/>
    <w:tmpl w:val="600AD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4F4C4C32"/>
    <w:multiLevelType w:val="hybridMultilevel"/>
    <w:tmpl w:val="43D0F9DC"/>
    <w:lvl w:ilvl="0" w:tplc="08A4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C7427F5"/>
    <w:multiLevelType w:val="hybridMultilevel"/>
    <w:tmpl w:val="51EA0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5EE135FC"/>
    <w:multiLevelType w:val="hybridMultilevel"/>
    <w:tmpl w:val="E0ACD428"/>
    <w:lvl w:ilvl="0" w:tplc="4AD2C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19"/>
  </w:num>
  <w:num w:numId="5">
    <w:abstractNumId w:val="7"/>
  </w:num>
  <w:num w:numId="6">
    <w:abstractNumId w:val="23"/>
  </w:num>
  <w:num w:numId="7">
    <w:abstractNumId w:val="15"/>
  </w:num>
  <w:num w:numId="8">
    <w:abstractNumId w:val="8"/>
  </w:num>
  <w:num w:numId="9">
    <w:abstractNumId w:val="21"/>
  </w:num>
  <w:num w:numId="10">
    <w:abstractNumId w:val="13"/>
  </w:num>
  <w:num w:numId="11">
    <w:abstractNumId w:val="12"/>
  </w:num>
  <w:num w:numId="12">
    <w:abstractNumId w:val="9"/>
  </w:num>
  <w:num w:numId="13">
    <w:abstractNumId w:val="14"/>
  </w:num>
  <w:num w:numId="14">
    <w:abstractNumId w:val="20"/>
  </w:num>
  <w:num w:numId="15">
    <w:abstractNumId w:val="2"/>
  </w:num>
  <w:num w:numId="16">
    <w:abstractNumId w:val="3"/>
  </w:num>
  <w:num w:numId="17">
    <w:abstractNumId w:val="10"/>
  </w:num>
  <w:num w:numId="18">
    <w:abstractNumId w:val="1"/>
  </w:num>
  <w:num w:numId="19">
    <w:abstractNumId w:val="11"/>
  </w:num>
  <w:num w:numId="20">
    <w:abstractNumId w:val="16"/>
  </w:num>
  <w:num w:numId="21">
    <w:abstractNumId w:val="18"/>
  </w:num>
  <w:num w:numId="22">
    <w:abstractNumId w:val="6"/>
  </w:num>
  <w:num w:numId="23">
    <w:abstractNumId w:val="0"/>
  </w:num>
  <w:num w:numId="24">
    <w:abstractNumId w:val="1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24"/>
  </w:num>
  <w:num w:numId="37">
    <w:abstractNumId w:val="19"/>
  </w:num>
  <w:num w:numId="38">
    <w:abstractNumId w:val="22"/>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75"/>
    <w:rsid w:val="00000638"/>
    <w:rsid w:val="0001121D"/>
    <w:rsid w:val="000169AB"/>
    <w:rsid w:val="00022ECD"/>
    <w:rsid w:val="0002302F"/>
    <w:rsid w:val="0003022F"/>
    <w:rsid w:val="000311F8"/>
    <w:rsid w:val="000377A6"/>
    <w:rsid w:val="0004259E"/>
    <w:rsid w:val="00043F98"/>
    <w:rsid w:val="0005047D"/>
    <w:rsid w:val="00051143"/>
    <w:rsid w:val="000662E0"/>
    <w:rsid w:val="00070A17"/>
    <w:rsid w:val="00071C3A"/>
    <w:rsid w:val="00082C40"/>
    <w:rsid w:val="00091A3C"/>
    <w:rsid w:val="000B07ED"/>
    <w:rsid w:val="000B08EE"/>
    <w:rsid w:val="000B606B"/>
    <w:rsid w:val="000C3097"/>
    <w:rsid w:val="000C6055"/>
    <w:rsid w:val="000C7D74"/>
    <w:rsid w:val="000D0B8F"/>
    <w:rsid w:val="000D604E"/>
    <w:rsid w:val="000E150C"/>
    <w:rsid w:val="000F07A7"/>
    <w:rsid w:val="000F1195"/>
    <w:rsid w:val="00104B51"/>
    <w:rsid w:val="0011556F"/>
    <w:rsid w:val="00115E38"/>
    <w:rsid w:val="0013083F"/>
    <w:rsid w:val="00136214"/>
    <w:rsid w:val="00140736"/>
    <w:rsid w:val="001437F6"/>
    <w:rsid w:val="001550FE"/>
    <w:rsid w:val="00160F9D"/>
    <w:rsid w:val="00161001"/>
    <w:rsid w:val="001728BB"/>
    <w:rsid w:val="00177742"/>
    <w:rsid w:val="0017774B"/>
    <w:rsid w:val="001821E4"/>
    <w:rsid w:val="001837A8"/>
    <w:rsid w:val="0018477B"/>
    <w:rsid w:val="001911EE"/>
    <w:rsid w:val="001A2198"/>
    <w:rsid w:val="001A625A"/>
    <w:rsid w:val="001A69C0"/>
    <w:rsid w:val="001A798F"/>
    <w:rsid w:val="001B6106"/>
    <w:rsid w:val="001C5020"/>
    <w:rsid w:val="001C57B7"/>
    <w:rsid w:val="001C6238"/>
    <w:rsid w:val="001D03FD"/>
    <w:rsid w:val="001D6143"/>
    <w:rsid w:val="001D70B7"/>
    <w:rsid w:val="001E3DEC"/>
    <w:rsid w:val="001E6A78"/>
    <w:rsid w:val="001E7AF5"/>
    <w:rsid w:val="001F0813"/>
    <w:rsid w:val="001F6517"/>
    <w:rsid w:val="00207B30"/>
    <w:rsid w:val="00211874"/>
    <w:rsid w:val="00231300"/>
    <w:rsid w:val="00234B4E"/>
    <w:rsid w:val="002362CA"/>
    <w:rsid w:val="002441FE"/>
    <w:rsid w:val="00251561"/>
    <w:rsid w:val="00253018"/>
    <w:rsid w:val="002532FD"/>
    <w:rsid w:val="002767A9"/>
    <w:rsid w:val="00277454"/>
    <w:rsid w:val="002800D7"/>
    <w:rsid w:val="0028373F"/>
    <w:rsid w:val="002B781B"/>
    <w:rsid w:val="002D312A"/>
    <w:rsid w:val="002D336E"/>
    <w:rsid w:val="002D3422"/>
    <w:rsid w:val="002E1A0B"/>
    <w:rsid w:val="002E7F87"/>
    <w:rsid w:val="002F75A3"/>
    <w:rsid w:val="00303F6B"/>
    <w:rsid w:val="00311155"/>
    <w:rsid w:val="00317C5B"/>
    <w:rsid w:val="003269F4"/>
    <w:rsid w:val="003275BA"/>
    <w:rsid w:val="00344BB7"/>
    <w:rsid w:val="00350483"/>
    <w:rsid w:val="0035740B"/>
    <w:rsid w:val="003619F1"/>
    <w:rsid w:val="003647E7"/>
    <w:rsid w:val="00377441"/>
    <w:rsid w:val="00384878"/>
    <w:rsid w:val="003A1602"/>
    <w:rsid w:val="003A7DB9"/>
    <w:rsid w:val="003B4279"/>
    <w:rsid w:val="003B6083"/>
    <w:rsid w:val="003E06B2"/>
    <w:rsid w:val="003E0D09"/>
    <w:rsid w:val="003E3398"/>
    <w:rsid w:val="003F7CF0"/>
    <w:rsid w:val="0040236B"/>
    <w:rsid w:val="00405BF9"/>
    <w:rsid w:val="00413265"/>
    <w:rsid w:val="004216E5"/>
    <w:rsid w:val="004311A2"/>
    <w:rsid w:val="00433F3D"/>
    <w:rsid w:val="00445476"/>
    <w:rsid w:val="00461E72"/>
    <w:rsid w:val="00464B65"/>
    <w:rsid w:val="00472A42"/>
    <w:rsid w:val="004813FE"/>
    <w:rsid w:val="0049122F"/>
    <w:rsid w:val="004921FB"/>
    <w:rsid w:val="004C01C2"/>
    <w:rsid w:val="004C25AC"/>
    <w:rsid w:val="004D3654"/>
    <w:rsid w:val="004F614E"/>
    <w:rsid w:val="004F7FC1"/>
    <w:rsid w:val="0051223F"/>
    <w:rsid w:val="00514183"/>
    <w:rsid w:val="00514815"/>
    <w:rsid w:val="005218A8"/>
    <w:rsid w:val="00521FB6"/>
    <w:rsid w:val="00544FF4"/>
    <w:rsid w:val="005507F6"/>
    <w:rsid w:val="00552D93"/>
    <w:rsid w:val="005615A3"/>
    <w:rsid w:val="0057204B"/>
    <w:rsid w:val="005726A1"/>
    <w:rsid w:val="00572798"/>
    <w:rsid w:val="0058182C"/>
    <w:rsid w:val="005865E3"/>
    <w:rsid w:val="00591AAF"/>
    <w:rsid w:val="00596073"/>
    <w:rsid w:val="005B7B0F"/>
    <w:rsid w:val="005D0C9F"/>
    <w:rsid w:val="005D4E1B"/>
    <w:rsid w:val="005E000D"/>
    <w:rsid w:val="005E57E6"/>
    <w:rsid w:val="00612937"/>
    <w:rsid w:val="0061336A"/>
    <w:rsid w:val="00613684"/>
    <w:rsid w:val="00613A98"/>
    <w:rsid w:val="006225CB"/>
    <w:rsid w:val="00622B7F"/>
    <w:rsid w:val="006405DF"/>
    <w:rsid w:val="00653BA1"/>
    <w:rsid w:val="00656311"/>
    <w:rsid w:val="00661875"/>
    <w:rsid w:val="006704D9"/>
    <w:rsid w:val="00677BF2"/>
    <w:rsid w:val="006807B4"/>
    <w:rsid w:val="00685DDB"/>
    <w:rsid w:val="006958F9"/>
    <w:rsid w:val="006A3228"/>
    <w:rsid w:val="006C4274"/>
    <w:rsid w:val="006D071F"/>
    <w:rsid w:val="006D38A3"/>
    <w:rsid w:val="006E2D3A"/>
    <w:rsid w:val="006E3447"/>
    <w:rsid w:val="006F52D3"/>
    <w:rsid w:val="00702AAC"/>
    <w:rsid w:val="00704B28"/>
    <w:rsid w:val="00712F43"/>
    <w:rsid w:val="00720510"/>
    <w:rsid w:val="00737643"/>
    <w:rsid w:val="00775961"/>
    <w:rsid w:val="007773E7"/>
    <w:rsid w:val="00777C3F"/>
    <w:rsid w:val="00781529"/>
    <w:rsid w:val="00794123"/>
    <w:rsid w:val="007A4193"/>
    <w:rsid w:val="007B04E9"/>
    <w:rsid w:val="007C231E"/>
    <w:rsid w:val="007E4F05"/>
    <w:rsid w:val="007E58DD"/>
    <w:rsid w:val="007E6B65"/>
    <w:rsid w:val="007F6518"/>
    <w:rsid w:val="00807FD7"/>
    <w:rsid w:val="0081525A"/>
    <w:rsid w:val="008241C0"/>
    <w:rsid w:val="008326C4"/>
    <w:rsid w:val="0083522F"/>
    <w:rsid w:val="008363BD"/>
    <w:rsid w:val="00846F38"/>
    <w:rsid w:val="0085459C"/>
    <w:rsid w:val="008678C1"/>
    <w:rsid w:val="0087140C"/>
    <w:rsid w:val="008818DD"/>
    <w:rsid w:val="00884ED9"/>
    <w:rsid w:val="00897F6A"/>
    <w:rsid w:val="008C5948"/>
    <w:rsid w:val="008D2261"/>
    <w:rsid w:val="008D4BD9"/>
    <w:rsid w:val="008D5406"/>
    <w:rsid w:val="008D6035"/>
    <w:rsid w:val="008F5D7B"/>
    <w:rsid w:val="008F7469"/>
    <w:rsid w:val="009124EF"/>
    <w:rsid w:val="00926220"/>
    <w:rsid w:val="00927EF5"/>
    <w:rsid w:val="00930655"/>
    <w:rsid w:val="00933A7E"/>
    <w:rsid w:val="009505F3"/>
    <w:rsid w:val="00954541"/>
    <w:rsid w:val="00976CB9"/>
    <w:rsid w:val="00982C13"/>
    <w:rsid w:val="0099680E"/>
    <w:rsid w:val="00996821"/>
    <w:rsid w:val="009C3E71"/>
    <w:rsid w:val="009E04B7"/>
    <w:rsid w:val="009E5CFC"/>
    <w:rsid w:val="009F2CB3"/>
    <w:rsid w:val="009F6DAD"/>
    <w:rsid w:val="00A015CB"/>
    <w:rsid w:val="00A03C81"/>
    <w:rsid w:val="00A1195A"/>
    <w:rsid w:val="00A16408"/>
    <w:rsid w:val="00A20C7E"/>
    <w:rsid w:val="00A265D4"/>
    <w:rsid w:val="00A26CAB"/>
    <w:rsid w:val="00A42CD5"/>
    <w:rsid w:val="00A5007A"/>
    <w:rsid w:val="00A523D2"/>
    <w:rsid w:val="00A62128"/>
    <w:rsid w:val="00A64D17"/>
    <w:rsid w:val="00A72919"/>
    <w:rsid w:val="00A72E63"/>
    <w:rsid w:val="00A7570D"/>
    <w:rsid w:val="00A7673C"/>
    <w:rsid w:val="00A80508"/>
    <w:rsid w:val="00A86458"/>
    <w:rsid w:val="00A916F4"/>
    <w:rsid w:val="00AA16CE"/>
    <w:rsid w:val="00AA45EC"/>
    <w:rsid w:val="00AB0897"/>
    <w:rsid w:val="00AB70C1"/>
    <w:rsid w:val="00AB75BE"/>
    <w:rsid w:val="00AB7BA7"/>
    <w:rsid w:val="00AC005F"/>
    <w:rsid w:val="00AC1A34"/>
    <w:rsid w:val="00AD34A5"/>
    <w:rsid w:val="00AE0B67"/>
    <w:rsid w:val="00AE1DD8"/>
    <w:rsid w:val="00AE75D0"/>
    <w:rsid w:val="00AF25D1"/>
    <w:rsid w:val="00B00E52"/>
    <w:rsid w:val="00B1441D"/>
    <w:rsid w:val="00B22667"/>
    <w:rsid w:val="00B31E2E"/>
    <w:rsid w:val="00B42008"/>
    <w:rsid w:val="00B44090"/>
    <w:rsid w:val="00B525F8"/>
    <w:rsid w:val="00B54A26"/>
    <w:rsid w:val="00B603CF"/>
    <w:rsid w:val="00B6322C"/>
    <w:rsid w:val="00B72B8B"/>
    <w:rsid w:val="00B7773D"/>
    <w:rsid w:val="00B8431E"/>
    <w:rsid w:val="00B86757"/>
    <w:rsid w:val="00B93B98"/>
    <w:rsid w:val="00BA0056"/>
    <w:rsid w:val="00BA096B"/>
    <w:rsid w:val="00BA43CC"/>
    <w:rsid w:val="00BA688E"/>
    <w:rsid w:val="00BB0A31"/>
    <w:rsid w:val="00BB64F0"/>
    <w:rsid w:val="00BB73E9"/>
    <w:rsid w:val="00BC1EED"/>
    <w:rsid w:val="00BC601C"/>
    <w:rsid w:val="00BD3635"/>
    <w:rsid w:val="00BD6784"/>
    <w:rsid w:val="00BD79AE"/>
    <w:rsid w:val="00BF0731"/>
    <w:rsid w:val="00C0138D"/>
    <w:rsid w:val="00C16AC3"/>
    <w:rsid w:val="00C20D45"/>
    <w:rsid w:val="00C20E3D"/>
    <w:rsid w:val="00C22BA7"/>
    <w:rsid w:val="00C42BAE"/>
    <w:rsid w:val="00C53CD8"/>
    <w:rsid w:val="00C65222"/>
    <w:rsid w:val="00C66903"/>
    <w:rsid w:val="00C751C8"/>
    <w:rsid w:val="00C865DF"/>
    <w:rsid w:val="00C869F7"/>
    <w:rsid w:val="00CA29A3"/>
    <w:rsid w:val="00CA52F0"/>
    <w:rsid w:val="00CB4A12"/>
    <w:rsid w:val="00CB6860"/>
    <w:rsid w:val="00CC27B4"/>
    <w:rsid w:val="00CD5667"/>
    <w:rsid w:val="00CE19C4"/>
    <w:rsid w:val="00CE68CB"/>
    <w:rsid w:val="00CF6FF9"/>
    <w:rsid w:val="00D06902"/>
    <w:rsid w:val="00D07031"/>
    <w:rsid w:val="00D174B5"/>
    <w:rsid w:val="00D204CC"/>
    <w:rsid w:val="00D20D6C"/>
    <w:rsid w:val="00D246E0"/>
    <w:rsid w:val="00D35220"/>
    <w:rsid w:val="00D509C3"/>
    <w:rsid w:val="00D74AFB"/>
    <w:rsid w:val="00D816CC"/>
    <w:rsid w:val="00D955BD"/>
    <w:rsid w:val="00DA6BDD"/>
    <w:rsid w:val="00DB03D4"/>
    <w:rsid w:val="00DB1C65"/>
    <w:rsid w:val="00DC43B1"/>
    <w:rsid w:val="00DC60F8"/>
    <w:rsid w:val="00DD2FC8"/>
    <w:rsid w:val="00DE47F9"/>
    <w:rsid w:val="00E03C4F"/>
    <w:rsid w:val="00E042A4"/>
    <w:rsid w:val="00E11699"/>
    <w:rsid w:val="00E15888"/>
    <w:rsid w:val="00E25133"/>
    <w:rsid w:val="00E27B36"/>
    <w:rsid w:val="00E333F8"/>
    <w:rsid w:val="00E3351E"/>
    <w:rsid w:val="00E3477D"/>
    <w:rsid w:val="00E4240B"/>
    <w:rsid w:val="00E45BBF"/>
    <w:rsid w:val="00E5610E"/>
    <w:rsid w:val="00E570F9"/>
    <w:rsid w:val="00E75F80"/>
    <w:rsid w:val="00E912BC"/>
    <w:rsid w:val="00E9261C"/>
    <w:rsid w:val="00E950A5"/>
    <w:rsid w:val="00EA1B23"/>
    <w:rsid w:val="00EA1EE3"/>
    <w:rsid w:val="00EA213B"/>
    <w:rsid w:val="00EB14B0"/>
    <w:rsid w:val="00EB2D38"/>
    <w:rsid w:val="00EB33CF"/>
    <w:rsid w:val="00EB4575"/>
    <w:rsid w:val="00EC161F"/>
    <w:rsid w:val="00ED688A"/>
    <w:rsid w:val="00ED7FF8"/>
    <w:rsid w:val="00EE362C"/>
    <w:rsid w:val="00EF0A08"/>
    <w:rsid w:val="00F056EF"/>
    <w:rsid w:val="00F10119"/>
    <w:rsid w:val="00F11ECB"/>
    <w:rsid w:val="00F12DEA"/>
    <w:rsid w:val="00F16A2E"/>
    <w:rsid w:val="00F324C0"/>
    <w:rsid w:val="00F32D8C"/>
    <w:rsid w:val="00F33C68"/>
    <w:rsid w:val="00F44D2E"/>
    <w:rsid w:val="00F46343"/>
    <w:rsid w:val="00F5789A"/>
    <w:rsid w:val="00F6571A"/>
    <w:rsid w:val="00F66847"/>
    <w:rsid w:val="00F74173"/>
    <w:rsid w:val="00F7507A"/>
    <w:rsid w:val="00F836B8"/>
    <w:rsid w:val="00F91168"/>
    <w:rsid w:val="00FA0A6D"/>
    <w:rsid w:val="00FA7248"/>
    <w:rsid w:val="00FD5E25"/>
    <w:rsid w:val="00FE2D87"/>
    <w:rsid w:val="00FE6477"/>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locked/>
  </w:style>
  <w:style w:type="character" w:customStyle="1" w:styleId="ParaNumChar">
    <w:name w:val="ParaNum Char"/>
    <w:link w:val="ParaNum"/>
    <w:uiPriority w:val="99"/>
    <w:locked/>
    <w:rPr>
      <w:sz w:val="22"/>
    </w:rPr>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erChar">
    <w:name w:val="Header Char"/>
    <w:link w:val="Header"/>
    <w:uiPriority w:val="99"/>
    <w:locked/>
    <w:rPr>
      <w:sz w:val="22"/>
    </w:rPr>
  </w:style>
  <w:style w:type="character" w:customStyle="1" w:styleId="apple-converted-space">
    <w:name w:val="apple-converted-space"/>
  </w:style>
  <w:style w:type="character" w:customStyle="1" w:styleId="starpage">
    <w:name w:val="starpage"/>
  </w:style>
  <w:style w:type="character" w:customStyle="1" w:styleId="searchterm">
    <w:name w:val="searchterm"/>
    <w:rsid w:val="001437F6"/>
  </w:style>
  <w:style w:type="paragraph" w:styleId="ListParagraph">
    <w:name w:val="List Paragraph"/>
    <w:basedOn w:val="Normal"/>
    <w:uiPriority w:val="34"/>
    <w:qFormat/>
    <w:rsid w:val="00612937"/>
    <w:pPr>
      <w:spacing w:after="200" w:line="276" w:lineRule="auto"/>
      <w:ind w:left="720"/>
      <w:contextualSpacing/>
    </w:pPr>
    <w:rPr>
      <w:rFonts w:ascii="Calibri" w:eastAsia="Calibri" w:hAnsi="Calibri"/>
      <w:szCs w:val="22"/>
    </w:rPr>
  </w:style>
  <w:style w:type="paragraph" w:styleId="HTMLPreformatted">
    <w:name w:val="HTML Preformatted"/>
    <w:basedOn w:val="Normal"/>
    <w:link w:val="HTMLPreformattedChar"/>
    <w:uiPriority w:val="99"/>
    <w:unhideWhenUsed/>
    <w:rsid w:val="00F1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0119"/>
    <w:rPr>
      <w:rFonts w:ascii="Courier New" w:hAnsi="Courier New" w:cs="Courier New"/>
    </w:rPr>
  </w:style>
  <w:style w:type="paragraph" w:styleId="Revision">
    <w:name w:val="Revision"/>
    <w:hidden/>
    <w:uiPriority w:val="99"/>
    <w:semiHidden/>
    <w:rsid w:val="00B72B8B"/>
    <w:rPr>
      <w:sz w:val="22"/>
    </w:rPr>
  </w:style>
  <w:style w:type="character" w:customStyle="1" w:styleId="FootnoteTextChar3">
    <w:name w:val="Footnote Text Char3"/>
    <w:aliases w:val="Footnote Text Char1 Char1,Footnote Text Char Char Char1,ALTS FOOTNOTE Char Char Char1,fn Char Char Char1,Footnote Text Char1 Char Char Char1,Footnote Text Char Char Char Char Char1,ALTS FOOTNOTE Char Char Char Char Char1,f Char2"/>
    <w:uiPriority w:val="99"/>
    <w:locked/>
    <w:rsid w:val="00F05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locked/>
  </w:style>
  <w:style w:type="character" w:customStyle="1" w:styleId="ParaNumChar">
    <w:name w:val="ParaNum Char"/>
    <w:link w:val="ParaNum"/>
    <w:uiPriority w:val="99"/>
    <w:locked/>
    <w:rPr>
      <w:sz w:val="22"/>
    </w:rPr>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erChar">
    <w:name w:val="Header Char"/>
    <w:link w:val="Header"/>
    <w:uiPriority w:val="99"/>
    <w:locked/>
    <w:rPr>
      <w:sz w:val="22"/>
    </w:rPr>
  </w:style>
  <w:style w:type="character" w:customStyle="1" w:styleId="apple-converted-space">
    <w:name w:val="apple-converted-space"/>
  </w:style>
  <w:style w:type="character" w:customStyle="1" w:styleId="starpage">
    <w:name w:val="starpage"/>
  </w:style>
  <w:style w:type="character" w:customStyle="1" w:styleId="searchterm">
    <w:name w:val="searchterm"/>
    <w:rsid w:val="001437F6"/>
  </w:style>
  <w:style w:type="paragraph" w:styleId="ListParagraph">
    <w:name w:val="List Paragraph"/>
    <w:basedOn w:val="Normal"/>
    <w:uiPriority w:val="34"/>
    <w:qFormat/>
    <w:rsid w:val="00612937"/>
    <w:pPr>
      <w:spacing w:after="200" w:line="276" w:lineRule="auto"/>
      <w:ind w:left="720"/>
      <w:contextualSpacing/>
    </w:pPr>
    <w:rPr>
      <w:rFonts w:ascii="Calibri" w:eastAsia="Calibri" w:hAnsi="Calibri"/>
      <w:szCs w:val="22"/>
    </w:rPr>
  </w:style>
  <w:style w:type="paragraph" w:styleId="HTMLPreformatted">
    <w:name w:val="HTML Preformatted"/>
    <w:basedOn w:val="Normal"/>
    <w:link w:val="HTMLPreformattedChar"/>
    <w:uiPriority w:val="99"/>
    <w:unhideWhenUsed/>
    <w:rsid w:val="00F1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0119"/>
    <w:rPr>
      <w:rFonts w:ascii="Courier New" w:hAnsi="Courier New" w:cs="Courier New"/>
    </w:rPr>
  </w:style>
  <w:style w:type="paragraph" w:styleId="Revision">
    <w:name w:val="Revision"/>
    <w:hidden/>
    <w:uiPriority w:val="99"/>
    <w:semiHidden/>
    <w:rsid w:val="00B72B8B"/>
    <w:rPr>
      <w:sz w:val="22"/>
    </w:rPr>
  </w:style>
  <w:style w:type="character" w:customStyle="1" w:styleId="FootnoteTextChar3">
    <w:name w:val="Footnote Text Char3"/>
    <w:aliases w:val="Footnote Text Char1 Char1,Footnote Text Char Char Char1,ALTS FOOTNOTE Char Char Char1,fn Char Char Char1,Footnote Text Char1 Char Char Char1,Footnote Text Char Char Char Char Char1,ALTS FOOTNOTE Char Char Char Char Char1,f Char2"/>
    <w:uiPriority w:val="99"/>
    <w:locked/>
    <w:rsid w:val="00F0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2583">
      <w:bodyDiv w:val="1"/>
      <w:marLeft w:val="0"/>
      <w:marRight w:val="0"/>
      <w:marTop w:val="0"/>
      <w:marBottom w:val="0"/>
      <w:divBdr>
        <w:top w:val="none" w:sz="0" w:space="0" w:color="auto"/>
        <w:left w:val="none" w:sz="0" w:space="0" w:color="auto"/>
        <w:bottom w:val="none" w:sz="0" w:space="0" w:color="auto"/>
        <w:right w:val="none" w:sz="0" w:space="0" w:color="auto"/>
      </w:divBdr>
      <w:divsChild>
        <w:div w:id="269896197">
          <w:marLeft w:val="0"/>
          <w:marRight w:val="0"/>
          <w:marTop w:val="0"/>
          <w:marBottom w:val="48"/>
          <w:divBdr>
            <w:top w:val="none" w:sz="0" w:space="0" w:color="auto"/>
            <w:left w:val="none" w:sz="0" w:space="0" w:color="auto"/>
            <w:bottom w:val="none" w:sz="0" w:space="0" w:color="auto"/>
            <w:right w:val="none" w:sz="0" w:space="0" w:color="auto"/>
          </w:divBdr>
        </w:div>
        <w:div w:id="540828129">
          <w:marLeft w:val="0"/>
          <w:marRight w:val="0"/>
          <w:marTop w:val="0"/>
          <w:marBottom w:val="48"/>
          <w:divBdr>
            <w:top w:val="none" w:sz="0" w:space="0" w:color="auto"/>
            <w:left w:val="none" w:sz="0" w:space="0" w:color="auto"/>
            <w:bottom w:val="none" w:sz="0" w:space="0" w:color="auto"/>
            <w:right w:val="none" w:sz="0" w:space="0" w:color="auto"/>
          </w:divBdr>
        </w:div>
        <w:div w:id="607546975">
          <w:marLeft w:val="0"/>
          <w:marRight w:val="0"/>
          <w:marTop w:val="0"/>
          <w:marBottom w:val="48"/>
          <w:divBdr>
            <w:top w:val="none" w:sz="0" w:space="0" w:color="auto"/>
            <w:left w:val="none" w:sz="0" w:space="0" w:color="auto"/>
            <w:bottom w:val="none" w:sz="0" w:space="0" w:color="auto"/>
            <w:right w:val="none" w:sz="0" w:space="0" w:color="auto"/>
          </w:divBdr>
        </w:div>
        <w:div w:id="1331904854">
          <w:marLeft w:val="0"/>
          <w:marRight w:val="0"/>
          <w:marTop w:val="0"/>
          <w:marBottom w:val="48"/>
          <w:divBdr>
            <w:top w:val="none" w:sz="0" w:space="0" w:color="auto"/>
            <w:left w:val="none" w:sz="0" w:space="0" w:color="auto"/>
            <w:bottom w:val="none" w:sz="0" w:space="0" w:color="auto"/>
            <w:right w:val="none" w:sz="0" w:space="0" w:color="auto"/>
          </w:divBdr>
        </w:div>
      </w:divsChild>
    </w:div>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207">
      <w:bodyDiv w:val="1"/>
      <w:marLeft w:val="0"/>
      <w:marRight w:val="0"/>
      <w:marTop w:val="0"/>
      <w:marBottom w:val="0"/>
      <w:divBdr>
        <w:top w:val="none" w:sz="0" w:space="0" w:color="auto"/>
        <w:left w:val="none" w:sz="0" w:space="0" w:color="auto"/>
        <w:bottom w:val="none" w:sz="0" w:space="0" w:color="auto"/>
        <w:right w:val="none" w:sz="0" w:space="0" w:color="auto"/>
      </w:divBdr>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Bureaus/Common_Carrier/Reports/FCC-State_Link/Monitor/2014_MR_Supplementary_Material.zip" TargetMode="External"/><Relationship Id="rId2" Type="http://schemas.openxmlformats.org/officeDocument/2006/relationships/hyperlink" Target="http://web2.westlaw.com/find/default.wl?mt=Westlaw&amp;db=350&amp;tc=-1&amp;rp=%2ffind%2fdefault.wl&amp;findtype=Y&amp;ordoc=2021196419&amp;serialnum=1990047144&amp;vr=2.0&amp;fn=_top&amp;sv=Split&amp;tf=-1&amp;referencepositiontype=S&amp;pbc=4567567E&amp;referenceposition=1166&amp;rs=WLW13.10" TargetMode="External"/><Relationship Id="rId1" Type="http://schemas.openxmlformats.org/officeDocument/2006/relationships/hyperlink" Target="http://www.mossadams.com/mossadams/media/Documents/webcasts%20and%20presentations/Telecom/NECA-Loop-Count-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1435</Words>
  <Characters>7902</Characters>
  <Application>Microsoft Office Word</Application>
  <DocSecurity>0</DocSecurity>
  <Lines>138</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9376</CharactersWithSpaces>
  <SharedDoc>false</SharedDoc>
  <HyperlinkBase> </HyperlinkBase>
  <HLinks>
    <vt:vector size="6" baseType="variant">
      <vt:variant>
        <vt:i4>2031677</vt:i4>
      </vt:variant>
      <vt:variant>
        <vt:i4>0</vt:i4>
      </vt:variant>
      <vt:variant>
        <vt:i4>0</vt:i4>
      </vt:variant>
      <vt:variant>
        <vt:i4>5</vt:i4>
      </vt:variant>
      <vt:variant>
        <vt:lpwstr>http://web2.westlaw.com/find/default.wl?mt=Westlaw&amp;db=350&amp;tc=-1&amp;rp=%2ffind%2fdefault.wl&amp;findtype=Y&amp;ordoc=2021196419&amp;serialnum=1990047144&amp;vr=2.0&amp;fn=_top&amp;sv=Split&amp;tf=-1&amp;referencepositiontype=S&amp;pbc=4567567E&amp;referenceposition=1166&amp;rs=WLW13.10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2014-03-07T14:40:00Z</cp:lastPrinted>
  <dcterms:created xsi:type="dcterms:W3CDTF">2015-02-24T18:00:00Z</dcterms:created>
  <dcterms:modified xsi:type="dcterms:W3CDTF">2015-02-24T18:00:00Z</dcterms:modified>
  <cp:category> </cp:category>
  <cp:contentStatus> </cp:contentStatus>
</cp:coreProperties>
</file>