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EFA" w:rsidRPr="00EC6DC8" w:rsidRDefault="0083746A" w:rsidP="008522DD">
      <w:pPr>
        <w:jc w:val="right"/>
        <w:rPr>
          <w:sz w:val="22"/>
          <w:szCs w:val="22"/>
        </w:rPr>
      </w:pPr>
      <w:bookmarkStart w:id="0" w:name="_GoBack"/>
      <w:bookmarkEnd w:id="0"/>
      <w:r w:rsidRPr="00EC6DC8">
        <w:rPr>
          <w:sz w:val="22"/>
          <w:szCs w:val="22"/>
        </w:rPr>
        <w:t>DA 15-</w:t>
      </w:r>
      <w:r w:rsidR="00DB19BC">
        <w:rPr>
          <w:sz w:val="22"/>
          <w:szCs w:val="22"/>
        </w:rPr>
        <w:t>253</w:t>
      </w:r>
    </w:p>
    <w:p w:rsidR="0083746A" w:rsidRPr="00EC6DC8" w:rsidRDefault="0083746A" w:rsidP="008522DD">
      <w:pPr>
        <w:jc w:val="right"/>
        <w:rPr>
          <w:sz w:val="22"/>
          <w:szCs w:val="22"/>
        </w:rPr>
      </w:pPr>
      <w:r w:rsidRPr="00EC6DC8">
        <w:rPr>
          <w:sz w:val="22"/>
          <w:szCs w:val="22"/>
        </w:rPr>
        <w:t xml:space="preserve">Released:  </w:t>
      </w:r>
      <w:r w:rsidR="00593349">
        <w:rPr>
          <w:sz w:val="22"/>
          <w:szCs w:val="22"/>
        </w:rPr>
        <w:t>February 25, 2015</w:t>
      </w:r>
    </w:p>
    <w:p w:rsidR="0083746A" w:rsidRPr="00EC6DC8" w:rsidRDefault="0083746A" w:rsidP="0083746A">
      <w:pPr>
        <w:rPr>
          <w:sz w:val="22"/>
          <w:szCs w:val="22"/>
        </w:rPr>
      </w:pPr>
    </w:p>
    <w:p w:rsidR="0083746A" w:rsidRPr="00EC6DC8" w:rsidRDefault="0083746A" w:rsidP="008522DD">
      <w:pPr>
        <w:jc w:val="center"/>
        <w:rPr>
          <w:b/>
          <w:sz w:val="22"/>
          <w:szCs w:val="22"/>
        </w:rPr>
      </w:pPr>
      <w:r w:rsidRPr="00EC6DC8">
        <w:rPr>
          <w:b/>
          <w:sz w:val="22"/>
          <w:szCs w:val="22"/>
        </w:rPr>
        <w:t>MEDIA BUREAU SEEKS COMMENT FOR REPORT REQUIRED BY THE STELA REAUTHORIZATION ACT OF 2014</w:t>
      </w:r>
    </w:p>
    <w:p w:rsidR="0083746A" w:rsidRPr="00EC6DC8" w:rsidRDefault="0083746A" w:rsidP="008522DD">
      <w:pPr>
        <w:jc w:val="center"/>
        <w:rPr>
          <w:b/>
          <w:sz w:val="22"/>
          <w:szCs w:val="22"/>
        </w:rPr>
      </w:pPr>
    </w:p>
    <w:p w:rsidR="0083746A" w:rsidRPr="00EC6DC8" w:rsidRDefault="0083746A" w:rsidP="008522DD">
      <w:pPr>
        <w:jc w:val="center"/>
        <w:rPr>
          <w:b/>
          <w:sz w:val="22"/>
          <w:szCs w:val="22"/>
        </w:rPr>
      </w:pPr>
      <w:r w:rsidRPr="00EC6DC8">
        <w:rPr>
          <w:b/>
          <w:sz w:val="22"/>
          <w:szCs w:val="22"/>
        </w:rPr>
        <w:t>MB Docket No. 15-</w:t>
      </w:r>
      <w:r w:rsidR="00396ECF">
        <w:rPr>
          <w:b/>
          <w:sz w:val="22"/>
          <w:szCs w:val="22"/>
        </w:rPr>
        <w:t>43</w:t>
      </w:r>
    </w:p>
    <w:p w:rsidR="0083746A" w:rsidRPr="00EC6DC8" w:rsidRDefault="0083746A" w:rsidP="0083746A">
      <w:pPr>
        <w:rPr>
          <w:sz w:val="22"/>
          <w:szCs w:val="22"/>
        </w:rPr>
      </w:pPr>
    </w:p>
    <w:p w:rsidR="0083746A" w:rsidRPr="00EC6DC8" w:rsidRDefault="0083746A" w:rsidP="0083746A">
      <w:pPr>
        <w:rPr>
          <w:b/>
          <w:sz w:val="22"/>
          <w:szCs w:val="22"/>
        </w:rPr>
      </w:pPr>
      <w:r w:rsidRPr="00EC6DC8">
        <w:rPr>
          <w:b/>
          <w:sz w:val="22"/>
          <w:szCs w:val="22"/>
        </w:rPr>
        <w:t xml:space="preserve">Comment Date:  </w:t>
      </w:r>
      <w:r w:rsidR="00664C93">
        <w:rPr>
          <w:b/>
          <w:sz w:val="22"/>
          <w:szCs w:val="22"/>
        </w:rPr>
        <w:t>May 12, 2015</w:t>
      </w:r>
    </w:p>
    <w:p w:rsidR="0083746A" w:rsidRPr="00EC6DC8" w:rsidRDefault="0083746A" w:rsidP="0083746A">
      <w:pPr>
        <w:rPr>
          <w:b/>
          <w:sz w:val="22"/>
          <w:szCs w:val="22"/>
        </w:rPr>
      </w:pPr>
      <w:r w:rsidRPr="00EC6DC8">
        <w:rPr>
          <w:b/>
          <w:sz w:val="22"/>
          <w:szCs w:val="22"/>
        </w:rPr>
        <w:t xml:space="preserve">Reply Comment Date:  </w:t>
      </w:r>
      <w:r w:rsidR="00664C93">
        <w:rPr>
          <w:b/>
          <w:sz w:val="22"/>
          <w:szCs w:val="22"/>
        </w:rPr>
        <w:t>June 11, 2015</w:t>
      </w:r>
    </w:p>
    <w:p w:rsidR="0083746A" w:rsidRPr="00EC6DC8" w:rsidRDefault="0083746A" w:rsidP="0083746A">
      <w:pPr>
        <w:rPr>
          <w:sz w:val="22"/>
          <w:szCs w:val="22"/>
        </w:rPr>
      </w:pPr>
    </w:p>
    <w:p w:rsidR="0083746A" w:rsidRPr="00EC6DC8" w:rsidRDefault="008E0F34" w:rsidP="0083746A">
      <w:pPr>
        <w:rPr>
          <w:sz w:val="22"/>
          <w:szCs w:val="22"/>
        </w:rPr>
      </w:pPr>
      <w:r w:rsidRPr="00EC6DC8">
        <w:rPr>
          <w:sz w:val="22"/>
          <w:szCs w:val="22"/>
        </w:rPr>
        <w:tab/>
        <w:t>By this Public Notice, the Media Bureau seeks data, information, and comment for use in preparation of a report required by the STELA Reauthorization Act of 2014 (“STELAR”).</w:t>
      </w:r>
      <w:r w:rsidRPr="00EC6DC8">
        <w:rPr>
          <w:rStyle w:val="FootnoteReference"/>
          <w:sz w:val="22"/>
          <w:szCs w:val="22"/>
        </w:rPr>
        <w:footnoteReference w:id="1"/>
      </w:r>
      <w:r w:rsidRPr="00EC6DC8">
        <w:rPr>
          <w:sz w:val="22"/>
          <w:szCs w:val="22"/>
        </w:rPr>
        <w:t xml:space="preserve">  Section 109 of STELAR requires the Commissio</w:t>
      </w:r>
      <w:r w:rsidR="00EC6DC8" w:rsidRPr="00EC6DC8">
        <w:rPr>
          <w:sz w:val="22"/>
          <w:szCs w:val="22"/>
        </w:rPr>
        <w:t>n to submit a report on designated market areas and considerations for fostering increased localism to the appropriate congressional committees not later than 18 months after the date of enactment (</w:t>
      </w:r>
      <w:r w:rsidR="00EC6DC8" w:rsidRPr="00EC6DC8">
        <w:rPr>
          <w:i/>
          <w:sz w:val="22"/>
          <w:szCs w:val="22"/>
        </w:rPr>
        <w:t>i.e.</w:t>
      </w:r>
      <w:r w:rsidR="006653B9">
        <w:rPr>
          <w:sz w:val="22"/>
          <w:szCs w:val="22"/>
        </w:rPr>
        <w:t>, June 3</w:t>
      </w:r>
      <w:r w:rsidR="00EC6DC8" w:rsidRPr="00EC6DC8">
        <w:rPr>
          <w:sz w:val="22"/>
          <w:szCs w:val="22"/>
        </w:rPr>
        <w:t>, 2016).</w:t>
      </w:r>
      <w:r w:rsidR="00EC6DC8" w:rsidRPr="00EC6DC8">
        <w:rPr>
          <w:rStyle w:val="FootnoteReference"/>
          <w:sz w:val="22"/>
          <w:szCs w:val="22"/>
        </w:rPr>
        <w:footnoteReference w:id="2"/>
      </w:r>
      <w:r w:rsidR="00EC6DC8" w:rsidRPr="00EC6DC8">
        <w:rPr>
          <w:sz w:val="22"/>
          <w:szCs w:val="22"/>
        </w:rPr>
        <w:t xml:space="preserve">  Specifically, Section 109 states:</w:t>
      </w:r>
    </w:p>
    <w:p w:rsidR="00EC6DC8" w:rsidRPr="00EC6DC8" w:rsidRDefault="00EC6DC8" w:rsidP="00EC6DC8">
      <w:pPr>
        <w:autoSpaceDE w:val="0"/>
        <w:autoSpaceDN w:val="0"/>
        <w:adjustRightInd w:val="0"/>
        <w:rPr>
          <w:rFonts w:eastAsiaTheme="minorHAnsi"/>
          <w:sz w:val="22"/>
          <w:szCs w:val="22"/>
        </w:rPr>
      </w:pPr>
    </w:p>
    <w:p w:rsidR="00EC6DC8" w:rsidRPr="00EC6DC8" w:rsidRDefault="00EC6DC8" w:rsidP="00EC6DC8">
      <w:pPr>
        <w:autoSpaceDE w:val="0"/>
        <w:autoSpaceDN w:val="0"/>
        <w:adjustRightInd w:val="0"/>
        <w:ind w:left="720"/>
        <w:rPr>
          <w:rFonts w:eastAsiaTheme="minorHAnsi"/>
          <w:b/>
          <w:bCs/>
          <w:sz w:val="22"/>
          <w:szCs w:val="22"/>
        </w:rPr>
      </w:pPr>
      <w:r w:rsidRPr="00EC6DC8">
        <w:rPr>
          <w:rFonts w:eastAsiaTheme="minorHAnsi"/>
          <w:bCs/>
          <w:sz w:val="22"/>
          <w:szCs w:val="22"/>
        </w:rPr>
        <w:t>SEC. 109. REPORT ON DESIGNATED MARKET AREAS.</w:t>
      </w:r>
    </w:p>
    <w:p w:rsidR="00EC6DC8" w:rsidRPr="00EC6DC8" w:rsidRDefault="00EC6DC8" w:rsidP="00EC6DC8">
      <w:pPr>
        <w:autoSpaceDE w:val="0"/>
        <w:autoSpaceDN w:val="0"/>
        <w:adjustRightInd w:val="0"/>
        <w:ind w:left="720"/>
        <w:rPr>
          <w:rFonts w:eastAsiaTheme="minorHAnsi"/>
          <w:sz w:val="22"/>
          <w:szCs w:val="22"/>
        </w:rPr>
      </w:pPr>
      <w:r w:rsidRPr="00EC6DC8">
        <w:rPr>
          <w:rFonts w:eastAsiaTheme="minorHAnsi"/>
          <w:sz w:val="22"/>
          <w:szCs w:val="22"/>
        </w:rPr>
        <w:t>(a) IN GENERAL.  Not later than 18 months after the date of the enactment of this Act, the Commission shall submit to the appropriate congressional committees a report that contains -</w:t>
      </w:r>
    </w:p>
    <w:p w:rsidR="00EC6DC8" w:rsidRPr="00EC6DC8" w:rsidRDefault="00EC6DC8" w:rsidP="00EC6DC8">
      <w:pPr>
        <w:autoSpaceDE w:val="0"/>
        <w:autoSpaceDN w:val="0"/>
        <w:adjustRightInd w:val="0"/>
        <w:ind w:left="720" w:firstLine="720"/>
        <w:rPr>
          <w:rFonts w:eastAsiaTheme="minorHAnsi"/>
          <w:sz w:val="22"/>
          <w:szCs w:val="22"/>
        </w:rPr>
      </w:pPr>
      <w:r w:rsidRPr="00EC6DC8">
        <w:rPr>
          <w:rFonts w:eastAsiaTheme="minorHAnsi"/>
          <w:sz w:val="22"/>
          <w:szCs w:val="22"/>
        </w:rPr>
        <w:t xml:space="preserve">(1) an analysis of - </w:t>
      </w:r>
    </w:p>
    <w:p w:rsidR="00EC6DC8" w:rsidRPr="00EC6DC8" w:rsidRDefault="00EC6DC8" w:rsidP="00EC6DC8">
      <w:pPr>
        <w:autoSpaceDE w:val="0"/>
        <w:autoSpaceDN w:val="0"/>
        <w:adjustRightInd w:val="0"/>
        <w:ind w:left="2160"/>
        <w:rPr>
          <w:rFonts w:eastAsiaTheme="minorHAnsi"/>
          <w:sz w:val="22"/>
          <w:szCs w:val="22"/>
        </w:rPr>
      </w:pPr>
      <w:r w:rsidRPr="00EC6DC8">
        <w:rPr>
          <w:rFonts w:eastAsiaTheme="minorHAnsi"/>
          <w:sz w:val="22"/>
          <w:szCs w:val="22"/>
        </w:rPr>
        <w:t>(A) the extent to which consumers in each local market have access to broadcast programming from television broadcast stations located outside their local market, including through carriage by cable operators and satellite carriers of signals that are significantly viewed (within the meaning of section 340 of the Communications Act of 1934 (47 U.S.C. 340)); and</w:t>
      </w:r>
    </w:p>
    <w:p w:rsidR="00EC6DC8" w:rsidRPr="00EC6DC8" w:rsidRDefault="00EC6DC8" w:rsidP="00EC6DC8">
      <w:pPr>
        <w:autoSpaceDE w:val="0"/>
        <w:autoSpaceDN w:val="0"/>
        <w:adjustRightInd w:val="0"/>
        <w:ind w:left="2160"/>
        <w:rPr>
          <w:rFonts w:eastAsiaTheme="minorHAnsi"/>
          <w:sz w:val="22"/>
          <w:szCs w:val="22"/>
        </w:rPr>
      </w:pPr>
      <w:r w:rsidRPr="00EC6DC8">
        <w:rPr>
          <w:rFonts w:eastAsiaTheme="minorHAnsi"/>
          <w:sz w:val="22"/>
          <w:szCs w:val="22"/>
        </w:rPr>
        <w:t>(B) whether there are technologically and economically feasible alternatives to the use of designated market areas to define markets that would provide consumers with more programming options and the potential impact such alternatives could have on localism and on broadcast television locally, regionally, and nationally; and</w:t>
      </w:r>
    </w:p>
    <w:p w:rsidR="00EC6DC8" w:rsidRPr="00EC6DC8" w:rsidRDefault="00EC6DC8" w:rsidP="00EC6DC8">
      <w:pPr>
        <w:autoSpaceDE w:val="0"/>
        <w:autoSpaceDN w:val="0"/>
        <w:adjustRightInd w:val="0"/>
        <w:ind w:left="1440"/>
        <w:rPr>
          <w:rFonts w:eastAsiaTheme="minorHAnsi"/>
          <w:sz w:val="22"/>
          <w:szCs w:val="22"/>
        </w:rPr>
      </w:pPr>
      <w:r w:rsidRPr="00EC6DC8">
        <w:rPr>
          <w:rFonts w:eastAsiaTheme="minorHAnsi"/>
          <w:sz w:val="22"/>
          <w:szCs w:val="22"/>
        </w:rPr>
        <w:t>(2) recommendations on how to foster increased localism in counties served by out-of-State designated market areas.</w:t>
      </w:r>
    </w:p>
    <w:p w:rsidR="00EC6DC8" w:rsidRPr="00EC6DC8" w:rsidRDefault="00EC6DC8" w:rsidP="00EC6DC8">
      <w:pPr>
        <w:autoSpaceDE w:val="0"/>
        <w:autoSpaceDN w:val="0"/>
        <w:adjustRightInd w:val="0"/>
        <w:ind w:left="720"/>
        <w:rPr>
          <w:rFonts w:eastAsiaTheme="minorHAnsi"/>
          <w:sz w:val="22"/>
          <w:szCs w:val="22"/>
        </w:rPr>
      </w:pPr>
      <w:r w:rsidRPr="00EC6DC8">
        <w:rPr>
          <w:rFonts w:eastAsiaTheme="minorHAnsi"/>
          <w:sz w:val="22"/>
          <w:szCs w:val="22"/>
        </w:rPr>
        <w:t>(b) CONSIDERATIONS FOR FOSTERING INCREASED LOCALISM. In making recommendations under subsection (a)(2), the Commission shall consider –</w:t>
      </w:r>
    </w:p>
    <w:p w:rsidR="00F61B3D" w:rsidRDefault="00EC6DC8" w:rsidP="00EC6DC8">
      <w:pPr>
        <w:autoSpaceDE w:val="0"/>
        <w:autoSpaceDN w:val="0"/>
        <w:adjustRightInd w:val="0"/>
        <w:ind w:left="1440"/>
        <w:rPr>
          <w:rFonts w:eastAsiaTheme="minorHAnsi"/>
          <w:sz w:val="22"/>
          <w:szCs w:val="22"/>
        </w:rPr>
      </w:pPr>
      <w:r w:rsidRPr="00EC6DC8">
        <w:rPr>
          <w:rFonts w:eastAsiaTheme="minorHAnsi"/>
          <w:sz w:val="22"/>
          <w:szCs w:val="22"/>
        </w:rPr>
        <w:t>(1) the impact that designated market areas that cross State lines have on access to local programming;</w:t>
      </w:r>
    </w:p>
    <w:p w:rsidR="00F61B3D" w:rsidRDefault="00F61B3D">
      <w:pPr>
        <w:rPr>
          <w:rFonts w:eastAsiaTheme="minorHAnsi"/>
          <w:sz w:val="22"/>
          <w:szCs w:val="22"/>
        </w:rPr>
      </w:pPr>
      <w:r>
        <w:rPr>
          <w:rFonts w:eastAsiaTheme="minorHAnsi"/>
          <w:sz w:val="22"/>
          <w:szCs w:val="22"/>
        </w:rPr>
        <w:br w:type="page"/>
      </w:r>
    </w:p>
    <w:p w:rsidR="00EC6DC8" w:rsidRPr="00EC6DC8" w:rsidRDefault="00EC6DC8" w:rsidP="00EC6DC8">
      <w:pPr>
        <w:autoSpaceDE w:val="0"/>
        <w:autoSpaceDN w:val="0"/>
        <w:adjustRightInd w:val="0"/>
        <w:ind w:left="1440"/>
        <w:rPr>
          <w:rFonts w:eastAsiaTheme="minorHAnsi"/>
          <w:sz w:val="22"/>
          <w:szCs w:val="22"/>
        </w:rPr>
      </w:pPr>
      <w:r w:rsidRPr="00EC6DC8">
        <w:rPr>
          <w:rFonts w:eastAsiaTheme="minorHAnsi"/>
          <w:sz w:val="22"/>
          <w:szCs w:val="22"/>
        </w:rPr>
        <w:lastRenderedPageBreak/>
        <w:t>(2) the impact that designated market areas have on local programming in rural areas; and</w:t>
      </w:r>
    </w:p>
    <w:p w:rsidR="00774464" w:rsidRDefault="00EC6DC8" w:rsidP="00002604">
      <w:pPr>
        <w:autoSpaceDE w:val="0"/>
        <w:autoSpaceDN w:val="0"/>
        <w:adjustRightInd w:val="0"/>
        <w:ind w:left="1440"/>
        <w:rPr>
          <w:rFonts w:eastAsiaTheme="minorHAnsi"/>
          <w:sz w:val="22"/>
          <w:szCs w:val="22"/>
        </w:rPr>
      </w:pPr>
      <w:r w:rsidRPr="00EC6DC8">
        <w:rPr>
          <w:rFonts w:eastAsiaTheme="minorHAnsi"/>
          <w:sz w:val="22"/>
          <w:szCs w:val="22"/>
        </w:rPr>
        <w:t>(3) the state of local programming in States served exclusively by out-of-State designated market areas.</w:t>
      </w:r>
    </w:p>
    <w:p w:rsidR="001F56D1" w:rsidRDefault="001F56D1" w:rsidP="00002604">
      <w:pPr>
        <w:autoSpaceDE w:val="0"/>
        <w:autoSpaceDN w:val="0"/>
        <w:adjustRightInd w:val="0"/>
        <w:ind w:left="1440"/>
        <w:rPr>
          <w:rFonts w:eastAsiaTheme="minorHAnsi"/>
          <w:sz w:val="22"/>
          <w:szCs w:val="22"/>
        </w:rPr>
      </w:pPr>
    </w:p>
    <w:p w:rsidR="00A3561A" w:rsidRDefault="00A3561A" w:rsidP="00AA4640">
      <w:pPr>
        <w:autoSpaceDE w:val="0"/>
        <w:autoSpaceDN w:val="0"/>
        <w:adjustRightInd w:val="0"/>
        <w:ind w:firstLine="720"/>
        <w:rPr>
          <w:sz w:val="22"/>
          <w:szCs w:val="22"/>
        </w:rPr>
      </w:pPr>
      <w:r>
        <w:rPr>
          <w:sz w:val="22"/>
          <w:szCs w:val="22"/>
        </w:rPr>
        <w:t>The legislative history of Section 109 instructs the Commission to consider a number of factors in making its recommendations to foster increased localism in counties served by out-of-</w:t>
      </w:r>
      <w:r w:rsidR="00E52DC9">
        <w:rPr>
          <w:sz w:val="22"/>
          <w:szCs w:val="22"/>
        </w:rPr>
        <w:t>S</w:t>
      </w:r>
      <w:r>
        <w:rPr>
          <w:sz w:val="22"/>
          <w:szCs w:val="22"/>
        </w:rPr>
        <w:t>tate designated market areas (“DMA”),</w:t>
      </w:r>
      <w:r>
        <w:rPr>
          <w:rStyle w:val="FootnoteReference"/>
          <w:sz w:val="22"/>
          <w:szCs w:val="22"/>
        </w:rPr>
        <w:footnoteReference w:id="3"/>
      </w:r>
      <w:r>
        <w:rPr>
          <w:sz w:val="22"/>
          <w:szCs w:val="22"/>
        </w:rPr>
        <w:t xml:space="preserve"> including</w:t>
      </w:r>
      <w:r w:rsidR="00790F73">
        <w:rPr>
          <w:sz w:val="22"/>
          <w:szCs w:val="22"/>
        </w:rPr>
        <w:t xml:space="preserve">: </w:t>
      </w:r>
      <w:r>
        <w:rPr>
          <w:sz w:val="22"/>
          <w:szCs w:val="22"/>
        </w:rPr>
        <w:t xml:space="preserve"> (1) the impact DMAs that cross State lines have on access to local programming; (2) the impact DMAs have on local programming in rural areas; and (3) the impact such alternatives to the DMA system could have on localism, as well as broadcast television locally, regionally, and nationally.</w:t>
      </w:r>
      <w:r>
        <w:rPr>
          <w:rStyle w:val="FootnoteReference"/>
          <w:sz w:val="22"/>
          <w:szCs w:val="22"/>
        </w:rPr>
        <w:footnoteReference w:id="4"/>
      </w:r>
      <w:r w:rsidR="00E52DC9">
        <w:rPr>
          <w:sz w:val="22"/>
          <w:szCs w:val="22"/>
        </w:rPr>
        <w:t xml:space="preserve">  </w:t>
      </w:r>
      <w:r>
        <w:rPr>
          <w:sz w:val="22"/>
          <w:szCs w:val="22"/>
        </w:rPr>
        <w:t xml:space="preserve">The legislative history also provides the following guidance regarding the report:  </w:t>
      </w:r>
    </w:p>
    <w:p w:rsidR="00A3561A" w:rsidRDefault="00A3561A" w:rsidP="00A54448">
      <w:pPr>
        <w:ind w:left="1440" w:right="1440"/>
        <w:rPr>
          <w:sz w:val="22"/>
          <w:szCs w:val="22"/>
        </w:rPr>
      </w:pPr>
    </w:p>
    <w:p w:rsidR="00A379DF" w:rsidRPr="00A379DF" w:rsidRDefault="00A379DF" w:rsidP="00A54448">
      <w:pPr>
        <w:ind w:left="1440" w:right="1440"/>
        <w:rPr>
          <w:sz w:val="22"/>
          <w:szCs w:val="22"/>
        </w:rPr>
      </w:pPr>
      <w:r w:rsidRPr="00A379DF">
        <w:rPr>
          <w:sz w:val="22"/>
          <w:szCs w:val="22"/>
        </w:rPr>
        <w:t xml:space="preserve">The Committee intends that the FCC’s report will interpret local programming to include not only television programming (in particular news, sports, weather, and other programming containing content relevant to a consumer’s daily life) originating from and about the DMA in which a consumer resides, but also television programming originating from and about the State in which a consumer resides. </w:t>
      </w:r>
    </w:p>
    <w:p w:rsidR="00A379DF" w:rsidRPr="00A379DF" w:rsidRDefault="00A379DF" w:rsidP="00A54448">
      <w:pPr>
        <w:ind w:left="1440" w:right="1440"/>
        <w:rPr>
          <w:sz w:val="22"/>
          <w:szCs w:val="22"/>
        </w:rPr>
      </w:pPr>
    </w:p>
    <w:p w:rsidR="00A379DF" w:rsidRDefault="00A379DF" w:rsidP="00A54448">
      <w:pPr>
        <w:ind w:left="1440" w:right="1440"/>
        <w:rPr>
          <w:sz w:val="22"/>
          <w:szCs w:val="22"/>
        </w:rPr>
      </w:pPr>
      <w:r w:rsidRPr="00A379DF">
        <w:rPr>
          <w:sz w:val="22"/>
          <w:szCs w:val="22"/>
        </w:rPr>
        <w:t>The Committee also intends that the analysis concerning alternatives to the DMA system should explore in detail the merits and advantages to those alternatives to consumers, and not just the impact those alternatives may have on broadcast television.</w:t>
      </w:r>
    </w:p>
    <w:p w:rsidR="00A54448" w:rsidRDefault="00A54448" w:rsidP="00A54448">
      <w:pPr>
        <w:ind w:right="1440"/>
        <w:rPr>
          <w:sz w:val="22"/>
          <w:szCs w:val="22"/>
        </w:rPr>
      </w:pPr>
    </w:p>
    <w:p w:rsidR="00D24351" w:rsidRDefault="00D24351" w:rsidP="00395997">
      <w:pPr>
        <w:ind w:firstLine="720"/>
        <w:rPr>
          <w:sz w:val="22"/>
          <w:szCs w:val="22"/>
        </w:rPr>
      </w:pPr>
      <w:r>
        <w:rPr>
          <w:sz w:val="22"/>
          <w:szCs w:val="22"/>
        </w:rPr>
        <w:t xml:space="preserve">To </w:t>
      </w:r>
      <w:r w:rsidR="00CD00CC">
        <w:rPr>
          <w:sz w:val="22"/>
          <w:szCs w:val="22"/>
        </w:rPr>
        <w:t xml:space="preserve">prepare the STELAR </w:t>
      </w:r>
      <w:r w:rsidR="000B2C61">
        <w:rPr>
          <w:sz w:val="22"/>
          <w:szCs w:val="22"/>
        </w:rPr>
        <w:t xml:space="preserve">Section 109 </w:t>
      </w:r>
      <w:r w:rsidR="00CD00CC">
        <w:rPr>
          <w:sz w:val="22"/>
          <w:szCs w:val="22"/>
        </w:rPr>
        <w:t>Report</w:t>
      </w:r>
      <w:r>
        <w:rPr>
          <w:sz w:val="22"/>
          <w:szCs w:val="22"/>
        </w:rPr>
        <w:t xml:space="preserve">, we seek comment </w:t>
      </w:r>
      <w:r w:rsidR="00D56B16">
        <w:rPr>
          <w:sz w:val="22"/>
          <w:szCs w:val="22"/>
        </w:rPr>
        <w:t xml:space="preserve">on </w:t>
      </w:r>
      <w:r>
        <w:rPr>
          <w:sz w:val="22"/>
          <w:szCs w:val="22"/>
        </w:rPr>
        <w:t>the appropriate methodologies and data sources</w:t>
      </w:r>
      <w:r w:rsidR="00D56B16">
        <w:rPr>
          <w:sz w:val="22"/>
          <w:szCs w:val="22"/>
        </w:rPr>
        <w:t>, as well as</w:t>
      </w:r>
      <w:r w:rsidR="00BC00D9">
        <w:rPr>
          <w:sz w:val="22"/>
          <w:szCs w:val="22"/>
        </w:rPr>
        <w:t xml:space="preserve"> the submission of</w:t>
      </w:r>
      <w:r w:rsidR="00D56B16">
        <w:rPr>
          <w:sz w:val="22"/>
          <w:szCs w:val="22"/>
        </w:rPr>
        <w:t xml:space="preserve"> data and information, to a</w:t>
      </w:r>
      <w:r w:rsidR="00BC00D9">
        <w:rPr>
          <w:sz w:val="22"/>
          <w:szCs w:val="22"/>
        </w:rPr>
        <w:t xml:space="preserve">nalyze </w:t>
      </w:r>
      <w:r w:rsidR="00D56B16">
        <w:rPr>
          <w:sz w:val="22"/>
          <w:szCs w:val="22"/>
        </w:rPr>
        <w:t>the extent consumers have access to broadcast stations located outside their local markets</w:t>
      </w:r>
      <w:r w:rsidR="00BC00D9">
        <w:rPr>
          <w:sz w:val="22"/>
          <w:szCs w:val="22"/>
        </w:rPr>
        <w:t>.</w:t>
      </w:r>
      <w:r>
        <w:rPr>
          <w:sz w:val="22"/>
          <w:szCs w:val="22"/>
        </w:rPr>
        <w:t xml:space="preserve"> </w:t>
      </w:r>
      <w:r w:rsidR="00D56B16">
        <w:rPr>
          <w:sz w:val="22"/>
          <w:szCs w:val="22"/>
        </w:rPr>
        <w:t xml:space="preserve"> </w:t>
      </w:r>
      <w:r w:rsidR="00E71B66">
        <w:rPr>
          <w:sz w:val="22"/>
          <w:szCs w:val="22"/>
        </w:rPr>
        <w:t xml:space="preserve">We </w:t>
      </w:r>
      <w:r w:rsidR="00803A54">
        <w:rPr>
          <w:sz w:val="22"/>
          <w:szCs w:val="22"/>
        </w:rPr>
        <w:t xml:space="preserve">ask commenters to </w:t>
      </w:r>
      <w:r w:rsidR="0084249A">
        <w:rPr>
          <w:sz w:val="22"/>
          <w:szCs w:val="22"/>
        </w:rPr>
        <w:t>identify</w:t>
      </w:r>
      <w:r w:rsidR="00803A54">
        <w:rPr>
          <w:sz w:val="22"/>
          <w:szCs w:val="22"/>
        </w:rPr>
        <w:t xml:space="preserve"> technologically and economically feasible alternatives to DMAs that </w:t>
      </w:r>
      <w:r w:rsidR="00166049">
        <w:rPr>
          <w:sz w:val="22"/>
          <w:szCs w:val="22"/>
        </w:rPr>
        <w:t xml:space="preserve">would </w:t>
      </w:r>
      <w:r w:rsidR="00803A54">
        <w:rPr>
          <w:sz w:val="22"/>
          <w:szCs w:val="22"/>
        </w:rPr>
        <w:t xml:space="preserve">provide more programming options and the potential impact of </w:t>
      </w:r>
      <w:r w:rsidR="002D6033">
        <w:rPr>
          <w:sz w:val="22"/>
          <w:szCs w:val="22"/>
        </w:rPr>
        <w:t xml:space="preserve">such </w:t>
      </w:r>
      <w:r w:rsidR="00803A54">
        <w:rPr>
          <w:sz w:val="22"/>
          <w:szCs w:val="22"/>
        </w:rPr>
        <w:t>alternatives on localism and on broadcast television local</w:t>
      </w:r>
      <w:r w:rsidR="00E52DC9">
        <w:rPr>
          <w:sz w:val="22"/>
          <w:szCs w:val="22"/>
        </w:rPr>
        <w:t>ly</w:t>
      </w:r>
      <w:r w:rsidR="00D63B3A">
        <w:rPr>
          <w:sz w:val="22"/>
          <w:szCs w:val="22"/>
        </w:rPr>
        <w:t xml:space="preserve">, regionally, and nationally.  </w:t>
      </w:r>
      <w:r w:rsidR="00D56B16">
        <w:rPr>
          <w:sz w:val="22"/>
          <w:szCs w:val="22"/>
        </w:rPr>
        <w:t>W</w:t>
      </w:r>
      <w:r>
        <w:rPr>
          <w:sz w:val="22"/>
          <w:szCs w:val="22"/>
        </w:rPr>
        <w:t xml:space="preserve">e </w:t>
      </w:r>
      <w:r w:rsidR="00D56B16">
        <w:rPr>
          <w:sz w:val="22"/>
          <w:szCs w:val="22"/>
        </w:rPr>
        <w:t xml:space="preserve">also ask commenters to provide recommendations </w:t>
      </w:r>
      <w:r w:rsidR="00E71B66">
        <w:rPr>
          <w:sz w:val="22"/>
          <w:szCs w:val="22"/>
        </w:rPr>
        <w:t>t</w:t>
      </w:r>
      <w:r w:rsidR="00D56B16">
        <w:rPr>
          <w:sz w:val="22"/>
          <w:szCs w:val="22"/>
        </w:rPr>
        <w:t>hat would foster localism</w:t>
      </w:r>
      <w:r w:rsidR="00E537B5">
        <w:rPr>
          <w:sz w:val="22"/>
          <w:szCs w:val="22"/>
        </w:rPr>
        <w:t xml:space="preserve"> in counties served by out-of-State DMAs</w:t>
      </w:r>
      <w:r w:rsidR="00E71B66">
        <w:rPr>
          <w:sz w:val="22"/>
          <w:szCs w:val="22"/>
        </w:rPr>
        <w:t xml:space="preserve"> a</w:t>
      </w:r>
      <w:r w:rsidR="00EC0B3D">
        <w:rPr>
          <w:sz w:val="22"/>
          <w:szCs w:val="22"/>
        </w:rPr>
        <w:t xml:space="preserve">nd the impact of such recommendations </w:t>
      </w:r>
      <w:r w:rsidR="002D6033">
        <w:rPr>
          <w:sz w:val="22"/>
          <w:szCs w:val="22"/>
        </w:rPr>
        <w:t>as required under Section</w:t>
      </w:r>
      <w:r w:rsidR="00EC0B3D">
        <w:rPr>
          <w:sz w:val="22"/>
          <w:szCs w:val="22"/>
        </w:rPr>
        <w:t xml:space="preserve"> 109(b).</w:t>
      </w:r>
      <w:r w:rsidR="00A3294D">
        <w:rPr>
          <w:rStyle w:val="FootnoteReference"/>
          <w:sz w:val="22"/>
          <w:szCs w:val="22"/>
        </w:rPr>
        <w:footnoteReference w:id="5"/>
      </w:r>
    </w:p>
    <w:p w:rsidR="002D3E93" w:rsidRDefault="002D3E93">
      <w:pPr>
        <w:rPr>
          <w:sz w:val="22"/>
          <w:szCs w:val="22"/>
        </w:rPr>
      </w:pPr>
      <w:r>
        <w:rPr>
          <w:sz w:val="22"/>
          <w:szCs w:val="22"/>
        </w:rPr>
        <w:br w:type="page"/>
      </w:r>
    </w:p>
    <w:p w:rsidR="00616C9B" w:rsidRPr="001320B1" w:rsidRDefault="00D266BF" w:rsidP="0083746A">
      <w:pPr>
        <w:rPr>
          <w:b/>
          <w:sz w:val="22"/>
          <w:szCs w:val="22"/>
          <w:u w:val="single"/>
        </w:rPr>
      </w:pPr>
      <w:r>
        <w:rPr>
          <w:b/>
          <w:sz w:val="22"/>
          <w:szCs w:val="22"/>
          <w:u w:val="single"/>
        </w:rPr>
        <w:t xml:space="preserve">Data Analysis -- </w:t>
      </w:r>
      <w:r w:rsidR="00616C9B" w:rsidRPr="001320B1">
        <w:rPr>
          <w:b/>
          <w:sz w:val="22"/>
          <w:szCs w:val="22"/>
          <w:u w:val="single"/>
        </w:rPr>
        <w:t>Section 109(a)(1)(A)</w:t>
      </w:r>
    </w:p>
    <w:p w:rsidR="00616C9B" w:rsidRDefault="00616C9B" w:rsidP="0083746A">
      <w:pPr>
        <w:rPr>
          <w:sz w:val="22"/>
          <w:szCs w:val="22"/>
        </w:rPr>
      </w:pPr>
    </w:p>
    <w:p w:rsidR="00DF1934" w:rsidRDefault="00616C9B" w:rsidP="00FD2C27">
      <w:pPr>
        <w:ind w:firstLine="720"/>
        <w:rPr>
          <w:sz w:val="22"/>
          <w:szCs w:val="22"/>
        </w:rPr>
      </w:pPr>
      <w:r>
        <w:rPr>
          <w:sz w:val="22"/>
          <w:szCs w:val="22"/>
        </w:rPr>
        <w:t xml:space="preserve">Section 109(a)(1)(A) requires the Commission to analyze the extent to which consumers in each </w:t>
      </w:r>
      <w:r w:rsidRPr="00EC6DC8">
        <w:rPr>
          <w:rFonts w:eastAsiaTheme="minorHAnsi"/>
          <w:sz w:val="22"/>
          <w:szCs w:val="22"/>
        </w:rPr>
        <w:t>local market have access to broadcast programming from television broadcast stations located outside their local market</w:t>
      </w:r>
      <w:r w:rsidR="00474DAE">
        <w:rPr>
          <w:rFonts w:eastAsiaTheme="minorHAnsi"/>
          <w:sz w:val="22"/>
          <w:szCs w:val="22"/>
        </w:rPr>
        <w:t>s</w:t>
      </w:r>
      <w:r w:rsidRPr="00EC6DC8">
        <w:rPr>
          <w:rFonts w:eastAsiaTheme="minorHAnsi"/>
          <w:sz w:val="22"/>
          <w:szCs w:val="22"/>
        </w:rPr>
        <w:t xml:space="preserve">, including through carriage by cable operators and satellite carriers of signals that are significantly viewed (within the meaning of section 340 of the Communications Act </w:t>
      </w:r>
      <w:r>
        <w:rPr>
          <w:rFonts w:eastAsiaTheme="minorHAnsi"/>
          <w:sz w:val="22"/>
          <w:szCs w:val="22"/>
        </w:rPr>
        <w:t xml:space="preserve">of 1934 (47 U.S.C. 340)).  </w:t>
      </w:r>
      <w:r w:rsidR="00BC00D9">
        <w:rPr>
          <w:sz w:val="22"/>
          <w:szCs w:val="22"/>
        </w:rPr>
        <w:t xml:space="preserve">We interpret </w:t>
      </w:r>
      <w:r w:rsidR="00555C42">
        <w:rPr>
          <w:rFonts w:eastAsiaTheme="minorHAnsi"/>
          <w:sz w:val="22"/>
          <w:szCs w:val="22"/>
        </w:rPr>
        <w:t xml:space="preserve">Section </w:t>
      </w:r>
      <w:r w:rsidR="00555C42">
        <w:rPr>
          <w:sz w:val="22"/>
          <w:szCs w:val="22"/>
        </w:rPr>
        <w:t xml:space="preserve">109(a)(1)(A) </w:t>
      </w:r>
      <w:r w:rsidR="00BC00D9">
        <w:rPr>
          <w:sz w:val="22"/>
          <w:szCs w:val="22"/>
        </w:rPr>
        <w:t xml:space="preserve">to </w:t>
      </w:r>
      <w:r w:rsidR="00555C42">
        <w:rPr>
          <w:sz w:val="22"/>
          <w:szCs w:val="22"/>
        </w:rPr>
        <w:t xml:space="preserve">require the Commission to </w:t>
      </w:r>
      <w:r w:rsidR="00B97845">
        <w:rPr>
          <w:sz w:val="22"/>
          <w:szCs w:val="22"/>
        </w:rPr>
        <w:t xml:space="preserve">identify </w:t>
      </w:r>
      <w:r w:rsidR="0039118F">
        <w:rPr>
          <w:sz w:val="22"/>
          <w:szCs w:val="22"/>
        </w:rPr>
        <w:t xml:space="preserve">in each </w:t>
      </w:r>
      <w:r w:rsidR="00B97845">
        <w:rPr>
          <w:sz w:val="22"/>
          <w:szCs w:val="22"/>
        </w:rPr>
        <w:t>DM</w:t>
      </w:r>
      <w:r w:rsidR="00967AF3">
        <w:rPr>
          <w:sz w:val="22"/>
          <w:szCs w:val="22"/>
        </w:rPr>
        <w:t>A</w:t>
      </w:r>
      <w:r w:rsidR="00B97845">
        <w:rPr>
          <w:sz w:val="22"/>
          <w:szCs w:val="22"/>
        </w:rPr>
        <w:t xml:space="preserve"> </w:t>
      </w:r>
      <w:r w:rsidR="00BC00D9">
        <w:rPr>
          <w:sz w:val="22"/>
          <w:szCs w:val="22"/>
        </w:rPr>
        <w:t xml:space="preserve">the </w:t>
      </w:r>
      <w:r w:rsidR="003D4311">
        <w:rPr>
          <w:sz w:val="22"/>
          <w:szCs w:val="22"/>
        </w:rPr>
        <w:t xml:space="preserve">out-of-market broadcast stations </w:t>
      </w:r>
      <w:r w:rsidR="00BC00D9">
        <w:rPr>
          <w:sz w:val="22"/>
          <w:szCs w:val="22"/>
        </w:rPr>
        <w:t xml:space="preserve">available over-the-air or </w:t>
      </w:r>
      <w:r w:rsidR="003D4311">
        <w:rPr>
          <w:sz w:val="22"/>
          <w:szCs w:val="22"/>
        </w:rPr>
        <w:t>carried by DBS, cable, and telephone MVPD</w:t>
      </w:r>
      <w:r w:rsidR="00DF1934">
        <w:rPr>
          <w:sz w:val="22"/>
          <w:szCs w:val="22"/>
        </w:rPr>
        <w:t>s</w:t>
      </w:r>
      <w:r w:rsidR="003D4311">
        <w:rPr>
          <w:sz w:val="22"/>
          <w:szCs w:val="22"/>
        </w:rPr>
        <w:t xml:space="preserve">, and </w:t>
      </w:r>
      <w:r w:rsidR="00B97845">
        <w:rPr>
          <w:sz w:val="22"/>
          <w:szCs w:val="22"/>
        </w:rPr>
        <w:t xml:space="preserve">the number of </w:t>
      </w:r>
      <w:r w:rsidR="008D777D">
        <w:rPr>
          <w:sz w:val="22"/>
          <w:szCs w:val="22"/>
        </w:rPr>
        <w:t>consumers</w:t>
      </w:r>
      <w:r w:rsidR="00B97845">
        <w:rPr>
          <w:sz w:val="22"/>
          <w:szCs w:val="22"/>
        </w:rPr>
        <w:t xml:space="preserve"> </w:t>
      </w:r>
      <w:r w:rsidR="00555C42">
        <w:rPr>
          <w:sz w:val="22"/>
          <w:szCs w:val="22"/>
        </w:rPr>
        <w:t xml:space="preserve">that have access to </w:t>
      </w:r>
      <w:r w:rsidR="00B97845">
        <w:rPr>
          <w:sz w:val="22"/>
          <w:szCs w:val="22"/>
        </w:rPr>
        <w:t>each out-of-market broadcast station</w:t>
      </w:r>
      <w:r w:rsidR="008324F6">
        <w:rPr>
          <w:sz w:val="22"/>
          <w:szCs w:val="22"/>
        </w:rPr>
        <w:t xml:space="preserve"> th</w:t>
      </w:r>
      <w:r w:rsidR="00C57B34">
        <w:rPr>
          <w:sz w:val="22"/>
          <w:szCs w:val="22"/>
        </w:rPr>
        <w:t>r</w:t>
      </w:r>
      <w:r w:rsidR="008324F6">
        <w:rPr>
          <w:sz w:val="22"/>
          <w:szCs w:val="22"/>
        </w:rPr>
        <w:t>ough any of these distribution means</w:t>
      </w:r>
      <w:r w:rsidR="00AF2CC9">
        <w:rPr>
          <w:sz w:val="22"/>
          <w:szCs w:val="22"/>
        </w:rPr>
        <w:t>.</w:t>
      </w:r>
      <w:r w:rsidR="00C57B34">
        <w:rPr>
          <w:rStyle w:val="FootnoteReference"/>
          <w:sz w:val="22"/>
          <w:szCs w:val="22"/>
        </w:rPr>
        <w:footnoteReference w:id="6"/>
      </w:r>
      <w:r w:rsidR="00BC00D9">
        <w:rPr>
          <w:sz w:val="22"/>
          <w:szCs w:val="22"/>
        </w:rPr>
        <w:t xml:space="preserve">  </w:t>
      </w:r>
      <w:r w:rsidR="00117E12">
        <w:rPr>
          <w:sz w:val="22"/>
          <w:szCs w:val="22"/>
        </w:rPr>
        <w:t xml:space="preserve">In 2011, pursuant to STELA, the Commission reported to Congress regarding the extent that consumers </w:t>
      </w:r>
      <w:r w:rsidR="00967C3E">
        <w:rPr>
          <w:sz w:val="22"/>
          <w:szCs w:val="22"/>
        </w:rPr>
        <w:t xml:space="preserve">in a </w:t>
      </w:r>
      <w:r w:rsidR="00B44CCE">
        <w:rPr>
          <w:sz w:val="22"/>
          <w:szCs w:val="22"/>
        </w:rPr>
        <w:t>S</w:t>
      </w:r>
      <w:r w:rsidR="00967C3E">
        <w:rPr>
          <w:sz w:val="22"/>
          <w:szCs w:val="22"/>
        </w:rPr>
        <w:t xml:space="preserve">tate receive broadcast signals from stations licensed to another </w:t>
      </w:r>
      <w:r w:rsidR="00B44CCE">
        <w:rPr>
          <w:sz w:val="22"/>
          <w:szCs w:val="22"/>
        </w:rPr>
        <w:t>S</w:t>
      </w:r>
      <w:r w:rsidR="00967C3E">
        <w:rPr>
          <w:sz w:val="22"/>
          <w:szCs w:val="22"/>
        </w:rPr>
        <w:t xml:space="preserve">tate as well as the extent to which consumers </w:t>
      </w:r>
      <w:r w:rsidR="00117E12">
        <w:rPr>
          <w:sz w:val="22"/>
          <w:szCs w:val="22"/>
        </w:rPr>
        <w:t>have access to in-State broadcast programming, among other things</w:t>
      </w:r>
      <w:r w:rsidR="00967C3E">
        <w:rPr>
          <w:sz w:val="22"/>
          <w:szCs w:val="22"/>
        </w:rPr>
        <w:t>.</w:t>
      </w:r>
      <w:r w:rsidR="00117E12">
        <w:rPr>
          <w:rStyle w:val="FootnoteReference"/>
          <w:sz w:val="22"/>
          <w:szCs w:val="22"/>
        </w:rPr>
        <w:footnoteReference w:id="7"/>
      </w:r>
      <w:r w:rsidR="00117E12">
        <w:rPr>
          <w:sz w:val="22"/>
          <w:szCs w:val="22"/>
        </w:rPr>
        <w:t xml:space="preserve">  </w:t>
      </w:r>
      <w:r w:rsidR="00967C3E">
        <w:rPr>
          <w:sz w:val="22"/>
          <w:szCs w:val="22"/>
        </w:rPr>
        <w:t>While the focus o</w:t>
      </w:r>
      <w:r w:rsidR="000B2C61">
        <w:rPr>
          <w:sz w:val="22"/>
          <w:szCs w:val="22"/>
        </w:rPr>
        <w:t>f</w:t>
      </w:r>
      <w:r w:rsidR="00967C3E">
        <w:rPr>
          <w:sz w:val="22"/>
          <w:szCs w:val="22"/>
        </w:rPr>
        <w:t xml:space="preserve"> the </w:t>
      </w:r>
      <w:r w:rsidR="00790F73" w:rsidRPr="00CB0638">
        <w:rPr>
          <w:i/>
          <w:sz w:val="22"/>
          <w:szCs w:val="22"/>
        </w:rPr>
        <w:t xml:space="preserve">2011 </w:t>
      </w:r>
      <w:r w:rsidR="00967C3E" w:rsidRPr="00CB0638">
        <w:rPr>
          <w:i/>
          <w:sz w:val="22"/>
          <w:szCs w:val="22"/>
        </w:rPr>
        <w:t>STELA Report</w:t>
      </w:r>
      <w:r w:rsidR="00967C3E">
        <w:rPr>
          <w:sz w:val="22"/>
          <w:szCs w:val="22"/>
        </w:rPr>
        <w:t xml:space="preserve"> differed somewhat from the requirements of Section 109, it provided information about consumer access to out-of-</w:t>
      </w:r>
      <w:r w:rsidR="006B1E5B">
        <w:rPr>
          <w:sz w:val="22"/>
          <w:szCs w:val="22"/>
        </w:rPr>
        <w:t>S</w:t>
      </w:r>
      <w:r w:rsidR="00967C3E">
        <w:rPr>
          <w:sz w:val="22"/>
          <w:szCs w:val="22"/>
        </w:rPr>
        <w:t>tate and out-of-DMA broadcast stations.</w:t>
      </w:r>
      <w:r w:rsidR="00967C3E">
        <w:rPr>
          <w:rStyle w:val="FootnoteReference"/>
          <w:sz w:val="22"/>
          <w:szCs w:val="22"/>
        </w:rPr>
        <w:footnoteReference w:id="8"/>
      </w:r>
      <w:r w:rsidR="00967C3E">
        <w:rPr>
          <w:sz w:val="22"/>
          <w:szCs w:val="22"/>
        </w:rPr>
        <w:t xml:space="preserve">  We </w:t>
      </w:r>
      <w:r w:rsidR="0084249A">
        <w:rPr>
          <w:sz w:val="22"/>
          <w:szCs w:val="22"/>
        </w:rPr>
        <w:t>believe, however, that information at the DMA level, as contained i</w:t>
      </w:r>
      <w:r w:rsidR="008A41E0">
        <w:rPr>
          <w:sz w:val="22"/>
          <w:szCs w:val="22"/>
        </w:rPr>
        <w:t xml:space="preserve">n the </w:t>
      </w:r>
      <w:r w:rsidR="00CB0638" w:rsidRPr="00CB0638">
        <w:rPr>
          <w:i/>
          <w:sz w:val="22"/>
          <w:szCs w:val="22"/>
        </w:rPr>
        <w:t xml:space="preserve">2011 </w:t>
      </w:r>
      <w:r w:rsidR="008A41E0" w:rsidRPr="00CB0638">
        <w:rPr>
          <w:i/>
          <w:sz w:val="22"/>
          <w:szCs w:val="22"/>
        </w:rPr>
        <w:t>STELA Report</w:t>
      </w:r>
      <w:r w:rsidR="008A41E0">
        <w:rPr>
          <w:sz w:val="22"/>
          <w:szCs w:val="22"/>
        </w:rPr>
        <w:t>, may not be f</w:t>
      </w:r>
      <w:r w:rsidR="0084249A">
        <w:rPr>
          <w:sz w:val="22"/>
          <w:szCs w:val="22"/>
        </w:rPr>
        <w:t xml:space="preserve">ully responsive to Congress’ directive in STELAR.  </w:t>
      </w:r>
      <w:r w:rsidR="00BC00D9">
        <w:rPr>
          <w:sz w:val="22"/>
          <w:szCs w:val="22"/>
        </w:rPr>
        <w:t xml:space="preserve">We note that </w:t>
      </w:r>
      <w:r w:rsidR="00D376E6">
        <w:rPr>
          <w:sz w:val="22"/>
          <w:szCs w:val="22"/>
        </w:rPr>
        <w:t xml:space="preserve">Section 109(a)(2) </w:t>
      </w:r>
      <w:r w:rsidR="00BC00D9">
        <w:rPr>
          <w:sz w:val="22"/>
          <w:szCs w:val="22"/>
        </w:rPr>
        <w:t>seeks recommendations to foster localism in counties served by out-of-</w:t>
      </w:r>
      <w:r w:rsidR="00FE0E90">
        <w:rPr>
          <w:sz w:val="22"/>
          <w:szCs w:val="22"/>
        </w:rPr>
        <w:t>S</w:t>
      </w:r>
      <w:r w:rsidR="00DF1934">
        <w:rPr>
          <w:sz w:val="22"/>
          <w:szCs w:val="22"/>
        </w:rPr>
        <w:t xml:space="preserve">tate DMAs.  </w:t>
      </w:r>
      <w:r w:rsidR="00D376E6">
        <w:rPr>
          <w:sz w:val="22"/>
          <w:szCs w:val="22"/>
        </w:rPr>
        <w:t>Thus, w</w:t>
      </w:r>
      <w:r w:rsidR="008B492A">
        <w:rPr>
          <w:sz w:val="22"/>
          <w:szCs w:val="22"/>
        </w:rPr>
        <w:t xml:space="preserve">e believe we should report </w:t>
      </w:r>
      <w:r w:rsidR="00DF1934">
        <w:rPr>
          <w:sz w:val="22"/>
          <w:szCs w:val="22"/>
        </w:rPr>
        <w:t xml:space="preserve">data on </w:t>
      </w:r>
      <w:r w:rsidR="00E2661E">
        <w:rPr>
          <w:sz w:val="22"/>
          <w:szCs w:val="22"/>
        </w:rPr>
        <w:t xml:space="preserve">out-of-market </w:t>
      </w:r>
      <w:r w:rsidR="00DF1934">
        <w:rPr>
          <w:sz w:val="22"/>
          <w:szCs w:val="22"/>
        </w:rPr>
        <w:t xml:space="preserve">broadcast </w:t>
      </w:r>
      <w:r w:rsidR="00E2661E">
        <w:rPr>
          <w:sz w:val="22"/>
          <w:szCs w:val="22"/>
        </w:rPr>
        <w:t xml:space="preserve">stations on </w:t>
      </w:r>
      <w:r w:rsidR="00D376E6">
        <w:rPr>
          <w:sz w:val="22"/>
          <w:szCs w:val="22"/>
        </w:rPr>
        <w:t xml:space="preserve">a </w:t>
      </w:r>
      <w:r w:rsidR="00706EF0">
        <w:rPr>
          <w:sz w:val="22"/>
          <w:szCs w:val="22"/>
        </w:rPr>
        <w:t>county basis within each DMA</w:t>
      </w:r>
      <w:r w:rsidR="00D376E6">
        <w:rPr>
          <w:sz w:val="22"/>
          <w:szCs w:val="22"/>
        </w:rPr>
        <w:t xml:space="preserve">.  We request comment on this </w:t>
      </w:r>
      <w:r w:rsidR="0084249A">
        <w:rPr>
          <w:sz w:val="22"/>
          <w:szCs w:val="22"/>
        </w:rPr>
        <w:t>belief and input on additional data and analysis that would be fully responsive</w:t>
      </w:r>
      <w:r w:rsidR="00D376E6">
        <w:rPr>
          <w:sz w:val="22"/>
          <w:szCs w:val="22"/>
        </w:rPr>
        <w:t>.</w:t>
      </w:r>
      <w:r w:rsidR="00DF1934">
        <w:rPr>
          <w:sz w:val="22"/>
          <w:szCs w:val="22"/>
        </w:rPr>
        <w:t xml:space="preserve"> </w:t>
      </w:r>
      <w:r w:rsidR="00AF2CC9">
        <w:rPr>
          <w:sz w:val="22"/>
          <w:szCs w:val="22"/>
        </w:rPr>
        <w:t xml:space="preserve"> </w:t>
      </w:r>
    </w:p>
    <w:p w:rsidR="006B1E5B" w:rsidRDefault="006B1E5B" w:rsidP="00FD2C27">
      <w:pPr>
        <w:ind w:firstLine="720"/>
        <w:rPr>
          <w:sz w:val="22"/>
          <w:szCs w:val="22"/>
        </w:rPr>
      </w:pPr>
    </w:p>
    <w:p w:rsidR="005D54F4" w:rsidRDefault="006573DB" w:rsidP="00FD2C27">
      <w:pPr>
        <w:ind w:firstLine="720"/>
        <w:rPr>
          <w:sz w:val="22"/>
          <w:szCs w:val="22"/>
        </w:rPr>
      </w:pPr>
      <w:r>
        <w:rPr>
          <w:sz w:val="22"/>
          <w:szCs w:val="22"/>
        </w:rPr>
        <w:t xml:space="preserve">Section 109(a)(1)(A) requires us to consider access to broadcast programming, including through DBS and cable carriage.  We seek comment on the appropriate methodologies and submission of essential data for the analysis.  Do data exist that would allow us to determine consumer access to out-of-market broadcast programming from one source regardless of distribution technology?  In the absence of one data source, we tentatively conclude that we should consider the availability of broadcast stations over-the-air by calculating </w:t>
      </w:r>
      <w:r w:rsidR="00AF2CC9">
        <w:rPr>
          <w:sz w:val="22"/>
          <w:szCs w:val="22"/>
        </w:rPr>
        <w:t>the number of housing units in each DMA reached by the predicted broadcast signal contour of each out-of-market broadcast station</w:t>
      </w:r>
      <w:r>
        <w:rPr>
          <w:sz w:val="22"/>
          <w:szCs w:val="22"/>
        </w:rPr>
        <w:t xml:space="preserve">, as we did in the </w:t>
      </w:r>
      <w:r w:rsidR="00CB0638" w:rsidRPr="00CB0638">
        <w:rPr>
          <w:i/>
          <w:sz w:val="22"/>
          <w:szCs w:val="22"/>
        </w:rPr>
        <w:t xml:space="preserve">2011 </w:t>
      </w:r>
      <w:r w:rsidRPr="00CB0638">
        <w:rPr>
          <w:i/>
          <w:sz w:val="22"/>
          <w:szCs w:val="22"/>
        </w:rPr>
        <w:t>STELA Report</w:t>
      </w:r>
      <w:r>
        <w:rPr>
          <w:sz w:val="22"/>
          <w:szCs w:val="22"/>
        </w:rPr>
        <w:t>.</w:t>
      </w:r>
      <w:r w:rsidR="00AF2CC9">
        <w:rPr>
          <w:sz w:val="22"/>
          <w:szCs w:val="22"/>
        </w:rPr>
        <w:t xml:space="preserve">  </w:t>
      </w:r>
      <w:r w:rsidR="0084249A">
        <w:rPr>
          <w:sz w:val="22"/>
          <w:szCs w:val="22"/>
        </w:rPr>
        <w:t>We seek comment on this tentative conclusion.</w:t>
      </w:r>
    </w:p>
    <w:p w:rsidR="00BC00D9" w:rsidRDefault="00BC00D9" w:rsidP="00FD2C27">
      <w:pPr>
        <w:ind w:firstLine="720"/>
        <w:rPr>
          <w:sz w:val="22"/>
          <w:szCs w:val="22"/>
        </w:rPr>
      </w:pPr>
    </w:p>
    <w:p w:rsidR="00046794" w:rsidRDefault="00EE3470" w:rsidP="00046794">
      <w:pPr>
        <w:ind w:firstLine="720"/>
        <w:rPr>
          <w:sz w:val="22"/>
          <w:szCs w:val="22"/>
        </w:rPr>
      </w:pPr>
      <w:r>
        <w:rPr>
          <w:sz w:val="22"/>
          <w:szCs w:val="22"/>
        </w:rPr>
        <w:t xml:space="preserve">We believe </w:t>
      </w:r>
      <w:r w:rsidR="003D4311">
        <w:rPr>
          <w:sz w:val="22"/>
          <w:szCs w:val="22"/>
        </w:rPr>
        <w:t xml:space="preserve">we </w:t>
      </w:r>
      <w:r w:rsidR="00B9147D">
        <w:rPr>
          <w:sz w:val="22"/>
          <w:szCs w:val="22"/>
        </w:rPr>
        <w:t xml:space="preserve">have </w:t>
      </w:r>
      <w:r w:rsidR="003D4311">
        <w:rPr>
          <w:sz w:val="22"/>
          <w:szCs w:val="22"/>
        </w:rPr>
        <w:t xml:space="preserve">access to comprehensive </w:t>
      </w:r>
      <w:r>
        <w:rPr>
          <w:sz w:val="22"/>
          <w:szCs w:val="22"/>
        </w:rPr>
        <w:t xml:space="preserve">data </w:t>
      </w:r>
      <w:r w:rsidR="001505ED">
        <w:rPr>
          <w:sz w:val="22"/>
          <w:szCs w:val="22"/>
        </w:rPr>
        <w:t xml:space="preserve">for analysis of DBS carriage </w:t>
      </w:r>
      <w:r>
        <w:rPr>
          <w:sz w:val="22"/>
          <w:szCs w:val="22"/>
        </w:rPr>
        <w:t xml:space="preserve">and </w:t>
      </w:r>
      <w:r w:rsidR="003D4311">
        <w:rPr>
          <w:sz w:val="22"/>
          <w:szCs w:val="22"/>
        </w:rPr>
        <w:t>over-the-air reception of out-of-market broadcast stations.</w:t>
      </w:r>
      <w:r w:rsidR="00516697">
        <w:rPr>
          <w:rStyle w:val="FootnoteReference"/>
          <w:sz w:val="22"/>
          <w:szCs w:val="22"/>
        </w:rPr>
        <w:footnoteReference w:id="9"/>
      </w:r>
      <w:r w:rsidR="00474DAE">
        <w:rPr>
          <w:sz w:val="22"/>
          <w:szCs w:val="22"/>
        </w:rPr>
        <w:t xml:space="preserve">  </w:t>
      </w:r>
      <w:r w:rsidR="00046794">
        <w:rPr>
          <w:sz w:val="22"/>
          <w:szCs w:val="22"/>
        </w:rPr>
        <w:t xml:space="preserve">We note that Section 108 of STELAR </w:t>
      </w:r>
      <w:r w:rsidR="00046794">
        <w:t>r</w:t>
      </w:r>
      <w:r w:rsidR="00046794">
        <w:rPr>
          <w:sz w:val="22"/>
          <w:szCs w:val="22"/>
        </w:rPr>
        <w:t>equires DBS carriers to provide data regarding satellite carriage of broadcast stations and that these data s</w:t>
      </w:r>
      <w:r w:rsidR="00790F73">
        <w:rPr>
          <w:sz w:val="22"/>
          <w:szCs w:val="22"/>
        </w:rPr>
        <w:t>hould be useful for this report</w:t>
      </w:r>
      <w:r w:rsidR="00E52DC9">
        <w:rPr>
          <w:sz w:val="22"/>
          <w:szCs w:val="22"/>
        </w:rPr>
        <w:t>.</w:t>
      </w:r>
      <w:r w:rsidR="00046794">
        <w:rPr>
          <w:rStyle w:val="FootnoteReference"/>
          <w:sz w:val="22"/>
          <w:szCs w:val="22"/>
        </w:rPr>
        <w:footnoteReference w:id="10"/>
      </w:r>
      <w:r w:rsidR="00046794">
        <w:rPr>
          <w:sz w:val="22"/>
          <w:szCs w:val="22"/>
        </w:rPr>
        <w:t xml:space="preserve">  We seek comment on whether the Section 108</w:t>
      </w:r>
      <w:r w:rsidR="00790F73">
        <w:rPr>
          <w:sz w:val="22"/>
          <w:szCs w:val="22"/>
        </w:rPr>
        <w:t xml:space="preserve"> reports DBS operators submit</w:t>
      </w:r>
      <w:r w:rsidR="00046794">
        <w:rPr>
          <w:sz w:val="22"/>
          <w:szCs w:val="22"/>
        </w:rPr>
        <w:t xml:space="preserve"> ar</w:t>
      </w:r>
      <w:r w:rsidR="004F1A5A">
        <w:rPr>
          <w:sz w:val="22"/>
          <w:szCs w:val="22"/>
        </w:rPr>
        <w:t xml:space="preserve">e sufficient for this purpose.  </w:t>
      </w:r>
      <w:r w:rsidR="00046794">
        <w:rPr>
          <w:sz w:val="22"/>
          <w:szCs w:val="22"/>
        </w:rPr>
        <w:t xml:space="preserve">Will these reports include the carriage of significantly viewed signals </w:t>
      </w:r>
      <w:r w:rsidR="004F1A5A">
        <w:rPr>
          <w:sz w:val="22"/>
          <w:szCs w:val="22"/>
        </w:rPr>
        <w:t xml:space="preserve">that </w:t>
      </w:r>
      <w:r w:rsidR="00046794">
        <w:rPr>
          <w:sz w:val="22"/>
          <w:szCs w:val="22"/>
        </w:rPr>
        <w:t xml:space="preserve">we must take into consideration?  </w:t>
      </w:r>
    </w:p>
    <w:p w:rsidR="00C848B6" w:rsidRDefault="0084249A" w:rsidP="00C848B6">
      <w:pPr>
        <w:ind w:firstLine="720"/>
        <w:rPr>
          <w:sz w:val="22"/>
          <w:szCs w:val="22"/>
        </w:rPr>
      </w:pPr>
      <w:r>
        <w:rPr>
          <w:sz w:val="22"/>
          <w:szCs w:val="22"/>
        </w:rPr>
        <w:t>With respect to cable and telephone MVPD carriage of out-of-market broadcast stations, w</w:t>
      </w:r>
      <w:r w:rsidR="00FB3C55">
        <w:rPr>
          <w:sz w:val="22"/>
          <w:szCs w:val="22"/>
        </w:rPr>
        <w:t xml:space="preserve">e </w:t>
      </w:r>
      <w:r>
        <w:rPr>
          <w:sz w:val="22"/>
          <w:szCs w:val="22"/>
        </w:rPr>
        <w:t xml:space="preserve">seek comment on what data </w:t>
      </w:r>
      <w:r w:rsidR="00EE320D">
        <w:rPr>
          <w:sz w:val="22"/>
          <w:szCs w:val="22"/>
        </w:rPr>
        <w:t xml:space="preserve">are </w:t>
      </w:r>
      <w:r>
        <w:rPr>
          <w:sz w:val="22"/>
          <w:szCs w:val="22"/>
        </w:rPr>
        <w:t>available that would be</w:t>
      </w:r>
      <w:r w:rsidR="00704B55">
        <w:rPr>
          <w:sz w:val="22"/>
          <w:szCs w:val="22"/>
        </w:rPr>
        <w:t xml:space="preserve"> adequate </w:t>
      </w:r>
      <w:r w:rsidR="00FB3C55">
        <w:rPr>
          <w:sz w:val="22"/>
          <w:szCs w:val="22"/>
        </w:rPr>
        <w:t xml:space="preserve">for </w:t>
      </w:r>
      <w:r>
        <w:rPr>
          <w:sz w:val="22"/>
          <w:szCs w:val="22"/>
        </w:rPr>
        <w:t>such</w:t>
      </w:r>
      <w:r w:rsidR="00FB3C55">
        <w:rPr>
          <w:sz w:val="22"/>
          <w:szCs w:val="22"/>
        </w:rPr>
        <w:t xml:space="preserve"> analy</w:t>
      </w:r>
      <w:r w:rsidR="00704B55">
        <w:rPr>
          <w:sz w:val="22"/>
          <w:szCs w:val="22"/>
        </w:rPr>
        <w:t>sis</w:t>
      </w:r>
      <w:r>
        <w:rPr>
          <w:sz w:val="22"/>
          <w:szCs w:val="22"/>
        </w:rPr>
        <w:t xml:space="preserve"> and what methodology we could use to </w:t>
      </w:r>
      <w:r w:rsidR="00B66BD6">
        <w:rPr>
          <w:sz w:val="22"/>
          <w:szCs w:val="22"/>
        </w:rPr>
        <w:t>analyze the available data</w:t>
      </w:r>
      <w:r w:rsidR="00FB3C55">
        <w:rPr>
          <w:sz w:val="22"/>
          <w:szCs w:val="22"/>
        </w:rPr>
        <w:t>.</w:t>
      </w:r>
      <w:r w:rsidR="00997D1A">
        <w:rPr>
          <w:rStyle w:val="FootnoteReference"/>
          <w:sz w:val="22"/>
          <w:szCs w:val="22"/>
        </w:rPr>
        <w:footnoteReference w:id="11"/>
      </w:r>
      <w:r w:rsidR="00280551">
        <w:rPr>
          <w:sz w:val="22"/>
          <w:szCs w:val="22"/>
        </w:rPr>
        <w:t xml:space="preserve">  </w:t>
      </w:r>
      <w:r w:rsidR="00C848B6">
        <w:rPr>
          <w:sz w:val="22"/>
          <w:szCs w:val="22"/>
        </w:rPr>
        <w:t>In 2011, pursuant to STELA,</w:t>
      </w:r>
      <w:r w:rsidR="00790F73">
        <w:rPr>
          <w:sz w:val="22"/>
          <w:szCs w:val="22"/>
        </w:rPr>
        <w:t xml:space="preserve"> the Bureau was unable to provide separate data for cable and telephone MVPDs, and therefore instead </w:t>
      </w:r>
      <w:r w:rsidR="00B66BD6">
        <w:rPr>
          <w:sz w:val="22"/>
          <w:szCs w:val="22"/>
        </w:rPr>
        <w:t>the Bureau</w:t>
      </w:r>
      <w:r w:rsidR="00C848B6">
        <w:rPr>
          <w:sz w:val="22"/>
          <w:szCs w:val="22"/>
        </w:rPr>
        <w:t xml:space="preserve"> used </w:t>
      </w:r>
      <w:r w:rsidR="00C848B6" w:rsidRPr="00F7630C">
        <w:rPr>
          <w:sz w:val="22"/>
          <w:szCs w:val="22"/>
        </w:rPr>
        <w:t>Nielsen data to identify for each DMA the out-of-market broadcast television stations that earn</w:t>
      </w:r>
      <w:r w:rsidR="00C848B6">
        <w:rPr>
          <w:sz w:val="22"/>
          <w:szCs w:val="22"/>
        </w:rPr>
        <w:t>ed</w:t>
      </w:r>
      <w:r w:rsidR="00C848B6" w:rsidRPr="00F7630C">
        <w:rPr>
          <w:sz w:val="22"/>
          <w:szCs w:val="22"/>
        </w:rPr>
        <w:t xml:space="preserve"> a cumulative rating of at least 2.5 percent</w:t>
      </w:r>
      <w:r w:rsidR="00C848B6">
        <w:rPr>
          <w:sz w:val="22"/>
          <w:szCs w:val="22"/>
        </w:rPr>
        <w:t xml:space="preserve"> from all sources</w:t>
      </w:r>
      <w:r w:rsidR="00C848B6" w:rsidRPr="00F7630C">
        <w:rPr>
          <w:sz w:val="22"/>
          <w:szCs w:val="22"/>
        </w:rPr>
        <w:t>.</w:t>
      </w:r>
      <w:r w:rsidR="00C848B6" w:rsidRPr="00F7630C">
        <w:rPr>
          <w:sz w:val="22"/>
          <w:szCs w:val="22"/>
          <w:vertAlign w:val="superscript"/>
        </w:rPr>
        <w:footnoteReference w:id="12"/>
      </w:r>
      <w:r w:rsidR="00C848B6" w:rsidRPr="00F7630C">
        <w:rPr>
          <w:sz w:val="22"/>
          <w:szCs w:val="22"/>
        </w:rPr>
        <w:t xml:space="preserve">  </w:t>
      </w:r>
      <w:r w:rsidR="007F35C3">
        <w:rPr>
          <w:sz w:val="22"/>
          <w:szCs w:val="22"/>
        </w:rPr>
        <w:t xml:space="preserve">Are comprehensive data available that would enable us to determine for each county in each DMA the out-of-market broadcast stations carried by each cable and telephone MVPD?  In the </w:t>
      </w:r>
      <w:r w:rsidR="006E3EC0">
        <w:rPr>
          <w:sz w:val="22"/>
          <w:szCs w:val="22"/>
        </w:rPr>
        <w:t>absen</w:t>
      </w:r>
      <w:r w:rsidR="007F35C3">
        <w:rPr>
          <w:sz w:val="22"/>
          <w:szCs w:val="22"/>
        </w:rPr>
        <w:t xml:space="preserve">ce of such data, we </w:t>
      </w:r>
      <w:r w:rsidR="00F72686">
        <w:rPr>
          <w:sz w:val="22"/>
          <w:szCs w:val="22"/>
        </w:rPr>
        <w:t xml:space="preserve">seek comment on </w:t>
      </w:r>
      <w:r w:rsidR="00C848B6" w:rsidRPr="00F7630C">
        <w:rPr>
          <w:sz w:val="22"/>
          <w:szCs w:val="22"/>
        </w:rPr>
        <w:t xml:space="preserve">the use of Nielsen data </w:t>
      </w:r>
      <w:r w:rsidR="00850BA3">
        <w:rPr>
          <w:sz w:val="22"/>
          <w:szCs w:val="22"/>
        </w:rPr>
        <w:t xml:space="preserve">and the </w:t>
      </w:r>
      <w:r w:rsidR="00F72686">
        <w:rPr>
          <w:sz w:val="22"/>
          <w:szCs w:val="22"/>
        </w:rPr>
        <w:t xml:space="preserve">methodology used </w:t>
      </w:r>
      <w:r w:rsidR="00850BA3">
        <w:rPr>
          <w:sz w:val="22"/>
          <w:szCs w:val="22"/>
        </w:rPr>
        <w:t xml:space="preserve">for the </w:t>
      </w:r>
      <w:r w:rsidR="00F72686" w:rsidRPr="00850BA3">
        <w:rPr>
          <w:i/>
          <w:sz w:val="22"/>
          <w:szCs w:val="22"/>
        </w:rPr>
        <w:t>2011</w:t>
      </w:r>
      <w:r w:rsidR="00850BA3" w:rsidRPr="00850BA3">
        <w:rPr>
          <w:i/>
          <w:sz w:val="22"/>
          <w:szCs w:val="22"/>
        </w:rPr>
        <w:t xml:space="preserve"> STELA Report</w:t>
      </w:r>
      <w:r w:rsidR="00C848B6" w:rsidRPr="00F7630C">
        <w:rPr>
          <w:sz w:val="22"/>
          <w:szCs w:val="22"/>
        </w:rPr>
        <w:t xml:space="preserve">.  </w:t>
      </w:r>
      <w:r w:rsidR="00844876">
        <w:rPr>
          <w:sz w:val="22"/>
          <w:szCs w:val="22"/>
        </w:rPr>
        <w:t>What other options are available to the Commission to analyze this question?</w:t>
      </w:r>
    </w:p>
    <w:p w:rsidR="00C848B6" w:rsidRDefault="00C848B6" w:rsidP="00C848B6">
      <w:pPr>
        <w:ind w:firstLine="720"/>
        <w:rPr>
          <w:sz w:val="22"/>
          <w:szCs w:val="22"/>
        </w:rPr>
      </w:pPr>
    </w:p>
    <w:p w:rsidR="00850BA3" w:rsidRDefault="00117E12" w:rsidP="00280551">
      <w:pPr>
        <w:ind w:firstLine="720"/>
        <w:rPr>
          <w:sz w:val="22"/>
          <w:szCs w:val="22"/>
        </w:rPr>
      </w:pPr>
      <w:r>
        <w:rPr>
          <w:sz w:val="22"/>
          <w:szCs w:val="22"/>
        </w:rPr>
        <w:t xml:space="preserve">In this regard, we </w:t>
      </w:r>
      <w:r w:rsidR="00F72686">
        <w:rPr>
          <w:sz w:val="22"/>
          <w:szCs w:val="22"/>
        </w:rPr>
        <w:t>note that t</w:t>
      </w:r>
      <w:r w:rsidR="00CE7E54" w:rsidRPr="00CE7E54">
        <w:rPr>
          <w:sz w:val="22"/>
          <w:szCs w:val="22"/>
        </w:rPr>
        <w:t>he Commission collects cable system data in its Annual Report of Cable Television Systems (FCC Form 325)</w:t>
      </w:r>
      <w:r>
        <w:rPr>
          <w:sz w:val="22"/>
          <w:szCs w:val="22"/>
        </w:rPr>
        <w:t xml:space="preserve"> and in its Annual Report on Cable Prices, but these data are not comprehensive</w:t>
      </w:r>
      <w:r w:rsidR="00CE7E54" w:rsidRPr="00CE7E54">
        <w:rPr>
          <w:sz w:val="22"/>
          <w:szCs w:val="22"/>
        </w:rPr>
        <w:t xml:space="preserve">.  </w:t>
      </w:r>
      <w:r w:rsidR="00844876">
        <w:rPr>
          <w:sz w:val="22"/>
          <w:szCs w:val="22"/>
        </w:rPr>
        <w:t>O</w:t>
      </w:r>
      <w:r w:rsidR="00844876" w:rsidRPr="00CE7E54">
        <w:rPr>
          <w:sz w:val="22"/>
          <w:szCs w:val="22"/>
        </w:rPr>
        <w:t>nly a limited number of cable systems must file FCC Form 325.  All cable systems with more than 20,000 subscribers are subject to the reporting requirement as are a sample of cable systems with fewer than 20,000 subscribers.</w:t>
      </w:r>
      <w:r w:rsidR="00844876" w:rsidRPr="00CE7E54">
        <w:rPr>
          <w:sz w:val="22"/>
          <w:szCs w:val="22"/>
          <w:vertAlign w:val="superscript"/>
        </w:rPr>
        <w:footnoteReference w:id="13"/>
      </w:r>
      <w:r w:rsidR="00844876" w:rsidRPr="00CE7E54">
        <w:rPr>
          <w:sz w:val="22"/>
          <w:szCs w:val="22"/>
        </w:rPr>
        <w:t xml:space="preserve">  Other than on a sample basis, cable systems with fewer than 20,000 subscribers, however, are not required to report information to the Commission</w:t>
      </w:r>
      <w:r w:rsidR="00844876">
        <w:rPr>
          <w:sz w:val="22"/>
          <w:szCs w:val="22"/>
        </w:rPr>
        <w:t xml:space="preserve">.  Also, many rural counties of interest to </w:t>
      </w:r>
      <w:r w:rsidR="001523D3">
        <w:rPr>
          <w:sz w:val="22"/>
          <w:szCs w:val="22"/>
        </w:rPr>
        <w:t xml:space="preserve">the STELAR </w:t>
      </w:r>
      <w:r w:rsidR="000B2C61">
        <w:rPr>
          <w:sz w:val="22"/>
          <w:szCs w:val="22"/>
        </w:rPr>
        <w:t xml:space="preserve">Section 109 </w:t>
      </w:r>
      <w:r w:rsidR="001523D3">
        <w:rPr>
          <w:sz w:val="22"/>
          <w:szCs w:val="22"/>
        </w:rPr>
        <w:t xml:space="preserve">Report </w:t>
      </w:r>
      <w:r w:rsidR="00844876">
        <w:rPr>
          <w:sz w:val="22"/>
          <w:szCs w:val="22"/>
        </w:rPr>
        <w:t xml:space="preserve">may be served by </w:t>
      </w:r>
      <w:r w:rsidR="00844876" w:rsidRPr="00CE7E54">
        <w:rPr>
          <w:sz w:val="22"/>
          <w:szCs w:val="22"/>
        </w:rPr>
        <w:t xml:space="preserve">cable systems </w:t>
      </w:r>
      <w:r w:rsidR="00844876">
        <w:rPr>
          <w:sz w:val="22"/>
          <w:szCs w:val="22"/>
        </w:rPr>
        <w:t xml:space="preserve">not </w:t>
      </w:r>
      <w:r w:rsidR="00844876" w:rsidRPr="00CE7E54">
        <w:rPr>
          <w:sz w:val="22"/>
          <w:szCs w:val="22"/>
        </w:rPr>
        <w:t>subject to the requirement.</w:t>
      </w:r>
      <w:r w:rsidR="000E48A9">
        <w:rPr>
          <w:sz w:val="22"/>
          <w:szCs w:val="22"/>
        </w:rPr>
        <w:t xml:space="preserve">  </w:t>
      </w:r>
    </w:p>
    <w:p w:rsidR="00850BA3" w:rsidRDefault="00850BA3" w:rsidP="00280551">
      <w:pPr>
        <w:ind w:firstLine="720"/>
        <w:rPr>
          <w:sz w:val="22"/>
          <w:szCs w:val="22"/>
        </w:rPr>
      </w:pPr>
    </w:p>
    <w:p w:rsidR="000E48A9" w:rsidRDefault="00CE7E54" w:rsidP="00280551">
      <w:pPr>
        <w:ind w:firstLine="720"/>
        <w:rPr>
          <w:sz w:val="22"/>
          <w:szCs w:val="22"/>
        </w:rPr>
      </w:pPr>
      <w:r w:rsidRPr="00CE7E54">
        <w:rPr>
          <w:sz w:val="22"/>
          <w:szCs w:val="22"/>
        </w:rPr>
        <w:t xml:space="preserve">Cable systems subject to the </w:t>
      </w:r>
      <w:r w:rsidR="00117E12">
        <w:rPr>
          <w:sz w:val="22"/>
          <w:szCs w:val="22"/>
        </w:rPr>
        <w:t xml:space="preserve">FCC Form 325 </w:t>
      </w:r>
      <w:r w:rsidRPr="00CE7E54">
        <w:rPr>
          <w:sz w:val="22"/>
          <w:szCs w:val="22"/>
        </w:rPr>
        <w:t xml:space="preserve">reporting requirement provide the Commission with a list of the broadcast stations carried by each reporting system.  </w:t>
      </w:r>
      <w:r w:rsidR="00B662A1">
        <w:rPr>
          <w:sz w:val="22"/>
          <w:szCs w:val="22"/>
        </w:rPr>
        <w:t>T</w:t>
      </w:r>
      <w:r w:rsidRPr="00CE7E54">
        <w:rPr>
          <w:sz w:val="22"/>
          <w:szCs w:val="22"/>
        </w:rPr>
        <w:t xml:space="preserve">he geographic configuration of a cable system is determined by its physical system, which consists of a cable system technically integrated to a principal headend.  Cable system data </w:t>
      </w:r>
      <w:r w:rsidR="00A66C2A">
        <w:rPr>
          <w:sz w:val="22"/>
          <w:szCs w:val="22"/>
        </w:rPr>
        <w:t>are</w:t>
      </w:r>
      <w:r w:rsidRPr="00CE7E54">
        <w:rPr>
          <w:sz w:val="22"/>
          <w:szCs w:val="22"/>
        </w:rPr>
        <w:t xml:space="preserve"> provided for the entire system.  </w:t>
      </w:r>
      <w:r w:rsidR="00A66C2A">
        <w:rPr>
          <w:sz w:val="22"/>
          <w:szCs w:val="22"/>
        </w:rPr>
        <w:t>The data do</w:t>
      </w:r>
      <w:r w:rsidRPr="00CE7E54">
        <w:rPr>
          <w:sz w:val="22"/>
          <w:szCs w:val="22"/>
        </w:rPr>
        <w:t xml:space="preserve"> not correspond to census blocks, counties, DMAs, or other common geographic units and, therefore, cannot be aggregated or disaggregated to provide estimates for those geographic units or households.</w:t>
      </w:r>
      <w:r w:rsidRPr="00CE7E54">
        <w:rPr>
          <w:sz w:val="22"/>
          <w:szCs w:val="22"/>
          <w:vertAlign w:val="superscript"/>
        </w:rPr>
        <w:footnoteReference w:id="14"/>
      </w:r>
      <w:r w:rsidR="00850BA3">
        <w:rPr>
          <w:sz w:val="22"/>
          <w:szCs w:val="22"/>
        </w:rPr>
        <w:t xml:space="preserve">  Th</w:t>
      </w:r>
      <w:r w:rsidR="00B662A1">
        <w:rPr>
          <w:sz w:val="22"/>
          <w:szCs w:val="22"/>
        </w:rPr>
        <w:t>us</w:t>
      </w:r>
      <w:r w:rsidR="00850BA3">
        <w:rPr>
          <w:sz w:val="22"/>
          <w:szCs w:val="22"/>
        </w:rPr>
        <w:t xml:space="preserve">, the data cable companies provide to the Commission do not permit analysis on a comparable geographic basis to data available for over-the-air broadcast stations, DBS carriage of broadcast stations, or the Bureau of the Census household data.  </w:t>
      </w:r>
    </w:p>
    <w:p w:rsidR="000E48A9" w:rsidRDefault="000E48A9" w:rsidP="00280551">
      <w:pPr>
        <w:ind w:firstLine="720"/>
        <w:rPr>
          <w:sz w:val="22"/>
          <w:szCs w:val="22"/>
        </w:rPr>
      </w:pPr>
    </w:p>
    <w:p w:rsidR="008C0191" w:rsidRDefault="00031B9B" w:rsidP="00280551">
      <w:pPr>
        <w:ind w:firstLine="720"/>
        <w:rPr>
          <w:sz w:val="22"/>
          <w:szCs w:val="22"/>
        </w:rPr>
      </w:pPr>
      <w:r>
        <w:rPr>
          <w:sz w:val="22"/>
          <w:szCs w:val="22"/>
        </w:rPr>
        <w:t xml:space="preserve">The Commission publishes annually a cable price report, which collects a listing of broadcast stations carried by a </w:t>
      </w:r>
      <w:r w:rsidR="001E129E">
        <w:rPr>
          <w:sz w:val="22"/>
          <w:szCs w:val="22"/>
        </w:rPr>
        <w:t xml:space="preserve">random </w:t>
      </w:r>
      <w:r>
        <w:rPr>
          <w:sz w:val="22"/>
          <w:szCs w:val="22"/>
        </w:rPr>
        <w:t>sample of cable operators.</w:t>
      </w:r>
      <w:r w:rsidR="008E361C">
        <w:rPr>
          <w:rStyle w:val="FootnoteReference"/>
          <w:sz w:val="22"/>
          <w:szCs w:val="22"/>
        </w:rPr>
        <w:footnoteReference w:id="15"/>
      </w:r>
      <w:r w:rsidR="001E129E">
        <w:rPr>
          <w:sz w:val="22"/>
          <w:szCs w:val="22"/>
        </w:rPr>
        <w:t xml:space="preserve">  According to </w:t>
      </w:r>
      <w:r w:rsidR="00A66C2A">
        <w:rPr>
          <w:sz w:val="22"/>
          <w:szCs w:val="22"/>
        </w:rPr>
        <w:t xml:space="preserve">the Bureau’s </w:t>
      </w:r>
      <w:r w:rsidR="001E129E">
        <w:rPr>
          <w:sz w:val="22"/>
          <w:szCs w:val="22"/>
        </w:rPr>
        <w:t>most recent report, over 33,000 commun</w:t>
      </w:r>
      <w:r w:rsidR="00F7630C">
        <w:rPr>
          <w:sz w:val="22"/>
          <w:szCs w:val="22"/>
        </w:rPr>
        <w:t>ities are served by cable operators.</w:t>
      </w:r>
      <w:r w:rsidR="00F7630C">
        <w:rPr>
          <w:rStyle w:val="FootnoteReference"/>
          <w:sz w:val="22"/>
          <w:szCs w:val="22"/>
        </w:rPr>
        <w:footnoteReference w:id="16"/>
      </w:r>
      <w:r w:rsidR="00F7630C">
        <w:rPr>
          <w:sz w:val="22"/>
          <w:szCs w:val="22"/>
        </w:rPr>
        <w:t xml:space="preserve">  T</w:t>
      </w:r>
      <w:r w:rsidR="001E129E">
        <w:rPr>
          <w:sz w:val="22"/>
          <w:szCs w:val="22"/>
        </w:rPr>
        <w:t>he report</w:t>
      </w:r>
      <w:r w:rsidR="00F7630C">
        <w:rPr>
          <w:sz w:val="22"/>
          <w:szCs w:val="22"/>
        </w:rPr>
        <w:t>, however,</w:t>
      </w:r>
      <w:r w:rsidR="001E129E">
        <w:rPr>
          <w:sz w:val="22"/>
          <w:szCs w:val="22"/>
        </w:rPr>
        <w:t xml:space="preserve"> included information on only 800 communities</w:t>
      </w:r>
      <w:r w:rsidR="008E361C">
        <w:rPr>
          <w:sz w:val="22"/>
          <w:szCs w:val="22"/>
        </w:rPr>
        <w:t>.</w:t>
      </w:r>
      <w:r w:rsidR="00F7630C">
        <w:rPr>
          <w:rStyle w:val="FootnoteReference"/>
          <w:sz w:val="22"/>
          <w:szCs w:val="22"/>
        </w:rPr>
        <w:footnoteReference w:id="17"/>
      </w:r>
      <w:r w:rsidR="008E361C">
        <w:rPr>
          <w:sz w:val="22"/>
          <w:szCs w:val="22"/>
        </w:rPr>
        <w:t xml:space="preserve">  As such</w:t>
      </w:r>
      <w:r w:rsidR="001E129E">
        <w:rPr>
          <w:sz w:val="22"/>
          <w:szCs w:val="22"/>
        </w:rPr>
        <w:t xml:space="preserve">, </w:t>
      </w:r>
      <w:r w:rsidR="00117E12">
        <w:rPr>
          <w:sz w:val="22"/>
          <w:szCs w:val="22"/>
        </w:rPr>
        <w:t xml:space="preserve">it does not provide comprehensive data and </w:t>
      </w:r>
      <w:r w:rsidR="001E129E">
        <w:rPr>
          <w:sz w:val="22"/>
          <w:szCs w:val="22"/>
        </w:rPr>
        <w:t>many r</w:t>
      </w:r>
      <w:r w:rsidR="0097734A">
        <w:rPr>
          <w:sz w:val="22"/>
          <w:szCs w:val="22"/>
        </w:rPr>
        <w:t>ural counties of interest to the</w:t>
      </w:r>
      <w:r w:rsidR="001E129E">
        <w:rPr>
          <w:sz w:val="22"/>
          <w:szCs w:val="22"/>
        </w:rPr>
        <w:t xml:space="preserve"> STELAR </w:t>
      </w:r>
      <w:r w:rsidR="000B2C61">
        <w:rPr>
          <w:sz w:val="22"/>
          <w:szCs w:val="22"/>
        </w:rPr>
        <w:t xml:space="preserve">Section 109 </w:t>
      </w:r>
      <w:r w:rsidR="001523D3">
        <w:rPr>
          <w:sz w:val="22"/>
          <w:szCs w:val="22"/>
        </w:rPr>
        <w:t>R</w:t>
      </w:r>
      <w:r w:rsidR="001E129E">
        <w:rPr>
          <w:sz w:val="22"/>
          <w:szCs w:val="22"/>
        </w:rPr>
        <w:t xml:space="preserve">eport may be served by cable operators not included in the Commission’s cable price report.  </w:t>
      </w:r>
      <w:r w:rsidR="00844876">
        <w:rPr>
          <w:sz w:val="22"/>
          <w:szCs w:val="22"/>
        </w:rPr>
        <w:t>We seek comment on the availability of other more comprehensive data sources that might be available to the Commission to perform the required analysis.</w:t>
      </w:r>
    </w:p>
    <w:p w:rsidR="00F0493A" w:rsidRDefault="00F0493A" w:rsidP="00280551">
      <w:pPr>
        <w:ind w:firstLine="720"/>
        <w:rPr>
          <w:sz w:val="22"/>
          <w:szCs w:val="22"/>
        </w:rPr>
      </w:pPr>
    </w:p>
    <w:p w:rsidR="007B6912" w:rsidRDefault="00844876" w:rsidP="007B6912">
      <w:pPr>
        <w:ind w:firstLine="720"/>
        <w:rPr>
          <w:sz w:val="22"/>
          <w:szCs w:val="22"/>
        </w:rPr>
      </w:pPr>
      <w:r>
        <w:rPr>
          <w:sz w:val="22"/>
          <w:szCs w:val="22"/>
        </w:rPr>
        <w:t>In the absence of comprehensive data, we propose including c</w:t>
      </w:r>
      <w:r w:rsidRPr="00CE7E54">
        <w:rPr>
          <w:sz w:val="22"/>
          <w:szCs w:val="22"/>
        </w:rPr>
        <w:t xml:space="preserve">ase studies for specific </w:t>
      </w:r>
      <w:r>
        <w:rPr>
          <w:sz w:val="22"/>
          <w:szCs w:val="22"/>
        </w:rPr>
        <w:t xml:space="preserve">counties where </w:t>
      </w:r>
      <w:r w:rsidRPr="00CE7E54">
        <w:rPr>
          <w:sz w:val="22"/>
          <w:szCs w:val="22"/>
        </w:rPr>
        <w:t>comm</w:t>
      </w:r>
      <w:r>
        <w:rPr>
          <w:sz w:val="22"/>
          <w:szCs w:val="22"/>
        </w:rPr>
        <w:t xml:space="preserve">enters have indicated a lack of local programming.  </w:t>
      </w:r>
      <w:r w:rsidR="00C20BA7" w:rsidRPr="00C20BA7">
        <w:rPr>
          <w:sz w:val="22"/>
          <w:szCs w:val="22"/>
        </w:rPr>
        <w:t xml:space="preserve">In 2011, pursuant to STELA, </w:t>
      </w:r>
      <w:r w:rsidR="00DC7F8C">
        <w:rPr>
          <w:sz w:val="22"/>
          <w:szCs w:val="22"/>
        </w:rPr>
        <w:t>the Bureau</w:t>
      </w:r>
      <w:r w:rsidR="00C20BA7">
        <w:rPr>
          <w:sz w:val="22"/>
          <w:szCs w:val="22"/>
        </w:rPr>
        <w:t xml:space="preserve"> undertook a number of case studies for </w:t>
      </w:r>
      <w:r w:rsidR="007B6912" w:rsidRPr="007B6912">
        <w:rPr>
          <w:sz w:val="22"/>
          <w:szCs w:val="22"/>
        </w:rPr>
        <w:t xml:space="preserve">specific counties in which commenters </w:t>
      </w:r>
      <w:r w:rsidR="00C20BA7">
        <w:rPr>
          <w:sz w:val="22"/>
          <w:szCs w:val="22"/>
        </w:rPr>
        <w:t>indicated a lack of in-S</w:t>
      </w:r>
      <w:r w:rsidR="007B6912" w:rsidRPr="007B6912">
        <w:rPr>
          <w:sz w:val="22"/>
          <w:szCs w:val="22"/>
        </w:rPr>
        <w:t>tate broadcast programming.</w:t>
      </w:r>
      <w:r w:rsidR="00C20BA7" w:rsidRPr="00C20BA7">
        <w:rPr>
          <w:sz w:val="22"/>
          <w:szCs w:val="22"/>
          <w:vertAlign w:val="superscript"/>
        </w:rPr>
        <w:footnoteReference w:id="18"/>
      </w:r>
      <w:r w:rsidR="007B6912" w:rsidRPr="007B6912">
        <w:rPr>
          <w:sz w:val="22"/>
          <w:szCs w:val="22"/>
        </w:rPr>
        <w:t xml:space="preserve">  For each case, </w:t>
      </w:r>
      <w:r w:rsidR="00DC7F8C">
        <w:rPr>
          <w:sz w:val="22"/>
          <w:szCs w:val="22"/>
        </w:rPr>
        <w:t>the Bureau</w:t>
      </w:r>
      <w:r w:rsidR="007B6912" w:rsidRPr="007B6912">
        <w:rPr>
          <w:sz w:val="22"/>
          <w:szCs w:val="22"/>
        </w:rPr>
        <w:t xml:space="preserve"> examine</w:t>
      </w:r>
      <w:r w:rsidR="00C20BA7">
        <w:rPr>
          <w:sz w:val="22"/>
          <w:szCs w:val="22"/>
        </w:rPr>
        <w:t>d</w:t>
      </w:r>
      <w:r w:rsidR="007B6912" w:rsidRPr="007B6912">
        <w:rPr>
          <w:sz w:val="22"/>
          <w:szCs w:val="22"/>
        </w:rPr>
        <w:t xml:space="preserve"> the</w:t>
      </w:r>
      <w:r w:rsidR="00C20BA7">
        <w:rPr>
          <w:sz w:val="22"/>
          <w:szCs w:val="22"/>
        </w:rPr>
        <w:t xml:space="preserve"> extent to which consumers had access to in-S</w:t>
      </w:r>
      <w:r w:rsidR="007B6912" w:rsidRPr="007B6912">
        <w:rPr>
          <w:sz w:val="22"/>
          <w:szCs w:val="22"/>
        </w:rPr>
        <w:t>tate programming ove</w:t>
      </w:r>
      <w:r w:rsidR="00DC7F8C">
        <w:rPr>
          <w:sz w:val="22"/>
          <w:szCs w:val="22"/>
        </w:rPr>
        <w:t>r the air, from cable operators</w:t>
      </w:r>
      <w:r w:rsidR="007B6912" w:rsidRPr="007B6912">
        <w:rPr>
          <w:sz w:val="22"/>
          <w:szCs w:val="22"/>
        </w:rPr>
        <w:t xml:space="preserve"> and from DBS operators on a county basi</w:t>
      </w:r>
      <w:r w:rsidR="00C20BA7">
        <w:rPr>
          <w:sz w:val="22"/>
          <w:szCs w:val="22"/>
        </w:rPr>
        <w:t xml:space="preserve">s within each relevant DMA.  </w:t>
      </w:r>
      <w:r w:rsidR="00DC7F8C">
        <w:rPr>
          <w:sz w:val="22"/>
          <w:szCs w:val="22"/>
        </w:rPr>
        <w:t>The Bureau</w:t>
      </w:r>
      <w:r w:rsidR="007B6912" w:rsidRPr="007B6912">
        <w:rPr>
          <w:sz w:val="22"/>
          <w:szCs w:val="22"/>
        </w:rPr>
        <w:t xml:space="preserve"> describe</w:t>
      </w:r>
      <w:r w:rsidR="00C20BA7">
        <w:rPr>
          <w:sz w:val="22"/>
          <w:szCs w:val="22"/>
        </w:rPr>
        <w:t>d the availability of in-S</w:t>
      </w:r>
      <w:r w:rsidR="007B6912" w:rsidRPr="007B6912">
        <w:rPr>
          <w:sz w:val="22"/>
          <w:szCs w:val="22"/>
        </w:rPr>
        <w:t>tate broadcast stations and the carriage of in-</w:t>
      </w:r>
      <w:r w:rsidR="00C20BA7">
        <w:rPr>
          <w:sz w:val="22"/>
          <w:szCs w:val="22"/>
        </w:rPr>
        <w:t>S</w:t>
      </w:r>
      <w:r w:rsidR="007B6912" w:rsidRPr="007B6912">
        <w:rPr>
          <w:sz w:val="22"/>
          <w:szCs w:val="22"/>
        </w:rPr>
        <w:t>tate stations by DBS operators and c</w:t>
      </w:r>
      <w:r w:rsidR="00C20BA7">
        <w:rPr>
          <w:sz w:val="22"/>
          <w:szCs w:val="22"/>
        </w:rPr>
        <w:t xml:space="preserve">able systems.  </w:t>
      </w:r>
      <w:r w:rsidR="00585617">
        <w:rPr>
          <w:sz w:val="22"/>
          <w:szCs w:val="22"/>
        </w:rPr>
        <w:t xml:space="preserve">For cable system information, </w:t>
      </w:r>
      <w:r w:rsidR="00DC7F8C">
        <w:rPr>
          <w:sz w:val="22"/>
          <w:szCs w:val="22"/>
        </w:rPr>
        <w:t>the Bureau</w:t>
      </w:r>
      <w:r w:rsidR="00585617">
        <w:rPr>
          <w:sz w:val="22"/>
          <w:szCs w:val="22"/>
        </w:rPr>
        <w:t xml:space="preserve"> </w:t>
      </w:r>
      <w:r w:rsidR="007B6912" w:rsidRPr="007B6912">
        <w:rPr>
          <w:sz w:val="22"/>
          <w:szCs w:val="22"/>
        </w:rPr>
        <w:t>identified the cable systems in the counties and communities under study using the Commission's Cable Operations and Licensing System.  T</w:t>
      </w:r>
      <w:r w:rsidR="00585617">
        <w:rPr>
          <w:sz w:val="22"/>
          <w:szCs w:val="22"/>
        </w:rPr>
        <w:t>o determine the carriage of in-S</w:t>
      </w:r>
      <w:r w:rsidR="007B6912" w:rsidRPr="007B6912">
        <w:rPr>
          <w:sz w:val="22"/>
          <w:szCs w:val="22"/>
        </w:rPr>
        <w:t xml:space="preserve">tate broadcast stations, </w:t>
      </w:r>
      <w:r w:rsidR="00DC7F8C">
        <w:rPr>
          <w:sz w:val="22"/>
          <w:szCs w:val="22"/>
        </w:rPr>
        <w:t>the Bureau</w:t>
      </w:r>
      <w:r w:rsidR="007B6912" w:rsidRPr="007B6912">
        <w:rPr>
          <w:sz w:val="22"/>
          <w:szCs w:val="22"/>
        </w:rPr>
        <w:t xml:space="preserve"> used cable operators’ 2010 FCC Form 325 sub</w:t>
      </w:r>
      <w:r w:rsidR="00585617">
        <w:rPr>
          <w:sz w:val="22"/>
          <w:szCs w:val="22"/>
        </w:rPr>
        <w:t>missions, to the extent they were</w:t>
      </w:r>
      <w:r w:rsidR="007B6912" w:rsidRPr="007B6912">
        <w:rPr>
          <w:sz w:val="22"/>
          <w:szCs w:val="22"/>
        </w:rPr>
        <w:t xml:space="preserve"> available, and publicly available information, including the Warren Television &amp; Cable Factbook data and the websites of individual cable systems.</w:t>
      </w:r>
      <w:r w:rsidR="007B6912" w:rsidRPr="007B6912">
        <w:rPr>
          <w:sz w:val="22"/>
          <w:szCs w:val="22"/>
          <w:vertAlign w:val="superscript"/>
        </w:rPr>
        <w:footnoteReference w:id="19"/>
      </w:r>
      <w:r w:rsidR="007B6912" w:rsidRPr="007B6912">
        <w:rPr>
          <w:sz w:val="22"/>
          <w:szCs w:val="22"/>
        </w:rPr>
        <w:t xml:space="preserve">  </w:t>
      </w:r>
    </w:p>
    <w:p w:rsidR="00F7630C" w:rsidRDefault="00F7630C" w:rsidP="007B6912">
      <w:pPr>
        <w:ind w:firstLine="720"/>
        <w:rPr>
          <w:sz w:val="22"/>
          <w:szCs w:val="22"/>
        </w:rPr>
      </w:pPr>
    </w:p>
    <w:p w:rsidR="007B6912" w:rsidRDefault="00004465" w:rsidP="00004465">
      <w:pPr>
        <w:ind w:firstLine="720"/>
        <w:rPr>
          <w:sz w:val="22"/>
          <w:szCs w:val="22"/>
        </w:rPr>
      </w:pPr>
      <w:r>
        <w:rPr>
          <w:sz w:val="22"/>
          <w:szCs w:val="22"/>
        </w:rPr>
        <w:t>For each case study</w:t>
      </w:r>
      <w:r w:rsidR="00844876">
        <w:rPr>
          <w:sz w:val="22"/>
          <w:szCs w:val="22"/>
        </w:rPr>
        <w:t xml:space="preserve"> for the STELAR </w:t>
      </w:r>
      <w:r w:rsidR="000B2C61">
        <w:rPr>
          <w:sz w:val="22"/>
          <w:szCs w:val="22"/>
        </w:rPr>
        <w:t xml:space="preserve">Section 109 </w:t>
      </w:r>
      <w:r w:rsidR="00844876">
        <w:rPr>
          <w:sz w:val="22"/>
          <w:szCs w:val="22"/>
        </w:rPr>
        <w:t>Report</w:t>
      </w:r>
      <w:r w:rsidR="00F7630C" w:rsidRPr="00CE7E54">
        <w:rPr>
          <w:sz w:val="22"/>
          <w:szCs w:val="22"/>
        </w:rPr>
        <w:t xml:space="preserve">, we </w:t>
      </w:r>
      <w:r w:rsidR="00844876">
        <w:rPr>
          <w:sz w:val="22"/>
          <w:szCs w:val="22"/>
        </w:rPr>
        <w:t xml:space="preserve">propose to </w:t>
      </w:r>
      <w:r w:rsidR="00F7630C">
        <w:rPr>
          <w:sz w:val="22"/>
          <w:szCs w:val="22"/>
        </w:rPr>
        <w:t>examine</w:t>
      </w:r>
      <w:r w:rsidR="00F47DA8">
        <w:rPr>
          <w:sz w:val="22"/>
          <w:szCs w:val="22"/>
        </w:rPr>
        <w:t>, using the best available information,</w:t>
      </w:r>
      <w:r w:rsidR="00F7630C">
        <w:rPr>
          <w:sz w:val="22"/>
          <w:szCs w:val="22"/>
        </w:rPr>
        <w:t xml:space="preserve"> </w:t>
      </w:r>
      <w:r w:rsidR="00F7630C" w:rsidRPr="00CE7E54">
        <w:rPr>
          <w:sz w:val="22"/>
          <w:szCs w:val="22"/>
        </w:rPr>
        <w:t xml:space="preserve">the extent to which consumers have access to </w:t>
      </w:r>
      <w:r w:rsidR="00F7630C">
        <w:rPr>
          <w:sz w:val="22"/>
          <w:szCs w:val="22"/>
        </w:rPr>
        <w:t xml:space="preserve">out-of-market broadcast </w:t>
      </w:r>
      <w:r w:rsidR="00F7630C" w:rsidRPr="00CE7E54">
        <w:rPr>
          <w:sz w:val="22"/>
          <w:szCs w:val="22"/>
        </w:rPr>
        <w:t>progr</w:t>
      </w:r>
      <w:r w:rsidR="00F7630C">
        <w:rPr>
          <w:sz w:val="22"/>
          <w:szCs w:val="22"/>
        </w:rPr>
        <w:t xml:space="preserve">amming from DBS, cable, and telephone MVPDs, and over the air.  We seek comment on the use of case studies for our report.  </w:t>
      </w:r>
      <w:r>
        <w:rPr>
          <w:sz w:val="22"/>
          <w:szCs w:val="22"/>
        </w:rPr>
        <w:t xml:space="preserve">Is there a better approach to case studies?  </w:t>
      </w:r>
      <w:r w:rsidR="007B6912">
        <w:rPr>
          <w:sz w:val="22"/>
          <w:szCs w:val="22"/>
        </w:rPr>
        <w:t>We seek data, information, and comment for the analysis of cable and telephone MVPD carriage of out-of-market broadcast stations.</w:t>
      </w:r>
    </w:p>
    <w:p w:rsidR="00706EF0" w:rsidRDefault="00706EF0" w:rsidP="00004465">
      <w:pPr>
        <w:rPr>
          <w:sz w:val="22"/>
          <w:szCs w:val="22"/>
        </w:rPr>
      </w:pPr>
    </w:p>
    <w:p w:rsidR="009068FD" w:rsidRDefault="007B6912" w:rsidP="00856B3D">
      <w:pPr>
        <w:ind w:firstLine="720"/>
        <w:rPr>
          <w:sz w:val="22"/>
          <w:szCs w:val="22"/>
        </w:rPr>
      </w:pPr>
      <w:r>
        <w:rPr>
          <w:sz w:val="22"/>
          <w:szCs w:val="22"/>
        </w:rPr>
        <w:t>O</w:t>
      </w:r>
      <w:r w:rsidR="0033020E">
        <w:rPr>
          <w:sz w:val="22"/>
          <w:szCs w:val="22"/>
        </w:rPr>
        <w:t>ut-of-market b</w:t>
      </w:r>
      <w:r w:rsidR="009068FD">
        <w:rPr>
          <w:sz w:val="22"/>
          <w:szCs w:val="22"/>
        </w:rPr>
        <w:t xml:space="preserve">roadcast stations may </w:t>
      </w:r>
      <w:r w:rsidR="0033020E">
        <w:rPr>
          <w:sz w:val="22"/>
          <w:szCs w:val="22"/>
        </w:rPr>
        <w:t xml:space="preserve">provide multiple programming streams.  </w:t>
      </w:r>
      <w:r w:rsidR="007C47D8">
        <w:rPr>
          <w:sz w:val="22"/>
          <w:szCs w:val="22"/>
        </w:rPr>
        <w:t xml:space="preserve">Should </w:t>
      </w:r>
      <w:r w:rsidR="00180DC6">
        <w:rPr>
          <w:sz w:val="22"/>
          <w:szCs w:val="22"/>
        </w:rPr>
        <w:t xml:space="preserve">the STELAR Section 109 Report </w:t>
      </w:r>
      <w:r w:rsidR="009068FD">
        <w:rPr>
          <w:sz w:val="22"/>
          <w:szCs w:val="22"/>
        </w:rPr>
        <w:t>include all out-of-market broadcast programming</w:t>
      </w:r>
      <w:r w:rsidR="007C47D8">
        <w:rPr>
          <w:sz w:val="22"/>
          <w:szCs w:val="22"/>
        </w:rPr>
        <w:t>?</w:t>
      </w:r>
      <w:r w:rsidR="009068FD">
        <w:rPr>
          <w:sz w:val="22"/>
          <w:szCs w:val="22"/>
        </w:rPr>
        <w:t xml:space="preserve"> </w:t>
      </w:r>
      <w:r w:rsidR="007C47D8">
        <w:rPr>
          <w:sz w:val="22"/>
          <w:szCs w:val="22"/>
        </w:rPr>
        <w:t xml:space="preserve"> We </w:t>
      </w:r>
      <w:r w:rsidR="009068FD">
        <w:rPr>
          <w:sz w:val="22"/>
          <w:szCs w:val="22"/>
        </w:rPr>
        <w:t>seek comment on the appropriate methodologies and th</w:t>
      </w:r>
      <w:r w:rsidR="007C47D8">
        <w:rPr>
          <w:sz w:val="22"/>
          <w:szCs w:val="22"/>
        </w:rPr>
        <w:t xml:space="preserve">e availability of </w:t>
      </w:r>
      <w:r w:rsidR="009068FD">
        <w:rPr>
          <w:sz w:val="22"/>
          <w:szCs w:val="22"/>
        </w:rPr>
        <w:t xml:space="preserve">data for including </w:t>
      </w:r>
      <w:r w:rsidR="0033020E">
        <w:rPr>
          <w:sz w:val="22"/>
          <w:szCs w:val="22"/>
        </w:rPr>
        <w:t xml:space="preserve">multiple </w:t>
      </w:r>
      <w:r w:rsidR="009068FD">
        <w:rPr>
          <w:sz w:val="22"/>
          <w:szCs w:val="22"/>
        </w:rPr>
        <w:t xml:space="preserve">programming </w:t>
      </w:r>
      <w:r w:rsidR="00180DC6">
        <w:rPr>
          <w:sz w:val="22"/>
          <w:szCs w:val="22"/>
        </w:rPr>
        <w:t>steams</w:t>
      </w:r>
      <w:r w:rsidR="009068FD">
        <w:rPr>
          <w:sz w:val="22"/>
          <w:szCs w:val="22"/>
        </w:rPr>
        <w:t xml:space="preserve">.  </w:t>
      </w:r>
      <w:r>
        <w:rPr>
          <w:sz w:val="22"/>
          <w:szCs w:val="22"/>
        </w:rPr>
        <w:t>A</w:t>
      </w:r>
      <w:r w:rsidR="006573DB">
        <w:rPr>
          <w:sz w:val="22"/>
          <w:szCs w:val="22"/>
        </w:rPr>
        <w:t xml:space="preserve">re there other mechanisms for carriage that </w:t>
      </w:r>
      <w:r w:rsidR="00180DC6">
        <w:rPr>
          <w:sz w:val="22"/>
          <w:szCs w:val="22"/>
        </w:rPr>
        <w:t xml:space="preserve">we should include </w:t>
      </w:r>
      <w:r w:rsidR="006573DB">
        <w:rPr>
          <w:sz w:val="22"/>
          <w:szCs w:val="22"/>
        </w:rPr>
        <w:t>(</w:t>
      </w:r>
      <w:r w:rsidR="006573DB" w:rsidRPr="00B66F73">
        <w:rPr>
          <w:i/>
          <w:sz w:val="22"/>
          <w:szCs w:val="22"/>
        </w:rPr>
        <w:t>e.g.</w:t>
      </w:r>
      <w:r w:rsidR="006573DB">
        <w:rPr>
          <w:sz w:val="22"/>
          <w:szCs w:val="22"/>
        </w:rPr>
        <w:t>,</w:t>
      </w:r>
      <w:r w:rsidR="00E51E39">
        <w:rPr>
          <w:sz w:val="22"/>
          <w:szCs w:val="22"/>
        </w:rPr>
        <w:t xml:space="preserve"> </w:t>
      </w:r>
      <w:r w:rsidR="006573DB">
        <w:rPr>
          <w:sz w:val="22"/>
          <w:szCs w:val="22"/>
        </w:rPr>
        <w:t xml:space="preserve">online access to broadcast programming)?  Commenters are asked to consider these </w:t>
      </w:r>
      <w:r>
        <w:rPr>
          <w:sz w:val="22"/>
          <w:szCs w:val="22"/>
        </w:rPr>
        <w:t>issues</w:t>
      </w:r>
      <w:r w:rsidR="006573DB">
        <w:rPr>
          <w:sz w:val="22"/>
          <w:szCs w:val="22"/>
        </w:rPr>
        <w:t xml:space="preserve"> and to provide any additional suggestions and data for the quantitative analysis required for this Report.</w:t>
      </w:r>
    </w:p>
    <w:p w:rsidR="009068FD" w:rsidRDefault="009068FD" w:rsidP="00856B3D">
      <w:pPr>
        <w:ind w:firstLine="720"/>
        <w:rPr>
          <w:sz w:val="22"/>
          <w:szCs w:val="22"/>
        </w:rPr>
      </w:pPr>
    </w:p>
    <w:p w:rsidR="00616C9B" w:rsidRPr="001320B1" w:rsidRDefault="00CB724C" w:rsidP="0083746A">
      <w:pPr>
        <w:rPr>
          <w:b/>
          <w:sz w:val="22"/>
          <w:szCs w:val="22"/>
          <w:u w:val="single"/>
        </w:rPr>
      </w:pPr>
      <w:r>
        <w:rPr>
          <w:b/>
          <w:sz w:val="22"/>
          <w:szCs w:val="22"/>
          <w:u w:val="single"/>
        </w:rPr>
        <w:t xml:space="preserve">Alternatives and </w:t>
      </w:r>
      <w:r w:rsidR="00D266BF">
        <w:rPr>
          <w:b/>
          <w:sz w:val="22"/>
          <w:szCs w:val="22"/>
          <w:u w:val="single"/>
        </w:rPr>
        <w:t xml:space="preserve">Recommendations -- </w:t>
      </w:r>
      <w:r w:rsidR="00616C9B" w:rsidRPr="001320B1">
        <w:rPr>
          <w:b/>
          <w:sz w:val="22"/>
          <w:szCs w:val="22"/>
          <w:u w:val="single"/>
        </w:rPr>
        <w:t>Section</w:t>
      </w:r>
      <w:r w:rsidR="00D266BF">
        <w:rPr>
          <w:b/>
          <w:sz w:val="22"/>
          <w:szCs w:val="22"/>
          <w:u w:val="single"/>
        </w:rPr>
        <w:t>s</w:t>
      </w:r>
      <w:r w:rsidR="00616C9B" w:rsidRPr="001320B1">
        <w:rPr>
          <w:b/>
          <w:sz w:val="22"/>
          <w:szCs w:val="22"/>
          <w:u w:val="single"/>
        </w:rPr>
        <w:t xml:space="preserve"> 109(a)(1)(B)</w:t>
      </w:r>
      <w:r w:rsidR="00D266BF">
        <w:rPr>
          <w:b/>
          <w:sz w:val="22"/>
          <w:szCs w:val="22"/>
          <w:u w:val="single"/>
        </w:rPr>
        <w:t>, (a)(2)</w:t>
      </w:r>
      <w:r>
        <w:rPr>
          <w:b/>
          <w:sz w:val="22"/>
          <w:szCs w:val="22"/>
          <w:u w:val="single"/>
        </w:rPr>
        <w:t>,</w:t>
      </w:r>
      <w:r w:rsidR="00D266BF">
        <w:rPr>
          <w:b/>
          <w:sz w:val="22"/>
          <w:szCs w:val="22"/>
          <w:u w:val="single"/>
        </w:rPr>
        <w:t xml:space="preserve"> and (b)</w:t>
      </w:r>
    </w:p>
    <w:p w:rsidR="00616C9B" w:rsidRDefault="00616C9B" w:rsidP="0083746A">
      <w:pPr>
        <w:rPr>
          <w:sz w:val="22"/>
          <w:szCs w:val="22"/>
        </w:rPr>
      </w:pPr>
    </w:p>
    <w:p w:rsidR="00D266BF" w:rsidRDefault="00616C9B" w:rsidP="00D266BF">
      <w:pPr>
        <w:rPr>
          <w:rFonts w:eastAsiaTheme="minorHAnsi"/>
          <w:sz w:val="22"/>
          <w:szCs w:val="22"/>
        </w:rPr>
      </w:pPr>
      <w:r>
        <w:rPr>
          <w:sz w:val="22"/>
          <w:szCs w:val="22"/>
        </w:rPr>
        <w:tab/>
        <w:t>Section</w:t>
      </w:r>
      <w:r w:rsidR="00D266BF">
        <w:rPr>
          <w:sz w:val="22"/>
          <w:szCs w:val="22"/>
        </w:rPr>
        <w:t>s</w:t>
      </w:r>
      <w:r>
        <w:rPr>
          <w:sz w:val="22"/>
          <w:szCs w:val="22"/>
        </w:rPr>
        <w:t xml:space="preserve"> 109(a)(1)(B)</w:t>
      </w:r>
      <w:r w:rsidR="00D266BF">
        <w:rPr>
          <w:sz w:val="22"/>
          <w:szCs w:val="22"/>
        </w:rPr>
        <w:t>, (a)(2)</w:t>
      </w:r>
      <w:r w:rsidR="00CB724C">
        <w:rPr>
          <w:sz w:val="22"/>
          <w:szCs w:val="22"/>
        </w:rPr>
        <w:t>,</w:t>
      </w:r>
      <w:r w:rsidR="00D266BF">
        <w:rPr>
          <w:sz w:val="22"/>
          <w:szCs w:val="22"/>
        </w:rPr>
        <w:t xml:space="preserve"> and (b) require the Commission to </w:t>
      </w:r>
      <w:r w:rsidR="00CB724C">
        <w:rPr>
          <w:sz w:val="22"/>
          <w:szCs w:val="22"/>
        </w:rPr>
        <w:t xml:space="preserve">analyze alternatives to the use of DMAs to define markets and to </w:t>
      </w:r>
      <w:r w:rsidR="00D266BF">
        <w:rPr>
          <w:sz w:val="22"/>
          <w:szCs w:val="22"/>
        </w:rPr>
        <w:t xml:space="preserve">make recommendations </w:t>
      </w:r>
      <w:r w:rsidR="00CB724C">
        <w:rPr>
          <w:sz w:val="22"/>
          <w:szCs w:val="22"/>
        </w:rPr>
        <w:t>on how to foster increased localism in counties served by out-of State DMAs taking into account a number of factors.</w:t>
      </w:r>
      <w:r w:rsidR="00D266BF">
        <w:rPr>
          <w:sz w:val="22"/>
          <w:szCs w:val="22"/>
        </w:rPr>
        <w:t xml:space="preserve">  S</w:t>
      </w:r>
      <w:r w:rsidR="00CB724C">
        <w:rPr>
          <w:sz w:val="22"/>
          <w:szCs w:val="22"/>
        </w:rPr>
        <w:t>pecifically, S</w:t>
      </w:r>
      <w:r w:rsidR="00D266BF">
        <w:rPr>
          <w:sz w:val="22"/>
          <w:szCs w:val="22"/>
        </w:rPr>
        <w:t>ection 109(a)(1)</w:t>
      </w:r>
      <w:r w:rsidR="00E51E39">
        <w:rPr>
          <w:sz w:val="22"/>
          <w:szCs w:val="22"/>
        </w:rPr>
        <w:t xml:space="preserve">(B) </w:t>
      </w:r>
      <w:r>
        <w:rPr>
          <w:sz w:val="22"/>
          <w:szCs w:val="22"/>
        </w:rPr>
        <w:t xml:space="preserve">requires the Commission to analyze </w:t>
      </w:r>
      <w:r w:rsidRPr="00EC6DC8">
        <w:rPr>
          <w:rFonts w:eastAsiaTheme="minorHAnsi"/>
          <w:sz w:val="22"/>
          <w:szCs w:val="22"/>
        </w:rPr>
        <w:t>whether there are technologically and economically feasible alternatives to the use of designated market areas to define markets that would provide consumers with more programming options and the potential impact such alternatives could have on localism and on broadcast television locally, regionally, and nationally</w:t>
      </w:r>
      <w:r w:rsidR="00154AC4">
        <w:rPr>
          <w:rFonts w:eastAsiaTheme="minorHAnsi"/>
          <w:sz w:val="22"/>
          <w:szCs w:val="22"/>
        </w:rPr>
        <w:t>.</w:t>
      </w:r>
      <w:r w:rsidR="004F329F">
        <w:rPr>
          <w:rStyle w:val="FootnoteReference"/>
          <w:sz w:val="22"/>
          <w:szCs w:val="22"/>
        </w:rPr>
        <w:footnoteReference w:id="20"/>
      </w:r>
      <w:r w:rsidR="00696EB6">
        <w:rPr>
          <w:sz w:val="22"/>
          <w:szCs w:val="22"/>
        </w:rPr>
        <w:t xml:space="preserve"> </w:t>
      </w:r>
      <w:r w:rsidR="00D266BF">
        <w:rPr>
          <w:sz w:val="22"/>
          <w:szCs w:val="22"/>
        </w:rPr>
        <w:t xml:space="preserve"> Section 109(a)(2) requires the Commission to make </w:t>
      </w:r>
      <w:r w:rsidR="00D266BF" w:rsidRPr="00EC6DC8">
        <w:rPr>
          <w:rFonts w:eastAsiaTheme="minorHAnsi"/>
          <w:sz w:val="22"/>
          <w:szCs w:val="22"/>
        </w:rPr>
        <w:t>recommendations on how to foster increased localism in counties served by out-of-State designated market areas.</w:t>
      </w:r>
      <w:r w:rsidR="00D266BF">
        <w:rPr>
          <w:rFonts w:eastAsiaTheme="minorHAnsi"/>
          <w:sz w:val="22"/>
          <w:szCs w:val="22"/>
        </w:rPr>
        <w:t xml:space="preserve">  </w:t>
      </w:r>
      <w:r w:rsidR="00D266BF">
        <w:rPr>
          <w:sz w:val="22"/>
          <w:szCs w:val="22"/>
        </w:rPr>
        <w:t xml:space="preserve">Section 109(b) </w:t>
      </w:r>
      <w:r w:rsidR="001F027F">
        <w:rPr>
          <w:sz w:val="22"/>
          <w:szCs w:val="22"/>
        </w:rPr>
        <w:t xml:space="preserve">directs </w:t>
      </w:r>
      <w:r w:rsidR="00D266BF">
        <w:rPr>
          <w:sz w:val="22"/>
          <w:szCs w:val="22"/>
        </w:rPr>
        <w:t>the Commission to consider</w:t>
      </w:r>
      <w:r w:rsidR="001F027F">
        <w:rPr>
          <w:sz w:val="22"/>
          <w:szCs w:val="22"/>
        </w:rPr>
        <w:t xml:space="preserve"> three enumerated factors related to the impact of DMAs on access to local programming when making its recommendations</w:t>
      </w:r>
      <w:r w:rsidR="00E51E39">
        <w:rPr>
          <w:sz w:val="22"/>
          <w:szCs w:val="22"/>
        </w:rPr>
        <w:t xml:space="preserve">.  </w:t>
      </w:r>
    </w:p>
    <w:p w:rsidR="00D266BF" w:rsidRDefault="00D266BF" w:rsidP="00B266B3">
      <w:pPr>
        <w:rPr>
          <w:sz w:val="22"/>
          <w:szCs w:val="22"/>
        </w:rPr>
      </w:pPr>
    </w:p>
    <w:p w:rsidR="00F8778A" w:rsidRDefault="00CB724C" w:rsidP="00B266B3">
      <w:pPr>
        <w:rPr>
          <w:sz w:val="22"/>
          <w:szCs w:val="22"/>
        </w:rPr>
      </w:pPr>
      <w:r>
        <w:rPr>
          <w:sz w:val="22"/>
          <w:szCs w:val="22"/>
        </w:rPr>
        <w:tab/>
        <w:t>We ask commenters to provide suggested alternatives to the use of DMAs to define market areas</w:t>
      </w:r>
      <w:r w:rsidR="007C11DE">
        <w:rPr>
          <w:sz w:val="22"/>
          <w:szCs w:val="22"/>
        </w:rPr>
        <w:t>, pursuant to Section 109(a)(1)(B)</w:t>
      </w:r>
      <w:r>
        <w:rPr>
          <w:sz w:val="22"/>
          <w:szCs w:val="22"/>
        </w:rPr>
        <w:t>.</w:t>
      </w:r>
      <w:r>
        <w:rPr>
          <w:rStyle w:val="FootnoteReference"/>
          <w:sz w:val="22"/>
          <w:szCs w:val="22"/>
        </w:rPr>
        <w:footnoteReference w:id="21"/>
      </w:r>
      <w:r w:rsidR="00796528">
        <w:rPr>
          <w:sz w:val="22"/>
          <w:szCs w:val="22"/>
        </w:rPr>
        <w:t xml:space="preserve">  For each alternative, we request that commenters explain how the alternative would provide consumers with more programming options and what the impact would be on localism and </w:t>
      </w:r>
      <w:r w:rsidR="007C11DE">
        <w:rPr>
          <w:sz w:val="22"/>
          <w:szCs w:val="22"/>
        </w:rPr>
        <w:t xml:space="preserve">on </w:t>
      </w:r>
      <w:r w:rsidR="00796528">
        <w:rPr>
          <w:sz w:val="22"/>
          <w:szCs w:val="22"/>
        </w:rPr>
        <w:t xml:space="preserve">broadcast television locally, regionally and nationally.  </w:t>
      </w:r>
      <w:r w:rsidR="0023331D">
        <w:rPr>
          <w:sz w:val="22"/>
          <w:szCs w:val="22"/>
        </w:rPr>
        <w:t>What specific programming options should we consider in our analysis</w:t>
      </w:r>
      <w:r w:rsidR="00796528">
        <w:rPr>
          <w:sz w:val="22"/>
          <w:szCs w:val="22"/>
        </w:rPr>
        <w:t xml:space="preserve">?  </w:t>
      </w:r>
      <w:r w:rsidR="00616C46">
        <w:rPr>
          <w:sz w:val="22"/>
          <w:szCs w:val="22"/>
        </w:rPr>
        <w:t xml:space="preserve">For instance, should </w:t>
      </w:r>
      <w:r w:rsidR="00796528">
        <w:rPr>
          <w:sz w:val="22"/>
          <w:szCs w:val="22"/>
        </w:rPr>
        <w:t xml:space="preserve">we consider </w:t>
      </w:r>
      <w:r w:rsidR="00395218">
        <w:rPr>
          <w:sz w:val="22"/>
          <w:szCs w:val="22"/>
        </w:rPr>
        <w:t xml:space="preserve">news, sports, </w:t>
      </w:r>
      <w:r w:rsidR="00796528">
        <w:rPr>
          <w:sz w:val="22"/>
          <w:szCs w:val="22"/>
        </w:rPr>
        <w:t xml:space="preserve">weather, </w:t>
      </w:r>
      <w:r w:rsidR="00395218">
        <w:rPr>
          <w:sz w:val="22"/>
          <w:szCs w:val="22"/>
        </w:rPr>
        <w:t>cover</w:t>
      </w:r>
      <w:r w:rsidR="00FE0E90">
        <w:rPr>
          <w:sz w:val="22"/>
          <w:szCs w:val="22"/>
        </w:rPr>
        <w:t>age of S</w:t>
      </w:r>
      <w:r w:rsidR="0057013B">
        <w:rPr>
          <w:sz w:val="22"/>
          <w:szCs w:val="22"/>
        </w:rPr>
        <w:t xml:space="preserve">tate-level </w:t>
      </w:r>
      <w:r w:rsidR="007C637D">
        <w:rPr>
          <w:sz w:val="22"/>
          <w:szCs w:val="22"/>
        </w:rPr>
        <w:t>politics and government</w:t>
      </w:r>
      <w:r w:rsidR="00796528">
        <w:rPr>
          <w:sz w:val="22"/>
          <w:szCs w:val="22"/>
        </w:rPr>
        <w:t>, or other content relevant to a consumers’ daily</w:t>
      </w:r>
      <w:r w:rsidR="00F833D8">
        <w:rPr>
          <w:sz w:val="22"/>
          <w:szCs w:val="22"/>
        </w:rPr>
        <w:t xml:space="preserve"> life</w:t>
      </w:r>
      <w:r w:rsidR="00796528">
        <w:rPr>
          <w:sz w:val="22"/>
          <w:szCs w:val="22"/>
        </w:rPr>
        <w:t>, including advertising from local business</w:t>
      </w:r>
      <w:r w:rsidR="00F833D8">
        <w:rPr>
          <w:sz w:val="22"/>
          <w:szCs w:val="22"/>
        </w:rPr>
        <w:t>es</w:t>
      </w:r>
      <w:r w:rsidR="006D142D">
        <w:rPr>
          <w:sz w:val="22"/>
          <w:szCs w:val="22"/>
        </w:rPr>
        <w:t xml:space="preserve">, </w:t>
      </w:r>
      <w:r w:rsidR="00616C46">
        <w:rPr>
          <w:sz w:val="22"/>
          <w:szCs w:val="22"/>
        </w:rPr>
        <w:t>and if so how should we identify and consider such content</w:t>
      </w:r>
      <w:r w:rsidR="00FD5EE6">
        <w:rPr>
          <w:sz w:val="22"/>
          <w:szCs w:val="22"/>
        </w:rPr>
        <w:t xml:space="preserve">?  </w:t>
      </w:r>
      <w:r w:rsidR="007C11DE">
        <w:rPr>
          <w:sz w:val="22"/>
          <w:szCs w:val="22"/>
        </w:rPr>
        <w:t xml:space="preserve">Commenters also should address the technological and economic feasibility of each alternative proposed and provide data and information on these issues.  To analyze the various alternatives, we request suggestions on how to evaluate and compare the proposed alternatives for the </w:t>
      </w:r>
      <w:r w:rsidR="00180DC6">
        <w:rPr>
          <w:sz w:val="22"/>
          <w:szCs w:val="22"/>
        </w:rPr>
        <w:t>STELAR Section 109 R</w:t>
      </w:r>
      <w:r w:rsidR="007C11DE">
        <w:rPr>
          <w:sz w:val="22"/>
          <w:szCs w:val="22"/>
        </w:rPr>
        <w:t>eport.</w:t>
      </w:r>
      <w:r w:rsidR="005614A5">
        <w:rPr>
          <w:rFonts w:eastAsiaTheme="minorHAnsi"/>
          <w:sz w:val="22"/>
          <w:szCs w:val="22"/>
        </w:rPr>
        <w:t xml:space="preserve"> </w:t>
      </w:r>
    </w:p>
    <w:p w:rsidR="00616C9B" w:rsidRDefault="00616C9B" w:rsidP="0083746A">
      <w:pPr>
        <w:rPr>
          <w:sz w:val="22"/>
          <w:szCs w:val="22"/>
        </w:rPr>
      </w:pPr>
    </w:p>
    <w:p w:rsidR="00101150" w:rsidRDefault="000D502A" w:rsidP="001F027F">
      <w:pPr>
        <w:rPr>
          <w:rFonts w:eastAsiaTheme="minorHAnsi"/>
          <w:sz w:val="22"/>
          <w:szCs w:val="22"/>
        </w:rPr>
      </w:pPr>
      <w:r>
        <w:rPr>
          <w:sz w:val="22"/>
          <w:szCs w:val="22"/>
        </w:rPr>
        <w:tab/>
        <w:t>Section 109(a)(2)</w:t>
      </w:r>
      <w:r w:rsidR="001320B1">
        <w:rPr>
          <w:sz w:val="22"/>
          <w:szCs w:val="22"/>
        </w:rPr>
        <w:t xml:space="preserve"> </w:t>
      </w:r>
      <w:r>
        <w:rPr>
          <w:sz w:val="22"/>
          <w:szCs w:val="22"/>
        </w:rPr>
        <w:t xml:space="preserve">requires the Commission to make </w:t>
      </w:r>
      <w:r w:rsidRPr="00EC6DC8">
        <w:rPr>
          <w:rFonts w:eastAsiaTheme="minorHAnsi"/>
          <w:sz w:val="22"/>
          <w:szCs w:val="22"/>
        </w:rPr>
        <w:t xml:space="preserve">recommendations on how to foster increased localism in counties served by out-of-State </w:t>
      </w:r>
      <w:r w:rsidR="00DC7F8C">
        <w:rPr>
          <w:rFonts w:eastAsiaTheme="minorHAnsi"/>
          <w:sz w:val="22"/>
          <w:szCs w:val="22"/>
        </w:rPr>
        <w:t>DMAs</w:t>
      </w:r>
      <w:r w:rsidRPr="00EC6DC8">
        <w:rPr>
          <w:rFonts w:eastAsiaTheme="minorHAnsi"/>
          <w:sz w:val="22"/>
          <w:szCs w:val="22"/>
        </w:rPr>
        <w:t>.</w:t>
      </w:r>
      <w:r w:rsidR="00A379DF">
        <w:rPr>
          <w:rFonts w:eastAsiaTheme="minorHAnsi"/>
          <w:sz w:val="22"/>
          <w:szCs w:val="22"/>
        </w:rPr>
        <w:t xml:space="preserve">  </w:t>
      </w:r>
      <w:r w:rsidR="001F027F">
        <w:rPr>
          <w:rFonts w:eastAsiaTheme="minorHAnsi"/>
          <w:sz w:val="22"/>
          <w:szCs w:val="22"/>
        </w:rPr>
        <w:t>In making recommendations</w:t>
      </w:r>
      <w:r w:rsidR="00561F2F">
        <w:rPr>
          <w:rFonts w:eastAsiaTheme="minorHAnsi"/>
          <w:sz w:val="22"/>
          <w:szCs w:val="22"/>
        </w:rPr>
        <w:t>,</w:t>
      </w:r>
      <w:r w:rsidR="001F027F">
        <w:rPr>
          <w:rFonts w:eastAsiaTheme="minorHAnsi"/>
          <w:sz w:val="22"/>
          <w:szCs w:val="22"/>
        </w:rPr>
        <w:t xml:space="preserve"> </w:t>
      </w:r>
      <w:r w:rsidR="00DC7F8C">
        <w:rPr>
          <w:rFonts w:eastAsiaTheme="minorHAnsi"/>
          <w:sz w:val="22"/>
          <w:szCs w:val="22"/>
        </w:rPr>
        <w:t xml:space="preserve">Section 109(b) instructs </w:t>
      </w:r>
      <w:r w:rsidR="001F027F">
        <w:rPr>
          <w:rFonts w:eastAsiaTheme="minorHAnsi"/>
          <w:sz w:val="22"/>
          <w:szCs w:val="22"/>
        </w:rPr>
        <w:t>the Commissio</w:t>
      </w:r>
      <w:r w:rsidR="00DC7F8C">
        <w:rPr>
          <w:rFonts w:eastAsiaTheme="minorHAnsi"/>
          <w:sz w:val="22"/>
          <w:szCs w:val="22"/>
        </w:rPr>
        <w:t xml:space="preserve">n </w:t>
      </w:r>
      <w:r w:rsidR="001F027F">
        <w:rPr>
          <w:rFonts w:eastAsiaTheme="minorHAnsi"/>
          <w:sz w:val="22"/>
          <w:szCs w:val="22"/>
        </w:rPr>
        <w:t xml:space="preserve">to consider: </w:t>
      </w:r>
      <w:r w:rsidR="00850BA3">
        <w:rPr>
          <w:rFonts w:eastAsiaTheme="minorHAnsi"/>
          <w:sz w:val="22"/>
          <w:szCs w:val="22"/>
        </w:rPr>
        <w:t xml:space="preserve"> </w:t>
      </w:r>
      <w:r w:rsidR="001F027F">
        <w:rPr>
          <w:sz w:val="22"/>
          <w:szCs w:val="22"/>
        </w:rPr>
        <w:t xml:space="preserve">(1) </w:t>
      </w:r>
      <w:r w:rsidR="001F027F" w:rsidRPr="00EC6DC8">
        <w:rPr>
          <w:rFonts w:eastAsiaTheme="minorHAnsi"/>
          <w:sz w:val="22"/>
          <w:szCs w:val="22"/>
        </w:rPr>
        <w:t xml:space="preserve">the impact that </w:t>
      </w:r>
      <w:r w:rsidR="00DC7F8C">
        <w:rPr>
          <w:rFonts w:eastAsiaTheme="minorHAnsi"/>
          <w:sz w:val="22"/>
          <w:szCs w:val="22"/>
        </w:rPr>
        <w:t>DMAs</w:t>
      </w:r>
      <w:r w:rsidR="001F027F" w:rsidRPr="00EC6DC8">
        <w:rPr>
          <w:rFonts w:eastAsiaTheme="minorHAnsi"/>
          <w:sz w:val="22"/>
          <w:szCs w:val="22"/>
        </w:rPr>
        <w:t xml:space="preserve"> that cross State lines have on access to local p</w:t>
      </w:r>
      <w:r w:rsidR="001F027F">
        <w:rPr>
          <w:rFonts w:eastAsiaTheme="minorHAnsi"/>
          <w:sz w:val="22"/>
          <w:szCs w:val="22"/>
        </w:rPr>
        <w:t>rogramming;</w:t>
      </w:r>
      <w:r w:rsidR="00561F2F">
        <w:rPr>
          <w:rStyle w:val="FootnoteReference"/>
          <w:rFonts w:eastAsiaTheme="minorHAnsi"/>
          <w:sz w:val="22"/>
          <w:szCs w:val="22"/>
        </w:rPr>
        <w:footnoteReference w:id="22"/>
      </w:r>
      <w:r w:rsidR="001F027F">
        <w:rPr>
          <w:rFonts w:eastAsiaTheme="minorHAnsi"/>
          <w:sz w:val="22"/>
          <w:szCs w:val="22"/>
        </w:rPr>
        <w:t xml:space="preserve"> (2) </w:t>
      </w:r>
      <w:r w:rsidR="001F027F" w:rsidRPr="00EC6DC8">
        <w:rPr>
          <w:rFonts w:eastAsiaTheme="minorHAnsi"/>
          <w:sz w:val="22"/>
          <w:szCs w:val="22"/>
        </w:rPr>
        <w:t xml:space="preserve">the impact that </w:t>
      </w:r>
      <w:r w:rsidR="00DC7F8C">
        <w:rPr>
          <w:rFonts w:eastAsiaTheme="minorHAnsi"/>
          <w:sz w:val="22"/>
          <w:szCs w:val="22"/>
        </w:rPr>
        <w:t>DMAs</w:t>
      </w:r>
      <w:r w:rsidR="001F027F" w:rsidRPr="00EC6DC8">
        <w:rPr>
          <w:rFonts w:eastAsiaTheme="minorHAnsi"/>
          <w:sz w:val="22"/>
          <w:szCs w:val="22"/>
        </w:rPr>
        <w:t xml:space="preserve"> have on local </w:t>
      </w:r>
      <w:r w:rsidR="001F027F">
        <w:rPr>
          <w:rFonts w:eastAsiaTheme="minorHAnsi"/>
          <w:sz w:val="22"/>
          <w:szCs w:val="22"/>
        </w:rPr>
        <w:t>programming in rural areas;</w:t>
      </w:r>
      <w:r w:rsidR="00561F2F">
        <w:rPr>
          <w:rStyle w:val="FootnoteReference"/>
          <w:rFonts w:eastAsiaTheme="minorHAnsi"/>
          <w:sz w:val="22"/>
          <w:szCs w:val="22"/>
        </w:rPr>
        <w:footnoteReference w:id="23"/>
      </w:r>
      <w:r w:rsidR="001F027F" w:rsidRPr="00EC6DC8">
        <w:rPr>
          <w:rFonts w:eastAsiaTheme="minorHAnsi"/>
          <w:sz w:val="22"/>
          <w:szCs w:val="22"/>
        </w:rPr>
        <w:t xml:space="preserve"> and</w:t>
      </w:r>
      <w:r w:rsidR="001F027F">
        <w:rPr>
          <w:rFonts w:eastAsiaTheme="minorHAnsi"/>
          <w:sz w:val="22"/>
          <w:szCs w:val="22"/>
        </w:rPr>
        <w:t xml:space="preserve"> (3) </w:t>
      </w:r>
      <w:r w:rsidR="001F027F" w:rsidRPr="00EC6DC8">
        <w:rPr>
          <w:rFonts w:eastAsiaTheme="minorHAnsi"/>
          <w:sz w:val="22"/>
          <w:szCs w:val="22"/>
        </w:rPr>
        <w:t xml:space="preserve">the state of local programming in States served exclusively by out-of-State </w:t>
      </w:r>
      <w:r w:rsidR="00DC7F8C">
        <w:rPr>
          <w:rFonts w:eastAsiaTheme="minorHAnsi"/>
          <w:sz w:val="22"/>
          <w:szCs w:val="22"/>
        </w:rPr>
        <w:t>DMAs</w:t>
      </w:r>
      <w:r w:rsidR="001F027F" w:rsidRPr="00EC6DC8">
        <w:rPr>
          <w:rFonts w:eastAsiaTheme="minorHAnsi"/>
          <w:sz w:val="22"/>
          <w:szCs w:val="22"/>
        </w:rPr>
        <w:t>.</w:t>
      </w:r>
      <w:r w:rsidR="00561F2F">
        <w:rPr>
          <w:rStyle w:val="FootnoteReference"/>
          <w:rFonts w:eastAsiaTheme="minorHAnsi"/>
          <w:sz w:val="22"/>
          <w:szCs w:val="22"/>
        </w:rPr>
        <w:footnoteReference w:id="24"/>
      </w:r>
      <w:r w:rsidR="001F027F">
        <w:rPr>
          <w:rFonts w:eastAsiaTheme="minorHAnsi"/>
          <w:sz w:val="22"/>
          <w:szCs w:val="22"/>
        </w:rPr>
        <w:t xml:space="preserve">  </w:t>
      </w:r>
      <w:r w:rsidR="002E74C7">
        <w:rPr>
          <w:rFonts w:eastAsiaTheme="minorHAnsi"/>
          <w:sz w:val="22"/>
          <w:szCs w:val="22"/>
        </w:rPr>
        <w:t xml:space="preserve">We seek </w:t>
      </w:r>
      <w:r w:rsidR="0086101E">
        <w:rPr>
          <w:rFonts w:eastAsiaTheme="minorHAnsi"/>
          <w:sz w:val="22"/>
          <w:szCs w:val="22"/>
        </w:rPr>
        <w:t>recommendations that</w:t>
      </w:r>
      <w:r w:rsidR="00E35F97">
        <w:rPr>
          <w:rFonts w:eastAsiaTheme="minorHAnsi"/>
          <w:sz w:val="22"/>
          <w:szCs w:val="22"/>
        </w:rPr>
        <w:t xml:space="preserve"> could</w:t>
      </w:r>
      <w:r w:rsidR="0086101E">
        <w:rPr>
          <w:rFonts w:eastAsiaTheme="minorHAnsi"/>
          <w:sz w:val="22"/>
          <w:szCs w:val="22"/>
        </w:rPr>
        <w:t xml:space="preserve"> increase television programming </w:t>
      </w:r>
      <w:r w:rsidR="0086101E">
        <w:rPr>
          <w:sz w:val="22"/>
          <w:szCs w:val="22"/>
        </w:rPr>
        <w:t xml:space="preserve">from and about the </w:t>
      </w:r>
      <w:r w:rsidR="002E74C7">
        <w:rPr>
          <w:sz w:val="22"/>
          <w:szCs w:val="22"/>
        </w:rPr>
        <w:t>DMA</w:t>
      </w:r>
      <w:r w:rsidR="00DC7F8C">
        <w:rPr>
          <w:sz w:val="22"/>
          <w:szCs w:val="22"/>
        </w:rPr>
        <w:t>,</w:t>
      </w:r>
      <w:r w:rsidR="002E74C7">
        <w:rPr>
          <w:sz w:val="22"/>
          <w:szCs w:val="22"/>
        </w:rPr>
        <w:t xml:space="preserve"> and television programming from and about the </w:t>
      </w:r>
      <w:r w:rsidR="0086101E">
        <w:rPr>
          <w:sz w:val="22"/>
          <w:szCs w:val="22"/>
        </w:rPr>
        <w:t>State</w:t>
      </w:r>
      <w:r w:rsidR="00DC7F8C">
        <w:rPr>
          <w:sz w:val="22"/>
          <w:szCs w:val="22"/>
        </w:rPr>
        <w:t>,</w:t>
      </w:r>
      <w:r w:rsidR="0086101E">
        <w:rPr>
          <w:sz w:val="22"/>
          <w:szCs w:val="22"/>
        </w:rPr>
        <w:t xml:space="preserve"> in which a consumer resides</w:t>
      </w:r>
      <w:r w:rsidR="002E74C7">
        <w:rPr>
          <w:rFonts w:eastAsiaTheme="minorHAnsi"/>
          <w:sz w:val="22"/>
          <w:szCs w:val="22"/>
        </w:rPr>
        <w:t>.</w:t>
      </w:r>
      <w:r w:rsidR="003658DE">
        <w:rPr>
          <w:rFonts w:eastAsiaTheme="minorHAnsi"/>
          <w:sz w:val="22"/>
          <w:szCs w:val="22"/>
        </w:rPr>
        <w:t xml:space="preserve">  </w:t>
      </w:r>
      <w:r w:rsidR="00561F2F">
        <w:rPr>
          <w:rFonts w:eastAsiaTheme="minorHAnsi"/>
          <w:sz w:val="22"/>
          <w:szCs w:val="22"/>
        </w:rPr>
        <w:t xml:space="preserve">We specifically ask </w:t>
      </w:r>
      <w:r w:rsidR="00B17DA7">
        <w:rPr>
          <w:rFonts w:eastAsiaTheme="minorHAnsi"/>
          <w:sz w:val="22"/>
          <w:szCs w:val="22"/>
        </w:rPr>
        <w:t>commenters to address the three</w:t>
      </w:r>
      <w:r w:rsidR="00FD1189">
        <w:rPr>
          <w:rFonts w:eastAsiaTheme="minorHAnsi"/>
          <w:sz w:val="22"/>
          <w:szCs w:val="22"/>
        </w:rPr>
        <w:t xml:space="preserve"> </w:t>
      </w:r>
      <w:r w:rsidR="00DC7F8C">
        <w:rPr>
          <w:rFonts w:eastAsiaTheme="minorHAnsi"/>
          <w:sz w:val="22"/>
          <w:szCs w:val="22"/>
        </w:rPr>
        <w:t xml:space="preserve">considerations identified </w:t>
      </w:r>
      <w:r w:rsidR="00561F2F">
        <w:rPr>
          <w:rFonts w:eastAsiaTheme="minorHAnsi"/>
          <w:sz w:val="22"/>
          <w:szCs w:val="22"/>
        </w:rPr>
        <w:t xml:space="preserve">in Section 109(b).  In particular, how do </w:t>
      </w:r>
      <w:r w:rsidR="00B17DA7">
        <w:rPr>
          <w:rFonts w:eastAsiaTheme="minorHAnsi"/>
          <w:sz w:val="22"/>
          <w:szCs w:val="22"/>
        </w:rPr>
        <w:t xml:space="preserve">DMAs </w:t>
      </w:r>
      <w:r w:rsidR="00561F2F">
        <w:rPr>
          <w:rFonts w:eastAsiaTheme="minorHAnsi"/>
          <w:sz w:val="22"/>
          <w:szCs w:val="22"/>
        </w:rPr>
        <w:t>affect access to local programming</w:t>
      </w:r>
      <w:r w:rsidR="00101150">
        <w:rPr>
          <w:rFonts w:eastAsiaTheme="minorHAnsi"/>
          <w:sz w:val="22"/>
          <w:szCs w:val="22"/>
        </w:rPr>
        <w:t xml:space="preserve"> </w:t>
      </w:r>
      <w:r w:rsidR="00FD1189">
        <w:rPr>
          <w:rFonts w:eastAsiaTheme="minorHAnsi"/>
          <w:sz w:val="22"/>
          <w:szCs w:val="22"/>
        </w:rPr>
        <w:t xml:space="preserve">for </w:t>
      </w:r>
      <w:r w:rsidR="00101150">
        <w:rPr>
          <w:rFonts w:eastAsiaTheme="minorHAnsi"/>
          <w:sz w:val="22"/>
          <w:szCs w:val="22"/>
        </w:rPr>
        <w:t>each</w:t>
      </w:r>
      <w:r w:rsidR="009F69CA">
        <w:rPr>
          <w:rFonts w:eastAsiaTheme="minorHAnsi"/>
          <w:sz w:val="22"/>
          <w:szCs w:val="22"/>
        </w:rPr>
        <w:t xml:space="preserve"> of the three </w:t>
      </w:r>
      <w:r w:rsidR="00FD1189">
        <w:rPr>
          <w:rFonts w:eastAsiaTheme="minorHAnsi"/>
          <w:sz w:val="22"/>
          <w:szCs w:val="22"/>
        </w:rPr>
        <w:t xml:space="preserve">areas of concern?  </w:t>
      </w:r>
      <w:r w:rsidR="00101150">
        <w:rPr>
          <w:rFonts w:eastAsiaTheme="minorHAnsi"/>
          <w:sz w:val="22"/>
          <w:szCs w:val="22"/>
        </w:rPr>
        <w:t>To what extent do consum</w:t>
      </w:r>
      <w:r w:rsidR="00B17DA7">
        <w:rPr>
          <w:rFonts w:eastAsiaTheme="minorHAnsi"/>
          <w:sz w:val="22"/>
          <w:szCs w:val="22"/>
        </w:rPr>
        <w:t xml:space="preserve">ers in </w:t>
      </w:r>
      <w:r w:rsidR="00101150">
        <w:rPr>
          <w:rFonts w:eastAsiaTheme="minorHAnsi"/>
          <w:sz w:val="22"/>
          <w:szCs w:val="22"/>
        </w:rPr>
        <w:t>DMAs that cross State lines have access to television programming from and about their State?  H</w:t>
      </w:r>
      <w:r w:rsidR="00561F2F">
        <w:rPr>
          <w:rFonts w:eastAsiaTheme="minorHAnsi"/>
          <w:sz w:val="22"/>
          <w:szCs w:val="22"/>
        </w:rPr>
        <w:t xml:space="preserve">ow will the proposed recommendations foster increased local programming for consumers residing in such locations?  </w:t>
      </w:r>
    </w:p>
    <w:p w:rsidR="00101150" w:rsidRDefault="00101150" w:rsidP="001F027F">
      <w:pPr>
        <w:rPr>
          <w:rFonts w:eastAsiaTheme="minorHAnsi"/>
          <w:sz w:val="22"/>
          <w:szCs w:val="22"/>
        </w:rPr>
      </w:pPr>
    </w:p>
    <w:p w:rsidR="00CE25E8" w:rsidRPr="00CE25E8" w:rsidRDefault="00101150" w:rsidP="001F027F">
      <w:pPr>
        <w:rPr>
          <w:rFonts w:eastAsiaTheme="minorHAnsi"/>
          <w:sz w:val="22"/>
          <w:szCs w:val="22"/>
        </w:rPr>
      </w:pPr>
      <w:r>
        <w:rPr>
          <w:rFonts w:eastAsiaTheme="minorHAnsi"/>
          <w:sz w:val="22"/>
          <w:szCs w:val="22"/>
        </w:rPr>
        <w:tab/>
      </w:r>
      <w:r w:rsidR="0031522E">
        <w:rPr>
          <w:rFonts w:eastAsiaTheme="minorHAnsi"/>
          <w:sz w:val="22"/>
          <w:szCs w:val="22"/>
        </w:rPr>
        <w:t xml:space="preserve">To assist us in analyzing proposed recommendations that we will consider including in the </w:t>
      </w:r>
      <w:r w:rsidR="00180DC6">
        <w:rPr>
          <w:rFonts w:eastAsiaTheme="minorHAnsi"/>
          <w:sz w:val="22"/>
          <w:szCs w:val="22"/>
        </w:rPr>
        <w:t>STELAR Section 109 R</w:t>
      </w:r>
      <w:r w:rsidR="0031522E">
        <w:rPr>
          <w:rFonts w:eastAsiaTheme="minorHAnsi"/>
          <w:sz w:val="22"/>
          <w:szCs w:val="22"/>
        </w:rPr>
        <w:t>eport, w</w:t>
      </w:r>
      <w:r w:rsidR="00F833D8" w:rsidRPr="00F833D8">
        <w:rPr>
          <w:sz w:val="22"/>
          <w:szCs w:val="22"/>
        </w:rPr>
        <w:t xml:space="preserve">e </w:t>
      </w:r>
      <w:r w:rsidR="00561F2F">
        <w:rPr>
          <w:sz w:val="22"/>
          <w:szCs w:val="22"/>
        </w:rPr>
        <w:t xml:space="preserve">also </w:t>
      </w:r>
      <w:r w:rsidR="00F833D8" w:rsidRPr="00F833D8">
        <w:rPr>
          <w:sz w:val="22"/>
          <w:szCs w:val="22"/>
        </w:rPr>
        <w:t xml:space="preserve">seek comment on the effects of each recommendation on consumers, local broadcast stations, </w:t>
      </w:r>
      <w:r w:rsidR="00F833D8">
        <w:rPr>
          <w:sz w:val="22"/>
          <w:szCs w:val="22"/>
        </w:rPr>
        <w:t xml:space="preserve">the </w:t>
      </w:r>
      <w:r w:rsidR="00F833D8" w:rsidRPr="00F833D8">
        <w:rPr>
          <w:sz w:val="22"/>
          <w:szCs w:val="22"/>
        </w:rPr>
        <w:t>number of stations that MVPDs would be required to carry, the advertising market, broadcast network affiliation agreements and areas of exclusivity.  What would be the benefits and costs of each recommendation?  How would the propo</w:t>
      </w:r>
      <w:r w:rsidR="00564ABF">
        <w:rPr>
          <w:sz w:val="22"/>
          <w:szCs w:val="22"/>
        </w:rPr>
        <w:t xml:space="preserve">sed recommendation provide </w:t>
      </w:r>
      <w:r w:rsidR="00F833D8" w:rsidRPr="00F833D8">
        <w:rPr>
          <w:sz w:val="22"/>
          <w:szCs w:val="22"/>
        </w:rPr>
        <w:t>consumers with increased local programming wit</w:t>
      </w:r>
      <w:r w:rsidR="00564ABF">
        <w:rPr>
          <w:sz w:val="22"/>
          <w:szCs w:val="22"/>
        </w:rPr>
        <w:t xml:space="preserve">hout curtailing the </w:t>
      </w:r>
      <w:r w:rsidR="00F833D8" w:rsidRPr="00F833D8">
        <w:rPr>
          <w:sz w:val="22"/>
          <w:szCs w:val="22"/>
        </w:rPr>
        <w:t>b</w:t>
      </w:r>
      <w:r w:rsidR="00564ABF">
        <w:rPr>
          <w:sz w:val="22"/>
          <w:szCs w:val="22"/>
        </w:rPr>
        <w:t xml:space="preserve">roadcast programming consumers </w:t>
      </w:r>
      <w:r w:rsidR="00F833D8" w:rsidRPr="00F833D8">
        <w:rPr>
          <w:sz w:val="22"/>
          <w:szCs w:val="22"/>
        </w:rPr>
        <w:t xml:space="preserve">currently view?  </w:t>
      </w:r>
      <w:r>
        <w:rPr>
          <w:sz w:val="22"/>
          <w:szCs w:val="22"/>
        </w:rPr>
        <w:t>Are there other criteria we</w:t>
      </w:r>
      <w:r w:rsidR="006F38AB">
        <w:rPr>
          <w:sz w:val="22"/>
          <w:szCs w:val="22"/>
        </w:rPr>
        <w:t xml:space="preserve"> should consider when evaluat</w:t>
      </w:r>
      <w:r>
        <w:rPr>
          <w:sz w:val="22"/>
          <w:szCs w:val="22"/>
        </w:rPr>
        <w:t>ing recommendations to foster increased localism?  We seek comment on these issues and any other comments that address the requirements of Section 109 of STELAR</w:t>
      </w:r>
      <w:r w:rsidR="004A0C10">
        <w:rPr>
          <w:sz w:val="22"/>
          <w:szCs w:val="22"/>
        </w:rPr>
        <w:t>.</w:t>
      </w:r>
      <w:r w:rsidR="007C11DE">
        <w:rPr>
          <w:rFonts w:eastAsiaTheme="minorHAnsi"/>
          <w:sz w:val="22"/>
          <w:szCs w:val="22"/>
        </w:rPr>
        <w:t xml:space="preserve">  </w:t>
      </w:r>
    </w:p>
    <w:p w:rsidR="003B6999" w:rsidRDefault="003B6999" w:rsidP="001320B1">
      <w:pPr>
        <w:rPr>
          <w:rFonts w:eastAsiaTheme="minorHAnsi"/>
          <w:sz w:val="22"/>
          <w:szCs w:val="22"/>
        </w:rPr>
      </w:pPr>
    </w:p>
    <w:p w:rsidR="003B6999" w:rsidRPr="003B6999" w:rsidRDefault="003B6999" w:rsidP="001320B1">
      <w:pPr>
        <w:rPr>
          <w:rFonts w:eastAsiaTheme="minorHAnsi"/>
          <w:b/>
          <w:sz w:val="22"/>
          <w:szCs w:val="22"/>
          <w:u w:val="single"/>
        </w:rPr>
      </w:pPr>
      <w:r w:rsidRPr="003B6999">
        <w:rPr>
          <w:rFonts w:eastAsiaTheme="minorHAnsi"/>
          <w:b/>
          <w:sz w:val="22"/>
          <w:szCs w:val="22"/>
          <w:u w:val="single"/>
        </w:rPr>
        <w:t>General Information</w:t>
      </w:r>
    </w:p>
    <w:p w:rsidR="003B6999" w:rsidRDefault="003B6999" w:rsidP="001320B1">
      <w:pPr>
        <w:rPr>
          <w:rFonts w:eastAsiaTheme="minorHAnsi"/>
          <w:sz w:val="22"/>
          <w:szCs w:val="22"/>
        </w:rPr>
      </w:pPr>
    </w:p>
    <w:p w:rsidR="00B662A1" w:rsidRPr="00B662A1" w:rsidRDefault="006B34C2" w:rsidP="00B662A1">
      <w:pPr>
        <w:widowControl w:val="0"/>
        <w:spacing w:after="240"/>
        <w:ind w:firstLine="720"/>
        <w:rPr>
          <w:sz w:val="22"/>
          <w:szCs w:val="22"/>
        </w:rPr>
      </w:pPr>
      <w:r w:rsidRPr="006B34C2">
        <w:rPr>
          <w:i/>
          <w:kern w:val="28"/>
          <w:sz w:val="22"/>
          <w:szCs w:val="22"/>
        </w:rPr>
        <w:t>Comment Information</w:t>
      </w:r>
      <w:r w:rsidRPr="00B662A1">
        <w:rPr>
          <w:kern w:val="28"/>
          <w:sz w:val="22"/>
          <w:szCs w:val="22"/>
        </w:rPr>
        <w:t xml:space="preserve">.  </w:t>
      </w:r>
      <w:r w:rsidR="00B662A1" w:rsidRPr="00B662A1">
        <w:rPr>
          <w:sz w:val="22"/>
          <w:szCs w:val="22"/>
        </w:rPr>
        <w:t xml:space="preserve">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sidR="00B662A1" w:rsidRPr="00B662A1">
        <w:rPr>
          <w:i/>
          <w:sz w:val="22"/>
          <w:szCs w:val="22"/>
        </w:rPr>
        <w:t>See Electronic Filing of Documents in Rulemaking Proceedings</w:t>
      </w:r>
      <w:r w:rsidR="00B662A1" w:rsidRPr="00B662A1">
        <w:rPr>
          <w:sz w:val="22"/>
          <w:szCs w:val="22"/>
        </w:rPr>
        <w:t>, 63 FR 24121 (1998).</w:t>
      </w:r>
    </w:p>
    <w:p w:rsidR="00B662A1" w:rsidRPr="00B662A1" w:rsidRDefault="00B662A1" w:rsidP="00B662A1">
      <w:pPr>
        <w:numPr>
          <w:ilvl w:val="0"/>
          <w:numId w:val="3"/>
        </w:numPr>
        <w:rPr>
          <w:sz w:val="22"/>
          <w:szCs w:val="22"/>
        </w:rPr>
      </w:pPr>
      <w:r w:rsidRPr="00B662A1">
        <w:rPr>
          <w:sz w:val="22"/>
          <w:szCs w:val="22"/>
        </w:rPr>
        <w:t xml:space="preserve">Electronic Filers:  Comments may be filed electronically using the Internet by accessing the ECFS:  </w:t>
      </w:r>
      <w:hyperlink r:id="rId8" w:history="1">
        <w:r w:rsidRPr="00B662A1">
          <w:rPr>
            <w:rStyle w:val="Hyperlink"/>
            <w:sz w:val="22"/>
            <w:szCs w:val="22"/>
          </w:rPr>
          <w:t>http://fjallfoss.fcc.gov/ecfs2/</w:t>
        </w:r>
      </w:hyperlink>
      <w:r w:rsidRPr="00B662A1">
        <w:rPr>
          <w:sz w:val="22"/>
          <w:szCs w:val="22"/>
        </w:rPr>
        <w:t xml:space="preserve">.  </w:t>
      </w:r>
    </w:p>
    <w:p w:rsidR="00B662A1" w:rsidRPr="00B662A1" w:rsidRDefault="00B662A1" w:rsidP="00F408DD">
      <w:pPr>
        <w:rPr>
          <w:sz w:val="22"/>
          <w:szCs w:val="22"/>
        </w:rPr>
      </w:pPr>
    </w:p>
    <w:p w:rsidR="00B662A1" w:rsidRPr="00B662A1" w:rsidRDefault="00B662A1" w:rsidP="00B662A1">
      <w:pPr>
        <w:numPr>
          <w:ilvl w:val="0"/>
          <w:numId w:val="4"/>
        </w:numPr>
        <w:rPr>
          <w:sz w:val="22"/>
          <w:szCs w:val="22"/>
        </w:rPr>
      </w:pPr>
      <w:r w:rsidRPr="00B662A1">
        <w:rPr>
          <w:sz w:val="22"/>
          <w:szCs w:val="22"/>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B662A1" w:rsidRPr="00B662A1" w:rsidRDefault="00B662A1" w:rsidP="00F408DD">
      <w:pPr>
        <w:rPr>
          <w:sz w:val="22"/>
          <w:szCs w:val="22"/>
        </w:rPr>
      </w:pPr>
    </w:p>
    <w:p w:rsidR="00B662A1" w:rsidRPr="00B662A1" w:rsidRDefault="00B662A1" w:rsidP="00F408DD">
      <w:pPr>
        <w:ind w:left="720"/>
        <w:rPr>
          <w:sz w:val="22"/>
          <w:szCs w:val="22"/>
        </w:rPr>
      </w:pPr>
      <w:r w:rsidRPr="00B662A1">
        <w:rPr>
          <w:sz w:val="22"/>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B662A1" w:rsidRPr="00B662A1" w:rsidRDefault="00B662A1" w:rsidP="00F408DD">
      <w:pPr>
        <w:rPr>
          <w:sz w:val="22"/>
          <w:szCs w:val="22"/>
        </w:rPr>
      </w:pPr>
    </w:p>
    <w:p w:rsidR="00B662A1" w:rsidRPr="00B662A1" w:rsidRDefault="00B662A1" w:rsidP="00B662A1">
      <w:pPr>
        <w:numPr>
          <w:ilvl w:val="0"/>
          <w:numId w:val="5"/>
        </w:numPr>
        <w:rPr>
          <w:sz w:val="22"/>
          <w:szCs w:val="22"/>
        </w:rPr>
      </w:pPr>
      <w:r w:rsidRPr="00B662A1">
        <w:rPr>
          <w:sz w:val="22"/>
          <w:szCs w:val="22"/>
        </w:rPr>
        <w:t>All hand-delivered or messenger-delivered paper filings for the Commission’s Secretary must be delivered to FCC Headquarters at 445 12</w:t>
      </w:r>
      <w:r w:rsidRPr="00B662A1">
        <w:rPr>
          <w:sz w:val="22"/>
          <w:szCs w:val="22"/>
          <w:vertAlign w:val="superscript"/>
        </w:rPr>
        <w:t>th</w:t>
      </w:r>
      <w:r w:rsidRPr="00B662A1">
        <w:rPr>
          <w:sz w:val="22"/>
          <w:szCs w:val="22"/>
        </w:rPr>
        <w:t xml:space="preserve"> St., SW, Room TW-A325, Washington, DC 20554.  The filing hours are 8:00 a.m. to 7:00 p.m.  All hand deliveries must be held together with rubber bands or fasteners.  Any envelopes and boxes must be disposed of </w:t>
      </w:r>
      <w:r w:rsidRPr="00B662A1">
        <w:rPr>
          <w:sz w:val="22"/>
          <w:szCs w:val="22"/>
          <w:u w:val="single"/>
        </w:rPr>
        <w:t>before</w:t>
      </w:r>
      <w:r w:rsidRPr="00B662A1">
        <w:rPr>
          <w:sz w:val="22"/>
          <w:szCs w:val="22"/>
        </w:rPr>
        <w:t xml:space="preserve"> entering the building.  </w:t>
      </w:r>
    </w:p>
    <w:p w:rsidR="00B662A1" w:rsidRPr="00B662A1" w:rsidRDefault="00B662A1" w:rsidP="00F408DD">
      <w:pPr>
        <w:ind w:left="1080"/>
        <w:rPr>
          <w:sz w:val="22"/>
          <w:szCs w:val="22"/>
        </w:rPr>
      </w:pPr>
    </w:p>
    <w:p w:rsidR="00B662A1" w:rsidRPr="00B662A1" w:rsidRDefault="00B662A1" w:rsidP="00B662A1">
      <w:pPr>
        <w:numPr>
          <w:ilvl w:val="0"/>
          <w:numId w:val="5"/>
        </w:numPr>
        <w:rPr>
          <w:sz w:val="22"/>
          <w:szCs w:val="22"/>
        </w:rPr>
      </w:pPr>
      <w:r w:rsidRPr="00B662A1">
        <w:rPr>
          <w:sz w:val="22"/>
          <w:szCs w:val="22"/>
        </w:rPr>
        <w:t>Commercial overnight mail (other than U.S. Postal Service Express Mail and Priority Mail) must be sent to 9300 East Hampton Drive, Capitol Heights, MD  20743.</w:t>
      </w:r>
    </w:p>
    <w:p w:rsidR="00B662A1" w:rsidRPr="00B662A1" w:rsidRDefault="00B662A1" w:rsidP="00F408DD">
      <w:pPr>
        <w:rPr>
          <w:sz w:val="22"/>
          <w:szCs w:val="22"/>
        </w:rPr>
      </w:pPr>
    </w:p>
    <w:p w:rsidR="00B662A1" w:rsidRPr="00B662A1" w:rsidRDefault="00B662A1" w:rsidP="00B662A1">
      <w:pPr>
        <w:numPr>
          <w:ilvl w:val="0"/>
          <w:numId w:val="5"/>
        </w:numPr>
        <w:rPr>
          <w:sz w:val="22"/>
          <w:szCs w:val="22"/>
        </w:rPr>
      </w:pPr>
      <w:r w:rsidRPr="00B662A1">
        <w:rPr>
          <w:sz w:val="22"/>
          <w:szCs w:val="22"/>
        </w:rPr>
        <w:t>U.S. Postal Service first-class, Express, and Priority mail must be addressed to 445 12</w:t>
      </w:r>
      <w:r w:rsidRPr="00B662A1">
        <w:rPr>
          <w:sz w:val="22"/>
          <w:szCs w:val="22"/>
          <w:vertAlign w:val="superscript"/>
        </w:rPr>
        <w:t>th</w:t>
      </w:r>
      <w:r w:rsidRPr="00B662A1">
        <w:rPr>
          <w:sz w:val="22"/>
          <w:szCs w:val="22"/>
        </w:rPr>
        <w:t xml:space="preserve"> Street, SW, Washington DC  20554.</w:t>
      </w:r>
    </w:p>
    <w:p w:rsidR="00B662A1" w:rsidRPr="00B662A1" w:rsidRDefault="00B662A1" w:rsidP="00F408DD">
      <w:pPr>
        <w:rPr>
          <w:sz w:val="22"/>
          <w:szCs w:val="22"/>
        </w:rPr>
      </w:pPr>
    </w:p>
    <w:p w:rsidR="00B662A1" w:rsidRPr="00B662A1" w:rsidRDefault="00B662A1" w:rsidP="00F408DD">
      <w:pPr>
        <w:rPr>
          <w:sz w:val="22"/>
          <w:szCs w:val="22"/>
        </w:rPr>
      </w:pPr>
      <w:r w:rsidRPr="00B662A1">
        <w:rPr>
          <w:sz w:val="22"/>
          <w:szCs w:val="22"/>
        </w:rPr>
        <w:t xml:space="preserve">People with Disabilities:  To request materials in accessible formats for people with disabilities (braille, large print, electronic files, audio format), send an e-mail to </w:t>
      </w:r>
      <w:hyperlink r:id="rId9" w:history="1">
        <w:r w:rsidRPr="00B662A1">
          <w:rPr>
            <w:rStyle w:val="Hyperlink"/>
            <w:sz w:val="22"/>
            <w:szCs w:val="22"/>
          </w:rPr>
          <w:t>fcc504@fcc.gov</w:t>
        </w:r>
      </w:hyperlink>
      <w:r w:rsidRPr="00B662A1">
        <w:rPr>
          <w:sz w:val="22"/>
          <w:szCs w:val="22"/>
        </w:rPr>
        <w:t xml:space="preserve"> or call the Consumer &amp; Governmental Affairs Bureau at 202-418-0530 (voice), 202-418-0432 (tty).</w:t>
      </w:r>
    </w:p>
    <w:p w:rsidR="00B662A1" w:rsidRPr="00B662A1" w:rsidRDefault="00B662A1" w:rsidP="00F408DD">
      <w:pPr>
        <w:rPr>
          <w:sz w:val="22"/>
          <w:szCs w:val="22"/>
        </w:rPr>
      </w:pPr>
    </w:p>
    <w:p w:rsidR="00F10B1F" w:rsidRDefault="006B34C2" w:rsidP="00F10B1F">
      <w:pPr>
        <w:pStyle w:val="ParaNum"/>
      </w:pPr>
      <w:r w:rsidRPr="006B34C2">
        <w:rPr>
          <w:sz w:val="22"/>
        </w:rPr>
        <w:t>For further information</w:t>
      </w:r>
      <w:r w:rsidR="00D92B26">
        <w:rPr>
          <w:sz w:val="22"/>
        </w:rPr>
        <w:t xml:space="preserve"> about this Public Notice, please</w:t>
      </w:r>
      <w:r w:rsidRPr="006B34C2">
        <w:rPr>
          <w:sz w:val="22"/>
        </w:rPr>
        <w:t xml:space="preserve"> contact </w:t>
      </w:r>
      <w:r w:rsidR="00D92B26">
        <w:rPr>
          <w:sz w:val="22"/>
        </w:rPr>
        <w:t xml:space="preserve">Marcia Glauberman at (202) 418-7046, </w:t>
      </w:r>
      <w:hyperlink r:id="rId10" w:history="1">
        <w:r w:rsidR="00D92B26" w:rsidRPr="002F2DD1">
          <w:rPr>
            <w:rStyle w:val="Hyperlink"/>
            <w:sz w:val="22"/>
          </w:rPr>
          <w:t>marcia.glauberman@fcc.gov</w:t>
        </w:r>
      </w:hyperlink>
      <w:r w:rsidR="00D92B26">
        <w:rPr>
          <w:sz w:val="22"/>
        </w:rPr>
        <w:t xml:space="preserve"> or Dan Bring at (202) 418-2164</w:t>
      </w:r>
      <w:r w:rsidR="00F10B1F">
        <w:rPr>
          <w:sz w:val="22"/>
        </w:rPr>
        <w:t>,</w:t>
      </w:r>
      <w:r w:rsidR="00D92B26">
        <w:rPr>
          <w:sz w:val="22"/>
        </w:rPr>
        <w:t xml:space="preserve"> </w:t>
      </w:r>
      <w:hyperlink r:id="rId11" w:history="1">
        <w:r w:rsidR="00D92B26" w:rsidRPr="002F2DD1">
          <w:rPr>
            <w:rStyle w:val="Hyperlink"/>
            <w:sz w:val="22"/>
          </w:rPr>
          <w:t>danny.bring@fcc.gov</w:t>
        </w:r>
      </w:hyperlink>
      <w:r w:rsidR="00D92B26">
        <w:rPr>
          <w:sz w:val="22"/>
        </w:rPr>
        <w:t xml:space="preserve">. </w:t>
      </w:r>
      <w:r w:rsidR="00F10B1F">
        <w:rPr>
          <w:sz w:val="22"/>
        </w:rPr>
        <w:t xml:space="preserve">  Press inquiries should be directed to Janice Wise at (202) 418-8165, </w:t>
      </w:r>
      <w:hyperlink r:id="rId12" w:history="1">
        <w:r w:rsidR="00F10B1F" w:rsidRPr="00724A3C">
          <w:rPr>
            <w:rStyle w:val="Hyperlink"/>
            <w:sz w:val="22"/>
          </w:rPr>
          <w:t>janice.wise@fcc.gov</w:t>
        </w:r>
      </w:hyperlink>
      <w:r w:rsidR="00F10B1F">
        <w:rPr>
          <w:sz w:val="22"/>
        </w:rPr>
        <w:t xml:space="preserve">.  </w:t>
      </w:r>
    </w:p>
    <w:p w:rsidR="00E44C1B" w:rsidRPr="00D1511F" w:rsidRDefault="00E44C1B" w:rsidP="00D1511F">
      <w:pPr>
        <w:spacing w:after="220"/>
        <w:ind w:firstLine="720"/>
        <w:rPr>
          <w:kern w:val="28"/>
          <w:sz w:val="22"/>
          <w:szCs w:val="22"/>
        </w:rPr>
      </w:pPr>
    </w:p>
    <w:sectPr w:rsidR="00E44C1B" w:rsidRPr="00D1511F" w:rsidSect="006C1B08">
      <w:headerReference w:type="even" r:id="rId13"/>
      <w:headerReference w:type="default" r:id="rId14"/>
      <w:footerReference w:type="even" r:id="rId15"/>
      <w:footerReference w:type="default" r:id="rId16"/>
      <w:headerReference w:type="first" r:id="rId17"/>
      <w:footerReference w:type="first" r:id="rId18"/>
      <w:pgSz w:w="12240" w:h="15840" w:code="1"/>
      <w:pgMar w:top="1710" w:right="1440" w:bottom="1440" w:left="1440" w:header="720" w:footer="144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62C" w:rsidRDefault="001C262C">
      <w:r>
        <w:separator/>
      </w:r>
    </w:p>
  </w:endnote>
  <w:endnote w:type="continuationSeparator" w:id="0">
    <w:p w:rsidR="001C262C" w:rsidRDefault="001C2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51E" w:rsidRDefault="00EC35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9789552"/>
      <w:docPartObj>
        <w:docPartGallery w:val="Page Numbers (Bottom of Page)"/>
        <w:docPartUnique/>
      </w:docPartObj>
    </w:sdtPr>
    <w:sdtEndPr>
      <w:rPr>
        <w:noProof/>
      </w:rPr>
    </w:sdtEndPr>
    <w:sdtContent>
      <w:p w:rsidR="005F3B74" w:rsidRDefault="005F3B74">
        <w:pPr>
          <w:pStyle w:val="Footer"/>
          <w:jc w:val="center"/>
        </w:pPr>
        <w:r>
          <w:fldChar w:fldCharType="begin"/>
        </w:r>
        <w:r>
          <w:instrText xml:space="preserve"> PAGE   \* MERGEFORMAT </w:instrText>
        </w:r>
        <w:r>
          <w:fldChar w:fldCharType="separate"/>
        </w:r>
        <w:r w:rsidR="001B090D">
          <w:rPr>
            <w:noProof/>
          </w:rPr>
          <w:t>7</w:t>
        </w:r>
        <w:r>
          <w:rPr>
            <w:noProof/>
          </w:rPr>
          <w:fldChar w:fldCharType="end"/>
        </w:r>
      </w:p>
    </w:sdtContent>
  </w:sdt>
  <w:p w:rsidR="005F3B74" w:rsidRDefault="005F3B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51E" w:rsidRDefault="00EC35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62C" w:rsidRDefault="001C262C">
      <w:r>
        <w:separator/>
      </w:r>
    </w:p>
  </w:footnote>
  <w:footnote w:type="continuationSeparator" w:id="0">
    <w:p w:rsidR="001C262C" w:rsidRDefault="001C262C">
      <w:r>
        <w:continuationSeparator/>
      </w:r>
    </w:p>
  </w:footnote>
  <w:footnote w:id="1">
    <w:p w:rsidR="008E0F34" w:rsidRDefault="008E0F34" w:rsidP="00516697">
      <w:pPr>
        <w:pStyle w:val="FootnoteText"/>
        <w:spacing w:after="120"/>
      </w:pPr>
      <w:r>
        <w:rPr>
          <w:rStyle w:val="FootnoteReference"/>
        </w:rPr>
        <w:footnoteRef/>
      </w:r>
      <w:r>
        <w:t xml:space="preserve"> </w:t>
      </w:r>
      <w:r w:rsidR="005111ED" w:rsidRPr="005111ED">
        <w:t xml:space="preserve">STELA Reauthorization Act of 2014, Pub. L. No. 113-200 (“STELAR”), </w:t>
      </w:r>
      <w:r w:rsidR="005111ED">
        <w:t>§ 109, 128 Stat. 2059, 2065</w:t>
      </w:r>
      <w:r w:rsidR="005111ED" w:rsidRPr="005111ED">
        <w:t xml:space="preserve"> (2014).  </w:t>
      </w:r>
    </w:p>
  </w:footnote>
  <w:footnote w:id="2">
    <w:p w:rsidR="00EC6DC8" w:rsidRDefault="00EC6DC8" w:rsidP="00DC220D">
      <w:pPr>
        <w:pStyle w:val="FootnoteText"/>
        <w:spacing w:after="120"/>
      </w:pPr>
      <w:r>
        <w:rPr>
          <w:rStyle w:val="FootnoteReference"/>
        </w:rPr>
        <w:footnoteRef/>
      </w:r>
      <w:r>
        <w:t xml:space="preserve"> </w:t>
      </w:r>
      <w:r w:rsidR="001B331B">
        <w:t>T</w:t>
      </w:r>
      <w:r w:rsidR="005111ED">
        <w:t xml:space="preserve">he date of enactment </w:t>
      </w:r>
      <w:r w:rsidR="001B331B">
        <w:t>was</w:t>
      </w:r>
      <w:r w:rsidR="005111ED">
        <w:t xml:space="preserve"> Dec. 4, 2014.  Thus, the deadline </w:t>
      </w:r>
      <w:r w:rsidR="001B331B">
        <w:t xml:space="preserve">for </w:t>
      </w:r>
      <w:r w:rsidR="006653B9">
        <w:t>submitting th</w:t>
      </w:r>
      <w:r w:rsidR="00180DC6">
        <w:t>e STELAR Section 109 R</w:t>
      </w:r>
      <w:r w:rsidR="006653B9">
        <w:t>eport is June 3</w:t>
      </w:r>
      <w:r w:rsidR="005111ED">
        <w:t xml:space="preserve">, 2016.  </w:t>
      </w:r>
    </w:p>
  </w:footnote>
  <w:footnote w:id="3">
    <w:p w:rsidR="00A3561A" w:rsidRDefault="00A3561A" w:rsidP="00A3561A">
      <w:pPr>
        <w:pStyle w:val="FootnoteText"/>
        <w:spacing w:after="120"/>
      </w:pPr>
      <w:r>
        <w:rPr>
          <w:rStyle w:val="FootnoteReference"/>
        </w:rPr>
        <w:footnoteRef/>
      </w:r>
      <w:r>
        <w:t xml:space="preserve"> </w:t>
      </w:r>
      <w:r w:rsidRPr="00AF5BD8">
        <w:t xml:space="preserve">A DMA is a geographic area defined by The Nielsen Company as a group of counties that make up a particular television market.  These counties comprise the major viewing audience for the television stations located in their particular metropolitan area.  For the most part, the metropolitan areas correspond to the standard metropolitan statistical areas defined by the Federal Government Office of Management and Budget.  The geographic areas do not overlap, and most counties in the United States belong to only one DMA (some counties are divided by Nielsen and assigned to different DMAs).  DMAs are used in the evaluation of audience data as well as in the planning and buying of television advertising.  In addition, the DMA is used to define local markets for broadcast station carriage rights under must carry and retransmission consent.  In the satellite context, the statute requires that DMAs be used to define local markets.  </w:t>
      </w:r>
      <w:r w:rsidRPr="00AF5BD8">
        <w:rPr>
          <w:i/>
        </w:rPr>
        <w:t xml:space="preserve">See </w:t>
      </w:r>
      <w:r w:rsidRPr="00AF5BD8">
        <w:t xml:space="preserve">47 U.S.C § 338 (signal carriage rights) and 17 U.S.C. § 122 (copyright).  </w:t>
      </w:r>
    </w:p>
  </w:footnote>
  <w:footnote w:id="4">
    <w:p w:rsidR="00A3561A" w:rsidRPr="00D0177A" w:rsidRDefault="00A3561A" w:rsidP="00A3561A">
      <w:pPr>
        <w:pStyle w:val="FootnoteText"/>
        <w:spacing w:after="120"/>
        <w:rPr>
          <w:b/>
        </w:rPr>
      </w:pPr>
      <w:r>
        <w:rPr>
          <w:rStyle w:val="FootnoteReference"/>
        </w:rPr>
        <w:footnoteRef/>
      </w:r>
      <w:r>
        <w:t xml:space="preserve"> U.S. Senate, Committee on Commerce, Science, and Transportation.  </w:t>
      </w:r>
      <w:r>
        <w:rPr>
          <w:i/>
        </w:rPr>
        <w:t>Satellite Television Access and Viewer Rights Act</w:t>
      </w:r>
      <w:r>
        <w:t xml:space="preserve"> (S. Rpt. 113-322), at 15 (2014).  </w:t>
      </w:r>
    </w:p>
  </w:footnote>
  <w:footnote w:id="5">
    <w:p w:rsidR="00A3294D" w:rsidRDefault="00A3294D" w:rsidP="00A3294D">
      <w:pPr>
        <w:pStyle w:val="FootnoteText"/>
        <w:spacing w:after="120"/>
      </w:pPr>
      <w:r>
        <w:rPr>
          <w:rStyle w:val="FootnoteReference"/>
        </w:rPr>
        <w:footnoteRef/>
      </w:r>
      <w:r w:rsidR="00621023">
        <w:t xml:space="preserve"> O</w:t>
      </w:r>
      <w:r w:rsidR="00606F8F">
        <w:t>ut-of-State DMA</w:t>
      </w:r>
      <w:r w:rsidR="007642F3">
        <w:t>s</w:t>
      </w:r>
      <w:r w:rsidR="00621023">
        <w:t xml:space="preserve"> are</w:t>
      </w:r>
      <w:r>
        <w:t xml:space="preserve"> DMA</w:t>
      </w:r>
      <w:r w:rsidR="00621023">
        <w:t>s that include</w:t>
      </w:r>
      <w:r>
        <w:t xml:space="preserve"> counties from more than one State.  </w:t>
      </w:r>
    </w:p>
  </w:footnote>
  <w:footnote w:id="6">
    <w:p w:rsidR="00C57B34" w:rsidRDefault="00C57B34" w:rsidP="00C57B34">
      <w:pPr>
        <w:pStyle w:val="FootnoteText"/>
        <w:spacing w:after="120"/>
      </w:pPr>
      <w:r>
        <w:rPr>
          <w:rStyle w:val="FootnoteReference"/>
        </w:rPr>
        <w:footnoteRef/>
      </w:r>
      <w:r>
        <w:t xml:space="preserve"> Out-of-market broadcast stations are stations not assigned to the DMA.  </w:t>
      </w:r>
    </w:p>
  </w:footnote>
  <w:footnote w:id="7">
    <w:p w:rsidR="00117E12" w:rsidRDefault="00117E12" w:rsidP="00117E12">
      <w:pPr>
        <w:pStyle w:val="FootnoteText"/>
        <w:spacing w:after="120"/>
      </w:pPr>
      <w:r>
        <w:rPr>
          <w:rStyle w:val="FootnoteReference"/>
        </w:rPr>
        <w:footnoteRef/>
      </w:r>
      <w:r>
        <w:t xml:space="preserve"> </w:t>
      </w:r>
      <w:r w:rsidRPr="00931DF9">
        <w:rPr>
          <w:i/>
        </w:rPr>
        <w:t>See</w:t>
      </w:r>
      <w:r w:rsidRPr="00931DF9">
        <w:t xml:space="preserve"> </w:t>
      </w:r>
      <w:r w:rsidRPr="00931DF9">
        <w:rPr>
          <w:i/>
        </w:rPr>
        <w:t>In-State Broadcast Programming:  Report to Congress Pursuant to Section 304 of the Satellite Television Extension and Localism Act of 2010</w:t>
      </w:r>
      <w:r w:rsidRPr="00931DF9">
        <w:t>, MB Docket No. 10-238, Report, 26 FCC Rcd 11919 (2011) (“</w:t>
      </w:r>
      <w:r w:rsidR="00790F73" w:rsidRPr="00790F73">
        <w:rPr>
          <w:i/>
        </w:rPr>
        <w:t xml:space="preserve">2011 </w:t>
      </w:r>
      <w:r w:rsidRPr="00790F73">
        <w:rPr>
          <w:i/>
        </w:rPr>
        <w:t>STELA R</w:t>
      </w:r>
      <w:r w:rsidR="00790F73" w:rsidRPr="00790F73">
        <w:rPr>
          <w:i/>
        </w:rPr>
        <w:t>eport</w:t>
      </w:r>
      <w:r w:rsidRPr="00931DF9">
        <w:t xml:space="preserve">”).  </w:t>
      </w:r>
    </w:p>
  </w:footnote>
  <w:footnote w:id="8">
    <w:p w:rsidR="00967C3E" w:rsidRPr="00967C3E" w:rsidRDefault="00967C3E" w:rsidP="006B1E5B">
      <w:pPr>
        <w:pStyle w:val="FootnoteText"/>
        <w:spacing w:after="120"/>
      </w:pPr>
      <w:r>
        <w:rPr>
          <w:rStyle w:val="FootnoteReference"/>
        </w:rPr>
        <w:footnoteRef/>
      </w:r>
      <w:r>
        <w:t xml:space="preserve"> </w:t>
      </w:r>
      <w:r>
        <w:rPr>
          <w:i/>
        </w:rPr>
        <w:t xml:space="preserve">See, </w:t>
      </w:r>
      <w:r>
        <w:t xml:space="preserve">e.g.,  </w:t>
      </w:r>
      <w:r w:rsidR="00C30299" w:rsidRPr="00C30299">
        <w:rPr>
          <w:i/>
        </w:rPr>
        <w:t>2011 STELA Report</w:t>
      </w:r>
      <w:r>
        <w:t xml:space="preserve">, </w:t>
      </w:r>
      <w:r w:rsidR="0043726B">
        <w:t xml:space="preserve">26 FCC Rcd </w:t>
      </w:r>
      <w:r w:rsidR="00D359DF">
        <w:t xml:space="preserve">at 11959-12027, </w:t>
      </w:r>
      <w:r w:rsidR="00C30299">
        <w:t>Appendix B (Out-of</w:t>
      </w:r>
      <w:r>
        <w:t>-State Stations Receivable in Each State)</w:t>
      </w:r>
      <w:r w:rsidR="00D359DF">
        <w:t xml:space="preserve">; </w:t>
      </w:r>
      <w:r w:rsidR="00D359DF">
        <w:rPr>
          <w:i/>
        </w:rPr>
        <w:t xml:space="preserve">id. </w:t>
      </w:r>
      <w:r w:rsidR="00D359DF">
        <w:t>at 12045-12422,</w:t>
      </w:r>
      <w:r w:rsidR="0043726B">
        <w:t xml:space="preserve"> </w:t>
      </w:r>
      <w:r>
        <w:t xml:space="preserve">Appendix </w:t>
      </w:r>
      <w:r w:rsidR="00D376E6">
        <w:t>D (showing the assigned DMA for each out-of-market listed broadcast station.)</w:t>
      </w:r>
    </w:p>
  </w:footnote>
  <w:footnote w:id="9">
    <w:p w:rsidR="00516697" w:rsidRPr="00512430" w:rsidRDefault="00516697" w:rsidP="00512430">
      <w:pPr>
        <w:pStyle w:val="FootnoteText"/>
        <w:spacing w:after="120"/>
      </w:pPr>
      <w:r>
        <w:rPr>
          <w:rStyle w:val="FootnoteReference"/>
        </w:rPr>
        <w:footnoteRef/>
      </w:r>
      <w:r>
        <w:t xml:space="preserve"> </w:t>
      </w:r>
      <w:r w:rsidR="00FD6025">
        <w:t xml:space="preserve">We </w:t>
      </w:r>
      <w:r w:rsidR="00E16D9E">
        <w:t xml:space="preserve">have </w:t>
      </w:r>
      <w:r w:rsidR="00783EC0">
        <w:t xml:space="preserve">previously </w:t>
      </w:r>
      <w:r w:rsidR="00FD6025">
        <w:t xml:space="preserve">done similar analysis for </w:t>
      </w:r>
      <w:r w:rsidR="006371D9">
        <w:t xml:space="preserve">over-the-air reception of </w:t>
      </w:r>
      <w:r w:rsidR="00FE0E90">
        <w:t>in-S</w:t>
      </w:r>
      <w:r w:rsidR="00D935A8">
        <w:t xml:space="preserve">tate </w:t>
      </w:r>
      <w:r w:rsidR="006371D9">
        <w:t xml:space="preserve">broadcast stations </w:t>
      </w:r>
      <w:r w:rsidR="00783EC0">
        <w:t xml:space="preserve">and DBS carriage of </w:t>
      </w:r>
      <w:r w:rsidR="00FE0E90">
        <w:t>in-S</w:t>
      </w:r>
      <w:r w:rsidR="00D935A8">
        <w:t xml:space="preserve">tate </w:t>
      </w:r>
      <w:r w:rsidR="00783EC0">
        <w:t>broadcast stations</w:t>
      </w:r>
      <w:r w:rsidR="006371D9">
        <w:t xml:space="preserve">.  </w:t>
      </w:r>
      <w:r w:rsidR="00FD6025" w:rsidRPr="00FD6025">
        <w:rPr>
          <w:i/>
        </w:rPr>
        <w:t>See</w:t>
      </w:r>
      <w:r w:rsidR="00FD6025">
        <w:t xml:space="preserve"> </w:t>
      </w:r>
      <w:r w:rsidR="00C30299" w:rsidRPr="00C30299">
        <w:rPr>
          <w:i/>
        </w:rPr>
        <w:t xml:space="preserve">2011 </w:t>
      </w:r>
      <w:r w:rsidR="00C30299">
        <w:rPr>
          <w:i/>
        </w:rPr>
        <w:t>STELA Report</w:t>
      </w:r>
      <w:r w:rsidR="00931DF9">
        <w:t>,</w:t>
      </w:r>
      <w:r w:rsidR="00B9147D">
        <w:t xml:space="preserve"> 26 FCC Rcd </w:t>
      </w:r>
      <w:r w:rsidR="00D935A8">
        <w:t xml:space="preserve">11939-40 ¶¶ 35-36, and </w:t>
      </w:r>
      <w:r w:rsidR="000C6E96">
        <w:t>11941</w:t>
      </w:r>
      <w:r w:rsidR="00D935A8">
        <w:t>-42</w:t>
      </w:r>
      <w:r w:rsidR="000C6E96">
        <w:t>, ¶</w:t>
      </w:r>
      <w:r w:rsidR="00783EC0">
        <w:t>¶</w:t>
      </w:r>
      <w:r w:rsidR="00B662A1">
        <w:t> </w:t>
      </w:r>
      <w:r w:rsidR="000C6E96">
        <w:t>38</w:t>
      </w:r>
      <w:r w:rsidR="00D935A8">
        <w:t>-39</w:t>
      </w:r>
      <w:r w:rsidR="00B9147D">
        <w:t xml:space="preserve">.  </w:t>
      </w:r>
    </w:p>
  </w:footnote>
  <w:footnote w:id="10">
    <w:p w:rsidR="00046794" w:rsidRDefault="00046794" w:rsidP="00046794">
      <w:pPr>
        <w:pStyle w:val="FootnoteText"/>
        <w:spacing w:after="120"/>
      </w:pPr>
      <w:r>
        <w:rPr>
          <w:rStyle w:val="FootnoteReference"/>
        </w:rPr>
        <w:footnoteRef/>
      </w:r>
      <w:r>
        <w:t xml:space="preserve"> STELAR, § 108, 128 Stat. 2064-65.  </w:t>
      </w:r>
    </w:p>
  </w:footnote>
  <w:footnote w:id="11">
    <w:p w:rsidR="00997D1A" w:rsidRPr="00997D1A" w:rsidRDefault="00997D1A" w:rsidP="004F329F">
      <w:pPr>
        <w:pStyle w:val="FootnoteText"/>
        <w:spacing w:after="120"/>
      </w:pPr>
      <w:r>
        <w:rPr>
          <w:rStyle w:val="FootnoteReference"/>
        </w:rPr>
        <w:footnoteRef/>
      </w:r>
      <w:r>
        <w:t xml:space="preserve"> We have previously noted the difficulty of obtaining useful data for cable and telephone MVPDs.  </w:t>
      </w:r>
      <w:r w:rsidRPr="00997D1A">
        <w:rPr>
          <w:i/>
        </w:rPr>
        <w:t>See</w:t>
      </w:r>
      <w:r>
        <w:t xml:space="preserve"> </w:t>
      </w:r>
      <w:r w:rsidR="00C30299" w:rsidRPr="00C30299">
        <w:rPr>
          <w:i/>
        </w:rPr>
        <w:t xml:space="preserve">2011 </w:t>
      </w:r>
      <w:r w:rsidR="00C30299">
        <w:rPr>
          <w:i/>
        </w:rPr>
        <w:t>STELA Report</w:t>
      </w:r>
      <w:r>
        <w:t xml:space="preserve">, 26 FCC Rcd 11942, ¶ 40.  </w:t>
      </w:r>
    </w:p>
  </w:footnote>
  <w:footnote w:id="12">
    <w:p w:rsidR="00C848B6" w:rsidRDefault="00C848B6" w:rsidP="00C848B6">
      <w:pPr>
        <w:pStyle w:val="FootnoteText"/>
        <w:spacing w:after="120"/>
      </w:pPr>
      <w:r>
        <w:rPr>
          <w:rStyle w:val="FootnoteReference"/>
        </w:rPr>
        <w:footnoteRef/>
      </w:r>
      <w:r>
        <w:t xml:space="preserve"> </w:t>
      </w:r>
      <w:r w:rsidRPr="009E453C">
        <w:rPr>
          <w:i/>
        </w:rPr>
        <w:t>See</w:t>
      </w:r>
      <w:r w:rsidRPr="009E453C">
        <w:t xml:space="preserve"> </w:t>
      </w:r>
      <w:r w:rsidR="00C30299" w:rsidRPr="00C30299">
        <w:rPr>
          <w:i/>
        </w:rPr>
        <w:t xml:space="preserve">2011 </w:t>
      </w:r>
      <w:r w:rsidR="00C30299">
        <w:rPr>
          <w:i/>
        </w:rPr>
        <w:t>STELA Report</w:t>
      </w:r>
      <w:r w:rsidR="00E739D8" w:rsidRPr="009E453C">
        <w:t xml:space="preserve">, 26 FCC Rcd 11940-41, ¶ 37.  </w:t>
      </w:r>
      <w:r w:rsidRPr="009E453C">
        <w:t>Out-of-market broadcast stations with lower cumulative ratings were not included in the Nielsen data.</w:t>
      </w:r>
      <w:r>
        <w:rPr>
          <w:sz w:val="22"/>
          <w:szCs w:val="22"/>
        </w:rPr>
        <w:t xml:space="preserve">  </w:t>
      </w:r>
    </w:p>
  </w:footnote>
  <w:footnote w:id="13">
    <w:p w:rsidR="00844876" w:rsidRDefault="00844876" w:rsidP="00844876">
      <w:pPr>
        <w:pStyle w:val="FootnoteText"/>
        <w:spacing w:after="120"/>
      </w:pPr>
      <w:r>
        <w:rPr>
          <w:rStyle w:val="FootnoteReference"/>
        </w:rPr>
        <w:footnoteRef/>
      </w:r>
      <w:r>
        <w:t xml:space="preserve"> The Commission’s reporting requirement collects additional information on a random sample of cable systems with between 5,000 and 20,000 subscribers and a random sample of cable systems with fewer than 5,000 subscribers.  </w:t>
      </w:r>
    </w:p>
  </w:footnote>
  <w:footnote w:id="14">
    <w:p w:rsidR="00CE7E54" w:rsidRDefault="00CE7E54" w:rsidP="00DC220D">
      <w:pPr>
        <w:pStyle w:val="FootnoteText"/>
        <w:spacing w:after="120"/>
      </w:pPr>
      <w:r>
        <w:rPr>
          <w:rStyle w:val="FootnoteReference"/>
        </w:rPr>
        <w:footnoteRef/>
      </w:r>
      <w:r>
        <w:t xml:space="preserve"> We also have no reliable method for converting the geographic area of a cable system to census blocks, counties, or other common geographic units.  </w:t>
      </w:r>
    </w:p>
  </w:footnote>
  <w:footnote w:id="15">
    <w:p w:rsidR="008E361C" w:rsidRDefault="008E361C" w:rsidP="008E361C">
      <w:pPr>
        <w:pStyle w:val="FootnoteText"/>
        <w:spacing w:after="120"/>
      </w:pPr>
      <w:r>
        <w:rPr>
          <w:rStyle w:val="FootnoteReference"/>
        </w:rPr>
        <w:footnoteRef/>
      </w:r>
      <w:r>
        <w:t xml:space="preserve"> </w:t>
      </w:r>
      <w:r w:rsidRPr="008E361C">
        <w:rPr>
          <w:i/>
        </w:rPr>
        <w:t>See Implementation of Section 3 of the Cable Television Consumer Protection and Competition Act of 1992, Statistical Report on Average Rates for Basic Service, Cable Programming Service, and Equipment</w:t>
      </w:r>
      <w:r>
        <w:t xml:space="preserve">, MM Docket No. 92-266, 29 FCC Rcd 5280 (2014).  </w:t>
      </w:r>
    </w:p>
  </w:footnote>
  <w:footnote w:id="16">
    <w:p w:rsidR="00F7630C" w:rsidRDefault="00F7630C" w:rsidP="00F7630C">
      <w:pPr>
        <w:pStyle w:val="FootnoteText"/>
        <w:spacing w:after="120"/>
      </w:pPr>
      <w:r>
        <w:rPr>
          <w:rStyle w:val="FootnoteReference"/>
        </w:rPr>
        <w:footnoteRef/>
      </w:r>
      <w:r>
        <w:t xml:space="preserve"> </w:t>
      </w:r>
      <w:r w:rsidRPr="004B654C">
        <w:rPr>
          <w:i/>
        </w:rPr>
        <w:t>Id</w:t>
      </w:r>
      <w:r>
        <w:t>. at 5283, ¶ 8.</w:t>
      </w:r>
    </w:p>
  </w:footnote>
  <w:footnote w:id="17">
    <w:p w:rsidR="00F7630C" w:rsidRDefault="00F7630C" w:rsidP="00F7630C">
      <w:pPr>
        <w:pStyle w:val="FootnoteText"/>
        <w:spacing w:after="120"/>
      </w:pPr>
      <w:r>
        <w:rPr>
          <w:rStyle w:val="FootnoteReference"/>
        </w:rPr>
        <w:footnoteRef/>
      </w:r>
      <w:r>
        <w:t xml:space="preserve"> </w:t>
      </w:r>
      <w:r w:rsidRPr="00F7630C">
        <w:rPr>
          <w:i/>
        </w:rPr>
        <w:t>Id</w:t>
      </w:r>
      <w:r>
        <w:t>.</w:t>
      </w:r>
    </w:p>
  </w:footnote>
  <w:footnote w:id="18">
    <w:p w:rsidR="00C20BA7" w:rsidRDefault="00C20BA7" w:rsidP="00C20BA7">
      <w:pPr>
        <w:pStyle w:val="FootnoteText"/>
        <w:spacing w:after="120"/>
      </w:pPr>
      <w:r>
        <w:rPr>
          <w:rStyle w:val="FootnoteReference"/>
        </w:rPr>
        <w:footnoteRef/>
      </w:r>
      <w:r>
        <w:t xml:space="preserve"> </w:t>
      </w:r>
      <w:r w:rsidRPr="00997D1A">
        <w:rPr>
          <w:i/>
        </w:rPr>
        <w:t>See</w:t>
      </w:r>
      <w:r>
        <w:t xml:space="preserve"> </w:t>
      </w:r>
      <w:r w:rsidR="00C30299" w:rsidRPr="00C30299">
        <w:rPr>
          <w:i/>
        </w:rPr>
        <w:t xml:space="preserve">2011 </w:t>
      </w:r>
      <w:r w:rsidRPr="00123165">
        <w:rPr>
          <w:i/>
        </w:rPr>
        <w:t>STELA Report</w:t>
      </w:r>
      <w:r>
        <w:t xml:space="preserve">, 26 FCC Rcd 11942-43, ¶¶ 41-42, and Appendix F.  </w:t>
      </w:r>
    </w:p>
  </w:footnote>
  <w:footnote w:id="19">
    <w:p w:rsidR="007B6912" w:rsidRDefault="007B6912" w:rsidP="00585617">
      <w:pPr>
        <w:pStyle w:val="FootnoteText"/>
        <w:spacing w:after="120"/>
      </w:pPr>
      <w:r>
        <w:rPr>
          <w:rStyle w:val="FootnoteReference"/>
        </w:rPr>
        <w:footnoteRef/>
      </w:r>
      <w:r>
        <w:t xml:space="preserve"> Warren Communications News, Television &amp; Cable Factbook Online, </w:t>
      </w:r>
      <w:hyperlink r:id="rId1" w:history="1">
        <w:r>
          <w:rPr>
            <w:rStyle w:val="Hyperlink"/>
          </w:rPr>
          <w:t>http://www.tvcablefactbook.com/</w:t>
        </w:r>
      </w:hyperlink>
      <w:r w:rsidR="00585617">
        <w:t xml:space="preserve"> (visited Feb. 18, 2015).</w:t>
      </w:r>
    </w:p>
  </w:footnote>
  <w:footnote w:id="20">
    <w:p w:rsidR="004F329F" w:rsidRDefault="004F329F" w:rsidP="004F329F">
      <w:pPr>
        <w:pStyle w:val="FootnoteText"/>
        <w:spacing w:after="120"/>
      </w:pPr>
      <w:r>
        <w:rPr>
          <w:rStyle w:val="FootnoteReference"/>
        </w:rPr>
        <w:footnoteRef/>
      </w:r>
      <w:r>
        <w:t xml:space="preserve"> We have previously analyzed alternatives to DMAs to define local markets.  </w:t>
      </w:r>
      <w:r w:rsidRPr="00997D1A">
        <w:rPr>
          <w:i/>
        </w:rPr>
        <w:t>See</w:t>
      </w:r>
      <w:r>
        <w:t xml:space="preserve"> </w:t>
      </w:r>
      <w:r w:rsidR="00C30299" w:rsidRPr="00C30299">
        <w:rPr>
          <w:i/>
        </w:rPr>
        <w:t xml:space="preserve">2011 </w:t>
      </w:r>
      <w:r w:rsidRPr="00123165">
        <w:rPr>
          <w:i/>
        </w:rPr>
        <w:t>STELA Report</w:t>
      </w:r>
      <w:r>
        <w:t xml:space="preserve">, 26 FCC Rcd 11944-54, ¶¶ 45-67.  </w:t>
      </w:r>
    </w:p>
  </w:footnote>
  <w:footnote w:id="21">
    <w:p w:rsidR="00CB724C" w:rsidRPr="00DD0F7D" w:rsidRDefault="00CB724C" w:rsidP="00DB7300">
      <w:pPr>
        <w:pStyle w:val="FootnoteText"/>
        <w:spacing w:after="120"/>
        <w:rPr>
          <w:b/>
        </w:rPr>
      </w:pPr>
      <w:r>
        <w:rPr>
          <w:rStyle w:val="FootnoteReference"/>
        </w:rPr>
        <w:footnoteRef/>
      </w:r>
      <w:r>
        <w:t xml:space="preserve"> We note that</w:t>
      </w:r>
      <w:r w:rsidR="00796528">
        <w:t xml:space="preserve"> STELAR </w:t>
      </w:r>
      <w:r w:rsidR="000750D1">
        <w:t xml:space="preserve">§ 102 </w:t>
      </w:r>
      <w:r w:rsidR="00796528">
        <w:t xml:space="preserve">enacts the Commission’s recommendation in the </w:t>
      </w:r>
      <w:r w:rsidR="00C30299" w:rsidRPr="00C30299">
        <w:rPr>
          <w:i/>
        </w:rPr>
        <w:t xml:space="preserve">2011 </w:t>
      </w:r>
      <w:r w:rsidR="00796528" w:rsidRPr="00C30299">
        <w:rPr>
          <w:i/>
        </w:rPr>
        <w:t>STELA Report</w:t>
      </w:r>
      <w:r w:rsidR="00796528">
        <w:t xml:space="preserve"> to provide a process </w:t>
      </w:r>
      <w:r>
        <w:t>to modify markets for satellite carriers similar to the market modificatio</w:t>
      </w:r>
      <w:r w:rsidR="000750D1">
        <w:t xml:space="preserve">ns permitted for cable systems.  STELAR § 102, 128 Stat. 2060-62.  </w:t>
      </w:r>
    </w:p>
  </w:footnote>
  <w:footnote w:id="22">
    <w:p w:rsidR="00561F2F" w:rsidRPr="00561F2F" w:rsidRDefault="00561F2F" w:rsidP="00DB7300">
      <w:pPr>
        <w:pStyle w:val="FootnoteText"/>
        <w:spacing w:after="120"/>
      </w:pPr>
      <w:r>
        <w:rPr>
          <w:rStyle w:val="FootnoteReference"/>
        </w:rPr>
        <w:footnoteRef/>
      </w:r>
      <w:r>
        <w:t xml:space="preserve"> </w:t>
      </w:r>
      <w:r w:rsidRPr="00561F2F">
        <w:rPr>
          <w:rFonts w:eastAsiaTheme="minorHAnsi"/>
        </w:rPr>
        <w:t xml:space="preserve">For example, the Salt Lake City DMA includes all of Utah, three counties in Nevada, three counties in Idaho, and four counties in Wyoming.  </w:t>
      </w:r>
    </w:p>
  </w:footnote>
  <w:footnote w:id="23">
    <w:p w:rsidR="00561F2F" w:rsidRPr="004A0C10" w:rsidRDefault="00561F2F" w:rsidP="00DB7300">
      <w:pPr>
        <w:pStyle w:val="FootnoteText"/>
        <w:spacing w:after="120"/>
        <w:rPr>
          <w:b/>
        </w:rPr>
      </w:pPr>
      <w:r>
        <w:rPr>
          <w:rStyle w:val="FootnoteReference"/>
        </w:rPr>
        <w:footnoteRef/>
      </w:r>
      <w:r>
        <w:t xml:space="preserve"> </w:t>
      </w:r>
      <w:r w:rsidR="00F72686">
        <w:t xml:space="preserve">To define </w:t>
      </w:r>
      <w:r w:rsidR="004C6CD9">
        <w:t>“</w:t>
      </w:r>
      <w:r w:rsidR="0049118A">
        <w:t>rural areas</w:t>
      </w:r>
      <w:r w:rsidR="00F72686">
        <w:t>” we propose</w:t>
      </w:r>
      <w:r w:rsidR="0049118A">
        <w:t xml:space="preserve"> to </w:t>
      </w:r>
      <w:r w:rsidR="00F72686">
        <w:t xml:space="preserve">use </w:t>
      </w:r>
      <w:r w:rsidR="00C95BF3">
        <w:t xml:space="preserve">the </w:t>
      </w:r>
      <w:r w:rsidR="002A2035">
        <w:t xml:space="preserve">U.S. </w:t>
      </w:r>
      <w:r w:rsidR="00C95BF3">
        <w:t xml:space="preserve">Office of Management and Budget </w:t>
      </w:r>
      <w:r w:rsidR="002A2035">
        <w:t xml:space="preserve">guidelines </w:t>
      </w:r>
      <w:r w:rsidR="00F72686">
        <w:t xml:space="preserve">that </w:t>
      </w:r>
      <w:r w:rsidR="00C95BF3">
        <w:t xml:space="preserve">define a rural county.  </w:t>
      </w:r>
      <w:r w:rsidR="00C95BF3" w:rsidRPr="00C95BF3">
        <w:rPr>
          <w:i/>
        </w:rPr>
        <w:t>See</w:t>
      </w:r>
      <w:r w:rsidR="00C95BF3">
        <w:t xml:space="preserve"> </w:t>
      </w:r>
      <w:hyperlink r:id="rId2" w:history="1">
        <w:r w:rsidR="00C95BF3" w:rsidRPr="003F2DE3">
          <w:rPr>
            <w:rStyle w:val="Hyperlink"/>
          </w:rPr>
          <w:t>http://www.hrsa.gov/ruralhealth/policy/definition_of_rural.html</w:t>
        </w:r>
      </w:hyperlink>
      <w:r w:rsidR="00C95BF3">
        <w:t xml:space="preserve"> (visited Feb. 18, 2015).  </w:t>
      </w:r>
      <w:r w:rsidR="00D6354E">
        <w:t xml:space="preserve">Hooker County, Nebraska </w:t>
      </w:r>
      <w:r w:rsidR="00AA768E">
        <w:t xml:space="preserve">is </w:t>
      </w:r>
      <w:r w:rsidR="000E4BB7">
        <w:t xml:space="preserve">an </w:t>
      </w:r>
      <w:r w:rsidR="00C95BF3">
        <w:t xml:space="preserve">example of a </w:t>
      </w:r>
      <w:r w:rsidR="009F69CA">
        <w:t>rural county a</w:t>
      </w:r>
      <w:r w:rsidR="00D6354E">
        <w:t>ssigned to an out-of-State DMA (</w:t>
      </w:r>
      <w:r w:rsidR="009F69CA" w:rsidRPr="00D6354E">
        <w:rPr>
          <w:i/>
        </w:rPr>
        <w:t>i.e.</w:t>
      </w:r>
      <w:r w:rsidR="009F69CA">
        <w:t xml:space="preserve">, </w:t>
      </w:r>
      <w:r w:rsidR="004A0C10">
        <w:t>the Denver DMA</w:t>
      </w:r>
      <w:r w:rsidR="00D6354E">
        <w:t>)</w:t>
      </w:r>
      <w:r w:rsidR="004A0C10">
        <w:t xml:space="preserve">.   </w:t>
      </w:r>
      <w:r w:rsidR="004A0C10">
        <w:rPr>
          <w:i/>
        </w:rPr>
        <w:t xml:space="preserve">See </w:t>
      </w:r>
      <w:r w:rsidR="00CB0638" w:rsidRPr="00C30299">
        <w:rPr>
          <w:i/>
        </w:rPr>
        <w:t xml:space="preserve">2011 </w:t>
      </w:r>
      <w:r w:rsidR="004A0C10" w:rsidRPr="00C30299">
        <w:rPr>
          <w:i/>
        </w:rPr>
        <w:t>STELA Report</w:t>
      </w:r>
      <w:r w:rsidR="00B662A1">
        <w:t>, 26</w:t>
      </w:r>
      <w:r w:rsidR="00E52DC9">
        <w:t xml:space="preserve"> FCC Rcd 12484, Appendix F, VI.</w:t>
      </w:r>
      <w:r w:rsidR="00B662A1">
        <w:t>A.</w:t>
      </w:r>
      <w:r w:rsidR="004A0C10">
        <w:t xml:space="preserve">  </w:t>
      </w:r>
    </w:p>
  </w:footnote>
  <w:footnote w:id="24">
    <w:p w:rsidR="00561F2F" w:rsidRDefault="00561F2F">
      <w:pPr>
        <w:pStyle w:val="FootnoteText"/>
      </w:pPr>
      <w:r>
        <w:rPr>
          <w:rStyle w:val="FootnoteReference"/>
        </w:rPr>
        <w:footnoteRef/>
      </w:r>
      <w:r>
        <w:t xml:space="preserve"> </w:t>
      </w:r>
      <w:r w:rsidR="00101150">
        <w:t>For example</w:t>
      </w:r>
      <w:r w:rsidR="00101150" w:rsidRPr="00101150">
        <w:t>, t</w:t>
      </w:r>
      <w:r w:rsidR="00101150" w:rsidRPr="0001784E">
        <w:rPr>
          <w:rFonts w:eastAsiaTheme="minorHAnsi"/>
        </w:rPr>
        <w:t>he counties of New Jersey are divided between the New York DMA and the Philadelphia DMA</w:t>
      </w:r>
      <w:r w:rsidR="00101150">
        <w:rPr>
          <w:rFonts w:eastAsiaTheme="minorHAns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51E" w:rsidRDefault="00EC35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51E" w:rsidRDefault="00EC35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79" w:rsidRDefault="00161776">
    <w:pPr>
      <w:pStyle w:val="Header"/>
      <w:tabs>
        <w:tab w:val="clear" w:pos="4320"/>
        <w:tab w:val="clear" w:pos="8640"/>
        <w:tab w:val="left" w:pos="1080"/>
      </w:tabs>
      <w:spacing w:line="1120" w:lineRule="exact"/>
      <w:ind w:left="720"/>
      <w:rPr>
        <w:rFonts w:ascii="Arial" w:hAnsi="Arial"/>
        <w:b/>
        <w:sz w:val="96"/>
      </w:rPr>
    </w:pPr>
    <w:r>
      <w:rPr>
        <w:rFonts w:ascii="Arial" w:hAnsi="Arial"/>
        <w:b/>
        <w:noProof/>
        <w:sz w:val="24"/>
      </w:rPr>
      <mc:AlternateContent>
        <mc:Choice Requires="wps">
          <w:drawing>
            <wp:anchor distT="0" distB="0" distL="114300" distR="114300" simplePos="0" relativeHeight="251658240" behindDoc="0" locked="0" layoutInCell="0" allowOverlap="1" wp14:anchorId="21F61F64" wp14:editId="7A1F084E">
              <wp:simplePos x="0" y="0"/>
              <wp:positionH relativeFrom="column">
                <wp:posOffset>4108450</wp:posOffset>
              </wp:positionH>
              <wp:positionV relativeFrom="paragraph">
                <wp:posOffset>692150</wp:posOffset>
              </wp:positionV>
              <wp:extent cx="4121150" cy="66802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1150" cy="668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7A79" w:rsidRDefault="00F50570">
                          <w:pPr>
                            <w:spacing w:before="40"/>
                            <w:jc w:val="right"/>
                            <w:rPr>
                              <w:rFonts w:ascii="Arial" w:hAnsi="Arial"/>
                              <w:sz w:val="16"/>
                            </w:rPr>
                          </w:pPr>
                          <w:r>
                            <w:rPr>
                              <w:rFonts w:ascii="Arial" w:hAnsi="Arial"/>
                              <w:sz w:val="16"/>
                            </w:rPr>
                            <w:tab/>
                          </w:r>
                        </w:p>
                        <w:p w:rsidR="00177A79" w:rsidRDefault="00F50570" w:rsidP="002C7834">
                          <w:pPr>
                            <w:spacing w:before="40"/>
                            <w:ind w:right="2060"/>
                            <w:rPr>
                              <w:rFonts w:ascii="Arial" w:hAnsi="Arial"/>
                              <w:b/>
                              <w:sz w:val="16"/>
                            </w:rPr>
                          </w:pPr>
                          <w:r>
                            <w:rPr>
                              <w:rFonts w:ascii="Arial" w:hAnsi="Arial"/>
                              <w:b/>
                              <w:sz w:val="16"/>
                            </w:rPr>
                            <w:t>News Media Information 202 / 418-0500</w:t>
                          </w:r>
                        </w:p>
                        <w:p w:rsidR="00177A79" w:rsidRDefault="00F50570" w:rsidP="002C7834">
                          <w:pPr>
                            <w:ind w:left="900"/>
                            <w:rPr>
                              <w:rFonts w:ascii="Arial" w:hAnsi="Arial"/>
                              <w:b/>
                              <w:sz w:val="16"/>
                            </w:rPr>
                          </w:pPr>
                          <w:r>
                            <w:rPr>
                              <w:rFonts w:ascii="Arial" w:hAnsi="Arial"/>
                              <w:b/>
                              <w:sz w:val="16"/>
                            </w:rPr>
                            <w:t xml:space="preserve">Internet: </w:t>
                          </w:r>
                          <w:bookmarkStart w:id="1" w:name="_Hlt233824"/>
                          <w:r w:rsidR="00161776">
                            <w:rPr>
                              <w:rFonts w:ascii="Arial" w:hAnsi="Arial"/>
                              <w:b/>
                              <w:sz w:val="16"/>
                            </w:rPr>
                            <w:fldChar w:fldCharType="begin"/>
                          </w:r>
                          <w:r w:rsidR="00663183">
                            <w:rPr>
                              <w:rFonts w:ascii="Arial" w:hAnsi="Arial"/>
                              <w:b/>
                              <w:sz w:val="16"/>
                            </w:rPr>
                            <w:instrText>HYPERLINK "http://www.fcc.gov/"</w:instrText>
                          </w:r>
                          <w:r w:rsidR="00663183">
                            <w:rPr>
                              <w:rFonts w:ascii="Arial" w:hAnsi="Arial"/>
                              <w:b/>
                              <w:sz w:val="16"/>
                            </w:rPr>
                          </w:r>
                          <w:r w:rsidR="00161776">
                            <w:rPr>
                              <w:rFonts w:ascii="Arial" w:hAnsi="Arial"/>
                              <w:b/>
                              <w:sz w:val="16"/>
                            </w:rPr>
                            <w:fldChar w:fldCharType="separate"/>
                          </w:r>
                          <w:r w:rsidR="00161776" w:rsidRPr="0046298A">
                            <w:rPr>
                              <w:rStyle w:val="Hyperlink"/>
                              <w:rFonts w:ascii="Arial" w:hAnsi="Arial"/>
                              <w:b/>
                              <w:sz w:val="16"/>
                            </w:rPr>
                            <w:t>h</w:t>
                          </w:r>
                          <w:bookmarkEnd w:id="1"/>
                          <w:r w:rsidR="00161776" w:rsidRPr="0046298A">
                            <w:rPr>
                              <w:rStyle w:val="Hyperlink"/>
                              <w:rFonts w:ascii="Arial" w:hAnsi="Arial"/>
                              <w:b/>
                              <w:sz w:val="16"/>
                            </w:rPr>
                            <w:t>ttp://www.fcc.gov</w:t>
                          </w:r>
                          <w:r w:rsidR="00161776">
                            <w:rPr>
                              <w:rFonts w:ascii="Arial" w:hAnsi="Arial"/>
                              <w:b/>
                              <w:sz w:val="16"/>
                            </w:rPr>
                            <w:fldChar w:fldCharType="end"/>
                          </w:r>
                        </w:p>
                        <w:p w:rsidR="00161776" w:rsidRDefault="00161776" w:rsidP="002C7834">
                          <w:pPr>
                            <w:ind w:left="900"/>
                            <w:rPr>
                              <w:rFonts w:ascii="Arial" w:hAnsi="Arial"/>
                              <w:b/>
                              <w:sz w:val="16"/>
                            </w:rPr>
                          </w:pPr>
                          <w:r>
                            <w:rPr>
                              <w:rFonts w:ascii="Arial" w:hAnsi="Arial"/>
                              <w:b/>
                              <w:sz w:val="16"/>
                            </w:rPr>
                            <w:tab/>
                            <w:t>TTY: 1-888-835-5322</w:t>
                          </w:r>
                        </w:p>
                        <w:p w:rsidR="00177A79" w:rsidRDefault="00F50570">
                          <w:pPr>
                            <w:jc w:val="right"/>
                            <w:rPr>
                              <w:rFonts w:ascii="Arial" w:hAnsi="Arial"/>
                              <w:b/>
                              <w:sz w:val="16"/>
                            </w:rPr>
                          </w:pPr>
                          <w:r>
                            <w:rPr>
                              <w:rFonts w:ascii="Arial" w:hAnsi="Arial"/>
                              <w:b/>
                              <w:sz w:val="16"/>
                            </w:rPr>
                            <w:t>TY: 1-888-835-5322</w:t>
                          </w:r>
                        </w:p>
                        <w:p w:rsidR="00177A79" w:rsidRDefault="00177A79">
                          <w:pPr>
                            <w:jc w:val="right"/>
                          </w:pPr>
                        </w:p>
                        <w:p w:rsidR="00177A79" w:rsidRDefault="00177A79">
                          <w:pPr>
                            <w:jc w:val="right"/>
                            <w:rPr>
                              <w:rFonts w:ascii="Arial" w:hAnsi="Arial"/>
                              <w:sz w:val="16"/>
                            </w:rPr>
                          </w:pPr>
                        </w:p>
                        <w:p w:rsidR="00177A79" w:rsidRDefault="00F50570">
                          <w:pPr>
                            <w:jc w:val="right"/>
                            <w:rPr>
                              <w:rFonts w:ascii="Arial" w:hAnsi="Arial"/>
                              <w:sz w:val="16"/>
                            </w:rPr>
                          </w:pPr>
                          <w:r>
                            <w:rPr>
                              <w:rFonts w:ascii="Arial" w:hAnsi="Arial"/>
                              <w:sz w:val="16"/>
                            </w:rPr>
                            <w:tab/>
                          </w:r>
                        </w:p>
                        <w:p w:rsidR="00177A79" w:rsidRDefault="00F50570">
                          <w:pPr>
                            <w:jc w:val="right"/>
                            <w:rPr>
                              <w:rFonts w:ascii="Arial" w:hAnsi="Arial"/>
                              <w:sz w:val="16"/>
                            </w:rPr>
                          </w:pPr>
                          <w:r>
                            <w:rPr>
                              <w:rFonts w:ascii="Arial" w:hAnsi="Arial"/>
                              <w:sz w:val="16"/>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23.5pt;margin-top:54.5pt;width:324.5pt;height:5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" o:allowincell="f" stroked="f">
              <v:textbox>
                <w:txbxContent>
                  <w:p w:rsidR="00177A79" w:rsidRDefault="00F50570">
                    <w:pPr>
                      <w:spacing w:before="40"/>
                      <w:jc w:val="right"/>
                      <w:rPr>
                        <w:rFonts w:ascii="Arial" w:hAnsi="Arial"/>
                        <w:sz w:val="16"/>
                      </w:rPr>
                    </w:pPr>
                    <w:r>
                      <w:rPr>
                        <w:rFonts w:ascii="Arial" w:hAnsi="Arial"/>
                        <w:sz w:val="16"/>
                      </w:rPr>
                      <w:tab/>
                    </w:r>
                  </w:p>
                  <w:p w:rsidR="00177A79" w:rsidRDefault="00F50570" w:rsidP="002C7834">
                    <w:pPr>
                      <w:spacing w:before="40"/>
                      <w:ind w:right="2060"/>
                      <w:rPr>
                        <w:rFonts w:ascii="Arial" w:hAnsi="Arial"/>
                        <w:b/>
                        <w:sz w:val="16"/>
                      </w:rPr>
                    </w:pPr>
                    <w:r>
                      <w:rPr>
                        <w:rFonts w:ascii="Arial" w:hAnsi="Arial"/>
                        <w:b/>
                        <w:sz w:val="16"/>
                      </w:rPr>
                      <w:t>News Media Information 202 / 418-0500</w:t>
                    </w:r>
                  </w:p>
                  <w:p w:rsidR="00177A79" w:rsidRDefault="00F50570" w:rsidP="002C7834">
                    <w:pPr>
                      <w:ind w:left="900"/>
                      <w:rPr>
                        <w:rFonts w:ascii="Arial" w:hAnsi="Arial"/>
                        <w:b/>
                        <w:sz w:val="16"/>
                      </w:rPr>
                    </w:pPr>
                    <w:r>
                      <w:rPr>
                        <w:rFonts w:ascii="Arial" w:hAnsi="Arial"/>
                        <w:b/>
                        <w:sz w:val="16"/>
                      </w:rPr>
                      <w:t xml:space="preserve">Internet: </w:t>
                    </w:r>
                    <w:bookmarkStart w:id="2" w:name="_Hlt233824"/>
                    <w:r w:rsidR="00161776">
                      <w:rPr>
                        <w:rFonts w:ascii="Arial" w:hAnsi="Arial"/>
                        <w:b/>
                        <w:sz w:val="16"/>
                      </w:rPr>
                      <w:fldChar w:fldCharType="begin"/>
                    </w:r>
                    <w:r w:rsidR="00663183">
                      <w:rPr>
                        <w:rFonts w:ascii="Arial" w:hAnsi="Arial"/>
                        <w:b/>
                        <w:sz w:val="16"/>
                      </w:rPr>
                      <w:instrText>HYPERLINK "http://www.fcc.gov/"</w:instrText>
                    </w:r>
                    <w:r w:rsidR="00663183">
                      <w:rPr>
                        <w:rFonts w:ascii="Arial" w:hAnsi="Arial"/>
                        <w:b/>
                        <w:sz w:val="16"/>
                      </w:rPr>
                    </w:r>
                    <w:r w:rsidR="00161776">
                      <w:rPr>
                        <w:rFonts w:ascii="Arial" w:hAnsi="Arial"/>
                        <w:b/>
                        <w:sz w:val="16"/>
                      </w:rPr>
                      <w:fldChar w:fldCharType="separate"/>
                    </w:r>
                    <w:r w:rsidR="00161776" w:rsidRPr="0046298A">
                      <w:rPr>
                        <w:rStyle w:val="Hyperlink"/>
                        <w:rFonts w:ascii="Arial" w:hAnsi="Arial"/>
                        <w:b/>
                        <w:sz w:val="16"/>
                      </w:rPr>
                      <w:t>h</w:t>
                    </w:r>
                    <w:bookmarkEnd w:id="2"/>
                    <w:r w:rsidR="00161776" w:rsidRPr="0046298A">
                      <w:rPr>
                        <w:rStyle w:val="Hyperlink"/>
                        <w:rFonts w:ascii="Arial" w:hAnsi="Arial"/>
                        <w:b/>
                        <w:sz w:val="16"/>
                      </w:rPr>
                      <w:t>ttp://www.fcc.gov</w:t>
                    </w:r>
                    <w:r w:rsidR="00161776">
                      <w:rPr>
                        <w:rFonts w:ascii="Arial" w:hAnsi="Arial"/>
                        <w:b/>
                        <w:sz w:val="16"/>
                      </w:rPr>
                      <w:fldChar w:fldCharType="end"/>
                    </w:r>
                  </w:p>
                  <w:p w:rsidR="00161776" w:rsidRDefault="00161776" w:rsidP="002C7834">
                    <w:pPr>
                      <w:ind w:left="900"/>
                      <w:rPr>
                        <w:rFonts w:ascii="Arial" w:hAnsi="Arial"/>
                        <w:b/>
                        <w:sz w:val="16"/>
                      </w:rPr>
                    </w:pPr>
                    <w:r>
                      <w:rPr>
                        <w:rFonts w:ascii="Arial" w:hAnsi="Arial"/>
                        <w:b/>
                        <w:sz w:val="16"/>
                      </w:rPr>
                      <w:tab/>
                      <w:t>TTY: 1-888-835-5322</w:t>
                    </w:r>
                  </w:p>
                  <w:p w:rsidR="00177A79" w:rsidRDefault="00F50570">
                    <w:pPr>
                      <w:jc w:val="right"/>
                      <w:rPr>
                        <w:rFonts w:ascii="Arial" w:hAnsi="Arial"/>
                        <w:b/>
                        <w:sz w:val="16"/>
                      </w:rPr>
                    </w:pPr>
                    <w:r>
                      <w:rPr>
                        <w:rFonts w:ascii="Arial" w:hAnsi="Arial"/>
                        <w:b/>
                        <w:sz w:val="16"/>
                      </w:rPr>
                      <w:t>TY: 1-888-835-5322</w:t>
                    </w:r>
                  </w:p>
                  <w:p w:rsidR="00177A79" w:rsidRDefault="00177A79">
                    <w:pPr>
                      <w:jc w:val="right"/>
                    </w:pPr>
                  </w:p>
                  <w:p w:rsidR="00177A79" w:rsidRDefault="00177A79">
                    <w:pPr>
                      <w:jc w:val="right"/>
                      <w:rPr>
                        <w:rFonts w:ascii="Arial" w:hAnsi="Arial"/>
                        <w:sz w:val="16"/>
                      </w:rPr>
                    </w:pPr>
                  </w:p>
                  <w:p w:rsidR="00177A79" w:rsidRDefault="00F50570">
                    <w:pPr>
                      <w:jc w:val="right"/>
                      <w:rPr>
                        <w:rFonts w:ascii="Arial" w:hAnsi="Arial"/>
                        <w:sz w:val="16"/>
                      </w:rPr>
                    </w:pPr>
                    <w:r>
                      <w:rPr>
                        <w:rFonts w:ascii="Arial" w:hAnsi="Arial"/>
                        <w:sz w:val="16"/>
                      </w:rPr>
                      <w:tab/>
                    </w:r>
                  </w:p>
                  <w:p w:rsidR="00177A79" w:rsidRDefault="00F50570">
                    <w:pPr>
                      <w:jc w:val="right"/>
                      <w:rPr>
                        <w:rFonts w:ascii="Arial" w:hAnsi="Arial"/>
                        <w:sz w:val="16"/>
                      </w:rPr>
                    </w:pPr>
                    <w:r>
                      <w:rPr>
                        <w:rFonts w:ascii="Arial" w:hAnsi="Arial"/>
                        <w:sz w:val="16"/>
                      </w:rPr>
                      <w:tab/>
                    </w:r>
                  </w:p>
                </w:txbxContent>
              </v:textbox>
            </v:shape>
          </w:pict>
        </mc:Fallback>
      </mc:AlternateContent>
    </w:r>
    <w:r w:rsidR="00286EFA">
      <w:rPr>
        <w:rFonts w:ascii="Arial" w:hAnsi="Arial"/>
        <w:b/>
        <w:noProof/>
        <w:sz w:val="24"/>
      </w:rPr>
      <w:drawing>
        <wp:anchor distT="0" distB="0" distL="114300" distR="114300" simplePos="0" relativeHeight="251659264" behindDoc="0" locked="0" layoutInCell="0" allowOverlap="1" wp14:anchorId="138E9565" wp14:editId="6005FD4F">
          <wp:simplePos x="0" y="0"/>
          <wp:positionH relativeFrom="column">
            <wp:posOffset>50165</wp:posOffset>
          </wp:positionH>
          <wp:positionV relativeFrom="paragraph">
            <wp:posOffset>91440</wp:posOffset>
          </wp:positionV>
          <wp:extent cx="530225" cy="530225"/>
          <wp:effectExtent l="0" t="0" r="3175" b="3175"/>
          <wp:wrapTopAndBottom/>
          <wp:docPr id="6" name="Picture 6" descr="C:\WINDOWS\Desktop\fc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WINDOWS\Desktop\fcc_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286EFA">
      <w:rPr>
        <w:rFonts w:ascii="Arial" w:hAnsi="Arial"/>
        <w:b/>
        <w:noProof/>
        <w:sz w:val="24"/>
      </w:rPr>
      <mc:AlternateContent>
        <mc:Choice Requires="wps">
          <w:drawing>
            <wp:anchor distT="0" distB="0" distL="114300" distR="114300" simplePos="0" relativeHeight="251656192" behindDoc="0" locked="0" layoutInCell="0" allowOverlap="1" wp14:anchorId="60D3B3B0" wp14:editId="34A147AC">
              <wp:simplePos x="0" y="0"/>
              <wp:positionH relativeFrom="column">
                <wp:posOffset>604520</wp:posOffset>
              </wp:positionH>
              <wp:positionV relativeFrom="paragraph">
                <wp:posOffset>731520</wp:posOffset>
              </wp:positionV>
              <wp:extent cx="3108960" cy="6400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7A79" w:rsidRDefault="00F50570">
                          <w:pPr>
                            <w:rPr>
                              <w:rFonts w:ascii="Arial" w:hAnsi="Arial"/>
                              <w:b/>
                              <w:sz w:val="24"/>
                            </w:rPr>
                          </w:pPr>
                          <w:r>
                            <w:rPr>
                              <w:rFonts w:ascii="Arial" w:hAnsi="Arial"/>
                              <w:b/>
                              <w:sz w:val="24"/>
                            </w:rPr>
                            <w:t>Federal Communications Commission</w:t>
                          </w:r>
                        </w:p>
                        <w:p w:rsidR="00177A79" w:rsidRDefault="00F50570">
                          <w:pPr>
                            <w:rPr>
                              <w:rFonts w:ascii="Arial" w:hAnsi="Arial"/>
                              <w:b/>
                              <w:sz w:val="24"/>
                            </w:rPr>
                          </w:pPr>
                          <w:r>
                            <w:rPr>
                              <w:rFonts w:ascii="Arial" w:hAnsi="Arial"/>
                              <w:b/>
                              <w:sz w:val="24"/>
                            </w:rPr>
                            <w:t>445 12th St., S.W.</w:t>
                          </w:r>
                        </w:p>
                        <w:p w:rsidR="00177A79" w:rsidRDefault="00F50570">
                          <w:pPr>
                            <w:rPr>
                              <w:rFonts w:ascii="Arial" w:hAnsi="Arial"/>
                              <w:sz w:val="24"/>
                            </w:rPr>
                          </w:pPr>
                          <w:r>
                            <w:rPr>
                              <w:rFonts w:ascii="Arial" w:hAnsi="Arial"/>
                              <w:b/>
                              <w:sz w:val="24"/>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q61hAIAABY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" o:allowincell="f" stroked="f">
              <v:textbox>
                <w:txbxContent>
                  <w:p w:rsidR="00177A79" w:rsidRDefault="00F50570">
                    <w:pPr>
                      <w:rPr>
                        <w:rFonts w:ascii="Arial" w:hAnsi="Arial"/>
                        <w:b/>
                        <w:sz w:val="24"/>
                      </w:rPr>
                    </w:pPr>
                    <w:r>
                      <w:rPr>
                        <w:rFonts w:ascii="Arial" w:hAnsi="Arial"/>
                        <w:b/>
                        <w:sz w:val="24"/>
                      </w:rPr>
                      <w:t>Federal Communications Commission</w:t>
                    </w:r>
                  </w:p>
                  <w:p w:rsidR="00177A79" w:rsidRDefault="00F50570">
                    <w:pPr>
                      <w:rPr>
                        <w:rFonts w:ascii="Arial" w:hAnsi="Arial"/>
                        <w:b/>
                        <w:sz w:val="24"/>
                      </w:rPr>
                    </w:pPr>
                    <w:r>
                      <w:rPr>
                        <w:rFonts w:ascii="Arial" w:hAnsi="Arial"/>
                        <w:b/>
                        <w:sz w:val="24"/>
                      </w:rPr>
                      <w:t>445 12th St., S.W.</w:t>
                    </w:r>
                  </w:p>
                  <w:p w:rsidR="00177A79" w:rsidRDefault="00F50570">
                    <w:pPr>
                      <w:rPr>
                        <w:rFonts w:ascii="Arial" w:hAnsi="Arial"/>
                        <w:sz w:val="24"/>
                      </w:rPr>
                    </w:pPr>
                    <w:r>
                      <w:rPr>
                        <w:rFonts w:ascii="Arial" w:hAnsi="Arial"/>
                        <w:b/>
                        <w:sz w:val="24"/>
                      </w:rPr>
                      <w:t>Washington, D.C. 20554</w:t>
                    </w:r>
                  </w:p>
                </w:txbxContent>
              </v:textbox>
            </v:shape>
          </w:pict>
        </mc:Fallback>
      </mc:AlternateContent>
    </w:r>
    <w:r w:rsidR="00F50570">
      <w:tab/>
    </w:r>
    <w:r w:rsidR="00F50570">
      <w:rPr>
        <w:rFonts w:ascii="Arial" w:hAnsi="Arial"/>
        <w:b/>
        <w:sz w:val="96"/>
      </w:rPr>
      <w:t>PUBLIC NOTICE</w:t>
    </w:r>
  </w:p>
  <w:p w:rsidR="00177A79" w:rsidRDefault="00177A79">
    <w:pPr>
      <w:pStyle w:val="Header"/>
      <w:tabs>
        <w:tab w:val="clear" w:pos="4320"/>
        <w:tab w:val="clear" w:pos="8640"/>
        <w:tab w:val="left" w:pos="1080"/>
      </w:tabs>
      <w:spacing w:line="1120" w:lineRule="exact"/>
      <w:ind w:left="720"/>
      <w:rPr>
        <w:rFonts w:ascii="Arial" w:hAnsi="Arial"/>
        <w:b/>
        <w:sz w:val="28"/>
      </w:rPr>
    </w:pPr>
  </w:p>
  <w:p w:rsidR="00177A79" w:rsidRDefault="00286EFA">
    <w:pPr>
      <w:pStyle w:val="Header"/>
      <w:tabs>
        <w:tab w:val="clear" w:pos="4320"/>
        <w:tab w:val="clear" w:pos="8640"/>
        <w:tab w:val="left" w:pos="1080"/>
      </w:tabs>
      <w:ind w:left="720"/>
      <w:rPr>
        <w:rFonts w:ascii="Arial" w:hAnsi="Arial"/>
        <w:b/>
        <w:sz w:val="24"/>
      </w:rPr>
    </w:pPr>
    <w:r>
      <w:rPr>
        <w:rFonts w:ascii="Arial" w:hAnsi="Arial"/>
        <w:b/>
        <w:noProof/>
        <w:sz w:val="22"/>
      </w:rPr>
      <mc:AlternateContent>
        <mc:Choice Requires="wps">
          <w:drawing>
            <wp:anchor distT="0" distB="0" distL="114300" distR="114300" simplePos="0" relativeHeight="251657216" behindDoc="0" locked="0" layoutInCell="0" allowOverlap="1" wp14:anchorId="61642D1C" wp14:editId="5B238262">
              <wp:simplePos x="0" y="0"/>
              <wp:positionH relativeFrom="column">
                <wp:posOffset>-25400</wp:posOffset>
              </wp:positionH>
              <wp:positionV relativeFrom="paragraph">
                <wp:posOffset>107950</wp:posOffset>
              </wp:positionV>
              <wp:extent cx="615315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31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8.5pt" to="48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pyjDwIAACk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52FC572F"/>
    <w:multiLevelType w:val="multilevel"/>
    <w:tmpl w:val="C5FE5572"/>
    <w:lvl w:ilvl="0">
      <w:start w:val="1"/>
      <w:numFmt w:val="upperLetter"/>
      <w:lvlText w:val="%1."/>
      <w:lvlJc w:val="left"/>
      <w:pPr>
        <w:tabs>
          <w:tab w:val="num" w:pos="1440"/>
        </w:tabs>
        <w:ind w:left="1440" w:hanging="720"/>
      </w:pPr>
      <w:rPr>
        <w:rFonts w:hint="default"/>
        <w:b w:val="0"/>
        <w:i w:val="0"/>
      </w:rPr>
    </w:lvl>
    <w:lvl w:ilvl="1">
      <w:start w:val="3"/>
      <w:numFmt w:val="decimal"/>
      <w:lvlText w:val="%2."/>
      <w:lvlJc w:val="left"/>
      <w:pPr>
        <w:tabs>
          <w:tab w:val="num" w:pos="1440"/>
        </w:tabs>
        <w:ind w:left="1440" w:hanging="360"/>
      </w:pPr>
      <w:rPr>
        <w:rFonts w:hint="default"/>
        <w:b w:val="0"/>
        <w:i w:val="0"/>
      </w:rPr>
    </w:lvl>
    <w:lvl w:ilvl="2">
      <w:start w:val="1"/>
      <w:numFmt w:val="decimal"/>
      <w:lvlText w:val="%3)"/>
      <w:lvlJc w:val="left"/>
      <w:pPr>
        <w:tabs>
          <w:tab w:val="num" w:pos="1800"/>
        </w:tabs>
        <w:ind w:left="1800" w:hanging="360"/>
      </w:pPr>
      <w:rPr>
        <w:rFonts w:hint="default"/>
      </w:rPr>
    </w:lvl>
    <w:lvl w:ilvl="3">
      <w:start w:val="1"/>
      <w:numFmt w:val="lowerLetter"/>
      <w:lvlText w:val="(%4)"/>
      <w:lvlJc w:val="left"/>
      <w:pPr>
        <w:tabs>
          <w:tab w:val="num" w:pos="2160"/>
        </w:tabs>
        <w:ind w:left="2160" w:hanging="360"/>
      </w:pPr>
      <w:rPr>
        <w:rFonts w:hint="default"/>
      </w:rPr>
    </w:lvl>
    <w:lvl w:ilvl="4">
      <w:start w:val="1"/>
      <w:numFmt w:val="lowerRoman"/>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
    <w:nsid w:val="59C51732"/>
    <w:multiLevelType w:val="hybridMultilevel"/>
    <w:tmpl w:val="2534A808"/>
    <w:lvl w:ilvl="0" w:tplc="7C5690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5">
    <w:nsid w:val="70391286"/>
    <w:multiLevelType w:val="hybridMultilevel"/>
    <w:tmpl w:val="A072DFF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cs="Times New Roman" w:hint="default"/>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num w:numId="1">
    <w:abstractNumId w:val="3"/>
  </w:num>
  <w:num w:numId="2">
    <w:abstractNumId w:val="2"/>
  </w:num>
  <w:num w:numId="3">
    <w:abstractNumId w:val="1"/>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EFA"/>
    <w:rsid w:val="00002604"/>
    <w:rsid w:val="00004465"/>
    <w:rsid w:val="00005E5A"/>
    <w:rsid w:val="00011DCF"/>
    <w:rsid w:val="0001784E"/>
    <w:rsid w:val="00022DC0"/>
    <w:rsid w:val="00023B40"/>
    <w:rsid w:val="00023C0B"/>
    <w:rsid w:val="0002583A"/>
    <w:rsid w:val="00031B9B"/>
    <w:rsid w:val="00046794"/>
    <w:rsid w:val="00054FBF"/>
    <w:rsid w:val="00057AA5"/>
    <w:rsid w:val="0006037E"/>
    <w:rsid w:val="0006094B"/>
    <w:rsid w:val="000750D1"/>
    <w:rsid w:val="000B2C61"/>
    <w:rsid w:val="000B31CA"/>
    <w:rsid w:val="000C6E96"/>
    <w:rsid w:val="000D502A"/>
    <w:rsid w:val="000D5DB9"/>
    <w:rsid w:val="000E48A9"/>
    <w:rsid w:val="000E4BB7"/>
    <w:rsid w:val="000E740C"/>
    <w:rsid w:val="000F32C3"/>
    <w:rsid w:val="000F391E"/>
    <w:rsid w:val="00101150"/>
    <w:rsid w:val="00117E12"/>
    <w:rsid w:val="00123165"/>
    <w:rsid w:val="001320B1"/>
    <w:rsid w:val="0014093F"/>
    <w:rsid w:val="001505ED"/>
    <w:rsid w:val="00150E73"/>
    <w:rsid w:val="001523D3"/>
    <w:rsid w:val="001524F0"/>
    <w:rsid w:val="00154AC4"/>
    <w:rsid w:val="001600C6"/>
    <w:rsid w:val="00161776"/>
    <w:rsid w:val="00166049"/>
    <w:rsid w:val="00177A79"/>
    <w:rsid w:val="00180DC6"/>
    <w:rsid w:val="00193C68"/>
    <w:rsid w:val="001A5542"/>
    <w:rsid w:val="001B090D"/>
    <w:rsid w:val="001B331B"/>
    <w:rsid w:val="001B7EC4"/>
    <w:rsid w:val="001C262C"/>
    <w:rsid w:val="001C6316"/>
    <w:rsid w:val="001D3340"/>
    <w:rsid w:val="001E129E"/>
    <w:rsid w:val="001E2A31"/>
    <w:rsid w:val="001F027F"/>
    <w:rsid w:val="001F56D1"/>
    <w:rsid w:val="002323AF"/>
    <w:rsid w:val="0023331D"/>
    <w:rsid w:val="00242E3E"/>
    <w:rsid w:val="00265D1A"/>
    <w:rsid w:val="00277D21"/>
    <w:rsid w:val="00280551"/>
    <w:rsid w:val="00280932"/>
    <w:rsid w:val="00286EFA"/>
    <w:rsid w:val="002A2035"/>
    <w:rsid w:val="002A6CE7"/>
    <w:rsid w:val="002B3104"/>
    <w:rsid w:val="002C09AD"/>
    <w:rsid w:val="002C7834"/>
    <w:rsid w:val="002D3E93"/>
    <w:rsid w:val="002D6033"/>
    <w:rsid w:val="002E74C7"/>
    <w:rsid w:val="00301163"/>
    <w:rsid w:val="0030204A"/>
    <w:rsid w:val="00305641"/>
    <w:rsid w:val="00307234"/>
    <w:rsid w:val="0031522E"/>
    <w:rsid w:val="003165C5"/>
    <w:rsid w:val="0033020E"/>
    <w:rsid w:val="003348F1"/>
    <w:rsid w:val="00337B88"/>
    <w:rsid w:val="003658DE"/>
    <w:rsid w:val="0038526D"/>
    <w:rsid w:val="0039118F"/>
    <w:rsid w:val="00395218"/>
    <w:rsid w:val="00395997"/>
    <w:rsid w:val="00396ECF"/>
    <w:rsid w:val="003B6999"/>
    <w:rsid w:val="003D4311"/>
    <w:rsid w:val="003E3EA6"/>
    <w:rsid w:val="003E649B"/>
    <w:rsid w:val="003F56B3"/>
    <w:rsid w:val="004342B9"/>
    <w:rsid w:val="0043726B"/>
    <w:rsid w:val="00437577"/>
    <w:rsid w:val="004417C7"/>
    <w:rsid w:val="0044797B"/>
    <w:rsid w:val="00474152"/>
    <w:rsid w:val="004743FB"/>
    <w:rsid w:val="00474DAE"/>
    <w:rsid w:val="004751A5"/>
    <w:rsid w:val="00486081"/>
    <w:rsid w:val="0049118A"/>
    <w:rsid w:val="004962F4"/>
    <w:rsid w:val="004A0C10"/>
    <w:rsid w:val="004A22E3"/>
    <w:rsid w:val="004A4441"/>
    <w:rsid w:val="004B654C"/>
    <w:rsid w:val="004C0697"/>
    <w:rsid w:val="004C0D91"/>
    <w:rsid w:val="004C6CD9"/>
    <w:rsid w:val="004E64B4"/>
    <w:rsid w:val="004F1A5A"/>
    <w:rsid w:val="004F329F"/>
    <w:rsid w:val="005111ED"/>
    <w:rsid w:val="00512430"/>
    <w:rsid w:val="00516697"/>
    <w:rsid w:val="00517A01"/>
    <w:rsid w:val="00552F92"/>
    <w:rsid w:val="00555C42"/>
    <w:rsid w:val="005579DB"/>
    <w:rsid w:val="005614A5"/>
    <w:rsid w:val="00561F2F"/>
    <w:rsid w:val="00563B8B"/>
    <w:rsid w:val="00564ABF"/>
    <w:rsid w:val="0057013B"/>
    <w:rsid w:val="00577F53"/>
    <w:rsid w:val="005810A3"/>
    <w:rsid w:val="00585617"/>
    <w:rsid w:val="00593349"/>
    <w:rsid w:val="005954BD"/>
    <w:rsid w:val="005A1F40"/>
    <w:rsid w:val="005B3505"/>
    <w:rsid w:val="005C163E"/>
    <w:rsid w:val="005C4556"/>
    <w:rsid w:val="005C6255"/>
    <w:rsid w:val="005D54F4"/>
    <w:rsid w:val="005E2CD9"/>
    <w:rsid w:val="005F3B74"/>
    <w:rsid w:val="00606F8F"/>
    <w:rsid w:val="00616C46"/>
    <w:rsid w:val="00616C9B"/>
    <w:rsid w:val="00617302"/>
    <w:rsid w:val="00621023"/>
    <w:rsid w:val="006275ED"/>
    <w:rsid w:val="00633027"/>
    <w:rsid w:val="006371D9"/>
    <w:rsid w:val="006573DB"/>
    <w:rsid w:val="00662C6E"/>
    <w:rsid w:val="00663183"/>
    <w:rsid w:val="006641A1"/>
    <w:rsid w:val="00664C93"/>
    <w:rsid w:val="006653B9"/>
    <w:rsid w:val="00670138"/>
    <w:rsid w:val="00696EB6"/>
    <w:rsid w:val="006B008D"/>
    <w:rsid w:val="006B1E5B"/>
    <w:rsid w:val="006B34C2"/>
    <w:rsid w:val="006C1B08"/>
    <w:rsid w:val="006C75A2"/>
    <w:rsid w:val="006C77EA"/>
    <w:rsid w:val="006D142D"/>
    <w:rsid w:val="006D3B01"/>
    <w:rsid w:val="006E3EC0"/>
    <w:rsid w:val="006F38AB"/>
    <w:rsid w:val="006F5FE8"/>
    <w:rsid w:val="006F66EA"/>
    <w:rsid w:val="00700D7E"/>
    <w:rsid w:val="00704B55"/>
    <w:rsid w:val="0070616B"/>
    <w:rsid w:val="00706EF0"/>
    <w:rsid w:val="0071692E"/>
    <w:rsid w:val="0072197A"/>
    <w:rsid w:val="00722DD9"/>
    <w:rsid w:val="00723229"/>
    <w:rsid w:val="00763CEC"/>
    <w:rsid w:val="007642F3"/>
    <w:rsid w:val="00774464"/>
    <w:rsid w:val="00776E5B"/>
    <w:rsid w:val="00783EC0"/>
    <w:rsid w:val="00786A01"/>
    <w:rsid w:val="00790F73"/>
    <w:rsid w:val="007928C5"/>
    <w:rsid w:val="00796528"/>
    <w:rsid w:val="007A23C6"/>
    <w:rsid w:val="007A6944"/>
    <w:rsid w:val="007B5B46"/>
    <w:rsid w:val="007B6912"/>
    <w:rsid w:val="007B69A1"/>
    <w:rsid w:val="007C11DE"/>
    <w:rsid w:val="007C47D8"/>
    <w:rsid w:val="007C637D"/>
    <w:rsid w:val="007E247C"/>
    <w:rsid w:val="007F35C3"/>
    <w:rsid w:val="00803A54"/>
    <w:rsid w:val="00813BC1"/>
    <w:rsid w:val="008172D2"/>
    <w:rsid w:val="00817830"/>
    <w:rsid w:val="00823905"/>
    <w:rsid w:val="008324F6"/>
    <w:rsid w:val="0083746A"/>
    <w:rsid w:val="0084249A"/>
    <w:rsid w:val="00844876"/>
    <w:rsid w:val="00850BA3"/>
    <w:rsid w:val="008522DD"/>
    <w:rsid w:val="00854647"/>
    <w:rsid w:val="00856B3D"/>
    <w:rsid w:val="0086101E"/>
    <w:rsid w:val="00873837"/>
    <w:rsid w:val="00881360"/>
    <w:rsid w:val="00891332"/>
    <w:rsid w:val="008A41E0"/>
    <w:rsid w:val="008B492A"/>
    <w:rsid w:val="008B6101"/>
    <w:rsid w:val="008B660A"/>
    <w:rsid w:val="008C0191"/>
    <w:rsid w:val="008D2544"/>
    <w:rsid w:val="008D67F3"/>
    <w:rsid w:val="008D777D"/>
    <w:rsid w:val="008E06C5"/>
    <w:rsid w:val="008E0F34"/>
    <w:rsid w:val="008E361C"/>
    <w:rsid w:val="0090243E"/>
    <w:rsid w:val="00904457"/>
    <w:rsid w:val="009068FD"/>
    <w:rsid w:val="009146BF"/>
    <w:rsid w:val="00931D3B"/>
    <w:rsid w:val="00931DF9"/>
    <w:rsid w:val="00957180"/>
    <w:rsid w:val="00967AF3"/>
    <w:rsid w:val="00967C3E"/>
    <w:rsid w:val="00972AEB"/>
    <w:rsid w:val="0097734A"/>
    <w:rsid w:val="00985296"/>
    <w:rsid w:val="00997D1A"/>
    <w:rsid w:val="009A0407"/>
    <w:rsid w:val="009B5B98"/>
    <w:rsid w:val="009C71DC"/>
    <w:rsid w:val="009E453C"/>
    <w:rsid w:val="009F69CA"/>
    <w:rsid w:val="00A174F0"/>
    <w:rsid w:val="00A24236"/>
    <w:rsid w:val="00A25283"/>
    <w:rsid w:val="00A3294D"/>
    <w:rsid w:val="00A347AB"/>
    <w:rsid w:val="00A3561A"/>
    <w:rsid w:val="00A379DF"/>
    <w:rsid w:val="00A417BE"/>
    <w:rsid w:val="00A50DB5"/>
    <w:rsid w:val="00A54448"/>
    <w:rsid w:val="00A637A1"/>
    <w:rsid w:val="00A66C2A"/>
    <w:rsid w:val="00A704C7"/>
    <w:rsid w:val="00A93F19"/>
    <w:rsid w:val="00AA4640"/>
    <w:rsid w:val="00AA75A4"/>
    <w:rsid w:val="00AA768E"/>
    <w:rsid w:val="00AB045C"/>
    <w:rsid w:val="00AB30E0"/>
    <w:rsid w:val="00AC18FD"/>
    <w:rsid w:val="00AC1D73"/>
    <w:rsid w:val="00AD11AD"/>
    <w:rsid w:val="00AD4FCC"/>
    <w:rsid w:val="00AE0F95"/>
    <w:rsid w:val="00AE3DDB"/>
    <w:rsid w:val="00AF03E2"/>
    <w:rsid w:val="00AF2CC9"/>
    <w:rsid w:val="00AF5BD8"/>
    <w:rsid w:val="00B0044A"/>
    <w:rsid w:val="00B0112D"/>
    <w:rsid w:val="00B01EDE"/>
    <w:rsid w:val="00B124F6"/>
    <w:rsid w:val="00B17DA7"/>
    <w:rsid w:val="00B266B3"/>
    <w:rsid w:val="00B31E95"/>
    <w:rsid w:val="00B44CCE"/>
    <w:rsid w:val="00B546C7"/>
    <w:rsid w:val="00B64CBD"/>
    <w:rsid w:val="00B662A1"/>
    <w:rsid w:val="00B66BD6"/>
    <w:rsid w:val="00B66F73"/>
    <w:rsid w:val="00B72F59"/>
    <w:rsid w:val="00B7647F"/>
    <w:rsid w:val="00B77509"/>
    <w:rsid w:val="00B859FB"/>
    <w:rsid w:val="00B87A0E"/>
    <w:rsid w:val="00B9147D"/>
    <w:rsid w:val="00B9674C"/>
    <w:rsid w:val="00B97009"/>
    <w:rsid w:val="00B97845"/>
    <w:rsid w:val="00BA58A2"/>
    <w:rsid w:val="00BA77AD"/>
    <w:rsid w:val="00BB1DEF"/>
    <w:rsid w:val="00BB44C2"/>
    <w:rsid w:val="00BB7EB7"/>
    <w:rsid w:val="00BC00D9"/>
    <w:rsid w:val="00BC6596"/>
    <w:rsid w:val="00BD62AC"/>
    <w:rsid w:val="00C11BFE"/>
    <w:rsid w:val="00C20A96"/>
    <w:rsid w:val="00C20BA7"/>
    <w:rsid w:val="00C23066"/>
    <w:rsid w:val="00C263BE"/>
    <w:rsid w:val="00C30299"/>
    <w:rsid w:val="00C34D85"/>
    <w:rsid w:val="00C3506A"/>
    <w:rsid w:val="00C52E8D"/>
    <w:rsid w:val="00C55139"/>
    <w:rsid w:val="00C57B34"/>
    <w:rsid w:val="00C601A8"/>
    <w:rsid w:val="00C65606"/>
    <w:rsid w:val="00C73CFA"/>
    <w:rsid w:val="00C848B6"/>
    <w:rsid w:val="00C94C06"/>
    <w:rsid w:val="00C95A01"/>
    <w:rsid w:val="00C95BF3"/>
    <w:rsid w:val="00CA1333"/>
    <w:rsid w:val="00CA57FE"/>
    <w:rsid w:val="00CB0638"/>
    <w:rsid w:val="00CB724C"/>
    <w:rsid w:val="00CC33CF"/>
    <w:rsid w:val="00CD00CC"/>
    <w:rsid w:val="00CD581B"/>
    <w:rsid w:val="00CE1623"/>
    <w:rsid w:val="00CE25E8"/>
    <w:rsid w:val="00CE7E54"/>
    <w:rsid w:val="00CF5EE3"/>
    <w:rsid w:val="00D0177A"/>
    <w:rsid w:val="00D103FB"/>
    <w:rsid w:val="00D11214"/>
    <w:rsid w:val="00D1511F"/>
    <w:rsid w:val="00D15849"/>
    <w:rsid w:val="00D17A9D"/>
    <w:rsid w:val="00D24351"/>
    <w:rsid w:val="00D266BF"/>
    <w:rsid w:val="00D359DF"/>
    <w:rsid w:val="00D376E6"/>
    <w:rsid w:val="00D41417"/>
    <w:rsid w:val="00D42739"/>
    <w:rsid w:val="00D46618"/>
    <w:rsid w:val="00D479F8"/>
    <w:rsid w:val="00D56B16"/>
    <w:rsid w:val="00D57B6D"/>
    <w:rsid w:val="00D6354E"/>
    <w:rsid w:val="00D63B3A"/>
    <w:rsid w:val="00D67674"/>
    <w:rsid w:val="00D725A5"/>
    <w:rsid w:val="00D7331A"/>
    <w:rsid w:val="00D84036"/>
    <w:rsid w:val="00D86CCC"/>
    <w:rsid w:val="00D92B26"/>
    <w:rsid w:val="00D935A8"/>
    <w:rsid w:val="00DB19BC"/>
    <w:rsid w:val="00DB7300"/>
    <w:rsid w:val="00DC0C5B"/>
    <w:rsid w:val="00DC220D"/>
    <w:rsid w:val="00DC7F8C"/>
    <w:rsid w:val="00DD0665"/>
    <w:rsid w:val="00DD0F7D"/>
    <w:rsid w:val="00DD7C72"/>
    <w:rsid w:val="00DE2F1C"/>
    <w:rsid w:val="00DE5A9A"/>
    <w:rsid w:val="00DF1934"/>
    <w:rsid w:val="00DF21F6"/>
    <w:rsid w:val="00DF63DB"/>
    <w:rsid w:val="00E0259B"/>
    <w:rsid w:val="00E06B82"/>
    <w:rsid w:val="00E16D9E"/>
    <w:rsid w:val="00E17140"/>
    <w:rsid w:val="00E2427C"/>
    <w:rsid w:val="00E2661E"/>
    <w:rsid w:val="00E323E5"/>
    <w:rsid w:val="00E32BEB"/>
    <w:rsid w:val="00E35F97"/>
    <w:rsid w:val="00E44C1B"/>
    <w:rsid w:val="00E51E39"/>
    <w:rsid w:val="00E52DC9"/>
    <w:rsid w:val="00E537B5"/>
    <w:rsid w:val="00E6323B"/>
    <w:rsid w:val="00E71B66"/>
    <w:rsid w:val="00E739D8"/>
    <w:rsid w:val="00EA303B"/>
    <w:rsid w:val="00EA71D6"/>
    <w:rsid w:val="00EB537E"/>
    <w:rsid w:val="00EC0B3D"/>
    <w:rsid w:val="00EC351E"/>
    <w:rsid w:val="00EC6DC8"/>
    <w:rsid w:val="00EE320D"/>
    <w:rsid w:val="00EE3470"/>
    <w:rsid w:val="00EF0989"/>
    <w:rsid w:val="00EF523C"/>
    <w:rsid w:val="00F0493A"/>
    <w:rsid w:val="00F10B1F"/>
    <w:rsid w:val="00F23637"/>
    <w:rsid w:val="00F36952"/>
    <w:rsid w:val="00F47DA8"/>
    <w:rsid w:val="00F50570"/>
    <w:rsid w:val="00F5576C"/>
    <w:rsid w:val="00F566FF"/>
    <w:rsid w:val="00F61030"/>
    <w:rsid w:val="00F61B3D"/>
    <w:rsid w:val="00F660FD"/>
    <w:rsid w:val="00F7219A"/>
    <w:rsid w:val="00F72686"/>
    <w:rsid w:val="00F7630C"/>
    <w:rsid w:val="00F833D8"/>
    <w:rsid w:val="00F8778A"/>
    <w:rsid w:val="00FB3C55"/>
    <w:rsid w:val="00FB5EF6"/>
    <w:rsid w:val="00FC02CA"/>
    <w:rsid w:val="00FC7F20"/>
    <w:rsid w:val="00FD1189"/>
    <w:rsid w:val="00FD2C27"/>
    <w:rsid w:val="00FD471B"/>
    <w:rsid w:val="00FD5EE6"/>
    <w:rsid w:val="00FD6025"/>
    <w:rsid w:val="00FD7150"/>
    <w:rsid w:val="00FE0E70"/>
    <w:rsid w:val="00FE0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basedOn w:val="DefaultParagraphFont"/>
    <w:rPr>
      <w:color w:val="0000FF"/>
      <w:u w:val="single"/>
    </w:rPr>
  </w:style>
  <w:style w:type="paragraph" w:styleId="FootnoteText">
    <w:name w:val="footnote text"/>
    <w:aliases w:val="Footnote Text Char Char,Footnote Text Char2 Char Char,Footnote Text Char Char1 Char Char,Footnote Text Char2 Char Char Char Char,Footnote Text Char1 Char Char Char Char Char,Footnote Text Char1 Char Char,fn,f"/>
    <w:basedOn w:val="Normal"/>
    <w:link w:val="FootnoteTextChar"/>
    <w:unhideWhenUsed/>
    <w:rsid w:val="008E0F34"/>
  </w:style>
  <w:style w:type="character" w:customStyle="1" w:styleId="FootnoteTextChar">
    <w:name w:val="Footnote Text Char"/>
    <w:aliases w:val="Footnote Text Char Char Char,Footnote Text Char2 Char Char Char,Footnote Text Char Char1 Char Char Char,Footnote Text Char2 Char Char Char Char Char,Footnote Text Char1 Char Char Char Char Char Char,Footnote Text Char1 Char Char Char"/>
    <w:basedOn w:val="DefaultParagraphFont"/>
    <w:link w:val="FootnoteText"/>
    <w:rsid w:val="008E0F34"/>
  </w:style>
  <w:style w:type="character" w:styleId="FootnoteReference">
    <w:name w:val="footnote reference"/>
    <w:aliases w:val="Appel note de bas de p,Style 12,(NECG) Footnote Reference,Style 124,o,fr,Style 3,Style 13,Footnote Reference/"/>
    <w:basedOn w:val="DefaultParagraphFont"/>
    <w:semiHidden/>
    <w:unhideWhenUsed/>
    <w:rsid w:val="008E0F34"/>
    <w:rPr>
      <w:vertAlign w:val="superscript"/>
    </w:rPr>
  </w:style>
  <w:style w:type="paragraph" w:styleId="ListParagraph">
    <w:name w:val="List Paragraph"/>
    <w:basedOn w:val="Normal"/>
    <w:uiPriority w:val="34"/>
    <w:qFormat/>
    <w:rsid w:val="00A637A1"/>
    <w:pPr>
      <w:ind w:left="720"/>
      <w:contextualSpacing/>
    </w:pPr>
  </w:style>
  <w:style w:type="paragraph" w:styleId="BalloonText">
    <w:name w:val="Balloon Text"/>
    <w:basedOn w:val="Normal"/>
    <w:link w:val="BalloonTextChar"/>
    <w:uiPriority w:val="99"/>
    <w:semiHidden/>
    <w:unhideWhenUsed/>
    <w:rsid w:val="00D24351"/>
    <w:rPr>
      <w:rFonts w:ascii="Tahoma" w:hAnsi="Tahoma" w:cs="Tahoma"/>
      <w:sz w:val="16"/>
      <w:szCs w:val="16"/>
    </w:rPr>
  </w:style>
  <w:style w:type="character" w:customStyle="1" w:styleId="BalloonTextChar">
    <w:name w:val="Balloon Text Char"/>
    <w:basedOn w:val="DefaultParagraphFont"/>
    <w:link w:val="BalloonText"/>
    <w:uiPriority w:val="99"/>
    <w:semiHidden/>
    <w:rsid w:val="00D24351"/>
    <w:rPr>
      <w:rFonts w:ascii="Tahoma" w:hAnsi="Tahoma" w:cs="Tahoma"/>
      <w:sz w:val="16"/>
      <w:szCs w:val="16"/>
    </w:rPr>
  </w:style>
  <w:style w:type="character" w:styleId="CommentReference">
    <w:name w:val="annotation reference"/>
    <w:basedOn w:val="DefaultParagraphFont"/>
    <w:uiPriority w:val="99"/>
    <w:semiHidden/>
    <w:unhideWhenUsed/>
    <w:rsid w:val="00D24351"/>
    <w:rPr>
      <w:sz w:val="16"/>
      <w:szCs w:val="16"/>
    </w:rPr>
  </w:style>
  <w:style w:type="paragraph" w:styleId="CommentText">
    <w:name w:val="annotation text"/>
    <w:basedOn w:val="Normal"/>
    <w:link w:val="CommentTextChar"/>
    <w:uiPriority w:val="99"/>
    <w:semiHidden/>
    <w:unhideWhenUsed/>
    <w:rsid w:val="00D24351"/>
  </w:style>
  <w:style w:type="character" w:customStyle="1" w:styleId="CommentTextChar">
    <w:name w:val="Comment Text Char"/>
    <w:basedOn w:val="DefaultParagraphFont"/>
    <w:link w:val="CommentText"/>
    <w:uiPriority w:val="99"/>
    <w:semiHidden/>
    <w:rsid w:val="00D24351"/>
  </w:style>
  <w:style w:type="paragraph" w:styleId="CommentSubject">
    <w:name w:val="annotation subject"/>
    <w:basedOn w:val="CommentText"/>
    <w:next w:val="CommentText"/>
    <w:link w:val="CommentSubjectChar"/>
    <w:uiPriority w:val="99"/>
    <w:semiHidden/>
    <w:unhideWhenUsed/>
    <w:rsid w:val="00D24351"/>
    <w:rPr>
      <w:b/>
      <w:bCs/>
    </w:rPr>
  </w:style>
  <w:style w:type="character" w:customStyle="1" w:styleId="CommentSubjectChar">
    <w:name w:val="Comment Subject Char"/>
    <w:basedOn w:val="CommentTextChar"/>
    <w:link w:val="CommentSubject"/>
    <w:uiPriority w:val="99"/>
    <w:semiHidden/>
    <w:rsid w:val="00D24351"/>
    <w:rPr>
      <w:b/>
      <w:bCs/>
    </w:rPr>
  </w:style>
  <w:style w:type="character" w:styleId="FollowedHyperlink">
    <w:name w:val="FollowedHyperlink"/>
    <w:basedOn w:val="DefaultParagraphFont"/>
    <w:uiPriority w:val="99"/>
    <w:semiHidden/>
    <w:unhideWhenUsed/>
    <w:rsid w:val="00585617"/>
    <w:rPr>
      <w:color w:val="800080" w:themeColor="followedHyperlink"/>
      <w:u w:val="single"/>
    </w:rPr>
  </w:style>
  <w:style w:type="character" w:customStyle="1" w:styleId="FooterChar">
    <w:name w:val="Footer Char"/>
    <w:basedOn w:val="DefaultParagraphFont"/>
    <w:link w:val="Footer"/>
    <w:uiPriority w:val="99"/>
    <w:rsid w:val="005F3B74"/>
  </w:style>
  <w:style w:type="character" w:customStyle="1" w:styleId="ParaNumChar">
    <w:name w:val="ParaNum Char"/>
    <w:link w:val="ParaNum"/>
    <w:locked/>
    <w:rsid w:val="00F10B1F"/>
    <w:rPr>
      <w:kern w:val="28"/>
    </w:rPr>
  </w:style>
  <w:style w:type="paragraph" w:customStyle="1" w:styleId="ParaNum">
    <w:name w:val="ParaNum"/>
    <w:basedOn w:val="Normal"/>
    <w:link w:val="ParaNumChar"/>
    <w:rsid w:val="00F10B1F"/>
    <w:pPr>
      <w:widowControl w:val="0"/>
      <w:numPr>
        <w:numId w:val="7"/>
      </w:numPr>
      <w:tabs>
        <w:tab w:val="clear" w:pos="1080"/>
        <w:tab w:val="num" w:pos="1440"/>
      </w:tabs>
      <w:snapToGrid w:val="0"/>
      <w:spacing w:after="120"/>
    </w:pPr>
    <w:rPr>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basedOn w:val="DefaultParagraphFont"/>
    <w:rPr>
      <w:color w:val="0000FF"/>
      <w:u w:val="single"/>
    </w:rPr>
  </w:style>
  <w:style w:type="paragraph" w:styleId="FootnoteText">
    <w:name w:val="footnote text"/>
    <w:aliases w:val="Footnote Text Char Char,Footnote Text Char2 Char Char,Footnote Text Char Char1 Char Char,Footnote Text Char2 Char Char Char Char,Footnote Text Char1 Char Char Char Char Char,Footnote Text Char1 Char Char,fn,f"/>
    <w:basedOn w:val="Normal"/>
    <w:link w:val="FootnoteTextChar"/>
    <w:unhideWhenUsed/>
    <w:rsid w:val="008E0F34"/>
  </w:style>
  <w:style w:type="character" w:customStyle="1" w:styleId="FootnoteTextChar">
    <w:name w:val="Footnote Text Char"/>
    <w:aliases w:val="Footnote Text Char Char Char,Footnote Text Char2 Char Char Char,Footnote Text Char Char1 Char Char Char,Footnote Text Char2 Char Char Char Char Char,Footnote Text Char1 Char Char Char Char Char Char,Footnote Text Char1 Char Char Char"/>
    <w:basedOn w:val="DefaultParagraphFont"/>
    <w:link w:val="FootnoteText"/>
    <w:rsid w:val="008E0F34"/>
  </w:style>
  <w:style w:type="character" w:styleId="FootnoteReference">
    <w:name w:val="footnote reference"/>
    <w:aliases w:val="Appel note de bas de p,Style 12,(NECG) Footnote Reference,Style 124,o,fr,Style 3,Style 13,Footnote Reference/"/>
    <w:basedOn w:val="DefaultParagraphFont"/>
    <w:semiHidden/>
    <w:unhideWhenUsed/>
    <w:rsid w:val="008E0F34"/>
    <w:rPr>
      <w:vertAlign w:val="superscript"/>
    </w:rPr>
  </w:style>
  <w:style w:type="paragraph" w:styleId="ListParagraph">
    <w:name w:val="List Paragraph"/>
    <w:basedOn w:val="Normal"/>
    <w:uiPriority w:val="34"/>
    <w:qFormat/>
    <w:rsid w:val="00A637A1"/>
    <w:pPr>
      <w:ind w:left="720"/>
      <w:contextualSpacing/>
    </w:pPr>
  </w:style>
  <w:style w:type="paragraph" w:styleId="BalloonText">
    <w:name w:val="Balloon Text"/>
    <w:basedOn w:val="Normal"/>
    <w:link w:val="BalloonTextChar"/>
    <w:uiPriority w:val="99"/>
    <w:semiHidden/>
    <w:unhideWhenUsed/>
    <w:rsid w:val="00D24351"/>
    <w:rPr>
      <w:rFonts w:ascii="Tahoma" w:hAnsi="Tahoma" w:cs="Tahoma"/>
      <w:sz w:val="16"/>
      <w:szCs w:val="16"/>
    </w:rPr>
  </w:style>
  <w:style w:type="character" w:customStyle="1" w:styleId="BalloonTextChar">
    <w:name w:val="Balloon Text Char"/>
    <w:basedOn w:val="DefaultParagraphFont"/>
    <w:link w:val="BalloonText"/>
    <w:uiPriority w:val="99"/>
    <w:semiHidden/>
    <w:rsid w:val="00D24351"/>
    <w:rPr>
      <w:rFonts w:ascii="Tahoma" w:hAnsi="Tahoma" w:cs="Tahoma"/>
      <w:sz w:val="16"/>
      <w:szCs w:val="16"/>
    </w:rPr>
  </w:style>
  <w:style w:type="character" w:styleId="CommentReference">
    <w:name w:val="annotation reference"/>
    <w:basedOn w:val="DefaultParagraphFont"/>
    <w:uiPriority w:val="99"/>
    <w:semiHidden/>
    <w:unhideWhenUsed/>
    <w:rsid w:val="00D24351"/>
    <w:rPr>
      <w:sz w:val="16"/>
      <w:szCs w:val="16"/>
    </w:rPr>
  </w:style>
  <w:style w:type="paragraph" w:styleId="CommentText">
    <w:name w:val="annotation text"/>
    <w:basedOn w:val="Normal"/>
    <w:link w:val="CommentTextChar"/>
    <w:uiPriority w:val="99"/>
    <w:semiHidden/>
    <w:unhideWhenUsed/>
    <w:rsid w:val="00D24351"/>
  </w:style>
  <w:style w:type="character" w:customStyle="1" w:styleId="CommentTextChar">
    <w:name w:val="Comment Text Char"/>
    <w:basedOn w:val="DefaultParagraphFont"/>
    <w:link w:val="CommentText"/>
    <w:uiPriority w:val="99"/>
    <w:semiHidden/>
    <w:rsid w:val="00D24351"/>
  </w:style>
  <w:style w:type="paragraph" w:styleId="CommentSubject">
    <w:name w:val="annotation subject"/>
    <w:basedOn w:val="CommentText"/>
    <w:next w:val="CommentText"/>
    <w:link w:val="CommentSubjectChar"/>
    <w:uiPriority w:val="99"/>
    <w:semiHidden/>
    <w:unhideWhenUsed/>
    <w:rsid w:val="00D24351"/>
    <w:rPr>
      <w:b/>
      <w:bCs/>
    </w:rPr>
  </w:style>
  <w:style w:type="character" w:customStyle="1" w:styleId="CommentSubjectChar">
    <w:name w:val="Comment Subject Char"/>
    <w:basedOn w:val="CommentTextChar"/>
    <w:link w:val="CommentSubject"/>
    <w:uiPriority w:val="99"/>
    <w:semiHidden/>
    <w:rsid w:val="00D24351"/>
    <w:rPr>
      <w:b/>
      <w:bCs/>
    </w:rPr>
  </w:style>
  <w:style w:type="character" w:styleId="FollowedHyperlink">
    <w:name w:val="FollowedHyperlink"/>
    <w:basedOn w:val="DefaultParagraphFont"/>
    <w:uiPriority w:val="99"/>
    <w:semiHidden/>
    <w:unhideWhenUsed/>
    <w:rsid w:val="00585617"/>
    <w:rPr>
      <w:color w:val="800080" w:themeColor="followedHyperlink"/>
      <w:u w:val="single"/>
    </w:rPr>
  </w:style>
  <w:style w:type="character" w:customStyle="1" w:styleId="FooterChar">
    <w:name w:val="Footer Char"/>
    <w:basedOn w:val="DefaultParagraphFont"/>
    <w:link w:val="Footer"/>
    <w:uiPriority w:val="99"/>
    <w:rsid w:val="005F3B74"/>
  </w:style>
  <w:style w:type="character" w:customStyle="1" w:styleId="ParaNumChar">
    <w:name w:val="ParaNum Char"/>
    <w:link w:val="ParaNum"/>
    <w:locked/>
    <w:rsid w:val="00F10B1F"/>
    <w:rPr>
      <w:kern w:val="28"/>
    </w:rPr>
  </w:style>
  <w:style w:type="paragraph" w:customStyle="1" w:styleId="ParaNum">
    <w:name w:val="ParaNum"/>
    <w:basedOn w:val="Normal"/>
    <w:link w:val="ParaNumChar"/>
    <w:rsid w:val="00F10B1F"/>
    <w:pPr>
      <w:widowControl w:val="0"/>
      <w:numPr>
        <w:numId w:val="7"/>
      </w:numPr>
      <w:tabs>
        <w:tab w:val="clear" w:pos="1080"/>
        <w:tab w:val="num" w:pos="1440"/>
      </w:tabs>
      <w:snapToGrid w:val="0"/>
      <w:spacing w:after="120"/>
    </w:pPr>
    <w:rPr>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549100">
      <w:bodyDiv w:val="1"/>
      <w:marLeft w:val="0"/>
      <w:marRight w:val="0"/>
      <w:marTop w:val="0"/>
      <w:marBottom w:val="0"/>
      <w:divBdr>
        <w:top w:val="none" w:sz="0" w:space="0" w:color="auto"/>
        <w:left w:val="none" w:sz="0" w:space="0" w:color="auto"/>
        <w:bottom w:val="none" w:sz="0" w:space="0" w:color="auto"/>
        <w:right w:val="none" w:sz="0" w:space="0" w:color="auto"/>
      </w:divBdr>
    </w:div>
    <w:div w:id="1122577716">
      <w:bodyDiv w:val="1"/>
      <w:marLeft w:val="0"/>
      <w:marRight w:val="0"/>
      <w:marTop w:val="0"/>
      <w:marBottom w:val="0"/>
      <w:divBdr>
        <w:top w:val="none" w:sz="0" w:space="0" w:color="auto"/>
        <w:left w:val="none" w:sz="0" w:space="0" w:color="auto"/>
        <w:bottom w:val="none" w:sz="0" w:space="0" w:color="auto"/>
        <w:right w:val="none" w:sz="0" w:space="0" w:color="auto"/>
      </w:divBdr>
    </w:div>
    <w:div w:id="126406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jallfoss.fcc.gov/ecfs2/"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janice.wise@fcc.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anny.bring@fc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arcia.glauberman@fc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www.hrsa.gov/ruralhealth/policy/definition_of_rural.html" TargetMode="External"/><Relationship Id="rId1" Type="http://schemas.openxmlformats.org/officeDocument/2006/relationships/hyperlink" Target="http://www.tvcablefactbook.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FCC%20Document%20Templates\Public%20Notice%20-%20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 L</Template>
  <TotalTime>0</TotalTime>
  <Pages>2</Pages>
  <Words>2830</Words>
  <Characters>15923</Characters>
  <Application>Microsoft Office Word</Application>
  <DocSecurity>0</DocSecurity>
  <Lines>254</Lines>
  <Paragraphs>47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18826</CharactersWithSpaces>
  <SharedDoc>false</SharedDoc>
  <HyperlinkBase> </HyperlinkBase>
  <HLinks>
    <vt:vector size="6" baseType="variant">
      <vt:variant>
        <vt:i4>6619244</vt:i4>
      </vt:variant>
      <vt:variant>
        <vt:i4>-1</vt:i4>
      </vt:variant>
      <vt:variant>
        <vt:i4>2054</vt:i4>
      </vt:variant>
      <vt:variant>
        <vt:i4>1</vt:i4>
      </vt:variant>
      <vt:variant>
        <vt:lpwstr>C:\WINDOWS\Desktop\fcc_logo.tif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2015-02-25T12:56:00Z</cp:lastPrinted>
  <dcterms:created xsi:type="dcterms:W3CDTF">2015-02-25T14:26:00Z</dcterms:created>
  <dcterms:modified xsi:type="dcterms:W3CDTF">2015-02-25T14:26:00Z</dcterms:modified>
  <cp:category> </cp:category>
  <cp:contentStatus> </cp:contentStatus>
</cp:coreProperties>
</file>