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238CD" w14:textId="1060713E" w:rsidR="00683162" w:rsidRDefault="00E2457A" w:rsidP="002F1015">
      <w:pPr>
        <w:pStyle w:val="NoSpacing"/>
      </w:pPr>
      <w:bookmarkStart w:id="0" w:name="_GoBack"/>
      <w:bookmarkEnd w:id="0"/>
      <w:r>
        <w:tab/>
      </w:r>
      <w:r>
        <w:tab/>
      </w:r>
    </w:p>
    <w:p w14:paraId="62C19A74" w14:textId="3AD08754" w:rsidR="00E2457A" w:rsidRPr="00021F2A" w:rsidRDefault="00E2457A" w:rsidP="001378C7">
      <w:pPr>
        <w:rPr>
          <w:sz w:val="22"/>
        </w:rPr>
      </w:pPr>
      <w:r>
        <w:rPr>
          <w:sz w:val="22"/>
        </w:rPr>
        <w:tab/>
      </w:r>
      <w:r>
        <w:rPr>
          <w:sz w:val="22"/>
        </w:rPr>
        <w:tab/>
      </w:r>
      <w:r>
        <w:rPr>
          <w:sz w:val="22"/>
        </w:rPr>
        <w:tab/>
      </w:r>
      <w:r>
        <w:rPr>
          <w:sz w:val="22"/>
        </w:rPr>
        <w:tab/>
      </w:r>
      <w:r>
        <w:rPr>
          <w:sz w:val="22"/>
        </w:rPr>
        <w:tab/>
      </w:r>
      <w:r w:rsidR="00021F2A">
        <w:rPr>
          <w:sz w:val="22"/>
        </w:rPr>
        <w:tab/>
      </w:r>
      <w:r>
        <w:rPr>
          <w:sz w:val="22"/>
        </w:rPr>
        <w:tab/>
      </w:r>
      <w:r>
        <w:rPr>
          <w:sz w:val="22"/>
        </w:rPr>
        <w:tab/>
      </w:r>
      <w:r>
        <w:rPr>
          <w:sz w:val="22"/>
        </w:rPr>
        <w:tab/>
      </w:r>
      <w:r>
        <w:rPr>
          <w:sz w:val="22"/>
        </w:rPr>
        <w:tab/>
      </w:r>
      <w:r>
        <w:rPr>
          <w:sz w:val="22"/>
        </w:rPr>
        <w:tab/>
      </w:r>
      <w:r w:rsidRPr="00021F2A">
        <w:rPr>
          <w:sz w:val="22"/>
        </w:rPr>
        <w:t>DA 15-</w:t>
      </w:r>
      <w:r w:rsidR="00F02CEF" w:rsidRPr="00021F2A">
        <w:rPr>
          <w:sz w:val="22"/>
        </w:rPr>
        <w:t>259</w:t>
      </w:r>
    </w:p>
    <w:p w14:paraId="384F3EEA" w14:textId="77777777" w:rsidR="00E2457A" w:rsidRDefault="00E2457A" w:rsidP="001378C7">
      <w:pPr>
        <w:rPr>
          <w:sz w:val="22"/>
        </w:rPr>
      </w:pPr>
    </w:p>
    <w:p w14:paraId="4D124C1A" w14:textId="77777777" w:rsidR="00E2457A" w:rsidRPr="00C06F09" w:rsidRDefault="00E2457A" w:rsidP="001378C7">
      <w:pPr>
        <w:rPr>
          <w:sz w:val="22"/>
        </w:rPr>
      </w:pPr>
    </w:p>
    <w:p w14:paraId="53F9C34E" w14:textId="6DF88AB9" w:rsidR="00CD1676" w:rsidRPr="00C06F09" w:rsidRDefault="00CD1676" w:rsidP="00B76E03">
      <w:pPr>
        <w:spacing w:after="0"/>
        <w:rPr>
          <w:sz w:val="22"/>
        </w:rPr>
      </w:pPr>
      <w:r w:rsidRPr="00C06F09">
        <w:rPr>
          <w:sz w:val="22"/>
        </w:rPr>
        <w:t xml:space="preserve">Dirk J. Winkel </w:t>
      </w:r>
      <w:r w:rsidRPr="00C06F09">
        <w:rPr>
          <w:sz w:val="22"/>
        </w:rPr>
        <w:br/>
        <w:t>LL License Holdings, LLC</w:t>
      </w:r>
    </w:p>
    <w:p w14:paraId="2FC66F43" w14:textId="77777777" w:rsidR="00CD1676" w:rsidRPr="00C06F09" w:rsidRDefault="00CD1676" w:rsidP="00B76E03">
      <w:pPr>
        <w:spacing w:after="0"/>
        <w:rPr>
          <w:sz w:val="22"/>
        </w:rPr>
      </w:pPr>
      <w:r w:rsidRPr="00C06F09">
        <w:rPr>
          <w:sz w:val="22"/>
        </w:rPr>
        <w:t>501 Fourth Street</w:t>
      </w:r>
    </w:p>
    <w:p w14:paraId="04D5C9B4" w14:textId="683606B7" w:rsidR="00683162" w:rsidRPr="00C06F09" w:rsidRDefault="00CD1676" w:rsidP="00B76E03">
      <w:pPr>
        <w:spacing w:after="0"/>
        <w:rPr>
          <w:sz w:val="22"/>
        </w:rPr>
      </w:pPr>
      <w:r w:rsidRPr="00C06F09">
        <w:rPr>
          <w:sz w:val="22"/>
        </w:rPr>
        <w:t xml:space="preserve">Sergeant Bluff, IA 51054 </w:t>
      </w:r>
    </w:p>
    <w:p w14:paraId="551A7E9E" w14:textId="77777777" w:rsidR="00BC679F" w:rsidRPr="00C06F09" w:rsidRDefault="00BC679F" w:rsidP="001378C7">
      <w:pPr>
        <w:rPr>
          <w:sz w:val="22"/>
        </w:rPr>
      </w:pPr>
    </w:p>
    <w:p w14:paraId="733FF040" w14:textId="2B9302C7" w:rsidR="00683162" w:rsidRPr="00C06F09" w:rsidRDefault="00683162" w:rsidP="00B76E03">
      <w:pPr>
        <w:tabs>
          <w:tab w:val="left" w:pos="1170"/>
        </w:tabs>
        <w:ind w:left="1170" w:hanging="450"/>
        <w:rPr>
          <w:sz w:val="22"/>
        </w:rPr>
      </w:pPr>
      <w:r w:rsidRPr="00C06F09">
        <w:rPr>
          <w:sz w:val="22"/>
        </w:rPr>
        <w:t>R</w:t>
      </w:r>
      <w:r w:rsidR="00B76E03" w:rsidRPr="00C06F09">
        <w:rPr>
          <w:sz w:val="22"/>
        </w:rPr>
        <w:t>e</w:t>
      </w:r>
      <w:r w:rsidRPr="00C06F09">
        <w:rPr>
          <w:sz w:val="22"/>
        </w:rPr>
        <w:t>:</w:t>
      </w:r>
      <w:r w:rsidR="00B76E03" w:rsidRPr="00C06F09">
        <w:rPr>
          <w:sz w:val="22"/>
        </w:rPr>
        <w:tab/>
      </w:r>
      <w:r w:rsidR="00FB0CD6" w:rsidRPr="00C06F09">
        <w:rPr>
          <w:sz w:val="22"/>
        </w:rPr>
        <w:t xml:space="preserve">LL License Holdings, LLC </w:t>
      </w:r>
      <w:r w:rsidR="005D79FE" w:rsidRPr="00C06F09">
        <w:rPr>
          <w:sz w:val="22"/>
        </w:rPr>
        <w:t xml:space="preserve">Waiver Request for Extension of Time for Wireless Services, </w:t>
      </w:r>
      <w:r w:rsidR="006E4496" w:rsidRPr="00C06F09">
        <w:rPr>
          <w:sz w:val="22"/>
        </w:rPr>
        <w:t>Call Signs</w:t>
      </w:r>
      <w:r w:rsidR="00824C2E" w:rsidRPr="00C06F09">
        <w:rPr>
          <w:sz w:val="22"/>
        </w:rPr>
        <w:t xml:space="preserve"> WQKH490 and WQKH491</w:t>
      </w:r>
      <w:r w:rsidR="005D79FE" w:rsidRPr="00C06F09">
        <w:rPr>
          <w:sz w:val="22"/>
        </w:rPr>
        <w:t xml:space="preserve"> </w:t>
      </w:r>
      <w:r w:rsidR="001308F7">
        <w:rPr>
          <w:sz w:val="22"/>
        </w:rPr>
        <w:t>(</w:t>
      </w:r>
      <w:r w:rsidR="005D79FE" w:rsidRPr="00C06F09">
        <w:rPr>
          <w:sz w:val="22"/>
        </w:rPr>
        <w:t>File Numbers 0005204801 and 0005204802</w:t>
      </w:r>
      <w:r w:rsidR="001308F7">
        <w:rPr>
          <w:sz w:val="22"/>
        </w:rPr>
        <w:t>)</w:t>
      </w:r>
    </w:p>
    <w:p w14:paraId="0C93D0BD" w14:textId="0874A0E5" w:rsidR="00683162" w:rsidRPr="00C06F09" w:rsidRDefault="00683162" w:rsidP="001378C7">
      <w:pPr>
        <w:rPr>
          <w:sz w:val="22"/>
        </w:rPr>
      </w:pPr>
      <w:r w:rsidRPr="00C06F09">
        <w:rPr>
          <w:sz w:val="22"/>
        </w:rPr>
        <w:t xml:space="preserve">Dear Mr. </w:t>
      </w:r>
      <w:r w:rsidR="003C2AD4" w:rsidRPr="00C06F09">
        <w:rPr>
          <w:sz w:val="22"/>
        </w:rPr>
        <w:t>Winkel</w:t>
      </w:r>
      <w:r w:rsidRPr="00C06F09">
        <w:rPr>
          <w:sz w:val="22"/>
        </w:rPr>
        <w:t>:</w:t>
      </w:r>
    </w:p>
    <w:p w14:paraId="0374E9ED" w14:textId="7410C660" w:rsidR="004A2BF8" w:rsidRPr="00C06F09" w:rsidRDefault="00D90DAC" w:rsidP="00A4598C">
      <w:pPr>
        <w:ind w:firstLine="720"/>
        <w:rPr>
          <w:sz w:val="22"/>
        </w:rPr>
      </w:pPr>
      <w:r w:rsidRPr="00C06F09">
        <w:rPr>
          <w:sz w:val="22"/>
        </w:rPr>
        <w:t xml:space="preserve">By </w:t>
      </w:r>
      <w:r w:rsidR="00BD7BE5" w:rsidRPr="00C06F09">
        <w:rPr>
          <w:sz w:val="22"/>
        </w:rPr>
        <w:t>this Letter, we grant</w:t>
      </w:r>
      <w:r w:rsidR="00CA3CDA" w:rsidRPr="00C06F09">
        <w:rPr>
          <w:sz w:val="22"/>
        </w:rPr>
        <w:t xml:space="preserve"> a </w:t>
      </w:r>
      <w:r w:rsidR="00650264" w:rsidRPr="00C06F09">
        <w:rPr>
          <w:sz w:val="22"/>
        </w:rPr>
        <w:t xml:space="preserve">Waiver Request for Extension of Time for Wireless Services </w:t>
      </w:r>
      <w:r w:rsidR="00CA3CDA" w:rsidRPr="00C06F09">
        <w:rPr>
          <w:sz w:val="22"/>
        </w:rPr>
        <w:t xml:space="preserve">filed by </w:t>
      </w:r>
      <w:r w:rsidR="00937D43" w:rsidRPr="00C06F09">
        <w:rPr>
          <w:sz w:val="22"/>
        </w:rPr>
        <w:t>LL License Holdings, LLC (</w:t>
      </w:r>
      <w:r w:rsidR="00347DFE" w:rsidRPr="00C06F09">
        <w:rPr>
          <w:sz w:val="22"/>
        </w:rPr>
        <w:t>LL License Holdings</w:t>
      </w:r>
      <w:r w:rsidR="00937D43" w:rsidRPr="00C06F09">
        <w:rPr>
          <w:sz w:val="22"/>
        </w:rPr>
        <w:t>)</w:t>
      </w:r>
      <w:r w:rsidR="00CA3CDA" w:rsidRPr="00C06F09">
        <w:rPr>
          <w:sz w:val="22"/>
        </w:rPr>
        <w:t xml:space="preserve">, </w:t>
      </w:r>
      <w:r w:rsidR="00A4598C">
        <w:rPr>
          <w:sz w:val="22"/>
        </w:rPr>
        <w:t>and extend the</w:t>
      </w:r>
      <w:r w:rsidR="00B20A30" w:rsidRPr="00C06F09">
        <w:rPr>
          <w:sz w:val="22"/>
        </w:rPr>
        <w:t xml:space="preserve"> </w:t>
      </w:r>
      <w:r w:rsidR="0025144C" w:rsidRPr="0025144C">
        <w:rPr>
          <w:sz w:val="22"/>
        </w:rPr>
        <w:t>Tribal Lands Bidding Credit (TLBC)</w:t>
      </w:r>
      <w:r w:rsidR="00F03B29">
        <w:rPr>
          <w:sz w:val="22"/>
        </w:rPr>
        <w:t xml:space="preserve"> </w:t>
      </w:r>
      <w:r w:rsidR="0025144C">
        <w:rPr>
          <w:sz w:val="22"/>
        </w:rPr>
        <w:t>construction deadline</w:t>
      </w:r>
      <w:r w:rsidR="00A4598C">
        <w:rPr>
          <w:sz w:val="22"/>
        </w:rPr>
        <w:t>s for</w:t>
      </w:r>
      <w:r w:rsidR="00B20A30" w:rsidRPr="00C06F09">
        <w:rPr>
          <w:sz w:val="22"/>
        </w:rPr>
        <w:t xml:space="preserve"> </w:t>
      </w:r>
      <w:r w:rsidR="00A4598C" w:rsidRPr="00C06F09">
        <w:rPr>
          <w:sz w:val="22"/>
        </w:rPr>
        <w:t>Call Signs WQKH490 and WQKH491</w:t>
      </w:r>
      <w:r w:rsidR="00A4598C">
        <w:rPr>
          <w:sz w:val="22"/>
        </w:rPr>
        <w:t xml:space="preserve"> </w:t>
      </w:r>
      <w:r w:rsidR="00CA3CDA" w:rsidRPr="00C06F09">
        <w:rPr>
          <w:sz w:val="22"/>
        </w:rPr>
        <w:t xml:space="preserve">to </w:t>
      </w:r>
      <w:r w:rsidR="00A4598C">
        <w:rPr>
          <w:sz w:val="22"/>
        </w:rPr>
        <w:t xml:space="preserve">December 13, 2016 to </w:t>
      </w:r>
      <w:r w:rsidR="00CA3CDA" w:rsidRPr="00C06F09">
        <w:rPr>
          <w:sz w:val="22"/>
        </w:rPr>
        <w:t xml:space="preserve">allow </w:t>
      </w:r>
      <w:r w:rsidR="00A4598C">
        <w:rPr>
          <w:sz w:val="22"/>
        </w:rPr>
        <w:t>LL License Holdings</w:t>
      </w:r>
      <w:r w:rsidR="00CA3CDA" w:rsidRPr="00C06F09">
        <w:rPr>
          <w:sz w:val="22"/>
        </w:rPr>
        <w:t xml:space="preserve"> to </w:t>
      </w:r>
      <w:r w:rsidR="00A4598C">
        <w:rPr>
          <w:sz w:val="22"/>
        </w:rPr>
        <w:t>construct its Lower 700 MHz A Block</w:t>
      </w:r>
      <w:r w:rsidR="00E73A78" w:rsidRPr="00C06F09">
        <w:rPr>
          <w:sz w:val="22"/>
        </w:rPr>
        <w:t xml:space="preserve"> LTE </w:t>
      </w:r>
      <w:r w:rsidR="00A4598C">
        <w:rPr>
          <w:sz w:val="22"/>
        </w:rPr>
        <w:t>systems</w:t>
      </w:r>
      <w:r w:rsidR="00CA3CDA" w:rsidRPr="00C06F09">
        <w:rPr>
          <w:sz w:val="22"/>
        </w:rPr>
        <w:t>.</w:t>
      </w:r>
      <w:r w:rsidR="0054186F" w:rsidRPr="00C06F09">
        <w:rPr>
          <w:rStyle w:val="FootnoteReference"/>
          <w:sz w:val="22"/>
        </w:rPr>
        <w:footnoteReference w:id="2"/>
      </w:r>
      <w:r w:rsidR="00CA3CDA" w:rsidRPr="00C06F09">
        <w:rPr>
          <w:sz w:val="22"/>
        </w:rPr>
        <w:t xml:space="preserve">  We find that</w:t>
      </w:r>
      <w:r w:rsidR="00787F90" w:rsidRPr="00C06F09">
        <w:rPr>
          <w:sz w:val="22"/>
        </w:rPr>
        <w:t xml:space="preserve"> granting </w:t>
      </w:r>
      <w:r w:rsidR="00F03B29">
        <w:rPr>
          <w:sz w:val="22"/>
        </w:rPr>
        <w:t>a</w:t>
      </w:r>
      <w:r w:rsidR="00787F90" w:rsidRPr="00C06F09">
        <w:rPr>
          <w:sz w:val="22"/>
        </w:rPr>
        <w:t xml:space="preserve"> limited</w:t>
      </w:r>
      <w:r w:rsidR="00F03B29">
        <w:rPr>
          <w:sz w:val="22"/>
        </w:rPr>
        <w:t xml:space="preserve"> waiver pursuant to sections 1.3 and 1.925 of</w:t>
      </w:r>
      <w:r w:rsidR="00CA3CDA" w:rsidRPr="00C06F09">
        <w:rPr>
          <w:sz w:val="22"/>
        </w:rPr>
        <w:t xml:space="preserve"> the Commission’s rules</w:t>
      </w:r>
      <w:r w:rsidR="00F25C0E">
        <w:rPr>
          <w:rStyle w:val="FootnoteReference"/>
          <w:sz w:val="22"/>
        </w:rPr>
        <w:footnoteReference w:id="3"/>
      </w:r>
      <w:r w:rsidR="004512D3">
        <w:rPr>
          <w:sz w:val="22"/>
        </w:rPr>
        <w:t xml:space="preserve"> to</w:t>
      </w:r>
      <w:r w:rsidR="00F03B29">
        <w:rPr>
          <w:sz w:val="22"/>
        </w:rPr>
        <w:t xml:space="preserve"> enable the</w:t>
      </w:r>
      <w:r w:rsidR="004512D3">
        <w:rPr>
          <w:sz w:val="22"/>
        </w:rPr>
        <w:t xml:space="preserve"> deploy</w:t>
      </w:r>
      <w:r w:rsidR="00F03B29">
        <w:rPr>
          <w:sz w:val="22"/>
        </w:rPr>
        <w:t>ment of</w:t>
      </w:r>
      <w:r w:rsidR="004512D3">
        <w:rPr>
          <w:sz w:val="22"/>
        </w:rPr>
        <w:t xml:space="preserve"> LTE facilities</w:t>
      </w:r>
      <w:r w:rsidR="005520F3" w:rsidRPr="00C06F09">
        <w:rPr>
          <w:sz w:val="22"/>
        </w:rPr>
        <w:t xml:space="preserve"> as</w:t>
      </w:r>
      <w:r w:rsidR="00787F90" w:rsidRPr="00C06F09">
        <w:rPr>
          <w:sz w:val="22"/>
        </w:rPr>
        <w:t xml:space="preserve"> requested by </w:t>
      </w:r>
      <w:r w:rsidR="00347DFE" w:rsidRPr="00C06F09">
        <w:rPr>
          <w:sz w:val="22"/>
        </w:rPr>
        <w:t>LL License Holdings</w:t>
      </w:r>
      <w:r w:rsidR="00787F90" w:rsidRPr="00C06F09">
        <w:rPr>
          <w:sz w:val="22"/>
        </w:rPr>
        <w:t xml:space="preserve"> </w:t>
      </w:r>
      <w:r w:rsidR="00CA3CDA" w:rsidRPr="00C06F09">
        <w:rPr>
          <w:sz w:val="22"/>
        </w:rPr>
        <w:t xml:space="preserve">will facilitate the provision of </w:t>
      </w:r>
      <w:r w:rsidR="002919E2" w:rsidRPr="00C06F09">
        <w:rPr>
          <w:sz w:val="22"/>
        </w:rPr>
        <w:t xml:space="preserve">advanced </w:t>
      </w:r>
      <w:r w:rsidR="00CA3CDA" w:rsidRPr="00C06F09">
        <w:rPr>
          <w:sz w:val="22"/>
        </w:rPr>
        <w:t>broadband service</w:t>
      </w:r>
      <w:r w:rsidR="002919E2" w:rsidRPr="00C06F09">
        <w:rPr>
          <w:sz w:val="22"/>
        </w:rPr>
        <w:t>s</w:t>
      </w:r>
      <w:r w:rsidR="00CA3CDA" w:rsidRPr="00C06F09">
        <w:rPr>
          <w:sz w:val="22"/>
        </w:rPr>
        <w:t xml:space="preserve"> to the </w:t>
      </w:r>
      <w:r w:rsidR="00B20A30" w:rsidRPr="00C06F09">
        <w:rPr>
          <w:sz w:val="22"/>
        </w:rPr>
        <w:t xml:space="preserve">Rosebud Reservation of the Rosebud Sioux Tribe (Rosebud Sioux Reservation) and the Santee Sioux of Nebraska Reservation (Santee Sioux Reservation), </w:t>
      </w:r>
      <w:r w:rsidR="00CA3CDA" w:rsidRPr="00C06F09">
        <w:rPr>
          <w:sz w:val="22"/>
        </w:rPr>
        <w:t>while maintaining the integrity of the</w:t>
      </w:r>
      <w:r w:rsidR="00E73A78" w:rsidRPr="00C06F09">
        <w:rPr>
          <w:sz w:val="22"/>
        </w:rPr>
        <w:t xml:space="preserve"> Commission’s</w:t>
      </w:r>
      <w:r w:rsidR="0025144C">
        <w:rPr>
          <w:sz w:val="22"/>
        </w:rPr>
        <w:t xml:space="preserve"> TLBC</w:t>
      </w:r>
      <w:r w:rsidR="00E73A78" w:rsidRPr="00C06F09">
        <w:rPr>
          <w:sz w:val="22"/>
        </w:rPr>
        <w:t xml:space="preserve"> </w:t>
      </w:r>
      <w:r w:rsidR="00CA3CDA" w:rsidRPr="00C06F09">
        <w:rPr>
          <w:sz w:val="22"/>
        </w:rPr>
        <w:t>program.</w:t>
      </w:r>
    </w:p>
    <w:p w14:paraId="31F81CDA" w14:textId="70D330D7" w:rsidR="004D7696" w:rsidRPr="00C06F09" w:rsidRDefault="00347DFE" w:rsidP="00D90DAC">
      <w:pPr>
        <w:ind w:firstLine="720"/>
        <w:rPr>
          <w:sz w:val="22"/>
        </w:rPr>
      </w:pPr>
      <w:r w:rsidRPr="00C06F09">
        <w:rPr>
          <w:sz w:val="22"/>
        </w:rPr>
        <w:t>LL License Holdings</w:t>
      </w:r>
      <w:r w:rsidR="00937D43" w:rsidRPr="00C06F09">
        <w:rPr>
          <w:sz w:val="22"/>
        </w:rPr>
        <w:t xml:space="preserve"> was the </w:t>
      </w:r>
      <w:r w:rsidR="008D633D" w:rsidRPr="00C06F09">
        <w:rPr>
          <w:sz w:val="22"/>
        </w:rPr>
        <w:t>winning</w:t>
      </w:r>
      <w:r w:rsidR="00937D43" w:rsidRPr="00C06F09">
        <w:rPr>
          <w:sz w:val="22"/>
        </w:rPr>
        <w:t xml:space="preserve"> bidder </w:t>
      </w:r>
      <w:r w:rsidR="005520F3" w:rsidRPr="00C06F09">
        <w:rPr>
          <w:sz w:val="22"/>
        </w:rPr>
        <w:t xml:space="preserve">of </w:t>
      </w:r>
      <w:r w:rsidR="00FB7074" w:rsidRPr="00C06F09">
        <w:rPr>
          <w:sz w:val="22"/>
        </w:rPr>
        <w:t>the</w:t>
      </w:r>
      <w:r w:rsidR="00B20A30" w:rsidRPr="00C06F09">
        <w:rPr>
          <w:sz w:val="22"/>
        </w:rPr>
        <w:t xml:space="preserve"> Lower 700 MHz A Block license</w:t>
      </w:r>
      <w:r w:rsidR="0004297C" w:rsidRPr="00C06F09">
        <w:rPr>
          <w:sz w:val="22"/>
        </w:rPr>
        <w:t>s</w:t>
      </w:r>
      <w:r w:rsidR="00AA5D07" w:rsidRPr="00C06F09">
        <w:rPr>
          <w:sz w:val="22"/>
        </w:rPr>
        <w:t xml:space="preserve"> for</w:t>
      </w:r>
      <w:r w:rsidR="005520F3" w:rsidRPr="00C06F09">
        <w:rPr>
          <w:sz w:val="22"/>
        </w:rPr>
        <w:t xml:space="preserve"> the</w:t>
      </w:r>
      <w:r w:rsidR="00AA5D07" w:rsidRPr="00C06F09">
        <w:rPr>
          <w:sz w:val="22"/>
        </w:rPr>
        <w:t xml:space="preserve"> Rapid City</w:t>
      </w:r>
      <w:r w:rsidR="00B76E03" w:rsidRPr="00C06F09">
        <w:rPr>
          <w:sz w:val="22"/>
        </w:rPr>
        <w:t>, South Dakota</w:t>
      </w:r>
      <w:r w:rsidR="00AA5D07" w:rsidRPr="00C06F09">
        <w:rPr>
          <w:sz w:val="22"/>
        </w:rPr>
        <w:t xml:space="preserve"> and Sioux Falls</w:t>
      </w:r>
      <w:r w:rsidR="00B76E03" w:rsidRPr="00C06F09">
        <w:rPr>
          <w:sz w:val="22"/>
        </w:rPr>
        <w:t>, South Dakota</w:t>
      </w:r>
      <w:r w:rsidR="00AA5D07" w:rsidRPr="00C06F09">
        <w:rPr>
          <w:sz w:val="22"/>
        </w:rPr>
        <w:t xml:space="preserve"> </w:t>
      </w:r>
      <w:r w:rsidR="005520F3" w:rsidRPr="00C06F09">
        <w:rPr>
          <w:sz w:val="22"/>
        </w:rPr>
        <w:t>Economic Area (EA) markets</w:t>
      </w:r>
      <w:r w:rsidR="008D633D" w:rsidRPr="00C06F09">
        <w:rPr>
          <w:sz w:val="22"/>
        </w:rPr>
        <w:t xml:space="preserve"> in Auction 73.</w:t>
      </w:r>
      <w:r w:rsidR="008D633D" w:rsidRPr="00C06F09">
        <w:rPr>
          <w:sz w:val="22"/>
          <w:vertAlign w:val="superscript"/>
        </w:rPr>
        <w:footnoteReference w:id="4"/>
      </w:r>
      <w:r w:rsidR="00830D9C" w:rsidRPr="00C06F09">
        <w:rPr>
          <w:sz w:val="22"/>
        </w:rPr>
        <w:t xml:space="preserve">  The Wireless Telecommunications Bureau</w:t>
      </w:r>
      <w:r w:rsidR="00CA7131" w:rsidRPr="00C06F09">
        <w:rPr>
          <w:sz w:val="22"/>
        </w:rPr>
        <w:t xml:space="preserve"> (WTB)</w:t>
      </w:r>
      <w:r w:rsidR="00830D9C" w:rsidRPr="00C06F09">
        <w:rPr>
          <w:sz w:val="22"/>
        </w:rPr>
        <w:t xml:space="preserve"> granted the licenses, Call Signs WQKH490 and WQKH491</w:t>
      </w:r>
      <w:r w:rsidR="008D633D" w:rsidRPr="00C06F09">
        <w:rPr>
          <w:sz w:val="22"/>
        </w:rPr>
        <w:t xml:space="preserve">, </w:t>
      </w:r>
      <w:r w:rsidR="00830D9C" w:rsidRPr="00C06F09">
        <w:rPr>
          <w:sz w:val="22"/>
        </w:rPr>
        <w:t>respectively, o</w:t>
      </w:r>
      <w:r w:rsidR="00EE613A" w:rsidRPr="00C06F09">
        <w:rPr>
          <w:sz w:val="22"/>
        </w:rPr>
        <w:t>n May 20, 2009</w:t>
      </w:r>
      <w:r w:rsidR="00DF2AEB" w:rsidRPr="00C06F09">
        <w:rPr>
          <w:sz w:val="22"/>
        </w:rPr>
        <w:t xml:space="preserve"> (Licenses)</w:t>
      </w:r>
      <w:r w:rsidR="00A60DAB" w:rsidRPr="00C06F09">
        <w:rPr>
          <w:sz w:val="22"/>
        </w:rPr>
        <w:t xml:space="preserve">.  </w:t>
      </w:r>
      <w:r w:rsidRPr="00C06F09">
        <w:rPr>
          <w:sz w:val="22"/>
        </w:rPr>
        <w:t>LL License Holdings</w:t>
      </w:r>
      <w:r w:rsidR="00EE613A" w:rsidRPr="00C06F09">
        <w:rPr>
          <w:sz w:val="22"/>
        </w:rPr>
        <w:t xml:space="preserve"> received a $402,500 TLBC for Call Sign WQKH490 </w:t>
      </w:r>
      <w:r w:rsidR="000C4ACC" w:rsidRPr="00C06F09">
        <w:rPr>
          <w:sz w:val="22"/>
        </w:rPr>
        <w:t xml:space="preserve">to serve the Rosebud Sioux Reservation, </w:t>
      </w:r>
      <w:r w:rsidR="00EE613A" w:rsidRPr="00C06F09">
        <w:rPr>
          <w:sz w:val="22"/>
        </w:rPr>
        <w:t>and a $488,000 TLBC</w:t>
      </w:r>
      <w:r w:rsidR="00EE613A" w:rsidRPr="00C06F09" w:rsidDel="00C5306A">
        <w:rPr>
          <w:sz w:val="22"/>
        </w:rPr>
        <w:t xml:space="preserve"> </w:t>
      </w:r>
      <w:r w:rsidR="00EE613A" w:rsidRPr="00C06F09">
        <w:rPr>
          <w:sz w:val="22"/>
        </w:rPr>
        <w:t>for Call Sign WQKH491</w:t>
      </w:r>
      <w:r w:rsidR="000C4ACC" w:rsidRPr="00C06F09">
        <w:rPr>
          <w:sz w:val="22"/>
        </w:rPr>
        <w:t xml:space="preserve"> to serve the Santee Sioux Reservation</w:t>
      </w:r>
      <w:r w:rsidR="00EE613A" w:rsidRPr="00C06F09">
        <w:rPr>
          <w:sz w:val="22"/>
        </w:rPr>
        <w:t xml:space="preserve">, </w:t>
      </w:r>
      <w:r w:rsidR="002919E2" w:rsidRPr="00C06F09">
        <w:rPr>
          <w:sz w:val="22"/>
        </w:rPr>
        <w:t xml:space="preserve">with </w:t>
      </w:r>
      <w:r w:rsidR="00EE613A" w:rsidRPr="00C06F09">
        <w:rPr>
          <w:sz w:val="22"/>
        </w:rPr>
        <w:t xml:space="preserve">each amount equal to fifty percent of </w:t>
      </w:r>
      <w:r w:rsidR="0054356A">
        <w:rPr>
          <w:sz w:val="22"/>
        </w:rPr>
        <w:t>LL License Holdings’</w:t>
      </w:r>
      <w:r w:rsidR="00EE613A" w:rsidRPr="00C06F09">
        <w:rPr>
          <w:sz w:val="22"/>
        </w:rPr>
        <w:t xml:space="preserve"> gross bid for each respective </w:t>
      </w:r>
      <w:r w:rsidR="00AA27C3">
        <w:rPr>
          <w:sz w:val="22"/>
        </w:rPr>
        <w:t>l</w:t>
      </w:r>
      <w:r w:rsidR="00AA27C3" w:rsidRPr="00C06F09">
        <w:rPr>
          <w:sz w:val="22"/>
        </w:rPr>
        <w:t xml:space="preserve">icense </w:t>
      </w:r>
      <w:r w:rsidR="00EE613A" w:rsidRPr="00C06F09">
        <w:rPr>
          <w:sz w:val="22"/>
        </w:rPr>
        <w:t>in Auction No. 73.</w:t>
      </w:r>
      <w:r w:rsidR="00EE613A" w:rsidRPr="00C06F09">
        <w:rPr>
          <w:rStyle w:val="FootnoteReference"/>
          <w:sz w:val="22"/>
        </w:rPr>
        <w:footnoteReference w:id="5"/>
      </w:r>
      <w:r w:rsidR="00EE613A" w:rsidRPr="00C06F09">
        <w:rPr>
          <w:sz w:val="22"/>
        </w:rPr>
        <w:t xml:space="preserve">  As a condition of receiving the TLBCs, </w:t>
      </w:r>
      <w:r w:rsidRPr="00C06F09">
        <w:rPr>
          <w:sz w:val="22"/>
        </w:rPr>
        <w:t>LL License Holdings</w:t>
      </w:r>
      <w:r w:rsidR="00EE613A" w:rsidRPr="00C06F09">
        <w:rPr>
          <w:sz w:val="22"/>
        </w:rPr>
        <w:t xml:space="preserve"> was required to construct and operate “a system capable of serving seventy-five (75) percent of the population of the qualifying tribal land f</w:t>
      </w:r>
      <w:r w:rsidR="00E949A8" w:rsidRPr="00C06F09">
        <w:rPr>
          <w:sz w:val="22"/>
        </w:rPr>
        <w:t>or which the credit was awarded</w:t>
      </w:r>
      <w:r w:rsidR="00EE613A" w:rsidRPr="00C06F09">
        <w:rPr>
          <w:sz w:val="22"/>
        </w:rPr>
        <w:t>”</w:t>
      </w:r>
      <w:r w:rsidR="00E949A8" w:rsidRPr="00C06F09">
        <w:rPr>
          <w:sz w:val="22"/>
        </w:rPr>
        <w:t xml:space="preserve"> within three (3) years of the license grant.</w:t>
      </w:r>
      <w:r w:rsidR="00EE613A" w:rsidRPr="00C06F09">
        <w:rPr>
          <w:rStyle w:val="FootnoteReference"/>
          <w:sz w:val="22"/>
        </w:rPr>
        <w:footnoteReference w:id="6"/>
      </w:r>
      <w:r w:rsidR="00D90DAC" w:rsidRPr="00C06F09">
        <w:rPr>
          <w:rStyle w:val="FootnoteReference"/>
          <w:sz w:val="22"/>
        </w:rPr>
        <w:t xml:space="preserve">  </w:t>
      </w:r>
      <w:r w:rsidR="00E949A8" w:rsidRPr="00C06F09">
        <w:rPr>
          <w:rStyle w:val="FootnoteReference"/>
          <w:sz w:val="22"/>
        </w:rPr>
        <w:t xml:space="preserve"> </w:t>
      </w:r>
      <w:r w:rsidR="001B21B5" w:rsidRPr="00C06F09">
        <w:rPr>
          <w:sz w:val="22"/>
        </w:rPr>
        <w:t>Under section 1.2110(f)(3)(vii), a licensee that receives a TLBC must, within fifteen (15) days of the tribal lands construction deadline, certify that the TLBC recipient has met the tribal lands construction requirement.</w:t>
      </w:r>
      <w:r w:rsidR="001B21B5" w:rsidRPr="00C06F09">
        <w:rPr>
          <w:rStyle w:val="FootnoteReference"/>
          <w:sz w:val="22"/>
        </w:rPr>
        <w:footnoteReference w:id="7"/>
      </w:r>
      <w:r w:rsidR="001B21B5" w:rsidRPr="00C06F09">
        <w:rPr>
          <w:sz w:val="22"/>
        </w:rPr>
        <w:t xml:space="preserve">  Further, pursuant to the penalty provisions of section </w:t>
      </w:r>
      <w:r w:rsidR="001B21B5" w:rsidRPr="00C06F09">
        <w:rPr>
          <w:sz w:val="22"/>
        </w:rPr>
        <w:lastRenderedPageBreak/>
        <w:t>1.2110(f)(3)(viii), a TLBC recipient that fails to provide the post-construction certification as required must repay the bidding credit amount in its entirety, plus interest, within thirty (30) days of the applicable tribal lands construction deadline.</w:t>
      </w:r>
      <w:r w:rsidR="001B21B5" w:rsidRPr="00C06F09">
        <w:rPr>
          <w:rStyle w:val="FootnoteReference"/>
          <w:sz w:val="22"/>
        </w:rPr>
        <w:footnoteReference w:id="8"/>
      </w:r>
      <w:r w:rsidR="001B21B5" w:rsidRPr="00C06F09">
        <w:rPr>
          <w:sz w:val="22"/>
        </w:rPr>
        <w:t xml:space="preserve">  Failure to repay as required results in automatic termination of the license.</w:t>
      </w:r>
      <w:r w:rsidR="001B21B5" w:rsidRPr="00C06F09">
        <w:rPr>
          <w:rStyle w:val="FootnoteReference"/>
          <w:sz w:val="22"/>
        </w:rPr>
        <w:footnoteReference w:id="9"/>
      </w:r>
    </w:p>
    <w:p w14:paraId="3232E287" w14:textId="2587DE26" w:rsidR="008509F5" w:rsidRPr="00C06F09" w:rsidRDefault="00043E58" w:rsidP="00047C80">
      <w:pPr>
        <w:ind w:firstLine="720"/>
        <w:rPr>
          <w:sz w:val="22"/>
        </w:rPr>
      </w:pPr>
      <w:r w:rsidRPr="00C06F09">
        <w:rPr>
          <w:sz w:val="22"/>
        </w:rPr>
        <w:t xml:space="preserve">Due </w:t>
      </w:r>
      <w:r w:rsidR="00B20A30" w:rsidRPr="00C06F09">
        <w:rPr>
          <w:sz w:val="22"/>
        </w:rPr>
        <w:t xml:space="preserve">to </w:t>
      </w:r>
      <w:r w:rsidR="007F17AF" w:rsidRPr="00C06F09">
        <w:rPr>
          <w:sz w:val="22"/>
        </w:rPr>
        <w:t xml:space="preserve">delays </w:t>
      </w:r>
      <w:r w:rsidR="004C3460" w:rsidRPr="00C06F09">
        <w:rPr>
          <w:sz w:val="22"/>
        </w:rPr>
        <w:t>in the transition of</w:t>
      </w:r>
      <w:r w:rsidR="002919E2" w:rsidRPr="00C06F09">
        <w:rPr>
          <w:sz w:val="22"/>
        </w:rPr>
        <w:t xml:space="preserve"> </w:t>
      </w:r>
      <w:r w:rsidR="00B20A30" w:rsidRPr="00C06F09">
        <w:rPr>
          <w:sz w:val="22"/>
        </w:rPr>
        <w:t xml:space="preserve">television </w:t>
      </w:r>
      <w:r w:rsidR="001B21B5" w:rsidRPr="00C06F09">
        <w:rPr>
          <w:sz w:val="22"/>
        </w:rPr>
        <w:t>broadcasters from the 700 MHz Band</w:t>
      </w:r>
      <w:r w:rsidR="00B20A30" w:rsidRPr="00C06F09">
        <w:rPr>
          <w:sz w:val="22"/>
        </w:rPr>
        <w:t xml:space="preserve">, the Commission </w:t>
      </w:r>
      <w:r w:rsidR="006507B0" w:rsidRPr="00C06F09">
        <w:rPr>
          <w:sz w:val="22"/>
        </w:rPr>
        <w:t>determined that construction periods for 700 MHz licenses would not commence until June 13, 2009.</w:t>
      </w:r>
      <w:r w:rsidR="002919E2" w:rsidRPr="00C06F09">
        <w:rPr>
          <w:rStyle w:val="FootnoteReference"/>
          <w:sz w:val="22"/>
        </w:rPr>
        <w:footnoteReference w:id="10"/>
      </w:r>
      <w:r w:rsidR="006507B0" w:rsidRPr="00C06F09">
        <w:rPr>
          <w:sz w:val="22"/>
        </w:rPr>
        <w:t xml:space="preserve">  Accordingly, the Commission established </w:t>
      </w:r>
      <w:r w:rsidR="00B20A30" w:rsidRPr="00C06F09">
        <w:rPr>
          <w:sz w:val="22"/>
        </w:rPr>
        <w:t xml:space="preserve">June 13, 2012, as </w:t>
      </w:r>
      <w:r w:rsidR="00347DFE" w:rsidRPr="00C06F09">
        <w:rPr>
          <w:sz w:val="22"/>
        </w:rPr>
        <w:t>LL License Holdings</w:t>
      </w:r>
      <w:r w:rsidR="007F17AF" w:rsidRPr="00C06F09">
        <w:rPr>
          <w:sz w:val="22"/>
        </w:rPr>
        <w:t xml:space="preserve">’ </w:t>
      </w:r>
      <w:r w:rsidR="00B20A30" w:rsidRPr="00C06F09">
        <w:rPr>
          <w:sz w:val="22"/>
        </w:rPr>
        <w:t>thre</w:t>
      </w:r>
      <w:r w:rsidR="00923255" w:rsidRPr="00C06F09">
        <w:rPr>
          <w:sz w:val="22"/>
        </w:rPr>
        <w:t xml:space="preserve">e-year </w:t>
      </w:r>
      <w:r w:rsidRPr="00C06F09">
        <w:rPr>
          <w:sz w:val="22"/>
        </w:rPr>
        <w:t xml:space="preserve">TLBC </w:t>
      </w:r>
      <w:r w:rsidR="00923255" w:rsidRPr="00C06F09">
        <w:rPr>
          <w:sz w:val="22"/>
        </w:rPr>
        <w:t xml:space="preserve">construction deadline.  </w:t>
      </w:r>
      <w:r w:rsidR="003C2AD4" w:rsidRPr="00C06F09">
        <w:rPr>
          <w:sz w:val="22"/>
        </w:rPr>
        <w:t>On May 11, 2012,</w:t>
      </w:r>
      <w:r w:rsidR="00E85848" w:rsidRPr="00C06F09">
        <w:rPr>
          <w:sz w:val="22"/>
        </w:rPr>
        <w:t xml:space="preserve"> one month before its three-year TLBC construction deadline,</w:t>
      </w:r>
      <w:r w:rsidR="003C2AD4" w:rsidRPr="00C06F09">
        <w:rPr>
          <w:sz w:val="22"/>
        </w:rPr>
        <w:t xml:space="preserve"> </w:t>
      </w:r>
      <w:r w:rsidR="00347DFE" w:rsidRPr="00C06F09">
        <w:rPr>
          <w:sz w:val="22"/>
        </w:rPr>
        <w:t>LL License Holdings</w:t>
      </w:r>
      <w:r w:rsidR="003C2AD4" w:rsidRPr="00C06F09">
        <w:rPr>
          <w:sz w:val="22"/>
        </w:rPr>
        <w:t xml:space="preserve"> filed </w:t>
      </w:r>
      <w:r w:rsidR="00021F2A">
        <w:rPr>
          <w:sz w:val="22"/>
        </w:rPr>
        <w:t>its</w:t>
      </w:r>
      <w:r w:rsidR="00021F2A" w:rsidRPr="00C06F09">
        <w:rPr>
          <w:sz w:val="22"/>
        </w:rPr>
        <w:t xml:space="preserve"> </w:t>
      </w:r>
      <w:r w:rsidR="006D0B91" w:rsidRPr="00C06F09">
        <w:rPr>
          <w:sz w:val="22"/>
        </w:rPr>
        <w:t>Waiver</w:t>
      </w:r>
      <w:r w:rsidR="001F5E8C" w:rsidRPr="00C06F09">
        <w:rPr>
          <w:sz w:val="22"/>
        </w:rPr>
        <w:t xml:space="preserve"> Request</w:t>
      </w:r>
      <w:r w:rsidR="00E85848" w:rsidRPr="00C06F09">
        <w:rPr>
          <w:sz w:val="22"/>
        </w:rPr>
        <w:t xml:space="preserve"> seeking an extension of its TLBC construction deadline</w:t>
      </w:r>
      <w:r w:rsidR="00EA3231" w:rsidRPr="00C06F09">
        <w:rPr>
          <w:sz w:val="22"/>
        </w:rPr>
        <w:t xml:space="preserve"> </w:t>
      </w:r>
      <w:r w:rsidR="00A55FA1" w:rsidRPr="00C06F09">
        <w:rPr>
          <w:sz w:val="22"/>
        </w:rPr>
        <w:t xml:space="preserve">by one year </w:t>
      </w:r>
      <w:r w:rsidR="007D1A03" w:rsidRPr="00C06F09">
        <w:rPr>
          <w:sz w:val="22"/>
        </w:rPr>
        <w:t>so that it could construct LTE systems</w:t>
      </w:r>
      <w:r w:rsidR="001F5E8C" w:rsidRPr="00C06F09">
        <w:rPr>
          <w:sz w:val="22"/>
        </w:rPr>
        <w:t>.</w:t>
      </w:r>
      <w:r w:rsidR="00591518" w:rsidRPr="00C06F09">
        <w:rPr>
          <w:rStyle w:val="FootnoteReference"/>
          <w:sz w:val="22"/>
        </w:rPr>
        <w:footnoteReference w:id="11"/>
      </w:r>
      <w:r w:rsidR="00251349" w:rsidRPr="00C06F09">
        <w:rPr>
          <w:sz w:val="22"/>
        </w:rPr>
        <w:t xml:space="preserve">  </w:t>
      </w:r>
      <w:r w:rsidR="007F4493" w:rsidRPr="00C06F09">
        <w:rPr>
          <w:color w:val="000000"/>
          <w:sz w:val="22"/>
        </w:rPr>
        <w:t xml:space="preserve">In its Waiver Request, </w:t>
      </w:r>
      <w:r w:rsidR="00347DFE" w:rsidRPr="00C06F09">
        <w:rPr>
          <w:sz w:val="22"/>
        </w:rPr>
        <w:t>LL License Holdings</w:t>
      </w:r>
      <w:r w:rsidR="004512D3">
        <w:rPr>
          <w:sz w:val="22"/>
        </w:rPr>
        <w:t xml:space="preserve"> states</w:t>
      </w:r>
      <w:r w:rsidR="002919E2" w:rsidRPr="00C06F09">
        <w:rPr>
          <w:sz w:val="22"/>
        </w:rPr>
        <w:t xml:space="preserve"> that in light of the unavailability of interoperable equipment</w:t>
      </w:r>
      <w:r w:rsidR="006C0CBB" w:rsidRPr="00C06F09">
        <w:rPr>
          <w:sz w:val="22"/>
        </w:rPr>
        <w:t xml:space="preserve">, </w:t>
      </w:r>
      <w:r w:rsidR="00DB1FE5">
        <w:rPr>
          <w:sz w:val="22"/>
        </w:rPr>
        <w:t>it</w:t>
      </w:r>
      <w:r w:rsidR="006C0CBB" w:rsidRPr="00C06F09">
        <w:rPr>
          <w:sz w:val="22"/>
        </w:rPr>
        <w:t xml:space="preserve"> </w:t>
      </w:r>
      <w:r w:rsidR="002919E2" w:rsidRPr="00C06F09">
        <w:rPr>
          <w:sz w:val="22"/>
        </w:rPr>
        <w:t>seeks</w:t>
      </w:r>
      <w:r w:rsidR="006C0CBB" w:rsidRPr="00C06F09">
        <w:rPr>
          <w:sz w:val="22"/>
        </w:rPr>
        <w:t xml:space="preserve"> a one-year extension of the TLBC construction deadline.</w:t>
      </w:r>
      <w:r w:rsidR="006C0CBB" w:rsidRPr="00C06F09">
        <w:rPr>
          <w:rStyle w:val="FootnoteReference"/>
          <w:sz w:val="22"/>
        </w:rPr>
        <w:footnoteReference w:id="12"/>
      </w:r>
    </w:p>
    <w:p w14:paraId="10865F96" w14:textId="3C0539E1" w:rsidR="001378C7" w:rsidRPr="00C06F09" w:rsidRDefault="00870E1D" w:rsidP="00D90DAC">
      <w:pPr>
        <w:ind w:firstLine="720"/>
        <w:rPr>
          <w:sz w:val="22"/>
        </w:rPr>
      </w:pPr>
      <w:r w:rsidRPr="00C06F09">
        <w:rPr>
          <w:sz w:val="22"/>
        </w:rPr>
        <w:t>The Commission noted i</w:t>
      </w:r>
      <w:r w:rsidR="00D32C93" w:rsidRPr="00C06F09">
        <w:rPr>
          <w:sz w:val="22"/>
        </w:rPr>
        <w:t xml:space="preserve">n the </w:t>
      </w:r>
      <w:r w:rsidR="004A3074" w:rsidRPr="00C06F09">
        <w:rPr>
          <w:i/>
          <w:sz w:val="22"/>
        </w:rPr>
        <w:t xml:space="preserve">700 MHz </w:t>
      </w:r>
      <w:r w:rsidR="00855D7D" w:rsidRPr="00C06F09">
        <w:rPr>
          <w:i/>
          <w:sz w:val="22"/>
        </w:rPr>
        <w:t>Interoperability Order</w:t>
      </w:r>
      <w:r w:rsidR="00EA3FA3" w:rsidRPr="00C06F09">
        <w:rPr>
          <w:sz w:val="22"/>
        </w:rPr>
        <w:t xml:space="preserve"> that</w:t>
      </w:r>
      <w:r w:rsidR="004A3074" w:rsidRPr="00C06F09">
        <w:rPr>
          <w:sz w:val="22"/>
        </w:rPr>
        <w:t xml:space="preserve"> U.S. wireless providers are</w:t>
      </w:r>
      <w:r w:rsidR="00EA3FA3" w:rsidRPr="00C06F09">
        <w:rPr>
          <w:sz w:val="22"/>
        </w:rPr>
        <w:t xml:space="preserve"> increasingly adopting </w:t>
      </w:r>
      <w:r w:rsidR="004A3074" w:rsidRPr="00C06F09">
        <w:rPr>
          <w:sz w:val="22"/>
        </w:rPr>
        <w:t xml:space="preserve">LTE </w:t>
      </w:r>
      <w:r w:rsidR="00EA3FA3" w:rsidRPr="00C06F09">
        <w:rPr>
          <w:sz w:val="22"/>
        </w:rPr>
        <w:t>technology</w:t>
      </w:r>
      <w:r w:rsidR="00347DFE" w:rsidRPr="00C06F09">
        <w:rPr>
          <w:sz w:val="22"/>
        </w:rPr>
        <w:t>,</w:t>
      </w:r>
      <w:r w:rsidR="00EA3FA3" w:rsidRPr="00C06F09">
        <w:rPr>
          <w:sz w:val="22"/>
        </w:rPr>
        <w:t xml:space="preserve"> </w:t>
      </w:r>
      <w:r w:rsidR="004A3074" w:rsidRPr="00C06F09">
        <w:rPr>
          <w:sz w:val="22"/>
        </w:rPr>
        <w:t>with all major service providers offering or planning to deploy LTE</w:t>
      </w:r>
      <w:r w:rsidR="00EA3FA3" w:rsidRPr="00C06F09">
        <w:rPr>
          <w:sz w:val="22"/>
        </w:rPr>
        <w:t xml:space="preserve"> systems.</w:t>
      </w:r>
      <w:r w:rsidR="00CD43DD" w:rsidRPr="00C06F09">
        <w:rPr>
          <w:rStyle w:val="FootnoteReference"/>
          <w:sz w:val="22"/>
        </w:rPr>
        <w:footnoteReference w:id="13"/>
      </w:r>
      <w:r w:rsidR="00EA3FA3" w:rsidRPr="00C06F09">
        <w:rPr>
          <w:sz w:val="22"/>
        </w:rPr>
        <w:t xml:space="preserve">  </w:t>
      </w:r>
      <w:r w:rsidR="002377B3" w:rsidRPr="00C06F09">
        <w:rPr>
          <w:sz w:val="22"/>
        </w:rPr>
        <w:t>However,</w:t>
      </w:r>
      <w:r w:rsidR="00CD43DD" w:rsidRPr="00C06F09">
        <w:rPr>
          <w:sz w:val="22"/>
        </w:rPr>
        <w:t xml:space="preserve"> for the Lower 700 MHz Band </w:t>
      </w:r>
      <w:r w:rsidR="00EE6470">
        <w:rPr>
          <w:sz w:val="22"/>
        </w:rPr>
        <w:t xml:space="preserve">the Commission </w:t>
      </w:r>
      <w:r w:rsidR="003C50F3">
        <w:rPr>
          <w:sz w:val="22"/>
        </w:rPr>
        <w:t xml:space="preserve">found that </w:t>
      </w:r>
      <w:r w:rsidR="00EE6470">
        <w:rPr>
          <w:sz w:val="22"/>
        </w:rPr>
        <w:t>the creation</w:t>
      </w:r>
      <w:r w:rsidR="004A3074" w:rsidRPr="00C06F09">
        <w:rPr>
          <w:sz w:val="22"/>
        </w:rPr>
        <w:t xml:space="preserve"> of </w:t>
      </w:r>
      <w:r w:rsidR="002377B3" w:rsidRPr="00C06F09">
        <w:rPr>
          <w:sz w:val="22"/>
        </w:rPr>
        <w:t>two separate</w:t>
      </w:r>
      <w:r w:rsidR="00EE6470">
        <w:rPr>
          <w:sz w:val="22"/>
        </w:rPr>
        <w:t xml:space="preserve">, </w:t>
      </w:r>
      <w:r w:rsidR="004A3074" w:rsidRPr="00C06F09">
        <w:rPr>
          <w:sz w:val="22"/>
        </w:rPr>
        <w:t xml:space="preserve">non-interoperable </w:t>
      </w:r>
      <w:r w:rsidR="002377B3" w:rsidRPr="00C06F09">
        <w:rPr>
          <w:sz w:val="22"/>
        </w:rPr>
        <w:t>L</w:t>
      </w:r>
      <w:r w:rsidR="00CD43DD" w:rsidRPr="00C06F09">
        <w:rPr>
          <w:sz w:val="22"/>
        </w:rPr>
        <w:t xml:space="preserve">TE </w:t>
      </w:r>
      <w:r w:rsidR="004A3074" w:rsidRPr="00C06F09">
        <w:rPr>
          <w:sz w:val="22"/>
        </w:rPr>
        <w:t xml:space="preserve">band </w:t>
      </w:r>
      <w:r w:rsidR="00CD43DD" w:rsidRPr="00C06F09">
        <w:rPr>
          <w:sz w:val="22"/>
        </w:rPr>
        <w:t>class standards</w:t>
      </w:r>
      <w:r w:rsidR="000D32C6" w:rsidRPr="00C06F09">
        <w:rPr>
          <w:rStyle w:val="FootnoteReference"/>
          <w:sz w:val="22"/>
        </w:rPr>
        <w:footnoteReference w:id="14"/>
      </w:r>
      <w:r w:rsidR="00047C80">
        <w:rPr>
          <w:sz w:val="22"/>
        </w:rPr>
        <w:t xml:space="preserve"> </w:t>
      </w:r>
      <w:r w:rsidR="004A3074" w:rsidRPr="00C06F09">
        <w:rPr>
          <w:sz w:val="22"/>
        </w:rPr>
        <w:t xml:space="preserve">had </w:t>
      </w:r>
      <w:r w:rsidR="00A911AF">
        <w:rPr>
          <w:sz w:val="22"/>
        </w:rPr>
        <w:t xml:space="preserve">resulted in </w:t>
      </w:r>
      <w:r w:rsidR="004A3074" w:rsidRPr="00C06F09">
        <w:rPr>
          <w:sz w:val="22"/>
        </w:rPr>
        <w:t>a number of negative effects</w:t>
      </w:r>
      <w:r w:rsidR="00A911AF" w:rsidRPr="00A911AF">
        <w:rPr>
          <w:sz w:val="22"/>
        </w:rPr>
        <w:t xml:space="preserve"> </w:t>
      </w:r>
      <w:r w:rsidR="000F64C1">
        <w:rPr>
          <w:sz w:val="22"/>
        </w:rPr>
        <w:t>specific to that band</w:t>
      </w:r>
      <w:r w:rsidR="00A911AF">
        <w:rPr>
          <w:sz w:val="22"/>
        </w:rPr>
        <w:t>.</w:t>
      </w:r>
      <w:r w:rsidR="000F64C1">
        <w:rPr>
          <w:sz w:val="22"/>
        </w:rPr>
        <w:t xml:space="preserve">  </w:t>
      </w:r>
      <w:r w:rsidR="003C50F3">
        <w:rPr>
          <w:sz w:val="22"/>
        </w:rPr>
        <w:t>The Commission found</w:t>
      </w:r>
      <w:r w:rsidR="004D4441">
        <w:rPr>
          <w:sz w:val="22"/>
        </w:rPr>
        <w:t xml:space="preserve"> that</w:t>
      </w:r>
      <w:r w:rsidR="00DB1CEF" w:rsidRPr="00C06F09">
        <w:rPr>
          <w:sz w:val="22"/>
        </w:rPr>
        <w:t xml:space="preserve"> without </w:t>
      </w:r>
      <w:r w:rsidR="005D7775" w:rsidRPr="00C06F09">
        <w:rPr>
          <w:sz w:val="22"/>
        </w:rPr>
        <w:t>interoperable equipment</w:t>
      </w:r>
      <w:r w:rsidR="00DB1CEF" w:rsidRPr="00C06F09">
        <w:rPr>
          <w:sz w:val="22"/>
        </w:rPr>
        <w:t xml:space="preserve">, </w:t>
      </w:r>
      <w:r w:rsidR="005A4CA2" w:rsidRPr="00C06F09">
        <w:rPr>
          <w:sz w:val="22"/>
        </w:rPr>
        <w:t>customers cannot switch to a provider operating in a different band class without purchasing new equipment, and customers cannot roam onto the network of a service provider of a different band class.</w:t>
      </w:r>
      <w:r w:rsidR="005A4CA2" w:rsidRPr="00C06F09">
        <w:rPr>
          <w:rStyle w:val="FootnoteReference"/>
          <w:sz w:val="22"/>
        </w:rPr>
        <w:footnoteReference w:id="15"/>
      </w:r>
      <w:r w:rsidR="005A4CA2" w:rsidRPr="00C06F09">
        <w:rPr>
          <w:sz w:val="22"/>
        </w:rPr>
        <w:t xml:space="preserve">  </w:t>
      </w:r>
      <w:r w:rsidR="00E66D1F" w:rsidRPr="00E66D1F">
        <w:rPr>
          <w:sz w:val="22"/>
        </w:rPr>
        <w:t>Moreover, the Commission concluded that the lack of interoperable devices has delayed deployment of competitive mobile broadband service in the Lower 700 MHz band.</w:t>
      </w:r>
      <w:r w:rsidR="00E66D1F" w:rsidRPr="00E66D1F">
        <w:rPr>
          <w:sz w:val="22"/>
          <w:vertAlign w:val="superscript"/>
        </w:rPr>
        <w:footnoteReference w:id="16"/>
      </w:r>
      <w:r w:rsidR="00E66D1F" w:rsidRPr="00E66D1F">
        <w:rPr>
          <w:sz w:val="22"/>
        </w:rPr>
        <w:t xml:space="preserve">  </w:t>
      </w:r>
      <w:r w:rsidR="00DB1CEF" w:rsidRPr="00C06F09">
        <w:rPr>
          <w:sz w:val="22"/>
        </w:rPr>
        <w:t xml:space="preserve">The </w:t>
      </w:r>
      <w:r w:rsidR="004A3074" w:rsidRPr="00C06F09">
        <w:rPr>
          <w:sz w:val="22"/>
        </w:rPr>
        <w:t>Commission</w:t>
      </w:r>
      <w:r w:rsidR="00DB1CEF" w:rsidRPr="00C06F09">
        <w:rPr>
          <w:sz w:val="22"/>
        </w:rPr>
        <w:t xml:space="preserve"> therefore </w:t>
      </w:r>
      <w:r w:rsidR="004A3074" w:rsidRPr="00C06F09">
        <w:rPr>
          <w:sz w:val="22"/>
        </w:rPr>
        <w:t xml:space="preserve">revised technical rules and took other measures to resolve the lack of </w:t>
      </w:r>
      <w:r w:rsidR="00861B65" w:rsidRPr="00C06F09">
        <w:rPr>
          <w:sz w:val="22"/>
        </w:rPr>
        <w:t xml:space="preserve">LTE </w:t>
      </w:r>
      <w:r w:rsidR="004A3074" w:rsidRPr="00C06F09">
        <w:rPr>
          <w:sz w:val="22"/>
        </w:rPr>
        <w:t xml:space="preserve">interoperability in the Lower 700 MHz </w:t>
      </w:r>
      <w:r w:rsidR="00AA27C3">
        <w:rPr>
          <w:sz w:val="22"/>
        </w:rPr>
        <w:t>b</w:t>
      </w:r>
      <w:r w:rsidR="00AA27C3" w:rsidRPr="00C06F09">
        <w:rPr>
          <w:sz w:val="22"/>
        </w:rPr>
        <w:t>and</w:t>
      </w:r>
      <w:r w:rsidR="004A3074" w:rsidRPr="00C06F09">
        <w:rPr>
          <w:sz w:val="22"/>
        </w:rPr>
        <w:t>.</w:t>
      </w:r>
      <w:r w:rsidR="00F51E77" w:rsidRPr="00C06F09">
        <w:rPr>
          <w:rStyle w:val="FootnoteReference"/>
          <w:sz w:val="22"/>
        </w:rPr>
        <w:footnoteReference w:id="17"/>
      </w:r>
      <w:r w:rsidR="004A3074" w:rsidRPr="00C06F09">
        <w:rPr>
          <w:sz w:val="22"/>
        </w:rPr>
        <w:t xml:space="preserve">  </w:t>
      </w:r>
      <w:r w:rsidR="00E93394" w:rsidRPr="00C06F09">
        <w:rPr>
          <w:sz w:val="22"/>
        </w:rPr>
        <w:t>As part of these measures</w:t>
      </w:r>
      <w:r w:rsidR="004A3074" w:rsidRPr="00C06F09">
        <w:rPr>
          <w:sz w:val="22"/>
        </w:rPr>
        <w:t>, the Commission extend</w:t>
      </w:r>
      <w:r w:rsidR="007B26A0" w:rsidRPr="00C06F09">
        <w:rPr>
          <w:sz w:val="22"/>
        </w:rPr>
        <w:t>ed</w:t>
      </w:r>
      <w:r w:rsidR="004A3074" w:rsidRPr="00C06F09">
        <w:rPr>
          <w:sz w:val="22"/>
        </w:rPr>
        <w:t xml:space="preserve"> the interim construction deadline for the entire class </w:t>
      </w:r>
      <w:r w:rsidR="004A3074" w:rsidRPr="00C06F09">
        <w:rPr>
          <w:sz w:val="22"/>
        </w:rPr>
        <w:lastRenderedPageBreak/>
        <w:t xml:space="preserve">of active Lower </w:t>
      </w:r>
      <w:r w:rsidR="00FB37C0" w:rsidRPr="00C06F09">
        <w:rPr>
          <w:sz w:val="22"/>
        </w:rPr>
        <w:t>700 MHz A and B Block licensees, including LL License Holdings,</w:t>
      </w:r>
      <w:r w:rsidR="00347DFE" w:rsidRPr="00C06F09">
        <w:rPr>
          <w:sz w:val="22"/>
        </w:rPr>
        <w:t xml:space="preserve"> </w:t>
      </w:r>
      <w:r w:rsidR="004A3074" w:rsidRPr="00C06F09">
        <w:rPr>
          <w:sz w:val="22"/>
        </w:rPr>
        <w:t>to December 13, 2016, to permit these licensees to respond to the rule revisions.</w:t>
      </w:r>
      <w:r w:rsidR="001378C7" w:rsidRPr="00C06F09">
        <w:rPr>
          <w:rStyle w:val="FootnoteReference"/>
          <w:sz w:val="22"/>
        </w:rPr>
        <w:footnoteReference w:id="18"/>
      </w:r>
    </w:p>
    <w:p w14:paraId="11B1D5D9" w14:textId="4F69D16C" w:rsidR="007C1685" w:rsidRPr="00C06F09" w:rsidRDefault="00006CFA" w:rsidP="00565FD7">
      <w:pPr>
        <w:ind w:firstLine="720"/>
        <w:rPr>
          <w:color w:val="000000"/>
          <w:sz w:val="22"/>
        </w:rPr>
      </w:pPr>
      <w:r w:rsidRPr="00C06F09">
        <w:rPr>
          <w:sz w:val="22"/>
        </w:rPr>
        <w:t xml:space="preserve">We note that </w:t>
      </w:r>
      <w:r w:rsidR="001378C7" w:rsidRPr="00C06F09">
        <w:rPr>
          <w:sz w:val="22"/>
        </w:rPr>
        <w:t xml:space="preserve">the tribal lands construction requirement is a performance obligation separate from a licensee’s </w:t>
      </w:r>
      <w:r w:rsidR="00DD0853" w:rsidRPr="00C06F09">
        <w:rPr>
          <w:sz w:val="22"/>
        </w:rPr>
        <w:t xml:space="preserve">obligation to comply with </w:t>
      </w:r>
      <w:r w:rsidR="00347DFE" w:rsidRPr="00C06F09">
        <w:rPr>
          <w:sz w:val="22"/>
        </w:rPr>
        <w:t>service-specific</w:t>
      </w:r>
      <w:r w:rsidR="00DD0853" w:rsidRPr="00C06F09">
        <w:rPr>
          <w:sz w:val="22"/>
        </w:rPr>
        <w:t xml:space="preserve"> interim and final construction requirements.</w:t>
      </w:r>
      <w:r w:rsidRPr="00C06F09">
        <w:rPr>
          <w:sz w:val="22"/>
        </w:rPr>
        <w:t xml:space="preserve"> A</w:t>
      </w:r>
      <w:r w:rsidR="00DD0853" w:rsidRPr="00C06F09">
        <w:rPr>
          <w:sz w:val="22"/>
        </w:rPr>
        <w:t xml:space="preserve">ccordingly, the Commission’s action in extending the interim construction deadline for Lower 700 MHz A and B Block licensees did not automatically extend </w:t>
      </w:r>
      <w:r w:rsidR="004F4935" w:rsidRPr="00C06F09">
        <w:rPr>
          <w:sz w:val="22"/>
        </w:rPr>
        <w:t>any</w:t>
      </w:r>
      <w:r w:rsidR="00347DFE" w:rsidRPr="00C06F09">
        <w:rPr>
          <w:sz w:val="22"/>
        </w:rPr>
        <w:t xml:space="preserve"> </w:t>
      </w:r>
      <w:r w:rsidR="00DD0853" w:rsidRPr="00C06F09">
        <w:rPr>
          <w:sz w:val="22"/>
        </w:rPr>
        <w:t xml:space="preserve">tribal lands construction </w:t>
      </w:r>
      <w:r w:rsidR="00FB37C0" w:rsidRPr="00C06F09">
        <w:rPr>
          <w:sz w:val="22"/>
        </w:rPr>
        <w:t>obligations</w:t>
      </w:r>
      <w:r w:rsidR="00DD0853" w:rsidRPr="00C06F09">
        <w:rPr>
          <w:sz w:val="22"/>
        </w:rPr>
        <w:t xml:space="preserve"> for such licensees</w:t>
      </w:r>
      <w:r w:rsidR="00431E84" w:rsidRPr="00C06F09">
        <w:rPr>
          <w:sz w:val="22"/>
        </w:rPr>
        <w:t>, including LL License Holdings</w:t>
      </w:r>
      <w:r w:rsidR="00DD0853" w:rsidRPr="00C06F09">
        <w:rPr>
          <w:sz w:val="22"/>
        </w:rPr>
        <w:t>.</w:t>
      </w:r>
      <w:r w:rsidR="00DD0853" w:rsidRPr="00C06F09">
        <w:rPr>
          <w:rStyle w:val="FootnoteReference"/>
          <w:sz w:val="22"/>
        </w:rPr>
        <w:footnoteReference w:id="19"/>
      </w:r>
      <w:r w:rsidR="004F64A6" w:rsidRPr="00C06F09">
        <w:rPr>
          <w:sz w:val="22"/>
        </w:rPr>
        <w:t xml:space="preserve"> </w:t>
      </w:r>
      <w:r w:rsidR="00347DFE" w:rsidRPr="00C06F09">
        <w:rPr>
          <w:sz w:val="22"/>
        </w:rPr>
        <w:t xml:space="preserve"> </w:t>
      </w:r>
      <w:r w:rsidR="00DD79CB" w:rsidRPr="00C06F09">
        <w:rPr>
          <w:sz w:val="22"/>
        </w:rPr>
        <w:t xml:space="preserve">LL License Holdings must therefore </w:t>
      </w:r>
      <w:r w:rsidR="004F64A6" w:rsidRPr="00C06F09">
        <w:rPr>
          <w:sz w:val="22"/>
        </w:rPr>
        <w:t>demonstrate</w:t>
      </w:r>
      <w:r w:rsidR="00DD79CB" w:rsidRPr="00C06F09">
        <w:rPr>
          <w:sz w:val="22"/>
        </w:rPr>
        <w:t xml:space="preserve"> that </w:t>
      </w:r>
      <w:r w:rsidR="000B6975" w:rsidRPr="00C06F09">
        <w:rPr>
          <w:sz w:val="22"/>
        </w:rPr>
        <w:t xml:space="preserve">good cause exists to warrant </w:t>
      </w:r>
      <w:r w:rsidR="00DD79CB" w:rsidRPr="00C06F09">
        <w:rPr>
          <w:sz w:val="22"/>
        </w:rPr>
        <w:t xml:space="preserve">waiver of </w:t>
      </w:r>
      <w:r w:rsidR="000B6975" w:rsidRPr="00C06F09">
        <w:rPr>
          <w:sz w:val="22"/>
        </w:rPr>
        <w:t>the</w:t>
      </w:r>
      <w:r w:rsidR="00DD79CB" w:rsidRPr="00C06F09">
        <w:rPr>
          <w:sz w:val="22"/>
        </w:rPr>
        <w:t xml:space="preserve"> tribal lands construction period.</w:t>
      </w:r>
      <w:r w:rsidR="000B6975" w:rsidRPr="00C06F09">
        <w:rPr>
          <w:rStyle w:val="FootnoteReference"/>
          <w:color w:val="000000"/>
          <w:sz w:val="22"/>
        </w:rPr>
        <w:footnoteReference w:id="20"/>
      </w:r>
      <w:r w:rsidR="00DD79CB" w:rsidRPr="00C06F09">
        <w:rPr>
          <w:sz w:val="22"/>
        </w:rPr>
        <w:t xml:space="preserve">  </w:t>
      </w:r>
      <w:r w:rsidR="000B6975" w:rsidRPr="00C06F09">
        <w:rPr>
          <w:color w:val="000000"/>
          <w:sz w:val="22"/>
        </w:rPr>
        <w:t>The Commission may exercise its discretion to waive a rule where the particular facts make strict compliance inconsistent with the public interest.</w:t>
      </w:r>
      <w:r w:rsidR="000B6975" w:rsidRPr="00C06F09">
        <w:rPr>
          <w:rStyle w:val="FootnoteReference"/>
          <w:color w:val="000000"/>
          <w:sz w:val="22"/>
        </w:rPr>
        <w:footnoteReference w:id="21"/>
      </w:r>
      <w:r w:rsidR="000B6975" w:rsidRPr="00C06F09">
        <w:rPr>
          <w:sz w:val="22"/>
        </w:rPr>
        <w:t xml:space="preserve">  </w:t>
      </w:r>
      <w:r w:rsidR="000B6975" w:rsidRPr="00C06F09">
        <w:rPr>
          <w:color w:val="000000"/>
          <w:sz w:val="22"/>
        </w:rPr>
        <w:t>Specifically</w:t>
      </w:r>
      <w:r w:rsidR="000B6975" w:rsidRPr="00BA3DCD">
        <w:rPr>
          <w:color w:val="000000"/>
          <w:sz w:val="22"/>
        </w:rPr>
        <w:t>, t</w:t>
      </w:r>
      <w:r w:rsidR="00DD79CB" w:rsidRPr="00BA3DCD">
        <w:rPr>
          <w:color w:val="000000"/>
          <w:sz w:val="22"/>
        </w:rPr>
        <w:t>he Commission’s rules state that waivers may be granted if it is shown that: (i) the underlying purpose of the rules(s) would not be served or would be frustrated by application to the instant case, and that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DD79CB" w:rsidRPr="00BA3DCD">
        <w:rPr>
          <w:rStyle w:val="FootnoteReference"/>
          <w:color w:val="000000"/>
          <w:sz w:val="22"/>
        </w:rPr>
        <w:footnoteReference w:id="22"/>
      </w:r>
      <w:r w:rsidR="00DD79CB" w:rsidRPr="00BA3DCD">
        <w:rPr>
          <w:color w:val="000000"/>
          <w:sz w:val="22"/>
        </w:rPr>
        <w:t xml:space="preserve">  </w:t>
      </w:r>
      <w:bookmarkStart w:id="1" w:name="co_tablefootnote_184_1"/>
      <w:bookmarkEnd w:id="1"/>
      <w:r w:rsidRPr="00C06F09">
        <w:rPr>
          <w:color w:val="000000"/>
          <w:sz w:val="22"/>
        </w:rPr>
        <w:t xml:space="preserve">Here, </w:t>
      </w:r>
      <w:r w:rsidR="00DD79CB" w:rsidRPr="00C06F09">
        <w:rPr>
          <w:color w:val="000000"/>
          <w:sz w:val="22"/>
        </w:rPr>
        <w:t xml:space="preserve">LL License Holdings </w:t>
      </w:r>
      <w:r w:rsidR="00A705FF" w:rsidRPr="00C06F09">
        <w:rPr>
          <w:color w:val="000000"/>
          <w:sz w:val="22"/>
        </w:rPr>
        <w:t>states</w:t>
      </w:r>
      <w:r w:rsidR="00DD79CB" w:rsidRPr="00C06F09">
        <w:rPr>
          <w:color w:val="000000"/>
          <w:sz w:val="22"/>
        </w:rPr>
        <w:t xml:space="preserve"> that </w:t>
      </w:r>
      <w:r w:rsidR="002C3013" w:rsidRPr="00C06F09">
        <w:rPr>
          <w:color w:val="000000"/>
          <w:sz w:val="22"/>
        </w:rPr>
        <w:t>it intended to use</w:t>
      </w:r>
      <w:r w:rsidR="004F64A6" w:rsidRPr="00C06F09">
        <w:rPr>
          <w:color w:val="000000"/>
          <w:sz w:val="22"/>
        </w:rPr>
        <w:t xml:space="preserve"> </w:t>
      </w:r>
      <w:r w:rsidR="00DD79CB" w:rsidRPr="00C06F09">
        <w:rPr>
          <w:color w:val="000000"/>
          <w:sz w:val="22"/>
        </w:rPr>
        <w:t xml:space="preserve">its 700 MHz Lower A Block licenses to provide LTE service </w:t>
      </w:r>
      <w:r w:rsidR="00E93394" w:rsidRPr="00C06F09">
        <w:rPr>
          <w:color w:val="000000"/>
          <w:sz w:val="22"/>
        </w:rPr>
        <w:t>in its “home” areas of Sioux City, Iowa and Sioux Falls, South Dakota, and to expand its service area into the western parts of the Dakotas.</w:t>
      </w:r>
      <w:r w:rsidR="00E93394" w:rsidRPr="00C06F09">
        <w:rPr>
          <w:rStyle w:val="FootnoteReference"/>
          <w:color w:val="000000"/>
          <w:sz w:val="22"/>
        </w:rPr>
        <w:footnoteReference w:id="23"/>
      </w:r>
      <w:r w:rsidR="00E93394" w:rsidRPr="00C06F09">
        <w:rPr>
          <w:color w:val="000000"/>
          <w:sz w:val="22"/>
        </w:rPr>
        <w:t xml:space="preserve">  </w:t>
      </w:r>
      <w:r w:rsidR="00E0701D">
        <w:rPr>
          <w:color w:val="000000"/>
          <w:sz w:val="22"/>
        </w:rPr>
        <w:t xml:space="preserve">As justification for its waiver, </w:t>
      </w:r>
      <w:r w:rsidR="00A705FF" w:rsidRPr="00C06F09">
        <w:rPr>
          <w:color w:val="000000"/>
          <w:sz w:val="22"/>
        </w:rPr>
        <w:t>LL License Holdings</w:t>
      </w:r>
      <w:r w:rsidR="00E93394" w:rsidRPr="00C06F09">
        <w:rPr>
          <w:color w:val="000000"/>
          <w:sz w:val="22"/>
        </w:rPr>
        <w:t xml:space="preserve"> </w:t>
      </w:r>
      <w:r w:rsidRPr="00C06F09">
        <w:rPr>
          <w:color w:val="000000"/>
          <w:sz w:val="22"/>
        </w:rPr>
        <w:t>argues</w:t>
      </w:r>
      <w:r w:rsidR="00E93394" w:rsidRPr="00C06F09">
        <w:rPr>
          <w:color w:val="000000"/>
          <w:sz w:val="22"/>
        </w:rPr>
        <w:t xml:space="preserve"> that manufacturers have not offered LTE equipment designed for the Lower 700 MHz </w:t>
      </w:r>
      <w:r w:rsidR="00E9772D" w:rsidRPr="00C06F09">
        <w:rPr>
          <w:color w:val="000000"/>
          <w:sz w:val="22"/>
        </w:rPr>
        <w:t>A Block operations.</w:t>
      </w:r>
      <w:r w:rsidR="00E0701D">
        <w:rPr>
          <w:rStyle w:val="FootnoteReference"/>
          <w:color w:val="000000"/>
          <w:sz w:val="22"/>
        </w:rPr>
        <w:footnoteReference w:id="24"/>
      </w:r>
      <w:r w:rsidR="00E9772D" w:rsidRPr="00C06F09">
        <w:rPr>
          <w:color w:val="000000"/>
          <w:sz w:val="22"/>
        </w:rPr>
        <w:t xml:space="preserve">  </w:t>
      </w:r>
      <w:r w:rsidR="002C3013" w:rsidRPr="00C06F09">
        <w:rPr>
          <w:color w:val="000000"/>
          <w:sz w:val="22"/>
        </w:rPr>
        <w:t xml:space="preserve">Beyond this, </w:t>
      </w:r>
      <w:r w:rsidR="002C3013" w:rsidRPr="000D3689">
        <w:rPr>
          <w:color w:val="000000"/>
          <w:sz w:val="22"/>
        </w:rPr>
        <w:t>however</w:t>
      </w:r>
      <w:r w:rsidR="00A705FF" w:rsidRPr="00C06F09">
        <w:rPr>
          <w:color w:val="000000"/>
          <w:sz w:val="22"/>
        </w:rPr>
        <w:t xml:space="preserve">, </w:t>
      </w:r>
      <w:r w:rsidR="00E9772D" w:rsidRPr="00C06F09">
        <w:rPr>
          <w:color w:val="000000"/>
          <w:sz w:val="22"/>
        </w:rPr>
        <w:t>LL License Holdings pro</w:t>
      </w:r>
      <w:r w:rsidR="00861B65" w:rsidRPr="00C06F09">
        <w:rPr>
          <w:color w:val="000000"/>
          <w:sz w:val="22"/>
        </w:rPr>
        <w:t xml:space="preserve">vides little </w:t>
      </w:r>
      <w:r w:rsidR="007B26A0" w:rsidRPr="00C06F09">
        <w:rPr>
          <w:color w:val="000000"/>
          <w:sz w:val="22"/>
        </w:rPr>
        <w:t xml:space="preserve">specific </w:t>
      </w:r>
      <w:r w:rsidR="00861B65" w:rsidRPr="00C06F09">
        <w:rPr>
          <w:color w:val="000000"/>
          <w:sz w:val="22"/>
        </w:rPr>
        <w:t>information detailing its efforts with respect to</w:t>
      </w:r>
      <w:r w:rsidR="007B26A0" w:rsidRPr="00C06F09">
        <w:rPr>
          <w:color w:val="000000"/>
          <w:sz w:val="22"/>
        </w:rPr>
        <w:t xml:space="preserve"> the Rosebud Sioux Reservation and Santee Sioux Reservation in support of its waiver</w:t>
      </w:r>
      <w:r w:rsidR="00965FA8" w:rsidRPr="00C06F09">
        <w:rPr>
          <w:rStyle w:val="FootnoteReference"/>
          <w:color w:val="000000"/>
          <w:sz w:val="22"/>
        </w:rPr>
        <w:footnoteReference w:id="25"/>
      </w:r>
      <w:r w:rsidR="004F64A6" w:rsidRPr="00C06F09">
        <w:rPr>
          <w:color w:val="000000"/>
          <w:sz w:val="22"/>
        </w:rPr>
        <w:t xml:space="preserve"> other than </w:t>
      </w:r>
      <w:r w:rsidR="00980F32" w:rsidRPr="00C06F09">
        <w:rPr>
          <w:color w:val="000000"/>
          <w:sz w:val="22"/>
        </w:rPr>
        <w:t>a reference to</w:t>
      </w:r>
      <w:r w:rsidR="004F64A6" w:rsidRPr="00C06F09">
        <w:rPr>
          <w:color w:val="000000"/>
          <w:sz w:val="22"/>
        </w:rPr>
        <w:t xml:space="preserve"> the th</w:t>
      </w:r>
      <w:r w:rsidR="004F64A6" w:rsidRPr="00F25C0E">
        <w:rPr>
          <w:color w:val="000000"/>
          <w:sz w:val="22"/>
        </w:rPr>
        <w:t>en pending Lower 700 MHz Interoperability proceeding</w:t>
      </w:r>
      <w:r w:rsidR="00E9772D" w:rsidRPr="00F25C0E">
        <w:rPr>
          <w:color w:val="000000"/>
          <w:sz w:val="22"/>
        </w:rPr>
        <w:t>.</w:t>
      </w:r>
      <w:r w:rsidR="007B26A0" w:rsidRPr="00F25C0E">
        <w:rPr>
          <w:rStyle w:val="FootnoteReference"/>
          <w:color w:val="000000"/>
          <w:sz w:val="22"/>
        </w:rPr>
        <w:footnoteReference w:id="26"/>
      </w:r>
      <w:r w:rsidR="00E9772D" w:rsidRPr="00C06F09">
        <w:rPr>
          <w:color w:val="000000"/>
          <w:sz w:val="22"/>
        </w:rPr>
        <w:t xml:space="preserve">  </w:t>
      </w:r>
    </w:p>
    <w:p w14:paraId="6AD9A976" w14:textId="3891B54F" w:rsidR="007C7675" w:rsidRPr="00C06F09" w:rsidRDefault="0019735B" w:rsidP="00861B65">
      <w:pPr>
        <w:ind w:firstLine="720"/>
        <w:rPr>
          <w:color w:val="000000"/>
          <w:sz w:val="22"/>
        </w:rPr>
      </w:pPr>
      <w:r>
        <w:rPr>
          <w:sz w:val="22"/>
        </w:rPr>
        <w:t>Our review of this matter leads us to conclude that, b</w:t>
      </w:r>
      <w:r w:rsidR="00AF65AF">
        <w:rPr>
          <w:sz w:val="22"/>
        </w:rPr>
        <w:t>ased on the Commission’</w:t>
      </w:r>
      <w:r w:rsidR="00F8600E">
        <w:rPr>
          <w:sz w:val="22"/>
        </w:rPr>
        <w:t xml:space="preserve">s </w:t>
      </w:r>
      <w:r w:rsidR="0029458F">
        <w:rPr>
          <w:sz w:val="22"/>
        </w:rPr>
        <w:t xml:space="preserve">findings </w:t>
      </w:r>
      <w:r w:rsidR="00F8600E">
        <w:rPr>
          <w:sz w:val="22"/>
        </w:rPr>
        <w:t xml:space="preserve">in the 700 MHz Interoperability proceeding regarding </w:t>
      </w:r>
      <w:r w:rsidR="00B60CFA">
        <w:rPr>
          <w:sz w:val="22"/>
        </w:rPr>
        <w:t xml:space="preserve">the </w:t>
      </w:r>
      <w:r w:rsidR="00F8600E">
        <w:rPr>
          <w:sz w:val="22"/>
        </w:rPr>
        <w:t>unique circumstances</w:t>
      </w:r>
      <w:r w:rsidR="00B60CFA">
        <w:rPr>
          <w:sz w:val="22"/>
        </w:rPr>
        <w:t xml:space="preserve"> </w:t>
      </w:r>
      <w:r w:rsidR="00F25C0E">
        <w:rPr>
          <w:sz w:val="22"/>
        </w:rPr>
        <w:t xml:space="preserve">affecting </w:t>
      </w:r>
      <w:r w:rsidR="00F8600E" w:rsidRPr="00C06F09">
        <w:rPr>
          <w:sz w:val="22"/>
        </w:rPr>
        <w:t>the Lower 700 MHz band</w:t>
      </w:r>
      <w:r w:rsidR="00F8600E">
        <w:rPr>
          <w:sz w:val="22"/>
        </w:rPr>
        <w:t xml:space="preserve">, </w:t>
      </w:r>
      <w:r w:rsidR="007C1685" w:rsidRPr="00C06F09">
        <w:rPr>
          <w:color w:val="000000"/>
          <w:sz w:val="22"/>
        </w:rPr>
        <w:t>good</w:t>
      </w:r>
      <w:r w:rsidR="00F03B29">
        <w:rPr>
          <w:color w:val="000000"/>
          <w:sz w:val="22"/>
        </w:rPr>
        <w:t xml:space="preserve"> cause exists which warrants a </w:t>
      </w:r>
      <w:r w:rsidR="00B85557">
        <w:rPr>
          <w:color w:val="000000"/>
          <w:sz w:val="22"/>
        </w:rPr>
        <w:t xml:space="preserve">limited </w:t>
      </w:r>
      <w:r w:rsidR="00F03B29">
        <w:rPr>
          <w:color w:val="000000"/>
          <w:sz w:val="22"/>
        </w:rPr>
        <w:t xml:space="preserve">waiver </w:t>
      </w:r>
      <w:r w:rsidR="007C1685" w:rsidRPr="00C06F09">
        <w:rPr>
          <w:color w:val="000000"/>
          <w:sz w:val="22"/>
        </w:rPr>
        <w:t xml:space="preserve">of </w:t>
      </w:r>
      <w:r w:rsidR="00F43857" w:rsidRPr="00C06F09">
        <w:rPr>
          <w:color w:val="000000"/>
          <w:sz w:val="22"/>
        </w:rPr>
        <w:t>LL License Holdings</w:t>
      </w:r>
      <w:r w:rsidR="007C1685" w:rsidRPr="00C06F09">
        <w:rPr>
          <w:color w:val="000000"/>
          <w:sz w:val="22"/>
        </w:rPr>
        <w:t>’</w:t>
      </w:r>
      <w:r w:rsidR="00F43857" w:rsidRPr="00C06F09">
        <w:rPr>
          <w:color w:val="000000"/>
          <w:sz w:val="22"/>
        </w:rPr>
        <w:t xml:space="preserve"> TLBC construction period</w:t>
      </w:r>
      <w:r w:rsidR="007C1685" w:rsidRPr="00C06F09">
        <w:rPr>
          <w:color w:val="000000"/>
          <w:sz w:val="22"/>
        </w:rPr>
        <w:t xml:space="preserve">.  </w:t>
      </w:r>
      <w:r w:rsidR="00D61EF5" w:rsidRPr="00C06F09">
        <w:rPr>
          <w:color w:val="000000"/>
          <w:sz w:val="22"/>
        </w:rPr>
        <w:t xml:space="preserve">Subsequent to LL License Holdings’ request for relief, </w:t>
      </w:r>
      <w:r w:rsidR="006008A2" w:rsidRPr="00C06F09">
        <w:rPr>
          <w:color w:val="000000"/>
          <w:sz w:val="22"/>
        </w:rPr>
        <w:t>t</w:t>
      </w:r>
      <w:r w:rsidR="007C1685" w:rsidRPr="00C06F09">
        <w:rPr>
          <w:color w:val="000000"/>
          <w:sz w:val="22"/>
        </w:rPr>
        <w:t>he Commission</w:t>
      </w:r>
      <w:r w:rsidR="00163F3F" w:rsidRPr="00C06F09">
        <w:rPr>
          <w:color w:val="000000"/>
          <w:sz w:val="22"/>
        </w:rPr>
        <w:t xml:space="preserve"> </w:t>
      </w:r>
      <w:r w:rsidR="00C42425" w:rsidRPr="00C06F09">
        <w:rPr>
          <w:color w:val="000000"/>
          <w:sz w:val="22"/>
        </w:rPr>
        <w:t xml:space="preserve">determined that facilitating </w:t>
      </w:r>
      <w:r w:rsidR="00A4070B" w:rsidRPr="00C06F09">
        <w:rPr>
          <w:color w:val="000000"/>
          <w:sz w:val="22"/>
        </w:rPr>
        <w:t xml:space="preserve">interoperability of LTE service in the Lower 700 MHz band </w:t>
      </w:r>
      <w:r w:rsidR="00C42425" w:rsidRPr="00C06F09">
        <w:rPr>
          <w:color w:val="000000"/>
          <w:sz w:val="22"/>
        </w:rPr>
        <w:t>would</w:t>
      </w:r>
      <w:r w:rsidR="00025201" w:rsidRPr="00C06F09">
        <w:rPr>
          <w:color w:val="000000"/>
          <w:sz w:val="22"/>
        </w:rPr>
        <w:t xml:space="preserve"> bring additional competition that is likely to result in lower-priced services or tailored plan options, as well as advanced services not currently or readily available </w:t>
      </w:r>
      <w:r w:rsidR="007C7675" w:rsidRPr="00C06F09">
        <w:rPr>
          <w:color w:val="000000"/>
          <w:sz w:val="22"/>
        </w:rPr>
        <w:t xml:space="preserve">in rural or remote areas.  Moreover, the Commission believed that revising its </w:t>
      </w:r>
      <w:r w:rsidR="00FF2B19" w:rsidRPr="00C06F09">
        <w:rPr>
          <w:color w:val="000000"/>
          <w:sz w:val="22"/>
        </w:rPr>
        <w:t xml:space="preserve">Lower 700 MHz band </w:t>
      </w:r>
      <w:r w:rsidR="007C7675" w:rsidRPr="00C06F09">
        <w:rPr>
          <w:color w:val="000000"/>
          <w:sz w:val="22"/>
        </w:rPr>
        <w:t>rules</w:t>
      </w:r>
      <w:r w:rsidR="00FF2B19" w:rsidRPr="00C06F09">
        <w:rPr>
          <w:color w:val="000000"/>
          <w:sz w:val="22"/>
        </w:rPr>
        <w:t xml:space="preserve"> to promote LTE interoperability</w:t>
      </w:r>
      <w:r w:rsidR="007C7675" w:rsidRPr="00C06F09">
        <w:rPr>
          <w:color w:val="000000"/>
          <w:sz w:val="22"/>
        </w:rPr>
        <w:t xml:space="preserve"> would </w:t>
      </w:r>
      <w:r w:rsidR="00A4070B" w:rsidRPr="00C06F09">
        <w:rPr>
          <w:color w:val="000000"/>
          <w:sz w:val="22"/>
        </w:rPr>
        <w:t xml:space="preserve">remove an unnecessary barrier to the successful operation of </w:t>
      </w:r>
      <w:r w:rsidR="004040D8" w:rsidRPr="00C06F09">
        <w:rPr>
          <w:color w:val="000000"/>
          <w:sz w:val="22"/>
        </w:rPr>
        <w:t xml:space="preserve">small and regional </w:t>
      </w:r>
      <w:r w:rsidR="00A4070B" w:rsidRPr="00C06F09">
        <w:rPr>
          <w:color w:val="000000"/>
          <w:sz w:val="22"/>
        </w:rPr>
        <w:t xml:space="preserve">businesses that </w:t>
      </w:r>
      <w:r w:rsidR="00C42425" w:rsidRPr="00C06F09">
        <w:rPr>
          <w:color w:val="000000"/>
          <w:sz w:val="22"/>
        </w:rPr>
        <w:t xml:space="preserve">help to </w:t>
      </w:r>
      <w:r w:rsidR="00A4070B" w:rsidRPr="00C06F09">
        <w:rPr>
          <w:color w:val="000000"/>
          <w:sz w:val="22"/>
        </w:rPr>
        <w:t xml:space="preserve">drive economic growth, promote competitive service, and </w:t>
      </w:r>
      <w:r w:rsidR="00C42425" w:rsidRPr="00C06F09">
        <w:rPr>
          <w:color w:val="000000"/>
          <w:sz w:val="22"/>
        </w:rPr>
        <w:t>encourage job creation</w:t>
      </w:r>
      <w:r w:rsidR="00A4070B" w:rsidRPr="00C06F09">
        <w:rPr>
          <w:color w:val="000000"/>
          <w:sz w:val="22"/>
        </w:rPr>
        <w:t xml:space="preserve"> in rural America</w:t>
      </w:r>
      <w:r w:rsidR="009E1245" w:rsidRPr="00C06F09">
        <w:rPr>
          <w:color w:val="000000"/>
          <w:sz w:val="22"/>
        </w:rPr>
        <w:t>.</w:t>
      </w:r>
      <w:r w:rsidR="00025201" w:rsidRPr="00C06F09">
        <w:rPr>
          <w:rStyle w:val="FootnoteReference"/>
          <w:color w:val="000000"/>
          <w:sz w:val="22"/>
        </w:rPr>
        <w:footnoteReference w:id="27"/>
      </w:r>
      <w:r w:rsidR="009E1245" w:rsidRPr="00C06F09">
        <w:rPr>
          <w:color w:val="000000"/>
          <w:sz w:val="22"/>
        </w:rPr>
        <w:t xml:space="preserve"> </w:t>
      </w:r>
    </w:p>
    <w:p w14:paraId="1284A711" w14:textId="475024A2" w:rsidR="00235567" w:rsidRPr="00C06F09" w:rsidRDefault="007C7675" w:rsidP="00776636">
      <w:pPr>
        <w:ind w:firstLine="720"/>
        <w:rPr>
          <w:color w:val="000000"/>
          <w:sz w:val="22"/>
        </w:rPr>
      </w:pPr>
      <w:r w:rsidRPr="00C06F09">
        <w:rPr>
          <w:color w:val="000000"/>
          <w:sz w:val="22"/>
        </w:rPr>
        <w:t xml:space="preserve">We find that the </w:t>
      </w:r>
      <w:r w:rsidR="00852E9E" w:rsidRPr="00C06F09">
        <w:rPr>
          <w:color w:val="000000"/>
          <w:sz w:val="22"/>
        </w:rPr>
        <w:t xml:space="preserve">same </w:t>
      </w:r>
      <w:r w:rsidRPr="00C06F09">
        <w:rPr>
          <w:color w:val="000000"/>
          <w:sz w:val="22"/>
        </w:rPr>
        <w:t>public interest rationale</w:t>
      </w:r>
      <w:r w:rsidR="004D7696" w:rsidRPr="00C06F09">
        <w:rPr>
          <w:color w:val="000000"/>
          <w:sz w:val="22"/>
        </w:rPr>
        <w:t>s</w:t>
      </w:r>
      <w:r w:rsidRPr="00C06F09">
        <w:rPr>
          <w:color w:val="000000"/>
          <w:sz w:val="22"/>
        </w:rPr>
        <w:t xml:space="preserve"> </w:t>
      </w:r>
      <w:r w:rsidR="00AD60E2" w:rsidRPr="00C06F09">
        <w:rPr>
          <w:color w:val="000000"/>
          <w:sz w:val="22"/>
        </w:rPr>
        <w:t xml:space="preserve">underlying the Commission’s actions </w:t>
      </w:r>
      <w:r w:rsidR="0078485B" w:rsidRPr="00C06F09">
        <w:rPr>
          <w:color w:val="000000"/>
          <w:sz w:val="22"/>
        </w:rPr>
        <w:t xml:space="preserve">in </w:t>
      </w:r>
      <w:r w:rsidR="009E1245" w:rsidRPr="00C06F09">
        <w:rPr>
          <w:color w:val="000000"/>
          <w:sz w:val="22"/>
        </w:rPr>
        <w:t xml:space="preserve">the </w:t>
      </w:r>
      <w:r w:rsidR="009E1245" w:rsidRPr="00C06F09">
        <w:rPr>
          <w:i/>
          <w:color w:val="000000"/>
          <w:sz w:val="22"/>
        </w:rPr>
        <w:t xml:space="preserve">700 MHz Interoperability </w:t>
      </w:r>
      <w:r w:rsidR="009E1245" w:rsidRPr="00C06F09">
        <w:rPr>
          <w:color w:val="000000"/>
          <w:sz w:val="22"/>
        </w:rPr>
        <w:t xml:space="preserve">to </w:t>
      </w:r>
      <w:r w:rsidR="00AD60E2" w:rsidRPr="00C06F09">
        <w:rPr>
          <w:color w:val="000000"/>
          <w:sz w:val="22"/>
        </w:rPr>
        <w:t>facilitat</w:t>
      </w:r>
      <w:r w:rsidR="009E1245" w:rsidRPr="00C06F09">
        <w:rPr>
          <w:color w:val="000000"/>
          <w:sz w:val="22"/>
        </w:rPr>
        <w:t>e</w:t>
      </w:r>
      <w:r w:rsidR="00AD60E2" w:rsidRPr="00C06F09">
        <w:rPr>
          <w:color w:val="000000"/>
          <w:sz w:val="22"/>
        </w:rPr>
        <w:t xml:space="preserve"> LTE interoperability in the Lower 700 MHz band </w:t>
      </w:r>
      <w:r w:rsidR="0078485B" w:rsidRPr="00C06F09">
        <w:rPr>
          <w:color w:val="000000"/>
          <w:sz w:val="22"/>
        </w:rPr>
        <w:t>are</w:t>
      </w:r>
      <w:r w:rsidR="00C6446A" w:rsidRPr="00C06F09">
        <w:rPr>
          <w:color w:val="000000"/>
          <w:sz w:val="22"/>
        </w:rPr>
        <w:t xml:space="preserve"> also applicable</w:t>
      </w:r>
      <w:r w:rsidR="00AD60E2" w:rsidRPr="00C06F09">
        <w:rPr>
          <w:color w:val="000000"/>
          <w:sz w:val="22"/>
        </w:rPr>
        <w:t xml:space="preserve"> to</w:t>
      </w:r>
      <w:r w:rsidR="00852E9E" w:rsidRPr="00C06F09">
        <w:rPr>
          <w:color w:val="000000"/>
          <w:sz w:val="22"/>
        </w:rPr>
        <w:t xml:space="preserve"> the instant situation.</w:t>
      </w:r>
      <w:r w:rsidR="00FF2B19" w:rsidRPr="00C06F09">
        <w:rPr>
          <w:color w:val="000000"/>
          <w:sz w:val="22"/>
        </w:rPr>
        <w:t xml:space="preserve">  The scarcity of </w:t>
      </w:r>
      <w:r w:rsidR="00980F32" w:rsidRPr="00C06F09">
        <w:rPr>
          <w:color w:val="000000"/>
          <w:sz w:val="22"/>
        </w:rPr>
        <w:t>wireless</w:t>
      </w:r>
      <w:r w:rsidR="00FF2B19" w:rsidRPr="00C06F09">
        <w:rPr>
          <w:color w:val="000000"/>
          <w:sz w:val="22"/>
        </w:rPr>
        <w:t xml:space="preserve"> coverage is more pronounced in tribal communities</w:t>
      </w:r>
      <w:r w:rsidR="00980F32" w:rsidRPr="00C06F09">
        <w:rPr>
          <w:color w:val="000000"/>
          <w:sz w:val="22"/>
        </w:rPr>
        <w:t xml:space="preserve"> than in other areas</w:t>
      </w:r>
      <w:r w:rsidR="00C6446A" w:rsidRPr="00C06F09">
        <w:rPr>
          <w:color w:val="000000"/>
          <w:sz w:val="22"/>
        </w:rPr>
        <w:t xml:space="preserve">.  Those living on tribal lands </w:t>
      </w:r>
      <w:r w:rsidR="005F7A0A" w:rsidRPr="00C06F09">
        <w:rPr>
          <w:color w:val="000000"/>
          <w:sz w:val="22"/>
        </w:rPr>
        <w:t xml:space="preserve">disproportionately </w:t>
      </w:r>
      <w:r w:rsidR="00C6446A" w:rsidRPr="00C06F09">
        <w:rPr>
          <w:color w:val="000000"/>
          <w:sz w:val="22"/>
        </w:rPr>
        <w:t>lack broadband access,</w:t>
      </w:r>
      <w:r w:rsidR="0078485B" w:rsidRPr="00C06F09">
        <w:rPr>
          <w:rStyle w:val="FootnoteReference"/>
          <w:color w:val="000000"/>
          <w:sz w:val="22"/>
        </w:rPr>
        <w:footnoteReference w:id="28"/>
      </w:r>
      <w:r w:rsidR="00C6446A" w:rsidRPr="00C06F09">
        <w:rPr>
          <w:color w:val="000000"/>
          <w:sz w:val="22"/>
        </w:rPr>
        <w:t xml:space="preserve"> and the Commission has previously observed that this lack of availability presents serious impediments to Native Nations' efforts to preserve their cultures and build their internal structures for self-governance, economic opportunity, health, educatio</w:t>
      </w:r>
      <w:r w:rsidR="0078485B" w:rsidRPr="00C06F09">
        <w:rPr>
          <w:color w:val="000000"/>
          <w:sz w:val="22"/>
        </w:rPr>
        <w:t>n, public safety, and welfare.</w:t>
      </w:r>
      <w:r w:rsidR="0078485B" w:rsidRPr="00C06F09">
        <w:rPr>
          <w:rStyle w:val="FootnoteReference"/>
          <w:sz w:val="22"/>
        </w:rPr>
        <w:footnoteReference w:id="29"/>
      </w:r>
      <w:r w:rsidR="007E0FC5" w:rsidRPr="00C06F09">
        <w:rPr>
          <w:color w:val="000000"/>
          <w:sz w:val="22"/>
        </w:rPr>
        <w:t xml:space="preserve">  The </w:t>
      </w:r>
      <w:r w:rsidR="00FF2B19" w:rsidRPr="00C06F09">
        <w:rPr>
          <w:color w:val="000000"/>
          <w:sz w:val="22"/>
        </w:rPr>
        <w:t xml:space="preserve">important impacts of interoperable LTE identified in the </w:t>
      </w:r>
      <w:r w:rsidR="00FF2B19" w:rsidRPr="00C06F09">
        <w:rPr>
          <w:i/>
          <w:color w:val="000000"/>
          <w:sz w:val="22"/>
        </w:rPr>
        <w:t>700 MHz Interoperability Order</w:t>
      </w:r>
      <w:r w:rsidR="009E1245" w:rsidRPr="00C06F09">
        <w:rPr>
          <w:color w:val="000000"/>
          <w:sz w:val="22"/>
        </w:rPr>
        <w:t xml:space="preserve"> –</w:t>
      </w:r>
      <w:r w:rsidR="00FF2B19" w:rsidRPr="00C06F09">
        <w:rPr>
          <w:color w:val="000000"/>
          <w:sz w:val="22"/>
        </w:rPr>
        <w:t xml:space="preserve"> </w:t>
      </w:r>
      <w:r w:rsidR="006008A2" w:rsidRPr="00C06F09">
        <w:rPr>
          <w:color w:val="000000"/>
          <w:sz w:val="22"/>
        </w:rPr>
        <w:t xml:space="preserve">greater choice and quality for consumers of </w:t>
      </w:r>
      <w:r w:rsidR="009E1245" w:rsidRPr="00C06F09">
        <w:rPr>
          <w:color w:val="000000"/>
          <w:sz w:val="22"/>
        </w:rPr>
        <w:t>wireless broadband</w:t>
      </w:r>
      <w:r w:rsidR="006008A2" w:rsidRPr="00C06F09">
        <w:rPr>
          <w:color w:val="000000"/>
          <w:sz w:val="22"/>
        </w:rPr>
        <w:t xml:space="preserve"> services as</w:t>
      </w:r>
      <w:r w:rsidR="00FF2B19" w:rsidRPr="00C06F09">
        <w:rPr>
          <w:color w:val="000000"/>
          <w:sz w:val="22"/>
        </w:rPr>
        <w:t xml:space="preserve"> well as </w:t>
      </w:r>
      <w:r w:rsidR="0029458F">
        <w:rPr>
          <w:color w:val="000000"/>
          <w:sz w:val="22"/>
        </w:rPr>
        <w:t>its role</w:t>
      </w:r>
      <w:r w:rsidR="0029458F" w:rsidRPr="00C06F09">
        <w:rPr>
          <w:color w:val="000000"/>
          <w:sz w:val="22"/>
        </w:rPr>
        <w:t xml:space="preserve"> </w:t>
      </w:r>
      <w:r w:rsidR="007E0FC5" w:rsidRPr="00C06F09">
        <w:rPr>
          <w:color w:val="000000"/>
          <w:sz w:val="22"/>
        </w:rPr>
        <w:t>as</w:t>
      </w:r>
      <w:r w:rsidR="006008A2" w:rsidRPr="00C06F09">
        <w:rPr>
          <w:color w:val="000000"/>
          <w:sz w:val="22"/>
        </w:rPr>
        <w:t xml:space="preserve"> </w:t>
      </w:r>
      <w:r w:rsidR="00762B47" w:rsidRPr="00C06F09">
        <w:rPr>
          <w:color w:val="000000"/>
          <w:sz w:val="22"/>
        </w:rPr>
        <w:t>a</w:t>
      </w:r>
      <w:r w:rsidR="007E0FC5" w:rsidRPr="00C06F09">
        <w:rPr>
          <w:color w:val="000000"/>
          <w:sz w:val="22"/>
        </w:rPr>
        <w:t xml:space="preserve"> catalyst</w:t>
      </w:r>
      <w:r w:rsidR="00762B47" w:rsidRPr="00C06F09">
        <w:rPr>
          <w:color w:val="000000"/>
          <w:sz w:val="22"/>
        </w:rPr>
        <w:t xml:space="preserve"> for</w:t>
      </w:r>
      <w:r w:rsidR="006008A2" w:rsidRPr="00C06F09">
        <w:rPr>
          <w:color w:val="000000"/>
          <w:sz w:val="22"/>
        </w:rPr>
        <w:t xml:space="preserve"> economic growth</w:t>
      </w:r>
      <w:r w:rsidR="009E1245" w:rsidRPr="00C06F09">
        <w:rPr>
          <w:color w:val="000000"/>
          <w:sz w:val="22"/>
        </w:rPr>
        <w:t xml:space="preserve"> –</w:t>
      </w:r>
      <w:r w:rsidR="007E0FC5" w:rsidRPr="00C06F09">
        <w:rPr>
          <w:color w:val="000000"/>
          <w:sz w:val="22"/>
        </w:rPr>
        <w:t xml:space="preserve"> </w:t>
      </w:r>
      <w:r w:rsidR="009E1245" w:rsidRPr="00C06F09">
        <w:rPr>
          <w:color w:val="000000"/>
          <w:sz w:val="22"/>
        </w:rPr>
        <w:t>are</w:t>
      </w:r>
      <w:r w:rsidR="00FF2B19" w:rsidRPr="00C06F09">
        <w:rPr>
          <w:color w:val="000000"/>
          <w:sz w:val="22"/>
        </w:rPr>
        <w:t xml:space="preserve"> particularly </w:t>
      </w:r>
      <w:r w:rsidR="009E1245" w:rsidRPr="00C06F09">
        <w:rPr>
          <w:color w:val="000000"/>
          <w:sz w:val="22"/>
        </w:rPr>
        <w:t>relevant to</w:t>
      </w:r>
      <w:r w:rsidR="00FF2B19" w:rsidRPr="00C06F09">
        <w:rPr>
          <w:color w:val="000000"/>
          <w:sz w:val="22"/>
        </w:rPr>
        <w:t xml:space="preserve"> these underserved, tribal areas</w:t>
      </w:r>
      <w:r w:rsidR="006008A2" w:rsidRPr="00C06F09">
        <w:rPr>
          <w:color w:val="000000"/>
          <w:sz w:val="22"/>
        </w:rPr>
        <w:t xml:space="preserve">. </w:t>
      </w:r>
      <w:r w:rsidR="00FF2B19" w:rsidRPr="00C06F09">
        <w:rPr>
          <w:color w:val="000000"/>
          <w:sz w:val="22"/>
        </w:rPr>
        <w:t xml:space="preserve"> </w:t>
      </w:r>
      <w:r w:rsidR="00610D96" w:rsidRPr="00C06F09">
        <w:rPr>
          <w:color w:val="000000"/>
          <w:sz w:val="22"/>
        </w:rPr>
        <w:t>W</w:t>
      </w:r>
      <w:r w:rsidR="001B257E" w:rsidRPr="00C06F09">
        <w:rPr>
          <w:color w:val="000000"/>
          <w:sz w:val="22"/>
        </w:rPr>
        <w:t xml:space="preserve">e </w:t>
      </w:r>
      <w:r w:rsidR="00CB7B72" w:rsidRPr="00C06F09">
        <w:rPr>
          <w:color w:val="000000"/>
          <w:sz w:val="22"/>
        </w:rPr>
        <w:t xml:space="preserve">therefore </w:t>
      </w:r>
      <w:r w:rsidR="001B257E" w:rsidRPr="00C06F09">
        <w:rPr>
          <w:color w:val="000000"/>
          <w:sz w:val="22"/>
        </w:rPr>
        <w:t>conclude that</w:t>
      </w:r>
      <w:r w:rsidR="00325DA7" w:rsidRPr="00C06F09">
        <w:rPr>
          <w:color w:val="000000"/>
          <w:sz w:val="22"/>
        </w:rPr>
        <w:t xml:space="preserve"> it would </w:t>
      </w:r>
      <w:r w:rsidR="00713C06">
        <w:rPr>
          <w:color w:val="000000"/>
          <w:sz w:val="22"/>
        </w:rPr>
        <w:t>be contrary to the public interest</w:t>
      </w:r>
      <w:r w:rsidR="00325DA7" w:rsidRPr="00C06F09">
        <w:rPr>
          <w:color w:val="000000"/>
          <w:sz w:val="22"/>
        </w:rPr>
        <w:t xml:space="preserve"> to </w:t>
      </w:r>
      <w:r w:rsidR="00076E5C" w:rsidRPr="00C06F09">
        <w:rPr>
          <w:color w:val="000000"/>
          <w:sz w:val="22"/>
        </w:rPr>
        <w:t>deny</w:t>
      </w:r>
      <w:r w:rsidR="00325DA7" w:rsidRPr="00C06F09">
        <w:rPr>
          <w:color w:val="000000"/>
          <w:sz w:val="22"/>
        </w:rPr>
        <w:t xml:space="preserve"> </w:t>
      </w:r>
      <w:r w:rsidR="003D6668" w:rsidRPr="00C06F09">
        <w:rPr>
          <w:color w:val="000000"/>
          <w:sz w:val="22"/>
        </w:rPr>
        <w:t>LL License Holdings’</w:t>
      </w:r>
      <w:r w:rsidR="00325DA7" w:rsidRPr="00C06F09">
        <w:rPr>
          <w:color w:val="000000"/>
          <w:sz w:val="22"/>
        </w:rPr>
        <w:t xml:space="preserve"> </w:t>
      </w:r>
      <w:r w:rsidR="00076E5C" w:rsidRPr="00C06F09">
        <w:rPr>
          <w:color w:val="000000"/>
          <w:sz w:val="22"/>
        </w:rPr>
        <w:t xml:space="preserve">request to extend its </w:t>
      </w:r>
      <w:r w:rsidR="00325DA7" w:rsidRPr="00C06F09">
        <w:rPr>
          <w:color w:val="000000"/>
          <w:sz w:val="22"/>
        </w:rPr>
        <w:t>original June 13</w:t>
      </w:r>
      <w:r w:rsidR="00955AFA" w:rsidRPr="00C06F09">
        <w:rPr>
          <w:color w:val="000000"/>
          <w:sz w:val="22"/>
        </w:rPr>
        <w:t>, 2012 TLBC</w:t>
      </w:r>
      <w:r w:rsidR="00325DA7" w:rsidRPr="00C06F09">
        <w:rPr>
          <w:color w:val="000000"/>
          <w:sz w:val="22"/>
        </w:rPr>
        <w:t xml:space="preserve"> construction deadline </w:t>
      </w:r>
      <w:r w:rsidR="00776636" w:rsidRPr="00C06F09">
        <w:rPr>
          <w:color w:val="000000"/>
          <w:sz w:val="22"/>
        </w:rPr>
        <w:t>in light of</w:t>
      </w:r>
      <w:r w:rsidR="00325DA7" w:rsidRPr="00C06F09">
        <w:rPr>
          <w:color w:val="000000"/>
          <w:sz w:val="22"/>
        </w:rPr>
        <w:t xml:space="preserve"> </w:t>
      </w:r>
      <w:r w:rsidR="00776636" w:rsidRPr="00C06F09">
        <w:rPr>
          <w:color w:val="000000"/>
          <w:sz w:val="22"/>
        </w:rPr>
        <w:t xml:space="preserve">the </w:t>
      </w:r>
      <w:r w:rsidR="00001E71">
        <w:rPr>
          <w:color w:val="000000"/>
          <w:sz w:val="22"/>
        </w:rPr>
        <w:t>relief</w:t>
      </w:r>
      <w:r w:rsidR="00776636" w:rsidRPr="00C06F09">
        <w:rPr>
          <w:color w:val="000000"/>
          <w:sz w:val="22"/>
        </w:rPr>
        <w:t xml:space="preserve"> </w:t>
      </w:r>
      <w:r w:rsidR="00CB7B72" w:rsidRPr="00C06F09">
        <w:rPr>
          <w:color w:val="000000"/>
          <w:sz w:val="22"/>
        </w:rPr>
        <w:t>provided</w:t>
      </w:r>
      <w:r w:rsidR="00F66C3D" w:rsidRPr="00C06F09">
        <w:rPr>
          <w:color w:val="000000"/>
          <w:sz w:val="22"/>
        </w:rPr>
        <w:t xml:space="preserve"> to</w:t>
      </w:r>
      <w:r w:rsidR="00776636" w:rsidRPr="00C06F09">
        <w:rPr>
          <w:color w:val="000000"/>
          <w:sz w:val="22"/>
        </w:rPr>
        <w:t xml:space="preserve"> </w:t>
      </w:r>
      <w:r w:rsidR="003D6668" w:rsidRPr="00C06F09">
        <w:rPr>
          <w:color w:val="000000"/>
          <w:sz w:val="22"/>
        </w:rPr>
        <w:t>the entire class of Lower 700 MHz A Block license</w:t>
      </w:r>
      <w:r w:rsidR="00076E5C" w:rsidRPr="00C06F09">
        <w:rPr>
          <w:color w:val="000000"/>
          <w:sz w:val="22"/>
        </w:rPr>
        <w:t>es</w:t>
      </w:r>
      <w:r w:rsidR="00001E71">
        <w:rPr>
          <w:color w:val="000000"/>
          <w:sz w:val="22"/>
        </w:rPr>
        <w:t xml:space="preserve"> with respect to </w:t>
      </w:r>
      <w:r w:rsidR="0039507A" w:rsidRPr="00C06F09">
        <w:rPr>
          <w:color w:val="000000"/>
          <w:sz w:val="22"/>
        </w:rPr>
        <w:t xml:space="preserve">the interim 700 </w:t>
      </w:r>
      <w:r w:rsidR="00610D96" w:rsidRPr="00C06F09">
        <w:rPr>
          <w:color w:val="000000"/>
          <w:sz w:val="22"/>
        </w:rPr>
        <w:t>MHz construction deadline</w:t>
      </w:r>
      <w:r w:rsidR="00CB7B72" w:rsidRPr="00C06F09">
        <w:rPr>
          <w:color w:val="000000"/>
          <w:sz w:val="22"/>
        </w:rPr>
        <w:t>.</w:t>
      </w:r>
      <w:r w:rsidR="003D6668" w:rsidRPr="00C06F09">
        <w:rPr>
          <w:color w:val="000000"/>
          <w:sz w:val="22"/>
        </w:rPr>
        <w:t xml:space="preserve"> </w:t>
      </w:r>
      <w:r w:rsidR="00D70A4B" w:rsidRPr="00C06F09">
        <w:rPr>
          <w:color w:val="000000"/>
          <w:sz w:val="22"/>
        </w:rPr>
        <w:t>We find that the public interest benefits associated with facilitating LTE interoperability in the Lower 700 MHz band supports a similar extension of the tribal lands construction requirement</w:t>
      </w:r>
      <w:r w:rsidR="00610D96" w:rsidRPr="00C06F09">
        <w:rPr>
          <w:color w:val="000000"/>
          <w:sz w:val="22"/>
        </w:rPr>
        <w:t xml:space="preserve"> in this instance</w:t>
      </w:r>
      <w:r w:rsidR="00D70A4B" w:rsidRPr="00C06F09">
        <w:rPr>
          <w:color w:val="000000"/>
          <w:sz w:val="22"/>
        </w:rPr>
        <w:t>.</w:t>
      </w:r>
    </w:p>
    <w:p w14:paraId="2A2CDAD7" w14:textId="43F49858" w:rsidR="00406F04" w:rsidRPr="00C06F09" w:rsidRDefault="00610D96" w:rsidP="00A95FF9">
      <w:pPr>
        <w:ind w:firstLine="720"/>
        <w:rPr>
          <w:color w:val="000000"/>
          <w:sz w:val="22"/>
        </w:rPr>
      </w:pPr>
      <w:r w:rsidRPr="00C06F09">
        <w:rPr>
          <w:color w:val="000000"/>
          <w:sz w:val="22"/>
        </w:rPr>
        <w:t>W</w:t>
      </w:r>
      <w:r w:rsidR="00E66DCB" w:rsidRPr="00C06F09">
        <w:rPr>
          <w:color w:val="000000"/>
          <w:sz w:val="22"/>
        </w:rPr>
        <w:t>e</w:t>
      </w:r>
      <w:r w:rsidR="00776636" w:rsidRPr="00C06F09">
        <w:rPr>
          <w:color w:val="000000"/>
          <w:sz w:val="22"/>
        </w:rPr>
        <w:t xml:space="preserve"> </w:t>
      </w:r>
      <w:r w:rsidRPr="00C06F09">
        <w:rPr>
          <w:color w:val="000000"/>
          <w:sz w:val="22"/>
        </w:rPr>
        <w:t xml:space="preserve">therefore </w:t>
      </w:r>
      <w:r w:rsidR="00F93AB7" w:rsidRPr="00C06F09">
        <w:rPr>
          <w:color w:val="000000"/>
          <w:sz w:val="22"/>
        </w:rPr>
        <w:t>grant LL License Holdings’ request</w:t>
      </w:r>
      <w:r w:rsidR="00E66DCB" w:rsidRPr="00C06F09">
        <w:rPr>
          <w:color w:val="000000"/>
          <w:sz w:val="22"/>
        </w:rPr>
        <w:t xml:space="preserve"> that we extend its tribal land construction period in order for it to construct</w:t>
      </w:r>
      <w:r w:rsidR="00F93AB7" w:rsidRPr="00C06F09">
        <w:rPr>
          <w:color w:val="000000"/>
          <w:sz w:val="22"/>
        </w:rPr>
        <w:t xml:space="preserve"> LTE system</w:t>
      </w:r>
      <w:r w:rsidR="00E66DCB" w:rsidRPr="00C06F09">
        <w:rPr>
          <w:color w:val="000000"/>
          <w:sz w:val="22"/>
        </w:rPr>
        <w:t>s</w:t>
      </w:r>
      <w:r w:rsidR="00B76E03" w:rsidRPr="00C06F09">
        <w:rPr>
          <w:color w:val="000000"/>
          <w:sz w:val="22"/>
        </w:rPr>
        <w:t xml:space="preserve"> on the Rosebud Sioux Reservation and Santee Sioux Reservation</w:t>
      </w:r>
      <w:r w:rsidR="00F93AB7" w:rsidRPr="00C06F09">
        <w:rPr>
          <w:color w:val="000000"/>
          <w:sz w:val="22"/>
        </w:rPr>
        <w:t>.</w:t>
      </w:r>
      <w:r w:rsidR="00A02B29" w:rsidRPr="00C06F09">
        <w:rPr>
          <w:color w:val="000000"/>
          <w:sz w:val="22"/>
        </w:rPr>
        <w:t xml:space="preserve">  </w:t>
      </w:r>
      <w:r w:rsidR="0085316F">
        <w:rPr>
          <w:color w:val="000000"/>
          <w:sz w:val="22"/>
        </w:rPr>
        <w:t>Further, although LL License Holdings seek</w:t>
      </w:r>
      <w:r w:rsidR="00001E71">
        <w:rPr>
          <w:color w:val="000000"/>
          <w:sz w:val="22"/>
        </w:rPr>
        <w:t>s</w:t>
      </w:r>
      <w:r w:rsidR="0085316F">
        <w:rPr>
          <w:color w:val="000000"/>
          <w:sz w:val="22"/>
        </w:rPr>
        <w:t xml:space="preserve"> a one-year extension, we note that</w:t>
      </w:r>
      <w:r w:rsidR="00A02B29" w:rsidRPr="00C06F09">
        <w:rPr>
          <w:color w:val="000000"/>
          <w:sz w:val="22"/>
        </w:rPr>
        <w:t xml:space="preserve"> </w:t>
      </w:r>
      <w:r w:rsidR="00CB7B72" w:rsidRPr="00C06F09">
        <w:rPr>
          <w:color w:val="000000"/>
          <w:sz w:val="22"/>
        </w:rPr>
        <w:t>the Commission</w:t>
      </w:r>
      <w:r w:rsidR="00A02B29" w:rsidRPr="00C06F09">
        <w:rPr>
          <w:color w:val="000000"/>
          <w:sz w:val="22"/>
        </w:rPr>
        <w:t xml:space="preserve"> </w:t>
      </w:r>
      <w:r w:rsidR="00CB7B72" w:rsidRPr="00C06F09">
        <w:rPr>
          <w:color w:val="000000"/>
          <w:sz w:val="22"/>
        </w:rPr>
        <w:t>found that a revised interim construction deadline of</w:t>
      </w:r>
      <w:r w:rsidR="0097574F" w:rsidRPr="00C06F09">
        <w:rPr>
          <w:color w:val="000000"/>
          <w:sz w:val="22"/>
        </w:rPr>
        <w:t xml:space="preserve"> December </w:t>
      </w:r>
      <w:r w:rsidR="00F66C3D" w:rsidRPr="00C06F09">
        <w:rPr>
          <w:color w:val="000000"/>
          <w:sz w:val="22"/>
        </w:rPr>
        <w:t>13, 2016, would</w:t>
      </w:r>
      <w:r w:rsidR="00220204" w:rsidRPr="00C06F09">
        <w:rPr>
          <w:color w:val="000000"/>
          <w:sz w:val="22"/>
        </w:rPr>
        <w:t xml:space="preserve"> be a</w:t>
      </w:r>
      <w:r w:rsidRPr="00C06F09">
        <w:rPr>
          <w:color w:val="000000"/>
          <w:sz w:val="22"/>
        </w:rPr>
        <w:t xml:space="preserve">n appropriate </w:t>
      </w:r>
      <w:r w:rsidR="00220204" w:rsidRPr="00C06F09">
        <w:rPr>
          <w:color w:val="000000"/>
          <w:sz w:val="22"/>
        </w:rPr>
        <w:t>time frame for</w:t>
      </w:r>
      <w:r w:rsidR="00001E71">
        <w:rPr>
          <w:color w:val="000000"/>
          <w:sz w:val="22"/>
        </w:rPr>
        <w:t xml:space="preserve"> </w:t>
      </w:r>
      <w:r w:rsidR="00CB7B72" w:rsidRPr="00C06F09">
        <w:rPr>
          <w:color w:val="000000"/>
          <w:sz w:val="22"/>
        </w:rPr>
        <w:t xml:space="preserve">Lower 700 MHz A </w:t>
      </w:r>
      <w:r w:rsidR="00001E71">
        <w:rPr>
          <w:color w:val="000000"/>
          <w:sz w:val="22"/>
        </w:rPr>
        <w:t xml:space="preserve">and B </w:t>
      </w:r>
      <w:r w:rsidR="00CB7B72" w:rsidRPr="00C06F09">
        <w:rPr>
          <w:color w:val="000000"/>
          <w:sz w:val="22"/>
        </w:rPr>
        <w:t xml:space="preserve">Block licensees </w:t>
      </w:r>
      <w:r w:rsidR="00F66C3D" w:rsidRPr="00C06F09">
        <w:rPr>
          <w:color w:val="000000"/>
          <w:sz w:val="22"/>
        </w:rPr>
        <w:t>to</w:t>
      </w:r>
      <w:r w:rsidR="0097574F" w:rsidRPr="00C06F09">
        <w:rPr>
          <w:color w:val="000000"/>
          <w:sz w:val="22"/>
        </w:rPr>
        <w:t xml:space="preserve"> respond to </w:t>
      </w:r>
      <w:r w:rsidR="00CB7B72" w:rsidRPr="00C06F09">
        <w:rPr>
          <w:color w:val="000000"/>
          <w:sz w:val="22"/>
        </w:rPr>
        <w:t xml:space="preserve">the </w:t>
      </w:r>
      <w:r w:rsidR="00F66C3D" w:rsidRPr="00C06F09">
        <w:rPr>
          <w:color w:val="000000"/>
          <w:sz w:val="22"/>
        </w:rPr>
        <w:t xml:space="preserve">rule revisions set forth in the </w:t>
      </w:r>
      <w:r w:rsidR="00F66C3D" w:rsidRPr="00C06F09">
        <w:rPr>
          <w:i/>
          <w:color w:val="000000"/>
          <w:sz w:val="22"/>
        </w:rPr>
        <w:t>700 MHz Interoperability Order.</w:t>
      </w:r>
      <w:r w:rsidRPr="00C06F09">
        <w:rPr>
          <w:color w:val="000000"/>
          <w:sz w:val="22"/>
        </w:rPr>
        <w:t xml:space="preserve">  </w:t>
      </w:r>
      <w:r w:rsidR="00A95FF9">
        <w:rPr>
          <w:color w:val="000000"/>
          <w:sz w:val="22"/>
        </w:rPr>
        <w:t xml:space="preserve">While the Commission’s stringent TLBC construction </w:t>
      </w:r>
      <w:r w:rsidR="0085316F">
        <w:rPr>
          <w:color w:val="000000"/>
          <w:sz w:val="22"/>
        </w:rPr>
        <w:t xml:space="preserve">rules are </w:t>
      </w:r>
      <w:r w:rsidR="00001E71">
        <w:rPr>
          <w:color w:val="000000"/>
          <w:sz w:val="22"/>
        </w:rPr>
        <w:t xml:space="preserve">designed to </w:t>
      </w:r>
      <w:r w:rsidR="00D71F6E">
        <w:rPr>
          <w:color w:val="000000"/>
          <w:sz w:val="22"/>
        </w:rPr>
        <w:t>ensure</w:t>
      </w:r>
      <w:r w:rsidR="00A95FF9">
        <w:rPr>
          <w:color w:val="000000"/>
          <w:sz w:val="22"/>
        </w:rPr>
        <w:t xml:space="preserve"> </w:t>
      </w:r>
      <w:r w:rsidR="00777ECE">
        <w:rPr>
          <w:color w:val="000000"/>
          <w:sz w:val="22"/>
        </w:rPr>
        <w:t>deployment of service</w:t>
      </w:r>
      <w:r w:rsidR="00A95FF9">
        <w:rPr>
          <w:color w:val="000000"/>
          <w:sz w:val="22"/>
        </w:rPr>
        <w:t xml:space="preserve"> in a short </w:t>
      </w:r>
      <w:r w:rsidR="00777ECE">
        <w:rPr>
          <w:color w:val="000000"/>
          <w:sz w:val="22"/>
        </w:rPr>
        <w:t>length</w:t>
      </w:r>
      <w:r w:rsidR="00B067C8">
        <w:rPr>
          <w:color w:val="000000"/>
          <w:sz w:val="22"/>
        </w:rPr>
        <w:t xml:space="preserve"> of time, we find that the public interest weighs in favor of making available to these tribal communities the same advanced</w:t>
      </w:r>
      <w:r w:rsidR="009D1877">
        <w:rPr>
          <w:color w:val="000000"/>
          <w:sz w:val="22"/>
        </w:rPr>
        <w:t>, interoperable</w:t>
      </w:r>
      <w:r w:rsidR="00B067C8">
        <w:rPr>
          <w:color w:val="000000"/>
          <w:sz w:val="22"/>
        </w:rPr>
        <w:t xml:space="preserve"> </w:t>
      </w:r>
      <w:r w:rsidR="00C82171">
        <w:rPr>
          <w:color w:val="000000"/>
          <w:sz w:val="22"/>
        </w:rPr>
        <w:t xml:space="preserve">700 MHz </w:t>
      </w:r>
      <w:r w:rsidR="00B067C8">
        <w:rPr>
          <w:color w:val="000000"/>
          <w:sz w:val="22"/>
        </w:rPr>
        <w:t>LTE service</w:t>
      </w:r>
      <w:r w:rsidR="00C82171">
        <w:rPr>
          <w:color w:val="000000"/>
          <w:sz w:val="22"/>
        </w:rPr>
        <w:t xml:space="preserve"> offering</w:t>
      </w:r>
      <w:r w:rsidR="002F75C5">
        <w:rPr>
          <w:color w:val="000000"/>
          <w:sz w:val="22"/>
        </w:rPr>
        <w:t xml:space="preserve">s being deployed elsewhere, and find </w:t>
      </w:r>
      <w:r w:rsidR="009D1877">
        <w:rPr>
          <w:color w:val="000000"/>
          <w:sz w:val="22"/>
        </w:rPr>
        <w:t>it appropriate to grant to LL License Holdings the same</w:t>
      </w:r>
      <w:r w:rsidR="002F75C5">
        <w:rPr>
          <w:color w:val="000000"/>
          <w:sz w:val="22"/>
        </w:rPr>
        <w:t xml:space="preserve"> </w:t>
      </w:r>
      <w:r w:rsidR="008F0818">
        <w:rPr>
          <w:color w:val="000000"/>
          <w:sz w:val="22"/>
        </w:rPr>
        <w:t>period</w:t>
      </w:r>
      <w:r w:rsidR="002F75C5">
        <w:rPr>
          <w:color w:val="000000"/>
          <w:sz w:val="22"/>
        </w:rPr>
        <w:t xml:space="preserve"> given to </w:t>
      </w:r>
      <w:r w:rsidR="0025144C">
        <w:rPr>
          <w:color w:val="000000"/>
          <w:sz w:val="22"/>
        </w:rPr>
        <w:t xml:space="preserve">all active </w:t>
      </w:r>
      <w:r w:rsidR="009D1877">
        <w:rPr>
          <w:color w:val="000000"/>
          <w:sz w:val="22"/>
        </w:rPr>
        <w:t>Lower 700 MHz Band A and B Block licensees to obtain interoperable LTE equipment and otherwise respond to rule changes</w:t>
      </w:r>
      <w:r w:rsidR="00B067C8">
        <w:rPr>
          <w:color w:val="000000"/>
          <w:sz w:val="22"/>
        </w:rPr>
        <w:t xml:space="preserve">.  </w:t>
      </w:r>
      <w:r w:rsidR="009D1877">
        <w:rPr>
          <w:color w:val="000000"/>
          <w:sz w:val="22"/>
        </w:rPr>
        <w:t>Accordingly,</w:t>
      </w:r>
      <w:r w:rsidR="000B00F3">
        <w:rPr>
          <w:color w:val="000000"/>
          <w:sz w:val="22"/>
        </w:rPr>
        <w:t xml:space="preserve"> </w:t>
      </w:r>
      <w:r w:rsidR="00003192">
        <w:rPr>
          <w:color w:val="000000"/>
          <w:sz w:val="22"/>
        </w:rPr>
        <w:t xml:space="preserve"> we extend to December 13, 2016, the period within which </w:t>
      </w:r>
      <w:r w:rsidR="00B8530C">
        <w:rPr>
          <w:color w:val="000000"/>
          <w:sz w:val="22"/>
        </w:rPr>
        <w:t xml:space="preserve">LL License Holdings must </w:t>
      </w:r>
      <w:r w:rsidR="00003192">
        <w:rPr>
          <w:color w:val="000000"/>
          <w:sz w:val="22"/>
        </w:rPr>
        <w:t xml:space="preserve">comply with its TLBC requirements, conditioned on LL License Holdings </w:t>
      </w:r>
      <w:r w:rsidR="00B8530C">
        <w:rPr>
          <w:color w:val="000000"/>
          <w:sz w:val="22"/>
        </w:rPr>
        <w:t>construct</w:t>
      </w:r>
      <w:r w:rsidR="00003192">
        <w:rPr>
          <w:color w:val="000000"/>
          <w:sz w:val="22"/>
        </w:rPr>
        <w:t>ing</w:t>
      </w:r>
      <w:r w:rsidR="00B8530C">
        <w:rPr>
          <w:color w:val="000000"/>
          <w:sz w:val="22"/>
        </w:rPr>
        <w:t xml:space="preserve"> and operat</w:t>
      </w:r>
      <w:r w:rsidR="00003192">
        <w:rPr>
          <w:color w:val="000000"/>
          <w:sz w:val="22"/>
        </w:rPr>
        <w:t>ing</w:t>
      </w:r>
      <w:r w:rsidR="00B8530C">
        <w:rPr>
          <w:color w:val="000000"/>
          <w:sz w:val="22"/>
        </w:rPr>
        <w:t xml:space="preserve"> LTE systems</w:t>
      </w:r>
      <w:r w:rsidR="00C04DFD">
        <w:rPr>
          <w:color w:val="000000"/>
          <w:sz w:val="22"/>
        </w:rPr>
        <w:t xml:space="preserve"> </w:t>
      </w:r>
      <w:r w:rsidR="00B8530C" w:rsidRPr="00B8530C">
        <w:rPr>
          <w:color w:val="000000"/>
          <w:sz w:val="22"/>
        </w:rPr>
        <w:t>capable of serving seventy-five (75) percent of the population</w:t>
      </w:r>
      <w:r w:rsidR="008F0818">
        <w:rPr>
          <w:color w:val="000000"/>
          <w:sz w:val="22"/>
        </w:rPr>
        <w:t>s</w:t>
      </w:r>
      <w:r w:rsidR="00B8530C" w:rsidRPr="00B8530C">
        <w:rPr>
          <w:color w:val="000000"/>
          <w:sz w:val="22"/>
        </w:rPr>
        <w:t xml:space="preserve"> of </w:t>
      </w:r>
      <w:r w:rsidR="009D1877">
        <w:rPr>
          <w:color w:val="000000"/>
          <w:sz w:val="22"/>
        </w:rPr>
        <w:t>each of</w:t>
      </w:r>
      <w:r w:rsidR="00B8530C" w:rsidRPr="00B8530C">
        <w:rPr>
          <w:color w:val="000000"/>
          <w:sz w:val="22"/>
        </w:rPr>
        <w:t xml:space="preserve"> </w:t>
      </w:r>
      <w:r w:rsidR="002F75C5" w:rsidRPr="002F75C5">
        <w:rPr>
          <w:color w:val="000000"/>
          <w:sz w:val="22"/>
        </w:rPr>
        <w:t>the Rosebud Sioux Reservation and Santee Sioux Reservation</w:t>
      </w:r>
      <w:r w:rsidR="002F75C5">
        <w:rPr>
          <w:color w:val="000000"/>
          <w:sz w:val="22"/>
        </w:rPr>
        <w:t xml:space="preserve"> by </w:t>
      </w:r>
      <w:r w:rsidR="00003192">
        <w:rPr>
          <w:color w:val="000000"/>
          <w:sz w:val="22"/>
        </w:rPr>
        <w:t>that date</w:t>
      </w:r>
      <w:r w:rsidR="002F75C5">
        <w:rPr>
          <w:color w:val="000000"/>
          <w:sz w:val="22"/>
        </w:rPr>
        <w:t>.</w:t>
      </w:r>
      <w:r w:rsidR="008F0818">
        <w:rPr>
          <w:color w:val="000000"/>
          <w:sz w:val="22"/>
        </w:rPr>
        <w:t xml:space="preserve">  Notifications certifying that such construction has been completed must be filed </w:t>
      </w:r>
      <w:r w:rsidR="00D22D3B">
        <w:rPr>
          <w:color w:val="000000"/>
          <w:sz w:val="22"/>
        </w:rPr>
        <w:t xml:space="preserve">with the Commission </w:t>
      </w:r>
      <w:r w:rsidR="008F0818">
        <w:rPr>
          <w:color w:val="000000"/>
          <w:sz w:val="22"/>
        </w:rPr>
        <w:t xml:space="preserve">within </w:t>
      </w:r>
      <w:r w:rsidR="00AA27C3">
        <w:rPr>
          <w:color w:val="000000"/>
          <w:sz w:val="22"/>
        </w:rPr>
        <w:t>fifteen</w:t>
      </w:r>
      <w:r w:rsidR="008F0818">
        <w:rPr>
          <w:color w:val="000000"/>
          <w:sz w:val="22"/>
        </w:rPr>
        <w:t xml:space="preserve"> </w:t>
      </w:r>
      <w:r w:rsidR="00AA27C3">
        <w:rPr>
          <w:color w:val="000000"/>
          <w:sz w:val="22"/>
        </w:rPr>
        <w:t xml:space="preserve">(15) </w:t>
      </w:r>
      <w:r w:rsidR="008F0818">
        <w:rPr>
          <w:color w:val="000000"/>
          <w:sz w:val="22"/>
        </w:rPr>
        <w:t>days of the December 13, 2016 deadline.</w:t>
      </w:r>
    </w:p>
    <w:p w14:paraId="5543F505" w14:textId="6AE2C8D1" w:rsidR="00D71F6E" w:rsidRDefault="009A1961" w:rsidP="009A1961">
      <w:pPr>
        <w:autoSpaceDE w:val="0"/>
        <w:autoSpaceDN w:val="0"/>
        <w:adjustRightInd w:val="0"/>
        <w:rPr>
          <w:color w:val="000000"/>
          <w:sz w:val="22"/>
        </w:rPr>
      </w:pPr>
      <w:r>
        <w:rPr>
          <w:color w:val="000000"/>
          <w:sz w:val="22"/>
        </w:rPr>
        <w:tab/>
      </w:r>
      <w:r w:rsidR="00632754" w:rsidRPr="00C06F09">
        <w:rPr>
          <w:color w:val="000000"/>
          <w:sz w:val="22"/>
        </w:rPr>
        <w:t xml:space="preserve">Accordingly, IT IS ORDERED that pursuant to Section 4(i) of the Communications Act, as amended, 47 U.S.C. § 154(i), and sections 1.3, 1.925, and 1.2110(f)(3) of </w:t>
      </w:r>
      <w:r w:rsidR="007F43C5">
        <w:rPr>
          <w:color w:val="000000"/>
          <w:sz w:val="22"/>
        </w:rPr>
        <w:t xml:space="preserve">the </w:t>
      </w:r>
      <w:r w:rsidR="00632754" w:rsidRPr="00C06F09">
        <w:rPr>
          <w:color w:val="000000"/>
          <w:sz w:val="22"/>
        </w:rPr>
        <w:t xml:space="preserve">Commission’s Rules, 47 C.F.R. §§ 1.3, 1.925, </w:t>
      </w:r>
      <w:r w:rsidR="007F43C5">
        <w:rPr>
          <w:color w:val="000000"/>
          <w:sz w:val="22"/>
        </w:rPr>
        <w:t>and</w:t>
      </w:r>
      <w:r w:rsidR="00632754" w:rsidRPr="00C06F09">
        <w:rPr>
          <w:color w:val="000000"/>
          <w:sz w:val="22"/>
        </w:rPr>
        <w:t xml:space="preserve"> 1.2110(f)(3), the </w:t>
      </w:r>
      <w:r w:rsidR="00632754" w:rsidRPr="00C06F09">
        <w:rPr>
          <w:sz w:val="22"/>
        </w:rPr>
        <w:t xml:space="preserve">Waiver Request for Extension of Time </w:t>
      </w:r>
      <w:r w:rsidR="007F43C5">
        <w:rPr>
          <w:sz w:val="22"/>
        </w:rPr>
        <w:t>for Wireless Services,</w:t>
      </w:r>
      <w:r w:rsidR="00632754" w:rsidRPr="00C06F09">
        <w:rPr>
          <w:sz w:val="22"/>
        </w:rPr>
        <w:t xml:space="preserve"> Call Signs WQKH490 and WQKH491</w:t>
      </w:r>
      <w:r w:rsidR="00220204" w:rsidRPr="00C06F09">
        <w:rPr>
          <w:sz w:val="22"/>
        </w:rPr>
        <w:t>,</w:t>
      </w:r>
      <w:r w:rsidR="00220204" w:rsidRPr="00C06F09">
        <w:rPr>
          <w:color w:val="000000"/>
          <w:sz w:val="22"/>
        </w:rPr>
        <w:t xml:space="preserve"> </w:t>
      </w:r>
      <w:r w:rsidR="00632754" w:rsidRPr="00C06F09">
        <w:rPr>
          <w:color w:val="000000"/>
          <w:sz w:val="22"/>
        </w:rPr>
        <w:t xml:space="preserve">filed by LL License Holdings, LLC on </w:t>
      </w:r>
      <w:r w:rsidR="00632754" w:rsidRPr="00C06F09">
        <w:rPr>
          <w:sz w:val="22"/>
        </w:rPr>
        <w:t>May 11, 2012</w:t>
      </w:r>
      <w:r w:rsidR="00C12D46" w:rsidRPr="00C06F09">
        <w:rPr>
          <w:sz w:val="22"/>
        </w:rPr>
        <w:t>,</w:t>
      </w:r>
      <w:r w:rsidR="00632754" w:rsidRPr="00C06F09">
        <w:rPr>
          <w:sz w:val="22"/>
        </w:rPr>
        <w:t xml:space="preserve"> and </w:t>
      </w:r>
      <w:r w:rsidR="0019735B">
        <w:rPr>
          <w:sz w:val="22"/>
        </w:rPr>
        <w:t>supplemented</w:t>
      </w:r>
      <w:r w:rsidR="0019735B" w:rsidRPr="00C06F09">
        <w:rPr>
          <w:sz w:val="22"/>
        </w:rPr>
        <w:t xml:space="preserve"> </w:t>
      </w:r>
      <w:r w:rsidR="00632754" w:rsidRPr="00C06F09">
        <w:rPr>
          <w:sz w:val="22"/>
        </w:rPr>
        <w:t>on October 26, 2012</w:t>
      </w:r>
      <w:r w:rsidR="00632754" w:rsidRPr="00C06F09">
        <w:rPr>
          <w:color w:val="000000"/>
          <w:sz w:val="22"/>
        </w:rPr>
        <w:t xml:space="preserve">, is GRANTED </w:t>
      </w:r>
      <w:r w:rsidR="002B5B4E" w:rsidRPr="00C06F09">
        <w:rPr>
          <w:color w:val="000000"/>
          <w:sz w:val="22"/>
        </w:rPr>
        <w:t>to the extent described</w:t>
      </w:r>
      <w:r w:rsidR="00632754" w:rsidRPr="00C06F09">
        <w:rPr>
          <w:color w:val="000000"/>
          <w:sz w:val="22"/>
        </w:rPr>
        <w:t xml:space="preserve"> herein.</w:t>
      </w:r>
      <w:r w:rsidR="002B5B4E" w:rsidRPr="00C06F09">
        <w:rPr>
          <w:color w:val="000000"/>
          <w:sz w:val="22"/>
        </w:rPr>
        <w:t xml:space="preserve">  </w:t>
      </w:r>
    </w:p>
    <w:p w14:paraId="3662CFFE" w14:textId="193EEC58" w:rsidR="00DA7747" w:rsidRPr="00C06F09" w:rsidRDefault="00906006" w:rsidP="00047C80">
      <w:pPr>
        <w:ind w:firstLine="720"/>
        <w:rPr>
          <w:sz w:val="22"/>
        </w:rPr>
      </w:pPr>
      <w:r w:rsidRPr="00C06F09">
        <w:rPr>
          <w:color w:val="000000"/>
          <w:sz w:val="22"/>
        </w:rPr>
        <w:t xml:space="preserve">These actions are taken under delegated authority pursuant to </w:t>
      </w:r>
      <w:r w:rsidR="0019735B">
        <w:rPr>
          <w:color w:val="000000"/>
          <w:sz w:val="22"/>
        </w:rPr>
        <w:t>s</w:t>
      </w:r>
      <w:r w:rsidRPr="00C06F09">
        <w:rPr>
          <w:color w:val="000000"/>
          <w:sz w:val="22"/>
        </w:rPr>
        <w:t>ections 0.131 and 0.331 of the Commission’s Rules, 47 C.F.R. §§ 0.131, 0.331.</w:t>
      </w:r>
    </w:p>
    <w:p w14:paraId="5FE9026D" w14:textId="77777777" w:rsidR="00E227B8" w:rsidRDefault="00683162" w:rsidP="001378C7">
      <w:pPr>
        <w:ind w:firstLine="720"/>
        <w:rPr>
          <w:sz w:val="22"/>
        </w:rPr>
      </w:pPr>
      <w:r w:rsidRPr="00C06F09">
        <w:rPr>
          <w:sz w:val="22"/>
        </w:rPr>
        <w:tab/>
      </w:r>
      <w:r w:rsidRPr="00C06F09">
        <w:rPr>
          <w:sz w:val="22"/>
        </w:rPr>
        <w:tab/>
      </w:r>
      <w:r w:rsidRPr="00C06F09">
        <w:rPr>
          <w:sz w:val="22"/>
        </w:rPr>
        <w:tab/>
      </w:r>
      <w:r w:rsidRPr="00C06F09">
        <w:rPr>
          <w:sz w:val="22"/>
        </w:rPr>
        <w:tab/>
      </w:r>
      <w:r w:rsidRPr="00C06F09">
        <w:rPr>
          <w:sz w:val="22"/>
        </w:rPr>
        <w:tab/>
      </w:r>
      <w:r w:rsidRPr="00C06F09">
        <w:rPr>
          <w:sz w:val="22"/>
        </w:rPr>
        <w:tab/>
      </w:r>
    </w:p>
    <w:p w14:paraId="07D21626" w14:textId="090F00E5" w:rsidR="00683162" w:rsidRPr="00C06F09" w:rsidRDefault="00683162" w:rsidP="00E227B8">
      <w:pPr>
        <w:ind w:left="4320" w:firstLine="720"/>
        <w:rPr>
          <w:sz w:val="22"/>
        </w:rPr>
      </w:pPr>
      <w:r w:rsidRPr="00C06F09">
        <w:rPr>
          <w:sz w:val="22"/>
        </w:rPr>
        <w:t>Sincerely,</w:t>
      </w:r>
    </w:p>
    <w:p w14:paraId="21A85F3D" w14:textId="77777777" w:rsidR="00683162" w:rsidRPr="00C06F09" w:rsidRDefault="00683162" w:rsidP="001378C7">
      <w:pPr>
        <w:ind w:firstLine="720"/>
        <w:rPr>
          <w:sz w:val="22"/>
        </w:rPr>
      </w:pPr>
    </w:p>
    <w:p w14:paraId="4C34524F" w14:textId="77777777" w:rsidR="00683162" w:rsidRPr="00C06F09" w:rsidRDefault="00683162" w:rsidP="00852E9E">
      <w:pPr>
        <w:rPr>
          <w:sz w:val="22"/>
        </w:rPr>
      </w:pPr>
    </w:p>
    <w:p w14:paraId="0E46810F" w14:textId="77777777" w:rsidR="00683162" w:rsidRPr="00C06F09" w:rsidRDefault="00683162" w:rsidP="00852E9E">
      <w:pPr>
        <w:spacing w:after="0"/>
        <w:ind w:firstLine="720"/>
        <w:rPr>
          <w:sz w:val="22"/>
        </w:rPr>
      </w:pPr>
      <w:r w:rsidRPr="00C06F09">
        <w:rPr>
          <w:sz w:val="22"/>
        </w:rPr>
        <w:tab/>
      </w:r>
      <w:r w:rsidRPr="00C06F09">
        <w:rPr>
          <w:sz w:val="22"/>
        </w:rPr>
        <w:tab/>
      </w:r>
      <w:r w:rsidRPr="00C06F09">
        <w:rPr>
          <w:sz w:val="22"/>
        </w:rPr>
        <w:tab/>
      </w:r>
      <w:r w:rsidRPr="00C06F09">
        <w:rPr>
          <w:sz w:val="22"/>
        </w:rPr>
        <w:tab/>
      </w:r>
      <w:r w:rsidRPr="00C06F09">
        <w:rPr>
          <w:sz w:val="22"/>
        </w:rPr>
        <w:tab/>
      </w:r>
      <w:r w:rsidRPr="00C06F09">
        <w:rPr>
          <w:sz w:val="22"/>
        </w:rPr>
        <w:tab/>
        <w:t>Roger S. Noel</w:t>
      </w:r>
    </w:p>
    <w:p w14:paraId="41D1E68E" w14:textId="77777777" w:rsidR="00683162" w:rsidRPr="00C06F09" w:rsidRDefault="00683162" w:rsidP="00852E9E">
      <w:pPr>
        <w:spacing w:after="0"/>
        <w:ind w:firstLine="720"/>
        <w:rPr>
          <w:sz w:val="22"/>
        </w:rPr>
      </w:pPr>
      <w:r w:rsidRPr="00C06F09">
        <w:rPr>
          <w:sz w:val="22"/>
        </w:rPr>
        <w:tab/>
      </w:r>
      <w:r w:rsidRPr="00C06F09">
        <w:rPr>
          <w:sz w:val="22"/>
        </w:rPr>
        <w:tab/>
      </w:r>
      <w:r w:rsidRPr="00C06F09">
        <w:rPr>
          <w:sz w:val="22"/>
        </w:rPr>
        <w:tab/>
      </w:r>
      <w:r w:rsidRPr="00C06F09">
        <w:rPr>
          <w:sz w:val="22"/>
        </w:rPr>
        <w:tab/>
      </w:r>
      <w:r w:rsidRPr="00C06F09">
        <w:rPr>
          <w:sz w:val="22"/>
        </w:rPr>
        <w:tab/>
      </w:r>
      <w:r w:rsidRPr="00C06F09">
        <w:rPr>
          <w:sz w:val="22"/>
        </w:rPr>
        <w:tab/>
        <w:t>Chief, Mobility Division</w:t>
      </w:r>
    </w:p>
    <w:p w14:paraId="0634450F" w14:textId="31917190" w:rsidR="007C588F" w:rsidRPr="00C06F09" w:rsidRDefault="00683162" w:rsidP="009A1961">
      <w:pPr>
        <w:spacing w:after="0"/>
        <w:ind w:left="4320" w:firstLine="720"/>
        <w:rPr>
          <w:sz w:val="22"/>
        </w:rPr>
      </w:pPr>
      <w:r w:rsidRPr="00C06F09">
        <w:rPr>
          <w:sz w:val="22"/>
        </w:rPr>
        <w:t>Wireless Telecommunications Burea</w:t>
      </w:r>
      <w:r w:rsidR="009A1961">
        <w:rPr>
          <w:sz w:val="22"/>
        </w:rPr>
        <w:t>u</w:t>
      </w:r>
    </w:p>
    <w:sectPr w:rsidR="007C588F" w:rsidRPr="00C06F09" w:rsidSect="00E227B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43025" w14:textId="77777777" w:rsidR="00DB1FE5" w:rsidRDefault="00DB1FE5" w:rsidP="00683162">
      <w:r>
        <w:separator/>
      </w:r>
    </w:p>
  </w:endnote>
  <w:endnote w:type="continuationSeparator" w:id="0">
    <w:p w14:paraId="72E7A5C0" w14:textId="77777777" w:rsidR="00DB1FE5" w:rsidRDefault="00DB1FE5" w:rsidP="00683162">
      <w:r>
        <w:continuationSeparator/>
      </w:r>
    </w:p>
  </w:endnote>
  <w:endnote w:type="continuationNotice" w:id="1">
    <w:p w14:paraId="00DB0805" w14:textId="77777777" w:rsidR="00DB1FE5" w:rsidRDefault="00DB1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Franklin Gothic Medium Cond"/>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4CC2" w14:textId="77777777" w:rsidR="00CB23D0" w:rsidRDefault="00CB23D0" w:rsidP="007C5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E2968D" w14:textId="77777777" w:rsidR="00CB23D0" w:rsidRDefault="00CB2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E56D" w14:textId="77777777" w:rsidR="000C507F" w:rsidRDefault="000C50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D784A" w14:textId="77777777" w:rsidR="000C507F" w:rsidRDefault="000C5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89062" w14:textId="77777777" w:rsidR="00DB1FE5" w:rsidRDefault="00DB1FE5" w:rsidP="00683162">
      <w:r>
        <w:separator/>
      </w:r>
    </w:p>
  </w:footnote>
  <w:footnote w:type="continuationSeparator" w:id="0">
    <w:p w14:paraId="643FF936" w14:textId="5D342BC0" w:rsidR="00DB1FE5" w:rsidRDefault="00DB1FE5" w:rsidP="00683162">
      <w:r>
        <w:separator/>
      </w:r>
    </w:p>
  </w:footnote>
  <w:footnote w:type="continuationNotice" w:id="1">
    <w:p w14:paraId="4AAB4D55" w14:textId="77777777" w:rsidR="00DB1FE5" w:rsidRDefault="00DB1FE5"/>
  </w:footnote>
  <w:footnote w:id="2">
    <w:p w14:paraId="32D4FC3A" w14:textId="29E87463" w:rsidR="0054186F" w:rsidRPr="00DB1FE5" w:rsidRDefault="0054186F" w:rsidP="00DD79CB">
      <w:pPr>
        <w:pStyle w:val="FootnoteText"/>
      </w:pPr>
      <w:r w:rsidRPr="00DB1FE5">
        <w:rPr>
          <w:rStyle w:val="FootnoteReference"/>
        </w:rPr>
        <w:footnoteRef/>
      </w:r>
      <w:r w:rsidRPr="00DB1FE5">
        <w:t xml:space="preserve"> LL License Holdings, LLC Waiver Request for Extension of Time for Wireless Services, Call Signs WQKH490 and WQKH491 </w:t>
      </w:r>
      <w:r w:rsidR="001308F7" w:rsidRPr="00DB1FE5">
        <w:t>(</w:t>
      </w:r>
      <w:r w:rsidRPr="00DB1FE5">
        <w:t>File Numbers 0005204801 and 0005204802</w:t>
      </w:r>
      <w:r w:rsidR="001308F7" w:rsidRPr="00DB1FE5">
        <w:t>)</w:t>
      </w:r>
      <w:r w:rsidRPr="00DB1FE5">
        <w:t xml:space="preserve">, filed May 11, 2012 (Waiver Request).  </w:t>
      </w:r>
      <w:r w:rsidR="00347DFE" w:rsidRPr="00DB1FE5">
        <w:t>LL License Holdings</w:t>
      </w:r>
      <w:r w:rsidRPr="00DB1FE5">
        <w:t xml:space="preserve"> filed an Amendment on October 26, 2012, clarifying that it seeks a one-year extension until June 13, 2013.</w:t>
      </w:r>
    </w:p>
  </w:footnote>
  <w:footnote w:id="3">
    <w:p w14:paraId="697CCEA6" w14:textId="6F08DAC1" w:rsidR="00F25C0E" w:rsidRPr="00F25C0E" w:rsidRDefault="00F25C0E">
      <w:pPr>
        <w:pStyle w:val="FootnoteText"/>
      </w:pPr>
      <w:r>
        <w:rPr>
          <w:rStyle w:val="FootnoteReference"/>
        </w:rPr>
        <w:footnoteRef/>
      </w:r>
      <w:r>
        <w:t xml:space="preserve"> </w:t>
      </w:r>
      <w:r>
        <w:rPr>
          <w:i/>
        </w:rPr>
        <w:t>See</w:t>
      </w:r>
      <w:r>
        <w:t xml:space="preserve"> 47 C.F.R. §§ 1.3, 1.925.</w:t>
      </w:r>
    </w:p>
  </w:footnote>
  <w:footnote w:id="4">
    <w:p w14:paraId="07B98F2D" w14:textId="6F938160" w:rsidR="008D633D" w:rsidRPr="00047C80" w:rsidRDefault="008D633D" w:rsidP="00DD79CB">
      <w:pPr>
        <w:pStyle w:val="FootnoteText"/>
      </w:pPr>
      <w:r w:rsidRPr="00DB1FE5">
        <w:rPr>
          <w:rStyle w:val="FootnoteReference"/>
        </w:rPr>
        <w:footnoteRef/>
      </w:r>
      <w:r w:rsidRPr="00DB1FE5">
        <w:t xml:space="preserve"> </w:t>
      </w:r>
      <w:r w:rsidR="00F10170" w:rsidRPr="00DB1FE5">
        <w:rPr>
          <w:i/>
        </w:rPr>
        <w:t>See</w:t>
      </w:r>
      <w:r w:rsidR="00F10170" w:rsidRPr="00DB1FE5">
        <w:t xml:space="preserve"> Auction of 700 MHz Band Licenses Closes, Winning Bidders Announced for Auction 73, </w:t>
      </w:r>
      <w:r w:rsidR="00F10170" w:rsidRPr="00DB1FE5">
        <w:rPr>
          <w:i/>
        </w:rPr>
        <w:t>Public Notice</w:t>
      </w:r>
      <w:r w:rsidR="00F10170" w:rsidRPr="00DB1FE5">
        <w:t>, 23 FCC Rcd 4572 (WTB 2008) (</w:t>
      </w:r>
      <w:r w:rsidR="00F10170" w:rsidRPr="00AA27C3">
        <w:rPr>
          <w:i/>
        </w:rPr>
        <w:t>700 MHz Closing Public Notice</w:t>
      </w:r>
      <w:r w:rsidR="00F10170" w:rsidRPr="00047C80">
        <w:t>).</w:t>
      </w:r>
    </w:p>
  </w:footnote>
  <w:footnote w:id="5">
    <w:p w14:paraId="245CFC83" w14:textId="68ECB2C1" w:rsidR="00EE613A" w:rsidRPr="00047C80" w:rsidRDefault="00EE613A" w:rsidP="00DD79CB">
      <w:pPr>
        <w:pStyle w:val="FootnoteText"/>
      </w:pPr>
      <w:r w:rsidRPr="00047C80">
        <w:rPr>
          <w:rStyle w:val="FootnoteReference"/>
        </w:rPr>
        <w:footnoteRef/>
      </w:r>
      <w:r w:rsidRPr="00047C80">
        <w:t xml:space="preserve"> </w:t>
      </w:r>
      <w:r w:rsidRPr="00047C80">
        <w:rPr>
          <w:i/>
        </w:rPr>
        <w:t xml:space="preserve">See </w:t>
      </w:r>
      <w:r w:rsidR="00F10170" w:rsidRPr="00047C80">
        <w:rPr>
          <w:i/>
        </w:rPr>
        <w:t>700 MHz Closing Public Notice</w:t>
      </w:r>
      <w:r w:rsidRPr="00047C80">
        <w:t>; 47 C.F.R. § 1.2110(f)(3)(iv).</w:t>
      </w:r>
    </w:p>
  </w:footnote>
  <w:footnote w:id="6">
    <w:p w14:paraId="1E4FF154" w14:textId="77777777" w:rsidR="00EE613A" w:rsidRPr="00047C80" w:rsidRDefault="00EE613A" w:rsidP="00DD79CB">
      <w:pPr>
        <w:pStyle w:val="FootnoteText"/>
      </w:pPr>
      <w:r w:rsidRPr="00047C80">
        <w:rPr>
          <w:rStyle w:val="FootnoteReference"/>
        </w:rPr>
        <w:footnoteRef/>
      </w:r>
      <w:r w:rsidRPr="00047C80">
        <w:t xml:space="preserve"> 47 C.F.R. § 1.2110(f)(3)(vii).</w:t>
      </w:r>
    </w:p>
  </w:footnote>
  <w:footnote w:id="7">
    <w:p w14:paraId="021860BD" w14:textId="436080D8" w:rsidR="001B21B5" w:rsidRPr="00DB1FE5" w:rsidRDefault="001B21B5" w:rsidP="00DD79CB">
      <w:pPr>
        <w:pStyle w:val="FootnoteText"/>
      </w:pPr>
      <w:r w:rsidRPr="00047C80">
        <w:rPr>
          <w:rStyle w:val="FootnoteReference"/>
        </w:rPr>
        <w:footnoteRef/>
      </w:r>
      <w:r w:rsidRPr="00047C80">
        <w:t xml:space="preserve"> </w:t>
      </w:r>
      <w:r w:rsidR="001308F7" w:rsidRPr="00047C80">
        <w:rPr>
          <w:i/>
        </w:rPr>
        <w:t>Id</w:t>
      </w:r>
      <w:r w:rsidR="001308F7">
        <w:rPr>
          <w:i/>
        </w:rPr>
        <w:t>.</w:t>
      </w:r>
    </w:p>
  </w:footnote>
  <w:footnote w:id="8">
    <w:p w14:paraId="7C43F545" w14:textId="77777777" w:rsidR="001B21B5" w:rsidRPr="00DB1FE5" w:rsidRDefault="001B21B5" w:rsidP="00DD79CB">
      <w:pPr>
        <w:pStyle w:val="FootnoteText"/>
      </w:pPr>
      <w:r w:rsidRPr="00DB1FE5">
        <w:rPr>
          <w:rStyle w:val="FootnoteReference"/>
        </w:rPr>
        <w:footnoteRef/>
      </w:r>
      <w:r w:rsidRPr="00DB1FE5">
        <w:t xml:space="preserve"> 47 C.F.R. § 1.2110(f)(3)(viii).</w:t>
      </w:r>
    </w:p>
  </w:footnote>
  <w:footnote w:id="9">
    <w:p w14:paraId="56254444" w14:textId="43DAF3A3" w:rsidR="001B21B5" w:rsidRPr="00047C80" w:rsidRDefault="001B21B5" w:rsidP="00DD79CB">
      <w:pPr>
        <w:pStyle w:val="FootnoteText"/>
      </w:pPr>
      <w:r w:rsidRPr="00AA27C3">
        <w:rPr>
          <w:rStyle w:val="FootnoteReference"/>
        </w:rPr>
        <w:footnoteRef/>
      </w:r>
      <w:r w:rsidRPr="00AA27C3">
        <w:t xml:space="preserve"> </w:t>
      </w:r>
      <w:r w:rsidR="009A1961" w:rsidRPr="00047C80">
        <w:rPr>
          <w:i/>
        </w:rPr>
        <w:t>Id.</w:t>
      </w:r>
    </w:p>
  </w:footnote>
  <w:footnote w:id="10">
    <w:p w14:paraId="638CA5CD" w14:textId="77777777" w:rsidR="002919E2" w:rsidRPr="00047C80" w:rsidRDefault="002919E2" w:rsidP="002919E2">
      <w:pPr>
        <w:pStyle w:val="FootnoteText"/>
      </w:pPr>
      <w:r w:rsidRPr="00047C80">
        <w:rPr>
          <w:rStyle w:val="FootnoteReference"/>
        </w:rPr>
        <w:footnoteRef/>
      </w:r>
      <w:r w:rsidRPr="00047C80">
        <w:t xml:space="preserve"> </w:t>
      </w:r>
      <w:r w:rsidRPr="00047C80">
        <w:rPr>
          <w:i/>
        </w:rPr>
        <w:t>See</w:t>
      </w:r>
      <w:r w:rsidRPr="00047C80">
        <w:t xml:space="preserve"> Implementation of the DTV Delay Act, WT Docket No. 06-150, </w:t>
      </w:r>
      <w:r w:rsidRPr="00047C80">
        <w:rPr>
          <w:i/>
        </w:rPr>
        <w:t>Second Report and Order and Notice of Proposed Rulemaking</w:t>
      </w:r>
      <w:r w:rsidRPr="00047C80">
        <w:t>, 24 FCC Rcd 2526 (2009) (extending the digital television transition deadline to June 12, 2009).  Because unencumbered use of the 700 MHz spectrum may not have been possible during the transition process, the Commission determined that licensee construction periods would not commence until June 13, 2009.</w:t>
      </w:r>
    </w:p>
  </w:footnote>
  <w:footnote w:id="11">
    <w:p w14:paraId="11A532F3" w14:textId="2FB5AC4E" w:rsidR="00591518" w:rsidRPr="00AA27C3" w:rsidRDefault="00591518" w:rsidP="00DD79CB">
      <w:pPr>
        <w:pStyle w:val="FootnoteText"/>
      </w:pPr>
      <w:r w:rsidRPr="00047C80">
        <w:rPr>
          <w:rStyle w:val="FootnoteReference"/>
        </w:rPr>
        <w:footnoteRef/>
      </w:r>
      <w:r w:rsidRPr="00047C80">
        <w:t xml:space="preserve"> </w:t>
      </w:r>
      <w:r w:rsidRPr="00047C80">
        <w:rPr>
          <w:i/>
        </w:rPr>
        <w:t xml:space="preserve">See </w:t>
      </w:r>
      <w:r w:rsidRPr="00047C80">
        <w:t>Waiver Request.</w:t>
      </w:r>
      <w:r w:rsidR="002919E2" w:rsidRPr="00047C80">
        <w:t xml:space="preserve">  On November 16, 2012, WTB issued a Public Notice seeking comment on the Waiver Request.  Wireless Telecommunications Bureau Seeks Comment on LL License Holdings, LLC Request for One Additional Year To Meet Tribal Lands Construction Requirement, WT Docket 12-339, </w:t>
      </w:r>
      <w:r w:rsidR="002919E2" w:rsidRPr="00047C80">
        <w:rPr>
          <w:i/>
        </w:rPr>
        <w:t>Public Notice</w:t>
      </w:r>
      <w:r w:rsidR="002919E2" w:rsidRPr="00DB1FE5">
        <w:t>, 27 FCC Rcd 14286 (WTB 2012).  No comments w</w:t>
      </w:r>
      <w:r w:rsidR="002919E2" w:rsidRPr="00AA27C3">
        <w:t>ere filed in response to the Public Notice.</w:t>
      </w:r>
    </w:p>
  </w:footnote>
  <w:footnote w:id="12">
    <w:p w14:paraId="156C540C" w14:textId="683BC006" w:rsidR="006C0CBB" w:rsidRPr="00DB1FE5" w:rsidRDefault="006C0CBB" w:rsidP="00DD79CB">
      <w:pPr>
        <w:pStyle w:val="FootnoteText"/>
      </w:pPr>
      <w:r w:rsidRPr="00DB1FE5">
        <w:rPr>
          <w:rStyle w:val="FootnoteReference"/>
        </w:rPr>
        <w:footnoteRef/>
      </w:r>
      <w:r w:rsidRPr="00DB1FE5">
        <w:t xml:space="preserve"> </w:t>
      </w:r>
      <w:r w:rsidRPr="00DB1FE5">
        <w:rPr>
          <w:i/>
        </w:rPr>
        <w:t>See</w:t>
      </w:r>
      <w:r w:rsidRPr="00DB1FE5">
        <w:t xml:space="preserve"> </w:t>
      </w:r>
      <w:r w:rsidR="004512D3">
        <w:t>Waiver Request</w:t>
      </w:r>
      <w:r w:rsidR="004512D3" w:rsidRPr="00047C80">
        <w:t>.</w:t>
      </w:r>
    </w:p>
  </w:footnote>
  <w:footnote w:id="13">
    <w:p w14:paraId="1A458361" w14:textId="24D90222" w:rsidR="00CD43DD" w:rsidRPr="00047C80" w:rsidRDefault="00CD43DD" w:rsidP="00DD79CB">
      <w:pPr>
        <w:pStyle w:val="FootnoteText"/>
      </w:pPr>
      <w:r w:rsidRPr="00AA27C3">
        <w:rPr>
          <w:rStyle w:val="FootnoteReference"/>
        </w:rPr>
        <w:footnoteRef/>
      </w:r>
      <w:r w:rsidRPr="00AA27C3">
        <w:t xml:space="preserve"> </w:t>
      </w:r>
      <w:r w:rsidRPr="00047C80">
        <w:rPr>
          <w:i/>
        </w:rPr>
        <w:t xml:space="preserve">See </w:t>
      </w:r>
      <w:r w:rsidRPr="00047C80">
        <w:t xml:space="preserve">Promoting Interoperability in the 700 MHz Commercial Spectrum, WT Docket 12-69, </w:t>
      </w:r>
      <w:r w:rsidRPr="00047C80">
        <w:rPr>
          <w:i/>
        </w:rPr>
        <w:t>Report and Order and Order of Proposed Modification</w:t>
      </w:r>
      <w:r w:rsidRPr="00047C80">
        <w:t>, 28 FCC Rcd 15122, 15126-7 ¶ 7 (2013) (</w:t>
      </w:r>
      <w:r w:rsidRPr="00047C80">
        <w:rPr>
          <w:i/>
        </w:rPr>
        <w:t>700 MHz Interoperability Order</w:t>
      </w:r>
      <w:r w:rsidRPr="00047C80">
        <w:t xml:space="preserve">).  </w:t>
      </w:r>
    </w:p>
  </w:footnote>
  <w:footnote w:id="14">
    <w:p w14:paraId="2F8A3545" w14:textId="2089E35C" w:rsidR="000D32C6" w:rsidRPr="00777ECE" w:rsidRDefault="000D32C6" w:rsidP="000D32C6">
      <w:pPr>
        <w:pStyle w:val="FootnoteText"/>
      </w:pPr>
      <w:r w:rsidRPr="00777ECE">
        <w:rPr>
          <w:rStyle w:val="FootnoteReference"/>
        </w:rPr>
        <w:footnoteRef/>
      </w:r>
      <w:r w:rsidRPr="00777ECE">
        <w:t xml:space="preserve"> </w:t>
      </w:r>
      <w:r w:rsidRPr="00777ECE">
        <w:rPr>
          <w:i/>
        </w:rPr>
        <w:t>See id.</w:t>
      </w:r>
      <w:r w:rsidRPr="00777ECE">
        <w:t xml:space="preserve"> at 15127 ¶ 9.  Industry band class standards for LTE are developed by 3GPP, an international partnership of industry-based telecommunications standards bodies.  A specific LTE band class standard sets out technical specifications and signaling protocol for use within a specified range of frequencies.  The differing band class standards reflect varying operating conditions within the different blocks comprising the Lower 700 MHz Band.  </w:t>
      </w:r>
      <w:r w:rsidRPr="00777ECE">
        <w:rPr>
          <w:i/>
        </w:rPr>
        <w:t>See id.</w:t>
      </w:r>
      <w:r w:rsidR="00C83C55">
        <w:t xml:space="preserve"> at</w:t>
      </w:r>
      <w:r w:rsidRPr="00777ECE">
        <w:t xml:space="preserve"> 15127 ¶¶ 8-9.</w:t>
      </w:r>
    </w:p>
  </w:footnote>
  <w:footnote w:id="15">
    <w:p w14:paraId="3621691F" w14:textId="77777777" w:rsidR="005A4CA2" w:rsidRPr="00DB1FE5" w:rsidRDefault="005A4CA2" w:rsidP="005A4CA2">
      <w:pPr>
        <w:pStyle w:val="FootnoteText"/>
      </w:pPr>
      <w:r w:rsidRPr="00DB1FE5">
        <w:rPr>
          <w:rStyle w:val="FootnoteReference"/>
        </w:rPr>
        <w:footnoteRef/>
      </w:r>
      <w:r w:rsidRPr="00DB1FE5">
        <w:t xml:space="preserve"> </w:t>
      </w:r>
      <w:r w:rsidRPr="00DB1FE5">
        <w:rPr>
          <w:i/>
        </w:rPr>
        <w:t xml:space="preserve">Id. </w:t>
      </w:r>
      <w:r w:rsidRPr="00DB1FE5">
        <w:t>at 15127-8 ¶¶ 9-10, 15146 ¶ 50.</w:t>
      </w:r>
    </w:p>
  </w:footnote>
  <w:footnote w:id="16">
    <w:p w14:paraId="49132958" w14:textId="77777777" w:rsidR="00E66D1F" w:rsidRPr="00777ECE" w:rsidRDefault="00E66D1F" w:rsidP="00E66D1F">
      <w:pPr>
        <w:pStyle w:val="FootnoteText"/>
      </w:pPr>
      <w:r w:rsidRPr="00777ECE">
        <w:rPr>
          <w:rStyle w:val="FootnoteReference"/>
        </w:rPr>
        <w:footnoteRef/>
      </w:r>
      <w:r w:rsidRPr="00777ECE">
        <w:t xml:space="preserve"> </w:t>
      </w:r>
      <w:r w:rsidRPr="00777ECE">
        <w:rPr>
          <w:i/>
        </w:rPr>
        <w:t>Id.</w:t>
      </w:r>
      <w:r w:rsidRPr="00777ECE">
        <w:t xml:space="preserve"> at 15146-7 ¶ 51.</w:t>
      </w:r>
    </w:p>
  </w:footnote>
  <w:footnote w:id="17">
    <w:p w14:paraId="5EEF97C3" w14:textId="322ED503" w:rsidR="00F51E77" w:rsidRPr="00DB1FE5" w:rsidRDefault="00F51E77" w:rsidP="00DD79CB">
      <w:pPr>
        <w:pStyle w:val="FootnoteText"/>
      </w:pPr>
      <w:r w:rsidRPr="00DB1FE5">
        <w:rPr>
          <w:rStyle w:val="FootnoteReference"/>
        </w:rPr>
        <w:footnoteRef/>
      </w:r>
      <w:r w:rsidRPr="00DB1FE5">
        <w:t xml:space="preserve"> </w:t>
      </w:r>
      <w:r w:rsidRPr="00777ECE">
        <w:t>In adopting</w:t>
      </w:r>
      <w:r w:rsidR="00E0701D" w:rsidRPr="00DB1FE5">
        <w:t xml:space="preserve"> these measures</w:t>
      </w:r>
      <w:r w:rsidRPr="00777ECE">
        <w:t>, the Commission sought to facilitate</w:t>
      </w:r>
      <w:r w:rsidRPr="00DB1FE5">
        <w:t xml:space="preserve"> a voluntary industry-derived solution </w:t>
      </w:r>
      <w:r w:rsidRPr="00777ECE">
        <w:t>designed</w:t>
      </w:r>
      <w:r w:rsidRPr="00DB1FE5">
        <w:t xml:space="preserve"> to resolve the lack of interoperability in the Lower 700 MHz band.  </w:t>
      </w:r>
      <w:r w:rsidRPr="00DB1FE5">
        <w:rPr>
          <w:i/>
        </w:rPr>
        <w:t xml:space="preserve">See id. </w:t>
      </w:r>
      <w:r w:rsidRPr="00DB1FE5">
        <w:t>at 15129 ¶ 13.</w:t>
      </w:r>
    </w:p>
  </w:footnote>
  <w:footnote w:id="18">
    <w:p w14:paraId="66D5FC57" w14:textId="206A905A" w:rsidR="001378C7" w:rsidRPr="00047C80" w:rsidRDefault="001378C7" w:rsidP="00DD79CB">
      <w:pPr>
        <w:pStyle w:val="FootnoteText"/>
      </w:pPr>
      <w:r w:rsidRPr="00AA27C3">
        <w:rPr>
          <w:rStyle w:val="FootnoteReference"/>
        </w:rPr>
        <w:footnoteRef/>
      </w:r>
      <w:r w:rsidRPr="00AA27C3">
        <w:t xml:space="preserve"> </w:t>
      </w:r>
      <w:r w:rsidRPr="00047C80">
        <w:rPr>
          <w:i/>
        </w:rPr>
        <w:t>Id.</w:t>
      </w:r>
      <w:r w:rsidRPr="00047C80">
        <w:t xml:space="preserve"> at 15150-15151 ¶¶ 61, 63.</w:t>
      </w:r>
    </w:p>
  </w:footnote>
  <w:footnote w:id="19">
    <w:p w14:paraId="0DFFB6B9" w14:textId="429739DA" w:rsidR="00DD0853" w:rsidRPr="00047C80" w:rsidRDefault="00DD0853" w:rsidP="00DD79CB">
      <w:pPr>
        <w:pStyle w:val="FootnoteText"/>
      </w:pPr>
      <w:r w:rsidRPr="00047C80">
        <w:rPr>
          <w:rStyle w:val="FootnoteReference"/>
        </w:rPr>
        <w:footnoteRef/>
      </w:r>
      <w:r w:rsidRPr="00047C80">
        <w:t xml:space="preserve"> </w:t>
      </w:r>
      <w:r w:rsidR="0008274C" w:rsidRPr="00047C80">
        <w:t>We note that</w:t>
      </w:r>
      <w:r w:rsidR="00431E84" w:rsidRPr="00047C80">
        <w:t xml:space="preserve"> during the process of revising </w:t>
      </w:r>
      <w:r w:rsidR="0008274C" w:rsidRPr="00047C80">
        <w:t xml:space="preserve">Lower 700 MHz A </w:t>
      </w:r>
      <w:r w:rsidR="002C3013" w:rsidRPr="00047C80">
        <w:t xml:space="preserve">and B </w:t>
      </w:r>
      <w:r w:rsidR="0008274C" w:rsidRPr="00047C80">
        <w:t>Block license</w:t>
      </w:r>
      <w:r w:rsidR="00AB68ED" w:rsidRPr="00047C80">
        <w:t xml:space="preserve"> records</w:t>
      </w:r>
      <w:r w:rsidR="0008274C" w:rsidRPr="00047C80">
        <w:t xml:space="preserve"> in the Commission’s Universal Licensing System database to reflect the revised interim construction deadline of</w:t>
      </w:r>
      <w:r w:rsidR="00431E84" w:rsidRPr="00047C80">
        <w:t xml:space="preserve"> December 16, 2016, LL </w:t>
      </w:r>
      <w:r w:rsidR="00F43857" w:rsidRPr="00047C80">
        <w:t xml:space="preserve">License </w:t>
      </w:r>
      <w:r w:rsidR="00431E84" w:rsidRPr="00047C80">
        <w:t xml:space="preserve">Holdings’ Waiver Request was </w:t>
      </w:r>
      <w:r w:rsidR="0008274C" w:rsidRPr="00047C80">
        <w:t xml:space="preserve">inadvertently listed </w:t>
      </w:r>
      <w:r w:rsidR="000B6975" w:rsidRPr="00047C80">
        <w:t xml:space="preserve">in the license records for WQKH490 and WQKH491 </w:t>
      </w:r>
      <w:r w:rsidR="0008274C" w:rsidRPr="00047C80">
        <w:t>as granted.</w:t>
      </w:r>
      <w:r w:rsidR="000B6975" w:rsidRPr="00047C80">
        <w:t xml:space="preserve">  However, the October 31, </w:t>
      </w:r>
      <w:r w:rsidR="00354BC0" w:rsidRPr="00047C80">
        <w:t>201</w:t>
      </w:r>
      <w:r w:rsidR="00354BC0">
        <w:t>3</w:t>
      </w:r>
      <w:r w:rsidR="00354BC0" w:rsidRPr="00047C80">
        <w:t xml:space="preserve"> </w:t>
      </w:r>
      <w:r w:rsidR="001C716D" w:rsidRPr="00047C80">
        <w:t xml:space="preserve">ULS </w:t>
      </w:r>
      <w:r w:rsidR="000B6975" w:rsidRPr="00047C80">
        <w:t xml:space="preserve">comments in File Nos. 0005204801 (WQKH490) and 0005204802 (WQKH491) clearly </w:t>
      </w:r>
      <w:r w:rsidR="00490A84">
        <w:t>state</w:t>
      </w:r>
      <w:r w:rsidR="000B6975" w:rsidRPr="00DB1FE5">
        <w:t xml:space="preserve"> that ULS changes were being made pursuant to the </w:t>
      </w:r>
      <w:r w:rsidR="000B6975" w:rsidRPr="00DB1FE5">
        <w:rPr>
          <w:i/>
        </w:rPr>
        <w:t>700 MHz Interoperability Order</w:t>
      </w:r>
      <w:r w:rsidR="00490A84">
        <w:rPr>
          <w:i/>
        </w:rPr>
        <w:t>.</w:t>
      </w:r>
      <w:r w:rsidR="000B6975" w:rsidRPr="00777ECE">
        <w:t xml:space="preserve"> </w:t>
      </w:r>
      <w:r w:rsidR="00C6446A" w:rsidRPr="00777ECE">
        <w:t xml:space="preserve">The </w:t>
      </w:r>
      <w:r w:rsidR="00C6446A" w:rsidRPr="00777ECE">
        <w:rPr>
          <w:i/>
        </w:rPr>
        <w:t xml:space="preserve">700 MHz Interoperability Order </w:t>
      </w:r>
      <w:r w:rsidR="00490A84">
        <w:t>was</w:t>
      </w:r>
      <w:r w:rsidR="00490A84" w:rsidRPr="00DB1FE5">
        <w:t xml:space="preserve"> applicable to the 700 MHz interim construction deadline only</w:t>
      </w:r>
      <w:r w:rsidR="00490A84">
        <w:t xml:space="preserve"> and</w:t>
      </w:r>
      <w:r w:rsidR="00490A84" w:rsidRPr="00047C80">
        <w:t xml:space="preserve"> </w:t>
      </w:r>
      <w:r w:rsidR="00490A84" w:rsidRPr="00DB1FE5">
        <w:t>d</w:t>
      </w:r>
      <w:r w:rsidR="00C6446A" w:rsidRPr="00DB1FE5">
        <w:t>id not address</w:t>
      </w:r>
      <w:r w:rsidR="00FB37C0" w:rsidRPr="00DB1FE5">
        <w:t xml:space="preserve"> or affect</w:t>
      </w:r>
      <w:r w:rsidR="00C6446A" w:rsidRPr="00DB1FE5">
        <w:t xml:space="preserve"> TLBC requirements.  </w:t>
      </w:r>
      <w:r w:rsidR="000B6975" w:rsidRPr="00DB1FE5">
        <w:t xml:space="preserve">We will therefore </w:t>
      </w:r>
      <w:r w:rsidR="001C716D" w:rsidRPr="00AA27C3">
        <w:t>update</w:t>
      </w:r>
      <w:r w:rsidR="000B6975" w:rsidRPr="00AA27C3">
        <w:t xml:space="preserve"> the ULS entries to reflect </w:t>
      </w:r>
      <w:r w:rsidR="000B6975" w:rsidRPr="00047C80">
        <w:t xml:space="preserve">the correct grant date of LL License Holdings’ TLBC </w:t>
      </w:r>
      <w:r w:rsidR="00F93AB7" w:rsidRPr="00047C80">
        <w:t xml:space="preserve">construction </w:t>
      </w:r>
      <w:r w:rsidR="000B6975" w:rsidRPr="00047C80">
        <w:t>extension request.</w:t>
      </w:r>
    </w:p>
  </w:footnote>
  <w:footnote w:id="20">
    <w:p w14:paraId="79EFC46E" w14:textId="77777777" w:rsidR="000B6975" w:rsidRPr="00047C80" w:rsidRDefault="000B6975" w:rsidP="000B6975">
      <w:pPr>
        <w:pStyle w:val="FootnoteText"/>
      </w:pPr>
      <w:r w:rsidRPr="00047C80">
        <w:rPr>
          <w:rStyle w:val="FootnoteReference"/>
        </w:rPr>
        <w:footnoteRef/>
      </w:r>
      <w:r w:rsidRPr="00047C80">
        <w:t xml:space="preserve"> 47 C.F.R. § 1.3.</w:t>
      </w:r>
    </w:p>
  </w:footnote>
  <w:footnote w:id="21">
    <w:p w14:paraId="60FCD2DA" w14:textId="77777777" w:rsidR="000B6975" w:rsidRPr="00047C80" w:rsidRDefault="000B6975" w:rsidP="000B6975">
      <w:pPr>
        <w:pStyle w:val="FootnoteText"/>
      </w:pPr>
      <w:r w:rsidRPr="00047C80">
        <w:rPr>
          <w:rStyle w:val="FootnoteReference"/>
        </w:rPr>
        <w:footnoteRef/>
      </w:r>
      <w:r w:rsidRPr="00047C80">
        <w:t xml:space="preserve"> </w:t>
      </w:r>
      <w:r w:rsidRPr="00047C80">
        <w:rPr>
          <w:i/>
        </w:rPr>
        <w:t>Northeast Cellular Telephone Co. v. FCC</w:t>
      </w:r>
      <w:r w:rsidRPr="00047C80">
        <w:t>, 897 F.2d 1164, 1166 (D.C. Cir. 1990) (</w:t>
      </w:r>
      <w:r w:rsidRPr="00047C80">
        <w:rPr>
          <w:i/>
        </w:rPr>
        <w:t>Northeast Cellular</w:t>
      </w:r>
      <w:r w:rsidRPr="00047C80">
        <w:t>).</w:t>
      </w:r>
    </w:p>
  </w:footnote>
  <w:footnote w:id="22">
    <w:p w14:paraId="3DDC4299" w14:textId="77777777" w:rsidR="00DD79CB" w:rsidRPr="00047C80" w:rsidRDefault="00DD79CB" w:rsidP="00DD79CB">
      <w:pPr>
        <w:pStyle w:val="FootnoteText"/>
      </w:pPr>
      <w:r w:rsidRPr="00047C80">
        <w:rPr>
          <w:rStyle w:val="FootnoteReference"/>
        </w:rPr>
        <w:footnoteRef/>
      </w:r>
      <w:r w:rsidRPr="00047C80">
        <w:t xml:space="preserve"> </w:t>
      </w:r>
      <w:r w:rsidRPr="00047C80">
        <w:rPr>
          <w:i/>
        </w:rPr>
        <w:t xml:space="preserve">See </w:t>
      </w:r>
      <w:r w:rsidRPr="00047C80">
        <w:t>47 C.F.R. § 1.925(b)(3).</w:t>
      </w:r>
    </w:p>
  </w:footnote>
  <w:footnote w:id="23">
    <w:p w14:paraId="2E5BD8E1" w14:textId="0C40658C" w:rsidR="00E93394" w:rsidRPr="00DB1FE5" w:rsidRDefault="00E93394">
      <w:pPr>
        <w:pStyle w:val="FootnoteText"/>
      </w:pPr>
      <w:r w:rsidRPr="00DB1FE5">
        <w:rPr>
          <w:rStyle w:val="FootnoteReference"/>
        </w:rPr>
        <w:footnoteRef/>
      </w:r>
      <w:r w:rsidRPr="00DB1FE5">
        <w:t xml:space="preserve"> </w:t>
      </w:r>
      <w:r w:rsidRPr="00DB1FE5">
        <w:rPr>
          <w:i/>
        </w:rPr>
        <w:t xml:space="preserve">See </w:t>
      </w:r>
      <w:r w:rsidRPr="00047C80">
        <w:t>Waiver Request</w:t>
      </w:r>
      <w:r w:rsidRPr="00DB1FE5">
        <w:t>.</w:t>
      </w:r>
    </w:p>
  </w:footnote>
  <w:footnote w:id="24">
    <w:p w14:paraId="6853CBB2" w14:textId="75BBABA3" w:rsidR="00E0701D" w:rsidRPr="00E0701D" w:rsidRDefault="00E0701D">
      <w:pPr>
        <w:pStyle w:val="FootnoteText"/>
        <w:rPr>
          <w:i/>
        </w:rPr>
      </w:pPr>
      <w:r>
        <w:rPr>
          <w:rStyle w:val="FootnoteReference"/>
        </w:rPr>
        <w:footnoteRef/>
      </w:r>
      <w:r>
        <w:t xml:space="preserve"> </w:t>
      </w:r>
      <w:r>
        <w:rPr>
          <w:i/>
        </w:rPr>
        <w:t>Id.</w:t>
      </w:r>
    </w:p>
  </w:footnote>
  <w:footnote w:id="25">
    <w:p w14:paraId="3A751935" w14:textId="6E754BC5" w:rsidR="00965FA8" w:rsidRPr="00F02CEF" w:rsidRDefault="00965FA8" w:rsidP="00047C80">
      <w:r w:rsidRPr="00DB1FE5">
        <w:rPr>
          <w:rStyle w:val="FootnoteReference"/>
        </w:rPr>
        <w:footnoteRef/>
      </w:r>
      <w:r w:rsidR="008F04DE" w:rsidRPr="00DB1FE5">
        <w:t xml:space="preserve"> </w:t>
      </w:r>
      <w:r w:rsidR="009F3363">
        <w:t>Other</w:t>
      </w:r>
      <w:r w:rsidR="009F3363" w:rsidRPr="00DB1FE5">
        <w:t xml:space="preserve"> </w:t>
      </w:r>
      <w:r w:rsidRPr="00DB1FE5">
        <w:t xml:space="preserve">TLBC-related relief </w:t>
      </w:r>
      <w:r w:rsidR="00952CC2" w:rsidRPr="00DB1FE5">
        <w:t xml:space="preserve">has been </w:t>
      </w:r>
      <w:r w:rsidRPr="00DB1FE5">
        <w:t>granted</w:t>
      </w:r>
      <w:r w:rsidR="00A52146" w:rsidRPr="00DB1FE5">
        <w:t xml:space="preserve"> where</w:t>
      </w:r>
      <w:r w:rsidR="00A52146">
        <w:t xml:space="preserve">, in addition to showing circumstances beyond their control or other </w:t>
      </w:r>
      <w:r w:rsidR="00F25C0E">
        <w:t xml:space="preserve">appropriate </w:t>
      </w:r>
      <w:r w:rsidR="00A52146">
        <w:t>public interest</w:t>
      </w:r>
      <w:r w:rsidR="00F25C0E">
        <w:t xml:space="preserve"> basis</w:t>
      </w:r>
      <w:r w:rsidR="00A52146">
        <w:t>,</w:t>
      </w:r>
      <w:r w:rsidRPr="00DB1FE5">
        <w:t xml:space="preserve"> licensees</w:t>
      </w:r>
      <w:r w:rsidR="00A52146">
        <w:t xml:space="preserve"> also</w:t>
      </w:r>
      <w:r w:rsidRPr="00DB1FE5">
        <w:t xml:space="preserve"> </w:t>
      </w:r>
      <w:r w:rsidR="00E0701D" w:rsidRPr="00DB1FE5">
        <w:t>demonstrated</w:t>
      </w:r>
      <w:r w:rsidRPr="00DB1FE5">
        <w:t xml:space="preserve"> significant investment and progress</w:t>
      </w:r>
      <w:r w:rsidR="008F04DE" w:rsidRPr="00DB1FE5">
        <w:t xml:space="preserve"> in constructing infrastructure as well as</w:t>
      </w:r>
      <w:r w:rsidRPr="00AA27C3">
        <w:t xml:space="preserve"> support of the requested relief by the applicable tribal entity</w:t>
      </w:r>
      <w:r w:rsidRPr="00777ECE">
        <w:t>.</w:t>
      </w:r>
      <w:r w:rsidRPr="00DB1FE5">
        <w:t xml:space="preserve">  </w:t>
      </w:r>
      <w:r w:rsidRPr="00DB1FE5">
        <w:rPr>
          <w:i/>
        </w:rPr>
        <w:t>See e.g.</w:t>
      </w:r>
      <w:r w:rsidRPr="00DB1FE5">
        <w:t xml:space="preserve"> DataMax, 29 FCC Rcd at 5153-54; Ronan Telephone Company, Request for Waiver and Extension of Time of Tribal Land Bidding Credit Construction Requirement for a Lower 700 MHz Band License, </w:t>
      </w:r>
      <w:r w:rsidRPr="00AA27C3">
        <w:rPr>
          <w:i/>
        </w:rPr>
        <w:t>Order</w:t>
      </w:r>
      <w:r w:rsidRPr="00047C80">
        <w:t>, 24 FCC Rcd 983 (WTB MD 2009).  We</w:t>
      </w:r>
      <w:r w:rsidRPr="00777ECE">
        <w:t xml:space="preserve"> </w:t>
      </w:r>
      <w:r w:rsidR="00497A10">
        <w:t>also</w:t>
      </w:r>
      <w:r w:rsidR="00497A10" w:rsidRPr="00DB1FE5">
        <w:t xml:space="preserve"> </w:t>
      </w:r>
      <w:r w:rsidRPr="00DB1FE5">
        <w:t xml:space="preserve">note that in its Waiver Request, LL License Holdings states that “[w]hile there have been WiMax and other types of equipment developed for the A-Block frequencies, that is not a business [it] seeks to engage in.”  </w:t>
      </w:r>
      <w:r w:rsidR="00497A10" w:rsidRPr="00DB1FE5">
        <w:t>T</w:t>
      </w:r>
      <w:r w:rsidRPr="00DB1FE5">
        <w:t xml:space="preserve">he Commission has consistently found that voluntary business decisions are not circumstances beyond the licensee’s control </w:t>
      </w:r>
      <w:r w:rsidRPr="00777ECE">
        <w:t>and</w:t>
      </w:r>
      <w:r w:rsidR="009F3363" w:rsidRPr="00DB1FE5">
        <w:t xml:space="preserve"> </w:t>
      </w:r>
      <w:r w:rsidRPr="00DB1FE5">
        <w:t xml:space="preserve">do not constitute a valid basis for regulatory relief.  </w:t>
      </w:r>
      <w:r w:rsidRPr="00DB1FE5">
        <w:rPr>
          <w:i/>
        </w:rPr>
        <w:t>See, e.g</w:t>
      </w:r>
      <w:r w:rsidRPr="00DB1FE5">
        <w:t>., Longhorn Communications Inc. Request for Waiver or Extension of Time to C</w:t>
      </w:r>
      <w:r w:rsidRPr="00AA27C3">
        <w:t xml:space="preserve">onstruct, </w:t>
      </w:r>
      <w:r w:rsidRPr="00047C80">
        <w:rPr>
          <w:i/>
        </w:rPr>
        <w:t>Order on Reconsideration</w:t>
      </w:r>
      <w:r w:rsidRPr="00047C80">
        <w:t>, 29 FCC Rcd 8200 (WTB MD 2014); Redwood Wireless Minnesota, LLC,</w:t>
      </w:r>
      <w:r w:rsidR="00922565" w:rsidRPr="00047C80">
        <w:t xml:space="preserve"> Request for a Waiver and Extension of the Broadband PCS Construction Requirements,</w:t>
      </w:r>
      <w:r w:rsidRPr="00047C80">
        <w:t xml:space="preserve"> </w:t>
      </w:r>
      <w:r w:rsidRPr="00047C80">
        <w:rPr>
          <w:i/>
        </w:rPr>
        <w:t>Order</w:t>
      </w:r>
      <w:r w:rsidRPr="00047C80">
        <w:t xml:space="preserve">, 17 FCC Rcd 22416 (WTB CWD 2002); Eldorado Communications LLC, Request for a Waiver and Extension of the Broadband PCS Construction Requirements, </w:t>
      </w:r>
      <w:r w:rsidRPr="00047C80">
        <w:rPr>
          <w:i/>
        </w:rPr>
        <w:t>Order</w:t>
      </w:r>
      <w:r w:rsidRPr="00047C80">
        <w:t xml:space="preserve">, 17 FCC Rcd 24613 (WTB </w:t>
      </w:r>
      <w:r w:rsidR="00C06F09" w:rsidRPr="00047C80">
        <w:t xml:space="preserve">CWD 2002). </w:t>
      </w:r>
      <w:r w:rsidRPr="00047C80">
        <w:t xml:space="preserve"> </w:t>
      </w:r>
      <w:r w:rsidR="00497A10">
        <w:t>As such</w:t>
      </w:r>
      <w:r w:rsidR="00497A10" w:rsidRPr="00F02CEF">
        <w:t xml:space="preserve">, this argument plays no role in our decision to provide relief here. </w:t>
      </w:r>
    </w:p>
  </w:footnote>
  <w:footnote w:id="26">
    <w:p w14:paraId="0E402D66" w14:textId="5704DD5D" w:rsidR="007B26A0" w:rsidRPr="00DB1FE5" w:rsidRDefault="007B26A0">
      <w:pPr>
        <w:pStyle w:val="FootnoteText"/>
      </w:pPr>
      <w:r w:rsidRPr="00F02CEF">
        <w:rPr>
          <w:rStyle w:val="FootnoteReference"/>
        </w:rPr>
        <w:footnoteRef/>
      </w:r>
      <w:r w:rsidRPr="00F02CEF">
        <w:t xml:space="preserve"> </w:t>
      </w:r>
      <w:r w:rsidR="00713C06" w:rsidRPr="00F02CEF">
        <w:t>The Commission initiated the</w:t>
      </w:r>
      <w:r w:rsidR="004F64A6" w:rsidRPr="00F02CEF">
        <w:t xml:space="preserve"> 700 MHz Interoperability proceeding</w:t>
      </w:r>
      <w:r w:rsidR="004F64A6" w:rsidRPr="00DB1FE5">
        <w:t xml:space="preserve"> </w:t>
      </w:r>
      <w:r w:rsidR="00713C06">
        <w:t>shortly before</w:t>
      </w:r>
      <w:r w:rsidR="004F64A6" w:rsidRPr="00DB1FE5">
        <w:t xml:space="preserve"> LL License Holdings filed its petition.</w:t>
      </w:r>
      <w:r w:rsidR="000D0A8B" w:rsidRPr="00DB1FE5">
        <w:t xml:space="preserve">  </w:t>
      </w:r>
    </w:p>
  </w:footnote>
  <w:footnote w:id="27">
    <w:p w14:paraId="00BF37FC" w14:textId="13BAF7DA" w:rsidR="00025201" w:rsidRPr="00047C80" w:rsidRDefault="00025201">
      <w:pPr>
        <w:pStyle w:val="FootnoteText"/>
      </w:pPr>
      <w:r w:rsidRPr="00AA27C3">
        <w:rPr>
          <w:rStyle w:val="FootnoteReference"/>
        </w:rPr>
        <w:footnoteRef/>
      </w:r>
      <w:r w:rsidRPr="00047C80">
        <w:t xml:space="preserve"> </w:t>
      </w:r>
      <w:r w:rsidR="009E1245" w:rsidRPr="00047C80">
        <w:rPr>
          <w:i/>
        </w:rPr>
        <w:t>See 700 MHz Interoperability Order</w:t>
      </w:r>
      <w:r w:rsidR="009E1245" w:rsidRPr="00047C80">
        <w:t>, 28 FCC Rcd at 15122-23 ¶ 1-2.</w:t>
      </w:r>
    </w:p>
  </w:footnote>
  <w:footnote w:id="28">
    <w:p w14:paraId="2EC8ACF3" w14:textId="5AA99A8B" w:rsidR="0078485B" w:rsidRPr="00047C80" w:rsidRDefault="0078485B" w:rsidP="005F7A0A">
      <w:pPr>
        <w:pStyle w:val="FootnoteText"/>
      </w:pPr>
      <w:r w:rsidRPr="00047C80">
        <w:rPr>
          <w:rStyle w:val="FootnoteReference"/>
        </w:rPr>
        <w:footnoteRef/>
      </w:r>
      <w:r w:rsidRPr="00047C80">
        <w:t xml:space="preserve"> </w:t>
      </w:r>
      <w:r w:rsidR="00D733C0" w:rsidRPr="00047C80">
        <w:t xml:space="preserve">There is no comprehensive data regarding deployment and data rates associated with mobile broadband service.  However, </w:t>
      </w:r>
      <w:r w:rsidR="0036116E" w:rsidRPr="00047C80">
        <w:t>review of data regarding fixed broadband</w:t>
      </w:r>
      <w:r w:rsidR="00D61EF5" w:rsidRPr="00047C80">
        <w:t xml:space="preserve"> indicate</w:t>
      </w:r>
      <w:r w:rsidR="0036116E" w:rsidRPr="00047C80">
        <w:t>s</w:t>
      </w:r>
      <w:r w:rsidR="00D61EF5" w:rsidRPr="00047C80">
        <w:t xml:space="preserve"> that a</w:t>
      </w:r>
      <w:r w:rsidR="005F7A0A" w:rsidRPr="00047C80">
        <w:t>pproximately 63 percent of Americans living on Tribal lands and in the U.S. Territories lack</w:t>
      </w:r>
      <w:r w:rsidR="00565FD7" w:rsidRPr="00047C80">
        <w:t>ed</w:t>
      </w:r>
      <w:r w:rsidR="005F7A0A" w:rsidRPr="00047C80">
        <w:t xml:space="preserve"> access to fixed 25 Mbps/3 Mbps or higher broadband service as compared to 17 percent of the U.S. population as a whole. </w:t>
      </w:r>
      <w:r w:rsidR="009A1961" w:rsidRPr="00047C80">
        <w:t xml:space="preserve"> </w:t>
      </w:r>
      <w:r w:rsidR="009A1961" w:rsidRPr="00047C80">
        <w:rPr>
          <w:i/>
        </w:rPr>
        <w:t>See</w:t>
      </w:r>
      <w:r w:rsidRPr="00047C80">
        <w:t xml:space="preserve"> </w:t>
      </w:r>
      <w:r w:rsidR="005F7A0A" w:rsidRPr="00047C80">
        <w:t xml:space="preserve">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GN Docket No. 14-126, </w:t>
      </w:r>
      <w:r w:rsidR="005F7A0A" w:rsidRPr="00047C80">
        <w:rPr>
          <w:i/>
        </w:rPr>
        <w:t>2015 Broadband Progress Report and Notice of Inquiry</w:t>
      </w:r>
      <w:r w:rsidR="00994027" w:rsidRPr="00047C80">
        <w:rPr>
          <w:i/>
        </w:rPr>
        <w:t xml:space="preserve"> on Immediate Action to Accelerate Deployment</w:t>
      </w:r>
      <w:r w:rsidR="00591BF6" w:rsidRPr="00047C80">
        <w:t>, FCC 15-10,</w:t>
      </w:r>
      <w:r w:rsidR="005F7A0A" w:rsidRPr="00047C80">
        <w:t xml:space="preserve"> </w:t>
      </w:r>
      <w:r w:rsidR="00994027" w:rsidRPr="00047C80">
        <w:t xml:space="preserve">44 </w:t>
      </w:r>
      <w:r w:rsidR="005F7A0A" w:rsidRPr="00047C80">
        <w:t>¶ 79 (rel. Feb. 4, 2015).</w:t>
      </w:r>
      <w:r w:rsidR="00994027" w:rsidRPr="00047C80">
        <w:t xml:space="preserve">  The Commission also found that tribal access lagged even </w:t>
      </w:r>
      <w:r w:rsidR="00D733C0" w:rsidRPr="00047C80">
        <w:t>with respect to</w:t>
      </w:r>
      <w:r w:rsidR="00994027" w:rsidRPr="00047C80">
        <w:t xml:space="preserve"> lower data rates:  approximately 25 percent of Americans living in Alaskan Villages and 33 percent of Americans living on tribal lands in the Lower 48 States are without access to fixed 3 Mbps/768 kbps service or higher.  </w:t>
      </w:r>
      <w:r w:rsidR="00762B47" w:rsidRPr="00047C80">
        <w:t xml:space="preserve">Forty-one percent of residents of Alaskan Villages and 48 percent of Americans in Tribal Lands in the Lower 48 States lack access to service at 10 Mbps/768 kbps or higher.  </w:t>
      </w:r>
      <w:r w:rsidR="00762B47" w:rsidRPr="00047C80">
        <w:rPr>
          <w:i/>
        </w:rPr>
        <w:t>Id.</w:t>
      </w:r>
    </w:p>
  </w:footnote>
  <w:footnote w:id="29">
    <w:p w14:paraId="65FE5E75" w14:textId="6FB70B5C" w:rsidR="0078485B" w:rsidRPr="00047C80" w:rsidRDefault="0078485B" w:rsidP="0078485B">
      <w:pPr>
        <w:pStyle w:val="FootnoteText"/>
      </w:pPr>
      <w:r w:rsidRPr="00047C80">
        <w:rPr>
          <w:rStyle w:val="FootnoteReference"/>
        </w:rPr>
        <w:footnoteRef/>
      </w:r>
      <w:r w:rsidRPr="00047C80">
        <w:t xml:space="preserve"> </w:t>
      </w:r>
      <w:r w:rsidRPr="00047C80">
        <w:rPr>
          <w:i/>
        </w:rPr>
        <w:t xml:space="preserve">See </w:t>
      </w:r>
      <w:r w:rsidRPr="00047C80">
        <w:t xml:space="preserve">Improving Communications Services </w:t>
      </w:r>
      <w:r w:rsidR="002B5B4E" w:rsidRPr="00047C80">
        <w:t>f</w:t>
      </w:r>
      <w:r w:rsidRPr="00047C80">
        <w:t xml:space="preserve">or Native Nations, CG Docket No. 11-41, </w:t>
      </w:r>
      <w:r w:rsidRPr="00047C80">
        <w:rPr>
          <w:i/>
        </w:rPr>
        <w:t xml:space="preserve">Notice of Inquiry, </w:t>
      </w:r>
      <w:r w:rsidRPr="00047C80">
        <w:t xml:space="preserve">26 FCC Rcd 2672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54A0" w14:textId="77777777" w:rsidR="000C507F" w:rsidRDefault="000C5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CBF31" w14:textId="6F5A7206" w:rsidR="009B3734" w:rsidRPr="00102EC0" w:rsidRDefault="009B3734" w:rsidP="00E227B8">
    <w:pPr>
      <w:pStyle w:val="Header"/>
      <w:spacing w:after="0"/>
      <w:rPr>
        <w:sz w:val="22"/>
      </w:rPr>
    </w:pPr>
    <w:r>
      <w:rPr>
        <w:sz w:val="22"/>
      </w:rPr>
      <w:t xml:space="preserve">Mr. </w:t>
    </w:r>
    <w:r w:rsidRPr="004649B1">
      <w:rPr>
        <w:sz w:val="22"/>
      </w:rPr>
      <w:t>Dirk J. Winkel</w:t>
    </w:r>
  </w:p>
  <w:p w14:paraId="750E99D8" w14:textId="2D21EF62" w:rsidR="001F4DCC" w:rsidRDefault="009B3734" w:rsidP="00E227B8">
    <w:pPr>
      <w:pStyle w:val="Header"/>
      <w:spacing w:after="0"/>
      <w:rPr>
        <w:noProof/>
        <w:sz w:val="22"/>
      </w:rPr>
    </w:pPr>
    <w:r w:rsidRPr="00102EC0">
      <w:rPr>
        <w:sz w:val="22"/>
      </w:rPr>
      <w:t xml:space="preserve">Page </w:t>
    </w:r>
    <w:r w:rsidRPr="00102EC0">
      <w:rPr>
        <w:sz w:val="22"/>
      </w:rPr>
      <w:fldChar w:fldCharType="begin"/>
    </w:r>
    <w:r w:rsidRPr="00102EC0">
      <w:rPr>
        <w:sz w:val="22"/>
      </w:rPr>
      <w:instrText xml:space="preserve"> PAGE   \* MERGEFORMAT </w:instrText>
    </w:r>
    <w:r w:rsidRPr="00102EC0">
      <w:rPr>
        <w:sz w:val="22"/>
      </w:rPr>
      <w:fldChar w:fldCharType="separate"/>
    </w:r>
    <w:r w:rsidR="00EA5C50">
      <w:rPr>
        <w:noProof/>
        <w:sz w:val="22"/>
      </w:rPr>
      <w:t>2</w:t>
    </w:r>
    <w:r w:rsidRPr="00102EC0">
      <w:rPr>
        <w:noProof/>
        <w:sz w:val="22"/>
      </w:rPr>
      <w:fldChar w:fldCharType="end"/>
    </w:r>
  </w:p>
  <w:p w14:paraId="4C30E669" w14:textId="77777777" w:rsidR="001F4DCC" w:rsidRDefault="001F4DCC" w:rsidP="009B3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B61C" w14:textId="77777777" w:rsidR="00CB23D0" w:rsidRDefault="00EA5C50" w:rsidP="00E2457A">
    <w:pPr>
      <w:pStyle w:val="Header"/>
      <w:tabs>
        <w:tab w:val="clear" w:pos="4320"/>
        <w:tab w:val="clear" w:pos="8640"/>
      </w:tabs>
      <w:spacing w:before="360" w:after="0" w:line="228" w:lineRule="auto"/>
      <w:jc w:val="center"/>
    </w:pPr>
    <w:r>
      <w:rPr>
        <w:rFonts w:ascii="CG Times (W1)" w:hAnsi="CG Times (W1)"/>
        <w:sz w:val="28"/>
      </w:rPr>
      <w:pict w14:anchorId="35AD2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49" DrawAspect="Content" ObjectID="_1486453574" r:id="rId2"/>
      </w:pict>
    </w:r>
    <w:r w:rsidR="00CB23D0">
      <w:rPr>
        <w:rFonts w:ascii="CG Times (W1)" w:hAnsi="CG Times (W1)"/>
        <w:sz w:val="28"/>
      </w:rPr>
      <w:t>Federal Communications Commission</w:t>
    </w:r>
  </w:p>
  <w:p w14:paraId="0C08A7DD" w14:textId="5F3D8E99" w:rsidR="00CB23D0" w:rsidRPr="00047C80" w:rsidRDefault="00CB23D0" w:rsidP="00E2457A">
    <w:pPr>
      <w:spacing w:after="0"/>
      <w:jc w:val="center"/>
      <w:rPr>
        <w:sz w:val="22"/>
      </w:rPr>
    </w:pPr>
    <w:r>
      <w:rPr>
        <w:rFonts w:ascii="CG Times (W1)" w:hAnsi="CG Times (W1)"/>
        <w:sz w:val="28"/>
      </w:rPr>
      <w:t>Washington, D.C. 20554</w:t>
    </w:r>
  </w:p>
  <w:p w14:paraId="18B5D40E" w14:textId="77777777" w:rsidR="00E2457A" w:rsidRDefault="00E2457A" w:rsidP="00047C80">
    <w:pPr>
      <w:pStyle w:val="Header"/>
      <w:tabs>
        <w:tab w:val="clear" w:pos="4320"/>
      </w:tabs>
      <w:spacing w:after="0"/>
      <w:jc w:val="center"/>
      <w:rPr>
        <w:sz w:val="22"/>
      </w:rPr>
    </w:pPr>
  </w:p>
  <w:p w14:paraId="431C7EB6" w14:textId="01BC95EE" w:rsidR="00CB23D0" w:rsidRPr="00E227B8" w:rsidRDefault="000B6975" w:rsidP="00047C80">
    <w:pPr>
      <w:pStyle w:val="Header"/>
      <w:tabs>
        <w:tab w:val="clear" w:pos="4320"/>
      </w:tabs>
      <w:spacing w:after="0"/>
      <w:jc w:val="center"/>
      <w:rPr>
        <w:sz w:val="22"/>
      </w:rPr>
    </w:pPr>
    <w:r w:rsidRPr="00E227B8">
      <w:rPr>
        <w:sz w:val="22"/>
      </w:rPr>
      <w:t xml:space="preserve">February </w:t>
    </w:r>
    <w:r w:rsidR="00F02CEF">
      <w:rPr>
        <w:sz w:val="22"/>
      </w:rPr>
      <w:t>26</w:t>
    </w:r>
    <w:r w:rsidRPr="00E227B8">
      <w:rPr>
        <w:sz w:val="22"/>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0EC"/>
    <w:multiLevelType w:val="hybridMultilevel"/>
    <w:tmpl w:val="42B214F2"/>
    <w:lvl w:ilvl="0" w:tplc="161C8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B439DE"/>
    <w:multiLevelType w:val="hybridMultilevel"/>
    <w:tmpl w:val="A1BACC74"/>
    <w:lvl w:ilvl="0" w:tplc="247857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B7583C"/>
    <w:multiLevelType w:val="hybridMultilevel"/>
    <w:tmpl w:val="A64636BA"/>
    <w:lvl w:ilvl="0" w:tplc="10C0EFAA">
      <w:start w:val="1"/>
      <w:numFmt w:val="decimal"/>
      <w:lvlText w:val="%1."/>
      <w:lvlJc w:val="left"/>
      <w:pPr>
        <w:ind w:left="1800" w:hanging="360"/>
      </w:pPr>
      <w:rPr>
        <w:rFonts w:ascii="Times New Roman" w:hAnsi="Times New Roman" w:cs="Times New Roman"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8D0089"/>
    <w:multiLevelType w:val="hybridMultilevel"/>
    <w:tmpl w:val="DBD0786E"/>
    <w:lvl w:ilvl="0" w:tplc="A44C9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D865A3"/>
    <w:multiLevelType w:val="hybridMultilevel"/>
    <w:tmpl w:val="2A068586"/>
    <w:lvl w:ilvl="0" w:tplc="6FE290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46391D"/>
    <w:multiLevelType w:val="hybridMultilevel"/>
    <w:tmpl w:val="57E67E7E"/>
    <w:lvl w:ilvl="0" w:tplc="4C8CF9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CE5CAB"/>
    <w:multiLevelType w:val="hybridMultilevel"/>
    <w:tmpl w:val="04603882"/>
    <w:lvl w:ilvl="0" w:tplc="DE1455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4C66871"/>
    <w:multiLevelType w:val="hybridMultilevel"/>
    <w:tmpl w:val="DAEC3C34"/>
    <w:lvl w:ilvl="0" w:tplc="68563D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E6754D0"/>
    <w:multiLevelType w:val="hybridMultilevel"/>
    <w:tmpl w:val="8A30EAE8"/>
    <w:lvl w:ilvl="0" w:tplc="161C8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0101671"/>
    <w:multiLevelType w:val="hybridMultilevel"/>
    <w:tmpl w:val="CD52570C"/>
    <w:lvl w:ilvl="0" w:tplc="8B78ED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C22154"/>
    <w:multiLevelType w:val="hybridMultilevel"/>
    <w:tmpl w:val="EE86442C"/>
    <w:lvl w:ilvl="0" w:tplc="04243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035EFF"/>
    <w:multiLevelType w:val="hybridMultilevel"/>
    <w:tmpl w:val="63D685EC"/>
    <w:lvl w:ilvl="0" w:tplc="161C8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16D27F5"/>
    <w:multiLevelType w:val="hybridMultilevel"/>
    <w:tmpl w:val="E626EE52"/>
    <w:lvl w:ilvl="0" w:tplc="161C8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50D5336"/>
    <w:multiLevelType w:val="hybridMultilevel"/>
    <w:tmpl w:val="E796F744"/>
    <w:lvl w:ilvl="0" w:tplc="FFCCDD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808223E"/>
    <w:multiLevelType w:val="hybridMultilevel"/>
    <w:tmpl w:val="2FD69B52"/>
    <w:lvl w:ilvl="0" w:tplc="61CC4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F6457"/>
    <w:multiLevelType w:val="hybridMultilevel"/>
    <w:tmpl w:val="AFCEE744"/>
    <w:lvl w:ilvl="0" w:tplc="161C8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5"/>
  </w:num>
  <w:num w:numId="3">
    <w:abstractNumId w:val="10"/>
  </w:num>
  <w:num w:numId="4">
    <w:abstractNumId w:val="0"/>
  </w:num>
  <w:num w:numId="5">
    <w:abstractNumId w:val="9"/>
  </w:num>
  <w:num w:numId="6">
    <w:abstractNumId w:val="3"/>
  </w:num>
  <w:num w:numId="7">
    <w:abstractNumId w:val="13"/>
  </w:num>
  <w:num w:numId="8">
    <w:abstractNumId w:val="7"/>
  </w:num>
  <w:num w:numId="9">
    <w:abstractNumId w:val="6"/>
  </w:num>
  <w:num w:numId="10">
    <w:abstractNumId w:val="4"/>
  </w:num>
  <w:num w:numId="11">
    <w:abstractNumId w:val="1"/>
  </w:num>
  <w:num w:numId="12">
    <w:abstractNumId w:val="15"/>
  </w:num>
  <w:num w:numId="13">
    <w:abstractNumId w:val="12"/>
  </w:num>
  <w:num w:numId="14">
    <w:abstractNumId w:val="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62"/>
    <w:rsid w:val="00001772"/>
    <w:rsid w:val="00001AF4"/>
    <w:rsid w:val="00001E71"/>
    <w:rsid w:val="00003192"/>
    <w:rsid w:val="00004C52"/>
    <w:rsid w:val="00006CFA"/>
    <w:rsid w:val="00011543"/>
    <w:rsid w:val="0001759E"/>
    <w:rsid w:val="00021DD5"/>
    <w:rsid w:val="00021F2A"/>
    <w:rsid w:val="00024A8B"/>
    <w:rsid w:val="00025201"/>
    <w:rsid w:val="00026870"/>
    <w:rsid w:val="00031B27"/>
    <w:rsid w:val="00040AA4"/>
    <w:rsid w:val="0004297C"/>
    <w:rsid w:val="00043E58"/>
    <w:rsid w:val="00047C80"/>
    <w:rsid w:val="000603F6"/>
    <w:rsid w:val="000723A2"/>
    <w:rsid w:val="00076B5A"/>
    <w:rsid w:val="00076E5C"/>
    <w:rsid w:val="000771FC"/>
    <w:rsid w:val="0008274C"/>
    <w:rsid w:val="00086411"/>
    <w:rsid w:val="00091689"/>
    <w:rsid w:val="000B00F3"/>
    <w:rsid w:val="000B61FA"/>
    <w:rsid w:val="000B6975"/>
    <w:rsid w:val="000B6B9E"/>
    <w:rsid w:val="000C4ACC"/>
    <w:rsid w:val="000C507F"/>
    <w:rsid w:val="000D0A8B"/>
    <w:rsid w:val="000D1DF4"/>
    <w:rsid w:val="000D32C6"/>
    <w:rsid w:val="000D3689"/>
    <w:rsid w:val="000D6C9B"/>
    <w:rsid w:val="000D6F8E"/>
    <w:rsid w:val="000F40DF"/>
    <w:rsid w:val="000F61E1"/>
    <w:rsid w:val="000F64C1"/>
    <w:rsid w:val="000F75D3"/>
    <w:rsid w:val="00106503"/>
    <w:rsid w:val="00124D42"/>
    <w:rsid w:val="00125D50"/>
    <w:rsid w:val="0013054C"/>
    <w:rsid w:val="001308F7"/>
    <w:rsid w:val="00131702"/>
    <w:rsid w:val="00132D15"/>
    <w:rsid w:val="00132D63"/>
    <w:rsid w:val="00134AB8"/>
    <w:rsid w:val="001378C7"/>
    <w:rsid w:val="0014432A"/>
    <w:rsid w:val="00152812"/>
    <w:rsid w:val="001638F7"/>
    <w:rsid w:val="00163F3F"/>
    <w:rsid w:val="00170C9E"/>
    <w:rsid w:val="0017621D"/>
    <w:rsid w:val="00176686"/>
    <w:rsid w:val="001835F3"/>
    <w:rsid w:val="001952DA"/>
    <w:rsid w:val="0019735B"/>
    <w:rsid w:val="001A71A6"/>
    <w:rsid w:val="001B21B5"/>
    <w:rsid w:val="001B257E"/>
    <w:rsid w:val="001B2B3D"/>
    <w:rsid w:val="001C0FC2"/>
    <w:rsid w:val="001C716D"/>
    <w:rsid w:val="001D25D9"/>
    <w:rsid w:val="001D2675"/>
    <w:rsid w:val="001D3204"/>
    <w:rsid w:val="001D3946"/>
    <w:rsid w:val="001E1C4E"/>
    <w:rsid w:val="001E77A1"/>
    <w:rsid w:val="001E7EBF"/>
    <w:rsid w:val="001F4DCC"/>
    <w:rsid w:val="001F5E8C"/>
    <w:rsid w:val="001F6239"/>
    <w:rsid w:val="002121FA"/>
    <w:rsid w:val="00220204"/>
    <w:rsid w:val="00220316"/>
    <w:rsid w:val="00235567"/>
    <w:rsid w:val="00235AD6"/>
    <w:rsid w:val="00236998"/>
    <w:rsid w:val="002377B3"/>
    <w:rsid w:val="00237B15"/>
    <w:rsid w:val="00243246"/>
    <w:rsid w:val="0024361E"/>
    <w:rsid w:val="00251349"/>
    <w:rsid w:val="0025144C"/>
    <w:rsid w:val="00274BD9"/>
    <w:rsid w:val="0027791E"/>
    <w:rsid w:val="002834FA"/>
    <w:rsid w:val="00284814"/>
    <w:rsid w:val="00290704"/>
    <w:rsid w:val="002919E2"/>
    <w:rsid w:val="00293AA3"/>
    <w:rsid w:val="0029458F"/>
    <w:rsid w:val="00296D5E"/>
    <w:rsid w:val="002A337C"/>
    <w:rsid w:val="002A7227"/>
    <w:rsid w:val="002B0F36"/>
    <w:rsid w:val="002B4E9E"/>
    <w:rsid w:val="002B5B4E"/>
    <w:rsid w:val="002C3013"/>
    <w:rsid w:val="002D1DA6"/>
    <w:rsid w:val="002D6903"/>
    <w:rsid w:val="002F1015"/>
    <w:rsid w:val="002F75C5"/>
    <w:rsid w:val="003000C3"/>
    <w:rsid w:val="0030631B"/>
    <w:rsid w:val="00325260"/>
    <w:rsid w:val="00325DA7"/>
    <w:rsid w:val="00330DB8"/>
    <w:rsid w:val="00336D52"/>
    <w:rsid w:val="003438E8"/>
    <w:rsid w:val="00343F91"/>
    <w:rsid w:val="00347DFE"/>
    <w:rsid w:val="00354BC0"/>
    <w:rsid w:val="0036116E"/>
    <w:rsid w:val="003619AE"/>
    <w:rsid w:val="003753DE"/>
    <w:rsid w:val="00375B7E"/>
    <w:rsid w:val="0039507A"/>
    <w:rsid w:val="003950D7"/>
    <w:rsid w:val="0039552E"/>
    <w:rsid w:val="003A5F04"/>
    <w:rsid w:val="003B3293"/>
    <w:rsid w:val="003B6314"/>
    <w:rsid w:val="003B7189"/>
    <w:rsid w:val="003C2AD4"/>
    <w:rsid w:val="003C50F3"/>
    <w:rsid w:val="003D2AFA"/>
    <w:rsid w:val="003D47BE"/>
    <w:rsid w:val="003D6668"/>
    <w:rsid w:val="003E12B6"/>
    <w:rsid w:val="003E59BC"/>
    <w:rsid w:val="003F630B"/>
    <w:rsid w:val="0040038B"/>
    <w:rsid w:val="004040D8"/>
    <w:rsid w:val="00406F04"/>
    <w:rsid w:val="00424140"/>
    <w:rsid w:val="00431E84"/>
    <w:rsid w:val="00435B7F"/>
    <w:rsid w:val="004454E7"/>
    <w:rsid w:val="004512D3"/>
    <w:rsid w:val="00456285"/>
    <w:rsid w:val="00463AA8"/>
    <w:rsid w:val="00463C59"/>
    <w:rsid w:val="004649B1"/>
    <w:rsid w:val="00476CBA"/>
    <w:rsid w:val="00481C21"/>
    <w:rsid w:val="00490A84"/>
    <w:rsid w:val="00492027"/>
    <w:rsid w:val="0049335B"/>
    <w:rsid w:val="00497410"/>
    <w:rsid w:val="00497A10"/>
    <w:rsid w:val="004A0583"/>
    <w:rsid w:val="004A2BF8"/>
    <w:rsid w:val="004A3074"/>
    <w:rsid w:val="004A7F8E"/>
    <w:rsid w:val="004B1C7C"/>
    <w:rsid w:val="004C1BB2"/>
    <w:rsid w:val="004C3460"/>
    <w:rsid w:val="004D434A"/>
    <w:rsid w:val="004D4441"/>
    <w:rsid w:val="004D7696"/>
    <w:rsid w:val="004D7A41"/>
    <w:rsid w:val="004E3EBD"/>
    <w:rsid w:val="004E6516"/>
    <w:rsid w:val="004F15D7"/>
    <w:rsid w:val="004F16CB"/>
    <w:rsid w:val="004F31F1"/>
    <w:rsid w:val="004F4935"/>
    <w:rsid w:val="004F5242"/>
    <w:rsid w:val="004F5CD7"/>
    <w:rsid w:val="004F64A6"/>
    <w:rsid w:val="00503465"/>
    <w:rsid w:val="00510AB8"/>
    <w:rsid w:val="005150F3"/>
    <w:rsid w:val="00515EF6"/>
    <w:rsid w:val="005309D2"/>
    <w:rsid w:val="00540F4E"/>
    <w:rsid w:val="0054186F"/>
    <w:rsid w:val="0054356A"/>
    <w:rsid w:val="0054488C"/>
    <w:rsid w:val="005452D8"/>
    <w:rsid w:val="00546807"/>
    <w:rsid w:val="005520F3"/>
    <w:rsid w:val="00565CE5"/>
    <w:rsid w:val="00565FD7"/>
    <w:rsid w:val="00566BE4"/>
    <w:rsid w:val="005734C4"/>
    <w:rsid w:val="005751A2"/>
    <w:rsid w:val="00591518"/>
    <w:rsid w:val="00591BF6"/>
    <w:rsid w:val="0059472D"/>
    <w:rsid w:val="0059731E"/>
    <w:rsid w:val="005A4CA2"/>
    <w:rsid w:val="005A65BA"/>
    <w:rsid w:val="005B3868"/>
    <w:rsid w:val="005C04A5"/>
    <w:rsid w:val="005C6484"/>
    <w:rsid w:val="005C6B90"/>
    <w:rsid w:val="005D2A9A"/>
    <w:rsid w:val="005D7775"/>
    <w:rsid w:val="005D79FE"/>
    <w:rsid w:val="005D7EC1"/>
    <w:rsid w:val="005E02D8"/>
    <w:rsid w:val="005F355E"/>
    <w:rsid w:val="005F6A62"/>
    <w:rsid w:val="005F6F7B"/>
    <w:rsid w:val="005F7A0A"/>
    <w:rsid w:val="006008A2"/>
    <w:rsid w:val="0060414D"/>
    <w:rsid w:val="00610D96"/>
    <w:rsid w:val="0061440B"/>
    <w:rsid w:val="006157AF"/>
    <w:rsid w:val="0062139B"/>
    <w:rsid w:val="0062418B"/>
    <w:rsid w:val="00627212"/>
    <w:rsid w:val="00632754"/>
    <w:rsid w:val="0064119B"/>
    <w:rsid w:val="006479D5"/>
    <w:rsid w:val="00650264"/>
    <w:rsid w:val="006507B0"/>
    <w:rsid w:val="0065661E"/>
    <w:rsid w:val="0065663B"/>
    <w:rsid w:val="00683162"/>
    <w:rsid w:val="006A0BFE"/>
    <w:rsid w:val="006A2D4B"/>
    <w:rsid w:val="006A62C0"/>
    <w:rsid w:val="006A6ADB"/>
    <w:rsid w:val="006B0060"/>
    <w:rsid w:val="006B3460"/>
    <w:rsid w:val="006B37B6"/>
    <w:rsid w:val="006B4E60"/>
    <w:rsid w:val="006C0CBB"/>
    <w:rsid w:val="006D027F"/>
    <w:rsid w:val="006D0B91"/>
    <w:rsid w:val="006D4EE7"/>
    <w:rsid w:val="006D5C2F"/>
    <w:rsid w:val="006E4496"/>
    <w:rsid w:val="006F0276"/>
    <w:rsid w:val="007127B4"/>
    <w:rsid w:val="00713C06"/>
    <w:rsid w:val="00721BAB"/>
    <w:rsid w:val="00724563"/>
    <w:rsid w:val="0074649A"/>
    <w:rsid w:val="00753BFF"/>
    <w:rsid w:val="00762B47"/>
    <w:rsid w:val="007752CA"/>
    <w:rsid w:val="00776636"/>
    <w:rsid w:val="00777ECE"/>
    <w:rsid w:val="00777FD8"/>
    <w:rsid w:val="00782EA8"/>
    <w:rsid w:val="0078485B"/>
    <w:rsid w:val="00785F54"/>
    <w:rsid w:val="0078695E"/>
    <w:rsid w:val="00786B2B"/>
    <w:rsid w:val="00787F90"/>
    <w:rsid w:val="007952B3"/>
    <w:rsid w:val="00797D5F"/>
    <w:rsid w:val="007A04CF"/>
    <w:rsid w:val="007A18C7"/>
    <w:rsid w:val="007A18E8"/>
    <w:rsid w:val="007A1BB6"/>
    <w:rsid w:val="007A58D0"/>
    <w:rsid w:val="007B06F3"/>
    <w:rsid w:val="007B26A0"/>
    <w:rsid w:val="007B3366"/>
    <w:rsid w:val="007B59AA"/>
    <w:rsid w:val="007C1685"/>
    <w:rsid w:val="007C588F"/>
    <w:rsid w:val="007C7675"/>
    <w:rsid w:val="007C7703"/>
    <w:rsid w:val="007D1A03"/>
    <w:rsid w:val="007D5686"/>
    <w:rsid w:val="007D5859"/>
    <w:rsid w:val="007E0FC5"/>
    <w:rsid w:val="007F17AF"/>
    <w:rsid w:val="007F43C5"/>
    <w:rsid w:val="007F4493"/>
    <w:rsid w:val="008017EC"/>
    <w:rsid w:val="00823184"/>
    <w:rsid w:val="00824C2E"/>
    <w:rsid w:val="00830D9C"/>
    <w:rsid w:val="008509F5"/>
    <w:rsid w:val="00852E9E"/>
    <w:rsid w:val="0085316F"/>
    <w:rsid w:val="00855D7D"/>
    <w:rsid w:val="008570A0"/>
    <w:rsid w:val="00857ADB"/>
    <w:rsid w:val="00861B65"/>
    <w:rsid w:val="008635DA"/>
    <w:rsid w:val="00864753"/>
    <w:rsid w:val="0086491E"/>
    <w:rsid w:val="00865308"/>
    <w:rsid w:val="00870B42"/>
    <w:rsid w:val="00870E1D"/>
    <w:rsid w:val="00877125"/>
    <w:rsid w:val="00880910"/>
    <w:rsid w:val="0088101C"/>
    <w:rsid w:val="008816F7"/>
    <w:rsid w:val="0088198C"/>
    <w:rsid w:val="00882B5C"/>
    <w:rsid w:val="00885D71"/>
    <w:rsid w:val="00890A3A"/>
    <w:rsid w:val="008C79CB"/>
    <w:rsid w:val="008D16A9"/>
    <w:rsid w:val="008D2D8B"/>
    <w:rsid w:val="008D633D"/>
    <w:rsid w:val="008D6EE0"/>
    <w:rsid w:val="008E1350"/>
    <w:rsid w:val="008E259B"/>
    <w:rsid w:val="008F04DE"/>
    <w:rsid w:val="008F0818"/>
    <w:rsid w:val="008F3A66"/>
    <w:rsid w:val="00901605"/>
    <w:rsid w:val="00901AF0"/>
    <w:rsid w:val="00906006"/>
    <w:rsid w:val="00907420"/>
    <w:rsid w:val="00911718"/>
    <w:rsid w:val="00921CFB"/>
    <w:rsid w:val="00922565"/>
    <w:rsid w:val="009226AF"/>
    <w:rsid w:val="00923255"/>
    <w:rsid w:val="00934109"/>
    <w:rsid w:val="00937D43"/>
    <w:rsid w:val="00952CC2"/>
    <w:rsid w:val="00952E5E"/>
    <w:rsid w:val="00955AFA"/>
    <w:rsid w:val="00965FA8"/>
    <w:rsid w:val="00971F76"/>
    <w:rsid w:val="0097525C"/>
    <w:rsid w:val="0097574F"/>
    <w:rsid w:val="00980F32"/>
    <w:rsid w:val="009852FF"/>
    <w:rsid w:val="009875BB"/>
    <w:rsid w:val="00991AD0"/>
    <w:rsid w:val="00994027"/>
    <w:rsid w:val="00996CEF"/>
    <w:rsid w:val="009A1961"/>
    <w:rsid w:val="009A27FA"/>
    <w:rsid w:val="009A34E3"/>
    <w:rsid w:val="009A5FDE"/>
    <w:rsid w:val="009B3734"/>
    <w:rsid w:val="009B40A6"/>
    <w:rsid w:val="009C71C0"/>
    <w:rsid w:val="009D1877"/>
    <w:rsid w:val="009D4CEF"/>
    <w:rsid w:val="009E1245"/>
    <w:rsid w:val="009E44C2"/>
    <w:rsid w:val="009F15D3"/>
    <w:rsid w:val="009F3363"/>
    <w:rsid w:val="00A01663"/>
    <w:rsid w:val="00A02B29"/>
    <w:rsid w:val="00A114CD"/>
    <w:rsid w:val="00A16E5C"/>
    <w:rsid w:val="00A215E0"/>
    <w:rsid w:val="00A30C65"/>
    <w:rsid w:val="00A34987"/>
    <w:rsid w:val="00A360EA"/>
    <w:rsid w:val="00A4070B"/>
    <w:rsid w:val="00A43750"/>
    <w:rsid w:val="00A4598C"/>
    <w:rsid w:val="00A52146"/>
    <w:rsid w:val="00A525C7"/>
    <w:rsid w:val="00A55FA1"/>
    <w:rsid w:val="00A57DAC"/>
    <w:rsid w:val="00A60DAB"/>
    <w:rsid w:val="00A705FF"/>
    <w:rsid w:val="00A84804"/>
    <w:rsid w:val="00A911AF"/>
    <w:rsid w:val="00A92007"/>
    <w:rsid w:val="00A93639"/>
    <w:rsid w:val="00A95FF9"/>
    <w:rsid w:val="00AA27C3"/>
    <w:rsid w:val="00AA5D07"/>
    <w:rsid w:val="00AB00BD"/>
    <w:rsid w:val="00AB5CFF"/>
    <w:rsid w:val="00AB68ED"/>
    <w:rsid w:val="00AD0050"/>
    <w:rsid w:val="00AD1A6A"/>
    <w:rsid w:val="00AD430F"/>
    <w:rsid w:val="00AD60E2"/>
    <w:rsid w:val="00AD6DA0"/>
    <w:rsid w:val="00AE0A84"/>
    <w:rsid w:val="00AF65AF"/>
    <w:rsid w:val="00AF701B"/>
    <w:rsid w:val="00B067C8"/>
    <w:rsid w:val="00B172B2"/>
    <w:rsid w:val="00B20A30"/>
    <w:rsid w:val="00B21433"/>
    <w:rsid w:val="00B27C38"/>
    <w:rsid w:val="00B33178"/>
    <w:rsid w:val="00B3355F"/>
    <w:rsid w:val="00B36B4C"/>
    <w:rsid w:val="00B45C7C"/>
    <w:rsid w:val="00B50963"/>
    <w:rsid w:val="00B601E4"/>
    <w:rsid w:val="00B60CFA"/>
    <w:rsid w:val="00B67523"/>
    <w:rsid w:val="00B71D4F"/>
    <w:rsid w:val="00B76E03"/>
    <w:rsid w:val="00B80794"/>
    <w:rsid w:val="00B8130F"/>
    <w:rsid w:val="00B81F2A"/>
    <w:rsid w:val="00B84184"/>
    <w:rsid w:val="00B8530C"/>
    <w:rsid w:val="00B85557"/>
    <w:rsid w:val="00B86EC1"/>
    <w:rsid w:val="00B90684"/>
    <w:rsid w:val="00B977A1"/>
    <w:rsid w:val="00BA3DCD"/>
    <w:rsid w:val="00BB2117"/>
    <w:rsid w:val="00BB2951"/>
    <w:rsid w:val="00BB437E"/>
    <w:rsid w:val="00BB7893"/>
    <w:rsid w:val="00BC679F"/>
    <w:rsid w:val="00BD7BE5"/>
    <w:rsid w:val="00BE3140"/>
    <w:rsid w:val="00BE33ED"/>
    <w:rsid w:val="00BE71E5"/>
    <w:rsid w:val="00BF564C"/>
    <w:rsid w:val="00C04DFD"/>
    <w:rsid w:val="00C06F09"/>
    <w:rsid w:val="00C1073F"/>
    <w:rsid w:val="00C12D46"/>
    <w:rsid w:val="00C151CE"/>
    <w:rsid w:val="00C1584A"/>
    <w:rsid w:val="00C1750C"/>
    <w:rsid w:val="00C220CE"/>
    <w:rsid w:val="00C24251"/>
    <w:rsid w:val="00C25C97"/>
    <w:rsid w:val="00C26725"/>
    <w:rsid w:val="00C42425"/>
    <w:rsid w:val="00C44FF2"/>
    <w:rsid w:val="00C55760"/>
    <w:rsid w:val="00C6446A"/>
    <w:rsid w:val="00C664EE"/>
    <w:rsid w:val="00C66935"/>
    <w:rsid w:val="00C71D69"/>
    <w:rsid w:val="00C7687E"/>
    <w:rsid w:val="00C81FF1"/>
    <w:rsid w:val="00C82171"/>
    <w:rsid w:val="00C83C55"/>
    <w:rsid w:val="00C928A9"/>
    <w:rsid w:val="00C92CF1"/>
    <w:rsid w:val="00CA1518"/>
    <w:rsid w:val="00CA3CDA"/>
    <w:rsid w:val="00CA7131"/>
    <w:rsid w:val="00CA7357"/>
    <w:rsid w:val="00CB0C2C"/>
    <w:rsid w:val="00CB23D0"/>
    <w:rsid w:val="00CB292C"/>
    <w:rsid w:val="00CB5850"/>
    <w:rsid w:val="00CB6A9F"/>
    <w:rsid w:val="00CB77AD"/>
    <w:rsid w:val="00CB7B72"/>
    <w:rsid w:val="00CC046A"/>
    <w:rsid w:val="00CC481F"/>
    <w:rsid w:val="00CD1676"/>
    <w:rsid w:val="00CD2F4C"/>
    <w:rsid w:val="00CD43DD"/>
    <w:rsid w:val="00CE36F4"/>
    <w:rsid w:val="00CF0535"/>
    <w:rsid w:val="00D160A5"/>
    <w:rsid w:val="00D22B7C"/>
    <w:rsid w:val="00D22D3B"/>
    <w:rsid w:val="00D24C45"/>
    <w:rsid w:val="00D27EB4"/>
    <w:rsid w:val="00D32C93"/>
    <w:rsid w:val="00D52229"/>
    <w:rsid w:val="00D55B43"/>
    <w:rsid w:val="00D61EF5"/>
    <w:rsid w:val="00D707BB"/>
    <w:rsid w:val="00D70A4B"/>
    <w:rsid w:val="00D70DF1"/>
    <w:rsid w:val="00D71F6E"/>
    <w:rsid w:val="00D733C0"/>
    <w:rsid w:val="00D73E11"/>
    <w:rsid w:val="00D77006"/>
    <w:rsid w:val="00D90DAC"/>
    <w:rsid w:val="00D96E6B"/>
    <w:rsid w:val="00DA132E"/>
    <w:rsid w:val="00DA2D1A"/>
    <w:rsid w:val="00DA35D2"/>
    <w:rsid w:val="00DA75B3"/>
    <w:rsid w:val="00DA7747"/>
    <w:rsid w:val="00DA7C61"/>
    <w:rsid w:val="00DB1CEF"/>
    <w:rsid w:val="00DB1FE5"/>
    <w:rsid w:val="00DB2DAA"/>
    <w:rsid w:val="00DB2F0D"/>
    <w:rsid w:val="00DD0853"/>
    <w:rsid w:val="00DD79CB"/>
    <w:rsid w:val="00DE44F7"/>
    <w:rsid w:val="00DE66AA"/>
    <w:rsid w:val="00DE728D"/>
    <w:rsid w:val="00DF2AEB"/>
    <w:rsid w:val="00E0326B"/>
    <w:rsid w:val="00E03D18"/>
    <w:rsid w:val="00E0701D"/>
    <w:rsid w:val="00E168D0"/>
    <w:rsid w:val="00E224F6"/>
    <w:rsid w:val="00E227B8"/>
    <w:rsid w:val="00E2457A"/>
    <w:rsid w:val="00E30A35"/>
    <w:rsid w:val="00E55C41"/>
    <w:rsid w:val="00E66D1F"/>
    <w:rsid w:val="00E66DCB"/>
    <w:rsid w:val="00E720EA"/>
    <w:rsid w:val="00E73A78"/>
    <w:rsid w:val="00E7605C"/>
    <w:rsid w:val="00E80D0D"/>
    <w:rsid w:val="00E84D58"/>
    <w:rsid w:val="00E85848"/>
    <w:rsid w:val="00E92B40"/>
    <w:rsid w:val="00E93394"/>
    <w:rsid w:val="00E949A8"/>
    <w:rsid w:val="00E9772D"/>
    <w:rsid w:val="00EA1B0D"/>
    <w:rsid w:val="00EA3231"/>
    <w:rsid w:val="00EA3E8D"/>
    <w:rsid w:val="00EA3FA3"/>
    <w:rsid w:val="00EA5C50"/>
    <w:rsid w:val="00EC4294"/>
    <w:rsid w:val="00ED1D78"/>
    <w:rsid w:val="00ED3CF8"/>
    <w:rsid w:val="00EE103B"/>
    <w:rsid w:val="00EE613A"/>
    <w:rsid w:val="00EE6470"/>
    <w:rsid w:val="00EF4051"/>
    <w:rsid w:val="00EF4700"/>
    <w:rsid w:val="00EF79D1"/>
    <w:rsid w:val="00F02CEF"/>
    <w:rsid w:val="00F03B29"/>
    <w:rsid w:val="00F10170"/>
    <w:rsid w:val="00F25C0E"/>
    <w:rsid w:val="00F31CA3"/>
    <w:rsid w:val="00F322BE"/>
    <w:rsid w:val="00F32A31"/>
    <w:rsid w:val="00F32E7B"/>
    <w:rsid w:val="00F3681C"/>
    <w:rsid w:val="00F428CD"/>
    <w:rsid w:val="00F43857"/>
    <w:rsid w:val="00F51E77"/>
    <w:rsid w:val="00F552A2"/>
    <w:rsid w:val="00F606D7"/>
    <w:rsid w:val="00F61245"/>
    <w:rsid w:val="00F62618"/>
    <w:rsid w:val="00F66C3D"/>
    <w:rsid w:val="00F66FED"/>
    <w:rsid w:val="00F75DA7"/>
    <w:rsid w:val="00F77C75"/>
    <w:rsid w:val="00F81E6E"/>
    <w:rsid w:val="00F821C6"/>
    <w:rsid w:val="00F8446D"/>
    <w:rsid w:val="00F8600E"/>
    <w:rsid w:val="00F93AB7"/>
    <w:rsid w:val="00F959B4"/>
    <w:rsid w:val="00FA168E"/>
    <w:rsid w:val="00FA2FCF"/>
    <w:rsid w:val="00FA32B0"/>
    <w:rsid w:val="00FB0CD6"/>
    <w:rsid w:val="00FB221E"/>
    <w:rsid w:val="00FB37C0"/>
    <w:rsid w:val="00FB7074"/>
    <w:rsid w:val="00FB7695"/>
    <w:rsid w:val="00FE2BCE"/>
    <w:rsid w:val="00FE7161"/>
    <w:rsid w:val="00FF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01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162"/>
    <w:pPr>
      <w:tabs>
        <w:tab w:val="center" w:pos="4320"/>
        <w:tab w:val="right" w:pos="8640"/>
      </w:tabs>
    </w:pPr>
  </w:style>
  <w:style w:type="character" w:customStyle="1" w:styleId="HeaderChar">
    <w:name w:val="Header Char"/>
    <w:basedOn w:val="DefaultParagraphFont"/>
    <w:link w:val="Header"/>
    <w:uiPriority w:val="99"/>
    <w:rsid w:val="00683162"/>
    <w:rPr>
      <w:rFonts w:ascii="Times New Roman" w:eastAsia="Times New Roman" w:hAnsi="Times New Roman" w:cs="Times New Roman"/>
      <w:sz w:val="20"/>
      <w:szCs w:val="20"/>
    </w:rPr>
  </w:style>
  <w:style w:type="paragraph" w:styleId="Footer">
    <w:name w:val="footer"/>
    <w:basedOn w:val="Normal"/>
    <w:link w:val="FooterChar"/>
    <w:rsid w:val="00683162"/>
    <w:pPr>
      <w:tabs>
        <w:tab w:val="center" w:pos="4320"/>
        <w:tab w:val="right" w:pos="8640"/>
      </w:tabs>
    </w:pPr>
  </w:style>
  <w:style w:type="character" w:customStyle="1" w:styleId="FooterChar">
    <w:name w:val="Footer Char"/>
    <w:basedOn w:val="DefaultParagraphFont"/>
    <w:link w:val="Footer"/>
    <w:rsid w:val="00683162"/>
    <w:rPr>
      <w:rFonts w:ascii="Times New Roman" w:eastAsia="Times New Roman" w:hAnsi="Times New Roman" w:cs="Times New Roman"/>
      <w:sz w:val="20"/>
      <w:szCs w:val="20"/>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ALTS FOOTNOTE,fn Char"/>
    <w:basedOn w:val="Normal"/>
    <w:link w:val="FootnoteTextChar"/>
    <w:uiPriority w:val="99"/>
    <w:rsid w:val="00DB1FE5"/>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ALTS FOOTNOTE Char,fn Char Char"/>
    <w:basedOn w:val="DefaultParagraphFont"/>
    <w:link w:val="FootnoteText"/>
    <w:uiPriority w:val="99"/>
    <w:rsid w:val="002834FA"/>
  </w:style>
  <w:style w:type="character" w:styleId="FootnoteReference">
    <w:name w:val="footnote reference"/>
    <w:aliases w:val="Style 12,(NECG) Footnote Reference,Style 13,Appel note de bas de p,Style 124,fr,o,Style 3,FR,Style 17,Footnote Reference/,Style 6"/>
    <w:uiPriority w:val="99"/>
    <w:rsid w:val="005F6A62"/>
    <w:rPr>
      <w:vertAlign w:val="superscript"/>
    </w:rPr>
  </w:style>
  <w:style w:type="character" w:styleId="PageNumber">
    <w:name w:val="page number"/>
    <w:basedOn w:val="DefaultParagraphFont"/>
    <w:rsid w:val="00683162"/>
  </w:style>
  <w:style w:type="character" w:styleId="CommentReference">
    <w:name w:val="annotation reference"/>
    <w:basedOn w:val="DefaultParagraphFont"/>
    <w:uiPriority w:val="99"/>
    <w:semiHidden/>
    <w:unhideWhenUsed/>
    <w:rsid w:val="00DA35D2"/>
    <w:rPr>
      <w:sz w:val="18"/>
      <w:szCs w:val="18"/>
    </w:rPr>
  </w:style>
  <w:style w:type="paragraph" w:styleId="CommentText">
    <w:name w:val="annotation text"/>
    <w:basedOn w:val="Normal"/>
    <w:link w:val="CommentTextChar"/>
    <w:uiPriority w:val="99"/>
    <w:semiHidden/>
    <w:unhideWhenUsed/>
    <w:rsid w:val="00DA35D2"/>
    <w:rPr>
      <w:sz w:val="24"/>
      <w:szCs w:val="24"/>
    </w:rPr>
  </w:style>
  <w:style w:type="character" w:customStyle="1" w:styleId="CommentTextChar">
    <w:name w:val="Comment Text Char"/>
    <w:basedOn w:val="DefaultParagraphFont"/>
    <w:link w:val="CommentText"/>
    <w:uiPriority w:val="99"/>
    <w:semiHidden/>
    <w:rsid w:val="00DA35D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35D2"/>
    <w:rPr>
      <w:b/>
      <w:bCs/>
      <w:sz w:val="20"/>
      <w:szCs w:val="20"/>
    </w:rPr>
  </w:style>
  <w:style w:type="character" w:customStyle="1" w:styleId="CommentSubjectChar">
    <w:name w:val="Comment Subject Char"/>
    <w:basedOn w:val="CommentTextChar"/>
    <w:link w:val="CommentSubject"/>
    <w:uiPriority w:val="99"/>
    <w:semiHidden/>
    <w:rsid w:val="00DA35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3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5D2"/>
    <w:rPr>
      <w:rFonts w:ascii="Lucida Grande" w:eastAsia="Times New Roman" w:hAnsi="Lucida Grande" w:cs="Lucida Grande"/>
      <w:sz w:val="18"/>
      <w:szCs w:val="18"/>
    </w:rPr>
  </w:style>
  <w:style w:type="character" w:styleId="Hyperlink">
    <w:name w:val="Hyperlink"/>
    <w:basedOn w:val="DefaultParagraphFont"/>
    <w:uiPriority w:val="99"/>
    <w:unhideWhenUsed/>
    <w:rsid w:val="00877125"/>
    <w:rPr>
      <w:color w:val="0000FF" w:themeColor="hyperlink"/>
      <w:u w:val="single"/>
    </w:rPr>
  </w:style>
  <w:style w:type="paragraph" w:styleId="ListParagraph">
    <w:name w:val="List Paragraph"/>
    <w:basedOn w:val="Normal"/>
    <w:uiPriority w:val="34"/>
    <w:qFormat/>
    <w:rsid w:val="00004C52"/>
    <w:pPr>
      <w:spacing w:after="200" w:line="276" w:lineRule="auto"/>
      <w:ind w:left="720"/>
      <w:contextualSpacing/>
    </w:pPr>
    <w:rPr>
      <w:rFonts w:asciiTheme="minorHAnsi" w:eastAsiaTheme="minorEastAsia" w:hAnsiTheme="minorHAnsi" w:cstheme="minorBidi"/>
      <w:sz w:val="22"/>
    </w:rPr>
  </w:style>
  <w:style w:type="paragraph" w:styleId="EndnoteText">
    <w:name w:val="endnote text"/>
    <w:basedOn w:val="Normal"/>
    <w:link w:val="EndnoteTextChar"/>
    <w:uiPriority w:val="99"/>
    <w:semiHidden/>
    <w:unhideWhenUsed/>
    <w:rsid w:val="005452D8"/>
  </w:style>
  <w:style w:type="character" w:customStyle="1" w:styleId="EndnoteTextChar">
    <w:name w:val="Endnote Text Char"/>
    <w:basedOn w:val="DefaultParagraphFont"/>
    <w:link w:val="EndnoteText"/>
    <w:uiPriority w:val="99"/>
    <w:semiHidden/>
    <w:rsid w:val="005452D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452D8"/>
    <w:rPr>
      <w:vertAlign w:val="superscript"/>
    </w:rPr>
  </w:style>
  <w:style w:type="paragraph" w:styleId="NoSpacing">
    <w:name w:val="No Spacing"/>
    <w:uiPriority w:val="1"/>
    <w:qFormat/>
    <w:rsid w:val="002F101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162"/>
    <w:pPr>
      <w:tabs>
        <w:tab w:val="center" w:pos="4320"/>
        <w:tab w:val="right" w:pos="8640"/>
      </w:tabs>
    </w:pPr>
  </w:style>
  <w:style w:type="character" w:customStyle="1" w:styleId="HeaderChar">
    <w:name w:val="Header Char"/>
    <w:basedOn w:val="DefaultParagraphFont"/>
    <w:link w:val="Header"/>
    <w:uiPriority w:val="99"/>
    <w:rsid w:val="00683162"/>
    <w:rPr>
      <w:rFonts w:ascii="Times New Roman" w:eastAsia="Times New Roman" w:hAnsi="Times New Roman" w:cs="Times New Roman"/>
      <w:sz w:val="20"/>
      <w:szCs w:val="20"/>
    </w:rPr>
  </w:style>
  <w:style w:type="paragraph" w:styleId="Footer">
    <w:name w:val="footer"/>
    <w:basedOn w:val="Normal"/>
    <w:link w:val="FooterChar"/>
    <w:rsid w:val="00683162"/>
    <w:pPr>
      <w:tabs>
        <w:tab w:val="center" w:pos="4320"/>
        <w:tab w:val="right" w:pos="8640"/>
      </w:tabs>
    </w:pPr>
  </w:style>
  <w:style w:type="character" w:customStyle="1" w:styleId="FooterChar">
    <w:name w:val="Footer Char"/>
    <w:basedOn w:val="DefaultParagraphFont"/>
    <w:link w:val="Footer"/>
    <w:rsid w:val="00683162"/>
    <w:rPr>
      <w:rFonts w:ascii="Times New Roman" w:eastAsia="Times New Roman" w:hAnsi="Times New Roman" w:cs="Times New Roman"/>
      <w:sz w:val="20"/>
      <w:szCs w:val="20"/>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ALTS FOOTNOTE,fn Char"/>
    <w:basedOn w:val="Normal"/>
    <w:link w:val="FootnoteTextChar"/>
    <w:uiPriority w:val="99"/>
    <w:rsid w:val="00DB1FE5"/>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ALTS FOOTNOTE Char,fn Char Char"/>
    <w:basedOn w:val="DefaultParagraphFont"/>
    <w:link w:val="FootnoteText"/>
    <w:uiPriority w:val="99"/>
    <w:rsid w:val="002834FA"/>
  </w:style>
  <w:style w:type="character" w:styleId="FootnoteReference">
    <w:name w:val="footnote reference"/>
    <w:aliases w:val="Style 12,(NECG) Footnote Reference,Style 13,Appel note de bas de p,Style 124,fr,o,Style 3,FR,Style 17,Footnote Reference/,Style 6"/>
    <w:uiPriority w:val="99"/>
    <w:rsid w:val="005F6A62"/>
    <w:rPr>
      <w:vertAlign w:val="superscript"/>
    </w:rPr>
  </w:style>
  <w:style w:type="character" w:styleId="PageNumber">
    <w:name w:val="page number"/>
    <w:basedOn w:val="DefaultParagraphFont"/>
    <w:rsid w:val="00683162"/>
  </w:style>
  <w:style w:type="character" w:styleId="CommentReference">
    <w:name w:val="annotation reference"/>
    <w:basedOn w:val="DefaultParagraphFont"/>
    <w:uiPriority w:val="99"/>
    <w:semiHidden/>
    <w:unhideWhenUsed/>
    <w:rsid w:val="00DA35D2"/>
    <w:rPr>
      <w:sz w:val="18"/>
      <w:szCs w:val="18"/>
    </w:rPr>
  </w:style>
  <w:style w:type="paragraph" w:styleId="CommentText">
    <w:name w:val="annotation text"/>
    <w:basedOn w:val="Normal"/>
    <w:link w:val="CommentTextChar"/>
    <w:uiPriority w:val="99"/>
    <w:semiHidden/>
    <w:unhideWhenUsed/>
    <w:rsid w:val="00DA35D2"/>
    <w:rPr>
      <w:sz w:val="24"/>
      <w:szCs w:val="24"/>
    </w:rPr>
  </w:style>
  <w:style w:type="character" w:customStyle="1" w:styleId="CommentTextChar">
    <w:name w:val="Comment Text Char"/>
    <w:basedOn w:val="DefaultParagraphFont"/>
    <w:link w:val="CommentText"/>
    <w:uiPriority w:val="99"/>
    <w:semiHidden/>
    <w:rsid w:val="00DA35D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35D2"/>
    <w:rPr>
      <w:b/>
      <w:bCs/>
      <w:sz w:val="20"/>
      <w:szCs w:val="20"/>
    </w:rPr>
  </w:style>
  <w:style w:type="character" w:customStyle="1" w:styleId="CommentSubjectChar">
    <w:name w:val="Comment Subject Char"/>
    <w:basedOn w:val="CommentTextChar"/>
    <w:link w:val="CommentSubject"/>
    <w:uiPriority w:val="99"/>
    <w:semiHidden/>
    <w:rsid w:val="00DA35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3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5D2"/>
    <w:rPr>
      <w:rFonts w:ascii="Lucida Grande" w:eastAsia="Times New Roman" w:hAnsi="Lucida Grande" w:cs="Lucida Grande"/>
      <w:sz w:val="18"/>
      <w:szCs w:val="18"/>
    </w:rPr>
  </w:style>
  <w:style w:type="character" w:styleId="Hyperlink">
    <w:name w:val="Hyperlink"/>
    <w:basedOn w:val="DefaultParagraphFont"/>
    <w:uiPriority w:val="99"/>
    <w:unhideWhenUsed/>
    <w:rsid w:val="00877125"/>
    <w:rPr>
      <w:color w:val="0000FF" w:themeColor="hyperlink"/>
      <w:u w:val="single"/>
    </w:rPr>
  </w:style>
  <w:style w:type="paragraph" w:styleId="ListParagraph">
    <w:name w:val="List Paragraph"/>
    <w:basedOn w:val="Normal"/>
    <w:uiPriority w:val="34"/>
    <w:qFormat/>
    <w:rsid w:val="00004C52"/>
    <w:pPr>
      <w:spacing w:after="200" w:line="276" w:lineRule="auto"/>
      <w:ind w:left="720"/>
      <w:contextualSpacing/>
    </w:pPr>
    <w:rPr>
      <w:rFonts w:asciiTheme="minorHAnsi" w:eastAsiaTheme="minorEastAsia" w:hAnsiTheme="minorHAnsi" w:cstheme="minorBidi"/>
      <w:sz w:val="22"/>
    </w:rPr>
  </w:style>
  <w:style w:type="paragraph" w:styleId="EndnoteText">
    <w:name w:val="endnote text"/>
    <w:basedOn w:val="Normal"/>
    <w:link w:val="EndnoteTextChar"/>
    <w:uiPriority w:val="99"/>
    <w:semiHidden/>
    <w:unhideWhenUsed/>
    <w:rsid w:val="005452D8"/>
  </w:style>
  <w:style w:type="character" w:customStyle="1" w:styleId="EndnoteTextChar">
    <w:name w:val="Endnote Text Char"/>
    <w:basedOn w:val="DefaultParagraphFont"/>
    <w:link w:val="EndnoteText"/>
    <w:uiPriority w:val="99"/>
    <w:semiHidden/>
    <w:rsid w:val="005452D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452D8"/>
    <w:rPr>
      <w:vertAlign w:val="superscript"/>
    </w:rPr>
  </w:style>
  <w:style w:type="paragraph" w:styleId="NoSpacing">
    <w:name w:val="No Spacing"/>
    <w:uiPriority w:val="1"/>
    <w:qFormat/>
    <w:rsid w:val="002F101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642">
      <w:bodyDiv w:val="1"/>
      <w:marLeft w:val="0"/>
      <w:marRight w:val="0"/>
      <w:marTop w:val="0"/>
      <w:marBottom w:val="0"/>
      <w:divBdr>
        <w:top w:val="none" w:sz="0" w:space="0" w:color="auto"/>
        <w:left w:val="none" w:sz="0" w:space="0" w:color="auto"/>
        <w:bottom w:val="none" w:sz="0" w:space="0" w:color="auto"/>
        <w:right w:val="none" w:sz="0" w:space="0" w:color="auto"/>
      </w:divBdr>
    </w:div>
    <w:div w:id="688678650">
      <w:bodyDiv w:val="1"/>
      <w:marLeft w:val="0"/>
      <w:marRight w:val="0"/>
      <w:marTop w:val="0"/>
      <w:marBottom w:val="0"/>
      <w:divBdr>
        <w:top w:val="none" w:sz="0" w:space="0" w:color="auto"/>
        <w:left w:val="none" w:sz="0" w:space="0" w:color="auto"/>
        <w:bottom w:val="none" w:sz="0" w:space="0" w:color="auto"/>
        <w:right w:val="none" w:sz="0" w:space="0" w:color="auto"/>
      </w:divBdr>
      <w:divsChild>
        <w:div w:id="540826685">
          <w:marLeft w:val="0"/>
          <w:marRight w:val="0"/>
          <w:marTop w:val="0"/>
          <w:marBottom w:val="0"/>
          <w:divBdr>
            <w:top w:val="none" w:sz="0" w:space="0" w:color="auto"/>
            <w:left w:val="none" w:sz="0" w:space="0" w:color="auto"/>
            <w:bottom w:val="none" w:sz="0" w:space="0" w:color="auto"/>
            <w:right w:val="none" w:sz="0" w:space="0" w:color="auto"/>
          </w:divBdr>
          <w:divsChild>
            <w:div w:id="13508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298">
      <w:bodyDiv w:val="1"/>
      <w:marLeft w:val="0"/>
      <w:marRight w:val="0"/>
      <w:marTop w:val="0"/>
      <w:marBottom w:val="0"/>
      <w:divBdr>
        <w:top w:val="none" w:sz="0" w:space="0" w:color="auto"/>
        <w:left w:val="none" w:sz="0" w:space="0" w:color="auto"/>
        <w:bottom w:val="none" w:sz="0" w:space="0" w:color="auto"/>
        <w:right w:val="none" w:sz="0" w:space="0" w:color="auto"/>
      </w:divBdr>
    </w:div>
    <w:div w:id="1125197853">
      <w:bodyDiv w:val="1"/>
      <w:marLeft w:val="0"/>
      <w:marRight w:val="0"/>
      <w:marTop w:val="0"/>
      <w:marBottom w:val="0"/>
      <w:divBdr>
        <w:top w:val="none" w:sz="0" w:space="0" w:color="auto"/>
        <w:left w:val="none" w:sz="0" w:space="0" w:color="auto"/>
        <w:bottom w:val="none" w:sz="0" w:space="0" w:color="auto"/>
        <w:right w:val="none" w:sz="0" w:space="0" w:color="auto"/>
      </w:divBdr>
    </w:div>
    <w:div w:id="1288241479">
      <w:bodyDiv w:val="1"/>
      <w:marLeft w:val="0"/>
      <w:marRight w:val="0"/>
      <w:marTop w:val="0"/>
      <w:marBottom w:val="0"/>
      <w:divBdr>
        <w:top w:val="none" w:sz="0" w:space="0" w:color="auto"/>
        <w:left w:val="none" w:sz="0" w:space="0" w:color="auto"/>
        <w:bottom w:val="none" w:sz="0" w:space="0" w:color="auto"/>
        <w:right w:val="none" w:sz="0" w:space="0" w:color="auto"/>
      </w:divBdr>
    </w:div>
    <w:div w:id="1299650210">
      <w:bodyDiv w:val="1"/>
      <w:marLeft w:val="0"/>
      <w:marRight w:val="0"/>
      <w:marTop w:val="0"/>
      <w:marBottom w:val="0"/>
      <w:divBdr>
        <w:top w:val="none" w:sz="0" w:space="0" w:color="auto"/>
        <w:left w:val="none" w:sz="0" w:space="0" w:color="auto"/>
        <w:bottom w:val="none" w:sz="0" w:space="0" w:color="auto"/>
        <w:right w:val="none" w:sz="0" w:space="0" w:color="auto"/>
      </w:divBdr>
    </w:div>
    <w:div w:id="14478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9525</Characters>
  <Application>Microsoft Office Word</Application>
  <DocSecurity>0</DocSecurity>
  <Lines>133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2015-02-25T21:18:00Z</cp:lastPrinted>
  <dcterms:created xsi:type="dcterms:W3CDTF">2015-02-26T16:00:00Z</dcterms:created>
  <dcterms:modified xsi:type="dcterms:W3CDTF">2015-02-26T16:00:00Z</dcterms:modified>
  <cp:category> </cp:category>
  <cp:contentStatus> </cp:contentStatus>
</cp:coreProperties>
</file>