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593"/>
        <w:gridCol w:w="352"/>
        <w:gridCol w:w="4523"/>
      </w:tblGrid>
      <w:tr w:rsidR="00DE5386" w14:paraId="492F6F10" w14:textId="77777777" w:rsidTr="009A462D">
        <w:trPr>
          <w:trHeight w:val="1457"/>
        </w:trPr>
        <w:tc>
          <w:tcPr>
            <w:tcW w:w="4593" w:type="dxa"/>
          </w:tcPr>
          <w:p w14:paraId="041E3F2A" w14:textId="77777777" w:rsidR="009A462D" w:rsidRDefault="009A462D" w:rsidP="009A462D">
            <w:r>
              <w:t xml:space="preserve">In the Matter of </w:t>
            </w:r>
          </w:p>
          <w:p w14:paraId="1769E0EA" w14:textId="77777777" w:rsidR="009A462D" w:rsidRDefault="009A462D" w:rsidP="009A462D"/>
          <w:p w14:paraId="0570DF9D" w14:textId="77777777" w:rsidR="001F55A1" w:rsidRPr="001F55A1" w:rsidRDefault="001F55A1" w:rsidP="001F55A1">
            <w:r w:rsidRPr="001F55A1">
              <w:t>ACS Wireless, Inc.</w:t>
            </w:r>
          </w:p>
          <w:p w14:paraId="563F41C8" w14:textId="77777777" w:rsidR="001F55A1" w:rsidRPr="001F55A1" w:rsidRDefault="001F55A1" w:rsidP="001F55A1">
            <w:r w:rsidRPr="001F55A1">
              <w:t>Registrant of Antenna Structure No. 1204036</w:t>
            </w:r>
          </w:p>
          <w:p w14:paraId="53CB74E4" w14:textId="77777777" w:rsidR="001F55A1" w:rsidRPr="001F55A1" w:rsidRDefault="001F55A1" w:rsidP="001F55A1">
            <w:smartTag w:uri="urn:schemas-microsoft-com:office:smarttags" w:element="place">
              <w:smartTag w:uri="urn:schemas-microsoft-com:office:smarttags" w:element="City">
                <w:r w:rsidRPr="001F55A1">
                  <w:t>Eagle River</w:t>
                </w:r>
              </w:smartTag>
              <w:r w:rsidRPr="001F55A1">
                <w:t xml:space="preserve">, </w:t>
              </w:r>
              <w:smartTag w:uri="urn:schemas-microsoft-com:office:smarttags" w:element="State">
                <w:r w:rsidRPr="001F55A1">
                  <w:t>Alaska</w:t>
                </w:r>
              </w:smartTag>
            </w:smartTag>
          </w:p>
          <w:p w14:paraId="329C47AD" w14:textId="77777777" w:rsidR="009A462D" w:rsidRDefault="009A462D" w:rsidP="009A462D">
            <w:pPr>
              <w:rPr>
                <w:spacing w:val="-2"/>
              </w:rPr>
            </w:pPr>
          </w:p>
        </w:tc>
        <w:tc>
          <w:tcPr>
            <w:tcW w:w="352"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1FD0C018" w14:textId="0EFCA28F" w:rsidR="006E6B64" w:rsidRPr="009A462D" w:rsidRDefault="00DE5386" w:rsidP="009A462D">
            <w:pPr>
              <w:tabs>
                <w:tab w:val="center" w:pos="4680"/>
              </w:tabs>
              <w:suppressAutoHyphens/>
              <w:spacing w:line="240" w:lineRule="atLeast"/>
              <w:jc w:val="both"/>
              <w:outlineLvl w:val="0"/>
            </w:pPr>
            <w:r>
              <w:t>)</w:t>
            </w:r>
          </w:p>
        </w:tc>
        <w:tc>
          <w:tcPr>
            <w:tcW w:w="4523" w:type="dxa"/>
          </w:tcPr>
          <w:p w14:paraId="266616D6" w14:textId="77777777" w:rsidR="00DE5386" w:rsidRDefault="00DE5386">
            <w:pPr>
              <w:rPr>
                <w:spacing w:val="-2"/>
              </w:rPr>
            </w:pPr>
          </w:p>
          <w:p w14:paraId="3586D979" w14:textId="77777777" w:rsidR="00DE5386" w:rsidRDefault="00DE5386">
            <w:pPr>
              <w:ind w:left="702"/>
              <w:rPr>
                <w:spacing w:val="-2"/>
              </w:rPr>
            </w:pPr>
          </w:p>
          <w:p w14:paraId="255AC9F4" w14:textId="77777777" w:rsidR="001F55A1" w:rsidRPr="001F55A1" w:rsidRDefault="001F55A1" w:rsidP="001F55A1">
            <w:pPr>
              <w:ind w:left="522"/>
            </w:pPr>
            <w:r w:rsidRPr="001F55A1">
              <w:t>File No.:  EB-FIELDWR-12-00005502</w:t>
            </w:r>
          </w:p>
          <w:p w14:paraId="27026CDC" w14:textId="77777777" w:rsidR="001F55A1" w:rsidRPr="001F55A1" w:rsidRDefault="001F55A1" w:rsidP="001F55A1">
            <w:pPr>
              <w:ind w:left="522"/>
            </w:pPr>
            <w:r w:rsidRPr="001F55A1">
              <w:t>NAL/Acct. No.:  201432780002</w:t>
            </w:r>
          </w:p>
          <w:p w14:paraId="2316F7E2" w14:textId="77777777" w:rsidR="001F55A1" w:rsidRPr="001F55A1" w:rsidRDefault="001F55A1" w:rsidP="001F55A1">
            <w:pPr>
              <w:ind w:left="522"/>
            </w:pPr>
            <w:r w:rsidRPr="001F55A1">
              <w:t>FRN:  0001567940</w:t>
            </w:r>
          </w:p>
          <w:p w14:paraId="7F7F1401" w14:textId="77E062EC" w:rsidR="00DE5386" w:rsidRDefault="00DE5386" w:rsidP="00A7111A"/>
        </w:tc>
      </w:tr>
    </w:tbl>
    <w:p w14:paraId="3BC486AA" w14:textId="77777777" w:rsidR="009A462D" w:rsidRPr="009A462D" w:rsidRDefault="009A462D" w:rsidP="009A462D">
      <w:pPr>
        <w:jc w:val="center"/>
        <w:rPr>
          <w:b/>
        </w:rPr>
      </w:pPr>
      <w:r w:rsidRPr="009A462D">
        <w:rPr>
          <w:b/>
        </w:rPr>
        <w:t>FORFEITURE ORDER</w:t>
      </w:r>
    </w:p>
    <w:p w14:paraId="7D6EF707" w14:textId="77777777" w:rsidR="005215D5" w:rsidRDefault="005215D5" w:rsidP="009A462D">
      <w:pPr>
        <w:jc w:val="center"/>
      </w:pPr>
    </w:p>
    <w:p w14:paraId="2507CE7E" w14:textId="333EBF6D"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E76AD8">
        <w:rPr>
          <w:b/>
        </w:rPr>
        <w:t>January 8, 2015</w:t>
      </w:r>
      <w:r>
        <w:rPr>
          <w:b/>
        </w:rPr>
        <w:tab/>
      </w:r>
      <w:r>
        <w:rPr>
          <w:b/>
        </w:rPr>
        <w:tab/>
        <w:t>Released:</w:t>
      </w:r>
      <w:r w:rsidR="00E76AD8">
        <w:rPr>
          <w:b/>
        </w:rPr>
        <w:t xml:space="preserve">  January 9, 2015</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50E8F678" w14:textId="77777777" w:rsidR="00DE5386" w:rsidRPr="002A7814" w:rsidRDefault="00DE5386" w:rsidP="00A76318">
      <w:pPr>
        <w:tabs>
          <w:tab w:val="left" w:pos="0"/>
        </w:tabs>
        <w:suppressAutoHyphens/>
        <w:spacing w:line="240" w:lineRule="atLeast"/>
        <w:rPr>
          <w:color w:val="000000"/>
          <w:spacing w:val="-2"/>
        </w:rPr>
      </w:pPr>
    </w:p>
    <w:p w14:paraId="1444420C" w14:textId="77777777" w:rsidR="00DE5386" w:rsidRPr="002A7814" w:rsidRDefault="00DE5386" w:rsidP="00F15E68">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14:paraId="19A681C8" w14:textId="4357B6D8" w:rsidR="00972009" w:rsidRPr="00671869" w:rsidRDefault="00972009" w:rsidP="00671869">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w:t>
      </w:r>
      <w:r w:rsidR="009257FC">
        <w:rPr>
          <w:color w:val="000000"/>
          <w:spacing w:val="-2"/>
        </w:rPr>
        <w:t>8</w:t>
      </w:r>
      <w:r>
        <w:rPr>
          <w:color w:val="000000"/>
          <w:spacing w:val="-2"/>
        </w:rPr>
        <w:t>,000</w:t>
      </w:r>
      <w:r w:rsidRPr="00972009">
        <w:rPr>
          <w:color w:val="000000"/>
          <w:spacing w:val="-2"/>
        </w:rPr>
        <w:t xml:space="preserve"> against </w:t>
      </w:r>
      <w:r w:rsidR="00F15E68">
        <w:rPr>
          <w:color w:val="000000"/>
          <w:spacing w:val="-2"/>
        </w:rPr>
        <w:t xml:space="preserve">ACS Wireless, Inc. (ACS) </w:t>
      </w:r>
      <w:r w:rsidRPr="00972009">
        <w:rPr>
          <w:color w:val="000000"/>
          <w:spacing w:val="-2"/>
        </w:rPr>
        <w:t xml:space="preserve">for </w:t>
      </w:r>
      <w:r>
        <w:rPr>
          <w:color w:val="000000"/>
          <w:spacing w:val="-2"/>
        </w:rPr>
        <w:t>failing to m</w:t>
      </w:r>
      <w:r w:rsidR="007531E0">
        <w:rPr>
          <w:color w:val="000000"/>
          <w:spacing w:val="-2"/>
        </w:rPr>
        <w:t xml:space="preserve">onitor and exhibit </w:t>
      </w:r>
      <w:r w:rsidR="00671869">
        <w:rPr>
          <w:color w:val="000000"/>
          <w:spacing w:val="-2"/>
        </w:rPr>
        <w:t xml:space="preserve">the required </w:t>
      </w:r>
      <w:r w:rsidR="00F15E68">
        <w:rPr>
          <w:color w:val="000000"/>
          <w:spacing w:val="-2"/>
        </w:rPr>
        <w:t xml:space="preserve">lighting on its antenna structure and </w:t>
      </w:r>
      <w:r w:rsidR="007531E0">
        <w:rPr>
          <w:color w:val="000000"/>
          <w:spacing w:val="-2"/>
        </w:rPr>
        <w:t>notify the Federal Aviation Administration</w:t>
      </w:r>
      <w:r w:rsidR="001F55A1">
        <w:rPr>
          <w:color w:val="000000"/>
          <w:spacing w:val="-2"/>
        </w:rPr>
        <w:t xml:space="preserve"> </w:t>
      </w:r>
      <w:r w:rsidR="00671869">
        <w:rPr>
          <w:color w:val="000000"/>
          <w:spacing w:val="-2"/>
        </w:rPr>
        <w:t xml:space="preserve">(FAA) of </w:t>
      </w:r>
      <w:r w:rsidR="005A1643">
        <w:rPr>
          <w:color w:val="000000"/>
          <w:spacing w:val="-2"/>
        </w:rPr>
        <w:t>a</w:t>
      </w:r>
      <w:r w:rsidR="007531E0">
        <w:rPr>
          <w:color w:val="000000"/>
          <w:spacing w:val="-2"/>
        </w:rPr>
        <w:t xml:space="preserve"> light outage</w:t>
      </w:r>
      <w:r>
        <w:rPr>
          <w:color w:val="000000"/>
          <w:spacing w:val="-2"/>
        </w:rPr>
        <w:t xml:space="preserve">. </w:t>
      </w:r>
      <w:r w:rsidR="00F900FA">
        <w:rPr>
          <w:color w:val="000000"/>
          <w:spacing w:val="-2"/>
        </w:rPr>
        <w:t xml:space="preserve"> </w:t>
      </w:r>
      <w:r w:rsidR="001F55A1">
        <w:rPr>
          <w:color w:val="000000"/>
          <w:spacing w:val="-2"/>
        </w:rPr>
        <w:t>ACS</w:t>
      </w:r>
      <w:r>
        <w:rPr>
          <w:color w:val="000000"/>
          <w:spacing w:val="-2"/>
        </w:rPr>
        <w:t xml:space="preserve"> does not deny </w:t>
      </w:r>
      <w:r w:rsidR="00D640FC">
        <w:rPr>
          <w:color w:val="000000"/>
          <w:spacing w:val="-2"/>
        </w:rPr>
        <w:t>the violations</w:t>
      </w:r>
      <w:r>
        <w:rPr>
          <w:color w:val="000000"/>
          <w:spacing w:val="-2"/>
        </w:rPr>
        <w:t>, but</w:t>
      </w:r>
      <w:r w:rsidR="00DC2EFE">
        <w:rPr>
          <w:color w:val="000000"/>
          <w:spacing w:val="-2"/>
        </w:rPr>
        <w:t xml:space="preserve"> </w:t>
      </w:r>
      <w:r w:rsidRPr="00972009">
        <w:rPr>
          <w:color w:val="000000"/>
          <w:spacing w:val="-2"/>
        </w:rPr>
        <w:t xml:space="preserve">requests </w:t>
      </w:r>
      <w:r>
        <w:rPr>
          <w:color w:val="000000"/>
          <w:spacing w:val="-2"/>
        </w:rPr>
        <w:t xml:space="preserve">that </w:t>
      </w:r>
      <w:r w:rsidR="008115F3">
        <w:rPr>
          <w:color w:val="000000"/>
          <w:spacing w:val="-2"/>
        </w:rPr>
        <w:t xml:space="preserve">we reduce </w:t>
      </w:r>
      <w:r w:rsidR="001F55A1">
        <w:rPr>
          <w:color w:val="000000"/>
          <w:spacing w:val="-2"/>
        </w:rPr>
        <w:t xml:space="preserve">or cancel </w:t>
      </w:r>
      <w:r w:rsidR="00DC2EFE">
        <w:rPr>
          <w:color w:val="000000"/>
          <w:spacing w:val="-2"/>
        </w:rPr>
        <w:t xml:space="preserve">the proposed </w:t>
      </w:r>
      <w:r w:rsidRPr="00972009">
        <w:rPr>
          <w:color w:val="000000"/>
          <w:spacing w:val="-2"/>
        </w:rPr>
        <w:t xml:space="preserve">forfeiture </w:t>
      </w:r>
      <w:r w:rsidR="00403CCA">
        <w:rPr>
          <w:color w:val="000000"/>
          <w:spacing w:val="-2"/>
        </w:rPr>
        <w:t xml:space="preserve">because </w:t>
      </w:r>
      <w:r w:rsidR="007531E0">
        <w:rPr>
          <w:color w:val="000000"/>
          <w:spacing w:val="-2"/>
        </w:rPr>
        <w:t>of its</w:t>
      </w:r>
      <w:r w:rsidR="00430434">
        <w:rPr>
          <w:color w:val="000000"/>
          <w:spacing w:val="-2"/>
        </w:rPr>
        <w:t xml:space="preserve"> </w:t>
      </w:r>
      <w:r w:rsidR="00671869">
        <w:rPr>
          <w:color w:val="000000"/>
          <w:spacing w:val="-2"/>
        </w:rPr>
        <w:t xml:space="preserve">purported </w:t>
      </w:r>
      <w:r w:rsidR="007531E0">
        <w:rPr>
          <w:color w:val="000000"/>
          <w:spacing w:val="-2"/>
        </w:rPr>
        <w:t>efforts to correct the lighting issues</w:t>
      </w:r>
      <w:r w:rsidR="001F55A1">
        <w:rPr>
          <w:color w:val="000000"/>
          <w:spacing w:val="-2"/>
        </w:rPr>
        <w:t xml:space="preserve">, its history of compliance with the </w:t>
      </w:r>
      <w:r w:rsidR="00671869">
        <w:rPr>
          <w:color w:val="000000"/>
          <w:spacing w:val="-2"/>
        </w:rPr>
        <w:t xml:space="preserve">Commission’s </w:t>
      </w:r>
      <w:r w:rsidR="001F55A1">
        <w:rPr>
          <w:color w:val="000000"/>
          <w:spacing w:val="-2"/>
        </w:rPr>
        <w:t xml:space="preserve">lighting requirements, and its </w:t>
      </w:r>
      <w:r w:rsidR="00671869">
        <w:rPr>
          <w:color w:val="000000"/>
          <w:spacing w:val="-2"/>
        </w:rPr>
        <w:t>in</w:t>
      </w:r>
      <w:r w:rsidR="001F55A1">
        <w:rPr>
          <w:color w:val="000000"/>
          <w:spacing w:val="-2"/>
        </w:rPr>
        <w:t>ability to pay the proposed forfeiture amount.</w:t>
      </w:r>
      <w:r w:rsidR="007531E0">
        <w:rPr>
          <w:color w:val="000000"/>
          <w:spacing w:val="-2"/>
        </w:rPr>
        <w:t xml:space="preserve">  </w:t>
      </w:r>
      <w:r w:rsidR="00671869">
        <w:rPr>
          <w:color w:val="000000"/>
          <w:spacing w:val="-2"/>
        </w:rPr>
        <w:t xml:space="preserve">We find no basis to reduce or cancel the proposed forfeiture based on ACS’s history of compliance or inability to pay claims, but find that a reduction is warranted </w:t>
      </w:r>
      <w:r w:rsidR="00671869" w:rsidRPr="00671869">
        <w:rPr>
          <w:color w:val="000000"/>
          <w:spacing w:val="-2"/>
        </w:rPr>
        <w:t xml:space="preserve">based on </w:t>
      </w:r>
      <w:r w:rsidR="002C5142">
        <w:rPr>
          <w:color w:val="000000"/>
          <w:spacing w:val="-2"/>
        </w:rPr>
        <w:t>ACS’s</w:t>
      </w:r>
      <w:r w:rsidR="00671869" w:rsidRPr="00671869">
        <w:rPr>
          <w:color w:val="000000"/>
          <w:spacing w:val="-2"/>
        </w:rPr>
        <w:t xml:space="preserve"> good faith efforts to comply with the </w:t>
      </w:r>
      <w:r w:rsidR="00671869">
        <w:rPr>
          <w:color w:val="000000"/>
          <w:spacing w:val="-2"/>
        </w:rPr>
        <w:t xml:space="preserve">antenna structure lighting rules </w:t>
      </w:r>
      <w:r w:rsidR="009257FC" w:rsidRPr="00671869">
        <w:rPr>
          <w:color w:val="000000"/>
          <w:spacing w:val="-2"/>
        </w:rPr>
        <w:t>prior to being</w:t>
      </w:r>
      <w:r w:rsidR="009A3B4C" w:rsidRPr="00671869">
        <w:rPr>
          <w:color w:val="000000"/>
          <w:spacing w:val="-2"/>
        </w:rPr>
        <w:t xml:space="preserve"> notified of th</w:t>
      </w:r>
      <w:r w:rsidR="00430434" w:rsidRPr="00671869">
        <w:rPr>
          <w:color w:val="000000"/>
          <w:spacing w:val="-2"/>
        </w:rPr>
        <w:t>e</w:t>
      </w:r>
      <w:r w:rsidR="002C5142">
        <w:rPr>
          <w:color w:val="000000"/>
          <w:spacing w:val="-2"/>
        </w:rPr>
        <w:t xml:space="preserve"> </w:t>
      </w:r>
      <w:r w:rsidR="009A3B4C" w:rsidRPr="00671869">
        <w:rPr>
          <w:color w:val="000000"/>
          <w:spacing w:val="-2"/>
        </w:rPr>
        <w:t>outage by FCC agent</w:t>
      </w:r>
      <w:r w:rsidR="008C1A0C" w:rsidRPr="00671869">
        <w:rPr>
          <w:color w:val="000000"/>
          <w:spacing w:val="-2"/>
        </w:rPr>
        <w:t>s</w:t>
      </w:r>
      <w:r w:rsidR="001F55A1" w:rsidRPr="00671869">
        <w:rPr>
          <w:color w:val="000000"/>
          <w:spacing w:val="-2"/>
        </w:rPr>
        <w:t>.</w:t>
      </w:r>
      <w:r w:rsidR="007531E0" w:rsidRPr="00671869">
        <w:rPr>
          <w:color w:val="000000"/>
          <w:spacing w:val="-2"/>
        </w:rPr>
        <w:t xml:space="preserve">  </w:t>
      </w:r>
    </w:p>
    <w:p w14:paraId="23CD8AB5" w14:textId="063B0EC3" w:rsidR="00DE5386" w:rsidRPr="002A7814" w:rsidRDefault="00835FE8" w:rsidP="00F15E68">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Specifically</w:t>
      </w:r>
      <w:r w:rsidR="00DE5386" w:rsidRPr="002A7814">
        <w:rPr>
          <w:color w:val="000000"/>
          <w:spacing w:val="-2"/>
        </w:rPr>
        <w:t>, we issue a monet</w:t>
      </w:r>
      <w:r>
        <w:rPr>
          <w:color w:val="000000"/>
          <w:spacing w:val="-2"/>
        </w:rPr>
        <w:t xml:space="preserve">ary forfeiture </w:t>
      </w:r>
      <w:r w:rsidR="00DE5386" w:rsidRPr="002A7814">
        <w:rPr>
          <w:color w:val="000000"/>
          <w:spacing w:val="-2"/>
        </w:rPr>
        <w:t>to</w:t>
      </w:r>
      <w:r w:rsidR="009A3B4C">
        <w:rPr>
          <w:color w:val="000000"/>
          <w:spacing w:val="-2"/>
        </w:rPr>
        <w:t xml:space="preserve"> </w:t>
      </w:r>
      <w:r w:rsidR="00BB693A">
        <w:rPr>
          <w:color w:val="000000"/>
          <w:spacing w:val="-2"/>
        </w:rPr>
        <w:t>ACS</w:t>
      </w:r>
      <w:r w:rsidR="009A3B4C" w:rsidRPr="009A3B4C">
        <w:rPr>
          <w:color w:val="000000"/>
          <w:spacing w:val="-2"/>
        </w:rPr>
        <w:t xml:space="preserve">, </w:t>
      </w:r>
      <w:r w:rsidR="00BB693A" w:rsidRPr="00BB693A">
        <w:rPr>
          <w:color w:val="000000"/>
          <w:spacing w:val="-2"/>
        </w:rPr>
        <w:t>registrant of antenna structure number 1204036 in Eagle River, Alaska</w:t>
      </w:r>
      <w:r w:rsidR="00671869">
        <w:rPr>
          <w:color w:val="000000"/>
          <w:spacing w:val="-2"/>
        </w:rPr>
        <w:t xml:space="preserve"> </w:t>
      </w:r>
      <w:r w:rsidR="00671869" w:rsidRPr="00BB693A">
        <w:rPr>
          <w:color w:val="000000"/>
          <w:spacing w:val="-2"/>
        </w:rPr>
        <w:t>(Antenna Structure)</w:t>
      </w:r>
      <w:r w:rsidR="00BB693A" w:rsidRPr="00BB693A">
        <w:rPr>
          <w:color w:val="000000"/>
          <w:spacing w:val="-2"/>
        </w:rPr>
        <w:t xml:space="preserve">, </w:t>
      </w:r>
      <w:r w:rsidR="009A3B4C">
        <w:rPr>
          <w:color w:val="000000"/>
          <w:spacing w:val="-2"/>
        </w:rPr>
        <w:t xml:space="preserve">for willfully and repeatedly </w:t>
      </w:r>
      <w:r w:rsidR="009A3B4C" w:rsidRPr="009A3B4C">
        <w:rPr>
          <w:color w:val="000000"/>
          <w:spacing w:val="-2"/>
        </w:rPr>
        <w:t>violat</w:t>
      </w:r>
      <w:r w:rsidR="009A3B4C">
        <w:rPr>
          <w:color w:val="000000"/>
          <w:spacing w:val="-2"/>
        </w:rPr>
        <w:t>ing</w:t>
      </w:r>
      <w:r w:rsidR="009A3B4C" w:rsidRPr="009A3B4C">
        <w:rPr>
          <w:color w:val="000000"/>
          <w:spacing w:val="-2"/>
        </w:rPr>
        <w:t xml:space="preserve"> Section 303(q) of the Communications Act of 1934, as amended (Act),</w:t>
      </w:r>
      <w:r w:rsidR="009A3B4C" w:rsidRPr="009A3B4C">
        <w:rPr>
          <w:color w:val="000000"/>
          <w:spacing w:val="-2"/>
          <w:vertAlign w:val="superscript"/>
        </w:rPr>
        <w:footnoteReference w:id="2"/>
      </w:r>
      <w:r w:rsidR="009A3B4C" w:rsidRPr="009A3B4C">
        <w:rPr>
          <w:color w:val="000000"/>
          <w:spacing w:val="-2"/>
        </w:rPr>
        <w:t xml:space="preserve"> and Se</w:t>
      </w:r>
      <w:r w:rsidR="00CB0E65">
        <w:rPr>
          <w:color w:val="000000"/>
          <w:spacing w:val="-2"/>
        </w:rPr>
        <w:t>ctions 17.47, 17.48, and 17.51(a</w:t>
      </w:r>
      <w:r w:rsidR="009A3B4C" w:rsidRPr="009A3B4C">
        <w:rPr>
          <w:color w:val="000000"/>
          <w:spacing w:val="-2"/>
        </w:rPr>
        <w:t>)</w:t>
      </w:r>
      <w:r w:rsidR="009A3B4C" w:rsidRPr="009A3B4C">
        <w:rPr>
          <w:b/>
          <w:color w:val="000000"/>
          <w:spacing w:val="-2"/>
        </w:rPr>
        <w:t xml:space="preserve"> </w:t>
      </w:r>
      <w:r w:rsidR="009A3B4C" w:rsidRPr="009A3B4C">
        <w:rPr>
          <w:color w:val="000000"/>
          <w:spacing w:val="-2"/>
        </w:rPr>
        <w:t>of the Commission’s rules (Rules)</w:t>
      </w:r>
      <w:r w:rsidR="00671869">
        <w:rPr>
          <w:color w:val="000000"/>
          <w:spacing w:val="-2"/>
        </w:rPr>
        <w:t>.</w:t>
      </w:r>
      <w:r w:rsidR="009A3B4C" w:rsidRPr="009A3B4C">
        <w:rPr>
          <w:color w:val="000000"/>
          <w:spacing w:val="-2"/>
          <w:vertAlign w:val="superscript"/>
        </w:rPr>
        <w:footnoteReference w:id="3"/>
      </w:r>
      <w:r w:rsidR="009A3B4C" w:rsidRPr="009A3B4C">
        <w:rPr>
          <w:color w:val="000000"/>
          <w:spacing w:val="-2"/>
        </w:rPr>
        <w:t xml:space="preserve"> </w:t>
      </w:r>
    </w:p>
    <w:p w14:paraId="1F4F0C4F" w14:textId="77777777" w:rsidR="00DE5386" w:rsidRPr="002A7814" w:rsidRDefault="00DE5386" w:rsidP="00F15E68">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14:paraId="36980246" w14:textId="10638242" w:rsidR="00DE5386" w:rsidRPr="00B175EB" w:rsidRDefault="00DE5386" w:rsidP="00F15E68">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A17FBD">
        <w:rPr>
          <w:color w:val="000000"/>
          <w:spacing w:val="-2"/>
        </w:rPr>
        <w:t>November 5,</w:t>
      </w:r>
      <w:r w:rsidR="00934211">
        <w:rPr>
          <w:color w:val="000000"/>
          <w:spacing w:val="-2"/>
        </w:rPr>
        <w:t xml:space="preserve"> 2013</w:t>
      </w:r>
      <w:r w:rsidR="0041426B">
        <w:rPr>
          <w:color w:val="000000"/>
          <w:spacing w:val="-2"/>
        </w:rPr>
        <w:t xml:space="preserve">, the </w:t>
      </w:r>
      <w:r w:rsidR="006D0CDC" w:rsidRPr="002A7814">
        <w:rPr>
          <w:color w:val="000000"/>
          <w:spacing w:val="-2"/>
        </w:rPr>
        <w:t>Enforcement Bureau’s</w:t>
      </w:r>
      <w:r w:rsidR="006D0CDC">
        <w:rPr>
          <w:color w:val="000000"/>
          <w:spacing w:val="-2"/>
        </w:rPr>
        <w:t xml:space="preserve"> Anchorage Office </w:t>
      </w:r>
      <w:r w:rsidRPr="002A7814">
        <w:rPr>
          <w:color w:val="000000"/>
          <w:spacing w:val="-2"/>
        </w:rPr>
        <w:t>issued a Notice of Apparent Liability for Forfeiture</w:t>
      </w:r>
      <w:r w:rsidR="0041426B">
        <w:rPr>
          <w:color w:val="000000"/>
          <w:spacing w:val="-2"/>
        </w:rPr>
        <w:t xml:space="preserve"> and Order</w:t>
      </w:r>
      <w:r w:rsidR="00DD1F81">
        <w:rPr>
          <w:color w:val="000000"/>
          <w:spacing w:val="-2"/>
        </w:rPr>
        <w:t xml:space="preserve"> </w:t>
      </w:r>
      <w:r w:rsidRPr="002A7814">
        <w:rPr>
          <w:color w:val="000000"/>
          <w:spacing w:val="-2"/>
        </w:rPr>
        <w:t>(</w:t>
      </w:r>
      <w:r w:rsidRPr="00E26178">
        <w:rPr>
          <w:i/>
          <w:color w:val="000000"/>
          <w:spacing w:val="-2"/>
        </w:rPr>
        <w:t>NAL</w:t>
      </w:r>
      <w:r w:rsidRPr="002A7814">
        <w:rPr>
          <w:color w:val="000000"/>
          <w:spacing w:val="-2"/>
        </w:rPr>
        <w:t>)</w:t>
      </w:r>
      <w:r w:rsidRPr="002A7814">
        <w:rPr>
          <w:rStyle w:val="FootnoteReference"/>
          <w:color w:val="000000"/>
          <w:spacing w:val="-2"/>
          <w:sz w:val="22"/>
        </w:rPr>
        <w:t xml:space="preserve"> </w:t>
      </w:r>
      <w:r w:rsidR="005511AE">
        <w:rPr>
          <w:color w:val="000000"/>
          <w:spacing w:val="-2"/>
        </w:rPr>
        <w:t>proposing a</w:t>
      </w:r>
      <w:r w:rsidR="005511AE" w:rsidRPr="002A7814">
        <w:rPr>
          <w:color w:val="000000"/>
          <w:spacing w:val="-2"/>
        </w:rPr>
        <w:t xml:space="preserve"> </w:t>
      </w:r>
      <w:r w:rsidRPr="002A7814">
        <w:rPr>
          <w:color w:val="000000"/>
          <w:spacing w:val="-2"/>
        </w:rPr>
        <w:t>$</w:t>
      </w:r>
      <w:r w:rsidR="00A17FBD">
        <w:rPr>
          <w:color w:val="000000"/>
          <w:spacing w:val="-2"/>
        </w:rPr>
        <w:t>1</w:t>
      </w:r>
      <w:r w:rsidR="009A3B4C">
        <w:rPr>
          <w:color w:val="000000"/>
          <w:spacing w:val="-2"/>
        </w:rPr>
        <w:t>0</w:t>
      </w:r>
      <w:r w:rsidR="00226B3D">
        <w:rPr>
          <w:color w:val="000000"/>
          <w:spacing w:val="-2"/>
        </w:rPr>
        <w:t>,</w:t>
      </w:r>
      <w:r w:rsidRPr="002A7814">
        <w:rPr>
          <w:color w:val="000000"/>
          <w:spacing w:val="-2"/>
        </w:rPr>
        <w:t xml:space="preserve">000 </w:t>
      </w:r>
      <w:r w:rsidR="005511AE">
        <w:rPr>
          <w:color w:val="000000"/>
          <w:spacing w:val="-2"/>
        </w:rPr>
        <w:t>forfeiture against</w:t>
      </w:r>
      <w:r w:rsidRPr="002A7814">
        <w:rPr>
          <w:color w:val="000000"/>
          <w:spacing w:val="-2"/>
        </w:rPr>
        <w:t xml:space="preserve"> </w:t>
      </w:r>
      <w:r w:rsidR="00A17FBD">
        <w:rPr>
          <w:color w:val="000000"/>
          <w:spacing w:val="-2"/>
        </w:rPr>
        <w:t>ACS</w:t>
      </w:r>
      <w:r w:rsidR="009A3B4C">
        <w:rPr>
          <w:color w:val="000000"/>
          <w:spacing w:val="-2"/>
        </w:rPr>
        <w:t xml:space="preserve"> </w:t>
      </w:r>
      <w:r w:rsidR="00FB29D6">
        <w:rPr>
          <w:color w:val="000000"/>
          <w:spacing w:val="-2"/>
        </w:rPr>
        <w:t xml:space="preserve">for failing to </w:t>
      </w:r>
      <w:r w:rsidR="009A3B4C" w:rsidRPr="009A3B4C">
        <w:rPr>
          <w:color w:val="000000"/>
          <w:spacing w:val="-2"/>
        </w:rPr>
        <w:t xml:space="preserve">monitor </w:t>
      </w:r>
      <w:r w:rsidR="009A3B4C">
        <w:rPr>
          <w:color w:val="000000"/>
          <w:spacing w:val="-2"/>
        </w:rPr>
        <w:t xml:space="preserve">the Antenna Structure’s </w:t>
      </w:r>
      <w:r w:rsidR="009A3B4C" w:rsidRPr="009A3B4C">
        <w:rPr>
          <w:color w:val="000000"/>
          <w:spacing w:val="-2"/>
        </w:rPr>
        <w:t>obstruction lighting on a daily basis or maintain a functioning alarm sy</w:t>
      </w:r>
      <w:r w:rsidR="009A3B4C">
        <w:rPr>
          <w:color w:val="000000"/>
          <w:spacing w:val="-2"/>
        </w:rPr>
        <w:t>stem;</w:t>
      </w:r>
      <w:r w:rsidR="009A3B4C" w:rsidRPr="009A3B4C">
        <w:rPr>
          <w:color w:val="000000"/>
          <w:spacing w:val="-2"/>
        </w:rPr>
        <w:t xml:space="preserve"> exhibit </w:t>
      </w:r>
      <w:r w:rsidR="009A3B4C">
        <w:rPr>
          <w:color w:val="000000"/>
          <w:spacing w:val="-2"/>
        </w:rPr>
        <w:t>the Antenna Structure’s r</w:t>
      </w:r>
      <w:r w:rsidR="009A3B4C" w:rsidRPr="009A3B4C">
        <w:rPr>
          <w:color w:val="000000"/>
          <w:spacing w:val="-2"/>
        </w:rPr>
        <w:t xml:space="preserve">equired </w:t>
      </w:r>
      <w:r w:rsidR="00A17FBD">
        <w:rPr>
          <w:color w:val="000000"/>
          <w:spacing w:val="-2"/>
        </w:rPr>
        <w:t>nighttime</w:t>
      </w:r>
      <w:r w:rsidR="009A3B4C" w:rsidRPr="009A3B4C">
        <w:rPr>
          <w:color w:val="000000"/>
          <w:spacing w:val="-2"/>
        </w:rPr>
        <w:t xml:space="preserve"> obstruction lighting</w:t>
      </w:r>
      <w:r w:rsidR="009A3B4C">
        <w:rPr>
          <w:color w:val="000000"/>
          <w:spacing w:val="-2"/>
        </w:rPr>
        <w:t>;</w:t>
      </w:r>
      <w:r w:rsidR="009A3B4C" w:rsidRPr="009A3B4C">
        <w:rPr>
          <w:color w:val="000000"/>
          <w:spacing w:val="-2"/>
        </w:rPr>
        <w:t xml:space="preserve"> and notify the FAA of a known lighting outage</w:t>
      </w:r>
      <w:r w:rsidR="009A3B4C">
        <w:rPr>
          <w:color w:val="000000"/>
          <w:spacing w:val="-2"/>
        </w:rPr>
        <w:t xml:space="preserve"> on the Antenna Structure</w:t>
      </w:r>
      <w:r w:rsidR="00226B3D">
        <w:rPr>
          <w:color w:val="000000"/>
          <w:spacing w:val="-2"/>
        </w:rPr>
        <w:t>.</w:t>
      </w:r>
      <w:r w:rsidRPr="008E5F5B">
        <w:rPr>
          <w:rStyle w:val="FootnoteReference"/>
          <w:color w:val="000000"/>
          <w:spacing w:val="-2"/>
        </w:rPr>
        <w:footnoteReference w:id="4"/>
      </w:r>
      <w:r w:rsidRPr="002A7814">
        <w:rPr>
          <w:color w:val="000000"/>
          <w:spacing w:val="-2"/>
        </w:rPr>
        <w:t xml:space="preserve">  In </w:t>
      </w:r>
      <w:r w:rsidR="005E5B28">
        <w:rPr>
          <w:color w:val="000000"/>
          <w:spacing w:val="-2"/>
        </w:rPr>
        <w:t>it</w:t>
      </w:r>
      <w:r w:rsidR="000E468A">
        <w:rPr>
          <w:color w:val="000000"/>
          <w:spacing w:val="-2"/>
        </w:rPr>
        <w:t>s</w:t>
      </w:r>
      <w:r w:rsidR="005E5B28">
        <w:rPr>
          <w:color w:val="000000"/>
          <w:spacing w:val="-2"/>
        </w:rPr>
        <w:t xml:space="preserve"> </w:t>
      </w:r>
      <w:r w:rsidR="005E5B28">
        <w:rPr>
          <w:i/>
          <w:color w:val="000000"/>
          <w:spacing w:val="-2"/>
        </w:rPr>
        <w:t>NAL Response</w:t>
      </w:r>
      <w:r w:rsidRPr="002A7814">
        <w:rPr>
          <w:color w:val="000000"/>
          <w:spacing w:val="-2"/>
        </w:rPr>
        <w:t xml:space="preserve">, </w:t>
      </w:r>
      <w:r w:rsidR="00A17FBD">
        <w:rPr>
          <w:color w:val="000000"/>
          <w:spacing w:val="-2"/>
        </w:rPr>
        <w:t>ACS</w:t>
      </w:r>
      <w:r w:rsidRPr="002A7814">
        <w:rPr>
          <w:color w:val="000000"/>
          <w:spacing w:val="-2"/>
        </w:rPr>
        <w:t xml:space="preserve"> does not </w:t>
      </w:r>
      <w:r w:rsidR="00D640FC">
        <w:rPr>
          <w:color w:val="000000"/>
          <w:spacing w:val="-2"/>
        </w:rPr>
        <w:t xml:space="preserve">dispute any of the facts nor </w:t>
      </w:r>
      <w:r w:rsidRPr="002A7814">
        <w:rPr>
          <w:color w:val="000000"/>
          <w:spacing w:val="-2"/>
        </w:rPr>
        <w:t>deny the violations, but</w:t>
      </w:r>
      <w:r w:rsidR="005E5B28">
        <w:rPr>
          <w:color w:val="000000"/>
          <w:spacing w:val="-2"/>
        </w:rPr>
        <w:t xml:space="preserve"> </w:t>
      </w:r>
      <w:r w:rsidRPr="002A7814">
        <w:rPr>
          <w:color w:val="000000"/>
          <w:spacing w:val="-2"/>
        </w:rPr>
        <w:t xml:space="preserve">requests </w:t>
      </w:r>
      <w:r w:rsidR="00226B3D">
        <w:rPr>
          <w:color w:val="000000"/>
          <w:spacing w:val="-2"/>
        </w:rPr>
        <w:t xml:space="preserve">reduction </w:t>
      </w:r>
      <w:r w:rsidR="00A17FBD">
        <w:rPr>
          <w:color w:val="000000"/>
          <w:spacing w:val="-2"/>
        </w:rPr>
        <w:t xml:space="preserve">or cancellation </w:t>
      </w:r>
      <w:r w:rsidR="000B4DF2">
        <w:rPr>
          <w:color w:val="000000"/>
          <w:spacing w:val="-2"/>
        </w:rPr>
        <w:t>of the proposed forfeiture</w:t>
      </w:r>
      <w:r w:rsidR="00D951F6">
        <w:rPr>
          <w:color w:val="000000"/>
          <w:spacing w:val="-2"/>
        </w:rPr>
        <w:t xml:space="preserve">, stating that </w:t>
      </w:r>
      <w:r w:rsidR="00DF4B5A">
        <w:rPr>
          <w:color w:val="000000"/>
          <w:spacing w:val="-2"/>
        </w:rPr>
        <w:t>“[i]mmediately upon learning of the lighting issue</w:t>
      </w:r>
      <w:r w:rsidR="00D951F6">
        <w:rPr>
          <w:color w:val="000000"/>
          <w:spacing w:val="-2"/>
        </w:rPr>
        <w:t>, ACS Wireless</w:t>
      </w:r>
      <w:r w:rsidR="00DF4B5A">
        <w:rPr>
          <w:color w:val="000000"/>
          <w:spacing w:val="-2"/>
        </w:rPr>
        <w:t xml:space="preserve"> arranged expeditious repair of the lighting o</w:t>
      </w:r>
      <w:r w:rsidR="00D951F6">
        <w:rPr>
          <w:color w:val="000000"/>
          <w:spacing w:val="-2"/>
        </w:rPr>
        <w:t>n</w:t>
      </w:r>
      <w:r w:rsidR="00DF4B5A">
        <w:rPr>
          <w:color w:val="000000"/>
          <w:spacing w:val="-2"/>
        </w:rPr>
        <w:t xml:space="preserve"> the Antenna Structure.</w:t>
      </w:r>
      <w:r w:rsidR="00647BFE">
        <w:rPr>
          <w:color w:val="000000"/>
          <w:spacing w:val="-2"/>
        </w:rPr>
        <w:t>”</w:t>
      </w:r>
      <w:r w:rsidR="00B8444B" w:rsidRPr="00B8444B">
        <w:rPr>
          <w:color w:val="000000"/>
          <w:spacing w:val="-2"/>
          <w:vertAlign w:val="superscript"/>
        </w:rPr>
        <w:footnoteReference w:id="5"/>
      </w:r>
      <w:r w:rsidR="009A3B4C">
        <w:rPr>
          <w:color w:val="000000"/>
          <w:spacing w:val="-2"/>
        </w:rPr>
        <w:t xml:space="preserve">  It</w:t>
      </w:r>
      <w:r w:rsidR="0041426B">
        <w:rPr>
          <w:color w:val="000000"/>
          <w:spacing w:val="-2"/>
        </w:rPr>
        <w:t xml:space="preserve"> also</w:t>
      </w:r>
      <w:r w:rsidR="009A3B4C">
        <w:rPr>
          <w:color w:val="000000"/>
          <w:spacing w:val="-2"/>
        </w:rPr>
        <w:t xml:space="preserve"> </w:t>
      </w:r>
      <w:r w:rsidR="00647BFE">
        <w:rPr>
          <w:color w:val="000000"/>
          <w:spacing w:val="-2"/>
        </w:rPr>
        <w:t xml:space="preserve">stated that it has </w:t>
      </w:r>
      <w:r w:rsidR="00C25105">
        <w:rPr>
          <w:color w:val="000000"/>
          <w:spacing w:val="-2"/>
        </w:rPr>
        <w:t>“</w:t>
      </w:r>
      <w:r w:rsidR="00DF4B5A">
        <w:rPr>
          <w:color w:val="000000"/>
          <w:spacing w:val="-2"/>
        </w:rPr>
        <w:t xml:space="preserve">strengthened its internal recordkeeping requirements, </w:t>
      </w:r>
      <w:r w:rsidR="00DF4B5A">
        <w:rPr>
          <w:color w:val="000000"/>
          <w:spacing w:val="-2"/>
        </w:rPr>
        <w:lastRenderedPageBreak/>
        <w:t>in order not only to monitor, but also document the status of the Antenna Struct</w:t>
      </w:r>
      <w:r w:rsidR="00C25105">
        <w:rPr>
          <w:color w:val="000000"/>
          <w:spacing w:val="-2"/>
        </w:rPr>
        <w:t>u</w:t>
      </w:r>
      <w:r w:rsidR="00DF4B5A">
        <w:rPr>
          <w:color w:val="000000"/>
          <w:spacing w:val="-2"/>
        </w:rPr>
        <w:t>re lighting on a daily basis.”</w:t>
      </w:r>
      <w:r w:rsidR="00B8444B">
        <w:rPr>
          <w:rStyle w:val="FootnoteReference"/>
          <w:color w:val="000000"/>
          <w:spacing w:val="-2"/>
        </w:rPr>
        <w:footnoteReference w:id="6"/>
      </w:r>
      <w:r w:rsidR="00B8444B">
        <w:rPr>
          <w:color w:val="000000"/>
          <w:spacing w:val="-2"/>
        </w:rPr>
        <w:t xml:space="preserve"> </w:t>
      </w:r>
      <w:r w:rsidR="00226B3D">
        <w:rPr>
          <w:color w:val="000000"/>
          <w:spacing w:val="-2"/>
        </w:rPr>
        <w:t xml:space="preserve"> </w:t>
      </w:r>
      <w:r w:rsidR="0041426B">
        <w:rPr>
          <w:color w:val="000000"/>
          <w:spacing w:val="-2"/>
        </w:rPr>
        <w:t>ACS further</w:t>
      </w:r>
      <w:r w:rsidR="002C5142">
        <w:rPr>
          <w:color w:val="000000"/>
          <w:spacing w:val="-2"/>
        </w:rPr>
        <w:t xml:space="preserve"> claims</w:t>
      </w:r>
      <w:r w:rsidR="00DF4B5A">
        <w:rPr>
          <w:color w:val="000000"/>
          <w:spacing w:val="-2"/>
        </w:rPr>
        <w:t xml:space="preserve"> th</w:t>
      </w:r>
      <w:r w:rsidR="00C25105">
        <w:rPr>
          <w:color w:val="000000"/>
          <w:spacing w:val="-2"/>
        </w:rPr>
        <w:t>a</w:t>
      </w:r>
      <w:r w:rsidR="00DF4B5A">
        <w:rPr>
          <w:color w:val="000000"/>
          <w:spacing w:val="-2"/>
        </w:rPr>
        <w:t>t it “has a long history of compliance with Section 17.47, and</w:t>
      </w:r>
      <w:r w:rsidR="00C25105">
        <w:rPr>
          <w:color w:val="000000"/>
          <w:spacing w:val="-2"/>
        </w:rPr>
        <w:t xml:space="preserve"> </w:t>
      </w:r>
      <w:r w:rsidR="00DF4B5A">
        <w:rPr>
          <w:color w:val="000000"/>
          <w:spacing w:val="-2"/>
        </w:rPr>
        <w:t>can identify no other ins</w:t>
      </w:r>
      <w:r w:rsidR="00C25105">
        <w:rPr>
          <w:color w:val="000000"/>
          <w:spacing w:val="-2"/>
        </w:rPr>
        <w:t>t</w:t>
      </w:r>
      <w:r w:rsidR="00DF4B5A">
        <w:rPr>
          <w:color w:val="000000"/>
          <w:spacing w:val="-2"/>
        </w:rPr>
        <w:t>ance in which it has been fined</w:t>
      </w:r>
      <w:r w:rsidR="00C25105">
        <w:rPr>
          <w:color w:val="000000"/>
          <w:spacing w:val="-2"/>
        </w:rPr>
        <w:t xml:space="preserve"> </w:t>
      </w:r>
      <w:r w:rsidR="00DF4B5A">
        <w:rPr>
          <w:color w:val="000000"/>
          <w:spacing w:val="-2"/>
        </w:rPr>
        <w:t>or received a notice of apparent liabil</w:t>
      </w:r>
      <w:r w:rsidR="00C25105">
        <w:rPr>
          <w:color w:val="000000"/>
          <w:spacing w:val="-2"/>
        </w:rPr>
        <w:t>i</w:t>
      </w:r>
      <w:r w:rsidR="00DF4B5A">
        <w:rPr>
          <w:color w:val="000000"/>
          <w:spacing w:val="-2"/>
        </w:rPr>
        <w:t>ty for violatio</w:t>
      </w:r>
      <w:r w:rsidR="00C25105">
        <w:rPr>
          <w:color w:val="000000"/>
          <w:spacing w:val="-2"/>
        </w:rPr>
        <w:t>n</w:t>
      </w:r>
      <w:r w:rsidR="00DF4B5A">
        <w:rPr>
          <w:color w:val="000000"/>
          <w:spacing w:val="-2"/>
        </w:rPr>
        <w:t xml:space="preserve"> of th</w:t>
      </w:r>
      <w:r w:rsidR="00C25105">
        <w:rPr>
          <w:color w:val="000000"/>
          <w:spacing w:val="-2"/>
        </w:rPr>
        <w:t>e</w:t>
      </w:r>
      <w:r w:rsidR="00DF4B5A">
        <w:rPr>
          <w:color w:val="000000"/>
          <w:spacing w:val="-2"/>
        </w:rPr>
        <w:t xml:space="preserve"> tower lighting rules.”</w:t>
      </w:r>
      <w:r w:rsidR="00DF4B5A">
        <w:rPr>
          <w:rStyle w:val="FootnoteReference"/>
          <w:color w:val="000000"/>
          <w:spacing w:val="-2"/>
        </w:rPr>
        <w:footnoteReference w:id="7"/>
      </w:r>
      <w:r w:rsidR="00DF4B5A">
        <w:rPr>
          <w:color w:val="000000"/>
          <w:spacing w:val="-2"/>
        </w:rPr>
        <w:t xml:space="preserve">  </w:t>
      </w:r>
      <w:r w:rsidR="0041426B">
        <w:rPr>
          <w:color w:val="000000"/>
          <w:spacing w:val="-2"/>
        </w:rPr>
        <w:t xml:space="preserve">In addition, ACS </w:t>
      </w:r>
      <w:r w:rsidR="00DF4B5A">
        <w:rPr>
          <w:color w:val="000000"/>
          <w:spacing w:val="-2"/>
        </w:rPr>
        <w:t>as</w:t>
      </w:r>
      <w:r w:rsidR="00C25105">
        <w:rPr>
          <w:color w:val="000000"/>
          <w:spacing w:val="-2"/>
        </w:rPr>
        <w:t>serts</w:t>
      </w:r>
      <w:r w:rsidR="00DF4B5A">
        <w:rPr>
          <w:color w:val="000000"/>
          <w:spacing w:val="-2"/>
        </w:rPr>
        <w:t xml:space="preserve"> that it has limited ability to pay the proposed forfeiture because of </w:t>
      </w:r>
      <w:r w:rsidR="0041426B">
        <w:rPr>
          <w:color w:val="000000"/>
          <w:spacing w:val="-2"/>
        </w:rPr>
        <w:t xml:space="preserve">“uncertain” future revenues following </w:t>
      </w:r>
      <w:r w:rsidR="00DF4B5A">
        <w:rPr>
          <w:color w:val="000000"/>
          <w:spacing w:val="-2"/>
        </w:rPr>
        <w:t xml:space="preserve">the formation of </w:t>
      </w:r>
      <w:r w:rsidR="00C25105">
        <w:rPr>
          <w:color w:val="000000"/>
          <w:spacing w:val="-2"/>
        </w:rPr>
        <w:t>The Ala</w:t>
      </w:r>
      <w:r w:rsidR="00DF4B5A">
        <w:rPr>
          <w:color w:val="000000"/>
          <w:spacing w:val="-2"/>
        </w:rPr>
        <w:t>s</w:t>
      </w:r>
      <w:r w:rsidR="0041426B">
        <w:rPr>
          <w:color w:val="000000"/>
          <w:spacing w:val="-2"/>
        </w:rPr>
        <w:t xml:space="preserve">ka Wireless Network, LLC, which </w:t>
      </w:r>
      <w:r w:rsidR="00DF4B5A">
        <w:rPr>
          <w:color w:val="000000"/>
          <w:spacing w:val="-2"/>
        </w:rPr>
        <w:t>com</w:t>
      </w:r>
      <w:r w:rsidR="00C25105">
        <w:rPr>
          <w:color w:val="000000"/>
          <w:spacing w:val="-2"/>
        </w:rPr>
        <w:t>b</w:t>
      </w:r>
      <w:r w:rsidR="00DF4B5A">
        <w:rPr>
          <w:color w:val="000000"/>
          <w:spacing w:val="-2"/>
        </w:rPr>
        <w:t xml:space="preserve">ined </w:t>
      </w:r>
      <w:r w:rsidR="00A30680">
        <w:rPr>
          <w:color w:val="000000"/>
          <w:spacing w:val="-2"/>
        </w:rPr>
        <w:t xml:space="preserve">much of </w:t>
      </w:r>
      <w:r w:rsidR="00DF4B5A">
        <w:rPr>
          <w:color w:val="000000"/>
          <w:spacing w:val="-2"/>
        </w:rPr>
        <w:t>the wireless infrastruc</w:t>
      </w:r>
      <w:r w:rsidR="00C25105">
        <w:rPr>
          <w:color w:val="000000"/>
          <w:spacing w:val="-2"/>
        </w:rPr>
        <w:t>t</w:t>
      </w:r>
      <w:r w:rsidR="00DF4B5A">
        <w:rPr>
          <w:color w:val="000000"/>
          <w:spacing w:val="-2"/>
        </w:rPr>
        <w:t>ures of ACS and General Com</w:t>
      </w:r>
      <w:r w:rsidR="0041426B">
        <w:rPr>
          <w:color w:val="000000"/>
          <w:spacing w:val="-2"/>
        </w:rPr>
        <w:t>munications, Inc</w:t>
      </w:r>
      <w:r w:rsidR="00DF4B5A">
        <w:rPr>
          <w:color w:val="000000"/>
          <w:spacing w:val="-2"/>
        </w:rPr>
        <w:t>.</w:t>
      </w:r>
      <w:r w:rsidR="00DF4B5A">
        <w:rPr>
          <w:rStyle w:val="FootnoteReference"/>
          <w:color w:val="000000"/>
          <w:spacing w:val="-2"/>
        </w:rPr>
        <w:footnoteReference w:id="8"/>
      </w:r>
      <w:r w:rsidRPr="00B175EB">
        <w:rPr>
          <w:color w:val="000000"/>
          <w:spacing w:val="-2"/>
        </w:rPr>
        <w:t xml:space="preserve">    </w:t>
      </w:r>
    </w:p>
    <w:p w14:paraId="009C0D87" w14:textId="77777777" w:rsidR="00DE5386" w:rsidRPr="002A7814" w:rsidRDefault="00DE5386" w:rsidP="00F15E68">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14:paraId="7DBF9C33" w14:textId="77103026" w:rsidR="001C0059" w:rsidRDefault="001C0059" w:rsidP="00F15E68">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w:t>
      </w:r>
      <w:r w:rsidR="008F3DBE">
        <w:rPr>
          <w:color w:val="000000"/>
          <w:spacing w:val="-2"/>
        </w:rPr>
        <w:t xml:space="preserve">ance with Section 503(b) of the </w:t>
      </w:r>
      <w:r w:rsidRPr="002A7814">
        <w:rPr>
          <w:color w:val="000000"/>
          <w:spacing w:val="-2"/>
        </w:rPr>
        <w:t>Act,</w:t>
      </w:r>
      <w:r w:rsidRPr="008E5F5B">
        <w:rPr>
          <w:rStyle w:val="FootnoteReference"/>
          <w:color w:val="000000"/>
          <w:spacing w:val="-2"/>
        </w:rPr>
        <w:footnoteReference w:id="9"/>
      </w:r>
      <w:r w:rsidRPr="002A7814">
        <w:rPr>
          <w:color w:val="000000"/>
          <w:spacing w:val="-2"/>
        </w:rPr>
        <w:t xml:space="preserve"> Section 1.80 of the Rules,</w:t>
      </w:r>
      <w:r w:rsidRPr="008E5F5B">
        <w:rPr>
          <w:rStyle w:val="FootnoteReference"/>
          <w:color w:val="000000"/>
          <w:spacing w:val="-2"/>
        </w:rPr>
        <w:footnoteReference w:id="10"/>
      </w:r>
      <w:r w:rsidRPr="002A7814">
        <w:rPr>
          <w:color w:val="000000"/>
          <w:spacing w:val="-2"/>
        </w:rPr>
        <w:t xml:space="preserve"> and the </w:t>
      </w:r>
      <w:r w:rsidRPr="00D94C13">
        <w:rPr>
          <w:i/>
          <w:color w:val="000000"/>
          <w:spacing w:val="-2"/>
        </w:rPr>
        <w:t>Forfeiture Policy Statement</w:t>
      </w:r>
      <w:r w:rsidRPr="002A7814">
        <w:rPr>
          <w:color w:val="000000"/>
          <w:spacing w:val="-2"/>
        </w:rPr>
        <w:t>.</w:t>
      </w:r>
      <w:r w:rsidRPr="008E5F5B">
        <w:rPr>
          <w:rStyle w:val="FootnoteReference"/>
          <w:color w:val="000000"/>
          <w:spacing w:val="-2"/>
        </w:rPr>
        <w:footnoteReference w:id="11"/>
      </w:r>
      <w:r w:rsidRPr="008E5F5B">
        <w:rPr>
          <w:color w:val="000000"/>
          <w:spacing w:val="-2"/>
          <w:sz w:val="20"/>
        </w:rPr>
        <w:t xml:space="preserve"> </w:t>
      </w:r>
      <w:r w:rsidRPr="002A7814">
        <w:rPr>
          <w:color w:val="000000"/>
          <w:spacing w:val="-2"/>
        </w:rPr>
        <w:t xml:space="preserve"> In examining </w:t>
      </w:r>
      <w:r w:rsidR="00C25105">
        <w:rPr>
          <w:color w:val="000000"/>
          <w:spacing w:val="-2"/>
        </w:rPr>
        <w:t>ACS</w:t>
      </w:r>
      <w:r w:rsidR="00B8444B">
        <w:rPr>
          <w:color w:val="000000"/>
          <w:spacing w:val="-2"/>
        </w:rPr>
        <w:t>’s</w:t>
      </w:r>
      <w:r w:rsidRPr="002A7814">
        <w:rPr>
          <w:color w:val="000000"/>
          <w:spacing w:val="-2"/>
        </w:rPr>
        <w:t xml:space="preserve"> </w:t>
      </w:r>
      <w:r>
        <w:rPr>
          <w:i/>
          <w:color w:val="000000"/>
          <w:spacing w:val="-2"/>
        </w:rPr>
        <w:t>NAL R</w:t>
      </w:r>
      <w:r w:rsidRPr="00DC2EFE">
        <w:rPr>
          <w:i/>
          <w:color w:val="000000"/>
          <w:spacing w:val="-2"/>
        </w:rPr>
        <w:t>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8E5F5B">
        <w:rPr>
          <w:rStyle w:val="FootnoteReference"/>
          <w:color w:val="000000"/>
          <w:spacing w:val="-2"/>
        </w:rPr>
        <w:footnoteReference w:id="12"/>
      </w:r>
      <w:r w:rsidR="000E468A">
        <w:rPr>
          <w:color w:val="000000"/>
          <w:spacing w:val="-2"/>
        </w:rPr>
        <w:t xml:space="preserve">  As discussed below, we have fully considered </w:t>
      </w:r>
      <w:r w:rsidR="00C25105">
        <w:rPr>
          <w:color w:val="000000"/>
          <w:spacing w:val="-2"/>
        </w:rPr>
        <w:t>ACS</w:t>
      </w:r>
      <w:r w:rsidR="000E468A" w:rsidRPr="002A7814">
        <w:rPr>
          <w:color w:val="000000"/>
          <w:spacing w:val="-2"/>
        </w:rPr>
        <w:t>’</w:t>
      </w:r>
      <w:r w:rsidR="000E468A">
        <w:rPr>
          <w:color w:val="000000"/>
          <w:spacing w:val="-2"/>
        </w:rPr>
        <w:t>s</w:t>
      </w:r>
      <w:r w:rsidR="000E468A" w:rsidRPr="002A7814">
        <w:rPr>
          <w:color w:val="000000"/>
          <w:spacing w:val="-2"/>
        </w:rPr>
        <w:t xml:space="preserve"> </w:t>
      </w:r>
      <w:r w:rsidR="000E468A">
        <w:rPr>
          <w:i/>
          <w:color w:val="000000"/>
          <w:spacing w:val="-2"/>
        </w:rPr>
        <w:t>NAL R</w:t>
      </w:r>
      <w:r w:rsidR="000E468A" w:rsidRPr="00DC2EFE">
        <w:rPr>
          <w:i/>
          <w:color w:val="000000"/>
          <w:spacing w:val="-2"/>
        </w:rPr>
        <w:t>esponse</w:t>
      </w:r>
      <w:r w:rsidR="000E468A">
        <w:rPr>
          <w:i/>
          <w:color w:val="000000"/>
          <w:spacing w:val="-2"/>
        </w:rPr>
        <w:t xml:space="preserve"> </w:t>
      </w:r>
      <w:r w:rsidR="000E468A">
        <w:rPr>
          <w:color w:val="000000"/>
          <w:spacing w:val="-2"/>
        </w:rPr>
        <w:t xml:space="preserve">in light of these statutory factors and find that reduction of the proposed forfeiture is warranted. </w:t>
      </w:r>
      <w:r w:rsidRPr="002A7814">
        <w:rPr>
          <w:color w:val="000000"/>
          <w:spacing w:val="-2"/>
        </w:rPr>
        <w:t xml:space="preserve">  </w:t>
      </w:r>
    </w:p>
    <w:p w14:paraId="0CA2D45F" w14:textId="13E9A687" w:rsidR="00ED704F" w:rsidRDefault="00C25105" w:rsidP="00877C4B">
      <w:pPr>
        <w:numPr>
          <w:ilvl w:val="0"/>
          <w:numId w:val="1"/>
        </w:numPr>
        <w:tabs>
          <w:tab w:val="clear" w:pos="1080"/>
          <w:tab w:val="num" w:pos="1440"/>
          <w:tab w:val="left" w:pos="4680"/>
          <w:tab w:val="left" w:pos="5760"/>
        </w:tabs>
        <w:autoSpaceDE w:val="0"/>
        <w:autoSpaceDN w:val="0"/>
        <w:adjustRightInd w:val="0"/>
        <w:spacing w:after="120"/>
      </w:pPr>
      <w:r>
        <w:rPr>
          <w:color w:val="000000"/>
          <w:spacing w:val="-2"/>
        </w:rPr>
        <w:t>ACS</w:t>
      </w:r>
      <w:r w:rsidR="00B175EB">
        <w:rPr>
          <w:color w:val="000000"/>
          <w:spacing w:val="-2"/>
        </w:rPr>
        <w:t xml:space="preserve"> does not deny any of the facts in the </w:t>
      </w:r>
      <w:r w:rsidR="00B175EB">
        <w:rPr>
          <w:i/>
          <w:color w:val="000000"/>
          <w:spacing w:val="-2"/>
        </w:rPr>
        <w:t>NAL</w:t>
      </w:r>
      <w:r w:rsidR="000E468A">
        <w:rPr>
          <w:color w:val="000000"/>
          <w:spacing w:val="-2"/>
        </w:rPr>
        <w:t xml:space="preserve"> and </w:t>
      </w:r>
      <w:r w:rsidR="00B175EB">
        <w:rPr>
          <w:color w:val="000000"/>
        </w:rPr>
        <w:t>w</w:t>
      </w:r>
      <w:r w:rsidR="00B175EB" w:rsidRPr="00F07DF9">
        <w:rPr>
          <w:color w:val="000000"/>
        </w:rPr>
        <w:t xml:space="preserve">e </w:t>
      </w:r>
      <w:r w:rsidR="000E468A">
        <w:rPr>
          <w:color w:val="000000"/>
        </w:rPr>
        <w:t xml:space="preserve">therefore </w:t>
      </w:r>
      <w:r w:rsidR="00B175EB" w:rsidRPr="00F07DF9">
        <w:rPr>
          <w:color w:val="000000"/>
        </w:rPr>
        <w:t xml:space="preserve">affirm the </w:t>
      </w:r>
      <w:r w:rsidR="00B175EB" w:rsidRPr="00745774">
        <w:rPr>
          <w:i/>
          <w:color w:val="000000"/>
        </w:rPr>
        <w:t>NAL</w:t>
      </w:r>
      <w:r w:rsidR="00B175EB" w:rsidRPr="00F07DF9">
        <w:rPr>
          <w:color w:val="000000"/>
        </w:rPr>
        <w:t>’s finding</w:t>
      </w:r>
      <w:r w:rsidR="00B175EB">
        <w:rPr>
          <w:color w:val="000000"/>
        </w:rPr>
        <w:t>s</w:t>
      </w:r>
      <w:r w:rsidR="00B175EB" w:rsidRPr="00F07DF9">
        <w:rPr>
          <w:color w:val="000000"/>
        </w:rPr>
        <w:t xml:space="preserve"> that</w:t>
      </w:r>
      <w:r w:rsidR="00B175EB">
        <w:rPr>
          <w:color w:val="000000"/>
        </w:rPr>
        <w:t xml:space="preserve"> </w:t>
      </w:r>
      <w:r>
        <w:rPr>
          <w:color w:val="000000"/>
        </w:rPr>
        <w:t>ACS</w:t>
      </w:r>
      <w:r w:rsidR="00B8444B">
        <w:rPr>
          <w:color w:val="000000"/>
        </w:rPr>
        <w:t xml:space="preserve"> </w:t>
      </w:r>
      <w:r w:rsidR="00D640FC">
        <w:rPr>
          <w:color w:val="000000"/>
        </w:rPr>
        <w:t xml:space="preserve">willfully and repeatedly </w:t>
      </w:r>
      <w:r w:rsidR="00B175EB" w:rsidRPr="00F07DF9">
        <w:rPr>
          <w:color w:val="000000"/>
        </w:rPr>
        <w:t xml:space="preserve">violated </w:t>
      </w:r>
      <w:r w:rsidR="00430434" w:rsidRPr="00430434">
        <w:rPr>
          <w:color w:val="000000"/>
        </w:rPr>
        <w:t>Section 303(q) of the Act and Se</w:t>
      </w:r>
      <w:r w:rsidR="00CB0E65">
        <w:rPr>
          <w:color w:val="000000"/>
        </w:rPr>
        <w:t>ctions 17.47, 17.48, and 17.51(a</w:t>
      </w:r>
      <w:r w:rsidR="00430434" w:rsidRPr="00430434">
        <w:rPr>
          <w:color w:val="000000"/>
        </w:rPr>
        <w:t>) of the Rules</w:t>
      </w:r>
      <w:r w:rsidR="001E38F2">
        <w:rPr>
          <w:color w:val="000000"/>
        </w:rPr>
        <w:t xml:space="preserve"> by </w:t>
      </w:r>
      <w:r w:rsidR="008F3DBE" w:rsidRPr="0013749F">
        <w:rPr>
          <w:color w:val="000000"/>
          <w:spacing w:val="-2"/>
        </w:rPr>
        <w:t xml:space="preserve">failing to monitor the </w:t>
      </w:r>
      <w:r w:rsidR="008F3DBE">
        <w:rPr>
          <w:color w:val="000000"/>
          <w:spacing w:val="-2"/>
        </w:rPr>
        <w:t xml:space="preserve">Antenna Structure’s </w:t>
      </w:r>
      <w:r w:rsidR="008F3DBE" w:rsidRPr="009A3B4C">
        <w:rPr>
          <w:color w:val="000000"/>
          <w:spacing w:val="-2"/>
        </w:rPr>
        <w:t>obstruction lighting on a daily basis or maintain a functioning alarm sy</w:t>
      </w:r>
      <w:r w:rsidR="008F3DBE">
        <w:rPr>
          <w:color w:val="000000"/>
          <w:spacing w:val="-2"/>
        </w:rPr>
        <w:t>stem;</w:t>
      </w:r>
      <w:r w:rsidR="008F3DBE" w:rsidRPr="009A3B4C">
        <w:rPr>
          <w:color w:val="000000"/>
          <w:spacing w:val="-2"/>
        </w:rPr>
        <w:t xml:space="preserve"> exhibit </w:t>
      </w:r>
      <w:r w:rsidR="008F3DBE">
        <w:rPr>
          <w:color w:val="000000"/>
          <w:spacing w:val="-2"/>
        </w:rPr>
        <w:t>the Antenna Structure’s r</w:t>
      </w:r>
      <w:r w:rsidR="008F3DBE" w:rsidRPr="009A3B4C">
        <w:rPr>
          <w:color w:val="000000"/>
          <w:spacing w:val="-2"/>
        </w:rPr>
        <w:t xml:space="preserve">equired </w:t>
      </w:r>
      <w:r w:rsidR="008F3DBE">
        <w:rPr>
          <w:color w:val="000000"/>
          <w:spacing w:val="-2"/>
        </w:rPr>
        <w:t>nighttime</w:t>
      </w:r>
      <w:r w:rsidR="008F3DBE" w:rsidRPr="009A3B4C">
        <w:rPr>
          <w:color w:val="000000"/>
          <w:spacing w:val="-2"/>
        </w:rPr>
        <w:t xml:space="preserve"> obstruction lighting</w:t>
      </w:r>
      <w:r w:rsidR="008F3DBE">
        <w:rPr>
          <w:color w:val="000000"/>
          <w:spacing w:val="-2"/>
        </w:rPr>
        <w:t>;</w:t>
      </w:r>
      <w:r w:rsidR="008F3DBE" w:rsidRPr="009A3B4C">
        <w:rPr>
          <w:color w:val="000000"/>
          <w:spacing w:val="-2"/>
        </w:rPr>
        <w:t xml:space="preserve"> and notify the FAA of a known lighting outage</w:t>
      </w:r>
      <w:r w:rsidR="008F3DBE">
        <w:rPr>
          <w:color w:val="000000"/>
          <w:spacing w:val="-2"/>
        </w:rPr>
        <w:t xml:space="preserve"> on the Antenna Structure</w:t>
      </w:r>
      <w:r w:rsidR="00430434" w:rsidRPr="00430434">
        <w:rPr>
          <w:color w:val="000000"/>
        </w:rPr>
        <w:t>.</w:t>
      </w:r>
      <w:r w:rsidR="00B175EB" w:rsidRPr="00F07DF9">
        <w:rPr>
          <w:rStyle w:val="FootnoteReference"/>
          <w:color w:val="000000"/>
          <w:sz w:val="22"/>
        </w:rPr>
        <w:footnoteReference w:id="13"/>
      </w:r>
      <w:r w:rsidR="006D0CDC">
        <w:rPr>
          <w:color w:val="000000"/>
        </w:rPr>
        <w:t xml:space="preserve">  </w:t>
      </w:r>
      <w:r w:rsidR="0098329D" w:rsidRPr="00B175EB">
        <w:rPr>
          <w:color w:val="000000"/>
        </w:rPr>
        <w:t xml:space="preserve">In its </w:t>
      </w:r>
      <w:r w:rsidR="0098329D" w:rsidRPr="00B175EB">
        <w:rPr>
          <w:i/>
          <w:color w:val="000000"/>
        </w:rPr>
        <w:t>NAL Response</w:t>
      </w:r>
      <w:r w:rsidR="0098329D" w:rsidRPr="00B175EB">
        <w:rPr>
          <w:color w:val="000000"/>
        </w:rPr>
        <w:t xml:space="preserve">, </w:t>
      </w:r>
      <w:r w:rsidR="006D0CDC">
        <w:rPr>
          <w:color w:val="000000"/>
          <w:spacing w:val="-2"/>
        </w:rPr>
        <w:t xml:space="preserve">ACS </w:t>
      </w:r>
      <w:r w:rsidRPr="006D0CDC">
        <w:rPr>
          <w:color w:val="000000"/>
          <w:spacing w:val="-2"/>
        </w:rPr>
        <w:t>sta</w:t>
      </w:r>
      <w:r w:rsidR="00DC2C72" w:rsidRPr="006D0CDC">
        <w:rPr>
          <w:color w:val="000000"/>
          <w:spacing w:val="-2"/>
        </w:rPr>
        <w:t>t</w:t>
      </w:r>
      <w:r w:rsidRPr="006D0CDC">
        <w:rPr>
          <w:color w:val="000000"/>
          <w:spacing w:val="-2"/>
        </w:rPr>
        <w:t>es that it has a history of compliance with</w:t>
      </w:r>
      <w:r w:rsidR="00DC2C72" w:rsidRPr="006D0CDC">
        <w:rPr>
          <w:color w:val="000000"/>
          <w:spacing w:val="-2"/>
        </w:rPr>
        <w:t xml:space="preserve"> </w:t>
      </w:r>
      <w:r w:rsidR="00A30680" w:rsidRPr="006D0CDC">
        <w:rPr>
          <w:color w:val="000000"/>
          <w:spacing w:val="-2"/>
        </w:rPr>
        <w:t xml:space="preserve">Section 17.47, </w:t>
      </w:r>
      <w:r w:rsidRPr="006D0CDC">
        <w:rPr>
          <w:color w:val="000000"/>
          <w:spacing w:val="-2"/>
        </w:rPr>
        <w:t>t</w:t>
      </w:r>
      <w:r w:rsidR="00DC2C72" w:rsidRPr="006D0CDC">
        <w:rPr>
          <w:color w:val="000000"/>
          <w:spacing w:val="-2"/>
        </w:rPr>
        <w:t>he</w:t>
      </w:r>
      <w:r w:rsidRPr="006D0CDC">
        <w:rPr>
          <w:color w:val="000000"/>
          <w:spacing w:val="-2"/>
        </w:rPr>
        <w:t xml:space="preserve"> </w:t>
      </w:r>
      <w:r w:rsidR="00A30680" w:rsidRPr="006D0CDC">
        <w:rPr>
          <w:color w:val="000000"/>
          <w:spacing w:val="-2"/>
        </w:rPr>
        <w:t xml:space="preserve">antenna structure lighting </w:t>
      </w:r>
      <w:r w:rsidR="008626A7" w:rsidRPr="006D0CDC">
        <w:rPr>
          <w:color w:val="000000"/>
          <w:spacing w:val="-2"/>
        </w:rPr>
        <w:t>monitoring r</w:t>
      </w:r>
      <w:r w:rsidRPr="006D0CDC">
        <w:rPr>
          <w:color w:val="000000"/>
          <w:spacing w:val="-2"/>
        </w:rPr>
        <w:t>ule</w:t>
      </w:r>
      <w:r w:rsidRPr="00C25105">
        <w:t>.</w:t>
      </w:r>
      <w:r w:rsidR="006D0CDC">
        <w:rPr>
          <w:rStyle w:val="FootnoteReference"/>
        </w:rPr>
        <w:footnoteReference w:id="14"/>
      </w:r>
      <w:r w:rsidR="00877C4B">
        <w:t xml:space="preserve">  However, the </w:t>
      </w:r>
      <w:r w:rsidR="00877C4B">
        <w:rPr>
          <w:i/>
        </w:rPr>
        <w:t xml:space="preserve">NAL </w:t>
      </w:r>
      <w:r w:rsidR="00877C4B">
        <w:t>found ACS apparently liab</w:t>
      </w:r>
      <w:r w:rsidR="002C5142">
        <w:t>ility for violations of Section</w:t>
      </w:r>
      <w:r w:rsidR="00877C4B">
        <w:t xml:space="preserve"> 17.48 and </w:t>
      </w:r>
      <w:r w:rsidR="002C5142">
        <w:t xml:space="preserve">Section </w:t>
      </w:r>
      <w:r w:rsidR="00877C4B">
        <w:t>17.51(a) of the Rules, in addition to Section 17.48.</w:t>
      </w:r>
      <w:r w:rsidR="00877C4B">
        <w:rPr>
          <w:rStyle w:val="FootnoteReference"/>
        </w:rPr>
        <w:footnoteReference w:id="15"/>
      </w:r>
      <w:r w:rsidR="00877C4B">
        <w:t xml:space="preserve">  ACS fails to address it</w:t>
      </w:r>
      <w:r w:rsidR="002C5142">
        <w:t>s</w:t>
      </w:r>
      <w:r w:rsidR="00877C4B">
        <w:t xml:space="preserve"> history of compliance with these </w:t>
      </w:r>
      <w:r w:rsidR="002C5142">
        <w:t xml:space="preserve">other </w:t>
      </w:r>
      <w:r w:rsidR="00877C4B">
        <w:t xml:space="preserve">Rules.  </w:t>
      </w:r>
      <w:r w:rsidR="002C5142">
        <w:t>In any event, t</w:t>
      </w:r>
      <w:r w:rsidR="00877C4B">
        <w:t xml:space="preserve">he Enforcement Bureau </w:t>
      </w:r>
      <w:r>
        <w:t>issued</w:t>
      </w:r>
      <w:r w:rsidR="002C5142">
        <w:t xml:space="preserve"> a $3,000 forfeiture </w:t>
      </w:r>
      <w:r>
        <w:t>in 200</w:t>
      </w:r>
      <w:r w:rsidR="00DC2C72">
        <w:t xml:space="preserve">5 </w:t>
      </w:r>
      <w:r w:rsidR="00877C4B">
        <w:t xml:space="preserve">against ACS </w:t>
      </w:r>
      <w:r w:rsidR="00DC2C72">
        <w:t>for fail</w:t>
      </w:r>
      <w:r w:rsidR="00647BFE">
        <w:t>ing</w:t>
      </w:r>
      <w:r w:rsidR="00DC2C72">
        <w:t xml:space="preserve"> to update the ownership information for two </w:t>
      </w:r>
      <w:r w:rsidR="00647BFE">
        <w:t>o</w:t>
      </w:r>
      <w:r w:rsidR="00877C4B">
        <w:t>f its antenna structures</w:t>
      </w:r>
      <w:r w:rsidR="002C5142">
        <w:t>,</w:t>
      </w:r>
      <w:r w:rsidR="00DC2C72">
        <w:t xml:space="preserve"> in violation of Section 17.57 of the Rules</w:t>
      </w:r>
      <w:r w:rsidR="00877C4B">
        <w:t>.</w:t>
      </w:r>
      <w:r w:rsidR="00DC2C72">
        <w:rPr>
          <w:rStyle w:val="FootnoteReference"/>
        </w:rPr>
        <w:footnoteReference w:id="16"/>
      </w:r>
      <w:r w:rsidR="00877C4B">
        <w:t xml:space="preserve">  Sanctions or warnings for violations of any Rule, not just the Rule violation currently under consideration, will eliminate a subject’s history of compliance</w:t>
      </w:r>
      <w:r w:rsidR="0098329D">
        <w:t xml:space="preserve"> forfeiture mitigation claim</w:t>
      </w:r>
      <w:r w:rsidR="00877C4B">
        <w:t xml:space="preserve"> and we therefore find no basis for</w:t>
      </w:r>
      <w:r w:rsidR="0098329D">
        <w:t xml:space="preserve"> reducing or cancelling </w:t>
      </w:r>
      <w:r w:rsidR="00877C4B">
        <w:t>the proposed forfeiture against ACS based on compliance history</w:t>
      </w:r>
      <w:r w:rsidR="009257FC">
        <w:t>.</w:t>
      </w:r>
      <w:r w:rsidR="009257FC">
        <w:rPr>
          <w:rStyle w:val="FootnoteReference"/>
        </w:rPr>
        <w:footnoteReference w:id="17"/>
      </w:r>
      <w:r w:rsidR="00DC2C72">
        <w:t xml:space="preserve">  ACS also argues that it has a “li</w:t>
      </w:r>
      <w:r w:rsidR="00CB0E65">
        <w:t>m</w:t>
      </w:r>
      <w:r w:rsidR="00DC2C72">
        <w:t>ited ability” to pay the proposed forfeiture</w:t>
      </w:r>
      <w:r w:rsidR="0098329D">
        <w:t>.</w:t>
      </w:r>
      <w:r w:rsidR="00DC2C72">
        <w:rPr>
          <w:rStyle w:val="FootnoteReference"/>
        </w:rPr>
        <w:footnoteReference w:id="18"/>
      </w:r>
      <w:r w:rsidR="0098329D">
        <w:t xml:space="preserve">  </w:t>
      </w:r>
      <w:r w:rsidR="0098329D">
        <w:lastRenderedPageBreak/>
        <w:t>H</w:t>
      </w:r>
      <w:r w:rsidR="00DC2C72">
        <w:t>owever, it provides no evidence to substantiate this c</w:t>
      </w:r>
      <w:r w:rsidR="00CB0E65">
        <w:t>laim</w:t>
      </w:r>
      <w:r w:rsidR="00DC2C72">
        <w:t xml:space="preserve">. </w:t>
      </w:r>
      <w:r w:rsidR="00CB0E65">
        <w:t xml:space="preserve"> While the Commission has stated that it has flexibility concerning what evidence it will consider when reviewing an inability to pay claim, the violator must produce some documentation to support its claim</w:t>
      </w:r>
      <w:r w:rsidR="00CB0E65" w:rsidRPr="00877C4B">
        <w:rPr>
          <w:i/>
        </w:rPr>
        <w:t>.</w:t>
      </w:r>
      <w:r w:rsidR="00CB0E65" w:rsidRPr="00CB0E65">
        <w:rPr>
          <w:vertAlign w:val="superscript"/>
        </w:rPr>
        <w:footnoteReference w:id="19"/>
      </w:r>
      <w:r w:rsidR="00CB0E65" w:rsidRPr="00CB0E65">
        <w:t xml:space="preserve">  </w:t>
      </w:r>
      <w:r w:rsidR="00CB0E65">
        <w:t>C</w:t>
      </w:r>
      <w:r w:rsidR="009732D2">
        <w:t>onsequently, we decline to reduce the forfeiture</w:t>
      </w:r>
      <w:r w:rsidR="0098329D">
        <w:t xml:space="preserve"> against ACS based its purported inability to pay</w:t>
      </w:r>
      <w:r w:rsidR="009732D2">
        <w:t>.</w:t>
      </w:r>
      <w:r w:rsidR="00ED704F">
        <w:t xml:space="preserve">  </w:t>
      </w:r>
    </w:p>
    <w:p w14:paraId="12BB8729" w14:textId="27CC0531" w:rsidR="006D0CDC" w:rsidRDefault="006D0CDC" w:rsidP="006D0CDC">
      <w:pPr>
        <w:numPr>
          <w:ilvl w:val="0"/>
          <w:numId w:val="1"/>
        </w:numPr>
        <w:tabs>
          <w:tab w:val="clear" w:pos="1080"/>
          <w:tab w:val="num" w:pos="1440"/>
          <w:tab w:val="left" w:pos="4680"/>
          <w:tab w:val="left" w:pos="5760"/>
        </w:tabs>
        <w:autoSpaceDE w:val="0"/>
        <w:autoSpaceDN w:val="0"/>
        <w:adjustRightInd w:val="0"/>
        <w:spacing w:after="120"/>
      </w:pPr>
      <w:r>
        <w:rPr>
          <w:color w:val="000000"/>
        </w:rPr>
        <w:t xml:space="preserve">ACS </w:t>
      </w:r>
      <w:r w:rsidR="0098329D">
        <w:rPr>
          <w:color w:val="000000"/>
        </w:rPr>
        <w:t xml:space="preserve">also </w:t>
      </w:r>
      <w:r w:rsidRPr="00B175EB">
        <w:rPr>
          <w:color w:val="000000"/>
        </w:rPr>
        <w:t xml:space="preserve">requests </w:t>
      </w:r>
      <w:r>
        <w:rPr>
          <w:color w:val="000000"/>
        </w:rPr>
        <w:t xml:space="preserve">reduction or cancellation of the </w:t>
      </w:r>
      <w:r w:rsidRPr="00B175EB">
        <w:rPr>
          <w:color w:val="000000"/>
        </w:rPr>
        <w:t>proposed forfeiture</w:t>
      </w:r>
      <w:r>
        <w:rPr>
          <w:color w:val="000000"/>
        </w:rPr>
        <w:t xml:space="preserve"> given its efforts to repair the lights on the Antenna Structure.</w:t>
      </w:r>
      <w:r>
        <w:rPr>
          <w:rStyle w:val="FootnoteReference"/>
        </w:rPr>
        <w:footnoteReference w:id="20"/>
      </w:r>
      <w:r>
        <w:t xml:space="preserve">  The Commission has determined that </w:t>
      </w:r>
      <w:r w:rsidRPr="00430434">
        <w:t>“corrective action taken to come into compliance with Commission rules or policy is expected, and does not nullify or mitigate any prior forfeitures or violations.</w:t>
      </w:r>
      <w:bookmarkStart w:id="1" w:name="FN[FN8]"/>
      <w:bookmarkEnd w:id="1"/>
      <w:r w:rsidRPr="00430434">
        <w:t>”</w:t>
      </w:r>
      <w:r w:rsidRPr="00430434">
        <w:rPr>
          <w:vertAlign w:val="superscript"/>
        </w:rPr>
        <w:footnoteReference w:id="21"/>
      </w:r>
      <w:r w:rsidRPr="00430434">
        <w:t xml:space="preserve">  Consequently, we </w:t>
      </w:r>
      <w:r>
        <w:t>decline to reduce the</w:t>
      </w:r>
      <w:r w:rsidRPr="00430434">
        <w:t xml:space="preserve"> proposed forfeiture</w:t>
      </w:r>
      <w:r>
        <w:t xml:space="preserve"> based on ACS’s corrective efforts undertaken </w:t>
      </w:r>
      <w:r w:rsidRPr="008626A7">
        <w:rPr>
          <w:i/>
        </w:rPr>
        <w:t>after</w:t>
      </w:r>
      <w:r>
        <w:t xml:space="preserve"> being notified of the violation by the Anchorage Office. </w:t>
      </w:r>
      <w:r w:rsidR="002C5142">
        <w:t xml:space="preserve"> However, we note </w:t>
      </w:r>
      <w:r>
        <w:t>that ACS supplied evidence, including an invoice, showing that it engaged contractors to work on the Antenna Structure lighting prior to the time of the Anchorage Office inspection.</w:t>
      </w:r>
      <w:r>
        <w:rPr>
          <w:rStyle w:val="FootnoteReference"/>
        </w:rPr>
        <w:footnoteReference w:id="22"/>
      </w:r>
      <w:r>
        <w:t xml:space="preserve">  While this evidence does not excuse ACS’s violations, we find that it shows that ACS made a good faith effort to comply with the Rules.  Consequently, we reduce the proposed forfeiture to $8,000.</w:t>
      </w:r>
      <w:r w:rsidR="0098329D">
        <w:rPr>
          <w:rStyle w:val="FootnoteReference"/>
        </w:rPr>
        <w:footnoteReference w:id="23"/>
      </w:r>
    </w:p>
    <w:p w14:paraId="5DB9F3B0" w14:textId="1B3BB4CF" w:rsidR="00DE5386" w:rsidRPr="00624567" w:rsidRDefault="00DE5386" w:rsidP="00F15E68">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2" w:name="_Toc70235218"/>
      <w:r w:rsidRPr="00624567">
        <w:rPr>
          <w:b/>
          <w:color w:val="000000"/>
          <w:spacing w:val="-2"/>
        </w:rPr>
        <w:tab/>
        <w:t>ORDERING CLAUSES</w:t>
      </w:r>
      <w:bookmarkEnd w:id="2"/>
    </w:p>
    <w:p w14:paraId="7EF43ACE" w14:textId="578F5C07" w:rsidR="0066702C" w:rsidRDefault="00DE5386" w:rsidP="00F15E68">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624567">
        <w:rPr>
          <w:color w:val="000000"/>
          <w:spacing w:val="-2"/>
        </w:rPr>
        <w:t xml:space="preserve">Accordingly, </w:t>
      </w:r>
      <w:r w:rsidRPr="00624567">
        <w:rPr>
          <w:b/>
          <w:color w:val="000000"/>
          <w:spacing w:val="-2"/>
        </w:rPr>
        <w:t>IT IS ORDERED</w:t>
      </w:r>
      <w:r w:rsidRPr="00624567">
        <w:rPr>
          <w:color w:val="000000"/>
          <w:spacing w:val="-2"/>
        </w:rPr>
        <w:t xml:space="preserve"> that, pursuant t</w:t>
      </w:r>
      <w:r w:rsidR="00D471D6">
        <w:rPr>
          <w:color w:val="000000"/>
          <w:spacing w:val="-2"/>
        </w:rPr>
        <w:t xml:space="preserve">o Section 503(b) of the Act </w:t>
      </w:r>
      <w:r w:rsidRPr="00624567">
        <w:rPr>
          <w:color w:val="000000"/>
          <w:spacing w:val="-2"/>
        </w:rPr>
        <w:t>and Sections 0.111, 0.204, 0.311, 0.314, and 1.80</w:t>
      </w:r>
      <w:r w:rsidR="00D471D6">
        <w:rPr>
          <w:color w:val="000000"/>
          <w:spacing w:val="-2"/>
        </w:rPr>
        <w:t>(f)(4) of the Rules</w:t>
      </w:r>
      <w:r w:rsidRPr="00624567">
        <w:rPr>
          <w:color w:val="000000"/>
          <w:spacing w:val="-2"/>
        </w:rPr>
        <w:t xml:space="preserve">, </w:t>
      </w:r>
      <w:r w:rsidR="00CB0E65" w:rsidRPr="00CB0E65">
        <w:rPr>
          <w:color w:val="000000"/>
          <w:spacing w:val="-2"/>
        </w:rPr>
        <w:t>ACS Wireless, Inc.</w:t>
      </w:r>
      <w:r w:rsidR="00CB0E65">
        <w:rPr>
          <w:color w:val="000000"/>
          <w:spacing w:val="-2"/>
        </w:rPr>
        <w:t>,</w:t>
      </w:r>
      <w:r w:rsidR="0040394E">
        <w:rPr>
          <w:spacing w:val="-2"/>
        </w:rPr>
        <w:t xml:space="preserve"> </w:t>
      </w:r>
      <w:r w:rsidRPr="00624567">
        <w:rPr>
          <w:b/>
          <w:color w:val="000000"/>
          <w:spacing w:val="-2"/>
        </w:rPr>
        <w:t>IS LIABLE FOR A MONETARY FORFEITURE</w:t>
      </w:r>
      <w:r w:rsidRPr="00624567">
        <w:rPr>
          <w:color w:val="000000"/>
          <w:spacing w:val="-2"/>
        </w:rPr>
        <w:t xml:space="preserve"> in the amount of </w:t>
      </w:r>
      <w:r w:rsidR="00961579">
        <w:rPr>
          <w:color w:val="000000"/>
          <w:spacing w:val="-2"/>
        </w:rPr>
        <w:t>eight</w:t>
      </w:r>
      <w:r w:rsidR="0040394E">
        <w:rPr>
          <w:color w:val="000000"/>
          <w:spacing w:val="-2"/>
        </w:rPr>
        <w:t xml:space="preserve"> </w:t>
      </w:r>
      <w:r w:rsidR="00627660" w:rsidRPr="00624567">
        <w:rPr>
          <w:color w:val="000000"/>
          <w:spacing w:val="-2"/>
        </w:rPr>
        <w:t>thousand</w:t>
      </w:r>
      <w:r w:rsidRPr="00624567">
        <w:rPr>
          <w:color w:val="000000"/>
          <w:spacing w:val="-2"/>
        </w:rPr>
        <w:t xml:space="preserve"> dollars ($</w:t>
      </w:r>
      <w:r w:rsidR="00961579">
        <w:rPr>
          <w:color w:val="000000"/>
          <w:spacing w:val="-2"/>
        </w:rPr>
        <w:t>8</w:t>
      </w:r>
      <w:r w:rsidR="005F2619">
        <w:rPr>
          <w:color w:val="000000"/>
          <w:spacing w:val="-2"/>
        </w:rPr>
        <w:t>,</w:t>
      </w:r>
      <w:r w:rsidR="0040394E">
        <w:rPr>
          <w:color w:val="000000"/>
          <w:spacing w:val="-2"/>
        </w:rPr>
        <w:t>0</w:t>
      </w:r>
      <w:r w:rsidR="00627660" w:rsidRPr="00624567">
        <w:rPr>
          <w:color w:val="000000"/>
          <w:spacing w:val="-2"/>
        </w:rPr>
        <w:t>00</w:t>
      </w:r>
      <w:r w:rsidRPr="00624567">
        <w:rPr>
          <w:color w:val="000000"/>
          <w:spacing w:val="-2"/>
        </w:rPr>
        <w:t xml:space="preserve">) for violations of </w:t>
      </w:r>
      <w:r w:rsidR="0066702C" w:rsidRPr="0066702C">
        <w:rPr>
          <w:color w:val="000000"/>
          <w:spacing w:val="-2"/>
        </w:rPr>
        <w:t>Section 303(q) of the Act and Sectio</w:t>
      </w:r>
      <w:r w:rsidR="00CB0E65">
        <w:rPr>
          <w:color w:val="000000"/>
          <w:spacing w:val="-2"/>
        </w:rPr>
        <w:t>ns 17.47, 17.48, and 17.51(a</w:t>
      </w:r>
      <w:r w:rsidR="0066702C" w:rsidRPr="0066702C">
        <w:rPr>
          <w:color w:val="000000"/>
          <w:spacing w:val="-2"/>
        </w:rPr>
        <w:t>) of the Rules.</w:t>
      </w:r>
      <w:r w:rsidR="0066702C" w:rsidRPr="0066702C">
        <w:rPr>
          <w:color w:val="000000"/>
          <w:spacing w:val="-2"/>
          <w:vertAlign w:val="superscript"/>
        </w:rPr>
        <w:footnoteReference w:id="24"/>
      </w:r>
    </w:p>
    <w:p w14:paraId="6E9D92D5" w14:textId="1FC90B6F" w:rsidR="0066702C" w:rsidRDefault="00DE5386" w:rsidP="00F15E68">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66702C">
        <w:rPr>
          <w:color w:val="000000"/>
          <w:spacing w:val="-2"/>
        </w:rPr>
        <w:t>Payment</w:t>
      </w:r>
      <w:r w:rsidRPr="0066702C">
        <w:rPr>
          <w:rFonts w:eastAsia="MS Mincho"/>
          <w:color w:val="000000"/>
          <w:spacing w:val="-2"/>
        </w:rPr>
        <w:t xml:space="preserve"> of the forfeiture shall be made in the manner provided for in Section 1.80 of the Rules within thirty (30) calendar days after the release date of this Forfeiture Order.</w:t>
      </w:r>
      <w:r w:rsidRPr="008E5F5B">
        <w:rPr>
          <w:rStyle w:val="FootnoteReference"/>
          <w:rFonts w:eastAsia="MS Mincho"/>
          <w:color w:val="000000"/>
          <w:spacing w:val="-2"/>
        </w:rPr>
        <w:footnoteReference w:id="25"/>
      </w:r>
      <w:r w:rsidRPr="0066702C">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8E5F5B">
        <w:rPr>
          <w:rStyle w:val="FootnoteReference"/>
          <w:rFonts w:eastAsia="MS Mincho"/>
          <w:color w:val="000000"/>
          <w:spacing w:val="-2"/>
        </w:rPr>
        <w:footnoteReference w:id="26"/>
      </w:r>
      <w:r w:rsidRPr="0066702C">
        <w:rPr>
          <w:rFonts w:eastAsia="MS Mincho"/>
          <w:color w:val="000000"/>
          <w:spacing w:val="-2"/>
        </w:rPr>
        <w:t> </w:t>
      </w:r>
      <w:r w:rsidR="005F2619" w:rsidRPr="0066702C">
        <w:rPr>
          <w:rFonts w:eastAsia="MS Mincho"/>
          <w:color w:val="000000"/>
          <w:spacing w:val="-2"/>
        </w:rPr>
        <w:t xml:space="preserve"> </w:t>
      </w:r>
      <w:r w:rsidR="00CB0E65" w:rsidRPr="00CB0E65">
        <w:rPr>
          <w:rFonts w:eastAsia="MS Mincho"/>
          <w:color w:val="000000"/>
          <w:spacing w:val="-2"/>
        </w:rPr>
        <w:t>ACS Wireless, Inc.</w:t>
      </w:r>
      <w:r w:rsidR="00CB0E65">
        <w:rPr>
          <w:rFonts w:eastAsia="MS Mincho"/>
          <w:color w:val="000000"/>
          <w:spacing w:val="-2"/>
        </w:rPr>
        <w:t>,</w:t>
      </w:r>
      <w:r w:rsidR="0066702C" w:rsidRPr="0066702C">
        <w:rPr>
          <w:rFonts w:eastAsia="MS Mincho"/>
          <w:color w:val="000000"/>
          <w:spacing w:val="-2"/>
        </w:rPr>
        <w:t xml:space="preserve"> </w:t>
      </w:r>
      <w:r w:rsidRPr="0066702C">
        <w:rPr>
          <w:rFonts w:eastAsia="MS Mincho"/>
          <w:color w:val="000000"/>
          <w:spacing w:val="-2"/>
        </w:rPr>
        <w:t>shall send electronic notification of payment to</w:t>
      </w:r>
      <w:r w:rsidR="002A7814" w:rsidRPr="0066702C">
        <w:rPr>
          <w:rFonts w:eastAsia="MS Mincho"/>
          <w:color w:val="000000"/>
          <w:spacing w:val="-2"/>
        </w:rPr>
        <w:t xml:space="preserve"> WR</w:t>
      </w:r>
      <w:r w:rsidRPr="0066702C">
        <w:rPr>
          <w:color w:val="000000"/>
          <w:spacing w:val="-2"/>
        </w:rPr>
        <w:t>-Response@fcc.gov</w:t>
      </w:r>
      <w:r w:rsidRPr="0066702C">
        <w:rPr>
          <w:rFonts w:eastAsia="MS Mincho"/>
          <w:color w:val="000000"/>
          <w:spacing w:val="-2"/>
        </w:rPr>
        <w:t xml:space="preserve"> on the date said payment is made.</w:t>
      </w:r>
      <w:r w:rsidRPr="0066702C">
        <w:rPr>
          <w:color w:val="000000"/>
          <w:spacing w:val="-2"/>
        </w:rPr>
        <w:t xml:space="preserve">  </w:t>
      </w:r>
      <w:r w:rsidRPr="0066702C">
        <w:rPr>
          <w:rFonts w:eastAsia="MS Mincho"/>
          <w:color w:val="000000"/>
          <w:spacing w:val="-2"/>
        </w:rPr>
        <w:t>The </w:t>
      </w:r>
      <w:r w:rsidRPr="0066702C">
        <w:rPr>
          <w:color w:val="000000"/>
          <w:spacing w:val="-2"/>
        </w:rPr>
        <w:t>payment</w:t>
      </w:r>
      <w:r w:rsidRPr="0066702C">
        <w:rPr>
          <w:rFonts w:eastAsia="MS Mincho"/>
          <w:color w:val="000000"/>
          <w:spacing w:val="-2"/>
        </w:rPr>
        <w:t xml:space="preserve"> must be made by check or similar instrument, wire transfer, or credit card, an</w:t>
      </w:r>
      <w:r w:rsidR="00D471D6" w:rsidRPr="0066702C">
        <w:rPr>
          <w:rFonts w:eastAsia="MS Mincho"/>
          <w:color w:val="000000"/>
          <w:spacing w:val="-2"/>
        </w:rPr>
        <w:t>d must include the NAL/Account N</w:t>
      </w:r>
      <w:r w:rsidRPr="0066702C">
        <w:rPr>
          <w:rFonts w:eastAsia="MS Mincho"/>
          <w:color w:val="000000"/>
          <w:spacing w:val="-2"/>
        </w:rPr>
        <w:t>umber and FRN referenced above.  Regardless of the form of payment, a completed FCC Form 159 (Remittance Advice) must be submitted.</w:t>
      </w:r>
      <w:r w:rsidRPr="008E5F5B">
        <w:rPr>
          <w:rStyle w:val="FootnoteReference"/>
          <w:rFonts w:eastAsia="MS Mincho"/>
          <w:color w:val="000000"/>
          <w:spacing w:val="-2"/>
        </w:rPr>
        <w:footnoteReference w:id="27"/>
      </w:r>
      <w:r w:rsidRPr="0066702C">
        <w:rPr>
          <w:rFonts w:eastAsia="MS Mincho"/>
          <w:color w:val="000000"/>
          <w:spacing w:val="-2"/>
        </w:rPr>
        <w:t xml:space="preserve">  When completing the FCC Form 159, enter the Account Number in block number 23A (call sign/other ID) and enter the letters “FORF” in block </w:t>
      </w:r>
      <w:r w:rsidR="00D471D6" w:rsidRPr="0066702C">
        <w:rPr>
          <w:rFonts w:eastAsia="MS Mincho"/>
          <w:color w:val="000000"/>
          <w:spacing w:val="-2"/>
        </w:rPr>
        <w:t>number 24A (payment type code).</w:t>
      </w:r>
      <w:r w:rsidRPr="0066702C">
        <w:rPr>
          <w:rFonts w:eastAsia="MS Mincho"/>
          <w:color w:val="000000"/>
          <w:spacing w:val="-2"/>
        </w:rPr>
        <w:t xml:space="preserve">  </w:t>
      </w:r>
      <w:r w:rsidRPr="0066702C">
        <w:rPr>
          <w:color w:val="000000"/>
          <w:spacing w:val="-2"/>
        </w:rPr>
        <w:t>Below are additional instructions you should follow based on the form of payment you select:</w:t>
      </w:r>
    </w:p>
    <w:p w14:paraId="16C10AC4" w14:textId="77777777" w:rsidR="0066702C" w:rsidRPr="00667A0E" w:rsidRDefault="0066702C" w:rsidP="00F15E68">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06C6C727" w14:textId="77777777" w:rsidR="0066702C" w:rsidRPr="00667A0E" w:rsidRDefault="0066702C" w:rsidP="00F15E68">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2D2D902" w14:textId="77777777" w:rsidR="0066702C" w:rsidRPr="00667A0E" w:rsidRDefault="0066702C" w:rsidP="00F15E68">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Payment by credit card must be made by providing the required credit card information on FCC Form 159 and signing and dating the Form 159 to aut</w:t>
      </w:r>
      <w:r>
        <w:rPr>
          <w:color w:val="000000"/>
          <w:spacing w:val="-2"/>
        </w:rPr>
        <w:t>horize the credit card payment.</w:t>
      </w:r>
      <w:r w:rsidRPr="00667A0E">
        <w:rPr>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224250D4" w14:textId="7464BA9E" w:rsidR="00306A7D" w:rsidRPr="00CB0E65" w:rsidRDefault="00DE5386" w:rsidP="00F15E68">
      <w:pPr>
        <w:numPr>
          <w:ilvl w:val="0"/>
          <w:numId w:val="1"/>
        </w:numPr>
        <w:tabs>
          <w:tab w:val="clear" w:pos="1080"/>
          <w:tab w:val="left" w:pos="0"/>
        </w:tabs>
        <w:suppressAutoHyphens/>
        <w:autoSpaceDE w:val="0"/>
        <w:autoSpaceDN w:val="0"/>
        <w:adjustRightInd w:val="0"/>
        <w:spacing w:after="120"/>
        <w:rPr>
          <w:b/>
          <w:color w:val="000000"/>
          <w:spacing w:val="-2"/>
        </w:rPr>
      </w:pPr>
      <w:r w:rsidRPr="00CB0E65">
        <w:rPr>
          <w:color w:val="000000"/>
          <w:spacing w:val="-2"/>
        </w:rPr>
        <w:t>Any</w:t>
      </w:r>
      <w:r w:rsidRPr="00CB0E65">
        <w:rPr>
          <w:rFonts w:eastAsia="MS Mincho"/>
          <w:color w:val="000000"/>
          <w:spacing w:val="-2"/>
        </w:rPr>
        <w:t xml:space="preserve"> request for</w:t>
      </w:r>
      <w:r w:rsidR="005B6CDE" w:rsidRPr="00CB0E65">
        <w:rPr>
          <w:rFonts w:eastAsia="MS Mincho"/>
          <w:color w:val="000000"/>
          <w:spacing w:val="-2"/>
        </w:rPr>
        <w:t xml:space="preserve"> making</w:t>
      </w:r>
      <w:r w:rsidRPr="00CB0E65">
        <w:rPr>
          <w:rFonts w:eastAsia="MS Mincho"/>
          <w:color w:val="000000"/>
          <w:spacing w:val="-2"/>
        </w:rPr>
        <w:t xml:space="preserve"> full payment</w:t>
      </w:r>
      <w:r w:rsidR="00A80EF9" w:rsidRPr="00CB0E65">
        <w:rPr>
          <w:rFonts w:eastAsia="MS Mincho"/>
          <w:color w:val="000000"/>
          <w:spacing w:val="-2"/>
        </w:rPr>
        <w:t xml:space="preserve"> over time</w:t>
      </w:r>
      <w:r w:rsidRPr="00CB0E65">
        <w:rPr>
          <w:rFonts w:eastAsia="MS Mincho"/>
          <w:color w:val="000000"/>
          <w:spacing w:val="-2"/>
        </w:rPr>
        <w:t xml:space="preserve"> under an installment plan should be sent to:  Chief Financial Officer—</w:t>
      </w:r>
      <w:r w:rsidRPr="00CB0E65">
        <w:rPr>
          <w:color w:val="000000"/>
          <w:spacing w:val="-2"/>
        </w:rPr>
        <w:t>Financial</w:t>
      </w:r>
      <w:r w:rsidRPr="00CB0E65">
        <w:rPr>
          <w:rFonts w:eastAsia="MS Mincho"/>
          <w:color w:val="000000"/>
          <w:spacing w:val="-2"/>
        </w:rPr>
        <w:t xml:space="preserve"> Operations, Federal Communications Commission, 445 12th Street, S.W., Room 1-A625, Washington, D.C.  20554.</w:t>
      </w:r>
      <w:r w:rsidRPr="008E5F5B">
        <w:rPr>
          <w:rStyle w:val="FootnoteReference"/>
          <w:rFonts w:eastAsia="MS Mincho"/>
          <w:color w:val="000000"/>
          <w:spacing w:val="-2"/>
        </w:rPr>
        <w:footnoteReference w:id="28"/>
      </w:r>
      <w:r w:rsidRPr="00CB0E65">
        <w:rPr>
          <w:rFonts w:eastAsia="MS Mincho"/>
          <w:color w:val="000000"/>
          <w:spacing w:val="-2"/>
        </w:rPr>
        <w:t>  If you have questions regarding payment procedures, please contact the Financial Operations Group Help Desk by phone, 1-877-480-3201, or by e</w:t>
      </w:r>
      <w:r w:rsidRPr="00CB0E65">
        <w:rPr>
          <w:rFonts w:eastAsia="MS Mincho"/>
          <w:color w:val="000000"/>
          <w:spacing w:val="-2"/>
        </w:rPr>
        <w:noBreakHyphen/>
        <w:t xml:space="preserve">mail, </w:t>
      </w:r>
      <w:hyperlink r:id="rId8" w:history="1">
        <w:r w:rsidRPr="00CB0E65">
          <w:rPr>
            <w:rStyle w:val="Hyperlink"/>
            <w:rFonts w:eastAsia="MS Mincho"/>
            <w:color w:val="000000"/>
            <w:spacing w:val="-2"/>
            <w:u w:val="none"/>
          </w:rPr>
          <w:t>ARINQUIRIES@fcc.gov</w:t>
        </w:r>
      </w:hyperlink>
      <w:r w:rsidRPr="00CB0E65">
        <w:rPr>
          <w:rFonts w:eastAsia="MS Mincho"/>
          <w:color w:val="000000"/>
          <w:spacing w:val="-2"/>
        </w:rPr>
        <w:t>.</w:t>
      </w:r>
    </w:p>
    <w:p w14:paraId="01C7F552" w14:textId="3E75A503" w:rsidR="0066702C" w:rsidRPr="00B83394" w:rsidRDefault="00DE5386" w:rsidP="00F15E68">
      <w:pPr>
        <w:pStyle w:val="ListParagraph"/>
        <w:numPr>
          <w:ilvl w:val="0"/>
          <w:numId w:val="1"/>
        </w:numPr>
        <w:tabs>
          <w:tab w:val="clear" w:pos="1080"/>
          <w:tab w:val="left" w:pos="0"/>
        </w:tabs>
        <w:suppressAutoHyphens/>
        <w:autoSpaceDE w:val="0"/>
        <w:autoSpaceDN w:val="0"/>
        <w:adjustRightInd w:val="0"/>
        <w:spacing w:after="120"/>
        <w:rPr>
          <w:color w:val="000000"/>
          <w:spacing w:val="-2"/>
        </w:rPr>
      </w:pPr>
      <w:r w:rsidRPr="00B83394">
        <w:rPr>
          <w:b/>
          <w:color w:val="000000"/>
          <w:spacing w:val="-2"/>
        </w:rPr>
        <w:t>IT IS FURTHER ORDERED</w:t>
      </w:r>
      <w:r w:rsidRPr="00B83394">
        <w:rPr>
          <w:color w:val="000000"/>
          <w:spacing w:val="-2"/>
        </w:rPr>
        <w:t xml:space="preserve"> that a copy of this </w:t>
      </w:r>
      <w:r w:rsidR="00835FE8" w:rsidRPr="00B83394">
        <w:rPr>
          <w:color w:val="000000"/>
          <w:spacing w:val="-2"/>
        </w:rPr>
        <w:t xml:space="preserve">Forfeiture </w:t>
      </w:r>
      <w:r w:rsidRPr="00B83394">
        <w:rPr>
          <w:color w:val="000000"/>
          <w:spacing w:val="-2"/>
        </w:rPr>
        <w:t xml:space="preserve">Order shall be sent by both First Class and Certified Mail, Return Receipt Requested, to </w:t>
      </w:r>
      <w:r w:rsidR="00B83394" w:rsidRPr="00B83394">
        <w:rPr>
          <w:color w:val="000000"/>
          <w:spacing w:val="-2"/>
        </w:rPr>
        <w:t>ACS Wireless, Inc., at 600 Telephone Ave</w:t>
      </w:r>
      <w:r w:rsidR="002C5142">
        <w:rPr>
          <w:color w:val="000000"/>
          <w:spacing w:val="-2"/>
        </w:rPr>
        <w:t>.</w:t>
      </w:r>
      <w:r w:rsidR="00B83394" w:rsidRPr="00B83394">
        <w:rPr>
          <w:color w:val="000000"/>
          <w:spacing w:val="-2"/>
        </w:rPr>
        <w:t xml:space="preserve">, Anchorage, AK 99503. </w:t>
      </w:r>
    </w:p>
    <w:p w14:paraId="19F87D50" w14:textId="77777777" w:rsidR="00DE5386" w:rsidRDefault="00DE5386" w:rsidP="00A76318">
      <w:pPr>
        <w:tabs>
          <w:tab w:val="left" w:pos="0"/>
        </w:tabs>
        <w:suppressAutoHyphens/>
        <w:autoSpaceDE w:val="0"/>
        <w:autoSpaceDN w:val="0"/>
        <w:adjustRightInd w:val="0"/>
        <w:spacing w:line="240" w:lineRule="atLeast"/>
        <w:ind w:left="720"/>
        <w:rPr>
          <w:color w:val="000000"/>
          <w:spacing w:val="-2"/>
        </w:rPr>
      </w:pPr>
    </w:p>
    <w:p w14:paraId="11EE82CF" w14:textId="77777777" w:rsidR="00ED1C4D" w:rsidRDefault="00ED1C4D" w:rsidP="00A76318">
      <w:pPr>
        <w:pStyle w:val="ParaNum"/>
        <w:numPr>
          <w:ilvl w:val="0"/>
          <w:numId w:val="0"/>
        </w:numPr>
        <w:spacing w:after="0"/>
        <w:ind w:left="4320"/>
        <w:rPr>
          <w:color w:val="000000"/>
          <w:spacing w:val="-2"/>
        </w:rPr>
      </w:pPr>
    </w:p>
    <w:p w14:paraId="6CEC2094" w14:textId="77777777"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A76318">
      <w:pPr>
        <w:pStyle w:val="ParaNum"/>
        <w:numPr>
          <w:ilvl w:val="0"/>
          <w:numId w:val="0"/>
        </w:numPr>
        <w:spacing w:after="0"/>
        <w:ind w:left="4320"/>
        <w:rPr>
          <w:color w:val="000000"/>
          <w:spacing w:val="-2"/>
        </w:rPr>
      </w:pPr>
    </w:p>
    <w:p w14:paraId="67E05DF2" w14:textId="77777777" w:rsidR="00DE5386" w:rsidRPr="002A7814" w:rsidRDefault="00DE5386" w:rsidP="00A76318">
      <w:pPr>
        <w:pStyle w:val="ParaNum"/>
        <w:numPr>
          <w:ilvl w:val="0"/>
          <w:numId w:val="0"/>
        </w:numPr>
        <w:spacing w:after="0"/>
        <w:ind w:left="4320"/>
        <w:rPr>
          <w:color w:val="000000"/>
          <w:spacing w:val="-2"/>
        </w:rPr>
      </w:pPr>
    </w:p>
    <w:p w14:paraId="2580FE5C" w14:textId="77777777" w:rsidR="00DE5386" w:rsidRPr="002A7814" w:rsidRDefault="00DE5386" w:rsidP="00A76318">
      <w:pPr>
        <w:pStyle w:val="ParaNum"/>
        <w:numPr>
          <w:ilvl w:val="0"/>
          <w:numId w:val="0"/>
        </w:numPr>
        <w:spacing w:after="0"/>
        <w:ind w:left="4320"/>
        <w:rPr>
          <w:color w:val="000000"/>
          <w:spacing w:val="-2"/>
        </w:rPr>
      </w:pPr>
    </w:p>
    <w:p w14:paraId="60AAC30C" w14:textId="77777777" w:rsidR="00DC2EFE" w:rsidRDefault="00DC2EFE" w:rsidP="00A76318">
      <w:pPr>
        <w:pStyle w:val="ParaNum"/>
        <w:numPr>
          <w:ilvl w:val="0"/>
          <w:numId w:val="0"/>
        </w:numPr>
        <w:spacing w:after="0"/>
        <w:ind w:left="3600" w:firstLine="720"/>
        <w:rPr>
          <w:color w:val="000000"/>
          <w:spacing w:val="-2"/>
        </w:rPr>
      </w:pPr>
    </w:p>
    <w:p w14:paraId="120982F9" w14:textId="77777777"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7501B" w14:textId="77777777" w:rsidR="00666062" w:rsidRDefault="00666062">
      <w:r>
        <w:separator/>
      </w:r>
    </w:p>
  </w:endnote>
  <w:endnote w:type="continuationSeparator" w:id="0">
    <w:p w14:paraId="490AF980" w14:textId="77777777" w:rsidR="00666062" w:rsidRDefault="00666062">
      <w:r>
        <w:continuationSeparator/>
      </w:r>
    </w:p>
  </w:endnote>
  <w:endnote w:type="continuationNotice" w:id="1">
    <w:p w14:paraId="705F6FC9" w14:textId="77777777" w:rsidR="00666062" w:rsidRDefault="00666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42495">
      <w:rPr>
        <w:rStyle w:val="PageNumber"/>
        <w:noProof/>
        <w:sz w:val="20"/>
        <w:szCs w:val="20"/>
      </w:rPr>
      <w:t>2</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3E84" w14:textId="77777777" w:rsidR="0014460E" w:rsidRDefault="0014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C770" w14:textId="77777777" w:rsidR="00666062" w:rsidRDefault="00666062">
      <w:r>
        <w:separator/>
      </w:r>
    </w:p>
  </w:footnote>
  <w:footnote w:type="continuationSeparator" w:id="0">
    <w:p w14:paraId="491CF823" w14:textId="77777777" w:rsidR="00666062" w:rsidRPr="008E5F5B" w:rsidRDefault="00666062" w:rsidP="008E5F5B">
      <w:pPr>
        <w:spacing w:before="120"/>
        <w:rPr>
          <w:sz w:val="20"/>
        </w:rPr>
      </w:pPr>
      <w:r>
        <w:rPr>
          <w:sz w:val="20"/>
        </w:rPr>
        <w:t xml:space="preserve">(Continued from previous page)  </w:t>
      </w:r>
      <w:r>
        <w:rPr>
          <w:sz w:val="20"/>
        </w:rPr>
        <w:separator/>
      </w:r>
    </w:p>
  </w:footnote>
  <w:footnote w:type="continuationNotice" w:id="1">
    <w:p w14:paraId="716F3C86" w14:textId="77777777" w:rsidR="00666062" w:rsidRPr="008E5F5B" w:rsidRDefault="00666062" w:rsidP="008E5F5B">
      <w:pPr>
        <w:jc w:val="right"/>
        <w:rPr>
          <w:sz w:val="20"/>
        </w:rPr>
      </w:pPr>
      <w:r>
        <w:rPr>
          <w:sz w:val="20"/>
        </w:rPr>
        <w:t>(continued….)</w:t>
      </w:r>
    </w:p>
  </w:footnote>
  <w:footnote w:id="2">
    <w:p w14:paraId="6DBE49FD" w14:textId="77777777" w:rsidR="009A3B4C" w:rsidRPr="005F515C" w:rsidRDefault="009A3B4C" w:rsidP="00DF42AF">
      <w:pPr>
        <w:pStyle w:val="FootnoteText"/>
        <w:ind w:firstLine="0"/>
        <w:jc w:val="left"/>
        <w:rPr>
          <w:color w:val="000000"/>
        </w:rPr>
      </w:pPr>
      <w:r w:rsidRPr="005F515C">
        <w:rPr>
          <w:rStyle w:val="FootnoteReference"/>
          <w:color w:val="000000"/>
        </w:rPr>
        <w:footnoteRef/>
      </w:r>
      <w:r w:rsidRPr="005F515C">
        <w:rPr>
          <w:color w:val="000000"/>
        </w:rPr>
        <w:t xml:space="preserve"> 47 U.S.C. § 303(q).</w:t>
      </w:r>
    </w:p>
  </w:footnote>
  <w:footnote w:id="3">
    <w:p w14:paraId="382956C3" w14:textId="723E892D" w:rsidR="009A3B4C" w:rsidRPr="005F515C" w:rsidRDefault="009A3B4C" w:rsidP="00DF42AF">
      <w:pPr>
        <w:pStyle w:val="FootnoteText"/>
        <w:ind w:firstLine="0"/>
        <w:jc w:val="left"/>
        <w:rPr>
          <w:color w:val="000000"/>
        </w:rPr>
      </w:pPr>
      <w:r w:rsidRPr="005F515C">
        <w:rPr>
          <w:rStyle w:val="FootnoteReference"/>
          <w:color w:val="000000"/>
        </w:rPr>
        <w:footnoteRef/>
      </w:r>
      <w:r w:rsidRPr="005F515C">
        <w:rPr>
          <w:color w:val="000000"/>
        </w:rPr>
        <w:t xml:space="preserve"> 47 C.F.R. §</w:t>
      </w:r>
      <w:r w:rsidR="00AC744E">
        <w:rPr>
          <w:color w:val="000000"/>
        </w:rPr>
        <w:t>§</w:t>
      </w:r>
      <w:r w:rsidRPr="005F515C">
        <w:rPr>
          <w:color w:val="000000"/>
        </w:rPr>
        <w:t xml:space="preserve"> 17.47, </w:t>
      </w:r>
      <w:r>
        <w:rPr>
          <w:color w:val="000000"/>
        </w:rPr>
        <w:t xml:space="preserve">17.48, </w:t>
      </w:r>
      <w:r w:rsidR="00CB0E65">
        <w:rPr>
          <w:color w:val="000000"/>
        </w:rPr>
        <w:t>17.51(a</w:t>
      </w:r>
      <w:r w:rsidRPr="005F515C">
        <w:rPr>
          <w:color w:val="000000"/>
        </w:rPr>
        <w:t>).</w:t>
      </w:r>
      <w:r w:rsidR="009257FC">
        <w:rPr>
          <w:color w:val="000000"/>
        </w:rPr>
        <w:t xml:space="preserve">  </w:t>
      </w:r>
      <w:r w:rsidR="009257FC" w:rsidRPr="009257FC">
        <w:rPr>
          <w:color w:val="000000"/>
        </w:rPr>
        <w:t xml:space="preserve">The Commission recently amended Sections </w:t>
      </w:r>
      <w:r w:rsidR="009257FC">
        <w:rPr>
          <w:color w:val="000000"/>
        </w:rPr>
        <w:t>17.47, 17.48</w:t>
      </w:r>
      <w:r w:rsidR="00F144BE">
        <w:rPr>
          <w:color w:val="000000"/>
        </w:rPr>
        <w:t>,</w:t>
      </w:r>
      <w:r w:rsidR="009257FC">
        <w:rPr>
          <w:color w:val="000000"/>
        </w:rPr>
        <w:t xml:space="preserve"> and 17.51 </w:t>
      </w:r>
      <w:r w:rsidR="009257FC" w:rsidRPr="009257FC">
        <w:rPr>
          <w:color w:val="000000"/>
        </w:rPr>
        <w:t xml:space="preserve">of the Rules.  </w:t>
      </w:r>
      <w:r w:rsidR="0041426B">
        <w:rPr>
          <w:i/>
          <w:color w:val="000000"/>
        </w:rPr>
        <w:t xml:space="preserve">See </w:t>
      </w:r>
      <w:r w:rsidR="009257FC" w:rsidRPr="009257FC">
        <w:rPr>
          <w:i/>
          <w:color w:val="000000"/>
        </w:rPr>
        <w:t>2004 and 2006 Biennial Regulatory Review – Streamlining and Other Revisions of Parts 1 and 17 of the Commission’s Rules Governing Construction, Marking and Lighting of Antenna Structures</w:t>
      </w:r>
      <w:r w:rsidR="009257FC" w:rsidRPr="009257FC">
        <w:rPr>
          <w:color w:val="000000"/>
        </w:rPr>
        <w:t xml:space="preserve">, Report and Order, 29 FCC Rcd 9787 (2014).  The Rules cited to in this </w:t>
      </w:r>
      <w:r w:rsidR="0041426B">
        <w:rPr>
          <w:color w:val="000000"/>
        </w:rPr>
        <w:t xml:space="preserve">Forfeiture </w:t>
      </w:r>
      <w:r w:rsidR="009257FC" w:rsidRPr="009257FC">
        <w:rPr>
          <w:color w:val="000000"/>
        </w:rPr>
        <w:t xml:space="preserve">Order, however, were the Rules in effect at the time of the violations.     </w:t>
      </w:r>
    </w:p>
  </w:footnote>
  <w:footnote w:id="4">
    <w:p w14:paraId="31B3D1C0" w14:textId="15838C0F" w:rsidR="00A80EF9" w:rsidRPr="00163967" w:rsidRDefault="00A80EF9">
      <w:pPr>
        <w:pStyle w:val="FootnoteText"/>
        <w:widowControl/>
        <w:ind w:firstLine="0"/>
        <w:jc w:val="left"/>
        <w:rPr>
          <w:szCs w:val="20"/>
        </w:rPr>
      </w:pPr>
      <w:r w:rsidRPr="00163967">
        <w:rPr>
          <w:rStyle w:val="FootnoteReference"/>
        </w:rPr>
        <w:footnoteRef/>
      </w:r>
      <w:r w:rsidR="00226B3D" w:rsidRPr="00163967">
        <w:rPr>
          <w:szCs w:val="20"/>
        </w:rPr>
        <w:t xml:space="preserve"> </w:t>
      </w:r>
      <w:r w:rsidR="00A17FBD">
        <w:rPr>
          <w:i/>
          <w:szCs w:val="20"/>
        </w:rPr>
        <w:t>ACS Wireless, Inc.</w:t>
      </w:r>
      <w:r w:rsidRPr="00163967">
        <w:rPr>
          <w:szCs w:val="20"/>
        </w:rPr>
        <w:t>, Notice of Apparent Liability for Forfeiture</w:t>
      </w:r>
      <w:r w:rsidR="0041426B">
        <w:rPr>
          <w:szCs w:val="20"/>
        </w:rPr>
        <w:t xml:space="preserve"> and Order</w:t>
      </w:r>
      <w:r w:rsidRPr="00163967">
        <w:rPr>
          <w:szCs w:val="20"/>
        </w:rPr>
        <w:t>, 2</w:t>
      </w:r>
      <w:r w:rsidR="008B3887" w:rsidRPr="00163967">
        <w:rPr>
          <w:szCs w:val="20"/>
        </w:rPr>
        <w:t>8</w:t>
      </w:r>
      <w:r w:rsidRPr="00163967">
        <w:rPr>
          <w:szCs w:val="20"/>
        </w:rPr>
        <w:t xml:space="preserve"> FCC Rcd </w:t>
      </w:r>
      <w:r w:rsidR="008B3887" w:rsidRPr="00163967">
        <w:rPr>
          <w:szCs w:val="20"/>
        </w:rPr>
        <w:t>1</w:t>
      </w:r>
      <w:r w:rsidR="00A17FBD">
        <w:rPr>
          <w:szCs w:val="20"/>
        </w:rPr>
        <w:t>5464</w:t>
      </w:r>
      <w:r w:rsidR="008B3887" w:rsidRPr="00163967">
        <w:rPr>
          <w:szCs w:val="20"/>
        </w:rPr>
        <w:t xml:space="preserve"> </w:t>
      </w:r>
      <w:r w:rsidRPr="00163967">
        <w:rPr>
          <w:szCs w:val="20"/>
        </w:rPr>
        <w:t>(Enf. Bur. 201</w:t>
      </w:r>
      <w:r w:rsidR="008B3887" w:rsidRPr="00163967">
        <w:rPr>
          <w:szCs w:val="20"/>
        </w:rPr>
        <w:t>3</w:t>
      </w:r>
      <w:r w:rsidRPr="00163967">
        <w:rPr>
          <w:szCs w:val="20"/>
        </w:rPr>
        <w:t>) (</w:t>
      </w:r>
      <w:r w:rsidRPr="00163967">
        <w:rPr>
          <w:i/>
          <w:szCs w:val="20"/>
        </w:rPr>
        <w:t>NAL</w:t>
      </w:r>
      <w:r w:rsidRPr="00163967">
        <w:rPr>
          <w:szCs w:val="20"/>
        </w:rPr>
        <w:t xml:space="preserve">).  A recitation of the facts of this case can be found in the </w:t>
      </w:r>
      <w:r w:rsidRPr="00163967">
        <w:rPr>
          <w:i/>
          <w:szCs w:val="20"/>
        </w:rPr>
        <w:t>NAL</w:t>
      </w:r>
      <w:r w:rsidRPr="00163967">
        <w:rPr>
          <w:szCs w:val="20"/>
        </w:rPr>
        <w:t xml:space="preserve"> and is incorporated herein by reference.</w:t>
      </w:r>
      <w:r w:rsidR="00FA5A31" w:rsidRPr="00163967">
        <w:rPr>
          <w:szCs w:val="20"/>
        </w:rPr>
        <w:t xml:space="preserve">  </w:t>
      </w:r>
    </w:p>
  </w:footnote>
  <w:footnote w:id="5">
    <w:p w14:paraId="667DA69B" w14:textId="303485E3" w:rsidR="00B8444B" w:rsidRPr="00163967" w:rsidRDefault="00B8444B">
      <w:pPr>
        <w:pStyle w:val="FootnoteText"/>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Response of </w:t>
      </w:r>
      <w:r w:rsidR="00A17FBD">
        <w:rPr>
          <w:szCs w:val="20"/>
        </w:rPr>
        <w:t xml:space="preserve">ACS Wireless, Inc., </w:t>
      </w:r>
      <w:r w:rsidRPr="00163967">
        <w:rPr>
          <w:szCs w:val="20"/>
        </w:rPr>
        <w:t xml:space="preserve">to </w:t>
      </w:r>
      <w:r>
        <w:rPr>
          <w:szCs w:val="20"/>
        </w:rPr>
        <w:t>Anchorage</w:t>
      </w:r>
      <w:r w:rsidRPr="00163967">
        <w:rPr>
          <w:szCs w:val="20"/>
        </w:rPr>
        <w:t xml:space="preserve"> Office, Western Region, Enforcement Bureau</w:t>
      </w:r>
      <w:r w:rsidR="0041426B">
        <w:rPr>
          <w:szCs w:val="20"/>
        </w:rPr>
        <w:t>, at 2</w:t>
      </w:r>
      <w:r w:rsidRPr="00163967">
        <w:rPr>
          <w:szCs w:val="20"/>
        </w:rPr>
        <w:t xml:space="preserve"> (</w:t>
      </w:r>
      <w:r w:rsidR="00A17FBD">
        <w:rPr>
          <w:szCs w:val="20"/>
        </w:rPr>
        <w:t>Dec. 5</w:t>
      </w:r>
      <w:r>
        <w:rPr>
          <w:szCs w:val="20"/>
        </w:rPr>
        <w:t>, 2013</w:t>
      </w:r>
      <w:r w:rsidRPr="00163967">
        <w:rPr>
          <w:szCs w:val="20"/>
        </w:rPr>
        <w:t>) (on file in EB-FIELDWR-</w:t>
      </w:r>
      <w:r w:rsidR="00A17FBD">
        <w:rPr>
          <w:szCs w:val="20"/>
        </w:rPr>
        <w:t>12-</w:t>
      </w:r>
      <w:r w:rsidRPr="00B8444B">
        <w:rPr>
          <w:szCs w:val="20"/>
        </w:rPr>
        <w:t>0000</w:t>
      </w:r>
      <w:r w:rsidR="00A17FBD">
        <w:rPr>
          <w:szCs w:val="20"/>
        </w:rPr>
        <w:t>5502</w:t>
      </w:r>
      <w:r w:rsidR="0041426B">
        <w:rPr>
          <w:szCs w:val="20"/>
        </w:rPr>
        <w:t xml:space="preserve">) </w:t>
      </w:r>
      <w:r w:rsidRPr="00163967">
        <w:rPr>
          <w:szCs w:val="20"/>
        </w:rPr>
        <w:t>(</w:t>
      </w:r>
      <w:r w:rsidRPr="00163967">
        <w:rPr>
          <w:i/>
          <w:szCs w:val="20"/>
        </w:rPr>
        <w:t>NAL Response</w:t>
      </w:r>
      <w:r w:rsidRPr="00163967">
        <w:rPr>
          <w:szCs w:val="20"/>
        </w:rPr>
        <w:t>).</w:t>
      </w:r>
    </w:p>
  </w:footnote>
  <w:footnote w:id="6">
    <w:p w14:paraId="5AF4FF7F" w14:textId="637D8B7F" w:rsidR="00B8444B" w:rsidRPr="001E38F2" w:rsidRDefault="00B8444B">
      <w:pPr>
        <w:pStyle w:val="FootnoteText"/>
        <w:ind w:firstLine="0"/>
        <w:jc w:val="left"/>
      </w:pPr>
      <w:r>
        <w:rPr>
          <w:rStyle w:val="FootnoteReference"/>
        </w:rPr>
        <w:footnoteRef/>
      </w:r>
      <w:r>
        <w:t xml:space="preserve"> </w:t>
      </w:r>
      <w:r>
        <w:rPr>
          <w:i/>
        </w:rPr>
        <w:t>Id.</w:t>
      </w:r>
      <w:r>
        <w:t xml:space="preserve">  </w:t>
      </w:r>
      <w:r w:rsidR="00DF4B5A">
        <w:t xml:space="preserve">  </w:t>
      </w:r>
    </w:p>
  </w:footnote>
  <w:footnote w:id="7">
    <w:p w14:paraId="233E190C" w14:textId="383510C1" w:rsidR="00DF4B5A" w:rsidRDefault="00DF4B5A" w:rsidP="0013749F">
      <w:pPr>
        <w:pStyle w:val="FootnoteText"/>
        <w:ind w:firstLine="0"/>
        <w:jc w:val="left"/>
      </w:pPr>
      <w:r>
        <w:rPr>
          <w:rStyle w:val="FootnoteReference"/>
        </w:rPr>
        <w:footnoteRef/>
      </w:r>
      <w:r>
        <w:t xml:space="preserve"> </w:t>
      </w:r>
      <w:r>
        <w:rPr>
          <w:i/>
        </w:rPr>
        <w:t>Id.</w:t>
      </w:r>
      <w:r>
        <w:t xml:space="preserve"> </w:t>
      </w:r>
    </w:p>
  </w:footnote>
  <w:footnote w:id="8">
    <w:p w14:paraId="3EE5CAEA" w14:textId="3BA5B8DF" w:rsidR="00DF4B5A" w:rsidRDefault="00DF4B5A">
      <w:pPr>
        <w:pStyle w:val="FootnoteText"/>
        <w:ind w:firstLine="0"/>
        <w:jc w:val="left"/>
      </w:pPr>
      <w:r>
        <w:rPr>
          <w:rStyle w:val="FootnoteReference"/>
        </w:rPr>
        <w:footnoteRef/>
      </w:r>
      <w:r>
        <w:t xml:space="preserve"> </w:t>
      </w:r>
      <w:r>
        <w:rPr>
          <w:i/>
        </w:rPr>
        <w:t>Id.</w:t>
      </w:r>
      <w:r>
        <w:t xml:space="preserve"> at 3. </w:t>
      </w:r>
      <w:r w:rsidR="0041426B">
        <w:t xml:space="preserve"> </w:t>
      </w:r>
      <w:r w:rsidRPr="00DF4B5A">
        <w:rPr>
          <w:bCs/>
          <w:i/>
        </w:rPr>
        <w:t>See</w:t>
      </w:r>
      <w:r w:rsidRPr="00DF4B5A">
        <w:rPr>
          <w:bCs/>
        </w:rPr>
        <w:t xml:space="preserve"> </w:t>
      </w:r>
      <w:r w:rsidRPr="00DF4B5A">
        <w:rPr>
          <w:bCs/>
          <w:i/>
        </w:rPr>
        <w:t xml:space="preserve">Applications of GCI Communication Corp., ACS Wireless License </w:t>
      </w:r>
      <w:r w:rsidR="008F3DBE">
        <w:rPr>
          <w:bCs/>
          <w:i/>
        </w:rPr>
        <w:t>Sub, Inc., ACS of Anchorage License Sub, Inc., and Unicom, Inc. For Consent to Assign Licenses to t</w:t>
      </w:r>
      <w:r w:rsidRPr="00DF4B5A">
        <w:rPr>
          <w:bCs/>
          <w:i/>
        </w:rPr>
        <w:t>he Alaska Wireless Network, LLC</w:t>
      </w:r>
      <w:r w:rsidRPr="00DF4B5A">
        <w:rPr>
          <w:bCs/>
        </w:rPr>
        <w:t>, Memorandum Opinion and Order and Declaratory Ruling, 28 FCC Rcd 10433 (2013) (granting multiple applications for the assignment of licenses from ACS to The Alaska Wireless Network, LLC).</w:t>
      </w:r>
    </w:p>
  </w:footnote>
  <w:footnote w:id="9">
    <w:p w14:paraId="1A9132AC" w14:textId="77777777" w:rsidR="001C0059" w:rsidRPr="00163967" w:rsidRDefault="001C0059">
      <w:pPr>
        <w:pStyle w:val="FootnoteText"/>
        <w:widowControl/>
        <w:ind w:firstLine="0"/>
        <w:jc w:val="left"/>
        <w:rPr>
          <w:szCs w:val="20"/>
        </w:rPr>
      </w:pPr>
      <w:r w:rsidRPr="00163967">
        <w:rPr>
          <w:rStyle w:val="FootnoteReference"/>
        </w:rPr>
        <w:footnoteRef/>
      </w:r>
      <w:r w:rsidRPr="00163967">
        <w:rPr>
          <w:szCs w:val="20"/>
        </w:rPr>
        <w:t xml:space="preserve"> 47 U.S.C. § 503(b).</w:t>
      </w:r>
    </w:p>
  </w:footnote>
  <w:footnote w:id="10">
    <w:p w14:paraId="4F51A7EE" w14:textId="77777777" w:rsidR="001C0059" w:rsidRPr="00163967" w:rsidRDefault="001C0059">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11">
    <w:p w14:paraId="0AA43F30" w14:textId="77777777" w:rsidR="001C0059" w:rsidRPr="00163967" w:rsidRDefault="001C0059">
      <w:pPr>
        <w:pStyle w:val="FootnoteText"/>
        <w:widowControl/>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The Commission’s Forfeiture Policy Statement and Amendment of Section 1.80 of the Rules to Incorporate the Forfeiture Guidelines</w:t>
      </w:r>
      <w:r w:rsidRPr="00163967">
        <w:rPr>
          <w:szCs w:val="20"/>
        </w:rPr>
        <w:t xml:space="preserve">, Report and Order, 12 FCC Rcd 17087 (1997), </w:t>
      </w:r>
      <w:r w:rsidRPr="00163967">
        <w:rPr>
          <w:i/>
          <w:szCs w:val="20"/>
        </w:rPr>
        <w:t>recons. denied</w:t>
      </w:r>
      <w:r w:rsidRPr="00163967">
        <w:rPr>
          <w:szCs w:val="20"/>
        </w:rPr>
        <w:t>, 15 FCC Rcd 303 (1999) (</w:t>
      </w:r>
      <w:r w:rsidRPr="00163967">
        <w:rPr>
          <w:i/>
          <w:szCs w:val="20"/>
        </w:rPr>
        <w:t>Forfeiture Policy Statement</w:t>
      </w:r>
      <w:r w:rsidRPr="00163967">
        <w:rPr>
          <w:szCs w:val="20"/>
        </w:rPr>
        <w:t xml:space="preserve">).  </w:t>
      </w:r>
    </w:p>
  </w:footnote>
  <w:footnote w:id="12">
    <w:p w14:paraId="5A18D33A" w14:textId="77777777" w:rsidR="001C0059" w:rsidRPr="00163967" w:rsidRDefault="001C0059">
      <w:pPr>
        <w:pStyle w:val="FootnoteText"/>
        <w:widowControl/>
        <w:tabs>
          <w:tab w:val="clear" w:pos="720"/>
        </w:tabs>
        <w:ind w:firstLine="0"/>
        <w:jc w:val="left"/>
        <w:rPr>
          <w:szCs w:val="20"/>
        </w:rPr>
      </w:pPr>
      <w:r w:rsidRPr="00163967">
        <w:rPr>
          <w:rStyle w:val="FootnoteReference"/>
        </w:rPr>
        <w:footnoteRef/>
      </w:r>
      <w:r w:rsidRPr="00163967">
        <w:rPr>
          <w:szCs w:val="20"/>
        </w:rPr>
        <w:t xml:space="preserve"> 47 U.S.C. § 503(b)(2)(E).</w:t>
      </w:r>
    </w:p>
  </w:footnote>
  <w:footnote w:id="13">
    <w:p w14:paraId="056C3A28" w14:textId="0BA30FF4" w:rsidR="00B175EB" w:rsidRPr="00163967" w:rsidRDefault="00B175EB">
      <w:pPr>
        <w:pStyle w:val="FootnoteText"/>
        <w:widowControl/>
        <w:tabs>
          <w:tab w:val="clear" w:pos="720"/>
        </w:tabs>
        <w:ind w:firstLine="0"/>
        <w:jc w:val="left"/>
        <w:rPr>
          <w:szCs w:val="20"/>
        </w:rPr>
      </w:pPr>
      <w:r w:rsidRPr="00163967">
        <w:rPr>
          <w:rStyle w:val="FootnoteReference"/>
        </w:rPr>
        <w:footnoteRef/>
      </w:r>
      <w:r w:rsidRPr="00163967">
        <w:rPr>
          <w:i/>
          <w:szCs w:val="20"/>
        </w:rPr>
        <w:t xml:space="preserve"> See NAL</w:t>
      </w:r>
      <w:r w:rsidRPr="00163967">
        <w:rPr>
          <w:szCs w:val="20"/>
        </w:rPr>
        <w:t xml:space="preserve"> </w:t>
      </w:r>
      <w:r w:rsidRPr="00163967">
        <w:rPr>
          <w:i/>
          <w:szCs w:val="20"/>
        </w:rPr>
        <w:t>supra</w:t>
      </w:r>
      <w:r w:rsidRPr="00163967">
        <w:rPr>
          <w:szCs w:val="20"/>
        </w:rPr>
        <w:t xml:space="preserve"> note </w:t>
      </w:r>
      <w:r w:rsidR="00CB0E65">
        <w:rPr>
          <w:szCs w:val="20"/>
        </w:rPr>
        <w:t>3</w:t>
      </w:r>
      <w:r w:rsidRPr="00163967">
        <w:rPr>
          <w:szCs w:val="20"/>
        </w:rPr>
        <w:t xml:space="preserve">. </w:t>
      </w:r>
    </w:p>
  </w:footnote>
  <w:footnote w:id="14">
    <w:p w14:paraId="57EA0B1B" w14:textId="538E9104" w:rsidR="006D0CDC" w:rsidRPr="006D0CDC" w:rsidRDefault="006D0CDC">
      <w:pPr>
        <w:pStyle w:val="FootnoteText"/>
        <w:tabs>
          <w:tab w:val="clear" w:pos="720"/>
        </w:tabs>
        <w:ind w:firstLine="0"/>
        <w:jc w:val="left"/>
      </w:pPr>
      <w:r>
        <w:rPr>
          <w:rStyle w:val="FootnoteReference"/>
        </w:rPr>
        <w:footnoteRef/>
      </w:r>
      <w:r>
        <w:t xml:space="preserve"> </w:t>
      </w:r>
      <w:r>
        <w:rPr>
          <w:i/>
        </w:rPr>
        <w:t xml:space="preserve">NAL Response </w:t>
      </w:r>
      <w:r>
        <w:t>at 2.</w:t>
      </w:r>
    </w:p>
  </w:footnote>
  <w:footnote w:id="15">
    <w:p w14:paraId="3134C8CB" w14:textId="20DB57D0" w:rsidR="00877C4B" w:rsidRPr="00877C4B" w:rsidRDefault="00877C4B">
      <w:pPr>
        <w:pStyle w:val="FootnoteText"/>
        <w:tabs>
          <w:tab w:val="clear" w:pos="720"/>
        </w:tabs>
        <w:ind w:firstLine="0"/>
        <w:jc w:val="left"/>
      </w:pPr>
      <w:r>
        <w:rPr>
          <w:rStyle w:val="FootnoteReference"/>
        </w:rPr>
        <w:footnoteRef/>
      </w:r>
      <w:r>
        <w:t xml:space="preserve"> </w:t>
      </w:r>
      <w:r>
        <w:rPr>
          <w:i/>
        </w:rPr>
        <w:t>NAL</w:t>
      </w:r>
      <w:r>
        <w:t xml:space="preserve">, 28 FCC Rcd. </w:t>
      </w:r>
      <w:r w:rsidR="00AC744E">
        <w:t xml:space="preserve">at </w:t>
      </w:r>
      <w:r>
        <w:t>15464, para. 1.</w:t>
      </w:r>
    </w:p>
  </w:footnote>
  <w:footnote w:id="16">
    <w:p w14:paraId="5CC85DAC" w14:textId="68094FA6" w:rsidR="00DC2C72" w:rsidRDefault="00DC2C72">
      <w:pPr>
        <w:pStyle w:val="FootnoteText"/>
        <w:ind w:firstLine="0"/>
        <w:jc w:val="left"/>
      </w:pPr>
      <w:r>
        <w:rPr>
          <w:rStyle w:val="FootnoteReference"/>
        </w:rPr>
        <w:footnoteRef/>
      </w:r>
      <w:r w:rsidR="00877C4B">
        <w:rPr>
          <w:i/>
        </w:rPr>
        <w:t xml:space="preserve"> </w:t>
      </w:r>
      <w:r w:rsidRPr="00877C4B">
        <w:rPr>
          <w:i/>
        </w:rPr>
        <w:t>ACS Wireless</w:t>
      </w:r>
      <w:r w:rsidR="00877C4B">
        <w:t xml:space="preserve">, </w:t>
      </w:r>
      <w:r w:rsidRPr="00877C4B">
        <w:t>Forfeiture</w:t>
      </w:r>
      <w:r>
        <w:t xml:space="preserve"> Order, 20 FCC Rcd 20</w:t>
      </w:r>
      <w:r w:rsidR="00877C4B">
        <w:t>233 (Enf. Bur. 2005)</w:t>
      </w:r>
      <w:r>
        <w:t xml:space="preserve">.  </w:t>
      </w:r>
    </w:p>
  </w:footnote>
  <w:footnote w:id="17">
    <w:p w14:paraId="4CF70B32" w14:textId="111DB16B" w:rsidR="009257FC" w:rsidRPr="008626A7" w:rsidRDefault="009257FC">
      <w:pPr>
        <w:pStyle w:val="FootnoteText"/>
        <w:ind w:firstLine="0"/>
        <w:jc w:val="left"/>
        <w:rPr>
          <w:i/>
        </w:rPr>
      </w:pPr>
      <w:r>
        <w:rPr>
          <w:rStyle w:val="FootnoteReference"/>
        </w:rPr>
        <w:footnoteRef/>
      </w:r>
      <w:r>
        <w:t xml:space="preserve"> </w:t>
      </w:r>
      <w:r>
        <w:rPr>
          <w:i/>
        </w:rPr>
        <w:t>Crown Comm</w:t>
      </w:r>
      <w:r w:rsidR="0098329D">
        <w:rPr>
          <w:i/>
        </w:rPr>
        <w:t>c’</w:t>
      </w:r>
      <w:r>
        <w:rPr>
          <w:i/>
        </w:rPr>
        <w:t>n, Inc.</w:t>
      </w:r>
      <w:r>
        <w:t>, Forfeiture Order, 15 FCC Rcd 21937</w:t>
      </w:r>
      <w:r w:rsidR="0098329D">
        <w:t xml:space="preserve">, 21939, para. 9. (Enf. Bur. 2000); 47 C.F.R. § 1.80 (listing “[h]istory of </w:t>
      </w:r>
      <w:r w:rsidR="0098329D" w:rsidRPr="0098329D">
        <w:t xml:space="preserve">overall </w:t>
      </w:r>
      <w:r w:rsidR="0098329D">
        <w:t>compliance” as one downward forfeiture adjustment criteria).</w:t>
      </w:r>
      <w:r>
        <w:rPr>
          <w:i/>
        </w:rPr>
        <w:t xml:space="preserve"> </w:t>
      </w:r>
    </w:p>
  </w:footnote>
  <w:footnote w:id="18">
    <w:p w14:paraId="2C764ACD" w14:textId="479FA991" w:rsidR="00DC2C72" w:rsidRPr="00DC2C72" w:rsidRDefault="00DC2C72">
      <w:pPr>
        <w:pStyle w:val="FootnoteText"/>
        <w:ind w:firstLine="0"/>
        <w:jc w:val="left"/>
      </w:pPr>
      <w:r>
        <w:rPr>
          <w:rStyle w:val="FootnoteReference"/>
        </w:rPr>
        <w:footnoteRef/>
      </w:r>
      <w:r>
        <w:t xml:space="preserve"> </w:t>
      </w:r>
      <w:r>
        <w:rPr>
          <w:i/>
        </w:rPr>
        <w:t xml:space="preserve">NAL Response </w:t>
      </w:r>
      <w:r>
        <w:t>at 2.</w:t>
      </w:r>
    </w:p>
  </w:footnote>
  <w:footnote w:id="19">
    <w:p w14:paraId="7AE133BF" w14:textId="0E8BE2B7" w:rsidR="00CB0E65" w:rsidRPr="009726F2" w:rsidRDefault="00CB0E65">
      <w:pPr>
        <w:pStyle w:val="FootnoteText"/>
        <w:ind w:firstLine="0"/>
        <w:jc w:val="left"/>
      </w:pPr>
      <w:r>
        <w:rPr>
          <w:rStyle w:val="FootnoteReference"/>
        </w:rPr>
        <w:footnoteRef/>
      </w:r>
      <w:r>
        <w:rPr>
          <w:i/>
        </w:rPr>
        <w:t xml:space="preserve"> </w:t>
      </w:r>
      <w:r w:rsidRPr="009726F2">
        <w:rPr>
          <w:i/>
        </w:rPr>
        <w:t>Forfeiture Policy Statement</w:t>
      </w:r>
      <w:r w:rsidRPr="009726F2">
        <w:t>, 12 FCC Rcd at 17</w:t>
      </w:r>
      <w:r>
        <w:t>10</w:t>
      </w:r>
      <w:r w:rsidRPr="009726F2">
        <w:t>7</w:t>
      </w:r>
      <w:r w:rsidR="00647BFE">
        <w:t>, para. 44</w:t>
      </w:r>
      <w:r w:rsidRPr="009726F2">
        <w:t xml:space="preserve"> (</w:t>
      </w:r>
      <w:r w:rsidRPr="009726F2">
        <w:rPr>
          <w:color w:val="000000"/>
        </w:rPr>
        <w:t>the Commission has the flexibility to consider any documentation, not just audited financial statements, that it considers probative, objective eviden</w:t>
      </w:r>
      <w:r w:rsidR="0098329D">
        <w:rPr>
          <w:color w:val="000000"/>
        </w:rPr>
        <w:t xml:space="preserve">ce of the </w:t>
      </w:r>
      <w:r w:rsidRPr="009726F2">
        <w:rPr>
          <w:color w:val="000000"/>
        </w:rPr>
        <w:t>violator's ability to pay a forfeiture).</w:t>
      </w:r>
    </w:p>
  </w:footnote>
  <w:footnote w:id="20">
    <w:p w14:paraId="2024AB94" w14:textId="77777777" w:rsidR="006D0CDC" w:rsidRPr="00163967" w:rsidRDefault="006D0CDC">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8E5F5B">
        <w:rPr>
          <w:i/>
        </w:rPr>
        <w:t>NAL Response</w:t>
      </w:r>
      <w:r>
        <w:rPr>
          <w:szCs w:val="20"/>
        </w:rPr>
        <w:t xml:space="preserve"> at 2</w:t>
      </w:r>
      <w:r w:rsidRPr="00163967">
        <w:rPr>
          <w:szCs w:val="20"/>
        </w:rPr>
        <w:t>.</w:t>
      </w:r>
    </w:p>
  </w:footnote>
  <w:footnote w:id="21">
    <w:p w14:paraId="39D71BD1" w14:textId="77777777" w:rsidR="006D0CDC" w:rsidRPr="005A6D93" w:rsidRDefault="006D0CDC" w:rsidP="0013749F">
      <w:pPr>
        <w:pStyle w:val="FootnoteText"/>
        <w:ind w:firstLine="0"/>
        <w:jc w:val="left"/>
      </w:pPr>
      <w:r w:rsidRPr="005A6D93">
        <w:rPr>
          <w:rStyle w:val="FootnoteReference"/>
        </w:rPr>
        <w:footnoteRef/>
      </w:r>
      <w:r w:rsidRPr="005A6D93">
        <w:t xml:space="preserve"> </w:t>
      </w:r>
      <w:r w:rsidRPr="005A6D93">
        <w:rPr>
          <w:i/>
          <w:iCs/>
        </w:rPr>
        <w:t>See, e.g.</w:t>
      </w:r>
      <w:r w:rsidRPr="005A6D93">
        <w:t>,</w:t>
      </w:r>
      <w:r w:rsidRPr="005A6D93">
        <w:rPr>
          <w:i/>
          <w:iCs/>
        </w:rPr>
        <w:t xml:space="preserve"> </w:t>
      </w:r>
      <w:r w:rsidRPr="001E38F2">
        <w:rPr>
          <w:i/>
          <w:iCs/>
        </w:rPr>
        <w:t>Seawest Yacht Brokers</w:t>
      </w:r>
      <w:r w:rsidRPr="001E38F2">
        <w:rPr>
          <w:iCs/>
        </w:rPr>
        <w:t xml:space="preserve">, </w:t>
      </w:r>
      <w:r w:rsidRPr="001E38F2">
        <w:t>Notice of Forfeiture</w:t>
      </w:r>
      <w:r w:rsidRPr="001E38F2">
        <w:rPr>
          <w:iCs/>
        </w:rPr>
        <w:t>, 9 FCC Rcd 6099, 6099, para. 7 (1994)</w:t>
      </w:r>
      <w:r w:rsidRPr="005A6D93">
        <w:rPr>
          <w:iCs/>
        </w:rPr>
        <w:t xml:space="preserve"> </w:t>
      </w:r>
      <w:r w:rsidRPr="005A6D93">
        <w:t>(</w:t>
      </w:r>
      <w:r w:rsidRPr="005A6D93">
        <w:rPr>
          <w:iCs/>
        </w:rPr>
        <w:t>citations omitted)</w:t>
      </w:r>
      <w:r w:rsidRPr="005A6D93">
        <w:t xml:space="preserve">; </w:t>
      </w:r>
      <w:r w:rsidRPr="001E38F2">
        <w:rPr>
          <w:i/>
          <w:iCs/>
        </w:rPr>
        <w:t>Exec. Broad. Corp.</w:t>
      </w:r>
      <w:r w:rsidRPr="001E38F2">
        <w:t xml:space="preserve">, </w:t>
      </w:r>
      <w:r>
        <w:t xml:space="preserve">Memorandum Opinion and Order, </w:t>
      </w:r>
      <w:r w:rsidRPr="001E38F2">
        <w:t>3 FCC 2d 699, 700, para. 6 (1966)</w:t>
      </w:r>
      <w:r w:rsidRPr="005A6D93">
        <w:t xml:space="preserve"> (“The fact that prompt corrective action was taken . . . does not excuse the prior violations.”).</w:t>
      </w:r>
    </w:p>
  </w:footnote>
  <w:footnote w:id="22">
    <w:p w14:paraId="0C52EC9B" w14:textId="77777777" w:rsidR="006D0CDC" w:rsidRPr="006D0CDC" w:rsidRDefault="006D0CDC" w:rsidP="00DF42AF">
      <w:pPr>
        <w:pStyle w:val="FootnoteText"/>
        <w:tabs>
          <w:tab w:val="clear" w:pos="720"/>
        </w:tabs>
        <w:ind w:firstLine="0"/>
        <w:jc w:val="left"/>
      </w:pPr>
      <w:r>
        <w:rPr>
          <w:rStyle w:val="FootnoteReference"/>
        </w:rPr>
        <w:footnoteRef/>
      </w:r>
      <w:r>
        <w:t xml:space="preserve"> </w:t>
      </w:r>
      <w:r>
        <w:rPr>
          <w:i/>
        </w:rPr>
        <w:t xml:space="preserve">NAL Response </w:t>
      </w:r>
      <w:r>
        <w:t>at Exhibit B.</w:t>
      </w:r>
    </w:p>
  </w:footnote>
  <w:footnote w:id="23">
    <w:p w14:paraId="358DD79F" w14:textId="27852FC5" w:rsidR="0098329D" w:rsidRPr="00F710AB" w:rsidRDefault="0098329D" w:rsidP="0013749F">
      <w:pPr>
        <w:pStyle w:val="FootnoteText"/>
        <w:tabs>
          <w:tab w:val="clear" w:pos="720"/>
        </w:tabs>
        <w:ind w:firstLine="0"/>
        <w:jc w:val="left"/>
      </w:pPr>
      <w:r>
        <w:rPr>
          <w:rStyle w:val="FootnoteReference"/>
        </w:rPr>
        <w:footnoteRef/>
      </w:r>
      <w:r>
        <w:t xml:space="preserve"> </w:t>
      </w:r>
      <w:r>
        <w:rPr>
          <w:i/>
        </w:rPr>
        <w:t xml:space="preserve">See </w:t>
      </w:r>
      <w:r w:rsidR="00F710AB">
        <w:rPr>
          <w:i/>
        </w:rPr>
        <w:t>Wagenvoord</w:t>
      </w:r>
      <w:r w:rsidR="00246549">
        <w:rPr>
          <w:i/>
        </w:rPr>
        <w:t xml:space="preserve"> </w:t>
      </w:r>
      <w:r w:rsidR="00F710AB">
        <w:rPr>
          <w:i/>
        </w:rPr>
        <w:t xml:space="preserve"> Adver. Grp., Inc.</w:t>
      </w:r>
      <w:r w:rsidR="00F710AB">
        <w:t xml:space="preserve">, Memorandum Opinion and Order, 29 FCC Rcd 12578 (Enf. Bur. 2014) (reducing forfeiture in light of violator’s good faith efforts to comply with the Commission’s antenna structure requirements prior to inspection). </w:t>
      </w:r>
    </w:p>
  </w:footnote>
  <w:footnote w:id="24">
    <w:p w14:paraId="2384013A" w14:textId="6A01209E" w:rsidR="0066702C" w:rsidRPr="005F515C" w:rsidRDefault="0066702C">
      <w:pPr>
        <w:pStyle w:val="FootnoteText"/>
        <w:ind w:firstLine="0"/>
        <w:jc w:val="left"/>
        <w:rPr>
          <w:color w:val="000000"/>
        </w:rPr>
      </w:pPr>
      <w:r w:rsidRPr="005F515C">
        <w:rPr>
          <w:rStyle w:val="FootnoteReference"/>
          <w:color w:val="000000"/>
        </w:rPr>
        <w:footnoteRef/>
      </w:r>
      <w:r w:rsidRPr="005F515C">
        <w:rPr>
          <w:color w:val="000000"/>
        </w:rPr>
        <w:t xml:space="preserve"> 47 U.S.C. §§ 303(q), 503(b); 47 C.F.R. §§ 0.111, 0.204, 0.311, 0.314, 1.80</w:t>
      </w:r>
      <w:r w:rsidR="00F710AB">
        <w:rPr>
          <w:color w:val="000000"/>
        </w:rPr>
        <w:t>(f)(4)</w:t>
      </w:r>
      <w:r w:rsidRPr="005F515C">
        <w:rPr>
          <w:color w:val="000000"/>
        </w:rPr>
        <w:t xml:space="preserve">, 17.47, </w:t>
      </w:r>
      <w:r>
        <w:rPr>
          <w:color w:val="000000"/>
        </w:rPr>
        <w:t xml:space="preserve">17.48, </w:t>
      </w:r>
      <w:r w:rsidRPr="005F515C">
        <w:rPr>
          <w:color w:val="000000"/>
        </w:rPr>
        <w:t>17.51(</w:t>
      </w:r>
      <w:r w:rsidR="00CB0E65">
        <w:rPr>
          <w:color w:val="000000"/>
        </w:rPr>
        <w:t>a</w:t>
      </w:r>
      <w:r w:rsidRPr="005F515C">
        <w:rPr>
          <w:color w:val="000000"/>
        </w:rPr>
        <w:t>).</w:t>
      </w:r>
    </w:p>
  </w:footnote>
  <w:footnote w:id="25">
    <w:p w14:paraId="234AF86A" w14:textId="77777777" w:rsidR="00A80EF9" w:rsidRPr="00163967" w:rsidRDefault="00A80EF9">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26">
    <w:p w14:paraId="0E28AD76" w14:textId="77777777" w:rsidR="00A80EF9" w:rsidRPr="00163967" w:rsidRDefault="00A80EF9">
      <w:pPr>
        <w:pStyle w:val="FootnoteText"/>
        <w:widowControl/>
        <w:ind w:firstLine="0"/>
        <w:jc w:val="left"/>
        <w:rPr>
          <w:szCs w:val="20"/>
        </w:rPr>
      </w:pPr>
      <w:r w:rsidRPr="00163967">
        <w:rPr>
          <w:rStyle w:val="FootnoteReference"/>
        </w:rPr>
        <w:footnoteRef/>
      </w:r>
      <w:r w:rsidRPr="00163967">
        <w:rPr>
          <w:szCs w:val="20"/>
        </w:rPr>
        <w:t xml:space="preserve"> 47 U.S.C. § 504(a).</w:t>
      </w:r>
    </w:p>
  </w:footnote>
  <w:footnote w:id="27">
    <w:p w14:paraId="49934F20" w14:textId="77777777" w:rsidR="00A80EF9" w:rsidRPr="00163967" w:rsidRDefault="00A80EF9">
      <w:pPr>
        <w:pStyle w:val="FootnoteText"/>
        <w:widowControl/>
        <w:ind w:firstLine="0"/>
        <w:jc w:val="left"/>
        <w:rPr>
          <w:szCs w:val="20"/>
        </w:rPr>
      </w:pPr>
      <w:r w:rsidRPr="00163967">
        <w:rPr>
          <w:rStyle w:val="FootnoteReference"/>
        </w:rPr>
        <w:footnoteRef/>
      </w:r>
      <w:r w:rsidRPr="00163967">
        <w:rPr>
          <w:szCs w:val="20"/>
        </w:rPr>
        <w:t xml:space="preserve"> </w:t>
      </w:r>
      <w:r w:rsidRPr="00163967">
        <w:rPr>
          <w:rFonts w:eastAsia="MS Mincho" w:cs="Arial"/>
          <w:szCs w:val="20"/>
        </w:rPr>
        <w:t>An FCC Form 159 and detailed instructions for completing the form may be obtained at http://www.fcc.gov/Forms/Form159/159.pdf.</w:t>
      </w:r>
    </w:p>
  </w:footnote>
  <w:footnote w:id="28">
    <w:p w14:paraId="334F4E80" w14:textId="77777777" w:rsidR="00A80EF9" w:rsidRPr="00163967" w:rsidRDefault="00A80EF9">
      <w:pPr>
        <w:pStyle w:val="FootnoteText"/>
        <w:widowControl/>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5260" w14:textId="77777777" w:rsidR="0014460E" w:rsidRDefault="00144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34B81FBF"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FC055A">
      <w:rPr>
        <w:b/>
      </w:rPr>
      <w:t>5</w:t>
    </w:r>
    <w:r>
      <w:rPr>
        <w:b/>
      </w:rPr>
      <w:t>-</w:t>
    </w:r>
    <w:r w:rsidR="00E76AD8">
      <w:rPr>
        <w:b/>
      </w:rPr>
      <w:t>26</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4979EBF4" w:rsidR="00A80EF9" w:rsidRDefault="00A80EF9">
    <w:pPr>
      <w:tabs>
        <w:tab w:val="center" w:pos="4680"/>
        <w:tab w:val="right" w:pos="9360"/>
      </w:tabs>
      <w:suppressAutoHyphens/>
      <w:spacing w:line="227" w:lineRule="auto"/>
      <w:jc w:val="both"/>
      <w:rPr>
        <w:spacing w:val="-2"/>
      </w:rPr>
    </w:pPr>
    <w:r>
      <w:rPr>
        <w:b/>
        <w:spacing w:val="-2"/>
      </w:rPr>
      <w:tab/>
      <w:t>Federal</w:t>
    </w:r>
    <w:r w:rsidR="009C6F42">
      <w:rPr>
        <w:b/>
        <w:spacing w:val="-2"/>
      </w:rPr>
      <w:t xml:space="preserve"> Communications Commission</w:t>
    </w:r>
    <w:r w:rsidR="009C6F42">
      <w:rPr>
        <w:b/>
        <w:spacing w:val="-2"/>
      </w:rPr>
      <w:tab/>
      <w:t>DA 1</w:t>
    </w:r>
    <w:r w:rsidR="00FC055A">
      <w:rPr>
        <w:b/>
        <w:spacing w:val="-2"/>
      </w:rPr>
      <w:t>5</w:t>
    </w:r>
    <w:r>
      <w:rPr>
        <w:b/>
        <w:spacing w:val="-2"/>
      </w:rPr>
      <w:t>-</w:t>
    </w:r>
    <w:r w:rsidR="00E76AD8">
      <w:rPr>
        <w:b/>
        <w:spacing w:val="-2"/>
      </w:rPr>
      <w:t>26</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1A2F361D"/>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3">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5"/>
  </w:num>
  <w:num w:numId="4">
    <w:abstractNumId w:val="12"/>
  </w:num>
  <w:num w:numId="5">
    <w:abstractNumId w:val="4"/>
  </w:num>
  <w:num w:numId="6">
    <w:abstractNumId w:val="6"/>
  </w:num>
  <w:num w:numId="7">
    <w:abstractNumId w:val="3"/>
  </w:num>
  <w:num w:numId="8">
    <w:abstractNumId w:val="13"/>
  </w:num>
  <w:num w:numId="9">
    <w:abstractNumId w:val="11"/>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45489"/>
    <w:rsid w:val="000478B5"/>
    <w:rsid w:val="00065D52"/>
    <w:rsid w:val="00095EBC"/>
    <w:rsid w:val="000B4DF2"/>
    <w:rsid w:val="000B7B9C"/>
    <w:rsid w:val="000D7FCC"/>
    <w:rsid w:val="000E468A"/>
    <w:rsid w:val="000E5BF2"/>
    <w:rsid w:val="001221C1"/>
    <w:rsid w:val="0012432D"/>
    <w:rsid w:val="00136A91"/>
    <w:rsid w:val="0013749F"/>
    <w:rsid w:val="00142495"/>
    <w:rsid w:val="0014460E"/>
    <w:rsid w:val="001557D7"/>
    <w:rsid w:val="00160E82"/>
    <w:rsid w:val="00163967"/>
    <w:rsid w:val="00187123"/>
    <w:rsid w:val="001B2825"/>
    <w:rsid w:val="001B5E6D"/>
    <w:rsid w:val="001C0059"/>
    <w:rsid w:val="001C0F6A"/>
    <w:rsid w:val="001C1B23"/>
    <w:rsid w:val="001C3864"/>
    <w:rsid w:val="001D3E1E"/>
    <w:rsid w:val="001D684D"/>
    <w:rsid w:val="001E38F2"/>
    <w:rsid w:val="001E3A4D"/>
    <w:rsid w:val="001F0226"/>
    <w:rsid w:val="001F55A1"/>
    <w:rsid w:val="001F73B5"/>
    <w:rsid w:val="002070B4"/>
    <w:rsid w:val="00211A8B"/>
    <w:rsid w:val="002154B0"/>
    <w:rsid w:val="00226B3D"/>
    <w:rsid w:val="002375F1"/>
    <w:rsid w:val="00243A06"/>
    <w:rsid w:val="00246549"/>
    <w:rsid w:val="00250566"/>
    <w:rsid w:val="00257394"/>
    <w:rsid w:val="002622B8"/>
    <w:rsid w:val="0026705B"/>
    <w:rsid w:val="0027787A"/>
    <w:rsid w:val="00287E3C"/>
    <w:rsid w:val="002A5137"/>
    <w:rsid w:val="002A7814"/>
    <w:rsid w:val="002C4062"/>
    <w:rsid w:val="002C5142"/>
    <w:rsid w:val="002C7509"/>
    <w:rsid w:val="002D2FF6"/>
    <w:rsid w:val="002D508B"/>
    <w:rsid w:val="00300B98"/>
    <w:rsid w:val="00306A7D"/>
    <w:rsid w:val="00323B69"/>
    <w:rsid w:val="00334D47"/>
    <w:rsid w:val="00334DCA"/>
    <w:rsid w:val="003442AC"/>
    <w:rsid w:val="00345358"/>
    <w:rsid w:val="00360754"/>
    <w:rsid w:val="003621F1"/>
    <w:rsid w:val="0037383B"/>
    <w:rsid w:val="0038494B"/>
    <w:rsid w:val="003876EE"/>
    <w:rsid w:val="0039779B"/>
    <w:rsid w:val="003C54FB"/>
    <w:rsid w:val="003E056A"/>
    <w:rsid w:val="003F4002"/>
    <w:rsid w:val="0040394E"/>
    <w:rsid w:val="00403CCA"/>
    <w:rsid w:val="00404144"/>
    <w:rsid w:val="004041F0"/>
    <w:rsid w:val="0041426B"/>
    <w:rsid w:val="00430434"/>
    <w:rsid w:val="00430B8A"/>
    <w:rsid w:val="0043171B"/>
    <w:rsid w:val="00436EF6"/>
    <w:rsid w:val="00447053"/>
    <w:rsid w:val="004573F0"/>
    <w:rsid w:val="00484344"/>
    <w:rsid w:val="00495717"/>
    <w:rsid w:val="0049589D"/>
    <w:rsid w:val="004C50D7"/>
    <w:rsid w:val="004C55DA"/>
    <w:rsid w:val="004D32B8"/>
    <w:rsid w:val="004E4192"/>
    <w:rsid w:val="004F6BDC"/>
    <w:rsid w:val="00500C3C"/>
    <w:rsid w:val="00502750"/>
    <w:rsid w:val="00507736"/>
    <w:rsid w:val="0051192E"/>
    <w:rsid w:val="005215D5"/>
    <w:rsid w:val="00525D4F"/>
    <w:rsid w:val="005269A2"/>
    <w:rsid w:val="00526CFB"/>
    <w:rsid w:val="00532D14"/>
    <w:rsid w:val="00532DC0"/>
    <w:rsid w:val="005511AE"/>
    <w:rsid w:val="0056260A"/>
    <w:rsid w:val="00563587"/>
    <w:rsid w:val="00567C29"/>
    <w:rsid w:val="0057180E"/>
    <w:rsid w:val="00580574"/>
    <w:rsid w:val="00594F52"/>
    <w:rsid w:val="00595EE9"/>
    <w:rsid w:val="005A1643"/>
    <w:rsid w:val="005B0CE2"/>
    <w:rsid w:val="005B6CDE"/>
    <w:rsid w:val="005C10DB"/>
    <w:rsid w:val="005D28F1"/>
    <w:rsid w:val="005E5B28"/>
    <w:rsid w:val="005F2619"/>
    <w:rsid w:val="0061124B"/>
    <w:rsid w:val="00624567"/>
    <w:rsid w:val="00627660"/>
    <w:rsid w:val="00640254"/>
    <w:rsid w:val="00645573"/>
    <w:rsid w:val="00647BFE"/>
    <w:rsid w:val="0066026B"/>
    <w:rsid w:val="00665A4F"/>
    <w:rsid w:val="00666062"/>
    <w:rsid w:val="0066702C"/>
    <w:rsid w:val="00667A0E"/>
    <w:rsid w:val="00671869"/>
    <w:rsid w:val="006738C7"/>
    <w:rsid w:val="006A5AEA"/>
    <w:rsid w:val="006A5DE0"/>
    <w:rsid w:val="006D0CDC"/>
    <w:rsid w:val="006D2C3C"/>
    <w:rsid w:val="006E54E4"/>
    <w:rsid w:val="006E6B64"/>
    <w:rsid w:val="006F37EC"/>
    <w:rsid w:val="00701719"/>
    <w:rsid w:val="00726B4C"/>
    <w:rsid w:val="0073534D"/>
    <w:rsid w:val="00743C2F"/>
    <w:rsid w:val="00745774"/>
    <w:rsid w:val="00747D0C"/>
    <w:rsid w:val="007531E0"/>
    <w:rsid w:val="0075733D"/>
    <w:rsid w:val="007703F8"/>
    <w:rsid w:val="00786081"/>
    <w:rsid w:val="00792824"/>
    <w:rsid w:val="007B3C8E"/>
    <w:rsid w:val="007D4710"/>
    <w:rsid w:val="007D7135"/>
    <w:rsid w:val="00804F58"/>
    <w:rsid w:val="008115F3"/>
    <w:rsid w:val="00817091"/>
    <w:rsid w:val="00835FE8"/>
    <w:rsid w:val="008411BC"/>
    <w:rsid w:val="00843372"/>
    <w:rsid w:val="00850E14"/>
    <w:rsid w:val="00855EC9"/>
    <w:rsid w:val="00857739"/>
    <w:rsid w:val="008626A7"/>
    <w:rsid w:val="00864481"/>
    <w:rsid w:val="00877C4B"/>
    <w:rsid w:val="00886B82"/>
    <w:rsid w:val="00895196"/>
    <w:rsid w:val="008B3887"/>
    <w:rsid w:val="008B3D50"/>
    <w:rsid w:val="008C1A0C"/>
    <w:rsid w:val="008C4EA7"/>
    <w:rsid w:val="008E079A"/>
    <w:rsid w:val="008E5F5B"/>
    <w:rsid w:val="008E6666"/>
    <w:rsid w:val="008F3DBE"/>
    <w:rsid w:val="00902445"/>
    <w:rsid w:val="00912147"/>
    <w:rsid w:val="00923CCC"/>
    <w:rsid w:val="009257FC"/>
    <w:rsid w:val="00925A53"/>
    <w:rsid w:val="009278D5"/>
    <w:rsid w:val="00934211"/>
    <w:rsid w:val="00951A66"/>
    <w:rsid w:val="009564E9"/>
    <w:rsid w:val="00961579"/>
    <w:rsid w:val="00972009"/>
    <w:rsid w:val="009732D2"/>
    <w:rsid w:val="0097556A"/>
    <w:rsid w:val="0098329D"/>
    <w:rsid w:val="00984445"/>
    <w:rsid w:val="009A3B4C"/>
    <w:rsid w:val="009A462D"/>
    <w:rsid w:val="009B3B64"/>
    <w:rsid w:val="009C17AA"/>
    <w:rsid w:val="009C6F42"/>
    <w:rsid w:val="009E61A9"/>
    <w:rsid w:val="00A04FA3"/>
    <w:rsid w:val="00A15C53"/>
    <w:rsid w:val="00A1624B"/>
    <w:rsid w:val="00A17FBD"/>
    <w:rsid w:val="00A22F36"/>
    <w:rsid w:val="00A30680"/>
    <w:rsid w:val="00A31F76"/>
    <w:rsid w:val="00A4026E"/>
    <w:rsid w:val="00A52750"/>
    <w:rsid w:val="00A54EF7"/>
    <w:rsid w:val="00A6515B"/>
    <w:rsid w:val="00A7111A"/>
    <w:rsid w:val="00A72764"/>
    <w:rsid w:val="00A76318"/>
    <w:rsid w:val="00A80EF9"/>
    <w:rsid w:val="00A85887"/>
    <w:rsid w:val="00A86D7F"/>
    <w:rsid w:val="00A96136"/>
    <w:rsid w:val="00A9627E"/>
    <w:rsid w:val="00AB112B"/>
    <w:rsid w:val="00AC744E"/>
    <w:rsid w:val="00AF6CE4"/>
    <w:rsid w:val="00B055B2"/>
    <w:rsid w:val="00B175EB"/>
    <w:rsid w:val="00B2411E"/>
    <w:rsid w:val="00B33D4E"/>
    <w:rsid w:val="00B3592A"/>
    <w:rsid w:val="00B41224"/>
    <w:rsid w:val="00B61D95"/>
    <w:rsid w:val="00B81DE3"/>
    <w:rsid w:val="00B83394"/>
    <w:rsid w:val="00B8444B"/>
    <w:rsid w:val="00BA089C"/>
    <w:rsid w:val="00BA1741"/>
    <w:rsid w:val="00BA2D76"/>
    <w:rsid w:val="00BB693A"/>
    <w:rsid w:val="00BD060F"/>
    <w:rsid w:val="00BD10A2"/>
    <w:rsid w:val="00C1614E"/>
    <w:rsid w:val="00C16F99"/>
    <w:rsid w:val="00C22884"/>
    <w:rsid w:val="00C25105"/>
    <w:rsid w:val="00C330EF"/>
    <w:rsid w:val="00C401BE"/>
    <w:rsid w:val="00C41085"/>
    <w:rsid w:val="00C42095"/>
    <w:rsid w:val="00C42218"/>
    <w:rsid w:val="00C42E4D"/>
    <w:rsid w:val="00C45ADC"/>
    <w:rsid w:val="00C67679"/>
    <w:rsid w:val="00CB0E65"/>
    <w:rsid w:val="00CD1DBE"/>
    <w:rsid w:val="00D00FED"/>
    <w:rsid w:val="00D07731"/>
    <w:rsid w:val="00D22F42"/>
    <w:rsid w:val="00D269A7"/>
    <w:rsid w:val="00D44695"/>
    <w:rsid w:val="00D471D6"/>
    <w:rsid w:val="00D54BD4"/>
    <w:rsid w:val="00D60D8C"/>
    <w:rsid w:val="00D640FC"/>
    <w:rsid w:val="00D70CCD"/>
    <w:rsid w:val="00D72063"/>
    <w:rsid w:val="00D741DB"/>
    <w:rsid w:val="00D83E65"/>
    <w:rsid w:val="00D843FB"/>
    <w:rsid w:val="00D9193E"/>
    <w:rsid w:val="00D94C13"/>
    <w:rsid w:val="00D951F6"/>
    <w:rsid w:val="00DA316C"/>
    <w:rsid w:val="00DC25A2"/>
    <w:rsid w:val="00DC2C72"/>
    <w:rsid w:val="00DC2EFE"/>
    <w:rsid w:val="00DC59AD"/>
    <w:rsid w:val="00DD1F81"/>
    <w:rsid w:val="00DD22E5"/>
    <w:rsid w:val="00DD5284"/>
    <w:rsid w:val="00DD75F8"/>
    <w:rsid w:val="00DE5386"/>
    <w:rsid w:val="00DF42AF"/>
    <w:rsid w:val="00DF4B5A"/>
    <w:rsid w:val="00E01A32"/>
    <w:rsid w:val="00E0232F"/>
    <w:rsid w:val="00E0519C"/>
    <w:rsid w:val="00E26178"/>
    <w:rsid w:val="00E34004"/>
    <w:rsid w:val="00E36514"/>
    <w:rsid w:val="00E51D73"/>
    <w:rsid w:val="00E61A51"/>
    <w:rsid w:val="00E6231A"/>
    <w:rsid w:val="00E71504"/>
    <w:rsid w:val="00E72CE4"/>
    <w:rsid w:val="00E76AD8"/>
    <w:rsid w:val="00E77540"/>
    <w:rsid w:val="00E8363E"/>
    <w:rsid w:val="00E91DEB"/>
    <w:rsid w:val="00E9705D"/>
    <w:rsid w:val="00EA2334"/>
    <w:rsid w:val="00EA58D7"/>
    <w:rsid w:val="00EB7588"/>
    <w:rsid w:val="00EC62AE"/>
    <w:rsid w:val="00EC740C"/>
    <w:rsid w:val="00ED1C4D"/>
    <w:rsid w:val="00ED704F"/>
    <w:rsid w:val="00F07DF9"/>
    <w:rsid w:val="00F12E62"/>
    <w:rsid w:val="00F144BE"/>
    <w:rsid w:val="00F15E68"/>
    <w:rsid w:val="00F225B6"/>
    <w:rsid w:val="00F34069"/>
    <w:rsid w:val="00F37040"/>
    <w:rsid w:val="00F4427B"/>
    <w:rsid w:val="00F61245"/>
    <w:rsid w:val="00F6621C"/>
    <w:rsid w:val="00F710AB"/>
    <w:rsid w:val="00F723A4"/>
    <w:rsid w:val="00F85FC5"/>
    <w:rsid w:val="00F900FA"/>
    <w:rsid w:val="00F9366A"/>
    <w:rsid w:val="00FA5A31"/>
    <w:rsid w:val="00FA623A"/>
    <w:rsid w:val="00FA7F8B"/>
    <w:rsid w:val="00FB29D6"/>
    <w:rsid w:val="00FB3EAE"/>
    <w:rsid w:val="00FB617A"/>
    <w:rsid w:val="00FC055A"/>
    <w:rsid w:val="00FC0AA9"/>
    <w:rsid w:val="00FC5B59"/>
    <w:rsid w:val="00FE3257"/>
    <w:rsid w:val="00FE731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65443038">
      <w:bodyDiv w:val="1"/>
      <w:marLeft w:val="30"/>
      <w:marRight w:val="30"/>
      <w:marTop w:val="30"/>
      <w:marBottom w:val="30"/>
      <w:divBdr>
        <w:top w:val="none" w:sz="0" w:space="0" w:color="auto"/>
        <w:left w:val="none" w:sz="0" w:space="0" w:color="auto"/>
        <w:bottom w:val="none" w:sz="0" w:space="0" w:color="auto"/>
        <w:right w:val="none" w:sz="0" w:space="0" w:color="auto"/>
      </w:divBdr>
      <w:divsChild>
        <w:div w:id="331223384">
          <w:marLeft w:val="0"/>
          <w:marRight w:val="0"/>
          <w:marTop w:val="0"/>
          <w:marBottom w:val="0"/>
          <w:divBdr>
            <w:top w:val="none" w:sz="0" w:space="0" w:color="auto"/>
            <w:left w:val="none" w:sz="0" w:space="0" w:color="auto"/>
            <w:bottom w:val="none" w:sz="0" w:space="0" w:color="auto"/>
            <w:right w:val="none" w:sz="0" w:space="0" w:color="auto"/>
          </w:divBdr>
          <w:divsChild>
            <w:div w:id="976959446">
              <w:marLeft w:val="45"/>
              <w:marRight w:val="45"/>
              <w:marTop w:val="45"/>
              <w:marBottom w:val="45"/>
              <w:divBdr>
                <w:top w:val="none" w:sz="0" w:space="0" w:color="auto"/>
                <w:left w:val="none" w:sz="0" w:space="0" w:color="auto"/>
                <w:bottom w:val="none" w:sz="0" w:space="0" w:color="auto"/>
                <w:right w:val="none" w:sz="0" w:space="0" w:color="auto"/>
              </w:divBdr>
              <w:divsChild>
                <w:div w:id="1996255291">
                  <w:marLeft w:val="0"/>
                  <w:marRight w:val="0"/>
                  <w:marTop w:val="0"/>
                  <w:marBottom w:val="0"/>
                  <w:divBdr>
                    <w:top w:val="none" w:sz="0" w:space="0" w:color="auto"/>
                    <w:left w:val="none" w:sz="0" w:space="0" w:color="auto"/>
                    <w:bottom w:val="none" w:sz="0" w:space="0" w:color="auto"/>
                    <w:right w:val="none" w:sz="0" w:space="0" w:color="auto"/>
                  </w:divBdr>
                  <w:divsChild>
                    <w:div w:id="81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 w:id="20929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8136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9692</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2015-01-09T02:03:00Z</dcterms:created>
  <dcterms:modified xsi:type="dcterms:W3CDTF">2015-01-09T02:03:00Z</dcterms:modified>
  <cp:category> </cp:category>
  <cp:contentStatus> </cp:contentStatus>
</cp:coreProperties>
</file>