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8B" w:rsidRPr="00F517E6" w:rsidRDefault="00BA208B" w:rsidP="00D35466">
      <w:pPr>
        <w:ind w:left="6480" w:firstLine="360"/>
        <w:rPr>
          <w:sz w:val="22"/>
          <w:szCs w:val="22"/>
        </w:rPr>
      </w:pPr>
      <w:bookmarkStart w:id="0" w:name="_GoBack"/>
      <w:bookmarkEnd w:id="0"/>
    </w:p>
    <w:p w:rsidR="00F85F0C" w:rsidRPr="00F85F0C" w:rsidRDefault="00F85F0C" w:rsidP="005C2DB5">
      <w:pPr>
        <w:ind w:firstLine="6750"/>
        <w:jc w:val="both"/>
        <w:rPr>
          <w:b/>
          <w:sz w:val="22"/>
          <w:szCs w:val="22"/>
        </w:rPr>
      </w:pPr>
      <w:r>
        <w:rPr>
          <w:b/>
          <w:sz w:val="22"/>
          <w:szCs w:val="22"/>
        </w:rPr>
        <w:t xml:space="preserve">DA </w:t>
      </w:r>
      <w:r w:rsidR="00035324" w:rsidRPr="00035324">
        <w:rPr>
          <w:b/>
          <w:sz w:val="22"/>
          <w:szCs w:val="22"/>
        </w:rPr>
        <w:t>15-272</w:t>
      </w:r>
    </w:p>
    <w:p w:rsidR="00D35466" w:rsidRPr="00F517E6" w:rsidRDefault="00BA208B" w:rsidP="005C2DB5">
      <w:pPr>
        <w:ind w:firstLine="6750"/>
        <w:jc w:val="both"/>
        <w:rPr>
          <w:i/>
          <w:sz w:val="22"/>
          <w:szCs w:val="22"/>
        </w:rPr>
      </w:pPr>
      <w:r w:rsidRPr="00F517E6">
        <w:rPr>
          <w:i/>
          <w:sz w:val="22"/>
          <w:szCs w:val="22"/>
        </w:rPr>
        <w:t>In Reply Refer to:</w:t>
      </w:r>
    </w:p>
    <w:p w:rsidR="00D35466" w:rsidRDefault="00BA208B" w:rsidP="005C2DB5">
      <w:pPr>
        <w:ind w:firstLine="6750"/>
        <w:jc w:val="both"/>
        <w:rPr>
          <w:sz w:val="22"/>
          <w:szCs w:val="22"/>
        </w:rPr>
      </w:pPr>
      <w:r w:rsidRPr="00F517E6">
        <w:rPr>
          <w:sz w:val="22"/>
          <w:szCs w:val="22"/>
        </w:rPr>
        <w:t>1800B3-</w:t>
      </w:r>
      <w:r w:rsidR="00D35466" w:rsidRPr="00F517E6">
        <w:rPr>
          <w:sz w:val="22"/>
          <w:szCs w:val="22"/>
        </w:rPr>
        <w:t>HOD</w:t>
      </w:r>
    </w:p>
    <w:p w:rsidR="00F85F0C" w:rsidRPr="00F517E6" w:rsidRDefault="00F85F0C" w:rsidP="005C2DB5">
      <w:pPr>
        <w:ind w:firstLine="6750"/>
        <w:jc w:val="both"/>
        <w:rPr>
          <w:sz w:val="22"/>
          <w:szCs w:val="22"/>
        </w:rPr>
      </w:pPr>
      <w:r>
        <w:rPr>
          <w:sz w:val="22"/>
          <w:szCs w:val="22"/>
        </w:rPr>
        <w:t xml:space="preserve">Released:  </w:t>
      </w:r>
      <w:r w:rsidR="007C1D93">
        <w:rPr>
          <w:sz w:val="22"/>
          <w:szCs w:val="22"/>
        </w:rPr>
        <w:t>March</w:t>
      </w:r>
      <w:r>
        <w:rPr>
          <w:sz w:val="22"/>
          <w:szCs w:val="22"/>
        </w:rPr>
        <w:t xml:space="preserve"> </w:t>
      </w:r>
      <w:r w:rsidR="007C1D93">
        <w:rPr>
          <w:sz w:val="22"/>
          <w:szCs w:val="22"/>
        </w:rPr>
        <w:t>2</w:t>
      </w:r>
      <w:r>
        <w:rPr>
          <w:sz w:val="22"/>
          <w:szCs w:val="22"/>
        </w:rPr>
        <w:t>, 2015</w:t>
      </w:r>
    </w:p>
    <w:p w:rsidR="00BA208B" w:rsidRPr="00F517E6" w:rsidRDefault="00BA208B" w:rsidP="005C2DB5">
      <w:pPr>
        <w:jc w:val="both"/>
        <w:rPr>
          <w:sz w:val="22"/>
          <w:szCs w:val="22"/>
        </w:rPr>
      </w:pPr>
    </w:p>
    <w:p w:rsidR="00D5158F" w:rsidRDefault="00C61566" w:rsidP="005C2DB5">
      <w:pPr>
        <w:jc w:val="both"/>
        <w:rPr>
          <w:sz w:val="22"/>
          <w:szCs w:val="22"/>
        </w:rPr>
      </w:pPr>
      <w:r>
        <w:rPr>
          <w:sz w:val="22"/>
          <w:szCs w:val="22"/>
        </w:rPr>
        <w:t>Larry Boyd Mock</w:t>
      </w:r>
    </w:p>
    <w:p w:rsidR="00F85F0C" w:rsidRDefault="00F85F0C" w:rsidP="005C2DB5">
      <w:pPr>
        <w:jc w:val="both"/>
        <w:rPr>
          <w:sz w:val="22"/>
          <w:szCs w:val="22"/>
        </w:rPr>
      </w:pPr>
      <w:r>
        <w:rPr>
          <w:sz w:val="22"/>
          <w:szCs w:val="22"/>
        </w:rPr>
        <w:t>P.O. Box 229</w:t>
      </w:r>
    </w:p>
    <w:p w:rsidR="00F85F0C" w:rsidRPr="00D5158F" w:rsidRDefault="00F85F0C" w:rsidP="005C2DB5">
      <w:pPr>
        <w:jc w:val="both"/>
        <w:rPr>
          <w:sz w:val="22"/>
          <w:szCs w:val="22"/>
        </w:rPr>
      </w:pPr>
      <w:r>
        <w:rPr>
          <w:sz w:val="22"/>
          <w:szCs w:val="22"/>
        </w:rPr>
        <w:t>San Marcos, TX 78667</w:t>
      </w:r>
    </w:p>
    <w:p w:rsidR="00BC78E2" w:rsidRPr="00F517E6" w:rsidRDefault="00BC78E2" w:rsidP="005C2DB5">
      <w:pPr>
        <w:jc w:val="both"/>
        <w:rPr>
          <w:sz w:val="22"/>
          <w:szCs w:val="22"/>
        </w:rPr>
      </w:pPr>
    </w:p>
    <w:p w:rsidR="00F85F0C" w:rsidRDefault="00F85F0C" w:rsidP="005C2DB5">
      <w:pPr>
        <w:jc w:val="both"/>
        <w:rPr>
          <w:sz w:val="22"/>
          <w:szCs w:val="22"/>
        </w:rPr>
      </w:pPr>
      <w:r>
        <w:rPr>
          <w:sz w:val="22"/>
          <w:szCs w:val="22"/>
        </w:rPr>
        <w:t>David M. Newman</w:t>
      </w:r>
    </w:p>
    <w:p w:rsidR="00F85F0C" w:rsidRDefault="00F85F0C" w:rsidP="005C2DB5">
      <w:pPr>
        <w:jc w:val="both"/>
        <w:rPr>
          <w:sz w:val="22"/>
          <w:szCs w:val="22"/>
        </w:rPr>
      </w:pPr>
      <w:r>
        <w:rPr>
          <w:sz w:val="22"/>
          <w:szCs w:val="22"/>
        </w:rPr>
        <w:t>216 N. Guadalupe Street</w:t>
      </w:r>
    </w:p>
    <w:p w:rsidR="00F85F0C" w:rsidRPr="00F517E6" w:rsidRDefault="00F85F0C" w:rsidP="005C2DB5">
      <w:pPr>
        <w:jc w:val="both"/>
        <w:rPr>
          <w:sz w:val="22"/>
          <w:szCs w:val="22"/>
        </w:rPr>
      </w:pPr>
      <w:r>
        <w:rPr>
          <w:sz w:val="22"/>
          <w:szCs w:val="22"/>
        </w:rPr>
        <w:t>San Marcos, TX 78666</w:t>
      </w:r>
    </w:p>
    <w:p w:rsidR="00FD3DB2" w:rsidRPr="00F517E6" w:rsidRDefault="00FD3DB2" w:rsidP="005C2DB5">
      <w:pPr>
        <w:jc w:val="both"/>
        <w:rPr>
          <w:sz w:val="22"/>
          <w:szCs w:val="22"/>
        </w:rPr>
      </w:pPr>
    </w:p>
    <w:p w:rsidR="00BA208B" w:rsidRDefault="00BA208B" w:rsidP="00C5181D">
      <w:pPr>
        <w:ind w:left="5040" w:hanging="720"/>
        <w:jc w:val="both"/>
        <w:rPr>
          <w:b/>
          <w:sz w:val="22"/>
          <w:szCs w:val="22"/>
        </w:rPr>
      </w:pPr>
      <w:r w:rsidRPr="00F517E6">
        <w:rPr>
          <w:sz w:val="22"/>
          <w:szCs w:val="22"/>
        </w:rPr>
        <w:t>In re:</w:t>
      </w:r>
      <w:r w:rsidR="00F85F0C">
        <w:rPr>
          <w:sz w:val="22"/>
          <w:szCs w:val="22"/>
        </w:rPr>
        <w:t xml:space="preserve"> </w:t>
      </w:r>
      <w:r w:rsidR="00C5181D" w:rsidRPr="00C5181D">
        <w:rPr>
          <w:b/>
          <w:sz w:val="22"/>
          <w:szCs w:val="22"/>
        </w:rPr>
        <w:t>Application</w:t>
      </w:r>
      <w:r w:rsidR="00C5181D">
        <w:rPr>
          <w:sz w:val="22"/>
          <w:szCs w:val="22"/>
        </w:rPr>
        <w:t xml:space="preserve"> </w:t>
      </w:r>
      <w:r w:rsidR="00C5181D" w:rsidRPr="00C5181D">
        <w:rPr>
          <w:b/>
          <w:sz w:val="22"/>
          <w:szCs w:val="22"/>
        </w:rPr>
        <w:t>of</w:t>
      </w:r>
      <w:r w:rsidR="00C5181D">
        <w:rPr>
          <w:sz w:val="22"/>
          <w:szCs w:val="22"/>
        </w:rPr>
        <w:t xml:space="preserve"> </w:t>
      </w:r>
      <w:r w:rsidR="00F85F0C">
        <w:rPr>
          <w:b/>
          <w:sz w:val="22"/>
          <w:szCs w:val="22"/>
        </w:rPr>
        <w:t xml:space="preserve">San Marcos Voice and San Marcos Texas Community Radio Association </w:t>
      </w:r>
    </w:p>
    <w:p w:rsidR="00BA208B" w:rsidRPr="00F517E6" w:rsidRDefault="00C5181D" w:rsidP="00C5181D">
      <w:pPr>
        <w:ind w:left="5040" w:hanging="720"/>
        <w:jc w:val="both"/>
        <w:rPr>
          <w:sz w:val="22"/>
          <w:szCs w:val="22"/>
        </w:rPr>
      </w:pPr>
      <w:r>
        <w:rPr>
          <w:b/>
          <w:sz w:val="22"/>
          <w:szCs w:val="22"/>
        </w:rPr>
        <w:tab/>
      </w:r>
      <w:r w:rsidR="00F85F0C">
        <w:rPr>
          <w:b/>
          <w:sz w:val="22"/>
          <w:szCs w:val="22"/>
        </w:rPr>
        <w:t xml:space="preserve">to Assign </w:t>
      </w:r>
      <w:r>
        <w:rPr>
          <w:b/>
          <w:sz w:val="22"/>
          <w:szCs w:val="22"/>
        </w:rPr>
        <w:t xml:space="preserve">the </w:t>
      </w:r>
      <w:r w:rsidR="00F85F0C">
        <w:rPr>
          <w:b/>
          <w:sz w:val="22"/>
          <w:szCs w:val="22"/>
        </w:rPr>
        <w:t>Construction Permit</w:t>
      </w:r>
      <w:r>
        <w:rPr>
          <w:b/>
          <w:sz w:val="22"/>
          <w:szCs w:val="22"/>
        </w:rPr>
        <w:t xml:space="preserve"> for </w:t>
      </w:r>
      <w:r w:rsidRPr="00C5181D">
        <w:rPr>
          <w:b/>
          <w:sz w:val="22"/>
          <w:szCs w:val="22"/>
        </w:rPr>
        <w:t>KZSM-LP</w:t>
      </w:r>
      <w:r w:rsidR="00D5158F" w:rsidRPr="00C5181D">
        <w:rPr>
          <w:b/>
          <w:sz w:val="22"/>
          <w:szCs w:val="22"/>
        </w:rPr>
        <w:t xml:space="preserve">, </w:t>
      </w:r>
      <w:r w:rsidRPr="00C5181D">
        <w:rPr>
          <w:b/>
          <w:sz w:val="22"/>
          <w:szCs w:val="22"/>
        </w:rPr>
        <w:t>San Marcos</w:t>
      </w:r>
      <w:r w:rsidR="00D5158F" w:rsidRPr="00C5181D">
        <w:rPr>
          <w:b/>
          <w:sz w:val="22"/>
          <w:szCs w:val="22"/>
        </w:rPr>
        <w:t xml:space="preserve">, </w:t>
      </w:r>
      <w:r w:rsidRPr="00C5181D">
        <w:rPr>
          <w:b/>
          <w:sz w:val="22"/>
          <w:szCs w:val="22"/>
        </w:rPr>
        <w:t>TX</w:t>
      </w:r>
    </w:p>
    <w:p w:rsidR="005E1C31" w:rsidRDefault="006B607C" w:rsidP="00C5181D">
      <w:pPr>
        <w:jc w:val="both"/>
        <w:rPr>
          <w:sz w:val="22"/>
          <w:szCs w:val="22"/>
        </w:rPr>
      </w:pP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Pr="00F517E6">
        <w:rPr>
          <w:sz w:val="22"/>
          <w:szCs w:val="22"/>
        </w:rPr>
        <w:tab/>
      </w:r>
      <w:r w:rsidR="00C5181D">
        <w:rPr>
          <w:sz w:val="22"/>
          <w:szCs w:val="22"/>
        </w:rPr>
        <w:t>File No. BAPL-20150209ABL</w:t>
      </w:r>
    </w:p>
    <w:p w:rsidR="00C5181D" w:rsidRPr="00C5181D" w:rsidRDefault="00C5181D" w:rsidP="00C5181D">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F517E6">
        <w:rPr>
          <w:sz w:val="22"/>
          <w:szCs w:val="22"/>
        </w:rPr>
        <w:t xml:space="preserve">Facility ID No. </w:t>
      </w:r>
      <w:r>
        <w:rPr>
          <w:sz w:val="22"/>
          <w:szCs w:val="22"/>
        </w:rPr>
        <w:t>193620</w:t>
      </w:r>
    </w:p>
    <w:p w:rsidR="006B607C" w:rsidRPr="00F517E6" w:rsidRDefault="006B607C" w:rsidP="005C2DB5">
      <w:pPr>
        <w:jc w:val="both"/>
        <w:rPr>
          <w:sz w:val="22"/>
          <w:szCs w:val="22"/>
        </w:rPr>
      </w:pPr>
    </w:p>
    <w:p w:rsidR="00BA208B" w:rsidRPr="00F517E6" w:rsidRDefault="00BA208B" w:rsidP="005C2DB5">
      <w:pPr>
        <w:jc w:val="both"/>
        <w:rPr>
          <w:sz w:val="22"/>
          <w:szCs w:val="22"/>
        </w:rPr>
      </w:pPr>
      <w:r w:rsidRPr="00F517E6">
        <w:rPr>
          <w:sz w:val="22"/>
          <w:szCs w:val="22"/>
        </w:rPr>
        <w:t xml:space="preserve">Dear </w:t>
      </w:r>
      <w:r w:rsidR="00486E7E" w:rsidRPr="00F517E6">
        <w:rPr>
          <w:sz w:val="22"/>
          <w:szCs w:val="22"/>
        </w:rPr>
        <w:t>Counsel</w:t>
      </w:r>
      <w:r w:rsidRPr="00F517E6">
        <w:rPr>
          <w:sz w:val="22"/>
          <w:szCs w:val="22"/>
        </w:rPr>
        <w:t>:</w:t>
      </w:r>
    </w:p>
    <w:p w:rsidR="00BA208B" w:rsidRPr="00F517E6" w:rsidRDefault="00BA208B" w:rsidP="005C2DB5">
      <w:pPr>
        <w:jc w:val="both"/>
        <w:rPr>
          <w:sz w:val="22"/>
          <w:szCs w:val="22"/>
        </w:rPr>
      </w:pPr>
    </w:p>
    <w:p w:rsidR="00BA208B" w:rsidRPr="00C86DAB" w:rsidRDefault="00BA208B" w:rsidP="00205060">
      <w:pPr>
        <w:jc w:val="both"/>
        <w:rPr>
          <w:sz w:val="22"/>
          <w:szCs w:val="22"/>
        </w:rPr>
      </w:pPr>
      <w:r w:rsidRPr="00C86DAB">
        <w:rPr>
          <w:sz w:val="22"/>
          <w:szCs w:val="22"/>
        </w:rPr>
        <w:tab/>
      </w:r>
      <w:r w:rsidR="0051648C" w:rsidRPr="00C86DAB">
        <w:rPr>
          <w:sz w:val="22"/>
          <w:szCs w:val="22"/>
        </w:rPr>
        <w:t>We</w:t>
      </w:r>
      <w:r w:rsidR="00F50BD7">
        <w:rPr>
          <w:sz w:val="22"/>
          <w:szCs w:val="22"/>
        </w:rPr>
        <w:t xml:space="preserve"> have before us an application</w:t>
      </w:r>
      <w:r w:rsidR="0051648C" w:rsidRPr="00C86DAB">
        <w:rPr>
          <w:sz w:val="22"/>
          <w:szCs w:val="22"/>
        </w:rPr>
        <w:t xml:space="preserve"> (“Application”) </w:t>
      </w:r>
      <w:r w:rsidR="00F50BD7">
        <w:rPr>
          <w:sz w:val="22"/>
          <w:szCs w:val="22"/>
        </w:rPr>
        <w:t xml:space="preserve">to assign the construction permit for unbuilt low power FM (“LPFM”) station KZSM-LP, San Marcos, Texas (“Station”), from the San Marcos Voice (“SMV”) to the San Marcos Texas Community Radio Association.  As discussed below, we </w:t>
      </w:r>
      <w:r w:rsidR="0074651E">
        <w:rPr>
          <w:sz w:val="22"/>
          <w:szCs w:val="22"/>
        </w:rPr>
        <w:t>dismiss</w:t>
      </w:r>
      <w:r w:rsidR="00F50BD7">
        <w:rPr>
          <w:sz w:val="22"/>
          <w:szCs w:val="22"/>
        </w:rPr>
        <w:t xml:space="preserve"> the Application</w:t>
      </w:r>
      <w:r w:rsidR="00F312F9" w:rsidRPr="00C86DAB">
        <w:rPr>
          <w:sz w:val="22"/>
          <w:szCs w:val="22"/>
        </w:rPr>
        <w:t>.</w:t>
      </w:r>
    </w:p>
    <w:p w:rsidR="00BA208B" w:rsidRDefault="00BA208B" w:rsidP="00205060">
      <w:pPr>
        <w:jc w:val="both"/>
        <w:rPr>
          <w:i/>
          <w:sz w:val="22"/>
          <w:szCs w:val="22"/>
        </w:rPr>
      </w:pPr>
      <w:r w:rsidRPr="006029D9">
        <w:rPr>
          <w:i/>
          <w:sz w:val="22"/>
          <w:szCs w:val="22"/>
        </w:rPr>
        <w:tab/>
      </w:r>
    </w:p>
    <w:p w:rsidR="00BC70C3" w:rsidRDefault="00F50BD7" w:rsidP="00F50BD7">
      <w:pPr>
        <w:jc w:val="both"/>
        <w:rPr>
          <w:sz w:val="22"/>
          <w:szCs w:val="22"/>
        </w:rPr>
      </w:pPr>
      <w:r>
        <w:rPr>
          <w:sz w:val="22"/>
          <w:szCs w:val="22"/>
        </w:rPr>
        <w:tab/>
      </w:r>
      <w:r w:rsidR="00941144">
        <w:rPr>
          <w:b/>
          <w:sz w:val="22"/>
          <w:szCs w:val="22"/>
        </w:rPr>
        <w:t xml:space="preserve">Background.  </w:t>
      </w:r>
      <w:r>
        <w:rPr>
          <w:sz w:val="22"/>
          <w:szCs w:val="22"/>
        </w:rPr>
        <w:t>SMV applied for a construction permit for the Station during an LPFM filing window that the Commission opened</w:t>
      </w:r>
      <w:r w:rsidR="00843835">
        <w:rPr>
          <w:sz w:val="22"/>
          <w:szCs w:val="22"/>
        </w:rPr>
        <w:t xml:space="preserve"> in 2013</w:t>
      </w:r>
      <w:r>
        <w:rPr>
          <w:sz w:val="22"/>
          <w:szCs w:val="22"/>
        </w:rPr>
        <w:t>.</w:t>
      </w:r>
      <w:r>
        <w:rPr>
          <w:rStyle w:val="FootnoteReference"/>
          <w:sz w:val="22"/>
          <w:szCs w:val="22"/>
        </w:rPr>
        <w:footnoteReference w:id="1"/>
      </w:r>
      <w:r>
        <w:rPr>
          <w:sz w:val="22"/>
          <w:szCs w:val="22"/>
        </w:rPr>
        <w:t xml:space="preserve">  We granted </w:t>
      </w:r>
      <w:r w:rsidR="0074651E">
        <w:rPr>
          <w:sz w:val="22"/>
          <w:szCs w:val="22"/>
        </w:rPr>
        <w:t>SMV’s application</w:t>
      </w:r>
      <w:r>
        <w:rPr>
          <w:sz w:val="22"/>
          <w:szCs w:val="22"/>
        </w:rPr>
        <w:t xml:space="preserve"> on January 24, 2014.</w:t>
      </w:r>
      <w:r>
        <w:rPr>
          <w:rStyle w:val="FootnoteReference"/>
          <w:sz w:val="22"/>
          <w:szCs w:val="22"/>
        </w:rPr>
        <w:footnoteReference w:id="2"/>
      </w:r>
      <w:r w:rsidR="00BC70C3">
        <w:rPr>
          <w:sz w:val="22"/>
          <w:szCs w:val="22"/>
        </w:rPr>
        <w:t xml:space="preserve">  Shortly thereafter, on May 19, 2014, SMV determined that it would not construct the Station and resolved to assign the Station’s “license” to another entity.</w:t>
      </w:r>
      <w:r w:rsidR="0074651E">
        <w:rPr>
          <w:rStyle w:val="FootnoteReference"/>
          <w:sz w:val="22"/>
          <w:szCs w:val="22"/>
        </w:rPr>
        <w:footnoteReference w:id="3"/>
      </w:r>
      <w:r w:rsidR="00BC70C3">
        <w:rPr>
          <w:sz w:val="22"/>
          <w:szCs w:val="22"/>
        </w:rPr>
        <w:t xml:space="preserve">  On February 9, 2015, SMV, together with SMTXCRA, filed an application to assign the Station’s construction permit to SMTXCRA.  Recognizing that Section 73.</w:t>
      </w:r>
      <w:r w:rsidR="000F60DF">
        <w:rPr>
          <w:sz w:val="22"/>
          <w:szCs w:val="22"/>
        </w:rPr>
        <w:t>865</w:t>
      </w:r>
      <w:r w:rsidR="00BC70C3">
        <w:rPr>
          <w:sz w:val="22"/>
          <w:szCs w:val="22"/>
        </w:rPr>
        <w:t>(d) of the Commission’s rules prohibits the assignment of construction permits for LPFM stations,</w:t>
      </w:r>
      <w:r w:rsidR="000F60DF">
        <w:rPr>
          <w:rStyle w:val="FootnoteReference"/>
          <w:sz w:val="22"/>
          <w:szCs w:val="22"/>
        </w:rPr>
        <w:footnoteReference w:id="4"/>
      </w:r>
      <w:r w:rsidR="00BC70C3">
        <w:rPr>
          <w:sz w:val="22"/>
          <w:szCs w:val="22"/>
        </w:rPr>
        <w:t xml:space="preserve"> SMV and SMTXCRA </w:t>
      </w:r>
      <w:r w:rsidR="00BE06AC">
        <w:rPr>
          <w:sz w:val="22"/>
          <w:szCs w:val="22"/>
        </w:rPr>
        <w:t>request</w:t>
      </w:r>
      <w:r w:rsidR="00BC70C3">
        <w:rPr>
          <w:sz w:val="22"/>
          <w:szCs w:val="22"/>
        </w:rPr>
        <w:t xml:space="preserve"> a waiver of</w:t>
      </w:r>
      <w:r w:rsidR="00BE06AC">
        <w:rPr>
          <w:sz w:val="22"/>
          <w:szCs w:val="22"/>
        </w:rPr>
        <w:t xml:space="preserve"> that provision.  They indicate</w:t>
      </w:r>
      <w:r w:rsidR="00BC70C3">
        <w:rPr>
          <w:sz w:val="22"/>
          <w:szCs w:val="22"/>
        </w:rPr>
        <w:t xml:space="preserve"> that the “community has really been engaged with the effort to create a LPFM station” and </w:t>
      </w:r>
      <w:r w:rsidR="00BE06AC">
        <w:rPr>
          <w:sz w:val="22"/>
          <w:szCs w:val="22"/>
        </w:rPr>
        <w:t>state</w:t>
      </w:r>
      <w:r w:rsidR="00BC70C3">
        <w:rPr>
          <w:sz w:val="22"/>
          <w:szCs w:val="22"/>
        </w:rPr>
        <w:t xml:space="preserve"> that grant of the Application would ensure that “the community of San Marcos, Texas will not miss out on this once in a lifetime opportunity.”  They also argue that grant of the Application would be consistent with the public interest.</w:t>
      </w:r>
    </w:p>
    <w:p w:rsidR="00BC70C3" w:rsidRDefault="00BC70C3" w:rsidP="00F50BD7">
      <w:pPr>
        <w:jc w:val="both"/>
        <w:rPr>
          <w:sz w:val="22"/>
          <w:szCs w:val="22"/>
        </w:rPr>
      </w:pPr>
    </w:p>
    <w:p w:rsidR="009C52DE" w:rsidRDefault="00BC70C3" w:rsidP="00205060">
      <w:pPr>
        <w:jc w:val="both"/>
        <w:rPr>
          <w:sz w:val="22"/>
          <w:szCs w:val="22"/>
        </w:rPr>
      </w:pPr>
      <w:r>
        <w:rPr>
          <w:sz w:val="22"/>
          <w:szCs w:val="22"/>
        </w:rPr>
        <w:lastRenderedPageBreak/>
        <w:tab/>
      </w:r>
      <w:r w:rsidR="00941144">
        <w:rPr>
          <w:b/>
          <w:sz w:val="22"/>
          <w:szCs w:val="22"/>
        </w:rPr>
        <w:t xml:space="preserve">Discussion.  </w:t>
      </w:r>
      <w:r w:rsidR="00941144" w:rsidRPr="009C52DE">
        <w:rPr>
          <w:sz w:val="22"/>
          <w:szCs w:val="22"/>
        </w:rPr>
        <w:t>The Commission's Rules may be waived only for good cause shown.</w:t>
      </w:r>
      <w:r w:rsidR="00404B4C" w:rsidRPr="009C52DE">
        <w:rPr>
          <w:rStyle w:val="FootnoteReference"/>
          <w:sz w:val="22"/>
          <w:szCs w:val="22"/>
        </w:rPr>
        <w:footnoteReference w:id="5"/>
      </w:r>
      <w:r w:rsidR="00404B4C" w:rsidRPr="009C52DE">
        <w:rPr>
          <w:sz w:val="22"/>
          <w:szCs w:val="22"/>
        </w:rPr>
        <w:t xml:space="preserve"> </w:t>
      </w:r>
      <w:r w:rsidR="00941144" w:rsidRPr="009C52DE">
        <w:rPr>
          <w:sz w:val="22"/>
          <w:szCs w:val="22"/>
        </w:rPr>
        <w:t xml:space="preserve"> The Commission must give waiver requests </w:t>
      </w:r>
      <w:r w:rsidR="00BE06AC">
        <w:rPr>
          <w:sz w:val="22"/>
          <w:szCs w:val="22"/>
        </w:rPr>
        <w:t>“a hard look,” but an applicant for waiver “</w:t>
      </w:r>
      <w:r w:rsidR="00941144" w:rsidRPr="009C52DE">
        <w:rPr>
          <w:sz w:val="22"/>
          <w:szCs w:val="22"/>
        </w:rPr>
        <w:t>faces a high hurdle even at the starting gate</w:t>
      </w:r>
      <w:r w:rsidR="00BE06AC">
        <w:rPr>
          <w:sz w:val="22"/>
          <w:szCs w:val="22"/>
        </w:rPr>
        <w:t>”</w:t>
      </w:r>
      <w:r w:rsidR="009C52DE" w:rsidRPr="009C52DE">
        <w:rPr>
          <w:rStyle w:val="FootnoteReference"/>
          <w:sz w:val="22"/>
          <w:szCs w:val="22"/>
        </w:rPr>
        <w:footnoteReference w:id="6"/>
      </w:r>
      <w:r w:rsidR="009C52DE" w:rsidRPr="009C52DE">
        <w:rPr>
          <w:sz w:val="22"/>
          <w:szCs w:val="22"/>
        </w:rPr>
        <w:t xml:space="preserve"> </w:t>
      </w:r>
      <w:r w:rsidR="00941144" w:rsidRPr="009C52DE">
        <w:rPr>
          <w:sz w:val="22"/>
          <w:szCs w:val="22"/>
        </w:rPr>
        <w:t>and must support its waiver request with a compelling showing.</w:t>
      </w:r>
      <w:r w:rsidR="009C52DE" w:rsidRPr="009C52DE">
        <w:rPr>
          <w:rStyle w:val="FootnoteReference"/>
          <w:sz w:val="22"/>
          <w:szCs w:val="22"/>
        </w:rPr>
        <w:footnoteReference w:id="7"/>
      </w:r>
      <w:r w:rsidR="009C52DE" w:rsidRPr="009C52DE">
        <w:rPr>
          <w:sz w:val="22"/>
          <w:szCs w:val="22"/>
        </w:rPr>
        <w:t xml:space="preserve"> </w:t>
      </w:r>
      <w:r w:rsidR="00941144" w:rsidRPr="009C52DE">
        <w:rPr>
          <w:sz w:val="22"/>
          <w:szCs w:val="22"/>
        </w:rPr>
        <w:t xml:space="preserve"> Waiver is appropriate only if both (1) special circumstances warrant a deviation from the general rule, and (2) such deviation better serves the public interest.</w:t>
      </w:r>
      <w:r w:rsidR="009C52DE" w:rsidRPr="009C52DE">
        <w:rPr>
          <w:rStyle w:val="FootnoteReference"/>
          <w:sz w:val="22"/>
          <w:szCs w:val="22"/>
        </w:rPr>
        <w:footnoteReference w:id="8"/>
      </w:r>
    </w:p>
    <w:p w:rsidR="00EF1D43" w:rsidRDefault="00EF1D43" w:rsidP="00205060">
      <w:pPr>
        <w:jc w:val="both"/>
        <w:rPr>
          <w:sz w:val="22"/>
          <w:szCs w:val="22"/>
        </w:rPr>
      </w:pPr>
    </w:p>
    <w:p w:rsidR="009C52DE" w:rsidRDefault="009C52DE" w:rsidP="00205060">
      <w:pPr>
        <w:jc w:val="both"/>
        <w:rPr>
          <w:sz w:val="22"/>
          <w:szCs w:val="22"/>
        </w:rPr>
      </w:pPr>
      <w:r>
        <w:rPr>
          <w:sz w:val="22"/>
          <w:szCs w:val="22"/>
        </w:rPr>
        <w:tab/>
        <w:t xml:space="preserve">We find that SMV and SMTXCRA have failed to meet the burden for grant of a waiver request.  They have failed to identify any special circumstances that would warrant a deviation from the general </w:t>
      </w:r>
      <w:r w:rsidR="00BE06AC">
        <w:rPr>
          <w:sz w:val="22"/>
          <w:szCs w:val="22"/>
        </w:rPr>
        <w:t>prohibition on assigning or transferring LPFM construction permits</w:t>
      </w:r>
      <w:r>
        <w:rPr>
          <w:sz w:val="22"/>
          <w:szCs w:val="22"/>
        </w:rPr>
        <w:t xml:space="preserve">.  While we are pleased to </w:t>
      </w:r>
      <w:r w:rsidR="00BE06AC">
        <w:rPr>
          <w:sz w:val="22"/>
          <w:szCs w:val="22"/>
        </w:rPr>
        <w:t>learn that the community is behind the effort to establish an LPFM station</w:t>
      </w:r>
      <w:r>
        <w:rPr>
          <w:sz w:val="22"/>
          <w:szCs w:val="22"/>
        </w:rPr>
        <w:t xml:space="preserve"> </w:t>
      </w:r>
      <w:r w:rsidR="00BE06AC">
        <w:rPr>
          <w:sz w:val="22"/>
          <w:szCs w:val="22"/>
        </w:rPr>
        <w:t xml:space="preserve">in San Marcos </w:t>
      </w:r>
      <w:r>
        <w:rPr>
          <w:sz w:val="22"/>
          <w:szCs w:val="22"/>
        </w:rPr>
        <w:t xml:space="preserve">and </w:t>
      </w:r>
      <w:r w:rsidR="00BE06AC">
        <w:rPr>
          <w:sz w:val="22"/>
          <w:szCs w:val="22"/>
        </w:rPr>
        <w:t xml:space="preserve">that </w:t>
      </w:r>
      <w:r>
        <w:rPr>
          <w:sz w:val="22"/>
          <w:szCs w:val="22"/>
        </w:rPr>
        <w:t xml:space="preserve">the applicants </w:t>
      </w:r>
      <w:r w:rsidR="00BE06AC">
        <w:rPr>
          <w:sz w:val="22"/>
          <w:szCs w:val="22"/>
        </w:rPr>
        <w:t>do not wish</w:t>
      </w:r>
      <w:r>
        <w:rPr>
          <w:sz w:val="22"/>
          <w:szCs w:val="22"/>
        </w:rPr>
        <w:t xml:space="preserve"> to waste the opportunity to construct an LPFM station serving the community, we cannot find that these </w:t>
      </w:r>
      <w:r w:rsidR="00AB33B5">
        <w:rPr>
          <w:sz w:val="22"/>
          <w:szCs w:val="22"/>
        </w:rPr>
        <w:t xml:space="preserve">factors distinguish </w:t>
      </w:r>
      <w:r w:rsidR="00BE06AC">
        <w:rPr>
          <w:sz w:val="22"/>
          <w:szCs w:val="22"/>
        </w:rPr>
        <w:t>the situation here</w:t>
      </w:r>
      <w:r w:rsidR="00AB33B5">
        <w:rPr>
          <w:sz w:val="22"/>
          <w:szCs w:val="22"/>
        </w:rPr>
        <w:t xml:space="preserve"> from the situations of many other communities and LPFM permittees</w:t>
      </w:r>
      <w:r>
        <w:rPr>
          <w:sz w:val="22"/>
          <w:szCs w:val="22"/>
        </w:rPr>
        <w:t>.</w:t>
      </w:r>
      <w:r w:rsidR="007379FC">
        <w:rPr>
          <w:sz w:val="22"/>
          <w:szCs w:val="22"/>
        </w:rPr>
        <w:t xml:space="preserve">  Accordingly, we will not waive Section 73.853(d) of the Rules.  This, in turn, means that the Application is barred by Section 73.853(d) and must be dismissed.</w:t>
      </w:r>
      <w:r>
        <w:rPr>
          <w:sz w:val="22"/>
          <w:szCs w:val="22"/>
        </w:rPr>
        <w:t xml:space="preserve"> </w:t>
      </w:r>
      <w:r>
        <w:rPr>
          <w:sz w:val="22"/>
          <w:szCs w:val="22"/>
        </w:rPr>
        <w:tab/>
      </w:r>
    </w:p>
    <w:p w:rsidR="009C52DE" w:rsidRPr="009C52DE" w:rsidRDefault="009C52DE" w:rsidP="00205060">
      <w:pPr>
        <w:jc w:val="both"/>
        <w:rPr>
          <w:sz w:val="22"/>
          <w:szCs w:val="22"/>
        </w:rPr>
      </w:pPr>
    </w:p>
    <w:p w:rsidR="00C02982" w:rsidRPr="00F50BD7" w:rsidRDefault="00941144" w:rsidP="00941144">
      <w:pPr>
        <w:ind w:firstLine="720"/>
        <w:jc w:val="both"/>
        <w:rPr>
          <w:sz w:val="22"/>
          <w:szCs w:val="22"/>
        </w:rPr>
      </w:pPr>
      <w:r>
        <w:rPr>
          <w:b/>
          <w:sz w:val="22"/>
          <w:szCs w:val="22"/>
        </w:rPr>
        <w:t xml:space="preserve">Conclusion/Action.  </w:t>
      </w:r>
      <w:r w:rsidR="00C02982" w:rsidRPr="00F50BD7">
        <w:rPr>
          <w:sz w:val="22"/>
          <w:szCs w:val="22"/>
        </w:rPr>
        <w:t>Accordingly,</w:t>
      </w:r>
      <w:r>
        <w:rPr>
          <w:sz w:val="22"/>
          <w:szCs w:val="22"/>
        </w:rPr>
        <w:t xml:space="preserve"> for the reasons set forth above,</w:t>
      </w:r>
      <w:r w:rsidR="00C02982" w:rsidRPr="00F50BD7">
        <w:rPr>
          <w:sz w:val="22"/>
          <w:szCs w:val="22"/>
        </w:rPr>
        <w:t xml:space="preserve"> IT IS ORDERED that the </w:t>
      </w:r>
      <w:r w:rsidR="00F50BD7" w:rsidRPr="00F50BD7">
        <w:rPr>
          <w:sz w:val="22"/>
          <w:szCs w:val="22"/>
        </w:rPr>
        <w:t xml:space="preserve">application to assign the construction permit for KZSM-LP, San Marcos, Texas (File No. BAPL-20150209ABL), from the San Marcos Voice to the San Marcos Texas Community Radio Association IS </w:t>
      </w:r>
      <w:r w:rsidR="00BE06AC">
        <w:rPr>
          <w:sz w:val="22"/>
          <w:szCs w:val="22"/>
        </w:rPr>
        <w:t>DISMISSED</w:t>
      </w:r>
      <w:r w:rsidR="00F50BD7" w:rsidRPr="00F50BD7">
        <w:rPr>
          <w:sz w:val="22"/>
          <w:szCs w:val="22"/>
        </w:rPr>
        <w:t>.</w:t>
      </w:r>
    </w:p>
    <w:p w:rsidR="00C02982" w:rsidRPr="00F517E6" w:rsidRDefault="00C02982" w:rsidP="00205060">
      <w:pPr>
        <w:jc w:val="both"/>
        <w:rPr>
          <w:sz w:val="22"/>
          <w:szCs w:val="22"/>
        </w:rPr>
      </w:pPr>
    </w:p>
    <w:p w:rsidR="00BA208B" w:rsidRPr="00F517E6" w:rsidRDefault="00BA208B" w:rsidP="00205060">
      <w:pPr>
        <w:tabs>
          <w:tab w:val="left" w:pos="720"/>
          <w:tab w:val="left" w:pos="5040"/>
          <w:tab w:val="left" w:pos="7665"/>
        </w:tabs>
        <w:jc w:val="both"/>
        <w:rPr>
          <w:b/>
          <w:sz w:val="22"/>
          <w:szCs w:val="22"/>
        </w:rPr>
      </w:pPr>
      <w:r w:rsidRPr="00F517E6">
        <w:rPr>
          <w:sz w:val="22"/>
          <w:szCs w:val="22"/>
        </w:rPr>
        <w:tab/>
      </w:r>
      <w:r w:rsidRPr="00F517E6">
        <w:rPr>
          <w:sz w:val="22"/>
          <w:szCs w:val="22"/>
        </w:rPr>
        <w:tab/>
        <w:t>Sincerely,</w:t>
      </w:r>
    </w:p>
    <w:p w:rsidR="00BA208B" w:rsidRPr="00F517E6" w:rsidRDefault="00BA208B" w:rsidP="00205060">
      <w:pPr>
        <w:tabs>
          <w:tab w:val="left" w:pos="720"/>
          <w:tab w:val="left" w:pos="5040"/>
          <w:tab w:val="left" w:pos="7665"/>
        </w:tabs>
        <w:jc w:val="both"/>
        <w:rPr>
          <w:sz w:val="22"/>
          <w:szCs w:val="22"/>
        </w:rPr>
      </w:pPr>
    </w:p>
    <w:p w:rsidR="00BA208B" w:rsidRPr="00F517E6" w:rsidRDefault="00BA208B" w:rsidP="00205060">
      <w:pPr>
        <w:tabs>
          <w:tab w:val="left" w:pos="720"/>
          <w:tab w:val="left" w:pos="5040"/>
          <w:tab w:val="left" w:pos="7665"/>
        </w:tabs>
        <w:jc w:val="both"/>
        <w:rPr>
          <w:sz w:val="22"/>
          <w:szCs w:val="22"/>
        </w:rPr>
      </w:pPr>
      <w:r w:rsidRPr="00F517E6">
        <w:rPr>
          <w:sz w:val="22"/>
          <w:szCs w:val="22"/>
        </w:rPr>
        <w:tab/>
      </w:r>
    </w:p>
    <w:p w:rsidR="00BA208B" w:rsidRPr="00F517E6" w:rsidRDefault="00BA208B" w:rsidP="00205060">
      <w:pPr>
        <w:tabs>
          <w:tab w:val="left" w:pos="720"/>
          <w:tab w:val="left" w:pos="5040"/>
          <w:tab w:val="left" w:pos="7665"/>
        </w:tabs>
        <w:jc w:val="both"/>
        <w:rPr>
          <w:sz w:val="22"/>
          <w:szCs w:val="22"/>
        </w:rPr>
      </w:pPr>
    </w:p>
    <w:p w:rsidR="00BA208B" w:rsidRPr="00F517E6" w:rsidRDefault="00BA208B" w:rsidP="00205060">
      <w:pPr>
        <w:tabs>
          <w:tab w:val="left" w:pos="720"/>
          <w:tab w:val="left" w:pos="5040"/>
          <w:tab w:val="left" w:pos="7665"/>
        </w:tabs>
        <w:jc w:val="both"/>
        <w:rPr>
          <w:sz w:val="22"/>
          <w:szCs w:val="22"/>
        </w:rPr>
      </w:pPr>
      <w:r w:rsidRPr="00F517E6">
        <w:rPr>
          <w:sz w:val="22"/>
          <w:szCs w:val="22"/>
        </w:rPr>
        <w:tab/>
      </w:r>
      <w:r w:rsidRPr="00F517E6">
        <w:rPr>
          <w:sz w:val="22"/>
          <w:szCs w:val="22"/>
        </w:rPr>
        <w:tab/>
        <w:t>Peter H. Doyle</w:t>
      </w:r>
    </w:p>
    <w:p w:rsidR="00BA208B" w:rsidRPr="00F517E6" w:rsidRDefault="00BA208B" w:rsidP="00205060">
      <w:pPr>
        <w:tabs>
          <w:tab w:val="left" w:pos="720"/>
          <w:tab w:val="left" w:pos="5040"/>
          <w:tab w:val="left" w:pos="7665"/>
        </w:tabs>
        <w:jc w:val="both"/>
        <w:rPr>
          <w:sz w:val="22"/>
          <w:szCs w:val="22"/>
        </w:rPr>
      </w:pPr>
      <w:r w:rsidRPr="00F517E6">
        <w:rPr>
          <w:sz w:val="22"/>
          <w:szCs w:val="22"/>
        </w:rPr>
        <w:tab/>
      </w:r>
      <w:r w:rsidRPr="00F517E6">
        <w:rPr>
          <w:sz w:val="22"/>
          <w:szCs w:val="22"/>
        </w:rPr>
        <w:tab/>
        <w:t>Chief, Audio Division</w:t>
      </w:r>
    </w:p>
    <w:p w:rsidR="007C5F8B" w:rsidRPr="00F517E6" w:rsidRDefault="00BA208B" w:rsidP="00205060">
      <w:pPr>
        <w:tabs>
          <w:tab w:val="left" w:pos="720"/>
          <w:tab w:val="left" w:pos="5040"/>
          <w:tab w:val="left" w:pos="7665"/>
        </w:tabs>
        <w:jc w:val="both"/>
        <w:rPr>
          <w:sz w:val="22"/>
          <w:szCs w:val="22"/>
          <w:lang w:val="es-ES"/>
        </w:rPr>
      </w:pPr>
      <w:r w:rsidRPr="00F517E6">
        <w:rPr>
          <w:sz w:val="22"/>
          <w:szCs w:val="22"/>
        </w:rPr>
        <w:tab/>
      </w:r>
      <w:r w:rsidRPr="00F517E6">
        <w:rPr>
          <w:sz w:val="22"/>
          <w:szCs w:val="22"/>
        </w:rPr>
        <w:tab/>
      </w:r>
      <w:r w:rsidRPr="00F517E6">
        <w:rPr>
          <w:sz w:val="22"/>
          <w:szCs w:val="22"/>
          <w:lang w:val="es-ES"/>
        </w:rPr>
        <w:t>Media Bureau</w:t>
      </w:r>
      <w:r w:rsidRPr="00F517E6">
        <w:rPr>
          <w:sz w:val="22"/>
          <w:szCs w:val="22"/>
          <w:lang w:val="es-ES"/>
        </w:rPr>
        <w:tab/>
      </w:r>
    </w:p>
    <w:sectPr w:rsidR="007C5F8B" w:rsidRPr="00F517E6">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DF" w:rsidRDefault="00580FDF">
      <w:r>
        <w:separator/>
      </w:r>
    </w:p>
  </w:endnote>
  <w:endnote w:type="continuationSeparator" w:id="0">
    <w:p w:rsidR="00580FDF" w:rsidRDefault="0058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A2C45" w:rsidRDefault="001A2C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1A2C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6C03">
      <w:rPr>
        <w:rStyle w:val="PageNumber"/>
        <w:noProof/>
      </w:rPr>
      <w:t>2</w:t>
    </w:r>
    <w:r>
      <w:rPr>
        <w:rStyle w:val="PageNumber"/>
      </w:rPr>
      <w:fldChar w:fldCharType="end"/>
    </w:r>
  </w:p>
  <w:p w:rsidR="001A2C45" w:rsidRDefault="001A2C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8F" w:rsidRDefault="00EA3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DF" w:rsidRDefault="00580FDF">
      <w:r>
        <w:separator/>
      </w:r>
    </w:p>
  </w:footnote>
  <w:footnote w:type="continuationSeparator" w:id="0">
    <w:p w:rsidR="00580FDF" w:rsidRDefault="00580FDF">
      <w:r>
        <w:continuationSeparator/>
      </w:r>
    </w:p>
  </w:footnote>
  <w:footnote w:id="1">
    <w:p w:rsidR="00F50BD7" w:rsidRPr="00774AD8" w:rsidRDefault="00F50BD7" w:rsidP="00774AD8">
      <w:pPr>
        <w:pStyle w:val="FootnoteText"/>
        <w:spacing w:after="120"/>
      </w:pPr>
      <w:r w:rsidRPr="00774AD8">
        <w:rPr>
          <w:rStyle w:val="FootnoteReference"/>
        </w:rPr>
        <w:footnoteRef/>
      </w:r>
      <w:r w:rsidRPr="00774AD8">
        <w:t xml:space="preserve"> File No. BNPL-20131114ABR.</w:t>
      </w:r>
    </w:p>
  </w:footnote>
  <w:footnote w:id="2">
    <w:p w:rsidR="00F50BD7" w:rsidRPr="00774AD8" w:rsidRDefault="00F50BD7" w:rsidP="00774AD8">
      <w:pPr>
        <w:pStyle w:val="FootnoteText"/>
        <w:spacing w:after="120"/>
      </w:pPr>
      <w:r w:rsidRPr="00774AD8">
        <w:rPr>
          <w:rStyle w:val="FootnoteReference"/>
        </w:rPr>
        <w:footnoteRef/>
      </w:r>
      <w:r w:rsidRPr="00774AD8">
        <w:t xml:space="preserve"> </w:t>
      </w:r>
      <w:r w:rsidRPr="00774AD8">
        <w:rPr>
          <w:i/>
        </w:rPr>
        <w:t>Broadcast Actions</w:t>
      </w:r>
      <w:r w:rsidRPr="00774AD8">
        <w:t>, Public Notice, Report No. 48165 (MB Jan. 29, 2014).</w:t>
      </w:r>
    </w:p>
  </w:footnote>
  <w:footnote w:id="3">
    <w:p w:rsidR="0074651E" w:rsidRPr="0074651E" w:rsidRDefault="0074651E" w:rsidP="0014734A">
      <w:pPr>
        <w:pStyle w:val="FootnoteText"/>
        <w:spacing w:after="120"/>
      </w:pPr>
      <w:r>
        <w:rPr>
          <w:rStyle w:val="FootnoteReference"/>
        </w:rPr>
        <w:footnoteRef/>
      </w:r>
      <w:r>
        <w:t xml:space="preserve"> </w:t>
      </w:r>
      <w:r>
        <w:rPr>
          <w:i/>
        </w:rPr>
        <w:t xml:space="preserve">See </w:t>
      </w:r>
      <w:r>
        <w:t>File No. BAPL-20150209, Exh. 13.</w:t>
      </w:r>
    </w:p>
  </w:footnote>
  <w:footnote w:id="4">
    <w:p w:rsidR="000F60DF" w:rsidRPr="00774AD8" w:rsidRDefault="000F60DF" w:rsidP="00774AD8">
      <w:pPr>
        <w:pStyle w:val="FootnoteText"/>
        <w:spacing w:after="120"/>
      </w:pPr>
      <w:r w:rsidRPr="00774AD8">
        <w:rPr>
          <w:rStyle w:val="FootnoteReference"/>
        </w:rPr>
        <w:footnoteRef/>
      </w:r>
      <w:r w:rsidRPr="00774AD8">
        <w:t xml:space="preserve"> 47 C.F.R. § 73.865(d) (“No party may assign or transfer an LPFM construction permit at any time.”)</w:t>
      </w:r>
    </w:p>
  </w:footnote>
  <w:footnote w:id="5">
    <w:p w:rsidR="00404B4C" w:rsidRPr="00774AD8" w:rsidRDefault="00404B4C" w:rsidP="00774AD8">
      <w:pPr>
        <w:pStyle w:val="FootnoteText"/>
        <w:spacing w:after="120"/>
      </w:pPr>
      <w:r w:rsidRPr="00774AD8">
        <w:rPr>
          <w:rStyle w:val="FootnoteReference"/>
        </w:rPr>
        <w:footnoteRef/>
      </w:r>
      <w:r w:rsidRPr="00774AD8">
        <w:t xml:space="preserve"> 47 C.F.R. § 1.3.</w:t>
      </w:r>
    </w:p>
  </w:footnote>
  <w:footnote w:id="6">
    <w:p w:rsidR="009C52DE" w:rsidRPr="00774AD8" w:rsidRDefault="009C52DE" w:rsidP="00774AD8">
      <w:pPr>
        <w:pStyle w:val="FootnoteText"/>
        <w:spacing w:after="120"/>
      </w:pPr>
      <w:r w:rsidRPr="00774AD8">
        <w:rPr>
          <w:rStyle w:val="FootnoteReference"/>
        </w:rPr>
        <w:footnoteRef/>
      </w:r>
      <w:r w:rsidRPr="00774AD8">
        <w:t xml:space="preserve"> </w:t>
      </w:r>
      <w:r w:rsidRPr="00774AD8">
        <w:rPr>
          <w:i/>
          <w:iCs/>
        </w:rPr>
        <w:t>WAIT Radio v. FCC</w:t>
      </w:r>
      <w:r w:rsidRPr="00774AD8">
        <w:t>, 418 F.2d 1153, 1157 (D.C. Cir. 1969) (subsequent history omitted).</w:t>
      </w:r>
    </w:p>
  </w:footnote>
  <w:footnote w:id="7">
    <w:p w:rsidR="009C52DE" w:rsidRPr="00774AD8" w:rsidRDefault="009C52DE" w:rsidP="00774AD8">
      <w:pPr>
        <w:pStyle w:val="FootnoteText"/>
        <w:spacing w:after="120"/>
      </w:pPr>
      <w:r w:rsidRPr="00774AD8">
        <w:rPr>
          <w:rStyle w:val="FootnoteReference"/>
        </w:rPr>
        <w:footnoteRef/>
      </w:r>
      <w:r w:rsidRPr="00774AD8">
        <w:t xml:space="preserve"> </w:t>
      </w:r>
      <w:r w:rsidRPr="00774AD8">
        <w:rPr>
          <w:i/>
          <w:iCs/>
        </w:rPr>
        <w:t>Greater Media Radio Co., Inc</w:t>
      </w:r>
      <w:r w:rsidRPr="00774AD8">
        <w:t>., Memorandum Opinion and Order, 15 FCC Rcd 7090</w:t>
      </w:r>
      <w:r w:rsidR="00774AD8">
        <w:t>, 7094 ¶ 9</w:t>
      </w:r>
      <w:r w:rsidRPr="00774AD8">
        <w:t xml:space="preserve"> (1999)</w:t>
      </w:r>
      <w:r w:rsidR="00774AD8">
        <w:t xml:space="preserve">, </w:t>
      </w:r>
      <w:r w:rsidRPr="00774AD8">
        <w:rPr>
          <w:i/>
        </w:rPr>
        <w:t>citing</w:t>
      </w:r>
      <w:r w:rsidRPr="00774AD8">
        <w:t xml:space="preserve"> </w:t>
      </w:r>
      <w:r w:rsidRPr="00774AD8">
        <w:rPr>
          <w:i/>
          <w:iCs/>
        </w:rPr>
        <w:t>Stoner Broadcasting System, Inc</w:t>
      </w:r>
      <w:r w:rsidRPr="00774AD8">
        <w:t xml:space="preserve">., Memorandum Opinion and Order, 49 FCC </w:t>
      </w:r>
      <w:r w:rsidR="00774AD8">
        <w:t>2d 1011, 1012 ¶ 5 (1974</w:t>
      </w:r>
      <w:r w:rsidRPr="00774AD8">
        <w:t>).</w:t>
      </w:r>
    </w:p>
  </w:footnote>
  <w:footnote w:id="8">
    <w:p w:rsidR="009C52DE" w:rsidRPr="00774AD8" w:rsidRDefault="009C52DE" w:rsidP="00774AD8">
      <w:pPr>
        <w:pStyle w:val="FootnoteText"/>
        <w:spacing w:after="120"/>
      </w:pPr>
      <w:r w:rsidRPr="00774AD8">
        <w:rPr>
          <w:rStyle w:val="FootnoteReference"/>
        </w:rPr>
        <w:footnoteRef/>
      </w:r>
      <w:r w:rsidRPr="00774AD8">
        <w:t xml:space="preserve"> </w:t>
      </w:r>
      <w:r w:rsidRPr="00774AD8">
        <w:rPr>
          <w:i/>
        </w:rPr>
        <w:t>NetworkIP</w:t>
      </w:r>
      <w:r w:rsidRPr="00774AD8">
        <w:t xml:space="preserve"> </w:t>
      </w:r>
      <w:r w:rsidRPr="00774AD8">
        <w:rPr>
          <w:i/>
          <w:iCs/>
        </w:rPr>
        <w:t>LLC v. FCC</w:t>
      </w:r>
      <w:r w:rsidRPr="00774AD8">
        <w:t xml:space="preserve">, 548 F.3d 116, 125-128 (D.C. Cir. 2008); </w:t>
      </w:r>
      <w:r w:rsidRPr="00774AD8">
        <w:rPr>
          <w:i/>
          <w:iCs/>
        </w:rPr>
        <w:t>Northeast Cellular Telephone Co. v. FCC</w:t>
      </w:r>
      <w:r w:rsidRPr="00774AD8">
        <w:t>, 897 F.2d 1164, 1166 (D.C. Cir. 1990).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8F" w:rsidRDefault="00EA3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28F" w:rsidRDefault="00EA3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C45" w:rsidRDefault="002073B6">
    <w:pPr>
      <w:pStyle w:val="Header"/>
      <w:tabs>
        <w:tab w:val="clear" w:pos="4320"/>
        <w:tab w:val="clear" w:pos="8640"/>
      </w:tabs>
      <w:spacing w:before="360" w:line="228" w:lineRule="auto"/>
      <w:jc w:val="center"/>
      <w:rPr>
        <w:b/>
        <w:sz w:val="22"/>
        <w:szCs w:val="22"/>
      </w:rPr>
    </w:pPr>
    <w:r>
      <w:rPr>
        <w:noProof/>
      </w:rPr>
      <w:drawing>
        <wp:anchor distT="0" distB="0" distL="114300" distR="114300" simplePos="0" relativeHeight="251657728" behindDoc="0" locked="0" layoutInCell="0" allowOverlap="1">
          <wp:simplePos x="0" y="0"/>
          <wp:positionH relativeFrom="column">
            <wp:posOffset>-403860</wp:posOffset>
          </wp:positionH>
          <wp:positionV relativeFrom="paragraph">
            <wp:posOffset>0</wp:posOffset>
          </wp:positionV>
          <wp:extent cx="863600"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pic:spPr>
              </pic:pic>
            </a:graphicData>
          </a:graphic>
          <wp14:sizeRelH relativeFrom="page">
            <wp14:pctWidth>0</wp14:pctWidth>
          </wp14:sizeRelH>
          <wp14:sizeRelV relativeFrom="page">
            <wp14:pctHeight>0</wp14:pctHeight>
          </wp14:sizeRelV>
        </wp:anchor>
      </w:drawing>
    </w:r>
    <w:r w:rsidR="001A2C45">
      <w:rPr>
        <w:b/>
        <w:sz w:val="22"/>
        <w:szCs w:val="22"/>
      </w:rPr>
      <w:t>Federal Communications Commission</w:t>
    </w:r>
  </w:p>
  <w:p w:rsidR="001A2C45" w:rsidRDefault="001A2C45">
    <w:pPr>
      <w:jc w:val="center"/>
      <w:rPr>
        <w:b/>
        <w:sz w:val="22"/>
        <w:szCs w:val="22"/>
      </w:rPr>
    </w:pPr>
    <w:r>
      <w:rPr>
        <w:b/>
        <w:sz w:val="22"/>
        <w:szCs w:val="22"/>
      </w:rPr>
      <w:t>Washington, D.C. 20554</w:t>
    </w:r>
  </w:p>
  <w:p w:rsidR="001A2C45" w:rsidRDefault="001A2C45">
    <w:pPr>
      <w:jc w:val="center"/>
      <w:rPr>
        <w:b/>
        <w:sz w:val="22"/>
        <w:szCs w:val="22"/>
      </w:rPr>
    </w:pPr>
  </w:p>
  <w:p w:rsidR="001A2C45" w:rsidRDefault="007C1D93">
    <w:pPr>
      <w:pStyle w:val="Header"/>
      <w:tabs>
        <w:tab w:val="clear" w:pos="4320"/>
      </w:tabs>
      <w:jc w:val="center"/>
      <w:rPr>
        <w:sz w:val="22"/>
        <w:szCs w:val="22"/>
      </w:rPr>
    </w:pPr>
    <w:r>
      <w:rPr>
        <w:sz w:val="22"/>
        <w:szCs w:val="22"/>
      </w:rPr>
      <w:t>March</w:t>
    </w:r>
    <w:r w:rsidR="00BC78E2">
      <w:rPr>
        <w:sz w:val="22"/>
        <w:szCs w:val="22"/>
      </w:rPr>
      <w:t xml:space="preserve"> </w:t>
    </w:r>
    <w:r>
      <w:rPr>
        <w:sz w:val="22"/>
        <w:szCs w:val="22"/>
      </w:rPr>
      <w:t>2</w:t>
    </w:r>
    <w:r w:rsidR="001A2C45">
      <w:rPr>
        <w:sz w:val="22"/>
        <w:szCs w:val="22"/>
      </w:rPr>
      <w:t>, 201</w:t>
    </w:r>
    <w:r w:rsidR="00075BAC">
      <w:rPr>
        <w:sz w:val="22"/>
        <w:szCs w:val="22"/>
      </w:rPr>
      <w:t>5</w:t>
    </w:r>
  </w:p>
  <w:p w:rsidR="001A2C45" w:rsidRDefault="001A2C45">
    <w:pPr>
      <w:pStyle w:val="Header"/>
      <w:tabs>
        <w:tab w:val="clear" w:pos="4320"/>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5355B"/>
    <w:multiLevelType w:val="hybridMultilevel"/>
    <w:tmpl w:val="5F187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8B"/>
    <w:rsid w:val="00003724"/>
    <w:rsid w:val="00013570"/>
    <w:rsid w:val="00015287"/>
    <w:rsid w:val="0003058E"/>
    <w:rsid w:val="000322B1"/>
    <w:rsid w:val="00035324"/>
    <w:rsid w:val="00035782"/>
    <w:rsid w:val="00046581"/>
    <w:rsid w:val="00053C5F"/>
    <w:rsid w:val="000603C9"/>
    <w:rsid w:val="000711C4"/>
    <w:rsid w:val="00073131"/>
    <w:rsid w:val="00075BAC"/>
    <w:rsid w:val="000824ED"/>
    <w:rsid w:val="00082C2C"/>
    <w:rsid w:val="00084A96"/>
    <w:rsid w:val="00085409"/>
    <w:rsid w:val="00085939"/>
    <w:rsid w:val="00085C28"/>
    <w:rsid w:val="00086387"/>
    <w:rsid w:val="00095E7E"/>
    <w:rsid w:val="0009756C"/>
    <w:rsid w:val="000C4ED7"/>
    <w:rsid w:val="000C7950"/>
    <w:rsid w:val="000D364A"/>
    <w:rsid w:val="000E59DA"/>
    <w:rsid w:val="000F1054"/>
    <w:rsid w:val="000F3DCA"/>
    <w:rsid w:val="000F5B90"/>
    <w:rsid w:val="000F60DF"/>
    <w:rsid w:val="0010014F"/>
    <w:rsid w:val="00112254"/>
    <w:rsid w:val="00113241"/>
    <w:rsid w:val="0013081A"/>
    <w:rsid w:val="00130B7F"/>
    <w:rsid w:val="001333DF"/>
    <w:rsid w:val="001348C5"/>
    <w:rsid w:val="001452B1"/>
    <w:rsid w:val="0014734A"/>
    <w:rsid w:val="00152C2D"/>
    <w:rsid w:val="00154D24"/>
    <w:rsid w:val="001600F3"/>
    <w:rsid w:val="00163450"/>
    <w:rsid w:val="00164C9B"/>
    <w:rsid w:val="0016533F"/>
    <w:rsid w:val="00167B27"/>
    <w:rsid w:val="00171D95"/>
    <w:rsid w:val="00173B4A"/>
    <w:rsid w:val="00174FEF"/>
    <w:rsid w:val="001760AC"/>
    <w:rsid w:val="00177AA2"/>
    <w:rsid w:val="00186BD0"/>
    <w:rsid w:val="00192924"/>
    <w:rsid w:val="001957F8"/>
    <w:rsid w:val="001A2C45"/>
    <w:rsid w:val="001A6CBA"/>
    <w:rsid w:val="001E278D"/>
    <w:rsid w:val="001E530B"/>
    <w:rsid w:val="001E73F7"/>
    <w:rsid w:val="001F0636"/>
    <w:rsid w:val="001F285E"/>
    <w:rsid w:val="00202653"/>
    <w:rsid w:val="00202B6C"/>
    <w:rsid w:val="00205060"/>
    <w:rsid w:val="00205944"/>
    <w:rsid w:val="00206DCB"/>
    <w:rsid w:val="002073B6"/>
    <w:rsid w:val="002134F7"/>
    <w:rsid w:val="00215ED4"/>
    <w:rsid w:val="00216757"/>
    <w:rsid w:val="00216D91"/>
    <w:rsid w:val="002217E2"/>
    <w:rsid w:val="00226373"/>
    <w:rsid w:val="00233C53"/>
    <w:rsid w:val="00235A51"/>
    <w:rsid w:val="002374A4"/>
    <w:rsid w:val="0025207E"/>
    <w:rsid w:val="002573ED"/>
    <w:rsid w:val="002626CB"/>
    <w:rsid w:val="002637BE"/>
    <w:rsid w:val="002668C2"/>
    <w:rsid w:val="00266DB0"/>
    <w:rsid w:val="00276DCE"/>
    <w:rsid w:val="00281424"/>
    <w:rsid w:val="00283F4A"/>
    <w:rsid w:val="00286B04"/>
    <w:rsid w:val="0029297C"/>
    <w:rsid w:val="00293F41"/>
    <w:rsid w:val="002945E0"/>
    <w:rsid w:val="002A4E9D"/>
    <w:rsid w:val="002A62EA"/>
    <w:rsid w:val="002B061F"/>
    <w:rsid w:val="002B4C24"/>
    <w:rsid w:val="002B670E"/>
    <w:rsid w:val="002B76FA"/>
    <w:rsid w:val="002B7D88"/>
    <w:rsid w:val="002C1EE0"/>
    <w:rsid w:val="002C32D1"/>
    <w:rsid w:val="002D014C"/>
    <w:rsid w:val="002E38A6"/>
    <w:rsid w:val="002E6915"/>
    <w:rsid w:val="002E747C"/>
    <w:rsid w:val="002F6FD9"/>
    <w:rsid w:val="00304391"/>
    <w:rsid w:val="0030469C"/>
    <w:rsid w:val="00306DAC"/>
    <w:rsid w:val="00307B2E"/>
    <w:rsid w:val="003112BD"/>
    <w:rsid w:val="00311C54"/>
    <w:rsid w:val="0032592D"/>
    <w:rsid w:val="00327867"/>
    <w:rsid w:val="00334DBE"/>
    <w:rsid w:val="00336F7D"/>
    <w:rsid w:val="00340BB1"/>
    <w:rsid w:val="003539AD"/>
    <w:rsid w:val="00364A4F"/>
    <w:rsid w:val="003655EA"/>
    <w:rsid w:val="00366C03"/>
    <w:rsid w:val="0037344F"/>
    <w:rsid w:val="003758E8"/>
    <w:rsid w:val="00381259"/>
    <w:rsid w:val="00385E12"/>
    <w:rsid w:val="003864BE"/>
    <w:rsid w:val="00386E7A"/>
    <w:rsid w:val="003919E0"/>
    <w:rsid w:val="0039277B"/>
    <w:rsid w:val="0039591F"/>
    <w:rsid w:val="003967DD"/>
    <w:rsid w:val="003A0FF0"/>
    <w:rsid w:val="003A7357"/>
    <w:rsid w:val="003A763C"/>
    <w:rsid w:val="003D094E"/>
    <w:rsid w:val="003D63D6"/>
    <w:rsid w:val="003D7A78"/>
    <w:rsid w:val="003E5A6A"/>
    <w:rsid w:val="003E69BC"/>
    <w:rsid w:val="003F05B5"/>
    <w:rsid w:val="003F154B"/>
    <w:rsid w:val="003F31F4"/>
    <w:rsid w:val="003F7422"/>
    <w:rsid w:val="004010EA"/>
    <w:rsid w:val="00403A21"/>
    <w:rsid w:val="00404B4C"/>
    <w:rsid w:val="00417AD3"/>
    <w:rsid w:val="004200E8"/>
    <w:rsid w:val="0042052D"/>
    <w:rsid w:val="00420662"/>
    <w:rsid w:val="00424EDD"/>
    <w:rsid w:val="00426CF0"/>
    <w:rsid w:val="00430D22"/>
    <w:rsid w:val="004322E1"/>
    <w:rsid w:val="00434285"/>
    <w:rsid w:val="004442B6"/>
    <w:rsid w:val="00445F74"/>
    <w:rsid w:val="00454233"/>
    <w:rsid w:val="00457705"/>
    <w:rsid w:val="00463E9E"/>
    <w:rsid w:val="004713DC"/>
    <w:rsid w:val="00471FC5"/>
    <w:rsid w:val="00472DD5"/>
    <w:rsid w:val="004814F1"/>
    <w:rsid w:val="00484806"/>
    <w:rsid w:val="0048520B"/>
    <w:rsid w:val="00485DEE"/>
    <w:rsid w:val="00486E7E"/>
    <w:rsid w:val="0048794C"/>
    <w:rsid w:val="00495EC5"/>
    <w:rsid w:val="004C0165"/>
    <w:rsid w:val="004C2517"/>
    <w:rsid w:val="004C2CF5"/>
    <w:rsid w:val="004D0857"/>
    <w:rsid w:val="004E4483"/>
    <w:rsid w:val="004E6F59"/>
    <w:rsid w:val="004F12BB"/>
    <w:rsid w:val="004F1899"/>
    <w:rsid w:val="0051648C"/>
    <w:rsid w:val="00523BA0"/>
    <w:rsid w:val="005263C0"/>
    <w:rsid w:val="00543322"/>
    <w:rsid w:val="0055007A"/>
    <w:rsid w:val="00554685"/>
    <w:rsid w:val="00554C31"/>
    <w:rsid w:val="00561A44"/>
    <w:rsid w:val="005805A8"/>
    <w:rsid w:val="00580FDF"/>
    <w:rsid w:val="00582FE2"/>
    <w:rsid w:val="00583ABB"/>
    <w:rsid w:val="0058433E"/>
    <w:rsid w:val="00591814"/>
    <w:rsid w:val="005922EA"/>
    <w:rsid w:val="005961DB"/>
    <w:rsid w:val="00596BE9"/>
    <w:rsid w:val="005A1910"/>
    <w:rsid w:val="005A51AC"/>
    <w:rsid w:val="005B6890"/>
    <w:rsid w:val="005C069C"/>
    <w:rsid w:val="005C2DB5"/>
    <w:rsid w:val="005C6348"/>
    <w:rsid w:val="005D0A5B"/>
    <w:rsid w:val="005D5DC2"/>
    <w:rsid w:val="005E1C31"/>
    <w:rsid w:val="005E4269"/>
    <w:rsid w:val="005F7675"/>
    <w:rsid w:val="006017FC"/>
    <w:rsid w:val="006029D9"/>
    <w:rsid w:val="006145B3"/>
    <w:rsid w:val="00615AE3"/>
    <w:rsid w:val="0061670D"/>
    <w:rsid w:val="00634D9B"/>
    <w:rsid w:val="00641091"/>
    <w:rsid w:val="00641680"/>
    <w:rsid w:val="006432BB"/>
    <w:rsid w:val="0064559B"/>
    <w:rsid w:val="00651975"/>
    <w:rsid w:val="00651E82"/>
    <w:rsid w:val="006535C4"/>
    <w:rsid w:val="00655772"/>
    <w:rsid w:val="00655D75"/>
    <w:rsid w:val="0067024B"/>
    <w:rsid w:val="00685E8E"/>
    <w:rsid w:val="00687FE9"/>
    <w:rsid w:val="006934CB"/>
    <w:rsid w:val="0069537D"/>
    <w:rsid w:val="00695CA3"/>
    <w:rsid w:val="00696B21"/>
    <w:rsid w:val="006A1B94"/>
    <w:rsid w:val="006A49FD"/>
    <w:rsid w:val="006A563F"/>
    <w:rsid w:val="006B2AB0"/>
    <w:rsid w:val="006B607C"/>
    <w:rsid w:val="006B7E82"/>
    <w:rsid w:val="006C16A9"/>
    <w:rsid w:val="006C41E0"/>
    <w:rsid w:val="006E262A"/>
    <w:rsid w:val="006E3F31"/>
    <w:rsid w:val="006F2D77"/>
    <w:rsid w:val="006F3D79"/>
    <w:rsid w:val="0070114E"/>
    <w:rsid w:val="00702B6B"/>
    <w:rsid w:val="00703968"/>
    <w:rsid w:val="0071273D"/>
    <w:rsid w:val="00713654"/>
    <w:rsid w:val="007218B0"/>
    <w:rsid w:val="007229B6"/>
    <w:rsid w:val="0073163C"/>
    <w:rsid w:val="0073370E"/>
    <w:rsid w:val="007379FC"/>
    <w:rsid w:val="00744F5E"/>
    <w:rsid w:val="0074651E"/>
    <w:rsid w:val="00760A73"/>
    <w:rsid w:val="007644B8"/>
    <w:rsid w:val="00765AC9"/>
    <w:rsid w:val="0077493B"/>
    <w:rsid w:val="00774AD8"/>
    <w:rsid w:val="00777642"/>
    <w:rsid w:val="00777780"/>
    <w:rsid w:val="00777CE4"/>
    <w:rsid w:val="0078025F"/>
    <w:rsid w:val="00781254"/>
    <w:rsid w:val="00785D7C"/>
    <w:rsid w:val="00793C64"/>
    <w:rsid w:val="007B3EFD"/>
    <w:rsid w:val="007C1D93"/>
    <w:rsid w:val="007C29C7"/>
    <w:rsid w:val="007C4B2B"/>
    <w:rsid w:val="007C51A6"/>
    <w:rsid w:val="007C5F8B"/>
    <w:rsid w:val="007D3421"/>
    <w:rsid w:val="007D4E2E"/>
    <w:rsid w:val="007E410C"/>
    <w:rsid w:val="007E47A6"/>
    <w:rsid w:val="007E56BB"/>
    <w:rsid w:val="007E7784"/>
    <w:rsid w:val="007F2A88"/>
    <w:rsid w:val="00806A8B"/>
    <w:rsid w:val="00812069"/>
    <w:rsid w:val="00813D93"/>
    <w:rsid w:val="00815A4D"/>
    <w:rsid w:val="008340E3"/>
    <w:rsid w:val="00836FAF"/>
    <w:rsid w:val="00843835"/>
    <w:rsid w:val="00844F91"/>
    <w:rsid w:val="008519DB"/>
    <w:rsid w:val="00855549"/>
    <w:rsid w:val="00857490"/>
    <w:rsid w:val="008622DF"/>
    <w:rsid w:val="00865ACC"/>
    <w:rsid w:val="00872874"/>
    <w:rsid w:val="00873C19"/>
    <w:rsid w:val="00874415"/>
    <w:rsid w:val="00875DA1"/>
    <w:rsid w:val="00883385"/>
    <w:rsid w:val="008851D8"/>
    <w:rsid w:val="00885E99"/>
    <w:rsid w:val="00886E67"/>
    <w:rsid w:val="00892CFA"/>
    <w:rsid w:val="00896FA9"/>
    <w:rsid w:val="008A01FA"/>
    <w:rsid w:val="008A760E"/>
    <w:rsid w:val="008B7613"/>
    <w:rsid w:val="008C6E11"/>
    <w:rsid w:val="008D211F"/>
    <w:rsid w:val="008E02AF"/>
    <w:rsid w:val="008E07F6"/>
    <w:rsid w:val="008E325E"/>
    <w:rsid w:val="008E49DC"/>
    <w:rsid w:val="008E4E4D"/>
    <w:rsid w:val="008E797F"/>
    <w:rsid w:val="008F0C11"/>
    <w:rsid w:val="008F531A"/>
    <w:rsid w:val="008F6D5C"/>
    <w:rsid w:val="009015C5"/>
    <w:rsid w:val="00903056"/>
    <w:rsid w:val="00907C16"/>
    <w:rsid w:val="00913166"/>
    <w:rsid w:val="00921310"/>
    <w:rsid w:val="00923984"/>
    <w:rsid w:val="009264CA"/>
    <w:rsid w:val="00941144"/>
    <w:rsid w:val="009500F6"/>
    <w:rsid w:val="009507B7"/>
    <w:rsid w:val="00952070"/>
    <w:rsid w:val="0095383B"/>
    <w:rsid w:val="00955E8A"/>
    <w:rsid w:val="00957C61"/>
    <w:rsid w:val="00962993"/>
    <w:rsid w:val="00963F28"/>
    <w:rsid w:val="00967AC3"/>
    <w:rsid w:val="009838EA"/>
    <w:rsid w:val="00983FE8"/>
    <w:rsid w:val="0099098D"/>
    <w:rsid w:val="00990AB0"/>
    <w:rsid w:val="009C1C57"/>
    <w:rsid w:val="009C52DE"/>
    <w:rsid w:val="009C7B36"/>
    <w:rsid w:val="009D1408"/>
    <w:rsid w:val="009D1A6C"/>
    <w:rsid w:val="009D41C1"/>
    <w:rsid w:val="009E25B5"/>
    <w:rsid w:val="009E26D9"/>
    <w:rsid w:val="009E2D90"/>
    <w:rsid w:val="009E4114"/>
    <w:rsid w:val="009E5528"/>
    <w:rsid w:val="009E5CDF"/>
    <w:rsid w:val="009F3C5F"/>
    <w:rsid w:val="00A0201A"/>
    <w:rsid w:val="00A0415C"/>
    <w:rsid w:val="00A05D9F"/>
    <w:rsid w:val="00A0731F"/>
    <w:rsid w:val="00A15FE1"/>
    <w:rsid w:val="00A2468C"/>
    <w:rsid w:val="00A26C44"/>
    <w:rsid w:val="00A27F11"/>
    <w:rsid w:val="00A313E6"/>
    <w:rsid w:val="00A329A8"/>
    <w:rsid w:val="00A36C1D"/>
    <w:rsid w:val="00A4493E"/>
    <w:rsid w:val="00A46B55"/>
    <w:rsid w:val="00A5331E"/>
    <w:rsid w:val="00A618E8"/>
    <w:rsid w:val="00A62EE0"/>
    <w:rsid w:val="00A655C4"/>
    <w:rsid w:val="00A84827"/>
    <w:rsid w:val="00A95F67"/>
    <w:rsid w:val="00AA0F15"/>
    <w:rsid w:val="00AA4B2A"/>
    <w:rsid w:val="00AA53B4"/>
    <w:rsid w:val="00AB2665"/>
    <w:rsid w:val="00AB33B5"/>
    <w:rsid w:val="00AB7CB8"/>
    <w:rsid w:val="00AB7D38"/>
    <w:rsid w:val="00AC04EE"/>
    <w:rsid w:val="00AC7828"/>
    <w:rsid w:val="00AD50F0"/>
    <w:rsid w:val="00AD520B"/>
    <w:rsid w:val="00AF5695"/>
    <w:rsid w:val="00AF604B"/>
    <w:rsid w:val="00B00A9B"/>
    <w:rsid w:val="00B00E07"/>
    <w:rsid w:val="00B107AA"/>
    <w:rsid w:val="00B13D3A"/>
    <w:rsid w:val="00B15900"/>
    <w:rsid w:val="00B175E2"/>
    <w:rsid w:val="00B2622E"/>
    <w:rsid w:val="00B309B9"/>
    <w:rsid w:val="00B30F7C"/>
    <w:rsid w:val="00B34B96"/>
    <w:rsid w:val="00B44951"/>
    <w:rsid w:val="00B5739E"/>
    <w:rsid w:val="00B614A9"/>
    <w:rsid w:val="00B61D4D"/>
    <w:rsid w:val="00B67A38"/>
    <w:rsid w:val="00B717D0"/>
    <w:rsid w:val="00B77640"/>
    <w:rsid w:val="00BA208B"/>
    <w:rsid w:val="00BA2FE2"/>
    <w:rsid w:val="00BB44C8"/>
    <w:rsid w:val="00BC2F22"/>
    <w:rsid w:val="00BC70C3"/>
    <w:rsid w:val="00BC78E2"/>
    <w:rsid w:val="00BD322D"/>
    <w:rsid w:val="00BD5789"/>
    <w:rsid w:val="00BD5A71"/>
    <w:rsid w:val="00BD5BB4"/>
    <w:rsid w:val="00BE06AC"/>
    <w:rsid w:val="00BE3351"/>
    <w:rsid w:val="00BE5F61"/>
    <w:rsid w:val="00BF465D"/>
    <w:rsid w:val="00BF71D2"/>
    <w:rsid w:val="00C00A42"/>
    <w:rsid w:val="00C0135E"/>
    <w:rsid w:val="00C02982"/>
    <w:rsid w:val="00C046AD"/>
    <w:rsid w:val="00C06E62"/>
    <w:rsid w:val="00C10652"/>
    <w:rsid w:val="00C10BB8"/>
    <w:rsid w:val="00C12529"/>
    <w:rsid w:val="00C2232B"/>
    <w:rsid w:val="00C31D42"/>
    <w:rsid w:val="00C34260"/>
    <w:rsid w:val="00C37CA6"/>
    <w:rsid w:val="00C44C7A"/>
    <w:rsid w:val="00C5181D"/>
    <w:rsid w:val="00C61566"/>
    <w:rsid w:val="00C64C7F"/>
    <w:rsid w:val="00C67EAA"/>
    <w:rsid w:val="00C74235"/>
    <w:rsid w:val="00C75F70"/>
    <w:rsid w:val="00C857C8"/>
    <w:rsid w:val="00C86DAB"/>
    <w:rsid w:val="00C93CC5"/>
    <w:rsid w:val="00CA519B"/>
    <w:rsid w:val="00CB158D"/>
    <w:rsid w:val="00CB1D03"/>
    <w:rsid w:val="00CB2E22"/>
    <w:rsid w:val="00CC2180"/>
    <w:rsid w:val="00CD330C"/>
    <w:rsid w:val="00CD5267"/>
    <w:rsid w:val="00CE096A"/>
    <w:rsid w:val="00CE1EF6"/>
    <w:rsid w:val="00CE3D63"/>
    <w:rsid w:val="00CF1991"/>
    <w:rsid w:val="00CF1CF0"/>
    <w:rsid w:val="00CF2A83"/>
    <w:rsid w:val="00CF309D"/>
    <w:rsid w:val="00CF44EB"/>
    <w:rsid w:val="00CF7BCF"/>
    <w:rsid w:val="00D02D76"/>
    <w:rsid w:val="00D04568"/>
    <w:rsid w:val="00D12E97"/>
    <w:rsid w:val="00D20D9B"/>
    <w:rsid w:val="00D260AF"/>
    <w:rsid w:val="00D333D3"/>
    <w:rsid w:val="00D3367A"/>
    <w:rsid w:val="00D3505A"/>
    <w:rsid w:val="00D35466"/>
    <w:rsid w:val="00D37CDF"/>
    <w:rsid w:val="00D41754"/>
    <w:rsid w:val="00D5158F"/>
    <w:rsid w:val="00D566E4"/>
    <w:rsid w:val="00D622BD"/>
    <w:rsid w:val="00D65F06"/>
    <w:rsid w:val="00D70A35"/>
    <w:rsid w:val="00D7377D"/>
    <w:rsid w:val="00D74F9A"/>
    <w:rsid w:val="00D77088"/>
    <w:rsid w:val="00D803A6"/>
    <w:rsid w:val="00D80D46"/>
    <w:rsid w:val="00D869B2"/>
    <w:rsid w:val="00D9532A"/>
    <w:rsid w:val="00DA02EC"/>
    <w:rsid w:val="00DB18EB"/>
    <w:rsid w:val="00DB5C53"/>
    <w:rsid w:val="00DC06BC"/>
    <w:rsid w:val="00DC4007"/>
    <w:rsid w:val="00DC422D"/>
    <w:rsid w:val="00DC44C8"/>
    <w:rsid w:val="00DC5387"/>
    <w:rsid w:val="00DD1F48"/>
    <w:rsid w:val="00DD402E"/>
    <w:rsid w:val="00DE2F82"/>
    <w:rsid w:val="00DF351E"/>
    <w:rsid w:val="00E079DC"/>
    <w:rsid w:val="00E10E4F"/>
    <w:rsid w:val="00E23E56"/>
    <w:rsid w:val="00E308FB"/>
    <w:rsid w:val="00E309A0"/>
    <w:rsid w:val="00E42AD9"/>
    <w:rsid w:val="00E43457"/>
    <w:rsid w:val="00E47942"/>
    <w:rsid w:val="00E50A9C"/>
    <w:rsid w:val="00E77EAF"/>
    <w:rsid w:val="00E93E1C"/>
    <w:rsid w:val="00E95AE6"/>
    <w:rsid w:val="00E95B6A"/>
    <w:rsid w:val="00EA328F"/>
    <w:rsid w:val="00EA3CF9"/>
    <w:rsid w:val="00EB11D9"/>
    <w:rsid w:val="00EB60C8"/>
    <w:rsid w:val="00EB6EDC"/>
    <w:rsid w:val="00EC55DB"/>
    <w:rsid w:val="00ED02FE"/>
    <w:rsid w:val="00EE5AB9"/>
    <w:rsid w:val="00EF1D43"/>
    <w:rsid w:val="00EF449C"/>
    <w:rsid w:val="00EF6597"/>
    <w:rsid w:val="00F06B01"/>
    <w:rsid w:val="00F12A9E"/>
    <w:rsid w:val="00F17D76"/>
    <w:rsid w:val="00F312F9"/>
    <w:rsid w:val="00F328B6"/>
    <w:rsid w:val="00F3464D"/>
    <w:rsid w:val="00F50BD7"/>
    <w:rsid w:val="00F51398"/>
    <w:rsid w:val="00F513C5"/>
    <w:rsid w:val="00F517E6"/>
    <w:rsid w:val="00F558D1"/>
    <w:rsid w:val="00F629D4"/>
    <w:rsid w:val="00F66C46"/>
    <w:rsid w:val="00F7444A"/>
    <w:rsid w:val="00F8301B"/>
    <w:rsid w:val="00F8398A"/>
    <w:rsid w:val="00F83B9D"/>
    <w:rsid w:val="00F84069"/>
    <w:rsid w:val="00F85F0C"/>
    <w:rsid w:val="00F94C9E"/>
    <w:rsid w:val="00F96023"/>
    <w:rsid w:val="00FA262C"/>
    <w:rsid w:val="00FA4164"/>
    <w:rsid w:val="00FA6200"/>
    <w:rsid w:val="00FD3DB2"/>
    <w:rsid w:val="00FD743C"/>
    <w:rsid w:val="00FD7CD8"/>
    <w:rsid w:val="00FE0BC4"/>
    <w:rsid w:val="00FE20B9"/>
    <w:rsid w:val="00FE3210"/>
    <w:rsid w:val="00FE46C9"/>
    <w:rsid w:val="00FE5615"/>
    <w:rsid w:val="00FE6F94"/>
    <w:rsid w:val="00FF0F7F"/>
    <w:rsid w:val="00FF5FF7"/>
    <w:rsid w:val="00FF7991"/>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
    <w:basedOn w:val="Normal"/>
    <w:link w:val="FootnoteTextChar1"/>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noteText">
    <w:name w:val="footnote text"/>
    <w:aliases w:val="Footnote Text Char,Footnote Text Char1 Char,Footnote Text Char Char Char,Footnote Text Char2 Char Char Char,Footnote Text Char1 Char1 Char Char Char,Footnote Text Char Char Char Char Char Char,Footnote Text Char7 Char Char"/>
    <w:basedOn w:val="Normal"/>
    <w:link w:val="FootnoteTextChar1"/>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1">
    <w:name w:val="Footnote Text Char1"/>
    <w:aliases w:val="Footnote Text Char Char,Footnote Text Char1 Char Char,Footnote Text Char Char Char Char,Footnote Text Char2 Char Char Char Char,Footnote Text Char1 Char1 Char Char Char Char,Footnote Text Char Char Char Char Char Char Char"/>
    <w:link w:val="FootnoteText"/>
    <w:rPr>
      <w:lang w:val="en-US" w:eastAsia="en-US" w:bidi="ar-SA"/>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character" w:customStyle="1" w:styleId="searchterm3">
    <w:name w:val="searchterm3"/>
    <w:rPr>
      <w:b/>
      <w:bCs/>
      <w:shd w:val="clear" w:color="auto" w:fill="FFFF00"/>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6145B3"/>
    <w:rPr>
      <w:sz w:val="16"/>
      <w:szCs w:val="16"/>
    </w:rPr>
  </w:style>
  <w:style w:type="paragraph" w:styleId="CommentText">
    <w:name w:val="annotation text"/>
    <w:basedOn w:val="Normal"/>
    <w:semiHidden/>
    <w:rsid w:val="006145B3"/>
  </w:style>
  <w:style w:type="paragraph" w:styleId="CommentSubject">
    <w:name w:val="annotation subject"/>
    <w:basedOn w:val="CommentText"/>
    <w:next w:val="CommentText"/>
    <w:semiHidden/>
    <w:rsid w:val="006145B3"/>
    <w:rPr>
      <w:b/>
      <w:bCs/>
    </w:rPr>
  </w:style>
  <w:style w:type="character" w:customStyle="1" w:styleId="pmterms21">
    <w:name w:val="pmterms21"/>
    <w:rsid w:val="00AA4B2A"/>
    <w:rPr>
      <w:b/>
      <w:bCs/>
      <w:i w:val="0"/>
      <w:iCs w:val="0"/>
      <w:color w:val="000000"/>
    </w:rPr>
  </w:style>
  <w:style w:type="character" w:customStyle="1" w:styleId="pmterms11">
    <w:name w:val="pmterms11"/>
    <w:rsid w:val="00AA4B2A"/>
    <w:rPr>
      <w:b/>
      <w:bCs/>
      <w:i w:val="0"/>
      <w:iCs w:val="0"/>
      <w:color w:val="000000"/>
    </w:rPr>
  </w:style>
  <w:style w:type="character" w:customStyle="1" w:styleId="term1">
    <w:name w:val="term1"/>
    <w:rsid w:val="008574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2729</Characters>
  <Application>Microsoft Office Word</Application>
  <DocSecurity>0</DocSecurity>
  <Lines>67</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2011-03-07T19:35:00Z</cp:lastPrinted>
  <dcterms:created xsi:type="dcterms:W3CDTF">2015-03-02T15:34:00Z</dcterms:created>
  <dcterms:modified xsi:type="dcterms:W3CDTF">2015-03-02T15:34:00Z</dcterms:modified>
  <cp:category> </cp:category>
  <cp:contentStatus> </cp:contentStatus>
</cp:coreProperties>
</file>