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BA" w:rsidRDefault="00E362BA" w:rsidP="00630296">
      <w:pPr>
        <w:jc w:val="center"/>
        <w:rPr>
          <w:b/>
        </w:rPr>
      </w:pPr>
      <w:bookmarkStart w:id="0" w:name="_GoBack"/>
      <w:bookmarkEnd w:id="0"/>
      <w:r>
        <w:rPr>
          <w:b/>
        </w:rPr>
        <w:t>Before the</w:t>
      </w:r>
    </w:p>
    <w:p w:rsidR="00E362BA" w:rsidRDefault="00E362BA" w:rsidP="00630296">
      <w:pPr>
        <w:jc w:val="center"/>
        <w:rPr>
          <w:b/>
        </w:rPr>
      </w:pPr>
      <w:r>
        <w:rPr>
          <w:b/>
        </w:rPr>
        <w:t>Federal Communications Commission</w:t>
      </w:r>
    </w:p>
    <w:p w:rsidR="00E362BA" w:rsidRDefault="00E362BA" w:rsidP="00630296">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E362BA" w:rsidRDefault="00E362BA" w:rsidP="00630296">
      <w:pPr>
        <w:jc w:val="center"/>
      </w:pPr>
    </w:p>
    <w:p w:rsidR="00E362BA" w:rsidRDefault="00E362BA" w:rsidP="00AE2FCE"/>
    <w:tbl>
      <w:tblPr>
        <w:tblW w:w="0" w:type="auto"/>
        <w:tblLayout w:type="fixed"/>
        <w:tblLook w:val="0000" w:firstRow="0" w:lastRow="0" w:firstColumn="0" w:lastColumn="0" w:noHBand="0" w:noVBand="0"/>
      </w:tblPr>
      <w:tblGrid>
        <w:gridCol w:w="4698"/>
        <w:gridCol w:w="720"/>
        <w:gridCol w:w="4230"/>
      </w:tblGrid>
      <w:tr w:rsidR="00E362BA">
        <w:tc>
          <w:tcPr>
            <w:tcW w:w="4698" w:type="dxa"/>
          </w:tcPr>
          <w:p w:rsidR="00E362BA" w:rsidRDefault="00E362BA" w:rsidP="00AE2FCE">
            <w:pPr>
              <w:ind w:right="-18"/>
            </w:pPr>
            <w:r>
              <w:t>In the matter of</w:t>
            </w:r>
          </w:p>
          <w:p w:rsidR="00E362BA" w:rsidRDefault="00E362BA" w:rsidP="00AE2FCE">
            <w:pPr>
              <w:ind w:right="-18"/>
            </w:pPr>
          </w:p>
          <w:p w:rsidR="00272AB3" w:rsidRDefault="00272AB3" w:rsidP="00AE2FCE">
            <w:pPr>
              <w:ind w:right="-18"/>
            </w:pPr>
            <w:r>
              <w:t>Connect America Fund</w:t>
            </w:r>
          </w:p>
          <w:p w:rsidR="00C25CE4" w:rsidRDefault="00C25CE4" w:rsidP="00AE2FCE">
            <w:pPr>
              <w:ind w:right="-18"/>
            </w:pPr>
          </w:p>
          <w:p w:rsidR="00C25CE4" w:rsidRDefault="00C25CE4" w:rsidP="00AE2FCE">
            <w:pPr>
              <w:ind w:right="-18"/>
            </w:pPr>
            <w:r>
              <w:t>Rural Broadband Experiments</w:t>
            </w:r>
          </w:p>
        </w:tc>
        <w:tc>
          <w:tcPr>
            <w:tcW w:w="720" w:type="dxa"/>
          </w:tcPr>
          <w:p w:rsidR="00E362BA" w:rsidRDefault="00E362BA" w:rsidP="00AE2FCE">
            <w:pPr>
              <w:rPr>
                <w:b/>
              </w:rPr>
            </w:pPr>
            <w:r>
              <w:rPr>
                <w:b/>
              </w:rPr>
              <w:t>)</w:t>
            </w:r>
          </w:p>
          <w:p w:rsidR="00E362BA" w:rsidRDefault="00E362BA" w:rsidP="00AE2FCE">
            <w:pPr>
              <w:rPr>
                <w:b/>
              </w:rPr>
            </w:pPr>
            <w:r>
              <w:rPr>
                <w:b/>
              </w:rPr>
              <w:t>)</w:t>
            </w:r>
          </w:p>
          <w:p w:rsidR="00E362BA" w:rsidRDefault="00E362BA" w:rsidP="00AE2FCE">
            <w:pPr>
              <w:rPr>
                <w:b/>
              </w:rPr>
            </w:pPr>
            <w:r>
              <w:rPr>
                <w:b/>
              </w:rPr>
              <w:t>)</w:t>
            </w:r>
          </w:p>
          <w:p w:rsidR="00E362BA" w:rsidRDefault="00E362BA" w:rsidP="00AE2FCE">
            <w:pPr>
              <w:rPr>
                <w:b/>
              </w:rPr>
            </w:pPr>
            <w:r>
              <w:rPr>
                <w:b/>
              </w:rPr>
              <w:t>)</w:t>
            </w:r>
          </w:p>
          <w:p w:rsidR="00C25CE4" w:rsidRDefault="00E362BA" w:rsidP="003F442E">
            <w:pPr>
              <w:rPr>
                <w:b/>
              </w:rPr>
            </w:pPr>
            <w:r>
              <w:rPr>
                <w:b/>
              </w:rPr>
              <w:t>)</w:t>
            </w:r>
          </w:p>
        </w:tc>
        <w:tc>
          <w:tcPr>
            <w:tcW w:w="4230" w:type="dxa"/>
          </w:tcPr>
          <w:p w:rsidR="00E362BA" w:rsidRDefault="00E362BA" w:rsidP="00AE2FCE"/>
          <w:p w:rsidR="00E362BA" w:rsidRDefault="00E362BA" w:rsidP="00AE2FCE"/>
          <w:p w:rsidR="00E362BA" w:rsidRDefault="00272AB3" w:rsidP="00AE2FCE">
            <w:pPr>
              <w:rPr>
                <w:spacing w:val="-2"/>
              </w:rPr>
            </w:pPr>
            <w:r>
              <w:rPr>
                <w:spacing w:val="-2"/>
              </w:rPr>
              <w:t>WC Docket No 10-90</w:t>
            </w:r>
          </w:p>
          <w:p w:rsidR="00C25CE4" w:rsidRDefault="00C25CE4" w:rsidP="00AE2FCE">
            <w:pPr>
              <w:rPr>
                <w:spacing w:val="-2"/>
              </w:rPr>
            </w:pPr>
          </w:p>
          <w:p w:rsidR="00C25CE4" w:rsidRDefault="00C25CE4" w:rsidP="00AE2FCE">
            <w:r>
              <w:rPr>
                <w:spacing w:val="-2"/>
              </w:rPr>
              <w:t>WC Docket No. 14-259</w:t>
            </w:r>
          </w:p>
        </w:tc>
      </w:tr>
    </w:tbl>
    <w:p w:rsidR="00272AB3" w:rsidRDefault="00272AB3" w:rsidP="00AE2FCE">
      <w:pPr>
        <w:tabs>
          <w:tab w:val="left" w:pos="5760"/>
        </w:tabs>
      </w:pPr>
    </w:p>
    <w:p w:rsidR="00F77F92" w:rsidRDefault="00F77F92" w:rsidP="00337E45">
      <w:pPr>
        <w:rPr>
          <w:b/>
        </w:rPr>
      </w:pPr>
    </w:p>
    <w:p w:rsidR="00E362BA" w:rsidRDefault="00E362BA" w:rsidP="00337E45">
      <w:pPr>
        <w:rPr>
          <w:b/>
        </w:rPr>
      </w:pPr>
      <w:r>
        <w:rPr>
          <w:b/>
        </w:rPr>
        <w:t xml:space="preserve">Adopted:  </w:t>
      </w:r>
      <w:r w:rsidR="00864937">
        <w:rPr>
          <w:b/>
          <w:spacing w:val="-2"/>
        </w:rPr>
        <w:t>March</w:t>
      </w:r>
      <w:r w:rsidR="003D1DBF">
        <w:rPr>
          <w:b/>
          <w:spacing w:val="-2"/>
        </w:rPr>
        <w:t xml:space="preserve"> 3</w:t>
      </w:r>
      <w:r w:rsidR="00272AB3">
        <w:rPr>
          <w:b/>
          <w:spacing w:val="-2"/>
        </w:rPr>
        <w:t>, 201</w:t>
      </w:r>
      <w:r w:rsidR="00C25CE4">
        <w:rPr>
          <w:b/>
          <w:spacing w:val="-2"/>
        </w:rPr>
        <w:t>5</w:t>
      </w:r>
      <w:r>
        <w:rPr>
          <w:b/>
        </w:rPr>
        <w:tab/>
      </w:r>
      <w:r w:rsidR="009E53F7">
        <w:rPr>
          <w:b/>
        </w:rPr>
        <w:tab/>
      </w:r>
      <w:r w:rsidR="009E53F7">
        <w:rPr>
          <w:b/>
        </w:rPr>
        <w:tab/>
      </w:r>
      <w:r w:rsidR="009E53F7">
        <w:rPr>
          <w:b/>
        </w:rPr>
        <w:tab/>
      </w:r>
      <w:r w:rsidR="003D1DBF">
        <w:rPr>
          <w:b/>
        </w:rPr>
        <w:tab/>
      </w:r>
      <w:r w:rsidR="003D1DBF">
        <w:rPr>
          <w:b/>
        </w:rPr>
        <w:tab/>
        <w:t xml:space="preserve">         </w:t>
      </w:r>
      <w:r>
        <w:rPr>
          <w:b/>
        </w:rPr>
        <w:t xml:space="preserve">Released:  </w:t>
      </w:r>
      <w:r w:rsidR="00864937">
        <w:rPr>
          <w:b/>
          <w:spacing w:val="-2"/>
        </w:rPr>
        <w:t>March</w:t>
      </w:r>
      <w:r w:rsidR="00272AB3">
        <w:rPr>
          <w:b/>
          <w:spacing w:val="-2"/>
        </w:rPr>
        <w:t xml:space="preserve"> </w:t>
      </w:r>
      <w:r w:rsidR="003D1DBF">
        <w:rPr>
          <w:b/>
          <w:spacing w:val="-2"/>
        </w:rPr>
        <w:t>3</w:t>
      </w:r>
      <w:r w:rsidR="00272AB3">
        <w:rPr>
          <w:b/>
          <w:spacing w:val="-2"/>
        </w:rPr>
        <w:t>, 201</w:t>
      </w:r>
      <w:r w:rsidR="00C25CE4">
        <w:rPr>
          <w:b/>
          <w:spacing w:val="-2"/>
        </w:rPr>
        <w:t>5</w:t>
      </w:r>
    </w:p>
    <w:p w:rsidR="00E362BA" w:rsidRDefault="00E362BA" w:rsidP="00AE2FCE">
      <w:pPr>
        <w:tabs>
          <w:tab w:val="left" w:pos="5760"/>
        </w:tabs>
        <w:rPr>
          <w:b/>
        </w:rPr>
      </w:pPr>
    </w:p>
    <w:p w:rsidR="00E362BA" w:rsidRPr="00272AB3" w:rsidRDefault="00272AB3" w:rsidP="00AE2FCE">
      <w:pPr>
        <w:tabs>
          <w:tab w:val="left" w:pos="5760"/>
        </w:tabs>
      </w:pPr>
      <w:r>
        <w:t xml:space="preserve">By the </w:t>
      </w:r>
      <w:r w:rsidR="00B549FB">
        <w:t xml:space="preserve">Deputy </w:t>
      </w:r>
      <w:r>
        <w:t>Chie</w:t>
      </w:r>
      <w:r w:rsidR="003D1DBF">
        <w:t>f, Wireline Competition Bureau:</w:t>
      </w:r>
    </w:p>
    <w:p w:rsidR="00E362BA" w:rsidRDefault="00E362BA" w:rsidP="00AE2FCE"/>
    <w:p w:rsidR="00416DE7" w:rsidRDefault="001140EE" w:rsidP="00FB3226">
      <w:pPr>
        <w:pStyle w:val="Heading1"/>
        <w:numPr>
          <w:ilvl w:val="0"/>
          <w:numId w:val="0"/>
        </w:numPr>
        <w:jc w:val="center"/>
      </w:pPr>
      <w:r>
        <w:t>ORDER</w:t>
      </w:r>
    </w:p>
    <w:p w:rsidR="005D45AB" w:rsidRPr="0019242C" w:rsidRDefault="00914306" w:rsidP="003E3AAC">
      <w:pPr>
        <w:pStyle w:val="ParaNum"/>
        <w:jc w:val="left"/>
      </w:pPr>
      <w:r w:rsidRPr="0019242C">
        <w:t>I</w:t>
      </w:r>
      <w:r w:rsidR="008E23F9" w:rsidRPr="0019242C">
        <w:t>n this O</w:t>
      </w:r>
      <w:r w:rsidRPr="0019242C">
        <w:t>rder</w:t>
      </w:r>
      <w:r w:rsidR="001140EE" w:rsidRPr="0019242C">
        <w:t xml:space="preserve">, </w:t>
      </w:r>
      <w:r w:rsidR="003F442E">
        <w:t xml:space="preserve">the Wireline Competition Bureau (Bureau) </w:t>
      </w:r>
      <w:r w:rsidR="003241F5">
        <w:t>den</w:t>
      </w:r>
      <w:r w:rsidR="003F442E">
        <w:t>ies</w:t>
      </w:r>
      <w:r w:rsidR="003241F5">
        <w:t xml:space="preserve"> </w:t>
      </w:r>
      <w:r w:rsidR="001140EE" w:rsidRPr="0019242C">
        <w:t>petitions filed by</w:t>
      </w:r>
      <w:r w:rsidRPr="0019242C">
        <w:t xml:space="preserve"> </w:t>
      </w:r>
      <w:r w:rsidR="00805B3C">
        <w:t>Computer</w:t>
      </w:r>
      <w:r w:rsidR="005F0C01">
        <w:t xml:space="preserve"> </w:t>
      </w:r>
      <w:r w:rsidR="00805B3C">
        <w:t>5, Inc. d/b/a LocalTel Communications</w:t>
      </w:r>
      <w:r w:rsidR="00A115AC">
        <w:t xml:space="preserve">; </w:t>
      </w:r>
      <w:r w:rsidR="00A115AC" w:rsidRPr="00A115AC">
        <w:t>Donnell, Michael D. (d/b/a San Joaquin Broadband)</w:t>
      </w:r>
      <w:r w:rsidR="00A115AC">
        <w:t xml:space="preserve">; </w:t>
      </w:r>
      <w:r w:rsidR="00805B3C">
        <w:t xml:space="preserve">Tejas Wireless LLC; and Texhoma Fiber, LLC </w:t>
      </w:r>
      <w:r w:rsidRPr="0019242C">
        <w:t>for</w:t>
      </w:r>
      <w:r w:rsidR="008E23F9" w:rsidRPr="0019242C">
        <w:t xml:space="preserve"> a</w:t>
      </w:r>
      <w:r w:rsidRPr="0019242C">
        <w:t xml:space="preserve"> </w:t>
      </w:r>
      <w:r w:rsidR="00F75AC7" w:rsidRPr="0019242C">
        <w:t xml:space="preserve">waiver of </w:t>
      </w:r>
      <w:r w:rsidR="00A115AC">
        <w:t>the requirement</w:t>
      </w:r>
      <w:r w:rsidR="00174686">
        <w:t>s established by the Commission to remain under consideration as a “next-in-line” bidder for rural broadband experiment support</w:t>
      </w:r>
      <w:r w:rsidR="00A115AC">
        <w:t>.</w:t>
      </w:r>
      <w:r w:rsidR="00F75AC7" w:rsidRPr="0019242C">
        <w:rPr>
          <w:rStyle w:val="FootnoteReference"/>
        </w:rPr>
        <w:footnoteReference w:id="2"/>
      </w:r>
      <w:r w:rsidRPr="0019242C">
        <w:t xml:space="preserve"> </w:t>
      </w:r>
      <w:r w:rsidR="00550CFC" w:rsidRPr="0019242C">
        <w:t xml:space="preserve"> </w:t>
      </w:r>
      <w:r w:rsidR="00C63D40">
        <w:t>W</w:t>
      </w:r>
      <w:r w:rsidR="00AF7074">
        <w:t>e do not find good cause to waive the requirements established by the Commission and</w:t>
      </w:r>
      <w:r w:rsidR="00C63D40">
        <w:t xml:space="preserve"> therefore</w:t>
      </w:r>
      <w:r w:rsidR="00AF7074">
        <w:t xml:space="preserve"> remove these entities from further consideration for rural broadband experiments support. </w:t>
      </w:r>
      <w:r w:rsidR="003F442E">
        <w:t xml:space="preserve"> </w:t>
      </w:r>
      <w:r w:rsidR="003E3AAC">
        <w:t xml:space="preserve">We also remove </w:t>
      </w:r>
      <w:r w:rsidR="00805B3C">
        <w:t>two</w:t>
      </w:r>
      <w:r w:rsidR="003E3AAC">
        <w:t xml:space="preserve"> additional entit</w:t>
      </w:r>
      <w:r w:rsidR="00805B3C">
        <w:t>ies</w:t>
      </w:r>
      <w:r w:rsidR="003E3AAC">
        <w:t>—</w:t>
      </w:r>
      <w:r w:rsidR="00805B3C">
        <w:t>Liberty Cablevision of Puerto Rico (Liberty) and BVU Authority (BVU)</w:t>
      </w:r>
      <w:r w:rsidR="003E3AAC">
        <w:t>—</w:t>
      </w:r>
      <w:r w:rsidR="008A3571">
        <w:t>from further consideration for rural broadband experiments support for failing</w:t>
      </w:r>
      <w:r w:rsidR="00A42EDC">
        <w:t xml:space="preserve"> to file the requi</w:t>
      </w:r>
      <w:r w:rsidR="00805B3C">
        <w:t>site technical</w:t>
      </w:r>
      <w:r w:rsidR="00A42EDC">
        <w:t xml:space="preserve"> information</w:t>
      </w:r>
      <w:r w:rsidR="0007614D">
        <w:t xml:space="preserve"> by the </w:t>
      </w:r>
      <w:r w:rsidR="0005716B">
        <w:t xml:space="preserve">Commission’s </w:t>
      </w:r>
      <w:r w:rsidR="0007614D">
        <w:t>required deadline</w:t>
      </w:r>
      <w:r w:rsidR="003E3AAC">
        <w:t xml:space="preserve">.  </w:t>
      </w:r>
    </w:p>
    <w:p w:rsidR="00DD5DF8" w:rsidRPr="0019242C" w:rsidRDefault="00DD5DF8" w:rsidP="00DD5DF8">
      <w:pPr>
        <w:pStyle w:val="Heading1"/>
        <w:widowControl/>
      </w:pPr>
      <w:r w:rsidRPr="0019242C">
        <w:t>background</w:t>
      </w:r>
    </w:p>
    <w:p w:rsidR="00335832" w:rsidRDefault="00247045" w:rsidP="006416FC">
      <w:pPr>
        <w:pStyle w:val="ParaNum"/>
        <w:widowControl/>
        <w:jc w:val="left"/>
      </w:pPr>
      <w:r w:rsidRPr="00A01473">
        <w:rPr>
          <w:szCs w:val="22"/>
        </w:rPr>
        <w:t>I</w:t>
      </w:r>
      <w:r w:rsidR="00983FBF" w:rsidRPr="00A01473">
        <w:rPr>
          <w:szCs w:val="22"/>
        </w:rPr>
        <w:t xml:space="preserve">n </w:t>
      </w:r>
      <w:r w:rsidR="00983FBF" w:rsidRPr="0019242C">
        <w:t xml:space="preserve">the </w:t>
      </w:r>
      <w:r w:rsidR="00AF7074">
        <w:rPr>
          <w:i/>
        </w:rPr>
        <w:t xml:space="preserve">December </w:t>
      </w:r>
      <w:r w:rsidR="00174686">
        <w:rPr>
          <w:i/>
        </w:rPr>
        <w:t xml:space="preserve">2014 </w:t>
      </w:r>
      <w:r w:rsidR="00AF7074">
        <w:rPr>
          <w:i/>
        </w:rPr>
        <w:t>C</w:t>
      </w:r>
      <w:r w:rsidR="00174686">
        <w:rPr>
          <w:i/>
        </w:rPr>
        <w:t>onnect America Fund</w:t>
      </w:r>
      <w:r w:rsidR="00AF7074">
        <w:rPr>
          <w:i/>
        </w:rPr>
        <w:t xml:space="preserve"> </w:t>
      </w:r>
      <w:r w:rsidR="00983FBF" w:rsidRPr="00A01473">
        <w:rPr>
          <w:i/>
        </w:rPr>
        <w:t>Order</w:t>
      </w:r>
      <w:r w:rsidRPr="0019242C">
        <w:t>,</w:t>
      </w:r>
      <w:r w:rsidR="00983FBF" w:rsidRPr="00A01473">
        <w:rPr>
          <w:szCs w:val="22"/>
        </w:rPr>
        <w:t xml:space="preserve"> </w:t>
      </w:r>
      <w:r w:rsidR="00083532" w:rsidRPr="0019242C">
        <w:t>the</w:t>
      </w:r>
      <w:r w:rsidR="00F376D1" w:rsidRPr="0019242C">
        <w:t xml:space="preserve"> Commission</w:t>
      </w:r>
      <w:r w:rsidR="0044335D" w:rsidRPr="0019242C">
        <w:t xml:space="preserve"> </w:t>
      </w:r>
      <w:r w:rsidR="00AF7074" w:rsidRPr="006B37D8">
        <w:rPr>
          <w:szCs w:val="22"/>
        </w:rPr>
        <w:t xml:space="preserve">established a process to enable the provisional selection of additional bidders for rural broadband experiments support in the event any of the </w:t>
      </w:r>
      <w:r w:rsidR="00AF7074">
        <w:rPr>
          <w:szCs w:val="22"/>
        </w:rPr>
        <w:t xml:space="preserve">initial </w:t>
      </w:r>
      <w:r w:rsidR="00AF7074" w:rsidRPr="006B37D8">
        <w:rPr>
          <w:szCs w:val="22"/>
        </w:rPr>
        <w:t>provisionally selected bidders</w:t>
      </w:r>
      <w:r w:rsidR="00AF7074">
        <w:rPr>
          <w:szCs w:val="22"/>
        </w:rPr>
        <w:t xml:space="preserve"> defaulted</w:t>
      </w:r>
      <w:r w:rsidR="00AF7074" w:rsidRPr="006B37D8">
        <w:rPr>
          <w:szCs w:val="22"/>
        </w:rPr>
        <w:t xml:space="preserve"> before the </w:t>
      </w:r>
      <w:r w:rsidR="00AF7074">
        <w:rPr>
          <w:szCs w:val="22"/>
        </w:rPr>
        <w:t>Bureau finalized</w:t>
      </w:r>
      <w:r w:rsidR="00AF7074" w:rsidRPr="006B37D8">
        <w:rPr>
          <w:szCs w:val="22"/>
        </w:rPr>
        <w:t xml:space="preserve"> the list of census blocks that will be offered to the price cap carriers for Phase II of the Connect America Fund.</w:t>
      </w:r>
      <w:r w:rsidR="00AF7074" w:rsidRPr="006B37D8">
        <w:rPr>
          <w:rStyle w:val="FootnoteReference"/>
          <w:szCs w:val="22"/>
        </w:rPr>
        <w:footnoteReference w:id="3"/>
      </w:r>
      <w:r w:rsidR="00AF7074" w:rsidRPr="006B37D8">
        <w:rPr>
          <w:szCs w:val="22"/>
        </w:rPr>
        <w:t xml:space="preserve">  </w:t>
      </w:r>
      <w:r w:rsidR="00AF7074">
        <w:rPr>
          <w:szCs w:val="22"/>
        </w:rPr>
        <w:t xml:space="preserve">Consistent with the requirements </w:t>
      </w:r>
      <w:r w:rsidR="00174686">
        <w:rPr>
          <w:szCs w:val="22"/>
        </w:rPr>
        <w:t xml:space="preserve">established </w:t>
      </w:r>
      <w:r w:rsidR="00AF7074">
        <w:rPr>
          <w:szCs w:val="22"/>
        </w:rPr>
        <w:t>for provisionally selected bidders, the Commission required a</w:t>
      </w:r>
      <w:r w:rsidR="00AF7074" w:rsidRPr="006B37D8">
        <w:rPr>
          <w:szCs w:val="22"/>
        </w:rPr>
        <w:t xml:space="preserve">ll bidders </w:t>
      </w:r>
      <w:r w:rsidR="00AF7074">
        <w:rPr>
          <w:szCs w:val="22"/>
        </w:rPr>
        <w:t xml:space="preserve">interested in being considered for any newly available support to </w:t>
      </w:r>
      <w:r w:rsidR="00AF7074" w:rsidRPr="006B37D8">
        <w:rPr>
          <w:szCs w:val="22"/>
        </w:rPr>
        <w:t>file</w:t>
      </w:r>
      <w:r w:rsidR="00AF7074">
        <w:rPr>
          <w:szCs w:val="22"/>
        </w:rPr>
        <w:t xml:space="preserve">, by </w:t>
      </w:r>
      <w:r w:rsidR="00AF7074" w:rsidRPr="00374215">
        <w:rPr>
          <w:szCs w:val="22"/>
        </w:rPr>
        <w:t>Tuesday, January 6, 2015</w:t>
      </w:r>
      <w:r w:rsidR="00AF7074">
        <w:rPr>
          <w:szCs w:val="22"/>
        </w:rPr>
        <w:t xml:space="preserve">, </w:t>
      </w:r>
      <w:r w:rsidR="00AF7074" w:rsidRPr="006B37D8">
        <w:rPr>
          <w:szCs w:val="22"/>
        </w:rPr>
        <w:t>their most recent three consecutive years of audited financial statements, including balance sheets, net income, and cash flow, as well as a description of the technology and system design that would be used to deliver voice and broadband service meeting the requisite speeds to all locations in the funded census blocks, including a network diagram</w:t>
      </w:r>
      <w:r w:rsidR="00AF7074">
        <w:rPr>
          <w:szCs w:val="22"/>
        </w:rPr>
        <w:t xml:space="preserve"> </w:t>
      </w:r>
      <w:r w:rsidR="00AF7074" w:rsidRPr="006B37D8">
        <w:rPr>
          <w:szCs w:val="22"/>
        </w:rPr>
        <w:t>certified by a professional engineer.</w:t>
      </w:r>
      <w:r w:rsidR="00AF7074" w:rsidRPr="006B37D8">
        <w:rPr>
          <w:rStyle w:val="FootnoteReference"/>
          <w:szCs w:val="22"/>
        </w:rPr>
        <w:footnoteReference w:id="4"/>
      </w:r>
      <w:r w:rsidR="00AF7074">
        <w:rPr>
          <w:szCs w:val="22"/>
        </w:rPr>
        <w:t xml:space="preserve">  </w:t>
      </w:r>
      <w:r w:rsidR="006416FC" w:rsidRPr="006416FC">
        <w:rPr>
          <w:szCs w:val="22"/>
        </w:rPr>
        <w:t xml:space="preserve">On February 3, 2015, </w:t>
      </w:r>
      <w:r w:rsidR="006416FC" w:rsidRPr="006416FC">
        <w:rPr>
          <w:szCs w:val="22"/>
        </w:rPr>
        <w:lastRenderedPageBreak/>
        <w:t>t</w:t>
      </w:r>
      <w:r w:rsidR="00335832" w:rsidRPr="006416FC">
        <w:rPr>
          <w:szCs w:val="22"/>
        </w:rPr>
        <w:t xml:space="preserve">he </w:t>
      </w:r>
      <w:r w:rsidR="00335832">
        <w:t xml:space="preserve">Wireline Competition Bureau (Bureau) </w:t>
      </w:r>
      <w:r w:rsidR="00AF7074">
        <w:t>announced that 48 entities had submitted the</w:t>
      </w:r>
      <w:r w:rsidR="00E47659">
        <w:t xml:space="preserve"> proper</w:t>
      </w:r>
      <w:r w:rsidR="00335832">
        <w:t xml:space="preserve"> </w:t>
      </w:r>
      <w:r w:rsidR="00AF7074">
        <w:t>information</w:t>
      </w:r>
      <w:r w:rsidR="0005716B">
        <w:t xml:space="preserve"> required by the Commission</w:t>
      </w:r>
      <w:r w:rsidR="00335832">
        <w:t xml:space="preserve"> in the </w:t>
      </w:r>
      <w:r w:rsidR="00335832" w:rsidRPr="006416FC">
        <w:rPr>
          <w:i/>
        </w:rPr>
        <w:t xml:space="preserve">December </w:t>
      </w:r>
      <w:r w:rsidR="00174686">
        <w:rPr>
          <w:i/>
        </w:rPr>
        <w:t xml:space="preserve">2014 </w:t>
      </w:r>
      <w:r w:rsidR="00335832" w:rsidRPr="006416FC">
        <w:rPr>
          <w:i/>
        </w:rPr>
        <w:t>C</w:t>
      </w:r>
      <w:r w:rsidR="00174686">
        <w:rPr>
          <w:i/>
        </w:rPr>
        <w:t>onnect America Fund</w:t>
      </w:r>
      <w:r w:rsidR="00335832" w:rsidRPr="006416FC">
        <w:rPr>
          <w:i/>
        </w:rPr>
        <w:t xml:space="preserve"> Order</w:t>
      </w:r>
      <w:r w:rsidR="00AF7074">
        <w:t>.</w:t>
      </w:r>
      <w:r w:rsidR="00AF7074">
        <w:rPr>
          <w:rStyle w:val="FootnoteReference"/>
        </w:rPr>
        <w:footnoteReference w:id="5"/>
      </w:r>
      <w:r w:rsidR="00335832">
        <w:t xml:space="preserve">  </w:t>
      </w:r>
    </w:p>
    <w:p w:rsidR="00DD5DF8" w:rsidRPr="0019242C" w:rsidRDefault="00DD5DF8" w:rsidP="00DD5DF8">
      <w:pPr>
        <w:pStyle w:val="Heading1"/>
        <w:widowControl/>
      </w:pPr>
      <w:r w:rsidRPr="0019242C">
        <w:t>DISCUSSION</w:t>
      </w:r>
    </w:p>
    <w:p w:rsidR="00364CF1" w:rsidRPr="005B2748" w:rsidRDefault="00C63D40" w:rsidP="00CA40E9">
      <w:pPr>
        <w:pStyle w:val="ParaNum"/>
        <w:jc w:val="left"/>
        <w:rPr>
          <w:rFonts w:ascii="TimesNewRoman" w:hAnsi="TimesNewRoman" w:cs="TimesNewRoman"/>
          <w:szCs w:val="22"/>
        </w:rPr>
      </w:pPr>
      <w:r w:rsidRPr="00D21827">
        <w:t xml:space="preserve">Consistent with </w:t>
      </w:r>
      <w:r w:rsidR="00174686" w:rsidRPr="00D21827">
        <w:t xml:space="preserve">the Commission’s direction in the </w:t>
      </w:r>
      <w:r w:rsidR="00174686" w:rsidRPr="00D21827">
        <w:rPr>
          <w:i/>
        </w:rPr>
        <w:t xml:space="preserve">December 2014 Connect America Fund Order </w:t>
      </w:r>
      <w:r w:rsidR="006E218A" w:rsidRPr="00D21827">
        <w:t>not to de</w:t>
      </w:r>
      <w:r w:rsidR="00D95289">
        <w:t>lay the offer of support and the Bureau’s</w:t>
      </w:r>
      <w:r w:rsidR="006E218A" w:rsidRPr="00D21827">
        <w:t xml:space="preserve"> prior decision not to grant waivers</w:t>
      </w:r>
      <w:r w:rsidR="00D21827">
        <w:t xml:space="preserve"> filed by provisionally selected rural broadband experiments bidders</w:t>
      </w:r>
      <w:r w:rsidR="006E218A" w:rsidRPr="00D21827">
        <w:t>,</w:t>
      </w:r>
      <w:r w:rsidR="00174686" w:rsidRPr="00D21827">
        <w:t xml:space="preserve"> we deny the requested waivers.</w:t>
      </w:r>
      <w:r w:rsidR="00D21827">
        <w:t xml:space="preserve"> </w:t>
      </w:r>
      <w:r w:rsidR="00174686" w:rsidRPr="00D21827">
        <w:t xml:space="preserve">  </w:t>
      </w:r>
      <w:r w:rsidR="00D21827">
        <w:t>A</w:t>
      </w:r>
      <w:r w:rsidR="00174686">
        <w:t xml:space="preserve">s we </w:t>
      </w:r>
      <w:r w:rsidR="007B36D1">
        <w:t>previously concluded</w:t>
      </w:r>
      <w:r>
        <w:t>,</w:t>
      </w:r>
      <w:r w:rsidR="00DC7A24">
        <w:t xml:space="preserve"> </w:t>
      </w:r>
      <w:r>
        <w:t>w</w:t>
      </w:r>
      <w:r w:rsidR="006867BC" w:rsidRPr="0019242C">
        <w:t>e</w:t>
      </w:r>
      <w:r w:rsidR="0089557C" w:rsidRPr="0019242C">
        <w:t xml:space="preserve"> </w:t>
      </w:r>
      <w:r w:rsidR="00DC7A24">
        <w:t>determine</w:t>
      </w:r>
      <w:r w:rsidR="0089557C" w:rsidRPr="0019242C">
        <w:t xml:space="preserve"> that</w:t>
      </w:r>
      <w:r w:rsidR="006867BC" w:rsidRPr="0019242C">
        <w:t xml:space="preserve"> </w:t>
      </w:r>
      <w:r w:rsidR="00262F52">
        <w:t xml:space="preserve">the </w:t>
      </w:r>
      <w:r w:rsidR="006D31AF">
        <w:t>standards for waiver have not been met</w:t>
      </w:r>
      <w:r w:rsidR="007B36D1">
        <w:t xml:space="preserve"> here</w:t>
      </w:r>
      <w:r w:rsidR="006867BC" w:rsidRPr="0019242C">
        <w:t>.</w:t>
      </w:r>
      <w:r w:rsidR="00F160B6">
        <w:rPr>
          <w:rStyle w:val="FootnoteReference"/>
        </w:rPr>
        <w:footnoteReference w:id="6"/>
      </w:r>
      <w:r w:rsidR="00827156">
        <w:t xml:space="preserve">  </w:t>
      </w:r>
      <w:r w:rsidR="007B36D1">
        <w:rPr>
          <w:szCs w:val="22"/>
        </w:rPr>
        <w:t>S</w:t>
      </w:r>
      <w:r w:rsidR="006D31AF">
        <w:rPr>
          <w:szCs w:val="22"/>
        </w:rPr>
        <w:t xml:space="preserve">trict enforcement of the deadlines and filing requirements adopted by the Commission </w:t>
      </w:r>
      <w:r w:rsidR="002975AC">
        <w:rPr>
          <w:szCs w:val="22"/>
        </w:rPr>
        <w:t xml:space="preserve">for next-in-line bidders </w:t>
      </w:r>
      <w:r w:rsidR="006D31AF">
        <w:rPr>
          <w:szCs w:val="22"/>
        </w:rPr>
        <w:t xml:space="preserve">is appropriate </w:t>
      </w:r>
      <w:r w:rsidR="002F3AD3">
        <w:rPr>
          <w:szCs w:val="22"/>
        </w:rPr>
        <w:t xml:space="preserve">given the accelerated time frame </w:t>
      </w:r>
      <w:r w:rsidR="006D31AF">
        <w:rPr>
          <w:szCs w:val="22"/>
        </w:rPr>
        <w:t>for the rural broadband experiments</w:t>
      </w:r>
      <w:r w:rsidR="007B36D1">
        <w:rPr>
          <w:szCs w:val="22"/>
        </w:rPr>
        <w:t xml:space="preserve"> and our intention to finalize the offer of support to be made to price cap carriers in the near future</w:t>
      </w:r>
      <w:r w:rsidR="006D31AF">
        <w:rPr>
          <w:szCs w:val="22"/>
        </w:rPr>
        <w:t>.</w:t>
      </w:r>
      <w:r w:rsidR="006D31AF" w:rsidRPr="00832F63">
        <w:rPr>
          <w:rStyle w:val="FootnoteReference"/>
        </w:rPr>
        <w:footnoteReference w:id="7"/>
      </w:r>
      <w:r w:rsidR="006D31AF" w:rsidRPr="00832F63">
        <w:t xml:space="preserve"> </w:t>
      </w:r>
      <w:r w:rsidR="006D31AF">
        <w:t xml:space="preserve"> </w:t>
      </w:r>
      <w:r w:rsidR="00364CF1">
        <w:rPr>
          <w:szCs w:val="22"/>
        </w:rPr>
        <w:t xml:space="preserve">   </w:t>
      </w:r>
    </w:p>
    <w:p w:rsidR="00CA40E9" w:rsidRPr="00CA40E9" w:rsidRDefault="00C75C26" w:rsidP="00CA40E9">
      <w:pPr>
        <w:pStyle w:val="ParaNum"/>
        <w:jc w:val="left"/>
        <w:rPr>
          <w:rFonts w:ascii="TimesNewRoman" w:hAnsi="TimesNewRoman" w:cs="TimesNewRoman"/>
          <w:szCs w:val="22"/>
        </w:rPr>
      </w:pPr>
      <w:r>
        <w:t xml:space="preserve">As we previously stated, we </w:t>
      </w:r>
      <w:r w:rsidR="007B36D1">
        <w:t xml:space="preserve">are </w:t>
      </w:r>
      <w:r>
        <w:t xml:space="preserve">mindful of </w:t>
      </w:r>
      <w:r w:rsidR="00FE7229">
        <w:rPr>
          <w:szCs w:val="22"/>
        </w:rPr>
        <w:t>our duty as stewards of public funding</w:t>
      </w:r>
      <w:r w:rsidR="009516A5">
        <w:rPr>
          <w:szCs w:val="22"/>
        </w:rPr>
        <w:t>.</w:t>
      </w:r>
      <w:r w:rsidR="00AA6694">
        <w:rPr>
          <w:rStyle w:val="FootnoteReference"/>
          <w:szCs w:val="22"/>
        </w:rPr>
        <w:footnoteReference w:id="8"/>
      </w:r>
      <w:r w:rsidR="009516A5">
        <w:rPr>
          <w:szCs w:val="22"/>
        </w:rPr>
        <w:t xml:space="preserve">  We therefore </w:t>
      </w:r>
      <w:r w:rsidR="00FE7229">
        <w:rPr>
          <w:szCs w:val="22"/>
        </w:rPr>
        <w:t xml:space="preserve">must ensure that </w:t>
      </w:r>
      <w:r w:rsidR="009516A5">
        <w:rPr>
          <w:szCs w:val="22"/>
        </w:rPr>
        <w:t xml:space="preserve">the </w:t>
      </w:r>
      <w:r w:rsidR="00FE7229">
        <w:rPr>
          <w:szCs w:val="22"/>
        </w:rPr>
        <w:t xml:space="preserve">finite rural broadband experiments </w:t>
      </w:r>
      <w:r w:rsidR="009516A5">
        <w:rPr>
          <w:szCs w:val="22"/>
        </w:rPr>
        <w:t>budget</w:t>
      </w:r>
      <w:r w:rsidR="00FE7229">
        <w:rPr>
          <w:szCs w:val="22"/>
        </w:rPr>
        <w:t xml:space="preserve"> is </w:t>
      </w:r>
      <w:r w:rsidR="009516A5">
        <w:rPr>
          <w:szCs w:val="22"/>
        </w:rPr>
        <w:t>distributed</w:t>
      </w:r>
      <w:r w:rsidR="00FE7229">
        <w:rPr>
          <w:szCs w:val="22"/>
        </w:rPr>
        <w:t xml:space="preserve"> to entities that </w:t>
      </w:r>
      <w:r w:rsidR="009516A5">
        <w:rPr>
          <w:szCs w:val="22"/>
        </w:rPr>
        <w:t>provide concrete eviden</w:t>
      </w:r>
      <w:r w:rsidR="009D4F76">
        <w:rPr>
          <w:szCs w:val="22"/>
        </w:rPr>
        <w:t xml:space="preserve">ce </w:t>
      </w:r>
      <w:r w:rsidR="00390966">
        <w:rPr>
          <w:szCs w:val="22"/>
        </w:rPr>
        <w:t>of their</w:t>
      </w:r>
      <w:r w:rsidR="009516A5">
        <w:rPr>
          <w:szCs w:val="22"/>
        </w:rPr>
        <w:t xml:space="preserve"> </w:t>
      </w:r>
      <w:r w:rsidR="00FE7229">
        <w:rPr>
          <w:szCs w:val="22"/>
        </w:rPr>
        <w:t>financial</w:t>
      </w:r>
      <w:r w:rsidR="009D4F76">
        <w:rPr>
          <w:szCs w:val="22"/>
        </w:rPr>
        <w:t xml:space="preserve"> </w:t>
      </w:r>
      <w:r w:rsidR="00364CF1">
        <w:rPr>
          <w:szCs w:val="22"/>
        </w:rPr>
        <w:t xml:space="preserve">and technical </w:t>
      </w:r>
      <w:r w:rsidR="009D4F76">
        <w:rPr>
          <w:szCs w:val="22"/>
        </w:rPr>
        <w:t>capab</w:t>
      </w:r>
      <w:r w:rsidR="00390966">
        <w:rPr>
          <w:szCs w:val="22"/>
        </w:rPr>
        <w:t xml:space="preserve">ility to </w:t>
      </w:r>
      <w:r w:rsidR="009516A5">
        <w:rPr>
          <w:szCs w:val="22"/>
        </w:rPr>
        <w:t>fulfill their commi</w:t>
      </w:r>
      <w:r w:rsidR="007838E5">
        <w:rPr>
          <w:szCs w:val="22"/>
        </w:rPr>
        <w:t xml:space="preserve">tment not only </w:t>
      </w:r>
      <w:r w:rsidR="00364CF1">
        <w:rPr>
          <w:szCs w:val="22"/>
        </w:rPr>
        <w:t xml:space="preserve">to </w:t>
      </w:r>
      <w:r w:rsidR="007838E5">
        <w:rPr>
          <w:szCs w:val="22"/>
        </w:rPr>
        <w:t>build voice and broadband capable networks, but also to provide reasonably comparable services at reasonably comparable rates.</w:t>
      </w:r>
    </w:p>
    <w:p w:rsidR="00896911" w:rsidRDefault="00335832" w:rsidP="00C75C26">
      <w:pPr>
        <w:pStyle w:val="ParaNum"/>
        <w:jc w:val="left"/>
      </w:pPr>
      <w:r>
        <w:t>Finally, w</w:t>
      </w:r>
      <w:r w:rsidR="00C75C26">
        <w:t xml:space="preserve">e remove Liberty and BVU from further consideration for rural broadband experiments funding due to their failure to submit </w:t>
      </w:r>
      <w:r w:rsidR="00896911">
        <w:t>network diagrams certified by a professional engineer</w:t>
      </w:r>
      <w:r w:rsidR="00C75C26">
        <w:t xml:space="preserve"> by the required January 6</w:t>
      </w:r>
      <w:r w:rsidR="00C75C26" w:rsidRPr="00C75C26">
        <w:rPr>
          <w:vertAlign w:val="superscript"/>
        </w:rPr>
        <w:t>th</w:t>
      </w:r>
      <w:r w:rsidR="00C75C26">
        <w:t xml:space="preserve"> deadline</w:t>
      </w:r>
      <w:r w:rsidR="00896911">
        <w:t xml:space="preserve">.  </w:t>
      </w:r>
      <w:r w:rsidR="00C75C26">
        <w:t>Th</w:t>
      </w:r>
      <w:r w:rsidR="00896911">
        <w:t xml:space="preserve">e purpose of having an entity’s network diagrams certified by a professional engineer was to have </w:t>
      </w:r>
      <w:r w:rsidR="00996DB8">
        <w:t>an</w:t>
      </w:r>
      <w:r w:rsidR="00DA02BA">
        <w:t xml:space="preserve"> educated engineer verify that the entity’s proposed network would be able to fulfill the service obligations to which it had committed.  </w:t>
      </w:r>
      <w:r w:rsidR="00B85334">
        <w:t>Again, we conclude that strict adherence to the deadlines adopted by the Commission for these rural broadband experiments would better serve the public interest.</w:t>
      </w:r>
    </w:p>
    <w:p w:rsidR="00DD5DF8" w:rsidRPr="0019242C" w:rsidRDefault="00DD5DF8" w:rsidP="00DD5DF8">
      <w:pPr>
        <w:pStyle w:val="Heading1"/>
        <w:widowControl/>
      </w:pPr>
      <w:r w:rsidRPr="0019242C">
        <w:lastRenderedPageBreak/>
        <w:t>ORDERING CLAUSES</w:t>
      </w:r>
    </w:p>
    <w:p w:rsidR="00DD5DF8" w:rsidRPr="0019242C" w:rsidRDefault="00DD5DF8" w:rsidP="00DD5DF8">
      <w:pPr>
        <w:pStyle w:val="ParaNum"/>
        <w:widowControl/>
        <w:jc w:val="left"/>
      </w:pPr>
      <w:r w:rsidRPr="0019242C">
        <w:t>Accordingly, IT IS ORDERED, pursuant to sections 1, 4(i), 5(c), 201, and 254 of the Communications Act of 1934, as amended, 47 U.S.C. §§ 151, 154(i), 155(c), 201, 254, and sections 0.91, 0.291, and 1.3 of the Commission’s rules, 47 C.F.R. §§ 0.91, 0.291, 1.3, that this Order IS ADOPTED.</w:t>
      </w:r>
    </w:p>
    <w:p w:rsidR="00DD5DF8" w:rsidRPr="0019242C" w:rsidRDefault="00DD5DF8" w:rsidP="00DD5DF8">
      <w:pPr>
        <w:pStyle w:val="ParaNum"/>
        <w:widowControl/>
        <w:jc w:val="left"/>
      </w:pPr>
      <w:r w:rsidRPr="0019242C">
        <w:t>IT IS FURTHER ORDERED that the petition</w:t>
      </w:r>
      <w:r w:rsidR="00565610">
        <w:t>s</w:t>
      </w:r>
      <w:r w:rsidRPr="0019242C">
        <w:t xml:space="preserve"> for waiver </w:t>
      </w:r>
      <w:r w:rsidR="00565610" w:rsidRPr="0019242C">
        <w:t xml:space="preserve">of </w:t>
      </w:r>
      <w:r w:rsidR="00565610">
        <w:t>the rural broadband experiments financial review requirements</w:t>
      </w:r>
      <w:r w:rsidRPr="0019242C">
        <w:t xml:space="preserve">, </w:t>
      </w:r>
      <w:r w:rsidR="008E24F9">
        <w:t xml:space="preserve">which </w:t>
      </w:r>
      <w:r w:rsidRPr="0019242C">
        <w:t>requires</w:t>
      </w:r>
      <w:r w:rsidR="00565610">
        <w:t xml:space="preserve"> provisionally selected bidders to</w:t>
      </w:r>
      <w:r w:rsidRPr="0019242C">
        <w:t xml:space="preserve"> </w:t>
      </w:r>
      <w:r w:rsidR="00565610">
        <w:t>provide the most recent three consecutive years of audited financial statements</w:t>
      </w:r>
      <w:r w:rsidRPr="0019242C">
        <w:t xml:space="preserve">, filed by </w:t>
      </w:r>
      <w:r w:rsidR="0005716B" w:rsidRPr="0019242C">
        <w:t xml:space="preserve">filed by </w:t>
      </w:r>
      <w:r w:rsidR="0005716B">
        <w:t xml:space="preserve">Computer5, Inc. d/b/a LocalTel Communications; </w:t>
      </w:r>
      <w:r w:rsidR="0005716B" w:rsidRPr="00A115AC">
        <w:t>Donnell, Michael D. (d/b/a San Joaquin Broadband)</w:t>
      </w:r>
      <w:r w:rsidR="0005716B">
        <w:t>; Tejas Wireless LLC; and Texhoma Fiber, LLC</w:t>
      </w:r>
      <w:r w:rsidR="00565610">
        <w:t xml:space="preserve">, ARE DENIED </w:t>
      </w:r>
      <w:r w:rsidRPr="0019242C">
        <w:t>as described herein.</w:t>
      </w:r>
    </w:p>
    <w:p w:rsidR="00DD5DF8" w:rsidRPr="0019242C" w:rsidRDefault="00DD5DF8" w:rsidP="00DD5DF8">
      <w:pPr>
        <w:pStyle w:val="ParaNum"/>
        <w:widowControl/>
        <w:jc w:val="left"/>
      </w:pPr>
      <w:r w:rsidRPr="0019242C">
        <w:t>IT IS FURTHER ORDERED that, pursuant to section 1.102(b)(1) of the Commission’s rules, 47 C.F.R. § 1.102(b)(1), this Order SHALL BE EFFECTIVE upon release.</w:t>
      </w:r>
    </w:p>
    <w:p w:rsidR="00DD5DF8" w:rsidRPr="0019242C" w:rsidRDefault="00DD5DF8" w:rsidP="00DD5DF8">
      <w:pPr>
        <w:pStyle w:val="ParaNum"/>
        <w:widowControl/>
        <w:numPr>
          <w:ilvl w:val="0"/>
          <w:numId w:val="0"/>
        </w:numPr>
        <w:jc w:val="left"/>
      </w:pPr>
    </w:p>
    <w:p w:rsidR="00DD5DF8" w:rsidRPr="0019242C" w:rsidRDefault="00DD5DF8" w:rsidP="00DD5DF8">
      <w:pPr>
        <w:pStyle w:val="Header"/>
        <w:tabs>
          <w:tab w:val="clear" w:pos="4320"/>
          <w:tab w:val="clear" w:pos="8640"/>
        </w:tabs>
        <w:ind w:left="4320"/>
        <w:rPr>
          <w:szCs w:val="22"/>
        </w:rPr>
      </w:pPr>
      <w:r w:rsidRPr="0019242C">
        <w:rPr>
          <w:szCs w:val="22"/>
        </w:rPr>
        <w:t>FEDERAL COMMUNICATIONS COMMISSION</w:t>
      </w:r>
    </w:p>
    <w:p w:rsidR="00DD5DF8" w:rsidRPr="0019242C" w:rsidRDefault="00DD5DF8" w:rsidP="00DD5DF8">
      <w:pPr>
        <w:pStyle w:val="Header"/>
        <w:tabs>
          <w:tab w:val="clear" w:pos="4320"/>
          <w:tab w:val="clear" w:pos="8640"/>
        </w:tabs>
        <w:rPr>
          <w:szCs w:val="22"/>
        </w:rPr>
      </w:pPr>
    </w:p>
    <w:p w:rsidR="00DD5DF8" w:rsidRPr="0019242C" w:rsidRDefault="00DD5DF8" w:rsidP="00DD5DF8">
      <w:pPr>
        <w:pStyle w:val="Header"/>
        <w:tabs>
          <w:tab w:val="clear" w:pos="4320"/>
          <w:tab w:val="clear" w:pos="8640"/>
        </w:tabs>
        <w:rPr>
          <w:szCs w:val="22"/>
        </w:rPr>
      </w:pPr>
    </w:p>
    <w:p w:rsidR="0020415C" w:rsidRPr="0019242C" w:rsidRDefault="0020415C" w:rsidP="00DD5DF8">
      <w:pPr>
        <w:pStyle w:val="Header"/>
        <w:tabs>
          <w:tab w:val="clear" w:pos="4320"/>
          <w:tab w:val="clear" w:pos="8640"/>
        </w:tabs>
        <w:rPr>
          <w:szCs w:val="22"/>
        </w:rPr>
      </w:pPr>
    </w:p>
    <w:p w:rsidR="0020415C" w:rsidRPr="0019242C" w:rsidRDefault="0020415C" w:rsidP="00DD5DF8">
      <w:pPr>
        <w:pStyle w:val="Header"/>
        <w:tabs>
          <w:tab w:val="clear" w:pos="4320"/>
          <w:tab w:val="clear" w:pos="8640"/>
        </w:tabs>
        <w:rPr>
          <w:szCs w:val="22"/>
        </w:rPr>
      </w:pPr>
    </w:p>
    <w:p w:rsidR="00DD5DF8" w:rsidRPr="0019242C" w:rsidRDefault="00DD5DF8" w:rsidP="00DD5DF8">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sidR="007E1596">
        <w:rPr>
          <w:szCs w:val="22"/>
        </w:rPr>
        <w:t>Carol Matte</w:t>
      </w:r>
      <w:r w:rsidR="00B549FB">
        <w:rPr>
          <w:szCs w:val="22"/>
        </w:rPr>
        <w:t>y</w:t>
      </w:r>
      <w:r w:rsidRPr="0019242C">
        <w:rPr>
          <w:szCs w:val="22"/>
        </w:rPr>
        <w:tab/>
      </w:r>
      <w:r w:rsidRPr="0019242C">
        <w:rPr>
          <w:szCs w:val="22"/>
        </w:rPr>
        <w:tab/>
      </w:r>
      <w:r w:rsidRPr="0019242C">
        <w:rPr>
          <w:szCs w:val="22"/>
        </w:rPr>
        <w:tab/>
      </w:r>
      <w:r w:rsidRPr="0019242C">
        <w:rPr>
          <w:szCs w:val="22"/>
        </w:rPr>
        <w:tab/>
      </w:r>
    </w:p>
    <w:p w:rsidR="00272AB3" w:rsidRPr="0019242C" w:rsidRDefault="00DD5DF8" w:rsidP="00DD5DF8">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sidR="007E1596">
        <w:rPr>
          <w:szCs w:val="22"/>
        </w:rPr>
        <w:t xml:space="preserve">Deputy Bureau </w:t>
      </w:r>
      <w:r w:rsidRPr="0019242C">
        <w:rPr>
          <w:szCs w:val="22"/>
        </w:rPr>
        <w:t>Chief</w:t>
      </w:r>
    </w:p>
    <w:p w:rsidR="003B41B5" w:rsidRDefault="00DD5DF8" w:rsidP="00996DB8">
      <w:pPr>
        <w:pStyle w:val="ParaNum"/>
        <w:numPr>
          <w:ilvl w:val="0"/>
          <w:numId w:val="0"/>
        </w:numPr>
        <w:ind w:firstLine="720"/>
        <w:jc w:val="left"/>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t>Wireline Competition Bureau</w:t>
      </w:r>
    </w:p>
    <w:sectPr w:rsidR="003B41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35" w:rsidRDefault="00E32F35">
      <w:r>
        <w:separator/>
      </w:r>
    </w:p>
  </w:endnote>
  <w:endnote w:type="continuationSeparator" w:id="0">
    <w:p w:rsidR="00E32F35" w:rsidRDefault="00E3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6E" w:rsidRDefault="00914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1E" w:rsidRDefault="00E0581E">
    <w:pPr>
      <w:pStyle w:val="Footer"/>
      <w:jc w:val="center"/>
    </w:pPr>
    <w:r>
      <w:rPr>
        <w:rStyle w:val="PageNumber"/>
      </w:rPr>
      <w:fldChar w:fldCharType="begin"/>
    </w:r>
    <w:r>
      <w:rPr>
        <w:rStyle w:val="PageNumber"/>
      </w:rPr>
      <w:instrText xml:space="preserve"> PAGE </w:instrText>
    </w:r>
    <w:r>
      <w:rPr>
        <w:rStyle w:val="PageNumber"/>
      </w:rPr>
      <w:fldChar w:fldCharType="separate"/>
    </w:r>
    <w:r w:rsidR="005C246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6E" w:rsidRDefault="00914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35" w:rsidRDefault="00E32F35">
      <w:pPr>
        <w:rPr>
          <w:sz w:val="20"/>
        </w:rPr>
      </w:pPr>
      <w:r>
        <w:rPr>
          <w:sz w:val="20"/>
        </w:rPr>
        <w:separator/>
      </w:r>
    </w:p>
  </w:footnote>
  <w:footnote w:type="continuationSeparator" w:id="0">
    <w:p w:rsidR="00E32F35" w:rsidRDefault="00E32F35">
      <w:pPr>
        <w:rPr>
          <w:sz w:val="20"/>
        </w:rPr>
      </w:pPr>
      <w:r>
        <w:rPr>
          <w:sz w:val="20"/>
        </w:rPr>
        <w:separator/>
      </w:r>
    </w:p>
    <w:p w:rsidR="00E32F35" w:rsidRDefault="00E32F35">
      <w:pPr>
        <w:rPr>
          <w:sz w:val="20"/>
        </w:rPr>
      </w:pPr>
      <w:r>
        <w:rPr>
          <w:sz w:val="20"/>
        </w:rPr>
        <w:t>(...continued from previous page)</w:t>
      </w:r>
    </w:p>
  </w:footnote>
  <w:footnote w:type="continuationNotice" w:id="1">
    <w:p w:rsidR="00E32F35" w:rsidRDefault="00E32F35">
      <w:pPr>
        <w:jc w:val="right"/>
        <w:rPr>
          <w:sz w:val="20"/>
        </w:rPr>
      </w:pPr>
      <w:r>
        <w:rPr>
          <w:sz w:val="20"/>
        </w:rPr>
        <w:t>(continued....)</w:t>
      </w:r>
    </w:p>
  </w:footnote>
  <w:footnote w:id="2">
    <w:p w:rsidR="00E0581E" w:rsidRPr="00B31108" w:rsidRDefault="00E0581E" w:rsidP="007E1596">
      <w:pPr>
        <w:pStyle w:val="FootnoteText"/>
        <w:jc w:val="left"/>
      </w:pPr>
      <w:r w:rsidRPr="0019242C">
        <w:rPr>
          <w:rStyle w:val="FootnoteReference"/>
        </w:rPr>
        <w:footnoteRef/>
      </w:r>
      <w:r w:rsidRPr="0019242C">
        <w:t xml:space="preserve"> </w:t>
      </w:r>
      <w:r w:rsidR="00B31108">
        <w:rPr>
          <w:i/>
        </w:rPr>
        <w:t xml:space="preserve">See </w:t>
      </w:r>
      <w:r w:rsidR="005F0C01">
        <w:t>Petition for Waiver of Computer 5</w:t>
      </w:r>
      <w:r w:rsidR="00B31108">
        <w:t>, Inc. d/b/a LocalTel Commun</w:t>
      </w:r>
      <w:r w:rsidR="003F442E">
        <w:t>i</w:t>
      </w:r>
      <w:r w:rsidR="00B31108">
        <w:t>cations,</w:t>
      </w:r>
      <w:r w:rsidR="005F0C01">
        <w:t xml:space="preserve"> WC Docket No</w:t>
      </w:r>
      <w:r w:rsidR="00B31108">
        <w:t>s</w:t>
      </w:r>
      <w:r w:rsidR="005F0C01">
        <w:t>. 10-90</w:t>
      </w:r>
      <w:r w:rsidR="00B31108">
        <w:t>, 14-259</w:t>
      </w:r>
      <w:r w:rsidR="005F0C01">
        <w:t xml:space="preserve"> (filed </w:t>
      </w:r>
      <w:r w:rsidR="00B31108">
        <w:t>Jan. 6</w:t>
      </w:r>
      <w:r w:rsidR="005F0C01">
        <w:t>, 2</w:t>
      </w:r>
      <w:r w:rsidR="00B31108">
        <w:t>015)</w:t>
      </w:r>
      <w:r w:rsidR="005F0C01">
        <w:t>;</w:t>
      </w:r>
      <w:r w:rsidR="00B31108">
        <w:t xml:space="preserve"> Petition for Waiver of Texhoma Fiber, WC Docket No. 14-259 (filed Jan. 5, 2015).  </w:t>
      </w:r>
      <w:r w:rsidR="00B31108" w:rsidRPr="00A06F5B">
        <w:rPr>
          <w:i/>
        </w:rPr>
        <w:t xml:space="preserve">See </w:t>
      </w:r>
      <w:r w:rsidR="00B31108">
        <w:rPr>
          <w:i/>
        </w:rPr>
        <w:t>also</w:t>
      </w:r>
      <w:r w:rsidR="00F47533" w:rsidRPr="00F47533">
        <w:rPr>
          <w:i/>
        </w:rPr>
        <w:t xml:space="preserve"> </w:t>
      </w:r>
      <w:r w:rsidR="00F47533" w:rsidRPr="008A5E4C">
        <w:rPr>
          <w:i/>
        </w:rPr>
        <w:t xml:space="preserve">Wireline Competition Bureau Announces Entities </w:t>
      </w:r>
      <w:r w:rsidR="00F47533">
        <w:rPr>
          <w:i/>
        </w:rPr>
        <w:t>under Consideration as Next-in-line Bidders for Rural Broadband Experiments Support</w:t>
      </w:r>
      <w:r w:rsidR="00F47533" w:rsidRPr="008A5E4C">
        <w:t>, WC Docket No</w:t>
      </w:r>
      <w:r w:rsidR="00F47533">
        <w:t>s</w:t>
      </w:r>
      <w:r w:rsidR="00F47533" w:rsidRPr="008A5E4C">
        <w:t>. 10-90,</w:t>
      </w:r>
      <w:r w:rsidR="00F47533">
        <w:t xml:space="preserve"> 14-259, Public Notice, DA 15</w:t>
      </w:r>
      <w:r w:rsidR="00F47533" w:rsidRPr="008A5E4C">
        <w:t>-1</w:t>
      </w:r>
      <w:r w:rsidR="00F47533">
        <w:t>5</w:t>
      </w:r>
      <w:r w:rsidR="00F47533" w:rsidRPr="008A5E4C">
        <w:t>7 (Wireline Comp. Bur. re</w:t>
      </w:r>
      <w:r w:rsidR="00F47533">
        <w:t>l. Feb. 3, 2015) (</w:t>
      </w:r>
      <w:r w:rsidR="00F47533" w:rsidRPr="00F47533">
        <w:rPr>
          <w:i/>
        </w:rPr>
        <w:t>Next-in-Line Bidders Public Notice</w:t>
      </w:r>
      <w:r w:rsidR="00F47533">
        <w:t>).</w:t>
      </w:r>
      <w:r w:rsidR="00B31108">
        <w:rPr>
          <w:i/>
        </w:rPr>
        <w:t xml:space="preserve"> </w:t>
      </w:r>
    </w:p>
  </w:footnote>
  <w:footnote w:id="3">
    <w:p w:rsidR="00AF7074" w:rsidRPr="00A06F5B" w:rsidRDefault="00AF7074" w:rsidP="00AF7074">
      <w:pPr>
        <w:pStyle w:val="FootnoteText"/>
      </w:pPr>
      <w:r w:rsidRPr="005D5E80">
        <w:rPr>
          <w:rStyle w:val="FootnoteReference"/>
        </w:rPr>
        <w:footnoteRef/>
      </w:r>
      <w:r w:rsidRPr="005D5E80">
        <w:t xml:space="preserve"> </w:t>
      </w:r>
      <w:r w:rsidRPr="005D5E80">
        <w:rPr>
          <w:i/>
        </w:rPr>
        <w:t xml:space="preserve">See Connect America Fund; ETC Annual Reports and Certifications; Petition of USTelecom for Forbearance </w:t>
      </w:r>
      <w:r w:rsidRPr="00A06F5B">
        <w:rPr>
          <w:i/>
        </w:rPr>
        <w:t>Pursuant to 47 U.S.C. § 160(c) from Obsolete ILEC Regulatory Obligations that Inhibit Deployment of Next-Generation Networks</w:t>
      </w:r>
      <w:r w:rsidRPr="00A06F5B">
        <w:t xml:space="preserve">, WC Docket Nos. 10-90, 14-58, 14-192, Report and Order, </w:t>
      </w:r>
      <w:r>
        <w:t>29 FCC Rcd 15644, 15674-75</w:t>
      </w:r>
      <w:r w:rsidRPr="00A06F5B">
        <w:t>, para. 83 (2014)</w:t>
      </w:r>
      <w:r w:rsidR="00174686">
        <w:t xml:space="preserve"> (</w:t>
      </w:r>
      <w:r w:rsidR="00174686" w:rsidRPr="006E218A">
        <w:rPr>
          <w:i/>
        </w:rPr>
        <w:t>December 2014 Connect America Fund Order</w:t>
      </w:r>
      <w:r w:rsidR="00174686">
        <w:t>)</w:t>
      </w:r>
      <w:r w:rsidRPr="00A06F5B">
        <w:t>.</w:t>
      </w:r>
    </w:p>
  </w:footnote>
  <w:footnote w:id="4">
    <w:p w:rsidR="00AF7074" w:rsidRPr="00A06F5B" w:rsidRDefault="00AF7074" w:rsidP="00D75078">
      <w:pPr>
        <w:pStyle w:val="FootnoteText"/>
        <w:jc w:val="left"/>
      </w:pPr>
      <w:r w:rsidRPr="00A06F5B">
        <w:rPr>
          <w:rStyle w:val="FootnoteReference"/>
        </w:rPr>
        <w:footnoteRef/>
      </w:r>
      <w:r w:rsidRPr="00A06F5B">
        <w:t xml:space="preserve">  </w:t>
      </w:r>
      <w:r w:rsidRPr="00A06F5B">
        <w:rPr>
          <w:i/>
        </w:rPr>
        <w:t xml:space="preserve">See </w:t>
      </w:r>
      <w:r w:rsidR="00F47533" w:rsidRPr="00A06F5B">
        <w:rPr>
          <w:i/>
        </w:rPr>
        <w:t>Wireline Competition Bureau Announces Deadline for Bidders Interested in Remaining under Consideration for Rural Broadband Experiments Support to File Additional Information</w:t>
      </w:r>
      <w:r w:rsidR="00F47533" w:rsidRPr="00A06F5B">
        <w:t xml:space="preserve">, WC Docket Nos. 10-90, 14-259, Public Notice, </w:t>
      </w:r>
      <w:r w:rsidR="00F47533">
        <w:t xml:space="preserve">29 FCC Rcd 15132 </w:t>
      </w:r>
      <w:r w:rsidR="00F47533" w:rsidRPr="00A06F5B">
        <w:t xml:space="preserve">(Wireline Comp. Bur. </w:t>
      </w:r>
      <w:r w:rsidR="00F47533">
        <w:t>2014</w:t>
      </w:r>
      <w:r w:rsidR="00F47533" w:rsidRPr="00A06F5B">
        <w:t>)</w:t>
      </w:r>
      <w:r w:rsidR="00F47533">
        <w:t xml:space="preserve">. </w:t>
      </w:r>
    </w:p>
  </w:footnote>
  <w:footnote w:id="5">
    <w:p w:rsidR="00AF7074" w:rsidRDefault="00AF7074" w:rsidP="00F160B6">
      <w:pPr>
        <w:pStyle w:val="FootnoteText"/>
        <w:jc w:val="left"/>
      </w:pPr>
      <w:r>
        <w:rPr>
          <w:rStyle w:val="FootnoteReference"/>
        </w:rPr>
        <w:footnoteRef/>
      </w:r>
      <w:r>
        <w:t xml:space="preserve"> </w:t>
      </w:r>
      <w:r w:rsidR="00D75078" w:rsidRPr="008A5E4C">
        <w:rPr>
          <w:i/>
        </w:rPr>
        <w:t xml:space="preserve">See </w:t>
      </w:r>
      <w:r w:rsidR="00F47533" w:rsidRPr="00F47533">
        <w:rPr>
          <w:i/>
        </w:rPr>
        <w:t>Next-in-Line Bidders Public Notice</w:t>
      </w:r>
      <w:r w:rsidR="00F47533">
        <w:t xml:space="preserve"> at 2-3</w:t>
      </w:r>
      <w:r w:rsidR="00D75078">
        <w:t>.</w:t>
      </w:r>
    </w:p>
  </w:footnote>
  <w:footnote w:id="6">
    <w:p w:rsidR="00F160B6" w:rsidRDefault="00F160B6" w:rsidP="00F160B6">
      <w:pPr>
        <w:pStyle w:val="FootnoteText"/>
        <w:jc w:val="left"/>
      </w:pPr>
      <w:r>
        <w:rPr>
          <w:rStyle w:val="FootnoteReference"/>
        </w:rPr>
        <w:footnoteRef/>
      </w:r>
      <w:r>
        <w:t xml:space="preserve"> </w:t>
      </w:r>
      <w:r w:rsidRPr="00AF2700">
        <w:rPr>
          <w:i/>
        </w:rPr>
        <w:t>See Connect America Fund; Rural Broadband Experiments</w:t>
      </w:r>
      <w:r w:rsidRPr="00AF2700">
        <w:t>, WC Docket Nos. 10-90, 14-259, Order, DA 15-139 (Wireline Comp. Bur. rel. Jan 30, 2015)</w:t>
      </w:r>
      <w:r>
        <w:t xml:space="preserve"> (</w:t>
      </w:r>
      <w:r w:rsidRPr="00C75C26">
        <w:rPr>
          <w:i/>
        </w:rPr>
        <w:t>R</w:t>
      </w:r>
      <w:r>
        <w:rPr>
          <w:i/>
        </w:rPr>
        <w:t xml:space="preserve">ural </w:t>
      </w:r>
      <w:r w:rsidRPr="00C75C26">
        <w:rPr>
          <w:i/>
        </w:rPr>
        <w:t>B</w:t>
      </w:r>
      <w:r>
        <w:rPr>
          <w:i/>
        </w:rPr>
        <w:t xml:space="preserve">roadband </w:t>
      </w:r>
      <w:r w:rsidRPr="00C75C26">
        <w:rPr>
          <w:i/>
        </w:rPr>
        <w:t>E</w:t>
      </w:r>
      <w:r>
        <w:rPr>
          <w:i/>
        </w:rPr>
        <w:t>xperiments</w:t>
      </w:r>
      <w:r w:rsidRPr="00C75C26">
        <w:rPr>
          <w:i/>
        </w:rPr>
        <w:t xml:space="preserve"> Waiver Order</w:t>
      </w:r>
      <w:r>
        <w:t>)</w:t>
      </w:r>
      <w:r w:rsidRPr="00AF2700">
        <w:t>.</w:t>
      </w:r>
      <w:r>
        <w:t xml:space="preserve">  </w:t>
      </w:r>
      <w:r>
        <w:rPr>
          <w:i/>
        </w:rPr>
        <w:t>See also</w:t>
      </w:r>
      <w:r w:rsidRPr="00F160B6">
        <w:t xml:space="preserve"> </w:t>
      </w:r>
      <w:r>
        <w:t xml:space="preserve">47 C.F.R. § 1.3.  </w:t>
      </w:r>
      <w:r w:rsidRPr="00832F63">
        <w:t xml:space="preserve">The Commission may exercise its discretion to waive a rule where the particular facts make strict compliance inconsistent with the public interest.  </w:t>
      </w:r>
      <w:r w:rsidRPr="00832F63">
        <w:rPr>
          <w:i/>
        </w:rPr>
        <w:t>Northeast Cellular Telephone Co. v. FCC</w:t>
      </w:r>
      <w:r w:rsidRPr="00832F63">
        <w:t>, 897 F.2d 1164, 1166 (D.C. Cir. 1990) (</w:t>
      </w:r>
      <w:r w:rsidRPr="00832F63">
        <w:rPr>
          <w:i/>
        </w:rPr>
        <w:t>Northeast Cellular</w:t>
      </w:r>
      <w:r w:rsidRPr="00832F63">
        <w:t xml:space="preserve">).  In addition, the Commission may take into account considerations of hardship, equity, or more effective implementation of overall policy on an individual basis. </w:t>
      </w:r>
      <w:r w:rsidRPr="00832F63">
        <w:rPr>
          <w:i/>
        </w:rPr>
        <w:t xml:space="preserve"> WAIT Radio v. FCC</w:t>
      </w:r>
      <w:r w:rsidRPr="00832F63">
        <w:t xml:space="preserve">, 418 F.2d 1153, 1159 (D.C. Cir. 1969); </w:t>
      </w:r>
      <w:r w:rsidRPr="00832F63">
        <w:rPr>
          <w:i/>
        </w:rPr>
        <w:t>Northeast Cellular</w:t>
      </w:r>
      <w:r w:rsidRPr="00832F63">
        <w:t xml:space="preserve">, 897 F.2d at 1166.  Waiver of the Commission’s rules is appropriate only if both (i) special circumstances warrant a deviation from the general rule, and (ii) such deviation will serve the public interest.  </w:t>
      </w:r>
      <w:r w:rsidRPr="00832F63">
        <w:rPr>
          <w:i/>
        </w:rPr>
        <w:t>Northeast Cellular</w:t>
      </w:r>
      <w:r w:rsidRPr="00832F63">
        <w:t xml:space="preserve">, 897 F.2d at 1166.  “[D]eadlines can only be waived under ‘unusual </w:t>
      </w:r>
      <w:r>
        <w:t xml:space="preserve">or compelling circumstances.’”  </w:t>
      </w:r>
      <w:r w:rsidRPr="00832F63">
        <w:rPr>
          <w:i/>
        </w:rPr>
        <w:t>NetworkIP, LLC v. FCC</w:t>
      </w:r>
      <w:r w:rsidRPr="00832F63">
        <w:t xml:space="preserve">, 548 F.3d 116, 126 (D.C. Cir. 2008) (citation omitted).  </w:t>
      </w:r>
    </w:p>
  </w:footnote>
  <w:footnote w:id="7">
    <w:p w:rsidR="006D31AF" w:rsidRPr="00832F63" w:rsidRDefault="006D31AF" w:rsidP="00F160B6">
      <w:pPr>
        <w:pStyle w:val="FootnoteText"/>
        <w:jc w:val="left"/>
      </w:pPr>
      <w:r w:rsidRPr="00832F63">
        <w:rPr>
          <w:rStyle w:val="FootnoteReference"/>
        </w:rPr>
        <w:footnoteRef/>
      </w:r>
      <w:r w:rsidRPr="00832F63">
        <w:t xml:space="preserve"> We note that the Commission has strictly enforced filing deadlines in other contexts</w:t>
      </w:r>
      <w:r w:rsidRPr="00832F63">
        <w:rPr>
          <w:i/>
        </w:rPr>
        <w:t>.  See, e.g.</w:t>
      </w:r>
      <w:r w:rsidRPr="002245DF">
        <w:t>,</w:t>
      </w:r>
      <w:r w:rsidRPr="00832F63">
        <w:rPr>
          <w:i/>
        </w:rPr>
        <w:t xml:space="preserve"> Vanessa Cintron, Noble Ventures, Inc., On Request for Inspection of Records</w:t>
      </w:r>
      <w:r w:rsidRPr="00832F63">
        <w:t xml:space="preserve">, FOIA Control No. 2014-282, Memorandum Opinion and Order (2014) (dismissing an application for review that was filed three days late and noting “[w]hile losing the right of appeal when a deadline is missed by a brief time ‘may seem unduly harsh . . . short of exceptional circumstances (which are not present here), courts have generally respected statutory and regulatory deadlines’”); </w:t>
      </w:r>
      <w:r w:rsidRPr="00832F63">
        <w:rPr>
          <w:i/>
        </w:rPr>
        <w:t>Totally Jesus Network, Inc. Application for a New NCE FM Station at Gold Beach , Oregon, et al.</w:t>
      </w:r>
      <w:r w:rsidRPr="00832F63">
        <w:t xml:space="preserve">, File No. BNPED-20071018AON, Memorandum Opinion and Order, 29 FCC Rcd 6414 (2014) (affirming a decision to dismiss an application for a new noncommercial FM station after the applicant experienced technical difficulties and filed nine days past the filing deadline).  </w:t>
      </w:r>
    </w:p>
  </w:footnote>
  <w:footnote w:id="8">
    <w:p w:rsidR="00AA6694" w:rsidRDefault="00AA6694" w:rsidP="007E1596">
      <w:pPr>
        <w:pStyle w:val="FootnoteText"/>
        <w:jc w:val="left"/>
      </w:pPr>
      <w:r>
        <w:rPr>
          <w:rStyle w:val="FootnoteReference"/>
        </w:rPr>
        <w:footnoteRef/>
      </w:r>
      <w:r>
        <w:t xml:space="preserve"> </w:t>
      </w:r>
      <w:r w:rsidR="00172E41" w:rsidRPr="00C75C26">
        <w:rPr>
          <w:i/>
        </w:rPr>
        <w:t>R</w:t>
      </w:r>
      <w:r w:rsidR="00172E41">
        <w:rPr>
          <w:i/>
        </w:rPr>
        <w:t xml:space="preserve">ural </w:t>
      </w:r>
      <w:r w:rsidR="00172E41" w:rsidRPr="00C75C26">
        <w:rPr>
          <w:i/>
        </w:rPr>
        <w:t>B</w:t>
      </w:r>
      <w:r w:rsidR="00172E41">
        <w:rPr>
          <w:i/>
        </w:rPr>
        <w:t xml:space="preserve">roadband </w:t>
      </w:r>
      <w:r w:rsidR="00172E41" w:rsidRPr="00C75C26">
        <w:rPr>
          <w:i/>
        </w:rPr>
        <w:t>E</w:t>
      </w:r>
      <w:r w:rsidR="00172E41">
        <w:rPr>
          <w:i/>
        </w:rPr>
        <w:t>xperiments</w:t>
      </w:r>
      <w:r w:rsidR="00172E41" w:rsidRPr="00C75C26">
        <w:rPr>
          <w:i/>
        </w:rPr>
        <w:t xml:space="preserve"> Waiver Order</w:t>
      </w:r>
      <w:r w:rsidR="00172E41">
        <w:t xml:space="preserve"> at para. 6</w:t>
      </w:r>
      <w:r w:rsidR="00141C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6E" w:rsidRDefault="00914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1E" w:rsidRDefault="00E0581E">
    <w:pPr>
      <w:pStyle w:val="Header"/>
      <w:tabs>
        <w:tab w:val="clear" w:pos="4320"/>
        <w:tab w:val="clear" w:pos="8640"/>
        <w:tab w:val="center" w:pos="4680"/>
        <w:tab w:val="right" w:pos="9360"/>
      </w:tabs>
      <w:rPr>
        <w:b/>
      </w:rPr>
    </w:pPr>
    <w:r>
      <w:rPr>
        <w:b/>
      </w:rPr>
      <w:tab/>
      <w:t>Feder</w:t>
    </w:r>
    <w:r w:rsidR="0024517E">
      <w:rPr>
        <w:b/>
      </w:rPr>
      <w:t>al</w:t>
    </w:r>
    <w:r w:rsidR="005B7FBC">
      <w:rPr>
        <w:b/>
      </w:rPr>
      <w:t xml:space="preserve"> Communications Commission</w:t>
    </w:r>
    <w:r w:rsidR="005B7FBC">
      <w:rPr>
        <w:b/>
      </w:rPr>
      <w:tab/>
      <w:t>DA 15</w:t>
    </w:r>
    <w:r>
      <w:rPr>
        <w:b/>
      </w:rPr>
      <w:t>-</w:t>
    </w:r>
    <w:r w:rsidR="0018548B" w:rsidRPr="0018548B">
      <w:rPr>
        <w:b/>
      </w:rPr>
      <w:t>283</w:t>
    </w:r>
  </w:p>
  <w:p w:rsidR="00E0581E" w:rsidRDefault="00FE5B4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98214FD" wp14:editId="4E6BF5FE">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E0581E" w:rsidRDefault="00E05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1E" w:rsidRDefault="00E0581E">
    <w:pPr>
      <w:pStyle w:val="Header"/>
      <w:tabs>
        <w:tab w:val="clear" w:pos="4320"/>
        <w:tab w:val="clear" w:pos="8640"/>
        <w:tab w:val="center" w:pos="4680"/>
        <w:tab w:val="right" w:pos="9360"/>
      </w:tabs>
      <w:rPr>
        <w:b/>
      </w:rPr>
    </w:pPr>
    <w:r>
      <w:rPr>
        <w:b/>
      </w:rPr>
      <w:tab/>
      <w:t>Federal Communications Commission</w:t>
    </w:r>
    <w:r>
      <w:rPr>
        <w:b/>
      </w:rPr>
      <w:tab/>
    </w:r>
    <w:r w:rsidR="00C25CE4">
      <w:rPr>
        <w:b/>
      </w:rPr>
      <w:t>DA 15</w:t>
    </w:r>
    <w:r>
      <w:rPr>
        <w:b/>
      </w:rPr>
      <w:t>-</w:t>
    </w:r>
    <w:r w:rsidR="00CF4319" w:rsidRPr="00CF4319">
      <w:rPr>
        <w:b/>
      </w:rPr>
      <w:t>283</w:t>
    </w:r>
  </w:p>
  <w:p w:rsidR="00E0581E" w:rsidRDefault="00FE5B4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AA7"/>
    <w:multiLevelType w:val="hybridMultilevel"/>
    <w:tmpl w:val="B34AA8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5C7178"/>
    <w:multiLevelType w:val="hybridMultilevel"/>
    <w:tmpl w:val="600AD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4F4C4C32"/>
    <w:multiLevelType w:val="hybridMultilevel"/>
    <w:tmpl w:val="43D0F9DC"/>
    <w:lvl w:ilvl="0" w:tplc="08A4D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4"/>
  </w:num>
  <w:num w:numId="4">
    <w:abstractNumId w:val="19"/>
  </w:num>
  <w:num w:numId="5">
    <w:abstractNumId w:val="7"/>
  </w:num>
  <w:num w:numId="6">
    <w:abstractNumId w:val="22"/>
  </w:num>
  <w:num w:numId="7">
    <w:abstractNumId w:val="15"/>
  </w:num>
  <w:num w:numId="8">
    <w:abstractNumId w:val="8"/>
  </w:num>
  <w:num w:numId="9">
    <w:abstractNumId w:val="21"/>
  </w:num>
  <w:num w:numId="10">
    <w:abstractNumId w:val="13"/>
  </w:num>
  <w:num w:numId="11">
    <w:abstractNumId w:val="12"/>
  </w:num>
  <w:num w:numId="12">
    <w:abstractNumId w:val="9"/>
  </w:num>
  <w:num w:numId="13">
    <w:abstractNumId w:val="14"/>
  </w:num>
  <w:num w:numId="14">
    <w:abstractNumId w:val="20"/>
  </w:num>
  <w:num w:numId="15">
    <w:abstractNumId w:val="2"/>
  </w:num>
  <w:num w:numId="16">
    <w:abstractNumId w:val="3"/>
  </w:num>
  <w:num w:numId="17">
    <w:abstractNumId w:val="10"/>
  </w:num>
  <w:num w:numId="18">
    <w:abstractNumId w:val="1"/>
  </w:num>
  <w:num w:numId="19">
    <w:abstractNumId w:val="11"/>
  </w:num>
  <w:num w:numId="20">
    <w:abstractNumId w:val="16"/>
  </w:num>
  <w:num w:numId="21">
    <w:abstractNumId w:val="18"/>
  </w:num>
  <w:num w:numId="22">
    <w:abstractNumId w:val="6"/>
  </w:num>
  <w:num w:numId="23">
    <w:abstractNumId w:val="0"/>
  </w:num>
  <w:num w:numId="24">
    <w:abstractNumId w:val="17"/>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E7"/>
    <w:rsid w:val="0000729E"/>
    <w:rsid w:val="00010080"/>
    <w:rsid w:val="00016577"/>
    <w:rsid w:val="00016CEA"/>
    <w:rsid w:val="00022FB5"/>
    <w:rsid w:val="000333F4"/>
    <w:rsid w:val="00034E22"/>
    <w:rsid w:val="00037D02"/>
    <w:rsid w:val="00047CA2"/>
    <w:rsid w:val="00050716"/>
    <w:rsid w:val="00052590"/>
    <w:rsid w:val="0005716B"/>
    <w:rsid w:val="0006249A"/>
    <w:rsid w:val="00073848"/>
    <w:rsid w:val="0007614D"/>
    <w:rsid w:val="00076AAE"/>
    <w:rsid w:val="0008094D"/>
    <w:rsid w:val="00083532"/>
    <w:rsid w:val="00084B94"/>
    <w:rsid w:val="000850C2"/>
    <w:rsid w:val="000866B9"/>
    <w:rsid w:val="00087063"/>
    <w:rsid w:val="00092562"/>
    <w:rsid w:val="000A04CE"/>
    <w:rsid w:val="000A273C"/>
    <w:rsid w:val="000A4064"/>
    <w:rsid w:val="000A7254"/>
    <w:rsid w:val="000B018D"/>
    <w:rsid w:val="000C1E93"/>
    <w:rsid w:val="000C6D98"/>
    <w:rsid w:val="000D0757"/>
    <w:rsid w:val="000D677D"/>
    <w:rsid w:val="000E1F19"/>
    <w:rsid w:val="000E23C0"/>
    <w:rsid w:val="000F68A7"/>
    <w:rsid w:val="00110EB3"/>
    <w:rsid w:val="001140EE"/>
    <w:rsid w:val="0011512D"/>
    <w:rsid w:val="00115A17"/>
    <w:rsid w:val="00116D1C"/>
    <w:rsid w:val="00124AD6"/>
    <w:rsid w:val="00130C79"/>
    <w:rsid w:val="00131DE4"/>
    <w:rsid w:val="00141C4A"/>
    <w:rsid w:val="001475A8"/>
    <w:rsid w:val="0015205D"/>
    <w:rsid w:val="00164A96"/>
    <w:rsid w:val="00172E41"/>
    <w:rsid w:val="00173A87"/>
    <w:rsid w:val="00174686"/>
    <w:rsid w:val="0017798F"/>
    <w:rsid w:val="00181603"/>
    <w:rsid w:val="00184772"/>
    <w:rsid w:val="0018548B"/>
    <w:rsid w:val="001917D0"/>
    <w:rsid w:val="0019242C"/>
    <w:rsid w:val="001948E2"/>
    <w:rsid w:val="001A0ED2"/>
    <w:rsid w:val="001B2C6C"/>
    <w:rsid w:val="001B3131"/>
    <w:rsid w:val="001B7CA9"/>
    <w:rsid w:val="001C1627"/>
    <w:rsid w:val="001C4D61"/>
    <w:rsid w:val="001C4F7C"/>
    <w:rsid w:val="001D00BA"/>
    <w:rsid w:val="001D5F80"/>
    <w:rsid w:val="001E4266"/>
    <w:rsid w:val="001F3016"/>
    <w:rsid w:val="001F4C37"/>
    <w:rsid w:val="0020415C"/>
    <w:rsid w:val="00206926"/>
    <w:rsid w:val="002106C2"/>
    <w:rsid w:val="00212150"/>
    <w:rsid w:val="00220A19"/>
    <w:rsid w:val="00231789"/>
    <w:rsid w:val="00231FC7"/>
    <w:rsid w:val="00233DA3"/>
    <w:rsid w:val="0024303C"/>
    <w:rsid w:val="0024517E"/>
    <w:rsid w:val="00247045"/>
    <w:rsid w:val="0025189C"/>
    <w:rsid w:val="0025194B"/>
    <w:rsid w:val="002611BA"/>
    <w:rsid w:val="00262F52"/>
    <w:rsid w:val="00264035"/>
    <w:rsid w:val="00272AB3"/>
    <w:rsid w:val="00272FE0"/>
    <w:rsid w:val="002730F1"/>
    <w:rsid w:val="00281DF2"/>
    <w:rsid w:val="00290E1A"/>
    <w:rsid w:val="0029202E"/>
    <w:rsid w:val="00292AE1"/>
    <w:rsid w:val="002942C8"/>
    <w:rsid w:val="002962F1"/>
    <w:rsid w:val="002975AC"/>
    <w:rsid w:val="002A453F"/>
    <w:rsid w:val="002A4D58"/>
    <w:rsid w:val="002B261A"/>
    <w:rsid w:val="002B5F3E"/>
    <w:rsid w:val="002B78ED"/>
    <w:rsid w:val="002C19DC"/>
    <w:rsid w:val="002C58A2"/>
    <w:rsid w:val="002C7826"/>
    <w:rsid w:val="002D7F41"/>
    <w:rsid w:val="002E20E4"/>
    <w:rsid w:val="002E34EE"/>
    <w:rsid w:val="002E522C"/>
    <w:rsid w:val="002E68A9"/>
    <w:rsid w:val="002F3AD3"/>
    <w:rsid w:val="003025F8"/>
    <w:rsid w:val="003029A4"/>
    <w:rsid w:val="0030484E"/>
    <w:rsid w:val="003052DB"/>
    <w:rsid w:val="00305BD6"/>
    <w:rsid w:val="00307021"/>
    <w:rsid w:val="003116F8"/>
    <w:rsid w:val="0031693C"/>
    <w:rsid w:val="003241F5"/>
    <w:rsid w:val="003243B1"/>
    <w:rsid w:val="00335832"/>
    <w:rsid w:val="00337E45"/>
    <w:rsid w:val="0034052C"/>
    <w:rsid w:val="003437DA"/>
    <w:rsid w:val="0034398D"/>
    <w:rsid w:val="0034763C"/>
    <w:rsid w:val="00353591"/>
    <w:rsid w:val="00363BDE"/>
    <w:rsid w:val="00364CF1"/>
    <w:rsid w:val="003669D5"/>
    <w:rsid w:val="00390966"/>
    <w:rsid w:val="00394DC3"/>
    <w:rsid w:val="00397FA4"/>
    <w:rsid w:val="003A0143"/>
    <w:rsid w:val="003A70F4"/>
    <w:rsid w:val="003B3CF3"/>
    <w:rsid w:val="003B41B5"/>
    <w:rsid w:val="003C177D"/>
    <w:rsid w:val="003C6314"/>
    <w:rsid w:val="003D1DBF"/>
    <w:rsid w:val="003D4AA0"/>
    <w:rsid w:val="003D72AF"/>
    <w:rsid w:val="003E3AAC"/>
    <w:rsid w:val="003E3F92"/>
    <w:rsid w:val="003E7939"/>
    <w:rsid w:val="003E7ED9"/>
    <w:rsid w:val="003F3877"/>
    <w:rsid w:val="003F442E"/>
    <w:rsid w:val="00416DE7"/>
    <w:rsid w:val="00423118"/>
    <w:rsid w:val="00423868"/>
    <w:rsid w:val="004253E5"/>
    <w:rsid w:val="00437F91"/>
    <w:rsid w:val="0044335D"/>
    <w:rsid w:val="0044596C"/>
    <w:rsid w:val="004478F2"/>
    <w:rsid w:val="004516C3"/>
    <w:rsid w:val="00452995"/>
    <w:rsid w:val="00462892"/>
    <w:rsid w:val="00472C79"/>
    <w:rsid w:val="004766EF"/>
    <w:rsid w:val="004817C9"/>
    <w:rsid w:val="0048375E"/>
    <w:rsid w:val="00486ED5"/>
    <w:rsid w:val="00490D66"/>
    <w:rsid w:val="00491385"/>
    <w:rsid w:val="004920F3"/>
    <w:rsid w:val="00492C54"/>
    <w:rsid w:val="00494B88"/>
    <w:rsid w:val="004A1949"/>
    <w:rsid w:val="004A37F1"/>
    <w:rsid w:val="004A597C"/>
    <w:rsid w:val="004B3948"/>
    <w:rsid w:val="004B5462"/>
    <w:rsid w:val="004B78D0"/>
    <w:rsid w:val="004C5A94"/>
    <w:rsid w:val="004D4349"/>
    <w:rsid w:val="004E099C"/>
    <w:rsid w:val="004E6BFC"/>
    <w:rsid w:val="004F3A4B"/>
    <w:rsid w:val="004F558D"/>
    <w:rsid w:val="004F7E8F"/>
    <w:rsid w:val="00502B41"/>
    <w:rsid w:val="005052A0"/>
    <w:rsid w:val="00512A54"/>
    <w:rsid w:val="00517396"/>
    <w:rsid w:val="0051793A"/>
    <w:rsid w:val="00530043"/>
    <w:rsid w:val="00534A40"/>
    <w:rsid w:val="00535C32"/>
    <w:rsid w:val="00536BB6"/>
    <w:rsid w:val="00550CFC"/>
    <w:rsid w:val="00553FB0"/>
    <w:rsid w:val="00554559"/>
    <w:rsid w:val="00556880"/>
    <w:rsid w:val="005611AA"/>
    <w:rsid w:val="005641C6"/>
    <w:rsid w:val="00565610"/>
    <w:rsid w:val="00572345"/>
    <w:rsid w:val="005726F4"/>
    <w:rsid w:val="00574551"/>
    <w:rsid w:val="005767A2"/>
    <w:rsid w:val="005828D3"/>
    <w:rsid w:val="00584410"/>
    <w:rsid w:val="0058561B"/>
    <w:rsid w:val="00592B3C"/>
    <w:rsid w:val="00594B8C"/>
    <w:rsid w:val="005A0638"/>
    <w:rsid w:val="005A68F6"/>
    <w:rsid w:val="005B2748"/>
    <w:rsid w:val="005B5237"/>
    <w:rsid w:val="005B7FBC"/>
    <w:rsid w:val="005C2466"/>
    <w:rsid w:val="005D39F3"/>
    <w:rsid w:val="005D45AB"/>
    <w:rsid w:val="005D5F73"/>
    <w:rsid w:val="005E0E55"/>
    <w:rsid w:val="005E4B46"/>
    <w:rsid w:val="005F0C01"/>
    <w:rsid w:val="005F2972"/>
    <w:rsid w:val="005F4593"/>
    <w:rsid w:val="005F5ADD"/>
    <w:rsid w:val="00602135"/>
    <w:rsid w:val="00604B22"/>
    <w:rsid w:val="00611F47"/>
    <w:rsid w:val="00614AC7"/>
    <w:rsid w:val="00616556"/>
    <w:rsid w:val="006166C4"/>
    <w:rsid w:val="00630046"/>
    <w:rsid w:val="00630296"/>
    <w:rsid w:val="00631EF8"/>
    <w:rsid w:val="006416FC"/>
    <w:rsid w:val="0064265A"/>
    <w:rsid w:val="0064413A"/>
    <w:rsid w:val="00650FEE"/>
    <w:rsid w:val="0065246A"/>
    <w:rsid w:val="00655C23"/>
    <w:rsid w:val="0065789D"/>
    <w:rsid w:val="006710E2"/>
    <w:rsid w:val="0067577C"/>
    <w:rsid w:val="006809DA"/>
    <w:rsid w:val="00682294"/>
    <w:rsid w:val="006867BC"/>
    <w:rsid w:val="0069067B"/>
    <w:rsid w:val="00690853"/>
    <w:rsid w:val="006916CA"/>
    <w:rsid w:val="00696E82"/>
    <w:rsid w:val="006A47E8"/>
    <w:rsid w:val="006B1143"/>
    <w:rsid w:val="006B18A9"/>
    <w:rsid w:val="006B4409"/>
    <w:rsid w:val="006B7FDB"/>
    <w:rsid w:val="006C0569"/>
    <w:rsid w:val="006C6678"/>
    <w:rsid w:val="006D31AF"/>
    <w:rsid w:val="006D4256"/>
    <w:rsid w:val="006D4C34"/>
    <w:rsid w:val="006D6CEB"/>
    <w:rsid w:val="006E218A"/>
    <w:rsid w:val="006E4A73"/>
    <w:rsid w:val="006E4B76"/>
    <w:rsid w:val="006E5593"/>
    <w:rsid w:val="006E67B9"/>
    <w:rsid w:val="006F25A7"/>
    <w:rsid w:val="006F424B"/>
    <w:rsid w:val="00705843"/>
    <w:rsid w:val="00705D55"/>
    <w:rsid w:val="00707056"/>
    <w:rsid w:val="007114B5"/>
    <w:rsid w:val="00737840"/>
    <w:rsid w:val="00737C0B"/>
    <w:rsid w:val="007423C8"/>
    <w:rsid w:val="00755385"/>
    <w:rsid w:val="00762DA4"/>
    <w:rsid w:val="00773999"/>
    <w:rsid w:val="00776A1E"/>
    <w:rsid w:val="007838E5"/>
    <w:rsid w:val="007951CE"/>
    <w:rsid w:val="007964B2"/>
    <w:rsid w:val="007A722D"/>
    <w:rsid w:val="007B02E8"/>
    <w:rsid w:val="007B0947"/>
    <w:rsid w:val="007B36D1"/>
    <w:rsid w:val="007D6768"/>
    <w:rsid w:val="007E1596"/>
    <w:rsid w:val="007E3E4A"/>
    <w:rsid w:val="007E468D"/>
    <w:rsid w:val="007E5213"/>
    <w:rsid w:val="007E5427"/>
    <w:rsid w:val="007F03F3"/>
    <w:rsid w:val="007F2D7D"/>
    <w:rsid w:val="007F7F7B"/>
    <w:rsid w:val="00802579"/>
    <w:rsid w:val="00805B3C"/>
    <w:rsid w:val="00806241"/>
    <w:rsid w:val="008146BC"/>
    <w:rsid w:val="00815CB3"/>
    <w:rsid w:val="00821483"/>
    <w:rsid w:val="00827156"/>
    <w:rsid w:val="00830FBF"/>
    <w:rsid w:val="00841B88"/>
    <w:rsid w:val="008440F8"/>
    <w:rsid w:val="00846869"/>
    <w:rsid w:val="008508DA"/>
    <w:rsid w:val="00853308"/>
    <w:rsid w:val="0085462C"/>
    <w:rsid w:val="00854CC3"/>
    <w:rsid w:val="00864937"/>
    <w:rsid w:val="00865A3B"/>
    <w:rsid w:val="00866442"/>
    <w:rsid w:val="00880AF1"/>
    <w:rsid w:val="00881221"/>
    <w:rsid w:val="0088673E"/>
    <w:rsid w:val="0089557C"/>
    <w:rsid w:val="00896911"/>
    <w:rsid w:val="008A2AB6"/>
    <w:rsid w:val="008A2E30"/>
    <w:rsid w:val="008A3571"/>
    <w:rsid w:val="008A7036"/>
    <w:rsid w:val="008B2EA2"/>
    <w:rsid w:val="008B5043"/>
    <w:rsid w:val="008C01C1"/>
    <w:rsid w:val="008C3114"/>
    <w:rsid w:val="008C68D1"/>
    <w:rsid w:val="008D6DB0"/>
    <w:rsid w:val="008E00E9"/>
    <w:rsid w:val="008E23F9"/>
    <w:rsid w:val="008E24F9"/>
    <w:rsid w:val="008E70CB"/>
    <w:rsid w:val="00905036"/>
    <w:rsid w:val="00905131"/>
    <w:rsid w:val="00907269"/>
    <w:rsid w:val="00914306"/>
    <w:rsid w:val="00914A6E"/>
    <w:rsid w:val="009153DE"/>
    <w:rsid w:val="009164CE"/>
    <w:rsid w:val="00930401"/>
    <w:rsid w:val="009356A0"/>
    <w:rsid w:val="00943D68"/>
    <w:rsid w:val="009441DF"/>
    <w:rsid w:val="00944F20"/>
    <w:rsid w:val="00945DF2"/>
    <w:rsid w:val="009516A5"/>
    <w:rsid w:val="00953226"/>
    <w:rsid w:val="00960FFA"/>
    <w:rsid w:val="0096167F"/>
    <w:rsid w:val="00970388"/>
    <w:rsid w:val="0097199B"/>
    <w:rsid w:val="00972D3D"/>
    <w:rsid w:val="00976624"/>
    <w:rsid w:val="00983FBF"/>
    <w:rsid w:val="009902BB"/>
    <w:rsid w:val="00990350"/>
    <w:rsid w:val="00990598"/>
    <w:rsid w:val="00991599"/>
    <w:rsid w:val="00996DB8"/>
    <w:rsid w:val="00997A5C"/>
    <w:rsid w:val="009A2485"/>
    <w:rsid w:val="009A3277"/>
    <w:rsid w:val="009A7BAC"/>
    <w:rsid w:val="009B053C"/>
    <w:rsid w:val="009B3D13"/>
    <w:rsid w:val="009B3EA4"/>
    <w:rsid w:val="009B3F37"/>
    <w:rsid w:val="009B6299"/>
    <w:rsid w:val="009C35F7"/>
    <w:rsid w:val="009C454B"/>
    <w:rsid w:val="009D125E"/>
    <w:rsid w:val="009D29A3"/>
    <w:rsid w:val="009D3AAA"/>
    <w:rsid w:val="009D4F76"/>
    <w:rsid w:val="009D708C"/>
    <w:rsid w:val="009E53F7"/>
    <w:rsid w:val="009F5A41"/>
    <w:rsid w:val="009F69EC"/>
    <w:rsid w:val="00A01473"/>
    <w:rsid w:val="00A01C5C"/>
    <w:rsid w:val="00A04077"/>
    <w:rsid w:val="00A1103A"/>
    <w:rsid w:val="00A115AC"/>
    <w:rsid w:val="00A11932"/>
    <w:rsid w:val="00A26C75"/>
    <w:rsid w:val="00A3154E"/>
    <w:rsid w:val="00A36EDC"/>
    <w:rsid w:val="00A36F5B"/>
    <w:rsid w:val="00A42E8C"/>
    <w:rsid w:val="00A42EDC"/>
    <w:rsid w:val="00A44A39"/>
    <w:rsid w:val="00A46401"/>
    <w:rsid w:val="00A46BE5"/>
    <w:rsid w:val="00A47EB2"/>
    <w:rsid w:val="00A51FD4"/>
    <w:rsid w:val="00A57392"/>
    <w:rsid w:val="00A61A93"/>
    <w:rsid w:val="00A86231"/>
    <w:rsid w:val="00A96B5D"/>
    <w:rsid w:val="00A9718F"/>
    <w:rsid w:val="00AA180E"/>
    <w:rsid w:val="00AA44C8"/>
    <w:rsid w:val="00AA6694"/>
    <w:rsid w:val="00AC68BB"/>
    <w:rsid w:val="00AC7370"/>
    <w:rsid w:val="00AE00B6"/>
    <w:rsid w:val="00AE2FCE"/>
    <w:rsid w:val="00AE5E47"/>
    <w:rsid w:val="00AE5F76"/>
    <w:rsid w:val="00AE6C3F"/>
    <w:rsid w:val="00AF10D9"/>
    <w:rsid w:val="00AF6C8D"/>
    <w:rsid w:val="00AF7074"/>
    <w:rsid w:val="00AF764B"/>
    <w:rsid w:val="00B001AE"/>
    <w:rsid w:val="00B006BF"/>
    <w:rsid w:val="00B006E4"/>
    <w:rsid w:val="00B01FB8"/>
    <w:rsid w:val="00B14391"/>
    <w:rsid w:val="00B212F0"/>
    <w:rsid w:val="00B259DA"/>
    <w:rsid w:val="00B31108"/>
    <w:rsid w:val="00B3618D"/>
    <w:rsid w:val="00B549FB"/>
    <w:rsid w:val="00B725D0"/>
    <w:rsid w:val="00B733E0"/>
    <w:rsid w:val="00B77BBC"/>
    <w:rsid w:val="00B85334"/>
    <w:rsid w:val="00B912F3"/>
    <w:rsid w:val="00B93D3E"/>
    <w:rsid w:val="00BA7597"/>
    <w:rsid w:val="00BC5FFE"/>
    <w:rsid w:val="00BE586B"/>
    <w:rsid w:val="00BE61E9"/>
    <w:rsid w:val="00BF2B36"/>
    <w:rsid w:val="00BF498C"/>
    <w:rsid w:val="00C11C7C"/>
    <w:rsid w:val="00C25CE4"/>
    <w:rsid w:val="00C268C2"/>
    <w:rsid w:val="00C303CD"/>
    <w:rsid w:val="00C33B8D"/>
    <w:rsid w:val="00C34251"/>
    <w:rsid w:val="00C34C6F"/>
    <w:rsid w:val="00C379F7"/>
    <w:rsid w:val="00C5105D"/>
    <w:rsid w:val="00C527FE"/>
    <w:rsid w:val="00C54294"/>
    <w:rsid w:val="00C555E0"/>
    <w:rsid w:val="00C558A2"/>
    <w:rsid w:val="00C63D40"/>
    <w:rsid w:val="00C63E41"/>
    <w:rsid w:val="00C75C26"/>
    <w:rsid w:val="00C83A66"/>
    <w:rsid w:val="00C847E8"/>
    <w:rsid w:val="00C848ED"/>
    <w:rsid w:val="00C87771"/>
    <w:rsid w:val="00C953D8"/>
    <w:rsid w:val="00CA40E9"/>
    <w:rsid w:val="00CC567B"/>
    <w:rsid w:val="00CC5A73"/>
    <w:rsid w:val="00CC7842"/>
    <w:rsid w:val="00CD42EF"/>
    <w:rsid w:val="00CE5C40"/>
    <w:rsid w:val="00CF1F7D"/>
    <w:rsid w:val="00CF4319"/>
    <w:rsid w:val="00D02CAF"/>
    <w:rsid w:val="00D15CC1"/>
    <w:rsid w:val="00D1778A"/>
    <w:rsid w:val="00D17EEE"/>
    <w:rsid w:val="00D21827"/>
    <w:rsid w:val="00D2229C"/>
    <w:rsid w:val="00D2769C"/>
    <w:rsid w:val="00D36B92"/>
    <w:rsid w:val="00D504F0"/>
    <w:rsid w:val="00D61CE9"/>
    <w:rsid w:val="00D64A6A"/>
    <w:rsid w:val="00D74F37"/>
    <w:rsid w:val="00D75078"/>
    <w:rsid w:val="00D80FB3"/>
    <w:rsid w:val="00D81AB4"/>
    <w:rsid w:val="00D82D5E"/>
    <w:rsid w:val="00D83752"/>
    <w:rsid w:val="00D841C2"/>
    <w:rsid w:val="00D92A7E"/>
    <w:rsid w:val="00D95289"/>
    <w:rsid w:val="00DA02BA"/>
    <w:rsid w:val="00DA0741"/>
    <w:rsid w:val="00DB5ECB"/>
    <w:rsid w:val="00DC002C"/>
    <w:rsid w:val="00DC7A24"/>
    <w:rsid w:val="00DD5DF8"/>
    <w:rsid w:val="00DF44FA"/>
    <w:rsid w:val="00E016B2"/>
    <w:rsid w:val="00E0581E"/>
    <w:rsid w:val="00E0780B"/>
    <w:rsid w:val="00E1611E"/>
    <w:rsid w:val="00E17A17"/>
    <w:rsid w:val="00E23926"/>
    <w:rsid w:val="00E244AB"/>
    <w:rsid w:val="00E24F84"/>
    <w:rsid w:val="00E32F35"/>
    <w:rsid w:val="00E34C72"/>
    <w:rsid w:val="00E362BA"/>
    <w:rsid w:val="00E41BB0"/>
    <w:rsid w:val="00E4245F"/>
    <w:rsid w:val="00E47659"/>
    <w:rsid w:val="00E5142E"/>
    <w:rsid w:val="00E7360B"/>
    <w:rsid w:val="00E7473D"/>
    <w:rsid w:val="00E77184"/>
    <w:rsid w:val="00E774A1"/>
    <w:rsid w:val="00E84E42"/>
    <w:rsid w:val="00E85EB8"/>
    <w:rsid w:val="00E86A75"/>
    <w:rsid w:val="00E940C3"/>
    <w:rsid w:val="00E94BE2"/>
    <w:rsid w:val="00EA12CA"/>
    <w:rsid w:val="00EA7A10"/>
    <w:rsid w:val="00EB41B3"/>
    <w:rsid w:val="00EB5655"/>
    <w:rsid w:val="00EB6793"/>
    <w:rsid w:val="00EC203F"/>
    <w:rsid w:val="00ED6A4D"/>
    <w:rsid w:val="00EE74E1"/>
    <w:rsid w:val="00EF08AA"/>
    <w:rsid w:val="00F0068B"/>
    <w:rsid w:val="00F02280"/>
    <w:rsid w:val="00F10DE9"/>
    <w:rsid w:val="00F160B6"/>
    <w:rsid w:val="00F22B91"/>
    <w:rsid w:val="00F22FDD"/>
    <w:rsid w:val="00F36424"/>
    <w:rsid w:val="00F3765C"/>
    <w:rsid w:val="00F376D1"/>
    <w:rsid w:val="00F45C88"/>
    <w:rsid w:val="00F4680B"/>
    <w:rsid w:val="00F47533"/>
    <w:rsid w:val="00F533B2"/>
    <w:rsid w:val="00F53B0A"/>
    <w:rsid w:val="00F541BD"/>
    <w:rsid w:val="00F61561"/>
    <w:rsid w:val="00F62975"/>
    <w:rsid w:val="00F62C72"/>
    <w:rsid w:val="00F63DC1"/>
    <w:rsid w:val="00F6412E"/>
    <w:rsid w:val="00F7240B"/>
    <w:rsid w:val="00F75AC7"/>
    <w:rsid w:val="00F77F92"/>
    <w:rsid w:val="00F817B3"/>
    <w:rsid w:val="00F8608B"/>
    <w:rsid w:val="00F873AD"/>
    <w:rsid w:val="00F87917"/>
    <w:rsid w:val="00F96ABC"/>
    <w:rsid w:val="00FB3226"/>
    <w:rsid w:val="00FC0AAD"/>
    <w:rsid w:val="00FC22B0"/>
    <w:rsid w:val="00FC3655"/>
    <w:rsid w:val="00FD35BA"/>
    <w:rsid w:val="00FD6736"/>
    <w:rsid w:val="00FE5B46"/>
    <w:rsid w:val="00FE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clear" w:pos="1080"/>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Style 4,Footnote Reference1"/>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semiHidden/>
    <w:rsid w:val="00AE2FCE"/>
    <w:rPr>
      <w:sz w:val="16"/>
      <w:szCs w:val="16"/>
    </w:rPr>
  </w:style>
  <w:style w:type="paragraph" w:styleId="CommentText">
    <w:name w:val="annotation text"/>
    <w:basedOn w:val="Normal"/>
    <w:semiHidden/>
    <w:rsid w:val="00AE2FCE"/>
    <w:rPr>
      <w:sz w:val="20"/>
    </w:rPr>
  </w:style>
  <w:style w:type="paragraph" w:styleId="CommentSubject">
    <w:name w:val="annotation subject"/>
    <w:basedOn w:val="CommentText"/>
    <w:next w:val="CommentText"/>
    <w:semiHidden/>
    <w:rsid w:val="00AE2FCE"/>
    <w:rPr>
      <w:b/>
      <w:bCs/>
    </w:rPr>
  </w:style>
  <w:style w:type="character" w:styleId="Hyperlink">
    <w:name w:val="Hyperlink"/>
    <w:rsid w:val="009B3D13"/>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1"/>
    <w:link w:val="FootnoteText"/>
    <w:uiPriority w:val="99"/>
    <w:locked/>
    <w:rsid w:val="001140EE"/>
  </w:style>
  <w:style w:type="character" w:customStyle="1" w:styleId="ParaNumChar">
    <w:name w:val="ParaNum Char"/>
    <w:link w:val="ParaNum"/>
    <w:uiPriority w:val="99"/>
    <w:locked/>
    <w:rsid w:val="001140EE"/>
    <w:rPr>
      <w:sz w:val="22"/>
    </w:rPr>
  </w:style>
  <w:style w:type="character" w:customStyle="1" w:styleId="Heading1Char">
    <w:name w:val="Heading 1 Char"/>
    <w:link w:val="Heading1"/>
    <w:uiPriority w:val="99"/>
    <w:locked/>
    <w:rsid w:val="00DD5DF8"/>
    <w:rPr>
      <w:b/>
      <w:caps/>
      <w:sz w:val="22"/>
    </w:rPr>
  </w:style>
  <w:style w:type="character" w:customStyle="1" w:styleId="Heading2Char">
    <w:name w:val="Heading 2 Char"/>
    <w:link w:val="Heading2"/>
    <w:uiPriority w:val="99"/>
    <w:locked/>
    <w:rsid w:val="00DD5DF8"/>
    <w:rPr>
      <w:b/>
      <w:sz w:val="22"/>
    </w:rPr>
  </w:style>
  <w:style w:type="character" w:customStyle="1" w:styleId="HeaderChar">
    <w:name w:val="Header Char"/>
    <w:link w:val="Header"/>
    <w:uiPriority w:val="99"/>
    <w:locked/>
    <w:rsid w:val="00DD5DF8"/>
    <w:rPr>
      <w:sz w:val="22"/>
    </w:rPr>
  </w:style>
  <w:style w:type="character" w:customStyle="1" w:styleId="apple-converted-space">
    <w:name w:val="apple-converted-space"/>
    <w:rsid w:val="002E68A9"/>
  </w:style>
  <w:style w:type="character" w:customStyle="1" w:styleId="FootnoteTextChar">
    <w:name w:val="Footnote Text Char"/>
    <w:aliases w:val="ALTS FOOTNOTE Char1,Footnote Text Char2 Char Char,Footnote Text Char3 Char1 Char Char,Footnote Text Char2 Char1 Char1 Char Char,Footnote Text Char3 Char1 Char Char Char Char,fn Char2,fn Char1 Char"/>
    <w:rsid w:val="00CE5C4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clear" w:pos="1080"/>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Style 4,Footnote Reference1"/>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semiHidden/>
    <w:rsid w:val="00AE2FCE"/>
    <w:rPr>
      <w:sz w:val="16"/>
      <w:szCs w:val="16"/>
    </w:rPr>
  </w:style>
  <w:style w:type="paragraph" w:styleId="CommentText">
    <w:name w:val="annotation text"/>
    <w:basedOn w:val="Normal"/>
    <w:semiHidden/>
    <w:rsid w:val="00AE2FCE"/>
    <w:rPr>
      <w:sz w:val="20"/>
    </w:rPr>
  </w:style>
  <w:style w:type="paragraph" w:styleId="CommentSubject">
    <w:name w:val="annotation subject"/>
    <w:basedOn w:val="CommentText"/>
    <w:next w:val="CommentText"/>
    <w:semiHidden/>
    <w:rsid w:val="00AE2FCE"/>
    <w:rPr>
      <w:b/>
      <w:bCs/>
    </w:rPr>
  </w:style>
  <w:style w:type="character" w:styleId="Hyperlink">
    <w:name w:val="Hyperlink"/>
    <w:rsid w:val="009B3D13"/>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1"/>
    <w:link w:val="FootnoteText"/>
    <w:uiPriority w:val="99"/>
    <w:locked/>
    <w:rsid w:val="001140EE"/>
  </w:style>
  <w:style w:type="character" w:customStyle="1" w:styleId="ParaNumChar">
    <w:name w:val="ParaNum Char"/>
    <w:link w:val="ParaNum"/>
    <w:uiPriority w:val="99"/>
    <w:locked/>
    <w:rsid w:val="001140EE"/>
    <w:rPr>
      <w:sz w:val="22"/>
    </w:rPr>
  </w:style>
  <w:style w:type="character" w:customStyle="1" w:styleId="Heading1Char">
    <w:name w:val="Heading 1 Char"/>
    <w:link w:val="Heading1"/>
    <w:uiPriority w:val="99"/>
    <w:locked/>
    <w:rsid w:val="00DD5DF8"/>
    <w:rPr>
      <w:b/>
      <w:caps/>
      <w:sz w:val="22"/>
    </w:rPr>
  </w:style>
  <w:style w:type="character" w:customStyle="1" w:styleId="Heading2Char">
    <w:name w:val="Heading 2 Char"/>
    <w:link w:val="Heading2"/>
    <w:uiPriority w:val="99"/>
    <w:locked/>
    <w:rsid w:val="00DD5DF8"/>
    <w:rPr>
      <w:b/>
      <w:sz w:val="22"/>
    </w:rPr>
  </w:style>
  <w:style w:type="character" w:customStyle="1" w:styleId="HeaderChar">
    <w:name w:val="Header Char"/>
    <w:link w:val="Header"/>
    <w:uiPriority w:val="99"/>
    <w:locked/>
    <w:rsid w:val="00DD5DF8"/>
    <w:rPr>
      <w:sz w:val="22"/>
    </w:rPr>
  </w:style>
  <w:style w:type="character" w:customStyle="1" w:styleId="apple-converted-space">
    <w:name w:val="apple-converted-space"/>
    <w:rsid w:val="002E68A9"/>
  </w:style>
  <w:style w:type="character" w:customStyle="1" w:styleId="FootnoteTextChar">
    <w:name w:val="Footnote Text Char"/>
    <w:aliases w:val="ALTS FOOTNOTE Char1,Footnote Text Char2 Char Char,Footnote Text Char3 Char1 Char Char,Footnote Text Char2 Char1 Char1 Char Char,Footnote Text Char3 Char1 Char Char Char Char,fn Char2,fn Char1 Char"/>
    <w:rsid w:val="00CE5C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5640">
      <w:bodyDiv w:val="1"/>
      <w:marLeft w:val="0"/>
      <w:marRight w:val="0"/>
      <w:marTop w:val="0"/>
      <w:marBottom w:val="0"/>
      <w:divBdr>
        <w:top w:val="none" w:sz="0" w:space="0" w:color="auto"/>
        <w:left w:val="none" w:sz="0" w:space="0" w:color="auto"/>
        <w:bottom w:val="none" w:sz="0" w:space="0" w:color="auto"/>
        <w:right w:val="none" w:sz="0" w:space="0" w:color="auto"/>
      </w:divBdr>
      <w:divsChild>
        <w:div w:id="2133086419">
          <w:marLeft w:val="0"/>
          <w:marRight w:val="0"/>
          <w:marTop w:val="0"/>
          <w:marBottom w:val="0"/>
          <w:divBdr>
            <w:top w:val="none" w:sz="0" w:space="0" w:color="auto"/>
            <w:left w:val="none" w:sz="0" w:space="0" w:color="auto"/>
            <w:bottom w:val="none" w:sz="0" w:space="0" w:color="auto"/>
            <w:right w:val="none" w:sz="0" w:space="0" w:color="auto"/>
          </w:divBdr>
          <w:divsChild>
            <w:div w:id="1597129869">
              <w:marLeft w:val="0"/>
              <w:marRight w:val="0"/>
              <w:marTop w:val="0"/>
              <w:marBottom w:val="0"/>
              <w:divBdr>
                <w:top w:val="none" w:sz="0" w:space="0" w:color="auto"/>
                <w:left w:val="none" w:sz="0" w:space="0" w:color="auto"/>
                <w:bottom w:val="none" w:sz="0" w:space="0" w:color="auto"/>
                <w:right w:val="none" w:sz="0" w:space="0" w:color="auto"/>
              </w:divBdr>
              <w:divsChild>
                <w:div w:id="683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6915">
      <w:bodyDiv w:val="1"/>
      <w:marLeft w:val="0"/>
      <w:marRight w:val="0"/>
      <w:marTop w:val="0"/>
      <w:marBottom w:val="0"/>
      <w:divBdr>
        <w:top w:val="none" w:sz="0" w:space="0" w:color="auto"/>
        <w:left w:val="none" w:sz="0" w:space="0" w:color="auto"/>
        <w:bottom w:val="none" w:sz="0" w:space="0" w:color="auto"/>
        <w:right w:val="none" w:sz="0" w:space="0" w:color="auto"/>
      </w:divBdr>
      <w:divsChild>
        <w:div w:id="105003788">
          <w:marLeft w:val="0"/>
          <w:marRight w:val="0"/>
          <w:marTop w:val="0"/>
          <w:marBottom w:val="0"/>
          <w:divBdr>
            <w:top w:val="none" w:sz="0" w:space="0" w:color="auto"/>
            <w:left w:val="none" w:sz="0" w:space="0" w:color="auto"/>
            <w:bottom w:val="none" w:sz="0" w:space="0" w:color="auto"/>
            <w:right w:val="none" w:sz="0" w:space="0" w:color="auto"/>
          </w:divBdr>
          <w:divsChild>
            <w:div w:id="13929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6773">
      <w:bodyDiv w:val="1"/>
      <w:marLeft w:val="0"/>
      <w:marRight w:val="0"/>
      <w:marTop w:val="0"/>
      <w:marBottom w:val="0"/>
      <w:divBdr>
        <w:top w:val="none" w:sz="0" w:space="0" w:color="auto"/>
        <w:left w:val="none" w:sz="0" w:space="0" w:color="auto"/>
        <w:bottom w:val="none" w:sz="0" w:space="0" w:color="auto"/>
        <w:right w:val="none" w:sz="0" w:space="0" w:color="auto"/>
      </w:divBdr>
      <w:divsChild>
        <w:div w:id="1220436584">
          <w:marLeft w:val="0"/>
          <w:marRight w:val="0"/>
          <w:marTop w:val="0"/>
          <w:marBottom w:val="0"/>
          <w:divBdr>
            <w:top w:val="none" w:sz="0" w:space="0" w:color="auto"/>
            <w:left w:val="none" w:sz="0" w:space="0" w:color="auto"/>
            <w:bottom w:val="none" w:sz="0" w:space="0" w:color="auto"/>
            <w:right w:val="none" w:sz="0" w:space="0" w:color="auto"/>
          </w:divBdr>
          <w:divsChild>
            <w:div w:id="4498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762">
      <w:bodyDiv w:val="1"/>
      <w:marLeft w:val="0"/>
      <w:marRight w:val="0"/>
      <w:marTop w:val="0"/>
      <w:marBottom w:val="0"/>
      <w:divBdr>
        <w:top w:val="none" w:sz="0" w:space="0" w:color="auto"/>
        <w:left w:val="none" w:sz="0" w:space="0" w:color="auto"/>
        <w:bottom w:val="none" w:sz="0" w:space="0" w:color="auto"/>
        <w:right w:val="none" w:sz="0" w:space="0" w:color="auto"/>
      </w:divBdr>
      <w:divsChild>
        <w:div w:id="701633337">
          <w:marLeft w:val="0"/>
          <w:marRight w:val="0"/>
          <w:marTop w:val="0"/>
          <w:marBottom w:val="0"/>
          <w:divBdr>
            <w:top w:val="none" w:sz="0" w:space="0" w:color="auto"/>
            <w:left w:val="none" w:sz="0" w:space="0" w:color="auto"/>
            <w:bottom w:val="none" w:sz="0" w:space="0" w:color="auto"/>
            <w:right w:val="none" w:sz="0" w:space="0" w:color="auto"/>
          </w:divBdr>
          <w:divsChild>
            <w:div w:id="13268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8405">
      <w:bodyDiv w:val="1"/>
      <w:marLeft w:val="0"/>
      <w:marRight w:val="0"/>
      <w:marTop w:val="0"/>
      <w:marBottom w:val="0"/>
      <w:divBdr>
        <w:top w:val="none" w:sz="0" w:space="0" w:color="auto"/>
        <w:left w:val="none" w:sz="0" w:space="0" w:color="auto"/>
        <w:bottom w:val="none" w:sz="0" w:space="0" w:color="auto"/>
        <w:right w:val="none" w:sz="0" w:space="0" w:color="auto"/>
      </w:divBdr>
      <w:divsChild>
        <w:div w:id="998191961">
          <w:marLeft w:val="0"/>
          <w:marRight w:val="0"/>
          <w:marTop w:val="0"/>
          <w:marBottom w:val="0"/>
          <w:divBdr>
            <w:top w:val="none" w:sz="0" w:space="0" w:color="auto"/>
            <w:left w:val="none" w:sz="0" w:space="0" w:color="auto"/>
            <w:bottom w:val="none" w:sz="0" w:space="0" w:color="auto"/>
            <w:right w:val="none" w:sz="0" w:space="0" w:color="auto"/>
          </w:divBdr>
          <w:divsChild>
            <w:div w:id="33317026">
              <w:marLeft w:val="0"/>
              <w:marRight w:val="0"/>
              <w:marTop w:val="0"/>
              <w:marBottom w:val="0"/>
              <w:divBdr>
                <w:top w:val="none" w:sz="0" w:space="0" w:color="auto"/>
                <w:left w:val="none" w:sz="0" w:space="0" w:color="auto"/>
                <w:bottom w:val="none" w:sz="0" w:space="0" w:color="auto"/>
                <w:right w:val="none" w:sz="0" w:space="0" w:color="auto"/>
              </w:divBdr>
              <w:divsChild>
                <w:div w:id="1981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775</Words>
  <Characters>4349</Characters>
  <Application>Microsoft Office Word</Application>
  <DocSecurity>0</DocSecurity>
  <Lines>89</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5147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2015-01-26T19:41:00Z</cp:lastPrinted>
  <dcterms:created xsi:type="dcterms:W3CDTF">2015-03-03T17:03:00Z</dcterms:created>
  <dcterms:modified xsi:type="dcterms:W3CDTF">2015-03-03T17:03:00Z</dcterms:modified>
  <cp:category> </cp:category>
  <cp:contentStatus> </cp:contentStatus>
</cp:coreProperties>
</file>