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489" w:rsidRPr="00EB507A" w:rsidRDefault="00293489">
      <w:pPr>
        <w:jc w:val="center"/>
        <w:rPr>
          <w:b/>
          <w:szCs w:val="22"/>
        </w:rPr>
      </w:pPr>
      <w:bookmarkStart w:id="0" w:name="_GoBack"/>
      <w:bookmarkEnd w:id="0"/>
      <w:r w:rsidRPr="00EB507A">
        <w:rPr>
          <w:b/>
          <w:szCs w:val="22"/>
        </w:rPr>
        <w:t>Before the</w:t>
      </w:r>
    </w:p>
    <w:p w:rsidR="00293489" w:rsidRPr="00EB507A" w:rsidRDefault="00293489">
      <w:pPr>
        <w:jc w:val="center"/>
        <w:rPr>
          <w:b/>
          <w:szCs w:val="22"/>
        </w:rPr>
      </w:pPr>
      <w:r w:rsidRPr="00EB507A">
        <w:rPr>
          <w:b/>
          <w:szCs w:val="22"/>
        </w:rPr>
        <w:t>Federal Communications Commission</w:t>
      </w:r>
    </w:p>
    <w:p w:rsidR="00293489" w:rsidRPr="00EB507A" w:rsidRDefault="00293489">
      <w:pPr>
        <w:jc w:val="center"/>
        <w:rPr>
          <w:b/>
          <w:szCs w:val="22"/>
        </w:rPr>
      </w:pPr>
      <w:r w:rsidRPr="00EB507A">
        <w:rPr>
          <w:b/>
          <w:szCs w:val="22"/>
        </w:rPr>
        <w:t>Washington, D.C. 20554</w:t>
      </w:r>
    </w:p>
    <w:p w:rsidR="00293489" w:rsidRPr="00EB507A" w:rsidRDefault="00293489">
      <w:pPr>
        <w:rPr>
          <w:szCs w:val="22"/>
        </w:rPr>
      </w:pPr>
    </w:p>
    <w:p w:rsidR="00293489" w:rsidRPr="00EB507A" w:rsidRDefault="00293489">
      <w:pPr>
        <w:rPr>
          <w:szCs w:val="22"/>
        </w:rPr>
      </w:pPr>
    </w:p>
    <w:tbl>
      <w:tblPr>
        <w:tblW w:w="0" w:type="auto"/>
        <w:tblLayout w:type="fixed"/>
        <w:tblLook w:val="0000" w:firstRow="0" w:lastRow="0" w:firstColumn="0" w:lastColumn="0" w:noHBand="0" w:noVBand="0"/>
      </w:tblPr>
      <w:tblGrid>
        <w:gridCol w:w="4698"/>
        <w:gridCol w:w="720"/>
        <w:gridCol w:w="4230"/>
      </w:tblGrid>
      <w:tr w:rsidR="00293489" w:rsidRPr="00EB507A">
        <w:tc>
          <w:tcPr>
            <w:tcW w:w="4698" w:type="dxa"/>
          </w:tcPr>
          <w:p w:rsidR="00293489" w:rsidRPr="00EB507A" w:rsidRDefault="00403329">
            <w:pPr>
              <w:ind w:right="-18"/>
              <w:rPr>
                <w:szCs w:val="22"/>
              </w:rPr>
            </w:pPr>
            <w:r w:rsidRPr="00EB507A">
              <w:rPr>
                <w:szCs w:val="22"/>
              </w:rPr>
              <w:t>In the M</w:t>
            </w:r>
            <w:r w:rsidR="00293489" w:rsidRPr="00EB507A">
              <w:rPr>
                <w:szCs w:val="22"/>
              </w:rPr>
              <w:t>atter of</w:t>
            </w:r>
          </w:p>
          <w:p w:rsidR="008E114C" w:rsidRPr="00EB507A" w:rsidRDefault="008E114C">
            <w:pPr>
              <w:ind w:right="-18"/>
              <w:rPr>
                <w:szCs w:val="22"/>
              </w:rPr>
            </w:pPr>
          </w:p>
          <w:p w:rsidR="00293489" w:rsidRPr="00EB507A" w:rsidRDefault="000C0344">
            <w:pPr>
              <w:ind w:right="-18"/>
              <w:rPr>
                <w:szCs w:val="22"/>
              </w:rPr>
            </w:pPr>
            <w:r w:rsidRPr="00EB507A">
              <w:rPr>
                <w:szCs w:val="22"/>
              </w:rPr>
              <w:t>National Railroad Passenger Corporation (</w:t>
            </w:r>
            <w:r w:rsidR="001C1665" w:rsidRPr="00EB507A">
              <w:rPr>
                <w:szCs w:val="22"/>
              </w:rPr>
              <w:t xml:space="preserve">d/b/a </w:t>
            </w:r>
            <w:r w:rsidRPr="00EB507A">
              <w:rPr>
                <w:szCs w:val="22"/>
              </w:rPr>
              <w:t>Amtrak</w:t>
            </w:r>
            <w:r w:rsidR="00001D03" w:rsidRPr="00EB507A">
              <w:rPr>
                <w:szCs w:val="22"/>
              </w:rPr>
              <w:t>)</w:t>
            </w:r>
          </w:p>
          <w:p w:rsidR="00001D03" w:rsidRPr="00EB507A" w:rsidRDefault="00001D03">
            <w:pPr>
              <w:ind w:right="-18"/>
              <w:rPr>
                <w:szCs w:val="22"/>
              </w:rPr>
            </w:pPr>
          </w:p>
          <w:p w:rsidR="008803FC" w:rsidRPr="00EB507A" w:rsidRDefault="008803FC" w:rsidP="00001D03">
            <w:pPr>
              <w:suppressAutoHyphens/>
              <w:rPr>
                <w:szCs w:val="22"/>
              </w:rPr>
            </w:pPr>
          </w:p>
          <w:p w:rsidR="008803FC" w:rsidRPr="00EB507A" w:rsidRDefault="008803FC" w:rsidP="00001D03">
            <w:pPr>
              <w:suppressAutoHyphens/>
              <w:rPr>
                <w:szCs w:val="22"/>
              </w:rPr>
            </w:pPr>
          </w:p>
          <w:p w:rsidR="008803FC" w:rsidRPr="00EB507A" w:rsidRDefault="008803FC" w:rsidP="00001D03">
            <w:pPr>
              <w:suppressAutoHyphens/>
              <w:rPr>
                <w:szCs w:val="22"/>
              </w:rPr>
            </w:pPr>
          </w:p>
          <w:p w:rsidR="008803FC" w:rsidRPr="00EB507A" w:rsidRDefault="008803FC" w:rsidP="00001D03">
            <w:pPr>
              <w:suppressAutoHyphens/>
              <w:rPr>
                <w:szCs w:val="22"/>
              </w:rPr>
            </w:pPr>
          </w:p>
          <w:p w:rsidR="00293489" w:rsidRPr="00EB507A" w:rsidRDefault="00001D03" w:rsidP="000C0344">
            <w:pPr>
              <w:suppressAutoHyphens/>
              <w:rPr>
                <w:szCs w:val="22"/>
              </w:rPr>
            </w:pPr>
            <w:r w:rsidRPr="00EB507A">
              <w:rPr>
                <w:szCs w:val="22"/>
              </w:rPr>
              <w:t>Request for Waiver of Certain Part 80 Automated Maritime Telecomm</w:t>
            </w:r>
            <w:r w:rsidR="008B5CD9" w:rsidRPr="00EB507A">
              <w:rPr>
                <w:szCs w:val="22"/>
              </w:rPr>
              <w:t>unications System Rules t</w:t>
            </w:r>
            <w:r w:rsidRPr="00EB507A">
              <w:rPr>
                <w:szCs w:val="22"/>
              </w:rPr>
              <w:t>o Implement Positive Train Control</w:t>
            </w:r>
          </w:p>
        </w:tc>
        <w:tc>
          <w:tcPr>
            <w:tcW w:w="720" w:type="dxa"/>
          </w:tcPr>
          <w:p w:rsidR="00293489" w:rsidRPr="00EB507A" w:rsidRDefault="00293489">
            <w:pPr>
              <w:rPr>
                <w:b/>
                <w:szCs w:val="22"/>
              </w:rPr>
            </w:pPr>
            <w:r w:rsidRPr="00EB507A">
              <w:rPr>
                <w:b/>
                <w:szCs w:val="22"/>
              </w:rPr>
              <w:t>)</w:t>
            </w:r>
          </w:p>
          <w:p w:rsidR="00293489" w:rsidRPr="00EB507A" w:rsidRDefault="00293489">
            <w:pPr>
              <w:rPr>
                <w:b/>
                <w:szCs w:val="22"/>
              </w:rPr>
            </w:pPr>
            <w:r w:rsidRPr="00EB507A">
              <w:rPr>
                <w:b/>
                <w:szCs w:val="22"/>
              </w:rPr>
              <w:t>)</w:t>
            </w:r>
          </w:p>
          <w:p w:rsidR="00293489" w:rsidRPr="00EB507A" w:rsidRDefault="00293489">
            <w:pPr>
              <w:rPr>
                <w:b/>
                <w:szCs w:val="22"/>
              </w:rPr>
            </w:pPr>
            <w:r w:rsidRPr="00EB507A">
              <w:rPr>
                <w:b/>
                <w:szCs w:val="22"/>
              </w:rPr>
              <w:t>)</w:t>
            </w:r>
          </w:p>
          <w:p w:rsidR="00293489" w:rsidRPr="00EB507A" w:rsidRDefault="00293489">
            <w:pPr>
              <w:rPr>
                <w:b/>
                <w:szCs w:val="22"/>
              </w:rPr>
            </w:pPr>
            <w:r w:rsidRPr="00EB507A">
              <w:rPr>
                <w:b/>
                <w:szCs w:val="22"/>
              </w:rPr>
              <w:t>)</w:t>
            </w:r>
          </w:p>
          <w:p w:rsidR="00293489" w:rsidRPr="00EB507A" w:rsidRDefault="00293489">
            <w:pPr>
              <w:rPr>
                <w:b/>
                <w:szCs w:val="22"/>
              </w:rPr>
            </w:pPr>
            <w:r w:rsidRPr="00EB507A">
              <w:rPr>
                <w:b/>
                <w:szCs w:val="22"/>
              </w:rPr>
              <w:t>)</w:t>
            </w:r>
          </w:p>
          <w:p w:rsidR="00293489" w:rsidRPr="00EB507A" w:rsidRDefault="00293489">
            <w:pPr>
              <w:rPr>
                <w:b/>
                <w:szCs w:val="22"/>
              </w:rPr>
            </w:pPr>
            <w:r w:rsidRPr="00EB507A">
              <w:rPr>
                <w:b/>
                <w:szCs w:val="22"/>
              </w:rPr>
              <w:t>)</w:t>
            </w:r>
          </w:p>
          <w:p w:rsidR="00D95255" w:rsidRPr="00EB507A" w:rsidRDefault="00D95255">
            <w:pPr>
              <w:rPr>
                <w:b/>
                <w:szCs w:val="22"/>
              </w:rPr>
            </w:pPr>
            <w:r w:rsidRPr="00EB507A">
              <w:rPr>
                <w:b/>
                <w:szCs w:val="22"/>
              </w:rPr>
              <w:t>)</w:t>
            </w:r>
          </w:p>
          <w:p w:rsidR="00D95255" w:rsidRPr="00EB507A" w:rsidRDefault="00D95255">
            <w:pPr>
              <w:rPr>
                <w:b/>
                <w:szCs w:val="22"/>
              </w:rPr>
            </w:pPr>
            <w:r w:rsidRPr="00EB507A">
              <w:rPr>
                <w:b/>
                <w:szCs w:val="22"/>
              </w:rPr>
              <w:t>)</w:t>
            </w:r>
          </w:p>
          <w:p w:rsidR="00D95255" w:rsidRPr="00EB507A" w:rsidRDefault="00D95255">
            <w:pPr>
              <w:rPr>
                <w:b/>
                <w:szCs w:val="22"/>
              </w:rPr>
            </w:pPr>
            <w:r w:rsidRPr="00EB507A">
              <w:rPr>
                <w:b/>
                <w:szCs w:val="22"/>
              </w:rPr>
              <w:t>)</w:t>
            </w:r>
          </w:p>
          <w:p w:rsidR="00921601" w:rsidRPr="00EB507A" w:rsidRDefault="00D95255" w:rsidP="00276980">
            <w:pPr>
              <w:rPr>
                <w:b/>
                <w:szCs w:val="22"/>
              </w:rPr>
            </w:pPr>
            <w:r w:rsidRPr="00EB507A">
              <w:rPr>
                <w:b/>
                <w:szCs w:val="22"/>
              </w:rPr>
              <w:t>)</w:t>
            </w:r>
          </w:p>
          <w:p w:rsidR="00477293" w:rsidRPr="00EB507A" w:rsidRDefault="00477293" w:rsidP="00276980">
            <w:pPr>
              <w:rPr>
                <w:b/>
                <w:szCs w:val="22"/>
              </w:rPr>
            </w:pPr>
            <w:r w:rsidRPr="00EB507A">
              <w:rPr>
                <w:b/>
                <w:szCs w:val="22"/>
              </w:rPr>
              <w:t>)</w:t>
            </w:r>
          </w:p>
          <w:p w:rsidR="00477293" w:rsidRPr="00EB507A" w:rsidRDefault="00477293" w:rsidP="00276980">
            <w:pPr>
              <w:rPr>
                <w:b/>
                <w:szCs w:val="22"/>
              </w:rPr>
            </w:pPr>
            <w:r w:rsidRPr="00EB507A">
              <w:rPr>
                <w:b/>
                <w:szCs w:val="22"/>
              </w:rPr>
              <w:t>)</w:t>
            </w:r>
          </w:p>
          <w:p w:rsidR="00B25BBD" w:rsidRPr="00EB507A" w:rsidRDefault="00B25BBD" w:rsidP="00276980">
            <w:pPr>
              <w:rPr>
                <w:b/>
                <w:szCs w:val="22"/>
              </w:rPr>
            </w:pPr>
          </w:p>
        </w:tc>
        <w:tc>
          <w:tcPr>
            <w:tcW w:w="4230" w:type="dxa"/>
          </w:tcPr>
          <w:p w:rsidR="00293489" w:rsidRPr="00EB507A" w:rsidRDefault="00293489" w:rsidP="00BB2B5C">
            <w:pPr>
              <w:rPr>
                <w:szCs w:val="22"/>
              </w:rPr>
            </w:pPr>
          </w:p>
          <w:p w:rsidR="00BB2B5C" w:rsidRPr="00EB507A" w:rsidRDefault="00BB2B5C" w:rsidP="00BB2B5C">
            <w:pPr>
              <w:rPr>
                <w:szCs w:val="22"/>
              </w:rPr>
            </w:pPr>
          </w:p>
          <w:p w:rsidR="00BB2B5C" w:rsidRPr="00EB507A" w:rsidRDefault="007B6938" w:rsidP="00BB2B5C">
            <w:pPr>
              <w:rPr>
                <w:szCs w:val="22"/>
              </w:rPr>
            </w:pPr>
            <w:r w:rsidRPr="00EB507A">
              <w:rPr>
                <w:szCs w:val="22"/>
              </w:rPr>
              <w:t>File Nos. 0006590008, 0006591371, 0006591407</w:t>
            </w:r>
            <w:r w:rsidR="004F6013" w:rsidRPr="00EB507A">
              <w:rPr>
                <w:szCs w:val="22"/>
              </w:rPr>
              <w:t>,</w:t>
            </w:r>
            <w:r w:rsidRPr="00EB507A">
              <w:rPr>
                <w:szCs w:val="22"/>
              </w:rPr>
              <w:t xml:space="preserve"> 0006591411</w:t>
            </w:r>
            <w:r w:rsidR="004F6013" w:rsidRPr="00EB507A">
              <w:rPr>
                <w:szCs w:val="22"/>
              </w:rPr>
              <w:t xml:space="preserve">, 0006591789, 0006591792, 0006591797, 0006591802, </w:t>
            </w:r>
            <w:r w:rsidR="008B5CD9" w:rsidRPr="00EB507A">
              <w:rPr>
                <w:szCs w:val="22"/>
              </w:rPr>
              <w:t xml:space="preserve">0006595882, </w:t>
            </w:r>
            <w:r w:rsidR="004F6013" w:rsidRPr="00EB507A">
              <w:rPr>
                <w:szCs w:val="22"/>
              </w:rPr>
              <w:t>0006595960</w:t>
            </w:r>
            <w:r w:rsidR="008B5CD9" w:rsidRPr="00EB507A">
              <w:rPr>
                <w:szCs w:val="22"/>
              </w:rPr>
              <w:t>, 0006596057, 0006596073, 0006596254, 0006596258, 0006596264</w:t>
            </w:r>
            <w:r w:rsidR="0022508C" w:rsidRPr="00EB507A">
              <w:rPr>
                <w:szCs w:val="22"/>
              </w:rPr>
              <w:t xml:space="preserve"> and</w:t>
            </w:r>
            <w:r w:rsidR="008B5CD9" w:rsidRPr="00EB507A">
              <w:rPr>
                <w:szCs w:val="22"/>
              </w:rPr>
              <w:t xml:space="preserve"> 0006596268</w:t>
            </w:r>
          </w:p>
          <w:p w:rsidR="00923548" w:rsidRPr="00EB507A" w:rsidRDefault="00923548" w:rsidP="00BB2B5C">
            <w:pPr>
              <w:rPr>
                <w:szCs w:val="22"/>
              </w:rPr>
            </w:pPr>
          </w:p>
          <w:p w:rsidR="002B5D97" w:rsidRPr="00EB507A" w:rsidRDefault="002B5D97" w:rsidP="00BB2B5C">
            <w:pPr>
              <w:rPr>
                <w:szCs w:val="22"/>
              </w:rPr>
            </w:pPr>
            <w:r w:rsidRPr="00EB507A">
              <w:rPr>
                <w:szCs w:val="22"/>
              </w:rPr>
              <w:t>WT Docket No. 11-27</w:t>
            </w:r>
          </w:p>
        </w:tc>
      </w:tr>
    </w:tbl>
    <w:p w:rsidR="00293489" w:rsidRPr="00EB507A" w:rsidRDefault="008E114C">
      <w:pPr>
        <w:spacing w:before="120"/>
        <w:jc w:val="center"/>
        <w:rPr>
          <w:b/>
          <w:spacing w:val="-2"/>
          <w:szCs w:val="22"/>
        </w:rPr>
      </w:pPr>
      <w:r w:rsidRPr="00EB507A">
        <w:rPr>
          <w:b/>
          <w:spacing w:val="-2"/>
          <w:szCs w:val="22"/>
        </w:rPr>
        <w:t>ORDER</w:t>
      </w:r>
    </w:p>
    <w:p w:rsidR="00E52A31" w:rsidRPr="00EB507A" w:rsidRDefault="00E52A31">
      <w:pPr>
        <w:spacing w:before="120"/>
        <w:jc w:val="center"/>
        <w:rPr>
          <w:b/>
          <w:szCs w:val="22"/>
        </w:rPr>
      </w:pPr>
    </w:p>
    <w:p w:rsidR="00293489" w:rsidRPr="00EB507A" w:rsidRDefault="00293489">
      <w:pPr>
        <w:tabs>
          <w:tab w:val="left" w:pos="5760"/>
        </w:tabs>
        <w:rPr>
          <w:b/>
          <w:szCs w:val="22"/>
        </w:rPr>
      </w:pPr>
      <w:r w:rsidRPr="00EB507A">
        <w:rPr>
          <w:b/>
          <w:szCs w:val="22"/>
        </w:rPr>
        <w:t>A</w:t>
      </w:r>
      <w:r w:rsidR="00887B2C" w:rsidRPr="00EB507A">
        <w:rPr>
          <w:b/>
          <w:szCs w:val="22"/>
        </w:rPr>
        <w:t>dopted</w:t>
      </w:r>
      <w:r w:rsidRPr="00EB507A">
        <w:rPr>
          <w:b/>
          <w:szCs w:val="22"/>
        </w:rPr>
        <w:t xml:space="preserve">:  </w:t>
      </w:r>
      <w:r w:rsidR="00431888">
        <w:rPr>
          <w:b/>
          <w:szCs w:val="22"/>
        </w:rPr>
        <w:t xml:space="preserve">March </w:t>
      </w:r>
      <w:r w:rsidR="008C3D9D">
        <w:rPr>
          <w:b/>
          <w:szCs w:val="22"/>
        </w:rPr>
        <w:t>4</w:t>
      </w:r>
      <w:r w:rsidR="006C7CA2" w:rsidRPr="00EB507A">
        <w:rPr>
          <w:b/>
          <w:szCs w:val="22"/>
        </w:rPr>
        <w:t xml:space="preserve">, 2015 </w:t>
      </w:r>
      <w:r w:rsidRPr="00EB507A">
        <w:rPr>
          <w:b/>
          <w:szCs w:val="22"/>
        </w:rPr>
        <w:tab/>
      </w:r>
      <w:r w:rsidR="000C18AF">
        <w:rPr>
          <w:b/>
          <w:szCs w:val="22"/>
        </w:rPr>
        <w:t xml:space="preserve">                      </w:t>
      </w:r>
      <w:r w:rsidRPr="00EB507A">
        <w:rPr>
          <w:b/>
          <w:szCs w:val="22"/>
        </w:rPr>
        <w:t>R</w:t>
      </w:r>
      <w:r w:rsidR="00887B2C" w:rsidRPr="00EB507A">
        <w:rPr>
          <w:b/>
          <w:szCs w:val="22"/>
        </w:rPr>
        <w:t>eleased</w:t>
      </w:r>
      <w:r w:rsidRPr="00EB507A">
        <w:rPr>
          <w:b/>
          <w:szCs w:val="22"/>
        </w:rPr>
        <w:t xml:space="preserve">:  </w:t>
      </w:r>
      <w:r w:rsidR="00431888">
        <w:rPr>
          <w:b/>
          <w:szCs w:val="22"/>
        </w:rPr>
        <w:t xml:space="preserve">March </w:t>
      </w:r>
      <w:r w:rsidR="008C3D9D">
        <w:rPr>
          <w:b/>
          <w:szCs w:val="22"/>
        </w:rPr>
        <w:t>4</w:t>
      </w:r>
      <w:r w:rsidR="006C7CA2" w:rsidRPr="00EB507A">
        <w:rPr>
          <w:b/>
          <w:szCs w:val="22"/>
        </w:rPr>
        <w:t>, 2015</w:t>
      </w:r>
    </w:p>
    <w:p w:rsidR="00293489" w:rsidRPr="00EB507A" w:rsidRDefault="00293489">
      <w:pPr>
        <w:tabs>
          <w:tab w:val="left" w:pos="5760"/>
        </w:tabs>
        <w:rPr>
          <w:b/>
          <w:szCs w:val="22"/>
        </w:rPr>
      </w:pPr>
    </w:p>
    <w:p w:rsidR="008E114C" w:rsidRPr="00EB507A" w:rsidRDefault="008E114C" w:rsidP="00850741">
      <w:pPr>
        <w:tabs>
          <w:tab w:val="left" w:pos="5760"/>
        </w:tabs>
        <w:rPr>
          <w:szCs w:val="22"/>
        </w:rPr>
      </w:pPr>
      <w:r w:rsidRPr="00EB507A">
        <w:rPr>
          <w:szCs w:val="22"/>
        </w:rPr>
        <w:t>By the Deputy Chief, Mobility Division, Wireless Telecommunications Bureau:</w:t>
      </w:r>
    </w:p>
    <w:p w:rsidR="00850741" w:rsidRPr="00EB507A" w:rsidRDefault="00850741" w:rsidP="00850741">
      <w:pPr>
        <w:tabs>
          <w:tab w:val="left" w:pos="5760"/>
        </w:tabs>
        <w:rPr>
          <w:szCs w:val="22"/>
        </w:rPr>
      </w:pPr>
    </w:p>
    <w:p w:rsidR="00A105EC" w:rsidRPr="00EB507A" w:rsidRDefault="00A105EC" w:rsidP="00A105EC">
      <w:pPr>
        <w:pStyle w:val="Heading1"/>
        <w:rPr>
          <w:szCs w:val="22"/>
        </w:rPr>
      </w:pPr>
      <w:r w:rsidRPr="00EB507A">
        <w:rPr>
          <w:szCs w:val="22"/>
        </w:rPr>
        <w:t>Introduction</w:t>
      </w:r>
    </w:p>
    <w:p w:rsidR="002F24D3" w:rsidRPr="00EB507A" w:rsidRDefault="000C0344" w:rsidP="002F24D3">
      <w:pPr>
        <w:pStyle w:val="ParaNum"/>
        <w:jc w:val="left"/>
        <w:rPr>
          <w:szCs w:val="22"/>
        </w:rPr>
      </w:pPr>
      <w:r w:rsidRPr="00EB507A">
        <w:rPr>
          <w:szCs w:val="22"/>
        </w:rPr>
        <w:t xml:space="preserve">In this Order, we </w:t>
      </w:r>
      <w:r w:rsidR="0097418D" w:rsidRPr="00EB507A">
        <w:rPr>
          <w:szCs w:val="22"/>
        </w:rPr>
        <w:t xml:space="preserve">approve </w:t>
      </w:r>
      <w:r w:rsidRPr="00EB507A">
        <w:rPr>
          <w:szCs w:val="22"/>
        </w:rPr>
        <w:t>an assignment and lease of spectrum</w:t>
      </w:r>
      <w:r w:rsidR="001865F6" w:rsidRPr="00EB507A">
        <w:rPr>
          <w:szCs w:val="22"/>
        </w:rPr>
        <w:t xml:space="preserve"> and grant </w:t>
      </w:r>
      <w:r w:rsidR="00053609" w:rsidRPr="00EB507A">
        <w:rPr>
          <w:szCs w:val="22"/>
        </w:rPr>
        <w:t xml:space="preserve">a </w:t>
      </w:r>
      <w:r w:rsidR="001865F6" w:rsidRPr="00EB507A">
        <w:rPr>
          <w:szCs w:val="22"/>
        </w:rPr>
        <w:t>related request for waiver</w:t>
      </w:r>
      <w:r w:rsidR="0097418D" w:rsidRPr="00EB507A">
        <w:rPr>
          <w:szCs w:val="22"/>
        </w:rPr>
        <w:t xml:space="preserve">, which </w:t>
      </w:r>
      <w:r w:rsidR="001E5718" w:rsidRPr="00EB507A">
        <w:rPr>
          <w:szCs w:val="22"/>
        </w:rPr>
        <w:t xml:space="preserve">will </w:t>
      </w:r>
      <w:r w:rsidR="0097418D" w:rsidRPr="00EB507A">
        <w:rPr>
          <w:szCs w:val="22"/>
        </w:rPr>
        <w:t>enable the National Railroad Passenger Corporation (</w:t>
      </w:r>
      <w:r w:rsidR="001C1665" w:rsidRPr="00EB507A">
        <w:rPr>
          <w:szCs w:val="22"/>
        </w:rPr>
        <w:t xml:space="preserve">d/b/a </w:t>
      </w:r>
      <w:r w:rsidR="0097418D" w:rsidRPr="00EB507A">
        <w:rPr>
          <w:szCs w:val="22"/>
        </w:rPr>
        <w:t xml:space="preserve">Amtrak) </w:t>
      </w:r>
      <w:r w:rsidR="00947AEF" w:rsidRPr="00EB507A">
        <w:rPr>
          <w:szCs w:val="22"/>
        </w:rPr>
        <w:t xml:space="preserve">to </w:t>
      </w:r>
      <w:r w:rsidR="007B07D3" w:rsidRPr="00EB507A">
        <w:rPr>
          <w:szCs w:val="22"/>
        </w:rPr>
        <w:t xml:space="preserve">deploy </w:t>
      </w:r>
      <w:r w:rsidRPr="00EB507A">
        <w:rPr>
          <w:szCs w:val="22"/>
        </w:rPr>
        <w:t>a</w:t>
      </w:r>
      <w:r w:rsidR="001C1665" w:rsidRPr="00EB507A">
        <w:rPr>
          <w:szCs w:val="22"/>
        </w:rPr>
        <w:t xml:space="preserve"> </w:t>
      </w:r>
      <w:r w:rsidRPr="00EB507A">
        <w:rPr>
          <w:szCs w:val="22"/>
        </w:rPr>
        <w:t xml:space="preserve"> positive train control (PTC) system</w:t>
      </w:r>
      <w:r w:rsidR="003F36DD" w:rsidRPr="00EB507A">
        <w:rPr>
          <w:szCs w:val="22"/>
        </w:rPr>
        <w:t xml:space="preserve"> as required by the Rail Safety Improvement Act of 2008 (RSIA </w:t>
      </w:r>
      <w:r w:rsidR="001C1665" w:rsidRPr="00EB507A">
        <w:rPr>
          <w:szCs w:val="22"/>
        </w:rPr>
        <w:t xml:space="preserve">of </w:t>
      </w:r>
      <w:r w:rsidR="003F36DD" w:rsidRPr="00EB507A">
        <w:rPr>
          <w:szCs w:val="22"/>
        </w:rPr>
        <w:t>2008).</w:t>
      </w:r>
      <w:r w:rsidR="003F36DD" w:rsidRPr="00EB507A">
        <w:rPr>
          <w:szCs w:val="22"/>
          <w:vertAlign w:val="superscript"/>
        </w:rPr>
        <w:footnoteReference w:id="2"/>
      </w:r>
      <w:r w:rsidR="003F36DD" w:rsidRPr="00EB507A">
        <w:rPr>
          <w:szCs w:val="22"/>
        </w:rPr>
        <w:t xml:space="preserve">  Together, the assignment and lease transactions will provide Amtrak critical spectrum coverage of an 18-mile</w:t>
      </w:r>
      <w:r w:rsidR="00A34647">
        <w:rPr>
          <w:szCs w:val="22"/>
        </w:rPr>
        <w:t xml:space="preserve"> </w:t>
      </w:r>
      <w:r w:rsidR="003F36DD" w:rsidRPr="00EB507A">
        <w:rPr>
          <w:szCs w:val="22"/>
        </w:rPr>
        <w:t xml:space="preserve">wide corridor that runs nine miles on each side of </w:t>
      </w:r>
      <w:r w:rsidR="001C1665" w:rsidRPr="00EB507A">
        <w:rPr>
          <w:szCs w:val="22"/>
        </w:rPr>
        <w:t xml:space="preserve">Amtrak’s </w:t>
      </w:r>
      <w:r w:rsidR="003F36DD" w:rsidRPr="00EB507A">
        <w:rPr>
          <w:szCs w:val="22"/>
        </w:rPr>
        <w:t xml:space="preserve">rail lines from </w:t>
      </w:r>
      <w:r w:rsidR="0097418D" w:rsidRPr="00EB507A">
        <w:rPr>
          <w:szCs w:val="22"/>
        </w:rPr>
        <w:t>New York City to Washington, D.C., from New York City to Albany, New York, and from Philadelphia to Harrisburg, Pennsylvania.</w:t>
      </w:r>
      <w:r w:rsidR="00750D95" w:rsidRPr="00EB507A">
        <w:rPr>
          <w:rStyle w:val="FootnoteReference"/>
          <w:szCs w:val="22"/>
        </w:rPr>
        <w:footnoteReference w:id="3"/>
      </w:r>
    </w:p>
    <w:p w:rsidR="00A105EC" w:rsidRPr="00EB507A" w:rsidRDefault="00A105EC" w:rsidP="00A105EC">
      <w:pPr>
        <w:pStyle w:val="Heading1"/>
        <w:rPr>
          <w:szCs w:val="22"/>
        </w:rPr>
      </w:pPr>
      <w:r w:rsidRPr="00EB507A">
        <w:rPr>
          <w:szCs w:val="22"/>
        </w:rPr>
        <w:t>Background</w:t>
      </w:r>
    </w:p>
    <w:p w:rsidR="0029462D" w:rsidRPr="00EB507A" w:rsidRDefault="00D3029E" w:rsidP="00CC2C47">
      <w:pPr>
        <w:pStyle w:val="ParaNum"/>
        <w:jc w:val="left"/>
        <w:rPr>
          <w:szCs w:val="22"/>
        </w:rPr>
      </w:pPr>
      <w:r w:rsidRPr="00EB507A">
        <w:rPr>
          <w:szCs w:val="22"/>
        </w:rPr>
        <w:t>I</w:t>
      </w:r>
      <w:r w:rsidR="000C0344" w:rsidRPr="00EB507A">
        <w:rPr>
          <w:szCs w:val="22"/>
        </w:rPr>
        <w:t xml:space="preserve">n </w:t>
      </w:r>
      <w:r w:rsidR="009421EA" w:rsidRPr="00EB507A">
        <w:rPr>
          <w:szCs w:val="22"/>
        </w:rPr>
        <w:t xml:space="preserve">December 2014, </w:t>
      </w:r>
      <w:r w:rsidR="004F6013" w:rsidRPr="00EB507A">
        <w:rPr>
          <w:szCs w:val="22"/>
        </w:rPr>
        <w:t xml:space="preserve">Environmentel LLC and Skybridge Spectrum Foundation </w:t>
      </w:r>
      <w:r w:rsidR="00CA6CB1" w:rsidRPr="00EB507A">
        <w:rPr>
          <w:szCs w:val="22"/>
        </w:rPr>
        <w:t>(collectively, the Assignor</w:t>
      </w:r>
      <w:r w:rsidR="00477293" w:rsidRPr="00EB507A">
        <w:rPr>
          <w:szCs w:val="22"/>
        </w:rPr>
        <w:t>s</w:t>
      </w:r>
      <w:r w:rsidR="00CA6CB1" w:rsidRPr="00EB507A">
        <w:rPr>
          <w:szCs w:val="22"/>
        </w:rPr>
        <w:t xml:space="preserve">) </w:t>
      </w:r>
      <w:r w:rsidR="007B6938" w:rsidRPr="00EB507A">
        <w:rPr>
          <w:szCs w:val="22"/>
        </w:rPr>
        <w:t xml:space="preserve">filed the above-captioned applications seeking to assign </w:t>
      </w:r>
      <w:r w:rsidR="004F6013" w:rsidRPr="00EB507A">
        <w:rPr>
          <w:szCs w:val="22"/>
        </w:rPr>
        <w:t>portions,</w:t>
      </w:r>
      <w:r w:rsidR="004F6013" w:rsidRPr="00EB507A">
        <w:rPr>
          <w:szCs w:val="22"/>
          <w:vertAlign w:val="superscript"/>
        </w:rPr>
        <w:footnoteReference w:id="4"/>
      </w:r>
      <w:r w:rsidR="004F6013" w:rsidRPr="00EB507A">
        <w:rPr>
          <w:szCs w:val="22"/>
        </w:rPr>
        <w:t xml:space="preserve"> and lease other portions,</w:t>
      </w:r>
      <w:r w:rsidR="004F6013" w:rsidRPr="00EB507A">
        <w:rPr>
          <w:rStyle w:val="FootnoteReference"/>
          <w:szCs w:val="22"/>
        </w:rPr>
        <w:footnoteReference w:id="5"/>
      </w:r>
      <w:r w:rsidR="004F6013" w:rsidRPr="00EB507A">
        <w:rPr>
          <w:szCs w:val="22"/>
        </w:rPr>
        <w:t xml:space="preserve"> of the </w:t>
      </w:r>
      <w:r w:rsidR="007B6938" w:rsidRPr="00EB507A">
        <w:rPr>
          <w:szCs w:val="22"/>
        </w:rPr>
        <w:t xml:space="preserve">geographic licenses for </w:t>
      </w:r>
      <w:r w:rsidR="0097418D" w:rsidRPr="00EB507A">
        <w:rPr>
          <w:szCs w:val="22"/>
        </w:rPr>
        <w:t xml:space="preserve">Automated Maritime Telecommunications System (AMTS) </w:t>
      </w:r>
      <w:r w:rsidR="007B6938" w:rsidRPr="00EB507A">
        <w:rPr>
          <w:szCs w:val="22"/>
        </w:rPr>
        <w:t>Stations WQCP801, WQID629, WQCP811 and WQJW652</w:t>
      </w:r>
      <w:r w:rsidR="004F6013" w:rsidRPr="00EB507A">
        <w:rPr>
          <w:szCs w:val="22"/>
        </w:rPr>
        <w:t xml:space="preserve"> to Amtrak</w:t>
      </w:r>
      <w:r w:rsidR="007B6938" w:rsidRPr="00EB507A">
        <w:rPr>
          <w:szCs w:val="22"/>
        </w:rPr>
        <w:t xml:space="preserve">.  </w:t>
      </w:r>
      <w:r w:rsidR="004F6013" w:rsidRPr="00EB507A">
        <w:rPr>
          <w:szCs w:val="22"/>
        </w:rPr>
        <w:t xml:space="preserve">In conjunction with </w:t>
      </w:r>
      <w:r w:rsidR="00710C41" w:rsidRPr="00EB507A">
        <w:rPr>
          <w:szCs w:val="22"/>
        </w:rPr>
        <w:t>each</w:t>
      </w:r>
      <w:r w:rsidR="004F6013" w:rsidRPr="00EB507A">
        <w:rPr>
          <w:szCs w:val="22"/>
        </w:rPr>
        <w:t xml:space="preserve"> </w:t>
      </w:r>
      <w:r w:rsidR="004F6013" w:rsidRPr="00EB507A">
        <w:rPr>
          <w:szCs w:val="22"/>
        </w:rPr>
        <w:lastRenderedPageBreak/>
        <w:t xml:space="preserve">application, </w:t>
      </w:r>
      <w:r w:rsidR="007B6938" w:rsidRPr="00EB507A">
        <w:rPr>
          <w:szCs w:val="22"/>
        </w:rPr>
        <w:t xml:space="preserve">Amtrak </w:t>
      </w:r>
      <w:r w:rsidR="0094497C" w:rsidRPr="00EB507A">
        <w:rPr>
          <w:szCs w:val="22"/>
        </w:rPr>
        <w:t>filed a</w:t>
      </w:r>
      <w:r w:rsidR="00E17ECE">
        <w:rPr>
          <w:szCs w:val="22"/>
        </w:rPr>
        <w:t>n</w:t>
      </w:r>
      <w:r w:rsidR="00D7151C">
        <w:rPr>
          <w:szCs w:val="22"/>
        </w:rPr>
        <w:t xml:space="preserve"> </w:t>
      </w:r>
      <w:r w:rsidR="00E17ECE">
        <w:rPr>
          <w:szCs w:val="22"/>
        </w:rPr>
        <w:t>essentially</w:t>
      </w:r>
      <w:r w:rsidR="00D7151C">
        <w:rPr>
          <w:szCs w:val="22"/>
        </w:rPr>
        <w:t xml:space="preserve"> </w:t>
      </w:r>
      <w:r w:rsidR="00710C41" w:rsidRPr="00EB507A">
        <w:rPr>
          <w:szCs w:val="22"/>
        </w:rPr>
        <w:t xml:space="preserve">identical </w:t>
      </w:r>
      <w:r w:rsidR="0094497C" w:rsidRPr="00EB507A">
        <w:rPr>
          <w:szCs w:val="22"/>
        </w:rPr>
        <w:t xml:space="preserve">request for </w:t>
      </w:r>
      <w:r w:rsidR="007B6938" w:rsidRPr="00EB507A">
        <w:rPr>
          <w:szCs w:val="22"/>
        </w:rPr>
        <w:t xml:space="preserve">waiver of certain Part 80 rules </w:t>
      </w:r>
      <w:r w:rsidR="00710C41" w:rsidRPr="00EB507A">
        <w:rPr>
          <w:szCs w:val="22"/>
        </w:rPr>
        <w:t xml:space="preserve">(2014 Waiver Request) </w:t>
      </w:r>
      <w:r w:rsidR="007B6938" w:rsidRPr="00EB507A">
        <w:rPr>
          <w:szCs w:val="22"/>
        </w:rPr>
        <w:t xml:space="preserve">to allow it to </w:t>
      </w:r>
      <w:r w:rsidR="008803FC" w:rsidRPr="00EB507A">
        <w:rPr>
          <w:szCs w:val="22"/>
        </w:rPr>
        <w:t xml:space="preserve">implement </w:t>
      </w:r>
      <w:r w:rsidR="001E5718" w:rsidRPr="00EB507A">
        <w:rPr>
          <w:szCs w:val="22"/>
        </w:rPr>
        <w:t xml:space="preserve">its </w:t>
      </w:r>
      <w:r w:rsidR="000C0344" w:rsidRPr="00EB507A">
        <w:rPr>
          <w:szCs w:val="22"/>
        </w:rPr>
        <w:t>PTC system</w:t>
      </w:r>
      <w:r w:rsidR="001865F6" w:rsidRPr="00EB507A">
        <w:rPr>
          <w:szCs w:val="22"/>
        </w:rPr>
        <w:t>, called an Advanced Civil Speed Enforcement System (ACSES)</w:t>
      </w:r>
      <w:r w:rsidR="007B6938" w:rsidRPr="00EB507A">
        <w:rPr>
          <w:szCs w:val="22"/>
        </w:rPr>
        <w:t>.</w:t>
      </w:r>
      <w:r w:rsidR="00D95255" w:rsidRPr="00EB507A">
        <w:rPr>
          <w:szCs w:val="22"/>
        </w:rPr>
        <w:t xml:space="preserve">  </w:t>
      </w:r>
      <w:r w:rsidR="0094497C" w:rsidRPr="00EB507A">
        <w:rPr>
          <w:szCs w:val="22"/>
        </w:rPr>
        <w:t xml:space="preserve">Amtrak amended the </w:t>
      </w:r>
      <w:r w:rsidR="00182341" w:rsidRPr="00EB507A">
        <w:rPr>
          <w:szCs w:val="22"/>
        </w:rPr>
        <w:t>2014 W</w:t>
      </w:r>
      <w:r w:rsidR="0094497C" w:rsidRPr="00EB507A">
        <w:rPr>
          <w:szCs w:val="22"/>
        </w:rPr>
        <w:t xml:space="preserve">aiver </w:t>
      </w:r>
      <w:r w:rsidR="00182341" w:rsidRPr="00EB507A">
        <w:rPr>
          <w:szCs w:val="22"/>
        </w:rPr>
        <w:t>R</w:t>
      </w:r>
      <w:r w:rsidR="0094497C" w:rsidRPr="00EB507A">
        <w:rPr>
          <w:szCs w:val="22"/>
        </w:rPr>
        <w:t xml:space="preserve">equest </w:t>
      </w:r>
      <w:r w:rsidR="008C3D9D">
        <w:rPr>
          <w:szCs w:val="22"/>
        </w:rPr>
        <w:t xml:space="preserve">for all of its applications </w:t>
      </w:r>
      <w:r w:rsidR="0094497C" w:rsidRPr="00EB507A">
        <w:rPr>
          <w:szCs w:val="22"/>
        </w:rPr>
        <w:t>on February 25, 2015</w:t>
      </w:r>
      <w:r w:rsidR="008C3D9D">
        <w:rPr>
          <w:szCs w:val="22"/>
        </w:rPr>
        <w:t>, and amended five applications on March 2, 2015 to more precisely define the geographic spectrum corridor</w:t>
      </w:r>
      <w:r w:rsidR="0094497C" w:rsidRPr="00EB507A">
        <w:rPr>
          <w:szCs w:val="22"/>
        </w:rPr>
        <w:t>.</w:t>
      </w:r>
      <w:r w:rsidR="008C3D9D">
        <w:rPr>
          <w:rStyle w:val="FootnoteReference"/>
          <w:szCs w:val="22"/>
        </w:rPr>
        <w:footnoteReference w:id="6"/>
      </w:r>
      <w:r w:rsidR="0094497C" w:rsidRPr="00EB507A">
        <w:rPr>
          <w:szCs w:val="22"/>
        </w:rPr>
        <w:t xml:space="preserve">  </w:t>
      </w:r>
    </w:p>
    <w:p w:rsidR="00CB242C" w:rsidRPr="00EB507A" w:rsidRDefault="00991984" w:rsidP="00CC2C47">
      <w:pPr>
        <w:pStyle w:val="ParaNum"/>
        <w:jc w:val="left"/>
        <w:rPr>
          <w:szCs w:val="22"/>
        </w:rPr>
      </w:pPr>
      <w:r w:rsidRPr="00EB507A">
        <w:rPr>
          <w:szCs w:val="22"/>
        </w:rPr>
        <w:t>The AMTS service originally was intended to authorize specialized systems of coast stations providing integrated and interconnected marine voice and data communications.</w:t>
      </w:r>
      <w:r w:rsidRPr="00EB507A">
        <w:rPr>
          <w:szCs w:val="22"/>
          <w:vertAlign w:val="superscript"/>
        </w:rPr>
        <w:footnoteReference w:id="7"/>
      </w:r>
      <w:r w:rsidRPr="00EB507A">
        <w:rPr>
          <w:szCs w:val="22"/>
        </w:rPr>
        <w:t xml:space="preserve">  In 1997, the Commission amended its rules to permit AMTS licensees to provide commercial service to fixed and mobile units on land, under certain conditions.</w:t>
      </w:r>
      <w:r w:rsidRPr="00EB507A">
        <w:rPr>
          <w:szCs w:val="22"/>
          <w:vertAlign w:val="superscript"/>
        </w:rPr>
        <w:footnoteReference w:id="8"/>
      </w:r>
      <w:r w:rsidRPr="00EB507A">
        <w:rPr>
          <w:szCs w:val="22"/>
        </w:rPr>
        <w:t xml:space="preserve">  In 2007, the Commission amended its rules to permit AMTS licensees to provide private mobile radio service, as well as commercial service, to units on land.</w:t>
      </w:r>
      <w:r w:rsidRPr="00EB507A">
        <w:rPr>
          <w:szCs w:val="22"/>
          <w:vertAlign w:val="superscript"/>
        </w:rPr>
        <w:footnoteReference w:id="9"/>
      </w:r>
      <w:r w:rsidR="00CB242C" w:rsidRPr="00EB507A">
        <w:rPr>
          <w:szCs w:val="22"/>
        </w:rPr>
        <w:t xml:space="preserve"> </w:t>
      </w:r>
    </w:p>
    <w:p w:rsidR="00E81107" w:rsidRPr="00EB507A" w:rsidRDefault="00D3029E" w:rsidP="00CC2C47">
      <w:pPr>
        <w:pStyle w:val="ParaNum"/>
        <w:jc w:val="left"/>
        <w:rPr>
          <w:szCs w:val="22"/>
        </w:rPr>
      </w:pPr>
      <w:r w:rsidRPr="00EB507A">
        <w:rPr>
          <w:szCs w:val="22"/>
        </w:rPr>
        <w:t xml:space="preserve">Pursuant to </w:t>
      </w:r>
      <w:r w:rsidR="00467C88" w:rsidRPr="00EB507A">
        <w:rPr>
          <w:szCs w:val="22"/>
        </w:rPr>
        <w:t>the R</w:t>
      </w:r>
      <w:r w:rsidR="00053609" w:rsidRPr="00EB507A">
        <w:rPr>
          <w:szCs w:val="22"/>
        </w:rPr>
        <w:t xml:space="preserve">SIA of </w:t>
      </w:r>
      <w:r w:rsidR="00467C88" w:rsidRPr="00EB507A">
        <w:rPr>
          <w:szCs w:val="22"/>
        </w:rPr>
        <w:t>2008</w:t>
      </w:r>
      <w:r w:rsidR="00C42C0C">
        <w:rPr>
          <w:szCs w:val="22"/>
        </w:rPr>
        <w:t>,</w:t>
      </w:r>
      <w:r w:rsidR="00467C88" w:rsidRPr="00EB507A">
        <w:rPr>
          <w:szCs w:val="22"/>
          <w:vertAlign w:val="superscript"/>
        </w:rPr>
        <w:footnoteReference w:id="10"/>
      </w:r>
      <w:r w:rsidR="00467C88" w:rsidRPr="00EB507A">
        <w:rPr>
          <w:szCs w:val="22"/>
        </w:rPr>
        <w:t xml:space="preserve"> </w:t>
      </w:r>
      <w:r w:rsidRPr="00EB507A">
        <w:rPr>
          <w:szCs w:val="22"/>
        </w:rPr>
        <w:t xml:space="preserve">Amtrak </w:t>
      </w:r>
      <w:r w:rsidR="00467C88" w:rsidRPr="00EB507A">
        <w:rPr>
          <w:szCs w:val="22"/>
        </w:rPr>
        <w:t xml:space="preserve">is required, along with certain other </w:t>
      </w:r>
      <w:r w:rsidRPr="00EB507A">
        <w:rPr>
          <w:szCs w:val="22"/>
        </w:rPr>
        <w:t>commuter and freight railroads</w:t>
      </w:r>
      <w:r w:rsidR="00467C88" w:rsidRPr="00EB507A">
        <w:rPr>
          <w:szCs w:val="22"/>
        </w:rPr>
        <w:t xml:space="preserve">, to deploy interoperable PTC systems by December </w:t>
      </w:r>
      <w:r w:rsidR="00DD25BE" w:rsidRPr="00EB507A">
        <w:rPr>
          <w:szCs w:val="22"/>
        </w:rPr>
        <w:t>3</w:t>
      </w:r>
      <w:r w:rsidR="00467C88" w:rsidRPr="00EB507A">
        <w:rPr>
          <w:szCs w:val="22"/>
        </w:rPr>
        <w:t xml:space="preserve">1, 2015.  </w:t>
      </w:r>
      <w:r w:rsidR="00E872D5" w:rsidRPr="00EB507A">
        <w:rPr>
          <w:szCs w:val="22"/>
        </w:rPr>
        <w:t xml:space="preserve">Once implemented, PTC systems </w:t>
      </w:r>
      <w:r w:rsidR="006A683A" w:rsidRPr="00EB507A">
        <w:rPr>
          <w:szCs w:val="22"/>
        </w:rPr>
        <w:t xml:space="preserve">are designed to </w:t>
      </w:r>
      <w:r w:rsidR="00E872D5" w:rsidRPr="00EB507A">
        <w:rPr>
          <w:szCs w:val="22"/>
        </w:rPr>
        <w:t xml:space="preserve">reduce the risk of rail accidents caused by human error, including train-to-train collisions, derailments caused by excessive speed, and unauthorized train movements in work zones.  PTC wireless communications networks </w:t>
      </w:r>
      <w:r w:rsidR="006A683A" w:rsidRPr="00EB507A">
        <w:rPr>
          <w:szCs w:val="22"/>
        </w:rPr>
        <w:t xml:space="preserve">are intended to </w:t>
      </w:r>
      <w:r w:rsidR="00E872D5" w:rsidRPr="00EB507A">
        <w:rPr>
          <w:szCs w:val="22"/>
        </w:rPr>
        <w:t>enable real-time information sharing between trains, rail wayside devices, and control centers, regarding train movement authorities, speed restrictions, train consist, position, and speed, and the state of signal and switch devices.</w:t>
      </w:r>
    </w:p>
    <w:p w:rsidR="00477293" w:rsidRPr="00EB507A" w:rsidRDefault="006D4923" w:rsidP="0077162D">
      <w:pPr>
        <w:pStyle w:val="ParaNum"/>
        <w:jc w:val="left"/>
        <w:rPr>
          <w:szCs w:val="22"/>
        </w:rPr>
      </w:pPr>
      <w:r w:rsidRPr="00EB507A">
        <w:rPr>
          <w:szCs w:val="22"/>
        </w:rPr>
        <w:t>T</w:t>
      </w:r>
      <w:r w:rsidR="00467C88" w:rsidRPr="00EB507A">
        <w:rPr>
          <w:szCs w:val="22"/>
        </w:rPr>
        <w:t xml:space="preserve">he </w:t>
      </w:r>
      <w:r w:rsidR="0013700A" w:rsidRPr="00EB507A">
        <w:rPr>
          <w:szCs w:val="22"/>
        </w:rPr>
        <w:t xml:space="preserve">nation’s freight railroads have </w:t>
      </w:r>
      <w:r w:rsidR="00053609" w:rsidRPr="00EB507A">
        <w:rPr>
          <w:szCs w:val="22"/>
        </w:rPr>
        <w:t xml:space="preserve">acquired </w:t>
      </w:r>
      <w:r w:rsidR="0013700A" w:rsidRPr="00EB507A">
        <w:rPr>
          <w:szCs w:val="22"/>
        </w:rPr>
        <w:t xml:space="preserve">substantial </w:t>
      </w:r>
      <w:r w:rsidR="00053609" w:rsidRPr="00EB507A">
        <w:rPr>
          <w:szCs w:val="22"/>
        </w:rPr>
        <w:t xml:space="preserve">spectrum in </w:t>
      </w:r>
      <w:r w:rsidR="00BC6413" w:rsidRPr="00EB507A">
        <w:rPr>
          <w:szCs w:val="22"/>
        </w:rPr>
        <w:t xml:space="preserve">the </w:t>
      </w:r>
      <w:r w:rsidR="0013700A" w:rsidRPr="00EB507A">
        <w:rPr>
          <w:szCs w:val="22"/>
        </w:rPr>
        <w:t>220</w:t>
      </w:r>
      <w:r w:rsidR="00053609" w:rsidRPr="00EB507A">
        <w:rPr>
          <w:szCs w:val="22"/>
        </w:rPr>
        <w:t xml:space="preserve"> </w:t>
      </w:r>
      <w:r w:rsidR="0013700A" w:rsidRPr="00EB507A">
        <w:rPr>
          <w:szCs w:val="22"/>
        </w:rPr>
        <w:t xml:space="preserve">MHz band </w:t>
      </w:r>
      <w:r w:rsidR="00BC6413" w:rsidRPr="00EB507A">
        <w:rPr>
          <w:szCs w:val="22"/>
        </w:rPr>
        <w:t xml:space="preserve">(220 – 222 MHz) </w:t>
      </w:r>
      <w:r w:rsidR="00467C88" w:rsidRPr="00EB507A">
        <w:rPr>
          <w:szCs w:val="22"/>
        </w:rPr>
        <w:t>to implement PTC systems</w:t>
      </w:r>
      <w:r w:rsidR="0077162D" w:rsidRPr="00EB507A">
        <w:rPr>
          <w:szCs w:val="22"/>
        </w:rPr>
        <w:t>.</w:t>
      </w:r>
      <w:r w:rsidR="00467C88" w:rsidRPr="00EB507A">
        <w:rPr>
          <w:szCs w:val="22"/>
          <w:vertAlign w:val="superscript"/>
        </w:rPr>
        <w:footnoteReference w:id="11"/>
      </w:r>
      <w:r w:rsidR="00467C88" w:rsidRPr="00EB507A">
        <w:rPr>
          <w:szCs w:val="22"/>
        </w:rPr>
        <w:t xml:space="preserve">  Because Amtrak </w:t>
      </w:r>
      <w:r w:rsidR="00E872D5" w:rsidRPr="00EB507A">
        <w:rPr>
          <w:szCs w:val="22"/>
        </w:rPr>
        <w:t xml:space="preserve">shares track with and </w:t>
      </w:r>
      <w:r w:rsidR="00467C88" w:rsidRPr="00EB507A">
        <w:rPr>
          <w:szCs w:val="22"/>
        </w:rPr>
        <w:t xml:space="preserve">operates on tracks </w:t>
      </w:r>
      <w:r w:rsidR="00D3029E" w:rsidRPr="00EB507A">
        <w:rPr>
          <w:szCs w:val="22"/>
        </w:rPr>
        <w:t xml:space="preserve">nearby </w:t>
      </w:r>
      <w:r w:rsidR="00467C88" w:rsidRPr="00EB507A">
        <w:rPr>
          <w:szCs w:val="22"/>
        </w:rPr>
        <w:t>freight rail</w:t>
      </w:r>
      <w:r w:rsidR="00E872D5" w:rsidRPr="00EB507A">
        <w:rPr>
          <w:szCs w:val="22"/>
        </w:rPr>
        <w:t xml:space="preserve"> lines</w:t>
      </w:r>
      <w:r w:rsidR="00467C88" w:rsidRPr="00EB507A">
        <w:rPr>
          <w:szCs w:val="22"/>
        </w:rPr>
        <w:t xml:space="preserve">, </w:t>
      </w:r>
      <w:r w:rsidR="00E872D5" w:rsidRPr="00EB507A">
        <w:rPr>
          <w:szCs w:val="22"/>
        </w:rPr>
        <w:t xml:space="preserve">it </w:t>
      </w:r>
      <w:r w:rsidR="00467C88" w:rsidRPr="00EB507A">
        <w:rPr>
          <w:szCs w:val="22"/>
        </w:rPr>
        <w:t xml:space="preserve">seeks spectrum as close to the 220 MHz band as possible to ensure that its own </w:t>
      </w:r>
      <w:r w:rsidR="008803FC" w:rsidRPr="00EB507A">
        <w:rPr>
          <w:szCs w:val="22"/>
        </w:rPr>
        <w:t>PTC</w:t>
      </w:r>
      <w:r w:rsidR="00467C88" w:rsidRPr="00EB507A">
        <w:rPr>
          <w:szCs w:val="22"/>
        </w:rPr>
        <w:t xml:space="preserve"> system will be interoperable with the freight railroads’ planned PTC systems.  Amtrak, anticipating congestion in the 220 MHz band, identified Part 80 AMTS spectrum </w:t>
      </w:r>
      <w:r w:rsidR="002003B9" w:rsidRPr="00EB507A">
        <w:rPr>
          <w:szCs w:val="22"/>
        </w:rPr>
        <w:t xml:space="preserve">(217-218 MHz and 219-220 MHz) </w:t>
      </w:r>
      <w:r w:rsidR="00467C88" w:rsidRPr="00EB507A">
        <w:rPr>
          <w:szCs w:val="22"/>
        </w:rPr>
        <w:t xml:space="preserve">as the best option for its </w:t>
      </w:r>
      <w:r w:rsidR="00E872D5" w:rsidRPr="00EB507A">
        <w:rPr>
          <w:szCs w:val="22"/>
        </w:rPr>
        <w:t xml:space="preserve">PTC </w:t>
      </w:r>
      <w:r w:rsidR="00467C88" w:rsidRPr="00EB507A">
        <w:rPr>
          <w:szCs w:val="22"/>
        </w:rPr>
        <w:t>system</w:t>
      </w:r>
      <w:r w:rsidR="009942C0" w:rsidRPr="00EB507A">
        <w:rPr>
          <w:szCs w:val="22"/>
        </w:rPr>
        <w:t>.</w:t>
      </w:r>
      <w:r w:rsidR="002003B9" w:rsidRPr="00EB507A">
        <w:rPr>
          <w:szCs w:val="22"/>
          <w:vertAlign w:val="superscript"/>
        </w:rPr>
        <w:footnoteReference w:id="12"/>
      </w:r>
      <w:r w:rsidR="00467C88" w:rsidRPr="00EB507A">
        <w:rPr>
          <w:szCs w:val="22"/>
        </w:rPr>
        <w:t xml:space="preserve"> </w:t>
      </w:r>
    </w:p>
    <w:p w:rsidR="00173804" w:rsidRPr="00EB507A" w:rsidRDefault="000C4A1D" w:rsidP="00CC2C47">
      <w:pPr>
        <w:pStyle w:val="ParaNum"/>
        <w:jc w:val="left"/>
        <w:rPr>
          <w:szCs w:val="22"/>
        </w:rPr>
      </w:pPr>
      <w:r w:rsidRPr="00EB507A">
        <w:rPr>
          <w:szCs w:val="22"/>
        </w:rPr>
        <w:t>Amtrak</w:t>
      </w:r>
      <w:r w:rsidR="00156D0D" w:rsidRPr="00EB507A">
        <w:rPr>
          <w:szCs w:val="22"/>
        </w:rPr>
        <w:t xml:space="preserve"> </w:t>
      </w:r>
      <w:r w:rsidR="001D6719" w:rsidRPr="00EB507A">
        <w:rPr>
          <w:szCs w:val="22"/>
        </w:rPr>
        <w:t xml:space="preserve">filed </w:t>
      </w:r>
      <w:r w:rsidR="00BF5827" w:rsidRPr="00EB507A">
        <w:rPr>
          <w:szCs w:val="22"/>
        </w:rPr>
        <w:t>the instant</w:t>
      </w:r>
      <w:r w:rsidR="001D6719" w:rsidRPr="00EB507A">
        <w:rPr>
          <w:szCs w:val="22"/>
        </w:rPr>
        <w:t xml:space="preserve"> applications and </w:t>
      </w:r>
      <w:r w:rsidR="00162375" w:rsidRPr="00EB507A">
        <w:rPr>
          <w:szCs w:val="22"/>
        </w:rPr>
        <w:t xml:space="preserve">request for waiver to implement its </w:t>
      </w:r>
      <w:r w:rsidR="003848E0" w:rsidRPr="00EB507A">
        <w:rPr>
          <w:szCs w:val="22"/>
        </w:rPr>
        <w:t>PTC</w:t>
      </w:r>
      <w:r w:rsidR="009C403E" w:rsidRPr="00EB507A">
        <w:rPr>
          <w:szCs w:val="22"/>
        </w:rPr>
        <w:t xml:space="preserve"> </w:t>
      </w:r>
      <w:r w:rsidR="0014598F" w:rsidRPr="00EB507A">
        <w:rPr>
          <w:szCs w:val="22"/>
        </w:rPr>
        <w:t xml:space="preserve">system </w:t>
      </w:r>
      <w:r w:rsidR="009C403E" w:rsidRPr="00EB507A">
        <w:rPr>
          <w:szCs w:val="22"/>
        </w:rPr>
        <w:t>on its Northeast Corridor line from New York City to Washington, D.C.</w:t>
      </w:r>
      <w:r w:rsidR="00BF5827" w:rsidRPr="00EB507A">
        <w:rPr>
          <w:szCs w:val="22"/>
        </w:rPr>
        <w:t>,</w:t>
      </w:r>
      <w:r w:rsidR="009C403E" w:rsidRPr="00EB507A">
        <w:rPr>
          <w:szCs w:val="22"/>
        </w:rPr>
        <w:t xml:space="preserve"> and other rail lines from Philadelphia to Harrisburg, Pennsylvania and from New York City to Albany, N</w:t>
      </w:r>
      <w:r w:rsidR="00BF5827" w:rsidRPr="00EB507A">
        <w:rPr>
          <w:szCs w:val="22"/>
        </w:rPr>
        <w:t xml:space="preserve">ew </w:t>
      </w:r>
      <w:r w:rsidR="009C403E" w:rsidRPr="00EB507A">
        <w:rPr>
          <w:szCs w:val="22"/>
        </w:rPr>
        <w:t>Y</w:t>
      </w:r>
      <w:r w:rsidR="00BF5827" w:rsidRPr="00EB507A">
        <w:rPr>
          <w:szCs w:val="22"/>
        </w:rPr>
        <w:t>ork</w:t>
      </w:r>
      <w:r w:rsidR="00162375" w:rsidRPr="00EB507A">
        <w:rPr>
          <w:szCs w:val="22"/>
        </w:rPr>
        <w:t>.</w:t>
      </w:r>
      <w:r w:rsidR="003848E0" w:rsidRPr="00EB507A">
        <w:rPr>
          <w:rStyle w:val="FootnoteReference"/>
          <w:szCs w:val="22"/>
        </w:rPr>
        <w:footnoteReference w:id="13"/>
      </w:r>
      <w:r w:rsidR="00162375" w:rsidRPr="00EB507A">
        <w:rPr>
          <w:szCs w:val="22"/>
        </w:rPr>
        <w:t xml:space="preserve">  Amtrak </w:t>
      </w:r>
      <w:r w:rsidR="00156D0D" w:rsidRPr="00EB507A">
        <w:rPr>
          <w:szCs w:val="22"/>
        </w:rPr>
        <w:t>seeks to use the spectrum for a</w:t>
      </w:r>
      <w:r w:rsidR="009A03B2" w:rsidRPr="00EB507A">
        <w:rPr>
          <w:szCs w:val="22"/>
        </w:rPr>
        <w:t xml:space="preserve"> private, exclusive-use,</w:t>
      </w:r>
      <w:r w:rsidR="00156D0D" w:rsidRPr="00EB507A">
        <w:rPr>
          <w:szCs w:val="22"/>
        </w:rPr>
        <w:t xml:space="preserve"> </w:t>
      </w:r>
      <w:r w:rsidR="0004337F" w:rsidRPr="00EB507A">
        <w:rPr>
          <w:szCs w:val="22"/>
        </w:rPr>
        <w:t xml:space="preserve">integrated communications and information </w:t>
      </w:r>
      <w:r w:rsidR="00156D0D" w:rsidRPr="00EB507A">
        <w:rPr>
          <w:szCs w:val="22"/>
        </w:rPr>
        <w:t xml:space="preserve">system to </w:t>
      </w:r>
      <w:r w:rsidR="00ED745B" w:rsidRPr="00EB507A">
        <w:rPr>
          <w:szCs w:val="22"/>
        </w:rPr>
        <w:t xml:space="preserve">coordinate </w:t>
      </w:r>
      <w:r w:rsidR="0004337F" w:rsidRPr="00EB507A">
        <w:rPr>
          <w:szCs w:val="22"/>
        </w:rPr>
        <w:t>and control train movements.</w:t>
      </w:r>
    </w:p>
    <w:p w:rsidR="00173804" w:rsidRPr="00EB507A" w:rsidRDefault="00173804" w:rsidP="00CC2C47">
      <w:pPr>
        <w:pStyle w:val="ParaNum"/>
        <w:jc w:val="left"/>
        <w:rPr>
          <w:szCs w:val="22"/>
        </w:rPr>
      </w:pPr>
      <w:r w:rsidRPr="00EB507A">
        <w:rPr>
          <w:szCs w:val="22"/>
        </w:rPr>
        <w:t xml:space="preserve">Amtrak’s </w:t>
      </w:r>
      <w:r w:rsidR="00053609" w:rsidRPr="00EB507A">
        <w:rPr>
          <w:szCs w:val="22"/>
        </w:rPr>
        <w:t xml:space="preserve">ACSES </w:t>
      </w:r>
      <w:r w:rsidR="00ED745B" w:rsidRPr="00EB507A">
        <w:rPr>
          <w:szCs w:val="22"/>
        </w:rPr>
        <w:t>PTC system</w:t>
      </w:r>
      <w:r w:rsidR="00053609" w:rsidRPr="00EB507A">
        <w:rPr>
          <w:szCs w:val="22"/>
        </w:rPr>
        <w:t xml:space="preserve"> </w:t>
      </w:r>
      <w:r w:rsidR="00E872D5" w:rsidRPr="00EB507A">
        <w:rPr>
          <w:szCs w:val="22"/>
        </w:rPr>
        <w:t xml:space="preserve">includes </w:t>
      </w:r>
      <w:r w:rsidR="002E002C" w:rsidRPr="00EB507A">
        <w:rPr>
          <w:szCs w:val="22"/>
        </w:rPr>
        <w:t xml:space="preserve">passive </w:t>
      </w:r>
      <w:r w:rsidR="00ED745B" w:rsidRPr="00EB507A">
        <w:rPr>
          <w:szCs w:val="22"/>
        </w:rPr>
        <w:t>transponder</w:t>
      </w:r>
      <w:r w:rsidR="002E002C" w:rsidRPr="00EB507A">
        <w:rPr>
          <w:szCs w:val="22"/>
        </w:rPr>
        <w:t>s</w:t>
      </w:r>
      <w:r w:rsidR="00ED745B" w:rsidRPr="00EB507A">
        <w:rPr>
          <w:szCs w:val="22"/>
        </w:rPr>
        <w:t xml:space="preserve"> buried under the </w:t>
      </w:r>
      <w:r w:rsidR="0034067B" w:rsidRPr="00EB507A">
        <w:rPr>
          <w:szCs w:val="22"/>
        </w:rPr>
        <w:t xml:space="preserve">tracks </w:t>
      </w:r>
      <w:r w:rsidR="0060129D" w:rsidRPr="00EB507A">
        <w:rPr>
          <w:szCs w:val="22"/>
        </w:rPr>
        <w:t xml:space="preserve">that connect </w:t>
      </w:r>
      <w:r w:rsidR="00ED745B" w:rsidRPr="00EB507A">
        <w:rPr>
          <w:szCs w:val="22"/>
        </w:rPr>
        <w:t>to rail side and wayside base station controllers</w:t>
      </w:r>
      <w:r w:rsidR="0060129D" w:rsidRPr="00EB507A">
        <w:rPr>
          <w:szCs w:val="22"/>
        </w:rPr>
        <w:t xml:space="preserve">.  These </w:t>
      </w:r>
      <w:r w:rsidR="003848E0" w:rsidRPr="00EB507A">
        <w:rPr>
          <w:szCs w:val="22"/>
        </w:rPr>
        <w:t>controllers</w:t>
      </w:r>
      <w:r w:rsidR="00E872D5" w:rsidRPr="00EB507A">
        <w:rPr>
          <w:szCs w:val="22"/>
        </w:rPr>
        <w:t>,</w:t>
      </w:r>
      <w:r w:rsidR="0034067B" w:rsidRPr="00EB507A">
        <w:rPr>
          <w:szCs w:val="22"/>
        </w:rPr>
        <w:t xml:space="preserve"> </w:t>
      </w:r>
      <w:r w:rsidR="00E872D5" w:rsidRPr="00EB507A">
        <w:rPr>
          <w:szCs w:val="22"/>
        </w:rPr>
        <w:t xml:space="preserve">in turn, </w:t>
      </w:r>
      <w:r w:rsidR="0034067B" w:rsidRPr="00EB507A">
        <w:rPr>
          <w:szCs w:val="22"/>
        </w:rPr>
        <w:t>communicate</w:t>
      </w:r>
      <w:r w:rsidR="00ED745B" w:rsidRPr="00EB507A">
        <w:rPr>
          <w:szCs w:val="22"/>
        </w:rPr>
        <w:t xml:space="preserve"> </w:t>
      </w:r>
      <w:r w:rsidR="0060129D" w:rsidRPr="00EB507A">
        <w:rPr>
          <w:szCs w:val="22"/>
        </w:rPr>
        <w:t xml:space="preserve">vital information such as speed and location </w:t>
      </w:r>
      <w:r w:rsidR="003C7E13" w:rsidRPr="00EB507A">
        <w:rPr>
          <w:szCs w:val="22"/>
        </w:rPr>
        <w:t xml:space="preserve">wirelessly </w:t>
      </w:r>
      <w:r w:rsidR="003848E0" w:rsidRPr="00EB507A">
        <w:rPr>
          <w:szCs w:val="22"/>
        </w:rPr>
        <w:t>to</w:t>
      </w:r>
      <w:r w:rsidR="00ED745B" w:rsidRPr="00EB507A">
        <w:rPr>
          <w:szCs w:val="22"/>
        </w:rPr>
        <w:t xml:space="preserve"> </w:t>
      </w:r>
      <w:r w:rsidR="003C7E13" w:rsidRPr="00EB507A">
        <w:rPr>
          <w:szCs w:val="22"/>
        </w:rPr>
        <w:t xml:space="preserve">computers on </w:t>
      </w:r>
      <w:r w:rsidR="0060129D" w:rsidRPr="00EB507A">
        <w:rPr>
          <w:szCs w:val="22"/>
        </w:rPr>
        <w:t xml:space="preserve">locomotives and to </w:t>
      </w:r>
      <w:r w:rsidR="00947AEF" w:rsidRPr="00EB507A">
        <w:rPr>
          <w:szCs w:val="22"/>
        </w:rPr>
        <w:t xml:space="preserve">Amtrak’s </w:t>
      </w:r>
      <w:r w:rsidR="0060129D" w:rsidRPr="00EB507A">
        <w:rPr>
          <w:szCs w:val="22"/>
        </w:rPr>
        <w:t xml:space="preserve">central dispatch </w:t>
      </w:r>
      <w:r w:rsidR="00DB65D1" w:rsidRPr="00EB507A">
        <w:rPr>
          <w:szCs w:val="22"/>
        </w:rPr>
        <w:t>facilit</w:t>
      </w:r>
      <w:r w:rsidR="00947AEF" w:rsidRPr="00EB507A">
        <w:rPr>
          <w:szCs w:val="22"/>
        </w:rPr>
        <w:t>ies</w:t>
      </w:r>
      <w:r w:rsidR="00DB65D1" w:rsidRPr="00EB507A">
        <w:rPr>
          <w:szCs w:val="22"/>
        </w:rPr>
        <w:t>.  Th</w:t>
      </w:r>
      <w:r w:rsidR="00947AEF" w:rsidRPr="00EB507A">
        <w:rPr>
          <w:szCs w:val="22"/>
        </w:rPr>
        <w:t xml:space="preserve">e system </w:t>
      </w:r>
      <w:r w:rsidR="00DB65D1" w:rsidRPr="00EB507A">
        <w:rPr>
          <w:szCs w:val="22"/>
        </w:rPr>
        <w:t xml:space="preserve">provides trains with status of tracks ahead and allows </w:t>
      </w:r>
      <w:r w:rsidR="00BF5827" w:rsidRPr="00EB507A">
        <w:rPr>
          <w:szCs w:val="22"/>
        </w:rPr>
        <w:t xml:space="preserve">the </w:t>
      </w:r>
      <w:r w:rsidR="00DB65D1" w:rsidRPr="00EB507A">
        <w:rPr>
          <w:szCs w:val="22"/>
        </w:rPr>
        <w:t xml:space="preserve">rail traffic controller to manage the system by </w:t>
      </w:r>
      <w:r w:rsidR="0060129D" w:rsidRPr="00EB507A">
        <w:rPr>
          <w:szCs w:val="22"/>
        </w:rPr>
        <w:t>providing status of the tracks, switch positions</w:t>
      </w:r>
      <w:r w:rsidR="003C7E13" w:rsidRPr="00EB507A">
        <w:rPr>
          <w:szCs w:val="22"/>
        </w:rPr>
        <w:t xml:space="preserve">, signal lights </w:t>
      </w:r>
      <w:r w:rsidR="00DB65D1" w:rsidRPr="00EB507A">
        <w:rPr>
          <w:szCs w:val="22"/>
        </w:rPr>
        <w:t xml:space="preserve">and </w:t>
      </w:r>
      <w:r w:rsidR="003C7E13" w:rsidRPr="00EB507A">
        <w:rPr>
          <w:szCs w:val="22"/>
        </w:rPr>
        <w:t>location of work crews</w:t>
      </w:r>
      <w:r w:rsidR="0060129D" w:rsidRPr="00EB507A">
        <w:rPr>
          <w:szCs w:val="22"/>
        </w:rPr>
        <w:t>.</w:t>
      </w:r>
      <w:r w:rsidR="00AA114F" w:rsidRPr="00EB507A">
        <w:rPr>
          <w:rStyle w:val="FootnoteReference"/>
          <w:szCs w:val="22"/>
        </w:rPr>
        <w:footnoteReference w:id="14"/>
      </w:r>
    </w:p>
    <w:p w:rsidR="00AB304A" w:rsidRPr="00EB507A" w:rsidRDefault="00947AEF" w:rsidP="00CC2C47">
      <w:pPr>
        <w:pStyle w:val="ParaNum"/>
        <w:jc w:val="left"/>
        <w:rPr>
          <w:szCs w:val="22"/>
        </w:rPr>
      </w:pPr>
      <w:r w:rsidRPr="00EB507A">
        <w:rPr>
          <w:szCs w:val="22"/>
        </w:rPr>
        <w:t xml:space="preserve">To implement </w:t>
      </w:r>
      <w:r w:rsidR="00A460CC" w:rsidRPr="00EB507A">
        <w:rPr>
          <w:szCs w:val="22"/>
        </w:rPr>
        <w:t xml:space="preserve">its </w:t>
      </w:r>
      <w:r w:rsidRPr="00EB507A">
        <w:rPr>
          <w:szCs w:val="22"/>
        </w:rPr>
        <w:t>PTC system</w:t>
      </w:r>
      <w:r w:rsidR="0099090D" w:rsidRPr="00EB507A">
        <w:rPr>
          <w:szCs w:val="22"/>
        </w:rPr>
        <w:t xml:space="preserve">, </w:t>
      </w:r>
      <w:r w:rsidR="003C7E13" w:rsidRPr="00EB507A">
        <w:rPr>
          <w:szCs w:val="22"/>
        </w:rPr>
        <w:t>Amtrak</w:t>
      </w:r>
      <w:r w:rsidR="0099090D" w:rsidRPr="00EB507A">
        <w:rPr>
          <w:szCs w:val="22"/>
        </w:rPr>
        <w:t xml:space="preserve"> seeks a waiver of </w:t>
      </w:r>
      <w:r w:rsidR="001D6719" w:rsidRPr="00EB507A">
        <w:rPr>
          <w:szCs w:val="22"/>
        </w:rPr>
        <w:t>the following rule sections:</w:t>
      </w:r>
    </w:p>
    <w:p w:rsidR="009F5A0A" w:rsidRPr="00EB507A" w:rsidRDefault="0099090D" w:rsidP="00AB304A">
      <w:pPr>
        <w:pStyle w:val="ParaNum"/>
        <w:numPr>
          <w:ilvl w:val="0"/>
          <w:numId w:val="25"/>
        </w:numPr>
        <w:jc w:val="left"/>
        <w:rPr>
          <w:szCs w:val="22"/>
        </w:rPr>
      </w:pPr>
      <w:r w:rsidRPr="00EB507A">
        <w:rPr>
          <w:szCs w:val="22"/>
        </w:rPr>
        <w:t>Section 80.92(a)</w:t>
      </w:r>
      <w:r w:rsidR="002D46C0" w:rsidRPr="00EB507A">
        <w:rPr>
          <w:szCs w:val="22"/>
        </w:rPr>
        <w:t>, which</w:t>
      </w:r>
      <w:r w:rsidRPr="00EB507A">
        <w:rPr>
          <w:szCs w:val="22"/>
        </w:rPr>
        <w:t xml:space="preserve"> requires Part 80 licensees to monitor a </w:t>
      </w:r>
      <w:r w:rsidR="00947AEF" w:rsidRPr="00EB507A">
        <w:rPr>
          <w:szCs w:val="22"/>
        </w:rPr>
        <w:t>frequency prior to transmitting;</w:t>
      </w:r>
    </w:p>
    <w:p w:rsidR="009F5A0A" w:rsidRPr="00EB507A" w:rsidRDefault="00AB304A" w:rsidP="009F5A0A">
      <w:pPr>
        <w:pStyle w:val="ParaNum"/>
        <w:numPr>
          <w:ilvl w:val="0"/>
          <w:numId w:val="25"/>
        </w:numPr>
        <w:jc w:val="left"/>
        <w:rPr>
          <w:szCs w:val="22"/>
        </w:rPr>
      </w:pPr>
      <w:r w:rsidRPr="00EB507A">
        <w:rPr>
          <w:szCs w:val="22"/>
        </w:rPr>
        <w:t xml:space="preserve">Section </w:t>
      </w:r>
      <w:r w:rsidR="002D46C0" w:rsidRPr="00EB507A">
        <w:rPr>
          <w:szCs w:val="22"/>
        </w:rPr>
        <w:t>80.105, which requires</w:t>
      </w:r>
      <w:r w:rsidR="00C31026" w:rsidRPr="00EB507A">
        <w:rPr>
          <w:szCs w:val="22"/>
        </w:rPr>
        <w:t xml:space="preserve"> coast stations to receive calls from vessels and aircraft</w:t>
      </w:r>
      <w:r w:rsidR="00947AEF" w:rsidRPr="00EB507A">
        <w:rPr>
          <w:szCs w:val="22"/>
        </w:rPr>
        <w:t>;</w:t>
      </w:r>
      <w:r w:rsidR="00C31026" w:rsidRPr="00EB507A">
        <w:rPr>
          <w:szCs w:val="22"/>
        </w:rPr>
        <w:t xml:space="preserve"> </w:t>
      </w:r>
    </w:p>
    <w:p w:rsidR="009F5A0A" w:rsidRPr="00EB507A" w:rsidRDefault="00AB304A" w:rsidP="009F5A0A">
      <w:pPr>
        <w:pStyle w:val="ParaNum"/>
        <w:numPr>
          <w:ilvl w:val="0"/>
          <w:numId w:val="25"/>
        </w:numPr>
        <w:jc w:val="left"/>
        <w:rPr>
          <w:szCs w:val="22"/>
        </w:rPr>
      </w:pPr>
      <w:r w:rsidRPr="00EB507A">
        <w:rPr>
          <w:szCs w:val="22"/>
        </w:rPr>
        <w:t xml:space="preserve">Section </w:t>
      </w:r>
      <w:r w:rsidR="00C31026" w:rsidRPr="00EB507A">
        <w:rPr>
          <w:szCs w:val="22"/>
        </w:rPr>
        <w:t>80.106</w:t>
      </w:r>
      <w:r w:rsidR="002D46C0" w:rsidRPr="00EB507A">
        <w:rPr>
          <w:szCs w:val="22"/>
        </w:rPr>
        <w:t>, which requires mobile</w:t>
      </w:r>
      <w:r w:rsidR="00C31026" w:rsidRPr="00EB507A">
        <w:rPr>
          <w:szCs w:val="22"/>
        </w:rPr>
        <w:t xml:space="preserve"> stations to receive calls from </w:t>
      </w:r>
      <w:r w:rsidR="00A427C4" w:rsidRPr="00EB507A">
        <w:rPr>
          <w:szCs w:val="22"/>
        </w:rPr>
        <w:t>ships</w:t>
      </w:r>
      <w:r w:rsidR="00C31026" w:rsidRPr="00EB507A">
        <w:rPr>
          <w:szCs w:val="22"/>
        </w:rPr>
        <w:t xml:space="preserve"> or aircraft</w:t>
      </w:r>
      <w:r w:rsidR="00947AEF" w:rsidRPr="00EB507A">
        <w:rPr>
          <w:szCs w:val="22"/>
        </w:rPr>
        <w:t>;</w:t>
      </w:r>
      <w:r w:rsidR="00C31026" w:rsidRPr="00EB507A">
        <w:rPr>
          <w:szCs w:val="22"/>
        </w:rPr>
        <w:t xml:space="preserve"> </w:t>
      </w:r>
    </w:p>
    <w:p w:rsidR="009F5A0A" w:rsidRPr="00EB507A" w:rsidRDefault="00AB304A" w:rsidP="009F5A0A">
      <w:pPr>
        <w:pStyle w:val="ParaNum"/>
        <w:numPr>
          <w:ilvl w:val="0"/>
          <w:numId w:val="25"/>
        </w:numPr>
        <w:jc w:val="left"/>
        <w:rPr>
          <w:szCs w:val="22"/>
        </w:rPr>
      </w:pPr>
      <w:r w:rsidRPr="00EB507A">
        <w:rPr>
          <w:szCs w:val="22"/>
        </w:rPr>
        <w:t xml:space="preserve">Section </w:t>
      </w:r>
      <w:r w:rsidR="00C31026" w:rsidRPr="00EB507A">
        <w:rPr>
          <w:szCs w:val="22"/>
        </w:rPr>
        <w:t>80.123(a)</w:t>
      </w:r>
      <w:r w:rsidR="002D46C0" w:rsidRPr="00EB507A">
        <w:rPr>
          <w:szCs w:val="22"/>
        </w:rPr>
        <w:t>, which</w:t>
      </w:r>
      <w:r w:rsidR="00C31026" w:rsidRPr="00EB507A">
        <w:rPr>
          <w:szCs w:val="22"/>
        </w:rPr>
        <w:t xml:space="preserve"> </w:t>
      </w:r>
      <w:r w:rsidR="00A427C4" w:rsidRPr="00EB507A">
        <w:rPr>
          <w:szCs w:val="22"/>
        </w:rPr>
        <w:t xml:space="preserve">requires </w:t>
      </w:r>
      <w:r w:rsidR="00C31026" w:rsidRPr="00EB507A">
        <w:rPr>
          <w:szCs w:val="22"/>
        </w:rPr>
        <w:t xml:space="preserve">AMTS </w:t>
      </w:r>
      <w:r w:rsidR="002D46C0" w:rsidRPr="00EB507A">
        <w:rPr>
          <w:szCs w:val="22"/>
        </w:rPr>
        <w:t xml:space="preserve">land </w:t>
      </w:r>
      <w:r w:rsidR="00C31026" w:rsidRPr="00EB507A">
        <w:rPr>
          <w:szCs w:val="22"/>
        </w:rPr>
        <w:t>stations to secure a letter authorizing the land station to communicate with the coast station</w:t>
      </w:r>
      <w:r w:rsidR="00947AEF" w:rsidRPr="00EB507A">
        <w:rPr>
          <w:szCs w:val="22"/>
        </w:rPr>
        <w:t>;</w:t>
      </w:r>
      <w:r w:rsidR="00A427C4" w:rsidRPr="00EB507A">
        <w:rPr>
          <w:szCs w:val="22"/>
        </w:rPr>
        <w:t xml:space="preserve"> </w:t>
      </w:r>
    </w:p>
    <w:p w:rsidR="00503441" w:rsidRPr="00EB507A" w:rsidRDefault="00AB304A" w:rsidP="009F5A0A">
      <w:pPr>
        <w:pStyle w:val="ParaNum"/>
        <w:numPr>
          <w:ilvl w:val="0"/>
          <w:numId w:val="25"/>
        </w:numPr>
        <w:jc w:val="left"/>
        <w:rPr>
          <w:szCs w:val="22"/>
        </w:rPr>
      </w:pPr>
      <w:r w:rsidRPr="00EB507A">
        <w:rPr>
          <w:szCs w:val="22"/>
        </w:rPr>
        <w:t xml:space="preserve">Section </w:t>
      </w:r>
      <w:r w:rsidR="00A427C4" w:rsidRPr="00EB507A">
        <w:rPr>
          <w:szCs w:val="22"/>
        </w:rPr>
        <w:t>80.123(b)</w:t>
      </w:r>
      <w:r w:rsidR="002D46C0" w:rsidRPr="00EB507A">
        <w:rPr>
          <w:szCs w:val="22"/>
        </w:rPr>
        <w:t>, which</w:t>
      </w:r>
      <w:r w:rsidR="00A427C4" w:rsidRPr="00EB507A">
        <w:rPr>
          <w:szCs w:val="22"/>
        </w:rPr>
        <w:t xml:space="preserve"> afford</w:t>
      </w:r>
      <w:r w:rsidR="002D46C0" w:rsidRPr="00EB507A">
        <w:rPr>
          <w:szCs w:val="22"/>
        </w:rPr>
        <w:t>s</w:t>
      </w:r>
      <w:r w:rsidR="00A427C4" w:rsidRPr="00EB507A">
        <w:rPr>
          <w:szCs w:val="22"/>
        </w:rPr>
        <w:t xml:space="preserve"> priority to marine communications</w:t>
      </w:r>
      <w:r w:rsidR="00947AEF" w:rsidRPr="00EB507A">
        <w:rPr>
          <w:szCs w:val="22"/>
        </w:rPr>
        <w:t>;</w:t>
      </w:r>
      <w:r w:rsidR="00A427C4" w:rsidRPr="00EB507A">
        <w:rPr>
          <w:szCs w:val="22"/>
        </w:rPr>
        <w:t xml:space="preserve"> </w:t>
      </w:r>
    </w:p>
    <w:p w:rsidR="00AB304A" w:rsidRPr="00EB507A" w:rsidRDefault="00503441" w:rsidP="009F5A0A">
      <w:pPr>
        <w:pStyle w:val="ParaNum"/>
        <w:numPr>
          <w:ilvl w:val="0"/>
          <w:numId w:val="25"/>
        </w:numPr>
        <w:jc w:val="left"/>
        <w:rPr>
          <w:szCs w:val="22"/>
        </w:rPr>
      </w:pPr>
      <w:r w:rsidRPr="00EB507A">
        <w:rPr>
          <w:szCs w:val="22"/>
        </w:rPr>
        <w:t xml:space="preserve">Section </w:t>
      </w:r>
      <w:r w:rsidR="00A427C4" w:rsidRPr="00EB507A">
        <w:rPr>
          <w:szCs w:val="22"/>
        </w:rPr>
        <w:t>80.123(c)</w:t>
      </w:r>
      <w:r w:rsidR="002D46C0" w:rsidRPr="00EB507A">
        <w:rPr>
          <w:szCs w:val="22"/>
        </w:rPr>
        <w:t>, which</w:t>
      </w:r>
      <w:r w:rsidR="00A427C4" w:rsidRPr="00EB507A">
        <w:rPr>
          <w:szCs w:val="22"/>
        </w:rPr>
        <w:t xml:space="preserve"> </w:t>
      </w:r>
      <w:r w:rsidR="00DC02A9" w:rsidRPr="00EB507A">
        <w:rPr>
          <w:szCs w:val="22"/>
        </w:rPr>
        <w:t xml:space="preserve">requires </w:t>
      </w:r>
      <w:r w:rsidR="002D46C0" w:rsidRPr="00EB507A">
        <w:rPr>
          <w:szCs w:val="22"/>
        </w:rPr>
        <w:t xml:space="preserve">AMTS land stations to </w:t>
      </w:r>
      <w:r w:rsidR="00A427C4" w:rsidRPr="00EB507A">
        <w:rPr>
          <w:szCs w:val="22"/>
        </w:rPr>
        <w:t xml:space="preserve">use </w:t>
      </w:r>
      <w:r w:rsidR="002D46C0" w:rsidRPr="00EB507A">
        <w:rPr>
          <w:szCs w:val="22"/>
        </w:rPr>
        <w:t xml:space="preserve">the </w:t>
      </w:r>
      <w:r w:rsidR="00A427C4" w:rsidRPr="00EB507A">
        <w:rPr>
          <w:szCs w:val="22"/>
        </w:rPr>
        <w:t>coast station call sign</w:t>
      </w:r>
      <w:r w:rsidR="00947AEF" w:rsidRPr="00EB507A">
        <w:rPr>
          <w:szCs w:val="22"/>
        </w:rPr>
        <w:t>;</w:t>
      </w:r>
    </w:p>
    <w:p w:rsidR="009F5A0A" w:rsidRPr="00EB507A" w:rsidRDefault="00503441" w:rsidP="002D46C0">
      <w:pPr>
        <w:pStyle w:val="ParaNum"/>
        <w:numPr>
          <w:ilvl w:val="0"/>
          <w:numId w:val="25"/>
        </w:numPr>
        <w:jc w:val="left"/>
        <w:rPr>
          <w:szCs w:val="22"/>
        </w:rPr>
      </w:pPr>
      <w:r w:rsidRPr="00EB507A">
        <w:rPr>
          <w:szCs w:val="22"/>
        </w:rPr>
        <w:t>Section 8</w:t>
      </w:r>
      <w:r w:rsidR="00A427C4" w:rsidRPr="00EB507A">
        <w:rPr>
          <w:szCs w:val="22"/>
        </w:rPr>
        <w:t>0.123(f)</w:t>
      </w:r>
      <w:r w:rsidR="002D46C0" w:rsidRPr="00EB507A">
        <w:rPr>
          <w:szCs w:val="22"/>
        </w:rPr>
        <w:t xml:space="preserve">, which provides that AMTS </w:t>
      </w:r>
      <w:r w:rsidR="00320307" w:rsidRPr="00EB507A">
        <w:rPr>
          <w:szCs w:val="22"/>
        </w:rPr>
        <w:t xml:space="preserve">land stations may communicate </w:t>
      </w:r>
      <w:r w:rsidR="002D46C0" w:rsidRPr="00EB507A">
        <w:rPr>
          <w:szCs w:val="22"/>
        </w:rPr>
        <w:t xml:space="preserve">only </w:t>
      </w:r>
      <w:r w:rsidR="00320307" w:rsidRPr="00EB507A">
        <w:rPr>
          <w:szCs w:val="22"/>
        </w:rPr>
        <w:t>with public coast stations</w:t>
      </w:r>
      <w:r w:rsidR="00947AEF" w:rsidRPr="00EB507A">
        <w:rPr>
          <w:szCs w:val="22"/>
        </w:rPr>
        <w:t>;</w:t>
      </w:r>
      <w:r w:rsidR="003C0FE4" w:rsidRPr="00EB507A">
        <w:rPr>
          <w:szCs w:val="22"/>
        </w:rPr>
        <w:t xml:space="preserve"> and</w:t>
      </w:r>
      <w:r w:rsidR="00320307" w:rsidRPr="00EB507A">
        <w:rPr>
          <w:szCs w:val="22"/>
        </w:rPr>
        <w:t xml:space="preserve"> </w:t>
      </w:r>
    </w:p>
    <w:p w:rsidR="009F5A0A" w:rsidRPr="00EB507A" w:rsidRDefault="00503441" w:rsidP="00DB65D1">
      <w:pPr>
        <w:pStyle w:val="ParaNum"/>
        <w:numPr>
          <w:ilvl w:val="0"/>
          <w:numId w:val="25"/>
        </w:numPr>
        <w:jc w:val="left"/>
        <w:rPr>
          <w:szCs w:val="22"/>
        </w:rPr>
      </w:pPr>
      <w:r w:rsidRPr="00EB507A">
        <w:rPr>
          <w:szCs w:val="22"/>
        </w:rPr>
        <w:t xml:space="preserve">Section </w:t>
      </w:r>
      <w:r w:rsidR="009F5A0A" w:rsidRPr="00EB507A">
        <w:rPr>
          <w:szCs w:val="22"/>
        </w:rPr>
        <w:t xml:space="preserve">80.385(a)(2), </w:t>
      </w:r>
      <w:r w:rsidR="002D46C0" w:rsidRPr="00EB507A">
        <w:rPr>
          <w:szCs w:val="22"/>
        </w:rPr>
        <w:t xml:space="preserve">which </w:t>
      </w:r>
      <w:r w:rsidR="009F5A0A" w:rsidRPr="00EB507A">
        <w:rPr>
          <w:szCs w:val="22"/>
        </w:rPr>
        <w:t>divides AMTS spectrum into coast (base) station frequencies and sh</w:t>
      </w:r>
      <w:r w:rsidR="00884032" w:rsidRPr="00EB507A">
        <w:rPr>
          <w:szCs w:val="22"/>
        </w:rPr>
        <w:t>ip (</w:t>
      </w:r>
      <w:r w:rsidR="0086512A" w:rsidRPr="00EB507A">
        <w:rPr>
          <w:szCs w:val="22"/>
        </w:rPr>
        <w:t>mobile) station frequencies.</w:t>
      </w:r>
      <w:r w:rsidR="00BF5827" w:rsidRPr="00EB507A">
        <w:rPr>
          <w:rStyle w:val="FootnoteReference"/>
          <w:szCs w:val="22"/>
        </w:rPr>
        <w:footnoteReference w:id="15"/>
      </w:r>
    </w:p>
    <w:p w:rsidR="0077162D" w:rsidRPr="00EB507A" w:rsidRDefault="0077162D" w:rsidP="0077162D">
      <w:pPr>
        <w:pStyle w:val="ParaNum"/>
        <w:tabs>
          <w:tab w:val="left" w:pos="1080"/>
          <w:tab w:val="left" w:pos="1170"/>
          <w:tab w:val="left" w:pos="1260"/>
        </w:tabs>
        <w:jc w:val="left"/>
        <w:rPr>
          <w:szCs w:val="22"/>
        </w:rPr>
      </w:pPr>
      <w:r w:rsidRPr="00EB507A">
        <w:rPr>
          <w:szCs w:val="22"/>
        </w:rPr>
        <w:t xml:space="preserve">We note that in 2011, Amtrak filed a request for waiver </w:t>
      </w:r>
      <w:r w:rsidR="00BC6413" w:rsidRPr="00EB507A">
        <w:rPr>
          <w:szCs w:val="22"/>
        </w:rPr>
        <w:t xml:space="preserve">of </w:t>
      </w:r>
      <w:r w:rsidRPr="00EB507A">
        <w:rPr>
          <w:szCs w:val="22"/>
        </w:rPr>
        <w:t>certain Part 80 rules to implement its planned PTC system in the AMTS bands.</w:t>
      </w:r>
      <w:r w:rsidRPr="00EB507A">
        <w:rPr>
          <w:rStyle w:val="FootnoteReference"/>
          <w:szCs w:val="22"/>
        </w:rPr>
        <w:footnoteReference w:id="16"/>
      </w:r>
      <w:r w:rsidRPr="00EB507A">
        <w:rPr>
          <w:szCs w:val="22"/>
        </w:rPr>
        <w:t xml:space="preserve">  </w:t>
      </w:r>
      <w:r w:rsidR="00710C41" w:rsidRPr="00EB507A">
        <w:rPr>
          <w:szCs w:val="22"/>
        </w:rPr>
        <w:t xml:space="preserve">In WT Docket </w:t>
      </w:r>
      <w:r w:rsidR="00C42C0C">
        <w:rPr>
          <w:szCs w:val="22"/>
        </w:rPr>
        <w:t xml:space="preserve">No. </w:t>
      </w:r>
      <w:r w:rsidR="00710C41" w:rsidRPr="00EB507A">
        <w:rPr>
          <w:szCs w:val="22"/>
        </w:rPr>
        <w:t>11-27 t</w:t>
      </w:r>
      <w:r w:rsidRPr="00EB507A">
        <w:rPr>
          <w:szCs w:val="22"/>
        </w:rPr>
        <w:t xml:space="preserve">he Commission sought comment solely on Amtrak’s request for waiver and not on the merits of whether a specific prospective AMTS spectrum acquisition </w:t>
      </w:r>
      <w:r w:rsidR="00BC6413" w:rsidRPr="00EB507A">
        <w:rPr>
          <w:szCs w:val="22"/>
        </w:rPr>
        <w:t xml:space="preserve">or lease </w:t>
      </w:r>
      <w:r w:rsidRPr="00EB507A">
        <w:rPr>
          <w:szCs w:val="22"/>
        </w:rPr>
        <w:t>would serve the public interest.</w:t>
      </w:r>
      <w:r w:rsidRPr="00EB507A">
        <w:rPr>
          <w:rStyle w:val="FootnoteReference"/>
          <w:szCs w:val="22"/>
        </w:rPr>
        <w:footnoteReference w:id="17"/>
      </w:r>
      <w:r w:rsidRPr="00EB507A">
        <w:rPr>
          <w:szCs w:val="22"/>
        </w:rPr>
        <w:t xml:space="preserve">  Because Amtrak’s 2014 </w:t>
      </w:r>
      <w:r w:rsidR="00A460CC" w:rsidRPr="00EB507A">
        <w:rPr>
          <w:szCs w:val="22"/>
        </w:rPr>
        <w:t>W</w:t>
      </w:r>
      <w:r w:rsidRPr="00EB507A">
        <w:rPr>
          <w:szCs w:val="22"/>
        </w:rPr>
        <w:t xml:space="preserve">aiver </w:t>
      </w:r>
      <w:r w:rsidR="00A460CC" w:rsidRPr="00EB507A">
        <w:rPr>
          <w:szCs w:val="22"/>
        </w:rPr>
        <w:t>R</w:t>
      </w:r>
      <w:r w:rsidRPr="00EB507A">
        <w:rPr>
          <w:szCs w:val="22"/>
        </w:rPr>
        <w:t xml:space="preserve">equest supersedes its 2011 </w:t>
      </w:r>
      <w:r w:rsidR="00710C41" w:rsidRPr="00EB507A">
        <w:rPr>
          <w:szCs w:val="22"/>
        </w:rPr>
        <w:t>Waiver R</w:t>
      </w:r>
      <w:r w:rsidRPr="00EB507A">
        <w:rPr>
          <w:szCs w:val="22"/>
        </w:rPr>
        <w:t xml:space="preserve">equest, we </w:t>
      </w:r>
      <w:r w:rsidR="00A460CC" w:rsidRPr="00EB507A">
        <w:rPr>
          <w:szCs w:val="22"/>
        </w:rPr>
        <w:t xml:space="preserve">hereby </w:t>
      </w:r>
      <w:r w:rsidRPr="00EB507A">
        <w:rPr>
          <w:szCs w:val="22"/>
        </w:rPr>
        <w:t>dismiss the 2011</w:t>
      </w:r>
      <w:r w:rsidR="00887B2C" w:rsidRPr="00EB507A">
        <w:rPr>
          <w:szCs w:val="22"/>
        </w:rPr>
        <w:t xml:space="preserve"> Waiver R</w:t>
      </w:r>
      <w:r w:rsidRPr="00EB507A">
        <w:rPr>
          <w:szCs w:val="22"/>
        </w:rPr>
        <w:t>equest as moot</w:t>
      </w:r>
      <w:r w:rsidR="006A683A" w:rsidRPr="00EB507A">
        <w:rPr>
          <w:szCs w:val="22"/>
        </w:rPr>
        <w:t xml:space="preserve"> and terminate WT Docket </w:t>
      </w:r>
      <w:r w:rsidR="00C42C0C">
        <w:rPr>
          <w:szCs w:val="22"/>
        </w:rPr>
        <w:t xml:space="preserve">No. </w:t>
      </w:r>
      <w:r w:rsidR="006A683A" w:rsidRPr="00EB507A">
        <w:rPr>
          <w:szCs w:val="22"/>
        </w:rPr>
        <w:t>11-27.</w:t>
      </w:r>
    </w:p>
    <w:p w:rsidR="00A105EC" w:rsidRPr="00EB507A" w:rsidRDefault="00A105EC" w:rsidP="00A105EC">
      <w:pPr>
        <w:pStyle w:val="Heading1"/>
        <w:rPr>
          <w:szCs w:val="22"/>
        </w:rPr>
      </w:pPr>
      <w:r w:rsidRPr="00EB507A">
        <w:rPr>
          <w:szCs w:val="22"/>
        </w:rPr>
        <w:t>Discussion</w:t>
      </w:r>
    </w:p>
    <w:p w:rsidR="003D3DAB" w:rsidRPr="00EB507A" w:rsidRDefault="001E7976" w:rsidP="003D3DAB">
      <w:pPr>
        <w:pStyle w:val="ParaNum"/>
        <w:tabs>
          <w:tab w:val="left" w:pos="1080"/>
          <w:tab w:val="left" w:pos="1170"/>
          <w:tab w:val="left" w:pos="1260"/>
        </w:tabs>
        <w:jc w:val="left"/>
        <w:rPr>
          <w:szCs w:val="22"/>
        </w:rPr>
      </w:pPr>
      <w:r w:rsidRPr="00EB507A">
        <w:rPr>
          <w:szCs w:val="22"/>
        </w:rPr>
        <w:t>Section 1.925(b)(3) of the Commission's Rules provides that we may grant a waiver if it is shown that (a) the underlying purpose of the rule(s) would not be served or would be frustrated by application to the instant case, and grant of the requested waiver would be in the public interest; or (b) in light of unique or unusual circumstances, application of the rule(s) would be inequitable, unduly burdensome, or contrary to the public interest, or the applicant has no reasonable alternative.</w:t>
      </w:r>
      <w:r w:rsidRPr="00EB507A">
        <w:rPr>
          <w:szCs w:val="22"/>
          <w:vertAlign w:val="superscript"/>
        </w:rPr>
        <w:footnoteReference w:id="18"/>
      </w:r>
      <w:r w:rsidR="00080DC3" w:rsidRPr="00EB507A">
        <w:rPr>
          <w:szCs w:val="22"/>
        </w:rPr>
        <w:t xml:space="preserve">  The Commission also may waive a rule, in whole or in part, on its own motion or on petition if good cause therefor is shown.</w:t>
      </w:r>
      <w:r w:rsidR="00080DC3" w:rsidRPr="00EB507A">
        <w:rPr>
          <w:szCs w:val="22"/>
          <w:vertAlign w:val="superscript"/>
        </w:rPr>
        <w:footnoteReference w:id="19"/>
      </w:r>
    </w:p>
    <w:p w:rsidR="00A238F0" w:rsidRPr="00EB507A" w:rsidRDefault="00B47158" w:rsidP="001E5718">
      <w:pPr>
        <w:pStyle w:val="ParaNum"/>
        <w:jc w:val="left"/>
        <w:rPr>
          <w:szCs w:val="22"/>
        </w:rPr>
      </w:pPr>
      <w:r w:rsidRPr="00EB507A">
        <w:rPr>
          <w:szCs w:val="22"/>
        </w:rPr>
        <w:t>Amtrak requests a waiver of the requirements to monitor before transmitting,</w:t>
      </w:r>
      <w:r w:rsidRPr="00EB507A">
        <w:rPr>
          <w:rStyle w:val="FootnoteReference"/>
          <w:szCs w:val="22"/>
        </w:rPr>
        <w:footnoteReference w:id="20"/>
      </w:r>
      <w:r w:rsidRPr="00EB507A">
        <w:rPr>
          <w:szCs w:val="22"/>
        </w:rPr>
        <w:t xml:space="preserve"> </w:t>
      </w:r>
      <w:r w:rsidR="009646D9" w:rsidRPr="00EB507A">
        <w:rPr>
          <w:szCs w:val="22"/>
        </w:rPr>
        <w:t xml:space="preserve">to </w:t>
      </w:r>
      <w:r w:rsidR="00714B36" w:rsidRPr="00EB507A">
        <w:rPr>
          <w:szCs w:val="22"/>
        </w:rPr>
        <w:t>afford priority to marine communications,</w:t>
      </w:r>
      <w:r w:rsidR="00714B36" w:rsidRPr="00EB507A">
        <w:rPr>
          <w:rStyle w:val="FootnoteReference"/>
          <w:szCs w:val="22"/>
        </w:rPr>
        <w:footnoteReference w:id="21"/>
      </w:r>
      <w:r w:rsidR="00714B36" w:rsidRPr="00EB507A">
        <w:rPr>
          <w:szCs w:val="22"/>
        </w:rPr>
        <w:t xml:space="preserve"> </w:t>
      </w:r>
      <w:r w:rsidR="00CB5487" w:rsidRPr="00EB507A">
        <w:rPr>
          <w:szCs w:val="22"/>
        </w:rPr>
        <w:t xml:space="preserve">and </w:t>
      </w:r>
      <w:r w:rsidR="00812728" w:rsidRPr="00EB507A">
        <w:rPr>
          <w:szCs w:val="22"/>
        </w:rPr>
        <w:t>to</w:t>
      </w:r>
      <w:r w:rsidR="00F67B32" w:rsidRPr="00EB507A">
        <w:rPr>
          <w:szCs w:val="22"/>
        </w:rPr>
        <w:t xml:space="preserve"> </w:t>
      </w:r>
      <w:r w:rsidRPr="00EB507A">
        <w:rPr>
          <w:szCs w:val="22"/>
        </w:rPr>
        <w:t xml:space="preserve">use </w:t>
      </w:r>
      <w:r w:rsidR="001A4B49" w:rsidRPr="00EB507A">
        <w:rPr>
          <w:szCs w:val="22"/>
        </w:rPr>
        <w:t xml:space="preserve">the </w:t>
      </w:r>
      <w:r w:rsidRPr="00EB507A">
        <w:rPr>
          <w:szCs w:val="22"/>
        </w:rPr>
        <w:t>coast station call sign</w:t>
      </w:r>
      <w:r w:rsidRPr="00EB507A">
        <w:rPr>
          <w:rStyle w:val="FootnoteReference"/>
          <w:szCs w:val="22"/>
        </w:rPr>
        <w:footnoteReference w:id="22"/>
      </w:r>
      <w:r w:rsidRPr="00EB507A">
        <w:rPr>
          <w:szCs w:val="22"/>
        </w:rPr>
        <w:t xml:space="preserve"> because its </w:t>
      </w:r>
      <w:r w:rsidR="006B2925" w:rsidRPr="00EB507A">
        <w:rPr>
          <w:szCs w:val="22"/>
        </w:rPr>
        <w:t xml:space="preserve">PTC </w:t>
      </w:r>
      <w:r w:rsidRPr="00EB507A">
        <w:rPr>
          <w:szCs w:val="22"/>
        </w:rPr>
        <w:t xml:space="preserve">system is configured to transmit </w:t>
      </w:r>
      <w:r w:rsidR="006627E2" w:rsidRPr="00EB507A">
        <w:rPr>
          <w:szCs w:val="22"/>
        </w:rPr>
        <w:t>data</w:t>
      </w:r>
      <w:r w:rsidR="00BE03CE" w:rsidRPr="00EB507A">
        <w:rPr>
          <w:szCs w:val="22"/>
        </w:rPr>
        <w:t xml:space="preserve">, </w:t>
      </w:r>
      <w:r w:rsidR="00DC7299" w:rsidRPr="00EB507A">
        <w:rPr>
          <w:szCs w:val="22"/>
        </w:rPr>
        <w:t xml:space="preserve">does </w:t>
      </w:r>
      <w:r w:rsidRPr="00EB507A">
        <w:rPr>
          <w:szCs w:val="22"/>
        </w:rPr>
        <w:t>not support voice communications</w:t>
      </w:r>
      <w:r w:rsidR="00173804" w:rsidRPr="00EB507A">
        <w:rPr>
          <w:szCs w:val="22"/>
        </w:rPr>
        <w:t>,</w:t>
      </w:r>
      <w:r w:rsidR="00BE03CE" w:rsidRPr="00EB507A">
        <w:rPr>
          <w:szCs w:val="22"/>
        </w:rPr>
        <w:t xml:space="preserve"> and cannot provide service to maritime </w:t>
      </w:r>
      <w:r w:rsidR="00A527DD" w:rsidRPr="00EB507A">
        <w:rPr>
          <w:szCs w:val="22"/>
        </w:rPr>
        <w:t>communications</w:t>
      </w:r>
      <w:r w:rsidR="00DC7299" w:rsidRPr="00EB507A">
        <w:rPr>
          <w:szCs w:val="22"/>
        </w:rPr>
        <w:t>.</w:t>
      </w:r>
      <w:r w:rsidRPr="00EB507A">
        <w:rPr>
          <w:rStyle w:val="FootnoteReference"/>
          <w:szCs w:val="22"/>
        </w:rPr>
        <w:footnoteReference w:id="23"/>
      </w:r>
      <w:r w:rsidRPr="00EB507A">
        <w:rPr>
          <w:szCs w:val="22"/>
        </w:rPr>
        <w:t xml:space="preserve">  </w:t>
      </w:r>
      <w:r w:rsidR="008C4458" w:rsidRPr="00EB507A">
        <w:rPr>
          <w:szCs w:val="22"/>
        </w:rPr>
        <w:t>Amtrak</w:t>
      </w:r>
      <w:r w:rsidRPr="00EB507A">
        <w:rPr>
          <w:szCs w:val="22"/>
        </w:rPr>
        <w:t xml:space="preserve"> notes that </w:t>
      </w:r>
      <w:r w:rsidR="00DD53D5" w:rsidRPr="00EB507A">
        <w:rPr>
          <w:szCs w:val="22"/>
        </w:rPr>
        <w:t>there are other public coast licensees in the area</w:t>
      </w:r>
      <w:r w:rsidRPr="00EB507A">
        <w:rPr>
          <w:szCs w:val="22"/>
        </w:rPr>
        <w:t xml:space="preserve"> available to meet marine communications needs.</w:t>
      </w:r>
      <w:r w:rsidRPr="00EB507A">
        <w:rPr>
          <w:rStyle w:val="FootnoteReference"/>
          <w:szCs w:val="22"/>
        </w:rPr>
        <w:footnoteReference w:id="24"/>
      </w:r>
      <w:r w:rsidRPr="00EB507A">
        <w:rPr>
          <w:szCs w:val="22"/>
        </w:rPr>
        <w:t xml:space="preserve">  </w:t>
      </w:r>
      <w:r w:rsidR="006627E2" w:rsidRPr="00EB507A">
        <w:rPr>
          <w:szCs w:val="22"/>
        </w:rPr>
        <w:t>Amtrak</w:t>
      </w:r>
      <w:r w:rsidRPr="00EB507A">
        <w:rPr>
          <w:szCs w:val="22"/>
        </w:rPr>
        <w:t xml:space="preserve"> also states that it has </w:t>
      </w:r>
      <w:r w:rsidR="00DC7299" w:rsidRPr="00EB507A">
        <w:rPr>
          <w:szCs w:val="22"/>
        </w:rPr>
        <w:t>an agreement</w:t>
      </w:r>
      <w:r w:rsidR="006627E2" w:rsidRPr="00EB507A">
        <w:rPr>
          <w:szCs w:val="22"/>
        </w:rPr>
        <w:t xml:space="preserve"> with the </w:t>
      </w:r>
      <w:r w:rsidR="008C4458" w:rsidRPr="00EB507A">
        <w:rPr>
          <w:szCs w:val="22"/>
        </w:rPr>
        <w:t>Assignor</w:t>
      </w:r>
      <w:r w:rsidR="00477293" w:rsidRPr="00EB507A">
        <w:rPr>
          <w:szCs w:val="22"/>
        </w:rPr>
        <w:t>s</w:t>
      </w:r>
      <w:r w:rsidR="006627E2" w:rsidRPr="00EB507A">
        <w:rPr>
          <w:szCs w:val="22"/>
        </w:rPr>
        <w:t xml:space="preserve"> to ensure</w:t>
      </w:r>
      <w:r w:rsidRPr="00EB507A">
        <w:rPr>
          <w:szCs w:val="22"/>
        </w:rPr>
        <w:t xml:space="preserve"> </w:t>
      </w:r>
      <w:r w:rsidR="001A4B49" w:rsidRPr="00EB507A">
        <w:rPr>
          <w:szCs w:val="22"/>
        </w:rPr>
        <w:t xml:space="preserve">that </w:t>
      </w:r>
      <w:r w:rsidR="006627E2" w:rsidRPr="00EB507A">
        <w:rPr>
          <w:szCs w:val="22"/>
        </w:rPr>
        <w:t xml:space="preserve">the impact </w:t>
      </w:r>
      <w:r w:rsidRPr="00EB507A">
        <w:rPr>
          <w:szCs w:val="22"/>
        </w:rPr>
        <w:t xml:space="preserve">of its </w:t>
      </w:r>
      <w:r w:rsidR="008C4458" w:rsidRPr="00EB507A">
        <w:rPr>
          <w:szCs w:val="22"/>
        </w:rPr>
        <w:t xml:space="preserve">PTC </w:t>
      </w:r>
      <w:r w:rsidRPr="00EB507A">
        <w:rPr>
          <w:szCs w:val="22"/>
        </w:rPr>
        <w:t>operations to adjacent channel and co-channel operations</w:t>
      </w:r>
      <w:r w:rsidR="008C4458" w:rsidRPr="00EB507A">
        <w:rPr>
          <w:szCs w:val="22"/>
        </w:rPr>
        <w:t xml:space="preserve"> is m</w:t>
      </w:r>
      <w:r w:rsidR="006627E2" w:rsidRPr="00EB507A">
        <w:rPr>
          <w:szCs w:val="22"/>
        </w:rPr>
        <w:t>inimized</w:t>
      </w:r>
      <w:r w:rsidRPr="00EB507A">
        <w:rPr>
          <w:szCs w:val="22"/>
        </w:rPr>
        <w:t>.</w:t>
      </w:r>
      <w:r w:rsidRPr="00EB507A">
        <w:rPr>
          <w:rStyle w:val="FootnoteReference"/>
          <w:szCs w:val="22"/>
        </w:rPr>
        <w:footnoteReference w:id="25"/>
      </w:r>
      <w:r w:rsidRPr="00EB507A">
        <w:rPr>
          <w:szCs w:val="22"/>
        </w:rPr>
        <w:t xml:space="preserve">  We agree that </w:t>
      </w:r>
      <w:r w:rsidR="005968C1" w:rsidRPr="00EB507A">
        <w:rPr>
          <w:szCs w:val="22"/>
        </w:rPr>
        <w:t xml:space="preserve">waiver </w:t>
      </w:r>
      <w:r w:rsidR="00CA6CB1" w:rsidRPr="00EB507A">
        <w:rPr>
          <w:szCs w:val="22"/>
        </w:rPr>
        <w:t xml:space="preserve">of these provisions </w:t>
      </w:r>
      <w:r w:rsidR="00EB2C95" w:rsidRPr="00EB507A">
        <w:rPr>
          <w:szCs w:val="22"/>
        </w:rPr>
        <w:t>is warranted</w:t>
      </w:r>
      <w:r w:rsidR="005968C1" w:rsidRPr="00EB507A">
        <w:rPr>
          <w:szCs w:val="22"/>
        </w:rPr>
        <w:t>.</w:t>
      </w:r>
      <w:r w:rsidR="005968C1" w:rsidRPr="00EB507A">
        <w:rPr>
          <w:szCs w:val="22"/>
          <w:vertAlign w:val="superscript"/>
        </w:rPr>
        <w:footnoteReference w:id="26"/>
      </w:r>
      <w:r w:rsidR="005968C1" w:rsidRPr="00EB507A">
        <w:rPr>
          <w:szCs w:val="22"/>
        </w:rPr>
        <w:t xml:space="preserve">  </w:t>
      </w:r>
      <w:r w:rsidR="008C4458" w:rsidRPr="00EB507A">
        <w:rPr>
          <w:szCs w:val="22"/>
        </w:rPr>
        <w:t>Amtrak’s</w:t>
      </w:r>
      <w:r w:rsidRPr="00EB507A">
        <w:rPr>
          <w:szCs w:val="22"/>
        </w:rPr>
        <w:t xml:space="preserve"> proposed use of the AMTS frequencies </w:t>
      </w:r>
      <w:r w:rsidR="00173804" w:rsidRPr="00EB507A">
        <w:rPr>
          <w:szCs w:val="22"/>
        </w:rPr>
        <w:t xml:space="preserve">will </w:t>
      </w:r>
      <w:r w:rsidRPr="00EB507A">
        <w:rPr>
          <w:szCs w:val="22"/>
        </w:rPr>
        <w:t>not jeopardize the maritime community’s ability to meet its operational, safety</w:t>
      </w:r>
      <w:r w:rsidR="00173804" w:rsidRPr="00EB507A">
        <w:rPr>
          <w:szCs w:val="22"/>
        </w:rPr>
        <w:t>,</w:t>
      </w:r>
      <w:r w:rsidRPr="00EB507A">
        <w:rPr>
          <w:szCs w:val="22"/>
        </w:rPr>
        <w:t xml:space="preserve"> and security communications needs</w:t>
      </w:r>
      <w:r w:rsidR="001E5718" w:rsidRPr="00EB507A">
        <w:rPr>
          <w:szCs w:val="22"/>
        </w:rPr>
        <w:t>.  Further</w:t>
      </w:r>
      <w:r w:rsidRPr="00EB507A">
        <w:rPr>
          <w:szCs w:val="22"/>
        </w:rPr>
        <w:t xml:space="preserve">, permitting the use of the subject frequencies for </w:t>
      </w:r>
      <w:r w:rsidR="008C4458" w:rsidRPr="00EB507A">
        <w:rPr>
          <w:szCs w:val="22"/>
        </w:rPr>
        <w:t>PTC</w:t>
      </w:r>
      <w:r w:rsidRPr="00EB507A">
        <w:rPr>
          <w:szCs w:val="22"/>
        </w:rPr>
        <w:t xml:space="preserve"> operations will promote the efficient use of AMTS spectrum and serve the public interest by </w:t>
      </w:r>
      <w:r w:rsidR="00714B36" w:rsidRPr="00EB507A">
        <w:rPr>
          <w:szCs w:val="22"/>
        </w:rPr>
        <w:t xml:space="preserve">promoting railroad </w:t>
      </w:r>
      <w:r w:rsidR="00DF1621" w:rsidRPr="00EB507A">
        <w:rPr>
          <w:szCs w:val="22"/>
        </w:rPr>
        <w:t>safety</w:t>
      </w:r>
      <w:r w:rsidR="00714B36" w:rsidRPr="00EB507A">
        <w:rPr>
          <w:szCs w:val="22"/>
        </w:rPr>
        <w:t>.</w:t>
      </w:r>
      <w:r w:rsidRPr="00EB507A">
        <w:rPr>
          <w:szCs w:val="22"/>
        </w:rPr>
        <w:t xml:space="preserve">  We therefore waive these requirements.</w:t>
      </w:r>
      <w:r w:rsidRPr="00EB507A">
        <w:rPr>
          <w:rStyle w:val="FootnoteReference"/>
          <w:szCs w:val="22"/>
        </w:rPr>
        <w:footnoteReference w:id="27"/>
      </w:r>
    </w:p>
    <w:p w:rsidR="00A238F0" w:rsidRPr="00EB507A" w:rsidRDefault="00992DB1" w:rsidP="00C649AF">
      <w:pPr>
        <w:pStyle w:val="ParaNum"/>
        <w:jc w:val="left"/>
        <w:rPr>
          <w:szCs w:val="22"/>
        </w:rPr>
      </w:pPr>
      <w:r w:rsidRPr="00EB507A">
        <w:rPr>
          <w:szCs w:val="22"/>
        </w:rPr>
        <w:t xml:space="preserve">Amtrak seeks waiver of the requirement that AMTS </w:t>
      </w:r>
      <w:r w:rsidR="00A238F0" w:rsidRPr="00EB507A">
        <w:rPr>
          <w:szCs w:val="22"/>
        </w:rPr>
        <w:t>land stations secure a letter authorizing the land station to communicate with the coast station</w:t>
      </w:r>
      <w:r w:rsidRPr="00EB507A">
        <w:rPr>
          <w:szCs w:val="22"/>
        </w:rPr>
        <w:t>,</w:t>
      </w:r>
      <w:r w:rsidR="00A238F0" w:rsidRPr="00EB507A">
        <w:rPr>
          <w:rStyle w:val="FootnoteReference"/>
          <w:szCs w:val="22"/>
        </w:rPr>
        <w:footnoteReference w:id="28"/>
      </w:r>
      <w:r w:rsidR="00A238F0" w:rsidRPr="00EB507A">
        <w:rPr>
          <w:szCs w:val="22"/>
        </w:rPr>
        <w:t xml:space="preserve"> </w:t>
      </w:r>
      <w:r w:rsidRPr="00EB507A">
        <w:rPr>
          <w:szCs w:val="22"/>
        </w:rPr>
        <w:t xml:space="preserve">which </w:t>
      </w:r>
      <w:r w:rsidR="00C649AF" w:rsidRPr="00EB507A">
        <w:rPr>
          <w:szCs w:val="22"/>
        </w:rPr>
        <w:t>enable</w:t>
      </w:r>
      <w:r w:rsidRPr="00EB507A">
        <w:rPr>
          <w:szCs w:val="22"/>
        </w:rPr>
        <w:t>s</w:t>
      </w:r>
      <w:r w:rsidR="00C649AF" w:rsidRPr="00EB507A">
        <w:rPr>
          <w:szCs w:val="22"/>
        </w:rPr>
        <w:t xml:space="preserve"> authorities to verify that a unit on land is authorized to operate on AMTS spectrum</w:t>
      </w:r>
      <w:r w:rsidRPr="00EB507A">
        <w:rPr>
          <w:szCs w:val="22"/>
        </w:rPr>
        <w:t xml:space="preserve">.  </w:t>
      </w:r>
      <w:r w:rsidR="00C649AF" w:rsidRPr="00EB507A">
        <w:rPr>
          <w:szCs w:val="22"/>
        </w:rPr>
        <w:t xml:space="preserve"> </w:t>
      </w:r>
      <w:r w:rsidR="00173804" w:rsidRPr="00EB507A">
        <w:rPr>
          <w:szCs w:val="22"/>
        </w:rPr>
        <w:t>W</w:t>
      </w:r>
      <w:r w:rsidR="00C649AF" w:rsidRPr="00EB507A">
        <w:rPr>
          <w:szCs w:val="22"/>
        </w:rPr>
        <w:t xml:space="preserve">e </w:t>
      </w:r>
      <w:r w:rsidR="00173804" w:rsidRPr="00EB507A">
        <w:rPr>
          <w:szCs w:val="22"/>
        </w:rPr>
        <w:t xml:space="preserve">previously </w:t>
      </w:r>
      <w:r w:rsidR="00C649AF" w:rsidRPr="00EB507A">
        <w:rPr>
          <w:szCs w:val="22"/>
        </w:rPr>
        <w:t>granted such a request with respect to an</w:t>
      </w:r>
      <w:r w:rsidR="00173804" w:rsidRPr="00EB507A">
        <w:rPr>
          <w:szCs w:val="22"/>
        </w:rPr>
        <w:t xml:space="preserve"> </w:t>
      </w:r>
      <w:r w:rsidR="00C649AF" w:rsidRPr="00EB507A">
        <w:rPr>
          <w:szCs w:val="22"/>
        </w:rPr>
        <w:t>electric utility’s fixed data system.</w:t>
      </w:r>
      <w:r w:rsidR="00C649AF" w:rsidRPr="00EB507A">
        <w:rPr>
          <w:rStyle w:val="FootnoteReference"/>
          <w:szCs w:val="22"/>
        </w:rPr>
        <w:footnoteReference w:id="29"/>
      </w:r>
      <w:r w:rsidR="00C649AF" w:rsidRPr="00EB507A">
        <w:rPr>
          <w:szCs w:val="22"/>
        </w:rPr>
        <w:t xml:space="preserve">  We conclude that precedent is applicable here, for Amtrak’s system is configured to transmit </w:t>
      </w:r>
      <w:r w:rsidR="007963D3" w:rsidRPr="00EB507A">
        <w:rPr>
          <w:szCs w:val="22"/>
        </w:rPr>
        <w:t xml:space="preserve">only </w:t>
      </w:r>
      <w:r w:rsidR="00C649AF" w:rsidRPr="00EB507A">
        <w:rPr>
          <w:szCs w:val="22"/>
        </w:rPr>
        <w:t>data</w:t>
      </w:r>
      <w:r w:rsidR="0012727B" w:rsidRPr="00EB507A">
        <w:rPr>
          <w:szCs w:val="22"/>
        </w:rPr>
        <w:t>,</w:t>
      </w:r>
      <w:r w:rsidR="00C649AF" w:rsidRPr="00EB507A">
        <w:rPr>
          <w:szCs w:val="22"/>
        </w:rPr>
        <w:t xml:space="preserve"> and railroad operations take place in limited locations where the responsible party is easily identifiable.  We therefore waive this requirement.</w:t>
      </w:r>
    </w:p>
    <w:p w:rsidR="00DF1621" w:rsidRPr="00EB507A" w:rsidRDefault="003C0FE4" w:rsidP="006C7CA2">
      <w:pPr>
        <w:pStyle w:val="ParaNum"/>
        <w:jc w:val="left"/>
        <w:rPr>
          <w:szCs w:val="22"/>
        </w:rPr>
      </w:pPr>
      <w:r w:rsidRPr="00EB507A">
        <w:rPr>
          <w:szCs w:val="22"/>
        </w:rPr>
        <w:t xml:space="preserve">Amtrak </w:t>
      </w:r>
      <w:r w:rsidR="00C649AF" w:rsidRPr="00EB507A">
        <w:rPr>
          <w:szCs w:val="22"/>
        </w:rPr>
        <w:t xml:space="preserve">also </w:t>
      </w:r>
      <w:r w:rsidRPr="00EB507A">
        <w:rPr>
          <w:szCs w:val="22"/>
        </w:rPr>
        <w:t>request</w:t>
      </w:r>
      <w:r w:rsidR="00490EC9" w:rsidRPr="00EB507A">
        <w:rPr>
          <w:szCs w:val="22"/>
        </w:rPr>
        <w:t>s</w:t>
      </w:r>
      <w:r w:rsidRPr="00EB507A">
        <w:rPr>
          <w:szCs w:val="22"/>
        </w:rPr>
        <w:t xml:space="preserve"> waiver of</w:t>
      </w:r>
      <w:r w:rsidR="00DF1621" w:rsidRPr="00EB507A">
        <w:rPr>
          <w:szCs w:val="22"/>
        </w:rPr>
        <w:t xml:space="preserve"> the requirements </w:t>
      </w:r>
      <w:r w:rsidR="008D76F3" w:rsidRPr="00EB507A">
        <w:rPr>
          <w:szCs w:val="22"/>
        </w:rPr>
        <w:t xml:space="preserve">that </w:t>
      </w:r>
      <w:r w:rsidR="00A34D3C" w:rsidRPr="00EB507A">
        <w:rPr>
          <w:szCs w:val="22"/>
        </w:rPr>
        <w:t>base</w:t>
      </w:r>
      <w:r w:rsidR="00DF1621" w:rsidRPr="00EB507A">
        <w:rPr>
          <w:szCs w:val="22"/>
        </w:rPr>
        <w:t xml:space="preserve"> and mobile stations accept communications from ships and aircraft</w:t>
      </w:r>
      <w:r w:rsidR="008D76F3" w:rsidRPr="00EB507A">
        <w:rPr>
          <w:rStyle w:val="FootnoteReference"/>
          <w:szCs w:val="22"/>
        </w:rPr>
        <w:footnoteReference w:id="30"/>
      </w:r>
      <w:r w:rsidR="00DF1621" w:rsidRPr="00EB507A">
        <w:rPr>
          <w:szCs w:val="22"/>
        </w:rPr>
        <w:t xml:space="preserve"> and </w:t>
      </w:r>
      <w:r w:rsidR="008D76F3" w:rsidRPr="00EB507A">
        <w:rPr>
          <w:szCs w:val="22"/>
        </w:rPr>
        <w:t>that</w:t>
      </w:r>
      <w:r w:rsidR="00DF1621" w:rsidRPr="00EB507A">
        <w:rPr>
          <w:szCs w:val="22"/>
        </w:rPr>
        <w:t xml:space="preserve"> </w:t>
      </w:r>
      <w:r w:rsidR="00CA6CB1" w:rsidRPr="00EB507A">
        <w:rPr>
          <w:szCs w:val="22"/>
        </w:rPr>
        <w:t>AMTS land stations</w:t>
      </w:r>
      <w:r w:rsidR="00DF1621" w:rsidRPr="00EB507A">
        <w:rPr>
          <w:szCs w:val="22"/>
        </w:rPr>
        <w:t xml:space="preserve"> communicate only with public coast stations</w:t>
      </w:r>
      <w:r w:rsidR="00EB2C95" w:rsidRPr="00EB507A">
        <w:rPr>
          <w:szCs w:val="22"/>
        </w:rPr>
        <w:t>,</w:t>
      </w:r>
      <w:r w:rsidR="008D76F3" w:rsidRPr="00EB507A">
        <w:rPr>
          <w:rStyle w:val="FootnoteReference"/>
          <w:szCs w:val="22"/>
        </w:rPr>
        <w:footnoteReference w:id="31"/>
      </w:r>
      <w:r w:rsidR="00DF1621" w:rsidRPr="00EB507A">
        <w:rPr>
          <w:szCs w:val="22"/>
        </w:rPr>
        <w:t xml:space="preserve"> </w:t>
      </w:r>
      <w:r w:rsidR="008D76F3" w:rsidRPr="00EB507A">
        <w:rPr>
          <w:szCs w:val="22"/>
        </w:rPr>
        <w:t xml:space="preserve">because </w:t>
      </w:r>
      <w:r w:rsidR="00EE5D56" w:rsidRPr="00EB507A">
        <w:rPr>
          <w:szCs w:val="22"/>
        </w:rPr>
        <w:t>the requirements are</w:t>
      </w:r>
      <w:r w:rsidR="00DF1621" w:rsidRPr="00EB507A">
        <w:rPr>
          <w:szCs w:val="22"/>
        </w:rPr>
        <w:t xml:space="preserve"> incompatib</w:t>
      </w:r>
      <w:r w:rsidR="008E26CE" w:rsidRPr="00EB507A">
        <w:rPr>
          <w:szCs w:val="22"/>
        </w:rPr>
        <w:t xml:space="preserve">le with its proposed operations.  </w:t>
      </w:r>
      <w:r w:rsidR="00455929" w:rsidRPr="00EB507A">
        <w:rPr>
          <w:szCs w:val="22"/>
        </w:rPr>
        <w:t xml:space="preserve">Amtrak’s </w:t>
      </w:r>
      <w:r w:rsidR="00E20E44" w:rsidRPr="00EB507A">
        <w:rPr>
          <w:szCs w:val="22"/>
        </w:rPr>
        <w:t xml:space="preserve">PTC </w:t>
      </w:r>
      <w:r w:rsidR="00455929" w:rsidRPr="00EB507A">
        <w:rPr>
          <w:szCs w:val="22"/>
        </w:rPr>
        <w:t xml:space="preserve">system </w:t>
      </w:r>
      <w:r w:rsidR="00E20E44" w:rsidRPr="00EB507A">
        <w:rPr>
          <w:szCs w:val="22"/>
        </w:rPr>
        <w:t>is</w:t>
      </w:r>
      <w:r w:rsidR="00455929" w:rsidRPr="00EB507A">
        <w:rPr>
          <w:szCs w:val="22"/>
        </w:rPr>
        <w:t xml:space="preserve"> </w:t>
      </w:r>
      <w:r w:rsidR="00E20E44" w:rsidRPr="00EB507A">
        <w:rPr>
          <w:szCs w:val="22"/>
        </w:rPr>
        <w:t>a</w:t>
      </w:r>
      <w:r w:rsidR="00F60E96" w:rsidRPr="00EB507A">
        <w:rPr>
          <w:szCs w:val="22"/>
        </w:rPr>
        <w:t xml:space="preserve"> private, internal-</w:t>
      </w:r>
      <w:r w:rsidR="00E20E44" w:rsidRPr="00EB507A">
        <w:rPr>
          <w:szCs w:val="22"/>
        </w:rPr>
        <w:t>use only</w:t>
      </w:r>
      <w:r w:rsidR="00455929" w:rsidRPr="00EB507A">
        <w:rPr>
          <w:szCs w:val="22"/>
        </w:rPr>
        <w:t xml:space="preserve"> </w:t>
      </w:r>
      <w:r w:rsidR="00E20E44" w:rsidRPr="00EB507A">
        <w:rPr>
          <w:szCs w:val="22"/>
        </w:rPr>
        <w:t>system</w:t>
      </w:r>
      <w:r w:rsidR="00455929" w:rsidRPr="00EB507A">
        <w:rPr>
          <w:szCs w:val="22"/>
        </w:rPr>
        <w:t xml:space="preserve"> </w:t>
      </w:r>
      <w:r w:rsidR="00F60E96" w:rsidRPr="00EB507A">
        <w:rPr>
          <w:szCs w:val="22"/>
        </w:rPr>
        <w:t xml:space="preserve">operating </w:t>
      </w:r>
      <w:r w:rsidR="001A403E" w:rsidRPr="00EB507A">
        <w:rPr>
          <w:szCs w:val="22"/>
        </w:rPr>
        <w:t xml:space="preserve">PTC </w:t>
      </w:r>
      <w:r w:rsidR="008E26CE" w:rsidRPr="00EB507A">
        <w:rPr>
          <w:szCs w:val="22"/>
        </w:rPr>
        <w:t>mobile units, base stations and wayside stations</w:t>
      </w:r>
      <w:r w:rsidR="00455929" w:rsidRPr="00EB507A">
        <w:rPr>
          <w:szCs w:val="22"/>
        </w:rPr>
        <w:t xml:space="preserve"> </w:t>
      </w:r>
      <w:r w:rsidR="00F60E96" w:rsidRPr="00EB507A">
        <w:rPr>
          <w:szCs w:val="22"/>
        </w:rPr>
        <w:t xml:space="preserve">to </w:t>
      </w:r>
      <w:r w:rsidR="00173804" w:rsidRPr="00EB507A">
        <w:rPr>
          <w:szCs w:val="22"/>
        </w:rPr>
        <w:t xml:space="preserve">facilitate passenger </w:t>
      </w:r>
      <w:r w:rsidR="00F60E96" w:rsidRPr="00EB507A">
        <w:rPr>
          <w:szCs w:val="22"/>
        </w:rPr>
        <w:t xml:space="preserve">rail services and </w:t>
      </w:r>
      <w:r w:rsidR="00455929" w:rsidRPr="00EB507A">
        <w:rPr>
          <w:szCs w:val="22"/>
        </w:rPr>
        <w:t>cannot provide marine communications</w:t>
      </w:r>
      <w:r w:rsidR="00F60E96" w:rsidRPr="00EB507A">
        <w:rPr>
          <w:szCs w:val="22"/>
        </w:rPr>
        <w:t xml:space="preserve"> services</w:t>
      </w:r>
      <w:r w:rsidR="00DF1621" w:rsidRPr="00EB507A">
        <w:rPr>
          <w:szCs w:val="22"/>
        </w:rPr>
        <w:t>.</w:t>
      </w:r>
      <w:r w:rsidR="00DF1621" w:rsidRPr="00EB507A">
        <w:rPr>
          <w:szCs w:val="22"/>
          <w:vertAlign w:val="superscript"/>
        </w:rPr>
        <w:footnoteReference w:id="32"/>
      </w:r>
      <w:r w:rsidR="00DF1621" w:rsidRPr="00EB507A">
        <w:rPr>
          <w:szCs w:val="22"/>
        </w:rPr>
        <w:t xml:space="preserve">  We conclude that permitting </w:t>
      </w:r>
      <w:r w:rsidR="008E26CE" w:rsidRPr="00EB507A">
        <w:rPr>
          <w:szCs w:val="22"/>
        </w:rPr>
        <w:t>Amtrak’s</w:t>
      </w:r>
      <w:r w:rsidR="00DF1621" w:rsidRPr="00EB507A">
        <w:rPr>
          <w:szCs w:val="22"/>
        </w:rPr>
        <w:t xml:space="preserve"> </w:t>
      </w:r>
      <w:r w:rsidR="001A403E" w:rsidRPr="00EB507A">
        <w:rPr>
          <w:szCs w:val="22"/>
        </w:rPr>
        <w:t>stations</w:t>
      </w:r>
      <w:r w:rsidR="00DF1621" w:rsidRPr="00EB507A">
        <w:rPr>
          <w:szCs w:val="22"/>
        </w:rPr>
        <w:t xml:space="preserve"> to communicate with stations other than public coast </w:t>
      </w:r>
      <w:r w:rsidR="00A34D3C" w:rsidRPr="00EB507A">
        <w:rPr>
          <w:szCs w:val="22"/>
        </w:rPr>
        <w:t xml:space="preserve">and ship </w:t>
      </w:r>
      <w:r w:rsidR="00DF1621" w:rsidRPr="00EB507A">
        <w:rPr>
          <w:szCs w:val="22"/>
        </w:rPr>
        <w:t xml:space="preserve">stations will promote the efficient use of AMTS spectrum and serve the public interest by </w:t>
      </w:r>
      <w:r w:rsidR="008E26CE" w:rsidRPr="00EB507A">
        <w:rPr>
          <w:szCs w:val="22"/>
        </w:rPr>
        <w:t>improving safety in railroad</w:t>
      </w:r>
      <w:r w:rsidR="00DF1621" w:rsidRPr="00EB507A">
        <w:rPr>
          <w:szCs w:val="22"/>
        </w:rPr>
        <w:t xml:space="preserve"> operations.  </w:t>
      </w:r>
      <w:r w:rsidR="00DC7299" w:rsidRPr="00EB507A">
        <w:rPr>
          <w:szCs w:val="22"/>
        </w:rPr>
        <w:t>We therefore waive these requirements</w:t>
      </w:r>
      <w:r w:rsidR="008D76F3" w:rsidRPr="00EB507A">
        <w:rPr>
          <w:szCs w:val="22"/>
        </w:rPr>
        <w:t>.</w:t>
      </w:r>
      <w:r w:rsidR="00CA6CB1" w:rsidRPr="00EB507A">
        <w:rPr>
          <w:rStyle w:val="FootnoteReference"/>
          <w:szCs w:val="22"/>
        </w:rPr>
        <w:footnoteReference w:id="33"/>
      </w:r>
    </w:p>
    <w:p w:rsidR="004A71C7" w:rsidRPr="00EB507A" w:rsidRDefault="008D76F3" w:rsidP="000C18AF">
      <w:pPr>
        <w:pStyle w:val="ParaNum"/>
        <w:widowControl/>
        <w:jc w:val="left"/>
        <w:rPr>
          <w:szCs w:val="22"/>
        </w:rPr>
      </w:pPr>
      <w:r w:rsidRPr="00EB507A">
        <w:rPr>
          <w:szCs w:val="22"/>
        </w:rPr>
        <w:t xml:space="preserve">Amtrak requests a waiver of </w:t>
      </w:r>
      <w:r w:rsidR="0012727B" w:rsidRPr="00EB507A">
        <w:rPr>
          <w:szCs w:val="22"/>
        </w:rPr>
        <w:t xml:space="preserve">the rule </w:t>
      </w:r>
      <w:r w:rsidR="008E411F" w:rsidRPr="00EB507A">
        <w:rPr>
          <w:szCs w:val="22"/>
        </w:rPr>
        <w:t xml:space="preserve">requiring </w:t>
      </w:r>
      <w:r w:rsidRPr="00EB507A">
        <w:rPr>
          <w:szCs w:val="22"/>
        </w:rPr>
        <w:t xml:space="preserve">coast </w:t>
      </w:r>
      <w:r w:rsidR="00F42EB4" w:rsidRPr="00EB507A">
        <w:rPr>
          <w:szCs w:val="22"/>
        </w:rPr>
        <w:t xml:space="preserve">(base) </w:t>
      </w:r>
      <w:r w:rsidRPr="00EB507A">
        <w:rPr>
          <w:szCs w:val="22"/>
        </w:rPr>
        <w:t>station</w:t>
      </w:r>
      <w:r w:rsidR="008E411F" w:rsidRPr="00EB507A">
        <w:rPr>
          <w:szCs w:val="22"/>
        </w:rPr>
        <w:t xml:space="preserve">s to transmit in the lower half of the AMTS band </w:t>
      </w:r>
      <w:r w:rsidRPr="00EB507A">
        <w:rPr>
          <w:szCs w:val="22"/>
        </w:rPr>
        <w:t xml:space="preserve">and ship </w:t>
      </w:r>
      <w:r w:rsidR="00F42EB4" w:rsidRPr="00EB507A">
        <w:rPr>
          <w:szCs w:val="22"/>
        </w:rPr>
        <w:t xml:space="preserve">(mobile) </w:t>
      </w:r>
      <w:r w:rsidRPr="00EB507A">
        <w:rPr>
          <w:szCs w:val="22"/>
        </w:rPr>
        <w:t>station</w:t>
      </w:r>
      <w:r w:rsidR="008E411F" w:rsidRPr="00EB507A">
        <w:rPr>
          <w:szCs w:val="22"/>
        </w:rPr>
        <w:t>s in the upper half.</w:t>
      </w:r>
      <w:r w:rsidR="0012727B" w:rsidRPr="00EB507A">
        <w:rPr>
          <w:rStyle w:val="FootnoteReference"/>
          <w:szCs w:val="22"/>
        </w:rPr>
        <w:footnoteReference w:id="34"/>
      </w:r>
      <w:r w:rsidRPr="00EB507A">
        <w:rPr>
          <w:szCs w:val="22"/>
        </w:rPr>
        <w:t xml:space="preserve">  </w:t>
      </w:r>
      <w:r w:rsidR="00A34D3C" w:rsidRPr="00EB507A">
        <w:rPr>
          <w:szCs w:val="22"/>
        </w:rPr>
        <w:t xml:space="preserve">Amtrak </w:t>
      </w:r>
      <w:r w:rsidR="008E411F" w:rsidRPr="00EB507A">
        <w:rPr>
          <w:szCs w:val="22"/>
        </w:rPr>
        <w:t>is acquiring and leasing spectrum in the</w:t>
      </w:r>
      <w:r w:rsidR="004B1510" w:rsidRPr="00EB507A">
        <w:rPr>
          <w:szCs w:val="22"/>
        </w:rPr>
        <w:t xml:space="preserve"> lower half of the </w:t>
      </w:r>
      <w:r w:rsidR="008E411F" w:rsidRPr="00EB507A">
        <w:rPr>
          <w:szCs w:val="22"/>
        </w:rPr>
        <w:t xml:space="preserve">AMTS band </w:t>
      </w:r>
      <w:r w:rsidR="004B1510" w:rsidRPr="00EB507A">
        <w:rPr>
          <w:szCs w:val="22"/>
        </w:rPr>
        <w:t xml:space="preserve">only, and </w:t>
      </w:r>
      <w:r w:rsidR="00A34D3C" w:rsidRPr="00EB507A">
        <w:rPr>
          <w:szCs w:val="22"/>
        </w:rPr>
        <w:t xml:space="preserve">proposes to operate </w:t>
      </w:r>
      <w:r w:rsidR="00CC2C47" w:rsidRPr="00EB507A">
        <w:rPr>
          <w:szCs w:val="22"/>
        </w:rPr>
        <w:t>base</w:t>
      </w:r>
      <w:r w:rsidR="00A34D3C" w:rsidRPr="00EB507A">
        <w:rPr>
          <w:szCs w:val="22"/>
        </w:rPr>
        <w:t>, mobile, and wayside</w:t>
      </w:r>
      <w:r w:rsidR="00CC2C47" w:rsidRPr="00EB507A">
        <w:rPr>
          <w:szCs w:val="22"/>
        </w:rPr>
        <w:t xml:space="preserve"> transmitters using </w:t>
      </w:r>
      <w:r w:rsidR="004B1510" w:rsidRPr="00EB507A">
        <w:rPr>
          <w:szCs w:val="22"/>
        </w:rPr>
        <w:t xml:space="preserve">that spectrum </w:t>
      </w:r>
      <w:r w:rsidRPr="00EB507A">
        <w:rPr>
          <w:szCs w:val="22"/>
        </w:rPr>
        <w:t>to provide information wireless</w:t>
      </w:r>
      <w:r w:rsidR="007A34CB" w:rsidRPr="00EB507A">
        <w:rPr>
          <w:szCs w:val="22"/>
        </w:rPr>
        <w:t>ly</w:t>
      </w:r>
      <w:r w:rsidRPr="00EB507A">
        <w:rPr>
          <w:szCs w:val="22"/>
        </w:rPr>
        <w:t xml:space="preserve"> to locomotives and rail traffic </w:t>
      </w:r>
      <w:r w:rsidR="00DD0280" w:rsidRPr="00EB507A">
        <w:rPr>
          <w:szCs w:val="22"/>
        </w:rPr>
        <w:t>controllers</w:t>
      </w:r>
      <w:r w:rsidR="00A51389" w:rsidRPr="00EB507A">
        <w:rPr>
          <w:szCs w:val="22"/>
        </w:rPr>
        <w:t>.</w:t>
      </w:r>
      <w:r w:rsidR="00A527DD" w:rsidRPr="00EB507A">
        <w:rPr>
          <w:rStyle w:val="FootnoteReference"/>
          <w:szCs w:val="22"/>
        </w:rPr>
        <w:footnoteReference w:id="35"/>
      </w:r>
      <w:r w:rsidR="00CC2C47" w:rsidRPr="00EB507A">
        <w:rPr>
          <w:szCs w:val="22"/>
        </w:rPr>
        <w:t xml:space="preserve">  </w:t>
      </w:r>
      <w:r w:rsidR="00826189" w:rsidRPr="00EB507A">
        <w:rPr>
          <w:szCs w:val="22"/>
        </w:rPr>
        <w:t>Amtrak will operate in accordance with the antenna height and power levels permitted for AMTS stations</w:t>
      </w:r>
      <w:r w:rsidR="00C649AF" w:rsidRPr="00EB507A">
        <w:rPr>
          <w:szCs w:val="22"/>
        </w:rPr>
        <w:t>,</w:t>
      </w:r>
      <w:r w:rsidR="00240322" w:rsidRPr="00EB507A">
        <w:rPr>
          <w:rStyle w:val="FootnoteReference"/>
          <w:szCs w:val="22"/>
        </w:rPr>
        <w:footnoteReference w:id="36"/>
      </w:r>
      <w:r w:rsidR="00F63A6B" w:rsidRPr="00EB507A">
        <w:rPr>
          <w:szCs w:val="22"/>
        </w:rPr>
        <w:t xml:space="preserve"> </w:t>
      </w:r>
      <w:r w:rsidR="00826189" w:rsidRPr="00EB507A">
        <w:rPr>
          <w:szCs w:val="22"/>
        </w:rPr>
        <w:t xml:space="preserve">thereby providing protection against interference to maritime operations.  </w:t>
      </w:r>
      <w:r w:rsidR="00CC2C47" w:rsidRPr="00EB507A">
        <w:rPr>
          <w:szCs w:val="22"/>
        </w:rPr>
        <w:t xml:space="preserve">Additionally, </w:t>
      </w:r>
      <w:r w:rsidR="00D86FA1" w:rsidRPr="00EB507A">
        <w:rPr>
          <w:szCs w:val="22"/>
        </w:rPr>
        <w:t xml:space="preserve">the proposed </w:t>
      </w:r>
      <w:r w:rsidR="002D6EAF" w:rsidRPr="00EB507A">
        <w:rPr>
          <w:szCs w:val="22"/>
        </w:rPr>
        <w:t xml:space="preserve">limited geographical </w:t>
      </w:r>
      <w:r w:rsidR="007D01A3" w:rsidRPr="00EB507A">
        <w:rPr>
          <w:szCs w:val="22"/>
        </w:rPr>
        <w:t xml:space="preserve">area of </w:t>
      </w:r>
      <w:r w:rsidR="00B3055F" w:rsidRPr="00EB507A">
        <w:rPr>
          <w:szCs w:val="22"/>
        </w:rPr>
        <w:t>operation</w:t>
      </w:r>
      <w:r w:rsidR="00CC2C47" w:rsidRPr="00EB507A">
        <w:rPr>
          <w:rStyle w:val="FootnoteReference"/>
          <w:szCs w:val="22"/>
        </w:rPr>
        <w:footnoteReference w:id="37"/>
      </w:r>
      <w:r w:rsidR="002D6EAF" w:rsidRPr="00EB507A">
        <w:rPr>
          <w:szCs w:val="22"/>
        </w:rPr>
        <w:t xml:space="preserve"> and agreements </w:t>
      </w:r>
      <w:r w:rsidR="007D01A3" w:rsidRPr="00EB507A">
        <w:rPr>
          <w:szCs w:val="22"/>
        </w:rPr>
        <w:t>ensuring Amtrak’s PTC operations do not interfere with</w:t>
      </w:r>
      <w:r w:rsidR="002D6EAF" w:rsidRPr="00EB507A">
        <w:rPr>
          <w:szCs w:val="22"/>
        </w:rPr>
        <w:t xml:space="preserve"> operation</w:t>
      </w:r>
      <w:r w:rsidR="007D01A3" w:rsidRPr="00EB507A">
        <w:rPr>
          <w:szCs w:val="22"/>
        </w:rPr>
        <w:t>s</w:t>
      </w:r>
      <w:r w:rsidR="002D6EAF" w:rsidRPr="00EB507A">
        <w:rPr>
          <w:szCs w:val="22"/>
        </w:rPr>
        <w:t xml:space="preserve"> </w:t>
      </w:r>
      <w:r w:rsidR="007D01A3" w:rsidRPr="00EB507A">
        <w:rPr>
          <w:szCs w:val="22"/>
        </w:rPr>
        <w:t xml:space="preserve">of </w:t>
      </w:r>
      <w:r w:rsidR="002208B8" w:rsidRPr="00EB507A">
        <w:rPr>
          <w:szCs w:val="22"/>
        </w:rPr>
        <w:t xml:space="preserve">co-channel or </w:t>
      </w:r>
      <w:r w:rsidR="007D01A3" w:rsidRPr="00EB507A">
        <w:rPr>
          <w:szCs w:val="22"/>
        </w:rPr>
        <w:t xml:space="preserve">adjacent licensees </w:t>
      </w:r>
      <w:r w:rsidR="002D6EAF" w:rsidRPr="00EB507A">
        <w:rPr>
          <w:szCs w:val="22"/>
        </w:rPr>
        <w:t xml:space="preserve">will protect </w:t>
      </w:r>
      <w:r w:rsidR="007D01A3" w:rsidRPr="00EB507A">
        <w:rPr>
          <w:szCs w:val="22"/>
        </w:rPr>
        <w:t xml:space="preserve">the parties </w:t>
      </w:r>
      <w:r w:rsidR="002D6EAF" w:rsidRPr="00EB507A">
        <w:rPr>
          <w:szCs w:val="22"/>
        </w:rPr>
        <w:t>from interference.</w:t>
      </w:r>
      <w:r w:rsidR="002D6EAF" w:rsidRPr="00EB507A">
        <w:rPr>
          <w:rStyle w:val="FootnoteReference"/>
          <w:szCs w:val="22"/>
        </w:rPr>
        <w:footnoteReference w:id="38"/>
      </w:r>
      <w:r w:rsidR="00CC2C47" w:rsidRPr="00EB507A">
        <w:rPr>
          <w:szCs w:val="22"/>
        </w:rPr>
        <w:t xml:space="preserve">  Because the proposed configuration will not affect other licensees any more than compliant base and mobile stations, we conclude that a waiver of this requirement is warranted.</w:t>
      </w:r>
      <w:r w:rsidR="00CC2C47" w:rsidRPr="00EB507A">
        <w:rPr>
          <w:rStyle w:val="FootnoteReference"/>
          <w:szCs w:val="22"/>
        </w:rPr>
        <w:footnoteReference w:id="39"/>
      </w:r>
    </w:p>
    <w:p w:rsidR="00A105EC" w:rsidRPr="00EB507A" w:rsidRDefault="00F76849" w:rsidP="00A72413">
      <w:pPr>
        <w:pStyle w:val="ParaNum"/>
        <w:jc w:val="left"/>
        <w:rPr>
          <w:szCs w:val="22"/>
        </w:rPr>
      </w:pPr>
      <w:r w:rsidRPr="00EB507A">
        <w:rPr>
          <w:szCs w:val="22"/>
        </w:rPr>
        <w:t xml:space="preserve">Finally, </w:t>
      </w:r>
      <w:r w:rsidR="00E06079" w:rsidRPr="00EB507A">
        <w:rPr>
          <w:szCs w:val="22"/>
        </w:rPr>
        <w:t>Amtrak states that because it will observe the interf</w:t>
      </w:r>
      <w:r w:rsidRPr="00EB507A">
        <w:rPr>
          <w:szCs w:val="22"/>
        </w:rPr>
        <w:t>erence protection criteria for C</w:t>
      </w:r>
      <w:r w:rsidR="00E06079" w:rsidRPr="00EB507A">
        <w:rPr>
          <w:szCs w:val="22"/>
        </w:rPr>
        <w:t xml:space="preserve">hannels 10 and 13 specified in the Commission’s rules (including preparation of a plan to limit any interference to viewers </w:t>
      </w:r>
      <w:r w:rsidRPr="00EB507A">
        <w:rPr>
          <w:szCs w:val="22"/>
        </w:rPr>
        <w:t xml:space="preserve">near </w:t>
      </w:r>
      <w:r w:rsidR="00E06079" w:rsidRPr="00EB507A">
        <w:rPr>
          <w:szCs w:val="22"/>
        </w:rPr>
        <w:t xml:space="preserve">its rail lines), </w:t>
      </w:r>
      <w:r w:rsidR="00AF1C33" w:rsidRPr="00EB507A">
        <w:rPr>
          <w:szCs w:val="22"/>
        </w:rPr>
        <w:t xml:space="preserve">approval of the </w:t>
      </w:r>
      <w:r w:rsidR="00E06079" w:rsidRPr="00EB507A">
        <w:rPr>
          <w:szCs w:val="22"/>
        </w:rPr>
        <w:t>spectrum transaction</w:t>
      </w:r>
      <w:r w:rsidR="00AF1C33" w:rsidRPr="00EB507A">
        <w:rPr>
          <w:szCs w:val="22"/>
        </w:rPr>
        <w:t>s</w:t>
      </w:r>
      <w:r w:rsidR="00E06079" w:rsidRPr="00EB507A">
        <w:rPr>
          <w:szCs w:val="22"/>
        </w:rPr>
        <w:t xml:space="preserve"> and grant of the rule waivers will not harm operations on </w:t>
      </w:r>
      <w:r w:rsidR="00F42EB4" w:rsidRPr="00EB507A">
        <w:rPr>
          <w:szCs w:val="22"/>
        </w:rPr>
        <w:t>C</w:t>
      </w:r>
      <w:r w:rsidR="00E06079" w:rsidRPr="00EB507A">
        <w:rPr>
          <w:szCs w:val="22"/>
        </w:rPr>
        <w:t>hannels 10 and 13.</w:t>
      </w:r>
      <w:r w:rsidR="00E06079" w:rsidRPr="00EB507A">
        <w:rPr>
          <w:rStyle w:val="FootnoteReference"/>
          <w:szCs w:val="22"/>
        </w:rPr>
        <w:footnoteReference w:id="40"/>
      </w:r>
      <w:r w:rsidR="00E06079" w:rsidRPr="00EB507A">
        <w:rPr>
          <w:szCs w:val="22"/>
        </w:rPr>
        <w:t xml:space="preserve">  </w:t>
      </w:r>
      <w:r w:rsidR="00502D80" w:rsidRPr="00EB507A">
        <w:rPr>
          <w:szCs w:val="22"/>
        </w:rPr>
        <w:t>We remind Amtrak that AMTS operations are authorized on the condition that no harmful interference will be caused to reception of existing television stations, and that particular requirements apply to base stations within 169 kilometers (105 miles) of a Channel 13 television station, or within 129 kilometers (80 miles) of a Channel 10 television station.</w:t>
      </w:r>
      <w:r w:rsidR="00502D80" w:rsidRPr="00EB507A">
        <w:rPr>
          <w:rStyle w:val="FootnoteReference"/>
          <w:szCs w:val="22"/>
        </w:rPr>
        <w:footnoteReference w:id="41"/>
      </w:r>
    </w:p>
    <w:p w:rsidR="006B2925" w:rsidRPr="00EB507A" w:rsidRDefault="006B2925" w:rsidP="00A105EC">
      <w:pPr>
        <w:pStyle w:val="Heading1"/>
        <w:rPr>
          <w:szCs w:val="22"/>
        </w:rPr>
      </w:pPr>
      <w:r w:rsidRPr="00EB507A">
        <w:rPr>
          <w:szCs w:val="22"/>
        </w:rPr>
        <w:t xml:space="preserve">CONclusion and </w:t>
      </w:r>
      <w:r w:rsidR="00A105EC" w:rsidRPr="00EB507A">
        <w:rPr>
          <w:szCs w:val="22"/>
        </w:rPr>
        <w:t>Ordering Clauses</w:t>
      </w:r>
    </w:p>
    <w:p w:rsidR="009208E6" w:rsidRPr="00EB507A" w:rsidRDefault="00502D80" w:rsidP="006B2925">
      <w:pPr>
        <w:pStyle w:val="ParaNum"/>
        <w:jc w:val="left"/>
        <w:rPr>
          <w:szCs w:val="22"/>
        </w:rPr>
      </w:pPr>
      <w:r w:rsidRPr="00EB507A">
        <w:rPr>
          <w:szCs w:val="22"/>
        </w:rPr>
        <w:t xml:space="preserve"> </w:t>
      </w:r>
      <w:r w:rsidR="006B2925" w:rsidRPr="00EB507A">
        <w:rPr>
          <w:szCs w:val="22"/>
        </w:rPr>
        <w:t>For the reasons stated above we find good cause to grant the rule waivers requested by Amtrak.</w:t>
      </w:r>
      <w:r w:rsidR="00710C41" w:rsidRPr="00EB507A">
        <w:rPr>
          <w:szCs w:val="22"/>
        </w:rPr>
        <w:t xml:space="preserve"> </w:t>
      </w:r>
      <w:r w:rsidR="009208E6" w:rsidRPr="00EB507A">
        <w:rPr>
          <w:szCs w:val="22"/>
        </w:rPr>
        <w:t xml:space="preserve"> </w:t>
      </w:r>
      <w:r w:rsidR="00182341" w:rsidRPr="00EB507A">
        <w:rPr>
          <w:szCs w:val="22"/>
        </w:rPr>
        <w:t>Our finding of good cause to g</w:t>
      </w:r>
      <w:r w:rsidR="009208E6" w:rsidRPr="00EB507A">
        <w:rPr>
          <w:szCs w:val="22"/>
        </w:rPr>
        <w:t>rant the requested rule waivers is inseparably tied to Congress’ directive that Amtrak, as well as certain freight and commuter railroads, implement PTC safety systems and the substantial public interest benefits that will accrue from a nationwide interoperable rail safety network.</w:t>
      </w:r>
      <w:r w:rsidR="00227B06" w:rsidRPr="00EB507A">
        <w:rPr>
          <w:rStyle w:val="FootnoteReference"/>
          <w:szCs w:val="22"/>
        </w:rPr>
        <w:t xml:space="preserve"> </w:t>
      </w:r>
      <w:r w:rsidR="00227B06" w:rsidRPr="00EB507A">
        <w:rPr>
          <w:rStyle w:val="FootnoteReference"/>
          <w:szCs w:val="22"/>
        </w:rPr>
        <w:footnoteReference w:id="42"/>
      </w:r>
      <w:r w:rsidR="009208E6" w:rsidRPr="00EB507A">
        <w:rPr>
          <w:szCs w:val="22"/>
        </w:rPr>
        <w:t xml:space="preserve">   </w:t>
      </w:r>
    </w:p>
    <w:p w:rsidR="00710C41" w:rsidRPr="00EB507A" w:rsidRDefault="009208E6" w:rsidP="006B2925">
      <w:pPr>
        <w:pStyle w:val="ParaNum"/>
        <w:jc w:val="left"/>
        <w:rPr>
          <w:szCs w:val="22"/>
        </w:rPr>
      </w:pPr>
      <w:r w:rsidRPr="00EB507A">
        <w:rPr>
          <w:szCs w:val="22"/>
        </w:rPr>
        <w:t xml:space="preserve"> F</w:t>
      </w:r>
      <w:r w:rsidR="00710C41" w:rsidRPr="00EB507A">
        <w:rPr>
          <w:szCs w:val="22"/>
        </w:rPr>
        <w:t>urther, we find that the underlying purpose of the rule</w:t>
      </w:r>
      <w:r w:rsidR="00182341" w:rsidRPr="00EB507A">
        <w:rPr>
          <w:szCs w:val="22"/>
        </w:rPr>
        <w:t xml:space="preserve"> sections </w:t>
      </w:r>
      <w:r w:rsidR="00710C41" w:rsidRPr="00EB507A">
        <w:rPr>
          <w:szCs w:val="22"/>
        </w:rPr>
        <w:t>we waive above would not be served by application to the instant case, and that grant of the requested rule waivers would serve the public interest</w:t>
      </w:r>
      <w:r w:rsidRPr="00EB507A">
        <w:rPr>
          <w:szCs w:val="22"/>
        </w:rPr>
        <w:t xml:space="preserve"> of all Americans in rail safety, including the safety of life and property.</w:t>
      </w:r>
      <w:r w:rsidR="00DA1FDF">
        <w:rPr>
          <w:rStyle w:val="FootnoteReference"/>
          <w:szCs w:val="22"/>
        </w:rPr>
        <w:footnoteReference w:id="43"/>
      </w:r>
      <w:r w:rsidRPr="00EB507A">
        <w:rPr>
          <w:szCs w:val="22"/>
        </w:rPr>
        <w:t xml:space="preserve">   We also find that</w:t>
      </w:r>
      <w:r w:rsidR="00710C41" w:rsidRPr="00EB507A">
        <w:rPr>
          <w:szCs w:val="22"/>
        </w:rPr>
        <w:t xml:space="preserve"> Congress’ national rail safety mandate constitutes a unique </w:t>
      </w:r>
      <w:r w:rsidR="00182341" w:rsidRPr="00EB507A">
        <w:rPr>
          <w:szCs w:val="22"/>
        </w:rPr>
        <w:t xml:space="preserve">and unusual </w:t>
      </w:r>
      <w:r w:rsidR="00710C41" w:rsidRPr="00EB507A">
        <w:rPr>
          <w:szCs w:val="22"/>
        </w:rPr>
        <w:t>circumstance, such that strict app</w:t>
      </w:r>
      <w:r w:rsidR="009D1F4E" w:rsidRPr="00EB507A">
        <w:rPr>
          <w:szCs w:val="22"/>
        </w:rPr>
        <w:t xml:space="preserve">lication </w:t>
      </w:r>
      <w:r w:rsidR="00710C41" w:rsidRPr="00EB507A">
        <w:rPr>
          <w:szCs w:val="22"/>
        </w:rPr>
        <w:t>of the rul</w:t>
      </w:r>
      <w:r w:rsidR="009D1F4E" w:rsidRPr="00EB507A">
        <w:rPr>
          <w:szCs w:val="22"/>
        </w:rPr>
        <w:t>e</w:t>
      </w:r>
      <w:r w:rsidR="00182341" w:rsidRPr="00EB507A">
        <w:rPr>
          <w:szCs w:val="22"/>
        </w:rPr>
        <w:t xml:space="preserve"> sections </w:t>
      </w:r>
      <w:r w:rsidR="00710C41" w:rsidRPr="00EB507A">
        <w:rPr>
          <w:szCs w:val="22"/>
        </w:rPr>
        <w:t xml:space="preserve">we </w:t>
      </w:r>
      <w:r w:rsidR="009D1F4E" w:rsidRPr="00EB507A">
        <w:rPr>
          <w:szCs w:val="22"/>
        </w:rPr>
        <w:t>w</w:t>
      </w:r>
      <w:r w:rsidR="00710C41" w:rsidRPr="00EB507A">
        <w:rPr>
          <w:szCs w:val="22"/>
        </w:rPr>
        <w:t>ai</w:t>
      </w:r>
      <w:r w:rsidR="009D1F4E" w:rsidRPr="00EB507A">
        <w:rPr>
          <w:szCs w:val="22"/>
        </w:rPr>
        <w:t>v</w:t>
      </w:r>
      <w:r w:rsidR="00710C41" w:rsidRPr="00EB507A">
        <w:rPr>
          <w:szCs w:val="22"/>
        </w:rPr>
        <w:t>e ab</w:t>
      </w:r>
      <w:r w:rsidR="009D1F4E" w:rsidRPr="00EB507A">
        <w:rPr>
          <w:szCs w:val="22"/>
        </w:rPr>
        <w:t xml:space="preserve">ove </w:t>
      </w:r>
      <w:r w:rsidR="00710C41" w:rsidRPr="00EB507A">
        <w:rPr>
          <w:szCs w:val="22"/>
        </w:rPr>
        <w:t>would be contrary to the public interest</w:t>
      </w:r>
      <w:r w:rsidR="009D1F4E" w:rsidRPr="00EB507A">
        <w:rPr>
          <w:szCs w:val="22"/>
        </w:rPr>
        <w:t>.</w:t>
      </w:r>
      <w:r w:rsidR="00DA1FDF">
        <w:rPr>
          <w:rStyle w:val="FootnoteReference"/>
          <w:szCs w:val="22"/>
        </w:rPr>
        <w:footnoteReference w:id="44"/>
      </w:r>
      <w:r w:rsidR="00DA1FDF">
        <w:rPr>
          <w:szCs w:val="22"/>
        </w:rPr>
        <w:t xml:space="preserve"> </w:t>
      </w:r>
    </w:p>
    <w:p w:rsidR="006B2925" w:rsidRPr="00EB507A" w:rsidRDefault="0053561A" w:rsidP="006B2925">
      <w:pPr>
        <w:pStyle w:val="ParaNum"/>
        <w:jc w:val="left"/>
        <w:rPr>
          <w:szCs w:val="22"/>
        </w:rPr>
      </w:pPr>
      <w:r w:rsidRPr="00EB507A">
        <w:rPr>
          <w:szCs w:val="22"/>
        </w:rPr>
        <w:t xml:space="preserve">Accordingly, </w:t>
      </w:r>
      <w:r w:rsidR="00621A82" w:rsidRPr="00EB507A">
        <w:rPr>
          <w:szCs w:val="22"/>
        </w:rPr>
        <w:t>IT IS ORDERED</w:t>
      </w:r>
      <w:r w:rsidRPr="00EB507A">
        <w:rPr>
          <w:szCs w:val="22"/>
        </w:rPr>
        <w:t>,</w:t>
      </w:r>
      <w:r w:rsidR="00621A82" w:rsidRPr="00EB507A">
        <w:rPr>
          <w:szCs w:val="22"/>
        </w:rPr>
        <w:t xml:space="preserve"> </w:t>
      </w:r>
      <w:r w:rsidR="00373C82" w:rsidRPr="00EB507A">
        <w:rPr>
          <w:szCs w:val="22"/>
        </w:rPr>
        <w:t xml:space="preserve">pursuant to Sections </w:t>
      </w:r>
      <w:r w:rsidR="00227B06" w:rsidRPr="00EB507A">
        <w:rPr>
          <w:szCs w:val="22"/>
        </w:rPr>
        <w:t xml:space="preserve">1, </w:t>
      </w:r>
      <w:r w:rsidR="00373C82" w:rsidRPr="00EB507A">
        <w:rPr>
          <w:szCs w:val="22"/>
        </w:rPr>
        <w:t>4(i) and 30</w:t>
      </w:r>
      <w:r w:rsidR="002C08EE" w:rsidRPr="00EB507A">
        <w:rPr>
          <w:szCs w:val="22"/>
        </w:rPr>
        <w:t>9</w:t>
      </w:r>
      <w:r w:rsidR="00373C82" w:rsidRPr="00EB507A">
        <w:rPr>
          <w:szCs w:val="22"/>
        </w:rPr>
        <w:t>(</w:t>
      </w:r>
      <w:r w:rsidR="002C08EE" w:rsidRPr="00EB507A">
        <w:rPr>
          <w:szCs w:val="22"/>
        </w:rPr>
        <w:t>a</w:t>
      </w:r>
      <w:r w:rsidR="00373C82" w:rsidRPr="00EB507A">
        <w:rPr>
          <w:szCs w:val="22"/>
        </w:rPr>
        <w:t xml:space="preserve">) of the Communications Act of 1934, as amended, 47 U.S.C. §§ </w:t>
      </w:r>
      <w:r w:rsidR="00227B06" w:rsidRPr="00EB507A">
        <w:rPr>
          <w:szCs w:val="22"/>
        </w:rPr>
        <w:t xml:space="preserve">151, </w:t>
      </w:r>
      <w:r w:rsidR="00373C82" w:rsidRPr="00EB507A">
        <w:rPr>
          <w:szCs w:val="22"/>
        </w:rPr>
        <w:t>154(i), 30</w:t>
      </w:r>
      <w:r w:rsidR="002C08EE" w:rsidRPr="00EB507A">
        <w:rPr>
          <w:szCs w:val="22"/>
        </w:rPr>
        <w:t>9</w:t>
      </w:r>
      <w:r w:rsidR="00373C82" w:rsidRPr="00EB507A">
        <w:rPr>
          <w:szCs w:val="22"/>
        </w:rPr>
        <w:t>(</w:t>
      </w:r>
      <w:r w:rsidR="002C08EE" w:rsidRPr="00EB507A">
        <w:rPr>
          <w:szCs w:val="22"/>
        </w:rPr>
        <w:t>a</w:t>
      </w:r>
      <w:r w:rsidR="00373C82" w:rsidRPr="00EB507A">
        <w:rPr>
          <w:szCs w:val="22"/>
        </w:rPr>
        <w:t>), and Section</w:t>
      </w:r>
      <w:r w:rsidR="00080DC3" w:rsidRPr="00EB507A">
        <w:rPr>
          <w:szCs w:val="22"/>
        </w:rPr>
        <w:t>s</w:t>
      </w:r>
      <w:r w:rsidR="00373C82" w:rsidRPr="00EB507A">
        <w:rPr>
          <w:szCs w:val="22"/>
        </w:rPr>
        <w:t xml:space="preserve"> </w:t>
      </w:r>
      <w:r w:rsidR="00080DC3" w:rsidRPr="00EB507A">
        <w:rPr>
          <w:szCs w:val="22"/>
        </w:rPr>
        <w:t xml:space="preserve">1.3 and </w:t>
      </w:r>
      <w:r w:rsidR="00373C82" w:rsidRPr="00EB507A">
        <w:rPr>
          <w:szCs w:val="22"/>
        </w:rPr>
        <w:t xml:space="preserve">1.925 of the Commission's Rules, 47 C.F.R. </w:t>
      </w:r>
      <w:r w:rsidR="00080DC3" w:rsidRPr="00EB507A">
        <w:rPr>
          <w:szCs w:val="22"/>
        </w:rPr>
        <w:t>§§</w:t>
      </w:r>
      <w:r w:rsidR="00373C82" w:rsidRPr="00EB507A">
        <w:rPr>
          <w:szCs w:val="22"/>
        </w:rPr>
        <w:t xml:space="preserve"> </w:t>
      </w:r>
      <w:r w:rsidR="00080DC3" w:rsidRPr="00EB507A">
        <w:rPr>
          <w:szCs w:val="22"/>
        </w:rPr>
        <w:t xml:space="preserve">1.3, </w:t>
      </w:r>
      <w:r w:rsidR="00373C82" w:rsidRPr="00EB507A">
        <w:rPr>
          <w:szCs w:val="22"/>
        </w:rPr>
        <w:t xml:space="preserve">1.925, </w:t>
      </w:r>
      <w:r w:rsidR="008816F1" w:rsidRPr="00EB507A">
        <w:rPr>
          <w:szCs w:val="22"/>
        </w:rPr>
        <w:t>that</w:t>
      </w:r>
      <w:r w:rsidR="009600BF" w:rsidRPr="00EB507A">
        <w:rPr>
          <w:szCs w:val="22"/>
        </w:rPr>
        <w:t xml:space="preserve"> FCC File Nos. </w:t>
      </w:r>
      <w:r w:rsidR="0022508C" w:rsidRPr="00EB507A">
        <w:rPr>
          <w:szCs w:val="22"/>
        </w:rPr>
        <w:t>0006590008, 0006591371, 0006591407, 0006591411,</w:t>
      </w:r>
      <w:r w:rsidR="008816F1" w:rsidRPr="00EB507A">
        <w:rPr>
          <w:szCs w:val="22"/>
        </w:rPr>
        <w:t xml:space="preserve"> filed December 19, 2014, </w:t>
      </w:r>
      <w:r w:rsidR="0022508C" w:rsidRPr="00EB507A">
        <w:rPr>
          <w:szCs w:val="22"/>
        </w:rPr>
        <w:t>0006591789, 0006591792, 0006591797, 0006591802,</w:t>
      </w:r>
      <w:r w:rsidR="008816F1" w:rsidRPr="00EB507A">
        <w:rPr>
          <w:szCs w:val="22"/>
        </w:rPr>
        <w:t xml:space="preserve"> filed December 2</w:t>
      </w:r>
      <w:r w:rsidR="00182341" w:rsidRPr="00EB507A">
        <w:rPr>
          <w:szCs w:val="22"/>
        </w:rPr>
        <w:t>2</w:t>
      </w:r>
      <w:r w:rsidR="008816F1" w:rsidRPr="00EB507A">
        <w:rPr>
          <w:szCs w:val="22"/>
        </w:rPr>
        <w:t xml:space="preserve">, 2014, </w:t>
      </w:r>
      <w:r w:rsidR="0022508C" w:rsidRPr="00EB507A">
        <w:rPr>
          <w:szCs w:val="22"/>
        </w:rPr>
        <w:t>0006595882, 0006595960, 0006596057, 0006596073, 0006596254, 0006596258, 0006596264, 0006596268</w:t>
      </w:r>
      <w:r w:rsidR="008816F1" w:rsidRPr="00EB507A">
        <w:rPr>
          <w:szCs w:val="22"/>
        </w:rPr>
        <w:t xml:space="preserve">, filed December 26, 2014, and the related Request for Waiver filed with each application </w:t>
      </w:r>
      <w:r w:rsidR="006F7051">
        <w:rPr>
          <w:szCs w:val="22"/>
        </w:rPr>
        <w:t xml:space="preserve">and </w:t>
      </w:r>
      <w:r w:rsidR="008816F1" w:rsidRPr="00EB507A">
        <w:rPr>
          <w:szCs w:val="22"/>
        </w:rPr>
        <w:t xml:space="preserve">amended on February 25, 2015 by the National Railroad Passenger Corporation </w:t>
      </w:r>
      <w:r w:rsidR="006A683A" w:rsidRPr="00EB507A">
        <w:rPr>
          <w:szCs w:val="22"/>
        </w:rPr>
        <w:t>ARE GRANTED</w:t>
      </w:r>
      <w:r w:rsidRPr="00EB507A">
        <w:rPr>
          <w:szCs w:val="22"/>
        </w:rPr>
        <w:t xml:space="preserve"> </w:t>
      </w:r>
      <w:r w:rsidR="009600BF" w:rsidRPr="00EB507A">
        <w:rPr>
          <w:szCs w:val="22"/>
        </w:rPr>
        <w:t xml:space="preserve">consistent with this </w:t>
      </w:r>
      <w:r w:rsidR="009600BF" w:rsidRPr="00EB507A">
        <w:rPr>
          <w:i/>
          <w:szCs w:val="22"/>
        </w:rPr>
        <w:t>Order</w:t>
      </w:r>
      <w:r w:rsidR="009600BF" w:rsidRPr="00EB507A">
        <w:rPr>
          <w:szCs w:val="22"/>
        </w:rPr>
        <w:t xml:space="preserve"> and the Commission’s Rules</w:t>
      </w:r>
      <w:r w:rsidR="00373C82" w:rsidRPr="00EB507A">
        <w:rPr>
          <w:szCs w:val="22"/>
        </w:rPr>
        <w:t>.</w:t>
      </w:r>
    </w:p>
    <w:p w:rsidR="00CE3266" w:rsidRDefault="0043142C" w:rsidP="006B2925">
      <w:pPr>
        <w:pStyle w:val="ParaNum"/>
        <w:jc w:val="left"/>
        <w:rPr>
          <w:szCs w:val="22"/>
        </w:rPr>
      </w:pPr>
      <w:r w:rsidRPr="00EB507A">
        <w:rPr>
          <w:szCs w:val="22"/>
        </w:rPr>
        <w:t xml:space="preserve">IT IS FURTHER ORDERED that the Request for Waiver filed by </w:t>
      </w:r>
      <w:r w:rsidR="00F76849" w:rsidRPr="00EB507A">
        <w:rPr>
          <w:szCs w:val="22"/>
        </w:rPr>
        <w:t xml:space="preserve">the </w:t>
      </w:r>
      <w:r w:rsidRPr="00EB507A">
        <w:rPr>
          <w:szCs w:val="22"/>
        </w:rPr>
        <w:t>National Railroad Passenger Corporation on January 3, 2011</w:t>
      </w:r>
      <w:r w:rsidR="003D3DAB" w:rsidRPr="00EB507A">
        <w:rPr>
          <w:szCs w:val="22"/>
        </w:rPr>
        <w:t xml:space="preserve">, </w:t>
      </w:r>
      <w:r w:rsidR="00577D6B" w:rsidRPr="00EB507A">
        <w:rPr>
          <w:szCs w:val="22"/>
        </w:rPr>
        <w:t xml:space="preserve">WT Docket 11-27, </w:t>
      </w:r>
      <w:r w:rsidR="003D3DAB" w:rsidRPr="00EB507A">
        <w:rPr>
          <w:szCs w:val="22"/>
        </w:rPr>
        <w:t>IS DISMISSED AS MOOT</w:t>
      </w:r>
      <w:r w:rsidR="00AF1C33" w:rsidRPr="00EB507A">
        <w:rPr>
          <w:szCs w:val="22"/>
        </w:rPr>
        <w:t>, and WT Docket</w:t>
      </w:r>
      <w:r w:rsidR="00BF2969">
        <w:rPr>
          <w:szCs w:val="22"/>
        </w:rPr>
        <w:t xml:space="preserve"> No. </w:t>
      </w:r>
      <w:r w:rsidR="00AF1C33" w:rsidRPr="00EB507A">
        <w:rPr>
          <w:szCs w:val="22"/>
        </w:rPr>
        <w:t xml:space="preserve">11-27 </w:t>
      </w:r>
      <w:r w:rsidR="00B25BBD" w:rsidRPr="00EB507A">
        <w:rPr>
          <w:szCs w:val="22"/>
        </w:rPr>
        <w:t>IS TERMINATED</w:t>
      </w:r>
      <w:r w:rsidR="003D3DAB" w:rsidRPr="00EB507A">
        <w:rPr>
          <w:szCs w:val="22"/>
        </w:rPr>
        <w:t>.</w:t>
      </w:r>
    </w:p>
    <w:p w:rsidR="00CE3266" w:rsidRDefault="00CE3266">
      <w:pPr>
        <w:rPr>
          <w:szCs w:val="22"/>
        </w:rPr>
      </w:pPr>
      <w:r>
        <w:rPr>
          <w:szCs w:val="22"/>
        </w:rPr>
        <w:br w:type="page"/>
      </w:r>
    </w:p>
    <w:p w:rsidR="00373C82" w:rsidRPr="00EB507A" w:rsidRDefault="00373C82" w:rsidP="000C18AF">
      <w:pPr>
        <w:pStyle w:val="ParaNum"/>
        <w:widowControl/>
        <w:jc w:val="left"/>
        <w:rPr>
          <w:szCs w:val="22"/>
        </w:rPr>
      </w:pPr>
      <w:r w:rsidRPr="00EB507A">
        <w:rPr>
          <w:szCs w:val="22"/>
        </w:rPr>
        <w:t>This action is taken under delegated authority pursuant to Sections 0.131 and 0.331 of the Commission's Rules, 47 C.F.R. §§ 0.131, 0.331.</w:t>
      </w:r>
    </w:p>
    <w:p w:rsidR="007963D3" w:rsidRPr="00EB507A" w:rsidRDefault="007963D3" w:rsidP="007963D3">
      <w:pPr>
        <w:tabs>
          <w:tab w:val="left" w:pos="1260"/>
        </w:tabs>
        <w:rPr>
          <w:szCs w:val="22"/>
        </w:rPr>
      </w:pPr>
    </w:p>
    <w:p w:rsidR="00373C82" w:rsidRPr="00EB507A" w:rsidRDefault="00373C82" w:rsidP="00373C82">
      <w:pPr>
        <w:pStyle w:val="ParaNum"/>
        <w:numPr>
          <w:ilvl w:val="0"/>
          <w:numId w:val="0"/>
        </w:numPr>
        <w:tabs>
          <w:tab w:val="clear" w:pos="1440"/>
        </w:tabs>
        <w:jc w:val="left"/>
        <w:rPr>
          <w:szCs w:val="22"/>
        </w:rPr>
      </w:pPr>
      <w:r w:rsidRPr="00EB507A">
        <w:rPr>
          <w:spacing w:val="-2"/>
          <w:szCs w:val="22"/>
        </w:rPr>
        <w:tab/>
      </w:r>
      <w:r w:rsidRPr="00EB507A">
        <w:rPr>
          <w:spacing w:val="-2"/>
          <w:szCs w:val="22"/>
        </w:rPr>
        <w:tab/>
      </w:r>
      <w:r w:rsidRPr="00EB507A">
        <w:rPr>
          <w:spacing w:val="-2"/>
          <w:szCs w:val="22"/>
        </w:rPr>
        <w:tab/>
      </w:r>
      <w:r w:rsidRPr="00EB507A">
        <w:rPr>
          <w:spacing w:val="-2"/>
          <w:szCs w:val="22"/>
        </w:rPr>
        <w:tab/>
      </w:r>
      <w:r w:rsidRPr="00EB507A">
        <w:rPr>
          <w:spacing w:val="-2"/>
          <w:szCs w:val="22"/>
        </w:rPr>
        <w:tab/>
      </w:r>
      <w:r w:rsidRPr="00EB507A">
        <w:rPr>
          <w:spacing w:val="-2"/>
          <w:szCs w:val="22"/>
        </w:rPr>
        <w:tab/>
        <w:t>FEDERAL COMMUNICATIONS COMMISSION</w:t>
      </w:r>
    </w:p>
    <w:p w:rsidR="00373C82" w:rsidRPr="00EB507A" w:rsidRDefault="00373C82" w:rsidP="00373C82">
      <w:pPr>
        <w:keepNext/>
        <w:keepLines/>
        <w:tabs>
          <w:tab w:val="left" w:pos="-1440"/>
          <w:tab w:val="left" w:pos="-720"/>
        </w:tabs>
        <w:suppressAutoHyphens/>
        <w:spacing w:line="227" w:lineRule="auto"/>
        <w:rPr>
          <w:spacing w:val="-2"/>
          <w:szCs w:val="22"/>
        </w:rPr>
      </w:pPr>
    </w:p>
    <w:p w:rsidR="00373C82" w:rsidRPr="00EB507A" w:rsidRDefault="00373C82" w:rsidP="00373C82">
      <w:pPr>
        <w:keepNext/>
        <w:keepLines/>
        <w:tabs>
          <w:tab w:val="left" w:pos="-1440"/>
          <w:tab w:val="left" w:pos="-720"/>
        </w:tabs>
        <w:suppressAutoHyphens/>
        <w:spacing w:line="227" w:lineRule="auto"/>
        <w:rPr>
          <w:spacing w:val="-2"/>
          <w:szCs w:val="22"/>
        </w:rPr>
      </w:pPr>
    </w:p>
    <w:p w:rsidR="0099090D" w:rsidRPr="00EB507A" w:rsidRDefault="00373C82" w:rsidP="00373C82">
      <w:pPr>
        <w:rPr>
          <w:szCs w:val="22"/>
        </w:rPr>
      </w:pPr>
      <w:r w:rsidRPr="00EB507A">
        <w:rPr>
          <w:szCs w:val="22"/>
        </w:rPr>
        <w:tab/>
      </w:r>
      <w:r w:rsidRPr="00EB507A">
        <w:rPr>
          <w:szCs w:val="22"/>
        </w:rPr>
        <w:tab/>
      </w:r>
      <w:r w:rsidRPr="00EB507A">
        <w:rPr>
          <w:szCs w:val="22"/>
        </w:rPr>
        <w:tab/>
      </w:r>
      <w:r w:rsidRPr="00EB507A">
        <w:rPr>
          <w:szCs w:val="22"/>
        </w:rPr>
        <w:tab/>
      </w:r>
      <w:r w:rsidRPr="00EB507A">
        <w:rPr>
          <w:szCs w:val="22"/>
        </w:rPr>
        <w:tab/>
      </w:r>
      <w:r w:rsidRPr="00EB507A">
        <w:rPr>
          <w:szCs w:val="22"/>
        </w:rPr>
        <w:tab/>
      </w:r>
      <w:r w:rsidR="000C18AF">
        <w:rPr>
          <w:szCs w:val="22"/>
        </w:rPr>
        <w:t>Lloyd W. Coward</w:t>
      </w:r>
      <w:r w:rsidRPr="00EB507A">
        <w:rPr>
          <w:szCs w:val="22"/>
        </w:rPr>
        <w:tab/>
      </w:r>
      <w:r w:rsidRPr="00EB507A">
        <w:rPr>
          <w:szCs w:val="22"/>
        </w:rPr>
        <w:tab/>
      </w:r>
      <w:r w:rsidRPr="00EB507A">
        <w:rPr>
          <w:szCs w:val="22"/>
        </w:rPr>
        <w:tab/>
      </w:r>
      <w:r w:rsidRPr="00EB507A">
        <w:rPr>
          <w:szCs w:val="22"/>
        </w:rPr>
        <w:tab/>
      </w:r>
      <w:r w:rsidRPr="00EB507A">
        <w:rPr>
          <w:szCs w:val="22"/>
        </w:rPr>
        <w:tab/>
      </w:r>
      <w:r w:rsidRPr="00EB507A">
        <w:rPr>
          <w:szCs w:val="22"/>
        </w:rPr>
        <w:tab/>
      </w:r>
      <w:r w:rsidRPr="00EB507A">
        <w:rPr>
          <w:szCs w:val="22"/>
        </w:rPr>
        <w:tab/>
      </w:r>
      <w:r w:rsidRPr="00EB507A">
        <w:rPr>
          <w:szCs w:val="22"/>
        </w:rPr>
        <w:tab/>
      </w:r>
      <w:r w:rsidRPr="00EB507A">
        <w:rPr>
          <w:szCs w:val="22"/>
        </w:rPr>
        <w:tab/>
      </w:r>
      <w:r w:rsidRPr="00EB507A">
        <w:rPr>
          <w:szCs w:val="22"/>
        </w:rPr>
        <w:tab/>
      </w:r>
      <w:r w:rsidRPr="00EB507A">
        <w:rPr>
          <w:szCs w:val="22"/>
        </w:rPr>
        <w:tab/>
        <w:t>Deputy Chief, Mobility Division</w:t>
      </w:r>
      <w:r w:rsidRPr="00EB507A">
        <w:rPr>
          <w:szCs w:val="22"/>
        </w:rPr>
        <w:tab/>
      </w:r>
      <w:r w:rsidRPr="00EB507A">
        <w:rPr>
          <w:szCs w:val="22"/>
        </w:rPr>
        <w:tab/>
      </w:r>
      <w:r w:rsidRPr="00EB507A">
        <w:rPr>
          <w:szCs w:val="22"/>
        </w:rPr>
        <w:tab/>
      </w:r>
      <w:r w:rsidRPr="00EB507A">
        <w:rPr>
          <w:szCs w:val="22"/>
        </w:rPr>
        <w:tab/>
      </w:r>
      <w:r w:rsidRPr="00EB507A">
        <w:rPr>
          <w:szCs w:val="22"/>
        </w:rPr>
        <w:tab/>
      </w:r>
      <w:r w:rsidRPr="00EB507A">
        <w:rPr>
          <w:szCs w:val="22"/>
        </w:rPr>
        <w:tab/>
      </w:r>
      <w:r w:rsidRPr="00EB507A">
        <w:rPr>
          <w:szCs w:val="22"/>
        </w:rPr>
        <w:tab/>
      </w:r>
      <w:r w:rsidRPr="00EB507A">
        <w:rPr>
          <w:szCs w:val="22"/>
        </w:rPr>
        <w:tab/>
      </w:r>
      <w:r w:rsidRPr="00EB507A">
        <w:rPr>
          <w:szCs w:val="22"/>
        </w:rPr>
        <w:tab/>
        <w:t>Wireless Telecommunications Bureau</w:t>
      </w:r>
    </w:p>
    <w:sectPr w:rsidR="0099090D" w:rsidRPr="00EB50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C2C" w:rsidRDefault="00CC1C2C">
      <w:r>
        <w:separator/>
      </w:r>
    </w:p>
  </w:endnote>
  <w:endnote w:type="continuationSeparator" w:id="0">
    <w:p w:rsidR="00CC1C2C" w:rsidRDefault="00CC1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806" w:rsidRDefault="000418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47" w:rsidRDefault="00CC2C47">
    <w:pPr>
      <w:pStyle w:val="Footer"/>
      <w:jc w:val="center"/>
    </w:pPr>
    <w:r>
      <w:rPr>
        <w:rStyle w:val="PageNumber"/>
      </w:rPr>
      <w:fldChar w:fldCharType="begin"/>
    </w:r>
    <w:r>
      <w:rPr>
        <w:rStyle w:val="PageNumber"/>
      </w:rPr>
      <w:instrText xml:space="preserve"> PAGE </w:instrText>
    </w:r>
    <w:r>
      <w:rPr>
        <w:rStyle w:val="PageNumber"/>
      </w:rPr>
      <w:fldChar w:fldCharType="separate"/>
    </w:r>
    <w:r w:rsidR="002F0289">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806" w:rsidRDefault="00041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C2C" w:rsidRDefault="00CC1C2C">
      <w:pPr>
        <w:rPr>
          <w:sz w:val="20"/>
        </w:rPr>
      </w:pPr>
      <w:r>
        <w:rPr>
          <w:sz w:val="20"/>
        </w:rPr>
        <w:separator/>
      </w:r>
    </w:p>
  </w:footnote>
  <w:footnote w:type="continuationSeparator" w:id="0">
    <w:p w:rsidR="00CC1C2C" w:rsidRDefault="00CC1C2C">
      <w:pPr>
        <w:rPr>
          <w:sz w:val="20"/>
        </w:rPr>
      </w:pPr>
      <w:r>
        <w:rPr>
          <w:sz w:val="20"/>
        </w:rPr>
        <w:separator/>
      </w:r>
    </w:p>
    <w:p w:rsidR="00CC1C2C" w:rsidRDefault="00CC1C2C">
      <w:pPr>
        <w:rPr>
          <w:sz w:val="20"/>
        </w:rPr>
      </w:pPr>
      <w:r>
        <w:rPr>
          <w:sz w:val="20"/>
        </w:rPr>
        <w:t>(...continued from previous page)</w:t>
      </w:r>
    </w:p>
  </w:footnote>
  <w:footnote w:type="continuationNotice" w:id="1">
    <w:p w:rsidR="00CC1C2C" w:rsidRDefault="00CC1C2C">
      <w:pPr>
        <w:jc w:val="right"/>
        <w:rPr>
          <w:sz w:val="20"/>
        </w:rPr>
      </w:pPr>
      <w:r>
        <w:rPr>
          <w:sz w:val="20"/>
        </w:rPr>
        <w:t>(continued....)</w:t>
      </w:r>
    </w:p>
  </w:footnote>
  <w:footnote w:id="2">
    <w:p w:rsidR="003F36DD" w:rsidRPr="008D76F3" w:rsidRDefault="003F36DD" w:rsidP="001506AF">
      <w:pPr>
        <w:pStyle w:val="FootnoteText"/>
        <w:jc w:val="left"/>
      </w:pPr>
      <w:r w:rsidRPr="008D76F3">
        <w:rPr>
          <w:rStyle w:val="FootnoteReference"/>
        </w:rPr>
        <w:footnoteRef/>
      </w:r>
      <w:r w:rsidRPr="008D76F3">
        <w:t xml:space="preserve"> Rail Safety Improvement Act of </w:t>
      </w:r>
      <w:r>
        <w:t>2008, Pub. L. No. 110-432, 122 S</w:t>
      </w:r>
      <w:r w:rsidRPr="008D76F3">
        <w:t>tat. 4848 (2008).</w:t>
      </w:r>
    </w:p>
  </w:footnote>
  <w:footnote w:id="3">
    <w:p w:rsidR="00750D95" w:rsidRDefault="00750D95" w:rsidP="001506AF">
      <w:pPr>
        <w:pStyle w:val="FootnoteText"/>
        <w:jc w:val="left"/>
      </w:pPr>
      <w:r>
        <w:rPr>
          <w:rStyle w:val="FootnoteReference"/>
        </w:rPr>
        <w:footnoteRef/>
      </w:r>
      <w:r>
        <w:t xml:space="preserve"> Amtrak previously procured spectrum for the New York City to Boston portion of the </w:t>
      </w:r>
      <w:r w:rsidRPr="00DC7299">
        <w:rPr>
          <w:szCs w:val="22"/>
        </w:rPr>
        <w:t>Northeast Corridor</w:t>
      </w:r>
      <w:r>
        <w:rPr>
          <w:szCs w:val="22"/>
        </w:rPr>
        <w:t xml:space="preserve"> (NEC).  </w:t>
      </w:r>
      <w:r w:rsidRPr="00D90E03">
        <w:t xml:space="preserve">More than 260 million passenger trips are made on the </w:t>
      </w:r>
      <w:r w:rsidRPr="00DC7299">
        <w:rPr>
          <w:szCs w:val="22"/>
        </w:rPr>
        <w:t>N</w:t>
      </w:r>
      <w:r>
        <w:rPr>
          <w:szCs w:val="22"/>
        </w:rPr>
        <w:t>EC</w:t>
      </w:r>
      <w:r w:rsidRPr="00D90E03">
        <w:t xml:space="preserve"> </w:t>
      </w:r>
      <w:r>
        <w:t>each year</w:t>
      </w:r>
      <w:r w:rsidRPr="00D90E03">
        <w:t xml:space="preserve">, </w:t>
      </w:r>
      <w:r>
        <w:t xml:space="preserve">including </w:t>
      </w:r>
      <w:r w:rsidRPr="00D90E03">
        <w:t>more than 17 million trips by Amtrak passengers.</w:t>
      </w:r>
      <w:r>
        <w:t xml:space="preserve">  </w:t>
      </w:r>
      <w:r w:rsidRPr="00D90E03">
        <w:t>The balance of these trips</w:t>
      </w:r>
      <w:r w:rsidR="005F559B">
        <w:t xml:space="preserve"> is </w:t>
      </w:r>
      <w:r w:rsidRPr="00D90E03">
        <w:t xml:space="preserve">provided by eight commuter railroads that share the NEC. </w:t>
      </w:r>
      <w:r>
        <w:t xml:space="preserve"> </w:t>
      </w:r>
      <w:r w:rsidRPr="00C64F94">
        <w:rPr>
          <w:i/>
        </w:rPr>
        <w:t>See</w:t>
      </w:r>
      <w:r>
        <w:t xml:space="preserve"> Northeast Corridor Fact Sheet, available at</w:t>
      </w:r>
      <w:r w:rsidRPr="00750D95">
        <w:t xml:space="preserve"> </w:t>
      </w:r>
      <w:hyperlink r:id="rId1" w:history="1">
        <w:r w:rsidRPr="002C2B50">
          <w:rPr>
            <w:rStyle w:val="Hyperlink"/>
          </w:rPr>
          <w:t>http://nec.amtrak.com/node/321</w:t>
        </w:r>
      </w:hyperlink>
      <w:r>
        <w:t xml:space="preserve">, website lasted visited </w:t>
      </w:r>
      <w:r w:rsidR="00A60BCC">
        <w:t>March 3</w:t>
      </w:r>
      <w:r>
        <w:t xml:space="preserve">, 2015.  </w:t>
      </w:r>
    </w:p>
  </w:footnote>
  <w:footnote w:id="4">
    <w:p w:rsidR="004F6013" w:rsidRPr="008D76F3" w:rsidRDefault="004F6013" w:rsidP="001506AF">
      <w:pPr>
        <w:pStyle w:val="FootnoteText"/>
        <w:jc w:val="left"/>
      </w:pPr>
      <w:r w:rsidRPr="008D76F3">
        <w:rPr>
          <w:rStyle w:val="FootnoteReference"/>
        </w:rPr>
        <w:footnoteRef/>
      </w:r>
      <w:r w:rsidRPr="008D76F3">
        <w:t xml:space="preserve"> FCC File Nos. 0006590008, 0006591371, 0006591407</w:t>
      </w:r>
      <w:r w:rsidR="0013700A">
        <w:t>,</w:t>
      </w:r>
      <w:r w:rsidRPr="008D76F3">
        <w:t xml:space="preserve"> and 0006591411 (filed Dec. 19, 2014).  </w:t>
      </w:r>
    </w:p>
  </w:footnote>
  <w:footnote w:id="5">
    <w:p w:rsidR="004F6013" w:rsidRDefault="004F6013" w:rsidP="001506AF">
      <w:pPr>
        <w:pStyle w:val="FootnoteText"/>
        <w:jc w:val="left"/>
      </w:pPr>
      <w:r>
        <w:rPr>
          <w:rStyle w:val="FootnoteReference"/>
        </w:rPr>
        <w:footnoteRef/>
      </w:r>
      <w:r>
        <w:t xml:space="preserve"> </w:t>
      </w:r>
      <w:r w:rsidR="008B5CD9">
        <w:t>FCC File Nos. 0006591789, 0006591792, 0006591797</w:t>
      </w:r>
      <w:r w:rsidR="0013700A">
        <w:t>,</w:t>
      </w:r>
      <w:r w:rsidR="00182341">
        <w:t xml:space="preserve"> and 0006591802 (filed Dec. 22</w:t>
      </w:r>
      <w:r w:rsidR="008B5CD9">
        <w:t xml:space="preserve">, 2014); </w:t>
      </w:r>
      <w:r w:rsidR="008B5CD9">
        <w:rPr>
          <w:szCs w:val="22"/>
        </w:rPr>
        <w:t>0006595882, 0006595960, 0006596057, 0006596073, 0006596254, 0006596258, 0006596264</w:t>
      </w:r>
      <w:r w:rsidR="0013700A">
        <w:rPr>
          <w:szCs w:val="22"/>
        </w:rPr>
        <w:t>,</w:t>
      </w:r>
      <w:r w:rsidR="0012727B">
        <w:rPr>
          <w:szCs w:val="22"/>
        </w:rPr>
        <w:t xml:space="preserve"> and</w:t>
      </w:r>
      <w:r w:rsidR="008B5CD9">
        <w:rPr>
          <w:szCs w:val="22"/>
        </w:rPr>
        <w:t xml:space="preserve"> 0006596268 (filed Dec. 26, 2014).</w:t>
      </w:r>
    </w:p>
  </w:footnote>
  <w:footnote w:id="6">
    <w:p w:rsidR="008C3D9D" w:rsidRDefault="008C3D9D">
      <w:pPr>
        <w:pStyle w:val="FootnoteText"/>
      </w:pPr>
      <w:r>
        <w:rPr>
          <w:rStyle w:val="FootnoteReference"/>
        </w:rPr>
        <w:footnoteRef/>
      </w:r>
      <w:r>
        <w:t xml:space="preserve"> FCC File </w:t>
      </w:r>
      <w:r w:rsidR="00C42C0C">
        <w:t>N</w:t>
      </w:r>
      <w:r>
        <w:t xml:space="preserve">os. 0006591789, 0006591792, 0006591797, 0006591802, and </w:t>
      </w:r>
      <w:r>
        <w:rPr>
          <w:szCs w:val="22"/>
        </w:rPr>
        <w:t>0006596258.</w:t>
      </w:r>
    </w:p>
  </w:footnote>
  <w:footnote w:id="7">
    <w:p w:rsidR="00991984" w:rsidRPr="008D76F3" w:rsidRDefault="00991984" w:rsidP="001506AF">
      <w:pPr>
        <w:pStyle w:val="FootnoteText"/>
        <w:jc w:val="left"/>
        <w:rPr>
          <w:spacing w:val="-3"/>
        </w:rPr>
      </w:pPr>
      <w:r w:rsidRPr="008D76F3">
        <w:rPr>
          <w:rStyle w:val="FootnoteReference"/>
          <w:spacing w:val="-2"/>
        </w:rPr>
        <w:footnoteRef/>
      </w:r>
      <w:r w:rsidRPr="008D76F3">
        <w:tab/>
      </w:r>
      <w:r w:rsidRPr="008D76F3">
        <w:rPr>
          <w:i/>
        </w:rPr>
        <w:t xml:space="preserve">See </w:t>
      </w:r>
      <w:r w:rsidRPr="008D76F3">
        <w:t xml:space="preserve">Amendment of Parts 2 and 80 of the Commission's Rules Applicable to Automated Maritime Telecommunications Systems (AMTS), </w:t>
      </w:r>
      <w:r w:rsidRPr="008D76F3">
        <w:rPr>
          <w:i/>
        </w:rPr>
        <w:t>First Report and Order</w:t>
      </w:r>
      <w:r w:rsidRPr="008D76F3">
        <w:t>, RM-5712, 6 FCC Rcd 437 (1991).</w:t>
      </w:r>
    </w:p>
  </w:footnote>
  <w:footnote w:id="8">
    <w:p w:rsidR="00991984" w:rsidRPr="008D76F3" w:rsidRDefault="00991984" w:rsidP="001506AF">
      <w:pPr>
        <w:pStyle w:val="FootnoteText"/>
        <w:jc w:val="left"/>
      </w:pPr>
      <w:r w:rsidRPr="008D76F3">
        <w:rPr>
          <w:rStyle w:val="FootnoteReference"/>
        </w:rPr>
        <w:footnoteRef/>
      </w:r>
      <w:r w:rsidRPr="008D76F3">
        <w:t xml:space="preserve"> </w:t>
      </w:r>
      <w:r w:rsidRPr="008D76F3">
        <w:rPr>
          <w:i/>
        </w:rPr>
        <w:t xml:space="preserve">See </w:t>
      </w:r>
      <w:r w:rsidRPr="008D76F3">
        <w:t xml:space="preserve">Amendment of the Commission’s Rules Concerning Maritime Communications, </w:t>
      </w:r>
      <w:r w:rsidRPr="008D76F3">
        <w:rPr>
          <w:i/>
        </w:rPr>
        <w:t>Second Report and Order and Second Further Notice of Proposed Rule Making</w:t>
      </w:r>
      <w:r w:rsidRPr="008D76F3">
        <w:t xml:space="preserve">, PR Docket No. 92-257, 12 FCC Rcd 16949, 16965 </w:t>
      </w:r>
      <w:r w:rsidRPr="008D76F3">
        <w:rPr>
          <w:snapToGrid w:val="0"/>
        </w:rPr>
        <w:t>¶ 24</w:t>
      </w:r>
      <w:r w:rsidRPr="008D76F3">
        <w:t xml:space="preserve"> (1997)</w:t>
      </w:r>
      <w:r w:rsidRPr="008D76F3">
        <w:rPr>
          <w:snapToGrid w:val="0"/>
        </w:rPr>
        <w:t>.</w:t>
      </w:r>
    </w:p>
  </w:footnote>
  <w:footnote w:id="9">
    <w:p w:rsidR="00991984" w:rsidRPr="008D76F3" w:rsidRDefault="00991984" w:rsidP="001506AF">
      <w:pPr>
        <w:pStyle w:val="FootnoteText"/>
        <w:jc w:val="left"/>
      </w:pPr>
      <w:r w:rsidRPr="008D76F3">
        <w:rPr>
          <w:rStyle w:val="FootnoteReference"/>
        </w:rPr>
        <w:footnoteRef/>
      </w:r>
      <w:r w:rsidRPr="008D76F3">
        <w:t xml:space="preserve"> </w:t>
      </w:r>
      <w:r w:rsidR="007963D3" w:rsidRPr="008D76F3">
        <w:rPr>
          <w:i/>
        </w:rPr>
        <w:t xml:space="preserve">See </w:t>
      </w:r>
      <w:r w:rsidRPr="008D76F3">
        <w:t xml:space="preserve">Maritel, Inc. and Mobex Network Services, LLC, </w:t>
      </w:r>
      <w:r w:rsidRPr="008D76F3">
        <w:rPr>
          <w:i/>
        </w:rPr>
        <w:t>Report and Order</w:t>
      </w:r>
      <w:r w:rsidRPr="008D76F3">
        <w:t>, WT Docket No. 04-257, 22 FCC Rcd 8971 (2007) (</w:t>
      </w:r>
      <w:r w:rsidRPr="008D76F3">
        <w:rPr>
          <w:i/>
        </w:rPr>
        <w:t>Flexibility Order</w:t>
      </w:r>
      <w:r w:rsidRPr="008D76F3">
        <w:t xml:space="preserve">), </w:t>
      </w:r>
      <w:r w:rsidRPr="008D76F3">
        <w:rPr>
          <w:i/>
        </w:rPr>
        <w:t>aff’d</w:t>
      </w:r>
      <w:r w:rsidRPr="008D76F3">
        <w:t xml:space="preserve">, 25 FCC Rcd 533 (2010), </w:t>
      </w:r>
      <w:r w:rsidRPr="008D76F3">
        <w:rPr>
          <w:i/>
        </w:rPr>
        <w:t>aff’d</w:t>
      </w:r>
      <w:r w:rsidRPr="008D76F3">
        <w:t xml:space="preserve">, 26 FCC Rcd 2491, </w:t>
      </w:r>
      <w:r w:rsidRPr="008D76F3">
        <w:rPr>
          <w:i/>
        </w:rPr>
        <w:t xml:space="preserve">review </w:t>
      </w:r>
      <w:r w:rsidR="00320257">
        <w:rPr>
          <w:i/>
        </w:rPr>
        <w:t>dismissed</w:t>
      </w:r>
      <w:r w:rsidR="00320257">
        <w:t>, 26 FCC Rcd 16579 (2011)</w:t>
      </w:r>
      <w:r w:rsidRPr="008D76F3">
        <w:t>.</w:t>
      </w:r>
    </w:p>
  </w:footnote>
  <w:footnote w:id="10">
    <w:p w:rsidR="00467C88" w:rsidRPr="008D76F3" w:rsidRDefault="00467C88" w:rsidP="001506AF">
      <w:pPr>
        <w:pStyle w:val="FootnoteText"/>
        <w:jc w:val="left"/>
      </w:pPr>
      <w:r w:rsidRPr="008D76F3">
        <w:rPr>
          <w:rStyle w:val="FootnoteReference"/>
        </w:rPr>
        <w:footnoteRef/>
      </w:r>
      <w:r w:rsidRPr="008D76F3">
        <w:t xml:space="preserve"> </w:t>
      </w:r>
      <w:r w:rsidR="00A34647" w:rsidRPr="00A34647">
        <w:rPr>
          <w:i/>
        </w:rPr>
        <w:t>See supra</w:t>
      </w:r>
      <w:r w:rsidR="00A34647">
        <w:t xml:space="preserve"> note 1.</w:t>
      </w:r>
    </w:p>
  </w:footnote>
  <w:footnote w:id="11">
    <w:p w:rsidR="00467C88" w:rsidRPr="008D76F3" w:rsidRDefault="00467C88" w:rsidP="001506AF">
      <w:pPr>
        <w:pStyle w:val="FootnoteText"/>
        <w:jc w:val="left"/>
      </w:pPr>
      <w:r w:rsidRPr="008D76F3">
        <w:rPr>
          <w:rStyle w:val="FootnoteReference"/>
        </w:rPr>
        <w:footnoteRef/>
      </w:r>
      <w:r w:rsidRPr="008D76F3">
        <w:t xml:space="preserve"> </w:t>
      </w:r>
      <w:r w:rsidRPr="008D76F3">
        <w:rPr>
          <w:i/>
        </w:rPr>
        <w:t xml:space="preserve">See </w:t>
      </w:r>
      <w:r w:rsidRPr="008D76F3">
        <w:t xml:space="preserve">Request of PTC-220, LLC for Waivers of Certain 220 MHz Rules, </w:t>
      </w:r>
      <w:r w:rsidRPr="008D76F3">
        <w:rPr>
          <w:i/>
        </w:rPr>
        <w:t>Memorandum Opinion and Order</w:t>
      </w:r>
      <w:r w:rsidRPr="008D76F3">
        <w:t xml:space="preserve">, 24 FCC Rcd 8537 (WTB 2009); Application for Consent to the Assignment of a Five-Channel 220 MHz Nationwide License to the Association of American Railroads, </w:t>
      </w:r>
      <w:r w:rsidRPr="008D76F3">
        <w:rPr>
          <w:i/>
        </w:rPr>
        <w:t>Order</w:t>
      </w:r>
      <w:r w:rsidRPr="008D76F3">
        <w:t xml:space="preserve">, 18 FCC Rcd 24711 (WTB </w:t>
      </w:r>
      <w:r w:rsidR="007963D3">
        <w:t xml:space="preserve">CWD </w:t>
      </w:r>
      <w:r w:rsidRPr="008D76F3">
        <w:t>2003).</w:t>
      </w:r>
    </w:p>
  </w:footnote>
  <w:footnote w:id="12">
    <w:p w:rsidR="002003B9" w:rsidRPr="008D76F3" w:rsidRDefault="002003B9" w:rsidP="001506AF">
      <w:pPr>
        <w:pStyle w:val="FootnoteText"/>
        <w:jc w:val="left"/>
      </w:pPr>
      <w:r w:rsidRPr="008D76F3">
        <w:rPr>
          <w:rStyle w:val="FootnoteReference"/>
        </w:rPr>
        <w:footnoteRef/>
      </w:r>
      <w:r w:rsidRPr="008D76F3">
        <w:t xml:space="preserve"> </w:t>
      </w:r>
      <w:r w:rsidRPr="008D76F3">
        <w:rPr>
          <w:i/>
        </w:rPr>
        <w:t xml:space="preserve">See </w:t>
      </w:r>
      <w:r w:rsidRPr="008D76F3">
        <w:t>2014 Waiver Request at 2.</w:t>
      </w:r>
    </w:p>
  </w:footnote>
  <w:footnote w:id="13">
    <w:p w:rsidR="003848E0" w:rsidRPr="008D76F3" w:rsidRDefault="003848E0" w:rsidP="001506AF">
      <w:pPr>
        <w:pStyle w:val="FootnoteText"/>
        <w:jc w:val="left"/>
      </w:pPr>
      <w:r w:rsidRPr="008D76F3">
        <w:rPr>
          <w:rStyle w:val="FootnoteReference"/>
        </w:rPr>
        <w:footnoteRef/>
      </w:r>
      <w:r w:rsidRPr="008D76F3">
        <w:t xml:space="preserve"> </w:t>
      </w:r>
      <w:r w:rsidRPr="008D76F3">
        <w:rPr>
          <w:i/>
        </w:rPr>
        <w:t>See</w:t>
      </w:r>
      <w:r w:rsidR="00BF5827">
        <w:rPr>
          <w:i/>
        </w:rPr>
        <w:t xml:space="preserve"> </w:t>
      </w:r>
      <w:r w:rsidR="00DA1FDF">
        <w:rPr>
          <w:i/>
        </w:rPr>
        <w:t xml:space="preserve">id. </w:t>
      </w:r>
      <w:r w:rsidR="00BF5827">
        <w:t>at</w:t>
      </w:r>
      <w:r w:rsidRPr="008D76F3">
        <w:t xml:space="preserve"> 1.</w:t>
      </w:r>
    </w:p>
  </w:footnote>
  <w:footnote w:id="14">
    <w:p w:rsidR="00CC2C47" w:rsidRPr="008D76F3" w:rsidRDefault="00CC2C47" w:rsidP="001506AF">
      <w:pPr>
        <w:pStyle w:val="FootnoteText"/>
        <w:jc w:val="left"/>
      </w:pPr>
      <w:r w:rsidRPr="008D76F3">
        <w:rPr>
          <w:rStyle w:val="FootnoteReference"/>
        </w:rPr>
        <w:footnoteRef/>
      </w:r>
      <w:r w:rsidRPr="008D76F3">
        <w:t xml:space="preserve"> </w:t>
      </w:r>
      <w:r w:rsidR="0060129D" w:rsidRPr="008D76F3">
        <w:rPr>
          <w:i/>
        </w:rPr>
        <w:t>See</w:t>
      </w:r>
      <w:r w:rsidR="00BF5827">
        <w:t xml:space="preserve">, </w:t>
      </w:r>
      <w:r w:rsidR="00BF5827">
        <w:rPr>
          <w:i/>
        </w:rPr>
        <w:t>e.g.</w:t>
      </w:r>
      <w:r w:rsidR="00BF5827">
        <w:t>,</w:t>
      </w:r>
      <w:r w:rsidR="0060129D" w:rsidRPr="008D76F3">
        <w:rPr>
          <w:i/>
        </w:rPr>
        <w:t xml:space="preserve"> </w:t>
      </w:r>
      <w:r w:rsidR="00863129" w:rsidRPr="008D76F3">
        <w:t>FCC File Nos. 0006590008, 0006591371, 0006591407 and 0006591411</w:t>
      </w:r>
      <w:r w:rsidR="00DD25BE">
        <w:t xml:space="preserve">, </w:t>
      </w:r>
      <w:r w:rsidR="00DD25BE" w:rsidRPr="008D76F3">
        <w:t xml:space="preserve">Description of Transaction and Public Interest Statement at 2 </w:t>
      </w:r>
      <w:r w:rsidR="00151562" w:rsidRPr="008D76F3">
        <w:t xml:space="preserve">(filed Dec. 19, 2014) </w:t>
      </w:r>
      <w:r w:rsidR="00DD53D5" w:rsidRPr="008D76F3">
        <w:t>(Transaction Description).</w:t>
      </w:r>
    </w:p>
  </w:footnote>
  <w:footnote w:id="15">
    <w:p w:rsidR="00BF5827" w:rsidRPr="008D76F3" w:rsidRDefault="00BF5827" w:rsidP="001506AF">
      <w:pPr>
        <w:pStyle w:val="FootnoteText"/>
        <w:jc w:val="left"/>
      </w:pPr>
      <w:r w:rsidRPr="008D76F3">
        <w:rPr>
          <w:rStyle w:val="FootnoteReference"/>
        </w:rPr>
        <w:footnoteRef/>
      </w:r>
      <w:r w:rsidRPr="008D76F3">
        <w:t xml:space="preserve"> </w:t>
      </w:r>
      <w:r w:rsidRPr="008D76F3">
        <w:rPr>
          <w:i/>
        </w:rPr>
        <w:t xml:space="preserve">See </w:t>
      </w:r>
      <w:r w:rsidRPr="008D76F3">
        <w:t xml:space="preserve">2014 Waiver Request at </w:t>
      </w:r>
      <w:r>
        <w:t xml:space="preserve">Attachment A.  </w:t>
      </w:r>
      <w:r w:rsidR="00887B2C">
        <w:t xml:space="preserve">Amtrak notes that the Southern California Regional Rail Authority has requested similar waivers to implement a PTC system using AMTS spectrum in Southern California.  </w:t>
      </w:r>
      <w:r w:rsidR="00887B2C" w:rsidRPr="00887B2C">
        <w:rPr>
          <w:i/>
        </w:rPr>
        <w:t>See</w:t>
      </w:r>
      <w:r w:rsidR="00887B2C">
        <w:t xml:space="preserve"> 2014 Waiver Request at note 10 (citing Request of the Southern California Regional Rail Authority for Waiver of Certain Part 80 Rules, FCC File No. 0004144</w:t>
      </w:r>
      <w:r w:rsidR="004F10C7">
        <w:t>4</w:t>
      </w:r>
      <w:r w:rsidR="00887B2C">
        <w:t>35).</w:t>
      </w:r>
      <w:r w:rsidR="004F10C7">
        <w:t xml:space="preserve">  </w:t>
      </w:r>
      <w:r>
        <w:t xml:space="preserve">Initially, the 2014 Waiver Request also requested </w:t>
      </w:r>
      <w:r w:rsidRPr="00A20813">
        <w:t>waiver of 47 C.F.R. §§ 80.102(a), 80.123(d), 80.123(g), 80.475(c) and 80.479(c)</w:t>
      </w:r>
      <w:r>
        <w:t xml:space="preserve">, but Amtrak withdrew the request with respect to those rules on </w:t>
      </w:r>
      <w:r w:rsidR="00947AEF" w:rsidRPr="009208E6">
        <w:t>February</w:t>
      </w:r>
      <w:r w:rsidR="004F10C7" w:rsidRPr="009208E6">
        <w:t xml:space="preserve"> </w:t>
      </w:r>
      <w:r w:rsidR="009208E6" w:rsidRPr="009208E6">
        <w:t>25</w:t>
      </w:r>
      <w:r w:rsidR="00947AEF" w:rsidRPr="009208E6">
        <w:t>, 2015</w:t>
      </w:r>
      <w:r w:rsidRPr="009208E6">
        <w:t>,</w:t>
      </w:r>
      <w:r>
        <w:t xml:space="preserve"> after consultation with Commission staff.</w:t>
      </w:r>
    </w:p>
  </w:footnote>
  <w:footnote w:id="16">
    <w:p w:rsidR="0077162D" w:rsidRDefault="0077162D" w:rsidP="001506AF">
      <w:pPr>
        <w:pStyle w:val="FootnoteText"/>
        <w:jc w:val="left"/>
      </w:pPr>
      <w:r>
        <w:rPr>
          <w:rStyle w:val="FootnoteReference"/>
        </w:rPr>
        <w:footnoteRef/>
      </w:r>
      <w:r>
        <w:t xml:space="preserve"> </w:t>
      </w:r>
      <w:r>
        <w:rPr>
          <w:i/>
        </w:rPr>
        <w:t xml:space="preserve">See </w:t>
      </w:r>
      <w:r>
        <w:t xml:space="preserve">Request for Waiver (filed Jan. 3, 2011) (2011 Waiver Request).  </w:t>
      </w:r>
      <w:r w:rsidRPr="008D76F3">
        <w:t xml:space="preserve">  </w:t>
      </w:r>
    </w:p>
  </w:footnote>
  <w:footnote w:id="17">
    <w:p w:rsidR="0077162D" w:rsidRDefault="0077162D" w:rsidP="001506AF">
      <w:pPr>
        <w:pStyle w:val="FootnoteText"/>
        <w:jc w:val="left"/>
      </w:pPr>
      <w:r>
        <w:rPr>
          <w:rStyle w:val="FootnoteReference"/>
        </w:rPr>
        <w:footnoteRef/>
      </w:r>
      <w:r>
        <w:t xml:space="preserve"> </w:t>
      </w:r>
      <w:r w:rsidRPr="008D76F3">
        <w:t xml:space="preserve">The 2011 Waiver Request </w:t>
      </w:r>
      <w:r>
        <w:t xml:space="preserve">was placed on </w:t>
      </w:r>
      <w:r w:rsidRPr="008D76F3">
        <w:t xml:space="preserve">public notice on February 18, 2011.  </w:t>
      </w:r>
      <w:r>
        <w:rPr>
          <w:i/>
        </w:rPr>
        <w:t>S</w:t>
      </w:r>
      <w:r w:rsidRPr="008D76F3">
        <w:rPr>
          <w:i/>
        </w:rPr>
        <w:t xml:space="preserve">ee </w:t>
      </w:r>
      <w:r w:rsidRPr="008D76F3">
        <w:t xml:space="preserve">Wireless Telecommunications Bureau Seeks Comment on National Railroad Passenger Corporation (Amtrak) Request for Waiver of Certain Part 80 Automated Maritime Telecommunications System (AMTS) Rules to Implement Positive Train Control (PTC), </w:t>
      </w:r>
      <w:r w:rsidRPr="008D76F3">
        <w:rPr>
          <w:i/>
        </w:rPr>
        <w:t>Public Notice</w:t>
      </w:r>
      <w:r w:rsidRPr="008D76F3">
        <w:t xml:space="preserve">, </w:t>
      </w:r>
      <w:r>
        <w:t xml:space="preserve">WT Docket No. 11-27, </w:t>
      </w:r>
      <w:r w:rsidRPr="008D76F3">
        <w:t>26 FCC Rcd 1979 (WTB MD 2011).</w:t>
      </w:r>
      <w:r>
        <w:t xml:space="preserve">  </w:t>
      </w:r>
      <w:r w:rsidRPr="008D76F3">
        <w:t>Commenters Association of American Railroads, Southern California Regional Rail Authority, Federal Railroad Administration, and PTC-220, LLC support</w:t>
      </w:r>
      <w:r>
        <w:t>ed</w:t>
      </w:r>
      <w:r w:rsidRPr="008D76F3">
        <w:t xml:space="preserve"> the request</w:t>
      </w:r>
      <w:r>
        <w:t>; c</w:t>
      </w:r>
      <w:r w:rsidRPr="008D76F3">
        <w:t xml:space="preserve">ommenters Hammett &amp; Edison, Inc., Cohen Dippell and Everist P.C., and Skybridge Spectrum Foundation, ATLIS Wireless LLC, V2G LLC, Environmentel LLC, Verde Systems LLC, Telesaurus Holdings GB LLC and Intelligent Transportation &amp; Monitoring Wireless LLC </w:t>
      </w:r>
      <w:r>
        <w:t xml:space="preserve">opposed </w:t>
      </w:r>
      <w:r w:rsidRPr="008D76F3">
        <w:t>the request.</w:t>
      </w:r>
    </w:p>
  </w:footnote>
  <w:footnote w:id="18">
    <w:p w:rsidR="00CC2C47" w:rsidRPr="008D76F3" w:rsidRDefault="00CC2C47" w:rsidP="001506AF">
      <w:pPr>
        <w:pStyle w:val="FootnoteText"/>
        <w:jc w:val="left"/>
        <w:rPr>
          <w:i/>
        </w:rPr>
      </w:pPr>
      <w:r w:rsidRPr="008D76F3">
        <w:rPr>
          <w:rStyle w:val="FootnoteReference"/>
        </w:rPr>
        <w:footnoteRef/>
      </w:r>
      <w:r w:rsidRPr="008D76F3">
        <w:t xml:space="preserve"> 47 C.F.R. § 1.925(b)(3); </w:t>
      </w:r>
      <w:r w:rsidRPr="008D76F3">
        <w:rPr>
          <w:i/>
        </w:rPr>
        <w:t>see also WAIT Radio v FCC</w:t>
      </w:r>
      <w:r w:rsidRPr="008D76F3">
        <w:t xml:space="preserve">, 418 F. 2d 1153, 1159 (D.C. Cir. 1969).  In addition, when the Commission amended its rules to permit AMTS stations to provide private correspondence service to units on land, it stated that the following factors would be considered in evaluating waiver requests:  (a) whether the applicant will provide priority to maritime communications, (b) the distance of a </w:t>
      </w:r>
      <w:r w:rsidRPr="008D76F3">
        <w:rPr>
          <w:bCs/>
        </w:rPr>
        <w:t>proposed</w:t>
      </w:r>
      <w:r w:rsidRPr="008D76F3">
        <w:t xml:space="preserve"> </w:t>
      </w:r>
      <w:r w:rsidRPr="008D76F3">
        <w:rPr>
          <w:bCs/>
        </w:rPr>
        <w:t>land</w:t>
      </w:r>
      <w:r w:rsidRPr="008D76F3">
        <w:t xml:space="preserve"> </w:t>
      </w:r>
      <w:r w:rsidRPr="008D76F3">
        <w:rPr>
          <w:bCs/>
        </w:rPr>
        <w:t>mobile</w:t>
      </w:r>
      <w:r w:rsidRPr="008D76F3">
        <w:t xml:space="preserve"> radio operation from the nearest navigable waterways, (c) the magnitude of divergence sought from specific </w:t>
      </w:r>
      <w:r w:rsidRPr="008D76F3">
        <w:rPr>
          <w:bCs/>
        </w:rPr>
        <w:t>Part</w:t>
      </w:r>
      <w:r w:rsidRPr="008D76F3">
        <w:t xml:space="preserve"> </w:t>
      </w:r>
      <w:r w:rsidRPr="008D76F3">
        <w:rPr>
          <w:bCs/>
        </w:rPr>
        <w:t>80</w:t>
      </w:r>
      <w:r w:rsidRPr="008D76F3">
        <w:t xml:space="preserve"> technical requirements, (d) whether alternative </w:t>
      </w:r>
      <w:r w:rsidRPr="008D76F3">
        <w:rPr>
          <w:bCs/>
        </w:rPr>
        <w:t>spectrum</w:t>
      </w:r>
      <w:r w:rsidRPr="008D76F3">
        <w:t xml:space="preserve"> that could accommodate the </w:t>
      </w:r>
      <w:r w:rsidRPr="008D76F3">
        <w:rPr>
          <w:bCs/>
        </w:rPr>
        <w:t>proposed</w:t>
      </w:r>
      <w:r w:rsidRPr="008D76F3">
        <w:t xml:space="preserve"> </w:t>
      </w:r>
      <w:r w:rsidR="008803FC">
        <w:t>private land mobile radio</w:t>
      </w:r>
      <w:r w:rsidRPr="008D76F3">
        <w:t xml:space="preserve"> </w:t>
      </w:r>
      <w:r w:rsidR="00CA6CB1">
        <w:t xml:space="preserve">(PLMR) </w:t>
      </w:r>
      <w:r w:rsidRPr="008D76F3">
        <w:t xml:space="preserve">or other </w:t>
      </w:r>
      <w:r w:rsidRPr="008D76F3">
        <w:rPr>
          <w:bCs/>
        </w:rPr>
        <w:t>land</w:t>
      </w:r>
      <w:r w:rsidRPr="008D76F3">
        <w:t xml:space="preserve"> </w:t>
      </w:r>
      <w:r w:rsidRPr="008D76F3">
        <w:rPr>
          <w:bCs/>
        </w:rPr>
        <w:t>mobile</w:t>
      </w:r>
      <w:r w:rsidRPr="008D76F3">
        <w:t xml:space="preserve"> radio service is unavailable or unsuitable for that purpose, and (e) whether grant of the </w:t>
      </w:r>
      <w:r w:rsidRPr="008D76F3">
        <w:rPr>
          <w:bCs/>
        </w:rPr>
        <w:t>waiver</w:t>
      </w:r>
      <w:r w:rsidRPr="008D76F3">
        <w:t xml:space="preserve"> would benefit public safety or homeland security (including support of critical infrastructure).  </w:t>
      </w:r>
      <w:r w:rsidRPr="008D76F3">
        <w:rPr>
          <w:i/>
        </w:rPr>
        <w:t>See Flexibility Order</w:t>
      </w:r>
      <w:r w:rsidRPr="008D76F3">
        <w:t>, 22 FCC Rcd at 8986-87 ¶ 26.</w:t>
      </w:r>
    </w:p>
  </w:footnote>
  <w:footnote w:id="19">
    <w:p w:rsidR="00080DC3" w:rsidRPr="00FB039D" w:rsidRDefault="00080DC3" w:rsidP="001506AF">
      <w:pPr>
        <w:pStyle w:val="FootnoteText"/>
        <w:jc w:val="left"/>
      </w:pPr>
      <w:r w:rsidRPr="00FB039D">
        <w:rPr>
          <w:rStyle w:val="FootnoteReference"/>
        </w:rPr>
        <w:footnoteRef/>
      </w:r>
      <w:r w:rsidRPr="00FB039D">
        <w:t xml:space="preserve"> 47 C.F.R. § 1.3.</w:t>
      </w:r>
    </w:p>
  </w:footnote>
  <w:footnote w:id="20">
    <w:p w:rsidR="00B47158" w:rsidRPr="008D76F3" w:rsidRDefault="00B47158" w:rsidP="001506AF">
      <w:pPr>
        <w:pStyle w:val="FootnoteText"/>
        <w:jc w:val="left"/>
      </w:pPr>
      <w:r w:rsidRPr="008D76F3">
        <w:rPr>
          <w:rStyle w:val="FootnoteReference"/>
        </w:rPr>
        <w:footnoteRef/>
      </w:r>
      <w:r w:rsidRPr="008D76F3">
        <w:t xml:space="preserve"> 47 C.F.R. § 80.92(a).</w:t>
      </w:r>
    </w:p>
  </w:footnote>
  <w:footnote w:id="21">
    <w:p w:rsidR="00714B36" w:rsidRPr="008D76F3" w:rsidRDefault="00714B36" w:rsidP="001506AF">
      <w:pPr>
        <w:pStyle w:val="FootnoteText"/>
        <w:jc w:val="left"/>
      </w:pPr>
      <w:r w:rsidRPr="008D76F3">
        <w:rPr>
          <w:rStyle w:val="FootnoteReference"/>
        </w:rPr>
        <w:footnoteRef/>
      </w:r>
      <w:r w:rsidRPr="008D76F3">
        <w:t xml:space="preserve"> 47 C.F.R. § 80.123(b).</w:t>
      </w:r>
    </w:p>
  </w:footnote>
  <w:footnote w:id="22">
    <w:p w:rsidR="00B47158" w:rsidRPr="008D76F3" w:rsidRDefault="00B47158" w:rsidP="001506AF">
      <w:pPr>
        <w:pStyle w:val="FootnoteText"/>
        <w:jc w:val="left"/>
      </w:pPr>
      <w:r w:rsidRPr="008D76F3">
        <w:rPr>
          <w:rStyle w:val="FootnoteReference"/>
        </w:rPr>
        <w:footnoteRef/>
      </w:r>
      <w:r w:rsidRPr="008D76F3">
        <w:t xml:space="preserve"> 47 C.F.R. § 80.123(c).</w:t>
      </w:r>
    </w:p>
  </w:footnote>
  <w:footnote w:id="23">
    <w:p w:rsidR="00B47158" w:rsidRPr="008D76F3" w:rsidRDefault="00B47158" w:rsidP="001506AF">
      <w:pPr>
        <w:pStyle w:val="FootnoteText"/>
        <w:jc w:val="left"/>
      </w:pPr>
      <w:r w:rsidRPr="008D76F3">
        <w:rPr>
          <w:rStyle w:val="FootnoteReference"/>
        </w:rPr>
        <w:footnoteRef/>
      </w:r>
      <w:r w:rsidRPr="008D76F3">
        <w:t xml:space="preserve"> </w:t>
      </w:r>
      <w:r w:rsidRPr="008D76F3">
        <w:rPr>
          <w:i/>
        </w:rPr>
        <w:t>See</w:t>
      </w:r>
      <w:r w:rsidRPr="008D76F3">
        <w:t xml:space="preserve"> </w:t>
      </w:r>
      <w:r w:rsidR="00DD53D5" w:rsidRPr="008D76F3">
        <w:t>Transaction Description at 2</w:t>
      </w:r>
      <w:r w:rsidRPr="008D76F3">
        <w:t>.</w:t>
      </w:r>
    </w:p>
  </w:footnote>
  <w:footnote w:id="24">
    <w:p w:rsidR="00B47158" w:rsidRPr="008D76F3" w:rsidRDefault="00B47158" w:rsidP="001506AF">
      <w:pPr>
        <w:pStyle w:val="FootnoteText"/>
        <w:jc w:val="left"/>
      </w:pPr>
      <w:r w:rsidRPr="008D76F3">
        <w:rPr>
          <w:rStyle w:val="FootnoteReference"/>
        </w:rPr>
        <w:footnoteRef/>
      </w:r>
      <w:r w:rsidRPr="008D76F3">
        <w:t xml:space="preserve"> </w:t>
      </w:r>
      <w:r w:rsidR="006627E2" w:rsidRPr="008D76F3">
        <w:t>2014 Waiver Request at 3.</w:t>
      </w:r>
    </w:p>
  </w:footnote>
  <w:footnote w:id="25">
    <w:p w:rsidR="00B47158" w:rsidRPr="008D76F3" w:rsidRDefault="00B47158" w:rsidP="001506AF">
      <w:pPr>
        <w:pStyle w:val="FootnoteText"/>
        <w:jc w:val="left"/>
      </w:pPr>
      <w:r w:rsidRPr="008D76F3">
        <w:rPr>
          <w:rStyle w:val="FootnoteReference"/>
        </w:rPr>
        <w:footnoteRef/>
      </w:r>
      <w:r w:rsidRPr="008D76F3">
        <w:t xml:space="preserve"> </w:t>
      </w:r>
      <w:r w:rsidRPr="008D76F3">
        <w:rPr>
          <w:i/>
        </w:rPr>
        <w:t>Id.</w:t>
      </w:r>
      <w:r w:rsidR="006627E2" w:rsidRPr="008D76F3">
        <w:t xml:space="preserve"> at 4</w:t>
      </w:r>
      <w:r w:rsidRPr="008D76F3">
        <w:t>.</w:t>
      </w:r>
    </w:p>
  </w:footnote>
  <w:footnote w:id="26">
    <w:p w:rsidR="005968C1" w:rsidRPr="008D76F3" w:rsidRDefault="005968C1" w:rsidP="001506AF">
      <w:pPr>
        <w:pStyle w:val="FootnoteText"/>
        <w:jc w:val="left"/>
      </w:pPr>
      <w:r w:rsidRPr="008D76F3">
        <w:rPr>
          <w:rStyle w:val="FootnoteReference"/>
        </w:rPr>
        <w:footnoteRef/>
      </w:r>
      <w:r w:rsidRPr="008D76F3">
        <w:t xml:space="preserve"> Amtrak argues that the factors identified by the Commission support its request.  </w:t>
      </w:r>
      <w:r w:rsidRPr="008D76F3">
        <w:rPr>
          <w:i/>
        </w:rPr>
        <w:t xml:space="preserve">See </w:t>
      </w:r>
      <w:r w:rsidR="003C41F1" w:rsidRPr="008D76F3">
        <w:t xml:space="preserve">2014 Waiver </w:t>
      </w:r>
      <w:r w:rsidRPr="008D76F3">
        <w:t xml:space="preserve">Request at </w:t>
      </w:r>
      <w:r w:rsidR="003C41F1" w:rsidRPr="008D76F3">
        <w:t>2-4</w:t>
      </w:r>
      <w:r w:rsidRPr="008D76F3">
        <w:t xml:space="preserve">.  With respect to priority of marine-originating communications, it notes that marine traffic will still have access to </w:t>
      </w:r>
      <w:r w:rsidR="003C41F1" w:rsidRPr="008D76F3">
        <w:t>other public coast stations in the area</w:t>
      </w:r>
      <w:r w:rsidRPr="008D76F3">
        <w:t xml:space="preserve">.  </w:t>
      </w:r>
      <w:r w:rsidRPr="008D76F3">
        <w:rPr>
          <w:i/>
        </w:rPr>
        <w:t>See</w:t>
      </w:r>
      <w:r w:rsidRPr="008D76F3">
        <w:t xml:space="preserve"> </w:t>
      </w:r>
      <w:r w:rsidRPr="008D76F3">
        <w:rPr>
          <w:i/>
        </w:rPr>
        <w:t>also</w:t>
      </w:r>
      <w:r w:rsidRPr="008D76F3">
        <w:t xml:space="preserve"> PacifiCorp, </w:t>
      </w:r>
      <w:r w:rsidRPr="008D76F3">
        <w:rPr>
          <w:i/>
        </w:rPr>
        <w:t>Order</w:t>
      </w:r>
      <w:r w:rsidRPr="008D76F3">
        <w:t xml:space="preserve">, 27 FCC Rcd 5796, 5799 ¶ 3 (WTB MD 2009) (waiving priority requirement when sufficient other maritime spectrum was available).  </w:t>
      </w:r>
      <w:r w:rsidR="003C41F1" w:rsidRPr="00EB507A">
        <w:t>Amtrak</w:t>
      </w:r>
      <w:r w:rsidRPr="00EB507A">
        <w:t xml:space="preserve"> also states </w:t>
      </w:r>
      <w:r w:rsidR="00EB507A">
        <w:t>t</w:t>
      </w:r>
      <w:r w:rsidRPr="008D76F3">
        <w:t xml:space="preserve">hat congestion on alternative land mobile spectrum, and the </w:t>
      </w:r>
      <w:r w:rsidR="00F50E56" w:rsidRPr="008D76F3">
        <w:t xml:space="preserve">need to find spectrum in close spectral proximity to the 220 MHz Radio Service </w:t>
      </w:r>
      <w:r w:rsidRPr="008D76F3">
        <w:t xml:space="preserve">make AMTS spectrum the most effective spectrum for </w:t>
      </w:r>
      <w:r w:rsidR="00F50E56" w:rsidRPr="008D76F3">
        <w:t>Amtrak’s</w:t>
      </w:r>
      <w:r w:rsidRPr="008D76F3">
        <w:t xml:space="preserve"> needs.  </w:t>
      </w:r>
      <w:r w:rsidR="0049200A" w:rsidRPr="008D76F3">
        <w:t xml:space="preserve">Further, Amtrak’s system is designed to protect both PTC operations and licensees adjacent to Amtrak from interference.  </w:t>
      </w:r>
      <w:r w:rsidRPr="008D76F3">
        <w:t xml:space="preserve">Finally, </w:t>
      </w:r>
      <w:r w:rsidR="00F50E56" w:rsidRPr="008D76F3">
        <w:t>Amtrak</w:t>
      </w:r>
      <w:r w:rsidRPr="008D76F3">
        <w:t xml:space="preserve"> notes that </w:t>
      </w:r>
      <w:r w:rsidR="0049200A" w:rsidRPr="008D76F3">
        <w:t>the</w:t>
      </w:r>
      <w:r w:rsidRPr="008D76F3">
        <w:t xml:space="preserve"> </w:t>
      </w:r>
      <w:r w:rsidR="0049200A" w:rsidRPr="008D76F3">
        <w:t>safe and efficient operation of passenger trains within the Northeast corridor is an impo</w:t>
      </w:r>
      <w:r w:rsidRPr="008D76F3">
        <w:t xml:space="preserve">rtant component of </w:t>
      </w:r>
      <w:r w:rsidR="0049200A" w:rsidRPr="008D76F3">
        <w:t>public safety</w:t>
      </w:r>
      <w:r w:rsidRPr="008D76F3">
        <w:t xml:space="preserve">.  </w:t>
      </w:r>
    </w:p>
  </w:footnote>
  <w:footnote w:id="27">
    <w:p w:rsidR="00B47158" w:rsidRPr="00801A05" w:rsidRDefault="00B47158" w:rsidP="001506AF">
      <w:pPr>
        <w:pStyle w:val="FootnoteText"/>
        <w:jc w:val="left"/>
      </w:pPr>
      <w:r w:rsidRPr="008D76F3">
        <w:rPr>
          <w:rStyle w:val="FootnoteReference"/>
        </w:rPr>
        <w:footnoteRef/>
      </w:r>
      <w:r w:rsidRPr="008D76F3">
        <w:t xml:space="preserve"> </w:t>
      </w:r>
      <w:r w:rsidR="00805E15">
        <w:rPr>
          <w:i/>
        </w:rPr>
        <w:t>See</w:t>
      </w:r>
      <w:r w:rsidR="00805E15">
        <w:t xml:space="preserve"> </w:t>
      </w:r>
      <w:r w:rsidR="00485406" w:rsidRPr="00801A05">
        <w:t>PHI</w:t>
      </w:r>
      <w:r w:rsidR="00485406">
        <w:t xml:space="preserve"> Service Company</w:t>
      </w:r>
      <w:r w:rsidR="00485406" w:rsidRPr="00801A05">
        <w:t>,</w:t>
      </w:r>
      <w:r w:rsidR="00485406">
        <w:t xml:space="preserve"> </w:t>
      </w:r>
      <w:r w:rsidR="00485406" w:rsidRPr="00805E15">
        <w:rPr>
          <w:i/>
        </w:rPr>
        <w:t>Order</w:t>
      </w:r>
      <w:r w:rsidR="00485406">
        <w:rPr>
          <w:i/>
        </w:rPr>
        <w:t xml:space="preserve">, </w:t>
      </w:r>
      <w:r w:rsidR="00485406" w:rsidRPr="00805E15">
        <w:t>29</w:t>
      </w:r>
      <w:r w:rsidR="00485406">
        <w:t xml:space="preserve"> FCC Rcd 8176, 8178 ¶ 7 (WTB MD 2014) (</w:t>
      </w:r>
      <w:r w:rsidR="00485406" w:rsidRPr="00485406">
        <w:rPr>
          <w:i/>
        </w:rPr>
        <w:t>PHI</w:t>
      </w:r>
      <w:r w:rsidR="00485406">
        <w:t>) (waiving Sections 80.92(a) and 80.123(b) and (c) to permit use</w:t>
      </w:r>
      <w:r w:rsidR="0012727B">
        <w:t xml:space="preserve"> of AMTS spectrum</w:t>
      </w:r>
      <w:r w:rsidR="00485406">
        <w:t xml:space="preserve"> in an electric utility</w:t>
      </w:r>
      <w:r w:rsidR="00A238F0">
        <w:t>’s</w:t>
      </w:r>
      <w:r w:rsidR="00485406">
        <w:t xml:space="preserve"> </w:t>
      </w:r>
      <w:r w:rsidR="00A238F0">
        <w:t xml:space="preserve">fixed </w:t>
      </w:r>
      <w:r w:rsidR="00485406">
        <w:t xml:space="preserve">system because the system was configured to transmit only data and could not support voice communications, and the proposed operations did not jeopardize the maritime community’s ability to meet its </w:t>
      </w:r>
      <w:r w:rsidR="007963D3">
        <w:t xml:space="preserve">communications </w:t>
      </w:r>
      <w:r w:rsidR="00485406">
        <w:t xml:space="preserve">needs); </w:t>
      </w:r>
      <w:r w:rsidR="00485406">
        <w:rPr>
          <w:i/>
        </w:rPr>
        <w:t xml:space="preserve">see also </w:t>
      </w:r>
      <w:r w:rsidR="00485406">
        <w:t xml:space="preserve">Chesapeake Operating Inc., </w:t>
      </w:r>
      <w:r w:rsidR="00485406">
        <w:rPr>
          <w:i/>
        </w:rPr>
        <w:t>Order,</w:t>
      </w:r>
      <w:r w:rsidR="00485406">
        <w:t xml:space="preserve"> 29 FCC Rcd 9272, 9276 ¶ 13 (WTB MD 2014) (</w:t>
      </w:r>
      <w:r w:rsidR="00485406">
        <w:rPr>
          <w:i/>
        </w:rPr>
        <w:t>Chesapeake</w:t>
      </w:r>
      <w:r w:rsidR="00485406">
        <w:t xml:space="preserve">) (similarly waiving Section 80.92(a) to permit use </w:t>
      </w:r>
      <w:r w:rsidR="007963D3">
        <w:t xml:space="preserve">of AMTS spectrum </w:t>
      </w:r>
      <w:r w:rsidR="00485406">
        <w:t xml:space="preserve">in a PLMR system); </w:t>
      </w:r>
      <w:r w:rsidR="00801A05">
        <w:t xml:space="preserve">Vermont Transco LLC, </w:t>
      </w:r>
      <w:r w:rsidR="00801A05">
        <w:rPr>
          <w:i/>
        </w:rPr>
        <w:t>Order</w:t>
      </w:r>
      <w:r w:rsidR="00801A05">
        <w:t>, 26 FCC Rcd 8820, 882</w:t>
      </w:r>
      <w:r w:rsidR="00A238F0">
        <w:t>1-2</w:t>
      </w:r>
      <w:r w:rsidR="00801A05">
        <w:t>2 ¶ 6 (WTB MD 2011)</w:t>
      </w:r>
      <w:r w:rsidR="0008740D">
        <w:t xml:space="preserve"> </w:t>
      </w:r>
      <w:r w:rsidR="00A238F0">
        <w:t>(</w:t>
      </w:r>
      <w:r w:rsidR="00A238F0" w:rsidRPr="0008740D">
        <w:rPr>
          <w:i/>
        </w:rPr>
        <w:t>Transco</w:t>
      </w:r>
      <w:r w:rsidR="00A238F0">
        <w:t>) (</w:t>
      </w:r>
      <w:r w:rsidR="007963D3">
        <w:t>same</w:t>
      </w:r>
      <w:r w:rsidR="00A238F0">
        <w:t>)</w:t>
      </w:r>
      <w:r w:rsidR="00754178">
        <w:t>.</w:t>
      </w:r>
    </w:p>
  </w:footnote>
  <w:footnote w:id="28">
    <w:p w:rsidR="00A238F0" w:rsidRPr="008D76F3" w:rsidRDefault="00A238F0" w:rsidP="001506AF">
      <w:pPr>
        <w:pStyle w:val="FootnoteText"/>
        <w:jc w:val="left"/>
      </w:pPr>
      <w:r w:rsidRPr="008D76F3">
        <w:rPr>
          <w:rStyle w:val="FootnoteReference"/>
        </w:rPr>
        <w:footnoteRef/>
      </w:r>
      <w:r w:rsidRPr="008D76F3">
        <w:t xml:space="preserve"> 47 C.F.R. § 80.123(a).</w:t>
      </w:r>
    </w:p>
  </w:footnote>
  <w:footnote w:id="29">
    <w:p w:rsidR="00C649AF" w:rsidRPr="00C649AF" w:rsidRDefault="00C649AF" w:rsidP="001506AF">
      <w:pPr>
        <w:pStyle w:val="FootnoteText"/>
        <w:jc w:val="left"/>
      </w:pPr>
      <w:r>
        <w:rPr>
          <w:rStyle w:val="FootnoteReference"/>
        </w:rPr>
        <w:footnoteRef/>
      </w:r>
      <w:r>
        <w:t xml:space="preserve"> </w:t>
      </w:r>
      <w:r>
        <w:rPr>
          <w:i/>
        </w:rPr>
        <w:t>See PHI</w:t>
      </w:r>
      <w:r>
        <w:t>, 29 FCC Rcd at 8179 ¶ 9.</w:t>
      </w:r>
      <w:r w:rsidR="00173804">
        <w:t xml:space="preserve">  </w:t>
      </w:r>
      <w:r w:rsidR="00173804" w:rsidRPr="00173804">
        <w:rPr>
          <w:i/>
        </w:rPr>
        <w:t>But cf.</w:t>
      </w:r>
      <w:r w:rsidR="00173804">
        <w:t xml:space="preserve"> </w:t>
      </w:r>
      <w:r w:rsidR="00173804">
        <w:rPr>
          <w:i/>
        </w:rPr>
        <w:t>Transco</w:t>
      </w:r>
      <w:r w:rsidR="00173804">
        <w:t xml:space="preserve">, 26 FCC Rcd at 8822 ¶ 8 </w:t>
      </w:r>
      <w:r w:rsidR="00173804" w:rsidRPr="00173804">
        <w:rPr>
          <w:szCs w:val="22"/>
        </w:rPr>
        <w:t>(denying such a request with respect to the mobile units in an electric utility’s private land mobile radio system, because the applicant had not demonstrated that the requirement was burdensome)</w:t>
      </w:r>
      <w:r w:rsidR="00173804">
        <w:rPr>
          <w:szCs w:val="22"/>
        </w:rPr>
        <w:t>.</w:t>
      </w:r>
    </w:p>
  </w:footnote>
  <w:footnote w:id="30">
    <w:p w:rsidR="008D76F3" w:rsidRPr="008D76F3" w:rsidRDefault="008D76F3" w:rsidP="001506AF">
      <w:pPr>
        <w:pStyle w:val="FootnoteText"/>
        <w:jc w:val="left"/>
      </w:pPr>
      <w:r w:rsidRPr="008D76F3">
        <w:rPr>
          <w:rStyle w:val="FootnoteReference"/>
        </w:rPr>
        <w:footnoteRef/>
      </w:r>
      <w:r w:rsidRPr="008D76F3">
        <w:t xml:space="preserve"> </w:t>
      </w:r>
      <w:r w:rsidRPr="008D76F3">
        <w:rPr>
          <w:i/>
        </w:rPr>
        <w:t>See</w:t>
      </w:r>
      <w:r w:rsidRPr="008D76F3">
        <w:t xml:space="preserve"> 47 C.F.R. §§ 80.105, 80.106.</w:t>
      </w:r>
    </w:p>
  </w:footnote>
  <w:footnote w:id="31">
    <w:p w:rsidR="008D76F3" w:rsidRPr="008D76F3" w:rsidRDefault="008D76F3" w:rsidP="001506AF">
      <w:pPr>
        <w:pStyle w:val="FootnoteText"/>
        <w:jc w:val="left"/>
      </w:pPr>
      <w:r w:rsidRPr="008D76F3">
        <w:rPr>
          <w:rStyle w:val="FootnoteReference"/>
        </w:rPr>
        <w:footnoteRef/>
      </w:r>
      <w:r w:rsidRPr="008D76F3">
        <w:t xml:space="preserve"> </w:t>
      </w:r>
      <w:r w:rsidRPr="008D76F3">
        <w:rPr>
          <w:i/>
        </w:rPr>
        <w:t>See</w:t>
      </w:r>
      <w:r w:rsidRPr="008D76F3">
        <w:t xml:space="preserve"> 47 C.F.R. § 80.123(f).</w:t>
      </w:r>
    </w:p>
  </w:footnote>
  <w:footnote w:id="32">
    <w:p w:rsidR="00DF1621" w:rsidRPr="008D76F3" w:rsidRDefault="00DF1621" w:rsidP="001506AF">
      <w:pPr>
        <w:pStyle w:val="FootnoteText"/>
        <w:jc w:val="left"/>
      </w:pPr>
      <w:r w:rsidRPr="008D76F3">
        <w:rPr>
          <w:rStyle w:val="FootnoteReference"/>
        </w:rPr>
        <w:footnoteRef/>
      </w:r>
      <w:r w:rsidRPr="008D76F3">
        <w:t xml:space="preserve"> </w:t>
      </w:r>
      <w:r w:rsidRPr="008D76F3">
        <w:rPr>
          <w:i/>
        </w:rPr>
        <w:t xml:space="preserve">See </w:t>
      </w:r>
      <w:r w:rsidR="008E26CE" w:rsidRPr="008D76F3">
        <w:t>Transaction Description at 2</w:t>
      </w:r>
      <w:r w:rsidRPr="008D76F3">
        <w:t>.</w:t>
      </w:r>
    </w:p>
  </w:footnote>
  <w:footnote w:id="33">
    <w:p w:rsidR="00CA6CB1" w:rsidRPr="00CA6CB1" w:rsidRDefault="00CA6CB1" w:rsidP="001506AF">
      <w:pPr>
        <w:pStyle w:val="FootnoteText"/>
        <w:jc w:val="left"/>
      </w:pPr>
      <w:r>
        <w:rPr>
          <w:rStyle w:val="FootnoteReference"/>
        </w:rPr>
        <w:footnoteRef/>
      </w:r>
      <w:r>
        <w:t xml:space="preserve"> </w:t>
      </w:r>
      <w:r w:rsidR="0008740D">
        <w:rPr>
          <w:i/>
        </w:rPr>
        <w:t>See</w:t>
      </w:r>
      <w:r w:rsidR="0008740D">
        <w:t xml:space="preserve">, </w:t>
      </w:r>
      <w:r w:rsidR="0008740D">
        <w:rPr>
          <w:i/>
        </w:rPr>
        <w:t>e.g.</w:t>
      </w:r>
      <w:r w:rsidR="0008740D">
        <w:t xml:space="preserve">, </w:t>
      </w:r>
      <w:r>
        <w:t xml:space="preserve">County of Silverbow, Montana, </w:t>
      </w:r>
      <w:r>
        <w:rPr>
          <w:i/>
        </w:rPr>
        <w:t>Order</w:t>
      </w:r>
      <w:r>
        <w:t xml:space="preserve">, 24 FCC Rcd 12547, </w:t>
      </w:r>
      <w:r w:rsidR="0008740D">
        <w:t xml:space="preserve">12565 ¶ 41 </w:t>
      </w:r>
      <w:r>
        <w:t xml:space="preserve">(PSHSB PD 2009) (waiving Sections 80.105 and 80.106 to permit </w:t>
      </w:r>
      <w:r w:rsidR="0008740D">
        <w:t xml:space="preserve">use of VHF Public Coast station frequencies in a Public Safety PLMR system); </w:t>
      </w:r>
      <w:r w:rsidR="0008740D" w:rsidRPr="0008740D">
        <w:rPr>
          <w:i/>
        </w:rPr>
        <w:t>Transco</w:t>
      </w:r>
      <w:r w:rsidR="0008740D">
        <w:t>, 26 FCC Rcd at 8822 ¶ 7 (waiving Section 80.123(f) to permit use of AMTS frequencies in an electric utility PLMR system, because the mobile units needed to communicate with stations other than public coast stations to support power utility operations).</w:t>
      </w:r>
    </w:p>
  </w:footnote>
  <w:footnote w:id="34">
    <w:p w:rsidR="0012727B" w:rsidRDefault="0012727B" w:rsidP="001506AF">
      <w:pPr>
        <w:pStyle w:val="FootnoteText"/>
        <w:jc w:val="left"/>
      </w:pPr>
      <w:r>
        <w:rPr>
          <w:rStyle w:val="FootnoteReference"/>
        </w:rPr>
        <w:footnoteRef/>
      </w:r>
      <w:r>
        <w:t xml:space="preserve"> </w:t>
      </w:r>
      <w:r w:rsidRPr="008D76F3">
        <w:rPr>
          <w:i/>
        </w:rPr>
        <w:t>See</w:t>
      </w:r>
      <w:r w:rsidRPr="008D76F3">
        <w:t xml:space="preserve"> 47 C.F.R. § 80.</w:t>
      </w:r>
      <w:r>
        <w:t>385(a)(2).</w:t>
      </w:r>
    </w:p>
  </w:footnote>
  <w:footnote w:id="35">
    <w:p w:rsidR="00A527DD" w:rsidRPr="008D76F3" w:rsidRDefault="00A527DD" w:rsidP="001506AF">
      <w:pPr>
        <w:pStyle w:val="FootnoteText"/>
        <w:jc w:val="left"/>
      </w:pPr>
      <w:r w:rsidRPr="008D76F3">
        <w:rPr>
          <w:rStyle w:val="FootnoteReference"/>
        </w:rPr>
        <w:footnoteRef/>
      </w:r>
      <w:r w:rsidRPr="008D76F3">
        <w:t xml:space="preserve"> </w:t>
      </w:r>
      <w:r w:rsidRPr="008D76F3">
        <w:rPr>
          <w:i/>
        </w:rPr>
        <w:t>See</w:t>
      </w:r>
      <w:r w:rsidRPr="008D76F3">
        <w:t xml:space="preserve"> 2014 Waiver Request at 3.</w:t>
      </w:r>
    </w:p>
  </w:footnote>
  <w:footnote w:id="36">
    <w:p w:rsidR="00240322" w:rsidRPr="008D76F3" w:rsidRDefault="00240322" w:rsidP="001506AF">
      <w:pPr>
        <w:pStyle w:val="FootnoteText"/>
        <w:jc w:val="left"/>
      </w:pPr>
      <w:r w:rsidRPr="008D76F3">
        <w:rPr>
          <w:rStyle w:val="FootnoteReference"/>
        </w:rPr>
        <w:footnoteRef/>
      </w:r>
      <w:r w:rsidRPr="008D76F3">
        <w:t xml:space="preserve"> </w:t>
      </w:r>
      <w:r w:rsidRPr="008D76F3">
        <w:rPr>
          <w:i/>
        </w:rPr>
        <w:t>See</w:t>
      </w:r>
      <w:r w:rsidRPr="008D76F3">
        <w:t xml:space="preserve"> 47 C.F.R. §§ 80.123(e), 80.215(e)(2), (h)(5)(i), (i).</w:t>
      </w:r>
    </w:p>
  </w:footnote>
  <w:footnote w:id="37">
    <w:p w:rsidR="00CC2C47" w:rsidRPr="008D76F3" w:rsidRDefault="00CC2C47" w:rsidP="001506AF">
      <w:pPr>
        <w:pStyle w:val="FootnoteText"/>
        <w:jc w:val="left"/>
      </w:pPr>
      <w:r w:rsidRPr="008D76F3">
        <w:rPr>
          <w:rStyle w:val="FootnoteReference"/>
        </w:rPr>
        <w:footnoteRef/>
      </w:r>
      <w:r w:rsidRPr="008D76F3">
        <w:t xml:space="preserve"> </w:t>
      </w:r>
      <w:r w:rsidR="002D6EAF" w:rsidRPr="008D76F3">
        <w:rPr>
          <w:i/>
        </w:rPr>
        <w:t>See</w:t>
      </w:r>
      <w:r w:rsidR="002D6EAF" w:rsidRPr="008D76F3">
        <w:t xml:space="preserve"> 2014 Waiver Request at 2.</w:t>
      </w:r>
    </w:p>
  </w:footnote>
  <w:footnote w:id="38">
    <w:p w:rsidR="002D6EAF" w:rsidRPr="00A02B81" w:rsidRDefault="002D6EAF" w:rsidP="001506AF">
      <w:pPr>
        <w:pStyle w:val="FootnoteText"/>
        <w:jc w:val="left"/>
        <w:rPr>
          <w:i/>
        </w:rPr>
      </w:pPr>
      <w:r w:rsidRPr="008D76F3">
        <w:rPr>
          <w:rStyle w:val="FootnoteReference"/>
        </w:rPr>
        <w:footnoteRef/>
      </w:r>
      <w:r w:rsidRPr="008D76F3">
        <w:t xml:space="preserve"> </w:t>
      </w:r>
      <w:r w:rsidRPr="008D76F3">
        <w:rPr>
          <w:i/>
        </w:rPr>
        <w:t>Id.</w:t>
      </w:r>
      <w:r w:rsidRPr="008D76F3">
        <w:t xml:space="preserve"> at 4.</w:t>
      </w:r>
      <w:r w:rsidR="00A20813">
        <w:t xml:space="preserve">  </w:t>
      </w:r>
      <w:r w:rsidR="00A02B81" w:rsidRPr="008D76F3">
        <w:t xml:space="preserve">  </w:t>
      </w:r>
    </w:p>
  </w:footnote>
  <w:footnote w:id="39">
    <w:p w:rsidR="00CC2C47" w:rsidRPr="008D76F3" w:rsidRDefault="00CC2C47" w:rsidP="001506AF">
      <w:pPr>
        <w:pStyle w:val="FootnoteText"/>
        <w:jc w:val="left"/>
      </w:pPr>
      <w:r w:rsidRPr="008D76F3">
        <w:rPr>
          <w:rStyle w:val="FootnoteReference"/>
        </w:rPr>
        <w:footnoteRef/>
      </w:r>
      <w:r w:rsidRPr="008D76F3">
        <w:t xml:space="preserve"> </w:t>
      </w:r>
      <w:r w:rsidRPr="008D76F3">
        <w:rPr>
          <w:i/>
        </w:rPr>
        <w:t xml:space="preserve">See </w:t>
      </w:r>
      <w:r w:rsidR="00C649AF">
        <w:rPr>
          <w:i/>
        </w:rPr>
        <w:t>Chesapeake</w:t>
      </w:r>
      <w:r w:rsidR="00C649AF">
        <w:t xml:space="preserve">, 29 FCC Rcd at 9276 </w:t>
      </w:r>
      <w:r w:rsidR="0012727B">
        <w:t>¶ 12</w:t>
      </w:r>
      <w:r w:rsidR="00C649AF">
        <w:t xml:space="preserve">; </w:t>
      </w:r>
      <w:r w:rsidRPr="0012727B">
        <w:rPr>
          <w:i/>
        </w:rPr>
        <w:t>PHI</w:t>
      </w:r>
      <w:r w:rsidRPr="008D76F3">
        <w:t xml:space="preserve">, </w:t>
      </w:r>
      <w:r w:rsidR="00A52F35" w:rsidRPr="008D76F3">
        <w:rPr>
          <w:iCs/>
        </w:rPr>
        <w:t xml:space="preserve">29 FCC Rcd </w:t>
      </w:r>
      <w:r w:rsidR="0012727B">
        <w:rPr>
          <w:iCs/>
        </w:rPr>
        <w:t>at 8177</w:t>
      </w:r>
      <w:r w:rsidR="00F63A6B">
        <w:t xml:space="preserve"> </w:t>
      </w:r>
      <w:r w:rsidR="00A52F35" w:rsidRPr="008D76F3">
        <w:t>¶ 8</w:t>
      </w:r>
      <w:r w:rsidR="00754178">
        <w:t>.</w:t>
      </w:r>
    </w:p>
  </w:footnote>
  <w:footnote w:id="40">
    <w:p w:rsidR="00E06079" w:rsidRDefault="00E06079" w:rsidP="001506AF">
      <w:pPr>
        <w:pStyle w:val="FootnoteText"/>
        <w:jc w:val="left"/>
      </w:pPr>
      <w:r>
        <w:rPr>
          <w:rStyle w:val="FootnoteReference"/>
        </w:rPr>
        <w:footnoteRef/>
      </w:r>
      <w:r>
        <w:t xml:space="preserve"> </w:t>
      </w:r>
      <w:r w:rsidRPr="008D76F3">
        <w:t xml:space="preserve">2014 Waiver Request at </w:t>
      </w:r>
      <w:r>
        <w:t>4</w:t>
      </w:r>
      <w:r w:rsidRPr="008D76F3">
        <w:t>.</w:t>
      </w:r>
    </w:p>
  </w:footnote>
  <w:footnote w:id="41">
    <w:p w:rsidR="00502D80" w:rsidRDefault="00502D80" w:rsidP="001506AF">
      <w:pPr>
        <w:pStyle w:val="FootnoteText"/>
        <w:jc w:val="left"/>
      </w:pPr>
      <w:r>
        <w:rPr>
          <w:rStyle w:val="FootnoteReference"/>
        </w:rPr>
        <w:footnoteRef/>
      </w:r>
      <w:r>
        <w:t xml:space="preserve"> </w:t>
      </w:r>
      <w:r w:rsidRPr="00502D80">
        <w:rPr>
          <w:i/>
          <w:szCs w:val="22"/>
        </w:rPr>
        <w:t>See</w:t>
      </w:r>
      <w:r w:rsidRPr="00502D80">
        <w:rPr>
          <w:szCs w:val="22"/>
        </w:rPr>
        <w:t xml:space="preserve"> 47 C.F.R. §§ 80.215(h)-(h)(4), 80.475(a); </w:t>
      </w:r>
      <w:r w:rsidRPr="00502D80">
        <w:rPr>
          <w:i/>
          <w:szCs w:val="22"/>
        </w:rPr>
        <w:t>see also</w:t>
      </w:r>
      <w:r w:rsidRPr="00502D80">
        <w:rPr>
          <w:szCs w:val="22"/>
        </w:rPr>
        <w:t xml:space="preserve">, </w:t>
      </w:r>
      <w:r w:rsidRPr="00502D80">
        <w:rPr>
          <w:i/>
          <w:szCs w:val="22"/>
        </w:rPr>
        <w:t>e.g.</w:t>
      </w:r>
      <w:r w:rsidRPr="00502D80">
        <w:rPr>
          <w:szCs w:val="22"/>
        </w:rPr>
        <w:t xml:space="preserve">, Avista Corporation, </w:t>
      </w:r>
      <w:r w:rsidRPr="00502D80">
        <w:rPr>
          <w:i/>
          <w:szCs w:val="22"/>
        </w:rPr>
        <w:t>Order on Reconsideration</w:t>
      </w:r>
      <w:r w:rsidRPr="00502D80">
        <w:rPr>
          <w:szCs w:val="22"/>
        </w:rPr>
        <w:t xml:space="preserve">, 27 FCC Rcd 5258, 5259-60 ¶ 5 (WTB MD 2013), </w:t>
      </w:r>
      <w:r w:rsidRPr="00502D80">
        <w:rPr>
          <w:i/>
          <w:szCs w:val="22"/>
        </w:rPr>
        <w:t>review pending</w:t>
      </w:r>
      <w:r w:rsidRPr="00502D80">
        <w:rPr>
          <w:szCs w:val="22"/>
        </w:rPr>
        <w:t>.</w:t>
      </w:r>
    </w:p>
  </w:footnote>
  <w:footnote w:id="42">
    <w:p w:rsidR="00227B06" w:rsidRDefault="00227B06" w:rsidP="00DA1FDF">
      <w:pPr>
        <w:pStyle w:val="FootnoteText"/>
        <w:jc w:val="left"/>
      </w:pPr>
      <w:r>
        <w:rPr>
          <w:rStyle w:val="FootnoteReference"/>
        </w:rPr>
        <w:footnoteRef/>
      </w:r>
      <w:r>
        <w:t xml:space="preserve"> </w:t>
      </w:r>
      <w:r w:rsidRPr="00FB039D">
        <w:t>The Commission was formed “for the purpose of promoting safety of life and property through the use of wire and radio communication . . . .”  47 U.S.C. § 151.</w:t>
      </w:r>
    </w:p>
  </w:footnote>
  <w:footnote w:id="43">
    <w:p w:rsidR="00DA1FDF" w:rsidRDefault="00DA1FDF" w:rsidP="00DA1FDF">
      <w:pPr>
        <w:pStyle w:val="FootnoteText"/>
        <w:jc w:val="left"/>
      </w:pPr>
      <w:r>
        <w:rPr>
          <w:rStyle w:val="FootnoteReference"/>
        </w:rPr>
        <w:footnoteRef/>
      </w:r>
      <w:r>
        <w:t xml:space="preserve"> 47 C.F.R. § 1.925(b)(3)(i).</w:t>
      </w:r>
    </w:p>
  </w:footnote>
  <w:footnote w:id="44">
    <w:p w:rsidR="00DA1FDF" w:rsidRDefault="00DA1FDF" w:rsidP="00DA1FDF">
      <w:pPr>
        <w:pStyle w:val="FootnoteText"/>
        <w:jc w:val="left"/>
      </w:pPr>
      <w:r>
        <w:rPr>
          <w:rStyle w:val="FootnoteReference"/>
        </w:rPr>
        <w:footnoteRef/>
      </w:r>
      <w:r>
        <w:t xml:space="preserve"> 47 C.F.R. § 1.925(b)(3)(ii).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806" w:rsidRDefault="000418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47" w:rsidRDefault="00CC2C47">
    <w:pPr>
      <w:pStyle w:val="Header"/>
      <w:tabs>
        <w:tab w:val="clear" w:pos="4320"/>
        <w:tab w:val="clear" w:pos="8640"/>
        <w:tab w:val="center" w:pos="4680"/>
        <w:tab w:val="right" w:pos="9360"/>
      </w:tabs>
      <w:rPr>
        <w:b/>
      </w:rPr>
    </w:pPr>
    <w:r>
      <w:rPr>
        <w:b/>
      </w:rPr>
      <w:tab/>
      <w:t>Federal C</w:t>
    </w:r>
    <w:r w:rsidR="00001D03">
      <w:rPr>
        <w:b/>
      </w:rPr>
      <w:t>ommunications Commission</w:t>
    </w:r>
    <w:r w:rsidR="00001D03">
      <w:rPr>
        <w:b/>
      </w:rPr>
      <w:tab/>
      <w:t xml:space="preserve"> DA 15</w:t>
    </w:r>
    <w:r w:rsidR="006F3DFF">
      <w:rPr>
        <w:b/>
      </w:rPr>
      <w:t>-287</w:t>
    </w:r>
    <w:r>
      <w:rPr>
        <w:b/>
      </w:rPr>
      <w:t xml:space="preserve"> </w:t>
    </w:r>
  </w:p>
  <w:p w:rsidR="00CC2C47" w:rsidRDefault="00CC2C47">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E5D2462" wp14:editId="3649BA10">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CC2C47" w:rsidRDefault="00CC2C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47" w:rsidRDefault="00CC2C47">
    <w:pPr>
      <w:pStyle w:val="Header"/>
      <w:tabs>
        <w:tab w:val="clear" w:pos="4320"/>
        <w:tab w:val="clear" w:pos="8640"/>
        <w:tab w:val="center" w:pos="4680"/>
        <w:tab w:val="right" w:pos="9360"/>
      </w:tabs>
      <w:rPr>
        <w:b/>
      </w:rPr>
    </w:pPr>
    <w:r>
      <w:rPr>
        <w:b/>
      </w:rPr>
      <w:tab/>
      <w:t>Federal C</w:t>
    </w:r>
    <w:r w:rsidR="00001D03">
      <w:rPr>
        <w:b/>
      </w:rPr>
      <w:t>ommunications Commission</w:t>
    </w:r>
    <w:r w:rsidR="00001D03">
      <w:rPr>
        <w:b/>
      </w:rPr>
      <w:tab/>
      <w:t xml:space="preserve"> </w:t>
    </w:r>
    <w:r w:rsidR="00001D03" w:rsidRPr="006F3DFF">
      <w:rPr>
        <w:b/>
      </w:rPr>
      <w:t>DA 15-</w:t>
    </w:r>
    <w:r w:rsidR="006F3DFF" w:rsidRPr="006F3DFF">
      <w:rPr>
        <w:b/>
      </w:rPr>
      <w:t>287</w:t>
    </w:r>
  </w:p>
  <w:p w:rsidR="00CC2C47" w:rsidRDefault="00CC2C47">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5A64FD46" wp14:editId="6F555A0B">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799606A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4514311"/>
    <w:multiLevelType w:val="hybridMultilevel"/>
    <w:tmpl w:val="D2EE7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 w:numId="22">
    <w:abstractNumId w:val="11"/>
    <w:lvlOverride w:ilvl="0">
      <w:startOverride w:val="1"/>
    </w:lvlOverride>
  </w:num>
  <w:num w:numId="23">
    <w:abstractNumId w:val="11"/>
  </w:num>
  <w:num w:numId="24">
    <w:abstractNumId w:val="11"/>
  </w:num>
  <w:num w:numId="25">
    <w:abstractNumId w:val="19"/>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4C"/>
    <w:rsid w:val="00001D03"/>
    <w:rsid w:val="00005D9B"/>
    <w:rsid w:val="000117BD"/>
    <w:rsid w:val="00012EAD"/>
    <w:rsid w:val="0001311A"/>
    <w:rsid w:val="0001389B"/>
    <w:rsid w:val="00014F9A"/>
    <w:rsid w:val="00017014"/>
    <w:rsid w:val="0001758B"/>
    <w:rsid w:val="00026E04"/>
    <w:rsid w:val="00033EB9"/>
    <w:rsid w:val="000366F7"/>
    <w:rsid w:val="00041806"/>
    <w:rsid w:val="0004337F"/>
    <w:rsid w:val="0005079C"/>
    <w:rsid w:val="00050A75"/>
    <w:rsid w:val="00053609"/>
    <w:rsid w:val="00080DC3"/>
    <w:rsid w:val="000864C5"/>
    <w:rsid w:val="0008740D"/>
    <w:rsid w:val="000A5EEE"/>
    <w:rsid w:val="000A7341"/>
    <w:rsid w:val="000B3F0D"/>
    <w:rsid w:val="000C0344"/>
    <w:rsid w:val="000C18AF"/>
    <w:rsid w:val="000C1EB3"/>
    <w:rsid w:val="000C4A1D"/>
    <w:rsid w:val="000C743B"/>
    <w:rsid w:val="000E3905"/>
    <w:rsid w:val="000E4D62"/>
    <w:rsid w:val="000E6B36"/>
    <w:rsid w:val="000F7687"/>
    <w:rsid w:val="00101962"/>
    <w:rsid w:val="00112D3E"/>
    <w:rsid w:val="00117056"/>
    <w:rsid w:val="00121202"/>
    <w:rsid w:val="0012727B"/>
    <w:rsid w:val="001274D1"/>
    <w:rsid w:val="00136AE1"/>
    <w:rsid w:val="0013700A"/>
    <w:rsid w:val="00137BC5"/>
    <w:rsid w:val="001401FB"/>
    <w:rsid w:val="00145502"/>
    <w:rsid w:val="0014598F"/>
    <w:rsid w:val="001506AF"/>
    <w:rsid w:val="00151562"/>
    <w:rsid w:val="00154E15"/>
    <w:rsid w:val="00156D0D"/>
    <w:rsid w:val="00162375"/>
    <w:rsid w:val="001627B3"/>
    <w:rsid w:val="00173804"/>
    <w:rsid w:val="00174575"/>
    <w:rsid w:val="00180885"/>
    <w:rsid w:val="00182341"/>
    <w:rsid w:val="00183170"/>
    <w:rsid w:val="001865F6"/>
    <w:rsid w:val="00186AB1"/>
    <w:rsid w:val="001A403E"/>
    <w:rsid w:val="001A4B49"/>
    <w:rsid w:val="001B18C6"/>
    <w:rsid w:val="001B60B2"/>
    <w:rsid w:val="001C0639"/>
    <w:rsid w:val="001C1665"/>
    <w:rsid w:val="001C4836"/>
    <w:rsid w:val="001C647A"/>
    <w:rsid w:val="001D4AA6"/>
    <w:rsid w:val="001D6719"/>
    <w:rsid w:val="001E3EC5"/>
    <w:rsid w:val="001E5718"/>
    <w:rsid w:val="001E7976"/>
    <w:rsid w:val="001F0765"/>
    <w:rsid w:val="002003B9"/>
    <w:rsid w:val="00202714"/>
    <w:rsid w:val="00210141"/>
    <w:rsid w:val="0021293F"/>
    <w:rsid w:val="002208B8"/>
    <w:rsid w:val="00221BBB"/>
    <w:rsid w:val="0022508C"/>
    <w:rsid w:val="00227B06"/>
    <w:rsid w:val="00230B4B"/>
    <w:rsid w:val="0023122A"/>
    <w:rsid w:val="00240322"/>
    <w:rsid w:val="00240B7C"/>
    <w:rsid w:val="0024648C"/>
    <w:rsid w:val="00250896"/>
    <w:rsid w:val="00253129"/>
    <w:rsid w:val="00255BB5"/>
    <w:rsid w:val="00271B0C"/>
    <w:rsid w:val="00276980"/>
    <w:rsid w:val="0029141C"/>
    <w:rsid w:val="00293489"/>
    <w:rsid w:val="0029462D"/>
    <w:rsid w:val="002B5D97"/>
    <w:rsid w:val="002C08EE"/>
    <w:rsid w:val="002D46C0"/>
    <w:rsid w:val="002D6EAF"/>
    <w:rsid w:val="002E002C"/>
    <w:rsid w:val="002E2EF0"/>
    <w:rsid w:val="002E5B95"/>
    <w:rsid w:val="002E5BB6"/>
    <w:rsid w:val="002F0289"/>
    <w:rsid w:val="002F24D3"/>
    <w:rsid w:val="002F426C"/>
    <w:rsid w:val="0030204C"/>
    <w:rsid w:val="00302093"/>
    <w:rsid w:val="0030642C"/>
    <w:rsid w:val="003169C9"/>
    <w:rsid w:val="00320257"/>
    <w:rsid w:val="00320307"/>
    <w:rsid w:val="003311BD"/>
    <w:rsid w:val="00331E14"/>
    <w:rsid w:val="00335628"/>
    <w:rsid w:val="0034067B"/>
    <w:rsid w:val="00341138"/>
    <w:rsid w:val="00343BC8"/>
    <w:rsid w:val="00350375"/>
    <w:rsid w:val="00352268"/>
    <w:rsid w:val="00352A9C"/>
    <w:rsid w:val="00373C82"/>
    <w:rsid w:val="00375F77"/>
    <w:rsid w:val="003848E0"/>
    <w:rsid w:val="0038630B"/>
    <w:rsid w:val="003A487D"/>
    <w:rsid w:val="003B7A32"/>
    <w:rsid w:val="003C0FE4"/>
    <w:rsid w:val="003C112D"/>
    <w:rsid w:val="003C41F1"/>
    <w:rsid w:val="003C7E13"/>
    <w:rsid w:val="003D3DAB"/>
    <w:rsid w:val="003E0C7F"/>
    <w:rsid w:val="003F36DD"/>
    <w:rsid w:val="0040245D"/>
    <w:rsid w:val="00403329"/>
    <w:rsid w:val="0040621E"/>
    <w:rsid w:val="0041224C"/>
    <w:rsid w:val="0041435A"/>
    <w:rsid w:val="004257D8"/>
    <w:rsid w:val="004268D5"/>
    <w:rsid w:val="004274D8"/>
    <w:rsid w:val="0043142C"/>
    <w:rsid w:val="00431888"/>
    <w:rsid w:val="0043421E"/>
    <w:rsid w:val="004369C8"/>
    <w:rsid w:val="004438E3"/>
    <w:rsid w:val="004443A8"/>
    <w:rsid w:val="004443D9"/>
    <w:rsid w:val="00450428"/>
    <w:rsid w:val="00455929"/>
    <w:rsid w:val="0046704A"/>
    <w:rsid w:val="00467C88"/>
    <w:rsid w:val="00473CE0"/>
    <w:rsid w:val="004743C4"/>
    <w:rsid w:val="00477293"/>
    <w:rsid w:val="004814F7"/>
    <w:rsid w:val="00485406"/>
    <w:rsid w:val="00490EC9"/>
    <w:rsid w:val="0049200A"/>
    <w:rsid w:val="004939A6"/>
    <w:rsid w:val="004A03F1"/>
    <w:rsid w:val="004A71C7"/>
    <w:rsid w:val="004B1510"/>
    <w:rsid w:val="004D1139"/>
    <w:rsid w:val="004D26E1"/>
    <w:rsid w:val="004D4BCE"/>
    <w:rsid w:val="004E73C8"/>
    <w:rsid w:val="004F10C7"/>
    <w:rsid w:val="004F6013"/>
    <w:rsid w:val="00502D80"/>
    <w:rsid w:val="00503441"/>
    <w:rsid w:val="005044AD"/>
    <w:rsid w:val="00515F2A"/>
    <w:rsid w:val="005253FA"/>
    <w:rsid w:val="0053561A"/>
    <w:rsid w:val="005548EE"/>
    <w:rsid w:val="0056414C"/>
    <w:rsid w:val="00577D6B"/>
    <w:rsid w:val="00590C67"/>
    <w:rsid w:val="0059615F"/>
    <w:rsid w:val="005968C1"/>
    <w:rsid w:val="005A20F8"/>
    <w:rsid w:val="005A7FB1"/>
    <w:rsid w:val="005C22EB"/>
    <w:rsid w:val="005C44E5"/>
    <w:rsid w:val="005D3DC3"/>
    <w:rsid w:val="005D70E5"/>
    <w:rsid w:val="005E468B"/>
    <w:rsid w:val="005F3134"/>
    <w:rsid w:val="005F559B"/>
    <w:rsid w:val="0060129D"/>
    <w:rsid w:val="006036F9"/>
    <w:rsid w:val="00620ABF"/>
    <w:rsid w:val="006211A8"/>
    <w:rsid w:val="006211AA"/>
    <w:rsid w:val="00621A82"/>
    <w:rsid w:val="0062209B"/>
    <w:rsid w:val="006267F2"/>
    <w:rsid w:val="00635705"/>
    <w:rsid w:val="00652D4D"/>
    <w:rsid w:val="006542D7"/>
    <w:rsid w:val="006627E2"/>
    <w:rsid w:val="00667A56"/>
    <w:rsid w:val="00671360"/>
    <w:rsid w:val="0067345E"/>
    <w:rsid w:val="00674CCA"/>
    <w:rsid w:val="006766F9"/>
    <w:rsid w:val="006820DA"/>
    <w:rsid w:val="006876C0"/>
    <w:rsid w:val="006935FD"/>
    <w:rsid w:val="006974DC"/>
    <w:rsid w:val="006A683A"/>
    <w:rsid w:val="006A6CDC"/>
    <w:rsid w:val="006A747F"/>
    <w:rsid w:val="006B2925"/>
    <w:rsid w:val="006C22C8"/>
    <w:rsid w:val="006C7CA2"/>
    <w:rsid w:val="006D4862"/>
    <w:rsid w:val="006D4923"/>
    <w:rsid w:val="006D4E01"/>
    <w:rsid w:val="006E4480"/>
    <w:rsid w:val="006F3DFF"/>
    <w:rsid w:val="006F7051"/>
    <w:rsid w:val="00700669"/>
    <w:rsid w:val="00701B04"/>
    <w:rsid w:val="007066E6"/>
    <w:rsid w:val="00710C41"/>
    <w:rsid w:val="00711B99"/>
    <w:rsid w:val="007121D8"/>
    <w:rsid w:val="00713756"/>
    <w:rsid w:val="00714B36"/>
    <w:rsid w:val="00732967"/>
    <w:rsid w:val="00740B48"/>
    <w:rsid w:val="007474A8"/>
    <w:rsid w:val="00750D95"/>
    <w:rsid w:val="00754178"/>
    <w:rsid w:val="0075772C"/>
    <w:rsid w:val="00770C7B"/>
    <w:rsid w:val="0077162D"/>
    <w:rsid w:val="00784069"/>
    <w:rsid w:val="007933BF"/>
    <w:rsid w:val="00793F6A"/>
    <w:rsid w:val="007963D3"/>
    <w:rsid w:val="007A34CB"/>
    <w:rsid w:val="007B07D3"/>
    <w:rsid w:val="007B6938"/>
    <w:rsid w:val="007C7B78"/>
    <w:rsid w:val="007D01A3"/>
    <w:rsid w:val="00801A05"/>
    <w:rsid w:val="00805E15"/>
    <w:rsid w:val="00812728"/>
    <w:rsid w:val="0081599C"/>
    <w:rsid w:val="00823E83"/>
    <w:rsid w:val="00826189"/>
    <w:rsid w:val="00826708"/>
    <w:rsid w:val="00850741"/>
    <w:rsid w:val="00863129"/>
    <w:rsid w:val="008638FE"/>
    <w:rsid w:val="00863C48"/>
    <w:rsid w:val="0086512A"/>
    <w:rsid w:val="00871330"/>
    <w:rsid w:val="0087416D"/>
    <w:rsid w:val="008759D8"/>
    <w:rsid w:val="0087703E"/>
    <w:rsid w:val="008803FC"/>
    <w:rsid w:val="008816F1"/>
    <w:rsid w:val="00884032"/>
    <w:rsid w:val="00885F6F"/>
    <w:rsid w:val="00887B2C"/>
    <w:rsid w:val="0089774D"/>
    <w:rsid w:val="008A1753"/>
    <w:rsid w:val="008A213A"/>
    <w:rsid w:val="008B415B"/>
    <w:rsid w:val="008B5CD9"/>
    <w:rsid w:val="008C1B8B"/>
    <w:rsid w:val="008C3D9D"/>
    <w:rsid w:val="008C4458"/>
    <w:rsid w:val="008C5068"/>
    <w:rsid w:val="008D2054"/>
    <w:rsid w:val="008D76F3"/>
    <w:rsid w:val="008D77D4"/>
    <w:rsid w:val="008E114C"/>
    <w:rsid w:val="008E26CE"/>
    <w:rsid w:val="008E411F"/>
    <w:rsid w:val="00913745"/>
    <w:rsid w:val="009166C5"/>
    <w:rsid w:val="009208E6"/>
    <w:rsid w:val="00921601"/>
    <w:rsid w:val="00923548"/>
    <w:rsid w:val="00924684"/>
    <w:rsid w:val="009419B6"/>
    <w:rsid w:val="009421EA"/>
    <w:rsid w:val="0094497C"/>
    <w:rsid w:val="00947AEF"/>
    <w:rsid w:val="00947CC7"/>
    <w:rsid w:val="00952AAC"/>
    <w:rsid w:val="0095780F"/>
    <w:rsid w:val="009600BF"/>
    <w:rsid w:val="009646D9"/>
    <w:rsid w:val="0097418D"/>
    <w:rsid w:val="00981BC2"/>
    <w:rsid w:val="009870FF"/>
    <w:rsid w:val="0099090D"/>
    <w:rsid w:val="00991984"/>
    <w:rsid w:val="00992DB1"/>
    <w:rsid w:val="009942C0"/>
    <w:rsid w:val="00997D32"/>
    <w:rsid w:val="009A03B2"/>
    <w:rsid w:val="009A183F"/>
    <w:rsid w:val="009A1F8E"/>
    <w:rsid w:val="009B2FB7"/>
    <w:rsid w:val="009C403E"/>
    <w:rsid w:val="009D14A3"/>
    <w:rsid w:val="009D1EFA"/>
    <w:rsid w:val="009D1F4E"/>
    <w:rsid w:val="009D23D5"/>
    <w:rsid w:val="009D3237"/>
    <w:rsid w:val="009F1ED6"/>
    <w:rsid w:val="009F5A0A"/>
    <w:rsid w:val="009F693D"/>
    <w:rsid w:val="00A01257"/>
    <w:rsid w:val="00A02B81"/>
    <w:rsid w:val="00A105EC"/>
    <w:rsid w:val="00A20813"/>
    <w:rsid w:val="00A21A45"/>
    <w:rsid w:val="00A238F0"/>
    <w:rsid w:val="00A27DB8"/>
    <w:rsid w:val="00A324B5"/>
    <w:rsid w:val="00A34647"/>
    <w:rsid w:val="00A34D3C"/>
    <w:rsid w:val="00A427C4"/>
    <w:rsid w:val="00A460CC"/>
    <w:rsid w:val="00A51389"/>
    <w:rsid w:val="00A527DD"/>
    <w:rsid w:val="00A52AAC"/>
    <w:rsid w:val="00A52F35"/>
    <w:rsid w:val="00A60BCC"/>
    <w:rsid w:val="00A663DB"/>
    <w:rsid w:val="00A72413"/>
    <w:rsid w:val="00A8119A"/>
    <w:rsid w:val="00A848D5"/>
    <w:rsid w:val="00A931C0"/>
    <w:rsid w:val="00AA114F"/>
    <w:rsid w:val="00AA3716"/>
    <w:rsid w:val="00AB05A9"/>
    <w:rsid w:val="00AB304A"/>
    <w:rsid w:val="00AB6F50"/>
    <w:rsid w:val="00AC11E4"/>
    <w:rsid w:val="00AD4404"/>
    <w:rsid w:val="00AE3D36"/>
    <w:rsid w:val="00AE4E11"/>
    <w:rsid w:val="00AF1C33"/>
    <w:rsid w:val="00AF4EAD"/>
    <w:rsid w:val="00B01530"/>
    <w:rsid w:val="00B23ADA"/>
    <w:rsid w:val="00B23D49"/>
    <w:rsid w:val="00B25BBD"/>
    <w:rsid w:val="00B27658"/>
    <w:rsid w:val="00B3055F"/>
    <w:rsid w:val="00B30ADA"/>
    <w:rsid w:val="00B47158"/>
    <w:rsid w:val="00B57A52"/>
    <w:rsid w:val="00B60921"/>
    <w:rsid w:val="00B6123F"/>
    <w:rsid w:val="00B86E0C"/>
    <w:rsid w:val="00B9614A"/>
    <w:rsid w:val="00B976D3"/>
    <w:rsid w:val="00BA45F0"/>
    <w:rsid w:val="00BB10CB"/>
    <w:rsid w:val="00BB2B5C"/>
    <w:rsid w:val="00BC6413"/>
    <w:rsid w:val="00BD4D73"/>
    <w:rsid w:val="00BE03CE"/>
    <w:rsid w:val="00BE2A8D"/>
    <w:rsid w:val="00BF2969"/>
    <w:rsid w:val="00BF5827"/>
    <w:rsid w:val="00BF62E0"/>
    <w:rsid w:val="00C1349A"/>
    <w:rsid w:val="00C143FF"/>
    <w:rsid w:val="00C16C84"/>
    <w:rsid w:val="00C24C5A"/>
    <w:rsid w:val="00C31026"/>
    <w:rsid w:val="00C31EE9"/>
    <w:rsid w:val="00C42C0C"/>
    <w:rsid w:val="00C42EDD"/>
    <w:rsid w:val="00C47582"/>
    <w:rsid w:val="00C50782"/>
    <w:rsid w:val="00C50A77"/>
    <w:rsid w:val="00C649AF"/>
    <w:rsid w:val="00C64F94"/>
    <w:rsid w:val="00C65160"/>
    <w:rsid w:val="00C66FA7"/>
    <w:rsid w:val="00C75C71"/>
    <w:rsid w:val="00C935F3"/>
    <w:rsid w:val="00C942B3"/>
    <w:rsid w:val="00CA6CB1"/>
    <w:rsid w:val="00CB242C"/>
    <w:rsid w:val="00CB5487"/>
    <w:rsid w:val="00CB56A5"/>
    <w:rsid w:val="00CB576B"/>
    <w:rsid w:val="00CC1B7B"/>
    <w:rsid w:val="00CC1C2C"/>
    <w:rsid w:val="00CC2C47"/>
    <w:rsid w:val="00CD4DB4"/>
    <w:rsid w:val="00CD5052"/>
    <w:rsid w:val="00CD5217"/>
    <w:rsid w:val="00CD6DE4"/>
    <w:rsid w:val="00CE3266"/>
    <w:rsid w:val="00CF0BF8"/>
    <w:rsid w:val="00CF2CA1"/>
    <w:rsid w:val="00CF37ED"/>
    <w:rsid w:val="00D20BB7"/>
    <w:rsid w:val="00D26DE8"/>
    <w:rsid w:val="00D272C1"/>
    <w:rsid w:val="00D3029E"/>
    <w:rsid w:val="00D43194"/>
    <w:rsid w:val="00D61ACA"/>
    <w:rsid w:val="00D654B8"/>
    <w:rsid w:val="00D7151C"/>
    <w:rsid w:val="00D8381A"/>
    <w:rsid w:val="00D86FA1"/>
    <w:rsid w:val="00D94C90"/>
    <w:rsid w:val="00D95255"/>
    <w:rsid w:val="00DA1FDF"/>
    <w:rsid w:val="00DA5C9B"/>
    <w:rsid w:val="00DB3C01"/>
    <w:rsid w:val="00DB65D1"/>
    <w:rsid w:val="00DC0255"/>
    <w:rsid w:val="00DC02A9"/>
    <w:rsid w:val="00DC4D12"/>
    <w:rsid w:val="00DC535C"/>
    <w:rsid w:val="00DC7299"/>
    <w:rsid w:val="00DD0280"/>
    <w:rsid w:val="00DD25BE"/>
    <w:rsid w:val="00DD53D5"/>
    <w:rsid w:val="00DD7078"/>
    <w:rsid w:val="00DE25BF"/>
    <w:rsid w:val="00DE2718"/>
    <w:rsid w:val="00DE6C21"/>
    <w:rsid w:val="00DF1621"/>
    <w:rsid w:val="00DF2847"/>
    <w:rsid w:val="00E020E4"/>
    <w:rsid w:val="00E06079"/>
    <w:rsid w:val="00E14532"/>
    <w:rsid w:val="00E17ECE"/>
    <w:rsid w:val="00E2065E"/>
    <w:rsid w:val="00E20E44"/>
    <w:rsid w:val="00E232DE"/>
    <w:rsid w:val="00E24DD9"/>
    <w:rsid w:val="00E32844"/>
    <w:rsid w:val="00E52A31"/>
    <w:rsid w:val="00E53681"/>
    <w:rsid w:val="00E55C36"/>
    <w:rsid w:val="00E56BEF"/>
    <w:rsid w:val="00E81107"/>
    <w:rsid w:val="00E872D5"/>
    <w:rsid w:val="00E87462"/>
    <w:rsid w:val="00E92B3B"/>
    <w:rsid w:val="00E96CC1"/>
    <w:rsid w:val="00EA0E7E"/>
    <w:rsid w:val="00EA37D8"/>
    <w:rsid w:val="00EA4FB0"/>
    <w:rsid w:val="00EB2C95"/>
    <w:rsid w:val="00EB41BD"/>
    <w:rsid w:val="00EB480A"/>
    <w:rsid w:val="00EB507A"/>
    <w:rsid w:val="00EC0610"/>
    <w:rsid w:val="00EC6171"/>
    <w:rsid w:val="00ED745B"/>
    <w:rsid w:val="00EE1C4F"/>
    <w:rsid w:val="00EE5D56"/>
    <w:rsid w:val="00EE5E3B"/>
    <w:rsid w:val="00EF229E"/>
    <w:rsid w:val="00EF6FCF"/>
    <w:rsid w:val="00F07BF8"/>
    <w:rsid w:val="00F125D4"/>
    <w:rsid w:val="00F23407"/>
    <w:rsid w:val="00F3656C"/>
    <w:rsid w:val="00F41E35"/>
    <w:rsid w:val="00F42EB4"/>
    <w:rsid w:val="00F47870"/>
    <w:rsid w:val="00F50E56"/>
    <w:rsid w:val="00F60E96"/>
    <w:rsid w:val="00F63A6B"/>
    <w:rsid w:val="00F67B32"/>
    <w:rsid w:val="00F74213"/>
    <w:rsid w:val="00F76849"/>
    <w:rsid w:val="00F82ED5"/>
    <w:rsid w:val="00F84573"/>
    <w:rsid w:val="00F87BED"/>
    <w:rsid w:val="00F9304C"/>
    <w:rsid w:val="00F9777B"/>
    <w:rsid w:val="00FB150E"/>
    <w:rsid w:val="00FD18AF"/>
    <w:rsid w:val="00FD4AD8"/>
    <w:rsid w:val="00FD7638"/>
    <w:rsid w:val="00FE0AA9"/>
    <w:rsid w:val="00FE5B44"/>
    <w:rsid w:val="00FF40A6"/>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Footnote Text Char1,Footnote Text Char Char,Footnote Text Char1 Char Char,Footnote Text Char Char Char Char"/>
    <w:basedOn w:val="Normal"/>
    <w:link w:val="FootnoteTextChar"/>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
    <w:name w:val="Body Text"/>
    <w:basedOn w:val="Normal"/>
    <w:rsid w:val="00450428"/>
    <w:pPr>
      <w:spacing w:after="120"/>
    </w:pPr>
  </w:style>
  <w:style w:type="character" w:customStyle="1" w:styleId="ParaNumChar">
    <w:name w:val="ParaNum Char"/>
    <w:basedOn w:val="DefaultParagraphFont"/>
    <w:link w:val="ParaNum"/>
    <w:rsid w:val="00373C82"/>
    <w:rPr>
      <w:sz w:val="22"/>
    </w:rPr>
  </w:style>
  <w:style w:type="character" w:customStyle="1" w:styleId="FootnoteTextChar">
    <w:name w:val="Footnote Text Char"/>
    <w:aliases w:val="Footnote Text Char1 Char,Footnote Text Char Char Char,Footnote Text Char1 Char Char Char,Footnote Text Char Char Char Char Char"/>
    <w:basedOn w:val="DefaultParagraphFont"/>
    <w:link w:val="FootnoteText"/>
    <w:rsid w:val="0029462D"/>
  </w:style>
  <w:style w:type="paragraph" w:styleId="ListParagraph">
    <w:name w:val="List Paragraph"/>
    <w:basedOn w:val="Normal"/>
    <w:uiPriority w:val="34"/>
    <w:qFormat/>
    <w:rsid w:val="00CD6DE4"/>
    <w:pPr>
      <w:ind w:left="720"/>
      <w:contextualSpacing/>
    </w:pPr>
  </w:style>
  <w:style w:type="paragraph" w:styleId="NormalWeb">
    <w:name w:val="Normal (Web)"/>
    <w:basedOn w:val="Normal"/>
    <w:uiPriority w:val="99"/>
    <w:unhideWhenUsed/>
    <w:rsid w:val="008C1B8B"/>
    <w:pPr>
      <w:spacing w:before="100" w:beforeAutospacing="1" w:after="100" w:afterAutospacing="1"/>
      <w:ind w:firstLine="480"/>
    </w:pPr>
    <w:rPr>
      <w:sz w:val="24"/>
      <w:szCs w:val="24"/>
    </w:rPr>
  </w:style>
  <w:style w:type="paragraph" w:styleId="BalloonText">
    <w:name w:val="Balloon Text"/>
    <w:basedOn w:val="Normal"/>
    <w:link w:val="BalloonTextChar"/>
    <w:rsid w:val="008C1B8B"/>
    <w:rPr>
      <w:rFonts w:ascii="Tahoma" w:hAnsi="Tahoma" w:cs="Tahoma"/>
      <w:sz w:val="16"/>
      <w:szCs w:val="16"/>
    </w:rPr>
  </w:style>
  <w:style w:type="character" w:customStyle="1" w:styleId="BalloonTextChar">
    <w:name w:val="Balloon Text Char"/>
    <w:basedOn w:val="DefaultParagraphFont"/>
    <w:link w:val="BalloonText"/>
    <w:rsid w:val="008C1B8B"/>
    <w:rPr>
      <w:rFonts w:ascii="Tahoma" w:hAnsi="Tahoma" w:cs="Tahoma"/>
      <w:sz w:val="16"/>
      <w:szCs w:val="16"/>
    </w:rPr>
  </w:style>
  <w:style w:type="paragraph" w:styleId="EndnoteText">
    <w:name w:val="endnote text"/>
    <w:basedOn w:val="Normal"/>
    <w:link w:val="EndnoteTextChar"/>
    <w:rsid w:val="00C24C5A"/>
    <w:pPr>
      <w:widowControl w:val="0"/>
      <w:tabs>
        <w:tab w:val="num" w:pos="1080"/>
      </w:tabs>
      <w:ind w:firstLine="720"/>
    </w:pPr>
    <w:rPr>
      <w:snapToGrid w:val="0"/>
      <w:kern w:val="28"/>
      <w:sz w:val="20"/>
    </w:rPr>
  </w:style>
  <w:style w:type="character" w:customStyle="1" w:styleId="EndnoteTextChar">
    <w:name w:val="Endnote Text Char"/>
    <w:basedOn w:val="DefaultParagraphFont"/>
    <w:link w:val="EndnoteText"/>
    <w:rsid w:val="00C24C5A"/>
    <w:rPr>
      <w:snapToGrid w:val="0"/>
      <w:kern w:val="28"/>
    </w:rPr>
  </w:style>
  <w:style w:type="character" w:styleId="CommentReference">
    <w:name w:val="annotation reference"/>
    <w:basedOn w:val="DefaultParagraphFont"/>
    <w:rsid w:val="0013700A"/>
    <w:rPr>
      <w:sz w:val="16"/>
      <w:szCs w:val="16"/>
    </w:rPr>
  </w:style>
  <w:style w:type="paragraph" w:styleId="CommentText">
    <w:name w:val="annotation text"/>
    <w:basedOn w:val="Normal"/>
    <w:link w:val="CommentTextChar"/>
    <w:rsid w:val="0013700A"/>
    <w:rPr>
      <w:sz w:val="20"/>
    </w:rPr>
  </w:style>
  <w:style w:type="character" w:customStyle="1" w:styleId="CommentTextChar">
    <w:name w:val="Comment Text Char"/>
    <w:basedOn w:val="DefaultParagraphFont"/>
    <w:link w:val="CommentText"/>
    <w:rsid w:val="0013700A"/>
  </w:style>
  <w:style w:type="paragraph" w:styleId="CommentSubject">
    <w:name w:val="annotation subject"/>
    <w:basedOn w:val="CommentText"/>
    <w:next w:val="CommentText"/>
    <w:link w:val="CommentSubjectChar"/>
    <w:rsid w:val="0013700A"/>
    <w:rPr>
      <w:b/>
      <w:bCs/>
    </w:rPr>
  </w:style>
  <w:style w:type="character" w:customStyle="1" w:styleId="CommentSubjectChar">
    <w:name w:val="Comment Subject Char"/>
    <w:basedOn w:val="CommentTextChar"/>
    <w:link w:val="CommentSubject"/>
    <w:rsid w:val="0013700A"/>
    <w:rPr>
      <w:b/>
      <w:bCs/>
    </w:rPr>
  </w:style>
  <w:style w:type="character" w:styleId="Hyperlink">
    <w:name w:val="Hyperlink"/>
    <w:basedOn w:val="DefaultParagraphFont"/>
    <w:rsid w:val="00C64F94"/>
    <w:rPr>
      <w:color w:val="0000FF" w:themeColor="hyperlink"/>
      <w:u w:val="single"/>
    </w:rPr>
  </w:style>
  <w:style w:type="character" w:styleId="FollowedHyperlink">
    <w:name w:val="FollowedHyperlink"/>
    <w:basedOn w:val="DefaultParagraphFont"/>
    <w:rsid w:val="00A60B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left" w:pos="1440"/>
      </w:tabs>
      <w:spacing w:after="220"/>
      <w:jc w:val="both"/>
    </w:pPr>
  </w:style>
  <w:style w:type="paragraph" w:styleId="FootnoteText">
    <w:name w:val="footnote text"/>
    <w:aliases w:val="Footnote Text Char1,Footnote Text Char Char,Footnote Text Char1 Char Char,Footnote Text Char Char Char Char"/>
    <w:basedOn w:val="Normal"/>
    <w:link w:val="FootnoteTextChar"/>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
    <w:name w:val="Body Text"/>
    <w:basedOn w:val="Normal"/>
    <w:rsid w:val="00450428"/>
    <w:pPr>
      <w:spacing w:after="120"/>
    </w:pPr>
  </w:style>
  <w:style w:type="character" w:customStyle="1" w:styleId="ParaNumChar">
    <w:name w:val="ParaNum Char"/>
    <w:basedOn w:val="DefaultParagraphFont"/>
    <w:link w:val="ParaNum"/>
    <w:rsid w:val="00373C82"/>
    <w:rPr>
      <w:sz w:val="22"/>
    </w:rPr>
  </w:style>
  <w:style w:type="character" w:customStyle="1" w:styleId="FootnoteTextChar">
    <w:name w:val="Footnote Text Char"/>
    <w:aliases w:val="Footnote Text Char1 Char,Footnote Text Char Char Char,Footnote Text Char1 Char Char Char,Footnote Text Char Char Char Char Char"/>
    <w:basedOn w:val="DefaultParagraphFont"/>
    <w:link w:val="FootnoteText"/>
    <w:rsid w:val="0029462D"/>
  </w:style>
  <w:style w:type="paragraph" w:styleId="ListParagraph">
    <w:name w:val="List Paragraph"/>
    <w:basedOn w:val="Normal"/>
    <w:uiPriority w:val="34"/>
    <w:qFormat/>
    <w:rsid w:val="00CD6DE4"/>
    <w:pPr>
      <w:ind w:left="720"/>
      <w:contextualSpacing/>
    </w:pPr>
  </w:style>
  <w:style w:type="paragraph" w:styleId="NormalWeb">
    <w:name w:val="Normal (Web)"/>
    <w:basedOn w:val="Normal"/>
    <w:uiPriority w:val="99"/>
    <w:unhideWhenUsed/>
    <w:rsid w:val="008C1B8B"/>
    <w:pPr>
      <w:spacing w:before="100" w:beforeAutospacing="1" w:after="100" w:afterAutospacing="1"/>
      <w:ind w:firstLine="480"/>
    </w:pPr>
    <w:rPr>
      <w:sz w:val="24"/>
      <w:szCs w:val="24"/>
    </w:rPr>
  </w:style>
  <w:style w:type="paragraph" w:styleId="BalloonText">
    <w:name w:val="Balloon Text"/>
    <w:basedOn w:val="Normal"/>
    <w:link w:val="BalloonTextChar"/>
    <w:rsid w:val="008C1B8B"/>
    <w:rPr>
      <w:rFonts w:ascii="Tahoma" w:hAnsi="Tahoma" w:cs="Tahoma"/>
      <w:sz w:val="16"/>
      <w:szCs w:val="16"/>
    </w:rPr>
  </w:style>
  <w:style w:type="character" w:customStyle="1" w:styleId="BalloonTextChar">
    <w:name w:val="Balloon Text Char"/>
    <w:basedOn w:val="DefaultParagraphFont"/>
    <w:link w:val="BalloonText"/>
    <w:rsid w:val="008C1B8B"/>
    <w:rPr>
      <w:rFonts w:ascii="Tahoma" w:hAnsi="Tahoma" w:cs="Tahoma"/>
      <w:sz w:val="16"/>
      <w:szCs w:val="16"/>
    </w:rPr>
  </w:style>
  <w:style w:type="paragraph" w:styleId="EndnoteText">
    <w:name w:val="endnote text"/>
    <w:basedOn w:val="Normal"/>
    <w:link w:val="EndnoteTextChar"/>
    <w:rsid w:val="00C24C5A"/>
    <w:pPr>
      <w:widowControl w:val="0"/>
      <w:tabs>
        <w:tab w:val="num" w:pos="1080"/>
      </w:tabs>
      <w:ind w:firstLine="720"/>
    </w:pPr>
    <w:rPr>
      <w:snapToGrid w:val="0"/>
      <w:kern w:val="28"/>
      <w:sz w:val="20"/>
    </w:rPr>
  </w:style>
  <w:style w:type="character" w:customStyle="1" w:styleId="EndnoteTextChar">
    <w:name w:val="Endnote Text Char"/>
    <w:basedOn w:val="DefaultParagraphFont"/>
    <w:link w:val="EndnoteText"/>
    <w:rsid w:val="00C24C5A"/>
    <w:rPr>
      <w:snapToGrid w:val="0"/>
      <w:kern w:val="28"/>
    </w:rPr>
  </w:style>
  <w:style w:type="character" w:styleId="CommentReference">
    <w:name w:val="annotation reference"/>
    <w:basedOn w:val="DefaultParagraphFont"/>
    <w:rsid w:val="0013700A"/>
    <w:rPr>
      <w:sz w:val="16"/>
      <w:szCs w:val="16"/>
    </w:rPr>
  </w:style>
  <w:style w:type="paragraph" w:styleId="CommentText">
    <w:name w:val="annotation text"/>
    <w:basedOn w:val="Normal"/>
    <w:link w:val="CommentTextChar"/>
    <w:rsid w:val="0013700A"/>
    <w:rPr>
      <w:sz w:val="20"/>
    </w:rPr>
  </w:style>
  <w:style w:type="character" w:customStyle="1" w:styleId="CommentTextChar">
    <w:name w:val="Comment Text Char"/>
    <w:basedOn w:val="DefaultParagraphFont"/>
    <w:link w:val="CommentText"/>
    <w:rsid w:val="0013700A"/>
  </w:style>
  <w:style w:type="paragraph" w:styleId="CommentSubject">
    <w:name w:val="annotation subject"/>
    <w:basedOn w:val="CommentText"/>
    <w:next w:val="CommentText"/>
    <w:link w:val="CommentSubjectChar"/>
    <w:rsid w:val="0013700A"/>
    <w:rPr>
      <w:b/>
      <w:bCs/>
    </w:rPr>
  </w:style>
  <w:style w:type="character" w:customStyle="1" w:styleId="CommentSubjectChar">
    <w:name w:val="Comment Subject Char"/>
    <w:basedOn w:val="CommentTextChar"/>
    <w:link w:val="CommentSubject"/>
    <w:rsid w:val="0013700A"/>
    <w:rPr>
      <w:b/>
      <w:bCs/>
    </w:rPr>
  </w:style>
  <w:style w:type="character" w:styleId="Hyperlink">
    <w:name w:val="Hyperlink"/>
    <w:basedOn w:val="DefaultParagraphFont"/>
    <w:rsid w:val="00C64F94"/>
    <w:rPr>
      <w:color w:val="0000FF" w:themeColor="hyperlink"/>
      <w:u w:val="single"/>
    </w:rPr>
  </w:style>
  <w:style w:type="character" w:styleId="FollowedHyperlink">
    <w:name w:val="FollowedHyperlink"/>
    <w:basedOn w:val="DefaultParagraphFont"/>
    <w:rsid w:val="00A60B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850429">
      <w:bodyDiv w:val="1"/>
      <w:marLeft w:val="0"/>
      <w:marRight w:val="0"/>
      <w:marTop w:val="30"/>
      <w:marBottom w:val="750"/>
      <w:divBdr>
        <w:top w:val="none" w:sz="0" w:space="0" w:color="auto"/>
        <w:left w:val="none" w:sz="0" w:space="0" w:color="auto"/>
        <w:bottom w:val="none" w:sz="0" w:space="0" w:color="auto"/>
        <w:right w:val="none" w:sz="0" w:space="0" w:color="auto"/>
      </w:divBdr>
      <w:divsChild>
        <w:div w:id="819076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nec.amtrak.com/node/3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1983</Words>
  <Characters>11085</Characters>
  <Application>Microsoft Office Word</Application>
  <DocSecurity>0</DocSecurity>
  <Lines>194</Lines>
  <Paragraphs>57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13128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2014-07-29T18:35:00Z</cp:lastPrinted>
  <dcterms:created xsi:type="dcterms:W3CDTF">2015-03-04T16:19:00Z</dcterms:created>
  <dcterms:modified xsi:type="dcterms:W3CDTF">2015-03-04T16:19:00Z</dcterms:modified>
  <cp:category> </cp:category>
  <cp:contentStatus> </cp:contentStatus>
</cp:coreProperties>
</file>