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617EA9" w:rsidRDefault="000A3CC9">
      <w:pPr>
        <w:jc w:val="right"/>
        <w:rPr>
          <w:b/>
          <w:szCs w:val="22"/>
        </w:rPr>
      </w:pPr>
      <w:bookmarkStart w:id="0" w:name="_GoBack"/>
      <w:bookmarkEnd w:id="0"/>
      <w:r>
        <w:rPr>
          <w:b/>
          <w:szCs w:val="22"/>
        </w:rPr>
        <w:t>DA 15</w:t>
      </w:r>
      <w:r w:rsidR="008F4794" w:rsidRPr="00617EA9">
        <w:rPr>
          <w:b/>
          <w:szCs w:val="22"/>
        </w:rPr>
        <w:t>-</w:t>
      </w:r>
      <w:r w:rsidR="004F246A" w:rsidRPr="004F246A">
        <w:rPr>
          <w:b/>
          <w:szCs w:val="22"/>
        </w:rPr>
        <w:t>288</w:t>
      </w:r>
    </w:p>
    <w:p w:rsidR="00602577" w:rsidRPr="00617EA9" w:rsidRDefault="00617EA9">
      <w:pPr>
        <w:spacing w:before="60"/>
        <w:jc w:val="right"/>
        <w:rPr>
          <w:b/>
          <w:szCs w:val="22"/>
        </w:rPr>
      </w:pPr>
      <w:r w:rsidRPr="00617EA9">
        <w:rPr>
          <w:b/>
          <w:szCs w:val="22"/>
        </w:rPr>
        <w:t xml:space="preserve">Released:  </w:t>
      </w:r>
      <w:r w:rsidR="000A3CC9">
        <w:rPr>
          <w:b/>
          <w:szCs w:val="22"/>
        </w:rPr>
        <w:t xml:space="preserve">March </w:t>
      </w:r>
      <w:r w:rsidR="0037614C">
        <w:rPr>
          <w:b/>
          <w:szCs w:val="22"/>
        </w:rPr>
        <w:t>4</w:t>
      </w:r>
      <w:r w:rsidR="008F4794" w:rsidRPr="00617EA9">
        <w:rPr>
          <w:b/>
          <w:szCs w:val="22"/>
        </w:rPr>
        <w:t>, 201</w:t>
      </w:r>
      <w:r w:rsidR="00D63830">
        <w:rPr>
          <w:b/>
          <w:szCs w:val="22"/>
        </w:rPr>
        <w:t>5</w:t>
      </w:r>
    </w:p>
    <w:p w:rsidR="00602577" w:rsidRPr="00862485" w:rsidRDefault="00602577">
      <w:pPr>
        <w:jc w:val="right"/>
        <w:rPr>
          <w:szCs w:val="22"/>
        </w:rPr>
      </w:pPr>
    </w:p>
    <w:p w:rsidR="00602577" w:rsidRPr="00862485" w:rsidRDefault="008F4794" w:rsidP="00424BBF">
      <w:pPr>
        <w:spacing w:after="120"/>
        <w:jc w:val="center"/>
        <w:rPr>
          <w:b/>
          <w:szCs w:val="22"/>
        </w:rPr>
      </w:pPr>
      <w:r w:rsidRPr="00862485">
        <w:rPr>
          <w:b/>
          <w:szCs w:val="22"/>
        </w:rPr>
        <w:t xml:space="preserve">WIRELINE COMPETITION BUREAU ANNOUNCES </w:t>
      </w:r>
      <w:r w:rsidR="000A3CC9">
        <w:rPr>
          <w:b/>
          <w:szCs w:val="22"/>
        </w:rPr>
        <w:t>ADDITIONAL</w:t>
      </w:r>
      <w:r w:rsidR="00A873C9" w:rsidRPr="00862485">
        <w:rPr>
          <w:b/>
          <w:szCs w:val="22"/>
        </w:rPr>
        <w:t xml:space="preserve"> </w:t>
      </w:r>
      <w:r w:rsidR="005C5EEC" w:rsidRPr="00862485">
        <w:rPr>
          <w:b/>
          <w:szCs w:val="22"/>
        </w:rPr>
        <w:t xml:space="preserve">PROVISIONALLY SELECTED </w:t>
      </w:r>
      <w:r w:rsidR="000A3CC9">
        <w:rPr>
          <w:b/>
          <w:szCs w:val="22"/>
        </w:rPr>
        <w:t xml:space="preserve">BIDDERS </w:t>
      </w:r>
      <w:r w:rsidR="005C5EEC" w:rsidRPr="00862485">
        <w:rPr>
          <w:b/>
          <w:szCs w:val="22"/>
        </w:rPr>
        <w:t xml:space="preserve">FOR </w:t>
      </w:r>
      <w:r w:rsidRPr="00862485">
        <w:rPr>
          <w:b/>
          <w:szCs w:val="22"/>
        </w:rPr>
        <w:t>RURAL BROADBAND EXPERIMENTS</w:t>
      </w:r>
      <w:r w:rsidR="000A3CC9">
        <w:rPr>
          <w:b/>
          <w:szCs w:val="22"/>
        </w:rPr>
        <w:t xml:space="preserve"> AND</w:t>
      </w:r>
      <w:r w:rsidR="00896BEF">
        <w:rPr>
          <w:b/>
          <w:szCs w:val="22"/>
        </w:rPr>
        <w:t xml:space="preserve"> SETS DEADLINE</w:t>
      </w:r>
      <w:r w:rsidR="00982337">
        <w:rPr>
          <w:b/>
          <w:szCs w:val="22"/>
        </w:rPr>
        <w:t>S</w:t>
      </w:r>
      <w:r w:rsidR="00FF5E79" w:rsidRPr="00862485">
        <w:rPr>
          <w:b/>
          <w:szCs w:val="22"/>
        </w:rPr>
        <w:t xml:space="preserve"> FOR SUBMISSION OF ADDITIONAL INFORMATION</w:t>
      </w:r>
      <w:r w:rsidRPr="00862485">
        <w:rPr>
          <w:b/>
          <w:szCs w:val="22"/>
        </w:rPr>
        <w:t xml:space="preserve"> </w:t>
      </w:r>
    </w:p>
    <w:p w:rsidR="00602577" w:rsidRDefault="008F4794" w:rsidP="00424BBF">
      <w:pPr>
        <w:jc w:val="center"/>
        <w:rPr>
          <w:b/>
          <w:szCs w:val="22"/>
        </w:rPr>
      </w:pPr>
      <w:r w:rsidRPr="00862485">
        <w:rPr>
          <w:b/>
          <w:szCs w:val="22"/>
        </w:rPr>
        <w:t>WC Docket No. 10-90</w:t>
      </w:r>
    </w:p>
    <w:p w:rsidR="000A3CC9" w:rsidRPr="00862485" w:rsidRDefault="00583CA4" w:rsidP="00424BBF">
      <w:pPr>
        <w:jc w:val="center"/>
        <w:rPr>
          <w:b/>
          <w:szCs w:val="22"/>
        </w:rPr>
      </w:pPr>
      <w:r>
        <w:rPr>
          <w:b/>
          <w:szCs w:val="22"/>
        </w:rPr>
        <w:t>WC Docket No. 14-259</w:t>
      </w:r>
    </w:p>
    <w:p w:rsidR="00602577" w:rsidRPr="00862485" w:rsidRDefault="00602577" w:rsidP="00424BBF">
      <w:pPr>
        <w:jc w:val="center"/>
        <w:rPr>
          <w:b/>
          <w:szCs w:val="22"/>
        </w:rPr>
      </w:pPr>
    </w:p>
    <w:p w:rsidR="000A3CC9" w:rsidRPr="000A3CC9" w:rsidRDefault="008F4794" w:rsidP="000A3CC9">
      <w:pPr>
        <w:spacing w:after="120"/>
        <w:rPr>
          <w:szCs w:val="22"/>
        </w:rPr>
      </w:pPr>
      <w:r w:rsidRPr="000A3CC9">
        <w:rPr>
          <w:szCs w:val="22"/>
        </w:rPr>
        <w:tab/>
      </w:r>
      <w:r w:rsidR="000A3CC9" w:rsidRPr="000A3CC9">
        <w:rPr>
          <w:szCs w:val="22"/>
        </w:rPr>
        <w:t>On December 18, 2014, the Federal Communications Commission (Commission) established a process to enable the provisional selection of additional bidders for rural broadband experiments support in the event any of the initial provisionally selected bidders defaulted before the Wireline Competition Bureau (Bureau) finalized the list of census blocks that will be offered to the price cap carriers for Phase II of the Connect America Fund.</w:t>
      </w:r>
      <w:r w:rsidR="000A3CC9" w:rsidRPr="000A3CC9">
        <w:rPr>
          <w:rStyle w:val="FootnoteReference"/>
          <w:szCs w:val="22"/>
        </w:rPr>
        <w:footnoteReference w:id="1"/>
      </w:r>
      <w:r w:rsidR="000A3CC9" w:rsidRPr="000A3CC9">
        <w:rPr>
          <w:szCs w:val="22"/>
        </w:rPr>
        <w:t xml:space="preserve">  </w:t>
      </w:r>
      <w:r w:rsidR="000A3CC9">
        <w:rPr>
          <w:szCs w:val="22"/>
        </w:rPr>
        <w:t xml:space="preserve">Specifically, </w:t>
      </w:r>
      <w:r w:rsidR="000A3CC9" w:rsidRPr="000A3CC9">
        <w:rPr>
          <w:szCs w:val="22"/>
        </w:rPr>
        <w:t>rural broadband experiments</w:t>
      </w:r>
      <w:r w:rsidR="000A3CC9">
        <w:rPr>
          <w:szCs w:val="22"/>
        </w:rPr>
        <w:t xml:space="preserve"> bidders</w:t>
      </w:r>
      <w:r w:rsidR="000A3CC9" w:rsidRPr="000A3CC9">
        <w:rPr>
          <w:szCs w:val="22"/>
        </w:rPr>
        <w:t xml:space="preserve"> interested in being considered </w:t>
      </w:r>
      <w:r w:rsidR="000A3CC9">
        <w:rPr>
          <w:szCs w:val="22"/>
        </w:rPr>
        <w:t xml:space="preserve">for any newly available support </w:t>
      </w:r>
      <w:r w:rsidR="000A3CC9" w:rsidRPr="000A3CC9">
        <w:rPr>
          <w:szCs w:val="22"/>
        </w:rPr>
        <w:t>were required to file</w:t>
      </w:r>
      <w:r w:rsidR="000A3CC9">
        <w:rPr>
          <w:szCs w:val="22"/>
        </w:rPr>
        <w:t xml:space="preserve"> certain financial and technical information</w:t>
      </w:r>
      <w:r w:rsidR="000A3CC9" w:rsidRPr="000A3CC9">
        <w:rPr>
          <w:szCs w:val="22"/>
        </w:rPr>
        <w:t xml:space="preserve"> by Tuesday, January 6, 2015.</w:t>
      </w:r>
      <w:r w:rsidR="000A3CC9" w:rsidRPr="000A3CC9">
        <w:rPr>
          <w:rStyle w:val="FootnoteReference"/>
          <w:szCs w:val="22"/>
        </w:rPr>
        <w:footnoteReference w:id="2"/>
      </w:r>
      <w:r w:rsidR="000A3CC9" w:rsidRPr="000A3CC9">
        <w:rPr>
          <w:szCs w:val="22"/>
        </w:rPr>
        <w:t xml:space="preserve">  </w:t>
      </w:r>
    </w:p>
    <w:p w:rsidR="00124E76" w:rsidRPr="00FF57BE" w:rsidRDefault="000A3CC9" w:rsidP="00FF57BE">
      <w:pPr>
        <w:spacing w:before="120" w:after="120"/>
        <w:ind w:firstLine="720"/>
      </w:pPr>
      <w:r>
        <w:rPr>
          <w:szCs w:val="22"/>
        </w:rPr>
        <w:t xml:space="preserve">Today, the Bureau announces </w:t>
      </w:r>
      <w:r w:rsidR="00700C7B">
        <w:rPr>
          <w:szCs w:val="22"/>
        </w:rPr>
        <w:t xml:space="preserve">additional </w:t>
      </w:r>
      <w:r w:rsidR="00700C7B" w:rsidRPr="001D36E9">
        <w:rPr>
          <w:szCs w:val="22"/>
        </w:rPr>
        <w:t xml:space="preserve">bidders have been provisionally selected for </w:t>
      </w:r>
      <w:r w:rsidR="00896BEF">
        <w:rPr>
          <w:szCs w:val="22"/>
        </w:rPr>
        <w:t xml:space="preserve">rural broadband experiments </w:t>
      </w:r>
      <w:r w:rsidR="00700C7B" w:rsidRPr="001D36E9">
        <w:rPr>
          <w:szCs w:val="22"/>
        </w:rPr>
        <w:t>funding</w:t>
      </w:r>
      <w:r w:rsidR="00896BEF">
        <w:rPr>
          <w:szCs w:val="22"/>
        </w:rPr>
        <w:t xml:space="preserve"> in category one</w:t>
      </w:r>
      <w:r w:rsidR="00700C7B" w:rsidRPr="001D36E9">
        <w:rPr>
          <w:szCs w:val="22"/>
        </w:rPr>
        <w:t>, subject to the post-selection review process.</w:t>
      </w:r>
      <w:r w:rsidR="00AF2700">
        <w:rPr>
          <w:rStyle w:val="FootnoteReference"/>
          <w:szCs w:val="22"/>
        </w:rPr>
        <w:footnoteReference w:id="3"/>
      </w:r>
      <w:r w:rsidR="00700C7B">
        <w:rPr>
          <w:szCs w:val="22"/>
        </w:rPr>
        <w:t xml:space="preserve">  </w:t>
      </w:r>
      <w:r w:rsidR="005D20DB">
        <w:rPr>
          <w:szCs w:val="22"/>
        </w:rPr>
        <w:t xml:space="preserve">The </w:t>
      </w:r>
      <w:r w:rsidR="00D63841" w:rsidRPr="001D36E9">
        <w:rPr>
          <w:szCs w:val="22"/>
        </w:rPr>
        <w:t xml:space="preserve">Attachment </w:t>
      </w:r>
      <w:r w:rsidR="004A2C35">
        <w:rPr>
          <w:szCs w:val="22"/>
        </w:rPr>
        <w:t>provide</w:t>
      </w:r>
      <w:r w:rsidR="003D2B93">
        <w:rPr>
          <w:szCs w:val="22"/>
        </w:rPr>
        <w:t>s</w:t>
      </w:r>
      <w:r w:rsidR="00D63841" w:rsidRPr="001D36E9">
        <w:rPr>
          <w:szCs w:val="22"/>
        </w:rPr>
        <w:t xml:space="preserve"> </w:t>
      </w:r>
      <w:r w:rsidR="001837C5">
        <w:rPr>
          <w:szCs w:val="22"/>
        </w:rPr>
        <w:t xml:space="preserve">summary </w:t>
      </w:r>
      <w:r w:rsidR="00D63841" w:rsidRPr="001D36E9">
        <w:rPr>
          <w:szCs w:val="22"/>
        </w:rPr>
        <w:t>information concerning the</w:t>
      </w:r>
      <w:r w:rsidR="00A910E7">
        <w:rPr>
          <w:szCs w:val="22"/>
        </w:rPr>
        <w:t>se new</w:t>
      </w:r>
      <w:r w:rsidR="00D63841" w:rsidRPr="001D36E9">
        <w:rPr>
          <w:szCs w:val="22"/>
        </w:rPr>
        <w:t xml:space="preserve"> provisionally selected bidders, including the number of project bids, the states in which these </w:t>
      </w:r>
      <w:r w:rsidR="00E67782">
        <w:rPr>
          <w:szCs w:val="22"/>
        </w:rPr>
        <w:t xml:space="preserve">proposed </w:t>
      </w:r>
      <w:r w:rsidR="00D63841" w:rsidRPr="001D36E9">
        <w:rPr>
          <w:szCs w:val="22"/>
        </w:rPr>
        <w:t xml:space="preserve">projects </w:t>
      </w:r>
      <w:r w:rsidR="00E67782">
        <w:rPr>
          <w:szCs w:val="22"/>
        </w:rPr>
        <w:t>are</w:t>
      </w:r>
      <w:r w:rsidR="00D63841" w:rsidRPr="001D36E9">
        <w:rPr>
          <w:szCs w:val="22"/>
        </w:rPr>
        <w:t xml:space="preserve"> located, the total amount of support</w:t>
      </w:r>
      <w:r w:rsidR="008F7E54" w:rsidRPr="001D36E9">
        <w:rPr>
          <w:szCs w:val="22"/>
        </w:rPr>
        <w:t xml:space="preserve"> </w:t>
      </w:r>
      <w:r w:rsidR="00E67782">
        <w:rPr>
          <w:szCs w:val="22"/>
        </w:rPr>
        <w:t xml:space="preserve">requested </w:t>
      </w:r>
      <w:r w:rsidR="008F7E54" w:rsidRPr="001D36E9">
        <w:rPr>
          <w:szCs w:val="22"/>
        </w:rPr>
        <w:t>for these projects, and the total number of census blocks covered by these projects.</w:t>
      </w:r>
      <w:r w:rsidR="00A70068">
        <w:rPr>
          <w:szCs w:val="22"/>
        </w:rPr>
        <w:t xml:space="preserve">  The Bureau plans to issue a Public Notice in the near future identifying </w:t>
      </w:r>
      <w:r w:rsidR="00A5584D">
        <w:rPr>
          <w:szCs w:val="22"/>
        </w:rPr>
        <w:t xml:space="preserve">all of </w:t>
      </w:r>
      <w:r w:rsidR="00A70068">
        <w:rPr>
          <w:szCs w:val="22"/>
        </w:rPr>
        <w:t>the specific census blocks that have been provisionally selected for rural broadband experiment funding that will be removed from the offer of model-based support to price cap carriers.</w:t>
      </w:r>
      <w:r w:rsidR="007B76E7">
        <w:rPr>
          <w:rStyle w:val="FootnoteReference"/>
          <w:szCs w:val="22"/>
        </w:rPr>
        <w:footnoteReference w:id="4"/>
      </w:r>
      <w:r w:rsidR="00A910E7">
        <w:rPr>
          <w:szCs w:val="22"/>
        </w:rPr>
        <w:t xml:space="preserve">  </w:t>
      </w:r>
      <w:r w:rsidR="00FF57BE">
        <w:t xml:space="preserve">  </w:t>
      </w:r>
    </w:p>
    <w:p w:rsidR="00BB6B53" w:rsidRDefault="008F7E54" w:rsidP="00583CA4">
      <w:pPr>
        <w:spacing w:before="120" w:after="120"/>
        <w:rPr>
          <w:szCs w:val="22"/>
        </w:rPr>
      </w:pPr>
      <w:r w:rsidRPr="001D36E9">
        <w:rPr>
          <w:szCs w:val="22"/>
        </w:rPr>
        <w:lastRenderedPageBreak/>
        <w:t xml:space="preserve">  </w:t>
      </w:r>
      <w:r w:rsidR="00D63841" w:rsidRPr="001D36E9">
        <w:rPr>
          <w:szCs w:val="22"/>
        </w:rPr>
        <w:tab/>
        <w:t xml:space="preserve">With the release of this Public Notice, </w:t>
      </w:r>
      <w:r w:rsidR="0032255A">
        <w:rPr>
          <w:szCs w:val="22"/>
        </w:rPr>
        <w:t xml:space="preserve">we establish additional deadlines for </w:t>
      </w:r>
      <w:r w:rsidR="00D63841" w:rsidRPr="001D36E9">
        <w:rPr>
          <w:szCs w:val="22"/>
        </w:rPr>
        <w:t>the post-selection review process</w:t>
      </w:r>
      <w:r w:rsidRPr="001D36E9">
        <w:rPr>
          <w:szCs w:val="22"/>
        </w:rPr>
        <w:t xml:space="preserve"> for </w:t>
      </w:r>
      <w:r w:rsidR="00962449">
        <w:rPr>
          <w:szCs w:val="22"/>
        </w:rPr>
        <w:t xml:space="preserve">these </w:t>
      </w:r>
      <w:r w:rsidR="007B76E7">
        <w:rPr>
          <w:szCs w:val="22"/>
        </w:rPr>
        <w:t xml:space="preserve">new provisionally selected </w:t>
      </w:r>
      <w:r w:rsidRPr="001D36E9">
        <w:rPr>
          <w:szCs w:val="22"/>
        </w:rPr>
        <w:t>bidders</w:t>
      </w:r>
      <w:r w:rsidR="00D63841" w:rsidRPr="001D36E9">
        <w:rPr>
          <w:szCs w:val="22"/>
        </w:rPr>
        <w:t>.</w:t>
      </w:r>
      <w:r w:rsidR="004D5B17">
        <w:rPr>
          <w:szCs w:val="22"/>
        </w:rPr>
        <w:t xml:space="preserve">  </w:t>
      </w:r>
      <w:r w:rsidR="00552AF5">
        <w:rPr>
          <w:szCs w:val="22"/>
        </w:rPr>
        <w:t>T</w:t>
      </w:r>
      <w:r w:rsidR="007B76E7">
        <w:rPr>
          <w:szCs w:val="22"/>
        </w:rPr>
        <w:t xml:space="preserve">hese bidders </w:t>
      </w:r>
      <w:r w:rsidR="00AF2700">
        <w:rPr>
          <w:szCs w:val="22"/>
        </w:rPr>
        <w:t xml:space="preserve">already </w:t>
      </w:r>
      <w:r w:rsidR="00552AF5">
        <w:rPr>
          <w:szCs w:val="22"/>
        </w:rPr>
        <w:t>have</w:t>
      </w:r>
      <w:r w:rsidR="00AF2700">
        <w:rPr>
          <w:szCs w:val="22"/>
        </w:rPr>
        <w:t xml:space="preserve"> </w:t>
      </w:r>
      <w:r w:rsidR="00552AF5">
        <w:rPr>
          <w:szCs w:val="22"/>
        </w:rPr>
        <w:t xml:space="preserve">filed </w:t>
      </w:r>
      <w:r w:rsidR="004D5B17" w:rsidRPr="004A2C35">
        <w:rPr>
          <w:szCs w:val="22"/>
        </w:rPr>
        <w:t>th</w:t>
      </w:r>
      <w:r w:rsidR="007B76E7">
        <w:rPr>
          <w:szCs w:val="22"/>
        </w:rPr>
        <w:t>eir</w:t>
      </w:r>
      <w:r w:rsidR="004D5B17" w:rsidRPr="004A2C35">
        <w:rPr>
          <w:szCs w:val="22"/>
        </w:rPr>
        <w:t xml:space="preserve"> technical and financial </w:t>
      </w:r>
      <w:r w:rsidR="00552AF5">
        <w:rPr>
          <w:szCs w:val="22"/>
        </w:rPr>
        <w:t>information on January 6, 2015</w:t>
      </w:r>
      <w:r w:rsidR="004D5B17" w:rsidRPr="004A2C35">
        <w:rPr>
          <w:szCs w:val="22"/>
        </w:rPr>
        <w:t>.</w:t>
      </w:r>
      <w:r w:rsidR="004D5B17">
        <w:rPr>
          <w:rStyle w:val="FootnoteReference"/>
          <w:szCs w:val="22"/>
        </w:rPr>
        <w:footnoteReference w:id="5"/>
      </w:r>
      <w:r w:rsidR="004D5B17">
        <w:rPr>
          <w:szCs w:val="22"/>
        </w:rPr>
        <w:t xml:space="preserve"> </w:t>
      </w:r>
      <w:r w:rsidR="00677322">
        <w:rPr>
          <w:szCs w:val="22"/>
        </w:rPr>
        <w:t xml:space="preserve"> </w:t>
      </w:r>
      <w:r w:rsidR="007B76E7">
        <w:rPr>
          <w:szCs w:val="22"/>
        </w:rPr>
        <w:t xml:space="preserve">Therefore, within 60 days of this Public Notice, the bidders identified in </w:t>
      </w:r>
      <w:r w:rsidR="005D20DB">
        <w:rPr>
          <w:szCs w:val="22"/>
        </w:rPr>
        <w:t xml:space="preserve">the </w:t>
      </w:r>
      <w:r w:rsidR="0079547E">
        <w:rPr>
          <w:szCs w:val="22"/>
        </w:rPr>
        <w:t xml:space="preserve">Attachment </w:t>
      </w:r>
      <w:r w:rsidR="00583CA4">
        <w:rPr>
          <w:szCs w:val="22"/>
        </w:rPr>
        <w:t xml:space="preserve">are required to submit </w:t>
      </w:r>
      <w:r w:rsidR="00583CA4" w:rsidRPr="001F1AAD">
        <w:rPr>
          <w:szCs w:val="22"/>
        </w:rPr>
        <w:t>a letter from an acceptable bank committing to provide the bidder with a letter of credit</w:t>
      </w:r>
      <w:r w:rsidR="00583CA4">
        <w:rPr>
          <w:szCs w:val="22"/>
        </w:rPr>
        <w:t xml:space="preserve"> (LOC) in the amount of the support the bidder will receive for each of its projects</w:t>
      </w:r>
      <w:r w:rsidR="00583CA4" w:rsidRPr="001F1AAD">
        <w:rPr>
          <w:szCs w:val="22"/>
        </w:rPr>
        <w:t>.</w:t>
      </w:r>
      <w:r w:rsidR="0032255A" w:rsidRPr="0032255A">
        <w:rPr>
          <w:rStyle w:val="FootnoteReference"/>
          <w:szCs w:val="22"/>
        </w:rPr>
        <w:t xml:space="preserve"> </w:t>
      </w:r>
      <w:r w:rsidR="0032255A">
        <w:rPr>
          <w:rStyle w:val="FootnoteReference"/>
          <w:szCs w:val="22"/>
        </w:rPr>
        <w:footnoteReference w:id="6"/>
      </w:r>
      <w:r w:rsidR="00C80EA3">
        <w:rPr>
          <w:szCs w:val="22"/>
        </w:rPr>
        <w:t xml:space="preserve">  These letters must be uploaded to the FCC Form 5620</w:t>
      </w:r>
      <w:r w:rsidR="00583CA4">
        <w:rPr>
          <w:szCs w:val="22"/>
        </w:rPr>
        <w:t xml:space="preserve"> by </w:t>
      </w:r>
      <w:r w:rsidR="00E400C7">
        <w:rPr>
          <w:b/>
          <w:szCs w:val="22"/>
        </w:rPr>
        <w:t>Monday, May 4</w:t>
      </w:r>
      <w:r w:rsidR="00583CA4">
        <w:rPr>
          <w:b/>
          <w:szCs w:val="22"/>
        </w:rPr>
        <w:t>, 2015 at 11:59p.m. EST</w:t>
      </w:r>
      <w:r w:rsidR="00BB6B53">
        <w:rPr>
          <w:szCs w:val="22"/>
        </w:rPr>
        <w:t>.</w:t>
      </w:r>
      <w:r w:rsidR="00C80EA3">
        <w:rPr>
          <w:rStyle w:val="FootnoteReference"/>
          <w:szCs w:val="22"/>
        </w:rPr>
        <w:footnoteReference w:id="7"/>
      </w:r>
      <w:r w:rsidR="00583CA4">
        <w:rPr>
          <w:szCs w:val="22"/>
        </w:rPr>
        <w:t xml:space="preserve">  </w:t>
      </w:r>
      <w:r w:rsidR="00A873C9" w:rsidRPr="00A24A95">
        <w:rPr>
          <w:szCs w:val="22"/>
        </w:rPr>
        <w:t>Failure to submit the requested materials by this deadline will constitute a default, and the bidder will no longer be considered for rural broadband experiment</w:t>
      </w:r>
      <w:r w:rsidR="00BB6B53">
        <w:rPr>
          <w:szCs w:val="22"/>
        </w:rPr>
        <w:t>s support</w:t>
      </w:r>
      <w:r w:rsidR="00A873C9" w:rsidRPr="00A24A95">
        <w:rPr>
          <w:szCs w:val="22"/>
        </w:rPr>
        <w:t>.</w:t>
      </w:r>
      <w:r w:rsidR="00BB6B53">
        <w:t xml:space="preserve"> </w:t>
      </w:r>
      <w:r w:rsidR="00BB6B53">
        <w:rPr>
          <w:szCs w:val="22"/>
        </w:rPr>
        <w:t xml:space="preserve"> </w:t>
      </w:r>
      <w:r w:rsidR="00552AF5">
        <w:rPr>
          <w:szCs w:val="22"/>
        </w:rPr>
        <w:t xml:space="preserve">Within 90 days of this Public Notice, </w:t>
      </w:r>
      <w:r w:rsidR="003D5C22" w:rsidRPr="00AA36FE">
        <w:rPr>
          <w:szCs w:val="22"/>
        </w:rPr>
        <w:t>by</w:t>
      </w:r>
      <w:r w:rsidR="00AF2700" w:rsidRPr="00AA36FE">
        <w:rPr>
          <w:szCs w:val="22"/>
        </w:rPr>
        <w:t xml:space="preserve"> </w:t>
      </w:r>
      <w:r w:rsidR="0037614C">
        <w:rPr>
          <w:b/>
          <w:szCs w:val="22"/>
        </w:rPr>
        <w:t>Tues</w:t>
      </w:r>
      <w:r w:rsidR="00E400C7">
        <w:rPr>
          <w:b/>
          <w:szCs w:val="22"/>
        </w:rPr>
        <w:t xml:space="preserve">day, June </w:t>
      </w:r>
      <w:r w:rsidR="0037614C">
        <w:rPr>
          <w:b/>
          <w:szCs w:val="22"/>
        </w:rPr>
        <w:t>2</w:t>
      </w:r>
      <w:r w:rsidR="00AF2700">
        <w:rPr>
          <w:b/>
          <w:szCs w:val="22"/>
        </w:rPr>
        <w:t>,</w:t>
      </w:r>
      <w:r w:rsidR="003D5C22" w:rsidRPr="003D5C22">
        <w:rPr>
          <w:b/>
          <w:szCs w:val="22"/>
        </w:rPr>
        <w:t xml:space="preserve"> 2015</w:t>
      </w:r>
      <w:r w:rsidR="003D5C22">
        <w:rPr>
          <w:szCs w:val="22"/>
        </w:rPr>
        <w:t>,</w:t>
      </w:r>
      <w:r w:rsidR="00AF2700">
        <w:rPr>
          <w:szCs w:val="22"/>
        </w:rPr>
        <w:t xml:space="preserve"> </w:t>
      </w:r>
      <w:r w:rsidR="00AF2700">
        <w:rPr>
          <w:b/>
          <w:szCs w:val="22"/>
        </w:rPr>
        <w:t>at 11:59p.m. EST</w:t>
      </w:r>
      <w:r w:rsidR="00AF2700">
        <w:rPr>
          <w:szCs w:val="22"/>
        </w:rPr>
        <w:t xml:space="preserve">, </w:t>
      </w:r>
      <w:r w:rsidR="00552AF5">
        <w:rPr>
          <w:szCs w:val="22"/>
        </w:rPr>
        <w:t xml:space="preserve">the bidders identified in </w:t>
      </w:r>
      <w:r w:rsidR="005D20DB">
        <w:rPr>
          <w:szCs w:val="22"/>
        </w:rPr>
        <w:t xml:space="preserve">the </w:t>
      </w:r>
      <w:r w:rsidR="00552AF5">
        <w:rPr>
          <w:szCs w:val="22"/>
        </w:rPr>
        <w:t xml:space="preserve">Attachment are required to </w:t>
      </w:r>
      <w:r w:rsidR="0037614C">
        <w:rPr>
          <w:szCs w:val="22"/>
        </w:rPr>
        <w:t xml:space="preserve">upload to the FCC Form 5620 </w:t>
      </w:r>
      <w:r w:rsidR="00552AF5">
        <w:rPr>
          <w:szCs w:val="22"/>
        </w:rPr>
        <w:t xml:space="preserve">appropriate documentation of </w:t>
      </w:r>
      <w:r w:rsidR="0032255A">
        <w:rPr>
          <w:szCs w:val="22"/>
        </w:rPr>
        <w:t>their</w:t>
      </w:r>
      <w:r w:rsidR="00552AF5">
        <w:rPr>
          <w:szCs w:val="22"/>
        </w:rPr>
        <w:t xml:space="preserve"> designation as an eligible telecommunications carrier (ETC) in all areas for which </w:t>
      </w:r>
      <w:r w:rsidR="0032255A">
        <w:rPr>
          <w:szCs w:val="22"/>
        </w:rPr>
        <w:t>they</w:t>
      </w:r>
      <w:r w:rsidR="00552AF5">
        <w:rPr>
          <w:szCs w:val="22"/>
        </w:rPr>
        <w:t xml:space="preserve"> will receive support.</w:t>
      </w:r>
      <w:r w:rsidR="0032255A">
        <w:rPr>
          <w:rStyle w:val="FootnoteReference"/>
          <w:szCs w:val="22"/>
        </w:rPr>
        <w:footnoteReference w:id="8"/>
      </w:r>
    </w:p>
    <w:p w:rsidR="00962449" w:rsidRPr="00962449" w:rsidRDefault="00962449" w:rsidP="00962449">
      <w:pPr>
        <w:spacing w:before="120" w:after="240"/>
        <w:ind w:firstLine="720"/>
        <w:rPr>
          <w:szCs w:val="22"/>
        </w:rPr>
      </w:pPr>
      <w:r w:rsidRPr="00962449">
        <w:rPr>
          <w:szCs w:val="22"/>
        </w:rPr>
        <w:t>For additional information on this proceeding, contact Ian Forbes (</w:t>
      </w:r>
      <w:hyperlink r:id="rId8" w:history="1">
        <w:r w:rsidRPr="003524EF">
          <w:rPr>
            <w:rStyle w:val="Hyperlink"/>
            <w:szCs w:val="22"/>
          </w:rPr>
          <w:t>Ian.Forbes@fcc.gov</w:t>
        </w:r>
      </w:hyperlink>
      <w:r w:rsidR="005C5EEC">
        <w:rPr>
          <w:szCs w:val="22"/>
        </w:rPr>
        <w:t>)</w:t>
      </w:r>
      <w:r w:rsidRPr="00962449">
        <w:rPr>
          <w:szCs w:val="22"/>
        </w:rPr>
        <w:t xml:space="preserve"> of the Wireline Competition Bureau, Telecommunications Access Policy Division, (202) 418-7400.</w:t>
      </w:r>
    </w:p>
    <w:p w:rsidR="00602577" w:rsidRDefault="00962449" w:rsidP="00962449">
      <w:pPr>
        <w:spacing w:before="120" w:after="240"/>
        <w:jc w:val="center"/>
        <w:rPr>
          <w:b/>
          <w:szCs w:val="22"/>
        </w:rPr>
      </w:pPr>
      <w:r w:rsidRPr="00617EA9">
        <w:rPr>
          <w:b/>
          <w:szCs w:val="22"/>
        </w:rPr>
        <w:t>– FCC –</w:t>
      </w:r>
    </w:p>
    <w:p w:rsidR="008175DD" w:rsidRDefault="008175DD" w:rsidP="00962449">
      <w:pPr>
        <w:spacing w:before="120" w:after="240"/>
        <w:jc w:val="center"/>
        <w:rPr>
          <w:b/>
          <w:szCs w:val="22"/>
        </w:rPr>
      </w:pPr>
    </w:p>
    <w:p w:rsidR="008175DD" w:rsidRDefault="008175DD" w:rsidP="00962449">
      <w:pPr>
        <w:spacing w:before="120" w:after="240"/>
        <w:jc w:val="center"/>
        <w:rPr>
          <w:b/>
          <w:szCs w:val="22"/>
        </w:rPr>
      </w:pPr>
    </w:p>
    <w:p w:rsidR="008175DD" w:rsidRDefault="008175DD" w:rsidP="00962449">
      <w:pPr>
        <w:spacing w:before="120" w:after="240"/>
        <w:jc w:val="center"/>
        <w:rPr>
          <w:b/>
          <w:szCs w:val="22"/>
        </w:rPr>
      </w:pPr>
    </w:p>
    <w:p w:rsidR="008175DD" w:rsidRDefault="008175DD" w:rsidP="00962449">
      <w:pPr>
        <w:spacing w:before="120" w:after="240"/>
        <w:jc w:val="center"/>
        <w:rPr>
          <w:b/>
          <w:szCs w:val="22"/>
        </w:rPr>
      </w:pPr>
    </w:p>
    <w:p w:rsidR="008175DD" w:rsidRDefault="008175DD" w:rsidP="00962449">
      <w:pPr>
        <w:spacing w:before="120" w:after="240"/>
        <w:jc w:val="center"/>
        <w:rPr>
          <w:b/>
          <w:szCs w:val="22"/>
        </w:rPr>
        <w:sectPr w:rsidR="008175DD" w:rsidSect="00617EA9">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720" w:left="1440" w:header="720" w:footer="720" w:gutter="0"/>
          <w:cols w:space="720"/>
          <w:titlePg/>
          <w:docGrid w:linePitch="299"/>
        </w:sectPr>
      </w:pPr>
    </w:p>
    <w:p w:rsidR="008175DD" w:rsidRPr="002C6B6E" w:rsidRDefault="005D20DB" w:rsidP="008175DD">
      <w:pPr>
        <w:jc w:val="center"/>
        <w:rPr>
          <w:b/>
        </w:rPr>
      </w:pPr>
      <w:r>
        <w:rPr>
          <w:b/>
        </w:rPr>
        <w:t>ATTACHMENT</w:t>
      </w:r>
    </w:p>
    <w:p w:rsidR="008175DD" w:rsidRPr="002C6B6E" w:rsidRDefault="008175DD" w:rsidP="008175DD">
      <w:pPr>
        <w:jc w:val="center"/>
        <w:rPr>
          <w:b/>
        </w:rPr>
      </w:pPr>
      <w:r w:rsidRPr="002C6B6E">
        <w:rPr>
          <w:b/>
        </w:rPr>
        <w:t>Additional Provisionally Selected Bidders</w:t>
      </w:r>
    </w:p>
    <w:p w:rsidR="008175DD" w:rsidRPr="00AF74FE" w:rsidRDefault="008175DD" w:rsidP="008175DD">
      <w:pPr>
        <w:rPr>
          <w:u w:val="single"/>
        </w:rPr>
      </w:pPr>
    </w:p>
    <w:tbl>
      <w:tblPr>
        <w:tblStyle w:val="TableGrid"/>
        <w:tblpPr w:leftFromText="180" w:rightFromText="180" w:vertAnchor="text" w:horzAnchor="margin" w:tblpY="257"/>
        <w:tblW w:w="14130" w:type="dxa"/>
        <w:tblLayout w:type="fixed"/>
        <w:tblLook w:val="04A0" w:firstRow="1" w:lastRow="0" w:firstColumn="1" w:lastColumn="0" w:noHBand="0" w:noVBand="1"/>
      </w:tblPr>
      <w:tblGrid>
        <w:gridCol w:w="5328"/>
        <w:gridCol w:w="1350"/>
        <w:gridCol w:w="1062"/>
        <w:gridCol w:w="2160"/>
        <w:gridCol w:w="2430"/>
        <w:gridCol w:w="1800"/>
      </w:tblGrid>
      <w:tr w:rsidR="00AF74FE" w:rsidRPr="00AF74FE" w:rsidTr="00AF74FE">
        <w:tc>
          <w:tcPr>
            <w:tcW w:w="5328" w:type="dxa"/>
          </w:tcPr>
          <w:p w:rsidR="00AF74FE" w:rsidRPr="00AF74FE" w:rsidRDefault="00AF74FE" w:rsidP="00AF74FE">
            <w:pPr>
              <w:jc w:val="center"/>
              <w:rPr>
                <w:rFonts w:cs="Times New Roman"/>
                <w:b/>
              </w:rPr>
            </w:pPr>
            <w:r w:rsidRPr="00AF74FE">
              <w:rPr>
                <w:rFonts w:cs="Times New Roman"/>
                <w:b/>
              </w:rPr>
              <w:t>Bidder Name</w:t>
            </w:r>
          </w:p>
        </w:tc>
        <w:tc>
          <w:tcPr>
            <w:tcW w:w="1350" w:type="dxa"/>
          </w:tcPr>
          <w:p w:rsidR="00AF74FE" w:rsidRPr="00AF74FE" w:rsidRDefault="00AF74FE" w:rsidP="00AF74FE">
            <w:pPr>
              <w:jc w:val="center"/>
              <w:rPr>
                <w:rFonts w:cs="Times New Roman"/>
                <w:b/>
              </w:rPr>
            </w:pPr>
            <w:r w:rsidRPr="00AF74FE">
              <w:rPr>
                <w:rFonts w:cs="Times New Roman"/>
                <w:b/>
              </w:rPr>
              <w:t>State(s)</w:t>
            </w:r>
          </w:p>
        </w:tc>
        <w:tc>
          <w:tcPr>
            <w:tcW w:w="1062" w:type="dxa"/>
          </w:tcPr>
          <w:p w:rsidR="00AF74FE" w:rsidRPr="00AF74FE" w:rsidRDefault="00AF74FE" w:rsidP="00AF74FE">
            <w:pPr>
              <w:jc w:val="center"/>
              <w:rPr>
                <w:rFonts w:cs="Times New Roman"/>
                <w:b/>
              </w:rPr>
            </w:pPr>
            <w:r w:rsidRPr="00AF74FE">
              <w:rPr>
                <w:rFonts w:cs="Times New Roman"/>
                <w:b/>
              </w:rPr>
              <w:t>Selected Bids</w:t>
            </w:r>
          </w:p>
        </w:tc>
        <w:tc>
          <w:tcPr>
            <w:tcW w:w="2160" w:type="dxa"/>
          </w:tcPr>
          <w:p w:rsidR="00AF74FE" w:rsidRPr="00AF74FE" w:rsidRDefault="00AF74FE" w:rsidP="00AF74FE">
            <w:pPr>
              <w:jc w:val="center"/>
              <w:rPr>
                <w:rFonts w:cs="Times New Roman"/>
                <w:b/>
              </w:rPr>
            </w:pPr>
            <w:r w:rsidRPr="00AF74FE">
              <w:rPr>
                <w:rFonts w:cs="Times New Roman"/>
                <w:b/>
              </w:rPr>
              <w:t>Support Requested for Selected Bids</w:t>
            </w:r>
          </w:p>
        </w:tc>
        <w:tc>
          <w:tcPr>
            <w:tcW w:w="2430" w:type="dxa"/>
          </w:tcPr>
          <w:p w:rsidR="00AF74FE" w:rsidRPr="00AF74FE" w:rsidRDefault="00AF74FE" w:rsidP="00AF74FE">
            <w:pPr>
              <w:jc w:val="center"/>
              <w:rPr>
                <w:rFonts w:cs="Times New Roman"/>
                <w:b/>
              </w:rPr>
            </w:pPr>
            <w:r w:rsidRPr="00AF74FE">
              <w:rPr>
                <w:rFonts w:cs="Times New Roman"/>
                <w:b/>
              </w:rPr>
              <w:t>Census Blocks Covered by Selected Bids</w:t>
            </w:r>
          </w:p>
        </w:tc>
        <w:tc>
          <w:tcPr>
            <w:tcW w:w="1800" w:type="dxa"/>
          </w:tcPr>
          <w:p w:rsidR="00AF74FE" w:rsidRPr="00AF74FE" w:rsidRDefault="00AF74FE" w:rsidP="00AF74FE">
            <w:pPr>
              <w:jc w:val="center"/>
              <w:rPr>
                <w:rFonts w:cs="Times New Roman"/>
                <w:b/>
              </w:rPr>
            </w:pPr>
            <w:r w:rsidRPr="00AF74FE">
              <w:rPr>
                <w:rFonts w:cs="Times New Roman"/>
                <w:b/>
              </w:rPr>
              <w:t>Selected Bid Project IDs</w:t>
            </w:r>
          </w:p>
        </w:tc>
      </w:tr>
      <w:tr w:rsidR="00AF74FE" w:rsidRPr="00AF74FE" w:rsidTr="00AF74FE">
        <w:tc>
          <w:tcPr>
            <w:tcW w:w="5328" w:type="dxa"/>
          </w:tcPr>
          <w:p w:rsidR="00AF74FE" w:rsidRPr="00AF74FE" w:rsidRDefault="00AF74FE" w:rsidP="00AF74FE">
            <w:pPr>
              <w:rPr>
                <w:rFonts w:cs="Times New Roman"/>
              </w:rPr>
            </w:pPr>
            <w:r w:rsidRPr="00AF74FE">
              <w:rPr>
                <w:rFonts w:cs="Times New Roman"/>
              </w:rPr>
              <w:t>BARC Electric Cooperative</w:t>
            </w:r>
          </w:p>
        </w:tc>
        <w:tc>
          <w:tcPr>
            <w:tcW w:w="1350" w:type="dxa"/>
          </w:tcPr>
          <w:p w:rsidR="00AF74FE" w:rsidRPr="00AF74FE" w:rsidRDefault="00AF74FE" w:rsidP="00AF74FE">
            <w:pPr>
              <w:jc w:val="center"/>
              <w:rPr>
                <w:rFonts w:cs="Times New Roman"/>
              </w:rPr>
            </w:pPr>
            <w:r w:rsidRPr="00AF74FE">
              <w:rPr>
                <w:rFonts w:cs="Times New Roman"/>
              </w:rPr>
              <w:t>VA</w:t>
            </w:r>
          </w:p>
        </w:tc>
        <w:tc>
          <w:tcPr>
            <w:tcW w:w="1062" w:type="dxa"/>
          </w:tcPr>
          <w:p w:rsidR="00AF74FE" w:rsidRPr="00AF74FE" w:rsidRDefault="00AF74FE" w:rsidP="00AF74FE">
            <w:pPr>
              <w:jc w:val="center"/>
              <w:rPr>
                <w:rFonts w:cs="Times New Roman"/>
              </w:rPr>
            </w:pPr>
            <w:r w:rsidRPr="00AF74FE">
              <w:rPr>
                <w:rFonts w:cs="Times New Roman"/>
              </w:rPr>
              <w:t>1</w:t>
            </w:r>
          </w:p>
        </w:tc>
        <w:tc>
          <w:tcPr>
            <w:tcW w:w="2160" w:type="dxa"/>
          </w:tcPr>
          <w:p w:rsidR="00AF74FE" w:rsidRPr="00AF74FE" w:rsidRDefault="00AF74FE" w:rsidP="00AF74FE">
            <w:pPr>
              <w:jc w:val="center"/>
              <w:rPr>
                <w:rFonts w:cs="Times New Roman"/>
              </w:rPr>
            </w:pPr>
            <w:r w:rsidRPr="00AF74FE">
              <w:rPr>
                <w:rFonts w:cs="Times New Roman"/>
              </w:rPr>
              <w:t>$239,918.00</w:t>
            </w:r>
          </w:p>
        </w:tc>
        <w:tc>
          <w:tcPr>
            <w:tcW w:w="2430" w:type="dxa"/>
          </w:tcPr>
          <w:p w:rsidR="00AF74FE" w:rsidRPr="00AF74FE" w:rsidRDefault="00AF74FE" w:rsidP="00AF74FE">
            <w:pPr>
              <w:jc w:val="center"/>
              <w:rPr>
                <w:rFonts w:cs="Times New Roman"/>
              </w:rPr>
            </w:pPr>
            <w:r w:rsidRPr="00AF74FE">
              <w:rPr>
                <w:rFonts w:cs="Times New Roman"/>
              </w:rPr>
              <w:t>64</w:t>
            </w:r>
          </w:p>
        </w:tc>
        <w:tc>
          <w:tcPr>
            <w:tcW w:w="1800" w:type="dxa"/>
          </w:tcPr>
          <w:p w:rsidR="00AF74FE" w:rsidRPr="00AF74FE" w:rsidRDefault="00AF74FE" w:rsidP="00AF74FE">
            <w:pPr>
              <w:jc w:val="center"/>
              <w:rPr>
                <w:rFonts w:cs="Times New Roman"/>
              </w:rPr>
            </w:pPr>
            <w:r w:rsidRPr="00AF74FE">
              <w:rPr>
                <w:rFonts w:cs="Times New Roman"/>
              </w:rPr>
              <w:t>1</w:t>
            </w:r>
          </w:p>
        </w:tc>
      </w:tr>
      <w:tr w:rsidR="00AF74FE" w:rsidRPr="00AF74FE" w:rsidTr="00AF74FE">
        <w:tc>
          <w:tcPr>
            <w:tcW w:w="5328" w:type="dxa"/>
          </w:tcPr>
          <w:p w:rsidR="00AF74FE" w:rsidRPr="00AF74FE" w:rsidRDefault="00AF74FE" w:rsidP="00AF74FE">
            <w:pPr>
              <w:rPr>
                <w:rFonts w:cs="Times New Roman"/>
              </w:rPr>
            </w:pPr>
            <w:r w:rsidRPr="00AF74FE">
              <w:rPr>
                <w:rFonts w:cs="Times New Roman"/>
              </w:rPr>
              <w:t>City of Chanute, Kansas</w:t>
            </w:r>
          </w:p>
        </w:tc>
        <w:tc>
          <w:tcPr>
            <w:tcW w:w="1350" w:type="dxa"/>
          </w:tcPr>
          <w:p w:rsidR="00AF74FE" w:rsidRPr="00AF74FE" w:rsidRDefault="00AF74FE" w:rsidP="00AF74FE">
            <w:pPr>
              <w:jc w:val="center"/>
              <w:rPr>
                <w:rFonts w:cs="Times New Roman"/>
              </w:rPr>
            </w:pPr>
            <w:r w:rsidRPr="00AF74FE">
              <w:rPr>
                <w:rFonts w:cs="Times New Roman"/>
              </w:rPr>
              <w:t>KS</w:t>
            </w:r>
          </w:p>
        </w:tc>
        <w:tc>
          <w:tcPr>
            <w:tcW w:w="1062" w:type="dxa"/>
          </w:tcPr>
          <w:p w:rsidR="00AF74FE" w:rsidRPr="00AF74FE" w:rsidRDefault="00AF74FE" w:rsidP="00AF74FE">
            <w:pPr>
              <w:jc w:val="center"/>
              <w:rPr>
                <w:rFonts w:cs="Times New Roman"/>
              </w:rPr>
            </w:pPr>
            <w:r w:rsidRPr="00AF74FE">
              <w:rPr>
                <w:rFonts w:cs="Times New Roman"/>
              </w:rPr>
              <w:t>1</w:t>
            </w:r>
          </w:p>
        </w:tc>
        <w:tc>
          <w:tcPr>
            <w:tcW w:w="2160" w:type="dxa"/>
          </w:tcPr>
          <w:p w:rsidR="00AF74FE" w:rsidRPr="00AF74FE" w:rsidRDefault="00AF74FE" w:rsidP="00AF74FE">
            <w:pPr>
              <w:jc w:val="center"/>
              <w:rPr>
                <w:rFonts w:cs="Times New Roman"/>
              </w:rPr>
            </w:pPr>
            <w:r w:rsidRPr="00AF74FE">
              <w:rPr>
                <w:rFonts w:cs="Times New Roman"/>
              </w:rPr>
              <w:t>$508,467.00</w:t>
            </w:r>
          </w:p>
        </w:tc>
        <w:tc>
          <w:tcPr>
            <w:tcW w:w="2430" w:type="dxa"/>
          </w:tcPr>
          <w:p w:rsidR="00AF74FE" w:rsidRPr="00AF74FE" w:rsidRDefault="00AF74FE" w:rsidP="00AF74FE">
            <w:pPr>
              <w:jc w:val="center"/>
              <w:rPr>
                <w:rFonts w:cs="Times New Roman"/>
              </w:rPr>
            </w:pPr>
            <w:r w:rsidRPr="00AF74FE">
              <w:rPr>
                <w:rFonts w:cs="Times New Roman"/>
              </w:rPr>
              <w:t>37</w:t>
            </w:r>
          </w:p>
        </w:tc>
        <w:tc>
          <w:tcPr>
            <w:tcW w:w="1800" w:type="dxa"/>
          </w:tcPr>
          <w:p w:rsidR="00AF74FE" w:rsidRPr="00AF74FE" w:rsidRDefault="00AF74FE" w:rsidP="00AF74FE">
            <w:pPr>
              <w:jc w:val="center"/>
              <w:rPr>
                <w:rFonts w:cs="Times New Roman"/>
              </w:rPr>
            </w:pPr>
            <w:r w:rsidRPr="00AF74FE">
              <w:rPr>
                <w:rFonts w:cs="Times New Roman"/>
              </w:rPr>
              <w:t>1</w:t>
            </w:r>
          </w:p>
        </w:tc>
      </w:tr>
      <w:tr w:rsidR="00AF74FE" w:rsidRPr="00AF74FE" w:rsidTr="00AF74FE">
        <w:tc>
          <w:tcPr>
            <w:tcW w:w="5328" w:type="dxa"/>
          </w:tcPr>
          <w:p w:rsidR="00AF74FE" w:rsidRPr="00AF74FE" w:rsidRDefault="00AF74FE" w:rsidP="00AF74FE">
            <w:pPr>
              <w:rPr>
                <w:rFonts w:cs="Times New Roman"/>
              </w:rPr>
            </w:pPr>
            <w:r w:rsidRPr="00AF74FE">
              <w:rPr>
                <w:rFonts w:cs="Times New Roman"/>
              </w:rPr>
              <w:t>Daktel Communications LLC</w:t>
            </w:r>
          </w:p>
        </w:tc>
        <w:tc>
          <w:tcPr>
            <w:tcW w:w="1350" w:type="dxa"/>
          </w:tcPr>
          <w:p w:rsidR="00AF74FE" w:rsidRPr="00AF74FE" w:rsidRDefault="00AF74FE" w:rsidP="00AF74FE">
            <w:pPr>
              <w:jc w:val="center"/>
              <w:rPr>
                <w:rFonts w:cs="Times New Roman"/>
              </w:rPr>
            </w:pPr>
            <w:r w:rsidRPr="00AF74FE">
              <w:rPr>
                <w:rFonts w:cs="Times New Roman"/>
              </w:rPr>
              <w:t>ND</w:t>
            </w:r>
          </w:p>
        </w:tc>
        <w:tc>
          <w:tcPr>
            <w:tcW w:w="1062" w:type="dxa"/>
          </w:tcPr>
          <w:p w:rsidR="00AF74FE" w:rsidRPr="00AF74FE" w:rsidRDefault="00AF74FE" w:rsidP="00AF74FE">
            <w:pPr>
              <w:jc w:val="center"/>
              <w:rPr>
                <w:rFonts w:cs="Times New Roman"/>
              </w:rPr>
            </w:pPr>
            <w:r w:rsidRPr="00AF74FE">
              <w:rPr>
                <w:rFonts w:cs="Times New Roman"/>
              </w:rPr>
              <w:t>1</w:t>
            </w:r>
          </w:p>
        </w:tc>
        <w:tc>
          <w:tcPr>
            <w:tcW w:w="2160" w:type="dxa"/>
          </w:tcPr>
          <w:p w:rsidR="00AF74FE" w:rsidRPr="00AF74FE" w:rsidRDefault="00AF74FE" w:rsidP="00AF74FE">
            <w:pPr>
              <w:jc w:val="center"/>
              <w:rPr>
                <w:rFonts w:cs="Times New Roman"/>
              </w:rPr>
            </w:pPr>
            <w:r w:rsidRPr="00AF74FE">
              <w:rPr>
                <w:rFonts w:cs="Times New Roman"/>
              </w:rPr>
              <w:t>$</w:t>
            </w:r>
            <w:r w:rsidR="0079547E">
              <w:rPr>
                <w:rFonts w:cs="Times New Roman"/>
              </w:rPr>
              <w:t>875,000.00</w:t>
            </w:r>
          </w:p>
        </w:tc>
        <w:tc>
          <w:tcPr>
            <w:tcW w:w="2430" w:type="dxa"/>
          </w:tcPr>
          <w:p w:rsidR="00AF74FE" w:rsidRPr="00AF74FE" w:rsidRDefault="00AF74FE" w:rsidP="00AF74FE">
            <w:pPr>
              <w:jc w:val="center"/>
              <w:rPr>
                <w:rFonts w:cs="Times New Roman"/>
              </w:rPr>
            </w:pPr>
            <w:r w:rsidRPr="00AF74FE">
              <w:rPr>
                <w:rFonts w:cs="Times New Roman"/>
              </w:rPr>
              <w:t>109</w:t>
            </w:r>
          </w:p>
        </w:tc>
        <w:tc>
          <w:tcPr>
            <w:tcW w:w="1800" w:type="dxa"/>
          </w:tcPr>
          <w:p w:rsidR="00AF74FE" w:rsidRPr="00AF74FE" w:rsidRDefault="00AF74FE" w:rsidP="00AF74FE">
            <w:pPr>
              <w:jc w:val="center"/>
              <w:rPr>
                <w:rFonts w:cs="Times New Roman"/>
              </w:rPr>
            </w:pPr>
            <w:r w:rsidRPr="00AF74FE">
              <w:rPr>
                <w:rFonts w:cs="Times New Roman"/>
              </w:rPr>
              <w:t>1</w:t>
            </w:r>
          </w:p>
        </w:tc>
      </w:tr>
      <w:tr w:rsidR="00AF74FE" w:rsidRPr="00AF74FE" w:rsidTr="00AF74FE">
        <w:tc>
          <w:tcPr>
            <w:tcW w:w="5328" w:type="dxa"/>
          </w:tcPr>
          <w:p w:rsidR="00AF74FE" w:rsidRPr="00AF74FE" w:rsidRDefault="00AF74FE" w:rsidP="00AF74FE">
            <w:pPr>
              <w:rPr>
                <w:rFonts w:cs="Times New Roman"/>
              </w:rPr>
            </w:pPr>
            <w:r w:rsidRPr="00AF74FE">
              <w:rPr>
                <w:rFonts w:cs="Times New Roman"/>
              </w:rPr>
              <w:t>Douglas Services, Inc.</w:t>
            </w:r>
          </w:p>
        </w:tc>
        <w:tc>
          <w:tcPr>
            <w:tcW w:w="1350" w:type="dxa"/>
          </w:tcPr>
          <w:p w:rsidR="00AF74FE" w:rsidRPr="00AF74FE" w:rsidRDefault="00AF74FE" w:rsidP="00AF74FE">
            <w:pPr>
              <w:jc w:val="center"/>
              <w:rPr>
                <w:rFonts w:cs="Times New Roman"/>
              </w:rPr>
            </w:pPr>
            <w:r w:rsidRPr="00AF74FE">
              <w:rPr>
                <w:rFonts w:cs="Times New Roman"/>
              </w:rPr>
              <w:t>OR</w:t>
            </w:r>
          </w:p>
        </w:tc>
        <w:tc>
          <w:tcPr>
            <w:tcW w:w="1062" w:type="dxa"/>
          </w:tcPr>
          <w:p w:rsidR="00AF74FE" w:rsidRPr="00AF74FE" w:rsidRDefault="00AF74FE" w:rsidP="00AF74FE">
            <w:pPr>
              <w:jc w:val="center"/>
              <w:rPr>
                <w:rFonts w:cs="Times New Roman"/>
              </w:rPr>
            </w:pPr>
            <w:r w:rsidRPr="00AF74FE">
              <w:rPr>
                <w:rFonts w:cs="Times New Roman"/>
              </w:rPr>
              <w:t>1</w:t>
            </w:r>
          </w:p>
        </w:tc>
        <w:tc>
          <w:tcPr>
            <w:tcW w:w="2160" w:type="dxa"/>
          </w:tcPr>
          <w:p w:rsidR="00AF74FE" w:rsidRPr="00AF74FE" w:rsidRDefault="00AF74FE" w:rsidP="00AF74FE">
            <w:pPr>
              <w:jc w:val="center"/>
              <w:rPr>
                <w:rFonts w:cs="Times New Roman"/>
              </w:rPr>
            </w:pPr>
            <w:r w:rsidRPr="00AF74FE">
              <w:rPr>
                <w:rFonts w:cs="Times New Roman"/>
              </w:rPr>
              <w:t>$2,375,000.00</w:t>
            </w:r>
          </w:p>
        </w:tc>
        <w:tc>
          <w:tcPr>
            <w:tcW w:w="2430" w:type="dxa"/>
          </w:tcPr>
          <w:p w:rsidR="00AF74FE" w:rsidRPr="00AF74FE" w:rsidRDefault="00AF74FE" w:rsidP="00AF74FE">
            <w:pPr>
              <w:jc w:val="center"/>
              <w:rPr>
                <w:rFonts w:cs="Times New Roman"/>
              </w:rPr>
            </w:pPr>
            <w:r w:rsidRPr="00AF74FE">
              <w:rPr>
                <w:rFonts w:cs="Times New Roman"/>
              </w:rPr>
              <w:t>325</w:t>
            </w:r>
          </w:p>
        </w:tc>
        <w:tc>
          <w:tcPr>
            <w:tcW w:w="1800" w:type="dxa"/>
          </w:tcPr>
          <w:p w:rsidR="00AF74FE" w:rsidRPr="00AF74FE" w:rsidRDefault="00AF74FE" w:rsidP="00AF74FE">
            <w:pPr>
              <w:jc w:val="center"/>
              <w:rPr>
                <w:rFonts w:cs="Times New Roman"/>
              </w:rPr>
            </w:pPr>
            <w:r w:rsidRPr="00AF74FE">
              <w:rPr>
                <w:rFonts w:cs="Times New Roman"/>
              </w:rPr>
              <w:t>1</w:t>
            </w:r>
          </w:p>
        </w:tc>
      </w:tr>
      <w:tr w:rsidR="00AF74FE" w:rsidRPr="00AF74FE" w:rsidTr="00AF74FE">
        <w:tc>
          <w:tcPr>
            <w:tcW w:w="5328" w:type="dxa"/>
          </w:tcPr>
          <w:p w:rsidR="00AF74FE" w:rsidRPr="00AF74FE" w:rsidRDefault="00AF74FE" w:rsidP="00AF74FE">
            <w:pPr>
              <w:rPr>
                <w:rFonts w:cs="Times New Roman"/>
              </w:rPr>
            </w:pPr>
            <w:r w:rsidRPr="00AF74FE">
              <w:rPr>
                <w:rFonts w:cs="Times New Roman"/>
              </w:rPr>
              <w:t>EPB</w:t>
            </w:r>
          </w:p>
        </w:tc>
        <w:tc>
          <w:tcPr>
            <w:tcW w:w="1350" w:type="dxa"/>
          </w:tcPr>
          <w:p w:rsidR="00AF74FE" w:rsidRPr="00AF74FE" w:rsidRDefault="00AF74FE" w:rsidP="00AF74FE">
            <w:pPr>
              <w:jc w:val="center"/>
              <w:rPr>
                <w:rFonts w:cs="Times New Roman"/>
              </w:rPr>
            </w:pPr>
            <w:r w:rsidRPr="00AF74FE">
              <w:rPr>
                <w:rFonts w:cs="Times New Roman"/>
              </w:rPr>
              <w:t>TN</w:t>
            </w:r>
          </w:p>
        </w:tc>
        <w:tc>
          <w:tcPr>
            <w:tcW w:w="1062" w:type="dxa"/>
          </w:tcPr>
          <w:p w:rsidR="00AF74FE" w:rsidRPr="00AF74FE" w:rsidRDefault="00AF74FE" w:rsidP="00AF74FE">
            <w:pPr>
              <w:jc w:val="center"/>
              <w:rPr>
                <w:rFonts w:cs="Times New Roman"/>
              </w:rPr>
            </w:pPr>
            <w:r w:rsidRPr="00AF74FE">
              <w:rPr>
                <w:rFonts w:cs="Times New Roman"/>
              </w:rPr>
              <w:t>1</w:t>
            </w:r>
          </w:p>
        </w:tc>
        <w:tc>
          <w:tcPr>
            <w:tcW w:w="2160" w:type="dxa"/>
          </w:tcPr>
          <w:p w:rsidR="00AF74FE" w:rsidRPr="00AF74FE" w:rsidRDefault="00AF74FE" w:rsidP="00AF74FE">
            <w:pPr>
              <w:jc w:val="center"/>
              <w:rPr>
                <w:rFonts w:cs="Times New Roman"/>
              </w:rPr>
            </w:pPr>
            <w:r w:rsidRPr="00AF74FE">
              <w:rPr>
                <w:rFonts w:cs="Times New Roman"/>
              </w:rPr>
              <w:t>$710,147.00</w:t>
            </w:r>
          </w:p>
        </w:tc>
        <w:tc>
          <w:tcPr>
            <w:tcW w:w="2430" w:type="dxa"/>
          </w:tcPr>
          <w:p w:rsidR="00AF74FE" w:rsidRPr="00AF74FE" w:rsidRDefault="00AF74FE" w:rsidP="00AF74FE">
            <w:pPr>
              <w:jc w:val="center"/>
              <w:rPr>
                <w:rFonts w:cs="Times New Roman"/>
              </w:rPr>
            </w:pPr>
            <w:r w:rsidRPr="00AF74FE">
              <w:rPr>
                <w:rFonts w:cs="Times New Roman"/>
              </w:rPr>
              <w:t>128</w:t>
            </w:r>
          </w:p>
        </w:tc>
        <w:tc>
          <w:tcPr>
            <w:tcW w:w="1800" w:type="dxa"/>
          </w:tcPr>
          <w:p w:rsidR="00AF74FE" w:rsidRPr="00AF74FE" w:rsidRDefault="00AF74FE" w:rsidP="00AF74FE">
            <w:pPr>
              <w:jc w:val="center"/>
              <w:rPr>
                <w:rFonts w:cs="Times New Roman"/>
              </w:rPr>
            </w:pPr>
            <w:r w:rsidRPr="00AF74FE">
              <w:rPr>
                <w:rFonts w:cs="Times New Roman"/>
              </w:rPr>
              <w:t>1</w:t>
            </w:r>
          </w:p>
        </w:tc>
      </w:tr>
      <w:tr w:rsidR="00AF74FE" w:rsidRPr="00AF74FE" w:rsidTr="00AF74FE">
        <w:tc>
          <w:tcPr>
            <w:tcW w:w="5328" w:type="dxa"/>
          </w:tcPr>
          <w:p w:rsidR="00AF74FE" w:rsidRPr="00AF74FE" w:rsidRDefault="00AF74FE" w:rsidP="00AF74FE">
            <w:pPr>
              <w:rPr>
                <w:rFonts w:cs="Times New Roman"/>
              </w:rPr>
            </w:pPr>
            <w:r w:rsidRPr="00AF74FE">
              <w:rPr>
                <w:rFonts w:cs="Times New Roman"/>
              </w:rPr>
              <w:t>Federated Telephone Cooperative</w:t>
            </w:r>
          </w:p>
        </w:tc>
        <w:tc>
          <w:tcPr>
            <w:tcW w:w="1350" w:type="dxa"/>
          </w:tcPr>
          <w:p w:rsidR="00AF74FE" w:rsidRPr="00AF74FE" w:rsidRDefault="00AF74FE" w:rsidP="00AF74FE">
            <w:pPr>
              <w:jc w:val="center"/>
              <w:rPr>
                <w:rFonts w:cs="Times New Roman"/>
              </w:rPr>
            </w:pPr>
            <w:r w:rsidRPr="00AF74FE">
              <w:rPr>
                <w:rFonts w:cs="Times New Roman"/>
              </w:rPr>
              <w:t>MN</w:t>
            </w:r>
          </w:p>
        </w:tc>
        <w:tc>
          <w:tcPr>
            <w:tcW w:w="1062" w:type="dxa"/>
          </w:tcPr>
          <w:p w:rsidR="00AF74FE" w:rsidRPr="00AF74FE" w:rsidRDefault="0037614C" w:rsidP="00AF74FE">
            <w:pPr>
              <w:jc w:val="center"/>
              <w:rPr>
                <w:rFonts w:cs="Times New Roman"/>
              </w:rPr>
            </w:pPr>
            <w:r>
              <w:rPr>
                <w:rFonts w:cs="Times New Roman"/>
              </w:rPr>
              <w:t>1</w:t>
            </w:r>
          </w:p>
        </w:tc>
        <w:tc>
          <w:tcPr>
            <w:tcW w:w="2160" w:type="dxa"/>
          </w:tcPr>
          <w:p w:rsidR="00AF74FE" w:rsidRPr="00AF74FE" w:rsidRDefault="0037614C" w:rsidP="00AF74FE">
            <w:pPr>
              <w:tabs>
                <w:tab w:val="left" w:pos="338"/>
              </w:tabs>
              <w:jc w:val="center"/>
              <w:rPr>
                <w:rFonts w:cs="Times New Roman"/>
              </w:rPr>
            </w:pPr>
            <w:r>
              <w:rPr>
                <w:rFonts w:cs="Times New Roman"/>
              </w:rPr>
              <w:t>$1,455,961.71</w:t>
            </w:r>
          </w:p>
        </w:tc>
        <w:tc>
          <w:tcPr>
            <w:tcW w:w="2430" w:type="dxa"/>
          </w:tcPr>
          <w:p w:rsidR="00AF74FE" w:rsidRPr="00AF74FE" w:rsidRDefault="0037614C" w:rsidP="00AF74FE">
            <w:pPr>
              <w:jc w:val="center"/>
              <w:rPr>
                <w:rFonts w:cs="Times New Roman"/>
              </w:rPr>
            </w:pPr>
            <w:r>
              <w:rPr>
                <w:rFonts w:cs="Times New Roman"/>
              </w:rPr>
              <w:t>95</w:t>
            </w:r>
          </w:p>
        </w:tc>
        <w:tc>
          <w:tcPr>
            <w:tcW w:w="1800" w:type="dxa"/>
          </w:tcPr>
          <w:p w:rsidR="00AF74FE" w:rsidRPr="00AF74FE" w:rsidRDefault="00AF74FE" w:rsidP="00DE1021">
            <w:pPr>
              <w:jc w:val="center"/>
              <w:rPr>
                <w:rFonts w:cs="Times New Roman"/>
              </w:rPr>
            </w:pPr>
            <w:r w:rsidRPr="00AF74FE">
              <w:rPr>
                <w:rFonts w:cs="Times New Roman"/>
              </w:rPr>
              <w:t>2</w:t>
            </w:r>
          </w:p>
        </w:tc>
      </w:tr>
      <w:tr w:rsidR="00AF74FE" w:rsidRPr="00AF74FE" w:rsidTr="00AF74FE">
        <w:tc>
          <w:tcPr>
            <w:tcW w:w="5328" w:type="dxa"/>
          </w:tcPr>
          <w:p w:rsidR="00AF74FE" w:rsidRPr="00AF74FE" w:rsidRDefault="00AF74FE" w:rsidP="00AF74FE">
            <w:pPr>
              <w:rPr>
                <w:rFonts w:cs="Times New Roman"/>
              </w:rPr>
            </w:pPr>
            <w:r w:rsidRPr="00AF74FE">
              <w:rPr>
                <w:rFonts w:cs="Times New Roman"/>
              </w:rPr>
              <w:t>Lake Region Technology &amp; Communications, LLC</w:t>
            </w:r>
          </w:p>
        </w:tc>
        <w:tc>
          <w:tcPr>
            <w:tcW w:w="1350" w:type="dxa"/>
          </w:tcPr>
          <w:p w:rsidR="00AF74FE" w:rsidRPr="00AF74FE" w:rsidRDefault="00AF74FE" w:rsidP="00AF74FE">
            <w:pPr>
              <w:jc w:val="center"/>
              <w:rPr>
                <w:rFonts w:cs="Times New Roman"/>
              </w:rPr>
            </w:pPr>
            <w:r w:rsidRPr="00AF74FE">
              <w:rPr>
                <w:rFonts w:cs="Times New Roman"/>
              </w:rPr>
              <w:t>OK</w:t>
            </w:r>
          </w:p>
        </w:tc>
        <w:tc>
          <w:tcPr>
            <w:tcW w:w="1062" w:type="dxa"/>
          </w:tcPr>
          <w:p w:rsidR="00AF74FE" w:rsidRPr="00AF74FE" w:rsidRDefault="00DE1021" w:rsidP="00AF74FE">
            <w:pPr>
              <w:jc w:val="center"/>
              <w:rPr>
                <w:rFonts w:cs="Times New Roman"/>
              </w:rPr>
            </w:pPr>
            <w:r>
              <w:rPr>
                <w:rFonts w:cs="Times New Roman"/>
              </w:rPr>
              <w:t>2</w:t>
            </w:r>
          </w:p>
        </w:tc>
        <w:tc>
          <w:tcPr>
            <w:tcW w:w="2160" w:type="dxa"/>
          </w:tcPr>
          <w:p w:rsidR="00AF74FE" w:rsidRPr="00AF74FE" w:rsidRDefault="00DE1021" w:rsidP="00AF74FE">
            <w:pPr>
              <w:jc w:val="center"/>
              <w:rPr>
                <w:rFonts w:cs="Times New Roman"/>
              </w:rPr>
            </w:pPr>
            <w:r>
              <w:rPr>
                <w:rFonts w:cs="Times New Roman"/>
              </w:rPr>
              <w:t>$591,987.00</w:t>
            </w:r>
          </w:p>
        </w:tc>
        <w:tc>
          <w:tcPr>
            <w:tcW w:w="2430" w:type="dxa"/>
          </w:tcPr>
          <w:p w:rsidR="00AF74FE" w:rsidRPr="00AF74FE" w:rsidRDefault="00DE1021" w:rsidP="00AF74FE">
            <w:pPr>
              <w:jc w:val="center"/>
              <w:rPr>
                <w:rFonts w:cs="Times New Roman"/>
              </w:rPr>
            </w:pPr>
            <w:r>
              <w:rPr>
                <w:rFonts w:cs="Times New Roman"/>
              </w:rPr>
              <w:t>68</w:t>
            </w:r>
          </w:p>
        </w:tc>
        <w:tc>
          <w:tcPr>
            <w:tcW w:w="1800" w:type="dxa"/>
          </w:tcPr>
          <w:p w:rsidR="00AF74FE" w:rsidRPr="00AF74FE" w:rsidRDefault="00DE1021" w:rsidP="00AF74FE">
            <w:pPr>
              <w:jc w:val="center"/>
              <w:rPr>
                <w:rFonts w:cs="Times New Roman"/>
              </w:rPr>
            </w:pPr>
            <w:r>
              <w:rPr>
                <w:rFonts w:cs="Times New Roman"/>
              </w:rPr>
              <w:t>1, 2</w:t>
            </w:r>
          </w:p>
        </w:tc>
      </w:tr>
      <w:tr w:rsidR="00AF74FE" w:rsidRPr="00AF74FE" w:rsidTr="00AF74FE">
        <w:tc>
          <w:tcPr>
            <w:tcW w:w="5328" w:type="dxa"/>
          </w:tcPr>
          <w:p w:rsidR="00AF74FE" w:rsidRPr="00AF74FE" w:rsidRDefault="00AF74FE" w:rsidP="00AF74FE">
            <w:pPr>
              <w:rPr>
                <w:rFonts w:cs="Times New Roman"/>
              </w:rPr>
            </w:pPr>
            <w:r w:rsidRPr="00AF74FE">
              <w:rPr>
                <w:rFonts w:cs="Times New Roman"/>
              </w:rPr>
              <w:t>Midwest Energy Cooperative d/b/a Midwest Connections</w:t>
            </w:r>
          </w:p>
        </w:tc>
        <w:tc>
          <w:tcPr>
            <w:tcW w:w="1350" w:type="dxa"/>
          </w:tcPr>
          <w:p w:rsidR="00AF74FE" w:rsidRPr="00AF74FE" w:rsidRDefault="00AF74FE" w:rsidP="00AF74FE">
            <w:pPr>
              <w:jc w:val="center"/>
              <w:rPr>
                <w:rFonts w:cs="Times New Roman"/>
              </w:rPr>
            </w:pPr>
            <w:r w:rsidRPr="00AF74FE">
              <w:rPr>
                <w:rFonts w:cs="Times New Roman"/>
              </w:rPr>
              <w:t>MI</w:t>
            </w:r>
          </w:p>
        </w:tc>
        <w:tc>
          <w:tcPr>
            <w:tcW w:w="1062" w:type="dxa"/>
          </w:tcPr>
          <w:p w:rsidR="00AF74FE" w:rsidRPr="00AF74FE" w:rsidRDefault="00AF74FE" w:rsidP="00AF74FE">
            <w:pPr>
              <w:jc w:val="center"/>
              <w:rPr>
                <w:rFonts w:cs="Times New Roman"/>
              </w:rPr>
            </w:pPr>
            <w:r w:rsidRPr="00AF74FE">
              <w:rPr>
                <w:rFonts w:cs="Times New Roman"/>
              </w:rPr>
              <w:t>1</w:t>
            </w:r>
          </w:p>
        </w:tc>
        <w:tc>
          <w:tcPr>
            <w:tcW w:w="2160" w:type="dxa"/>
          </w:tcPr>
          <w:p w:rsidR="00AF74FE" w:rsidRPr="00AF74FE" w:rsidRDefault="00AF74FE" w:rsidP="00AF74FE">
            <w:pPr>
              <w:jc w:val="center"/>
              <w:rPr>
                <w:rFonts w:cs="Times New Roman"/>
              </w:rPr>
            </w:pPr>
            <w:r w:rsidRPr="00AF74FE">
              <w:rPr>
                <w:rFonts w:cs="Times New Roman"/>
              </w:rPr>
              <w:t>$211,532.00</w:t>
            </w:r>
          </w:p>
        </w:tc>
        <w:tc>
          <w:tcPr>
            <w:tcW w:w="2430" w:type="dxa"/>
          </w:tcPr>
          <w:p w:rsidR="00AF74FE" w:rsidRPr="00AF74FE" w:rsidRDefault="00AF74FE" w:rsidP="00AF74FE">
            <w:pPr>
              <w:jc w:val="center"/>
              <w:rPr>
                <w:rFonts w:cs="Times New Roman"/>
              </w:rPr>
            </w:pPr>
            <w:r w:rsidRPr="00AF74FE">
              <w:rPr>
                <w:rFonts w:cs="Times New Roman"/>
              </w:rPr>
              <w:t>31</w:t>
            </w:r>
          </w:p>
        </w:tc>
        <w:tc>
          <w:tcPr>
            <w:tcW w:w="1800" w:type="dxa"/>
          </w:tcPr>
          <w:p w:rsidR="00AF74FE" w:rsidRPr="00AF74FE" w:rsidRDefault="00AF74FE" w:rsidP="00AF74FE">
            <w:pPr>
              <w:jc w:val="center"/>
              <w:rPr>
                <w:rFonts w:cs="Times New Roman"/>
              </w:rPr>
            </w:pPr>
            <w:r w:rsidRPr="00AF74FE">
              <w:rPr>
                <w:rFonts w:cs="Times New Roman"/>
              </w:rPr>
              <w:t>1</w:t>
            </w:r>
          </w:p>
        </w:tc>
      </w:tr>
      <w:tr w:rsidR="00AF74FE" w:rsidRPr="00AF74FE" w:rsidTr="00AF74FE">
        <w:tc>
          <w:tcPr>
            <w:tcW w:w="5328" w:type="dxa"/>
          </w:tcPr>
          <w:p w:rsidR="00AF74FE" w:rsidRPr="00AF74FE" w:rsidRDefault="00AF74FE" w:rsidP="00AF74FE">
            <w:pPr>
              <w:rPr>
                <w:rFonts w:cs="Times New Roman"/>
              </w:rPr>
            </w:pPr>
            <w:r w:rsidRPr="00AF74FE">
              <w:rPr>
                <w:rFonts w:cs="Times New Roman"/>
              </w:rPr>
              <w:t>Northeast Rural Services, Inc.*</w:t>
            </w:r>
          </w:p>
        </w:tc>
        <w:tc>
          <w:tcPr>
            <w:tcW w:w="1350" w:type="dxa"/>
          </w:tcPr>
          <w:p w:rsidR="00AF74FE" w:rsidRPr="00AF74FE" w:rsidRDefault="00AF74FE" w:rsidP="00AF74FE">
            <w:pPr>
              <w:jc w:val="center"/>
              <w:rPr>
                <w:rFonts w:cs="Times New Roman"/>
              </w:rPr>
            </w:pPr>
            <w:r w:rsidRPr="00AF74FE">
              <w:rPr>
                <w:rFonts w:cs="Times New Roman"/>
              </w:rPr>
              <w:t>OK</w:t>
            </w:r>
          </w:p>
        </w:tc>
        <w:tc>
          <w:tcPr>
            <w:tcW w:w="1062" w:type="dxa"/>
          </w:tcPr>
          <w:p w:rsidR="00AF74FE" w:rsidRPr="00AF74FE" w:rsidRDefault="00AF74FE" w:rsidP="00AF74FE">
            <w:pPr>
              <w:jc w:val="center"/>
              <w:rPr>
                <w:rFonts w:cs="Times New Roman"/>
              </w:rPr>
            </w:pPr>
            <w:r w:rsidRPr="00AF74FE">
              <w:rPr>
                <w:rFonts w:cs="Times New Roman"/>
              </w:rPr>
              <w:t>6</w:t>
            </w:r>
          </w:p>
        </w:tc>
        <w:tc>
          <w:tcPr>
            <w:tcW w:w="2160" w:type="dxa"/>
          </w:tcPr>
          <w:p w:rsidR="00AF74FE" w:rsidRPr="00AF74FE" w:rsidRDefault="00AF74FE" w:rsidP="00AF74FE">
            <w:pPr>
              <w:jc w:val="center"/>
              <w:rPr>
                <w:rFonts w:cs="Times New Roman"/>
              </w:rPr>
            </w:pPr>
            <w:r w:rsidRPr="00AF74FE">
              <w:rPr>
                <w:rFonts w:cs="Times New Roman"/>
              </w:rPr>
              <w:t>$7,415,062.00</w:t>
            </w:r>
          </w:p>
        </w:tc>
        <w:tc>
          <w:tcPr>
            <w:tcW w:w="2430" w:type="dxa"/>
          </w:tcPr>
          <w:p w:rsidR="00AF74FE" w:rsidRPr="00AF74FE" w:rsidRDefault="00AF74FE" w:rsidP="00AF74FE">
            <w:pPr>
              <w:jc w:val="center"/>
              <w:rPr>
                <w:rFonts w:cs="Times New Roman"/>
              </w:rPr>
            </w:pPr>
            <w:r w:rsidRPr="00AF74FE">
              <w:rPr>
                <w:rFonts w:cs="Times New Roman"/>
              </w:rPr>
              <w:t>588</w:t>
            </w:r>
          </w:p>
        </w:tc>
        <w:tc>
          <w:tcPr>
            <w:tcW w:w="1800" w:type="dxa"/>
          </w:tcPr>
          <w:p w:rsidR="00AF74FE" w:rsidRPr="00AF74FE" w:rsidRDefault="00AF74FE" w:rsidP="00AF74FE">
            <w:pPr>
              <w:jc w:val="center"/>
              <w:rPr>
                <w:rFonts w:cs="Times New Roman"/>
              </w:rPr>
            </w:pPr>
            <w:r w:rsidRPr="00AF74FE">
              <w:rPr>
                <w:rFonts w:cs="Times New Roman"/>
              </w:rPr>
              <w:t>2, 3, 5, 7, 9, 11</w:t>
            </w:r>
          </w:p>
        </w:tc>
      </w:tr>
      <w:tr w:rsidR="00AF74FE" w:rsidRPr="00AF74FE" w:rsidTr="00AF74FE">
        <w:tc>
          <w:tcPr>
            <w:tcW w:w="5328" w:type="dxa"/>
          </w:tcPr>
          <w:p w:rsidR="00AF74FE" w:rsidRPr="00AF74FE" w:rsidRDefault="00AF74FE" w:rsidP="00AF74FE">
            <w:pPr>
              <w:rPr>
                <w:rFonts w:cs="Times New Roman"/>
              </w:rPr>
            </w:pPr>
            <w:r w:rsidRPr="00AF74FE">
              <w:rPr>
                <w:rFonts w:cs="Times New Roman"/>
              </w:rPr>
              <w:t>Paul Bunyan Rural Telephone Cooperative</w:t>
            </w:r>
          </w:p>
        </w:tc>
        <w:tc>
          <w:tcPr>
            <w:tcW w:w="1350" w:type="dxa"/>
          </w:tcPr>
          <w:p w:rsidR="00AF74FE" w:rsidRPr="00AF74FE" w:rsidRDefault="00AF74FE" w:rsidP="00AF74FE">
            <w:pPr>
              <w:jc w:val="center"/>
              <w:rPr>
                <w:rFonts w:cs="Times New Roman"/>
              </w:rPr>
            </w:pPr>
            <w:r w:rsidRPr="00AF74FE">
              <w:rPr>
                <w:rFonts w:cs="Times New Roman"/>
              </w:rPr>
              <w:t>MN</w:t>
            </w:r>
          </w:p>
        </w:tc>
        <w:tc>
          <w:tcPr>
            <w:tcW w:w="1062" w:type="dxa"/>
          </w:tcPr>
          <w:p w:rsidR="00AF74FE" w:rsidRPr="00AF74FE" w:rsidRDefault="00AF74FE" w:rsidP="00AF74FE">
            <w:pPr>
              <w:jc w:val="center"/>
              <w:rPr>
                <w:rFonts w:cs="Times New Roman"/>
              </w:rPr>
            </w:pPr>
            <w:r w:rsidRPr="00AF74FE">
              <w:rPr>
                <w:rFonts w:cs="Times New Roman"/>
              </w:rPr>
              <w:t>2</w:t>
            </w:r>
          </w:p>
        </w:tc>
        <w:tc>
          <w:tcPr>
            <w:tcW w:w="2160" w:type="dxa"/>
          </w:tcPr>
          <w:p w:rsidR="00AF74FE" w:rsidRPr="00AF74FE" w:rsidRDefault="00AF74FE" w:rsidP="00AF74FE">
            <w:pPr>
              <w:jc w:val="center"/>
              <w:rPr>
                <w:rFonts w:cs="Times New Roman"/>
              </w:rPr>
            </w:pPr>
            <w:r w:rsidRPr="00AF74FE">
              <w:rPr>
                <w:rFonts w:cs="Times New Roman"/>
              </w:rPr>
              <w:t>$1,962,000.00</w:t>
            </w:r>
          </w:p>
        </w:tc>
        <w:tc>
          <w:tcPr>
            <w:tcW w:w="2430" w:type="dxa"/>
          </w:tcPr>
          <w:p w:rsidR="00AF74FE" w:rsidRPr="00AF74FE" w:rsidRDefault="00AF74FE" w:rsidP="00AF74FE">
            <w:pPr>
              <w:jc w:val="center"/>
              <w:rPr>
                <w:rFonts w:cs="Times New Roman"/>
              </w:rPr>
            </w:pPr>
            <w:r w:rsidRPr="00AF74FE">
              <w:rPr>
                <w:rFonts w:cs="Times New Roman"/>
              </w:rPr>
              <w:t>134</w:t>
            </w:r>
          </w:p>
        </w:tc>
        <w:tc>
          <w:tcPr>
            <w:tcW w:w="1800" w:type="dxa"/>
          </w:tcPr>
          <w:p w:rsidR="00AF74FE" w:rsidRPr="00AF74FE" w:rsidRDefault="00AF74FE" w:rsidP="00AF74FE">
            <w:pPr>
              <w:jc w:val="center"/>
              <w:rPr>
                <w:rFonts w:cs="Times New Roman"/>
              </w:rPr>
            </w:pPr>
            <w:r w:rsidRPr="00AF74FE">
              <w:rPr>
                <w:rFonts w:cs="Times New Roman"/>
              </w:rPr>
              <w:t>1, 3</w:t>
            </w:r>
          </w:p>
        </w:tc>
      </w:tr>
      <w:tr w:rsidR="00AF74FE" w:rsidRPr="00AF74FE" w:rsidTr="00AF74FE">
        <w:tc>
          <w:tcPr>
            <w:tcW w:w="5328" w:type="dxa"/>
          </w:tcPr>
          <w:p w:rsidR="00AF74FE" w:rsidRPr="00AF74FE" w:rsidRDefault="00AF74FE" w:rsidP="00AF74FE">
            <w:pPr>
              <w:rPr>
                <w:rFonts w:cs="Times New Roman"/>
              </w:rPr>
            </w:pPr>
            <w:r w:rsidRPr="00AF74FE">
              <w:rPr>
                <w:rFonts w:cs="Times New Roman"/>
              </w:rPr>
              <w:t>Skybeam, LLC*</w:t>
            </w:r>
          </w:p>
        </w:tc>
        <w:tc>
          <w:tcPr>
            <w:tcW w:w="1350" w:type="dxa"/>
          </w:tcPr>
          <w:p w:rsidR="00AF74FE" w:rsidRPr="00AF74FE" w:rsidRDefault="00AF74FE" w:rsidP="00AF74FE">
            <w:pPr>
              <w:jc w:val="center"/>
              <w:rPr>
                <w:rFonts w:cs="Times New Roman"/>
              </w:rPr>
            </w:pPr>
            <w:r w:rsidRPr="00AF74FE">
              <w:rPr>
                <w:rFonts w:cs="Times New Roman"/>
              </w:rPr>
              <w:t>IA, MN, TX</w:t>
            </w:r>
          </w:p>
        </w:tc>
        <w:tc>
          <w:tcPr>
            <w:tcW w:w="1062" w:type="dxa"/>
          </w:tcPr>
          <w:p w:rsidR="00AF74FE" w:rsidRPr="00AF74FE" w:rsidRDefault="00AF74FE" w:rsidP="00AF74FE">
            <w:pPr>
              <w:jc w:val="center"/>
              <w:rPr>
                <w:rFonts w:cs="Times New Roman"/>
              </w:rPr>
            </w:pPr>
            <w:r w:rsidRPr="00AF74FE">
              <w:rPr>
                <w:rFonts w:cs="Times New Roman"/>
              </w:rPr>
              <w:t>4</w:t>
            </w:r>
          </w:p>
        </w:tc>
        <w:tc>
          <w:tcPr>
            <w:tcW w:w="2160" w:type="dxa"/>
          </w:tcPr>
          <w:p w:rsidR="00AF74FE" w:rsidRPr="00AF74FE" w:rsidRDefault="00DE1021" w:rsidP="00AF74FE">
            <w:pPr>
              <w:jc w:val="center"/>
              <w:rPr>
                <w:rFonts w:cs="Times New Roman"/>
              </w:rPr>
            </w:pPr>
            <w:r>
              <w:rPr>
                <w:rFonts w:cs="Times New Roman"/>
              </w:rPr>
              <w:t>$11,012,274.00</w:t>
            </w:r>
          </w:p>
        </w:tc>
        <w:tc>
          <w:tcPr>
            <w:tcW w:w="2430" w:type="dxa"/>
          </w:tcPr>
          <w:p w:rsidR="00AF74FE" w:rsidRPr="00AF74FE" w:rsidRDefault="00DE1021" w:rsidP="00AF74FE">
            <w:pPr>
              <w:jc w:val="center"/>
              <w:rPr>
                <w:rFonts w:cs="Times New Roman"/>
              </w:rPr>
            </w:pPr>
            <w:r>
              <w:rPr>
                <w:rFonts w:cs="Times New Roman"/>
              </w:rPr>
              <w:t>1,771</w:t>
            </w:r>
          </w:p>
        </w:tc>
        <w:tc>
          <w:tcPr>
            <w:tcW w:w="1800" w:type="dxa"/>
          </w:tcPr>
          <w:p w:rsidR="00AF74FE" w:rsidRPr="00AF74FE" w:rsidRDefault="00DE1021" w:rsidP="00AF74FE">
            <w:pPr>
              <w:jc w:val="center"/>
              <w:rPr>
                <w:rFonts w:cs="Times New Roman"/>
              </w:rPr>
            </w:pPr>
            <w:r>
              <w:rPr>
                <w:rFonts w:cs="Times New Roman"/>
              </w:rPr>
              <w:t>1, 5, 6, 9</w:t>
            </w:r>
          </w:p>
        </w:tc>
      </w:tr>
      <w:tr w:rsidR="00AF74FE" w:rsidRPr="00AF74FE" w:rsidTr="00AF74FE">
        <w:tc>
          <w:tcPr>
            <w:tcW w:w="5328" w:type="dxa"/>
          </w:tcPr>
          <w:p w:rsidR="00AF74FE" w:rsidRPr="00AF74FE" w:rsidRDefault="00AF74FE" w:rsidP="00AF74FE">
            <w:pPr>
              <w:rPr>
                <w:rFonts w:cs="Times New Roman"/>
              </w:rPr>
            </w:pPr>
            <w:r w:rsidRPr="00AF74FE">
              <w:rPr>
                <w:rFonts w:cs="Times New Roman"/>
              </w:rPr>
              <w:t>West Central Telephone Association</w:t>
            </w:r>
          </w:p>
        </w:tc>
        <w:tc>
          <w:tcPr>
            <w:tcW w:w="1350" w:type="dxa"/>
          </w:tcPr>
          <w:p w:rsidR="00AF74FE" w:rsidRPr="00AF74FE" w:rsidRDefault="00AF74FE" w:rsidP="00AF74FE">
            <w:pPr>
              <w:jc w:val="center"/>
              <w:rPr>
                <w:rFonts w:cs="Times New Roman"/>
              </w:rPr>
            </w:pPr>
            <w:r w:rsidRPr="00AF74FE">
              <w:rPr>
                <w:rFonts w:cs="Times New Roman"/>
              </w:rPr>
              <w:t>MN</w:t>
            </w:r>
          </w:p>
        </w:tc>
        <w:tc>
          <w:tcPr>
            <w:tcW w:w="1062" w:type="dxa"/>
          </w:tcPr>
          <w:p w:rsidR="00AF74FE" w:rsidRPr="00AF74FE" w:rsidRDefault="00AF74FE" w:rsidP="00AF74FE">
            <w:pPr>
              <w:jc w:val="center"/>
              <w:rPr>
                <w:rFonts w:cs="Times New Roman"/>
              </w:rPr>
            </w:pPr>
            <w:r w:rsidRPr="00AF74FE">
              <w:rPr>
                <w:rFonts w:cs="Times New Roman"/>
              </w:rPr>
              <w:t>1</w:t>
            </w:r>
          </w:p>
        </w:tc>
        <w:tc>
          <w:tcPr>
            <w:tcW w:w="2160" w:type="dxa"/>
          </w:tcPr>
          <w:p w:rsidR="00AF74FE" w:rsidRPr="00AF74FE" w:rsidRDefault="00AF74FE" w:rsidP="00AF74FE">
            <w:pPr>
              <w:jc w:val="center"/>
              <w:rPr>
                <w:rFonts w:cs="Times New Roman"/>
              </w:rPr>
            </w:pPr>
            <w:r w:rsidRPr="00AF74FE">
              <w:rPr>
                <w:rFonts w:cs="Times New Roman"/>
              </w:rPr>
              <w:t>$274,727.00</w:t>
            </w:r>
          </w:p>
        </w:tc>
        <w:tc>
          <w:tcPr>
            <w:tcW w:w="2430" w:type="dxa"/>
          </w:tcPr>
          <w:p w:rsidR="00AF74FE" w:rsidRPr="00AF74FE" w:rsidRDefault="00AF74FE" w:rsidP="00AF74FE">
            <w:pPr>
              <w:jc w:val="center"/>
              <w:rPr>
                <w:rFonts w:cs="Times New Roman"/>
              </w:rPr>
            </w:pPr>
            <w:r w:rsidRPr="00AF74FE">
              <w:rPr>
                <w:rFonts w:cs="Times New Roman"/>
              </w:rPr>
              <w:t>15</w:t>
            </w:r>
          </w:p>
        </w:tc>
        <w:tc>
          <w:tcPr>
            <w:tcW w:w="1800" w:type="dxa"/>
          </w:tcPr>
          <w:p w:rsidR="00AF74FE" w:rsidRPr="00AF74FE" w:rsidRDefault="00AF74FE" w:rsidP="00AF74FE">
            <w:pPr>
              <w:jc w:val="center"/>
              <w:rPr>
                <w:rFonts w:cs="Times New Roman"/>
              </w:rPr>
            </w:pPr>
            <w:r w:rsidRPr="00AF74FE">
              <w:rPr>
                <w:rFonts w:cs="Times New Roman"/>
              </w:rPr>
              <w:t>1</w:t>
            </w:r>
          </w:p>
        </w:tc>
      </w:tr>
      <w:tr w:rsidR="00AF74FE" w:rsidRPr="00AF74FE" w:rsidTr="00AF74FE">
        <w:tc>
          <w:tcPr>
            <w:tcW w:w="5328" w:type="dxa"/>
          </w:tcPr>
          <w:p w:rsidR="00AF74FE" w:rsidRPr="00AF74FE" w:rsidRDefault="00AF74FE" w:rsidP="00AF74FE">
            <w:pPr>
              <w:tabs>
                <w:tab w:val="left" w:pos="1866"/>
              </w:tabs>
              <w:jc w:val="right"/>
              <w:rPr>
                <w:rFonts w:cs="Times New Roman"/>
                <w:b/>
              </w:rPr>
            </w:pPr>
            <w:r w:rsidRPr="00AF74FE">
              <w:rPr>
                <w:rFonts w:cs="Times New Roman"/>
              </w:rPr>
              <w:tab/>
            </w:r>
          </w:p>
        </w:tc>
        <w:tc>
          <w:tcPr>
            <w:tcW w:w="1350" w:type="dxa"/>
          </w:tcPr>
          <w:p w:rsidR="00AF74FE" w:rsidRPr="00AF74FE" w:rsidRDefault="00AF74FE" w:rsidP="00AF74FE">
            <w:pPr>
              <w:jc w:val="right"/>
              <w:rPr>
                <w:rFonts w:cs="Times New Roman"/>
              </w:rPr>
            </w:pPr>
            <w:r w:rsidRPr="00AF74FE">
              <w:rPr>
                <w:rFonts w:cs="Times New Roman"/>
                <w:b/>
              </w:rPr>
              <w:t>Totals</w:t>
            </w:r>
          </w:p>
        </w:tc>
        <w:tc>
          <w:tcPr>
            <w:tcW w:w="1062" w:type="dxa"/>
          </w:tcPr>
          <w:p w:rsidR="00AF74FE" w:rsidRPr="00AF74FE" w:rsidRDefault="0037614C" w:rsidP="00AF74FE">
            <w:pPr>
              <w:jc w:val="center"/>
              <w:rPr>
                <w:rFonts w:cs="Times New Roman"/>
              </w:rPr>
            </w:pPr>
            <w:r>
              <w:rPr>
                <w:rFonts w:cs="Times New Roman"/>
              </w:rPr>
              <w:t>22</w:t>
            </w:r>
          </w:p>
        </w:tc>
        <w:tc>
          <w:tcPr>
            <w:tcW w:w="2160" w:type="dxa"/>
          </w:tcPr>
          <w:p w:rsidR="00AF74FE" w:rsidRPr="00AF74FE" w:rsidRDefault="00C80EA3" w:rsidP="0037614C">
            <w:pPr>
              <w:jc w:val="center"/>
              <w:rPr>
                <w:rFonts w:cs="Times New Roman"/>
              </w:rPr>
            </w:pPr>
            <w:r>
              <w:rPr>
                <w:rFonts w:cs="Times New Roman"/>
              </w:rPr>
              <w:t>$</w:t>
            </w:r>
            <w:r w:rsidR="0079547E">
              <w:rPr>
                <w:rFonts w:cs="Times New Roman"/>
              </w:rPr>
              <w:t>27,632,075.71</w:t>
            </w:r>
          </w:p>
        </w:tc>
        <w:tc>
          <w:tcPr>
            <w:tcW w:w="2430" w:type="dxa"/>
          </w:tcPr>
          <w:p w:rsidR="00AF74FE" w:rsidRPr="00AF74FE" w:rsidRDefault="0037614C" w:rsidP="00AF74FE">
            <w:pPr>
              <w:jc w:val="center"/>
              <w:rPr>
                <w:rFonts w:cs="Times New Roman"/>
              </w:rPr>
            </w:pPr>
            <w:r>
              <w:rPr>
                <w:rFonts w:cs="Times New Roman"/>
              </w:rPr>
              <w:t>3,365</w:t>
            </w:r>
          </w:p>
        </w:tc>
        <w:tc>
          <w:tcPr>
            <w:tcW w:w="1800" w:type="dxa"/>
          </w:tcPr>
          <w:p w:rsidR="00AF74FE" w:rsidRPr="00AF74FE" w:rsidRDefault="00AF74FE" w:rsidP="00AF74FE">
            <w:pPr>
              <w:jc w:val="center"/>
              <w:rPr>
                <w:rFonts w:cs="Times New Roman"/>
              </w:rPr>
            </w:pPr>
          </w:p>
        </w:tc>
      </w:tr>
    </w:tbl>
    <w:p w:rsidR="008175DD" w:rsidRPr="006C4974" w:rsidRDefault="006C4974" w:rsidP="00AF74FE">
      <w:r w:rsidRPr="00AF74FE">
        <w:rPr>
          <w:sz w:val="24"/>
        </w:rPr>
        <w:t>*</w:t>
      </w:r>
      <w:r w:rsidRPr="00AF74FE">
        <w:t xml:space="preserve"> Denotes </w:t>
      </w:r>
      <w:r w:rsidR="00AF74FE">
        <w:t>previous</w:t>
      </w:r>
      <w:r w:rsidR="00AF74FE" w:rsidRPr="00AF74FE">
        <w:t xml:space="preserve"> provisionally selected bidder </w:t>
      </w:r>
      <w:r w:rsidR="00AF74FE">
        <w:t xml:space="preserve">that is </w:t>
      </w:r>
      <w:r w:rsidR="00AF74FE" w:rsidRPr="00AF74FE">
        <w:t xml:space="preserve">now being provisionally selected </w:t>
      </w:r>
      <w:r w:rsidRPr="00AF74FE">
        <w:t>for additional projects</w:t>
      </w:r>
      <w:r w:rsidR="00AF74FE">
        <w:t>.</w:t>
      </w:r>
    </w:p>
    <w:p w:rsidR="008175DD" w:rsidRDefault="008175DD" w:rsidP="008175DD">
      <w:pPr>
        <w:rPr>
          <w:u w:val="single"/>
        </w:rPr>
      </w:pPr>
    </w:p>
    <w:p w:rsidR="008175DD" w:rsidRDefault="008175DD" w:rsidP="008175DD">
      <w:pPr>
        <w:jc w:val="center"/>
        <w:rPr>
          <w:b/>
        </w:rPr>
      </w:pPr>
    </w:p>
    <w:p w:rsidR="008175DD" w:rsidRDefault="008175DD" w:rsidP="008175DD">
      <w:pPr>
        <w:jc w:val="center"/>
        <w:rPr>
          <w:b/>
        </w:rPr>
      </w:pPr>
    </w:p>
    <w:p w:rsidR="008175DD" w:rsidRDefault="008175DD" w:rsidP="008175DD">
      <w:pPr>
        <w:jc w:val="center"/>
        <w:rPr>
          <w:b/>
        </w:rPr>
      </w:pPr>
    </w:p>
    <w:p w:rsidR="008175DD" w:rsidRDefault="008175DD" w:rsidP="008175DD">
      <w:pPr>
        <w:jc w:val="center"/>
        <w:rPr>
          <w:b/>
        </w:rPr>
      </w:pPr>
    </w:p>
    <w:p w:rsidR="008175DD" w:rsidRDefault="008175DD" w:rsidP="008175DD">
      <w:pPr>
        <w:jc w:val="center"/>
        <w:rPr>
          <w:b/>
        </w:rPr>
      </w:pPr>
    </w:p>
    <w:p w:rsidR="008175DD" w:rsidRDefault="008175DD" w:rsidP="008175DD">
      <w:pPr>
        <w:jc w:val="center"/>
        <w:rPr>
          <w:b/>
        </w:rPr>
      </w:pPr>
    </w:p>
    <w:p w:rsidR="008175DD" w:rsidRDefault="008175DD" w:rsidP="008175DD">
      <w:pPr>
        <w:jc w:val="center"/>
        <w:rPr>
          <w:b/>
        </w:rPr>
      </w:pPr>
    </w:p>
    <w:p w:rsidR="008175DD" w:rsidRDefault="008175DD" w:rsidP="008175DD">
      <w:pPr>
        <w:jc w:val="center"/>
        <w:rPr>
          <w:b/>
        </w:rPr>
      </w:pPr>
    </w:p>
    <w:p w:rsidR="008175DD" w:rsidRPr="00617EA9" w:rsidRDefault="008175DD" w:rsidP="00962449">
      <w:pPr>
        <w:spacing w:before="120" w:after="240"/>
        <w:jc w:val="center"/>
        <w:rPr>
          <w:b/>
          <w:szCs w:val="22"/>
        </w:rPr>
      </w:pPr>
    </w:p>
    <w:sectPr w:rsidR="008175DD" w:rsidRPr="00617EA9" w:rsidSect="008175DD">
      <w:headerReference w:type="first" r:id="rId15"/>
      <w:pgSz w:w="15840" w:h="12240" w:orient="landscape" w:code="1"/>
      <w:pgMar w:top="1440" w:right="1440" w:bottom="144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213" w:rsidRDefault="00452213">
      <w:r>
        <w:separator/>
      </w:r>
    </w:p>
  </w:endnote>
  <w:endnote w:type="continuationSeparator" w:id="0">
    <w:p w:rsidR="00452213" w:rsidRDefault="0045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4D" w:rsidRDefault="001D3A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167185"/>
      <w:docPartObj>
        <w:docPartGallery w:val="Page Numbers (Bottom of Page)"/>
        <w:docPartUnique/>
      </w:docPartObj>
    </w:sdtPr>
    <w:sdtEndPr>
      <w:rPr>
        <w:noProof/>
      </w:rPr>
    </w:sdtEndPr>
    <w:sdtContent>
      <w:p w:rsidR="00617EA9" w:rsidRDefault="00617EA9" w:rsidP="00617EA9">
        <w:pPr>
          <w:pStyle w:val="Footer"/>
          <w:jc w:val="center"/>
        </w:pPr>
        <w:r>
          <w:fldChar w:fldCharType="begin"/>
        </w:r>
        <w:r>
          <w:instrText xml:space="preserve"> PAGE   \* MERGEFORMAT </w:instrText>
        </w:r>
        <w:r>
          <w:fldChar w:fldCharType="separate"/>
        </w:r>
        <w:r w:rsidR="001D3A4D">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203834"/>
      <w:docPartObj>
        <w:docPartGallery w:val="Page Numbers (Bottom of Page)"/>
        <w:docPartUnique/>
      </w:docPartObj>
    </w:sdtPr>
    <w:sdtEndPr>
      <w:rPr>
        <w:noProof/>
      </w:rPr>
    </w:sdtEndPr>
    <w:sdtContent>
      <w:p w:rsidR="00896BEF" w:rsidRDefault="00896BEF">
        <w:pPr>
          <w:pStyle w:val="Footer"/>
          <w:jc w:val="center"/>
        </w:pPr>
        <w:r>
          <w:fldChar w:fldCharType="begin"/>
        </w:r>
        <w:r>
          <w:instrText xml:space="preserve"> PAGE   \* MERGEFORMAT </w:instrText>
        </w:r>
        <w:r>
          <w:fldChar w:fldCharType="separate"/>
        </w:r>
        <w:r w:rsidR="00F42241">
          <w:rPr>
            <w:noProof/>
          </w:rPr>
          <w:t>1</w:t>
        </w:r>
        <w:r>
          <w:rPr>
            <w:noProof/>
          </w:rPr>
          <w:fldChar w:fldCharType="end"/>
        </w:r>
      </w:p>
    </w:sdtContent>
  </w:sdt>
  <w:p w:rsidR="00896BEF" w:rsidRDefault="00896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213" w:rsidRDefault="00452213">
      <w:r>
        <w:separator/>
      </w:r>
    </w:p>
  </w:footnote>
  <w:footnote w:type="continuationSeparator" w:id="0">
    <w:p w:rsidR="00452213" w:rsidRDefault="00452213">
      <w:r>
        <w:continuationSeparator/>
      </w:r>
    </w:p>
  </w:footnote>
  <w:footnote w:id="1">
    <w:p w:rsidR="000A3CC9" w:rsidRPr="00FD60B3" w:rsidRDefault="000A3CC9" w:rsidP="00FD60B3">
      <w:pPr>
        <w:pStyle w:val="FootnoteText"/>
        <w:spacing w:after="120"/>
        <w:rPr>
          <w:sz w:val="20"/>
        </w:rPr>
      </w:pPr>
      <w:r w:rsidRPr="00FD60B3">
        <w:rPr>
          <w:rStyle w:val="FootnoteReference"/>
          <w:sz w:val="20"/>
        </w:rPr>
        <w:footnoteRef/>
      </w:r>
      <w:r w:rsidRPr="00FD60B3">
        <w:rPr>
          <w:sz w:val="20"/>
        </w:rPr>
        <w:t xml:space="preserve"> </w:t>
      </w:r>
      <w:r w:rsidRPr="00FD60B3">
        <w:rPr>
          <w:i/>
          <w:sz w:val="20"/>
        </w:rPr>
        <w:t>See Connect America Fund; ETC Annual Reports and Certifications; Petition of USTelecom for Forbearance Pursuant to 47 U.S.C. § 160(c) from Obsolete ILEC Regulatory Obligations that Inhibit Deployment of Next-Generation Networks</w:t>
      </w:r>
      <w:r w:rsidRPr="00FD60B3">
        <w:rPr>
          <w:sz w:val="20"/>
        </w:rPr>
        <w:t xml:space="preserve">, WC Docket Nos. 10-90, 14-58, 14-192, Report and Order, </w:t>
      </w:r>
      <w:r w:rsidR="00BB6B53" w:rsidRPr="00FD60B3">
        <w:rPr>
          <w:sz w:val="20"/>
        </w:rPr>
        <w:t>29 FCC Rcd 15644, 15674-75</w:t>
      </w:r>
      <w:r w:rsidRPr="00FD60B3">
        <w:rPr>
          <w:sz w:val="20"/>
        </w:rPr>
        <w:t>, para. 83 (2014).</w:t>
      </w:r>
    </w:p>
  </w:footnote>
  <w:footnote w:id="2">
    <w:p w:rsidR="000A3CC9" w:rsidRPr="00FD60B3" w:rsidRDefault="000A3CC9" w:rsidP="00FD60B3">
      <w:pPr>
        <w:pStyle w:val="FootnoteText"/>
        <w:spacing w:after="120"/>
        <w:rPr>
          <w:sz w:val="20"/>
        </w:rPr>
      </w:pPr>
      <w:r w:rsidRPr="00FD60B3">
        <w:rPr>
          <w:rStyle w:val="FootnoteReference"/>
          <w:sz w:val="20"/>
        </w:rPr>
        <w:footnoteRef/>
      </w:r>
      <w:r w:rsidRPr="00FD60B3">
        <w:rPr>
          <w:sz w:val="20"/>
        </w:rPr>
        <w:t xml:space="preserve"> </w:t>
      </w:r>
      <w:r w:rsidRPr="00FD60B3">
        <w:rPr>
          <w:i/>
          <w:sz w:val="20"/>
        </w:rPr>
        <w:t>See Wireline Competition Bureau Announces Deadline for Bidders Interested in Remaining Under Consideration for Rural Broadband Experiments Support to File Additional Information</w:t>
      </w:r>
      <w:r w:rsidRPr="00FD60B3">
        <w:rPr>
          <w:sz w:val="20"/>
        </w:rPr>
        <w:t xml:space="preserve">, WC Docket Nos. 10-90, 14-259, Public Notice, </w:t>
      </w:r>
      <w:r w:rsidR="00BB6B53" w:rsidRPr="00FD60B3">
        <w:rPr>
          <w:sz w:val="20"/>
        </w:rPr>
        <w:t>29 FCC Rcd 15132</w:t>
      </w:r>
      <w:r w:rsidRPr="00FD60B3">
        <w:rPr>
          <w:sz w:val="20"/>
        </w:rPr>
        <w:t xml:space="preserve"> (Wireline Comp. Bur. 2014).</w:t>
      </w:r>
    </w:p>
  </w:footnote>
  <w:footnote w:id="3">
    <w:p w:rsidR="00AF2700" w:rsidRPr="00FD60B3" w:rsidRDefault="00AF2700" w:rsidP="00FD60B3">
      <w:pPr>
        <w:pStyle w:val="FootnoteText"/>
        <w:spacing w:after="120"/>
        <w:rPr>
          <w:sz w:val="20"/>
        </w:rPr>
      </w:pPr>
      <w:r w:rsidRPr="00FD60B3">
        <w:rPr>
          <w:rStyle w:val="FootnoteReference"/>
          <w:sz w:val="20"/>
        </w:rPr>
        <w:footnoteRef/>
      </w:r>
      <w:r w:rsidRPr="00FD60B3">
        <w:rPr>
          <w:sz w:val="20"/>
        </w:rPr>
        <w:t xml:space="preserve"> </w:t>
      </w:r>
      <w:r w:rsidRPr="00FD60B3">
        <w:rPr>
          <w:i/>
          <w:sz w:val="20"/>
        </w:rPr>
        <w:t>See Connect America Fund; Rural Broadband Experiments</w:t>
      </w:r>
      <w:r w:rsidRPr="00FD60B3">
        <w:rPr>
          <w:sz w:val="20"/>
        </w:rPr>
        <w:t>, WC Docket Nos. 10-90, 14-259, Order, DA 15-139 (Wireline Comp. Bur. rel. Jan 30, 2015).</w:t>
      </w:r>
    </w:p>
  </w:footnote>
  <w:footnote w:id="4">
    <w:p w:rsidR="007B76E7" w:rsidRPr="00FD60B3" w:rsidRDefault="007B76E7" w:rsidP="00FD60B3">
      <w:pPr>
        <w:pStyle w:val="FootnoteText"/>
        <w:spacing w:after="120"/>
        <w:rPr>
          <w:i/>
          <w:sz w:val="20"/>
        </w:rPr>
      </w:pPr>
      <w:r w:rsidRPr="00FD60B3">
        <w:rPr>
          <w:rStyle w:val="FootnoteReference"/>
          <w:sz w:val="20"/>
        </w:rPr>
        <w:footnoteRef/>
      </w:r>
      <w:r w:rsidRPr="00FD60B3">
        <w:rPr>
          <w:sz w:val="20"/>
        </w:rPr>
        <w:t xml:space="preserve"> A number of the census blocks that provisionally selected bidders seek to serve are the subject of a pending challenge in the Phase II challenge process.</w:t>
      </w:r>
      <w:r w:rsidR="00815CA5" w:rsidRPr="00FD60B3">
        <w:rPr>
          <w:sz w:val="20"/>
        </w:rPr>
        <w:t xml:space="preserve">  </w:t>
      </w:r>
      <w:r w:rsidR="00815CA5" w:rsidRPr="00FD60B3">
        <w:rPr>
          <w:i/>
          <w:sz w:val="20"/>
        </w:rPr>
        <w:t>See Wireline Competition Bureau Announces Application Process for Entities Interested in Participating in the Rural Broadband Experiments</w:t>
      </w:r>
      <w:r w:rsidR="00815CA5" w:rsidRPr="00FD60B3">
        <w:rPr>
          <w:sz w:val="20"/>
        </w:rPr>
        <w:t>, WC Docket No. 10-90, Public Notice, 29 FCC Rcd 10016, 10035-36, paras. 64-66 (Wireline Comp. Bur. 2014).</w:t>
      </w:r>
      <w:r w:rsidRPr="00FD60B3">
        <w:rPr>
          <w:sz w:val="20"/>
        </w:rPr>
        <w:t xml:space="preserve">  The Bureau is currently reviewing the challenges and responses received in the Phase II challenge process.  In the event that census blocks are deemed </w:t>
      </w:r>
      <w:r w:rsidR="00A70068" w:rsidRPr="00FD60B3">
        <w:rPr>
          <w:sz w:val="20"/>
        </w:rPr>
        <w:t xml:space="preserve">served and therefore </w:t>
      </w:r>
      <w:r w:rsidRPr="00FD60B3">
        <w:rPr>
          <w:sz w:val="20"/>
        </w:rPr>
        <w:t xml:space="preserve">ineligible for rural broadband experiment funding, support for any project selected for funding that includes such census blocks will be adjusted proportionally.  </w:t>
      </w:r>
      <w:r w:rsidRPr="00FD60B3">
        <w:rPr>
          <w:i/>
          <w:sz w:val="20"/>
        </w:rPr>
        <w:t>See Connect America Fund; ETC Annual Reports and Certifications</w:t>
      </w:r>
      <w:r w:rsidRPr="00FD60B3">
        <w:rPr>
          <w:sz w:val="20"/>
        </w:rPr>
        <w:t>, WC Docket Nos. 10-90, 14-58, Report and Order and Further Notice of Proposed Rulemaking, 29 FCC Rcd 8769, 8786-87, para. 51 (2014) (</w:t>
      </w:r>
      <w:r w:rsidRPr="00FD60B3">
        <w:rPr>
          <w:i/>
          <w:sz w:val="20"/>
        </w:rPr>
        <w:t>Rural Broadband Experiments Order</w:t>
      </w:r>
      <w:r w:rsidRPr="00FD60B3">
        <w:rPr>
          <w:sz w:val="20"/>
        </w:rPr>
        <w:t>)</w:t>
      </w:r>
      <w:r w:rsidRPr="00FD60B3">
        <w:rPr>
          <w:i/>
          <w:sz w:val="20"/>
        </w:rPr>
        <w:t>.</w:t>
      </w:r>
    </w:p>
  </w:footnote>
  <w:footnote w:id="5">
    <w:p w:rsidR="004D5B17" w:rsidRPr="00FD60B3" w:rsidRDefault="004D5B17" w:rsidP="00FD60B3">
      <w:pPr>
        <w:pStyle w:val="FootnoteText"/>
        <w:spacing w:after="120"/>
        <w:rPr>
          <w:sz w:val="20"/>
        </w:rPr>
      </w:pPr>
      <w:r w:rsidRPr="00FD60B3">
        <w:rPr>
          <w:rStyle w:val="FootnoteReference"/>
          <w:sz w:val="20"/>
        </w:rPr>
        <w:footnoteRef/>
      </w:r>
      <w:r w:rsidRPr="00FD60B3">
        <w:rPr>
          <w:sz w:val="20"/>
        </w:rPr>
        <w:t xml:space="preserve"> </w:t>
      </w:r>
      <w:r w:rsidR="00FF57BE" w:rsidRPr="00FD60B3">
        <w:rPr>
          <w:i/>
          <w:sz w:val="20"/>
        </w:rPr>
        <w:t>Rural Broadband Experiments Order</w:t>
      </w:r>
      <w:r w:rsidR="005D20DB">
        <w:rPr>
          <w:sz w:val="20"/>
        </w:rPr>
        <w:t>, 29 FCC Rcd</w:t>
      </w:r>
      <w:r w:rsidR="00FF57BE" w:rsidRPr="00FD60B3">
        <w:rPr>
          <w:sz w:val="20"/>
        </w:rPr>
        <w:t xml:space="preserve"> </w:t>
      </w:r>
      <w:r w:rsidRPr="00FD60B3">
        <w:rPr>
          <w:sz w:val="20"/>
        </w:rPr>
        <w:t xml:space="preserve">at </w:t>
      </w:r>
      <w:r w:rsidR="00424BBF" w:rsidRPr="00FD60B3">
        <w:rPr>
          <w:sz w:val="20"/>
        </w:rPr>
        <w:t xml:space="preserve">8787, </w:t>
      </w:r>
      <w:r w:rsidRPr="00FD60B3">
        <w:rPr>
          <w:sz w:val="20"/>
        </w:rPr>
        <w:t xml:space="preserve">para. 52.  </w:t>
      </w:r>
    </w:p>
  </w:footnote>
  <w:footnote w:id="6">
    <w:p w:rsidR="0032255A" w:rsidRPr="00C80EA3" w:rsidRDefault="0032255A" w:rsidP="00FD60B3">
      <w:pPr>
        <w:pStyle w:val="FootnoteText"/>
        <w:spacing w:after="120"/>
        <w:rPr>
          <w:sz w:val="20"/>
        </w:rPr>
      </w:pPr>
      <w:r w:rsidRPr="00FD60B3">
        <w:rPr>
          <w:rStyle w:val="FootnoteReference"/>
          <w:sz w:val="20"/>
        </w:rPr>
        <w:footnoteRef/>
      </w:r>
      <w:r w:rsidRPr="00FD60B3">
        <w:rPr>
          <w:sz w:val="20"/>
        </w:rPr>
        <w:t xml:space="preserve"> The Bureau previously has released information regarding the LOCs that new provisionally selected bidders may </w:t>
      </w:r>
      <w:r w:rsidRPr="00C80EA3">
        <w:rPr>
          <w:sz w:val="20"/>
        </w:rPr>
        <w:t>find helpful in obtaining their commitment letters.</w:t>
      </w:r>
      <w:r w:rsidRPr="00C80EA3">
        <w:rPr>
          <w:i/>
          <w:sz w:val="20"/>
        </w:rPr>
        <w:t xml:space="preserve">  See Wireline Competition Bureau Reminds Provisionally Selected Rural Broadband Experiments Bidders of Letter of Credit Requirements</w:t>
      </w:r>
      <w:r w:rsidRPr="00C80EA3">
        <w:rPr>
          <w:sz w:val="20"/>
        </w:rPr>
        <w:t>, WC Docket Nos. 10-90, 14-259, Public Notice, DA 15-99 (Wireline Comp. Bur. rel. Jan. 23, 2015).</w:t>
      </w:r>
    </w:p>
  </w:footnote>
  <w:footnote w:id="7">
    <w:p w:rsidR="00C80EA3" w:rsidRPr="00C80EA3" w:rsidRDefault="00C80EA3">
      <w:pPr>
        <w:pStyle w:val="FootnoteText"/>
      </w:pPr>
      <w:r w:rsidRPr="00C80EA3">
        <w:rPr>
          <w:rStyle w:val="FootnoteReference"/>
          <w:sz w:val="20"/>
        </w:rPr>
        <w:footnoteRef/>
      </w:r>
      <w:r w:rsidRPr="00C80EA3">
        <w:rPr>
          <w:sz w:val="20"/>
        </w:rPr>
        <w:t xml:space="preserve"> The Bureau previously has released instructions for provisionally selected bidders r</w:t>
      </w:r>
      <w:r>
        <w:rPr>
          <w:sz w:val="20"/>
        </w:rPr>
        <w:t>egarding how to complete FCC For</w:t>
      </w:r>
      <w:r w:rsidRPr="00C80EA3">
        <w:rPr>
          <w:sz w:val="20"/>
        </w:rPr>
        <w:t xml:space="preserve">m 5620.  </w:t>
      </w:r>
      <w:r w:rsidRPr="00C80EA3">
        <w:rPr>
          <w:i/>
          <w:sz w:val="20"/>
        </w:rPr>
        <w:t>See</w:t>
      </w:r>
      <w:r w:rsidRPr="00C80EA3">
        <w:rPr>
          <w:sz w:val="20"/>
        </w:rPr>
        <w:t xml:space="preserve"> </w:t>
      </w:r>
      <w:r w:rsidRPr="00C80EA3">
        <w:rPr>
          <w:i/>
          <w:sz w:val="20"/>
        </w:rPr>
        <w:t>Wireline Competition Bureau Announces Entities Provisionally Selected for Rural Broadband Experiments; Sets Deadlines for Submission of Additional Information</w:t>
      </w:r>
      <w:r w:rsidRPr="00C80EA3">
        <w:rPr>
          <w:sz w:val="20"/>
        </w:rPr>
        <w:t>, WC Docket No. 10-90, 29 FCC Rcd 14684, 14690-94 (Wireline Comp. Bur. 2014).</w:t>
      </w:r>
    </w:p>
  </w:footnote>
  <w:footnote w:id="8">
    <w:p w:rsidR="0032255A" w:rsidRPr="00FD60B3" w:rsidRDefault="0032255A" w:rsidP="00FD60B3">
      <w:pPr>
        <w:pStyle w:val="FootnoteText"/>
        <w:spacing w:after="120"/>
        <w:rPr>
          <w:sz w:val="20"/>
        </w:rPr>
      </w:pPr>
      <w:r w:rsidRPr="00FD60B3">
        <w:rPr>
          <w:rStyle w:val="FootnoteReference"/>
          <w:sz w:val="20"/>
        </w:rPr>
        <w:footnoteRef/>
      </w:r>
      <w:r w:rsidRPr="00FD60B3">
        <w:rPr>
          <w:sz w:val="20"/>
        </w:rPr>
        <w:t xml:space="preserve"> The Commission expects provisionally selected bidders to submit their ETC applications to the relevant jurisdiction as soon as possible and </w:t>
      </w:r>
      <w:r w:rsidR="00A5584D" w:rsidRPr="00FD60B3">
        <w:rPr>
          <w:sz w:val="20"/>
        </w:rPr>
        <w:t xml:space="preserve">has indicated that it </w:t>
      </w:r>
      <w:r w:rsidRPr="00FD60B3">
        <w:rPr>
          <w:sz w:val="20"/>
        </w:rPr>
        <w:t>will presume an entity is acting in good faith to complete the requirements necessary for it to be authorized for funding if the entity files its ETC application within 15 days of release of th</w:t>
      </w:r>
      <w:r w:rsidR="00A5584D" w:rsidRPr="00FD60B3">
        <w:rPr>
          <w:sz w:val="20"/>
        </w:rPr>
        <w:t>e</w:t>
      </w:r>
      <w:r w:rsidRPr="00FD60B3">
        <w:rPr>
          <w:sz w:val="20"/>
        </w:rPr>
        <w:t xml:space="preserve"> </w:t>
      </w:r>
      <w:r w:rsidR="00A5584D" w:rsidRPr="00FD60B3">
        <w:rPr>
          <w:sz w:val="20"/>
        </w:rPr>
        <w:t>p</w:t>
      </w:r>
      <w:r w:rsidRPr="00FD60B3">
        <w:rPr>
          <w:sz w:val="20"/>
        </w:rPr>
        <w:t xml:space="preserve">ublic </w:t>
      </w:r>
      <w:r w:rsidR="00A5584D" w:rsidRPr="00FD60B3">
        <w:rPr>
          <w:sz w:val="20"/>
        </w:rPr>
        <w:t>n</w:t>
      </w:r>
      <w:r w:rsidRPr="00FD60B3">
        <w:rPr>
          <w:sz w:val="20"/>
        </w:rPr>
        <w:t xml:space="preserve">otice. </w:t>
      </w:r>
      <w:r w:rsidR="006C4974" w:rsidRPr="00FD60B3">
        <w:rPr>
          <w:i/>
          <w:sz w:val="20"/>
        </w:rPr>
        <w:t>Rural Broadband Experiments Order</w:t>
      </w:r>
      <w:r w:rsidR="005D20DB" w:rsidRPr="005D20DB">
        <w:rPr>
          <w:sz w:val="20"/>
        </w:rPr>
        <w:t>,</w:t>
      </w:r>
      <w:r w:rsidR="005D20DB">
        <w:rPr>
          <w:sz w:val="20"/>
        </w:rPr>
        <w:t xml:space="preserve"> 29 FCC Rcd</w:t>
      </w:r>
      <w:r w:rsidR="006C4974" w:rsidRPr="00FD60B3">
        <w:rPr>
          <w:sz w:val="20"/>
        </w:rPr>
        <w:t xml:space="preserve"> at 8778, para. 22 n.52</w:t>
      </w:r>
      <w:r w:rsidR="00B633DB" w:rsidRPr="00FD60B3">
        <w:rPr>
          <w:sz w:val="20"/>
        </w:rPr>
        <w:t>.  We recognize that several of the bidders</w:t>
      </w:r>
      <w:r w:rsidR="006C4974" w:rsidRPr="00FD60B3">
        <w:rPr>
          <w:sz w:val="20"/>
        </w:rPr>
        <w:t xml:space="preserve"> listed on Attachment A previously were</w:t>
      </w:r>
      <w:r w:rsidR="00B633DB" w:rsidRPr="00FD60B3">
        <w:rPr>
          <w:sz w:val="20"/>
        </w:rPr>
        <w:t xml:space="preserve"> provisionally selected for other projects and may wish to amend an existing ETC petition to include the newly identified projects.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4D" w:rsidRDefault="001D3A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4D" w:rsidRDefault="001D3A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60019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7622A90D" wp14:editId="2ABC5D06">
          <wp:simplePos x="0" y="0"/>
          <wp:positionH relativeFrom="column">
            <wp:posOffset>44450</wp:posOffset>
          </wp:positionH>
          <wp:positionV relativeFrom="paragraph">
            <wp:posOffset>107950</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602577">
      <w:rPr>
        <w:rFonts w:ascii="News Gothic MT" w:hAnsi="News Gothic MT"/>
        <w:b/>
        <w:kern w:val="28"/>
        <w:sz w:val="96"/>
      </w:rPr>
      <w:t>PUBLIC NOTICE</w:t>
    </w:r>
  </w:p>
  <w:p w:rsidR="00602577" w:rsidRDefault="000201F7">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1749680E" wp14:editId="76298F63">
              <wp:simplePos x="0" y="0"/>
              <wp:positionH relativeFrom="column">
                <wp:posOffset>-17145</wp:posOffset>
              </wp:positionH>
              <wp:positionV relativeFrom="paragraph">
                <wp:posOffset>702945</wp:posOffset>
              </wp:positionV>
              <wp:extent cx="5934710" cy="0"/>
              <wp:effectExtent l="0" t="0" r="2794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5.35pt" to="465.9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Dt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336ED2E9" wp14:editId="3D9DF78E">
              <wp:simplePos x="0" y="0"/>
              <wp:positionH relativeFrom="column">
                <wp:posOffset>3225165</wp:posOffset>
              </wp:positionH>
              <wp:positionV relativeFrom="paragraph">
                <wp:posOffset>96520</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3.95pt;margin-top:7.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702EE44A" wp14:editId="51F8E5B1">
              <wp:simplePos x="0" y="0"/>
              <wp:positionH relativeFrom="column">
                <wp:posOffset>-59748</wp:posOffset>
              </wp:positionH>
              <wp:positionV relativeFrom="paragraph">
                <wp:posOffset>4445</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7pt;margin-top:.35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jkhA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5DD" w:rsidRPr="008175DD" w:rsidRDefault="008175DD" w:rsidP="008175DD">
    <w:pPr>
      <w:ind w:left="720"/>
    </w:pPr>
    <w:r>
      <w:t>DA 15-</w:t>
    </w:r>
    <w:r>
      <w:rPr>
        <w:rFonts w:ascii="News Gothic MT" w:hAnsi="News Gothic MT"/>
        <w:b/>
        <w:noProof/>
        <w:sz w:val="24"/>
      </w:rPr>
      <mc:AlternateContent>
        <mc:Choice Requires="wps">
          <w:drawing>
            <wp:anchor distT="0" distB="0" distL="114300" distR="114300" simplePos="0" relativeHeight="251663360" behindDoc="0" locked="0" layoutInCell="0" allowOverlap="1" wp14:anchorId="74D38A59" wp14:editId="726F5E3B">
              <wp:simplePos x="0" y="0"/>
              <wp:positionH relativeFrom="column">
                <wp:posOffset>3829050</wp:posOffset>
              </wp:positionH>
              <wp:positionV relativeFrom="paragraph">
                <wp:posOffset>130175</wp:posOffset>
              </wp:positionV>
              <wp:extent cx="2640965" cy="54864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5DD" w:rsidRDefault="008175D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01.5pt;margin-top:10.25pt;width:207.95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U4hX&#10;wIECAAAOBQAADgAAAAAAAAAAAAAAAAAuAgAAZHJzL2Uyb0RvYy54bWxQSwECLQAUAAYACAAAACEA&#10;NRR2SeAAAAALAQAADwAAAAAAAAAAAAAAAADbBAAAZHJzL2Rvd25yZXYueG1sUEsFBgAAAAAEAAQA&#10;8wAAAOgFAAAAAA==&#10;" o:allowincell="f" stroked="f">
              <v:textbox inset=",0,,0">
                <w:txbxContent>
                  <w:p w:rsidR="008175DD" w:rsidRDefault="008175DD">
                    <w:pPr>
                      <w:jc w:val="right"/>
                    </w:pPr>
                  </w:p>
                </w:txbxContent>
              </v:textbox>
            </v:shape>
          </w:pict>
        </mc:Fallback>
      </mc:AlternateContent>
    </w:r>
    <w:r w:rsidR="0058319C">
      <w:t>288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0C7F"/>
    <w:multiLevelType w:val="hybridMultilevel"/>
    <w:tmpl w:val="DA4645A6"/>
    <w:lvl w:ilvl="0" w:tplc="DAB27098">
      <w:start w:val="6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770E61"/>
    <w:multiLevelType w:val="hybridMultilevel"/>
    <w:tmpl w:val="5E44EEC6"/>
    <w:lvl w:ilvl="0" w:tplc="04090001">
      <w:start w:val="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4E6744F"/>
    <w:multiLevelType w:val="hybridMultilevel"/>
    <w:tmpl w:val="7E089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7"/>
  </w:num>
  <w:num w:numId="4">
    <w:abstractNumId w:val="2"/>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8"/>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94"/>
    <w:rsid w:val="000201F7"/>
    <w:rsid w:val="000265AE"/>
    <w:rsid w:val="000657E0"/>
    <w:rsid w:val="0008556F"/>
    <w:rsid w:val="000A3CC9"/>
    <w:rsid w:val="000B219E"/>
    <w:rsid w:val="000D0654"/>
    <w:rsid w:val="00117C2B"/>
    <w:rsid w:val="00124E76"/>
    <w:rsid w:val="001837C5"/>
    <w:rsid w:val="001B6456"/>
    <w:rsid w:val="001B7C88"/>
    <w:rsid w:val="001D36E9"/>
    <w:rsid w:val="001D3A4D"/>
    <w:rsid w:val="00211AD5"/>
    <w:rsid w:val="00287514"/>
    <w:rsid w:val="00295A02"/>
    <w:rsid w:val="00295EB4"/>
    <w:rsid w:val="002A65CC"/>
    <w:rsid w:val="002D0DC8"/>
    <w:rsid w:val="002E3B1B"/>
    <w:rsid w:val="00304C6C"/>
    <w:rsid w:val="0032255A"/>
    <w:rsid w:val="00357FEC"/>
    <w:rsid w:val="00373CA7"/>
    <w:rsid w:val="0037614C"/>
    <w:rsid w:val="00393785"/>
    <w:rsid w:val="003A7181"/>
    <w:rsid w:val="003C67C8"/>
    <w:rsid w:val="003D2B93"/>
    <w:rsid w:val="003D5C22"/>
    <w:rsid w:val="003E566A"/>
    <w:rsid w:val="00400ACE"/>
    <w:rsid w:val="00424BBF"/>
    <w:rsid w:val="0043678C"/>
    <w:rsid w:val="00441179"/>
    <w:rsid w:val="00452213"/>
    <w:rsid w:val="004A2C35"/>
    <w:rsid w:val="004B22E1"/>
    <w:rsid w:val="004D5B17"/>
    <w:rsid w:val="004E0753"/>
    <w:rsid w:val="004F246A"/>
    <w:rsid w:val="005026A4"/>
    <w:rsid w:val="00515A86"/>
    <w:rsid w:val="0052126C"/>
    <w:rsid w:val="00552AF5"/>
    <w:rsid w:val="00560078"/>
    <w:rsid w:val="00582956"/>
    <w:rsid w:val="0058319C"/>
    <w:rsid w:val="00583CA4"/>
    <w:rsid w:val="005C5EEC"/>
    <w:rsid w:val="005D20DB"/>
    <w:rsid w:val="005D6A53"/>
    <w:rsid w:val="00600196"/>
    <w:rsid w:val="00602577"/>
    <w:rsid w:val="00617EA9"/>
    <w:rsid w:val="00624998"/>
    <w:rsid w:val="00632C9B"/>
    <w:rsid w:val="006530C2"/>
    <w:rsid w:val="0065379F"/>
    <w:rsid w:val="00677322"/>
    <w:rsid w:val="006A5C0C"/>
    <w:rsid w:val="006C4974"/>
    <w:rsid w:val="00700C7B"/>
    <w:rsid w:val="007030E3"/>
    <w:rsid w:val="007315EB"/>
    <w:rsid w:val="00737568"/>
    <w:rsid w:val="00761F43"/>
    <w:rsid w:val="0079547E"/>
    <w:rsid w:val="0079575F"/>
    <w:rsid w:val="007B76E7"/>
    <w:rsid w:val="007E6402"/>
    <w:rsid w:val="00815CA5"/>
    <w:rsid w:val="008175DD"/>
    <w:rsid w:val="00822B8B"/>
    <w:rsid w:val="00830851"/>
    <w:rsid w:val="00841F65"/>
    <w:rsid w:val="00862485"/>
    <w:rsid w:val="00864D3F"/>
    <w:rsid w:val="00865560"/>
    <w:rsid w:val="00884C8B"/>
    <w:rsid w:val="00896BEF"/>
    <w:rsid w:val="008B22AC"/>
    <w:rsid w:val="008D1B4C"/>
    <w:rsid w:val="008D7901"/>
    <w:rsid w:val="008E5D38"/>
    <w:rsid w:val="008E6EB0"/>
    <w:rsid w:val="008F4794"/>
    <w:rsid w:val="008F7E54"/>
    <w:rsid w:val="00957C5D"/>
    <w:rsid w:val="00957E0E"/>
    <w:rsid w:val="00962449"/>
    <w:rsid w:val="00977EC6"/>
    <w:rsid w:val="00982337"/>
    <w:rsid w:val="0099120C"/>
    <w:rsid w:val="00995CD5"/>
    <w:rsid w:val="009C4BAE"/>
    <w:rsid w:val="009D14EA"/>
    <w:rsid w:val="009F606F"/>
    <w:rsid w:val="00A24A95"/>
    <w:rsid w:val="00A5584D"/>
    <w:rsid w:val="00A578DE"/>
    <w:rsid w:val="00A64548"/>
    <w:rsid w:val="00A70068"/>
    <w:rsid w:val="00A873C9"/>
    <w:rsid w:val="00A910E7"/>
    <w:rsid w:val="00AA303E"/>
    <w:rsid w:val="00AA36FE"/>
    <w:rsid w:val="00AE1332"/>
    <w:rsid w:val="00AE2907"/>
    <w:rsid w:val="00AF2700"/>
    <w:rsid w:val="00AF74FE"/>
    <w:rsid w:val="00B20820"/>
    <w:rsid w:val="00B23FD2"/>
    <w:rsid w:val="00B510E3"/>
    <w:rsid w:val="00B633DB"/>
    <w:rsid w:val="00B64DDA"/>
    <w:rsid w:val="00B82FA7"/>
    <w:rsid w:val="00B84741"/>
    <w:rsid w:val="00BB6B53"/>
    <w:rsid w:val="00C35D11"/>
    <w:rsid w:val="00C80EA3"/>
    <w:rsid w:val="00CE194A"/>
    <w:rsid w:val="00CE2117"/>
    <w:rsid w:val="00D17DC0"/>
    <w:rsid w:val="00D26EA8"/>
    <w:rsid w:val="00D407F9"/>
    <w:rsid w:val="00D60EFF"/>
    <w:rsid w:val="00D63830"/>
    <w:rsid w:val="00D63841"/>
    <w:rsid w:val="00D7066F"/>
    <w:rsid w:val="00D73E30"/>
    <w:rsid w:val="00DD2A00"/>
    <w:rsid w:val="00DE1021"/>
    <w:rsid w:val="00E02CFC"/>
    <w:rsid w:val="00E27097"/>
    <w:rsid w:val="00E400C7"/>
    <w:rsid w:val="00E67782"/>
    <w:rsid w:val="00E82D5D"/>
    <w:rsid w:val="00EE1EA5"/>
    <w:rsid w:val="00F02C68"/>
    <w:rsid w:val="00F11643"/>
    <w:rsid w:val="00F14630"/>
    <w:rsid w:val="00F42241"/>
    <w:rsid w:val="00FA734F"/>
    <w:rsid w:val="00FC6BDA"/>
    <w:rsid w:val="00FC6DC7"/>
    <w:rsid w:val="00FD080F"/>
    <w:rsid w:val="00FD60B3"/>
    <w:rsid w:val="00FF3C55"/>
    <w:rsid w:val="00FF57BE"/>
    <w:rsid w:val="00FF5AFB"/>
    <w:rsid w:val="00FF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E67782"/>
    <w:rPr>
      <w:rFonts w:ascii="Tahoma" w:hAnsi="Tahoma" w:cs="Tahoma"/>
      <w:sz w:val="16"/>
      <w:szCs w:val="16"/>
    </w:rPr>
  </w:style>
  <w:style w:type="character" w:customStyle="1" w:styleId="BalloonTextChar">
    <w:name w:val="Balloon Text Char"/>
    <w:basedOn w:val="DefaultParagraphFont"/>
    <w:link w:val="BalloonText"/>
    <w:uiPriority w:val="99"/>
    <w:semiHidden/>
    <w:rsid w:val="00E67782"/>
    <w:rPr>
      <w:rFonts w:ascii="Tahoma" w:hAnsi="Tahoma" w:cs="Tahoma"/>
      <w:sz w:val="16"/>
      <w:szCs w:val="16"/>
    </w:rPr>
  </w:style>
  <w:style w:type="paragraph" w:styleId="ListParagraph">
    <w:name w:val="List Paragraph"/>
    <w:basedOn w:val="Normal"/>
    <w:uiPriority w:val="34"/>
    <w:qFormat/>
    <w:rsid w:val="00124E76"/>
    <w:pPr>
      <w:ind w:left="720"/>
      <w:contextualSpacing/>
    </w:pPr>
    <w:rPr>
      <w:rFonts w:ascii="Arial" w:hAnsi="Arial"/>
      <w:sz w:val="24"/>
    </w:rPr>
  </w:style>
  <w:style w:type="character" w:styleId="CommentReference">
    <w:name w:val="annotation reference"/>
    <w:basedOn w:val="DefaultParagraphFont"/>
    <w:uiPriority w:val="99"/>
    <w:semiHidden/>
    <w:unhideWhenUsed/>
    <w:rsid w:val="00582956"/>
    <w:rPr>
      <w:sz w:val="16"/>
      <w:szCs w:val="16"/>
    </w:rPr>
  </w:style>
  <w:style w:type="paragraph" w:styleId="CommentText">
    <w:name w:val="annotation text"/>
    <w:basedOn w:val="Normal"/>
    <w:link w:val="CommentTextChar"/>
    <w:uiPriority w:val="99"/>
    <w:semiHidden/>
    <w:unhideWhenUsed/>
    <w:rsid w:val="00582956"/>
    <w:rPr>
      <w:sz w:val="20"/>
    </w:rPr>
  </w:style>
  <w:style w:type="character" w:customStyle="1" w:styleId="CommentTextChar">
    <w:name w:val="Comment Text Char"/>
    <w:basedOn w:val="DefaultParagraphFont"/>
    <w:link w:val="CommentText"/>
    <w:uiPriority w:val="99"/>
    <w:semiHidden/>
    <w:rsid w:val="00582956"/>
  </w:style>
  <w:style w:type="paragraph" w:styleId="CommentSubject">
    <w:name w:val="annotation subject"/>
    <w:basedOn w:val="CommentText"/>
    <w:next w:val="CommentText"/>
    <w:link w:val="CommentSubjectChar"/>
    <w:uiPriority w:val="99"/>
    <w:semiHidden/>
    <w:unhideWhenUsed/>
    <w:rsid w:val="00582956"/>
    <w:rPr>
      <w:b/>
      <w:bCs/>
    </w:rPr>
  </w:style>
  <w:style w:type="character" w:customStyle="1" w:styleId="CommentSubjectChar">
    <w:name w:val="Comment Subject Char"/>
    <w:basedOn w:val="CommentTextChar"/>
    <w:link w:val="CommentSubject"/>
    <w:uiPriority w:val="99"/>
    <w:semiHidden/>
    <w:rsid w:val="00582956"/>
    <w:rPr>
      <w:b/>
      <w:bCs/>
    </w:rPr>
  </w:style>
  <w:style w:type="character" w:customStyle="1" w:styleId="FooterChar">
    <w:name w:val="Footer Char"/>
    <w:basedOn w:val="DefaultParagraphFont"/>
    <w:link w:val="Footer"/>
    <w:uiPriority w:val="99"/>
    <w:rsid w:val="00617EA9"/>
    <w:rPr>
      <w:sz w:val="22"/>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0A3CC9"/>
    <w:rPr>
      <w:sz w:val="22"/>
    </w:rPr>
  </w:style>
  <w:style w:type="table" w:styleId="TableGrid">
    <w:name w:val="Table Grid"/>
    <w:basedOn w:val="TableNormal"/>
    <w:uiPriority w:val="59"/>
    <w:rsid w:val="008175DD"/>
    <w:rPr>
      <w:rFonts w:eastAsia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5584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E67782"/>
    <w:rPr>
      <w:rFonts w:ascii="Tahoma" w:hAnsi="Tahoma" w:cs="Tahoma"/>
      <w:sz w:val="16"/>
      <w:szCs w:val="16"/>
    </w:rPr>
  </w:style>
  <w:style w:type="character" w:customStyle="1" w:styleId="BalloonTextChar">
    <w:name w:val="Balloon Text Char"/>
    <w:basedOn w:val="DefaultParagraphFont"/>
    <w:link w:val="BalloonText"/>
    <w:uiPriority w:val="99"/>
    <w:semiHidden/>
    <w:rsid w:val="00E67782"/>
    <w:rPr>
      <w:rFonts w:ascii="Tahoma" w:hAnsi="Tahoma" w:cs="Tahoma"/>
      <w:sz w:val="16"/>
      <w:szCs w:val="16"/>
    </w:rPr>
  </w:style>
  <w:style w:type="paragraph" w:styleId="ListParagraph">
    <w:name w:val="List Paragraph"/>
    <w:basedOn w:val="Normal"/>
    <w:uiPriority w:val="34"/>
    <w:qFormat/>
    <w:rsid w:val="00124E76"/>
    <w:pPr>
      <w:ind w:left="720"/>
      <w:contextualSpacing/>
    </w:pPr>
    <w:rPr>
      <w:rFonts w:ascii="Arial" w:hAnsi="Arial"/>
      <w:sz w:val="24"/>
    </w:rPr>
  </w:style>
  <w:style w:type="character" w:styleId="CommentReference">
    <w:name w:val="annotation reference"/>
    <w:basedOn w:val="DefaultParagraphFont"/>
    <w:uiPriority w:val="99"/>
    <w:semiHidden/>
    <w:unhideWhenUsed/>
    <w:rsid w:val="00582956"/>
    <w:rPr>
      <w:sz w:val="16"/>
      <w:szCs w:val="16"/>
    </w:rPr>
  </w:style>
  <w:style w:type="paragraph" w:styleId="CommentText">
    <w:name w:val="annotation text"/>
    <w:basedOn w:val="Normal"/>
    <w:link w:val="CommentTextChar"/>
    <w:uiPriority w:val="99"/>
    <w:semiHidden/>
    <w:unhideWhenUsed/>
    <w:rsid w:val="00582956"/>
    <w:rPr>
      <w:sz w:val="20"/>
    </w:rPr>
  </w:style>
  <w:style w:type="character" w:customStyle="1" w:styleId="CommentTextChar">
    <w:name w:val="Comment Text Char"/>
    <w:basedOn w:val="DefaultParagraphFont"/>
    <w:link w:val="CommentText"/>
    <w:uiPriority w:val="99"/>
    <w:semiHidden/>
    <w:rsid w:val="00582956"/>
  </w:style>
  <w:style w:type="paragraph" w:styleId="CommentSubject">
    <w:name w:val="annotation subject"/>
    <w:basedOn w:val="CommentText"/>
    <w:next w:val="CommentText"/>
    <w:link w:val="CommentSubjectChar"/>
    <w:uiPriority w:val="99"/>
    <w:semiHidden/>
    <w:unhideWhenUsed/>
    <w:rsid w:val="00582956"/>
    <w:rPr>
      <w:b/>
      <w:bCs/>
    </w:rPr>
  </w:style>
  <w:style w:type="character" w:customStyle="1" w:styleId="CommentSubjectChar">
    <w:name w:val="Comment Subject Char"/>
    <w:basedOn w:val="CommentTextChar"/>
    <w:link w:val="CommentSubject"/>
    <w:uiPriority w:val="99"/>
    <w:semiHidden/>
    <w:rsid w:val="00582956"/>
    <w:rPr>
      <w:b/>
      <w:bCs/>
    </w:rPr>
  </w:style>
  <w:style w:type="character" w:customStyle="1" w:styleId="FooterChar">
    <w:name w:val="Footer Char"/>
    <w:basedOn w:val="DefaultParagraphFont"/>
    <w:link w:val="Footer"/>
    <w:uiPriority w:val="99"/>
    <w:rsid w:val="00617EA9"/>
    <w:rPr>
      <w:sz w:val="22"/>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0A3CC9"/>
    <w:rPr>
      <w:sz w:val="22"/>
    </w:rPr>
  </w:style>
  <w:style w:type="table" w:styleId="TableGrid">
    <w:name w:val="Table Grid"/>
    <w:basedOn w:val="TableNormal"/>
    <w:uiPriority w:val="59"/>
    <w:rsid w:val="008175DD"/>
    <w:rPr>
      <w:rFonts w:eastAsia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5584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63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Forbe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haron.Hurd\AppData\Local\Microsoft\Windows\Temporary%20Internet%20Files\Content.MSO\63F3772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63F37727</Template>
  <TotalTime>0</TotalTime>
  <Pages>2</Pages>
  <Words>602</Words>
  <Characters>3379</Characters>
  <Application>Microsoft Office Word</Application>
  <DocSecurity>0</DocSecurity>
  <Lines>144</Lines>
  <Paragraphs>95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3909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2014-12-01T18:53:00Z</cp:lastPrinted>
  <dcterms:created xsi:type="dcterms:W3CDTF">2015-03-10T20:18:00Z</dcterms:created>
  <dcterms:modified xsi:type="dcterms:W3CDTF">2015-03-10T20:18:00Z</dcterms:modified>
  <cp:category> </cp:category>
  <cp:contentStatus> </cp:contentStatus>
</cp:coreProperties>
</file>