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7D2E" w14:textId="77777777" w:rsidR="00DE5386" w:rsidRDefault="00DE5386">
      <w:pPr>
        <w:tabs>
          <w:tab w:val="center" w:pos="4680"/>
        </w:tabs>
        <w:suppressAutoHyphens/>
        <w:spacing w:line="240" w:lineRule="atLeast"/>
        <w:jc w:val="center"/>
        <w:outlineLvl w:val="0"/>
        <w:rPr>
          <w:b/>
        </w:rPr>
      </w:pPr>
      <w:bookmarkStart w:id="0" w:name="_GoBack"/>
      <w:bookmarkEnd w:id="0"/>
      <w:r>
        <w:rPr>
          <w:b/>
        </w:rPr>
        <w:t>Before the</w:t>
      </w:r>
    </w:p>
    <w:p w14:paraId="2DAD120C" w14:textId="77777777" w:rsidR="00DE5386" w:rsidRDefault="00DE5386">
      <w:pPr>
        <w:tabs>
          <w:tab w:val="center" w:pos="4680"/>
        </w:tabs>
        <w:suppressAutoHyphens/>
        <w:spacing w:line="240" w:lineRule="atLeast"/>
        <w:jc w:val="both"/>
        <w:outlineLvl w:val="0"/>
        <w:rPr>
          <w:b/>
        </w:rPr>
      </w:pPr>
      <w:r>
        <w:rPr>
          <w:b/>
        </w:rPr>
        <w:tab/>
        <w:t>Federal Communications Commission</w:t>
      </w:r>
    </w:p>
    <w:p w14:paraId="639A2302" w14:textId="77777777" w:rsidR="00DE5386" w:rsidRDefault="00DE5386">
      <w:pPr>
        <w:tabs>
          <w:tab w:val="center" w:pos="4680"/>
        </w:tabs>
        <w:suppressAutoHyphens/>
        <w:spacing w:line="240" w:lineRule="atLeast"/>
        <w:jc w:val="both"/>
        <w:outlineLvl w:val="0"/>
        <w:rPr>
          <w:b/>
        </w:rPr>
      </w:pPr>
      <w:r>
        <w:rPr>
          <w:b/>
        </w:rPr>
        <w:tab/>
      </w: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14:paraId="2B3DFCF6" w14:textId="77777777" w:rsidR="00DE5386" w:rsidRDefault="00DE5386">
      <w:pPr>
        <w:tabs>
          <w:tab w:val="center" w:pos="4680"/>
        </w:tabs>
        <w:suppressAutoHyphens/>
        <w:spacing w:line="240" w:lineRule="atLeast"/>
        <w:jc w:val="both"/>
        <w:outlineLvl w:val="0"/>
        <w:rPr>
          <w:b/>
        </w:rPr>
      </w:pPr>
    </w:p>
    <w:tbl>
      <w:tblPr>
        <w:tblW w:w="0" w:type="auto"/>
        <w:tblLayout w:type="fixed"/>
        <w:tblLook w:val="0000" w:firstRow="0" w:lastRow="0" w:firstColumn="0" w:lastColumn="0" w:noHBand="0" w:noVBand="0"/>
      </w:tblPr>
      <w:tblGrid>
        <w:gridCol w:w="4593"/>
        <w:gridCol w:w="352"/>
        <w:gridCol w:w="4523"/>
      </w:tblGrid>
      <w:tr w:rsidR="00DE5386" w14:paraId="492F6F10" w14:textId="77777777" w:rsidTr="009A462D">
        <w:trPr>
          <w:trHeight w:val="1457"/>
        </w:trPr>
        <w:tc>
          <w:tcPr>
            <w:tcW w:w="4593" w:type="dxa"/>
          </w:tcPr>
          <w:p w14:paraId="041E3F2A" w14:textId="77777777" w:rsidR="009A462D" w:rsidRDefault="009A462D" w:rsidP="009A462D">
            <w:r>
              <w:t xml:space="preserve">In the Matter of </w:t>
            </w:r>
          </w:p>
          <w:p w14:paraId="77B715EA" w14:textId="77777777" w:rsidR="00F62FDD" w:rsidRPr="00F62FDD" w:rsidRDefault="00F62FDD" w:rsidP="00F62FDD"/>
          <w:p w14:paraId="45D0B907" w14:textId="77777777" w:rsidR="00F62FDD" w:rsidRPr="00F62FDD" w:rsidRDefault="00F62FDD" w:rsidP="00F62FDD">
            <w:r w:rsidRPr="00F62FDD">
              <w:t>Kemp Broadcasting, Inc.</w:t>
            </w:r>
          </w:p>
          <w:p w14:paraId="73572784" w14:textId="77777777" w:rsidR="00F62FDD" w:rsidRPr="00F62FDD" w:rsidRDefault="00F62FDD" w:rsidP="00F62FDD">
            <w:r w:rsidRPr="00F62FDD">
              <w:t>Owner of Antenna Structure No. 1061958</w:t>
            </w:r>
          </w:p>
          <w:p w14:paraId="495A91E8" w14:textId="5B0EC19F" w:rsidR="009A462D" w:rsidRDefault="00F62FDD" w:rsidP="009A462D">
            <w:r w:rsidRPr="00F62FDD">
              <w:t>Moapa, Nevada</w:t>
            </w:r>
          </w:p>
          <w:p w14:paraId="329C47AD" w14:textId="77777777" w:rsidR="009A462D" w:rsidRDefault="009A462D" w:rsidP="009A462D">
            <w:pPr>
              <w:rPr>
                <w:spacing w:val="-2"/>
              </w:rPr>
            </w:pPr>
          </w:p>
        </w:tc>
        <w:tc>
          <w:tcPr>
            <w:tcW w:w="352" w:type="dxa"/>
          </w:tcPr>
          <w:p w14:paraId="30767BE2" w14:textId="77777777" w:rsidR="00DE5386" w:rsidRDefault="00DE5386">
            <w:pPr>
              <w:tabs>
                <w:tab w:val="center" w:pos="4680"/>
              </w:tabs>
              <w:suppressAutoHyphens/>
              <w:spacing w:line="240" w:lineRule="atLeast"/>
              <w:jc w:val="both"/>
              <w:outlineLvl w:val="0"/>
            </w:pPr>
            <w:r>
              <w:t>)</w:t>
            </w:r>
          </w:p>
          <w:p w14:paraId="4C7B643E" w14:textId="77777777" w:rsidR="00DE5386" w:rsidRDefault="00DE5386">
            <w:pPr>
              <w:tabs>
                <w:tab w:val="center" w:pos="4680"/>
              </w:tabs>
              <w:suppressAutoHyphens/>
              <w:spacing w:line="240" w:lineRule="atLeast"/>
              <w:jc w:val="both"/>
              <w:outlineLvl w:val="0"/>
            </w:pPr>
            <w:r>
              <w:t>)</w:t>
            </w:r>
          </w:p>
          <w:p w14:paraId="34C181E1" w14:textId="77777777" w:rsidR="00DE5386" w:rsidRDefault="00DE5386">
            <w:pPr>
              <w:tabs>
                <w:tab w:val="center" w:pos="4680"/>
              </w:tabs>
              <w:suppressAutoHyphens/>
              <w:spacing w:line="240" w:lineRule="atLeast"/>
              <w:jc w:val="both"/>
              <w:outlineLvl w:val="0"/>
            </w:pPr>
            <w:r>
              <w:t>)</w:t>
            </w:r>
          </w:p>
          <w:p w14:paraId="7EA06907" w14:textId="77777777" w:rsidR="00DE5386" w:rsidRDefault="00DE5386">
            <w:pPr>
              <w:tabs>
                <w:tab w:val="center" w:pos="4680"/>
              </w:tabs>
              <w:suppressAutoHyphens/>
              <w:spacing w:line="240" w:lineRule="atLeast"/>
              <w:jc w:val="both"/>
              <w:outlineLvl w:val="0"/>
            </w:pPr>
            <w:r>
              <w:t>)</w:t>
            </w:r>
          </w:p>
          <w:p w14:paraId="1FD0C018" w14:textId="07802B6E" w:rsidR="006E6B64" w:rsidRPr="009A462D" w:rsidRDefault="00DE5386" w:rsidP="009A462D">
            <w:pPr>
              <w:tabs>
                <w:tab w:val="center" w:pos="4680"/>
              </w:tabs>
              <w:suppressAutoHyphens/>
              <w:spacing w:line="240" w:lineRule="atLeast"/>
              <w:jc w:val="both"/>
              <w:outlineLvl w:val="0"/>
            </w:pPr>
            <w:r>
              <w:t>)</w:t>
            </w:r>
          </w:p>
        </w:tc>
        <w:tc>
          <w:tcPr>
            <w:tcW w:w="4523" w:type="dxa"/>
          </w:tcPr>
          <w:p w14:paraId="266616D6" w14:textId="77777777" w:rsidR="00DE5386" w:rsidRDefault="00DE5386">
            <w:pPr>
              <w:rPr>
                <w:spacing w:val="-2"/>
              </w:rPr>
            </w:pPr>
          </w:p>
          <w:p w14:paraId="3586D979" w14:textId="77777777" w:rsidR="00DE5386" w:rsidRDefault="00DE5386">
            <w:pPr>
              <w:ind w:left="702"/>
              <w:rPr>
                <w:spacing w:val="-2"/>
              </w:rPr>
            </w:pPr>
          </w:p>
          <w:p w14:paraId="344D5988" w14:textId="77777777" w:rsidR="00F62FDD" w:rsidRPr="00F62FDD" w:rsidRDefault="00F62FDD" w:rsidP="00F62FDD">
            <w:pPr>
              <w:ind w:left="522"/>
            </w:pPr>
            <w:r w:rsidRPr="00F62FDD">
              <w:t>File No.:  EB-FIELDWR-13-00008283</w:t>
            </w:r>
          </w:p>
          <w:p w14:paraId="167074AD" w14:textId="77777777" w:rsidR="00F62FDD" w:rsidRPr="00F62FDD" w:rsidRDefault="00F62FDD" w:rsidP="00F62FDD">
            <w:pPr>
              <w:ind w:left="522"/>
            </w:pPr>
            <w:r w:rsidRPr="00F62FDD">
              <w:t>NAL/Acct. No.:  201432900003</w:t>
            </w:r>
          </w:p>
          <w:p w14:paraId="7F7F1401" w14:textId="220BCB72" w:rsidR="00DE5386" w:rsidRDefault="00F62FDD" w:rsidP="00F62FDD">
            <w:pPr>
              <w:ind w:left="522"/>
            </w:pPr>
            <w:r w:rsidRPr="00F62FDD">
              <w:t>FRN:  0007648348</w:t>
            </w:r>
            <w:r>
              <w:t xml:space="preserve"> </w:t>
            </w:r>
          </w:p>
        </w:tc>
      </w:tr>
    </w:tbl>
    <w:p w14:paraId="3BC486AA" w14:textId="77777777" w:rsidR="009A462D" w:rsidRPr="009A462D" w:rsidRDefault="009A462D" w:rsidP="009A462D">
      <w:pPr>
        <w:jc w:val="center"/>
        <w:rPr>
          <w:b/>
        </w:rPr>
      </w:pPr>
      <w:r w:rsidRPr="009A462D">
        <w:rPr>
          <w:b/>
        </w:rPr>
        <w:t>FORFEITURE ORDER</w:t>
      </w:r>
    </w:p>
    <w:p w14:paraId="7D6EF707" w14:textId="77777777" w:rsidR="005215D5" w:rsidRDefault="005215D5" w:rsidP="009A462D">
      <w:pPr>
        <w:jc w:val="center"/>
      </w:pPr>
    </w:p>
    <w:p w14:paraId="2507CE7E" w14:textId="6AB1E94A" w:rsidR="00DE5386" w:rsidRDefault="00DE5386" w:rsidP="00627660">
      <w:pPr>
        <w:tabs>
          <w:tab w:val="left" w:pos="0"/>
          <w:tab w:val="left" w:pos="720"/>
          <w:tab w:val="left" w:pos="5760"/>
        </w:tabs>
        <w:suppressAutoHyphens/>
        <w:spacing w:line="240" w:lineRule="atLeast"/>
      </w:pPr>
      <w:r>
        <w:rPr>
          <w:b/>
        </w:rPr>
        <w:t xml:space="preserve">Adopted: </w:t>
      </w:r>
      <w:r w:rsidR="009A462D">
        <w:rPr>
          <w:b/>
        </w:rPr>
        <w:t xml:space="preserve"> </w:t>
      </w:r>
      <w:r w:rsidR="00424DDD">
        <w:rPr>
          <w:b/>
        </w:rPr>
        <w:t>January 8, 2015</w:t>
      </w:r>
      <w:r>
        <w:rPr>
          <w:b/>
        </w:rPr>
        <w:tab/>
      </w:r>
      <w:r>
        <w:rPr>
          <w:b/>
        </w:rPr>
        <w:tab/>
        <w:t xml:space="preserve">Released:  </w:t>
      </w:r>
      <w:r w:rsidR="00424DDD">
        <w:rPr>
          <w:b/>
        </w:rPr>
        <w:t>January 9, 2015</w:t>
      </w:r>
    </w:p>
    <w:p w14:paraId="3789707F" w14:textId="77777777" w:rsidR="00DE5386" w:rsidRDefault="00DE5386" w:rsidP="00627660">
      <w:pPr>
        <w:tabs>
          <w:tab w:val="left" w:pos="0"/>
          <w:tab w:val="left" w:pos="720"/>
          <w:tab w:val="left" w:pos="5760"/>
        </w:tabs>
        <w:suppressAutoHyphens/>
        <w:spacing w:line="240" w:lineRule="atLeast"/>
        <w:jc w:val="both"/>
      </w:pPr>
    </w:p>
    <w:p w14:paraId="2EAD7EDF" w14:textId="77777777" w:rsidR="00DE5386" w:rsidRPr="002A7814" w:rsidRDefault="001F0226" w:rsidP="00A76318">
      <w:pPr>
        <w:tabs>
          <w:tab w:val="left" w:pos="0"/>
          <w:tab w:val="left" w:pos="720"/>
          <w:tab w:val="left" w:pos="5760"/>
        </w:tabs>
        <w:suppressAutoHyphens/>
        <w:spacing w:line="240" w:lineRule="atLeast"/>
        <w:jc w:val="both"/>
        <w:rPr>
          <w:color w:val="000000"/>
          <w:spacing w:val="-2"/>
        </w:rPr>
      </w:pPr>
      <w:r w:rsidRPr="002A7814">
        <w:rPr>
          <w:color w:val="000000"/>
          <w:spacing w:val="-2"/>
        </w:rPr>
        <w:t>By the Regional Director, Western</w:t>
      </w:r>
      <w:r w:rsidR="00DE5386" w:rsidRPr="002A7814">
        <w:rPr>
          <w:color w:val="000000"/>
          <w:spacing w:val="-2"/>
        </w:rPr>
        <w:t xml:space="preserve"> Region, Enforcement Bureau:</w:t>
      </w:r>
    </w:p>
    <w:p w14:paraId="50E8F678" w14:textId="77777777" w:rsidR="00DE5386" w:rsidRPr="002A7814" w:rsidRDefault="00DE5386" w:rsidP="00A76318">
      <w:pPr>
        <w:tabs>
          <w:tab w:val="left" w:pos="0"/>
        </w:tabs>
        <w:suppressAutoHyphens/>
        <w:spacing w:line="240" w:lineRule="atLeast"/>
        <w:rPr>
          <w:color w:val="000000"/>
          <w:spacing w:val="-2"/>
        </w:rPr>
      </w:pPr>
    </w:p>
    <w:p w14:paraId="1444420C" w14:textId="77777777" w:rsidR="00DE5386" w:rsidRPr="002A7814" w:rsidRDefault="00DE5386" w:rsidP="008E5F5B">
      <w:pPr>
        <w:tabs>
          <w:tab w:val="center" w:pos="720"/>
        </w:tabs>
        <w:suppressAutoHyphens/>
        <w:spacing w:after="120"/>
        <w:rPr>
          <w:b/>
          <w:color w:val="000000"/>
          <w:spacing w:val="-2"/>
        </w:rPr>
      </w:pPr>
      <w:r w:rsidRPr="002A7814">
        <w:rPr>
          <w:b/>
          <w:color w:val="000000"/>
          <w:spacing w:val="-2"/>
        </w:rPr>
        <w:t xml:space="preserve">I.  </w:t>
      </w:r>
      <w:r w:rsidRPr="002A7814">
        <w:rPr>
          <w:b/>
          <w:color w:val="000000"/>
          <w:spacing w:val="-2"/>
        </w:rPr>
        <w:tab/>
        <w:t xml:space="preserve">         INTRODUCTION</w:t>
      </w:r>
    </w:p>
    <w:p w14:paraId="19A681C8" w14:textId="0972296B" w:rsidR="00972009" w:rsidRDefault="00972009" w:rsidP="006F1B02">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972009">
        <w:rPr>
          <w:color w:val="000000"/>
          <w:spacing w:val="-2"/>
        </w:rPr>
        <w:t>We impose a penalty of $</w:t>
      </w:r>
      <w:r w:rsidR="007455B7">
        <w:rPr>
          <w:color w:val="000000"/>
          <w:spacing w:val="-2"/>
        </w:rPr>
        <w:t>8</w:t>
      </w:r>
      <w:r w:rsidR="00F62FDD">
        <w:rPr>
          <w:color w:val="000000"/>
          <w:spacing w:val="-2"/>
        </w:rPr>
        <w:t>,</w:t>
      </w:r>
      <w:r>
        <w:rPr>
          <w:color w:val="000000"/>
          <w:spacing w:val="-2"/>
        </w:rPr>
        <w:t>000</w:t>
      </w:r>
      <w:r w:rsidRPr="00972009">
        <w:rPr>
          <w:color w:val="000000"/>
          <w:spacing w:val="-2"/>
        </w:rPr>
        <w:t xml:space="preserve"> against </w:t>
      </w:r>
      <w:r w:rsidR="00F62FDD" w:rsidRPr="00F62FDD">
        <w:rPr>
          <w:color w:val="000000"/>
          <w:spacing w:val="-2"/>
        </w:rPr>
        <w:t>Kemp Broadcasting, Inc. (Kemp</w:t>
      </w:r>
      <w:r w:rsidR="00F62FDD">
        <w:rPr>
          <w:color w:val="000000"/>
          <w:spacing w:val="-2"/>
        </w:rPr>
        <w:t>)</w:t>
      </w:r>
      <w:r w:rsidR="00B6662E">
        <w:rPr>
          <w:color w:val="000000"/>
          <w:spacing w:val="-2"/>
        </w:rPr>
        <w:t xml:space="preserve"> </w:t>
      </w:r>
      <w:r w:rsidRPr="00972009">
        <w:rPr>
          <w:color w:val="000000"/>
          <w:spacing w:val="-2"/>
        </w:rPr>
        <w:t xml:space="preserve">for </w:t>
      </w:r>
      <w:r>
        <w:rPr>
          <w:color w:val="000000"/>
          <w:spacing w:val="-2"/>
        </w:rPr>
        <w:t>failing to m</w:t>
      </w:r>
      <w:r w:rsidR="007531E0">
        <w:rPr>
          <w:color w:val="000000"/>
          <w:spacing w:val="-2"/>
        </w:rPr>
        <w:t>onitor and exhi</w:t>
      </w:r>
      <w:r w:rsidR="00B6662E">
        <w:rPr>
          <w:color w:val="000000"/>
          <w:spacing w:val="-2"/>
        </w:rPr>
        <w:t xml:space="preserve">bit the required lighting on its antenna structure and </w:t>
      </w:r>
      <w:r w:rsidR="007531E0">
        <w:rPr>
          <w:color w:val="000000"/>
          <w:spacing w:val="-2"/>
        </w:rPr>
        <w:t>notify the Federal Aviation Administration</w:t>
      </w:r>
      <w:r w:rsidR="00BF5C9E">
        <w:rPr>
          <w:color w:val="000000"/>
          <w:spacing w:val="-2"/>
        </w:rPr>
        <w:t xml:space="preserve"> </w:t>
      </w:r>
      <w:r w:rsidR="00B6662E">
        <w:rPr>
          <w:color w:val="000000"/>
          <w:spacing w:val="-2"/>
        </w:rPr>
        <w:t>(FAA) of</w:t>
      </w:r>
      <w:r w:rsidR="007531E0">
        <w:rPr>
          <w:color w:val="000000"/>
          <w:spacing w:val="-2"/>
        </w:rPr>
        <w:t xml:space="preserve"> </w:t>
      </w:r>
      <w:r w:rsidR="00B6662E">
        <w:rPr>
          <w:color w:val="000000"/>
          <w:spacing w:val="-2"/>
        </w:rPr>
        <w:t xml:space="preserve">known </w:t>
      </w:r>
      <w:r w:rsidR="007531E0">
        <w:rPr>
          <w:color w:val="000000"/>
          <w:spacing w:val="-2"/>
        </w:rPr>
        <w:t>light outage</w:t>
      </w:r>
      <w:r w:rsidR="007455B7">
        <w:rPr>
          <w:color w:val="000000"/>
          <w:spacing w:val="-2"/>
        </w:rPr>
        <w:t>s</w:t>
      </w:r>
      <w:r>
        <w:rPr>
          <w:color w:val="000000"/>
          <w:spacing w:val="-2"/>
        </w:rPr>
        <w:t xml:space="preserve">. </w:t>
      </w:r>
      <w:r w:rsidR="00F900FA">
        <w:rPr>
          <w:color w:val="000000"/>
          <w:spacing w:val="-2"/>
        </w:rPr>
        <w:t xml:space="preserve"> </w:t>
      </w:r>
      <w:r w:rsidR="00F62FDD">
        <w:rPr>
          <w:color w:val="000000"/>
          <w:spacing w:val="-2"/>
        </w:rPr>
        <w:t>Kemp</w:t>
      </w:r>
      <w:r>
        <w:rPr>
          <w:color w:val="000000"/>
          <w:spacing w:val="-2"/>
        </w:rPr>
        <w:t xml:space="preserve"> does not deny </w:t>
      </w:r>
      <w:r w:rsidR="00E02B27">
        <w:rPr>
          <w:color w:val="000000"/>
          <w:spacing w:val="-2"/>
        </w:rPr>
        <w:t>the violations</w:t>
      </w:r>
      <w:r>
        <w:rPr>
          <w:color w:val="000000"/>
          <w:spacing w:val="-2"/>
        </w:rPr>
        <w:t>, but</w:t>
      </w:r>
      <w:r w:rsidR="00DC2EFE">
        <w:rPr>
          <w:color w:val="000000"/>
          <w:spacing w:val="-2"/>
        </w:rPr>
        <w:t xml:space="preserve"> </w:t>
      </w:r>
      <w:r w:rsidRPr="00972009">
        <w:rPr>
          <w:color w:val="000000"/>
          <w:spacing w:val="-2"/>
        </w:rPr>
        <w:t>requests</w:t>
      </w:r>
      <w:r w:rsidR="008115F3">
        <w:rPr>
          <w:color w:val="000000"/>
          <w:spacing w:val="-2"/>
        </w:rPr>
        <w:t xml:space="preserve"> reduc</w:t>
      </w:r>
      <w:r w:rsidR="007455B7">
        <w:rPr>
          <w:color w:val="000000"/>
          <w:spacing w:val="-2"/>
        </w:rPr>
        <w:t>tion</w:t>
      </w:r>
      <w:r w:rsidR="005718DE">
        <w:rPr>
          <w:color w:val="000000"/>
          <w:spacing w:val="-2"/>
        </w:rPr>
        <w:t xml:space="preserve"> or cancellation</w:t>
      </w:r>
      <w:r w:rsidR="007455B7">
        <w:rPr>
          <w:color w:val="000000"/>
          <w:spacing w:val="-2"/>
        </w:rPr>
        <w:t xml:space="preserve"> of</w:t>
      </w:r>
      <w:r w:rsidR="008115F3">
        <w:rPr>
          <w:color w:val="000000"/>
          <w:spacing w:val="-2"/>
        </w:rPr>
        <w:t xml:space="preserve"> </w:t>
      </w:r>
      <w:r w:rsidR="00DC2EFE">
        <w:rPr>
          <w:color w:val="000000"/>
          <w:spacing w:val="-2"/>
        </w:rPr>
        <w:t xml:space="preserve">the proposed </w:t>
      </w:r>
      <w:r w:rsidRPr="00972009">
        <w:rPr>
          <w:color w:val="000000"/>
          <w:spacing w:val="-2"/>
        </w:rPr>
        <w:t xml:space="preserve">forfeiture </w:t>
      </w:r>
      <w:r w:rsidR="00403CCA">
        <w:rPr>
          <w:color w:val="000000"/>
          <w:spacing w:val="-2"/>
        </w:rPr>
        <w:t xml:space="preserve">because </w:t>
      </w:r>
      <w:r w:rsidR="007531E0">
        <w:rPr>
          <w:color w:val="000000"/>
          <w:spacing w:val="-2"/>
        </w:rPr>
        <w:t>of its</w:t>
      </w:r>
      <w:r w:rsidR="00664B43">
        <w:rPr>
          <w:color w:val="000000"/>
          <w:spacing w:val="-2"/>
        </w:rPr>
        <w:t xml:space="preserve"> prompt</w:t>
      </w:r>
      <w:r w:rsidR="005718DE">
        <w:rPr>
          <w:color w:val="000000"/>
          <w:spacing w:val="-2"/>
        </w:rPr>
        <w:t xml:space="preserve"> and</w:t>
      </w:r>
      <w:r w:rsidR="00430434">
        <w:rPr>
          <w:color w:val="000000"/>
          <w:spacing w:val="-2"/>
        </w:rPr>
        <w:t xml:space="preserve"> </w:t>
      </w:r>
      <w:r w:rsidR="005718DE">
        <w:rPr>
          <w:color w:val="000000"/>
          <w:spacing w:val="-2"/>
        </w:rPr>
        <w:t xml:space="preserve">extensive </w:t>
      </w:r>
      <w:r w:rsidR="007531E0">
        <w:rPr>
          <w:color w:val="000000"/>
          <w:spacing w:val="-2"/>
        </w:rPr>
        <w:t xml:space="preserve">efforts to correct the lighting issues.  We find </w:t>
      </w:r>
      <w:r w:rsidR="006F1B02">
        <w:rPr>
          <w:color w:val="000000"/>
          <w:spacing w:val="-2"/>
        </w:rPr>
        <w:t xml:space="preserve">that </w:t>
      </w:r>
      <w:r w:rsidR="007455B7">
        <w:rPr>
          <w:color w:val="000000"/>
          <w:spacing w:val="-2"/>
        </w:rPr>
        <w:t>Kemp</w:t>
      </w:r>
      <w:r w:rsidR="00755B39">
        <w:rPr>
          <w:color w:val="000000"/>
          <w:spacing w:val="-2"/>
        </w:rPr>
        <w:t xml:space="preserve">’s actions </w:t>
      </w:r>
      <w:r w:rsidR="009A3B4C">
        <w:rPr>
          <w:color w:val="000000"/>
          <w:spacing w:val="-2"/>
        </w:rPr>
        <w:t xml:space="preserve">after </w:t>
      </w:r>
      <w:r w:rsidR="00B6662E">
        <w:rPr>
          <w:color w:val="000000"/>
          <w:spacing w:val="-2"/>
        </w:rPr>
        <w:t xml:space="preserve">it first </w:t>
      </w:r>
      <w:r w:rsidR="00755B39">
        <w:rPr>
          <w:color w:val="000000"/>
          <w:spacing w:val="-2"/>
        </w:rPr>
        <w:t xml:space="preserve">received notice from FCC agents of the outage </w:t>
      </w:r>
      <w:r w:rsidR="006F1B02">
        <w:rPr>
          <w:color w:val="000000"/>
          <w:spacing w:val="-2"/>
        </w:rPr>
        <w:t>do not excuse the violations</w:t>
      </w:r>
      <w:r w:rsidR="005718DE">
        <w:rPr>
          <w:color w:val="000000"/>
          <w:spacing w:val="-2"/>
        </w:rPr>
        <w:t xml:space="preserve"> or warrant cancellation of the forfeiture</w:t>
      </w:r>
      <w:r w:rsidR="009A3B4C">
        <w:rPr>
          <w:color w:val="000000"/>
          <w:spacing w:val="-2"/>
        </w:rPr>
        <w:t xml:space="preserve">.  </w:t>
      </w:r>
      <w:r w:rsidR="006F1B02">
        <w:rPr>
          <w:color w:val="000000"/>
          <w:spacing w:val="-2"/>
        </w:rPr>
        <w:t>We concur, however, that a forfeiture reduction is warranted based on Kemp’</w:t>
      </w:r>
      <w:r w:rsidR="000734BC">
        <w:rPr>
          <w:color w:val="000000"/>
          <w:spacing w:val="-2"/>
        </w:rPr>
        <w:t xml:space="preserve">s </w:t>
      </w:r>
      <w:r w:rsidR="006F1B02">
        <w:rPr>
          <w:color w:val="000000"/>
          <w:spacing w:val="-2"/>
        </w:rPr>
        <w:t xml:space="preserve">good faith efforts </w:t>
      </w:r>
      <w:r w:rsidR="007455B7">
        <w:rPr>
          <w:color w:val="000000"/>
          <w:spacing w:val="-2"/>
        </w:rPr>
        <w:t xml:space="preserve">to repair and replace the lighting </w:t>
      </w:r>
      <w:r w:rsidR="006F1B02">
        <w:rPr>
          <w:color w:val="000000"/>
          <w:spacing w:val="-2"/>
        </w:rPr>
        <w:t xml:space="preserve">at the time of the second outage as well as its </w:t>
      </w:r>
      <w:r w:rsidR="007455B7">
        <w:rPr>
          <w:color w:val="000000"/>
          <w:spacing w:val="-2"/>
        </w:rPr>
        <w:t>history of compliance</w:t>
      </w:r>
      <w:r w:rsidR="006F1B02">
        <w:rPr>
          <w:color w:val="000000"/>
          <w:spacing w:val="-2"/>
        </w:rPr>
        <w:t xml:space="preserve"> with the Commission’s rules</w:t>
      </w:r>
      <w:r w:rsidR="007455B7">
        <w:rPr>
          <w:color w:val="000000"/>
          <w:spacing w:val="-2"/>
        </w:rPr>
        <w:t xml:space="preserve">.  </w:t>
      </w:r>
    </w:p>
    <w:p w14:paraId="23CD8AB5" w14:textId="687E6E2C" w:rsidR="00DE5386" w:rsidRPr="002A7814" w:rsidRDefault="00835FE8" w:rsidP="006F1B02">
      <w:pPr>
        <w:numPr>
          <w:ilvl w:val="0"/>
          <w:numId w:val="1"/>
        </w:numPr>
        <w:tabs>
          <w:tab w:val="clear" w:pos="1080"/>
          <w:tab w:val="left" w:pos="0"/>
          <w:tab w:val="num" w:pos="1440"/>
        </w:tabs>
        <w:suppressAutoHyphens/>
        <w:autoSpaceDE w:val="0"/>
        <w:autoSpaceDN w:val="0"/>
        <w:adjustRightInd w:val="0"/>
        <w:spacing w:after="120"/>
        <w:rPr>
          <w:color w:val="000000"/>
          <w:spacing w:val="-2"/>
        </w:rPr>
      </w:pPr>
      <w:r>
        <w:rPr>
          <w:color w:val="000000"/>
          <w:spacing w:val="-2"/>
        </w:rPr>
        <w:t>Specifically</w:t>
      </w:r>
      <w:r w:rsidR="00DE5386" w:rsidRPr="002A7814">
        <w:rPr>
          <w:color w:val="000000"/>
          <w:spacing w:val="-2"/>
        </w:rPr>
        <w:t>, we issue a monet</w:t>
      </w:r>
      <w:r>
        <w:rPr>
          <w:color w:val="000000"/>
          <w:spacing w:val="-2"/>
        </w:rPr>
        <w:t xml:space="preserve">ary forfeiture </w:t>
      </w:r>
      <w:r w:rsidR="00DE5386" w:rsidRPr="002A7814">
        <w:rPr>
          <w:color w:val="000000"/>
          <w:spacing w:val="-2"/>
        </w:rPr>
        <w:t>to</w:t>
      </w:r>
      <w:r w:rsidR="009A3B4C">
        <w:rPr>
          <w:color w:val="000000"/>
          <w:spacing w:val="-2"/>
        </w:rPr>
        <w:t xml:space="preserve"> </w:t>
      </w:r>
      <w:r w:rsidR="00F62FDD">
        <w:rPr>
          <w:color w:val="000000"/>
          <w:spacing w:val="-2"/>
        </w:rPr>
        <w:t>Kemp</w:t>
      </w:r>
      <w:r w:rsidR="00F62FDD" w:rsidRPr="00F62FDD">
        <w:rPr>
          <w:color w:val="000000"/>
          <w:spacing w:val="-2"/>
        </w:rPr>
        <w:t>, owner of antenna structure number 1061958 located in Moapa, Nevada</w:t>
      </w:r>
      <w:r w:rsidR="006F1B02">
        <w:rPr>
          <w:color w:val="000000"/>
          <w:spacing w:val="-2"/>
        </w:rPr>
        <w:t xml:space="preserve"> (Antenna Structure)</w:t>
      </w:r>
      <w:r w:rsidR="00F62FDD" w:rsidRPr="00F62FDD">
        <w:rPr>
          <w:color w:val="000000"/>
          <w:spacing w:val="-2"/>
        </w:rPr>
        <w:t xml:space="preserve">, </w:t>
      </w:r>
      <w:r w:rsidR="009A3B4C">
        <w:rPr>
          <w:color w:val="000000"/>
          <w:spacing w:val="-2"/>
        </w:rPr>
        <w:t xml:space="preserve">for willfully and repeatedly </w:t>
      </w:r>
      <w:r w:rsidR="009A3B4C" w:rsidRPr="009A3B4C">
        <w:rPr>
          <w:color w:val="000000"/>
          <w:spacing w:val="-2"/>
        </w:rPr>
        <w:t>violat</w:t>
      </w:r>
      <w:r w:rsidR="009A3B4C">
        <w:rPr>
          <w:color w:val="000000"/>
          <w:spacing w:val="-2"/>
        </w:rPr>
        <w:t>ing</w:t>
      </w:r>
      <w:r w:rsidR="009A3B4C" w:rsidRPr="009A3B4C">
        <w:rPr>
          <w:color w:val="000000"/>
          <w:spacing w:val="-2"/>
        </w:rPr>
        <w:t xml:space="preserve"> Section 303(q) of the Communications Act of 1934, as amended (Act),</w:t>
      </w:r>
      <w:r w:rsidR="009A3B4C" w:rsidRPr="009A3B4C">
        <w:rPr>
          <w:color w:val="000000"/>
          <w:spacing w:val="-2"/>
          <w:vertAlign w:val="superscript"/>
        </w:rPr>
        <w:footnoteReference w:id="2"/>
      </w:r>
      <w:r w:rsidR="009A3B4C" w:rsidRPr="009A3B4C">
        <w:rPr>
          <w:color w:val="000000"/>
          <w:spacing w:val="-2"/>
        </w:rPr>
        <w:t xml:space="preserve"> and Sections 17.47</w:t>
      </w:r>
      <w:r w:rsidR="00664B43">
        <w:rPr>
          <w:color w:val="000000"/>
          <w:spacing w:val="-2"/>
        </w:rPr>
        <w:t>(a)</w:t>
      </w:r>
      <w:r w:rsidR="009A3B4C" w:rsidRPr="009A3B4C">
        <w:rPr>
          <w:color w:val="000000"/>
          <w:spacing w:val="-2"/>
        </w:rPr>
        <w:t>, 17.48</w:t>
      </w:r>
      <w:r w:rsidR="00A1027A">
        <w:rPr>
          <w:color w:val="000000"/>
          <w:spacing w:val="-2"/>
        </w:rPr>
        <w:t>(a)</w:t>
      </w:r>
      <w:r w:rsidR="009A3B4C" w:rsidRPr="009A3B4C">
        <w:rPr>
          <w:color w:val="000000"/>
          <w:spacing w:val="-2"/>
        </w:rPr>
        <w:t>, and 17.51(b)</w:t>
      </w:r>
      <w:r w:rsidR="009A3B4C" w:rsidRPr="009A3B4C">
        <w:rPr>
          <w:b/>
          <w:color w:val="000000"/>
          <w:spacing w:val="-2"/>
        </w:rPr>
        <w:t xml:space="preserve"> </w:t>
      </w:r>
      <w:r w:rsidR="009A3B4C" w:rsidRPr="009A3B4C">
        <w:rPr>
          <w:color w:val="000000"/>
          <w:spacing w:val="-2"/>
        </w:rPr>
        <w:t>of the Commission’s rules (Rules)</w:t>
      </w:r>
      <w:r w:rsidR="006F1B02">
        <w:rPr>
          <w:color w:val="000000"/>
          <w:spacing w:val="-2"/>
        </w:rPr>
        <w:t>.</w:t>
      </w:r>
      <w:r w:rsidR="009A3B4C" w:rsidRPr="009A3B4C">
        <w:rPr>
          <w:color w:val="000000"/>
          <w:spacing w:val="-2"/>
          <w:vertAlign w:val="superscript"/>
        </w:rPr>
        <w:footnoteReference w:id="3"/>
      </w:r>
      <w:r w:rsidR="009A3B4C" w:rsidRPr="009A3B4C">
        <w:rPr>
          <w:color w:val="000000"/>
          <w:spacing w:val="-2"/>
        </w:rPr>
        <w:t xml:space="preserve">  </w:t>
      </w:r>
    </w:p>
    <w:p w14:paraId="1F4F0C4F" w14:textId="77777777" w:rsidR="00DE5386" w:rsidRPr="002A7814" w:rsidRDefault="00DE5386" w:rsidP="00DC2EFE">
      <w:pPr>
        <w:pStyle w:val="ParaNum"/>
        <w:numPr>
          <w:ilvl w:val="0"/>
          <w:numId w:val="0"/>
        </w:numPr>
        <w:spacing w:after="120"/>
        <w:rPr>
          <w:b/>
          <w:color w:val="000000"/>
          <w:spacing w:val="-2"/>
        </w:rPr>
      </w:pPr>
      <w:r w:rsidRPr="002A7814">
        <w:rPr>
          <w:b/>
          <w:color w:val="000000"/>
          <w:spacing w:val="-2"/>
        </w:rPr>
        <w:t xml:space="preserve">II.  </w:t>
      </w:r>
      <w:r w:rsidRPr="002A7814">
        <w:rPr>
          <w:b/>
          <w:color w:val="000000"/>
          <w:spacing w:val="-2"/>
        </w:rPr>
        <w:tab/>
        <w:t>BACKGROUND</w:t>
      </w:r>
    </w:p>
    <w:p w14:paraId="36980246" w14:textId="1EDBD205" w:rsidR="00DE5386" w:rsidRDefault="00DE5386" w:rsidP="008E5F5B">
      <w:pPr>
        <w:numPr>
          <w:ilvl w:val="0"/>
          <w:numId w:val="1"/>
        </w:numPr>
        <w:tabs>
          <w:tab w:val="clear" w:pos="1080"/>
          <w:tab w:val="left" w:pos="0"/>
          <w:tab w:val="num" w:pos="1440"/>
        </w:tabs>
        <w:suppressAutoHyphens/>
        <w:autoSpaceDE w:val="0"/>
        <w:autoSpaceDN w:val="0"/>
        <w:adjustRightInd w:val="0"/>
        <w:spacing w:after="120"/>
        <w:rPr>
          <w:color w:val="000000"/>
          <w:spacing w:val="-2"/>
        </w:rPr>
      </w:pPr>
      <w:r w:rsidRPr="002A7814">
        <w:rPr>
          <w:color w:val="000000"/>
          <w:spacing w:val="-2"/>
        </w:rPr>
        <w:t xml:space="preserve">On </w:t>
      </w:r>
      <w:r w:rsidR="00BC7C15">
        <w:rPr>
          <w:color w:val="000000"/>
          <w:spacing w:val="-2"/>
        </w:rPr>
        <w:t xml:space="preserve">February 27, 2014, </w:t>
      </w:r>
      <w:r w:rsidRPr="002A7814">
        <w:rPr>
          <w:color w:val="000000"/>
          <w:spacing w:val="-2"/>
        </w:rPr>
        <w:t>the Enforcement Bureau’s</w:t>
      </w:r>
      <w:r w:rsidR="009A3B4C">
        <w:rPr>
          <w:color w:val="000000"/>
          <w:spacing w:val="-2"/>
        </w:rPr>
        <w:t xml:space="preserve"> </w:t>
      </w:r>
      <w:r w:rsidR="00BC7C15">
        <w:rPr>
          <w:color w:val="000000"/>
          <w:spacing w:val="-2"/>
        </w:rPr>
        <w:t>Los Angeles</w:t>
      </w:r>
      <w:r w:rsidR="00934211">
        <w:rPr>
          <w:color w:val="000000"/>
          <w:spacing w:val="-2"/>
        </w:rPr>
        <w:t xml:space="preserve"> Office</w:t>
      </w:r>
      <w:r w:rsidR="00835FE8">
        <w:rPr>
          <w:color w:val="000000"/>
          <w:spacing w:val="-2"/>
        </w:rPr>
        <w:t xml:space="preserve"> </w:t>
      </w:r>
      <w:r w:rsidRPr="002A7814">
        <w:rPr>
          <w:color w:val="000000"/>
          <w:spacing w:val="-2"/>
        </w:rPr>
        <w:t>issued a Notice of Apparent Liability for Forfeiture</w:t>
      </w:r>
      <w:r w:rsidR="006F1B02">
        <w:rPr>
          <w:color w:val="000000"/>
          <w:spacing w:val="-2"/>
        </w:rPr>
        <w:t xml:space="preserve"> and Order</w:t>
      </w:r>
      <w:r w:rsidR="00DD1F81">
        <w:rPr>
          <w:color w:val="000000"/>
          <w:spacing w:val="-2"/>
        </w:rPr>
        <w:t xml:space="preserve"> </w:t>
      </w:r>
      <w:r w:rsidRPr="002A7814">
        <w:rPr>
          <w:color w:val="000000"/>
          <w:spacing w:val="-2"/>
        </w:rPr>
        <w:t>(</w:t>
      </w:r>
      <w:r w:rsidRPr="00E26178">
        <w:rPr>
          <w:i/>
          <w:color w:val="000000"/>
          <w:spacing w:val="-2"/>
        </w:rPr>
        <w:t>NAL</w:t>
      </w:r>
      <w:r w:rsidRPr="00E02B27">
        <w:rPr>
          <w:color w:val="000000"/>
          <w:spacing w:val="-2"/>
        </w:rPr>
        <w:t>)</w:t>
      </w:r>
      <w:r w:rsidRPr="0037278D">
        <w:rPr>
          <w:rStyle w:val="FootnoteReference"/>
          <w:color w:val="000000"/>
          <w:spacing w:val="-2"/>
          <w:sz w:val="22"/>
        </w:rPr>
        <w:t xml:space="preserve"> </w:t>
      </w:r>
      <w:r w:rsidR="005511AE">
        <w:rPr>
          <w:color w:val="000000"/>
          <w:spacing w:val="-2"/>
        </w:rPr>
        <w:t>proposing a</w:t>
      </w:r>
      <w:r w:rsidR="005511AE" w:rsidRPr="002A7814">
        <w:rPr>
          <w:color w:val="000000"/>
          <w:spacing w:val="-2"/>
        </w:rPr>
        <w:t xml:space="preserve"> </w:t>
      </w:r>
      <w:r w:rsidRPr="002A7814">
        <w:rPr>
          <w:color w:val="000000"/>
          <w:spacing w:val="-2"/>
        </w:rPr>
        <w:t>$</w:t>
      </w:r>
      <w:r w:rsidR="00BC7C15">
        <w:rPr>
          <w:color w:val="000000"/>
          <w:spacing w:val="-2"/>
        </w:rPr>
        <w:t>14</w:t>
      </w:r>
      <w:r w:rsidR="00226B3D">
        <w:rPr>
          <w:color w:val="000000"/>
          <w:spacing w:val="-2"/>
        </w:rPr>
        <w:t>,</w:t>
      </w:r>
      <w:r w:rsidRPr="002A7814">
        <w:rPr>
          <w:color w:val="000000"/>
          <w:spacing w:val="-2"/>
        </w:rPr>
        <w:t xml:space="preserve">000 </w:t>
      </w:r>
      <w:r w:rsidR="005511AE">
        <w:rPr>
          <w:color w:val="000000"/>
          <w:spacing w:val="-2"/>
        </w:rPr>
        <w:t>forfeiture against</w:t>
      </w:r>
      <w:r w:rsidRPr="002A7814">
        <w:rPr>
          <w:color w:val="000000"/>
          <w:spacing w:val="-2"/>
        </w:rPr>
        <w:t xml:space="preserve"> </w:t>
      </w:r>
      <w:r w:rsidR="00BC7C15">
        <w:rPr>
          <w:color w:val="000000"/>
          <w:spacing w:val="-2"/>
        </w:rPr>
        <w:t>Kemp</w:t>
      </w:r>
      <w:r w:rsidR="009A3B4C">
        <w:rPr>
          <w:color w:val="000000"/>
          <w:spacing w:val="-2"/>
        </w:rPr>
        <w:t xml:space="preserve"> </w:t>
      </w:r>
      <w:r w:rsidR="00FB29D6">
        <w:rPr>
          <w:color w:val="000000"/>
          <w:spacing w:val="-2"/>
        </w:rPr>
        <w:t>for failing to</w:t>
      </w:r>
      <w:r w:rsidR="009A3B4C" w:rsidRPr="009A3B4C">
        <w:rPr>
          <w:color w:val="000000"/>
          <w:spacing w:val="-2"/>
        </w:rPr>
        <w:t xml:space="preserve"> </w:t>
      </w:r>
      <w:r w:rsidR="006F1B02" w:rsidRPr="009A3B4C">
        <w:rPr>
          <w:color w:val="000000"/>
          <w:spacing w:val="-2"/>
        </w:rPr>
        <w:t xml:space="preserve">monitor </w:t>
      </w:r>
      <w:r w:rsidR="00A1027A">
        <w:rPr>
          <w:color w:val="000000"/>
          <w:spacing w:val="-2"/>
        </w:rPr>
        <w:t xml:space="preserve">the Antenna Structure’s </w:t>
      </w:r>
      <w:r w:rsidR="006F1B02" w:rsidRPr="009A3B4C">
        <w:rPr>
          <w:color w:val="000000"/>
          <w:spacing w:val="-2"/>
        </w:rPr>
        <w:t>obstruction lighting on a daily basis or maintain</w:t>
      </w:r>
      <w:r w:rsidR="006F1B02">
        <w:rPr>
          <w:color w:val="000000"/>
          <w:spacing w:val="-2"/>
        </w:rPr>
        <w:t xml:space="preserve"> a functioning alarm system,</w:t>
      </w:r>
      <w:r w:rsidR="006F1B02" w:rsidRPr="009A3B4C">
        <w:rPr>
          <w:color w:val="000000"/>
          <w:spacing w:val="-2"/>
        </w:rPr>
        <w:t xml:space="preserve"> exhibit required daytime medium intensi</w:t>
      </w:r>
      <w:r w:rsidR="006F1B02">
        <w:rPr>
          <w:color w:val="000000"/>
          <w:spacing w:val="-2"/>
        </w:rPr>
        <w:t xml:space="preserve">ty obstruction lighting, and </w:t>
      </w:r>
      <w:r w:rsidR="006F1B02" w:rsidRPr="009A3B4C">
        <w:rPr>
          <w:color w:val="000000"/>
          <w:spacing w:val="-2"/>
        </w:rPr>
        <w:t>notify the F</w:t>
      </w:r>
      <w:r w:rsidR="006F1B02">
        <w:rPr>
          <w:color w:val="000000"/>
          <w:spacing w:val="-2"/>
        </w:rPr>
        <w:t>AA</w:t>
      </w:r>
      <w:r w:rsidR="005718DE">
        <w:rPr>
          <w:color w:val="000000"/>
          <w:spacing w:val="-2"/>
        </w:rPr>
        <w:t xml:space="preserve"> of</w:t>
      </w:r>
      <w:r w:rsidR="006F1B02" w:rsidRPr="009A3B4C">
        <w:rPr>
          <w:color w:val="000000"/>
          <w:spacing w:val="-2"/>
        </w:rPr>
        <w:t xml:space="preserve"> known lighting outage</w:t>
      </w:r>
      <w:r w:rsidR="005718DE">
        <w:rPr>
          <w:color w:val="000000"/>
          <w:spacing w:val="-2"/>
        </w:rPr>
        <w:t>s</w:t>
      </w:r>
      <w:r w:rsidR="00226B3D">
        <w:rPr>
          <w:color w:val="000000"/>
          <w:spacing w:val="-2"/>
        </w:rPr>
        <w:t>.</w:t>
      </w:r>
      <w:r w:rsidRPr="008E5F5B">
        <w:rPr>
          <w:rStyle w:val="FootnoteReference"/>
          <w:color w:val="000000"/>
          <w:spacing w:val="-2"/>
        </w:rPr>
        <w:footnoteReference w:id="4"/>
      </w:r>
      <w:r w:rsidRPr="002A7814">
        <w:rPr>
          <w:color w:val="000000"/>
          <w:spacing w:val="-2"/>
        </w:rPr>
        <w:t xml:space="preserve">  </w:t>
      </w:r>
      <w:r w:rsidR="00E91346">
        <w:rPr>
          <w:color w:val="000000"/>
          <w:spacing w:val="-2"/>
        </w:rPr>
        <w:t>In addition to a $10,000 base f</w:t>
      </w:r>
      <w:r w:rsidR="000734BC">
        <w:rPr>
          <w:color w:val="000000"/>
          <w:spacing w:val="-2"/>
        </w:rPr>
        <w:t xml:space="preserve">orfeiture for the initial </w:t>
      </w:r>
      <w:r w:rsidR="00E91346">
        <w:rPr>
          <w:color w:val="000000"/>
          <w:spacing w:val="-2"/>
        </w:rPr>
        <w:t xml:space="preserve">outage </w:t>
      </w:r>
      <w:r w:rsidR="00755B39">
        <w:rPr>
          <w:color w:val="000000"/>
          <w:spacing w:val="-2"/>
        </w:rPr>
        <w:t xml:space="preserve">occurring </w:t>
      </w:r>
      <w:r w:rsidR="00E91346">
        <w:rPr>
          <w:color w:val="000000"/>
          <w:spacing w:val="-2"/>
        </w:rPr>
        <w:t xml:space="preserve">in April 2013, the </w:t>
      </w:r>
      <w:r w:rsidR="00E91346">
        <w:rPr>
          <w:i/>
          <w:color w:val="000000"/>
          <w:spacing w:val="-2"/>
        </w:rPr>
        <w:t xml:space="preserve">NAL </w:t>
      </w:r>
      <w:r w:rsidR="00E91346">
        <w:rPr>
          <w:color w:val="000000"/>
          <w:spacing w:val="-2"/>
        </w:rPr>
        <w:t xml:space="preserve">included a $4,000 upward forfeiture adjustment in light of Kemp’s failure to comply with the Commission’s antenna structure monitoring, lighting, </w:t>
      </w:r>
      <w:r w:rsidR="000734BC">
        <w:rPr>
          <w:color w:val="000000"/>
          <w:spacing w:val="-2"/>
        </w:rPr>
        <w:t xml:space="preserve">and </w:t>
      </w:r>
      <w:r w:rsidR="00E91346">
        <w:rPr>
          <w:color w:val="000000"/>
          <w:spacing w:val="-2"/>
        </w:rPr>
        <w:t>notification requirements during a second outage</w:t>
      </w:r>
      <w:r w:rsidR="00755B39">
        <w:rPr>
          <w:color w:val="000000"/>
          <w:spacing w:val="-2"/>
        </w:rPr>
        <w:t xml:space="preserve"> occurring</w:t>
      </w:r>
      <w:r w:rsidR="00E91346">
        <w:rPr>
          <w:color w:val="000000"/>
          <w:spacing w:val="-2"/>
        </w:rPr>
        <w:t xml:space="preserve"> in September 2013.</w:t>
      </w:r>
      <w:r w:rsidR="00E91346">
        <w:rPr>
          <w:rStyle w:val="FootnoteReference"/>
          <w:color w:val="000000"/>
          <w:spacing w:val="-2"/>
        </w:rPr>
        <w:footnoteReference w:id="5"/>
      </w:r>
      <w:r w:rsidR="00E91346">
        <w:rPr>
          <w:color w:val="000000"/>
          <w:spacing w:val="-2"/>
        </w:rPr>
        <w:t xml:space="preserve">  </w:t>
      </w:r>
      <w:r w:rsidRPr="002A7814">
        <w:rPr>
          <w:color w:val="000000"/>
          <w:spacing w:val="-2"/>
        </w:rPr>
        <w:t xml:space="preserve">In </w:t>
      </w:r>
      <w:r w:rsidR="005E5B28">
        <w:rPr>
          <w:color w:val="000000"/>
          <w:spacing w:val="-2"/>
        </w:rPr>
        <w:t>it</w:t>
      </w:r>
      <w:r w:rsidR="000E468A">
        <w:rPr>
          <w:color w:val="000000"/>
          <w:spacing w:val="-2"/>
        </w:rPr>
        <w:t>s</w:t>
      </w:r>
      <w:r w:rsidR="005E5B28">
        <w:rPr>
          <w:color w:val="000000"/>
          <w:spacing w:val="-2"/>
        </w:rPr>
        <w:t xml:space="preserve"> </w:t>
      </w:r>
      <w:r w:rsidR="005E5B28">
        <w:rPr>
          <w:i/>
          <w:color w:val="000000"/>
          <w:spacing w:val="-2"/>
        </w:rPr>
        <w:t>NAL Response</w:t>
      </w:r>
      <w:r w:rsidRPr="002A7814">
        <w:rPr>
          <w:color w:val="000000"/>
          <w:spacing w:val="-2"/>
        </w:rPr>
        <w:t xml:space="preserve">, </w:t>
      </w:r>
      <w:r w:rsidR="000A44DB">
        <w:rPr>
          <w:color w:val="000000"/>
          <w:spacing w:val="-2"/>
        </w:rPr>
        <w:t>Kemp</w:t>
      </w:r>
      <w:r w:rsidRPr="002A7814">
        <w:rPr>
          <w:color w:val="000000"/>
          <w:spacing w:val="-2"/>
        </w:rPr>
        <w:t xml:space="preserve"> does not deny the violations, but</w:t>
      </w:r>
      <w:r w:rsidR="005E5B28">
        <w:rPr>
          <w:color w:val="000000"/>
          <w:spacing w:val="-2"/>
        </w:rPr>
        <w:t xml:space="preserve"> </w:t>
      </w:r>
      <w:r w:rsidRPr="002A7814">
        <w:rPr>
          <w:color w:val="000000"/>
          <w:spacing w:val="-2"/>
        </w:rPr>
        <w:t xml:space="preserve">requests </w:t>
      </w:r>
      <w:r w:rsidR="00226B3D">
        <w:rPr>
          <w:color w:val="000000"/>
          <w:spacing w:val="-2"/>
        </w:rPr>
        <w:t xml:space="preserve">reduction </w:t>
      </w:r>
      <w:r w:rsidR="000734BC">
        <w:rPr>
          <w:color w:val="000000"/>
          <w:spacing w:val="-2"/>
        </w:rPr>
        <w:t xml:space="preserve">or cancellation </w:t>
      </w:r>
      <w:r w:rsidR="000B4DF2">
        <w:rPr>
          <w:color w:val="000000"/>
          <w:spacing w:val="-2"/>
        </w:rPr>
        <w:t xml:space="preserve">of the proposed </w:t>
      </w:r>
      <w:r w:rsidR="0037278D">
        <w:rPr>
          <w:color w:val="000000"/>
          <w:spacing w:val="-2"/>
        </w:rPr>
        <w:t xml:space="preserve">forfeiture </w:t>
      </w:r>
      <w:r w:rsidR="00226B3D">
        <w:rPr>
          <w:color w:val="000000"/>
          <w:spacing w:val="-2"/>
        </w:rPr>
        <w:t>because</w:t>
      </w:r>
      <w:r w:rsidR="009A3B4C">
        <w:rPr>
          <w:color w:val="000000"/>
          <w:spacing w:val="-2"/>
        </w:rPr>
        <w:t xml:space="preserve"> </w:t>
      </w:r>
      <w:r w:rsidR="000D7AF2">
        <w:rPr>
          <w:color w:val="000000"/>
          <w:spacing w:val="-2"/>
        </w:rPr>
        <w:t>of the</w:t>
      </w:r>
      <w:r w:rsidR="009A3B4C">
        <w:rPr>
          <w:color w:val="000000"/>
          <w:spacing w:val="-2"/>
        </w:rPr>
        <w:t xml:space="preserve"> </w:t>
      </w:r>
      <w:r w:rsidR="005718DE">
        <w:rPr>
          <w:color w:val="000000"/>
          <w:spacing w:val="-2"/>
        </w:rPr>
        <w:t xml:space="preserve">prompt </w:t>
      </w:r>
      <w:r w:rsidR="000A44DB">
        <w:rPr>
          <w:color w:val="000000"/>
          <w:spacing w:val="-2"/>
        </w:rPr>
        <w:t xml:space="preserve">steps </w:t>
      </w:r>
      <w:r w:rsidR="000D7AF2">
        <w:rPr>
          <w:color w:val="000000"/>
          <w:spacing w:val="-2"/>
        </w:rPr>
        <w:t xml:space="preserve">it took </w:t>
      </w:r>
      <w:r w:rsidR="000A44DB">
        <w:rPr>
          <w:color w:val="000000"/>
          <w:spacing w:val="-2"/>
        </w:rPr>
        <w:t xml:space="preserve">to repair the lighting </w:t>
      </w:r>
      <w:r w:rsidR="000A44DB">
        <w:rPr>
          <w:color w:val="000000"/>
          <w:spacing w:val="-2"/>
        </w:rPr>
        <w:lastRenderedPageBreak/>
        <w:t>system after receiv</w:t>
      </w:r>
      <w:r w:rsidR="000D7AF2">
        <w:rPr>
          <w:color w:val="000000"/>
          <w:spacing w:val="-2"/>
        </w:rPr>
        <w:t>ing</w:t>
      </w:r>
      <w:r w:rsidR="000A44DB">
        <w:rPr>
          <w:color w:val="000000"/>
          <w:spacing w:val="-2"/>
        </w:rPr>
        <w:t xml:space="preserve"> a Notice of Violation </w:t>
      </w:r>
      <w:r w:rsidR="005718DE">
        <w:rPr>
          <w:color w:val="000000"/>
          <w:spacing w:val="-2"/>
        </w:rPr>
        <w:t xml:space="preserve">(NOV) </w:t>
      </w:r>
      <w:r w:rsidR="000A44DB">
        <w:rPr>
          <w:color w:val="000000"/>
          <w:spacing w:val="-2"/>
        </w:rPr>
        <w:t>from the Los Angeles Office</w:t>
      </w:r>
      <w:r w:rsidR="00A1027A">
        <w:rPr>
          <w:color w:val="000000"/>
          <w:spacing w:val="-2"/>
        </w:rPr>
        <w:t xml:space="preserve"> regarding</w:t>
      </w:r>
      <w:r w:rsidR="000734BC">
        <w:rPr>
          <w:color w:val="000000"/>
          <w:spacing w:val="-2"/>
        </w:rPr>
        <w:t xml:space="preserve"> the initial outage</w:t>
      </w:r>
      <w:r w:rsidR="005718DE">
        <w:rPr>
          <w:color w:val="000000"/>
          <w:spacing w:val="-2"/>
        </w:rPr>
        <w:t>.</w:t>
      </w:r>
      <w:r w:rsidR="00B729B7">
        <w:rPr>
          <w:rStyle w:val="FootnoteReference"/>
          <w:color w:val="000000"/>
          <w:spacing w:val="-2"/>
        </w:rPr>
        <w:footnoteReference w:id="6"/>
      </w:r>
      <w:r w:rsidR="00E91346">
        <w:rPr>
          <w:color w:val="000000"/>
          <w:spacing w:val="-2"/>
        </w:rPr>
        <w:t xml:space="preserve">  In particular, Kemp argues that </w:t>
      </w:r>
      <w:r w:rsidR="000734BC">
        <w:rPr>
          <w:color w:val="000000"/>
          <w:spacing w:val="-2"/>
        </w:rPr>
        <w:t>the forfeiture “fails to take into account Kemp’s continuous attempts since the issuance of the NOV to be in compliance,” including extensive and costly repairs to the Antenna Structure’s lighting and monitoring systems</w:t>
      </w:r>
      <w:r w:rsidR="00A1027A">
        <w:rPr>
          <w:color w:val="000000"/>
          <w:spacing w:val="-2"/>
        </w:rPr>
        <w:t xml:space="preserve"> </w:t>
      </w:r>
      <w:r w:rsidR="00285A5B">
        <w:rPr>
          <w:color w:val="000000"/>
          <w:spacing w:val="-2"/>
        </w:rPr>
        <w:t>prior to the second outage</w:t>
      </w:r>
      <w:r w:rsidR="000734BC">
        <w:rPr>
          <w:color w:val="000000"/>
          <w:spacing w:val="-2"/>
        </w:rPr>
        <w:t>.</w:t>
      </w:r>
      <w:r w:rsidR="000734BC">
        <w:rPr>
          <w:rStyle w:val="FootnoteReference"/>
          <w:color w:val="000000"/>
          <w:spacing w:val="-2"/>
        </w:rPr>
        <w:footnoteReference w:id="7"/>
      </w:r>
      <w:r w:rsidR="00350320">
        <w:rPr>
          <w:color w:val="000000"/>
          <w:spacing w:val="-2"/>
        </w:rPr>
        <w:t xml:space="preserve">  </w:t>
      </w:r>
    </w:p>
    <w:p w14:paraId="009C0D87" w14:textId="77777777" w:rsidR="00DE5386" w:rsidRPr="002A7814" w:rsidRDefault="00DE5386" w:rsidP="008E5F5B">
      <w:pPr>
        <w:numPr>
          <w:ilvl w:val="0"/>
          <w:numId w:val="3"/>
        </w:numPr>
        <w:tabs>
          <w:tab w:val="clear" w:pos="1080"/>
          <w:tab w:val="num" w:pos="450"/>
        </w:tabs>
        <w:suppressAutoHyphens/>
        <w:autoSpaceDE w:val="0"/>
        <w:autoSpaceDN w:val="0"/>
        <w:adjustRightInd w:val="0"/>
        <w:spacing w:after="120"/>
        <w:ind w:left="0" w:firstLine="0"/>
        <w:rPr>
          <w:b/>
          <w:color w:val="000000"/>
          <w:spacing w:val="-2"/>
        </w:rPr>
      </w:pPr>
      <w:r w:rsidRPr="002A7814">
        <w:rPr>
          <w:b/>
          <w:color w:val="000000"/>
          <w:spacing w:val="-2"/>
        </w:rPr>
        <w:tab/>
        <w:t>DISCUSSION</w:t>
      </w:r>
    </w:p>
    <w:p w14:paraId="7DBF9C33" w14:textId="538AB525" w:rsidR="001C0059" w:rsidRDefault="001C0059" w:rsidP="008E5F5B">
      <w:pPr>
        <w:numPr>
          <w:ilvl w:val="0"/>
          <w:numId w:val="1"/>
        </w:numPr>
        <w:tabs>
          <w:tab w:val="clear" w:pos="1080"/>
          <w:tab w:val="num" w:pos="1440"/>
          <w:tab w:val="left" w:pos="4680"/>
          <w:tab w:val="left" w:pos="5760"/>
        </w:tabs>
        <w:autoSpaceDE w:val="0"/>
        <w:autoSpaceDN w:val="0"/>
        <w:adjustRightInd w:val="0"/>
        <w:spacing w:after="120"/>
        <w:rPr>
          <w:color w:val="000000"/>
          <w:spacing w:val="-2"/>
        </w:rPr>
      </w:pPr>
      <w:r w:rsidRPr="002A7814">
        <w:rPr>
          <w:color w:val="000000"/>
          <w:spacing w:val="-2"/>
        </w:rPr>
        <w:t>The proposed forfeiture amount in this case was assessed in accordance with Section 503(b) of the Act,</w:t>
      </w:r>
      <w:r w:rsidRPr="008E5F5B">
        <w:rPr>
          <w:rStyle w:val="FootnoteReference"/>
          <w:color w:val="000000"/>
          <w:spacing w:val="-2"/>
        </w:rPr>
        <w:footnoteReference w:id="8"/>
      </w:r>
      <w:r w:rsidRPr="002A7814">
        <w:rPr>
          <w:color w:val="000000"/>
          <w:spacing w:val="-2"/>
        </w:rPr>
        <w:t xml:space="preserve"> Section 1.80 of the Rules,</w:t>
      </w:r>
      <w:r w:rsidRPr="008E5F5B">
        <w:rPr>
          <w:rStyle w:val="FootnoteReference"/>
          <w:color w:val="000000"/>
          <w:spacing w:val="-2"/>
        </w:rPr>
        <w:footnoteReference w:id="9"/>
      </w:r>
      <w:r w:rsidRPr="002A7814">
        <w:rPr>
          <w:color w:val="000000"/>
          <w:spacing w:val="-2"/>
        </w:rPr>
        <w:t xml:space="preserve"> and the </w:t>
      </w:r>
      <w:r w:rsidRPr="00D94C13">
        <w:rPr>
          <w:i/>
          <w:color w:val="000000"/>
          <w:spacing w:val="-2"/>
        </w:rPr>
        <w:t>Forfeiture Policy Statement</w:t>
      </w:r>
      <w:r w:rsidRPr="002A7814">
        <w:rPr>
          <w:color w:val="000000"/>
          <w:spacing w:val="-2"/>
        </w:rPr>
        <w:t>.</w:t>
      </w:r>
      <w:r w:rsidRPr="008E5F5B">
        <w:rPr>
          <w:rStyle w:val="FootnoteReference"/>
          <w:color w:val="000000"/>
          <w:spacing w:val="-2"/>
        </w:rPr>
        <w:footnoteReference w:id="10"/>
      </w:r>
      <w:r w:rsidRPr="008E5F5B">
        <w:rPr>
          <w:color w:val="000000"/>
          <w:spacing w:val="-2"/>
          <w:sz w:val="20"/>
        </w:rPr>
        <w:t xml:space="preserve"> </w:t>
      </w:r>
      <w:r w:rsidRPr="002A7814">
        <w:rPr>
          <w:color w:val="000000"/>
          <w:spacing w:val="-2"/>
        </w:rPr>
        <w:t xml:space="preserve"> In examining </w:t>
      </w:r>
      <w:r w:rsidR="000A44DB">
        <w:rPr>
          <w:color w:val="000000"/>
          <w:spacing w:val="-2"/>
        </w:rPr>
        <w:t>Kemp</w:t>
      </w:r>
      <w:r w:rsidR="00B8444B">
        <w:rPr>
          <w:color w:val="000000"/>
          <w:spacing w:val="-2"/>
        </w:rPr>
        <w:t>’s</w:t>
      </w:r>
      <w:r w:rsidRPr="002A7814">
        <w:rPr>
          <w:color w:val="000000"/>
          <w:spacing w:val="-2"/>
        </w:rPr>
        <w:t xml:space="preserve"> </w:t>
      </w:r>
      <w:r>
        <w:rPr>
          <w:i/>
          <w:color w:val="000000"/>
          <w:spacing w:val="-2"/>
        </w:rPr>
        <w:t>NAL R</w:t>
      </w:r>
      <w:r w:rsidRPr="00DC2EFE">
        <w:rPr>
          <w:i/>
          <w:color w:val="000000"/>
          <w:spacing w:val="-2"/>
        </w:rPr>
        <w:t>esponse</w:t>
      </w:r>
      <w:r w:rsidRPr="002A7814">
        <w:rPr>
          <w:color w:val="000000"/>
          <w:spacing w:val="-2"/>
        </w:rPr>
        <w:t>, Section 503(b)(2)(E) of the Act requires that the Commission take into account the nature, circumstances, extent, and gravity of the violation and, with respect to the violator, the degree of culpability, any history of prior offenses, ability to pay, and other such matters as justice may require.</w:t>
      </w:r>
      <w:r w:rsidRPr="008E5F5B">
        <w:rPr>
          <w:rStyle w:val="FootnoteReference"/>
          <w:color w:val="000000"/>
          <w:spacing w:val="-2"/>
        </w:rPr>
        <w:footnoteReference w:id="11"/>
      </w:r>
      <w:r w:rsidR="000E468A">
        <w:rPr>
          <w:color w:val="000000"/>
          <w:spacing w:val="-2"/>
        </w:rPr>
        <w:t xml:space="preserve">  As discussed below, we have fully considered </w:t>
      </w:r>
      <w:r w:rsidR="000A44DB">
        <w:rPr>
          <w:color w:val="000000"/>
          <w:spacing w:val="-2"/>
        </w:rPr>
        <w:t>Kemp</w:t>
      </w:r>
      <w:r w:rsidR="000E468A" w:rsidRPr="002A7814">
        <w:rPr>
          <w:color w:val="000000"/>
          <w:spacing w:val="-2"/>
        </w:rPr>
        <w:t>’</w:t>
      </w:r>
      <w:r w:rsidR="000E468A">
        <w:rPr>
          <w:color w:val="000000"/>
          <w:spacing w:val="-2"/>
        </w:rPr>
        <w:t>s</w:t>
      </w:r>
      <w:r w:rsidR="000E468A" w:rsidRPr="002A7814">
        <w:rPr>
          <w:color w:val="000000"/>
          <w:spacing w:val="-2"/>
        </w:rPr>
        <w:t xml:space="preserve"> </w:t>
      </w:r>
      <w:r w:rsidR="000E468A">
        <w:rPr>
          <w:i/>
          <w:color w:val="000000"/>
          <w:spacing w:val="-2"/>
        </w:rPr>
        <w:t>NAL R</w:t>
      </w:r>
      <w:r w:rsidR="000E468A" w:rsidRPr="00DC2EFE">
        <w:rPr>
          <w:i/>
          <w:color w:val="000000"/>
          <w:spacing w:val="-2"/>
        </w:rPr>
        <w:t>esponse</w:t>
      </w:r>
      <w:r w:rsidR="000E468A">
        <w:rPr>
          <w:i/>
          <w:color w:val="000000"/>
          <w:spacing w:val="-2"/>
        </w:rPr>
        <w:t xml:space="preserve"> </w:t>
      </w:r>
      <w:r w:rsidR="000E468A">
        <w:rPr>
          <w:color w:val="000000"/>
          <w:spacing w:val="-2"/>
        </w:rPr>
        <w:t xml:space="preserve">in light of these statutory factors and find that reduction of the proposed forfeiture is warranted. </w:t>
      </w:r>
      <w:r w:rsidRPr="002A7814">
        <w:rPr>
          <w:color w:val="000000"/>
          <w:spacing w:val="-2"/>
        </w:rPr>
        <w:t xml:space="preserve">  </w:t>
      </w:r>
    </w:p>
    <w:p w14:paraId="7083B988" w14:textId="24A7F327" w:rsidR="00303D61" w:rsidRDefault="000A44DB" w:rsidP="00303D61">
      <w:pPr>
        <w:numPr>
          <w:ilvl w:val="0"/>
          <w:numId w:val="1"/>
        </w:numPr>
        <w:tabs>
          <w:tab w:val="clear" w:pos="1080"/>
          <w:tab w:val="num" w:pos="1440"/>
          <w:tab w:val="left" w:pos="4680"/>
          <w:tab w:val="left" w:pos="5760"/>
        </w:tabs>
        <w:autoSpaceDE w:val="0"/>
        <w:autoSpaceDN w:val="0"/>
        <w:adjustRightInd w:val="0"/>
        <w:spacing w:after="120"/>
      </w:pPr>
      <w:r>
        <w:rPr>
          <w:color w:val="000000"/>
          <w:spacing w:val="-2"/>
        </w:rPr>
        <w:t>Kemp</w:t>
      </w:r>
      <w:r w:rsidR="00B175EB">
        <w:rPr>
          <w:color w:val="000000"/>
          <w:spacing w:val="-2"/>
        </w:rPr>
        <w:t xml:space="preserve"> does not deny any of the facts in the </w:t>
      </w:r>
      <w:r w:rsidR="00B175EB">
        <w:rPr>
          <w:i/>
          <w:color w:val="000000"/>
          <w:spacing w:val="-2"/>
        </w:rPr>
        <w:t>NAL</w:t>
      </w:r>
      <w:r w:rsidR="000E468A">
        <w:rPr>
          <w:color w:val="000000"/>
          <w:spacing w:val="-2"/>
        </w:rPr>
        <w:t xml:space="preserve"> and </w:t>
      </w:r>
      <w:r w:rsidR="00B175EB">
        <w:rPr>
          <w:color w:val="000000"/>
        </w:rPr>
        <w:t>w</w:t>
      </w:r>
      <w:r w:rsidR="00B175EB" w:rsidRPr="00F07DF9">
        <w:rPr>
          <w:color w:val="000000"/>
        </w:rPr>
        <w:t xml:space="preserve">e </w:t>
      </w:r>
      <w:r w:rsidR="000E468A">
        <w:rPr>
          <w:color w:val="000000"/>
        </w:rPr>
        <w:t xml:space="preserve">therefore </w:t>
      </w:r>
      <w:r w:rsidR="00B175EB" w:rsidRPr="00F07DF9">
        <w:rPr>
          <w:color w:val="000000"/>
        </w:rPr>
        <w:t xml:space="preserve">affirm the </w:t>
      </w:r>
      <w:r w:rsidR="00B175EB" w:rsidRPr="00745774">
        <w:rPr>
          <w:i/>
          <w:color w:val="000000"/>
        </w:rPr>
        <w:t>NAL</w:t>
      </w:r>
      <w:r w:rsidR="00B175EB" w:rsidRPr="00F07DF9">
        <w:rPr>
          <w:color w:val="000000"/>
        </w:rPr>
        <w:t>’s finding</w:t>
      </w:r>
      <w:r w:rsidR="00B175EB">
        <w:rPr>
          <w:color w:val="000000"/>
        </w:rPr>
        <w:t>s</w:t>
      </w:r>
      <w:r w:rsidR="00B175EB" w:rsidRPr="00F07DF9">
        <w:rPr>
          <w:color w:val="000000"/>
        </w:rPr>
        <w:t xml:space="preserve"> that</w:t>
      </w:r>
      <w:r w:rsidR="00B175EB">
        <w:rPr>
          <w:color w:val="000000"/>
        </w:rPr>
        <w:t xml:space="preserve"> </w:t>
      </w:r>
      <w:r>
        <w:rPr>
          <w:color w:val="000000"/>
        </w:rPr>
        <w:t>Kemp</w:t>
      </w:r>
      <w:r w:rsidR="000D7AF2">
        <w:rPr>
          <w:color w:val="000000"/>
        </w:rPr>
        <w:t xml:space="preserve"> willfully and repeatedly</w:t>
      </w:r>
      <w:r w:rsidR="00B8444B">
        <w:rPr>
          <w:color w:val="000000"/>
        </w:rPr>
        <w:t xml:space="preserve"> </w:t>
      </w:r>
      <w:r w:rsidR="00B175EB" w:rsidRPr="00F07DF9">
        <w:rPr>
          <w:color w:val="000000"/>
        </w:rPr>
        <w:t xml:space="preserve">violated </w:t>
      </w:r>
      <w:r w:rsidR="00430434" w:rsidRPr="00430434">
        <w:rPr>
          <w:color w:val="000000"/>
        </w:rPr>
        <w:t>Section 303(q) of the Act and Sections 17.47</w:t>
      </w:r>
      <w:r w:rsidR="00A1027A">
        <w:rPr>
          <w:color w:val="000000"/>
        </w:rPr>
        <w:t>(a)</w:t>
      </w:r>
      <w:r w:rsidR="00430434" w:rsidRPr="00430434">
        <w:rPr>
          <w:color w:val="000000"/>
        </w:rPr>
        <w:t>, 17.48</w:t>
      </w:r>
      <w:r w:rsidR="00A1027A">
        <w:rPr>
          <w:color w:val="000000"/>
        </w:rPr>
        <w:t>(a)</w:t>
      </w:r>
      <w:r w:rsidR="00430434" w:rsidRPr="00430434">
        <w:rPr>
          <w:color w:val="000000"/>
        </w:rPr>
        <w:t>, and 17.51(b) of the Rules</w:t>
      </w:r>
      <w:r w:rsidR="001E38F2">
        <w:rPr>
          <w:color w:val="000000"/>
        </w:rPr>
        <w:t xml:space="preserve"> by </w:t>
      </w:r>
      <w:r w:rsidR="00A1027A">
        <w:rPr>
          <w:color w:val="000000"/>
        </w:rPr>
        <w:t xml:space="preserve">failing </w:t>
      </w:r>
      <w:r w:rsidR="00A1027A" w:rsidRPr="00391E6F">
        <w:rPr>
          <w:color w:val="000000"/>
          <w:spacing w:val="-2"/>
        </w:rPr>
        <w:t xml:space="preserve">to monitor the Antenna </w:t>
      </w:r>
      <w:r w:rsidR="00A1027A">
        <w:rPr>
          <w:color w:val="000000"/>
          <w:spacing w:val="-2"/>
        </w:rPr>
        <w:t xml:space="preserve">Structure’s </w:t>
      </w:r>
      <w:r w:rsidR="00A1027A" w:rsidRPr="009A3B4C">
        <w:rPr>
          <w:color w:val="000000"/>
          <w:spacing w:val="-2"/>
        </w:rPr>
        <w:t>obstruction lighting on a daily basis</w:t>
      </w:r>
      <w:r w:rsidR="00A1027A" w:rsidRPr="00391E6F">
        <w:rPr>
          <w:color w:val="000000"/>
          <w:spacing w:val="-2"/>
        </w:rPr>
        <w:t xml:space="preserve"> or maintain a functioning alarm system, </w:t>
      </w:r>
      <w:r w:rsidR="00A1027A" w:rsidRPr="009A3B4C">
        <w:rPr>
          <w:color w:val="000000"/>
          <w:spacing w:val="-2"/>
        </w:rPr>
        <w:t>exhibit required daytime medium intensi</w:t>
      </w:r>
      <w:r w:rsidR="00A1027A">
        <w:rPr>
          <w:color w:val="000000"/>
          <w:spacing w:val="-2"/>
        </w:rPr>
        <w:t xml:space="preserve">ty obstruction lighting, and </w:t>
      </w:r>
      <w:r w:rsidR="00A1027A" w:rsidRPr="00391E6F">
        <w:rPr>
          <w:color w:val="000000"/>
          <w:spacing w:val="-2"/>
        </w:rPr>
        <w:t xml:space="preserve">notify the FAA of </w:t>
      </w:r>
      <w:r w:rsidR="00A1027A" w:rsidRPr="009A3B4C">
        <w:rPr>
          <w:color w:val="000000"/>
          <w:spacing w:val="-2"/>
        </w:rPr>
        <w:t>known</w:t>
      </w:r>
      <w:r w:rsidR="00A1027A" w:rsidRPr="00391E6F">
        <w:rPr>
          <w:color w:val="000000"/>
          <w:spacing w:val="-2"/>
        </w:rPr>
        <w:t xml:space="preserve"> lighting </w:t>
      </w:r>
      <w:r w:rsidR="00A1027A" w:rsidRPr="009A3B4C">
        <w:rPr>
          <w:color w:val="000000"/>
          <w:spacing w:val="-2"/>
        </w:rPr>
        <w:t>outage</w:t>
      </w:r>
      <w:r w:rsidR="00A1027A">
        <w:rPr>
          <w:color w:val="000000"/>
          <w:spacing w:val="-2"/>
        </w:rPr>
        <w:t xml:space="preserve">s </w:t>
      </w:r>
      <w:r w:rsidR="00A1027A" w:rsidRPr="00391E6F">
        <w:rPr>
          <w:color w:val="000000"/>
          <w:spacing w:val="-2"/>
        </w:rPr>
        <w:t>on the Antenna Structure</w:t>
      </w:r>
      <w:r w:rsidR="00430434" w:rsidRPr="00430434">
        <w:rPr>
          <w:color w:val="000000"/>
        </w:rPr>
        <w:t>.</w:t>
      </w:r>
      <w:r w:rsidR="00B175EB" w:rsidRPr="00F07DF9">
        <w:rPr>
          <w:rStyle w:val="FootnoteReference"/>
          <w:color w:val="000000"/>
          <w:sz w:val="22"/>
        </w:rPr>
        <w:footnoteReference w:id="12"/>
      </w:r>
      <w:r w:rsidR="00B175EB" w:rsidRPr="00F07DF9">
        <w:rPr>
          <w:color w:val="000000"/>
        </w:rPr>
        <w:t xml:space="preserve">  </w:t>
      </w:r>
      <w:r w:rsidR="00DE5386" w:rsidRPr="00B175EB">
        <w:rPr>
          <w:color w:val="000000"/>
        </w:rPr>
        <w:t xml:space="preserve">In </w:t>
      </w:r>
      <w:r w:rsidR="00855EC9" w:rsidRPr="00B175EB">
        <w:rPr>
          <w:color w:val="000000"/>
        </w:rPr>
        <w:t>its</w:t>
      </w:r>
      <w:r w:rsidR="00DE5386" w:rsidRPr="00B175EB">
        <w:rPr>
          <w:color w:val="000000"/>
        </w:rPr>
        <w:t xml:space="preserve"> </w:t>
      </w:r>
      <w:r w:rsidR="00DE5386" w:rsidRPr="00B175EB">
        <w:rPr>
          <w:i/>
          <w:color w:val="000000"/>
        </w:rPr>
        <w:t>NAL</w:t>
      </w:r>
      <w:r w:rsidR="00855EC9" w:rsidRPr="00B175EB">
        <w:rPr>
          <w:i/>
          <w:color w:val="000000"/>
        </w:rPr>
        <w:t xml:space="preserve"> Response</w:t>
      </w:r>
      <w:r w:rsidR="0061124B" w:rsidRPr="00B175EB">
        <w:rPr>
          <w:color w:val="000000"/>
        </w:rPr>
        <w:t xml:space="preserve">, </w:t>
      </w:r>
      <w:r>
        <w:rPr>
          <w:color w:val="000000"/>
        </w:rPr>
        <w:t>Kemp</w:t>
      </w:r>
      <w:r w:rsidR="00430434">
        <w:rPr>
          <w:color w:val="000000"/>
        </w:rPr>
        <w:t xml:space="preserve"> </w:t>
      </w:r>
      <w:r w:rsidR="00DE5386" w:rsidRPr="00B175EB">
        <w:rPr>
          <w:color w:val="000000"/>
        </w:rPr>
        <w:t xml:space="preserve">requests </w:t>
      </w:r>
      <w:r w:rsidR="00430434">
        <w:rPr>
          <w:color w:val="000000"/>
        </w:rPr>
        <w:t>re</w:t>
      </w:r>
      <w:r w:rsidR="000E468A">
        <w:rPr>
          <w:color w:val="000000"/>
        </w:rPr>
        <w:t xml:space="preserve">duction </w:t>
      </w:r>
      <w:r w:rsidR="00A1027A">
        <w:rPr>
          <w:color w:val="000000"/>
        </w:rPr>
        <w:t xml:space="preserve">or cancellation </w:t>
      </w:r>
      <w:r w:rsidR="000E468A">
        <w:rPr>
          <w:color w:val="000000"/>
        </w:rPr>
        <w:t xml:space="preserve">of the </w:t>
      </w:r>
      <w:r w:rsidR="00855EC9" w:rsidRPr="00B175EB">
        <w:rPr>
          <w:color w:val="000000"/>
        </w:rPr>
        <w:t xml:space="preserve">proposed </w:t>
      </w:r>
      <w:r w:rsidR="00DE5386" w:rsidRPr="00B175EB">
        <w:rPr>
          <w:color w:val="000000"/>
        </w:rPr>
        <w:t>forfeiture</w:t>
      </w:r>
      <w:r w:rsidR="00430434">
        <w:rPr>
          <w:color w:val="000000"/>
        </w:rPr>
        <w:t xml:space="preserve">, arguing that it </w:t>
      </w:r>
      <w:r w:rsidR="00B729B7">
        <w:rPr>
          <w:color w:val="000000"/>
        </w:rPr>
        <w:t xml:space="preserve">promptly took steps to repair the lighting system after receipt of the </w:t>
      </w:r>
      <w:r w:rsidR="00B729B7">
        <w:rPr>
          <w:i/>
          <w:color w:val="000000"/>
        </w:rPr>
        <w:t xml:space="preserve">NOV </w:t>
      </w:r>
      <w:r w:rsidR="00B729B7">
        <w:rPr>
          <w:color w:val="000000"/>
        </w:rPr>
        <w:t>from the Los Angeles Office</w:t>
      </w:r>
      <w:r w:rsidR="00E01A32">
        <w:t>.</w:t>
      </w:r>
      <w:r w:rsidR="00E01A32">
        <w:rPr>
          <w:rStyle w:val="FootnoteReference"/>
        </w:rPr>
        <w:footnoteReference w:id="13"/>
      </w:r>
      <w:r w:rsidR="00E01A32">
        <w:t xml:space="preserve">  </w:t>
      </w:r>
      <w:r w:rsidR="00430434" w:rsidRPr="00430434">
        <w:t xml:space="preserve">While the Commission will generally reduce an assessed forfeiture based on the good faith corrective efforts of a violator, those corrective efforts must be taken </w:t>
      </w:r>
      <w:r w:rsidR="00430434" w:rsidRPr="00430434">
        <w:rPr>
          <w:i/>
        </w:rPr>
        <w:t xml:space="preserve">prior </w:t>
      </w:r>
      <w:r w:rsidR="00430434" w:rsidRPr="00430434">
        <w:t>to notification of the violation.</w:t>
      </w:r>
      <w:r w:rsidR="00430434" w:rsidRPr="00430434">
        <w:rPr>
          <w:vertAlign w:val="superscript"/>
        </w:rPr>
        <w:footnoteReference w:id="14"/>
      </w:r>
      <w:r w:rsidR="00430434" w:rsidRPr="00430434">
        <w:t xml:space="preserve">  As the Commission has repeatedly stated, “corrective action taken to come into compliance with Commission rules or policy is expected, and does not nullify or mitigate any prior forfeitures or violations.</w:t>
      </w:r>
      <w:bookmarkStart w:id="1" w:name="FN[FN8]"/>
      <w:bookmarkEnd w:id="1"/>
      <w:r w:rsidR="00430434" w:rsidRPr="00430434">
        <w:t>”</w:t>
      </w:r>
      <w:r w:rsidR="00430434" w:rsidRPr="00430434">
        <w:rPr>
          <w:vertAlign w:val="superscript"/>
        </w:rPr>
        <w:footnoteReference w:id="15"/>
      </w:r>
      <w:r w:rsidR="00430434" w:rsidRPr="00430434">
        <w:t xml:space="preserve">  Consequently, we have reduced </w:t>
      </w:r>
      <w:r w:rsidR="00430434" w:rsidRPr="00430434">
        <w:lastRenderedPageBreak/>
        <w:t>proposed forfeitures when a licensee demonstrates that it contracted to resolve a violation prior to inspection.</w:t>
      </w:r>
      <w:r w:rsidR="00430434" w:rsidRPr="00430434">
        <w:rPr>
          <w:vertAlign w:val="superscript"/>
        </w:rPr>
        <w:footnoteReference w:id="16"/>
      </w:r>
      <w:r w:rsidR="00430434" w:rsidRPr="00430434">
        <w:t xml:space="preserve">  </w:t>
      </w:r>
      <w:r w:rsidR="00B729B7">
        <w:t>Kemp</w:t>
      </w:r>
      <w:r w:rsidR="00430434" w:rsidRPr="00430434">
        <w:t xml:space="preserve"> has presented no evidence that it </w:t>
      </w:r>
      <w:r w:rsidR="00B729B7">
        <w:t xml:space="preserve">took steps to </w:t>
      </w:r>
      <w:r w:rsidR="001E38F2">
        <w:t xml:space="preserve">repair </w:t>
      </w:r>
      <w:r w:rsidR="00755B39">
        <w:t xml:space="preserve">the </w:t>
      </w:r>
      <w:r w:rsidR="001E38F2">
        <w:t xml:space="preserve">lighting </w:t>
      </w:r>
      <w:r w:rsidR="00B729B7">
        <w:t>on the Antenna Structure</w:t>
      </w:r>
      <w:r w:rsidR="001E38F2">
        <w:t xml:space="preserve"> pr</w:t>
      </w:r>
      <w:r w:rsidR="00430434" w:rsidRPr="00430434">
        <w:t xml:space="preserve">ior </w:t>
      </w:r>
      <w:r w:rsidR="00664B43">
        <w:t xml:space="preserve">to </w:t>
      </w:r>
      <w:r w:rsidR="00B729B7">
        <w:t xml:space="preserve">receiving the </w:t>
      </w:r>
      <w:r w:rsidR="00B729B7">
        <w:rPr>
          <w:i/>
        </w:rPr>
        <w:t xml:space="preserve">NOV </w:t>
      </w:r>
      <w:r w:rsidR="00B729B7">
        <w:t>from the Los Angeles</w:t>
      </w:r>
      <w:r w:rsidR="00430434" w:rsidRPr="00430434">
        <w:t xml:space="preserve"> Office</w:t>
      </w:r>
      <w:r w:rsidR="00B729B7">
        <w:t>.</w:t>
      </w:r>
      <w:r w:rsidR="00303D61">
        <w:t xml:space="preserve">  We therefore find that no forfeiture reduction is warranted for the initial outage at the Antenna Structure.  However, </w:t>
      </w:r>
      <w:r w:rsidR="00FF42D5">
        <w:t>Kemp provide</w:t>
      </w:r>
      <w:r w:rsidR="001B4915">
        <w:t>s</w:t>
      </w:r>
      <w:r w:rsidR="00FF42D5">
        <w:t xml:space="preserve"> evidence that it </w:t>
      </w:r>
      <w:r w:rsidR="001B4915">
        <w:t xml:space="preserve">engaged contractors and expended funds to correct the </w:t>
      </w:r>
      <w:r w:rsidR="004E175C">
        <w:t xml:space="preserve">Antenna Structure’s </w:t>
      </w:r>
      <w:r w:rsidR="001B4915">
        <w:t>lighting and alarm s</w:t>
      </w:r>
      <w:r w:rsidR="004E175C">
        <w:t>ystems</w:t>
      </w:r>
      <w:r w:rsidR="001B4915">
        <w:t xml:space="preserve"> immediately after receiving the </w:t>
      </w:r>
      <w:r w:rsidR="001B4915" w:rsidRPr="00303D61">
        <w:rPr>
          <w:i/>
        </w:rPr>
        <w:t>NOV</w:t>
      </w:r>
      <w:r w:rsidR="001B4915">
        <w:t xml:space="preserve"> and that those efforts were ongoing wh</w:t>
      </w:r>
      <w:r w:rsidR="004E175C">
        <w:t>en the September 2013 outage</w:t>
      </w:r>
      <w:r w:rsidR="001B4915">
        <w:t xml:space="preserve"> occurred.  While this new evidence </w:t>
      </w:r>
      <w:r w:rsidR="004E175C">
        <w:t xml:space="preserve">does </w:t>
      </w:r>
      <w:r w:rsidR="004E175C">
        <w:rPr>
          <w:color w:val="000000"/>
          <w:spacing w:val="-2"/>
        </w:rPr>
        <w:t>not excuse the violations or warrant cancellation of the forfeiture</w:t>
      </w:r>
      <w:r w:rsidR="004E175C">
        <w:t xml:space="preserve">, we </w:t>
      </w:r>
      <w:r w:rsidR="001B4915">
        <w:t>reduce the proposed forfeiture to $10,000</w:t>
      </w:r>
      <w:r w:rsidR="004E175C">
        <w:t xml:space="preserve"> in light of </w:t>
      </w:r>
      <w:r w:rsidR="004E175C">
        <w:rPr>
          <w:color w:val="000000"/>
          <w:spacing w:val="-2"/>
        </w:rPr>
        <w:t>Kemp’s good faith efforts to come into compliance with the Commission’s rules</w:t>
      </w:r>
      <w:r w:rsidR="001B4915">
        <w:t xml:space="preserve">.  </w:t>
      </w:r>
    </w:p>
    <w:p w14:paraId="0CA2D45F" w14:textId="2165C069" w:rsidR="00ED704F" w:rsidRDefault="001B4915" w:rsidP="00391E6F">
      <w:pPr>
        <w:numPr>
          <w:ilvl w:val="0"/>
          <w:numId w:val="1"/>
        </w:numPr>
        <w:tabs>
          <w:tab w:val="clear" w:pos="1080"/>
          <w:tab w:val="num" w:pos="1440"/>
          <w:tab w:val="left" w:pos="4680"/>
          <w:tab w:val="left" w:pos="5760"/>
        </w:tabs>
        <w:autoSpaceDE w:val="0"/>
        <w:autoSpaceDN w:val="0"/>
        <w:adjustRightInd w:val="0"/>
        <w:spacing w:after="120"/>
      </w:pPr>
      <w:r>
        <w:t xml:space="preserve">We also note that Kemp had a history of compliance at the time of the </w:t>
      </w:r>
      <w:r w:rsidR="004E175C">
        <w:t xml:space="preserve">initial </w:t>
      </w:r>
      <w:r>
        <w:t>inspection</w:t>
      </w:r>
      <w:r w:rsidR="004E175C">
        <w:t xml:space="preserve"> of the Antenna Structure</w:t>
      </w:r>
      <w:r>
        <w:t>.</w:t>
      </w:r>
      <w:r>
        <w:rPr>
          <w:rStyle w:val="FootnoteReference"/>
        </w:rPr>
        <w:footnoteReference w:id="17"/>
      </w:r>
      <w:r>
        <w:t xml:space="preserve">  </w:t>
      </w:r>
      <w:r w:rsidR="0000158E" w:rsidRPr="0000158E">
        <w:t>Therefore, after consideration of the entire record and the factors listed above, we find that a forfeiture in the amount of $</w:t>
      </w:r>
      <w:r w:rsidR="00B75495">
        <w:t>8</w:t>
      </w:r>
      <w:r w:rsidR="0000158E" w:rsidRPr="0000158E">
        <w:t>,000 is warranted.</w:t>
      </w:r>
      <w:r w:rsidR="004E175C">
        <w:rPr>
          <w:rStyle w:val="FootnoteReference"/>
        </w:rPr>
        <w:footnoteReference w:id="18"/>
      </w:r>
    </w:p>
    <w:p w14:paraId="5DB9F3B0" w14:textId="77777777" w:rsidR="00DE5386" w:rsidRPr="00624567" w:rsidRDefault="00DE5386" w:rsidP="008E5F5B">
      <w:pPr>
        <w:numPr>
          <w:ilvl w:val="0"/>
          <w:numId w:val="3"/>
        </w:numPr>
        <w:tabs>
          <w:tab w:val="clear" w:pos="1080"/>
          <w:tab w:val="num" w:pos="450"/>
        </w:tabs>
        <w:suppressAutoHyphens/>
        <w:autoSpaceDE w:val="0"/>
        <w:autoSpaceDN w:val="0"/>
        <w:adjustRightInd w:val="0"/>
        <w:spacing w:after="120"/>
        <w:ind w:left="0" w:firstLine="0"/>
        <w:rPr>
          <w:b/>
          <w:color w:val="000000"/>
          <w:spacing w:val="-2"/>
        </w:rPr>
      </w:pPr>
      <w:bookmarkStart w:id="2" w:name="_Toc70235218"/>
      <w:r w:rsidRPr="00624567">
        <w:rPr>
          <w:b/>
          <w:color w:val="000000"/>
          <w:spacing w:val="-2"/>
        </w:rPr>
        <w:tab/>
        <w:t>ORDERING CLAUSES</w:t>
      </w:r>
      <w:bookmarkEnd w:id="2"/>
    </w:p>
    <w:p w14:paraId="7EF43ACE" w14:textId="57933A7C" w:rsidR="0066702C" w:rsidRDefault="00DE5386" w:rsidP="0066702C">
      <w:pPr>
        <w:numPr>
          <w:ilvl w:val="0"/>
          <w:numId w:val="1"/>
        </w:numPr>
        <w:tabs>
          <w:tab w:val="clear" w:pos="1080"/>
          <w:tab w:val="left" w:pos="0"/>
        </w:tabs>
        <w:suppressAutoHyphens/>
        <w:autoSpaceDE w:val="0"/>
        <w:autoSpaceDN w:val="0"/>
        <w:adjustRightInd w:val="0"/>
        <w:spacing w:after="120"/>
        <w:rPr>
          <w:color w:val="000000"/>
          <w:spacing w:val="-2"/>
        </w:rPr>
      </w:pPr>
      <w:r w:rsidRPr="00624567">
        <w:rPr>
          <w:color w:val="000000"/>
          <w:spacing w:val="-2"/>
        </w:rPr>
        <w:t xml:space="preserve">Accordingly, </w:t>
      </w:r>
      <w:r w:rsidRPr="00624567">
        <w:rPr>
          <w:b/>
          <w:color w:val="000000"/>
          <w:spacing w:val="-2"/>
        </w:rPr>
        <w:t>IT IS ORDERED</w:t>
      </w:r>
      <w:r w:rsidRPr="00624567">
        <w:rPr>
          <w:color w:val="000000"/>
          <w:spacing w:val="-2"/>
        </w:rPr>
        <w:t xml:space="preserve"> that, pursuant t</w:t>
      </w:r>
      <w:r w:rsidR="00D471D6">
        <w:rPr>
          <w:color w:val="000000"/>
          <w:spacing w:val="-2"/>
        </w:rPr>
        <w:t xml:space="preserve">o Section 503(b) of the Act </w:t>
      </w:r>
      <w:r w:rsidRPr="00624567">
        <w:rPr>
          <w:color w:val="000000"/>
          <w:spacing w:val="-2"/>
        </w:rPr>
        <w:t>and Sections 0.111, 0.204, 0.311, 0.314, and 1.80</w:t>
      </w:r>
      <w:r w:rsidR="00D471D6">
        <w:rPr>
          <w:color w:val="000000"/>
          <w:spacing w:val="-2"/>
        </w:rPr>
        <w:t>(f)(4) of the Rules</w:t>
      </w:r>
      <w:r w:rsidRPr="00624567">
        <w:rPr>
          <w:color w:val="000000"/>
          <w:spacing w:val="-2"/>
        </w:rPr>
        <w:t xml:space="preserve">, </w:t>
      </w:r>
      <w:r w:rsidR="00A57496" w:rsidRPr="00A57496">
        <w:rPr>
          <w:color w:val="000000"/>
          <w:spacing w:val="-2"/>
        </w:rPr>
        <w:t>Kemp Broadcasting, Inc.</w:t>
      </w:r>
      <w:r w:rsidR="00A57496">
        <w:rPr>
          <w:color w:val="000000"/>
          <w:spacing w:val="-2"/>
        </w:rPr>
        <w:t>,</w:t>
      </w:r>
      <w:r w:rsidR="0040394E">
        <w:rPr>
          <w:spacing w:val="-2"/>
        </w:rPr>
        <w:t xml:space="preserve"> </w:t>
      </w:r>
      <w:r w:rsidRPr="00624567">
        <w:rPr>
          <w:b/>
          <w:color w:val="000000"/>
          <w:spacing w:val="-2"/>
        </w:rPr>
        <w:t>IS LIABLE FOR A MONETARY FORFEITURE</w:t>
      </w:r>
      <w:r w:rsidRPr="00624567">
        <w:rPr>
          <w:color w:val="000000"/>
          <w:spacing w:val="-2"/>
        </w:rPr>
        <w:t xml:space="preserve"> in the amount of </w:t>
      </w:r>
      <w:r w:rsidR="00B75495">
        <w:rPr>
          <w:color w:val="000000"/>
          <w:spacing w:val="-2"/>
        </w:rPr>
        <w:t>eight</w:t>
      </w:r>
      <w:r w:rsidR="0040394E">
        <w:rPr>
          <w:color w:val="000000"/>
          <w:spacing w:val="-2"/>
        </w:rPr>
        <w:t xml:space="preserve"> </w:t>
      </w:r>
      <w:r w:rsidR="00627660" w:rsidRPr="00624567">
        <w:rPr>
          <w:color w:val="000000"/>
          <w:spacing w:val="-2"/>
        </w:rPr>
        <w:t>thousand</w:t>
      </w:r>
      <w:r w:rsidRPr="00624567">
        <w:rPr>
          <w:color w:val="000000"/>
          <w:spacing w:val="-2"/>
        </w:rPr>
        <w:t xml:space="preserve"> dollars ($</w:t>
      </w:r>
      <w:r w:rsidR="00B75495">
        <w:rPr>
          <w:color w:val="000000"/>
          <w:spacing w:val="-2"/>
        </w:rPr>
        <w:t>8</w:t>
      </w:r>
      <w:r w:rsidR="005F2619">
        <w:rPr>
          <w:color w:val="000000"/>
          <w:spacing w:val="-2"/>
        </w:rPr>
        <w:t>,</w:t>
      </w:r>
      <w:r w:rsidR="0040394E">
        <w:rPr>
          <w:color w:val="000000"/>
          <w:spacing w:val="-2"/>
        </w:rPr>
        <w:t>0</w:t>
      </w:r>
      <w:r w:rsidR="00627660" w:rsidRPr="00624567">
        <w:rPr>
          <w:color w:val="000000"/>
          <w:spacing w:val="-2"/>
        </w:rPr>
        <w:t>00</w:t>
      </w:r>
      <w:r w:rsidRPr="00624567">
        <w:rPr>
          <w:color w:val="000000"/>
          <w:spacing w:val="-2"/>
        </w:rPr>
        <w:t xml:space="preserve">) for violations of </w:t>
      </w:r>
      <w:r w:rsidR="0066702C" w:rsidRPr="0066702C">
        <w:rPr>
          <w:color w:val="000000"/>
          <w:spacing w:val="-2"/>
        </w:rPr>
        <w:t>Section 303(q) of the Act and Sections 17.47</w:t>
      </w:r>
      <w:r w:rsidR="00664B43">
        <w:rPr>
          <w:color w:val="000000"/>
          <w:spacing w:val="-2"/>
        </w:rPr>
        <w:t>(a)</w:t>
      </w:r>
      <w:r w:rsidR="0066702C" w:rsidRPr="0066702C">
        <w:rPr>
          <w:color w:val="000000"/>
          <w:spacing w:val="-2"/>
        </w:rPr>
        <w:t>, 17.48</w:t>
      </w:r>
      <w:r w:rsidR="00A1027A">
        <w:rPr>
          <w:color w:val="000000"/>
          <w:spacing w:val="-2"/>
        </w:rPr>
        <w:t>(a)</w:t>
      </w:r>
      <w:r w:rsidR="0066702C" w:rsidRPr="0066702C">
        <w:rPr>
          <w:color w:val="000000"/>
          <w:spacing w:val="-2"/>
        </w:rPr>
        <w:t>, and 17.51(b) of the Rules.</w:t>
      </w:r>
      <w:r w:rsidR="0066702C" w:rsidRPr="0066702C">
        <w:rPr>
          <w:color w:val="000000"/>
          <w:spacing w:val="-2"/>
          <w:vertAlign w:val="superscript"/>
        </w:rPr>
        <w:footnoteReference w:id="19"/>
      </w:r>
    </w:p>
    <w:p w14:paraId="6E9D92D5" w14:textId="76E2C56A" w:rsidR="0066702C" w:rsidRDefault="00DE5386" w:rsidP="0066702C">
      <w:pPr>
        <w:numPr>
          <w:ilvl w:val="0"/>
          <w:numId w:val="1"/>
        </w:numPr>
        <w:tabs>
          <w:tab w:val="clear" w:pos="1080"/>
          <w:tab w:val="left" w:pos="0"/>
        </w:tabs>
        <w:suppressAutoHyphens/>
        <w:autoSpaceDE w:val="0"/>
        <w:autoSpaceDN w:val="0"/>
        <w:adjustRightInd w:val="0"/>
        <w:spacing w:after="120"/>
        <w:rPr>
          <w:color w:val="000000"/>
          <w:spacing w:val="-2"/>
        </w:rPr>
      </w:pPr>
      <w:r w:rsidRPr="0066702C">
        <w:rPr>
          <w:color w:val="000000"/>
          <w:spacing w:val="-2"/>
        </w:rPr>
        <w:t>Payment</w:t>
      </w:r>
      <w:r w:rsidRPr="0066702C">
        <w:rPr>
          <w:rFonts w:eastAsia="MS Mincho"/>
          <w:color w:val="000000"/>
          <w:spacing w:val="-2"/>
        </w:rPr>
        <w:t xml:space="preserve"> of the forfeiture shall be made in the manner provided for in Section 1.80 of the Rules within thirty (30) calendar days after the release date of this Forfeiture Order.</w:t>
      </w:r>
      <w:r w:rsidRPr="008E5F5B">
        <w:rPr>
          <w:rStyle w:val="FootnoteReference"/>
          <w:rFonts w:eastAsia="MS Mincho"/>
          <w:color w:val="000000"/>
          <w:spacing w:val="-2"/>
        </w:rPr>
        <w:footnoteReference w:id="20"/>
      </w:r>
      <w:r w:rsidRPr="0066702C">
        <w:rPr>
          <w:rFonts w:eastAsia="MS Mincho"/>
          <w:color w:val="000000"/>
          <w:spacing w:val="-2"/>
        </w:rPr>
        <w:t xml:space="preserve">  If the forfeiture is not paid within the period specified, the case may be referred to the U.S. Department of Justice for enforcement of the forfeiture pursuant to Section 504(a) of the Act.</w:t>
      </w:r>
      <w:r w:rsidRPr="008E5F5B">
        <w:rPr>
          <w:rStyle w:val="FootnoteReference"/>
          <w:rFonts w:eastAsia="MS Mincho"/>
          <w:color w:val="000000"/>
          <w:spacing w:val="-2"/>
        </w:rPr>
        <w:footnoteReference w:id="21"/>
      </w:r>
      <w:r w:rsidRPr="0066702C">
        <w:rPr>
          <w:rFonts w:eastAsia="MS Mincho"/>
          <w:color w:val="000000"/>
          <w:spacing w:val="-2"/>
        </w:rPr>
        <w:t> </w:t>
      </w:r>
      <w:r w:rsidR="005F2619" w:rsidRPr="0066702C">
        <w:rPr>
          <w:rFonts w:eastAsia="MS Mincho"/>
          <w:color w:val="000000"/>
          <w:spacing w:val="-2"/>
        </w:rPr>
        <w:t xml:space="preserve"> </w:t>
      </w:r>
      <w:r w:rsidR="00A57496" w:rsidRPr="00A57496">
        <w:rPr>
          <w:rFonts w:eastAsia="MS Mincho"/>
          <w:color w:val="000000"/>
          <w:spacing w:val="-2"/>
        </w:rPr>
        <w:t>Kemp Broadcasting, Inc.</w:t>
      </w:r>
      <w:r w:rsidR="00A57496">
        <w:rPr>
          <w:rFonts w:eastAsia="MS Mincho"/>
          <w:color w:val="000000"/>
          <w:spacing w:val="-2"/>
        </w:rPr>
        <w:t>,</w:t>
      </w:r>
      <w:r w:rsidR="0066702C" w:rsidRPr="0066702C">
        <w:rPr>
          <w:rFonts w:eastAsia="MS Mincho"/>
          <w:color w:val="000000"/>
          <w:spacing w:val="-2"/>
        </w:rPr>
        <w:t xml:space="preserve"> </w:t>
      </w:r>
      <w:r w:rsidRPr="0066702C">
        <w:rPr>
          <w:rFonts w:eastAsia="MS Mincho"/>
          <w:color w:val="000000"/>
          <w:spacing w:val="-2"/>
        </w:rPr>
        <w:t>shall send electronic notification of payment to</w:t>
      </w:r>
      <w:r w:rsidR="002A7814" w:rsidRPr="0066702C">
        <w:rPr>
          <w:rFonts w:eastAsia="MS Mincho"/>
          <w:color w:val="000000"/>
          <w:spacing w:val="-2"/>
        </w:rPr>
        <w:t xml:space="preserve"> WR</w:t>
      </w:r>
      <w:r w:rsidRPr="0066702C">
        <w:rPr>
          <w:color w:val="000000"/>
          <w:spacing w:val="-2"/>
        </w:rPr>
        <w:t>-Response@fcc.gov</w:t>
      </w:r>
      <w:r w:rsidRPr="0066702C">
        <w:rPr>
          <w:rFonts w:eastAsia="MS Mincho"/>
          <w:color w:val="000000"/>
          <w:spacing w:val="-2"/>
        </w:rPr>
        <w:t xml:space="preserve"> on the date said payment is made.</w:t>
      </w:r>
      <w:r w:rsidRPr="0066702C">
        <w:rPr>
          <w:color w:val="000000"/>
          <w:spacing w:val="-2"/>
        </w:rPr>
        <w:t xml:space="preserve">  </w:t>
      </w:r>
      <w:r w:rsidRPr="0066702C">
        <w:rPr>
          <w:rFonts w:eastAsia="MS Mincho"/>
          <w:color w:val="000000"/>
          <w:spacing w:val="-2"/>
        </w:rPr>
        <w:t>The </w:t>
      </w:r>
      <w:r w:rsidRPr="0066702C">
        <w:rPr>
          <w:color w:val="000000"/>
          <w:spacing w:val="-2"/>
        </w:rPr>
        <w:t>payment</w:t>
      </w:r>
      <w:r w:rsidRPr="0066702C">
        <w:rPr>
          <w:rFonts w:eastAsia="MS Mincho"/>
          <w:color w:val="000000"/>
          <w:spacing w:val="-2"/>
        </w:rPr>
        <w:t xml:space="preserve"> must be made by check or similar instrument, wire transfer, or credit card, an</w:t>
      </w:r>
      <w:r w:rsidR="00D471D6" w:rsidRPr="0066702C">
        <w:rPr>
          <w:rFonts w:eastAsia="MS Mincho"/>
          <w:color w:val="000000"/>
          <w:spacing w:val="-2"/>
        </w:rPr>
        <w:t>d must include the NAL/Account N</w:t>
      </w:r>
      <w:r w:rsidRPr="0066702C">
        <w:rPr>
          <w:rFonts w:eastAsia="MS Mincho"/>
          <w:color w:val="000000"/>
          <w:spacing w:val="-2"/>
        </w:rPr>
        <w:t>umber and FRN referenced above.  Regardless of the form of payment, a completed FCC Form 159 (Remittance Advice) must be submitted.</w:t>
      </w:r>
      <w:r w:rsidRPr="008E5F5B">
        <w:rPr>
          <w:rStyle w:val="FootnoteReference"/>
          <w:rFonts w:eastAsia="MS Mincho"/>
          <w:color w:val="000000"/>
          <w:spacing w:val="-2"/>
        </w:rPr>
        <w:footnoteReference w:id="22"/>
      </w:r>
      <w:r w:rsidRPr="0066702C">
        <w:rPr>
          <w:rFonts w:eastAsia="MS Mincho"/>
          <w:color w:val="000000"/>
          <w:spacing w:val="-2"/>
        </w:rPr>
        <w:t xml:space="preserve">  When completing the FCC Form 159, enter the Account Number in block number 23A (call sign/other ID) and enter the letters “FORF” in block </w:t>
      </w:r>
      <w:r w:rsidR="00D471D6" w:rsidRPr="0066702C">
        <w:rPr>
          <w:rFonts w:eastAsia="MS Mincho"/>
          <w:color w:val="000000"/>
          <w:spacing w:val="-2"/>
        </w:rPr>
        <w:t>number 24A (payment type code).</w:t>
      </w:r>
      <w:r w:rsidRPr="0066702C">
        <w:rPr>
          <w:rFonts w:eastAsia="MS Mincho"/>
          <w:color w:val="000000"/>
          <w:spacing w:val="-2"/>
        </w:rPr>
        <w:t xml:space="preserve">  </w:t>
      </w:r>
      <w:r w:rsidRPr="0066702C">
        <w:rPr>
          <w:color w:val="000000"/>
          <w:spacing w:val="-2"/>
        </w:rPr>
        <w:t>Below are additional instructions you should follow based on the form of payment you select:</w:t>
      </w:r>
    </w:p>
    <w:p w14:paraId="16C10AC4" w14:textId="77777777" w:rsidR="0066702C" w:rsidRPr="00667A0E" w:rsidRDefault="0066702C" w:rsidP="0066702C">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06C6C727" w14:textId="77777777" w:rsidR="0066702C" w:rsidRPr="00667A0E" w:rsidRDefault="0066702C" w:rsidP="0066702C">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2D2D902" w14:textId="77777777" w:rsidR="0066702C" w:rsidRPr="00667A0E" w:rsidRDefault="0066702C" w:rsidP="0066702C">
      <w:pPr>
        <w:numPr>
          <w:ilvl w:val="0"/>
          <w:numId w:val="11"/>
        </w:numPr>
        <w:tabs>
          <w:tab w:val="left" w:pos="0"/>
          <w:tab w:val="num" w:pos="2160"/>
        </w:tabs>
        <w:suppressAutoHyphens/>
        <w:autoSpaceDE w:val="0"/>
        <w:autoSpaceDN w:val="0"/>
        <w:adjustRightInd w:val="0"/>
        <w:spacing w:after="120"/>
        <w:rPr>
          <w:color w:val="000000"/>
          <w:spacing w:val="-2"/>
        </w:rPr>
      </w:pPr>
      <w:r w:rsidRPr="00667A0E">
        <w:rPr>
          <w:color w:val="000000"/>
          <w:spacing w:val="-2"/>
        </w:rPr>
        <w:t>Payment by credit card must be made by providing the required credit card information on FCC Form 159 and signing and dating the Form 159 to aut</w:t>
      </w:r>
      <w:r>
        <w:rPr>
          <w:color w:val="000000"/>
          <w:spacing w:val="-2"/>
        </w:rPr>
        <w:t>horize the credit card payment.</w:t>
      </w:r>
      <w:r w:rsidRPr="00667A0E">
        <w:rPr>
          <w:color w:val="000000"/>
          <w:spacing w:val="-2"/>
        </w:rPr>
        <w:t xml:space="preserve">  The completed Form 159 must then be mailed to Federal Communications Commission, </w:t>
      </w:r>
      <w:smartTag w:uri="urn:schemas-microsoft-com:office:smarttags" w:element="address">
        <w:smartTag w:uri="urn:schemas-microsoft-com:office:smarttags" w:element="Street">
          <w:r w:rsidRPr="00667A0E">
            <w:rPr>
              <w:color w:val="000000"/>
              <w:spacing w:val="-2"/>
            </w:rPr>
            <w:t>P.O. Box 979088</w:t>
          </w:r>
        </w:smartTag>
        <w:r w:rsidRPr="00667A0E">
          <w:rPr>
            <w:color w:val="000000"/>
            <w:spacing w:val="-2"/>
          </w:rPr>
          <w:t xml:space="preserve">, </w:t>
        </w:r>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63197-9000</w:t>
          </w:r>
        </w:smartTag>
      </w:smartTag>
      <w:r w:rsidRPr="00667A0E">
        <w:rPr>
          <w:color w:val="000000"/>
          <w:spacing w:val="-2"/>
        </w:rPr>
        <w:t xml:space="preserve">, or sent via overnight mail to U.S. Bank – Government Lockbox #979088, SL-MO-C2-GL, 1005 </w:t>
      </w:r>
      <w:smartTag w:uri="urn:schemas-microsoft-com:office:smarttags" w:element="PlaceName">
        <w:r w:rsidRPr="00667A0E">
          <w:rPr>
            <w:color w:val="000000"/>
            <w:spacing w:val="-2"/>
          </w:rPr>
          <w:t>Convention</w:t>
        </w:r>
      </w:smartTag>
      <w:r w:rsidRPr="00667A0E">
        <w:rPr>
          <w:color w:val="000000"/>
          <w:spacing w:val="-2"/>
        </w:rPr>
        <w:t xml:space="preserve"> </w:t>
      </w:r>
      <w:smartTag w:uri="urn:schemas-microsoft-com:office:smarttags" w:element="PlaceType">
        <w:r w:rsidRPr="00667A0E">
          <w:rPr>
            <w:color w:val="000000"/>
            <w:spacing w:val="-2"/>
          </w:rPr>
          <w:t>Plaza</w:t>
        </w:r>
      </w:smartTag>
      <w:r w:rsidRPr="00667A0E">
        <w:rPr>
          <w:color w:val="000000"/>
          <w:spacing w:val="-2"/>
        </w:rPr>
        <w:t xml:space="preserve">, </w:t>
      </w:r>
      <w:smartTag w:uri="urn:schemas-microsoft-com:office:smarttags" w:element="place">
        <w:smartTag w:uri="urn:schemas-microsoft-com:office:smarttags" w:element="City">
          <w:r w:rsidRPr="00667A0E">
            <w:rPr>
              <w:color w:val="000000"/>
              <w:spacing w:val="-2"/>
            </w:rPr>
            <w:t>St. Louis</w:t>
          </w:r>
        </w:smartTag>
        <w:r w:rsidRPr="00667A0E">
          <w:rPr>
            <w:color w:val="000000"/>
            <w:spacing w:val="-2"/>
          </w:rPr>
          <w:t xml:space="preserve">, </w:t>
        </w:r>
        <w:smartTag w:uri="urn:schemas-microsoft-com:office:smarttags" w:element="State">
          <w:r w:rsidRPr="00667A0E">
            <w:rPr>
              <w:color w:val="000000"/>
              <w:spacing w:val="-2"/>
            </w:rPr>
            <w:t>MO</w:t>
          </w:r>
        </w:smartTag>
        <w:r w:rsidRPr="00667A0E">
          <w:rPr>
            <w:color w:val="000000"/>
            <w:spacing w:val="-2"/>
          </w:rPr>
          <w:t xml:space="preserve"> </w:t>
        </w:r>
        <w:smartTag w:uri="urn:schemas-microsoft-com:office:smarttags" w:element="PostalCode">
          <w:r w:rsidRPr="00667A0E">
            <w:rPr>
              <w:color w:val="000000"/>
              <w:spacing w:val="-2"/>
            </w:rPr>
            <w:t>63101</w:t>
          </w:r>
        </w:smartTag>
      </w:smartTag>
      <w:r w:rsidRPr="00667A0E">
        <w:rPr>
          <w:color w:val="000000"/>
          <w:spacing w:val="-2"/>
        </w:rPr>
        <w:t xml:space="preserve">.  </w:t>
      </w:r>
    </w:p>
    <w:p w14:paraId="224250D4" w14:textId="3459AABD" w:rsidR="00306A7D" w:rsidRPr="00A57496" w:rsidRDefault="00DE5386" w:rsidP="00306A7D">
      <w:pPr>
        <w:numPr>
          <w:ilvl w:val="0"/>
          <w:numId w:val="1"/>
        </w:numPr>
        <w:tabs>
          <w:tab w:val="clear" w:pos="1080"/>
          <w:tab w:val="left" w:pos="0"/>
        </w:tabs>
        <w:suppressAutoHyphens/>
        <w:autoSpaceDE w:val="0"/>
        <w:autoSpaceDN w:val="0"/>
        <w:adjustRightInd w:val="0"/>
        <w:spacing w:after="120"/>
        <w:rPr>
          <w:b/>
          <w:color w:val="000000"/>
          <w:spacing w:val="-2"/>
        </w:rPr>
      </w:pPr>
      <w:r w:rsidRPr="00A57496">
        <w:rPr>
          <w:color w:val="000000"/>
          <w:spacing w:val="-2"/>
        </w:rPr>
        <w:t>Any</w:t>
      </w:r>
      <w:r w:rsidRPr="00A57496">
        <w:rPr>
          <w:rFonts w:eastAsia="MS Mincho"/>
          <w:color w:val="000000"/>
          <w:spacing w:val="-2"/>
        </w:rPr>
        <w:t xml:space="preserve"> request for</w:t>
      </w:r>
      <w:r w:rsidR="005B6CDE" w:rsidRPr="00A57496">
        <w:rPr>
          <w:rFonts w:eastAsia="MS Mincho"/>
          <w:color w:val="000000"/>
          <w:spacing w:val="-2"/>
        </w:rPr>
        <w:t xml:space="preserve"> making</w:t>
      </w:r>
      <w:r w:rsidRPr="00A57496">
        <w:rPr>
          <w:rFonts w:eastAsia="MS Mincho"/>
          <w:color w:val="000000"/>
          <w:spacing w:val="-2"/>
        </w:rPr>
        <w:t xml:space="preserve"> full payment</w:t>
      </w:r>
      <w:r w:rsidR="00A80EF9" w:rsidRPr="00A57496">
        <w:rPr>
          <w:rFonts w:eastAsia="MS Mincho"/>
          <w:color w:val="000000"/>
          <w:spacing w:val="-2"/>
        </w:rPr>
        <w:t xml:space="preserve"> over time</w:t>
      </w:r>
      <w:r w:rsidRPr="00A57496">
        <w:rPr>
          <w:rFonts w:eastAsia="MS Mincho"/>
          <w:color w:val="000000"/>
          <w:spacing w:val="-2"/>
        </w:rPr>
        <w:t xml:space="preserve"> under an installment plan should be sent to:  Chief Financial Officer—</w:t>
      </w:r>
      <w:r w:rsidRPr="00A57496">
        <w:rPr>
          <w:color w:val="000000"/>
          <w:spacing w:val="-2"/>
        </w:rPr>
        <w:t>Financial</w:t>
      </w:r>
      <w:r w:rsidRPr="00A57496">
        <w:rPr>
          <w:rFonts w:eastAsia="MS Mincho"/>
          <w:color w:val="000000"/>
          <w:spacing w:val="-2"/>
        </w:rPr>
        <w:t xml:space="preserve"> Operations, Federal Communications Commission, 445 12th Street, S.W., Room 1-A625, Washington, D.C.  20554.</w:t>
      </w:r>
      <w:r w:rsidRPr="008E5F5B">
        <w:rPr>
          <w:rStyle w:val="FootnoteReference"/>
          <w:rFonts w:eastAsia="MS Mincho"/>
          <w:color w:val="000000"/>
          <w:spacing w:val="-2"/>
        </w:rPr>
        <w:footnoteReference w:id="23"/>
      </w:r>
      <w:r w:rsidRPr="00A57496">
        <w:rPr>
          <w:rFonts w:eastAsia="MS Mincho"/>
          <w:color w:val="000000"/>
          <w:spacing w:val="-2"/>
        </w:rPr>
        <w:t>  If you have questions regarding payment procedures, please contact the Financial Operations Group Help Desk by phone, 1-877-480-3201, or by e</w:t>
      </w:r>
      <w:r w:rsidRPr="00A57496">
        <w:rPr>
          <w:rFonts w:eastAsia="MS Mincho"/>
          <w:color w:val="000000"/>
          <w:spacing w:val="-2"/>
        </w:rPr>
        <w:noBreakHyphen/>
        <w:t xml:space="preserve">mail, </w:t>
      </w:r>
      <w:hyperlink r:id="rId8" w:history="1">
        <w:r w:rsidRPr="00A57496">
          <w:rPr>
            <w:rStyle w:val="Hyperlink"/>
            <w:rFonts w:eastAsia="MS Mincho"/>
            <w:color w:val="000000"/>
            <w:spacing w:val="-2"/>
            <w:u w:val="none"/>
          </w:rPr>
          <w:t>ARINQUIRIES@fcc.gov</w:t>
        </w:r>
      </w:hyperlink>
      <w:r w:rsidRPr="00A57496">
        <w:rPr>
          <w:rFonts w:eastAsia="MS Mincho"/>
          <w:color w:val="000000"/>
          <w:spacing w:val="-2"/>
        </w:rPr>
        <w:t>.</w:t>
      </w:r>
    </w:p>
    <w:p w14:paraId="01C7F552" w14:textId="214907B0" w:rsidR="0066702C" w:rsidRPr="0066702C" w:rsidRDefault="00DE5386" w:rsidP="0066702C">
      <w:pPr>
        <w:numPr>
          <w:ilvl w:val="0"/>
          <w:numId w:val="1"/>
        </w:numPr>
        <w:tabs>
          <w:tab w:val="clear" w:pos="1080"/>
          <w:tab w:val="left" w:pos="0"/>
        </w:tabs>
        <w:suppressAutoHyphens/>
        <w:autoSpaceDE w:val="0"/>
        <w:autoSpaceDN w:val="0"/>
        <w:adjustRightInd w:val="0"/>
        <w:spacing w:after="120"/>
        <w:rPr>
          <w:color w:val="000000"/>
          <w:spacing w:val="-2"/>
        </w:rPr>
      </w:pPr>
      <w:r w:rsidRPr="0066702C">
        <w:rPr>
          <w:b/>
          <w:color w:val="000000"/>
          <w:spacing w:val="-2"/>
        </w:rPr>
        <w:t>IT IS FURTHER ORDERED</w:t>
      </w:r>
      <w:r w:rsidRPr="0066702C">
        <w:rPr>
          <w:color w:val="000000"/>
          <w:spacing w:val="-2"/>
        </w:rPr>
        <w:t xml:space="preserve"> that a copy of this </w:t>
      </w:r>
      <w:r w:rsidR="00835FE8" w:rsidRPr="0066702C">
        <w:rPr>
          <w:color w:val="000000"/>
          <w:spacing w:val="-2"/>
        </w:rPr>
        <w:t xml:space="preserve">Forfeiture </w:t>
      </w:r>
      <w:r w:rsidRPr="0066702C">
        <w:rPr>
          <w:color w:val="000000"/>
          <w:spacing w:val="-2"/>
        </w:rPr>
        <w:t xml:space="preserve">Order shall be sent by both First Class and Certified Mail, Return Receipt Requested, to </w:t>
      </w:r>
      <w:r w:rsidR="00A57496" w:rsidRPr="00A57496">
        <w:rPr>
          <w:color w:val="000000"/>
          <w:spacing w:val="-2"/>
        </w:rPr>
        <w:t>Kemp Broadcasting, Inc.</w:t>
      </w:r>
      <w:r w:rsidR="00A57496">
        <w:rPr>
          <w:color w:val="000000"/>
          <w:spacing w:val="-2"/>
        </w:rPr>
        <w:t>,</w:t>
      </w:r>
      <w:r w:rsidR="00A57496" w:rsidRPr="00A57496">
        <w:rPr>
          <w:color w:val="000000"/>
          <w:spacing w:val="-2"/>
        </w:rPr>
        <w:t xml:space="preserve"> 3800 Howard Hughes Parkway, 17</w:t>
      </w:r>
      <w:r w:rsidR="00A57496" w:rsidRPr="00A57496">
        <w:rPr>
          <w:color w:val="000000"/>
          <w:spacing w:val="-2"/>
          <w:vertAlign w:val="superscript"/>
        </w:rPr>
        <w:t>th</w:t>
      </w:r>
      <w:r w:rsidR="00A57496" w:rsidRPr="00A57496">
        <w:rPr>
          <w:color w:val="000000"/>
          <w:spacing w:val="-2"/>
        </w:rPr>
        <w:t xml:space="preserve"> Floor, Las Vegas, N</w:t>
      </w:r>
      <w:r w:rsidR="00730C19">
        <w:rPr>
          <w:color w:val="000000"/>
          <w:spacing w:val="-2"/>
        </w:rPr>
        <w:t xml:space="preserve">evada </w:t>
      </w:r>
      <w:r w:rsidR="00A57496" w:rsidRPr="00A57496">
        <w:rPr>
          <w:color w:val="000000"/>
          <w:spacing w:val="-2"/>
        </w:rPr>
        <w:t>89169</w:t>
      </w:r>
      <w:r w:rsidR="00A57496">
        <w:rPr>
          <w:color w:val="000000"/>
          <w:spacing w:val="-2"/>
        </w:rPr>
        <w:t>, and its attorney, James A. Koerner, Esquire, Koerner &amp; Olender, 11913 Grey Hollow Court, North Bethesda, Maryland</w:t>
      </w:r>
      <w:r w:rsidR="00730C19">
        <w:rPr>
          <w:color w:val="000000"/>
          <w:spacing w:val="-2"/>
        </w:rPr>
        <w:t xml:space="preserve"> 20852</w:t>
      </w:r>
      <w:r w:rsidR="0066702C" w:rsidRPr="0066702C">
        <w:rPr>
          <w:color w:val="000000"/>
          <w:spacing w:val="-2"/>
        </w:rPr>
        <w:t>.</w:t>
      </w:r>
    </w:p>
    <w:p w14:paraId="19F87D50" w14:textId="77777777" w:rsidR="00DE5386" w:rsidRDefault="00DE5386" w:rsidP="00A76318">
      <w:pPr>
        <w:tabs>
          <w:tab w:val="left" w:pos="0"/>
        </w:tabs>
        <w:suppressAutoHyphens/>
        <w:autoSpaceDE w:val="0"/>
        <w:autoSpaceDN w:val="0"/>
        <w:adjustRightInd w:val="0"/>
        <w:spacing w:line="240" w:lineRule="atLeast"/>
        <w:ind w:left="720"/>
        <w:rPr>
          <w:color w:val="000000"/>
          <w:spacing w:val="-2"/>
        </w:rPr>
      </w:pPr>
    </w:p>
    <w:p w14:paraId="469FCC42" w14:textId="77777777" w:rsidR="0066702C" w:rsidRDefault="0066702C" w:rsidP="00A76318">
      <w:pPr>
        <w:tabs>
          <w:tab w:val="left" w:pos="0"/>
        </w:tabs>
        <w:suppressAutoHyphens/>
        <w:autoSpaceDE w:val="0"/>
        <w:autoSpaceDN w:val="0"/>
        <w:adjustRightInd w:val="0"/>
        <w:spacing w:line="240" w:lineRule="atLeast"/>
        <w:ind w:left="720"/>
        <w:rPr>
          <w:color w:val="000000"/>
          <w:spacing w:val="-2"/>
        </w:rPr>
      </w:pPr>
    </w:p>
    <w:p w14:paraId="6CEC2094" w14:textId="77777777" w:rsidR="00DE5386" w:rsidRPr="002A7814" w:rsidRDefault="00DE5386" w:rsidP="00A76318">
      <w:pPr>
        <w:pStyle w:val="ParaNum"/>
        <w:numPr>
          <w:ilvl w:val="0"/>
          <w:numId w:val="0"/>
        </w:numPr>
        <w:spacing w:after="0"/>
        <w:ind w:left="4320"/>
        <w:rPr>
          <w:color w:val="000000"/>
          <w:spacing w:val="-2"/>
        </w:rPr>
      </w:pPr>
      <w:r w:rsidRPr="002A7814">
        <w:rPr>
          <w:color w:val="000000"/>
          <w:spacing w:val="-2"/>
        </w:rPr>
        <w:t>FEDERAL COMMUNICATIONS COMMISSION</w:t>
      </w:r>
    </w:p>
    <w:p w14:paraId="39AAC8A6" w14:textId="77777777" w:rsidR="00DE5386" w:rsidRPr="002A7814" w:rsidRDefault="00DE5386" w:rsidP="00A76318">
      <w:pPr>
        <w:pStyle w:val="ParaNum"/>
        <w:numPr>
          <w:ilvl w:val="0"/>
          <w:numId w:val="0"/>
        </w:numPr>
        <w:spacing w:after="0"/>
        <w:ind w:left="4320"/>
        <w:rPr>
          <w:color w:val="000000"/>
          <w:spacing w:val="-2"/>
        </w:rPr>
      </w:pPr>
    </w:p>
    <w:p w14:paraId="67E05DF2" w14:textId="77777777" w:rsidR="00DE5386" w:rsidRPr="002A7814" w:rsidRDefault="00DE5386" w:rsidP="00A76318">
      <w:pPr>
        <w:pStyle w:val="ParaNum"/>
        <w:numPr>
          <w:ilvl w:val="0"/>
          <w:numId w:val="0"/>
        </w:numPr>
        <w:spacing w:after="0"/>
        <w:ind w:left="4320"/>
        <w:rPr>
          <w:color w:val="000000"/>
          <w:spacing w:val="-2"/>
        </w:rPr>
      </w:pPr>
    </w:p>
    <w:p w14:paraId="2580FE5C" w14:textId="77777777" w:rsidR="00DE5386" w:rsidRPr="002A7814" w:rsidRDefault="00DE5386" w:rsidP="00A76318">
      <w:pPr>
        <w:pStyle w:val="ParaNum"/>
        <w:numPr>
          <w:ilvl w:val="0"/>
          <w:numId w:val="0"/>
        </w:numPr>
        <w:spacing w:after="0"/>
        <w:ind w:left="4320"/>
        <w:rPr>
          <w:color w:val="000000"/>
          <w:spacing w:val="-2"/>
        </w:rPr>
      </w:pPr>
    </w:p>
    <w:p w14:paraId="60AAC30C" w14:textId="77777777" w:rsidR="00DC2EFE" w:rsidRDefault="00DC2EFE" w:rsidP="00A76318">
      <w:pPr>
        <w:pStyle w:val="ParaNum"/>
        <w:numPr>
          <w:ilvl w:val="0"/>
          <w:numId w:val="0"/>
        </w:numPr>
        <w:spacing w:after="0"/>
        <w:ind w:left="3600" w:firstLine="720"/>
        <w:rPr>
          <w:color w:val="000000"/>
          <w:spacing w:val="-2"/>
        </w:rPr>
      </w:pPr>
    </w:p>
    <w:p w14:paraId="120982F9" w14:textId="77777777" w:rsidR="00DE5386" w:rsidRPr="002A7814" w:rsidRDefault="00627660" w:rsidP="00A76318">
      <w:pPr>
        <w:pStyle w:val="ParaNum"/>
        <w:numPr>
          <w:ilvl w:val="0"/>
          <w:numId w:val="0"/>
        </w:numPr>
        <w:spacing w:after="0"/>
        <w:ind w:left="3600" w:firstLine="720"/>
        <w:rPr>
          <w:color w:val="000000"/>
          <w:spacing w:val="-2"/>
        </w:rPr>
      </w:pPr>
      <w:r w:rsidRPr="002A7814">
        <w:rPr>
          <w:color w:val="000000"/>
          <w:spacing w:val="-2"/>
        </w:rPr>
        <w:t>Rebecca L. Dorch</w:t>
      </w:r>
    </w:p>
    <w:p w14:paraId="11F2353F"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 xml:space="preserve">Regional Director, </w:t>
      </w:r>
      <w:r w:rsidR="00627660" w:rsidRPr="002A7814">
        <w:rPr>
          <w:color w:val="000000"/>
          <w:spacing w:val="-2"/>
        </w:rPr>
        <w:t>Western</w:t>
      </w:r>
      <w:r w:rsidRPr="002A7814">
        <w:rPr>
          <w:color w:val="000000"/>
          <w:spacing w:val="-2"/>
        </w:rPr>
        <w:t xml:space="preserve"> Region</w:t>
      </w:r>
    </w:p>
    <w:p w14:paraId="13F15A80" w14:textId="77777777" w:rsidR="00DE5386" w:rsidRPr="002A7814" w:rsidRDefault="00DE5386" w:rsidP="00A76318">
      <w:pPr>
        <w:pStyle w:val="ParaNum"/>
        <w:numPr>
          <w:ilvl w:val="0"/>
          <w:numId w:val="0"/>
        </w:numPr>
        <w:spacing w:after="0"/>
        <w:ind w:left="3600" w:firstLine="720"/>
        <w:rPr>
          <w:color w:val="000000"/>
          <w:spacing w:val="-2"/>
        </w:rPr>
      </w:pPr>
      <w:r w:rsidRPr="002A7814">
        <w:rPr>
          <w:color w:val="000000"/>
          <w:spacing w:val="-2"/>
        </w:rPr>
        <w:t>Enforcement Bureau</w:t>
      </w:r>
    </w:p>
    <w:sectPr w:rsidR="00DE5386" w:rsidRPr="002A781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100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846F0" w14:textId="77777777" w:rsidR="007438E7" w:rsidRDefault="007438E7">
      <w:r>
        <w:separator/>
      </w:r>
    </w:p>
  </w:endnote>
  <w:endnote w:type="continuationSeparator" w:id="0">
    <w:p w14:paraId="13571C6F" w14:textId="77777777" w:rsidR="007438E7" w:rsidRDefault="007438E7">
      <w:r>
        <w:continuationSeparator/>
      </w:r>
    </w:p>
  </w:endnote>
  <w:endnote w:type="continuationNotice" w:id="1">
    <w:p w14:paraId="3296863E" w14:textId="77777777" w:rsidR="007438E7" w:rsidRDefault="00743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0C" w14:textId="77777777" w:rsidR="00A80EF9" w:rsidRDefault="00A80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B43C1" w14:textId="77777777" w:rsidR="00A80EF9" w:rsidRDefault="00A80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3C542" w14:textId="77777777" w:rsidR="00A80EF9" w:rsidRDefault="00A80EF9">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991739">
      <w:rPr>
        <w:rStyle w:val="PageNumber"/>
        <w:noProof/>
        <w:sz w:val="20"/>
        <w:szCs w:val="20"/>
      </w:rPr>
      <w:t>2</w:t>
    </w:r>
    <w:r>
      <w:rPr>
        <w:rStyle w:val="PageNumber"/>
        <w:sz w:val="20"/>
        <w:szCs w:val="20"/>
      </w:rPr>
      <w:fldChar w:fldCharType="end"/>
    </w:r>
  </w:p>
  <w:p w14:paraId="01B360CD" w14:textId="77777777" w:rsidR="00A80EF9" w:rsidRDefault="00A80EF9" w:rsidP="009C6F42">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47A4" w14:textId="77777777" w:rsidR="009103C6" w:rsidRDefault="0091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6148A" w14:textId="77777777" w:rsidR="007438E7" w:rsidRDefault="007438E7">
      <w:r>
        <w:separator/>
      </w:r>
    </w:p>
  </w:footnote>
  <w:footnote w:type="continuationSeparator" w:id="0">
    <w:p w14:paraId="008E278B" w14:textId="77777777" w:rsidR="007438E7" w:rsidRPr="008E5F5B" w:rsidRDefault="007438E7" w:rsidP="008E5F5B">
      <w:pPr>
        <w:spacing w:before="120"/>
        <w:rPr>
          <w:sz w:val="20"/>
        </w:rPr>
      </w:pPr>
      <w:r>
        <w:rPr>
          <w:sz w:val="20"/>
        </w:rPr>
        <w:t xml:space="preserve">(Continued from previous page)  </w:t>
      </w:r>
      <w:r>
        <w:rPr>
          <w:sz w:val="20"/>
        </w:rPr>
        <w:separator/>
      </w:r>
    </w:p>
  </w:footnote>
  <w:footnote w:type="continuationNotice" w:id="1">
    <w:p w14:paraId="6B33CA3D" w14:textId="77777777" w:rsidR="007438E7" w:rsidRPr="008E5F5B" w:rsidRDefault="007438E7" w:rsidP="008E5F5B">
      <w:pPr>
        <w:jc w:val="right"/>
        <w:rPr>
          <w:sz w:val="20"/>
        </w:rPr>
      </w:pPr>
      <w:r>
        <w:rPr>
          <w:sz w:val="20"/>
        </w:rPr>
        <w:t>(continued….)</w:t>
      </w:r>
    </w:p>
  </w:footnote>
  <w:footnote w:id="2">
    <w:p w14:paraId="6DBE49FD" w14:textId="77777777" w:rsidR="009A3B4C" w:rsidRPr="005F515C" w:rsidRDefault="009A3B4C" w:rsidP="00DC42FB">
      <w:pPr>
        <w:pStyle w:val="FootnoteText"/>
        <w:ind w:firstLine="0"/>
        <w:jc w:val="left"/>
        <w:rPr>
          <w:color w:val="000000"/>
        </w:rPr>
      </w:pPr>
      <w:r w:rsidRPr="005F515C">
        <w:rPr>
          <w:rStyle w:val="FootnoteReference"/>
          <w:color w:val="000000"/>
        </w:rPr>
        <w:footnoteRef/>
      </w:r>
      <w:r w:rsidRPr="005F515C">
        <w:rPr>
          <w:color w:val="000000"/>
        </w:rPr>
        <w:t xml:space="preserve"> 47 U.S.C. § 303(q).</w:t>
      </w:r>
    </w:p>
  </w:footnote>
  <w:footnote w:id="3">
    <w:p w14:paraId="382956C3" w14:textId="0DE5E256" w:rsidR="009A3B4C" w:rsidRPr="005F515C" w:rsidRDefault="009A3B4C" w:rsidP="00DC42FB">
      <w:pPr>
        <w:pStyle w:val="FootnoteText"/>
        <w:ind w:firstLine="0"/>
        <w:jc w:val="left"/>
        <w:rPr>
          <w:color w:val="000000"/>
        </w:rPr>
      </w:pPr>
      <w:r w:rsidRPr="005F515C">
        <w:rPr>
          <w:rStyle w:val="FootnoteReference"/>
          <w:color w:val="000000"/>
        </w:rPr>
        <w:footnoteRef/>
      </w:r>
      <w:r w:rsidRPr="005F515C">
        <w:rPr>
          <w:color w:val="000000"/>
        </w:rPr>
        <w:t xml:space="preserve"> 47 C.F.R. §</w:t>
      </w:r>
      <w:r w:rsidR="00A470D6">
        <w:rPr>
          <w:color w:val="000000"/>
        </w:rPr>
        <w:t>§</w:t>
      </w:r>
      <w:r w:rsidRPr="005F515C">
        <w:rPr>
          <w:color w:val="000000"/>
        </w:rPr>
        <w:t xml:space="preserve"> 17.47</w:t>
      </w:r>
      <w:r w:rsidR="00664B43">
        <w:rPr>
          <w:color w:val="000000"/>
        </w:rPr>
        <w:t>(a)</w:t>
      </w:r>
      <w:r w:rsidRPr="005F515C">
        <w:rPr>
          <w:color w:val="000000"/>
        </w:rPr>
        <w:t xml:space="preserve">, </w:t>
      </w:r>
      <w:r>
        <w:rPr>
          <w:color w:val="000000"/>
        </w:rPr>
        <w:t>17.48</w:t>
      </w:r>
      <w:r w:rsidR="00A1027A">
        <w:rPr>
          <w:color w:val="000000"/>
        </w:rPr>
        <w:t>(a)</w:t>
      </w:r>
      <w:r>
        <w:rPr>
          <w:color w:val="000000"/>
        </w:rPr>
        <w:t xml:space="preserve">, </w:t>
      </w:r>
      <w:r w:rsidRPr="005F515C">
        <w:rPr>
          <w:color w:val="000000"/>
        </w:rPr>
        <w:t>17.51(b).</w:t>
      </w:r>
      <w:r w:rsidR="00FF42D5">
        <w:rPr>
          <w:color w:val="000000"/>
        </w:rPr>
        <w:t xml:space="preserve">  </w:t>
      </w:r>
      <w:r w:rsidR="00FF42D5" w:rsidRPr="00FF42D5">
        <w:rPr>
          <w:color w:val="000000"/>
        </w:rPr>
        <w:t xml:space="preserve">The Commission recently amended Sections </w:t>
      </w:r>
      <w:r w:rsidR="00FF42D5">
        <w:rPr>
          <w:color w:val="000000"/>
        </w:rPr>
        <w:t>17.47, 17.48</w:t>
      </w:r>
      <w:r w:rsidR="006F1B02">
        <w:rPr>
          <w:color w:val="000000"/>
        </w:rPr>
        <w:t xml:space="preserve">, and 17.51 </w:t>
      </w:r>
      <w:r w:rsidR="00FF42D5" w:rsidRPr="00FF42D5">
        <w:rPr>
          <w:color w:val="000000"/>
        </w:rPr>
        <w:t xml:space="preserve">of the Rules. </w:t>
      </w:r>
      <w:r w:rsidR="00FF42D5">
        <w:rPr>
          <w:color w:val="000000"/>
        </w:rPr>
        <w:t xml:space="preserve"> </w:t>
      </w:r>
      <w:r w:rsidR="006F1B02">
        <w:rPr>
          <w:i/>
          <w:color w:val="000000"/>
        </w:rPr>
        <w:t>See</w:t>
      </w:r>
      <w:r w:rsidR="00FF42D5" w:rsidRPr="00FF42D5">
        <w:rPr>
          <w:i/>
          <w:color w:val="000000"/>
        </w:rPr>
        <w:t xml:space="preserve"> 2004 and 2006 Biennial Regulatory Review – Streamlining and Other Revisions of Parts 1 and 17 of the Commission’s Rules Governing Construction, Marking and Lighting of Antenna Structures</w:t>
      </w:r>
      <w:r w:rsidR="00FF42D5" w:rsidRPr="00FF42D5">
        <w:rPr>
          <w:color w:val="000000"/>
        </w:rPr>
        <w:t xml:space="preserve">, Report and Order, 29 FCC Rcd 9787 (2014).  The Rules cited to in this </w:t>
      </w:r>
      <w:r w:rsidR="006F1B02">
        <w:rPr>
          <w:color w:val="000000"/>
        </w:rPr>
        <w:t xml:space="preserve">Forfeiture </w:t>
      </w:r>
      <w:r w:rsidR="00FF42D5" w:rsidRPr="00FF42D5">
        <w:rPr>
          <w:color w:val="000000"/>
        </w:rPr>
        <w:t xml:space="preserve">Order, however, were the Rules in effect at the time of the violations.     </w:t>
      </w:r>
    </w:p>
  </w:footnote>
  <w:footnote w:id="4">
    <w:p w14:paraId="31B3D1C0" w14:textId="3ADEFD51" w:rsidR="00A80EF9" w:rsidRPr="00163967" w:rsidRDefault="00A80EF9" w:rsidP="00DC42FB">
      <w:pPr>
        <w:pStyle w:val="FootnoteText"/>
        <w:widowControl/>
        <w:ind w:firstLine="0"/>
        <w:jc w:val="left"/>
        <w:rPr>
          <w:szCs w:val="20"/>
        </w:rPr>
      </w:pPr>
      <w:r w:rsidRPr="00163967">
        <w:rPr>
          <w:rStyle w:val="FootnoteReference"/>
        </w:rPr>
        <w:footnoteRef/>
      </w:r>
      <w:r w:rsidR="00226B3D" w:rsidRPr="00163967">
        <w:rPr>
          <w:szCs w:val="20"/>
        </w:rPr>
        <w:t xml:space="preserve"> </w:t>
      </w:r>
      <w:r w:rsidR="00BC7C15">
        <w:rPr>
          <w:i/>
          <w:szCs w:val="20"/>
        </w:rPr>
        <w:t>Kemp Broadcasting, Inc.</w:t>
      </w:r>
      <w:r w:rsidRPr="00163967">
        <w:rPr>
          <w:szCs w:val="20"/>
        </w:rPr>
        <w:t>, Notice of Apparent Liability for Forfeiture</w:t>
      </w:r>
      <w:r w:rsidR="005718DE">
        <w:rPr>
          <w:szCs w:val="20"/>
        </w:rPr>
        <w:t xml:space="preserve"> and Order</w:t>
      </w:r>
      <w:r w:rsidRPr="00163967">
        <w:rPr>
          <w:szCs w:val="20"/>
        </w:rPr>
        <w:t>, 2</w:t>
      </w:r>
      <w:r w:rsidR="00B6662E">
        <w:rPr>
          <w:szCs w:val="20"/>
        </w:rPr>
        <w:t>9</w:t>
      </w:r>
      <w:r w:rsidRPr="00163967">
        <w:rPr>
          <w:szCs w:val="20"/>
        </w:rPr>
        <w:t xml:space="preserve"> FCC Rcd </w:t>
      </w:r>
      <w:r w:rsidR="008B3887" w:rsidRPr="00163967">
        <w:rPr>
          <w:szCs w:val="20"/>
        </w:rPr>
        <w:t>1</w:t>
      </w:r>
      <w:r w:rsidR="00BC7C15">
        <w:rPr>
          <w:szCs w:val="20"/>
        </w:rPr>
        <w:t>967</w:t>
      </w:r>
      <w:r w:rsidR="008B3887" w:rsidRPr="00163967">
        <w:rPr>
          <w:szCs w:val="20"/>
        </w:rPr>
        <w:t xml:space="preserve"> </w:t>
      </w:r>
      <w:r w:rsidRPr="00163967">
        <w:rPr>
          <w:szCs w:val="20"/>
        </w:rPr>
        <w:t>(Enf. Bur. 201</w:t>
      </w:r>
      <w:r w:rsidR="00BC7C15">
        <w:rPr>
          <w:szCs w:val="20"/>
        </w:rPr>
        <w:t>4</w:t>
      </w:r>
      <w:r w:rsidRPr="00163967">
        <w:rPr>
          <w:szCs w:val="20"/>
        </w:rPr>
        <w:t>) (</w:t>
      </w:r>
      <w:r w:rsidRPr="00163967">
        <w:rPr>
          <w:i/>
          <w:szCs w:val="20"/>
        </w:rPr>
        <w:t>NAL</w:t>
      </w:r>
      <w:r w:rsidRPr="00163967">
        <w:rPr>
          <w:szCs w:val="20"/>
        </w:rPr>
        <w:t xml:space="preserve">).  A recitation of the facts of this case can be found in the </w:t>
      </w:r>
      <w:r w:rsidRPr="00163967">
        <w:rPr>
          <w:i/>
          <w:szCs w:val="20"/>
        </w:rPr>
        <w:t>NAL</w:t>
      </w:r>
      <w:r w:rsidRPr="00163967">
        <w:rPr>
          <w:szCs w:val="20"/>
        </w:rPr>
        <w:t xml:space="preserve"> and is incorporated herein by reference.</w:t>
      </w:r>
      <w:r w:rsidR="00FA5A31" w:rsidRPr="00163967">
        <w:rPr>
          <w:szCs w:val="20"/>
        </w:rPr>
        <w:t xml:space="preserve">  </w:t>
      </w:r>
    </w:p>
  </w:footnote>
  <w:footnote w:id="5">
    <w:p w14:paraId="0E4A7EF6" w14:textId="4AADF896" w:rsidR="00E91346" w:rsidRPr="00E91346" w:rsidRDefault="00E91346" w:rsidP="00391E6F">
      <w:pPr>
        <w:pStyle w:val="FootnoteText"/>
        <w:tabs>
          <w:tab w:val="clear" w:pos="720"/>
        </w:tabs>
        <w:ind w:firstLine="0"/>
        <w:jc w:val="left"/>
      </w:pPr>
      <w:r>
        <w:rPr>
          <w:rStyle w:val="FootnoteReference"/>
        </w:rPr>
        <w:footnoteRef/>
      </w:r>
      <w:r>
        <w:t xml:space="preserve"> </w:t>
      </w:r>
      <w:r>
        <w:rPr>
          <w:i/>
        </w:rPr>
        <w:t>NAL</w:t>
      </w:r>
      <w:r>
        <w:t>, 29 FCC Rcd at 1970, para. 10.</w:t>
      </w:r>
    </w:p>
  </w:footnote>
  <w:footnote w:id="6">
    <w:p w14:paraId="256B3071" w14:textId="2A3548BB" w:rsidR="00B729B7" w:rsidRDefault="00B729B7" w:rsidP="00DC42FB">
      <w:pPr>
        <w:pStyle w:val="FootnoteText"/>
        <w:ind w:firstLine="0"/>
        <w:jc w:val="left"/>
      </w:pPr>
      <w:r>
        <w:rPr>
          <w:rStyle w:val="FootnoteReference"/>
        </w:rPr>
        <w:footnoteRef/>
      </w:r>
      <w:r>
        <w:t xml:space="preserve"> </w:t>
      </w:r>
      <w:r w:rsidRPr="00B729B7">
        <w:rPr>
          <w:i/>
        </w:rPr>
        <w:t>See</w:t>
      </w:r>
      <w:r>
        <w:rPr>
          <w:i/>
        </w:rPr>
        <w:t xml:space="preserve"> </w:t>
      </w:r>
      <w:r w:rsidR="005718DE" w:rsidRPr="00163967">
        <w:rPr>
          <w:szCs w:val="20"/>
        </w:rPr>
        <w:t xml:space="preserve">Response of </w:t>
      </w:r>
      <w:r w:rsidR="005718DE">
        <w:rPr>
          <w:szCs w:val="20"/>
        </w:rPr>
        <w:t>Kemp Broadcasting, Inc.</w:t>
      </w:r>
      <w:r w:rsidR="005718DE" w:rsidRPr="00163967">
        <w:rPr>
          <w:szCs w:val="20"/>
        </w:rPr>
        <w:t xml:space="preserve">, to </w:t>
      </w:r>
      <w:r w:rsidR="005718DE">
        <w:rPr>
          <w:szCs w:val="20"/>
        </w:rPr>
        <w:t xml:space="preserve">Los Angeles </w:t>
      </w:r>
      <w:r w:rsidR="005718DE" w:rsidRPr="00163967">
        <w:rPr>
          <w:szCs w:val="20"/>
        </w:rPr>
        <w:t>Office, Western Region, Enforcement Bureau (</w:t>
      </w:r>
      <w:r w:rsidR="005718DE">
        <w:rPr>
          <w:szCs w:val="20"/>
        </w:rPr>
        <w:t>Apr. 14, 2014</w:t>
      </w:r>
      <w:r w:rsidR="005718DE" w:rsidRPr="00163967">
        <w:rPr>
          <w:szCs w:val="20"/>
        </w:rPr>
        <w:t>) (on file in EB-FIELDWR-</w:t>
      </w:r>
      <w:r w:rsidR="005718DE">
        <w:rPr>
          <w:szCs w:val="20"/>
        </w:rPr>
        <w:t>13-00008283</w:t>
      </w:r>
      <w:r w:rsidR="005718DE" w:rsidRPr="00163967">
        <w:rPr>
          <w:szCs w:val="20"/>
        </w:rPr>
        <w:t>) (</w:t>
      </w:r>
      <w:r w:rsidR="005718DE" w:rsidRPr="00163967">
        <w:rPr>
          <w:i/>
          <w:szCs w:val="20"/>
        </w:rPr>
        <w:t>NAL Response</w:t>
      </w:r>
      <w:r w:rsidR="005718DE">
        <w:rPr>
          <w:szCs w:val="20"/>
        </w:rPr>
        <w:t xml:space="preserve">); </w:t>
      </w:r>
      <w:r w:rsidRPr="00B729B7">
        <w:rPr>
          <w:i/>
        </w:rPr>
        <w:t>Kemp Broadcasting, Inc.</w:t>
      </w:r>
      <w:r w:rsidRPr="00B729B7">
        <w:t>, Notice of Violation, V201</w:t>
      </w:r>
      <w:r>
        <w:t>3</w:t>
      </w:r>
      <w:r w:rsidRPr="00B729B7">
        <w:t>32</w:t>
      </w:r>
      <w:r>
        <w:t>900025</w:t>
      </w:r>
      <w:r w:rsidRPr="00B729B7">
        <w:t xml:space="preserve"> (</w:t>
      </w:r>
      <w:r>
        <w:t xml:space="preserve">rel. May </w:t>
      </w:r>
      <w:r w:rsidR="005718DE">
        <w:t>1</w:t>
      </w:r>
      <w:r>
        <w:t>6, 2013</w:t>
      </w:r>
      <w:r w:rsidRPr="00B729B7">
        <w:t>)</w:t>
      </w:r>
      <w:r>
        <w:t xml:space="preserve"> (</w:t>
      </w:r>
      <w:r>
        <w:rPr>
          <w:i/>
        </w:rPr>
        <w:t>NOV</w:t>
      </w:r>
      <w:r>
        <w:t>).</w:t>
      </w:r>
    </w:p>
  </w:footnote>
  <w:footnote w:id="7">
    <w:p w14:paraId="05339ADA" w14:textId="2373C738" w:rsidR="000734BC" w:rsidRPr="000734BC" w:rsidRDefault="000734BC" w:rsidP="00DC42FB">
      <w:pPr>
        <w:pStyle w:val="FootnoteText"/>
        <w:tabs>
          <w:tab w:val="clear" w:pos="720"/>
        </w:tabs>
        <w:ind w:firstLine="0"/>
        <w:jc w:val="left"/>
      </w:pPr>
      <w:r>
        <w:rPr>
          <w:rStyle w:val="FootnoteReference"/>
        </w:rPr>
        <w:footnoteRef/>
      </w:r>
      <w:r>
        <w:t xml:space="preserve"> </w:t>
      </w:r>
      <w:r>
        <w:rPr>
          <w:i/>
        </w:rPr>
        <w:t xml:space="preserve">NAL Response </w:t>
      </w:r>
      <w:r>
        <w:t>at 2.</w:t>
      </w:r>
    </w:p>
  </w:footnote>
  <w:footnote w:id="8">
    <w:p w14:paraId="1A9132AC" w14:textId="77777777" w:rsidR="001C0059" w:rsidRPr="00163967" w:rsidRDefault="001C0059" w:rsidP="00DC42FB">
      <w:pPr>
        <w:pStyle w:val="FootnoteText"/>
        <w:widowControl/>
        <w:ind w:firstLine="0"/>
        <w:jc w:val="left"/>
        <w:rPr>
          <w:szCs w:val="20"/>
        </w:rPr>
      </w:pPr>
      <w:r w:rsidRPr="00163967">
        <w:rPr>
          <w:rStyle w:val="FootnoteReference"/>
        </w:rPr>
        <w:footnoteRef/>
      </w:r>
      <w:r w:rsidRPr="00163967">
        <w:rPr>
          <w:szCs w:val="20"/>
        </w:rPr>
        <w:t xml:space="preserve"> 47 U.S.C. § 503(b).</w:t>
      </w:r>
    </w:p>
  </w:footnote>
  <w:footnote w:id="9">
    <w:p w14:paraId="4F51A7EE" w14:textId="77777777" w:rsidR="001C0059" w:rsidRPr="00163967" w:rsidRDefault="001C0059" w:rsidP="00DC42FB">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10">
    <w:p w14:paraId="0AA43F30" w14:textId="77777777" w:rsidR="001C0059" w:rsidRPr="00163967" w:rsidRDefault="001C0059" w:rsidP="00DC42FB">
      <w:pPr>
        <w:pStyle w:val="FootnoteText"/>
        <w:widowControl/>
        <w:tabs>
          <w:tab w:val="clear" w:pos="720"/>
        </w:tabs>
        <w:ind w:firstLine="0"/>
        <w:jc w:val="left"/>
        <w:rPr>
          <w:szCs w:val="20"/>
        </w:rPr>
      </w:pPr>
      <w:r w:rsidRPr="00163967">
        <w:rPr>
          <w:rStyle w:val="FootnoteReference"/>
        </w:rPr>
        <w:footnoteRef/>
      </w:r>
      <w:r w:rsidRPr="00163967">
        <w:rPr>
          <w:szCs w:val="20"/>
        </w:rPr>
        <w:t xml:space="preserve"> </w:t>
      </w:r>
      <w:r w:rsidRPr="00163967">
        <w:rPr>
          <w:i/>
          <w:szCs w:val="20"/>
        </w:rPr>
        <w:t>The Commission’s Forfeiture Policy Statement and Amendment of Section 1.80 of the Rules to Incorporate the Forfeiture Guidelines</w:t>
      </w:r>
      <w:r w:rsidRPr="00163967">
        <w:rPr>
          <w:szCs w:val="20"/>
        </w:rPr>
        <w:t xml:space="preserve">, Report and Order, 12 FCC Rcd 17087 (1997), </w:t>
      </w:r>
      <w:r w:rsidRPr="00163967">
        <w:rPr>
          <w:i/>
          <w:szCs w:val="20"/>
        </w:rPr>
        <w:t>recons. denied</w:t>
      </w:r>
      <w:r w:rsidRPr="00163967">
        <w:rPr>
          <w:szCs w:val="20"/>
        </w:rPr>
        <w:t>, 15 FCC Rcd 303 (1999) (</w:t>
      </w:r>
      <w:r w:rsidRPr="00163967">
        <w:rPr>
          <w:i/>
          <w:szCs w:val="20"/>
        </w:rPr>
        <w:t>Forfeiture Policy Statement</w:t>
      </w:r>
      <w:r w:rsidRPr="00163967">
        <w:rPr>
          <w:szCs w:val="20"/>
        </w:rPr>
        <w:t xml:space="preserve">).  </w:t>
      </w:r>
    </w:p>
  </w:footnote>
  <w:footnote w:id="11">
    <w:p w14:paraId="5A18D33A" w14:textId="77777777" w:rsidR="001C0059" w:rsidRPr="00163967" w:rsidRDefault="001C0059" w:rsidP="00DC42FB">
      <w:pPr>
        <w:pStyle w:val="FootnoteText"/>
        <w:widowControl/>
        <w:tabs>
          <w:tab w:val="clear" w:pos="720"/>
        </w:tabs>
        <w:ind w:firstLine="0"/>
        <w:jc w:val="left"/>
        <w:rPr>
          <w:szCs w:val="20"/>
        </w:rPr>
      </w:pPr>
      <w:r w:rsidRPr="00163967">
        <w:rPr>
          <w:rStyle w:val="FootnoteReference"/>
        </w:rPr>
        <w:footnoteRef/>
      </w:r>
      <w:r w:rsidRPr="00163967">
        <w:rPr>
          <w:szCs w:val="20"/>
        </w:rPr>
        <w:t xml:space="preserve"> 47 U.S.C. § 503(b)(2)(E).</w:t>
      </w:r>
    </w:p>
  </w:footnote>
  <w:footnote w:id="12">
    <w:p w14:paraId="056C3A28" w14:textId="5EAB33DC" w:rsidR="00B175EB" w:rsidRPr="00163967" w:rsidRDefault="00B175EB" w:rsidP="00DC42FB">
      <w:pPr>
        <w:pStyle w:val="FootnoteText"/>
        <w:widowControl/>
        <w:tabs>
          <w:tab w:val="clear" w:pos="720"/>
        </w:tabs>
        <w:ind w:firstLine="0"/>
        <w:jc w:val="left"/>
        <w:rPr>
          <w:szCs w:val="20"/>
        </w:rPr>
      </w:pPr>
      <w:r w:rsidRPr="00163967">
        <w:rPr>
          <w:rStyle w:val="FootnoteReference"/>
        </w:rPr>
        <w:footnoteRef/>
      </w:r>
      <w:r w:rsidRPr="00163967">
        <w:rPr>
          <w:i/>
          <w:szCs w:val="20"/>
        </w:rPr>
        <w:t xml:space="preserve"> See NAL</w:t>
      </w:r>
      <w:r w:rsidRPr="00163967">
        <w:rPr>
          <w:szCs w:val="20"/>
        </w:rPr>
        <w:t xml:space="preserve"> </w:t>
      </w:r>
      <w:r w:rsidRPr="00163967">
        <w:rPr>
          <w:i/>
          <w:szCs w:val="20"/>
        </w:rPr>
        <w:t>supra</w:t>
      </w:r>
      <w:r w:rsidRPr="00163967">
        <w:rPr>
          <w:szCs w:val="20"/>
        </w:rPr>
        <w:t xml:space="preserve"> note </w:t>
      </w:r>
      <w:r w:rsidR="00B729B7">
        <w:rPr>
          <w:szCs w:val="20"/>
        </w:rPr>
        <w:t>3</w:t>
      </w:r>
      <w:r w:rsidRPr="00163967">
        <w:rPr>
          <w:szCs w:val="20"/>
        </w:rPr>
        <w:t xml:space="preserve">. </w:t>
      </w:r>
    </w:p>
  </w:footnote>
  <w:footnote w:id="13">
    <w:p w14:paraId="23FFBB18" w14:textId="784A3720" w:rsidR="00E01A32" w:rsidRPr="00163967" w:rsidRDefault="00E01A32" w:rsidP="00DC42FB">
      <w:pPr>
        <w:pStyle w:val="FootnoteText"/>
        <w:tabs>
          <w:tab w:val="clear" w:pos="720"/>
        </w:tabs>
        <w:ind w:firstLine="0"/>
        <w:jc w:val="left"/>
        <w:rPr>
          <w:szCs w:val="20"/>
        </w:rPr>
      </w:pPr>
      <w:r w:rsidRPr="00163967">
        <w:rPr>
          <w:rStyle w:val="FootnoteReference"/>
        </w:rPr>
        <w:footnoteRef/>
      </w:r>
      <w:r w:rsidRPr="00163967">
        <w:rPr>
          <w:szCs w:val="20"/>
        </w:rPr>
        <w:t xml:space="preserve"> </w:t>
      </w:r>
      <w:r w:rsidRPr="008E5F5B">
        <w:rPr>
          <w:i/>
        </w:rPr>
        <w:t>NAL Response</w:t>
      </w:r>
      <w:r w:rsidR="00430434">
        <w:rPr>
          <w:szCs w:val="20"/>
        </w:rPr>
        <w:t xml:space="preserve"> at 1</w:t>
      </w:r>
      <w:r w:rsidR="00D741DB">
        <w:rPr>
          <w:szCs w:val="20"/>
        </w:rPr>
        <w:t>–2</w:t>
      </w:r>
      <w:r w:rsidRPr="00163967">
        <w:rPr>
          <w:szCs w:val="20"/>
        </w:rPr>
        <w:t>.</w:t>
      </w:r>
    </w:p>
  </w:footnote>
  <w:footnote w:id="14">
    <w:p w14:paraId="41AAECA0" w14:textId="185EE74E" w:rsidR="00430434" w:rsidRPr="005A6D93" w:rsidRDefault="00430434" w:rsidP="00DC42FB">
      <w:pPr>
        <w:pStyle w:val="FootnoteText"/>
        <w:ind w:firstLine="0"/>
        <w:jc w:val="left"/>
      </w:pPr>
      <w:r w:rsidRPr="005A6D93">
        <w:rPr>
          <w:rStyle w:val="FootnoteReference"/>
        </w:rPr>
        <w:footnoteRef/>
      </w:r>
      <w:r w:rsidRPr="005A6D93">
        <w:t xml:space="preserve"> </w:t>
      </w:r>
      <w:r w:rsidRPr="005A6D93">
        <w:rPr>
          <w:i/>
        </w:rPr>
        <w:t>See, e.g.</w:t>
      </w:r>
      <w:r w:rsidRPr="005A6D93">
        <w:t xml:space="preserve">, </w:t>
      </w:r>
      <w:r w:rsidRPr="005A6D93">
        <w:rPr>
          <w:rStyle w:val="Emphasis"/>
        </w:rPr>
        <w:t>Sutro Corp.</w:t>
      </w:r>
      <w:r w:rsidRPr="005A6D9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5A6D93">
        <w:rPr>
          <w:i/>
        </w:rPr>
        <w:t>Catholic Radio Network of Loveland, Inc.</w:t>
      </w:r>
      <w:r w:rsidRPr="005A6D93">
        <w:t xml:space="preserve">, Forfeiture Order, 29 FCC Rcd 121, 122–23, para. 5 (Enf. Bur. 2014) (“The Commission will generally reduce an assessed forfeiture based on the good faith corrective efforts of a violator when those corrective efforts were taken </w:t>
      </w:r>
      <w:r w:rsidRPr="005A6D93">
        <w:rPr>
          <w:rStyle w:val="Emphasis"/>
        </w:rPr>
        <w:t>prior</w:t>
      </w:r>
      <w:r w:rsidRPr="005A6D93">
        <w:t xml:space="preserve"> to Commission notification of the violation</w:t>
      </w:r>
      <w:r>
        <w:t>.</w:t>
      </w:r>
      <w:r w:rsidRPr="005A6D93">
        <w:t xml:space="preserve">”) (emphasis in original); </w:t>
      </w:r>
      <w:r w:rsidRPr="005A6D93">
        <w:rPr>
          <w:i/>
        </w:rPr>
        <w:t>Argos Net, Inc.</w:t>
      </w:r>
      <w:r w:rsidRPr="005A6D93">
        <w:t>, Forfeiture Order, 28 FCC Rcd 1126</w:t>
      </w:r>
      <w:r>
        <w:t>,</w:t>
      </w:r>
      <w:r w:rsidRPr="005A6D93">
        <w:t xml:space="preserve"> 1127, para. 4 (Enf. Bur. 2013) (“[C</w:t>
      </w:r>
      <w:r w:rsidR="00FC245E">
        <w:t>]</w:t>
      </w:r>
      <w:r w:rsidRPr="005A6D93">
        <w:t xml:space="preserve">orrective action taken after notification or inspection by the Commission does not mitigate the violation . . . .”).  </w:t>
      </w:r>
    </w:p>
  </w:footnote>
  <w:footnote w:id="15">
    <w:p w14:paraId="55447AAF" w14:textId="17605EAB" w:rsidR="00430434" w:rsidRPr="005A6D93" w:rsidRDefault="00430434" w:rsidP="00391E6F">
      <w:pPr>
        <w:pStyle w:val="FootnoteText"/>
        <w:ind w:firstLine="0"/>
        <w:jc w:val="left"/>
      </w:pPr>
      <w:r w:rsidRPr="005A6D93">
        <w:rPr>
          <w:rStyle w:val="FootnoteReference"/>
        </w:rPr>
        <w:footnoteRef/>
      </w:r>
      <w:r w:rsidRPr="005A6D93">
        <w:t xml:space="preserve"> </w:t>
      </w:r>
      <w:r w:rsidRPr="005A6D93">
        <w:rPr>
          <w:i/>
          <w:iCs/>
        </w:rPr>
        <w:t>See, e.g.</w:t>
      </w:r>
      <w:r w:rsidRPr="005A6D93">
        <w:t>,</w:t>
      </w:r>
      <w:r w:rsidRPr="005A6D93">
        <w:rPr>
          <w:i/>
          <w:iCs/>
        </w:rPr>
        <w:t xml:space="preserve"> </w:t>
      </w:r>
      <w:r w:rsidRPr="001E38F2">
        <w:rPr>
          <w:i/>
          <w:iCs/>
        </w:rPr>
        <w:t>Seawest Yacht Brokers</w:t>
      </w:r>
      <w:r w:rsidRPr="001E38F2">
        <w:rPr>
          <w:iCs/>
        </w:rPr>
        <w:t xml:space="preserve">, </w:t>
      </w:r>
      <w:r w:rsidRPr="001E38F2">
        <w:t>Notice of Forfeiture</w:t>
      </w:r>
      <w:r w:rsidRPr="001E38F2">
        <w:rPr>
          <w:iCs/>
        </w:rPr>
        <w:t>, 9 FCC Rcd 6099, 6099, para. 7 (1994)</w:t>
      </w:r>
      <w:r w:rsidRPr="005A6D93">
        <w:rPr>
          <w:iCs/>
        </w:rPr>
        <w:t xml:space="preserve"> </w:t>
      </w:r>
      <w:r w:rsidRPr="005A6D93">
        <w:t>(</w:t>
      </w:r>
      <w:r w:rsidRPr="005A6D93">
        <w:rPr>
          <w:iCs/>
        </w:rPr>
        <w:t>citations omitted)</w:t>
      </w:r>
      <w:r w:rsidRPr="005A6D93">
        <w:t xml:space="preserve">; </w:t>
      </w:r>
      <w:r w:rsidRPr="001E38F2">
        <w:rPr>
          <w:i/>
          <w:iCs/>
        </w:rPr>
        <w:t>Exec. Broad. Corp.</w:t>
      </w:r>
      <w:r w:rsidRPr="001E38F2">
        <w:t xml:space="preserve">, </w:t>
      </w:r>
      <w:r w:rsidR="00303D61">
        <w:t xml:space="preserve">Memorandum Opinion and Order, </w:t>
      </w:r>
      <w:r w:rsidRPr="001E38F2">
        <w:t>3 FCC 2d 699, 700, para. 6 (1966)</w:t>
      </w:r>
      <w:r w:rsidRPr="005A6D93">
        <w:t xml:space="preserve"> (“The fact that prompt corrective action was taken . . . does not excuse the prior violations.”).</w:t>
      </w:r>
    </w:p>
  </w:footnote>
  <w:footnote w:id="16">
    <w:p w14:paraId="3F236D22" w14:textId="77777777" w:rsidR="00430434" w:rsidRPr="005A6D93" w:rsidRDefault="00430434" w:rsidP="00391E6F">
      <w:pPr>
        <w:pStyle w:val="FootnoteText"/>
        <w:ind w:firstLine="0"/>
        <w:jc w:val="left"/>
      </w:pPr>
      <w:r w:rsidRPr="005A6D93">
        <w:rPr>
          <w:rStyle w:val="FootnoteReference"/>
        </w:rPr>
        <w:footnoteRef/>
      </w:r>
      <w:r w:rsidRPr="005A6D93">
        <w:t xml:space="preserve"> </w:t>
      </w:r>
      <w:r w:rsidRPr="005A6D93">
        <w:rPr>
          <w:i/>
        </w:rPr>
        <w:t>See, e.g.</w:t>
      </w:r>
      <w:r w:rsidRPr="005A6D93">
        <w:t>,</w:t>
      </w:r>
      <w:r w:rsidRPr="005A6D93">
        <w:rPr>
          <w:i/>
        </w:rPr>
        <w:t xml:space="preserve"> Bold Gold Media WBS, L.P.</w:t>
      </w:r>
      <w:r w:rsidRPr="005A6D93">
        <w:t xml:space="preserve">, Forfeiture Order, 29 FCC Rcd 6016 (Enf. Bur. 2014) (reducing proposed forfeiture where licensee contracted to acquire required Emergency Alert System equipment prior to inspection). </w:t>
      </w:r>
    </w:p>
  </w:footnote>
  <w:footnote w:id="17">
    <w:p w14:paraId="33FCAF07" w14:textId="3C6816BF" w:rsidR="001B4915" w:rsidRPr="00B75495" w:rsidRDefault="001B4915" w:rsidP="00DC42FB">
      <w:pPr>
        <w:pStyle w:val="FootnoteText"/>
        <w:ind w:firstLine="0"/>
        <w:jc w:val="left"/>
      </w:pPr>
      <w:r>
        <w:rPr>
          <w:rStyle w:val="FootnoteReference"/>
        </w:rPr>
        <w:footnoteRef/>
      </w:r>
      <w:r>
        <w:t xml:space="preserve"> We note that </w:t>
      </w:r>
      <w:r w:rsidR="00E4557C">
        <w:t xml:space="preserve">an affiliate of </w:t>
      </w:r>
      <w:r>
        <w:t>Kemp</w:t>
      </w:r>
      <w:r w:rsidR="00E4557C">
        <w:t>, Kemp Communications, Inc.,</w:t>
      </w:r>
      <w:r>
        <w:t xml:space="preserve"> received Notices of Violation </w:t>
      </w:r>
      <w:r w:rsidR="004E175C">
        <w:t xml:space="preserve">in May 2013 </w:t>
      </w:r>
      <w:r>
        <w:t xml:space="preserve">concerning a </w:t>
      </w:r>
      <w:r w:rsidR="00E4557C">
        <w:t xml:space="preserve">failure to post antenna structure registration signage on a four-tower array, in violation of Section 17.4(g) of the Rules. </w:t>
      </w:r>
      <w:r w:rsidR="004E175C">
        <w:t xml:space="preserve"> </w:t>
      </w:r>
      <w:r w:rsidR="00E4557C">
        <w:rPr>
          <w:i/>
        </w:rPr>
        <w:t xml:space="preserve">See </w:t>
      </w:r>
      <w:r w:rsidR="00E4557C" w:rsidRPr="00E4557C">
        <w:rPr>
          <w:i/>
        </w:rPr>
        <w:t xml:space="preserve">Kemp </w:t>
      </w:r>
      <w:r w:rsidR="004E175C">
        <w:rPr>
          <w:i/>
        </w:rPr>
        <w:t>Communications, Inc.</w:t>
      </w:r>
      <w:r w:rsidR="004E175C">
        <w:t>,</w:t>
      </w:r>
      <w:r w:rsidR="00E4557C">
        <w:rPr>
          <w:i/>
        </w:rPr>
        <w:t xml:space="preserve"> </w:t>
      </w:r>
      <w:r w:rsidR="00E4557C" w:rsidRPr="00184819">
        <w:t>Notices of Violation, V20133290002</w:t>
      </w:r>
      <w:r w:rsidR="00E4557C">
        <w:t>7</w:t>
      </w:r>
      <w:r w:rsidR="00B75495">
        <w:t>,</w:t>
      </w:r>
      <w:r w:rsidR="00E4557C" w:rsidRPr="00184819">
        <w:t xml:space="preserve"> </w:t>
      </w:r>
      <w:r w:rsidR="00E4557C" w:rsidRPr="00E4557C">
        <w:t>V20133290002</w:t>
      </w:r>
      <w:r w:rsidR="00E4557C">
        <w:t>8</w:t>
      </w:r>
      <w:r w:rsidR="00B75495">
        <w:t>,</w:t>
      </w:r>
      <w:r w:rsidR="00E4557C" w:rsidRPr="00E4557C">
        <w:t xml:space="preserve"> V20133290002</w:t>
      </w:r>
      <w:r w:rsidR="00E4557C">
        <w:t>9</w:t>
      </w:r>
      <w:r w:rsidR="00B75495">
        <w:t>,</w:t>
      </w:r>
      <w:r w:rsidR="00E4557C" w:rsidRPr="00E4557C">
        <w:t xml:space="preserve"> V2013329000</w:t>
      </w:r>
      <w:r w:rsidR="00E4557C">
        <w:t>30</w:t>
      </w:r>
      <w:r w:rsidR="00E4557C" w:rsidRPr="00E4557C">
        <w:t xml:space="preserve"> </w:t>
      </w:r>
      <w:r w:rsidR="00E4557C" w:rsidRPr="00184819">
        <w:t>(</w:t>
      </w:r>
      <w:r w:rsidR="004E175C">
        <w:t xml:space="preserve">rel. </w:t>
      </w:r>
      <w:r w:rsidR="00E4557C" w:rsidRPr="00184819">
        <w:t xml:space="preserve">May </w:t>
      </w:r>
      <w:r w:rsidR="00E4557C">
        <w:t>23</w:t>
      </w:r>
      <w:r w:rsidR="00E4557C" w:rsidRPr="00184819">
        <w:t>, 2013)</w:t>
      </w:r>
      <w:r w:rsidR="00E4557C" w:rsidRPr="00E4557C">
        <w:rPr>
          <w:i/>
        </w:rPr>
        <w:t>.</w:t>
      </w:r>
      <w:r w:rsidR="004E175C">
        <w:t xml:space="preserve">  </w:t>
      </w:r>
      <w:r w:rsidR="00E4557C">
        <w:t>The in</w:t>
      </w:r>
      <w:r w:rsidR="00B75495">
        <w:t>spection</w:t>
      </w:r>
      <w:r w:rsidR="00E4557C">
        <w:t xml:space="preserve"> </w:t>
      </w:r>
      <w:r w:rsidR="00B75495">
        <w:t>underlying these Notices</w:t>
      </w:r>
      <w:r w:rsidR="004E175C">
        <w:t xml:space="preserve"> of Violation</w:t>
      </w:r>
      <w:r w:rsidR="00B75495">
        <w:t xml:space="preserve"> </w:t>
      </w:r>
      <w:r w:rsidR="00E4557C">
        <w:t xml:space="preserve">took place on April 17, 2013, the same day as the initial inspection of the Antenna Structure.  Consequently, at the time of the violation, Kemp had a history of compliance with the Rules.  </w:t>
      </w:r>
      <w:r w:rsidR="00E4557C">
        <w:rPr>
          <w:i/>
        </w:rPr>
        <w:t xml:space="preserve">See </w:t>
      </w:r>
      <w:r w:rsidR="004E175C">
        <w:rPr>
          <w:i/>
        </w:rPr>
        <w:t>One Mart Corp.</w:t>
      </w:r>
      <w:r w:rsidR="00DC42FB">
        <w:t>,</w:t>
      </w:r>
      <w:r w:rsidR="00B75495">
        <w:rPr>
          <w:i/>
        </w:rPr>
        <w:t xml:space="preserve"> </w:t>
      </w:r>
      <w:r w:rsidR="00B75495">
        <w:t xml:space="preserve">Forfeiture Order, 22 FCC Rcd 16679 (Enf. Bur. 2007) (a subject will be considered to have a history of compliance if it has received no sanctions or warnings prior to the day the violation under consideration took place). </w:t>
      </w:r>
    </w:p>
  </w:footnote>
  <w:footnote w:id="18">
    <w:p w14:paraId="6B6C2880" w14:textId="58FFECE2" w:rsidR="004E175C" w:rsidRDefault="004E175C" w:rsidP="00DC42FB">
      <w:pPr>
        <w:pStyle w:val="FootnoteText"/>
        <w:tabs>
          <w:tab w:val="clear" w:pos="720"/>
        </w:tabs>
        <w:ind w:firstLine="0"/>
        <w:jc w:val="left"/>
      </w:pPr>
      <w:r>
        <w:rPr>
          <w:rStyle w:val="FootnoteReference"/>
        </w:rPr>
        <w:footnoteRef/>
      </w:r>
      <w:r>
        <w:t xml:space="preserve"> </w:t>
      </w:r>
      <w:r w:rsidRPr="00F0517B">
        <w:rPr>
          <w:i/>
        </w:rPr>
        <w:t>See</w:t>
      </w:r>
      <w:r>
        <w:rPr>
          <w:i/>
        </w:rPr>
        <w:t>, e.g.</w:t>
      </w:r>
      <w:r>
        <w:t>,</w:t>
      </w:r>
      <w:r w:rsidRPr="00F0517B">
        <w:rPr>
          <w:i/>
        </w:rPr>
        <w:t xml:space="preserve"> Centro Colegial Cristiano, Inc.</w:t>
      </w:r>
      <w:r w:rsidRPr="00F0517B">
        <w:t xml:space="preserve">, Forfeiture Order, 28 FCC Rcd 14734 (Enf. Bur. 2013) (proposed forfeiture reduced based on history </w:t>
      </w:r>
      <w:r>
        <w:t>of compliance with the Rules).</w:t>
      </w:r>
    </w:p>
  </w:footnote>
  <w:footnote w:id="19">
    <w:p w14:paraId="2384013A" w14:textId="4F1134E4" w:rsidR="0066702C" w:rsidRPr="005F515C" w:rsidRDefault="0066702C" w:rsidP="00DC42FB">
      <w:pPr>
        <w:pStyle w:val="FootnoteText"/>
        <w:ind w:firstLine="0"/>
        <w:jc w:val="left"/>
        <w:rPr>
          <w:color w:val="000000"/>
        </w:rPr>
      </w:pPr>
      <w:r w:rsidRPr="005F515C">
        <w:rPr>
          <w:rStyle w:val="FootnoteReference"/>
          <w:color w:val="000000"/>
        </w:rPr>
        <w:footnoteRef/>
      </w:r>
      <w:r w:rsidRPr="005F515C">
        <w:rPr>
          <w:color w:val="000000"/>
        </w:rPr>
        <w:t xml:space="preserve"> 47 U.S.C. §§ 303(q), 503(b); 47 C.F.R. §§ 0.111, 0.204, 0.311, 0.314, 1.80</w:t>
      </w:r>
      <w:r w:rsidR="004E175C">
        <w:rPr>
          <w:color w:val="000000"/>
        </w:rPr>
        <w:t>(f)(4)</w:t>
      </w:r>
      <w:r w:rsidRPr="005F515C">
        <w:rPr>
          <w:color w:val="000000"/>
        </w:rPr>
        <w:t>, 17.47</w:t>
      </w:r>
      <w:r w:rsidR="00664B43">
        <w:rPr>
          <w:color w:val="000000"/>
        </w:rPr>
        <w:t>(a)</w:t>
      </w:r>
      <w:r w:rsidRPr="005F515C">
        <w:rPr>
          <w:color w:val="000000"/>
        </w:rPr>
        <w:t xml:space="preserve">, </w:t>
      </w:r>
      <w:r>
        <w:rPr>
          <w:color w:val="000000"/>
        </w:rPr>
        <w:t>17.48</w:t>
      </w:r>
      <w:r w:rsidR="00A1027A">
        <w:rPr>
          <w:color w:val="000000"/>
        </w:rPr>
        <w:t>(a)</w:t>
      </w:r>
      <w:r>
        <w:rPr>
          <w:color w:val="000000"/>
        </w:rPr>
        <w:t xml:space="preserve">, </w:t>
      </w:r>
      <w:r w:rsidRPr="005F515C">
        <w:rPr>
          <w:color w:val="000000"/>
        </w:rPr>
        <w:t>17.51(b).</w:t>
      </w:r>
    </w:p>
  </w:footnote>
  <w:footnote w:id="20">
    <w:p w14:paraId="234AF86A" w14:textId="77777777" w:rsidR="00A80EF9" w:rsidRPr="00163967" w:rsidRDefault="00A80EF9" w:rsidP="00DC42FB">
      <w:pPr>
        <w:pStyle w:val="FootnoteText"/>
        <w:widowControl/>
        <w:ind w:firstLine="0"/>
        <w:jc w:val="left"/>
        <w:rPr>
          <w:szCs w:val="20"/>
        </w:rPr>
      </w:pPr>
      <w:r w:rsidRPr="00163967">
        <w:rPr>
          <w:rStyle w:val="FootnoteReference"/>
        </w:rPr>
        <w:footnoteRef/>
      </w:r>
      <w:r w:rsidRPr="00163967">
        <w:rPr>
          <w:szCs w:val="20"/>
        </w:rPr>
        <w:t xml:space="preserve"> 47 C.F.R. § 1.80.</w:t>
      </w:r>
    </w:p>
  </w:footnote>
  <w:footnote w:id="21">
    <w:p w14:paraId="0E28AD76" w14:textId="77777777" w:rsidR="00A80EF9" w:rsidRPr="00163967" w:rsidRDefault="00A80EF9" w:rsidP="00DC42FB">
      <w:pPr>
        <w:pStyle w:val="FootnoteText"/>
        <w:widowControl/>
        <w:ind w:firstLine="0"/>
        <w:jc w:val="left"/>
        <w:rPr>
          <w:szCs w:val="20"/>
        </w:rPr>
      </w:pPr>
      <w:r w:rsidRPr="00163967">
        <w:rPr>
          <w:rStyle w:val="FootnoteReference"/>
        </w:rPr>
        <w:footnoteRef/>
      </w:r>
      <w:r w:rsidRPr="00163967">
        <w:rPr>
          <w:szCs w:val="20"/>
        </w:rPr>
        <w:t xml:space="preserve"> 47 U.S.C. § 504(a).</w:t>
      </w:r>
    </w:p>
  </w:footnote>
  <w:footnote w:id="22">
    <w:p w14:paraId="49934F20" w14:textId="77777777" w:rsidR="00A80EF9" w:rsidRPr="00163967" w:rsidRDefault="00A80EF9" w:rsidP="00DC42FB">
      <w:pPr>
        <w:pStyle w:val="FootnoteText"/>
        <w:widowControl/>
        <w:ind w:firstLine="0"/>
        <w:jc w:val="left"/>
        <w:rPr>
          <w:szCs w:val="20"/>
        </w:rPr>
      </w:pPr>
      <w:r w:rsidRPr="00163967">
        <w:rPr>
          <w:rStyle w:val="FootnoteReference"/>
        </w:rPr>
        <w:footnoteRef/>
      </w:r>
      <w:r w:rsidRPr="00163967">
        <w:rPr>
          <w:szCs w:val="20"/>
        </w:rPr>
        <w:t xml:space="preserve"> </w:t>
      </w:r>
      <w:r w:rsidRPr="00163967">
        <w:rPr>
          <w:rFonts w:eastAsia="MS Mincho" w:cs="Arial"/>
          <w:szCs w:val="20"/>
        </w:rPr>
        <w:t>An FCC Form 159 and detailed instructions for completing the form may be obtained at http://www.fcc.gov/Forms/Form159/159.pdf.</w:t>
      </w:r>
    </w:p>
  </w:footnote>
  <w:footnote w:id="23">
    <w:p w14:paraId="334F4E80" w14:textId="77777777" w:rsidR="00A80EF9" w:rsidRPr="00163967" w:rsidRDefault="00A80EF9" w:rsidP="00DC42FB">
      <w:pPr>
        <w:pStyle w:val="FootnoteText"/>
        <w:widowControl/>
        <w:ind w:firstLine="0"/>
        <w:jc w:val="left"/>
        <w:rPr>
          <w:szCs w:val="20"/>
        </w:rPr>
      </w:pPr>
      <w:r w:rsidRPr="00163967">
        <w:rPr>
          <w:rStyle w:val="FootnoteReference"/>
        </w:rPr>
        <w:footnoteRef/>
      </w:r>
      <w:r w:rsidRPr="00163967">
        <w:rPr>
          <w:szCs w:val="20"/>
        </w:rPr>
        <w:t xml:space="preserve"> </w:t>
      </w:r>
      <w:r w:rsidRPr="00163967">
        <w:rPr>
          <w:i/>
          <w:szCs w:val="20"/>
        </w:rPr>
        <w:t>See</w:t>
      </w:r>
      <w:r w:rsidRPr="00163967">
        <w:rPr>
          <w:szCs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64A1C" w14:textId="77777777" w:rsidR="009103C6" w:rsidRDefault="00910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97C9D" w14:textId="7BF3C624" w:rsidR="00A80EF9" w:rsidRDefault="00A80EF9">
    <w:pPr>
      <w:tabs>
        <w:tab w:val="center" w:pos="4680"/>
        <w:tab w:val="right" w:pos="9360"/>
      </w:tabs>
      <w:suppressAutoHyphens/>
      <w:spacing w:line="227" w:lineRule="auto"/>
      <w:jc w:val="both"/>
      <w:rPr>
        <w:b/>
      </w:rPr>
    </w:pPr>
    <w:r>
      <w:rPr>
        <w:b/>
      </w:rPr>
      <w:tab/>
      <w:t>Federal Communications Commission</w:t>
    </w:r>
    <w:r>
      <w:rPr>
        <w:b/>
      </w:rPr>
      <w:tab/>
      <w:t>DA 1</w:t>
    </w:r>
    <w:r w:rsidR="00A470D6">
      <w:rPr>
        <w:b/>
      </w:rPr>
      <w:t>5</w:t>
    </w:r>
    <w:r>
      <w:rPr>
        <w:b/>
      </w:rPr>
      <w:t>-</w:t>
    </w:r>
    <w:r w:rsidR="00424DDD">
      <w:rPr>
        <w:b/>
      </w:rPr>
      <w:t>28</w:t>
    </w:r>
  </w:p>
  <w:p w14:paraId="7E7E8765" w14:textId="77777777" w:rsidR="00A80EF9" w:rsidRDefault="00345358">
    <w:pPr>
      <w:pStyle w:val="Header"/>
      <w:jc w:val="both"/>
      <w:rPr>
        <w:b/>
      </w:rPr>
    </w:pPr>
    <w:r>
      <w:rPr>
        <w:b/>
        <w:noProof/>
      </w:rPr>
      <mc:AlternateContent>
        <mc:Choice Requires="wps">
          <w:drawing>
            <wp:anchor distT="0" distB="0" distL="114300" distR="114300" simplePos="0" relativeHeight="251657216" behindDoc="1" locked="0" layoutInCell="0" allowOverlap="1" wp14:anchorId="290CFB6D" wp14:editId="72164FD3">
              <wp:simplePos x="0" y="0"/>
              <wp:positionH relativeFrom="margin">
                <wp:posOffset>0</wp:posOffset>
              </wp:positionH>
              <wp:positionV relativeFrom="paragraph">
                <wp:posOffset>-8890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83501B"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0;margin-top:-.7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Ue7AIAAD4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" o:allowincell="f" fillcolor="black" stroked="f" strokeweight=".05pt">
              <v:textbox>
                <w:txbxContent>
                  <w:p w14:paraId="0483501B" w14:textId="77777777" w:rsidR="00A80EF9" w:rsidRDefault="00A80EF9"/>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001BB" w14:textId="4FF844D2" w:rsidR="00A80EF9" w:rsidRDefault="00A80EF9">
    <w:pPr>
      <w:tabs>
        <w:tab w:val="center" w:pos="4680"/>
        <w:tab w:val="right" w:pos="9360"/>
      </w:tabs>
      <w:suppressAutoHyphens/>
      <w:spacing w:line="227" w:lineRule="auto"/>
      <w:jc w:val="both"/>
      <w:rPr>
        <w:spacing w:val="-2"/>
      </w:rPr>
    </w:pPr>
    <w:r>
      <w:rPr>
        <w:b/>
        <w:spacing w:val="-2"/>
      </w:rPr>
      <w:tab/>
      <w:t>Federal</w:t>
    </w:r>
    <w:r w:rsidR="00A470D6">
      <w:rPr>
        <w:b/>
        <w:spacing w:val="-2"/>
      </w:rPr>
      <w:t xml:space="preserve"> Communications Commission</w:t>
    </w:r>
    <w:r w:rsidR="00A470D6">
      <w:rPr>
        <w:b/>
        <w:spacing w:val="-2"/>
      </w:rPr>
      <w:tab/>
      <w:t>DA 15</w:t>
    </w:r>
    <w:r>
      <w:rPr>
        <w:b/>
        <w:spacing w:val="-2"/>
      </w:rPr>
      <w:t>-</w:t>
    </w:r>
    <w:r w:rsidR="00424DDD">
      <w:rPr>
        <w:b/>
        <w:spacing w:val="-2"/>
      </w:rPr>
      <w:t>28</w:t>
    </w:r>
  </w:p>
  <w:p w14:paraId="4E0F5559" w14:textId="7A20EEE5" w:rsidR="00A80EF9" w:rsidRPr="008E5F5B" w:rsidRDefault="00345358" w:rsidP="008E5F5B">
    <w:pPr>
      <w:tabs>
        <w:tab w:val="left" w:pos="-1440"/>
        <w:tab w:val="left" w:pos="-720"/>
        <w:tab w:val="left" w:pos="324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622C34" wp14:editId="6546999C">
              <wp:simplePos x="0" y="0"/>
              <wp:positionH relativeFrom="margin">
                <wp:posOffset>0</wp:posOffset>
              </wp:positionH>
              <wp:positionV relativeFrom="paragraph">
                <wp:posOffset>0</wp:posOffset>
              </wp:positionV>
              <wp:extent cx="5943600" cy="12065"/>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642F6" w14:textId="77777777" w:rsidR="00A80EF9" w:rsidRDefault="00A80E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a7wIAAEU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BGlKUa7wIAAEUGAAAOAAAA&#10;AAAAAAAAAAAAAC4CAABkcnMvZTJvRG9jLnhtbFBLAQItABQABgAIAAAAIQAiPO7R1wAAAAMBAAAP&#10;AAAAAAAAAAAAAAAAAEkFAABkcnMvZG93bnJldi54bWxQSwUGAAAAAAQABADzAAAATQYAAAAA&#10;" o:allowincell="f" fillcolor="black" stroked="f" strokeweight=".05pt">
              <v:textbox>
                <w:txbxContent>
                  <w:p w14:paraId="1B4642F6" w14:textId="77777777" w:rsidR="00A80EF9" w:rsidRDefault="00A80EF9"/>
                </w:txbxContent>
              </v:textbox>
              <w10:wrap anchorx="margin"/>
            </v:rect>
          </w:pict>
        </mc:Fallback>
      </mc:AlternateContent>
    </w:r>
    <w:r w:rsidR="00DC2EFE" w:rsidRPr="008E5F5B">
      <w:rPr>
        <w:spacing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645E"/>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1A2F361D"/>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3">
    <w:nsid w:val="1CDB4623"/>
    <w:multiLevelType w:val="hybridMultilevel"/>
    <w:tmpl w:val="3B860DE8"/>
    <w:lvl w:ilvl="0" w:tplc="CABAE556">
      <w:start w:val="1"/>
      <w:numFmt w:val="decimal"/>
      <w:lvlText w:val="%1."/>
      <w:lvlJc w:val="left"/>
      <w:pPr>
        <w:tabs>
          <w:tab w:val="num" w:pos="1260"/>
        </w:tabs>
        <w:ind w:left="180" w:firstLine="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B274C"/>
    <w:multiLevelType w:val="hybridMultilevel"/>
    <w:tmpl w:val="92BE03C4"/>
    <w:lvl w:ilvl="0" w:tplc="6D1AE0AA">
      <w:start w:val="2"/>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2CCD7CCE"/>
    <w:multiLevelType w:val="hybridMultilevel"/>
    <w:tmpl w:val="3DB6DD78"/>
    <w:lvl w:ilvl="0" w:tplc="36049E4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22D9A"/>
    <w:multiLevelType w:val="singleLevel"/>
    <w:tmpl w:val="E0B2BEC6"/>
    <w:lvl w:ilvl="0">
      <w:start w:val="1"/>
      <w:numFmt w:val="decimal"/>
      <w:lvlText w:val="%1."/>
      <w:legacy w:legacy="1" w:legacySpace="0" w:legacyIndent="720"/>
      <w:lvlJc w:val="left"/>
      <w:rPr>
        <w:rFonts w:ascii="Times New Roman" w:hAnsi="Times New Roman" w:cs="Times New Roman" w:hint="default"/>
      </w:rPr>
    </w:lvl>
  </w:abstractNum>
  <w:abstractNum w:abstractNumId="7">
    <w:nsid w:val="3D0F1B3D"/>
    <w:multiLevelType w:val="singleLevel"/>
    <w:tmpl w:val="FBEE92A4"/>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9">
    <w:nsid w:val="432817C4"/>
    <w:multiLevelType w:val="singleLevel"/>
    <w:tmpl w:val="C2CC7D36"/>
    <w:lvl w:ilvl="0">
      <w:start w:val="1"/>
      <w:numFmt w:val="decimal"/>
      <w:lvlText w:val="%1."/>
      <w:lvlJc w:val="left"/>
      <w:pPr>
        <w:tabs>
          <w:tab w:val="num" w:pos="1080"/>
        </w:tabs>
        <w:ind w:left="0" w:firstLine="720"/>
      </w:pPr>
      <w:rPr>
        <w:rFonts w:ascii="Times New Roman" w:hAnsi="Times New Roman" w:hint="default"/>
        <w:b w:val="0"/>
        <w:i w:val="0"/>
        <w:sz w:val="22"/>
        <w:szCs w:val="22"/>
      </w:rPr>
    </w:lvl>
  </w:abstractNum>
  <w:abstractNum w:abstractNumId="10">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1182925"/>
    <w:multiLevelType w:val="singleLevel"/>
    <w:tmpl w:val="D5A8460C"/>
    <w:lvl w:ilvl="0">
      <w:start w:val="1"/>
      <w:numFmt w:val="decimal"/>
      <w:lvlText w:val="%1."/>
      <w:lvlJc w:val="left"/>
      <w:pPr>
        <w:tabs>
          <w:tab w:val="num" w:pos="1080"/>
        </w:tabs>
        <w:ind w:left="0" w:firstLine="720"/>
      </w:pPr>
      <w:rPr>
        <w:b w:val="0"/>
      </w:rPr>
    </w:lvl>
  </w:abstractNum>
  <w:abstractNum w:abstractNumId="1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E5C6F81"/>
    <w:multiLevelType w:val="hybridMultilevel"/>
    <w:tmpl w:val="F0E4DE98"/>
    <w:lvl w:ilvl="0" w:tplc="CABAE556">
      <w:start w:val="1"/>
      <w:numFmt w:val="decimal"/>
      <w:lvlText w:val="%1."/>
      <w:lvlJc w:val="left"/>
      <w:pPr>
        <w:tabs>
          <w:tab w:val="num" w:pos="1080"/>
        </w:tabs>
        <w:ind w:left="0" w:firstLine="720"/>
      </w:pPr>
      <w:rPr>
        <w:rFonts w:ascii="Times New Roman" w:hAnsi="Times New Roman" w:hint="default"/>
        <w:b w:val="0"/>
        <w:i w:val="0"/>
        <w:sz w:val="22"/>
        <w:szCs w:val="22"/>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5"/>
  </w:num>
  <w:num w:numId="4">
    <w:abstractNumId w:val="12"/>
  </w:num>
  <w:num w:numId="5">
    <w:abstractNumId w:val="4"/>
  </w:num>
  <w:num w:numId="6">
    <w:abstractNumId w:val="6"/>
  </w:num>
  <w:num w:numId="7">
    <w:abstractNumId w:val="3"/>
  </w:num>
  <w:num w:numId="8">
    <w:abstractNumId w:val="13"/>
  </w:num>
  <w:num w:numId="9">
    <w:abstractNumId w:val="11"/>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86"/>
    <w:rsid w:val="0000158E"/>
    <w:rsid w:val="00013AE8"/>
    <w:rsid w:val="00017501"/>
    <w:rsid w:val="00045489"/>
    <w:rsid w:val="000478B5"/>
    <w:rsid w:val="00065D52"/>
    <w:rsid w:val="000734BC"/>
    <w:rsid w:val="00080F04"/>
    <w:rsid w:val="00083719"/>
    <w:rsid w:val="00095EBC"/>
    <w:rsid w:val="000A44DB"/>
    <w:rsid w:val="000B4DF2"/>
    <w:rsid w:val="000B7B9C"/>
    <w:rsid w:val="000D4045"/>
    <w:rsid w:val="000D7AF2"/>
    <w:rsid w:val="000D7FCC"/>
    <w:rsid w:val="000E468A"/>
    <w:rsid w:val="000E5BF2"/>
    <w:rsid w:val="001221C1"/>
    <w:rsid w:val="00124944"/>
    <w:rsid w:val="001557D7"/>
    <w:rsid w:val="00156573"/>
    <w:rsid w:val="00160E82"/>
    <w:rsid w:val="00163967"/>
    <w:rsid w:val="00184819"/>
    <w:rsid w:val="00187123"/>
    <w:rsid w:val="001B2825"/>
    <w:rsid w:val="001B4915"/>
    <w:rsid w:val="001B5E6D"/>
    <w:rsid w:val="001C0059"/>
    <w:rsid w:val="001C0F6A"/>
    <w:rsid w:val="001C1B23"/>
    <w:rsid w:val="001C3864"/>
    <w:rsid w:val="001D3E1E"/>
    <w:rsid w:val="001D684D"/>
    <w:rsid w:val="001E108B"/>
    <w:rsid w:val="001E38F2"/>
    <w:rsid w:val="001E3A4D"/>
    <w:rsid w:val="001F0226"/>
    <w:rsid w:val="001F62B1"/>
    <w:rsid w:val="001F73B5"/>
    <w:rsid w:val="00211A8B"/>
    <w:rsid w:val="002161B0"/>
    <w:rsid w:val="00226B3D"/>
    <w:rsid w:val="002375F1"/>
    <w:rsid w:val="00243A06"/>
    <w:rsid w:val="00250566"/>
    <w:rsid w:val="00257394"/>
    <w:rsid w:val="002622B8"/>
    <w:rsid w:val="0026705B"/>
    <w:rsid w:val="0027787A"/>
    <w:rsid w:val="00285A5B"/>
    <w:rsid w:val="00287E3C"/>
    <w:rsid w:val="0029668F"/>
    <w:rsid w:val="002A17C6"/>
    <w:rsid w:val="002A5137"/>
    <w:rsid w:val="002A7814"/>
    <w:rsid w:val="002C4062"/>
    <w:rsid w:val="002C4E7B"/>
    <w:rsid w:val="002C7509"/>
    <w:rsid w:val="00300B98"/>
    <w:rsid w:val="00303D61"/>
    <w:rsid w:val="00306A7D"/>
    <w:rsid w:val="00323B69"/>
    <w:rsid w:val="00334D47"/>
    <w:rsid w:val="00334DCA"/>
    <w:rsid w:val="00341A4F"/>
    <w:rsid w:val="00345358"/>
    <w:rsid w:val="00350320"/>
    <w:rsid w:val="00360754"/>
    <w:rsid w:val="003621F1"/>
    <w:rsid w:val="00370BEA"/>
    <w:rsid w:val="0037278D"/>
    <w:rsid w:val="0038494B"/>
    <w:rsid w:val="003876EE"/>
    <w:rsid w:val="00391E6F"/>
    <w:rsid w:val="003C54FB"/>
    <w:rsid w:val="003D6D1B"/>
    <w:rsid w:val="003F6504"/>
    <w:rsid w:val="0040394E"/>
    <w:rsid w:val="00403CCA"/>
    <w:rsid w:val="00404144"/>
    <w:rsid w:val="00424DDD"/>
    <w:rsid w:val="00430434"/>
    <w:rsid w:val="00430B8A"/>
    <w:rsid w:val="0043171B"/>
    <w:rsid w:val="00436EF6"/>
    <w:rsid w:val="00447053"/>
    <w:rsid w:val="004573F0"/>
    <w:rsid w:val="004645D0"/>
    <w:rsid w:val="00484344"/>
    <w:rsid w:val="00495717"/>
    <w:rsid w:val="004C50D7"/>
    <w:rsid w:val="004C55DA"/>
    <w:rsid w:val="004C6D4D"/>
    <w:rsid w:val="004D32B8"/>
    <w:rsid w:val="004E175C"/>
    <w:rsid w:val="004E4192"/>
    <w:rsid w:val="00500C3C"/>
    <w:rsid w:val="00507736"/>
    <w:rsid w:val="0051192E"/>
    <w:rsid w:val="005215D5"/>
    <w:rsid w:val="00525D4F"/>
    <w:rsid w:val="005269A2"/>
    <w:rsid w:val="00526CFB"/>
    <w:rsid w:val="00532D14"/>
    <w:rsid w:val="00532DC0"/>
    <w:rsid w:val="005511AE"/>
    <w:rsid w:val="00563587"/>
    <w:rsid w:val="00567C29"/>
    <w:rsid w:val="005718DE"/>
    <w:rsid w:val="00580574"/>
    <w:rsid w:val="00594F52"/>
    <w:rsid w:val="005B0CE2"/>
    <w:rsid w:val="005B6CDE"/>
    <w:rsid w:val="005C10DB"/>
    <w:rsid w:val="005E5B28"/>
    <w:rsid w:val="005F2619"/>
    <w:rsid w:val="0061124B"/>
    <w:rsid w:val="00624567"/>
    <w:rsid w:val="00627660"/>
    <w:rsid w:val="00640254"/>
    <w:rsid w:val="0066026B"/>
    <w:rsid w:val="00664B43"/>
    <w:rsid w:val="00665A4F"/>
    <w:rsid w:val="0066702C"/>
    <w:rsid w:val="00667A0E"/>
    <w:rsid w:val="006738C7"/>
    <w:rsid w:val="006A2D87"/>
    <w:rsid w:val="006A5DE0"/>
    <w:rsid w:val="006D2C3C"/>
    <w:rsid w:val="006D604F"/>
    <w:rsid w:val="006E4FD8"/>
    <w:rsid w:val="006E6B64"/>
    <w:rsid w:val="006F1B02"/>
    <w:rsid w:val="006F37EC"/>
    <w:rsid w:val="00701719"/>
    <w:rsid w:val="00726B4C"/>
    <w:rsid w:val="00730C19"/>
    <w:rsid w:val="0073534D"/>
    <w:rsid w:val="007438E7"/>
    <w:rsid w:val="007455B7"/>
    <w:rsid w:val="00745774"/>
    <w:rsid w:val="00747D0C"/>
    <w:rsid w:val="007531E0"/>
    <w:rsid w:val="00755B39"/>
    <w:rsid w:val="0075733D"/>
    <w:rsid w:val="007703F8"/>
    <w:rsid w:val="00774234"/>
    <w:rsid w:val="00786081"/>
    <w:rsid w:val="00792824"/>
    <w:rsid w:val="007B3C8E"/>
    <w:rsid w:val="007D4710"/>
    <w:rsid w:val="00804F58"/>
    <w:rsid w:val="008115F3"/>
    <w:rsid w:val="00817091"/>
    <w:rsid w:val="00835FE8"/>
    <w:rsid w:val="008411BC"/>
    <w:rsid w:val="00843372"/>
    <w:rsid w:val="00855EC9"/>
    <w:rsid w:val="00857739"/>
    <w:rsid w:val="00864481"/>
    <w:rsid w:val="00886B82"/>
    <w:rsid w:val="00890340"/>
    <w:rsid w:val="00895196"/>
    <w:rsid w:val="008A27C4"/>
    <w:rsid w:val="008B3887"/>
    <w:rsid w:val="008B3D50"/>
    <w:rsid w:val="008C1A0C"/>
    <w:rsid w:val="008E079A"/>
    <w:rsid w:val="008E5F5B"/>
    <w:rsid w:val="008E6666"/>
    <w:rsid w:val="009007A7"/>
    <w:rsid w:val="009103C6"/>
    <w:rsid w:val="00912147"/>
    <w:rsid w:val="00916BF0"/>
    <w:rsid w:val="00923CCC"/>
    <w:rsid w:val="00925A53"/>
    <w:rsid w:val="00934211"/>
    <w:rsid w:val="00935623"/>
    <w:rsid w:val="00951A66"/>
    <w:rsid w:val="009564E9"/>
    <w:rsid w:val="00972009"/>
    <w:rsid w:val="009732D2"/>
    <w:rsid w:val="009748F0"/>
    <w:rsid w:val="00991739"/>
    <w:rsid w:val="009A3B4C"/>
    <w:rsid w:val="009A462D"/>
    <w:rsid w:val="009B3B64"/>
    <w:rsid w:val="009C17AA"/>
    <w:rsid w:val="009C19A1"/>
    <w:rsid w:val="009C6F42"/>
    <w:rsid w:val="009E61A9"/>
    <w:rsid w:val="00A04FA3"/>
    <w:rsid w:val="00A1027A"/>
    <w:rsid w:val="00A14EC4"/>
    <w:rsid w:val="00A15C53"/>
    <w:rsid w:val="00A1624B"/>
    <w:rsid w:val="00A22F36"/>
    <w:rsid w:val="00A25592"/>
    <w:rsid w:val="00A31F76"/>
    <w:rsid w:val="00A4026E"/>
    <w:rsid w:val="00A470D6"/>
    <w:rsid w:val="00A52750"/>
    <w:rsid w:val="00A54EF7"/>
    <w:rsid w:val="00A57496"/>
    <w:rsid w:val="00A6515B"/>
    <w:rsid w:val="00A72764"/>
    <w:rsid w:val="00A76318"/>
    <w:rsid w:val="00A80EF9"/>
    <w:rsid w:val="00A85887"/>
    <w:rsid w:val="00A86D7F"/>
    <w:rsid w:val="00A96136"/>
    <w:rsid w:val="00AC1E02"/>
    <w:rsid w:val="00AF6CE4"/>
    <w:rsid w:val="00B055B2"/>
    <w:rsid w:val="00B175EB"/>
    <w:rsid w:val="00B2411E"/>
    <w:rsid w:val="00B33D4E"/>
    <w:rsid w:val="00B41224"/>
    <w:rsid w:val="00B61D95"/>
    <w:rsid w:val="00B62FFD"/>
    <w:rsid w:val="00B6662E"/>
    <w:rsid w:val="00B729B7"/>
    <w:rsid w:val="00B72F18"/>
    <w:rsid w:val="00B75495"/>
    <w:rsid w:val="00B81DE3"/>
    <w:rsid w:val="00B8444B"/>
    <w:rsid w:val="00BA6950"/>
    <w:rsid w:val="00BC4326"/>
    <w:rsid w:val="00BC7C15"/>
    <w:rsid w:val="00BD060F"/>
    <w:rsid w:val="00BD10A2"/>
    <w:rsid w:val="00BF5C9E"/>
    <w:rsid w:val="00C1614E"/>
    <w:rsid w:val="00C16F99"/>
    <w:rsid w:val="00C22884"/>
    <w:rsid w:val="00C330EF"/>
    <w:rsid w:val="00C401BE"/>
    <w:rsid w:val="00C41085"/>
    <w:rsid w:val="00C42218"/>
    <w:rsid w:val="00C42E4D"/>
    <w:rsid w:val="00C45ADC"/>
    <w:rsid w:val="00C67679"/>
    <w:rsid w:val="00CD1DBE"/>
    <w:rsid w:val="00D00FED"/>
    <w:rsid w:val="00D07731"/>
    <w:rsid w:val="00D22F42"/>
    <w:rsid w:val="00D269A7"/>
    <w:rsid w:val="00D44695"/>
    <w:rsid w:val="00D458C8"/>
    <w:rsid w:val="00D471D6"/>
    <w:rsid w:val="00D54BD4"/>
    <w:rsid w:val="00D60D8C"/>
    <w:rsid w:val="00D70CCD"/>
    <w:rsid w:val="00D741DB"/>
    <w:rsid w:val="00D83E65"/>
    <w:rsid w:val="00D9193E"/>
    <w:rsid w:val="00D94C13"/>
    <w:rsid w:val="00DA316C"/>
    <w:rsid w:val="00DA353E"/>
    <w:rsid w:val="00DC25A2"/>
    <w:rsid w:val="00DC2EFE"/>
    <w:rsid w:val="00DC399D"/>
    <w:rsid w:val="00DC42FB"/>
    <w:rsid w:val="00DC59AD"/>
    <w:rsid w:val="00DD1F81"/>
    <w:rsid w:val="00DD22E5"/>
    <w:rsid w:val="00DD5284"/>
    <w:rsid w:val="00DD75F8"/>
    <w:rsid w:val="00DE5386"/>
    <w:rsid w:val="00E01A32"/>
    <w:rsid w:val="00E02B27"/>
    <w:rsid w:val="00E0519C"/>
    <w:rsid w:val="00E26178"/>
    <w:rsid w:val="00E37DD2"/>
    <w:rsid w:val="00E4557C"/>
    <w:rsid w:val="00E570AD"/>
    <w:rsid w:val="00E61A51"/>
    <w:rsid w:val="00E6231A"/>
    <w:rsid w:val="00E71504"/>
    <w:rsid w:val="00E72CE4"/>
    <w:rsid w:val="00E8363E"/>
    <w:rsid w:val="00E91346"/>
    <w:rsid w:val="00E9705D"/>
    <w:rsid w:val="00EA58D7"/>
    <w:rsid w:val="00EB7588"/>
    <w:rsid w:val="00EC740C"/>
    <w:rsid w:val="00ED704F"/>
    <w:rsid w:val="00F052F4"/>
    <w:rsid w:val="00F07DF9"/>
    <w:rsid w:val="00F12E62"/>
    <w:rsid w:val="00F225B6"/>
    <w:rsid w:val="00F34069"/>
    <w:rsid w:val="00F37040"/>
    <w:rsid w:val="00F4427B"/>
    <w:rsid w:val="00F569F3"/>
    <w:rsid w:val="00F62FDD"/>
    <w:rsid w:val="00F6621C"/>
    <w:rsid w:val="00F85FC5"/>
    <w:rsid w:val="00F900FA"/>
    <w:rsid w:val="00F97525"/>
    <w:rsid w:val="00FA5A31"/>
    <w:rsid w:val="00FA623A"/>
    <w:rsid w:val="00FA7F8B"/>
    <w:rsid w:val="00FB29D6"/>
    <w:rsid w:val="00FB3EAE"/>
    <w:rsid w:val="00FB617A"/>
    <w:rsid w:val="00FC0AA9"/>
    <w:rsid w:val="00FC245E"/>
    <w:rsid w:val="00FE3257"/>
    <w:rsid w:val="00FE731F"/>
    <w:rsid w:val="00FF42D5"/>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58E"/>
    <w:rPr>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widowControl w:val="0"/>
      <w:tabs>
        <w:tab w:val="center" w:pos="4680"/>
      </w:tabs>
      <w:suppressAutoHyphens/>
      <w:autoSpaceDE w:val="0"/>
      <w:autoSpaceDN w:val="0"/>
      <w:adjustRightInd w:val="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Pr>
      <w:sz w:val="20"/>
      <w:szCs w:val="20"/>
      <w:vertAlign w:val="superscript"/>
    </w:rPr>
  </w:style>
  <w:style w:type="paragraph" w:styleId="FootnoteText">
    <w:name w:val="footnote text"/>
    <w:aliases w:val="Footnote Text Char1,Footnote Text Char Char,Footnote Text Char1 Char Char,rrfootnote Char Char Char,Footnote Text Char Char Char Char,Footnote Text Char1 Char Char Char Char,rrfootnote Char1 Char Char Char Char,rrfootnote,rrfootnote Char1"/>
    <w:basedOn w:val="Normal"/>
    <w:link w:val="FootnoteTextChar"/>
    <w:pPr>
      <w:widowControl w:val="0"/>
      <w:tabs>
        <w:tab w:val="left" w:pos="720"/>
      </w:tabs>
      <w:suppressAutoHyphens/>
      <w:spacing w:after="120"/>
      <w:ind w:firstLine="360"/>
      <w:jc w:val="both"/>
    </w:pPr>
    <w:rPr>
      <w:snapToGrid w:val="0"/>
      <w:sz w:val="20"/>
    </w:rPr>
  </w:style>
  <w:style w:type="paragraph" w:styleId="BodyText2">
    <w:name w:val="Body Text 2"/>
    <w:basedOn w:val="Normal"/>
    <w:pPr>
      <w:widowControl w:val="0"/>
      <w:tabs>
        <w:tab w:val="center" w:pos="4680"/>
      </w:tabs>
      <w:suppressAutoHyphens/>
      <w:autoSpaceDE w:val="0"/>
      <w:autoSpaceDN w:val="0"/>
      <w:adjustRightInd w:val="0"/>
      <w:spacing w:line="240" w:lineRule="atLeast"/>
      <w:jc w:val="center"/>
      <w:outlineLvl w:val="0"/>
    </w:pPr>
    <w:rPr>
      <w:spacing w:val="-2"/>
      <w:sz w:val="24"/>
      <w:szCs w:val="24"/>
    </w:rPr>
  </w:style>
  <w:style w:type="paragraph" w:customStyle="1" w:styleId="ParaNum">
    <w:name w:val="ParaNum"/>
    <w:basedOn w:val="Normal"/>
    <w:link w:val="ParaNumChar"/>
    <w:pPr>
      <w:numPr>
        <w:numId w:val="2"/>
      </w:numPr>
      <w:tabs>
        <w:tab w:val="clear" w:pos="1080"/>
        <w:tab w:val="num" w:pos="1440"/>
      </w:tabs>
      <w:spacing w:after="220"/>
    </w:pPr>
  </w:style>
  <w:style w:type="character" w:customStyle="1" w:styleId="FootnoteTextChar">
    <w:name w:val="Footnote Text Char"/>
    <w:aliases w:val="Footnote Text Char1 Char,Footnote Text Char Char Char,Footnote Text Char1 Char Char Char,rrfootnote Char Char Char Char,Footnote Text Char Char Char Char Char,Footnote Text Char1 Char Char Char Char Char,rrfootnote Char3"/>
    <w:link w:val="FootnoteText"/>
    <w:rPr>
      <w:snapToGrid w:val="0"/>
      <w:szCs w:val="2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documentbody">
    <w:name w:val="documentbody"/>
    <w:basedOn w:val="DefaultParagraphFont"/>
    <w:uiPriority w:val="99"/>
  </w:style>
  <w:style w:type="character" w:styleId="Hyperlink">
    <w:name w:val="Hyperlink"/>
    <w:rPr>
      <w:color w:val="0000FF"/>
      <w:u w:val="single"/>
    </w:rPr>
  </w:style>
  <w:style w:type="character" w:customStyle="1" w:styleId="searchterm">
    <w:name w:val="searchterm"/>
    <w:basedOn w:val="DefaultParagraphFont"/>
  </w:style>
  <w:style w:type="character" w:customStyle="1" w:styleId="documentbody1">
    <w:name w:val="documentbody1"/>
    <w:rPr>
      <w:rFonts w:ascii="Verdana" w:hAnsi="Verdana" w:hint="default"/>
      <w:sz w:val="19"/>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OC3">
    <w:name w:val="toc 3"/>
    <w:basedOn w:val="Normal"/>
    <w:next w:val="Normal"/>
    <w:semiHidden/>
    <w:pPr>
      <w:widowControl w:val="0"/>
      <w:tabs>
        <w:tab w:val="left" w:pos="2160"/>
        <w:tab w:val="right" w:leader="dot" w:pos="9360"/>
      </w:tabs>
      <w:suppressAutoHyphens/>
      <w:autoSpaceDE w:val="0"/>
      <w:autoSpaceDN w:val="0"/>
      <w:adjustRightInd w:val="0"/>
      <w:ind w:left="2160" w:right="720" w:hanging="720"/>
      <w:jc w:val="both"/>
    </w:pPr>
    <w:rPr>
      <w:sz w:val="20"/>
      <w:szCs w:val="20"/>
    </w:rPr>
  </w:style>
  <w:style w:type="character" w:customStyle="1" w:styleId="term">
    <w:name w:val="term"/>
    <w:basedOn w:val="DefaultParagraphFont"/>
  </w:style>
  <w:style w:type="character" w:customStyle="1" w:styleId="pmterms2">
    <w:name w:val="pmterms2"/>
    <w:basedOn w:val="DefaultParagraphFont"/>
  </w:style>
  <w:style w:type="character" w:customStyle="1" w:styleId="rrfootnoteCharChar">
    <w:name w:val="rrfootnote Char Char"/>
    <w:aliases w:val="rrfootnote Char Char Char1 Char,rrfootnote Char1 Char Char,rrfootnote Char Char1,Footnote Text Char2 Char Char Char Char,Footnote Text Char1 Char2 Char Char Char Char,Footnote Text Char1 Char Char1"/>
    <w:rPr>
      <w:lang w:val="en-US" w:eastAsia="en-US" w:bidi="ar-SA"/>
    </w:rPr>
  </w:style>
  <w:style w:type="character" w:customStyle="1" w:styleId="rrfootnoteCharCharCharCharChar">
    <w:name w:val="rrfootnote Char Char Char Char Char"/>
    <w:aliases w:val="Footnote Text Char Char Char Char Char Char,rrfootnote Char,f Char,fn Char Char"/>
    <w:locked/>
    <w:rPr>
      <w:rFonts w:cs="Times New Roman"/>
      <w:color w:val="000000"/>
      <w:lang w:val="en-US" w:eastAsia="en-US" w:bidi="ar-SA"/>
    </w:rPr>
  </w:style>
  <w:style w:type="paragraph" w:styleId="BodyTextIndent3">
    <w:name w:val="Body Text Indent 3"/>
    <w:basedOn w:val="Normal"/>
    <w:pPr>
      <w:spacing w:after="120"/>
      <w:ind w:left="360"/>
    </w:pPr>
    <w:rPr>
      <w:sz w:val="16"/>
      <w:szCs w:val="16"/>
    </w:rPr>
  </w:style>
  <w:style w:type="character" w:customStyle="1" w:styleId="NOVBodyindented">
    <w:name w:val="NOV Body indented"/>
    <w:rPr>
      <w:sz w:val="22"/>
      <w:szCs w:val="22"/>
    </w:rPr>
  </w:style>
  <w:style w:type="paragraph" w:styleId="BodyText">
    <w:name w:val="Body Text"/>
    <w:basedOn w:val="Normal"/>
    <w:pPr>
      <w:spacing w:after="120"/>
    </w:pPr>
  </w:style>
  <w:style w:type="character" w:customStyle="1" w:styleId="starpage">
    <w:name w:val="starpage"/>
    <w:basedOn w:val="DefaultParagraphFont"/>
  </w:style>
  <w:style w:type="character" w:styleId="CommentReference">
    <w:name w:val="annotation reference"/>
    <w:semiHidden/>
    <w:rPr>
      <w:sz w:val="16"/>
      <w:szCs w:val="16"/>
    </w:rPr>
  </w:style>
  <w:style w:type="paragraph" w:customStyle="1" w:styleId="textinfo">
    <w:name w:val="textinfo"/>
    <w:basedOn w:val="Normal"/>
    <w:pPr>
      <w:spacing w:before="100" w:beforeAutospacing="1" w:after="100" w:afterAutospacing="1"/>
    </w:pPr>
    <w:rPr>
      <w:sz w:val="24"/>
      <w:szCs w:val="24"/>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paragraph" w:styleId="TOAHeading">
    <w:name w:val="toa heading"/>
    <w:basedOn w:val="Normal"/>
    <w:next w:val="Normal"/>
    <w:pPr>
      <w:widowControl w:val="0"/>
      <w:tabs>
        <w:tab w:val="right" w:pos="9360"/>
      </w:tabs>
      <w:suppressAutoHyphens/>
    </w:pPr>
    <w:rPr>
      <w:snapToGrid w:val="0"/>
      <w:kern w:val="28"/>
      <w:szCs w:val="20"/>
    </w:rPr>
  </w:style>
  <w:style w:type="character" w:customStyle="1" w:styleId="FootnoteCharacters">
    <w:name w:val="Footnote Characters"/>
    <w:uiPriority w:val="99"/>
    <w:rPr>
      <w:rFonts w:ascii="Times New Roman" w:hAnsi="Times New Roman"/>
      <w:color w:val="auto"/>
      <w:sz w:val="20"/>
      <w:vertAlign w:val="superscript"/>
    </w:rPr>
  </w:style>
  <w:style w:type="character" w:customStyle="1" w:styleId="FootnoteTextChar2">
    <w:name w:val="Footnote Text Char2"/>
    <w:aliases w:val="Footnote Text Char1 Char1,Footnote Text Char Char Char1,Footnote Text Char1 Char Char Char1,rrfootnote Char Char Char Char1,Footnote Text Char Char Char Char Char1,Footnote Text Char1 Char Char Char Char Char1,rrfootnote Char2"/>
    <w:rPr>
      <w:sz w:val="20"/>
      <w:szCs w:val="20"/>
      <w:lang w:eastAsia="ar-SA"/>
    </w:rPr>
  </w:style>
  <w:style w:type="character" w:customStyle="1" w:styleId="apple-converted-space">
    <w:name w:val="apple-converted-space"/>
  </w:style>
  <w:style w:type="character" w:customStyle="1" w:styleId="ParaNumChar">
    <w:name w:val="ParaNum Char"/>
    <w:link w:val="ParaNum"/>
    <w:locked/>
    <w:rPr>
      <w:sz w:val="22"/>
      <w:szCs w:val="22"/>
    </w:rPr>
  </w:style>
  <w:style w:type="character" w:styleId="Emphasis">
    <w:name w:val="Emphasis"/>
    <w:basedOn w:val="DefaultParagraphFont"/>
    <w:uiPriority w:val="20"/>
    <w:qFormat/>
    <w:rsid w:val="005B0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19204">
      <w:bodyDiv w:val="1"/>
      <w:marLeft w:val="0"/>
      <w:marRight w:val="0"/>
      <w:marTop w:val="0"/>
      <w:marBottom w:val="0"/>
      <w:divBdr>
        <w:top w:val="none" w:sz="0" w:space="0" w:color="auto"/>
        <w:left w:val="none" w:sz="0" w:space="0" w:color="auto"/>
        <w:bottom w:val="none" w:sz="0" w:space="0" w:color="auto"/>
        <w:right w:val="none" w:sz="0" w:space="0" w:color="auto"/>
      </w:divBdr>
    </w:div>
    <w:div w:id="313022983">
      <w:bodyDiv w:val="1"/>
      <w:marLeft w:val="0"/>
      <w:marRight w:val="0"/>
      <w:marTop w:val="0"/>
      <w:marBottom w:val="0"/>
      <w:divBdr>
        <w:top w:val="none" w:sz="0" w:space="0" w:color="auto"/>
        <w:left w:val="none" w:sz="0" w:space="0" w:color="auto"/>
        <w:bottom w:val="none" w:sz="0" w:space="0" w:color="auto"/>
        <w:right w:val="none" w:sz="0" w:space="0" w:color="auto"/>
      </w:divBdr>
      <w:divsChild>
        <w:div w:id="170979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4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669058">
      <w:bodyDiv w:val="1"/>
      <w:marLeft w:val="0"/>
      <w:marRight w:val="0"/>
      <w:marTop w:val="0"/>
      <w:marBottom w:val="0"/>
      <w:divBdr>
        <w:top w:val="none" w:sz="0" w:space="0" w:color="auto"/>
        <w:left w:val="none" w:sz="0" w:space="0" w:color="auto"/>
        <w:bottom w:val="none" w:sz="0" w:space="0" w:color="auto"/>
        <w:right w:val="none" w:sz="0" w:space="0" w:color="auto"/>
      </w:divBdr>
    </w:div>
    <w:div w:id="978337345">
      <w:bodyDiv w:val="1"/>
      <w:marLeft w:val="0"/>
      <w:marRight w:val="0"/>
      <w:marTop w:val="0"/>
      <w:marBottom w:val="0"/>
      <w:divBdr>
        <w:top w:val="none" w:sz="0" w:space="0" w:color="auto"/>
        <w:left w:val="none" w:sz="0" w:space="0" w:color="auto"/>
        <w:bottom w:val="none" w:sz="0" w:space="0" w:color="auto"/>
        <w:right w:val="none" w:sz="0" w:space="0" w:color="auto"/>
      </w:divBdr>
    </w:div>
    <w:div w:id="992223233">
      <w:bodyDiv w:val="1"/>
      <w:marLeft w:val="0"/>
      <w:marRight w:val="0"/>
      <w:marTop w:val="0"/>
      <w:marBottom w:val="0"/>
      <w:divBdr>
        <w:top w:val="none" w:sz="0" w:space="0" w:color="auto"/>
        <w:left w:val="none" w:sz="0" w:space="0" w:color="auto"/>
        <w:bottom w:val="none" w:sz="0" w:space="0" w:color="auto"/>
        <w:right w:val="none" w:sz="0" w:space="0" w:color="auto"/>
      </w:divBdr>
      <w:divsChild>
        <w:div w:id="1303535507">
          <w:marLeft w:val="0"/>
          <w:marRight w:val="0"/>
          <w:marTop w:val="0"/>
          <w:marBottom w:val="0"/>
          <w:divBdr>
            <w:top w:val="none" w:sz="0" w:space="0" w:color="auto"/>
            <w:left w:val="none" w:sz="0" w:space="0" w:color="auto"/>
            <w:bottom w:val="none" w:sz="0" w:space="0" w:color="auto"/>
            <w:right w:val="none" w:sz="0" w:space="0" w:color="auto"/>
          </w:divBdr>
          <w:divsChild>
            <w:div w:id="1258751242">
              <w:marLeft w:val="0"/>
              <w:marRight w:val="0"/>
              <w:marTop w:val="0"/>
              <w:marBottom w:val="0"/>
              <w:divBdr>
                <w:top w:val="none" w:sz="0" w:space="0" w:color="auto"/>
                <w:left w:val="none" w:sz="0" w:space="0" w:color="auto"/>
                <w:bottom w:val="none" w:sz="0" w:space="0" w:color="auto"/>
                <w:right w:val="none" w:sz="0" w:space="0" w:color="auto"/>
              </w:divBdr>
              <w:divsChild>
                <w:div w:id="1388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05">
      <w:bodyDiv w:val="1"/>
      <w:marLeft w:val="0"/>
      <w:marRight w:val="0"/>
      <w:marTop w:val="0"/>
      <w:marBottom w:val="0"/>
      <w:divBdr>
        <w:top w:val="none" w:sz="0" w:space="0" w:color="auto"/>
        <w:left w:val="none" w:sz="0" w:space="0" w:color="auto"/>
        <w:bottom w:val="none" w:sz="0" w:space="0" w:color="auto"/>
        <w:right w:val="none" w:sz="0" w:space="0" w:color="auto"/>
      </w:divBdr>
    </w:div>
    <w:div w:id="1040781086">
      <w:bodyDiv w:val="1"/>
      <w:marLeft w:val="0"/>
      <w:marRight w:val="0"/>
      <w:marTop w:val="0"/>
      <w:marBottom w:val="0"/>
      <w:divBdr>
        <w:top w:val="none" w:sz="0" w:space="0" w:color="auto"/>
        <w:left w:val="none" w:sz="0" w:space="0" w:color="auto"/>
        <w:bottom w:val="none" w:sz="0" w:space="0" w:color="auto"/>
        <w:right w:val="none" w:sz="0" w:space="0" w:color="auto"/>
      </w:divBdr>
    </w:div>
    <w:div w:id="1300377653">
      <w:bodyDiv w:val="1"/>
      <w:marLeft w:val="0"/>
      <w:marRight w:val="0"/>
      <w:marTop w:val="0"/>
      <w:marBottom w:val="0"/>
      <w:divBdr>
        <w:top w:val="none" w:sz="0" w:space="0" w:color="auto"/>
        <w:left w:val="none" w:sz="0" w:space="0" w:color="auto"/>
        <w:bottom w:val="none" w:sz="0" w:space="0" w:color="auto"/>
        <w:right w:val="none" w:sz="0" w:space="0" w:color="auto"/>
      </w:divBdr>
    </w:div>
    <w:div w:id="1865443038">
      <w:bodyDiv w:val="1"/>
      <w:marLeft w:val="30"/>
      <w:marRight w:val="30"/>
      <w:marTop w:val="30"/>
      <w:marBottom w:val="30"/>
      <w:divBdr>
        <w:top w:val="none" w:sz="0" w:space="0" w:color="auto"/>
        <w:left w:val="none" w:sz="0" w:space="0" w:color="auto"/>
        <w:bottom w:val="none" w:sz="0" w:space="0" w:color="auto"/>
        <w:right w:val="none" w:sz="0" w:space="0" w:color="auto"/>
      </w:divBdr>
      <w:divsChild>
        <w:div w:id="331223384">
          <w:marLeft w:val="0"/>
          <w:marRight w:val="0"/>
          <w:marTop w:val="0"/>
          <w:marBottom w:val="0"/>
          <w:divBdr>
            <w:top w:val="none" w:sz="0" w:space="0" w:color="auto"/>
            <w:left w:val="none" w:sz="0" w:space="0" w:color="auto"/>
            <w:bottom w:val="none" w:sz="0" w:space="0" w:color="auto"/>
            <w:right w:val="none" w:sz="0" w:space="0" w:color="auto"/>
          </w:divBdr>
          <w:divsChild>
            <w:div w:id="976959446">
              <w:marLeft w:val="45"/>
              <w:marRight w:val="45"/>
              <w:marTop w:val="45"/>
              <w:marBottom w:val="45"/>
              <w:divBdr>
                <w:top w:val="none" w:sz="0" w:space="0" w:color="auto"/>
                <w:left w:val="none" w:sz="0" w:space="0" w:color="auto"/>
                <w:bottom w:val="none" w:sz="0" w:space="0" w:color="auto"/>
                <w:right w:val="none" w:sz="0" w:space="0" w:color="auto"/>
              </w:divBdr>
              <w:divsChild>
                <w:div w:id="1996255291">
                  <w:marLeft w:val="0"/>
                  <w:marRight w:val="0"/>
                  <w:marTop w:val="0"/>
                  <w:marBottom w:val="0"/>
                  <w:divBdr>
                    <w:top w:val="none" w:sz="0" w:space="0" w:color="auto"/>
                    <w:left w:val="none" w:sz="0" w:space="0" w:color="auto"/>
                    <w:bottom w:val="none" w:sz="0" w:space="0" w:color="auto"/>
                    <w:right w:val="none" w:sz="0" w:space="0" w:color="auto"/>
                  </w:divBdr>
                  <w:divsChild>
                    <w:div w:id="816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7776</Characters>
  <Application>Microsoft Office Word</Application>
  <DocSecurity>0</DocSecurity>
  <Lines>132</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9248</CharactersWithSpaces>
  <SharedDoc>false</SharedDoc>
  <HyperlinkBase> </HyperlinkBase>
  <HLinks>
    <vt:vector size="6" baseType="variant">
      <vt:variant>
        <vt:i4>8126550</vt:i4>
      </vt:variant>
      <vt:variant>
        <vt:i4>0</vt:i4>
      </vt:variant>
      <vt:variant>
        <vt:i4>0</vt:i4>
      </vt:variant>
      <vt:variant>
        <vt:i4>5</vt:i4>
      </vt:variant>
      <vt:variant>
        <vt:lpwstr>mailto:ARINQUIRIES@fcc.gov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2013-08-30T01:41:00Z</cp:lastPrinted>
  <dcterms:created xsi:type="dcterms:W3CDTF">2015-01-09T01:56:00Z</dcterms:created>
  <dcterms:modified xsi:type="dcterms:W3CDTF">2015-01-09T01:56:00Z</dcterms:modified>
  <cp:category> </cp:category>
  <cp:contentStatus> </cp:contentStatus>
</cp:coreProperties>
</file>