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96" w:rsidRDefault="00F34D54">
      <w:pPr>
        <w:suppressAutoHyphens/>
        <w:outlineLvl w:val="0"/>
      </w:pPr>
      <w:bookmarkStart w:id="0" w:name="_GoBack"/>
      <w:bookmarkEnd w:id="0"/>
      <w:r>
        <w:rPr>
          <w:noProof/>
        </w:rPr>
        <w:drawing>
          <wp:anchor distT="155575" distB="155575" distL="155575" distR="155575" simplePos="0" relativeHeight="251658240" behindDoc="0" locked="0" layoutInCell="1" allowOverlap="1" wp14:anchorId="00AAD51D" wp14:editId="34BE6AC4">
            <wp:simplePos x="0" y="0"/>
            <wp:positionH relativeFrom="page">
              <wp:posOffset>251460</wp:posOffset>
            </wp:positionH>
            <wp:positionV relativeFrom="page">
              <wp:posOffset>802640</wp:posOffset>
            </wp:positionV>
            <wp:extent cx="600075" cy="6096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F96">
        <w:rPr>
          <w:b/>
          <w:sz w:val="96"/>
        </w:rPr>
        <w:t>PUBLIC NOTICE</w:t>
      </w:r>
    </w:p>
    <w:p w:rsidR="00FF5F96" w:rsidRDefault="00F34D54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12A1A5" wp14:editId="4DCFFE03">
                <wp:simplePos x="0" y="0"/>
                <wp:positionH relativeFrom="column">
                  <wp:posOffset>3246120</wp:posOffset>
                </wp:positionH>
                <wp:positionV relativeFrom="paragraph">
                  <wp:posOffset>-5715</wp:posOffset>
                </wp:positionV>
                <wp:extent cx="2194560" cy="731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F96" w:rsidRDefault="00FF5F96">
                            <w:pPr>
                              <w:spacing w:before="40"/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br/>
                              <w:t>News Media Information 202 / 418-0500</w:t>
                            </w:r>
                          </w:p>
                          <w:p w:rsidR="00FF5F96" w:rsidRDefault="00FF5F9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ab/>
                              <w:t xml:space="preserve">Internet: </w:t>
                            </w:r>
                            <w:bookmarkStart w:id="1" w:name="_Hlt233824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ttp://www.fcc.gov</w:t>
                            </w:r>
                          </w:p>
                          <w:p w:rsidR="00FF5F96" w:rsidRDefault="00FF5F96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TTY: 1-888-835-5322</w:t>
                            </w:r>
                          </w:p>
                          <w:p w:rsidR="00FF5F96" w:rsidRDefault="00FF5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.6pt;margin-top:-.45pt;width:172.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oP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" o:allowincell="f" filled="f" stroked="f">
                <v:textbox>
                  <w:txbxContent>
                    <w:p w:rsidR="00FF5F96" w:rsidRDefault="00FF5F96">
                      <w:pPr>
                        <w:spacing w:before="40"/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br/>
                        <w:t>News Media Information 202 / 418-0500</w:t>
                      </w:r>
                    </w:p>
                    <w:p w:rsidR="00FF5F96" w:rsidRDefault="00FF5F96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 xml:space="preserve">Internet: </w:t>
                      </w:r>
                      <w:bookmarkStart w:id="1" w:name="_Hlt233824"/>
                      <w:r>
                        <w:rPr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>
                        <w:rPr>
                          <w:rFonts w:ascii="Arial" w:hAnsi="Arial"/>
                          <w:b/>
                          <w:sz w:val="16"/>
                        </w:rPr>
                        <w:t>ttp://www.fcc.gov</w:t>
                      </w:r>
                    </w:p>
                    <w:p w:rsidR="00FF5F96" w:rsidRDefault="00FF5F96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TTY: 1-888-835-5322</w:t>
                      </w:r>
                    </w:p>
                    <w:p w:rsidR="00FF5F96" w:rsidRDefault="00FF5F96"/>
                  </w:txbxContent>
                </v:textbox>
              </v:shape>
            </w:pict>
          </mc:Fallback>
        </mc:AlternateContent>
      </w:r>
    </w:p>
    <w:p w:rsidR="00FF5F96" w:rsidRDefault="00FF5F96">
      <w:pPr>
        <w:suppressAutoHyphens/>
        <w:outlineLvl w:val="0"/>
        <w:rPr>
          <w:b/>
        </w:rPr>
      </w:pPr>
      <w:r>
        <w:rPr>
          <w:b/>
        </w:rPr>
        <w:t>Federal Communications Commission</w:t>
      </w:r>
    </w:p>
    <w:p w:rsidR="00FF5F96" w:rsidRDefault="00FF5F96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b/>
        </w:rPr>
      </w:pPr>
      <w:r>
        <w:rPr>
          <w:b/>
        </w:rPr>
        <w:t>445 12th St., S.W.</w:t>
      </w:r>
    </w:p>
    <w:p w:rsidR="00FF5F96" w:rsidRDefault="00FF5F96">
      <w:p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outlineLvl w:val="0"/>
      </w:pPr>
      <w:r>
        <w:rPr>
          <w:b/>
        </w:rPr>
        <w:t>Washington, D.C. 20554</w:t>
      </w:r>
    </w:p>
    <w:p w:rsidR="00FF5F96" w:rsidRDefault="00FF5F96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</w:pPr>
    </w:p>
    <w:p w:rsidR="00FF5F96" w:rsidRDefault="00FF5F96">
      <w:pPr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 1</w:t>
      </w:r>
      <w:r w:rsidR="003F3BC3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-</w:t>
      </w:r>
      <w:r w:rsidR="00A62147">
        <w:rPr>
          <w:color w:val="000000"/>
          <w:sz w:val="22"/>
          <w:szCs w:val="22"/>
        </w:rPr>
        <w:t>298</w:t>
      </w:r>
    </w:p>
    <w:p w:rsidR="00FF5F96" w:rsidRDefault="000E0B7E">
      <w:pPr>
        <w:jc w:val="right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March </w:t>
      </w:r>
      <w:r w:rsidR="00171BE4">
        <w:rPr>
          <w:color w:val="000000"/>
          <w:sz w:val="22"/>
          <w:szCs w:val="22"/>
        </w:rPr>
        <w:t>9</w:t>
      </w:r>
      <w:r w:rsidR="00FF5F96">
        <w:rPr>
          <w:color w:val="000000"/>
          <w:sz w:val="22"/>
          <w:szCs w:val="22"/>
        </w:rPr>
        <w:t>, 201</w:t>
      </w:r>
      <w:r w:rsidR="003F3BC3">
        <w:rPr>
          <w:color w:val="000000"/>
          <w:sz w:val="22"/>
          <w:szCs w:val="22"/>
        </w:rPr>
        <w:t>5</w:t>
      </w:r>
    </w:p>
    <w:p w:rsidR="00FF5F96" w:rsidRDefault="00FF5F96">
      <w:pPr>
        <w:jc w:val="right"/>
        <w:outlineLvl w:val="0"/>
        <w:rPr>
          <w:color w:val="000000"/>
          <w:sz w:val="22"/>
          <w:szCs w:val="22"/>
        </w:rPr>
      </w:pPr>
    </w:p>
    <w:p w:rsidR="00A94CB6" w:rsidRDefault="00D603DF">
      <w:pPr>
        <w:pStyle w:val="BodyText"/>
        <w:jc w:val="center"/>
        <w:rPr>
          <w:b/>
          <w:szCs w:val="22"/>
        </w:rPr>
      </w:pPr>
      <w:bookmarkStart w:id="2" w:name="OLE_LINK1"/>
      <w:bookmarkStart w:id="3" w:name="OLE_LINK2"/>
      <w:r>
        <w:rPr>
          <w:b/>
          <w:szCs w:val="22"/>
        </w:rPr>
        <w:t xml:space="preserve">INTERNATIONAL BUREAU ANNOUNCES </w:t>
      </w:r>
      <w:r w:rsidR="008E6371">
        <w:rPr>
          <w:b/>
          <w:szCs w:val="22"/>
        </w:rPr>
        <w:t xml:space="preserve">FILING WINDOW FOR </w:t>
      </w:r>
      <w:r w:rsidR="00A94CB6">
        <w:rPr>
          <w:b/>
          <w:szCs w:val="22"/>
        </w:rPr>
        <w:t xml:space="preserve">ANNUAL </w:t>
      </w:r>
      <w:r>
        <w:rPr>
          <w:b/>
          <w:szCs w:val="22"/>
        </w:rPr>
        <w:t xml:space="preserve">SECTION 43.62 </w:t>
      </w:r>
      <w:r w:rsidR="0089457B">
        <w:rPr>
          <w:b/>
          <w:szCs w:val="22"/>
        </w:rPr>
        <w:t xml:space="preserve">INTERNATIONAL </w:t>
      </w:r>
      <w:r w:rsidR="00A94CB6">
        <w:rPr>
          <w:b/>
          <w:szCs w:val="22"/>
        </w:rPr>
        <w:t xml:space="preserve">CIRCUIT CAPACITY REPORTS </w:t>
      </w:r>
    </w:p>
    <w:p w:rsidR="00A94CB6" w:rsidRDefault="00A94CB6">
      <w:pPr>
        <w:pStyle w:val="BodyText"/>
        <w:jc w:val="center"/>
        <w:rPr>
          <w:b/>
          <w:szCs w:val="22"/>
        </w:rPr>
      </w:pPr>
    </w:p>
    <w:p w:rsidR="004E25A7" w:rsidRDefault="00A94CB6">
      <w:pPr>
        <w:pStyle w:val="BodyText"/>
        <w:jc w:val="center"/>
        <w:rPr>
          <w:b/>
          <w:szCs w:val="22"/>
        </w:rPr>
      </w:pPr>
      <w:r>
        <w:rPr>
          <w:b/>
          <w:szCs w:val="22"/>
        </w:rPr>
        <w:t>Circuit Capacity Holders to File Report</w:t>
      </w:r>
      <w:r w:rsidR="00877BC4">
        <w:rPr>
          <w:b/>
          <w:szCs w:val="22"/>
        </w:rPr>
        <w:t>s</w:t>
      </w:r>
      <w:r>
        <w:rPr>
          <w:b/>
          <w:szCs w:val="22"/>
        </w:rPr>
        <w:t xml:space="preserve"> Electronically</w:t>
      </w:r>
      <w:r w:rsidR="008E6371">
        <w:rPr>
          <w:b/>
          <w:szCs w:val="22"/>
        </w:rPr>
        <w:t xml:space="preserve"> </w:t>
      </w:r>
    </w:p>
    <w:p w:rsidR="003F3BC3" w:rsidRDefault="008E6371">
      <w:pPr>
        <w:pStyle w:val="BodyText"/>
        <w:jc w:val="center"/>
        <w:rPr>
          <w:b/>
          <w:szCs w:val="22"/>
        </w:rPr>
      </w:pPr>
      <w:r>
        <w:rPr>
          <w:b/>
          <w:szCs w:val="22"/>
        </w:rPr>
        <w:t>from March 30, 2015 to April 30, 2015</w:t>
      </w:r>
    </w:p>
    <w:p w:rsidR="003F3BC3" w:rsidRDefault="003F3BC3">
      <w:pPr>
        <w:pStyle w:val="BodyText"/>
        <w:jc w:val="center"/>
        <w:rPr>
          <w:b/>
          <w:szCs w:val="22"/>
        </w:rPr>
      </w:pPr>
    </w:p>
    <w:p w:rsidR="00FF5F96" w:rsidRDefault="00FF5F96">
      <w:pPr>
        <w:pStyle w:val="BodyText"/>
        <w:jc w:val="center"/>
        <w:rPr>
          <w:b/>
          <w:szCs w:val="22"/>
        </w:rPr>
      </w:pPr>
      <w:r>
        <w:rPr>
          <w:b/>
          <w:szCs w:val="22"/>
        </w:rPr>
        <w:t>IB Docket No. 04-112</w:t>
      </w:r>
    </w:p>
    <w:bookmarkEnd w:id="2"/>
    <w:bookmarkEnd w:id="3"/>
    <w:p w:rsidR="00FF5F96" w:rsidRDefault="00FF5F96">
      <w:pPr>
        <w:keepNext/>
        <w:rPr>
          <w:sz w:val="22"/>
          <w:szCs w:val="22"/>
        </w:rPr>
      </w:pPr>
    </w:p>
    <w:p w:rsidR="00323BD8" w:rsidRDefault="003F3BC3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On February 11, 2015, </w:t>
      </w:r>
      <w:r w:rsidR="00A94CB6">
        <w:rPr>
          <w:sz w:val="22"/>
          <w:szCs w:val="22"/>
        </w:rPr>
        <w:t>section 43.62 of the Commission’s rules</w:t>
      </w:r>
      <w:r w:rsidR="00A94CB6">
        <w:rPr>
          <w:rStyle w:val="FootnoteReference"/>
          <w:sz w:val="22"/>
          <w:szCs w:val="22"/>
        </w:rPr>
        <w:footnoteReference w:id="1"/>
      </w:r>
      <w:r w:rsidR="00A94CB6">
        <w:rPr>
          <w:sz w:val="22"/>
          <w:szCs w:val="22"/>
        </w:rPr>
        <w:t xml:space="preserve"> </w:t>
      </w:r>
      <w:r>
        <w:rPr>
          <w:sz w:val="22"/>
          <w:szCs w:val="22"/>
        </w:rPr>
        <w:t>went into effect.</w:t>
      </w:r>
      <w:r>
        <w:rPr>
          <w:rStyle w:val="FootnoteReference"/>
          <w:sz w:val="22"/>
          <w:szCs w:val="22"/>
        </w:rPr>
        <w:footnoteReference w:id="2"/>
      </w:r>
      <w:r w:rsidR="00FE57FA">
        <w:rPr>
          <w:sz w:val="22"/>
          <w:szCs w:val="22"/>
        </w:rPr>
        <w:t xml:space="preserve"> </w:t>
      </w:r>
      <w:r w:rsidR="00D603DF">
        <w:rPr>
          <w:sz w:val="22"/>
          <w:szCs w:val="22"/>
        </w:rPr>
        <w:t xml:space="preserve"> In a public notice anno</w:t>
      </w:r>
      <w:r w:rsidR="00D42781">
        <w:rPr>
          <w:sz w:val="22"/>
          <w:szCs w:val="22"/>
        </w:rPr>
        <w:t>un</w:t>
      </w:r>
      <w:r w:rsidR="00D603DF">
        <w:rPr>
          <w:sz w:val="22"/>
          <w:szCs w:val="22"/>
        </w:rPr>
        <w:t xml:space="preserve">cing the effective dates of the rules, the International Bureau stated that it </w:t>
      </w:r>
      <w:r w:rsidR="00ED7A6B">
        <w:rPr>
          <w:sz w:val="22"/>
          <w:szCs w:val="22"/>
        </w:rPr>
        <w:t xml:space="preserve">would </w:t>
      </w:r>
      <w:r w:rsidR="00D603DF">
        <w:rPr>
          <w:sz w:val="22"/>
          <w:szCs w:val="22"/>
        </w:rPr>
        <w:t xml:space="preserve">release a </w:t>
      </w:r>
      <w:r w:rsidR="00D42781">
        <w:rPr>
          <w:sz w:val="22"/>
          <w:szCs w:val="22"/>
        </w:rPr>
        <w:t>separate</w:t>
      </w:r>
      <w:r w:rsidR="00D603DF">
        <w:rPr>
          <w:sz w:val="22"/>
          <w:szCs w:val="22"/>
        </w:rPr>
        <w:t xml:space="preserve"> public notice announcing the filing date for the annual circuit capacity reports.</w:t>
      </w:r>
      <w:r w:rsidR="00D603DF">
        <w:rPr>
          <w:rStyle w:val="FootnoteReference"/>
          <w:sz w:val="22"/>
          <w:szCs w:val="22"/>
        </w:rPr>
        <w:footnoteReference w:id="3"/>
      </w:r>
      <w:r w:rsidR="00D603DF">
        <w:rPr>
          <w:sz w:val="22"/>
          <w:szCs w:val="22"/>
        </w:rPr>
        <w:t xml:space="preserve">  </w:t>
      </w:r>
      <w:r w:rsidR="00B24004">
        <w:rPr>
          <w:sz w:val="22"/>
          <w:szCs w:val="22"/>
        </w:rPr>
        <w:t>S</w:t>
      </w:r>
      <w:r w:rsidR="00323BD8" w:rsidRPr="00323BD8">
        <w:rPr>
          <w:sz w:val="22"/>
          <w:szCs w:val="22"/>
        </w:rPr>
        <w:t>ection 43.62 requires circuit capacity reports to be filed by March 31 of each year</w:t>
      </w:r>
      <w:r w:rsidR="00B24004">
        <w:rPr>
          <w:sz w:val="22"/>
          <w:szCs w:val="22"/>
        </w:rPr>
        <w:t xml:space="preserve">. </w:t>
      </w:r>
      <w:r w:rsidR="003371D8">
        <w:rPr>
          <w:sz w:val="22"/>
          <w:szCs w:val="22"/>
        </w:rPr>
        <w:t xml:space="preserve"> </w:t>
      </w:r>
      <w:r w:rsidR="00B24004">
        <w:rPr>
          <w:sz w:val="22"/>
          <w:szCs w:val="22"/>
        </w:rPr>
        <w:t>D</w:t>
      </w:r>
      <w:r w:rsidR="00323BD8" w:rsidRPr="00323BD8">
        <w:rPr>
          <w:sz w:val="22"/>
          <w:szCs w:val="22"/>
        </w:rPr>
        <w:t xml:space="preserve">ue to the transition to the new </w:t>
      </w:r>
      <w:r w:rsidR="00D42781">
        <w:rPr>
          <w:sz w:val="22"/>
          <w:szCs w:val="22"/>
        </w:rPr>
        <w:t>electronic filing system (</w:t>
      </w:r>
      <w:r w:rsidR="00D6661B">
        <w:rPr>
          <w:sz w:val="22"/>
          <w:szCs w:val="22"/>
        </w:rPr>
        <w:t>Section 43.62</w:t>
      </w:r>
      <w:r w:rsidR="00D42781">
        <w:rPr>
          <w:sz w:val="22"/>
          <w:szCs w:val="22"/>
        </w:rPr>
        <w:t xml:space="preserve"> online filing system)</w:t>
      </w:r>
      <w:r w:rsidR="00323BD8" w:rsidRPr="00323BD8">
        <w:rPr>
          <w:sz w:val="22"/>
          <w:szCs w:val="22"/>
        </w:rPr>
        <w:t xml:space="preserve">, </w:t>
      </w:r>
      <w:r w:rsidR="00B24004">
        <w:rPr>
          <w:sz w:val="22"/>
          <w:szCs w:val="22"/>
        </w:rPr>
        <w:t>however,</w:t>
      </w:r>
      <w:r w:rsidR="00264C54">
        <w:rPr>
          <w:sz w:val="22"/>
          <w:szCs w:val="22"/>
        </w:rPr>
        <w:t xml:space="preserve"> </w:t>
      </w:r>
      <w:r w:rsidR="00B337EF">
        <w:rPr>
          <w:sz w:val="22"/>
          <w:szCs w:val="22"/>
        </w:rPr>
        <w:t xml:space="preserve">the 2015 reports of circuit capacity as of December 31, 2014 </w:t>
      </w:r>
      <w:r w:rsidR="006A2BCC">
        <w:rPr>
          <w:sz w:val="22"/>
          <w:szCs w:val="22"/>
        </w:rPr>
        <w:t xml:space="preserve">will be </w:t>
      </w:r>
      <w:r w:rsidR="00B337EF">
        <w:rPr>
          <w:sz w:val="22"/>
          <w:szCs w:val="22"/>
        </w:rPr>
        <w:t xml:space="preserve">due by April </w:t>
      </w:r>
      <w:r w:rsidR="008C5E72">
        <w:rPr>
          <w:sz w:val="22"/>
          <w:szCs w:val="22"/>
        </w:rPr>
        <w:t>30</w:t>
      </w:r>
      <w:r w:rsidR="00B337EF">
        <w:rPr>
          <w:sz w:val="22"/>
          <w:szCs w:val="22"/>
        </w:rPr>
        <w:t>, 2015</w:t>
      </w:r>
      <w:r w:rsidR="00B37B0A">
        <w:rPr>
          <w:sz w:val="22"/>
          <w:szCs w:val="22"/>
        </w:rPr>
        <w:t>,</w:t>
      </w:r>
      <w:r w:rsidR="008C5E72">
        <w:rPr>
          <w:sz w:val="22"/>
          <w:szCs w:val="22"/>
        </w:rPr>
        <w:t xml:space="preserve"> with a filing window of March </w:t>
      </w:r>
      <w:r w:rsidR="00B37B0A">
        <w:rPr>
          <w:sz w:val="22"/>
          <w:szCs w:val="22"/>
        </w:rPr>
        <w:t>3</w:t>
      </w:r>
      <w:r w:rsidR="008C5E72">
        <w:rPr>
          <w:sz w:val="22"/>
          <w:szCs w:val="22"/>
        </w:rPr>
        <w:t>0, 2015 to April 30</w:t>
      </w:r>
      <w:r w:rsidR="00B37B0A">
        <w:rPr>
          <w:sz w:val="22"/>
          <w:szCs w:val="22"/>
        </w:rPr>
        <w:t>, 2015</w:t>
      </w:r>
      <w:r w:rsidR="00B337EF">
        <w:rPr>
          <w:sz w:val="22"/>
          <w:szCs w:val="22"/>
        </w:rPr>
        <w:t>.</w:t>
      </w:r>
      <w:r w:rsidR="009E5A93">
        <w:rPr>
          <w:rStyle w:val="FootnoteReference"/>
          <w:sz w:val="22"/>
          <w:szCs w:val="22"/>
        </w:rPr>
        <w:footnoteReference w:id="4"/>
      </w:r>
    </w:p>
    <w:p w:rsidR="00323BD8" w:rsidRDefault="00323BD8">
      <w:pPr>
        <w:ind w:firstLine="720"/>
        <w:rPr>
          <w:sz w:val="22"/>
          <w:szCs w:val="22"/>
        </w:rPr>
      </w:pPr>
    </w:p>
    <w:p w:rsidR="007B2EED" w:rsidRDefault="00A94CB6">
      <w:pPr>
        <w:ind w:firstLine="720"/>
        <w:rPr>
          <w:sz w:val="22"/>
          <w:szCs w:val="22"/>
        </w:rPr>
      </w:pPr>
      <w:r w:rsidRPr="00A94CB6">
        <w:rPr>
          <w:sz w:val="22"/>
          <w:szCs w:val="22"/>
        </w:rPr>
        <w:t>Section 43.62 annual circuit capacity reporting requirements apply to (1) any facilities-based common carrier with active satellite or terrestrial circuits between the United States and a foreign point; (2) any non-common carrier satellite licensee with active circuits between the United States and a foreign point; (3) any licensee of a submarine cable between the United States and a foreign point; or (4) any common carrier with capacity on a submarine cable between the United States and a foreign point</w:t>
      </w:r>
      <w:r>
        <w:rPr>
          <w:sz w:val="22"/>
          <w:szCs w:val="22"/>
        </w:rPr>
        <w:t xml:space="preserve"> (collectively, “circuit capacity holders”)</w:t>
      </w:r>
      <w:r w:rsidRPr="00A94CB6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r w:rsidR="00B24004" w:rsidRPr="00B24004">
        <w:rPr>
          <w:sz w:val="22"/>
          <w:szCs w:val="22"/>
        </w:rPr>
        <w:t xml:space="preserve">During the March 30-April 30, 2015 filing window, </w:t>
      </w:r>
      <w:r w:rsidR="00B24004">
        <w:rPr>
          <w:sz w:val="22"/>
          <w:szCs w:val="22"/>
        </w:rPr>
        <w:t>c</w:t>
      </w:r>
      <w:r>
        <w:rPr>
          <w:sz w:val="22"/>
          <w:szCs w:val="22"/>
        </w:rPr>
        <w:t xml:space="preserve">ircuit capacity holders </w:t>
      </w:r>
      <w:r w:rsidR="00382D18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file reports </w:t>
      </w:r>
      <w:r w:rsidR="002C6B03">
        <w:rPr>
          <w:sz w:val="22"/>
          <w:szCs w:val="22"/>
        </w:rPr>
        <w:t>of the</w:t>
      </w:r>
      <w:r w:rsidR="005A7254">
        <w:rPr>
          <w:sz w:val="22"/>
          <w:szCs w:val="22"/>
        </w:rPr>
        <w:t xml:space="preserve"> </w:t>
      </w:r>
      <w:r w:rsidR="002C6B03">
        <w:rPr>
          <w:sz w:val="22"/>
          <w:szCs w:val="22"/>
        </w:rPr>
        <w:t xml:space="preserve">circuit capacity </w:t>
      </w:r>
      <w:r w:rsidR="00B24004">
        <w:rPr>
          <w:sz w:val="22"/>
          <w:szCs w:val="22"/>
        </w:rPr>
        <w:t xml:space="preserve">they </w:t>
      </w:r>
      <w:r w:rsidR="002C6B03">
        <w:rPr>
          <w:sz w:val="22"/>
          <w:szCs w:val="22"/>
        </w:rPr>
        <w:t>h</w:t>
      </w:r>
      <w:r w:rsidR="00382D18">
        <w:rPr>
          <w:sz w:val="22"/>
          <w:szCs w:val="22"/>
        </w:rPr>
        <w:t>e</w:t>
      </w:r>
      <w:r w:rsidR="002C6B03">
        <w:rPr>
          <w:sz w:val="22"/>
          <w:szCs w:val="22"/>
        </w:rPr>
        <w:t xml:space="preserve">ld </w:t>
      </w:r>
      <w:r w:rsidR="00D42781">
        <w:rPr>
          <w:sz w:val="22"/>
          <w:szCs w:val="22"/>
        </w:rPr>
        <w:t xml:space="preserve">as of </w:t>
      </w:r>
      <w:r w:rsidR="002C6B03">
        <w:rPr>
          <w:sz w:val="22"/>
          <w:szCs w:val="22"/>
        </w:rPr>
        <w:t>December 31, 2014</w:t>
      </w:r>
      <w:r>
        <w:rPr>
          <w:sz w:val="22"/>
          <w:szCs w:val="22"/>
        </w:rPr>
        <w:t>.</w:t>
      </w:r>
      <w:r w:rsidR="00323BD8">
        <w:rPr>
          <w:rStyle w:val="FootnoteReference"/>
          <w:sz w:val="22"/>
          <w:szCs w:val="22"/>
        </w:rPr>
        <w:footnoteReference w:id="5"/>
      </w:r>
    </w:p>
    <w:p w:rsidR="007B2EED" w:rsidRDefault="007B2EED">
      <w:pPr>
        <w:ind w:firstLine="720"/>
        <w:rPr>
          <w:sz w:val="22"/>
          <w:szCs w:val="22"/>
        </w:rPr>
      </w:pPr>
    </w:p>
    <w:p w:rsidR="00EB7EE1" w:rsidRDefault="00A94CB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171BE4">
        <w:rPr>
          <w:sz w:val="22"/>
          <w:szCs w:val="22"/>
        </w:rPr>
        <w:t xml:space="preserve">International </w:t>
      </w:r>
      <w:r>
        <w:rPr>
          <w:sz w:val="22"/>
          <w:szCs w:val="22"/>
        </w:rPr>
        <w:t xml:space="preserve">Bureau previously released the </w:t>
      </w:r>
      <w:r w:rsidR="007B2EED">
        <w:rPr>
          <w:sz w:val="22"/>
          <w:szCs w:val="22"/>
        </w:rPr>
        <w:t>Filing Manual</w:t>
      </w:r>
      <w:r>
        <w:rPr>
          <w:sz w:val="22"/>
          <w:szCs w:val="22"/>
        </w:rPr>
        <w:t xml:space="preserve"> for Section 43.62 Annual Reports (Filing Manual)</w:t>
      </w:r>
      <w:r w:rsidR="007B2EED">
        <w:rPr>
          <w:sz w:val="22"/>
          <w:szCs w:val="22"/>
        </w:rPr>
        <w:t>,</w:t>
      </w:r>
      <w:r w:rsidR="007B2EED">
        <w:rPr>
          <w:rStyle w:val="FootnoteReference"/>
          <w:sz w:val="22"/>
          <w:szCs w:val="22"/>
        </w:rPr>
        <w:footnoteReference w:id="6"/>
      </w:r>
      <w:r w:rsidR="007B2EED">
        <w:rPr>
          <w:sz w:val="22"/>
          <w:szCs w:val="22"/>
        </w:rPr>
        <w:t xml:space="preserve"> which provides directions including data specifications for completing </w:t>
      </w:r>
      <w:r w:rsidR="007B2EED">
        <w:rPr>
          <w:sz w:val="22"/>
          <w:szCs w:val="22"/>
        </w:rPr>
        <w:lastRenderedPageBreak/>
        <w:t xml:space="preserve">the </w:t>
      </w:r>
      <w:r w:rsidR="007B2EED">
        <w:rPr>
          <w:color w:val="000000"/>
          <w:spacing w:val="-3"/>
          <w:sz w:val="22"/>
          <w:szCs w:val="22"/>
        </w:rPr>
        <w:t xml:space="preserve">circuit capacity report.  </w:t>
      </w:r>
      <w:r w:rsidR="0058028E">
        <w:rPr>
          <w:color w:val="000000"/>
          <w:spacing w:val="-3"/>
          <w:sz w:val="22"/>
          <w:szCs w:val="22"/>
        </w:rPr>
        <w:t>T</w:t>
      </w:r>
      <w:r w:rsidR="0058028E" w:rsidRPr="0058028E">
        <w:rPr>
          <w:color w:val="000000"/>
          <w:spacing w:val="-3"/>
          <w:sz w:val="22"/>
          <w:szCs w:val="22"/>
        </w:rPr>
        <w:t>he Filing Manual</w:t>
      </w:r>
      <w:r w:rsidR="007B2EED">
        <w:rPr>
          <w:sz w:val="22"/>
          <w:szCs w:val="22"/>
        </w:rPr>
        <w:t xml:space="preserve"> sets forth instructions on how to file the reports, including who must file, which of the reports to file, the information that each report must contain, and the filing procedures.</w:t>
      </w:r>
    </w:p>
    <w:p w:rsidR="007B2EED" w:rsidRDefault="007B2EED" w:rsidP="00112E24">
      <w:pPr>
        <w:ind w:firstLine="720"/>
        <w:rPr>
          <w:sz w:val="22"/>
          <w:szCs w:val="22"/>
        </w:rPr>
      </w:pPr>
    </w:p>
    <w:p w:rsidR="006F49A4" w:rsidRDefault="009E5A93" w:rsidP="00112E24">
      <w:pPr>
        <w:ind w:firstLine="720"/>
        <w:rPr>
          <w:sz w:val="22"/>
          <w:szCs w:val="22"/>
        </w:rPr>
      </w:pPr>
      <w:r w:rsidRPr="00CD3CB5">
        <w:rPr>
          <w:sz w:val="22"/>
          <w:szCs w:val="22"/>
        </w:rPr>
        <w:t xml:space="preserve">Circuit capacity holders must file their reports using the </w:t>
      </w:r>
      <w:r w:rsidR="00D6661B">
        <w:rPr>
          <w:sz w:val="22"/>
          <w:szCs w:val="22"/>
        </w:rPr>
        <w:t xml:space="preserve">Section 43.62 </w:t>
      </w:r>
      <w:r w:rsidR="00CD3CB5">
        <w:rPr>
          <w:sz w:val="22"/>
          <w:szCs w:val="22"/>
        </w:rPr>
        <w:t>online</w:t>
      </w:r>
      <w:r w:rsidRPr="00CD3CB5">
        <w:rPr>
          <w:sz w:val="22"/>
          <w:szCs w:val="22"/>
        </w:rPr>
        <w:t xml:space="preserve"> filing system, which </w:t>
      </w:r>
      <w:r w:rsidR="008C5E72">
        <w:rPr>
          <w:sz w:val="22"/>
          <w:szCs w:val="22"/>
        </w:rPr>
        <w:t xml:space="preserve">will go live on March </w:t>
      </w:r>
      <w:r w:rsidR="00CD3CB5" w:rsidRPr="00B85034">
        <w:rPr>
          <w:sz w:val="22"/>
          <w:szCs w:val="22"/>
        </w:rPr>
        <w:t>3</w:t>
      </w:r>
      <w:r w:rsidR="008C5E72">
        <w:rPr>
          <w:sz w:val="22"/>
          <w:szCs w:val="22"/>
        </w:rPr>
        <w:t>0</w:t>
      </w:r>
      <w:r w:rsidR="00CD3CB5" w:rsidRPr="00B85034">
        <w:rPr>
          <w:sz w:val="22"/>
          <w:szCs w:val="22"/>
        </w:rPr>
        <w:t>, 2015</w:t>
      </w:r>
      <w:r w:rsidR="00B37B0A">
        <w:rPr>
          <w:sz w:val="22"/>
          <w:szCs w:val="22"/>
        </w:rPr>
        <w:t xml:space="preserve">.  </w:t>
      </w:r>
      <w:r w:rsidR="007318E1">
        <w:rPr>
          <w:sz w:val="22"/>
          <w:szCs w:val="22"/>
        </w:rPr>
        <w:t>We urge circuit capacity holders to file their reports as early as possible during this year’s filing window</w:t>
      </w:r>
      <w:r w:rsidR="00ED7A6B">
        <w:rPr>
          <w:sz w:val="22"/>
          <w:szCs w:val="22"/>
        </w:rPr>
        <w:t>,</w:t>
      </w:r>
      <w:r w:rsidR="007318E1">
        <w:rPr>
          <w:sz w:val="22"/>
          <w:szCs w:val="22"/>
        </w:rPr>
        <w:t xml:space="preserve"> which will remain open until April 30, 2015.</w:t>
      </w:r>
    </w:p>
    <w:p w:rsidR="006F49A4" w:rsidRDefault="006F49A4" w:rsidP="00112E24">
      <w:pPr>
        <w:ind w:firstLine="720"/>
        <w:rPr>
          <w:sz w:val="22"/>
          <w:szCs w:val="22"/>
        </w:rPr>
      </w:pPr>
    </w:p>
    <w:p w:rsidR="009E4E76" w:rsidRDefault="00BB310C" w:rsidP="00112E24">
      <w:pPr>
        <w:ind w:firstLine="720"/>
        <w:rPr>
          <w:sz w:val="22"/>
          <w:szCs w:val="22"/>
        </w:rPr>
      </w:pPr>
      <w:r w:rsidRPr="009E4E76">
        <w:rPr>
          <w:sz w:val="22"/>
          <w:szCs w:val="22"/>
        </w:rPr>
        <w:t xml:space="preserve">Each filing entity </w:t>
      </w:r>
      <w:r w:rsidR="00D42781">
        <w:rPr>
          <w:sz w:val="22"/>
          <w:szCs w:val="22"/>
        </w:rPr>
        <w:t>must</w:t>
      </w:r>
      <w:r w:rsidR="00D42781" w:rsidRPr="009E4E76">
        <w:rPr>
          <w:sz w:val="22"/>
          <w:szCs w:val="22"/>
        </w:rPr>
        <w:t xml:space="preserve"> </w:t>
      </w:r>
      <w:r w:rsidRPr="009E4E76">
        <w:rPr>
          <w:sz w:val="22"/>
          <w:szCs w:val="22"/>
        </w:rPr>
        <w:t>use a single CORES FCC Registration Number (FRN) to submit data on (1) filing entity contact information</w:t>
      </w:r>
      <w:r w:rsidR="00ED7A6B">
        <w:rPr>
          <w:sz w:val="22"/>
          <w:szCs w:val="22"/>
        </w:rPr>
        <w:t>,</w:t>
      </w:r>
      <w:r w:rsidRPr="009E4E76">
        <w:rPr>
          <w:sz w:val="22"/>
          <w:szCs w:val="22"/>
        </w:rPr>
        <w:t xml:space="preserve"> (2) preparer contact information</w:t>
      </w:r>
      <w:r w:rsidR="00ED7A6B">
        <w:rPr>
          <w:sz w:val="22"/>
          <w:szCs w:val="22"/>
        </w:rPr>
        <w:t>,</w:t>
      </w:r>
      <w:r w:rsidRPr="009E4E76">
        <w:rPr>
          <w:sz w:val="22"/>
          <w:szCs w:val="22"/>
        </w:rPr>
        <w:t xml:space="preserve"> (3)</w:t>
      </w:r>
      <w:r w:rsidR="00CD3CB5" w:rsidRPr="009E4E76">
        <w:rPr>
          <w:sz w:val="22"/>
          <w:szCs w:val="22"/>
        </w:rPr>
        <w:t xml:space="preserve"> authorizations, (4) </w:t>
      </w:r>
      <w:r w:rsidRPr="009E4E76">
        <w:rPr>
          <w:sz w:val="22"/>
          <w:szCs w:val="22"/>
        </w:rPr>
        <w:t>satellite and terrestrial</w:t>
      </w:r>
      <w:r w:rsidR="00CD3CB5" w:rsidRPr="009E4E76">
        <w:rPr>
          <w:sz w:val="22"/>
          <w:szCs w:val="22"/>
        </w:rPr>
        <w:t xml:space="preserve"> </w:t>
      </w:r>
      <w:r w:rsidRPr="009E4E76">
        <w:rPr>
          <w:sz w:val="22"/>
          <w:szCs w:val="22"/>
        </w:rPr>
        <w:t>c</w:t>
      </w:r>
      <w:r w:rsidR="00CD3CB5" w:rsidRPr="009E4E76">
        <w:rPr>
          <w:sz w:val="22"/>
          <w:szCs w:val="22"/>
        </w:rPr>
        <w:t>ircuits,</w:t>
      </w:r>
      <w:r w:rsidRPr="009E4E76">
        <w:rPr>
          <w:sz w:val="22"/>
          <w:szCs w:val="22"/>
        </w:rPr>
        <w:t xml:space="preserve"> (</w:t>
      </w:r>
      <w:r w:rsidR="00CD3CB5" w:rsidRPr="009E4E76">
        <w:rPr>
          <w:sz w:val="22"/>
          <w:szCs w:val="22"/>
        </w:rPr>
        <w:t>5</w:t>
      </w:r>
      <w:r w:rsidRPr="009E4E76">
        <w:rPr>
          <w:sz w:val="22"/>
          <w:szCs w:val="22"/>
        </w:rPr>
        <w:t xml:space="preserve">) </w:t>
      </w:r>
      <w:r w:rsidR="00D42781">
        <w:rPr>
          <w:sz w:val="22"/>
          <w:szCs w:val="22"/>
        </w:rPr>
        <w:t xml:space="preserve">submarine </w:t>
      </w:r>
      <w:r w:rsidRPr="009E4E76">
        <w:rPr>
          <w:sz w:val="22"/>
          <w:szCs w:val="22"/>
        </w:rPr>
        <w:t>cable operator data</w:t>
      </w:r>
      <w:r w:rsidR="00CD3CB5" w:rsidRPr="009E4E76">
        <w:rPr>
          <w:sz w:val="22"/>
          <w:szCs w:val="22"/>
        </w:rPr>
        <w:t>,</w:t>
      </w:r>
      <w:r w:rsidRPr="009E4E76">
        <w:rPr>
          <w:sz w:val="22"/>
          <w:szCs w:val="22"/>
        </w:rPr>
        <w:t xml:space="preserve"> (</w:t>
      </w:r>
      <w:r w:rsidR="00CD3CB5" w:rsidRPr="009E4E76">
        <w:rPr>
          <w:sz w:val="22"/>
          <w:szCs w:val="22"/>
        </w:rPr>
        <w:t>6</w:t>
      </w:r>
      <w:r w:rsidRPr="009E4E76">
        <w:rPr>
          <w:sz w:val="22"/>
          <w:szCs w:val="22"/>
        </w:rPr>
        <w:t xml:space="preserve">) </w:t>
      </w:r>
      <w:r w:rsidR="00D42781">
        <w:rPr>
          <w:sz w:val="22"/>
          <w:szCs w:val="22"/>
        </w:rPr>
        <w:t xml:space="preserve">submarine cable </w:t>
      </w:r>
      <w:r w:rsidRPr="009E4E76">
        <w:rPr>
          <w:sz w:val="22"/>
          <w:szCs w:val="22"/>
        </w:rPr>
        <w:t>capacity holder data, and (</w:t>
      </w:r>
      <w:r w:rsidR="00CD3CB5" w:rsidRPr="009E4E76">
        <w:rPr>
          <w:sz w:val="22"/>
          <w:szCs w:val="22"/>
        </w:rPr>
        <w:t>7</w:t>
      </w:r>
      <w:r w:rsidRPr="009E4E76">
        <w:rPr>
          <w:sz w:val="22"/>
          <w:szCs w:val="22"/>
        </w:rPr>
        <w:t xml:space="preserve">) certifying official information.  Filers </w:t>
      </w:r>
      <w:r w:rsidR="00D42781">
        <w:rPr>
          <w:sz w:val="22"/>
          <w:szCs w:val="22"/>
        </w:rPr>
        <w:t>must</w:t>
      </w:r>
      <w:r w:rsidR="00D42781" w:rsidRPr="009E4E76">
        <w:rPr>
          <w:sz w:val="22"/>
          <w:szCs w:val="22"/>
        </w:rPr>
        <w:t xml:space="preserve"> </w:t>
      </w:r>
      <w:r w:rsidRPr="009E4E76">
        <w:rPr>
          <w:sz w:val="22"/>
          <w:szCs w:val="22"/>
        </w:rPr>
        <w:t xml:space="preserve">enter </w:t>
      </w:r>
      <w:r w:rsidR="00D42781">
        <w:rPr>
          <w:sz w:val="22"/>
          <w:szCs w:val="22"/>
        </w:rPr>
        <w:t>the</w:t>
      </w:r>
      <w:r w:rsidR="00D42781" w:rsidRPr="009E4E76">
        <w:rPr>
          <w:sz w:val="22"/>
          <w:szCs w:val="22"/>
        </w:rPr>
        <w:t xml:space="preserve"> </w:t>
      </w:r>
      <w:r w:rsidRPr="009E4E76">
        <w:rPr>
          <w:sz w:val="22"/>
          <w:szCs w:val="22"/>
        </w:rPr>
        <w:t>data directly into online forms</w:t>
      </w:r>
      <w:r w:rsidR="006F49A4">
        <w:rPr>
          <w:sz w:val="22"/>
          <w:szCs w:val="22"/>
        </w:rPr>
        <w:t xml:space="preserve"> in the </w:t>
      </w:r>
      <w:r w:rsidR="00D6661B">
        <w:rPr>
          <w:sz w:val="22"/>
          <w:szCs w:val="22"/>
        </w:rPr>
        <w:t>Section 43.62</w:t>
      </w:r>
      <w:r w:rsidR="006F49A4">
        <w:rPr>
          <w:sz w:val="22"/>
          <w:szCs w:val="22"/>
        </w:rPr>
        <w:t xml:space="preserve"> online filing system</w:t>
      </w:r>
      <w:r w:rsidR="00D42781">
        <w:rPr>
          <w:sz w:val="22"/>
          <w:szCs w:val="22"/>
        </w:rPr>
        <w:t>, except that t</w:t>
      </w:r>
      <w:r w:rsidR="00D603DF" w:rsidRPr="009E4E76">
        <w:rPr>
          <w:sz w:val="22"/>
          <w:szCs w:val="22"/>
        </w:rPr>
        <w:t xml:space="preserve">he (5) </w:t>
      </w:r>
      <w:r w:rsidR="00AE7CB5">
        <w:rPr>
          <w:sz w:val="22"/>
          <w:szCs w:val="22"/>
        </w:rPr>
        <w:t xml:space="preserve">submarine </w:t>
      </w:r>
      <w:r w:rsidR="00D603DF" w:rsidRPr="009E4E76">
        <w:rPr>
          <w:sz w:val="22"/>
          <w:szCs w:val="22"/>
        </w:rPr>
        <w:t xml:space="preserve">cable operator data and (6) </w:t>
      </w:r>
      <w:r w:rsidR="00AE7CB5">
        <w:rPr>
          <w:sz w:val="22"/>
          <w:szCs w:val="22"/>
        </w:rPr>
        <w:t xml:space="preserve">submarine cable </w:t>
      </w:r>
      <w:r w:rsidR="00D603DF" w:rsidRPr="009E4E76">
        <w:rPr>
          <w:sz w:val="22"/>
          <w:szCs w:val="22"/>
        </w:rPr>
        <w:t xml:space="preserve">capacity holder data </w:t>
      </w:r>
      <w:r w:rsidR="00D42781">
        <w:rPr>
          <w:sz w:val="22"/>
          <w:szCs w:val="22"/>
        </w:rPr>
        <w:t>must</w:t>
      </w:r>
      <w:r w:rsidR="00D603DF">
        <w:rPr>
          <w:sz w:val="22"/>
          <w:szCs w:val="22"/>
        </w:rPr>
        <w:t xml:space="preserve"> be</w:t>
      </w:r>
      <w:r w:rsidR="00D603DF" w:rsidRPr="009E4E76">
        <w:rPr>
          <w:sz w:val="22"/>
          <w:szCs w:val="22"/>
        </w:rPr>
        <w:t xml:space="preserve"> </w:t>
      </w:r>
      <w:r w:rsidR="006F49A4">
        <w:rPr>
          <w:sz w:val="22"/>
          <w:szCs w:val="22"/>
        </w:rPr>
        <w:t>upload</w:t>
      </w:r>
      <w:r w:rsidR="00D603DF" w:rsidRPr="009E4E76">
        <w:rPr>
          <w:sz w:val="22"/>
          <w:szCs w:val="22"/>
        </w:rPr>
        <w:t xml:space="preserve">ed </w:t>
      </w:r>
      <w:r w:rsidR="006F49A4">
        <w:rPr>
          <w:sz w:val="22"/>
          <w:szCs w:val="22"/>
        </w:rPr>
        <w:t xml:space="preserve">into the </w:t>
      </w:r>
      <w:r w:rsidR="00D6661B">
        <w:rPr>
          <w:sz w:val="22"/>
          <w:szCs w:val="22"/>
        </w:rPr>
        <w:t>Section 43.62</w:t>
      </w:r>
      <w:r w:rsidR="006F49A4">
        <w:rPr>
          <w:sz w:val="22"/>
          <w:szCs w:val="22"/>
        </w:rPr>
        <w:t xml:space="preserve"> filing system </w:t>
      </w:r>
      <w:r w:rsidR="00D603DF" w:rsidRPr="009E4E76">
        <w:rPr>
          <w:sz w:val="22"/>
          <w:szCs w:val="22"/>
        </w:rPr>
        <w:t xml:space="preserve">using the </w:t>
      </w:r>
      <w:r w:rsidR="00D42781">
        <w:rPr>
          <w:sz w:val="22"/>
          <w:szCs w:val="22"/>
        </w:rPr>
        <w:t>attached</w:t>
      </w:r>
      <w:r w:rsidR="00D42781" w:rsidRPr="009E4E76" w:rsidDel="00D603DF">
        <w:rPr>
          <w:sz w:val="22"/>
          <w:szCs w:val="22"/>
        </w:rPr>
        <w:t xml:space="preserve"> </w:t>
      </w:r>
      <w:r w:rsidR="00D603DF" w:rsidRPr="009E4E76">
        <w:rPr>
          <w:sz w:val="22"/>
          <w:szCs w:val="22"/>
        </w:rPr>
        <w:t>templates.</w:t>
      </w:r>
    </w:p>
    <w:p w:rsidR="009E4E76" w:rsidRDefault="009E4E76" w:rsidP="00112E24">
      <w:pPr>
        <w:ind w:firstLine="720"/>
        <w:rPr>
          <w:sz w:val="22"/>
          <w:szCs w:val="22"/>
        </w:rPr>
      </w:pPr>
    </w:p>
    <w:p w:rsidR="00FF5F96" w:rsidRDefault="00FF5F96" w:rsidP="00112E24">
      <w:pPr>
        <w:keepNext/>
        <w:ind w:firstLine="720"/>
        <w:rPr>
          <w:sz w:val="22"/>
          <w:szCs w:val="22"/>
        </w:rPr>
      </w:pPr>
      <w:r>
        <w:rPr>
          <w:sz w:val="22"/>
          <w:szCs w:val="22"/>
        </w:rPr>
        <w:t>For additional information, contact:</w:t>
      </w:r>
      <w:r w:rsidR="005E725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David Krech, Policy Division, International Bureau, </w:t>
      </w:r>
      <w:hyperlink r:id="rId9" w:history="1">
        <w:r>
          <w:rPr>
            <w:rStyle w:val="Hyperlink"/>
            <w:sz w:val="22"/>
            <w:szCs w:val="22"/>
          </w:rPr>
          <w:t>David.Krech@fcc.gov</w:t>
        </w:r>
      </w:hyperlink>
      <w:r>
        <w:rPr>
          <w:sz w:val="22"/>
          <w:szCs w:val="22"/>
        </w:rPr>
        <w:t>, 202-418-7443</w:t>
      </w:r>
      <w:r w:rsidR="002C6B03">
        <w:rPr>
          <w:sz w:val="22"/>
          <w:szCs w:val="22"/>
        </w:rPr>
        <w:t xml:space="preserve">; Cathy Hsu, Policy Division, International Bureau, </w:t>
      </w:r>
      <w:hyperlink r:id="rId10" w:history="1">
        <w:r w:rsidR="006A2BCC" w:rsidRPr="002F6358">
          <w:rPr>
            <w:rStyle w:val="Hyperlink"/>
            <w:sz w:val="22"/>
            <w:szCs w:val="22"/>
          </w:rPr>
          <w:t>Cathy.Hsu@fcc.gov</w:t>
        </w:r>
      </w:hyperlink>
      <w:r w:rsidR="002C6B03">
        <w:rPr>
          <w:sz w:val="22"/>
          <w:szCs w:val="22"/>
        </w:rPr>
        <w:t xml:space="preserve">, 202-418-2114; or Irene Wu, Policy Division, International Bureau, </w:t>
      </w:r>
      <w:hyperlink r:id="rId11" w:history="1">
        <w:r w:rsidR="002C6B03" w:rsidRPr="002F6358">
          <w:rPr>
            <w:rStyle w:val="Hyperlink"/>
            <w:sz w:val="22"/>
            <w:szCs w:val="22"/>
          </w:rPr>
          <w:t>Irene.Wu@fcc.gov</w:t>
        </w:r>
      </w:hyperlink>
      <w:r w:rsidR="002C6B03">
        <w:rPr>
          <w:sz w:val="22"/>
          <w:szCs w:val="22"/>
        </w:rPr>
        <w:t>, 202-418-1623</w:t>
      </w:r>
      <w:r w:rsidR="004E25A7">
        <w:rPr>
          <w:sz w:val="22"/>
          <w:szCs w:val="22"/>
        </w:rPr>
        <w:t>.</w:t>
      </w:r>
    </w:p>
    <w:p w:rsidR="006F49A4" w:rsidRDefault="006F49A4" w:rsidP="006F49A4">
      <w:pPr>
        <w:ind w:firstLine="720"/>
        <w:rPr>
          <w:sz w:val="22"/>
          <w:szCs w:val="22"/>
        </w:rPr>
      </w:pPr>
    </w:p>
    <w:p w:rsidR="006F49A4" w:rsidRPr="009E4E76" w:rsidRDefault="006F49A4" w:rsidP="006F49A4">
      <w:pPr>
        <w:ind w:firstLine="720"/>
        <w:rPr>
          <w:sz w:val="22"/>
          <w:szCs w:val="22"/>
        </w:rPr>
      </w:pPr>
      <w:r w:rsidRPr="009E4E76">
        <w:rPr>
          <w:sz w:val="22"/>
          <w:szCs w:val="22"/>
        </w:rPr>
        <w:t>Attachment 1 – filing template for submarine cable operator</w:t>
      </w:r>
      <w:r>
        <w:rPr>
          <w:sz w:val="22"/>
          <w:szCs w:val="22"/>
        </w:rPr>
        <w:t xml:space="preserve"> data</w:t>
      </w:r>
    </w:p>
    <w:p w:rsidR="006F49A4" w:rsidRDefault="006F49A4" w:rsidP="006F49A4">
      <w:pPr>
        <w:ind w:firstLine="720"/>
        <w:rPr>
          <w:sz w:val="22"/>
          <w:szCs w:val="22"/>
        </w:rPr>
      </w:pPr>
    </w:p>
    <w:p w:rsidR="006F49A4" w:rsidRDefault="006F49A4" w:rsidP="006F49A4">
      <w:pPr>
        <w:ind w:firstLine="720"/>
        <w:rPr>
          <w:sz w:val="22"/>
          <w:szCs w:val="22"/>
        </w:rPr>
      </w:pPr>
      <w:r>
        <w:rPr>
          <w:sz w:val="22"/>
          <w:szCs w:val="22"/>
        </w:rPr>
        <w:t>Attachment 2 – filing template for submarine cable capacity holder data</w:t>
      </w:r>
    </w:p>
    <w:p w:rsidR="00CA2511" w:rsidRDefault="00CA2511" w:rsidP="00112E24">
      <w:pPr>
        <w:keepNext/>
        <w:ind w:firstLine="720"/>
        <w:rPr>
          <w:sz w:val="22"/>
          <w:szCs w:val="22"/>
        </w:rPr>
      </w:pPr>
    </w:p>
    <w:p w:rsidR="00606B33" w:rsidRDefault="00FF5F9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- FCC -</w:t>
      </w:r>
    </w:p>
    <w:sectPr w:rsidR="00606B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1440" w:left="180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D1C" w:rsidRDefault="00913D1C">
      <w:r>
        <w:separator/>
      </w:r>
    </w:p>
  </w:endnote>
  <w:endnote w:type="continuationSeparator" w:id="0">
    <w:p w:rsidR="00913D1C" w:rsidRDefault="0091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96" w:rsidRDefault="00FF5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BDA">
      <w:rPr>
        <w:rStyle w:val="PageNumber"/>
        <w:noProof/>
      </w:rPr>
      <w:t>2</w:t>
    </w:r>
    <w:r>
      <w:rPr>
        <w:rStyle w:val="PageNumber"/>
      </w:rPr>
      <w:fldChar w:fldCharType="end"/>
    </w:r>
  </w:p>
  <w:p w:rsidR="00FF5F96" w:rsidRDefault="00FF5F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96" w:rsidRDefault="00FF5F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5C6">
      <w:rPr>
        <w:rStyle w:val="PageNumber"/>
        <w:noProof/>
      </w:rPr>
      <w:t>2</w:t>
    </w:r>
    <w:r>
      <w:rPr>
        <w:rStyle w:val="PageNumber"/>
      </w:rPr>
      <w:fldChar w:fldCharType="end"/>
    </w:r>
  </w:p>
  <w:p w:rsidR="00FF5F96" w:rsidRDefault="00FF5F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C6" w:rsidRDefault="00D95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D1C" w:rsidRDefault="00913D1C">
      <w:r>
        <w:separator/>
      </w:r>
    </w:p>
  </w:footnote>
  <w:footnote w:type="continuationSeparator" w:id="0">
    <w:p w:rsidR="00913D1C" w:rsidRDefault="00913D1C">
      <w:r>
        <w:continuationSeparator/>
      </w:r>
    </w:p>
  </w:footnote>
  <w:footnote w:id="1">
    <w:p w:rsidR="00A94CB6" w:rsidRDefault="00A94CB6" w:rsidP="009E4E7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C.F.R. § 43.62.</w:t>
      </w:r>
    </w:p>
  </w:footnote>
  <w:footnote w:id="2">
    <w:p w:rsidR="003F3BC3" w:rsidRPr="003F3BC3" w:rsidRDefault="003F3BC3" w:rsidP="009E4E7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 w:rsidR="002C6B03">
        <w:t>International Bureau Announces That Section 43.62 International Reporting Requirements Are Effective As Of February 11, 2015, IB Docket No. 04-112, Public Notice, DA 15-211 (Int’l Bur. rel. Feb. 13, 2015)</w:t>
      </w:r>
      <w:r w:rsidR="002C6B03">
        <w:rPr>
          <w:i/>
        </w:rPr>
        <w:t xml:space="preserve"> </w:t>
      </w:r>
      <w:r w:rsidR="002C6B03">
        <w:t>(</w:t>
      </w:r>
      <w:r w:rsidR="002C6B03">
        <w:rPr>
          <w:i/>
        </w:rPr>
        <w:t xml:space="preserve">citing </w:t>
      </w:r>
      <w:r w:rsidR="007E321E">
        <w:t xml:space="preserve">80 </w:t>
      </w:r>
      <w:r>
        <w:t xml:space="preserve">Fed. Reg. </w:t>
      </w:r>
      <w:r w:rsidR="007E321E">
        <w:t>7547</w:t>
      </w:r>
      <w:r>
        <w:t xml:space="preserve"> (Feb</w:t>
      </w:r>
      <w:r w:rsidR="00CA7E5B">
        <w:t>.</w:t>
      </w:r>
      <w:r>
        <w:t xml:space="preserve"> 11, 2015)</w:t>
      </w:r>
      <w:r w:rsidR="00CE5D7D">
        <w:t>)</w:t>
      </w:r>
      <w:r>
        <w:t>.</w:t>
      </w:r>
    </w:p>
  </w:footnote>
  <w:footnote w:id="3">
    <w:p w:rsidR="00D603DF" w:rsidRPr="00D42781" w:rsidRDefault="00D603DF" w:rsidP="008E637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D42781">
        <w:rPr>
          <w:i/>
        </w:rPr>
        <w:t>Id</w:t>
      </w:r>
      <w:r w:rsidR="00D42781">
        <w:t>.</w:t>
      </w:r>
    </w:p>
  </w:footnote>
  <w:footnote w:id="4">
    <w:p w:rsidR="009E5A93" w:rsidRDefault="009E5A93" w:rsidP="009E4E7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Circuit capacity holders may be subject to fines and forfeitures for failure file their reports.</w:t>
      </w:r>
    </w:p>
  </w:footnote>
  <w:footnote w:id="5">
    <w:p w:rsidR="00323BD8" w:rsidRDefault="00323BD8" w:rsidP="009E4E7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="009E4E76">
        <w:t>47 C.F.R. § 43.62(a).</w:t>
      </w:r>
    </w:p>
  </w:footnote>
  <w:footnote w:id="6">
    <w:p w:rsidR="007B2EED" w:rsidRDefault="007B2EED" w:rsidP="009E4E7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Filing Manual for Section 43.62 Annual Reports, February 2015, DA 15-</w:t>
      </w:r>
      <w:r w:rsidR="00E119B9">
        <w:t>206</w:t>
      </w:r>
      <w:r>
        <w:t xml:space="preserve"> (Int’l Bur. rel. Feb</w:t>
      </w:r>
      <w:r w:rsidR="00E119B9">
        <w:t>.</w:t>
      </w:r>
      <w:r>
        <w:t xml:space="preserve"> </w:t>
      </w:r>
      <w:r w:rsidR="00E119B9">
        <w:t>13</w:t>
      </w:r>
      <w:r>
        <w:t>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C6" w:rsidRDefault="00D95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F96" w:rsidRPr="00D955C6" w:rsidRDefault="00FF5F96" w:rsidP="00D955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5C6" w:rsidRDefault="00D95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FF7"/>
    <w:multiLevelType w:val="singleLevel"/>
    <w:tmpl w:val="10921A46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0E714F"/>
    <w:multiLevelType w:val="multilevel"/>
    <w:tmpl w:val="774A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85637"/>
    <w:multiLevelType w:val="hybridMultilevel"/>
    <w:tmpl w:val="9842C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A7438"/>
    <w:multiLevelType w:val="hybridMultilevel"/>
    <w:tmpl w:val="CBD8C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72BAB"/>
    <w:multiLevelType w:val="hybridMultilevel"/>
    <w:tmpl w:val="F280B698"/>
    <w:lvl w:ilvl="0" w:tplc="6CBA9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06F72"/>
    <w:multiLevelType w:val="hybridMultilevel"/>
    <w:tmpl w:val="5DDAE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338F5"/>
    <w:multiLevelType w:val="hybridMultilevel"/>
    <w:tmpl w:val="82D00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E6733"/>
    <w:multiLevelType w:val="hybridMultilevel"/>
    <w:tmpl w:val="244CECE4"/>
    <w:lvl w:ilvl="0" w:tplc="2076BC38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5942A2"/>
    <w:multiLevelType w:val="multilevel"/>
    <w:tmpl w:val="147A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4033A"/>
    <w:multiLevelType w:val="hybridMultilevel"/>
    <w:tmpl w:val="07E67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76BC38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B97DB2"/>
    <w:multiLevelType w:val="multilevel"/>
    <w:tmpl w:val="5DD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374D6A"/>
    <w:multiLevelType w:val="multilevel"/>
    <w:tmpl w:val="2632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B38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703ECE"/>
    <w:multiLevelType w:val="hybridMultilevel"/>
    <w:tmpl w:val="46EC6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A82770"/>
    <w:multiLevelType w:val="hybridMultilevel"/>
    <w:tmpl w:val="7E7E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E74C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61B0455"/>
    <w:multiLevelType w:val="hybridMultilevel"/>
    <w:tmpl w:val="5A8E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85B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840B03"/>
    <w:multiLevelType w:val="multilevel"/>
    <w:tmpl w:val="07E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8B016D"/>
    <w:multiLevelType w:val="multilevel"/>
    <w:tmpl w:val="07E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1C4CE3"/>
    <w:multiLevelType w:val="hybridMultilevel"/>
    <w:tmpl w:val="D6FC116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33E763F5"/>
    <w:multiLevelType w:val="hybridMultilevel"/>
    <w:tmpl w:val="DA6265BC"/>
    <w:lvl w:ilvl="0" w:tplc="AEEC2048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94F58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D3F56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8B4555"/>
    <w:multiLevelType w:val="hybridMultilevel"/>
    <w:tmpl w:val="B038E1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C4EC4"/>
    <w:multiLevelType w:val="hybridMultilevel"/>
    <w:tmpl w:val="0D16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E47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ED4940"/>
    <w:multiLevelType w:val="multilevel"/>
    <w:tmpl w:val="5DD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992598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28">
    <w:nsid w:val="52362AA3"/>
    <w:multiLevelType w:val="hybridMultilevel"/>
    <w:tmpl w:val="CCCC2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6709"/>
    <w:multiLevelType w:val="multilevel"/>
    <w:tmpl w:val="0190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3A5687"/>
    <w:multiLevelType w:val="hybridMultilevel"/>
    <w:tmpl w:val="499438B6"/>
    <w:lvl w:ilvl="0" w:tplc="352650B2">
      <w:start w:val="1"/>
      <w:numFmt w:val="lowerLetter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1">
    <w:nsid w:val="59747975"/>
    <w:multiLevelType w:val="hybridMultilevel"/>
    <w:tmpl w:val="9F3A1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E977CB"/>
    <w:multiLevelType w:val="hybridMultilevel"/>
    <w:tmpl w:val="11A43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4730A8"/>
    <w:multiLevelType w:val="hybridMultilevel"/>
    <w:tmpl w:val="A6188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28189C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5">
    <w:nsid w:val="647955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C7A51F4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7">
    <w:nsid w:val="6F9625D5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38">
    <w:nsid w:val="72056BC5"/>
    <w:multiLevelType w:val="multilevel"/>
    <w:tmpl w:val="5DDA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EC406A"/>
    <w:multiLevelType w:val="singleLevel"/>
    <w:tmpl w:val="95DA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40">
    <w:nsid w:val="774B5714"/>
    <w:multiLevelType w:val="multilevel"/>
    <w:tmpl w:val="AF10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515E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7F36157D"/>
    <w:multiLevelType w:val="multilevel"/>
    <w:tmpl w:val="82D0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38564B"/>
    <w:multiLevelType w:val="multilevel"/>
    <w:tmpl w:val="8A82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5"/>
  </w:num>
  <w:num w:numId="3">
    <w:abstractNumId w:val="41"/>
  </w:num>
  <w:num w:numId="4">
    <w:abstractNumId w:val="22"/>
  </w:num>
  <w:num w:numId="5">
    <w:abstractNumId w:val="21"/>
  </w:num>
  <w:num w:numId="6">
    <w:abstractNumId w:val="35"/>
  </w:num>
  <w:num w:numId="7">
    <w:abstractNumId w:val="12"/>
  </w:num>
  <w:num w:numId="8">
    <w:abstractNumId w:val="15"/>
  </w:num>
  <w:num w:numId="9">
    <w:abstractNumId w:val="34"/>
  </w:num>
  <w:num w:numId="10">
    <w:abstractNumId w:val="37"/>
  </w:num>
  <w:num w:numId="11">
    <w:abstractNumId w:val="36"/>
  </w:num>
  <w:num w:numId="12">
    <w:abstractNumId w:val="27"/>
  </w:num>
  <w:num w:numId="13">
    <w:abstractNumId w:val="39"/>
  </w:num>
  <w:num w:numId="14">
    <w:abstractNumId w:val="6"/>
  </w:num>
  <w:num w:numId="15">
    <w:abstractNumId w:val="42"/>
  </w:num>
  <w:num w:numId="16">
    <w:abstractNumId w:val="33"/>
  </w:num>
  <w:num w:numId="17">
    <w:abstractNumId w:val="31"/>
  </w:num>
  <w:num w:numId="18">
    <w:abstractNumId w:val="14"/>
  </w:num>
  <w:num w:numId="19">
    <w:abstractNumId w:val="28"/>
  </w:num>
  <w:num w:numId="20">
    <w:abstractNumId w:val="13"/>
  </w:num>
  <w:num w:numId="21">
    <w:abstractNumId w:val="5"/>
  </w:num>
  <w:num w:numId="22">
    <w:abstractNumId w:val="26"/>
  </w:num>
  <w:num w:numId="23">
    <w:abstractNumId w:val="38"/>
  </w:num>
  <w:num w:numId="24">
    <w:abstractNumId w:val="9"/>
  </w:num>
  <w:num w:numId="25">
    <w:abstractNumId w:val="10"/>
  </w:num>
  <w:num w:numId="26">
    <w:abstractNumId w:val="18"/>
  </w:num>
  <w:num w:numId="27">
    <w:abstractNumId w:val="17"/>
  </w:num>
  <w:num w:numId="28">
    <w:abstractNumId w:val="20"/>
  </w:num>
  <w:num w:numId="29">
    <w:abstractNumId w:val="7"/>
  </w:num>
  <w:num w:numId="30">
    <w:abstractNumId w:val="3"/>
  </w:num>
  <w:num w:numId="31">
    <w:abstractNumId w:val="19"/>
  </w:num>
  <w:num w:numId="32">
    <w:abstractNumId w:val="2"/>
  </w:num>
  <w:num w:numId="33">
    <w:abstractNumId w:val="16"/>
  </w:num>
  <w:num w:numId="34">
    <w:abstractNumId w:val="8"/>
  </w:num>
  <w:num w:numId="35">
    <w:abstractNumId w:val="1"/>
  </w:num>
  <w:num w:numId="36">
    <w:abstractNumId w:val="11"/>
  </w:num>
  <w:num w:numId="37">
    <w:abstractNumId w:val="40"/>
  </w:num>
  <w:num w:numId="38">
    <w:abstractNumId w:val="29"/>
  </w:num>
  <w:num w:numId="39">
    <w:abstractNumId w:val="43"/>
  </w:num>
  <w:num w:numId="40">
    <w:abstractNumId w:val="23"/>
  </w:num>
  <w:num w:numId="41">
    <w:abstractNumId w:val="4"/>
  </w:num>
  <w:num w:numId="42">
    <w:abstractNumId w:val="30"/>
  </w:num>
  <w:num w:numId="43">
    <w:abstractNumId w:val="2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D5"/>
    <w:rsid w:val="000435A7"/>
    <w:rsid w:val="00043AA2"/>
    <w:rsid w:val="000B31B9"/>
    <w:rsid w:val="000E0B7E"/>
    <w:rsid w:val="000E3FB8"/>
    <w:rsid w:val="000F76E5"/>
    <w:rsid w:val="001053EE"/>
    <w:rsid w:val="00112E24"/>
    <w:rsid w:val="00171BE4"/>
    <w:rsid w:val="00175FE4"/>
    <w:rsid w:val="001F0DFF"/>
    <w:rsid w:val="00264C54"/>
    <w:rsid w:val="002C6B03"/>
    <w:rsid w:val="00313825"/>
    <w:rsid w:val="00323BD8"/>
    <w:rsid w:val="003371D8"/>
    <w:rsid w:val="003379D5"/>
    <w:rsid w:val="003420A9"/>
    <w:rsid w:val="00345BDA"/>
    <w:rsid w:val="00382D18"/>
    <w:rsid w:val="003F3BC3"/>
    <w:rsid w:val="004D0930"/>
    <w:rsid w:val="004E25A7"/>
    <w:rsid w:val="004E5A83"/>
    <w:rsid w:val="005571AC"/>
    <w:rsid w:val="0058028E"/>
    <w:rsid w:val="0059141D"/>
    <w:rsid w:val="005962FD"/>
    <w:rsid w:val="005A7254"/>
    <w:rsid w:val="005E7258"/>
    <w:rsid w:val="00606B33"/>
    <w:rsid w:val="00656334"/>
    <w:rsid w:val="006839AD"/>
    <w:rsid w:val="006A2BCC"/>
    <w:rsid w:val="006F49A4"/>
    <w:rsid w:val="007223A4"/>
    <w:rsid w:val="007318E1"/>
    <w:rsid w:val="007B2EED"/>
    <w:rsid w:val="007C31BD"/>
    <w:rsid w:val="007E321E"/>
    <w:rsid w:val="007F3F80"/>
    <w:rsid w:val="007F65DE"/>
    <w:rsid w:val="00877BC4"/>
    <w:rsid w:val="0089457B"/>
    <w:rsid w:val="008C5E72"/>
    <w:rsid w:val="008E6371"/>
    <w:rsid w:val="008F5013"/>
    <w:rsid w:val="00907B37"/>
    <w:rsid w:val="00910371"/>
    <w:rsid w:val="00913D1C"/>
    <w:rsid w:val="00914B09"/>
    <w:rsid w:val="0092382F"/>
    <w:rsid w:val="009E4E76"/>
    <w:rsid w:val="009E5A93"/>
    <w:rsid w:val="00A47569"/>
    <w:rsid w:val="00A62147"/>
    <w:rsid w:val="00A94CB6"/>
    <w:rsid w:val="00AC49C6"/>
    <w:rsid w:val="00AE7CB5"/>
    <w:rsid w:val="00B24004"/>
    <w:rsid w:val="00B337EF"/>
    <w:rsid w:val="00B36BE2"/>
    <w:rsid w:val="00B37B0A"/>
    <w:rsid w:val="00B47B5A"/>
    <w:rsid w:val="00B85034"/>
    <w:rsid w:val="00B8590E"/>
    <w:rsid w:val="00BA6D7A"/>
    <w:rsid w:val="00BB150E"/>
    <w:rsid w:val="00BB310C"/>
    <w:rsid w:val="00C33037"/>
    <w:rsid w:val="00CA2511"/>
    <w:rsid w:val="00CA7E5B"/>
    <w:rsid w:val="00CB61E2"/>
    <w:rsid w:val="00CD3CB5"/>
    <w:rsid w:val="00CE2E4A"/>
    <w:rsid w:val="00CE5D7D"/>
    <w:rsid w:val="00D37A44"/>
    <w:rsid w:val="00D42781"/>
    <w:rsid w:val="00D603DF"/>
    <w:rsid w:val="00D6451A"/>
    <w:rsid w:val="00D6661B"/>
    <w:rsid w:val="00D955C6"/>
    <w:rsid w:val="00DB0F7B"/>
    <w:rsid w:val="00E107A6"/>
    <w:rsid w:val="00E119B9"/>
    <w:rsid w:val="00E41B60"/>
    <w:rsid w:val="00E83425"/>
    <w:rsid w:val="00EA66A7"/>
    <w:rsid w:val="00EB7EE1"/>
    <w:rsid w:val="00ED7A6B"/>
    <w:rsid w:val="00ED7F1F"/>
    <w:rsid w:val="00F34D54"/>
    <w:rsid w:val="00F6244B"/>
    <w:rsid w:val="00F84751"/>
    <w:rsid w:val="00FB4D67"/>
    <w:rsid w:val="00FE57FA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autoRedefine/>
    <w:pPr>
      <w:numPr>
        <w:numId w:val="1"/>
      </w:numPr>
      <w:tabs>
        <w:tab w:val="left" w:pos="1440"/>
      </w:tabs>
      <w:spacing w:after="240"/>
    </w:pPr>
    <w:rPr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suppressAutoHyphens/>
    </w:pPr>
    <w:rPr>
      <w:snapToGrid w:val="0"/>
      <w:kern w:val="28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suppressAutoHyphens/>
    </w:pPr>
    <w:rPr>
      <w:snapToGrid w:val="0"/>
      <w:kern w:val="28"/>
      <w:sz w:val="24"/>
    </w:rPr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BodyText2">
    <w:name w:val="Body Text 2"/>
    <w:basedOn w:val="Normal"/>
    <w:rPr>
      <w:sz w:val="23"/>
    </w:rPr>
  </w:style>
  <w:style w:type="paragraph" w:styleId="BodyText3">
    <w:name w:val="Body Text 3"/>
    <w:basedOn w:val="Normal"/>
    <w:rPr>
      <w:rFonts w:ascii="MS Sans Serif" w:hAnsi="MS Sans Serif"/>
      <w:snapToGrid w:val="0"/>
      <w:color w:val="0000FF"/>
      <w:sz w:val="17"/>
    </w:rPr>
  </w:style>
  <w:style w:type="paragraph" w:styleId="FootnoteText">
    <w:name w:val="footnote text"/>
    <w:aliases w:val="ALTS FOOTNOTE,fn,Footnote Text Char2 Char2,Footnote Text Char Char1 Char,Footnote Text Char2 Char2 Char Char,fn Char1,ALTS FOOTNOTE Ch,ALTS FOOTNOTE C"/>
    <w:basedOn w:val="Normal"/>
    <w:link w:val="FootnoteTextChar"/>
    <w:semiHidden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semiHidden/>
    <w:rPr>
      <w:vertAlign w:val="superscript"/>
    </w:rPr>
  </w:style>
  <w:style w:type="paragraph" w:styleId="BodyTextIndent2">
    <w:name w:val="Body Text Indent 2"/>
    <w:basedOn w:val="Normal"/>
    <w:pPr>
      <w:ind w:left="360"/>
    </w:pPr>
    <w:rPr>
      <w:snapToGrid w:val="0"/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aliases w:val="ALTS FOOTNOTE Char,fn Char,Footnote Text Char2 Char2 Char,Footnote Text Char Char1 Char Char,Footnote Text Char2 Char2 Char Char Char,fn Char1 Char,ALTS FOOTNOTE Ch Char,ALTS FOOTNOTE C Char"/>
    <w:link w:val="FootnoteText"/>
    <w:semiHidden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autoRedefine/>
    <w:pPr>
      <w:numPr>
        <w:numId w:val="1"/>
      </w:numPr>
      <w:tabs>
        <w:tab w:val="left" w:pos="1440"/>
      </w:tabs>
      <w:spacing w:after="240"/>
    </w:pPr>
    <w:rPr>
      <w:noProof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suppressAutoHyphens/>
    </w:pPr>
    <w:rPr>
      <w:snapToGrid w:val="0"/>
      <w:kern w:val="28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widowControl w:val="0"/>
      <w:suppressAutoHyphens/>
    </w:pPr>
    <w:rPr>
      <w:snapToGrid w:val="0"/>
      <w:kern w:val="28"/>
      <w:sz w:val="24"/>
    </w:rPr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snapToGrid w:val="0"/>
      <w:kern w:val="28"/>
      <w:sz w:val="22"/>
    </w:rPr>
  </w:style>
  <w:style w:type="paragraph" w:styleId="BodyText2">
    <w:name w:val="Body Text 2"/>
    <w:basedOn w:val="Normal"/>
    <w:rPr>
      <w:sz w:val="23"/>
    </w:rPr>
  </w:style>
  <w:style w:type="paragraph" w:styleId="BodyText3">
    <w:name w:val="Body Text 3"/>
    <w:basedOn w:val="Normal"/>
    <w:rPr>
      <w:rFonts w:ascii="MS Sans Serif" w:hAnsi="MS Sans Serif"/>
      <w:snapToGrid w:val="0"/>
      <w:color w:val="0000FF"/>
      <w:sz w:val="17"/>
    </w:rPr>
  </w:style>
  <w:style w:type="paragraph" w:styleId="FootnoteText">
    <w:name w:val="footnote text"/>
    <w:aliases w:val="ALTS FOOTNOTE,fn,Footnote Text Char2 Char2,Footnote Text Char Char1 Char,Footnote Text Char2 Char2 Char Char,fn Char1,ALTS FOOTNOTE Ch,ALTS FOOTNOTE C"/>
    <w:basedOn w:val="Normal"/>
    <w:link w:val="FootnoteTextChar"/>
    <w:semiHidden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semiHidden/>
    <w:rPr>
      <w:vertAlign w:val="superscript"/>
    </w:rPr>
  </w:style>
  <w:style w:type="paragraph" w:styleId="BodyTextIndent2">
    <w:name w:val="Body Text Indent 2"/>
    <w:basedOn w:val="Normal"/>
    <w:pPr>
      <w:ind w:left="360"/>
    </w:pPr>
    <w:rPr>
      <w:snapToGrid w:val="0"/>
      <w:sz w:val="23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noteTextChar">
    <w:name w:val="Footnote Text Char"/>
    <w:aliases w:val="ALTS FOOTNOTE Char,fn Char,Footnote Text Char2 Char2 Char,Footnote Text Char Char1 Char Char,Footnote Text Char2 Char2 Char Char Char,fn Char1 Char,ALTS FOOTNOTE Ch Char,ALTS FOOTNOTE C Char"/>
    <w:link w:val="FootnoteText"/>
    <w:semiHidden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ene.Wu@fc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athy.Hsu@fcc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vid.Krech@fcc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2918</Characters>
  <Application>Microsoft Office Word</Application>
  <DocSecurity>0</DocSecurity>
  <Lines>63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3426</CharactersWithSpaces>
  <SharedDoc>false</SharedDoc>
  <HyperlinkBase> </HyperlinkBase>
  <HLinks>
    <vt:vector size="6" baseType="variant">
      <vt:variant>
        <vt:i4>6684703</vt:i4>
      </vt:variant>
      <vt:variant>
        <vt:i4>0</vt:i4>
      </vt:variant>
      <vt:variant>
        <vt:i4>0</vt:i4>
      </vt:variant>
      <vt:variant>
        <vt:i4>5</vt:i4>
      </vt:variant>
      <vt:variant>
        <vt:lpwstr>mailto:David.Krech@fcc.gov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2008-09-04T13:37:00Z</cp:lastPrinted>
  <dcterms:created xsi:type="dcterms:W3CDTF">2015-03-06T20:44:00Z</dcterms:created>
  <dcterms:modified xsi:type="dcterms:W3CDTF">2015-03-06T20:44:00Z</dcterms:modified>
  <cp:category> </cp:category>
  <cp:contentStatus> </cp:contentStatus>
</cp:coreProperties>
</file>