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rsidP="00545D26">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545D26">
      <w:pPr>
        <w:pStyle w:val="StyleBoldCentered"/>
        <w:widowControl/>
      </w:pPr>
      <w:r>
        <w:t>F</w:t>
      </w:r>
      <w:r>
        <w:rPr>
          <w:caps w:val="0"/>
        </w:rPr>
        <w:t>ederal Communications Commission</w:t>
      </w:r>
    </w:p>
    <w:p w:rsidR="004C2EE3" w:rsidRDefault="004C2EE3" w:rsidP="00545D26">
      <w:pPr>
        <w:pStyle w:val="StyleBoldCentered"/>
        <w:widowControl/>
      </w:pPr>
      <w:r>
        <w:t>Washington, D.C. 20554</w:t>
      </w:r>
    </w:p>
    <w:p w:rsidR="004C2EE3" w:rsidRDefault="004C2EE3" w:rsidP="00545D26">
      <w:pPr>
        <w:widowControl/>
      </w:pPr>
    </w:p>
    <w:p w:rsidR="004C2EE3" w:rsidRDefault="004C2EE3" w:rsidP="00545D26">
      <w:pPr>
        <w:widowControl/>
      </w:pPr>
    </w:p>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rsidP="00545D26">
            <w:pPr>
              <w:widowControl/>
              <w:tabs>
                <w:tab w:val="center" w:pos="4680"/>
              </w:tabs>
              <w:suppressAutoHyphens/>
              <w:rPr>
                <w:spacing w:val="-2"/>
              </w:rPr>
            </w:pPr>
            <w:r>
              <w:rPr>
                <w:spacing w:val="-2"/>
              </w:rPr>
              <w:t>In the Matter of</w:t>
            </w:r>
          </w:p>
          <w:p w:rsidR="004C2EE3" w:rsidRDefault="004C2EE3" w:rsidP="00545D26">
            <w:pPr>
              <w:widowControl/>
              <w:tabs>
                <w:tab w:val="center" w:pos="4680"/>
              </w:tabs>
              <w:suppressAutoHyphens/>
              <w:rPr>
                <w:spacing w:val="-2"/>
              </w:rPr>
            </w:pPr>
          </w:p>
          <w:p w:rsidR="000207BC" w:rsidRPr="00A77A00" w:rsidRDefault="005A6AFA" w:rsidP="00545D26">
            <w:pPr>
              <w:widowControl/>
              <w:ind w:right="-18"/>
              <w:rPr>
                <w:b/>
              </w:rPr>
            </w:pPr>
            <w:r>
              <w:rPr>
                <w:b/>
              </w:rPr>
              <w:t>Arizona Public Service Company</w:t>
            </w:r>
          </w:p>
          <w:p w:rsidR="000207BC" w:rsidRPr="00B82BDD" w:rsidRDefault="000207BC" w:rsidP="00545D26">
            <w:pPr>
              <w:widowControl/>
              <w:ind w:right="-18"/>
            </w:pPr>
          </w:p>
          <w:p w:rsidR="000207BC" w:rsidRPr="00B82BDD" w:rsidRDefault="000207BC" w:rsidP="00545D26">
            <w:pPr>
              <w:widowControl/>
              <w:ind w:right="-18"/>
            </w:pPr>
            <w:r w:rsidRPr="00B82BDD">
              <w:t>and</w:t>
            </w:r>
          </w:p>
          <w:p w:rsidR="000207BC" w:rsidRPr="00B82BDD" w:rsidRDefault="000207BC" w:rsidP="00545D26">
            <w:pPr>
              <w:widowControl/>
              <w:ind w:right="-18"/>
            </w:pPr>
          </w:p>
          <w:p w:rsidR="004C2EE3" w:rsidRPr="000207BC" w:rsidRDefault="000207BC" w:rsidP="00545D26">
            <w:pPr>
              <w:widowControl/>
              <w:ind w:right="-18"/>
            </w:pPr>
            <w:r w:rsidRPr="00A77A00">
              <w:rPr>
                <w:b/>
              </w:rPr>
              <w:t>Nextel Communications, In</w:t>
            </w:r>
            <w:r>
              <w:t>c.</w:t>
            </w:r>
          </w:p>
        </w:tc>
        <w:tc>
          <w:tcPr>
            <w:tcW w:w="630" w:type="dxa"/>
          </w:tcPr>
          <w:p w:rsidR="004C2EE3" w:rsidRDefault="004C2EE3" w:rsidP="00545D26">
            <w:pPr>
              <w:widowControl/>
              <w:tabs>
                <w:tab w:val="center" w:pos="4680"/>
              </w:tabs>
              <w:suppressAutoHyphens/>
              <w:rPr>
                <w:b/>
                <w:spacing w:val="-2"/>
              </w:rPr>
            </w:pPr>
            <w:r>
              <w:rPr>
                <w:b/>
                <w:spacing w:val="-2"/>
              </w:rPr>
              <w:t>)</w:t>
            </w:r>
          </w:p>
          <w:p w:rsidR="004C2EE3" w:rsidRDefault="004C2EE3" w:rsidP="00545D26">
            <w:pPr>
              <w:widowControl/>
              <w:tabs>
                <w:tab w:val="center" w:pos="4680"/>
              </w:tabs>
              <w:suppressAutoHyphens/>
              <w:rPr>
                <w:b/>
                <w:spacing w:val="-2"/>
              </w:rPr>
            </w:pPr>
            <w:r>
              <w:rPr>
                <w:b/>
                <w:spacing w:val="-2"/>
              </w:rPr>
              <w:t>)</w:t>
            </w:r>
          </w:p>
          <w:p w:rsidR="004C2EE3" w:rsidRDefault="004C2EE3" w:rsidP="00545D26">
            <w:pPr>
              <w:widowControl/>
              <w:tabs>
                <w:tab w:val="center" w:pos="4680"/>
              </w:tabs>
              <w:suppressAutoHyphens/>
              <w:rPr>
                <w:b/>
                <w:spacing w:val="-2"/>
              </w:rPr>
            </w:pPr>
            <w:r>
              <w:rPr>
                <w:b/>
                <w:spacing w:val="-2"/>
              </w:rPr>
              <w:t>)</w:t>
            </w:r>
          </w:p>
          <w:p w:rsidR="004C2EE3" w:rsidRDefault="004C2EE3" w:rsidP="00545D26">
            <w:pPr>
              <w:widowControl/>
              <w:tabs>
                <w:tab w:val="center" w:pos="4680"/>
              </w:tabs>
              <w:suppressAutoHyphens/>
              <w:rPr>
                <w:b/>
                <w:spacing w:val="-2"/>
              </w:rPr>
            </w:pPr>
            <w:r>
              <w:rPr>
                <w:b/>
                <w:spacing w:val="-2"/>
              </w:rPr>
              <w:t>)</w:t>
            </w:r>
          </w:p>
          <w:p w:rsidR="004C2EE3" w:rsidRDefault="004C2EE3" w:rsidP="00545D26">
            <w:pPr>
              <w:widowControl/>
              <w:tabs>
                <w:tab w:val="center" w:pos="4680"/>
              </w:tabs>
              <w:suppressAutoHyphens/>
              <w:rPr>
                <w:b/>
                <w:spacing w:val="-2"/>
              </w:rPr>
            </w:pPr>
            <w:r>
              <w:rPr>
                <w:b/>
                <w:spacing w:val="-2"/>
              </w:rPr>
              <w:t>)</w:t>
            </w:r>
          </w:p>
          <w:p w:rsidR="004C2EE3" w:rsidRDefault="004C2EE3" w:rsidP="00545D26">
            <w:pPr>
              <w:widowControl/>
              <w:tabs>
                <w:tab w:val="center" w:pos="4680"/>
              </w:tabs>
              <w:suppressAutoHyphens/>
              <w:rPr>
                <w:b/>
                <w:spacing w:val="-2"/>
              </w:rPr>
            </w:pPr>
            <w:r>
              <w:rPr>
                <w:b/>
                <w:spacing w:val="-2"/>
              </w:rPr>
              <w:t>)</w:t>
            </w:r>
          </w:p>
          <w:p w:rsidR="004C2EE3" w:rsidRDefault="004C2EE3" w:rsidP="00545D26">
            <w:pPr>
              <w:widowControl/>
              <w:tabs>
                <w:tab w:val="center" w:pos="4680"/>
              </w:tabs>
              <w:suppressAutoHyphens/>
              <w:rPr>
                <w:b/>
                <w:spacing w:val="-2"/>
              </w:rPr>
            </w:pPr>
            <w:r>
              <w:rPr>
                <w:b/>
                <w:spacing w:val="-2"/>
              </w:rPr>
              <w:t>)</w:t>
            </w:r>
          </w:p>
          <w:p w:rsidR="004C2EE3" w:rsidRDefault="004C2EE3" w:rsidP="00545D26">
            <w:pPr>
              <w:widowControl/>
              <w:tabs>
                <w:tab w:val="center" w:pos="4680"/>
              </w:tabs>
              <w:suppressAutoHyphens/>
              <w:rPr>
                <w:spacing w:val="-2"/>
              </w:rPr>
            </w:pPr>
          </w:p>
        </w:tc>
        <w:tc>
          <w:tcPr>
            <w:tcW w:w="4248" w:type="dxa"/>
          </w:tcPr>
          <w:p w:rsidR="000207BC" w:rsidRDefault="000207BC" w:rsidP="00545D26">
            <w:pPr>
              <w:widowControl/>
              <w:rPr>
                <w:spacing w:val="-2"/>
                <w:highlight w:val="yellow"/>
              </w:rPr>
            </w:pPr>
          </w:p>
          <w:p w:rsidR="000207BC" w:rsidRDefault="000207BC" w:rsidP="00545D26">
            <w:pPr>
              <w:widowControl/>
              <w:rPr>
                <w:spacing w:val="-2"/>
                <w:highlight w:val="yellow"/>
              </w:rPr>
            </w:pPr>
          </w:p>
          <w:p w:rsidR="000207BC" w:rsidRPr="000207BC" w:rsidRDefault="000207BC" w:rsidP="00545D26">
            <w:pPr>
              <w:widowControl/>
            </w:pPr>
            <w:r w:rsidRPr="000207BC">
              <w:rPr>
                <w:spacing w:val="-2"/>
              </w:rPr>
              <w:t>WT Docket No. 02-55</w:t>
            </w:r>
          </w:p>
          <w:p w:rsidR="000207BC" w:rsidRPr="00B82BDD" w:rsidRDefault="000207BC" w:rsidP="00545D26">
            <w:pPr>
              <w:widowControl/>
              <w:rPr>
                <w:spacing w:val="-2"/>
                <w:highlight w:val="yellow"/>
              </w:rPr>
            </w:pPr>
          </w:p>
          <w:p w:rsidR="000207BC" w:rsidRPr="00B82BDD" w:rsidRDefault="000207BC" w:rsidP="00545D26">
            <w:pPr>
              <w:widowControl/>
            </w:pPr>
            <w:r w:rsidRPr="00E24A58">
              <w:rPr>
                <w:spacing w:val="-2"/>
              </w:rPr>
              <w:t>Mediation No. TAM-45</w:t>
            </w:r>
            <w:r w:rsidR="005A6AFA">
              <w:rPr>
                <w:spacing w:val="-2"/>
              </w:rPr>
              <w:t>010</w:t>
            </w:r>
          </w:p>
          <w:p w:rsidR="004C2EE3" w:rsidRDefault="004C2EE3" w:rsidP="00545D26">
            <w:pPr>
              <w:widowControl/>
              <w:tabs>
                <w:tab w:val="center" w:pos="4680"/>
              </w:tabs>
              <w:suppressAutoHyphens/>
              <w:rPr>
                <w:spacing w:val="-2"/>
              </w:rPr>
            </w:pPr>
          </w:p>
        </w:tc>
      </w:tr>
    </w:tbl>
    <w:p w:rsidR="004C2EE3" w:rsidRDefault="004C2EE3" w:rsidP="00545D26">
      <w:pPr>
        <w:widowControl/>
      </w:pPr>
    </w:p>
    <w:p w:rsidR="00841AB1" w:rsidRDefault="000207BC" w:rsidP="00545D26">
      <w:pPr>
        <w:pStyle w:val="StyleBoldCentered"/>
        <w:widowControl/>
      </w:pPr>
      <w:r>
        <w:t>MEmorandum opinion and order</w:t>
      </w:r>
    </w:p>
    <w:p w:rsidR="004C2EE3" w:rsidRDefault="004C2EE3" w:rsidP="00545D26">
      <w:pPr>
        <w:widowControl/>
        <w:tabs>
          <w:tab w:val="left" w:pos="-720"/>
        </w:tabs>
        <w:suppressAutoHyphens/>
        <w:spacing w:line="227" w:lineRule="auto"/>
        <w:rPr>
          <w:spacing w:val="-2"/>
        </w:rPr>
      </w:pPr>
    </w:p>
    <w:p w:rsidR="004C2EE3" w:rsidRDefault="004C2EE3" w:rsidP="008970B5">
      <w:pPr>
        <w:widowControl/>
        <w:tabs>
          <w:tab w:val="left" w:pos="720"/>
          <w:tab w:val="right" w:pos="9360"/>
        </w:tabs>
        <w:suppressAutoHyphens/>
        <w:spacing w:line="227" w:lineRule="auto"/>
        <w:rPr>
          <w:spacing w:val="-2"/>
        </w:rPr>
      </w:pPr>
      <w:r>
        <w:rPr>
          <w:b/>
          <w:spacing w:val="-2"/>
        </w:rPr>
        <w:t xml:space="preserve">Adopted:  </w:t>
      </w:r>
      <w:r w:rsidR="00E76F40">
        <w:rPr>
          <w:b/>
          <w:spacing w:val="-2"/>
        </w:rPr>
        <w:t xml:space="preserve">March </w:t>
      </w:r>
      <w:r w:rsidR="008970B5">
        <w:rPr>
          <w:b/>
          <w:spacing w:val="-2"/>
        </w:rPr>
        <w:t>10</w:t>
      </w:r>
      <w:r w:rsidR="00FE2953">
        <w:rPr>
          <w:b/>
          <w:spacing w:val="-2"/>
        </w:rPr>
        <w:t>, 201</w:t>
      </w:r>
      <w:r w:rsidR="00383AC1">
        <w:rPr>
          <w:b/>
          <w:spacing w:val="-2"/>
        </w:rPr>
        <w:t>5</w:t>
      </w:r>
      <w:r w:rsidR="008970B5">
        <w:rPr>
          <w:b/>
          <w:spacing w:val="-2"/>
        </w:rPr>
        <w:tab/>
      </w:r>
      <w:r w:rsidR="00822CE0">
        <w:rPr>
          <w:b/>
          <w:spacing w:val="-2"/>
        </w:rPr>
        <w:t>Released</w:t>
      </w:r>
      <w:r>
        <w:rPr>
          <w:b/>
          <w:spacing w:val="-2"/>
        </w:rPr>
        <w:t>:</w:t>
      </w:r>
      <w:r w:rsidR="00822CE0">
        <w:rPr>
          <w:b/>
          <w:spacing w:val="-2"/>
        </w:rPr>
        <w:t xml:space="preserve"> </w:t>
      </w:r>
      <w:r>
        <w:rPr>
          <w:b/>
          <w:spacing w:val="-2"/>
        </w:rPr>
        <w:t xml:space="preserve"> </w:t>
      </w:r>
      <w:r w:rsidR="00E76F40">
        <w:rPr>
          <w:b/>
          <w:spacing w:val="-2"/>
        </w:rPr>
        <w:t xml:space="preserve">March </w:t>
      </w:r>
      <w:r w:rsidR="008970B5">
        <w:rPr>
          <w:b/>
          <w:spacing w:val="-2"/>
        </w:rPr>
        <w:t>10</w:t>
      </w:r>
      <w:r w:rsidR="00FE2953" w:rsidRPr="00FE2953">
        <w:rPr>
          <w:b/>
          <w:spacing w:val="-2"/>
        </w:rPr>
        <w:t>, 201</w:t>
      </w:r>
      <w:r w:rsidR="00383AC1">
        <w:rPr>
          <w:b/>
          <w:spacing w:val="-2"/>
        </w:rPr>
        <w:t>5</w:t>
      </w:r>
    </w:p>
    <w:p w:rsidR="00822CE0" w:rsidRDefault="00822CE0" w:rsidP="00545D26">
      <w:pPr>
        <w:widowControl/>
      </w:pPr>
    </w:p>
    <w:p w:rsidR="004C2EE3" w:rsidRDefault="004C2EE3" w:rsidP="00545D26">
      <w:pPr>
        <w:widowControl/>
        <w:rPr>
          <w:spacing w:val="-2"/>
        </w:rPr>
      </w:pPr>
      <w:r>
        <w:t xml:space="preserve">By </w:t>
      </w:r>
      <w:r w:rsidR="004E4A22">
        <w:t>the</w:t>
      </w:r>
      <w:r w:rsidR="002A2D2E">
        <w:t xml:space="preserve"> </w:t>
      </w:r>
      <w:r w:rsidR="000207BC" w:rsidRPr="00B82BDD">
        <w:rPr>
          <w:spacing w:val="-2"/>
        </w:rPr>
        <w:t>Deputy Chief, Policy and Licensing Division, Public Safety and Homeland Security Bureau</w:t>
      </w:r>
      <w:r>
        <w:rPr>
          <w:spacing w:val="-2"/>
        </w:rPr>
        <w:t>:</w:t>
      </w:r>
    </w:p>
    <w:p w:rsidR="00822CE0" w:rsidRDefault="00822CE0" w:rsidP="00545D26">
      <w:pPr>
        <w:widowControl/>
        <w:rPr>
          <w:spacing w:val="-2"/>
        </w:rPr>
      </w:pPr>
    </w:p>
    <w:p w:rsidR="00412FC5" w:rsidRDefault="000207BC" w:rsidP="00545D26">
      <w:pPr>
        <w:pStyle w:val="Heading1"/>
        <w:widowControl/>
      </w:pPr>
      <w:r>
        <w:t>introduction</w:t>
      </w:r>
    </w:p>
    <w:p w:rsidR="000207BC" w:rsidRDefault="000207BC" w:rsidP="00545D26">
      <w:pPr>
        <w:pStyle w:val="ParaNum"/>
        <w:widowControl/>
      </w:pPr>
      <w:r>
        <w:t xml:space="preserve">Under consideration is a </w:t>
      </w:r>
      <w:r w:rsidRPr="00027A77">
        <w:t>Recommended Resolution</w:t>
      </w:r>
      <w:r>
        <w:rPr>
          <w:i/>
        </w:rPr>
        <w:t>,</w:t>
      </w:r>
      <w:r w:rsidRPr="00EF0FAC">
        <w:rPr>
          <w:rStyle w:val="FootnoteReference"/>
        </w:rPr>
        <w:footnoteReference w:id="2"/>
      </w:r>
      <w:r w:rsidRPr="001010B3">
        <w:t xml:space="preserve"> </w:t>
      </w:r>
      <w:r>
        <w:t xml:space="preserve">filed </w:t>
      </w:r>
      <w:r w:rsidR="005A6AFA">
        <w:t>September 8</w:t>
      </w:r>
      <w:r>
        <w:t xml:space="preserve">, 2014 by the 800 MHz Transition </w:t>
      </w:r>
      <w:r w:rsidRPr="00BF7D12">
        <w:t xml:space="preserve">Administrator (TA) </w:t>
      </w:r>
      <w:r w:rsidR="00BE12D2">
        <w:t>TA Mediator</w:t>
      </w:r>
      <w:r w:rsidR="001351D1">
        <w:t>,</w:t>
      </w:r>
      <w:r w:rsidRPr="00BF7D12">
        <w:t xml:space="preserve"> </w:t>
      </w:r>
      <w:r>
        <w:t>of a dispute</w:t>
      </w:r>
      <w:r w:rsidRPr="00BF7D12">
        <w:t xml:space="preserve"> </w:t>
      </w:r>
      <w:r>
        <w:t>between</w:t>
      </w:r>
      <w:r w:rsidRPr="00BF7D12">
        <w:t xml:space="preserve"> </w:t>
      </w:r>
      <w:r w:rsidR="002B6859">
        <w:t xml:space="preserve">the </w:t>
      </w:r>
      <w:r w:rsidR="005A6AFA">
        <w:t>Arizona Public Service Company</w:t>
      </w:r>
      <w:r w:rsidRPr="00BF7D12">
        <w:t xml:space="preserve"> (</w:t>
      </w:r>
      <w:r w:rsidR="005A6AFA">
        <w:t xml:space="preserve">APSC </w:t>
      </w:r>
      <w:r w:rsidRPr="00BF7D12">
        <w:t>or Licensee</w:t>
      </w:r>
      <w:r w:rsidRPr="00E24A58">
        <w:t>) and Nextel Communications, Inc. (Sprint)</w:t>
      </w:r>
      <w:r w:rsidR="0072089E">
        <w:rPr>
          <w:rStyle w:val="FootnoteReference"/>
        </w:rPr>
        <w:footnoteReference w:id="3"/>
      </w:r>
      <w:r w:rsidRPr="00E24A58">
        <w:t xml:space="preserve"> </w:t>
      </w:r>
      <w:r>
        <w:t xml:space="preserve">arising from the negotiation </w:t>
      </w:r>
      <w:r w:rsidRPr="00E24A58">
        <w:t xml:space="preserve">of a Frequency Reconfiguration Agreement (FRA) </w:t>
      </w:r>
      <w:r w:rsidR="0072089E">
        <w:t xml:space="preserve">between </w:t>
      </w:r>
      <w:r w:rsidR="005A6AFA">
        <w:t xml:space="preserve">APSC </w:t>
      </w:r>
      <w:r w:rsidRPr="00E24A58">
        <w:t xml:space="preserve">and Sprint.  In this </w:t>
      </w:r>
      <w:r w:rsidRPr="004F7602">
        <w:rPr>
          <w:i/>
        </w:rPr>
        <w:t>Memorandum Opinion and Order</w:t>
      </w:r>
      <w:r w:rsidRPr="00E24A58">
        <w:t>, we</w:t>
      </w:r>
      <w:r w:rsidR="000637F9">
        <w:t xml:space="preserve"> general</w:t>
      </w:r>
      <w:r w:rsidR="002B6859">
        <w:t>ly</w:t>
      </w:r>
      <w:r w:rsidRPr="00E24A58">
        <w:t xml:space="preserve"> </w:t>
      </w:r>
      <w:r>
        <w:t>concur with</w:t>
      </w:r>
      <w:r w:rsidRPr="00E24A58">
        <w:t xml:space="preserve"> the </w:t>
      </w:r>
      <w:r w:rsidR="00BE12D2">
        <w:t>TA Mediator</w:t>
      </w:r>
      <w:r w:rsidRPr="00E24A58">
        <w:t xml:space="preserve"> </w:t>
      </w:r>
      <w:r>
        <w:t xml:space="preserve">and find </w:t>
      </w:r>
      <w:r w:rsidRPr="00E24A58">
        <w:t>that</w:t>
      </w:r>
      <w:r w:rsidR="00CD449A">
        <w:t>, in most respects,</w:t>
      </w:r>
      <w:r w:rsidRPr="00E24A58">
        <w:t xml:space="preserve"> </w:t>
      </w:r>
      <w:r w:rsidR="00CD449A">
        <w:t xml:space="preserve">APSC has failed to meet its burden of proof to </w:t>
      </w:r>
      <w:r w:rsidR="00831FBC">
        <w:t xml:space="preserve">demonstrate that its estimate </w:t>
      </w:r>
      <w:r w:rsidR="000D130B">
        <w:t xml:space="preserve">of the cost to reband its 800 MHz communications system </w:t>
      </w:r>
      <w:r w:rsidR="00831FBC">
        <w:t xml:space="preserve">meets the Commission’s </w:t>
      </w:r>
      <w:r w:rsidR="000D130B">
        <w:t xml:space="preserve">well-established </w:t>
      </w:r>
      <w:r w:rsidR="004C1F40">
        <w:t>Minimum Necessary Cost</w:t>
      </w:r>
      <w:r w:rsidR="00831FBC">
        <w:t xml:space="preserve"> </w:t>
      </w:r>
      <w:r w:rsidR="007457F7">
        <w:t>S</w:t>
      </w:r>
      <w:r w:rsidR="00831FBC">
        <w:t>tandard</w:t>
      </w:r>
      <w:r w:rsidR="00CD449A">
        <w:t>.</w:t>
      </w:r>
    </w:p>
    <w:p w:rsidR="000207BC" w:rsidRDefault="000207BC" w:rsidP="00D9682E">
      <w:pPr>
        <w:pStyle w:val="Heading1"/>
        <w:widowControl/>
      </w:pPr>
      <w:r>
        <w:t>Backg</w:t>
      </w:r>
      <w:r w:rsidR="006177F6">
        <w:t>R</w:t>
      </w:r>
      <w:r>
        <w:t>ound</w:t>
      </w:r>
    </w:p>
    <w:p w:rsidR="000207BC" w:rsidRPr="00E24A58" w:rsidRDefault="000207BC" w:rsidP="00D9682E">
      <w:pPr>
        <w:pStyle w:val="ParaNum"/>
        <w:widowControl/>
      </w:pPr>
      <w:r w:rsidRPr="00E5573E">
        <w:t xml:space="preserve">The </w:t>
      </w:r>
      <w:r w:rsidRPr="00E24A58">
        <w:rPr>
          <w:i/>
          <w:iCs/>
        </w:rPr>
        <w:t xml:space="preserve">800 MHz Report and Order </w:t>
      </w:r>
      <w:r w:rsidRPr="00E5573E">
        <w:t>and subsequent orders in this docket require Sprint to negotiate a FRA</w:t>
      </w:r>
      <w:r>
        <w:t xml:space="preserve"> </w:t>
      </w:r>
      <w:r w:rsidRPr="00E5573E">
        <w:t>with each 800 MHz licensee subject to rebanding.</w:t>
      </w:r>
      <w:r w:rsidRPr="00255BA8">
        <w:rPr>
          <w:vertAlign w:val="superscript"/>
        </w:rPr>
        <w:footnoteReference w:id="4"/>
      </w:r>
      <w:r w:rsidRPr="00E5573E">
        <w:t xml:space="preserve">  The FRA must provide for retuning of the licensee’s system to its replacement channel assignments at Sprint’s expense, including the expense of retuning or replacing the licensee’s radio units as required.</w:t>
      </w:r>
      <w:r w:rsidRPr="00255BA8">
        <w:rPr>
          <w:vertAlign w:val="superscript"/>
        </w:rPr>
        <w:footnoteReference w:id="5"/>
      </w:r>
      <w:r w:rsidRPr="00E24A58">
        <w:rPr>
          <w:vertAlign w:val="superscript"/>
        </w:rPr>
        <w:t xml:space="preserve"> </w:t>
      </w:r>
      <w:r w:rsidRPr="00E5573E">
        <w:t xml:space="preserve"> If a licensee and Sprint are unable to negotiate a FRA, they enter mediation under the auspices of a </w:t>
      </w:r>
      <w:r>
        <w:t xml:space="preserve">TA-appointed </w:t>
      </w:r>
      <w:r w:rsidRPr="00E5573E">
        <w:t>mediator.</w:t>
      </w:r>
      <w:r w:rsidRPr="00137072">
        <w:rPr>
          <w:vertAlign w:val="superscript"/>
        </w:rPr>
        <w:footnoteReference w:id="6"/>
      </w:r>
      <w:r>
        <w:t xml:space="preserve"> </w:t>
      </w:r>
      <w:r w:rsidRPr="00E5573E">
        <w:t xml:space="preserve"> If the parties do </w:t>
      </w:r>
      <w:r w:rsidRPr="00E5573E">
        <w:lastRenderedPageBreak/>
        <w:t>not reach</w:t>
      </w:r>
      <w:r>
        <w:t xml:space="preserve"> an</w:t>
      </w:r>
      <w:r w:rsidRPr="00E5573E">
        <w:t xml:space="preserve"> agreement in mediation, the mediator forwards the mediation record and a recommended resolution to the </w:t>
      </w:r>
      <w:r w:rsidR="001D4F16">
        <w:t>Public Safety and Homeland Security Bureau (</w:t>
      </w:r>
      <w:r w:rsidRPr="00E5573E">
        <w:t>Bureau</w:t>
      </w:r>
      <w:r w:rsidR="001D4F16">
        <w:t>)</w:t>
      </w:r>
      <w:r w:rsidRPr="00E5573E">
        <w:t xml:space="preserve"> for </w:t>
      </w:r>
      <w:r w:rsidRPr="00E24A58">
        <w:rPr>
          <w:i/>
        </w:rPr>
        <w:t>de novo</w:t>
      </w:r>
      <w:r w:rsidRPr="00E5573E">
        <w:t xml:space="preserve"> review.</w:t>
      </w:r>
      <w:r w:rsidRPr="00137072">
        <w:rPr>
          <w:vertAlign w:val="superscript"/>
        </w:rPr>
        <w:footnoteReference w:id="7"/>
      </w:r>
      <w:r>
        <w:t xml:space="preserve"> </w:t>
      </w:r>
    </w:p>
    <w:p w:rsidR="00EA72FF" w:rsidRPr="00E24A58" w:rsidRDefault="00EA72FF" w:rsidP="00D9682E">
      <w:pPr>
        <w:pStyle w:val="ParaNum"/>
        <w:widowControl/>
      </w:pPr>
      <w:r>
        <w:t>APSC is a public utility located in the State of Arizona that provides electrical power generated by both conventional and nuclear sources throughout most of Arizona</w:t>
      </w:r>
      <w:r w:rsidR="00CD449A">
        <w:t xml:space="preserve"> and </w:t>
      </w:r>
      <w:r>
        <w:t>portions of New Mexico.</w:t>
      </w:r>
      <w:r w:rsidR="00EB323C">
        <w:rPr>
          <w:rStyle w:val="FootnoteReference"/>
        </w:rPr>
        <w:footnoteReference w:id="8"/>
      </w:r>
      <w:r>
        <w:t xml:space="preserve">  Its system consists of 29 Motorola IntelliRepeater multicast sites and one simulcast system (consisting of three simulcast RF sites) connected to a master site through digital microwave and fiber links.</w:t>
      </w:r>
      <w:r w:rsidR="00EB323C">
        <w:rPr>
          <w:rStyle w:val="FootnoteReference"/>
        </w:rPr>
        <w:footnoteReference w:id="9"/>
      </w:r>
      <w:r>
        <w:t xml:space="preserve">  </w:t>
      </w:r>
      <w:r w:rsidR="00EB323C">
        <w:t xml:space="preserve">APSC </w:t>
      </w:r>
      <w:r>
        <w:t>also operates a multisite IPMobileNet wireless data network.</w:t>
      </w:r>
      <w:r w:rsidR="00792961">
        <w:rPr>
          <w:rStyle w:val="FootnoteReference"/>
        </w:rPr>
        <w:footnoteReference w:id="10"/>
      </w:r>
      <w:r>
        <w:t xml:space="preserve">  In addition to the 29 IntelliRepeater multicast sites, there are ten pole top repeater sites.</w:t>
      </w:r>
      <w:r w:rsidR="00EB323C">
        <w:rPr>
          <w:rStyle w:val="FootnoteReference"/>
        </w:rPr>
        <w:footnoteReference w:id="11"/>
      </w:r>
      <w:r>
        <w:t xml:space="preserve"> </w:t>
      </w:r>
      <w:r w:rsidR="00CD449A">
        <w:t xml:space="preserve"> </w:t>
      </w:r>
      <w:r w:rsidR="00B872BE">
        <w:t>APSC states that f</w:t>
      </w:r>
      <w:r>
        <w:t>ive of the multicast sites, three of the pole top repeater sites, and approximately 3,100 subscriber radios must be reconfigured as part of the 800 MHz rebanding process.</w:t>
      </w:r>
      <w:r w:rsidR="00EB323C">
        <w:rPr>
          <w:rStyle w:val="FootnoteReference"/>
        </w:rPr>
        <w:footnoteReference w:id="12"/>
      </w:r>
    </w:p>
    <w:p w:rsidR="00785F74" w:rsidRDefault="00684CD9" w:rsidP="00D9682E">
      <w:pPr>
        <w:pStyle w:val="ParaNum"/>
        <w:widowControl/>
      </w:pPr>
      <w:r>
        <w:t xml:space="preserve">The </w:t>
      </w:r>
      <w:r w:rsidRPr="00785F74">
        <w:rPr>
          <w:i/>
        </w:rPr>
        <w:t xml:space="preserve">800 MHz Report and Order </w:t>
      </w:r>
      <w:r>
        <w:t xml:space="preserve">requires </w:t>
      </w:r>
      <w:r w:rsidR="00FA0A12">
        <w:t>APSC</w:t>
      </w:r>
      <w:r w:rsidR="000207BC">
        <w:t xml:space="preserve"> </w:t>
      </w:r>
      <w:r>
        <w:t xml:space="preserve">to </w:t>
      </w:r>
      <w:r w:rsidR="000207BC" w:rsidRPr="009B07BA">
        <w:t xml:space="preserve">relocate its system </w:t>
      </w:r>
      <w:r>
        <w:t>with</w:t>
      </w:r>
      <w:r w:rsidR="000207BC" w:rsidRPr="009B07BA">
        <w:t>in the 800 MHz band</w:t>
      </w:r>
      <w:r w:rsidR="001D4F16">
        <w:t xml:space="preserve"> at Sprint’s expense</w:t>
      </w:r>
      <w:r w:rsidR="000207BC" w:rsidRPr="009B07BA">
        <w:t>.</w:t>
      </w:r>
      <w:r w:rsidR="000207BC">
        <w:rPr>
          <w:rStyle w:val="FootnoteReference"/>
        </w:rPr>
        <w:footnoteReference w:id="13"/>
      </w:r>
      <w:r w:rsidR="000207BC" w:rsidRPr="009B07BA">
        <w:t xml:space="preserve">  </w:t>
      </w:r>
      <w:r w:rsidR="00792961">
        <w:t xml:space="preserve">APSC submitted its </w:t>
      </w:r>
      <w:r w:rsidR="007457F7">
        <w:t xml:space="preserve">cost </w:t>
      </w:r>
      <w:r w:rsidR="00485F92">
        <w:t>estimation</w:t>
      </w:r>
      <w:r w:rsidR="00792961">
        <w:t xml:space="preserve">  (Statement of Work or </w:t>
      </w:r>
      <w:r w:rsidR="00785F74">
        <w:t>SOW) to Sprint on April 18, 2014.</w:t>
      </w:r>
      <w:r w:rsidR="00785F74">
        <w:rPr>
          <w:rStyle w:val="FootnoteReference"/>
        </w:rPr>
        <w:footnoteReference w:id="14"/>
      </w:r>
      <w:r w:rsidR="00785F74">
        <w:t xml:space="preserve"> Although </w:t>
      </w:r>
      <w:r w:rsidR="00792961">
        <w:t xml:space="preserve">APSC operates a Motorola </w:t>
      </w:r>
      <w:r w:rsidR="00785F74">
        <w:t xml:space="preserve">system, </w:t>
      </w:r>
      <w:r w:rsidR="00792961">
        <w:t>it chose</w:t>
      </w:r>
      <w:r w:rsidR="002B6859">
        <w:t xml:space="preserve"> Motorola competitor,</w:t>
      </w:r>
      <w:r w:rsidR="00792961">
        <w:t xml:space="preserve"> Harris Corporation (</w:t>
      </w:r>
      <w:r w:rsidR="00785F74">
        <w:t xml:space="preserve">Harris) to </w:t>
      </w:r>
      <w:r w:rsidR="001D5268">
        <w:t>reband i</w:t>
      </w:r>
      <w:r w:rsidR="000D130B">
        <w:t>t</w:t>
      </w:r>
      <w:r w:rsidR="001D5268">
        <w:t xml:space="preserve">s </w:t>
      </w:r>
      <w:r w:rsidR="00785F74">
        <w:t>sy</w:t>
      </w:r>
      <w:r w:rsidR="00792961">
        <w:t>stem</w:t>
      </w:r>
      <w:r w:rsidR="002B6859">
        <w:t xml:space="preserve">.  It proposes that </w:t>
      </w:r>
      <w:r w:rsidR="00792961">
        <w:t>Federal Engineering (</w:t>
      </w:r>
      <w:r w:rsidR="00785F74">
        <w:t>Federal) manage the project.</w:t>
      </w:r>
      <w:r w:rsidR="00785F74">
        <w:rPr>
          <w:rStyle w:val="FootnoteReference"/>
        </w:rPr>
        <w:footnoteReference w:id="15"/>
      </w:r>
      <w:r w:rsidR="00785F74">
        <w:t xml:space="preserve"> The SOW </w:t>
      </w:r>
      <w:r w:rsidR="00792961">
        <w:t xml:space="preserve">proposed </w:t>
      </w:r>
      <w:r w:rsidR="00785F74">
        <w:t xml:space="preserve">a cost </w:t>
      </w:r>
      <w:r w:rsidR="00792961">
        <w:t xml:space="preserve">of </w:t>
      </w:r>
      <w:r w:rsidR="00785F74">
        <w:t>$2.67 million and</w:t>
      </w:r>
      <w:r w:rsidR="001D5268">
        <w:t xml:space="preserve">, in addition, specified that </w:t>
      </w:r>
      <w:r w:rsidR="00785F74">
        <w:t xml:space="preserve">Sprint </w:t>
      </w:r>
      <w:r w:rsidR="001D5268">
        <w:t xml:space="preserve">would </w:t>
      </w:r>
      <w:r w:rsidR="00785F74">
        <w:t xml:space="preserve">provide replacement infrastructure equipment (combiners, duplexers, and a pre-selector), </w:t>
      </w:r>
      <w:r w:rsidR="001D5268">
        <w:t xml:space="preserve">and </w:t>
      </w:r>
      <w:r w:rsidR="00785F74">
        <w:t>cables and computer hardware.</w:t>
      </w:r>
      <w:r w:rsidR="00785F74">
        <w:rPr>
          <w:rStyle w:val="FootnoteReference"/>
        </w:rPr>
        <w:footnoteReference w:id="16"/>
      </w:r>
    </w:p>
    <w:p w:rsidR="00E658A5" w:rsidRDefault="00996F7C" w:rsidP="00D9682E">
      <w:pPr>
        <w:pStyle w:val="ParaNum"/>
        <w:widowControl/>
      </w:pPr>
      <w:r>
        <w:t>The parties opened formal negotiation of an FRA on April 24, 2014.</w:t>
      </w:r>
      <w:r w:rsidR="00E7789B">
        <w:rPr>
          <w:rStyle w:val="FootnoteReference"/>
        </w:rPr>
        <w:footnoteReference w:id="17"/>
      </w:r>
      <w:r>
        <w:t xml:space="preserve">  The</w:t>
      </w:r>
      <w:r w:rsidR="005F11B9">
        <w:t xml:space="preserve"> </w:t>
      </w:r>
      <w:r>
        <w:t>negotiation period ended on May 25, 2014 and the mediation period was scheduled to conclude</w:t>
      </w:r>
      <w:r w:rsidR="005F11B9">
        <w:t xml:space="preserve"> on June 23, 2014.</w:t>
      </w:r>
      <w:r w:rsidR="00E7789B">
        <w:rPr>
          <w:rStyle w:val="FootnoteReference"/>
        </w:rPr>
        <w:footnoteReference w:id="18"/>
      </w:r>
      <w:r w:rsidR="005F11B9">
        <w:t xml:space="preserve"> </w:t>
      </w:r>
      <w:r w:rsidR="00B25E5C">
        <w:t xml:space="preserve"> </w:t>
      </w:r>
      <w:r w:rsidR="005F11B9">
        <w:t xml:space="preserve">The parties had limited exchanges prior to June 13, 2014.  On June 17, 2014, in response to the urging of the </w:t>
      </w:r>
      <w:r w:rsidR="00BE12D2">
        <w:t>TA Mediator</w:t>
      </w:r>
      <w:r w:rsidR="005F11B9">
        <w:t xml:space="preserve">, Sprint submitted a counteroffer </w:t>
      </w:r>
      <w:r w:rsidR="00E658A5">
        <w:t xml:space="preserve">that </w:t>
      </w:r>
      <w:r w:rsidR="00E7789B">
        <w:t>proposed</w:t>
      </w:r>
      <w:r w:rsidR="005F11B9">
        <w:t xml:space="preserve"> </w:t>
      </w:r>
      <w:r w:rsidR="00E658A5">
        <w:t xml:space="preserve">reducing the </w:t>
      </w:r>
      <w:r w:rsidR="00E7789B">
        <w:t xml:space="preserve">overall project </w:t>
      </w:r>
      <w:r w:rsidR="00E658A5">
        <w:t xml:space="preserve">cost by more than half, </w:t>
      </w:r>
      <w:r w:rsidR="005F11B9">
        <w:t xml:space="preserve">primarily </w:t>
      </w:r>
      <w:r w:rsidR="00E658A5">
        <w:t xml:space="preserve">by estimating </w:t>
      </w:r>
      <w:r w:rsidR="005F11B9">
        <w:t>what Sprint</w:t>
      </w:r>
      <w:r w:rsidR="00E658A5">
        <w:t xml:space="preserve"> believes </w:t>
      </w:r>
      <w:r w:rsidR="005F11B9">
        <w:t xml:space="preserve">rebanding </w:t>
      </w:r>
      <w:r w:rsidR="00E658A5">
        <w:t>APSC</w:t>
      </w:r>
      <w:r w:rsidR="001D5268">
        <w:t>’s</w:t>
      </w:r>
      <w:r w:rsidR="00E658A5">
        <w:t xml:space="preserve"> </w:t>
      </w:r>
      <w:r w:rsidR="005F11B9">
        <w:t>system would cost if the work were performed by</w:t>
      </w:r>
      <w:r w:rsidR="00E658A5">
        <w:t xml:space="preserve"> </w:t>
      </w:r>
      <w:r w:rsidR="005F11B9">
        <w:t xml:space="preserve">Motorola and its affiliated </w:t>
      </w:r>
      <w:r w:rsidR="000D130B">
        <w:t xml:space="preserve">service </w:t>
      </w:r>
      <w:r w:rsidR="005F11B9">
        <w:t>shops</w:t>
      </w:r>
      <w:r w:rsidR="00E658A5">
        <w:t xml:space="preserve"> </w:t>
      </w:r>
      <w:r w:rsidR="001D5268">
        <w:t xml:space="preserve">instead of </w:t>
      </w:r>
      <w:r w:rsidR="000D130B">
        <w:t xml:space="preserve">by </w:t>
      </w:r>
      <w:r w:rsidR="00E658A5">
        <w:t>Harris.</w:t>
      </w:r>
      <w:r w:rsidR="00E7789B">
        <w:rPr>
          <w:rStyle w:val="FootnoteReference"/>
        </w:rPr>
        <w:footnoteReference w:id="19"/>
      </w:r>
    </w:p>
    <w:p w:rsidR="00A00CF4" w:rsidRDefault="00E92FA8" w:rsidP="00D9682E">
      <w:pPr>
        <w:pStyle w:val="ParaNum"/>
        <w:widowControl/>
      </w:pPr>
      <w:r>
        <w:t xml:space="preserve">Despite an </w:t>
      </w:r>
      <w:r w:rsidR="005F11B9">
        <w:t>exten</w:t>
      </w:r>
      <w:r>
        <w:t xml:space="preserve">sion of </w:t>
      </w:r>
      <w:r w:rsidR="005F11B9">
        <w:t>the mediation period through July 17, 2014</w:t>
      </w:r>
      <w:r>
        <w:t>, and the extensive involvement of the</w:t>
      </w:r>
      <w:r w:rsidR="005F11B9">
        <w:t xml:space="preserve"> </w:t>
      </w:r>
      <w:r w:rsidR="00BE12D2">
        <w:t>TA Mediator</w:t>
      </w:r>
      <w:r>
        <w:t>, the parties were unable to agree.</w:t>
      </w:r>
      <w:r w:rsidR="00A00CF4">
        <w:rPr>
          <w:rStyle w:val="FootnoteReference"/>
        </w:rPr>
        <w:footnoteReference w:id="20"/>
      </w:r>
      <w:r>
        <w:t xml:space="preserve">  </w:t>
      </w:r>
      <w:r w:rsidR="00A00CF4">
        <w:t>T</w:t>
      </w:r>
      <w:r>
        <w:t xml:space="preserve">oward the end of the mediation period, Sprint submitted a </w:t>
      </w:r>
      <w:r w:rsidR="001D5268">
        <w:t xml:space="preserve">rebanding </w:t>
      </w:r>
      <w:r>
        <w:t>quot</w:t>
      </w:r>
      <w:r w:rsidR="001D5268">
        <w:t>e</w:t>
      </w:r>
      <w:r>
        <w:t xml:space="preserve"> from Creative Communications of Phoenix, Arizona (the Creative Quote), </w:t>
      </w:r>
      <w:r w:rsidR="001D5268">
        <w:t xml:space="preserve">accompanied by </w:t>
      </w:r>
      <w:r>
        <w:t xml:space="preserve">an email </w:t>
      </w:r>
      <w:r w:rsidR="003B7368">
        <w:t xml:space="preserve">containing </w:t>
      </w:r>
      <w:r>
        <w:t xml:space="preserve"> the assumptions that Sprint had provided to Creative to assist in preparing the quote.</w:t>
      </w:r>
      <w:r w:rsidR="00A00CF4">
        <w:rPr>
          <w:rStyle w:val="FootnoteReference"/>
        </w:rPr>
        <w:footnoteReference w:id="21"/>
      </w:r>
      <w:r>
        <w:t xml:space="preserve">  The Creative Quote was significantly lower than Sprint’s </w:t>
      </w:r>
      <w:r w:rsidR="00A00CF4">
        <w:t xml:space="preserve">previous </w:t>
      </w:r>
      <w:r>
        <w:t xml:space="preserve">estimate of the amount that Motorola would charge for rebanding </w:t>
      </w:r>
      <w:r w:rsidR="00A00CF4">
        <w:t xml:space="preserve">APSC’s </w:t>
      </w:r>
      <w:r>
        <w:t>system, thus widening the gulf between the Parties.</w:t>
      </w:r>
      <w:r w:rsidR="00A00CF4">
        <w:rPr>
          <w:rStyle w:val="FootnoteReference"/>
        </w:rPr>
        <w:footnoteReference w:id="22"/>
      </w:r>
      <w:r>
        <w:t xml:space="preserve"> </w:t>
      </w:r>
    </w:p>
    <w:p w:rsidR="000207BC" w:rsidRPr="00710EF9" w:rsidRDefault="00A00CF4" w:rsidP="00D9682E">
      <w:pPr>
        <w:pStyle w:val="ParaNum"/>
        <w:widowControl/>
      </w:pPr>
      <w:r>
        <w:t xml:space="preserve">During the </w:t>
      </w:r>
      <w:r w:rsidR="00E92FA8">
        <w:t xml:space="preserve">final mediation call, the </w:t>
      </w:r>
      <w:r w:rsidR="00BE12D2">
        <w:t>TA Mediator</w:t>
      </w:r>
      <w:r w:rsidR="00E92FA8">
        <w:t xml:space="preserve"> and the Parties developed a proposed</w:t>
      </w:r>
      <w:r>
        <w:t xml:space="preserve"> schedule for the submission of Proposed Resolution Memoranda (PRM).</w:t>
      </w:r>
      <w:r w:rsidR="0050220F">
        <w:rPr>
          <w:rStyle w:val="FootnoteReference"/>
        </w:rPr>
        <w:footnoteReference w:id="23"/>
      </w:r>
      <w:r>
        <w:t xml:space="preserve"> APSC filed its PRM on August 7, 2014,</w:t>
      </w:r>
      <w:r w:rsidR="0050220F">
        <w:rPr>
          <w:rStyle w:val="FootnoteReference"/>
        </w:rPr>
        <w:footnoteReference w:id="24"/>
      </w:r>
      <w:r>
        <w:t xml:space="preserve"> and</w:t>
      </w:r>
      <w:r w:rsidR="007457F7">
        <w:t xml:space="preserve"> subsequently</w:t>
      </w:r>
      <w:r>
        <w:t xml:space="preserve"> Sprint filed its</w:t>
      </w:r>
      <w:r w:rsidR="007457F7">
        <w:t xml:space="preserve"> PRM</w:t>
      </w:r>
      <w:r>
        <w:t xml:space="preserve"> on </w:t>
      </w:r>
      <w:r w:rsidR="007E4EE5">
        <w:t>August 18, 2014.</w:t>
      </w:r>
      <w:r w:rsidR="0050220F">
        <w:rPr>
          <w:rStyle w:val="FootnoteReference"/>
        </w:rPr>
        <w:footnoteReference w:id="25"/>
      </w:r>
      <w:r w:rsidR="007E4EE5">
        <w:t xml:space="preserve">  Sprint successfully petitioned </w:t>
      </w:r>
      <w:r w:rsidR="003B7368">
        <w:t xml:space="preserve">the mediator </w:t>
      </w:r>
      <w:r w:rsidR="007E4EE5">
        <w:t xml:space="preserve">for leave </w:t>
      </w:r>
      <w:r>
        <w:t xml:space="preserve">to respond to new information presented by </w:t>
      </w:r>
      <w:r w:rsidR="002B6859">
        <w:t>APSC</w:t>
      </w:r>
      <w:r w:rsidR="00B872BE">
        <w:t xml:space="preserve"> in</w:t>
      </w:r>
      <w:r w:rsidR="007E4EE5">
        <w:t xml:space="preserve"> </w:t>
      </w:r>
      <w:r>
        <w:t>its Reply PRM</w:t>
      </w:r>
      <w:r w:rsidR="007E4EE5">
        <w:t xml:space="preserve">, and as a result </w:t>
      </w:r>
      <w:r>
        <w:t>Sprint filed a Surreply on August 29, 2014.</w:t>
      </w:r>
      <w:r w:rsidR="0050220F">
        <w:rPr>
          <w:rStyle w:val="FootnoteReference"/>
        </w:rPr>
        <w:footnoteReference w:id="26"/>
      </w:r>
      <w:r w:rsidR="00442B7B">
        <w:t xml:space="preserve">  </w:t>
      </w:r>
      <w:r w:rsidR="001D4F16">
        <w:t xml:space="preserve">The </w:t>
      </w:r>
      <w:r w:rsidR="000207BC">
        <w:t>TA</w:t>
      </w:r>
      <w:r w:rsidR="0026123B">
        <w:t xml:space="preserve"> </w:t>
      </w:r>
      <w:r w:rsidR="00BE12D2">
        <w:t>Mediator</w:t>
      </w:r>
      <w:r w:rsidR="000207BC">
        <w:t xml:space="preserve"> issued </w:t>
      </w:r>
      <w:r w:rsidR="001D4F16">
        <w:t>a</w:t>
      </w:r>
      <w:r w:rsidR="000207BC">
        <w:t xml:space="preserve"> </w:t>
      </w:r>
      <w:r w:rsidR="000207BC" w:rsidRPr="00000246">
        <w:t>Recommended Resolution</w:t>
      </w:r>
      <w:r w:rsidR="000207BC" w:rsidRPr="00442B7B">
        <w:rPr>
          <w:vertAlign w:val="superscript"/>
        </w:rPr>
        <w:t xml:space="preserve"> </w:t>
      </w:r>
      <w:r w:rsidR="000207BC" w:rsidRPr="00000246">
        <w:t xml:space="preserve">on </w:t>
      </w:r>
      <w:r w:rsidR="00442B7B">
        <w:t>September 8</w:t>
      </w:r>
      <w:r w:rsidR="000207BC" w:rsidRPr="00000246">
        <w:t>, 2014</w:t>
      </w:r>
      <w:r w:rsidR="000207BC" w:rsidRPr="00710EF9">
        <w:t>.</w:t>
      </w:r>
      <w:r w:rsidR="000207BC" w:rsidRPr="00710EF9">
        <w:rPr>
          <w:sz w:val="20"/>
          <w:vertAlign w:val="superscript"/>
        </w:rPr>
        <w:footnoteReference w:id="27"/>
      </w:r>
      <w:r w:rsidR="000207BC">
        <w:t xml:space="preserve">  On </w:t>
      </w:r>
      <w:r w:rsidR="00442B7B">
        <w:t>September 22</w:t>
      </w:r>
      <w:r w:rsidR="000207BC">
        <w:t>, 2014, the parties filed their statements of position with the Bureau</w:t>
      </w:r>
      <w:r w:rsidR="00442B7B">
        <w:t>.</w:t>
      </w:r>
      <w:r w:rsidR="000207BC">
        <w:rPr>
          <w:rStyle w:val="FootnoteReference"/>
        </w:rPr>
        <w:footnoteReference w:id="28"/>
      </w:r>
      <w:r w:rsidR="00196C92">
        <w:t xml:space="preserve">  On November 3, 2014, </w:t>
      </w:r>
      <w:r w:rsidR="003B7368">
        <w:t xml:space="preserve">at the direction </w:t>
      </w:r>
      <w:r w:rsidR="00196C92">
        <w:t>of the Bureau, the TA</w:t>
      </w:r>
      <w:r w:rsidR="007457F7">
        <w:t xml:space="preserve"> Mediator</w:t>
      </w:r>
      <w:r w:rsidR="00196C92">
        <w:t xml:space="preserve"> submitted a Supplemental Appendix containing </w:t>
      </w:r>
      <w:r w:rsidR="00CF1A7C">
        <w:t xml:space="preserve">a </w:t>
      </w:r>
      <w:r w:rsidR="00196C92">
        <w:t>cost metrics report.</w:t>
      </w:r>
      <w:r w:rsidR="00196C92">
        <w:rPr>
          <w:rStyle w:val="FootnoteReference"/>
        </w:rPr>
        <w:footnoteReference w:id="29"/>
      </w:r>
    </w:p>
    <w:p w:rsidR="00A10C05" w:rsidRPr="00A10C05" w:rsidRDefault="00513851" w:rsidP="00D9682E">
      <w:pPr>
        <w:pStyle w:val="Heading2"/>
        <w:widowControl/>
      </w:pPr>
      <w:r>
        <w:t xml:space="preserve">Relevant </w:t>
      </w:r>
      <w:r w:rsidR="00A10C05">
        <w:t>Legal Standard</w:t>
      </w:r>
      <w:r>
        <w:t>s</w:t>
      </w:r>
    </w:p>
    <w:p w:rsidR="00AA4054" w:rsidRDefault="00AA4054" w:rsidP="00D9682E">
      <w:pPr>
        <w:pStyle w:val="ParaNum"/>
        <w:widowControl/>
      </w:pPr>
      <w:bookmarkStart w:id="1" w:name="_Ref408401688"/>
      <w:r>
        <w:t xml:space="preserve">The Commission has stated that relocating licensees are entitled to </w:t>
      </w:r>
      <w:r w:rsidR="000D7C38">
        <w:t xml:space="preserve">reimbursement </w:t>
      </w:r>
      <w:r w:rsidR="003B7368">
        <w:t>of</w:t>
      </w:r>
      <w:r w:rsidR="00A10C05">
        <w:t xml:space="preserve"> </w:t>
      </w:r>
      <w:r>
        <w:t>“any reasonable and prudent expense directly related to the retuning of a specific 800 MHz</w:t>
      </w:r>
      <w:r w:rsidR="00A10C05">
        <w:t xml:space="preserve"> </w:t>
      </w:r>
      <w:r>
        <w:t>system</w:t>
      </w:r>
      <w:r w:rsidR="003B7368">
        <w:t>,</w:t>
      </w:r>
      <w:r>
        <w:t>”</w:t>
      </w:r>
      <w:r w:rsidR="000D7C38">
        <w:rPr>
          <w:rStyle w:val="FootnoteReference"/>
        </w:rPr>
        <w:footnoteReference w:id="30"/>
      </w:r>
      <w:r w:rsidR="000D7C38">
        <w:t xml:space="preserve"> </w:t>
      </w:r>
      <w:r w:rsidR="003B7368">
        <w:t>and</w:t>
      </w:r>
      <w:r w:rsidR="002A2281">
        <w:t xml:space="preserve"> that</w:t>
      </w:r>
      <w:r w:rsidR="000D7C38">
        <w:t xml:space="preserve"> the </w:t>
      </w:r>
      <w:r>
        <w:t>relocating licensee must certify that “the funds requested for reconfiguration are the minimum necessary to provide facilities comparable to those presently in use.”</w:t>
      </w:r>
      <w:r w:rsidR="000D7C38">
        <w:rPr>
          <w:rStyle w:val="FootnoteReference"/>
        </w:rPr>
        <w:footnoteReference w:id="31"/>
      </w:r>
      <w:r>
        <w:t xml:space="preserve"> </w:t>
      </w:r>
      <w:r w:rsidR="00CF1A7C">
        <w:t xml:space="preserve"> </w:t>
      </w:r>
      <w:r w:rsidR="000D7C38">
        <w:t xml:space="preserve">The licensee bears the burden of proof </w:t>
      </w:r>
      <w:r w:rsidR="002A2281">
        <w:t xml:space="preserve">to </w:t>
      </w:r>
      <w:r w:rsidR="00D35DDE">
        <w:t xml:space="preserve">show that its claimed </w:t>
      </w:r>
      <w:r w:rsidR="000D7C38">
        <w:t xml:space="preserve">expenses meet the minimum </w:t>
      </w:r>
      <w:r w:rsidR="00D35DDE">
        <w:t xml:space="preserve">necessary </w:t>
      </w:r>
      <w:r w:rsidR="000D7C38">
        <w:t>cost standard.</w:t>
      </w:r>
      <w:r w:rsidR="000D7C38">
        <w:rPr>
          <w:rStyle w:val="FootnoteReference"/>
        </w:rPr>
        <w:footnoteReference w:id="32"/>
      </w:r>
      <w:bookmarkEnd w:id="1"/>
    </w:p>
    <w:p w:rsidR="00AA4054" w:rsidRDefault="00AA4054" w:rsidP="00D9682E">
      <w:pPr>
        <w:pStyle w:val="ParaNum"/>
        <w:widowControl/>
      </w:pPr>
      <w:r>
        <w:t>The Commission has clarified that minimum cost does not mean the absolute lowest cost,</w:t>
      </w:r>
      <w:r w:rsidR="00880250">
        <w:t xml:space="preserve"> </w:t>
      </w:r>
      <w:r>
        <w:t>but rather “the minimum cost necessary to accomplish rebanding in a reasonable, prudent and</w:t>
      </w:r>
      <w:r w:rsidR="00880250">
        <w:t xml:space="preserve"> </w:t>
      </w:r>
      <w:r>
        <w:t>timely manner” (</w:t>
      </w:r>
      <w:r w:rsidR="004C1F40">
        <w:t>Minimum Necessary Cost</w:t>
      </w:r>
      <w:r>
        <w:t xml:space="preserve"> Standard).</w:t>
      </w:r>
      <w:r w:rsidR="000D7C38">
        <w:rPr>
          <w:rStyle w:val="FootnoteReference"/>
        </w:rPr>
        <w:footnoteReference w:id="33"/>
      </w:r>
      <w:r w:rsidR="00D35DDE">
        <w:t xml:space="preserve"> </w:t>
      </w:r>
      <w:r>
        <w:t xml:space="preserve"> The Commission, however, has cautioned that,</w:t>
      </w:r>
      <w:r w:rsidR="00880250">
        <w:t xml:space="preserve"> </w:t>
      </w:r>
      <w:r>
        <w:t xml:space="preserve">even </w:t>
      </w:r>
      <w:r w:rsidR="00D35DDE">
        <w:t xml:space="preserve">with </w:t>
      </w:r>
      <w:r>
        <w:t xml:space="preserve">this </w:t>
      </w:r>
      <w:r w:rsidR="00D35DDE">
        <w:t>clarification</w:t>
      </w:r>
      <w:r>
        <w:t>:</w:t>
      </w:r>
    </w:p>
    <w:p w:rsidR="00AA4054" w:rsidRDefault="00AA4054" w:rsidP="00D9682E">
      <w:pPr>
        <w:pStyle w:val="ParaNum"/>
        <w:widowControl/>
        <w:numPr>
          <w:ilvl w:val="0"/>
          <w:numId w:val="0"/>
        </w:numPr>
        <w:ind w:left="1440" w:right="1440"/>
      </w:pPr>
      <w:r>
        <w:t>Sprint should not propose to pay and the TA should not approve payment of</w:t>
      </w:r>
      <w:r w:rsidR="00880250">
        <w:t xml:space="preserve"> </w:t>
      </w:r>
      <w:r>
        <w:t>higher costs when a lower-cost alternative is clearly available that would provide</w:t>
      </w:r>
      <w:r w:rsidR="00880250">
        <w:t xml:space="preserve"> </w:t>
      </w:r>
      <w:r>
        <w:t xml:space="preserve">the Licensee with </w:t>
      </w:r>
      <w:r w:rsidR="00880250">
        <w:t>c</w:t>
      </w:r>
      <w:r>
        <w:t>omparable facilities as defined by the Commission’s orders in</w:t>
      </w:r>
      <w:r w:rsidR="00880250">
        <w:t xml:space="preserve"> </w:t>
      </w:r>
      <w:r>
        <w:t>this proceeding and would effectuate a smooth and timely transition.</w:t>
      </w:r>
      <w:r w:rsidR="000D7C38">
        <w:rPr>
          <w:rStyle w:val="FootnoteReference"/>
        </w:rPr>
        <w:footnoteReference w:id="34"/>
      </w:r>
    </w:p>
    <w:p w:rsidR="00AA4054" w:rsidRDefault="00AA4054" w:rsidP="00D9682E">
      <w:pPr>
        <w:pStyle w:val="ParaNum"/>
        <w:widowControl/>
        <w:numPr>
          <w:ilvl w:val="0"/>
          <w:numId w:val="0"/>
        </w:numPr>
      </w:pPr>
      <w:r>
        <w:t>The Commission has further clarified that Sprint is not obligated to make any payment in those</w:t>
      </w:r>
      <w:r w:rsidR="00880250">
        <w:t xml:space="preserve"> </w:t>
      </w:r>
      <w:r>
        <w:t>cases in which a licensee seeks funding for activities that are not “necessary.”</w:t>
      </w:r>
      <w:r w:rsidR="00D35DDE">
        <w:t xml:space="preserve">  Thus, for example, in the </w:t>
      </w:r>
      <w:r w:rsidR="00D35DDE" w:rsidRPr="00D9682E">
        <w:rPr>
          <w:i/>
        </w:rPr>
        <w:t>I</w:t>
      </w:r>
      <w:r w:rsidR="00B96416">
        <w:rPr>
          <w:i/>
        </w:rPr>
        <w:t xml:space="preserve">PSAN MO&amp;O </w:t>
      </w:r>
      <w:r w:rsidR="002A2281">
        <w:t>,</w:t>
      </w:r>
      <w:r w:rsidR="00FC3737">
        <w:t xml:space="preserve"> t</w:t>
      </w:r>
      <w:r w:rsidR="00D35DDE">
        <w:t xml:space="preserve">he Bureau found that Sprint </w:t>
      </w:r>
      <w:r w:rsidR="00FC3737">
        <w:t>was not obligated to pay costs related to finding a new vendor to conduct a “second touch,”</w:t>
      </w:r>
      <w:r w:rsidR="00FC3737">
        <w:rPr>
          <w:rStyle w:val="FootnoteReference"/>
        </w:rPr>
        <w:footnoteReference w:id="35"/>
      </w:r>
      <w:r w:rsidR="00FC3737">
        <w:t xml:space="preserve"> and associated mediation costs, because neither activity was “necessary” to the rebanding of the licensee’s system at minimum necessary cost.</w:t>
      </w:r>
      <w:r w:rsidR="00B96416" w:rsidRPr="00B96416">
        <w:rPr>
          <w:vertAlign w:val="superscript"/>
        </w:rPr>
        <w:t xml:space="preserve"> </w:t>
      </w:r>
      <w:r w:rsidR="00B96416" w:rsidRPr="00FC3737">
        <w:rPr>
          <w:vertAlign w:val="superscript"/>
        </w:rPr>
        <w:footnoteReference w:id="36"/>
      </w:r>
      <w:r w:rsidR="004F0221">
        <w:t xml:space="preserve">  Similarly, in </w:t>
      </w:r>
      <w:r w:rsidR="00B96416">
        <w:t xml:space="preserve">the </w:t>
      </w:r>
      <w:r w:rsidR="004F0221" w:rsidRPr="00D9682E">
        <w:rPr>
          <w:i/>
        </w:rPr>
        <w:t xml:space="preserve">Maryland </w:t>
      </w:r>
      <w:r w:rsidR="00B96416">
        <w:rPr>
          <w:i/>
        </w:rPr>
        <w:t>MO&amp;O</w:t>
      </w:r>
      <w:r w:rsidR="00F879B3" w:rsidRPr="00D9682E">
        <w:t>,</w:t>
      </w:r>
      <w:r w:rsidR="004F0221" w:rsidRPr="00D9682E">
        <w:rPr>
          <w:rStyle w:val="FootnoteReference"/>
        </w:rPr>
        <w:footnoteReference w:id="37"/>
      </w:r>
      <w:r w:rsidR="00F879B3">
        <w:rPr>
          <w:i/>
        </w:rPr>
        <w:t xml:space="preserve"> </w:t>
      </w:r>
      <w:r w:rsidR="00F879B3">
        <w:t xml:space="preserve">the </w:t>
      </w:r>
      <w:r w:rsidR="00B96416">
        <w:t xml:space="preserve">Bureau denied a </w:t>
      </w:r>
      <w:r w:rsidR="00F879B3">
        <w:t>licensee’s claim for the expense of drive testing because it was not</w:t>
      </w:r>
      <w:r w:rsidR="001E45C9">
        <w:t xml:space="preserve"> “</w:t>
      </w:r>
      <w:r w:rsidR="001E45C9" w:rsidRPr="00D9682E">
        <w:t xml:space="preserve">necessary or germane to ensuring that Maryland receives comparable facilities as provided by the </w:t>
      </w:r>
      <w:r w:rsidR="001E45C9" w:rsidRPr="001E45C9">
        <w:rPr>
          <w:i/>
        </w:rPr>
        <w:t>800 MHz R&amp;O.</w:t>
      </w:r>
      <w:r w:rsidR="001E45C9">
        <w:t>”</w:t>
      </w:r>
      <w:r w:rsidR="001E45C9">
        <w:rPr>
          <w:rStyle w:val="FootnoteReference"/>
        </w:rPr>
        <w:footnoteReference w:id="38"/>
      </w:r>
      <w:r w:rsidR="0081453F">
        <w:t xml:space="preserve">  </w:t>
      </w:r>
    </w:p>
    <w:p w:rsidR="00B0084F" w:rsidRDefault="0081453F" w:rsidP="00D9682E">
      <w:pPr>
        <w:pStyle w:val="ParaNum"/>
        <w:widowControl/>
        <w:tabs>
          <w:tab w:val="num" w:pos="1440"/>
        </w:tabs>
      </w:pPr>
      <w:r>
        <w:t>It is well established that a licensee may use the rebanding vendor of its choice</w:t>
      </w:r>
      <w:r w:rsidR="00B0084F">
        <w:t xml:space="preserve">, except when the licensee’s choice conflicts with the Minimum Necessary Cost </w:t>
      </w:r>
      <w:r w:rsidR="007457F7">
        <w:t>Standard</w:t>
      </w:r>
      <w:r w:rsidR="00B0084F">
        <w:t xml:space="preserve">.  Thus, in the </w:t>
      </w:r>
      <w:r w:rsidR="00B0084F" w:rsidRPr="00D9682E">
        <w:rPr>
          <w:i/>
        </w:rPr>
        <w:t>State of Indiana and Sprint Nextel</w:t>
      </w:r>
      <w:r w:rsidR="00B0084F">
        <w:t xml:space="preserve"> case,</w:t>
      </w:r>
      <w:bookmarkStart w:id="2" w:name="_Ref413142750"/>
      <w:r w:rsidR="006D0F7A">
        <w:rPr>
          <w:rStyle w:val="FootnoteReference"/>
        </w:rPr>
        <w:footnoteReference w:id="39"/>
      </w:r>
      <w:bookmarkEnd w:id="2"/>
      <w:r w:rsidR="00B0084F">
        <w:t xml:space="preserve"> the licensee proposed that its licenses be modified by vendor “EMR” at a cost twice that quoted by vendor “EWA.”  The Bureau stated, and the Commission affirmed:</w:t>
      </w:r>
    </w:p>
    <w:p w:rsidR="0081453F" w:rsidRDefault="0081453F" w:rsidP="00D9682E">
      <w:pPr>
        <w:pStyle w:val="ParaNum"/>
        <w:widowControl/>
        <w:numPr>
          <w:ilvl w:val="0"/>
          <w:numId w:val="0"/>
        </w:numPr>
        <w:ind w:left="1440" w:right="1440"/>
      </w:pPr>
      <w:r w:rsidRPr="0081453F">
        <w:t xml:space="preserve">We do not, however, require Indiana to use EWA or any similar provider. </w:t>
      </w:r>
      <w:r w:rsidR="00912881">
        <w:t xml:space="preserve"> </w:t>
      </w:r>
      <w:r w:rsidRPr="0081453F">
        <w:t>We hold only that EMR's initial $200,200 quote and its later $100,000 quote are excessive as evidenced by the fact that EWA would do the work for a little more than one-half the price quoted by EMR.[</w:t>
      </w:r>
      <w:r w:rsidR="006D0F7A">
        <w:t>footnote omitted].</w:t>
      </w:r>
      <w:r w:rsidRPr="0081453F">
        <w:t xml:space="preserve"> * * * If the State wishes to use EMR to enter the data necessary to modify its licenses, it may do so. </w:t>
      </w:r>
      <w:r w:rsidR="005B551B">
        <w:t xml:space="preserve"> </w:t>
      </w:r>
      <w:r w:rsidRPr="0081453F">
        <w:t>We hold only that Sprint's responsibility for that work is limited to $51,590.</w:t>
      </w:r>
      <w:r w:rsidR="005B551B">
        <w:t xml:space="preserve"> </w:t>
      </w:r>
      <w:r w:rsidR="00BC0012">
        <w:rPr>
          <w:rStyle w:val="FootnoteReference"/>
        </w:rPr>
        <w:footnoteReference w:id="40"/>
      </w:r>
    </w:p>
    <w:p w:rsidR="005B551B" w:rsidRPr="001E45C9" w:rsidRDefault="005B551B" w:rsidP="00D9682E">
      <w:pPr>
        <w:pStyle w:val="ParaNum"/>
        <w:widowControl/>
        <w:numPr>
          <w:ilvl w:val="0"/>
          <w:numId w:val="0"/>
        </w:numPr>
      </w:pPr>
      <w:r>
        <w:t xml:space="preserve">Accordingly, we have evaluated </w:t>
      </w:r>
      <w:r w:rsidR="002B6859">
        <w:t>APSC</w:t>
      </w:r>
      <w:r>
        <w:t>’s claims against the foregoing precedent and, for the most part, found them wanting.</w:t>
      </w:r>
    </w:p>
    <w:p w:rsidR="00513851" w:rsidRDefault="00513851" w:rsidP="00D9682E">
      <w:pPr>
        <w:pStyle w:val="Heading2"/>
        <w:widowControl/>
      </w:pPr>
      <w:r>
        <w:t>Issues in Dispute</w:t>
      </w:r>
    </w:p>
    <w:p w:rsidR="0036104D" w:rsidRDefault="00BA79AB" w:rsidP="00D9682E">
      <w:pPr>
        <w:pStyle w:val="ParaNum"/>
        <w:widowControl/>
        <w:tabs>
          <w:tab w:val="num" w:pos="1440"/>
        </w:tabs>
      </w:pPr>
      <w:r>
        <w:t xml:space="preserve">The parties agree that </w:t>
      </w:r>
      <w:r w:rsidR="002B6859">
        <w:t>APSC</w:t>
      </w:r>
      <w:r>
        <w:t xml:space="preserve"> must retune all of its radios as part of its re</w:t>
      </w:r>
      <w:r w:rsidR="002A2281">
        <w:t>banding</w:t>
      </w:r>
      <w:r>
        <w:t xml:space="preserve"> and </w:t>
      </w:r>
      <w:r w:rsidR="00FA3A1C">
        <w:t xml:space="preserve">that </w:t>
      </w:r>
      <w:r>
        <w:t>each radio will require two touches.</w:t>
      </w:r>
      <w:r>
        <w:rPr>
          <w:rStyle w:val="FootnoteReference"/>
        </w:rPr>
        <w:footnoteReference w:id="41"/>
      </w:r>
      <w:r>
        <w:t xml:space="preserve">  However, </w:t>
      </w:r>
      <w:r w:rsidR="00A0377D">
        <w:t>APSC requests $1.8 million to retune its subscriber units</w:t>
      </w:r>
      <w:r>
        <w:t xml:space="preserve">, while </w:t>
      </w:r>
      <w:r w:rsidR="00A0377D">
        <w:t>Sprint proposes to pay $803,000 to accomplish this task.</w:t>
      </w:r>
      <w:r w:rsidR="00A0377D">
        <w:rPr>
          <w:rStyle w:val="FootnoteReference"/>
        </w:rPr>
        <w:footnoteReference w:id="42"/>
      </w:r>
      <w:r w:rsidR="00A0377D">
        <w:t xml:space="preserve">    </w:t>
      </w:r>
    </w:p>
    <w:p w:rsidR="0036104D" w:rsidRDefault="00D214FE" w:rsidP="00D9682E">
      <w:pPr>
        <w:pStyle w:val="Heading3"/>
        <w:widowControl/>
      </w:pPr>
      <w:r>
        <w:t>Choice of Harris as the Principal Rebanding Vendor</w:t>
      </w:r>
    </w:p>
    <w:p w:rsidR="001E4477" w:rsidRDefault="00BA79AB" w:rsidP="00D9682E">
      <w:pPr>
        <w:pStyle w:val="ParaNum"/>
        <w:widowControl/>
      </w:pPr>
      <w:r w:rsidRPr="00BA79AB">
        <w:t xml:space="preserve">APSC seeks to employ Harris to retune its system, even though its system is </w:t>
      </w:r>
      <w:r w:rsidR="00AB5981">
        <w:t xml:space="preserve">predominately </w:t>
      </w:r>
      <w:r w:rsidRPr="00BA79AB">
        <w:t>a Motorola system.</w:t>
      </w:r>
      <w:r w:rsidR="004A60B9">
        <w:rPr>
          <w:rStyle w:val="FootnoteReference"/>
        </w:rPr>
        <w:footnoteReference w:id="43"/>
      </w:r>
      <w:r>
        <w:t xml:space="preserve">  </w:t>
      </w:r>
      <w:r w:rsidR="001E4477">
        <w:t xml:space="preserve">APSC </w:t>
      </w:r>
      <w:r>
        <w:t>contends</w:t>
      </w:r>
      <w:r w:rsidR="001E4477">
        <w:t xml:space="preserve"> that Harris has rebanded many systems throughout the United States, many of wh</w:t>
      </w:r>
      <w:r w:rsidR="00AB5981">
        <w:t xml:space="preserve">ich </w:t>
      </w:r>
      <w:r w:rsidR="001E4477">
        <w:t xml:space="preserve">incorporate Motorola equipment as part of a larger overall </w:t>
      </w:r>
      <w:r w:rsidR="00AB5981">
        <w:t xml:space="preserve">Harris </w:t>
      </w:r>
      <w:r w:rsidR="001E4477">
        <w:t>system.</w:t>
      </w:r>
      <w:r w:rsidR="00E77FBC">
        <w:rPr>
          <w:rStyle w:val="FootnoteReference"/>
        </w:rPr>
        <w:footnoteReference w:id="44"/>
      </w:r>
      <w:r w:rsidR="001E4477">
        <w:t xml:space="preserve"> </w:t>
      </w:r>
      <w:r w:rsidR="00700140">
        <w:t xml:space="preserve"> </w:t>
      </w:r>
      <w:r w:rsidR="007D6FEB">
        <w:t>In addition</w:t>
      </w:r>
      <w:r w:rsidR="007457F7">
        <w:t>,</w:t>
      </w:r>
      <w:r w:rsidR="007D6FEB">
        <w:t xml:space="preserve"> </w:t>
      </w:r>
      <w:r w:rsidR="00700140">
        <w:t xml:space="preserve">APSC argues that </w:t>
      </w:r>
      <w:r w:rsidR="001E4477">
        <w:t>Harris</w:t>
      </w:r>
      <w:r w:rsidR="00700140">
        <w:t xml:space="preserve"> </w:t>
      </w:r>
      <w:r w:rsidR="001E4477">
        <w:t>has assembled</w:t>
      </w:r>
      <w:r w:rsidR="000C6657">
        <w:t xml:space="preserve"> a team including</w:t>
      </w:r>
      <w:r w:rsidR="001E4477">
        <w:t xml:space="preserve"> individuals </w:t>
      </w:r>
      <w:r w:rsidR="00AB5981">
        <w:t xml:space="preserve">who were </w:t>
      </w:r>
      <w:r w:rsidR="001E4477">
        <w:t xml:space="preserve">directly involved in the original deployment of </w:t>
      </w:r>
      <w:r w:rsidR="000C6657">
        <w:t xml:space="preserve">APSC’s system, </w:t>
      </w:r>
      <w:r w:rsidR="00AB5981">
        <w:t xml:space="preserve">and </w:t>
      </w:r>
      <w:r w:rsidR="007D6FEB">
        <w:t xml:space="preserve">therefore </w:t>
      </w:r>
      <w:r w:rsidR="00AB5981">
        <w:t xml:space="preserve">have </w:t>
      </w:r>
      <w:r w:rsidR="001E4477">
        <w:t xml:space="preserve">unique knowledge of </w:t>
      </w:r>
      <w:r w:rsidR="000C6657">
        <w:t xml:space="preserve">APSC’s system design and </w:t>
      </w:r>
      <w:r w:rsidR="001E4477">
        <w:t>requirements</w:t>
      </w:r>
      <w:r w:rsidR="000C6657">
        <w:t>.</w:t>
      </w:r>
      <w:r w:rsidR="00E77FBC">
        <w:rPr>
          <w:rStyle w:val="FootnoteReference"/>
        </w:rPr>
        <w:footnoteReference w:id="45"/>
      </w:r>
      <w:r w:rsidR="006A7597">
        <w:t xml:space="preserve"> </w:t>
      </w:r>
      <w:r w:rsidR="000C6657">
        <w:t xml:space="preserve">APSC also </w:t>
      </w:r>
      <w:r w:rsidR="000A3889">
        <w:t xml:space="preserve">speculates </w:t>
      </w:r>
      <w:r w:rsidR="001E4477">
        <w:t xml:space="preserve">that, </w:t>
      </w:r>
      <w:r w:rsidR="000A3889">
        <w:t xml:space="preserve">because of </w:t>
      </w:r>
      <w:r w:rsidR="001E4477">
        <w:t xml:space="preserve">the heavy demands that rebanding </w:t>
      </w:r>
      <w:r w:rsidR="000A3889">
        <w:t xml:space="preserve">has </w:t>
      </w:r>
      <w:r w:rsidR="001E4477">
        <w:t>impose</w:t>
      </w:r>
      <w:r w:rsidR="000A3889">
        <w:t>d</w:t>
      </w:r>
      <w:r w:rsidR="001E4477">
        <w:t xml:space="preserve"> on Motorola’s</w:t>
      </w:r>
      <w:r w:rsidR="00575436">
        <w:t xml:space="preserve"> </w:t>
      </w:r>
      <w:r w:rsidR="001E4477">
        <w:t xml:space="preserve">resources in Arizona, </w:t>
      </w:r>
      <w:r w:rsidR="00575436">
        <w:t xml:space="preserve">Motorola may not have sufficient </w:t>
      </w:r>
      <w:r w:rsidR="001E4477">
        <w:t xml:space="preserve">manpower available </w:t>
      </w:r>
      <w:r w:rsidR="000A3889">
        <w:t xml:space="preserve">timely </w:t>
      </w:r>
      <w:r w:rsidR="001E4477">
        <w:t xml:space="preserve">to reconfigure </w:t>
      </w:r>
      <w:r w:rsidR="00575436">
        <w:t xml:space="preserve">APSC’s </w:t>
      </w:r>
      <w:r w:rsidR="001E4477">
        <w:t>system</w:t>
      </w:r>
      <w:r w:rsidR="00575436">
        <w:t>.</w:t>
      </w:r>
      <w:r w:rsidR="00E77FBC">
        <w:rPr>
          <w:rStyle w:val="FootnoteReference"/>
        </w:rPr>
        <w:footnoteReference w:id="46"/>
      </w:r>
      <w:r w:rsidR="006A7597">
        <w:t xml:space="preserve">  </w:t>
      </w:r>
    </w:p>
    <w:p w:rsidR="00575436" w:rsidRDefault="00575436" w:rsidP="00D9682E">
      <w:pPr>
        <w:pStyle w:val="ParaNum"/>
        <w:widowControl/>
      </w:pPr>
      <w:r>
        <w:t xml:space="preserve">Sprint </w:t>
      </w:r>
      <w:r w:rsidR="009E0F0F">
        <w:t>opposes the use of Harris</w:t>
      </w:r>
      <w:r w:rsidR="000A3889">
        <w:t xml:space="preserve">.  It notes </w:t>
      </w:r>
      <w:r w:rsidR="009E0F0F">
        <w:t xml:space="preserve">that </w:t>
      </w:r>
      <w:r w:rsidR="00F45F41">
        <w:t>APSC</w:t>
      </w:r>
      <w:r>
        <w:t xml:space="preserve"> has not offered a single example of another rebanding in</w:t>
      </w:r>
      <w:r w:rsidR="00F45F41">
        <w:t xml:space="preserve"> </w:t>
      </w:r>
      <w:r>
        <w:t>which Harris has reconfigured a predominantly Motorola system.</w:t>
      </w:r>
      <w:r w:rsidR="00276A9D">
        <w:rPr>
          <w:rStyle w:val="FootnoteReference"/>
        </w:rPr>
        <w:footnoteReference w:id="47"/>
      </w:r>
      <w:r>
        <w:t xml:space="preserve"> </w:t>
      </w:r>
      <w:r w:rsidR="009E0F0F">
        <w:t xml:space="preserve"> </w:t>
      </w:r>
      <w:r w:rsidR="007457F7">
        <w:t xml:space="preserve">Furthermore, </w:t>
      </w:r>
      <w:r>
        <w:t xml:space="preserve">Sprint </w:t>
      </w:r>
      <w:r w:rsidR="009E0F0F">
        <w:t xml:space="preserve">contends </w:t>
      </w:r>
      <w:r>
        <w:t xml:space="preserve">that </w:t>
      </w:r>
      <w:r w:rsidR="009E0F0F">
        <w:t xml:space="preserve">Motorola has sufficient </w:t>
      </w:r>
      <w:r>
        <w:t>capacity in</w:t>
      </w:r>
      <w:r w:rsidR="00F45F41">
        <w:t xml:space="preserve"> </w:t>
      </w:r>
      <w:r>
        <w:t xml:space="preserve">Phoenix and the surrounding areas </w:t>
      </w:r>
      <w:r w:rsidR="009E0F0F">
        <w:t xml:space="preserve">to reconfigure APSC’s </w:t>
      </w:r>
      <w:r>
        <w:t xml:space="preserve">system, </w:t>
      </w:r>
      <w:r w:rsidR="000A3889">
        <w:t xml:space="preserve">and </w:t>
      </w:r>
      <w:r w:rsidR="007457F7">
        <w:t xml:space="preserve">it </w:t>
      </w:r>
      <w:r w:rsidR="000A3889">
        <w:t xml:space="preserve">offers </w:t>
      </w:r>
      <w:r>
        <w:t xml:space="preserve">the Creative Quote </w:t>
      </w:r>
      <w:r w:rsidR="009E0F0F">
        <w:t>as an example</w:t>
      </w:r>
      <w:r>
        <w:t>.</w:t>
      </w:r>
      <w:r w:rsidR="00276A9D">
        <w:rPr>
          <w:rStyle w:val="FootnoteReference"/>
        </w:rPr>
        <w:footnoteReference w:id="48"/>
      </w:r>
    </w:p>
    <w:p w:rsidR="00C479F3" w:rsidRPr="00EC7E74" w:rsidRDefault="00F45F41" w:rsidP="00D9682E">
      <w:pPr>
        <w:pStyle w:val="ParaNum"/>
        <w:widowControl/>
      </w:pPr>
      <w:r>
        <w:t xml:space="preserve">The </w:t>
      </w:r>
      <w:r w:rsidR="00BE12D2">
        <w:t>TA Mediator</w:t>
      </w:r>
      <w:r w:rsidR="001D32A4">
        <w:t xml:space="preserve"> notes that the </w:t>
      </w:r>
      <w:r>
        <w:t>Commission has accorded licensees wide discretion in how they proceed with</w:t>
      </w:r>
      <w:r w:rsidR="001D32A4">
        <w:t xml:space="preserve"> </w:t>
      </w:r>
      <w:r>
        <w:t>rebanding, including whether to use their own resources or the services of outside managers and</w:t>
      </w:r>
      <w:r w:rsidR="001D32A4">
        <w:t xml:space="preserve"> </w:t>
      </w:r>
      <w:r>
        <w:t>vendors, and which vendors licensees choose to employ.</w:t>
      </w:r>
      <w:r w:rsidR="00276A9D">
        <w:rPr>
          <w:rStyle w:val="FootnoteReference"/>
        </w:rPr>
        <w:footnoteReference w:id="49"/>
      </w:r>
      <w:r>
        <w:t xml:space="preserve"> </w:t>
      </w:r>
      <w:r w:rsidR="009E0F0F">
        <w:t xml:space="preserve"> In addition, the</w:t>
      </w:r>
      <w:r w:rsidR="001D5306">
        <w:t xml:space="preserve"> TA</w:t>
      </w:r>
      <w:r w:rsidR="009E0F0F">
        <w:t xml:space="preserve"> </w:t>
      </w:r>
      <w:r w:rsidR="00BE12D2">
        <w:t>Mediator</w:t>
      </w:r>
      <w:r w:rsidR="009E0F0F">
        <w:t xml:space="preserve"> notes </w:t>
      </w:r>
      <w:r w:rsidR="001D5306">
        <w:t xml:space="preserve">that </w:t>
      </w:r>
      <w:r>
        <w:t xml:space="preserve">Sprint’s obligation to pay rebanding costs is governed </w:t>
      </w:r>
      <w:r w:rsidR="00AF0466">
        <w:t xml:space="preserve">(a) </w:t>
      </w:r>
      <w:r>
        <w:t>by the requirement that licensees be provided with facilities comparable to</w:t>
      </w:r>
      <w:r w:rsidR="001D32A4">
        <w:t xml:space="preserve"> </w:t>
      </w:r>
      <w:r>
        <w:t>those existing before rebanding a</w:t>
      </w:r>
      <w:r w:rsidR="00AF0466">
        <w:t>nd  (b)</w:t>
      </w:r>
      <w:r>
        <w:t xml:space="preserve"> by the </w:t>
      </w:r>
      <w:r w:rsidR="004C1F40">
        <w:t>Minimum Necessary Cost</w:t>
      </w:r>
      <w:r>
        <w:t xml:space="preserve"> </w:t>
      </w:r>
      <w:r w:rsidR="006A7597">
        <w:t>S</w:t>
      </w:r>
      <w:r>
        <w:t>tandard.</w:t>
      </w:r>
      <w:r w:rsidR="00276A9D">
        <w:rPr>
          <w:rStyle w:val="FootnoteReference"/>
        </w:rPr>
        <w:footnoteReference w:id="50"/>
      </w:r>
      <w:r w:rsidR="001D5306">
        <w:t xml:space="preserve"> </w:t>
      </w:r>
      <w:r>
        <w:t xml:space="preserve"> Th</w:t>
      </w:r>
      <w:r w:rsidR="00D214FE">
        <w:t xml:space="preserve">e </w:t>
      </w:r>
      <w:r w:rsidR="001D5306">
        <w:t>TA</w:t>
      </w:r>
      <w:r w:rsidR="00BE12D2">
        <w:t xml:space="preserve"> Mediator</w:t>
      </w:r>
      <w:r w:rsidR="00F43B44">
        <w:t xml:space="preserve"> </w:t>
      </w:r>
      <w:r w:rsidR="007D6FEB">
        <w:t xml:space="preserve">makes no finding as to whether APSC should use Harris, but </w:t>
      </w:r>
      <w:r w:rsidR="007457F7">
        <w:t xml:space="preserve">it </w:t>
      </w:r>
      <w:r w:rsidR="00F43B44">
        <w:t>recommends that the Bureau find that APSC has not met it</w:t>
      </w:r>
      <w:r w:rsidR="007457F7">
        <w:t>s</w:t>
      </w:r>
      <w:r w:rsidR="00F43B44">
        <w:t xml:space="preserve"> burden of demonstrating that </w:t>
      </w:r>
      <w:r w:rsidR="000B4565">
        <w:t xml:space="preserve">its cost estimate satisfies the </w:t>
      </w:r>
      <w:r w:rsidR="004C1F40">
        <w:t>Minimum Necessary Cost</w:t>
      </w:r>
      <w:r w:rsidR="000B4565">
        <w:t xml:space="preserve"> Standard.</w:t>
      </w:r>
      <w:r w:rsidR="00C479F3" w:rsidRPr="00887819">
        <w:rPr>
          <w:rStyle w:val="FootnoteReference"/>
        </w:rPr>
        <w:footnoteReference w:id="51"/>
      </w:r>
    </w:p>
    <w:p w:rsidR="00174051" w:rsidRDefault="00C12912" w:rsidP="00D9682E">
      <w:pPr>
        <w:pStyle w:val="Heading3"/>
        <w:widowControl/>
      </w:pPr>
      <w:r>
        <w:t>APSC</w:t>
      </w:r>
      <w:r w:rsidR="001D5306">
        <w:t>’S</w:t>
      </w:r>
      <w:r>
        <w:t xml:space="preserve"> </w:t>
      </w:r>
      <w:r w:rsidR="00276A9D">
        <w:t>Proposal</w:t>
      </w:r>
      <w:r w:rsidR="00A0377D">
        <w:t xml:space="preserve"> </w:t>
      </w:r>
      <w:r w:rsidR="001D5306">
        <w:t xml:space="preserve">and </w:t>
      </w:r>
      <w:r>
        <w:t xml:space="preserve">the </w:t>
      </w:r>
      <w:r w:rsidR="004C1F40">
        <w:t>Minimum Necessary Cost</w:t>
      </w:r>
      <w:r w:rsidR="00FB0A87">
        <w:t xml:space="preserve"> Standard</w:t>
      </w:r>
    </w:p>
    <w:p w:rsidR="00671324" w:rsidRDefault="0004455C" w:rsidP="00D9682E">
      <w:pPr>
        <w:pStyle w:val="Heading4"/>
        <w:widowControl/>
      </w:pPr>
      <w:r>
        <w:t xml:space="preserve">Relevance of </w:t>
      </w:r>
      <w:r w:rsidR="004346DB">
        <w:t xml:space="preserve">Previous Harris </w:t>
      </w:r>
      <w:r w:rsidR="007457F7">
        <w:t>FRAs</w:t>
      </w:r>
    </w:p>
    <w:p w:rsidR="0010723D" w:rsidRDefault="00671324" w:rsidP="00D9682E">
      <w:pPr>
        <w:pStyle w:val="ParaNum"/>
        <w:widowControl/>
      </w:pPr>
      <w:r>
        <w:t xml:space="preserve">APSC argues that its proposal meets the </w:t>
      </w:r>
      <w:r w:rsidR="004C1F40">
        <w:t>Minimum Necessary Cost</w:t>
      </w:r>
      <w:r w:rsidR="000A3889">
        <w:t xml:space="preserve"> </w:t>
      </w:r>
      <w:r w:rsidR="000B4565">
        <w:t>S</w:t>
      </w:r>
      <w:r>
        <w:t>tandard</w:t>
      </w:r>
      <w:r w:rsidR="007457F7">
        <w:t>,</w:t>
      </w:r>
      <w:r>
        <w:t xml:space="preserve"> because it incorporates a methodology that Harris has utilized in numerous other</w:t>
      </w:r>
      <w:r w:rsidR="00363F70">
        <w:t xml:space="preserve"> approved </w:t>
      </w:r>
      <w:r>
        <w:t xml:space="preserve">FRAs including </w:t>
      </w:r>
      <w:r w:rsidR="000A3889">
        <w:t xml:space="preserve">that of </w:t>
      </w:r>
      <w:r>
        <w:t>Consumer’s Ener</w:t>
      </w:r>
      <w:r w:rsidR="00276A9D">
        <w:t xml:space="preserve">gy </w:t>
      </w:r>
      <w:r w:rsidR="000B4565">
        <w:t xml:space="preserve">(Consumers) </w:t>
      </w:r>
      <w:r w:rsidR="00276A9D">
        <w:t>and the Florida Statewide La</w:t>
      </w:r>
      <w:r>
        <w:t>w Enforcement Radio System</w:t>
      </w:r>
      <w:r w:rsidR="000B4565">
        <w:t xml:space="preserve"> (FSLERS)</w:t>
      </w:r>
      <w:r>
        <w:t>.</w:t>
      </w:r>
      <w:r>
        <w:rPr>
          <w:rStyle w:val="FootnoteReference"/>
        </w:rPr>
        <w:footnoteReference w:id="52"/>
      </w:r>
      <w:r>
        <w:t xml:space="preserve">  </w:t>
      </w:r>
      <w:r w:rsidR="004346DB">
        <w:t xml:space="preserve">APSC </w:t>
      </w:r>
      <w:r w:rsidR="00C02853">
        <w:t xml:space="preserve">contends </w:t>
      </w:r>
      <w:r w:rsidR="004346DB">
        <w:t xml:space="preserve">that </w:t>
      </w:r>
      <w:r w:rsidR="00C02853">
        <w:t>its</w:t>
      </w:r>
      <w:r w:rsidR="004346DB">
        <w:t xml:space="preserve"> SOW has similar average daily costs for technicians as the systems</w:t>
      </w:r>
      <w:r w:rsidR="00C02853">
        <w:t xml:space="preserve"> </w:t>
      </w:r>
      <w:r w:rsidR="00C02853" w:rsidRPr="004174C3">
        <w:rPr>
          <w:i/>
        </w:rPr>
        <w:t>supra</w:t>
      </w:r>
      <w:r w:rsidR="00C02853">
        <w:t xml:space="preserve">. </w:t>
      </w:r>
      <w:r w:rsidR="00F43B44">
        <w:t xml:space="preserve"> </w:t>
      </w:r>
      <w:r w:rsidR="00C02853">
        <w:t>Thus, APSC proposes</w:t>
      </w:r>
      <w:r w:rsidR="000B4565">
        <w:t xml:space="preserve"> a technician cost of </w:t>
      </w:r>
      <w:r w:rsidR="004346DB">
        <w:t>$2,085.98</w:t>
      </w:r>
      <w:r w:rsidR="00C02853">
        <w:t xml:space="preserve"> per day, whereas </w:t>
      </w:r>
      <w:r w:rsidR="004346DB">
        <w:t>Consumers</w:t>
      </w:r>
      <w:r w:rsidR="00C02853">
        <w:t>’</w:t>
      </w:r>
      <w:r w:rsidR="004346DB">
        <w:t xml:space="preserve"> </w:t>
      </w:r>
      <w:r w:rsidR="00C02853">
        <w:t xml:space="preserve">FRA specified </w:t>
      </w:r>
      <w:r w:rsidR="004346DB">
        <w:t>$2,104.02</w:t>
      </w:r>
      <w:r w:rsidR="00C02853">
        <w:t xml:space="preserve"> per day</w:t>
      </w:r>
      <w:r w:rsidR="004346DB">
        <w:t xml:space="preserve"> and </w:t>
      </w:r>
      <w:r w:rsidR="000B4565">
        <w:t>FSLERS</w:t>
      </w:r>
      <w:r w:rsidR="0004455C">
        <w:t>’</w:t>
      </w:r>
      <w:r w:rsidR="000B4565">
        <w:t xml:space="preserve"> </w:t>
      </w:r>
      <w:r w:rsidR="00C02853">
        <w:t>FRA</w:t>
      </w:r>
      <w:r w:rsidR="00331D5E">
        <w:t xml:space="preserve"> specified</w:t>
      </w:r>
      <w:r w:rsidR="004346DB">
        <w:t xml:space="preserve"> $2,074.73</w:t>
      </w:r>
      <w:r w:rsidR="00331D5E">
        <w:t xml:space="preserve"> per day</w:t>
      </w:r>
      <w:r w:rsidR="00C02853">
        <w:t>.</w:t>
      </w:r>
      <w:r w:rsidR="004346DB">
        <w:rPr>
          <w:rStyle w:val="FootnoteReference"/>
        </w:rPr>
        <w:footnoteReference w:id="53"/>
      </w:r>
      <w:r w:rsidR="00C02853">
        <w:t xml:space="preserve">  </w:t>
      </w:r>
      <w:r w:rsidR="002B6859">
        <w:t>APSC</w:t>
      </w:r>
      <w:r w:rsidR="00C02853">
        <w:t xml:space="preserve"> proposes the </w:t>
      </w:r>
      <w:r w:rsidR="004346DB">
        <w:t xml:space="preserve">same production rate </w:t>
      </w:r>
      <w:r w:rsidR="00C02853">
        <w:t>as the</w:t>
      </w:r>
      <w:r w:rsidR="00420153">
        <w:t>se</w:t>
      </w:r>
      <w:r w:rsidR="00C02853">
        <w:t xml:space="preserve"> latter two licensees</w:t>
      </w:r>
      <w:r w:rsidR="00420153">
        <w:t xml:space="preserve">, </w:t>
      </w:r>
      <w:r w:rsidR="00420153" w:rsidRPr="00904615">
        <w:rPr>
          <w:i/>
        </w:rPr>
        <w:t>i.e.</w:t>
      </w:r>
      <w:r w:rsidR="0004455C">
        <w:rPr>
          <w:i/>
        </w:rPr>
        <w:t xml:space="preserve">, </w:t>
      </w:r>
      <w:r w:rsidR="004346DB">
        <w:t xml:space="preserve">16 radios per </w:t>
      </w:r>
      <w:r w:rsidR="00420153">
        <w:t xml:space="preserve">day based on a </w:t>
      </w:r>
      <w:r w:rsidR="004346DB">
        <w:t>10 hour working day.</w:t>
      </w:r>
      <w:r w:rsidR="004346DB">
        <w:rPr>
          <w:rStyle w:val="FootnoteReference"/>
        </w:rPr>
        <w:footnoteReference w:id="54"/>
      </w:r>
      <w:r w:rsidR="004346DB">
        <w:t xml:space="preserve">  </w:t>
      </w:r>
    </w:p>
    <w:p w:rsidR="004346DB" w:rsidRPr="004346DB" w:rsidRDefault="004346DB" w:rsidP="00D9682E">
      <w:pPr>
        <w:pStyle w:val="ParaNum"/>
        <w:widowControl/>
      </w:pPr>
      <w:r>
        <w:t>Sprint contends that the</w:t>
      </w:r>
      <w:r w:rsidR="00E43D15">
        <w:t xml:space="preserve"> rebanding of the</w:t>
      </w:r>
      <w:r>
        <w:t xml:space="preserve">se </w:t>
      </w:r>
      <w:r w:rsidR="00865567">
        <w:t xml:space="preserve">Consumers and </w:t>
      </w:r>
      <w:r w:rsidR="00420153" w:rsidRPr="00420153">
        <w:t xml:space="preserve">FSLERS </w:t>
      </w:r>
      <w:r w:rsidR="00E43D15">
        <w:t>systems</w:t>
      </w:r>
      <w:r>
        <w:t xml:space="preserve"> </w:t>
      </w:r>
      <w:r w:rsidR="00046F62">
        <w:t xml:space="preserve">cost more than </w:t>
      </w:r>
      <w:r w:rsidR="00E43D15">
        <w:t xml:space="preserve">what is necessary to reband </w:t>
      </w:r>
      <w:r w:rsidR="00865567">
        <w:t xml:space="preserve">APSC’s </w:t>
      </w:r>
      <w:r w:rsidR="00E43D15">
        <w:t>system.  In Consumers’ case, the system rebanded was a Harris EDACS system</w:t>
      </w:r>
      <w:r w:rsidR="007D6FEB">
        <w:t>—</w:t>
      </w:r>
      <w:r w:rsidR="00E43D15">
        <w:t>not a Motorola system such as APSC’s</w:t>
      </w:r>
      <w:r w:rsidR="007D6FEB">
        <w:t>—</w:t>
      </w:r>
      <w:r w:rsidR="00E43D15">
        <w:t>and a large number of repeaters had to be replaced.</w:t>
      </w:r>
      <w:r w:rsidR="00E43D15">
        <w:rPr>
          <w:rStyle w:val="FootnoteReference"/>
        </w:rPr>
        <w:footnoteReference w:id="55"/>
      </w:r>
      <w:r w:rsidR="009B7179">
        <w:t xml:space="preserve">  Moreover, Sprint states, the </w:t>
      </w:r>
      <w:r w:rsidR="00187953">
        <w:t xml:space="preserve">overall </w:t>
      </w:r>
      <w:r w:rsidR="009B7179">
        <w:t xml:space="preserve">cost of rebanding the Consumers system was approximately half of what APSC is asking for rebanding its system. </w:t>
      </w:r>
      <w:r w:rsidR="00E43D15">
        <w:t xml:space="preserve"> </w:t>
      </w:r>
      <w:r w:rsidR="009B7179">
        <w:t>In the case of FSLERS, there were no Motorola trunking repeaters or subscriber radios to be retuned</w:t>
      </w:r>
      <w:r w:rsidR="007D6FEB">
        <w:t>—</w:t>
      </w:r>
      <w:r w:rsidR="009B7179">
        <w:t xml:space="preserve">the </w:t>
      </w:r>
      <w:r w:rsidR="006C1F41" w:rsidRPr="006C1F41">
        <w:t xml:space="preserve">FSLERS </w:t>
      </w:r>
      <w:r w:rsidR="009B7179">
        <w:t>system was predominantly a Harris</w:t>
      </w:r>
      <w:r w:rsidR="006C1F41">
        <w:t xml:space="preserve"> system</w:t>
      </w:r>
      <w:r w:rsidR="009B7179">
        <w:t>.</w:t>
      </w:r>
      <w:r w:rsidR="009B7179">
        <w:rPr>
          <w:rStyle w:val="FootnoteReference"/>
        </w:rPr>
        <w:footnoteReference w:id="56"/>
      </w:r>
      <w:r w:rsidR="006C1F41">
        <w:t xml:space="preserve">  Sprint posits that the APSC cost estimate is so high</w:t>
      </w:r>
      <w:r w:rsidR="00331D5E">
        <w:t>,</w:t>
      </w:r>
      <w:r w:rsidR="006C1F41">
        <w:t xml:space="preserve"> because Harris lacks </w:t>
      </w:r>
      <w:r w:rsidRPr="004346DB">
        <w:t xml:space="preserve">substantial </w:t>
      </w:r>
      <w:r w:rsidR="0004455C">
        <w:t xml:space="preserve">expertise and </w:t>
      </w:r>
      <w:r w:rsidRPr="004346DB">
        <w:t>exper</w:t>
      </w:r>
      <w:r w:rsidR="0004455C">
        <w:t xml:space="preserve">ience </w:t>
      </w:r>
      <w:r w:rsidRPr="004346DB">
        <w:t>in retuning Motorola equipment.</w:t>
      </w:r>
      <w:r w:rsidR="0010723D">
        <w:rPr>
          <w:rStyle w:val="FootnoteReference"/>
        </w:rPr>
        <w:footnoteReference w:id="57"/>
      </w:r>
      <w:r w:rsidRPr="004346DB">
        <w:t xml:space="preserve">  </w:t>
      </w:r>
    </w:p>
    <w:p w:rsidR="0010723D" w:rsidRDefault="0010723D" w:rsidP="00D9682E">
      <w:pPr>
        <w:pStyle w:val="ParaNum"/>
        <w:widowControl/>
      </w:pPr>
      <w:r>
        <w:t xml:space="preserve">The </w:t>
      </w:r>
      <w:r w:rsidR="00BE12D2">
        <w:t>TA Mediator</w:t>
      </w:r>
      <w:r>
        <w:t xml:space="preserve"> </w:t>
      </w:r>
      <w:r w:rsidR="00865567">
        <w:t xml:space="preserve">notes that the FRAs that APSC used for comparison </w:t>
      </w:r>
      <w:r w:rsidR="0004455C">
        <w:t>were</w:t>
      </w:r>
      <w:r w:rsidR="00865567">
        <w:t xml:space="preserve"> not subject</w:t>
      </w:r>
      <w:r w:rsidR="0004455C">
        <w:t>ed</w:t>
      </w:r>
      <w:r w:rsidR="00865567">
        <w:t xml:space="preserve"> to Commission review and that </w:t>
      </w:r>
      <w:r w:rsidR="00403FAB">
        <w:t>the Commission has stated that</w:t>
      </w:r>
      <w:r>
        <w:t xml:space="preserve">, in considering comparisons between rebandings, it is not bound by </w:t>
      </w:r>
      <w:r w:rsidR="00865567">
        <w:t xml:space="preserve">un-reviewed </w:t>
      </w:r>
      <w:r>
        <w:t>cases</w:t>
      </w:r>
      <w:r w:rsidR="00352910">
        <w:t xml:space="preserve"> in which </w:t>
      </w:r>
      <w:r>
        <w:t xml:space="preserve">the facts and circumstances </w:t>
      </w:r>
      <w:r w:rsidR="00352910">
        <w:t xml:space="preserve">often </w:t>
      </w:r>
      <w:r>
        <w:t>differ.</w:t>
      </w:r>
      <w:r>
        <w:rPr>
          <w:rStyle w:val="FootnoteReference"/>
        </w:rPr>
        <w:footnoteReference w:id="58"/>
      </w:r>
      <w:r>
        <w:t xml:space="preserve"> </w:t>
      </w:r>
      <w:r w:rsidR="00403FAB">
        <w:t xml:space="preserve">  The</w:t>
      </w:r>
      <w:r>
        <w:t xml:space="preserve"> </w:t>
      </w:r>
      <w:r w:rsidR="00BE12D2">
        <w:t>TA Mediator</w:t>
      </w:r>
      <w:r w:rsidR="00914924">
        <w:t>,</w:t>
      </w:r>
      <w:r w:rsidR="00352910">
        <w:t xml:space="preserve"> </w:t>
      </w:r>
      <w:r w:rsidR="00914924">
        <w:t>agrees with Sprint</w:t>
      </w:r>
      <w:r w:rsidR="00352910">
        <w:t xml:space="preserve"> that </w:t>
      </w:r>
      <w:r w:rsidR="00914924">
        <w:t xml:space="preserve">because the FRAs APSC offered as comparable to the SOW were </w:t>
      </w:r>
      <w:r>
        <w:t>either completely or predominantly Harris EDACS systems</w:t>
      </w:r>
      <w:r w:rsidR="00352910">
        <w:t>,</w:t>
      </w:r>
      <w:r w:rsidR="007F4D0B">
        <w:t xml:space="preserve"> they are not </w:t>
      </w:r>
      <w:r w:rsidR="006C1F41">
        <w:t>a suitable basis for comparison.</w:t>
      </w:r>
      <w:r w:rsidR="00352910">
        <w:t xml:space="preserve">  </w:t>
      </w:r>
      <w:r w:rsidR="00C2287B">
        <w:t>Accordingly, t</w:t>
      </w:r>
      <w:r w:rsidR="00352910">
        <w:t xml:space="preserve">he </w:t>
      </w:r>
      <w:r w:rsidR="00BE12D2">
        <w:t>TA Mediator</w:t>
      </w:r>
      <w:r w:rsidR="00352910">
        <w:t xml:space="preserve"> </w:t>
      </w:r>
      <w:r w:rsidR="007F4D0B">
        <w:t xml:space="preserve">recommends </w:t>
      </w:r>
      <w:r>
        <w:t>that the Commission find that the</w:t>
      </w:r>
      <w:r w:rsidR="00352910">
        <w:t xml:space="preserve"> FRAs cited by APSC are inapposite and </w:t>
      </w:r>
      <w:r w:rsidR="00331D5E">
        <w:t>does not support</w:t>
      </w:r>
      <w:r w:rsidR="005C146E">
        <w:t xml:space="preserve"> APSC’s claimed costs</w:t>
      </w:r>
      <w:r>
        <w:t>.</w:t>
      </w:r>
      <w:r w:rsidR="007D6FEB">
        <w:rPr>
          <w:rStyle w:val="FootnoteReference"/>
        </w:rPr>
        <w:footnoteReference w:id="59"/>
      </w:r>
    </w:p>
    <w:p w:rsidR="004346DB" w:rsidRDefault="00F1205A" w:rsidP="00D9682E">
      <w:pPr>
        <w:pStyle w:val="Heading4"/>
        <w:widowControl/>
      </w:pPr>
      <w:r>
        <w:t>Sprint’s Counter Offer</w:t>
      </w:r>
    </w:p>
    <w:p w:rsidR="00BA2910" w:rsidRDefault="00F1205A" w:rsidP="00D9682E">
      <w:pPr>
        <w:pStyle w:val="ParaNum"/>
        <w:widowControl/>
      </w:pPr>
      <w:r>
        <w:t xml:space="preserve">Sprint’s counteroffer </w:t>
      </w:r>
      <w:r w:rsidR="0015586A">
        <w:t xml:space="preserve">to the APSC SOW </w:t>
      </w:r>
      <w:r>
        <w:t xml:space="preserve">stemmed from its view that </w:t>
      </w:r>
      <w:r w:rsidR="0015586A">
        <w:t xml:space="preserve">APSC’s costs are inflated  </w:t>
      </w:r>
      <w:r>
        <w:t xml:space="preserve">because Harris has limited experience in rebanding Motorola systems </w:t>
      </w:r>
      <w:r w:rsidR="0015586A">
        <w:t xml:space="preserve">and </w:t>
      </w:r>
      <w:r>
        <w:t xml:space="preserve">would have to rely heavily on </w:t>
      </w:r>
      <w:r w:rsidR="0015586A">
        <w:t xml:space="preserve">Harris </w:t>
      </w:r>
      <w:r>
        <w:t>personnel brought in from outside Arizona to supplement its resources</w:t>
      </w:r>
      <w:r w:rsidR="0015586A">
        <w:t>, thereby unnecessarily increasing travel and per diem costs.</w:t>
      </w:r>
      <w:r w:rsidR="00BA2910">
        <w:rPr>
          <w:rStyle w:val="FootnoteReference"/>
        </w:rPr>
        <w:footnoteReference w:id="60"/>
      </w:r>
      <w:r>
        <w:t xml:space="preserve"> </w:t>
      </w:r>
      <w:r w:rsidR="002F4621">
        <w:t xml:space="preserve"> </w:t>
      </w:r>
      <w:r>
        <w:t>Sprint</w:t>
      </w:r>
      <w:r w:rsidR="0015586A">
        <w:t xml:space="preserve"> therefore proposes </w:t>
      </w:r>
      <w:r>
        <w:t xml:space="preserve">travel and per diem costs </w:t>
      </w:r>
      <w:r w:rsidR="0015586A">
        <w:t xml:space="preserve">equivalent to those </w:t>
      </w:r>
      <w:r w:rsidR="00046F62">
        <w:t xml:space="preserve">that would be </w:t>
      </w:r>
      <w:r>
        <w:t>charged by a local Motorola shop.</w:t>
      </w:r>
      <w:r w:rsidR="00BA2910">
        <w:rPr>
          <w:rStyle w:val="FootnoteReference"/>
        </w:rPr>
        <w:footnoteReference w:id="61"/>
      </w:r>
      <w:r>
        <w:t xml:space="preserve"> </w:t>
      </w:r>
      <w:r w:rsidR="006A7597">
        <w:t xml:space="preserve"> </w:t>
      </w:r>
      <w:r>
        <w:t xml:space="preserve">Sprint also </w:t>
      </w:r>
      <w:r w:rsidR="00C25BB9">
        <w:t>contends that the cost of retuning radios should be reduce</w:t>
      </w:r>
      <w:r w:rsidR="00046F62">
        <w:t>d</w:t>
      </w:r>
      <w:r w:rsidR="00C25BB9">
        <w:t xml:space="preserve"> </w:t>
      </w:r>
      <w:r>
        <w:t xml:space="preserve">to the level of effort that would apply </w:t>
      </w:r>
      <w:r w:rsidR="00C25BB9">
        <w:t xml:space="preserve">had </w:t>
      </w:r>
      <w:r>
        <w:t xml:space="preserve">the Licensee agreed to a Subscriber Equipment Deployment </w:t>
      </w:r>
      <w:r w:rsidR="00C25BB9">
        <w:t>(SED</w:t>
      </w:r>
      <w:r w:rsidR="00046F62">
        <w:t>)</w:t>
      </w:r>
      <w:r w:rsidR="00C25BB9">
        <w:t xml:space="preserve"> a</w:t>
      </w:r>
      <w:r>
        <w:t>greement</w:t>
      </w:r>
      <w:r w:rsidR="00C25BB9">
        <w:t>,</w:t>
      </w:r>
      <w:r w:rsidR="00D429BA">
        <w:t xml:space="preserve"> </w:t>
      </w:r>
      <w:r w:rsidR="00C25BB9">
        <w:t xml:space="preserve">whereby APSC’s radios would </w:t>
      </w:r>
      <w:r w:rsidR="00046F62">
        <w:t xml:space="preserve">have been </w:t>
      </w:r>
      <w:r w:rsidR="00C25BB9">
        <w:t xml:space="preserve">retuned </w:t>
      </w:r>
      <w:r w:rsidR="00046F62">
        <w:t xml:space="preserve">before </w:t>
      </w:r>
      <w:r w:rsidR="00C25BB9">
        <w:t>infrastructure reconfiguration</w:t>
      </w:r>
      <w:r w:rsidR="00D429BA">
        <w:t xml:space="preserve"> and pursuant to an agreement separate from an FRA</w:t>
      </w:r>
      <w:r w:rsidR="00C25BB9">
        <w:t>.</w:t>
      </w:r>
      <w:r w:rsidR="00BA2910">
        <w:rPr>
          <w:rStyle w:val="FootnoteReference"/>
        </w:rPr>
        <w:footnoteReference w:id="62"/>
      </w:r>
      <w:r w:rsidR="00BA2910">
        <w:t xml:space="preserve">  </w:t>
      </w:r>
      <w:r w:rsidR="00C25BB9">
        <w:t xml:space="preserve">Although an SED was not considered by the parties, </w:t>
      </w:r>
      <w:r w:rsidR="00BA2910">
        <w:t xml:space="preserve">Sprint </w:t>
      </w:r>
      <w:r>
        <w:t xml:space="preserve">contends </w:t>
      </w:r>
      <w:r w:rsidR="00BA2910">
        <w:t>th</w:t>
      </w:r>
      <w:r w:rsidR="00C25BB9">
        <w:t>at</w:t>
      </w:r>
      <w:r w:rsidR="00D429BA">
        <w:t xml:space="preserve"> historical</w:t>
      </w:r>
      <w:r w:rsidR="00C25BB9">
        <w:t xml:space="preserve"> SED</w:t>
      </w:r>
      <w:r w:rsidR="00BA2910">
        <w:t xml:space="preserve"> levels of effort </w:t>
      </w:r>
      <w:r w:rsidR="002F4621">
        <w:t xml:space="preserve">in other rebandings </w:t>
      </w:r>
      <w:r>
        <w:t xml:space="preserve">have been a benchmark for subscriber costs, and that there is no difference in the </w:t>
      </w:r>
      <w:r w:rsidR="00D429BA">
        <w:t xml:space="preserve">retuning </w:t>
      </w:r>
      <w:r>
        <w:t>process between radios reconfigured pursuant to an SED and radios reconfigured pursuant to a traditional FRA.</w:t>
      </w:r>
      <w:r w:rsidR="00BA2910">
        <w:rPr>
          <w:rStyle w:val="FootnoteReference"/>
        </w:rPr>
        <w:footnoteReference w:id="63"/>
      </w:r>
      <w:r>
        <w:t xml:space="preserve"> </w:t>
      </w:r>
    </w:p>
    <w:p w:rsidR="0043388D" w:rsidRDefault="00046F62" w:rsidP="00D9682E">
      <w:pPr>
        <w:pStyle w:val="ParaNum"/>
        <w:widowControl/>
      </w:pPr>
      <w:r>
        <w:t xml:space="preserve">After </w:t>
      </w:r>
      <w:r w:rsidR="00AF70F1">
        <w:t xml:space="preserve">both </w:t>
      </w:r>
      <w:r w:rsidR="00D429BA">
        <w:t>APSC</w:t>
      </w:r>
      <w:r w:rsidR="00AF70F1">
        <w:t xml:space="preserve"> and the TA </w:t>
      </w:r>
      <w:r w:rsidR="00BE12D2">
        <w:t>Mediator</w:t>
      </w:r>
      <w:r w:rsidR="00617BD4">
        <w:t xml:space="preserve"> observed</w:t>
      </w:r>
      <w:r w:rsidR="0047705C">
        <w:t xml:space="preserve"> </w:t>
      </w:r>
      <w:r w:rsidR="00AF70F1">
        <w:t>that Sprint had not offered a</w:t>
      </w:r>
      <w:r w:rsidR="0047705C">
        <w:t xml:space="preserve">n </w:t>
      </w:r>
      <w:r w:rsidR="00D429BA">
        <w:t xml:space="preserve">alternative </w:t>
      </w:r>
      <w:r w:rsidR="00AF70F1">
        <w:t>Motorola quote for rebanding</w:t>
      </w:r>
      <w:r w:rsidR="00D429BA">
        <w:t xml:space="preserve"> APSC’s system</w:t>
      </w:r>
      <w:r w:rsidR="00AF70F1">
        <w:t>, Sprint obtained the Creative Quote.</w:t>
      </w:r>
      <w:r w:rsidR="0047705C">
        <w:rPr>
          <w:rStyle w:val="FootnoteReference"/>
        </w:rPr>
        <w:footnoteReference w:id="64"/>
      </w:r>
      <w:r w:rsidR="00D429BA">
        <w:t xml:space="preserve">  </w:t>
      </w:r>
      <w:r w:rsidR="0047705C">
        <w:t>When Sprint a</w:t>
      </w:r>
      <w:r w:rsidR="00D429BA">
        <w:t xml:space="preserve">sked </w:t>
      </w:r>
      <w:r w:rsidR="0047705C">
        <w:t xml:space="preserve">Creative </w:t>
      </w:r>
      <w:r w:rsidR="0000069C">
        <w:t xml:space="preserve">for </w:t>
      </w:r>
      <w:r w:rsidR="00D429BA">
        <w:t xml:space="preserve">a rebanding </w:t>
      </w:r>
      <w:r w:rsidR="0000069C">
        <w:t xml:space="preserve">quote </w:t>
      </w:r>
      <w:r w:rsidR="000A0496">
        <w:t xml:space="preserve">Sprint </w:t>
      </w:r>
      <w:r w:rsidR="0047705C">
        <w:t xml:space="preserve">did not identity </w:t>
      </w:r>
      <w:r w:rsidR="0000069C">
        <w:t>APSC as the prospective client</w:t>
      </w:r>
      <w:r w:rsidR="000A0496">
        <w:t xml:space="preserve">.  Instead Sprint </w:t>
      </w:r>
      <w:r w:rsidR="0000069C">
        <w:t>provide</w:t>
      </w:r>
      <w:r w:rsidR="000A0496">
        <w:t>d</w:t>
      </w:r>
      <w:r w:rsidR="0000069C">
        <w:t xml:space="preserve"> Creative with </w:t>
      </w:r>
      <w:r w:rsidR="0047705C">
        <w:t>some basic information about the proposed work</w:t>
      </w:r>
      <w:r w:rsidR="0000069C">
        <w:t xml:space="preserve">:  </w:t>
      </w:r>
    </w:p>
    <w:p w:rsidR="0043388D" w:rsidRDefault="00881F7A" w:rsidP="000F0709">
      <w:pPr>
        <w:pStyle w:val="Bullet"/>
        <w:widowControl/>
        <w:spacing w:after="120"/>
      </w:pPr>
      <w:r>
        <w:t>E</w:t>
      </w:r>
      <w:r w:rsidR="0043388D">
        <w:t xml:space="preserve">ight mountain top sites (including three pole top sites), </w:t>
      </w:r>
    </w:p>
    <w:p w:rsidR="0043388D" w:rsidRDefault="000A0496" w:rsidP="000F0709">
      <w:pPr>
        <w:pStyle w:val="Bullet"/>
        <w:widowControl/>
        <w:spacing w:after="120"/>
      </w:pPr>
      <w:r>
        <w:t xml:space="preserve">Motorola </w:t>
      </w:r>
      <w:r w:rsidR="0043388D">
        <w:t xml:space="preserve">Qantar repeaters, </w:t>
      </w:r>
    </w:p>
    <w:p w:rsidR="0043388D" w:rsidRDefault="0043388D" w:rsidP="000F0709">
      <w:pPr>
        <w:pStyle w:val="Bullet"/>
        <w:widowControl/>
        <w:spacing w:after="120"/>
      </w:pPr>
      <w:r>
        <w:t xml:space="preserve">1,256 </w:t>
      </w:r>
      <w:r w:rsidR="000A0496">
        <w:t xml:space="preserve">Motorola </w:t>
      </w:r>
      <w:r>
        <w:t>portables</w:t>
      </w:r>
      <w:r w:rsidR="00331D5E">
        <w:t>,</w:t>
      </w:r>
    </w:p>
    <w:p w:rsidR="0043388D" w:rsidRDefault="0043388D" w:rsidP="000F0709">
      <w:pPr>
        <w:pStyle w:val="Bullet"/>
        <w:widowControl/>
        <w:spacing w:after="120"/>
      </w:pPr>
      <w:r>
        <w:t xml:space="preserve">1,933 </w:t>
      </w:r>
      <w:r w:rsidR="000A0496">
        <w:t xml:space="preserve">Motorola </w:t>
      </w:r>
      <w:r>
        <w:t>mobiles (including 230 modems)</w:t>
      </w:r>
      <w:r w:rsidR="00331D5E">
        <w:t>,</w:t>
      </w:r>
    </w:p>
    <w:p w:rsidR="0043388D" w:rsidRDefault="0043388D" w:rsidP="000F0709">
      <w:pPr>
        <w:pStyle w:val="Bullet"/>
        <w:widowControl/>
        <w:spacing w:after="120"/>
      </w:pPr>
      <w:r>
        <w:t>Three IP MobileNet base units a</w:t>
      </w:r>
      <w:r w:rsidR="000A0496">
        <w:t xml:space="preserve">nd associated </w:t>
      </w:r>
      <w:r>
        <w:t xml:space="preserve">computer hardware and cables </w:t>
      </w:r>
      <w:r w:rsidR="000A0496">
        <w:t>required</w:t>
      </w:r>
      <w:r w:rsidR="00331D5E">
        <w:t>,</w:t>
      </w:r>
      <w:r>
        <w:rPr>
          <w:rStyle w:val="FootnoteReference"/>
        </w:rPr>
        <w:footnoteReference w:id="65"/>
      </w:r>
    </w:p>
    <w:p w:rsidR="000A0496" w:rsidRDefault="00BB0BAB" w:rsidP="000F0709">
      <w:pPr>
        <w:pStyle w:val="Bullet"/>
        <w:widowControl/>
        <w:spacing w:after="120"/>
      </w:pPr>
      <w:r>
        <w:t>T</w:t>
      </w:r>
      <w:r w:rsidRPr="00BB0BAB">
        <w:t xml:space="preserve">hree </w:t>
      </w:r>
      <w:r>
        <w:t xml:space="preserve">replacement </w:t>
      </w:r>
      <w:r w:rsidRPr="00BB0BAB">
        <w:t>duplexers and</w:t>
      </w:r>
      <w:r>
        <w:t xml:space="preserve"> </w:t>
      </w:r>
      <w:r w:rsidRPr="00BB0BAB">
        <w:t>one combiner</w:t>
      </w:r>
      <w:r w:rsidR="00331D5E">
        <w:t>.</w:t>
      </w:r>
    </w:p>
    <w:p w:rsidR="0043388D" w:rsidRDefault="0043388D" w:rsidP="00D9682E">
      <w:pPr>
        <w:pStyle w:val="Bullet"/>
        <w:widowControl/>
        <w:numPr>
          <w:ilvl w:val="0"/>
          <w:numId w:val="0"/>
        </w:numPr>
      </w:pPr>
      <w:r>
        <w:t xml:space="preserve">Sprint </w:t>
      </w:r>
      <w:r w:rsidR="000A0496">
        <w:t xml:space="preserve">informed Creative </w:t>
      </w:r>
      <w:r>
        <w:t>that the work would take place at 14 retuning locations (each having stated quantities of radios plus certain additional radios).</w:t>
      </w:r>
      <w:r w:rsidR="008539A9">
        <w:rPr>
          <w:rStyle w:val="FootnoteReference"/>
        </w:rPr>
        <w:footnoteReference w:id="66"/>
      </w:r>
      <w:r>
        <w:t xml:space="preserve">  In addition Sprint requested that Creative</w:t>
      </w:r>
      <w:r w:rsidR="00BB0BAB">
        <w:t>’s</w:t>
      </w:r>
      <w:r>
        <w:t xml:space="preserve"> </w:t>
      </w:r>
      <w:r w:rsidR="00BB0BAB">
        <w:t xml:space="preserve">quote include </w:t>
      </w:r>
      <w:r>
        <w:t xml:space="preserve">its “normal testing procedures,” as well as normal project management, scheduling, coordination and oversight. </w:t>
      </w:r>
      <w:r w:rsidR="008539A9">
        <w:rPr>
          <w:rStyle w:val="FootnoteReference"/>
        </w:rPr>
        <w:footnoteReference w:id="67"/>
      </w:r>
    </w:p>
    <w:p w:rsidR="008539A9" w:rsidRDefault="008539A9" w:rsidP="00D9682E">
      <w:pPr>
        <w:pStyle w:val="ParaNum"/>
        <w:widowControl/>
      </w:pPr>
      <w:r>
        <w:t xml:space="preserve">Sprint </w:t>
      </w:r>
      <w:r w:rsidR="00BB0BAB">
        <w:t xml:space="preserve">does not contend that the Creative Quote </w:t>
      </w:r>
      <w:r w:rsidR="002B18B8">
        <w:t xml:space="preserve">is binding on </w:t>
      </w:r>
      <w:r w:rsidR="0036187F">
        <w:t xml:space="preserve">APSC, but rather that the Creative Quote </w:t>
      </w:r>
      <w:r w:rsidR="00617BD4">
        <w:t xml:space="preserve">vindicates </w:t>
      </w:r>
      <w:r w:rsidR="0036187F">
        <w:t xml:space="preserve">Sprint’s </w:t>
      </w:r>
      <w:r w:rsidR="00AF70F1">
        <w:t>estimate of subscriber reconfiguration costs</w:t>
      </w:r>
      <w:r>
        <w:t xml:space="preserve"> (</w:t>
      </w:r>
      <w:r>
        <w:rPr>
          <w:i/>
        </w:rPr>
        <w:t>i.e.,</w:t>
      </w:r>
      <w:r w:rsidR="00AF70F1">
        <w:t xml:space="preserve"> </w:t>
      </w:r>
      <w:r w:rsidR="0036187F">
        <w:t xml:space="preserve">Sprint claims that its estimated retuning </w:t>
      </w:r>
      <w:r w:rsidR="00617BD4">
        <w:t>costs</w:t>
      </w:r>
      <w:r w:rsidR="002B18B8">
        <w:t>—</w:t>
      </w:r>
      <w:r w:rsidR="002F4621">
        <w:t>as contained in its counteroffer</w:t>
      </w:r>
      <w:r w:rsidR="002B18B8">
        <w:t>—</w:t>
      </w:r>
      <w:r w:rsidR="0036187F">
        <w:t xml:space="preserve">are </w:t>
      </w:r>
      <w:r w:rsidR="00AF70F1">
        <w:t xml:space="preserve">representative of </w:t>
      </w:r>
      <w:r w:rsidR="00617BD4">
        <w:t xml:space="preserve">what </w:t>
      </w:r>
      <w:r w:rsidR="00AF70F1">
        <w:t xml:space="preserve">Motorola would </w:t>
      </w:r>
      <w:r w:rsidR="002F4621">
        <w:t>charge</w:t>
      </w:r>
      <w:r>
        <w:t>)</w:t>
      </w:r>
      <w:r w:rsidR="00AF70F1">
        <w:t>.</w:t>
      </w:r>
      <w:r>
        <w:rPr>
          <w:rStyle w:val="FootnoteReference"/>
        </w:rPr>
        <w:footnoteReference w:id="68"/>
      </w:r>
    </w:p>
    <w:p w:rsidR="00881F7A" w:rsidRDefault="003F66A6" w:rsidP="00D9682E">
      <w:pPr>
        <w:pStyle w:val="ParaNum"/>
        <w:widowControl/>
      </w:pPr>
      <w:r>
        <w:t xml:space="preserve">APSC </w:t>
      </w:r>
      <w:r w:rsidR="008539A9">
        <w:t xml:space="preserve">criticizes </w:t>
      </w:r>
      <w:r>
        <w:t xml:space="preserve">numerous aspects of the Creative Quote.  First, it notes that the Creative Quote does not include many </w:t>
      </w:r>
      <w:r w:rsidR="0036187F">
        <w:t xml:space="preserve">of the </w:t>
      </w:r>
      <w:r>
        <w:t xml:space="preserve">services that Harris will perform under the SOW.  APSC also argues that </w:t>
      </w:r>
      <w:r w:rsidR="00802AC0">
        <w:t xml:space="preserve">Sprint provided </w:t>
      </w:r>
      <w:r>
        <w:t xml:space="preserve">Creative </w:t>
      </w:r>
      <w:r w:rsidR="00802AC0">
        <w:t xml:space="preserve">with an inadequate </w:t>
      </w:r>
      <w:r w:rsidR="00881F7A">
        <w:t xml:space="preserve">description of the project which </w:t>
      </w:r>
      <w:r>
        <w:t>led to an understated quote.</w:t>
      </w:r>
      <w:r w:rsidR="00881F7A">
        <w:t xml:space="preserve">  </w:t>
      </w:r>
      <w:r>
        <w:t>These include</w:t>
      </w:r>
      <w:r w:rsidR="00881F7A">
        <w:t>:</w:t>
      </w:r>
    </w:p>
    <w:p w:rsidR="00881F7A" w:rsidRDefault="00881F7A" w:rsidP="00D9682E">
      <w:pPr>
        <w:pStyle w:val="ParaNum"/>
        <w:widowControl/>
        <w:numPr>
          <w:ilvl w:val="0"/>
          <w:numId w:val="13"/>
        </w:numPr>
      </w:pPr>
      <w:r>
        <w:t xml:space="preserve">The use of only fourteen retuning sites as opposed to the 50 locations set out in the SOW </w:t>
      </w:r>
    </w:p>
    <w:p w:rsidR="00881F7A" w:rsidRDefault="00881F7A" w:rsidP="00D9682E">
      <w:pPr>
        <w:pStyle w:val="ParaNum"/>
        <w:widowControl/>
        <w:numPr>
          <w:ilvl w:val="0"/>
          <w:numId w:val="13"/>
        </w:numPr>
      </w:pPr>
      <w:r>
        <w:t xml:space="preserve">The use of </w:t>
      </w:r>
      <w:r w:rsidR="0036187F">
        <w:t>a</w:t>
      </w:r>
      <w:r>
        <w:t xml:space="preserve"> local radio dealer to provide project management </w:t>
      </w:r>
      <w:r w:rsidR="0036187F">
        <w:t>instead of the equipment</w:t>
      </w:r>
      <w:r w:rsidR="00617BD4">
        <w:t>.</w:t>
      </w:r>
      <w:r w:rsidR="0036187F">
        <w:t xml:space="preserve"> manufacturer </w:t>
      </w:r>
      <w:r>
        <w:t>(either Harris or Motorola)</w:t>
      </w:r>
    </w:p>
    <w:p w:rsidR="00881F7A" w:rsidRDefault="00881F7A" w:rsidP="00D9682E">
      <w:pPr>
        <w:pStyle w:val="ParaNum"/>
        <w:widowControl/>
        <w:numPr>
          <w:ilvl w:val="0"/>
          <w:numId w:val="13"/>
        </w:numPr>
      </w:pPr>
      <w:r>
        <w:t xml:space="preserve">A lack of specificity </w:t>
      </w:r>
      <w:r w:rsidR="001814C2">
        <w:t xml:space="preserve">concerning </w:t>
      </w:r>
      <w:r>
        <w:t>the exact types of radios to be retuned</w:t>
      </w:r>
      <w:r w:rsidR="00F81D4C">
        <w:rPr>
          <w:rStyle w:val="FootnoteReference"/>
        </w:rPr>
        <w:footnoteReference w:id="69"/>
      </w:r>
      <w:r>
        <w:t xml:space="preserve"> </w:t>
      </w:r>
    </w:p>
    <w:p w:rsidR="008539A9" w:rsidRDefault="008539A9" w:rsidP="00D9682E">
      <w:pPr>
        <w:pStyle w:val="ParaNum"/>
        <w:widowControl/>
      </w:pPr>
      <w:r>
        <w:t xml:space="preserve">Further, </w:t>
      </w:r>
      <w:r w:rsidR="00594F1D">
        <w:t>APSC provide</w:t>
      </w:r>
      <w:r w:rsidR="001814C2">
        <w:t>s</w:t>
      </w:r>
      <w:r w:rsidR="00594F1D">
        <w:t xml:space="preserve"> </w:t>
      </w:r>
      <w:r>
        <w:t xml:space="preserve">a letter from a consulting engineer with a background in Motorola retuning practices </w:t>
      </w:r>
      <w:r w:rsidR="00617BD4">
        <w:t>who</w:t>
      </w:r>
      <w:r w:rsidR="002F4621">
        <w:t>,</w:t>
      </w:r>
      <w:r w:rsidR="00617BD4">
        <w:t xml:space="preserve"> </w:t>
      </w:r>
      <w:r w:rsidR="001814C2">
        <w:t>APSC</w:t>
      </w:r>
      <w:r w:rsidR="00594F1D">
        <w:t xml:space="preserve"> claims</w:t>
      </w:r>
      <w:r w:rsidR="002F4621">
        <w:t xml:space="preserve">, identifies </w:t>
      </w:r>
      <w:r>
        <w:t>a number of additional shortcomings</w:t>
      </w:r>
      <w:r w:rsidR="00594F1D">
        <w:t xml:space="preserve"> with the Creative Quote, including</w:t>
      </w:r>
      <w:r>
        <w:t>,</w:t>
      </w:r>
      <w:r w:rsidR="00594F1D">
        <w:t xml:space="preserve"> </w:t>
      </w:r>
      <w:r w:rsidR="001814C2">
        <w:t xml:space="preserve">(a) </w:t>
      </w:r>
      <w:r w:rsidR="002B18B8">
        <w:t xml:space="preserve">failing </w:t>
      </w:r>
      <w:r w:rsidR="00594F1D">
        <w:t>to provide an allowance</w:t>
      </w:r>
      <w:r>
        <w:t xml:space="preserve"> for radios not delivered on time to retuning stations (M</w:t>
      </w:r>
      <w:r w:rsidR="002F4621">
        <w:t>issing in Action (M</w:t>
      </w:r>
      <w:r>
        <w:t>IA</w:t>
      </w:r>
      <w:r w:rsidR="002F4621">
        <w:t>)</w:t>
      </w:r>
      <w:r>
        <w:t xml:space="preserve"> Radios),</w:t>
      </w:r>
      <w:r w:rsidR="00594F1D">
        <w:t xml:space="preserve"> </w:t>
      </w:r>
      <w:r w:rsidR="001814C2">
        <w:t>(b)</w:t>
      </w:r>
      <w:r w:rsidR="00594F1D">
        <w:t xml:space="preserve"> fail</w:t>
      </w:r>
      <w:r w:rsidR="002B18B8">
        <w:t>ing</w:t>
      </w:r>
      <w:r w:rsidR="00594F1D">
        <w:t xml:space="preserve"> to provide for </w:t>
      </w:r>
      <w:r>
        <w:t xml:space="preserve">the rebuilding in the field of certain code plugs </w:t>
      </w:r>
      <w:r w:rsidR="001814C2">
        <w:t>in</w:t>
      </w:r>
      <w:r>
        <w:t xml:space="preserve"> the subscriber radios, and </w:t>
      </w:r>
      <w:r w:rsidR="001814C2">
        <w:t>(c)</w:t>
      </w:r>
      <w:r w:rsidR="00594F1D">
        <w:t xml:space="preserve"> fail</w:t>
      </w:r>
      <w:r w:rsidR="002B18B8">
        <w:t xml:space="preserve">ing </w:t>
      </w:r>
      <w:r w:rsidR="00594F1D">
        <w:t xml:space="preserve"> to </w:t>
      </w:r>
      <w:r w:rsidR="001814C2">
        <w:t xml:space="preserve">account </w:t>
      </w:r>
      <w:r w:rsidR="00594F1D">
        <w:t xml:space="preserve">for </w:t>
      </w:r>
      <w:r>
        <w:t>travel time</w:t>
      </w:r>
      <w:r w:rsidR="002B18B8">
        <w:t>, which results in</w:t>
      </w:r>
      <w:r>
        <w:t xml:space="preserve"> less time for </w:t>
      </w:r>
      <w:r w:rsidR="006D6EEC">
        <w:t xml:space="preserve">rebanding </w:t>
      </w:r>
      <w:r>
        <w:t>technicians at the rebanding locations.</w:t>
      </w:r>
      <w:r w:rsidR="00754BFF">
        <w:rPr>
          <w:rStyle w:val="FootnoteReference"/>
        </w:rPr>
        <w:footnoteReference w:id="70"/>
      </w:r>
    </w:p>
    <w:p w:rsidR="008539A9" w:rsidRDefault="00754BFF" w:rsidP="00D9682E">
      <w:pPr>
        <w:pStyle w:val="ParaNum"/>
        <w:widowControl/>
      </w:pPr>
      <w:r>
        <w:t xml:space="preserve">APSC </w:t>
      </w:r>
      <w:r w:rsidR="008539A9">
        <w:t xml:space="preserve">also </w:t>
      </w:r>
      <w:r w:rsidR="001814C2">
        <w:t>provides</w:t>
      </w:r>
      <w:r w:rsidR="008539A9">
        <w:t xml:space="preserve"> an email from counsel to Creative</w:t>
      </w:r>
      <w:r w:rsidR="001814C2">
        <w:t>,</w:t>
      </w:r>
      <w:r w:rsidR="008539A9">
        <w:t xml:space="preserve"> which</w:t>
      </w:r>
      <w:r w:rsidR="001814C2">
        <w:t xml:space="preserve"> email</w:t>
      </w:r>
      <w:r w:rsidR="008539A9">
        <w:t xml:space="preserve"> </w:t>
      </w:r>
      <w:r w:rsidR="001814C2">
        <w:t>state</w:t>
      </w:r>
      <w:r w:rsidR="00C62637">
        <w:t>s</w:t>
      </w:r>
      <w:r w:rsidR="001814C2">
        <w:t xml:space="preserve"> </w:t>
      </w:r>
      <w:r>
        <w:t xml:space="preserve">that now that Creative was aware of the purported client </w:t>
      </w:r>
      <w:r w:rsidR="001814C2">
        <w:t xml:space="preserve">and </w:t>
      </w:r>
      <w:r>
        <w:t xml:space="preserve">the </w:t>
      </w:r>
      <w:r w:rsidR="008539A9">
        <w:t xml:space="preserve">distribution of the radios associated with </w:t>
      </w:r>
      <w:r>
        <w:t xml:space="preserve">APSC’s </w:t>
      </w:r>
      <w:r w:rsidR="008539A9">
        <w:t xml:space="preserve">system, </w:t>
      </w:r>
      <w:r>
        <w:t xml:space="preserve">Creative </w:t>
      </w:r>
      <w:r w:rsidR="008539A9">
        <w:t xml:space="preserve">would need to revisit the proposal </w:t>
      </w:r>
      <w:r>
        <w:t xml:space="preserve">it </w:t>
      </w:r>
      <w:r w:rsidR="008539A9">
        <w:t>previously provided to Sprint, in particular with respect to mobilization and project management time estimates</w:t>
      </w:r>
      <w:r>
        <w:t xml:space="preserve"> and level of </w:t>
      </w:r>
      <w:r w:rsidR="008539A9">
        <w:t>engineering review</w:t>
      </w:r>
      <w:r>
        <w:t>.</w:t>
      </w:r>
      <w:r>
        <w:rPr>
          <w:rStyle w:val="FootnoteReference"/>
        </w:rPr>
        <w:footnoteReference w:id="71"/>
      </w:r>
    </w:p>
    <w:p w:rsidR="00791A9B" w:rsidRDefault="00E775C9" w:rsidP="00D9682E">
      <w:pPr>
        <w:pStyle w:val="ParaNum"/>
        <w:widowControl/>
      </w:pPr>
      <w:r>
        <w:t xml:space="preserve">The </w:t>
      </w:r>
      <w:r w:rsidR="00BE12D2">
        <w:t>TA Mediator</w:t>
      </w:r>
      <w:r>
        <w:t xml:space="preserve"> recommends that the Commission find that that the Creative Quote is</w:t>
      </w:r>
      <w:r w:rsidR="00B52050">
        <w:t xml:space="preserve"> not</w:t>
      </w:r>
      <w:r>
        <w:t xml:space="preserve"> dispositive of the amount the Commission determines Sprint should pay for the rebanding of the APSC</w:t>
      </w:r>
      <w:r w:rsidR="00C62637">
        <w:t xml:space="preserve"> system</w:t>
      </w:r>
      <w:r w:rsidR="00B52050">
        <w:t xml:space="preserve">.  The </w:t>
      </w:r>
      <w:r w:rsidR="00BE12D2">
        <w:t>TA Mediator</w:t>
      </w:r>
      <w:r w:rsidR="00B52050">
        <w:t xml:space="preserve"> finds, however, that the Creative Quote establishes that APSC has not met its evidentiary burden of showing that the </w:t>
      </w:r>
      <w:r w:rsidR="001D30E9">
        <w:t xml:space="preserve">subscriber retuning </w:t>
      </w:r>
      <w:r w:rsidR="00B52050">
        <w:t xml:space="preserve">costs contained in its SOW meet the Commission’s </w:t>
      </w:r>
      <w:r w:rsidR="004C1F40">
        <w:t>Minimum Necessary Cost</w:t>
      </w:r>
      <w:r w:rsidR="00B52050">
        <w:t xml:space="preserve"> </w:t>
      </w:r>
      <w:r w:rsidR="00C62637">
        <w:t>S</w:t>
      </w:r>
      <w:r w:rsidR="00B52050">
        <w:t xml:space="preserve">tandard.  Referring to the </w:t>
      </w:r>
      <w:r w:rsidR="00B52050" w:rsidRPr="00D9682E">
        <w:rPr>
          <w:i/>
        </w:rPr>
        <w:t xml:space="preserve">Indiana </w:t>
      </w:r>
      <w:r w:rsidR="00D3769D">
        <w:rPr>
          <w:i/>
        </w:rPr>
        <w:t xml:space="preserve">MO&amp;O </w:t>
      </w:r>
      <w:r w:rsidR="001D30E9">
        <w:t xml:space="preserve">decision, </w:t>
      </w:r>
      <w:r w:rsidR="006D6EEC" w:rsidRPr="006D6EEC">
        <w:rPr>
          <w:i/>
        </w:rPr>
        <w:t>supra</w:t>
      </w:r>
      <w:r w:rsidR="006D6EEC">
        <w:rPr>
          <w:i/>
        </w:rPr>
        <w:t>,</w:t>
      </w:r>
      <w:r w:rsidR="001D30E9">
        <w:rPr>
          <w:rStyle w:val="FootnoteReference"/>
        </w:rPr>
        <w:footnoteReference w:id="72"/>
      </w:r>
      <w:r w:rsidR="001D30E9">
        <w:t xml:space="preserve"> where the Commission used a competing quote as a proxy for the existence of a significantly less expensive alternative, the </w:t>
      </w:r>
      <w:r w:rsidR="00BE12D2">
        <w:t>TA Mediator</w:t>
      </w:r>
      <w:r w:rsidR="001D30E9">
        <w:t xml:space="preserve"> recommends that the Commission reach the same conclusion here, </w:t>
      </w:r>
      <w:r w:rsidR="001D30E9" w:rsidRPr="008A591E">
        <w:rPr>
          <w:i/>
        </w:rPr>
        <w:t>i.e.</w:t>
      </w:r>
      <w:r w:rsidR="00334BB4">
        <w:rPr>
          <w:i/>
        </w:rPr>
        <w:t xml:space="preserve"> </w:t>
      </w:r>
      <w:r w:rsidR="006D6EEC">
        <w:rPr>
          <w:i/>
        </w:rPr>
        <w:t>,</w:t>
      </w:r>
      <w:r w:rsidR="001D30E9">
        <w:t xml:space="preserve">that a less expensive alternative to APSC’s </w:t>
      </w:r>
      <w:r w:rsidR="008A591E">
        <w:t>proposal exists.</w:t>
      </w:r>
      <w:r w:rsidR="00791A9B">
        <w:rPr>
          <w:rStyle w:val="FootnoteReference"/>
        </w:rPr>
        <w:footnoteReference w:id="73"/>
      </w:r>
    </w:p>
    <w:p w:rsidR="00D70129" w:rsidRDefault="00075C15" w:rsidP="00D9682E">
      <w:pPr>
        <w:pStyle w:val="ParaNum"/>
        <w:widowControl/>
      </w:pPr>
      <w:r>
        <w:t>The</w:t>
      </w:r>
      <w:r w:rsidR="00B57C97">
        <w:t xml:space="preserve"> </w:t>
      </w:r>
      <w:r w:rsidR="003B1F44">
        <w:t xml:space="preserve">TA </w:t>
      </w:r>
      <w:r w:rsidR="00BE12D2">
        <w:t>Mediator</w:t>
      </w:r>
      <w:r w:rsidR="00B57C97">
        <w:t xml:space="preserve"> concludes that APSC </w:t>
      </w:r>
      <w:r w:rsidR="00A0377D">
        <w:t xml:space="preserve">has failed to meet its burden of </w:t>
      </w:r>
      <w:r w:rsidR="003B1F44">
        <w:t xml:space="preserve">proof to </w:t>
      </w:r>
      <w:r w:rsidR="00A0377D">
        <w:t xml:space="preserve">show that its proposed subscriber reconfiguration costs satisfy the </w:t>
      </w:r>
      <w:r w:rsidR="004C1F40">
        <w:t>Minimum Necessary Cost</w:t>
      </w:r>
      <w:r w:rsidR="00A0377D">
        <w:t xml:space="preserve"> Standard</w:t>
      </w:r>
      <w:r>
        <w:t>, because not only are the FRAs that APSC offered as examples dissimilar to APSC’s circumstances, they are also unreliable because they were not reviewed by the Commission</w:t>
      </w:r>
      <w:r w:rsidR="00491FCD">
        <w:t xml:space="preserve">; further, </w:t>
      </w:r>
      <w:r>
        <w:t>Creative Quote demonstrates that a less expensive rebanding alternative exi</w:t>
      </w:r>
      <w:r w:rsidR="00491FCD">
        <w:t>s</w:t>
      </w:r>
      <w:r>
        <w:t xml:space="preserve">ts.  </w:t>
      </w:r>
      <w:r w:rsidR="00A0377D">
        <w:t xml:space="preserve"> </w:t>
      </w:r>
      <w:r w:rsidR="00B57C97">
        <w:rPr>
          <w:rStyle w:val="FootnoteReference"/>
        </w:rPr>
        <w:footnoteReference w:id="74"/>
      </w:r>
      <w:r w:rsidR="00B57C97">
        <w:t xml:space="preserve">  </w:t>
      </w:r>
      <w:r w:rsidR="00A0377D">
        <w:t xml:space="preserve">Accordingly, the TA </w:t>
      </w:r>
      <w:r w:rsidR="00BE12D2">
        <w:t>Mediator</w:t>
      </w:r>
      <w:r w:rsidR="00A0377D">
        <w:t xml:space="preserve"> recommends that the Commission find that the costs proposed by Sprint, adjusted as discussed in the sections below, </w:t>
      </w:r>
      <w:r w:rsidR="003B1F44">
        <w:t xml:space="preserve">satisfy </w:t>
      </w:r>
      <w:r w:rsidR="00A0377D">
        <w:t xml:space="preserve">the Minimum </w:t>
      </w:r>
      <w:r w:rsidR="003B1F44">
        <w:t xml:space="preserve">Necessary </w:t>
      </w:r>
      <w:r w:rsidR="00A0377D">
        <w:t>Cost Standard.</w:t>
      </w:r>
    </w:p>
    <w:p w:rsidR="00432A4E" w:rsidRDefault="00432A4E" w:rsidP="00D9682E">
      <w:pPr>
        <w:pStyle w:val="Heading3"/>
        <w:widowControl/>
      </w:pPr>
      <w:r>
        <w:t>Specific SOW Issues</w:t>
      </w:r>
    </w:p>
    <w:p w:rsidR="00432A4E" w:rsidRDefault="00432A4E" w:rsidP="00D9682E">
      <w:pPr>
        <w:pStyle w:val="ParaNum"/>
        <w:widowControl/>
      </w:pPr>
      <w:r>
        <w:t xml:space="preserve"> The </w:t>
      </w:r>
      <w:r w:rsidR="003B1F44">
        <w:t>TA</w:t>
      </w:r>
      <w:r w:rsidR="00BE12D2">
        <w:t xml:space="preserve"> Mediator</w:t>
      </w:r>
      <w:r>
        <w:t xml:space="preserve"> </w:t>
      </w:r>
      <w:r w:rsidR="00C62637">
        <w:t xml:space="preserve">addresses </w:t>
      </w:r>
      <w:r>
        <w:t xml:space="preserve">whether </w:t>
      </w:r>
      <w:r w:rsidR="00C62637">
        <w:t xml:space="preserve">certain </w:t>
      </w:r>
      <w:r>
        <w:t xml:space="preserve">specific tasks proposed in the </w:t>
      </w:r>
      <w:r w:rsidR="00C62637">
        <w:t xml:space="preserve">APSC </w:t>
      </w:r>
      <w:r>
        <w:t xml:space="preserve">SOW meet the </w:t>
      </w:r>
      <w:r w:rsidR="004C1F40">
        <w:t>Minimum Necessary Cost</w:t>
      </w:r>
      <w:r>
        <w:t xml:space="preserve"> Standard.</w:t>
      </w:r>
      <w:r w:rsidR="008B10B6">
        <w:t xml:space="preserve">  We </w:t>
      </w:r>
      <w:r w:rsidR="00334BB4">
        <w:t>discuss</w:t>
      </w:r>
      <w:r w:rsidR="008B10B6">
        <w:t xml:space="preserve"> these issues below.</w:t>
      </w:r>
    </w:p>
    <w:p w:rsidR="00A0377D" w:rsidRDefault="008B10B6" w:rsidP="00D9682E">
      <w:pPr>
        <w:pStyle w:val="ParaNum"/>
        <w:widowControl/>
      </w:pPr>
      <w:r w:rsidRPr="001D3CF2">
        <w:rPr>
          <w:i/>
        </w:rPr>
        <w:t xml:space="preserve">Code Plug Rebuilds.  </w:t>
      </w:r>
      <w:r>
        <w:t>APSC</w:t>
      </w:r>
      <w:r w:rsidR="00A0377D">
        <w:t xml:space="preserve"> </w:t>
      </w:r>
      <w:r>
        <w:t xml:space="preserve">contends that it must </w:t>
      </w:r>
      <w:r w:rsidR="003B1F44">
        <w:t>account</w:t>
      </w:r>
      <w:r>
        <w:t xml:space="preserve"> for the possibility</w:t>
      </w:r>
      <w:r w:rsidR="00A0377D">
        <w:t xml:space="preserve"> that </w:t>
      </w:r>
      <w:r>
        <w:t xml:space="preserve">up to </w:t>
      </w:r>
      <w:r w:rsidR="00A0377D">
        <w:t>25 percent of its subscriber radios w</w:t>
      </w:r>
      <w:r w:rsidR="00C62637">
        <w:t>ill</w:t>
      </w:r>
      <w:r w:rsidR="00A0377D">
        <w:t xml:space="preserve"> require code plug rebuilds in the field.</w:t>
      </w:r>
      <w:r>
        <w:rPr>
          <w:rStyle w:val="FootnoteReference"/>
        </w:rPr>
        <w:footnoteReference w:id="75"/>
      </w:r>
      <w:r>
        <w:t xml:space="preserve">  Sprint </w:t>
      </w:r>
      <w:r w:rsidR="003B1F44">
        <w:t xml:space="preserve">responds </w:t>
      </w:r>
      <w:r>
        <w:t>that</w:t>
      </w:r>
      <w:r w:rsidR="003B1F44">
        <w:t>,</w:t>
      </w:r>
      <w:r>
        <w:t xml:space="preserve"> </w:t>
      </w:r>
      <w:r w:rsidR="00751D1A">
        <w:t xml:space="preserve">in </w:t>
      </w:r>
      <w:r>
        <w:t>its experience</w:t>
      </w:r>
      <w:r w:rsidR="00693D7A">
        <w:t xml:space="preserve">, </w:t>
      </w:r>
      <w:r w:rsidR="00485F92">
        <w:t>less</w:t>
      </w:r>
      <w:r w:rsidR="00693D7A">
        <w:t xml:space="preserve"> </w:t>
      </w:r>
      <w:r>
        <w:t xml:space="preserve">than one percent </w:t>
      </w:r>
      <w:r w:rsidR="00751D1A">
        <w:t xml:space="preserve">of radios would require such </w:t>
      </w:r>
      <w:r w:rsidR="001D3CF2">
        <w:t>work.</w:t>
      </w:r>
      <w:r w:rsidR="001D3CF2">
        <w:rPr>
          <w:rStyle w:val="FootnoteReference"/>
        </w:rPr>
        <w:footnoteReference w:id="76"/>
      </w:r>
      <w:r w:rsidR="001D3CF2">
        <w:t xml:space="preserve">  APSC states that </w:t>
      </w:r>
      <w:r w:rsidR="00A0377D">
        <w:t xml:space="preserve">it </w:t>
      </w:r>
      <w:r w:rsidR="001D3CF2">
        <w:t>bases its estimate on the fact that i</w:t>
      </w:r>
      <w:r w:rsidR="00693D7A">
        <w:t xml:space="preserve">t lacks </w:t>
      </w:r>
      <w:r w:rsidR="00A0377D">
        <w:t xml:space="preserve">central records </w:t>
      </w:r>
      <w:r w:rsidR="00693D7A">
        <w:t xml:space="preserve">for </w:t>
      </w:r>
      <w:r w:rsidR="00A0377D">
        <w:t>the code plugs for approximately 25 percent of its subscriber radios.</w:t>
      </w:r>
      <w:r w:rsidR="001D3CF2">
        <w:rPr>
          <w:rStyle w:val="FootnoteReference"/>
        </w:rPr>
        <w:footnoteReference w:id="77"/>
      </w:r>
      <w:r w:rsidR="00A0377D">
        <w:t xml:space="preserve"> </w:t>
      </w:r>
      <w:r w:rsidR="00693D7A">
        <w:t xml:space="preserve"> The </w:t>
      </w:r>
      <w:r w:rsidR="00BE12D2">
        <w:t>TA Mediator</w:t>
      </w:r>
      <w:r w:rsidR="00693D7A">
        <w:t xml:space="preserve"> finds that, because </w:t>
      </w:r>
      <w:r w:rsidR="001D3CF2">
        <w:t xml:space="preserve">APSC could not provide a more precise </w:t>
      </w:r>
      <w:r w:rsidR="00A0377D">
        <w:t xml:space="preserve">estimate </w:t>
      </w:r>
      <w:r w:rsidR="001D3CF2">
        <w:t xml:space="preserve">of the number of </w:t>
      </w:r>
      <w:r w:rsidR="00A0377D">
        <w:t xml:space="preserve">radios </w:t>
      </w:r>
      <w:r w:rsidR="001D3CF2">
        <w:t xml:space="preserve">that </w:t>
      </w:r>
      <w:r w:rsidR="00A0377D">
        <w:t xml:space="preserve">may require code plug rebuilding in the field, the </w:t>
      </w:r>
      <w:r w:rsidR="00693D7A">
        <w:t xml:space="preserve">Commission should not </w:t>
      </w:r>
      <w:r w:rsidR="001D3CF2">
        <w:t xml:space="preserve">allow </w:t>
      </w:r>
      <w:r w:rsidR="00A0377D">
        <w:t>additional time for code plug rebuilding</w:t>
      </w:r>
      <w:r w:rsidR="00954282">
        <w:t xml:space="preserve"> in the FRA</w:t>
      </w:r>
      <w:r w:rsidR="00693D7A">
        <w:t xml:space="preserve">.  Instead, the </w:t>
      </w:r>
      <w:r w:rsidR="00BE12D2">
        <w:t>TA Mediator</w:t>
      </w:r>
      <w:r w:rsidR="00693D7A">
        <w:t xml:space="preserve"> recommends that if the Commission finds that</w:t>
      </w:r>
      <w:r w:rsidR="00BD1124">
        <w:t xml:space="preserve"> if</w:t>
      </w:r>
      <w:r w:rsidR="00693D7A">
        <w:t xml:space="preserve"> APSC can document the need for extensive </w:t>
      </w:r>
      <w:r w:rsidR="00A0377D">
        <w:t>code plug rebuilding</w:t>
      </w:r>
      <w:r w:rsidR="00954282">
        <w:t>, during rebanding,</w:t>
      </w:r>
      <w:r w:rsidR="00693D7A">
        <w:t xml:space="preserve"> that the TA </w:t>
      </w:r>
      <w:r w:rsidR="00BD1124">
        <w:t xml:space="preserve">should </w:t>
      </w:r>
      <w:r w:rsidR="00693D7A">
        <w:t>approve a change order for the additional work.</w:t>
      </w:r>
      <w:r w:rsidR="001D3CF2">
        <w:rPr>
          <w:rStyle w:val="FootnoteReference"/>
        </w:rPr>
        <w:footnoteReference w:id="78"/>
      </w:r>
    </w:p>
    <w:p w:rsidR="00A0377D" w:rsidRDefault="001D3CF2" w:rsidP="00D9682E">
      <w:pPr>
        <w:pStyle w:val="ParaNum"/>
        <w:widowControl/>
      </w:pPr>
      <w:r w:rsidRPr="00295FE4">
        <w:rPr>
          <w:i/>
        </w:rPr>
        <w:t xml:space="preserve">MIA </w:t>
      </w:r>
      <w:r w:rsidR="008B15CE" w:rsidRPr="00295FE4">
        <w:rPr>
          <w:i/>
        </w:rPr>
        <w:t xml:space="preserve">Radios.  </w:t>
      </w:r>
      <w:r w:rsidR="00295FE4">
        <w:t xml:space="preserve">In the SOW, APSC includes a 10 percent allowance for additional programming time to account for the programming of </w:t>
      </w:r>
      <w:r w:rsidR="00BD1124">
        <w:t>“</w:t>
      </w:r>
      <w:r w:rsidR="00A0377D">
        <w:t>MIA</w:t>
      </w:r>
      <w:r w:rsidR="00BD1124">
        <w:t>”</w:t>
      </w:r>
      <w:r w:rsidR="00A0377D">
        <w:t xml:space="preserve"> radios</w:t>
      </w:r>
      <w:r w:rsidR="00295FE4">
        <w:t xml:space="preserve"> (</w:t>
      </w:r>
      <w:r w:rsidR="00A0377D" w:rsidRPr="00295FE4">
        <w:rPr>
          <w:i/>
        </w:rPr>
        <w:t>i.e.</w:t>
      </w:r>
      <w:r w:rsidR="00A0377D">
        <w:t>, those radios not brought to the programming center</w:t>
      </w:r>
      <w:r w:rsidR="006D6EEC">
        <w:t>s</w:t>
      </w:r>
      <w:r w:rsidR="00A0377D">
        <w:t xml:space="preserve"> on schedule</w:t>
      </w:r>
      <w:r w:rsidR="00295FE4">
        <w:t xml:space="preserve">).  </w:t>
      </w:r>
      <w:r w:rsidR="00BD1124">
        <w:t>APSC</w:t>
      </w:r>
      <w:r w:rsidR="00295FE4">
        <w:t xml:space="preserve"> </w:t>
      </w:r>
      <w:r w:rsidR="00954282">
        <w:t xml:space="preserve">claims to </w:t>
      </w:r>
      <w:r w:rsidR="00295FE4">
        <w:t>base this estimate on Harris’s experience with other rebanding projects.</w:t>
      </w:r>
      <w:r w:rsidR="009D241B">
        <w:rPr>
          <w:rStyle w:val="FootnoteReference"/>
        </w:rPr>
        <w:footnoteReference w:id="79"/>
      </w:r>
      <w:r w:rsidR="00295FE4">
        <w:t xml:space="preserve">  </w:t>
      </w:r>
      <w:r w:rsidR="00A0377D">
        <w:t xml:space="preserve">Sprint </w:t>
      </w:r>
      <w:r w:rsidR="00295FE4">
        <w:t xml:space="preserve">argues </w:t>
      </w:r>
      <w:r w:rsidR="00A0377D">
        <w:t xml:space="preserve">that </w:t>
      </w:r>
      <w:r w:rsidR="00295FE4">
        <w:t xml:space="preserve">APSC should have incorporated this contingency into its original quote, which </w:t>
      </w:r>
      <w:r w:rsidR="00746439">
        <w:t xml:space="preserve">Sprint </w:t>
      </w:r>
      <w:r w:rsidR="00295FE4">
        <w:t xml:space="preserve">claims to have done in </w:t>
      </w:r>
      <w:r w:rsidR="00A0377D">
        <w:t xml:space="preserve">the SED </w:t>
      </w:r>
      <w:r w:rsidR="00746439">
        <w:t xml:space="preserve">level of effort </w:t>
      </w:r>
      <w:r w:rsidR="00A0377D">
        <w:t xml:space="preserve">that </w:t>
      </w:r>
      <w:r w:rsidR="00295FE4">
        <w:t xml:space="preserve">it </w:t>
      </w:r>
      <w:r w:rsidR="00A0377D">
        <w:t>propose</w:t>
      </w:r>
      <w:r w:rsidR="00295FE4">
        <w:t xml:space="preserve">s </w:t>
      </w:r>
      <w:r w:rsidR="00A0377D">
        <w:t xml:space="preserve">be used instead of the </w:t>
      </w:r>
      <w:r w:rsidR="00746439">
        <w:t xml:space="preserve">APSC </w:t>
      </w:r>
      <w:r w:rsidR="00295FE4">
        <w:t>SOW</w:t>
      </w:r>
      <w:r w:rsidR="00BD1124">
        <w:t xml:space="preserve"> </w:t>
      </w:r>
      <w:r w:rsidR="00DF6561">
        <w:t xml:space="preserve">to </w:t>
      </w:r>
      <w:r w:rsidR="00BD1124">
        <w:t>estimate radio retuning costs</w:t>
      </w:r>
      <w:r w:rsidR="00295FE4">
        <w:t>.</w:t>
      </w:r>
      <w:r w:rsidR="009D241B">
        <w:rPr>
          <w:rStyle w:val="FootnoteReference"/>
        </w:rPr>
        <w:footnoteReference w:id="80"/>
      </w:r>
      <w:r w:rsidR="00295FE4">
        <w:t xml:space="preserve">  </w:t>
      </w:r>
      <w:r w:rsidR="00A0377D">
        <w:t xml:space="preserve">The </w:t>
      </w:r>
      <w:r w:rsidR="00BE12D2">
        <w:t>TA Mediator</w:t>
      </w:r>
      <w:r w:rsidR="00A0377D">
        <w:t xml:space="preserve"> recommends that the Commission </w:t>
      </w:r>
      <w:r w:rsidR="009D241B">
        <w:t xml:space="preserve">find that if </w:t>
      </w:r>
      <w:r w:rsidR="00746439">
        <w:t xml:space="preserve">a </w:t>
      </w:r>
      <w:r w:rsidR="00A0377D">
        <w:t xml:space="preserve">significant number of radios </w:t>
      </w:r>
      <w:r w:rsidR="00485F92">
        <w:t>are</w:t>
      </w:r>
      <w:r w:rsidR="00746439">
        <w:t xml:space="preserve"> </w:t>
      </w:r>
      <w:r w:rsidR="00A0377D">
        <w:t xml:space="preserve">not available when needed for programming, </w:t>
      </w:r>
      <w:r w:rsidR="00746439">
        <w:t>resulting in additional programming time</w:t>
      </w:r>
      <w:r w:rsidR="00DF6561">
        <w:t>,</w:t>
      </w:r>
      <w:r w:rsidR="00746439">
        <w:t xml:space="preserve"> </w:t>
      </w:r>
      <w:r w:rsidR="009D241B">
        <w:t xml:space="preserve">APSC </w:t>
      </w:r>
      <w:r w:rsidR="00A0377D">
        <w:t xml:space="preserve">should expressly </w:t>
      </w:r>
      <w:r w:rsidR="00DF6561">
        <w:t xml:space="preserve">be </w:t>
      </w:r>
      <w:r w:rsidR="00A0377D">
        <w:t>permitted to document those additional costs in a change notice.</w:t>
      </w:r>
      <w:r w:rsidR="009D241B">
        <w:rPr>
          <w:rStyle w:val="FootnoteReference"/>
        </w:rPr>
        <w:footnoteReference w:id="81"/>
      </w:r>
    </w:p>
    <w:p w:rsidR="00A0377D" w:rsidRDefault="001B2967" w:rsidP="00D9682E">
      <w:pPr>
        <w:pStyle w:val="ParaNum"/>
        <w:widowControl/>
      </w:pPr>
      <w:r>
        <w:rPr>
          <w:i/>
        </w:rPr>
        <w:t>Motor Homes</w:t>
      </w:r>
      <w:r w:rsidR="009D241B" w:rsidRPr="00EB5D8D">
        <w:rPr>
          <w:i/>
        </w:rPr>
        <w:t xml:space="preserve">.  </w:t>
      </w:r>
      <w:r w:rsidR="009D241B">
        <w:t>APSC</w:t>
      </w:r>
      <w:r w:rsidR="00A0377D">
        <w:t xml:space="preserve"> proposes to rent two </w:t>
      </w:r>
      <w:r>
        <w:t xml:space="preserve">motor homes </w:t>
      </w:r>
      <w:r w:rsidR="00A0377D">
        <w:t>for the duration of each touch</w:t>
      </w:r>
      <w:r w:rsidR="00746439">
        <w:t xml:space="preserve">.  These vehicles would </w:t>
      </w:r>
      <w:r w:rsidR="00A0377D">
        <w:t xml:space="preserve">be driven to each of the retuning locations </w:t>
      </w:r>
      <w:r w:rsidR="00746439">
        <w:t xml:space="preserve">to </w:t>
      </w:r>
      <w:r w:rsidR="00A0377D">
        <w:t>serve as mobile work places.</w:t>
      </w:r>
      <w:r w:rsidR="009D241B">
        <w:rPr>
          <w:rStyle w:val="FootnoteReference"/>
        </w:rPr>
        <w:footnoteReference w:id="82"/>
      </w:r>
      <w:r w:rsidR="00DF6561">
        <w:t xml:space="preserve"> </w:t>
      </w:r>
      <w:r w:rsidR="00A0377D">
        <w:t xml:space="preserve"> </w:t>
      </w:r>
      <w:r w:rsidR="009D241B">
        <w:t xml:space="preserve">APSC </w:t>
      </w:r>
      <w:r w:rsidR="00A0377D">
        <w:t>states that</w:t>
      </w:r>
      <w:r w:rsidR="009D241B">
        <w:t xml:space="preserve"> it needs to use</w:t>
      </w:r>
      <w:r w:rsidR="00A0377D">
        <w:t xml:space="preserve"> the </w:t>
      </w:r>
      <w:r w:rsidR="00746439">
        <w:t>vehicles</w:t>
      </w:r>
      <w:r w:rsidR="00491FCD">
        <w:t>,</w:t>
      </w:r>
      <w:r w:rsidR="00746439">
        <w:t xml:space="preserve"> </w:t>
      </w:r>
      <w:r w:rsidR="00A0377D">
        <w:t>because it is unable to assur</w:t>
      </w:r>
      <w:r w:rsidR="00F772A9">
        <w:t>e</w:t>
      </w:r>
      <w:r w:rsidR="00A0377D">
        <w:t xml:space="preserve"> that suitable workplaces for subscriber retuning will be available at a number of the programming locations. </w:t>
      </w:r>
      <w:r w:rsidR="009D241B">
        <w:t xml:space="preserve"> APSC argues that using </w:t>
      </w:r>
      <w:r w:rsidR="00F772A9">
        <w:t xml:space="preserve">the vehicles </w:t>
      </w:r>
      <w:r w:rsidR="00A0377D">
        <w:t>will reduce costs by allowing easier access to vehicles for retuning at remote locations, providing climate controlled workplaces in a very hot climate, and avoiding the need for repetitive tear down and set up of equipment.</w:t>
      </w:r>
      <w:r w:rsidR="00EB5D8D">
        <w:rPr>
          <w:rStyle w:val="FootnoteReference"/>
        </w:rPr>
        <w:footnoteReference w:id="83"/>
      </w:r>
      <w:r w:rsidR="00EB5D8D">
        <w:t xml:space="preserve">  </w:t>
      </w:r>
    </w:p>
    <w:p w:rsidR="00A0377D" w:rsidRDefault="00A0377D" w:rsidP="00D9682E">
      <w:pPr>
        <w:pStyle w:val="ParaNum"/>
        <w:widowControl/>
      </w:pPr>
      <w:r>
        <w:t>Sprint opposes the m</w:t>
      </w:r>
      <w:r w:rsidR="001B2967">
        <w:t>otor</w:t>
      </w:r>
      <w:r>
        <w:t xml:space="preserve"> home</w:t>
      </w:r>
      <w:r w:rsidR="00EB5D8D">
        <w:t xml:space="preserve"> proposal</w:t>
      </w:r>
      <w:r w:rsidR="001B2967">
        <w:t xml:space="preserve">.  It notes </w:t>
      </w:r>
      <w:r w:rsidR="00EB5D8D">
        <w:t>that APSC</w:t>
      </w:r>
      <w:r>
        <w:t xml:space="preserve"> has not specifically </w:t>
      </w:r>
      <w:r w:rsidR="001B2967">
        <w:t>denied that it has no facilities where retuning can be conducted; merely</w:t>
      </w:r>
      <w:r w:rsidR="00491FCD">
        <w:t>,</w:t>
      </w:r>
      <w:r w:rsidR="001B2967">
        <w:t xml:space="preserve"> </w:t>
      </w:r>
      <w:r w:rsidR="00EB5D8D">
        <w:t xml:space="preserve">it cannot assure that </w:t>
      </w:r>
      <w:r w:rsidR="00BD4A89">
        <w:t xml:space="preserve">such </w:t>
      </w:r>
      <w:r w:rsidR="00EB5D8D">
        <w:t>facilities will be available.</w:t>
      </w:r>
      <w:r w:rsidR="00EB5D8D">
        <w:rPr>
          <w:rStyle w:val="FootnoteReference"/>
        </w:rPr>
        <w:footnoteReference w:id="84"/>
      </w:r>
      <w:r w:rsidR="00DF6561">
        <w:t xml:space="preserve"> </w:t>
      </w:r>
      <w:r w:rsidR="00EB5D8D">
        <w:t xml:space="preserve"> </w:t>
      </w:r>
      <w:r>
        <w:t>Sprint notes that it has never previously been asked to pay for m</w:t>
      </w:r>
      <w:r w:rsidR="001B2967">
        <w:t xml:space="preserve">otor </w:t>
      </w:r>
      <w:r>
        <w:t>homes, even in much larger rebandings</w:t>
      </w:r>
      <w:r w:rsidR="001B2967">
        <w:t>,</w:t>
      </w:r>
      <w:r w:rsidR="00EB5D8D">
        <w:t xml:space="preserve"> and that usually </w:t>
      </w:r>
      <w:r>
        <w:t>vendors make use of their own trucks or tents to support subscriber reconfiguration whe</w:t>
      </w:r>
      <w:r w:rsidR="00BD4A89">
        <w:t>n and whe</w:t>
      </w:r>
      <w:r>
        <w:t>re needed.</w:t>
      </w:r>
      <w:r w:rsidR="00EB5D8D">
        <w:rPr>
          <w:rStyle w:val="FootnoteReference"/>
        </w:rPr>
        <w:footnoteReference w:id="85"/>
      </w:r>
    </w:p>
    <w:p w:rsidR="00EB5D8D" w:rsidRDefault="00A0377D" w:rsidP="00D9682E">
      <w:pPr>
        <w:pStyle w:val="ParaNum"/>
        <w:widowControl/>
      </w:pPr>
      <w:r>
        <w:t xml:space="preserve">The </w:t>
      </w:r>
      <w:r w:rsidR="00BE12D2">
        <w:t>TA Mediator</w:t>
      </w:r>
      <w:r>
        <w:t xml:space="preserve"> recommends that the Commission find that the Licensee has not met its burden of demonstrating that the rental of two mo</w:t>
      </w:r>
      <w:r w:rsidR="001B2967">
        <w:t xml:space="preserve">tor </w:t>
      </w:r>
      <w:r>
        <w:t xml:space="preserve">homes is consistent with the </w:t>
      </w:r>
      <w:r w:rsidR="004C1F40">
        <w:t>Minimum Necessary Cost</w:t>
      </w:r>
      <w:r>
        <w:t xml:space="preserve"> Standard. </w:t>
      </w:r>
      <w:r w:rsidR="001B2967">
        <w:t xml:space="preserve"> </w:t>
      </w:r>
      <w:r>
        <w:t xml:space="preserve">The </w:t>
      </w:r>
      <w:r w:rsidR="00BE12D2">
        <w:t>TA Mediator</w:t>
      </w:r>
      <w:r w:rsidR="00EB5D8D">
        <w:t xml:space="preserve"> notes that the logistical issue of providing a location where radios can be rebanded is part of every rebanding and </w:t>
      </w:r>
      <w:r w:rsidR="001B2967">
        <w:t xml:space="preserve">that </w:t>
      </w:r>
      <w:r w:rsidR="00EB5D8D">
        <w:t xml:space="preserve">APSC does not provide any examples of </w:t>
      </w:r>
      <w:r>
        <w:t>rebanding</w:t>
      </w:r>
      <w:r w:rsidR="00EB5D8D">
        <w:t>s</w:t>
      </w:r>
      <w:r>
        <w:t xml:space="preserve"> in which mo</w:t>
      </w:r>
      <w:r w:rsidR="00F05D40">
        <w:t xml:space="preserve">tor </w:t>
      </w:r>
      <w:r>
        <w:t>homes have been used</w:t>
      </w:r>
      <w:r w:rsidR="00EB5D8D">
        <w:t xml:space="preserve"> to meet this need.  More</w:t>
      </w:r>
      <w:r w:rsidR="00F05D40">
        <w:t>o</w:t>
      </w:r>
      <w:r w:rsidR="00EB5D8D">
        <w:t xml:space="preserve">ver, the </w:t>
      </w:r>
      <w:r w:rsidR="00BE12D2">
        <w:t>TA Mediator</w:t>
      </w:r>
      <w:r w:rsidR="00EB5D8D">
        <w:t xml:space="preserve"> notes that APSC </w:t>
      </w:r>
      <w:r w:rsidR="000E5B8B">
        <w:t xml:space="preserve">does not </w:t>
      </w:r>
      <w:r w:rsidR="00F05D40">
        <w:t>claim</w:t>
      </w:r>
      <w:r w:rsidR="000E5B8B">
        <w:t xml:space="preserve"> that it is unable to provide a r</w:t>
      </w:r>
      <w:r w:rsidR="00F05D40">
        <w:t xml:space="preserve">ebanding </w:t>
      </w:r>
      <w:r w:rsidR="000E5B8B">
        <w:t xml:space="preserve">work area, only </w:t>
      </w:r>
      <w:r w:rsidR="00EB5D8D">
        <w:t xml:space="preserve">that it is unable to </w:t>
      </w:r>
      <w:r w:rsidR="000E5B8B">
        <w:t>affirmatively promise that such facilities will be available at every location</w:t>
      </w:r>
      <w:r>
        <w:t>.</w:t>
      </w:r>
      <w:r w:rsidR="00E41BB9">
        <w:rPr>
          <w:rStyle w:val="FootnoteReference"/>
        </w:rPr>
        <w:footnoteReference w:id="86"/>
      </w:r>
      <w:r>
        <w:t xml:space="preserve"> </w:t>
      </w:r>
      <w:r w:rsidR="000E5B8B">
        <w:t xml:space="preserve"> </w:t>
      </w:r>
    </w:p>
    <w:p w:rsidR="00B60C0C" w:rsidRDefault="00A0377D" w:rsidP="00D9682E">
      <w:pPr>
        <w:pStyle w:val="ParaNum"/>
        <w:widowControl/>
      </w:pPr>
      <w:r w:rsidRPr="000E5B8B">
        <w:rPr>
          <w:i/>
        </w:rPr>
        <w:t>Harris Staffing</w:t>
      </w:r>
      <w:r w:rsidR="000E5B8B" w:rsidRPr="000E5B8B">
        <w:rPr>
          <w:i/>
        </w:rPr>
        <w:t xml:space="preserve">.  </w:t>
      </w:r>
      <w:r w:rsidR="000E5B8B" w:rsidRPr="000E5B8B">
        <w:t>APSC</w:t>
      </w:r>
      <w:r w:rsidR="000E5B8B">
        <w:t xml:space="preserve"> a</w:t>
      </w:r>
      <w:r>
        <w:t>rgues that a Quality Assurance Manager, employed by Harris, should be on site throughout the reprogramming of the subscriber radios.</w:t>
      </w:r>
      <w:r w:rsidR="00B60C0C">
        <w:rPr>
          <w:rStyle w:val="FootnoteReference"/>
        </w:rPr>
        <w:footnoteReference w:id="87"/>
      </w:r>
      <w:r w:rsidR="009069DC">
        <w:t xml:space="preserve">  APSC notes that the </w:t>
      </w:r>
      <w:r w:rsidR="00F05D40">
        <w:t xml:space="preserve">Harris </w:t>
      </w:r>
      <w:r w:rsidR="00491FCD">
        <w:t xml:space="preserve">candidate </w:t>
      </w:r>
      <w:r w:rsidR="009069DC">
        <w:t xml:space="preserve">it proposes </w:t>
      </w:r>
      <w:r w:rsidR="00B60C0C">
        <w:t>has extensive experience with rebanding software for the Licensee’s equipment</w:t>
      </w:r>
      <w:r w:rsidR="00491FCD">
        <w:t xml:space="preserve">, </w:t>
      </w:r>
      <w:r w:rsidR="00B60C0C">
        <w:t>code plug rebuilds, and was involved in the original deployment of the Licensee’s system.</w:t>
      </w:r>
      <w:r w:rsidR="00E41BB9">
        <w:rPr>
          <w:rStyle w:val="FootnoteReference"/>
        </w:rPr>
        <w:footnoteReference w:id="88"/>
      </w:r>
    </w:p>
    <w:p w:rsidR="00A0377D" w:rsidRDefault="009069DC" w:rsidP="00D9682E">
      <w:pPr>
        <w:pStyle w:val="ParaNum"/>
        <w:widowControl/>
      </w:pPr>
      <w:r>
        <w:t xml:space="preserve"> </w:t>
      </w:r>
      <w:r w:rsidR="00B60C0C">
        <w:t>APSC proposes that the Quality Assurance Manager</w:t>
      </w:r>
      <w:r>
        <w:t xml:space="preserve"> </w:t>
      </w:r>
      <w:r w:rsidR="00A0377D">
        <w:t xml:space="preserve">would work directly for the Harris Project Manager, and would be Harris’s interface with the </w:t>
      </w:r>
      <w:r>
        <w:t xml:space="preserve">APSC </w:t>
      </w:r>
      <w:r w:rsidR="00A0377D">
        <w:t xml:space="preserve">point of contact. The Quality Assurance Manager would also provide on-site supervision of programming teams and coordinate their work with various organizations within </w:t>
      </w:r>
      <w:r>
        <w:t>APSC</w:t>
      </w:r>
      <w:r w:rsidR="00A0377D">
        <w:t xml:space="preserve">. </w:t>
      </w:r>
      <w:r w:rsidR="00914684">
        <w:t xml:space="preserve"> </w:t>
      </w:r>
      <w:r w:rsidR="00A0377D">
        <w:t xml:space="preserve">The Quality Assurance Manager would also assure that </w:t>
      </w:r>
      <w:r>
        <w:t xml:space="preserve">APSC’s </w:t>
      </w:r>
      <w:r w:rsidR="00A0377D">
        <w:t>schedule and project requirements a</w:t>
      </w:r>
      <w:r w:rsidR="00F05D40">
        <w:t>re met and would</w:t>
      </w:r>
      <w:r w:rsidR="00A0377D">
        <w:t xml:space="preserve"> assist in setting up and tearing down equipment as necessary.</w:t>
      </w:r>
      <w:r w:rsidR="00E41BB9">
        <w:rPr>
          <w:rStyle w:val="FootnoteReference"/>
        </w:rPr>
        <w:footnoteReference w:id="89"/>
      </w:r>
      <w:r w:rsidR="00A0377D">
        <w:t xml:space="preserve"> </w:t>
      </w:r>
    </w:p>
    <w:p w:rsidR="00A0377D" w:rsidRDefault="00B60C0C" w:rsidP="00D9682E">
      <w:pPr>
        <w:pStyle w:val="ParaNum"/>
        <w:widowControl/>
      </w:pPr>
      <w:r>
        <w:t xml:space="preserve">APSC </w:t>
      </w:r>
      <w:r w:rsidR="00A0377D">
        <w:t>also propose</w:t>
      </w:r>
      <w:r>
        <w:t xml:space="preserve">s </w:t>
      </w:r>
      <w:r w:rsidR="00A0377D">
        <w:t xml:space="preserve">that Harris provide a System Engineer </w:t>
      </w:r>
      <w:r>
        <w:t xml:space="preserve">to </w:t>
      </w:r>
      <w:r w:rsidR="00A0377D">
        <w:t>program</w:t>
      </w:r>
      <w:r>
        <w:t xml:space="preserve"> </w:t>
      </w:r>
      <w:r w:rsidR="00A0377D">
        <w:t xml:space="preserve">the PCs to be used in subscriber retuning, </w:t>
      </w:r>
      <w:r w:rsidR="00F05D40">
        <w:t xml:space="preserve">conduct </w:t>
      </w:r>
      <w:r w:rsidR="00A0377D">
        <w:t xml:space="preserve">code plug review, </w:t>
      </w:r>
      <w:r w:rsidR="00F05D40">
        <w:t xml:space="preserve">attend </w:t>
      </w:r>
      <w:r w:rsidR="00A0377D">
        <w:t xml:space="preserve">primary planning meetings, and </w:t>
      </w:r>
      <w:r w:rsidR="00F05D40">
        <w:t xml:space="preserve">assist in </w:t>
      </w:r>
      <w:r w:rsidR="00A0377D">
        <w:t xml:space="preserve">the setup of equipment for each touch. </w:t>
      </w:r>
      <w:r w:rsidR="00F05D40">
        <w:t xml:space="preserve"> </w:t>
      </w:r>
      <w:r w:rsidR="00491FCD">
        <w:t>T</w:t>
      </w:r>
      <w:r w:rsidR="00A0377D">
        <w:t xml:space="preserve">he </w:t>
      </w:r>
      <w:r w:rsidR="00F05D40">
        <w:t xml:space="preserve">proposed </w:t>
      </w:r>
      <w:r w:rsidR="00E17072">
        <w:t>S</w:t>
      </w:r>
      <w:r w:rsidR="00F05D40">
        <w:t xml:space="preserve">ystem </w:t>
      </w:r>
      <w:r w:rsidR="00E17072">
        <w:t>E</w:t>
      </w:r>
      <w:r w:rsidR="00F05D40">
        <w:t xml:space="preserve">ngineer </w:t>
      </w:r>
      <w:r w:rsidR="005E757E">
        <w:t xml:space="preserve">is reported to have </w:t>
      </w:r>
      <w:r w:rsidR="00A0377D">
        <w:t xml:space="preserve">provided technical oversight for the original deployment of </w:t>
      </w:r>
      <w:r w:rsidR="00524ECF">
        <w:t>APSC’s</w:t>
      </w:r>
      <w:r w:rsidR="00A0377D">
        <w:t xml:space="preserve"> system.</w:t>
      </w:r>
      <w:r>
        <w:rPr>
          <w:rStyle w:val="FootnoteReference"/>
        </w:rPr>
        <w:footnoteReference w:id="90"/>
      </w:r>
      <w:r w:rsidR="00373882">
        <w:t xml:space="preserve">  </w:t>
      </w:r>
      <w:r w:rsidR="00A0377D">
        <w:t xml:space="preserve">Sprint contends that </w:t>
      </w:r>
      <w:r w:rsidR="00373882">
        <w:t xml:space="preserve">having both a </w:t>
      </w:r>
      <w:r w:rsidR="00A0377D">
        <w:t xml:space="preserve">Quality Assurance Manager and System Engineer </w:t>
      </w:r>
      <w:r w:rsidR="00373882">
        <w:t xml:space="preserve">is </w:t>
      </w:r>
      <w:r w:rsidR="00A0377D">
        <w:t>unnecessary and duplicative</w:t>
      </w:r>
      <w:r w:rsidR="009120E3">
        <w:t xml:space="preserve">, and </w:t>
      </w:r>
      <w:r w:rsidR="00491FCD">
        <w:t xml:space="preserve">it requests </w:t>
      </w:r>
      <w:r w:rsidR="009120E3">
        <w:t>eliminating the fu</w:t>
      </w:r>
      <w:r w:rsidR="00E17072">
        <w:t>n</w:t>
      </w:r>
      <w:r w:rsidR="009120E3">
        <w:t>ction</w:t>
      </w:r>
      <w:r w:rsidR="00E17072">
        <w:t xml:space="preserve">s proposed for </w:t>
      </w:r>
      <w:r w:rsidR="009120E3">
        <w:t>the System Engineer</w:t>
      </w:r>
      <w:r w:rsidR="00A0377D">
        <w:t>.</w:t>
      </w:r>
      <w:r w:rsidR="009120E3">
        <w:rPr>
          <w:rStyle w:val="FootnoteReference"/>
        </w:rPr>
        <w:footnoteReference w:id="91"/>
      </w:r>
      <w:r w:rsidR="00A0377D">
        <w:t xml:space="preserve"> </w:t>
      </w:r>
      <w:r>
        <w:t xml:space="preserve"> </w:t>
      </w:r>
      <w:r w:rsidR="00491FCD">
        <w:t xml:space="preserve">Nevertheless, the </w:t>
      </w:r>
      <w:r w:rsidR="00BE12D2">
        <w:t>TA Mediator</w:t>
      </w:r>
      <w:r w:rsidR="00491FCD">
        <w:t xml:space="preserve"> </w:t>
      </w:r>
      <w:r w:rsidR="00D06D02">
        <w:t xml:space="preserve"> notes that the Commission approved use of a System Engineer in a similar rebanding case</w:t>
      </w:r>
      <w:r w:rsidR="00D06D02">
        <w:rPr>
          <w:rStyle w:val="FootnoteReference"/>
        </w:rPr>
        <w:footnoteReference w:id="92"/>
      </w:r>
      <w:r w:rsidR="00D06D02">
        <w:t xml:space="preserve"> and, therefore, recommends that the Commission find that use of a System Engineer here is reasonable</w:t>
      </w:r>
      <w:r w:rsidR="00491FCD">
        <w:t xml:space="preserve">; hence, </w:t>
      </w:r>
      <w:r w:rsidR="00D06D02">
        <w:t xml:space="preserve"> the Commission should add $26,364</w:t>
      </w:r>
      <w:r w:rsidR="00491FCD">
        <w:t>,</w:t>
      </w:r>
      <w:r w:rsidR="00D3769D">
        <w:t>—</w:t>
      </w:r>
      <w:r w:rsidR="00D06D02">
        <w:t>the proposed cost of the System Engineer</w:t>
      </w:r>
      <w:r w:rsidR="00491FCD">
        <w:t>,</w:t>
      </w:r>
      <w:r w:rsidR="00D3769D">
        <w:t>—</w:t>
      </w:r>
      <w:r w:rsidR="00D06D02">
        <w:t>to whatever amount it decides</w:t>
      </w:r>
      <w:r w:rsidR="0095241C">
        <w:t xml:space="preserve"> is the minimum cost for rebanding the APSC system.</w:t>
      </w:r>
      <w:r w:rsidR="0095241C">
        <w:rPr>
          <w:rStyle w:val="FootnoteReference"/>
        </w:rPr>
        <w:footnoteReference w:id="93"/>
      </w:r>
      <w:r w:rsidR="00D06D02">
        <w:t xml:space="preserve"> </w:t>
      </w:r>
    </w:p>
    <w:p w:rsidR="00A0377D" w:rsidRDefault="004E28B0" w:rsidP="00D9682E">
      <w:pPr>
        <w:pStyle w:val="ParaNum"/>
        <w:widowControl/>
      </w:pPr>
      <w:r>
        <w:rPr>
          <w:i/>
        </w:rPr>
        <w:t xml:space="preserve">Computer Services.  </w:t>
      </w:r>
      <w:r>
        <w:t xml:space="preserve">APSC </w:t>
      </w:r>
      <w:r w:rsidR="00A0377D">
        <w:t xml:space="preserve">maintains that various computer services </w:t>
      </w:r>
      <w:r w:rsidR="005E757E">
        <w:t xml:space="preserve">must be provided </w:t>
      </w:r>
      <w:r>
        <w:t xml:space="preserve">to accommodate </w:t>
      </w:r>
      <w:r w:rsidR="00B219B9">
        <w:t xml:space="preserve">APSC’s </w:t>
      </w:r>
      <w:r>
        <w:t xml:space="preserve">requirement that computers </w:t>
      </w:r>
      <w:r w:rsidR="00B219B9">
        <w:t xml:space="preserve">used for rebanding must </w:t>
      </w:r>
      <w:r>
        <w:t xml:space="preserve">be </w:t>
      </w:r>
      <w:r w:rsidR="00B219B9">
        <w:t xml:space="preserve">”locked down,” </w:t>
      </w:r>
      <w:r w:rsidR="00B219B9" w:rsidRPr="00904615">
        <w:rPr>
          <w:i/>
        </w:rPr>
        <w:t>i.e.</w:t>
      </w:r>
      <w:r w:rsidR="001E4D46">
        <w:t xml:space="preserve">, </w:t>
      </w:r>
      <w:r w:rsidR="00A0377D">
        <w:t>isolated from the Internet and outside network connections</w:t>
      </w:r>
      <w:r w:rsidR="001E4D46">
        <w:t xml:space="preserve"> </w:t>
      </w:r>
      <w:r w:rsidR="00A0377D">
        <w:t xml:space="preserve">to avoid unauthorized access </w:t>
      </w:r>
      <w:r>
        <w:t xml:space="preserve">and that technicians </w:t>
      </w:r>
      <w:r w:rsidR="00A0377D">
        <w:t>u</w:t>
      </w:r>
      <w:r w:rsidR="00B219B9">
        <w:t>se</w:t>
      </w:r>
      <w:r w:rsidR="00A0377D">
        <w:t xml:space="preserve"> </w:t>
      </w:r>
      <w:r>
        <w:t xml:space="preserve">APSC-provided </w:t>
      </w:r>
      <w:r w:rsidR="00A0377D">
        <w:t>programming software</w:t>
      </w:r>
      <w:r>
        <w:t>.</w:t>
      </w:r>
      <w:r>
        <w:rPr>
          <w:rStyle w:val="FootnoteReference"/>
        </w:rPr>
        <w:footnoteReference w:id="94"/>
      </w:r>
      <w:r w:rsidR="00A0377D">
        <w:t xml:space="preserve"> </w:t>
      </w:r>
      <w:r w:rsidR="00B219B9">
        <w:t xml:space="preserve"> </w:t>
      </w:r>
      <w:r>
        <w:t xml:space="preserve">APSC also </w:t>
      </w:r>
      <w:r w:rsidR="001E4D46">
        <w:t xml:space="preserve">proposes that, in addition to programming the PCs, </w:t>
      </w:r>
      <w:r w:rsidR="005E757E">
        <w:t xml:space="preserve">the </w:t>
      </w:r>
      <w:r w:rsidR="00A0377D">
        <w:t xml:space="preserve">technicians </w:t>
      </w:r>
      <w:r>
        <w:t xml:space="preserve">are required </w:t>
      </w:r>
      <w:r w:rsidR="00A0377D">
        <w:t xml:space="preserve">to maintain a </w:t>
      </w:r>
      <w:r w:rsidR="001E4D46">
        <w:t xml:space="preserve">computer </w:t>
      </w:r>
      <w:r w:rsidR="00A0377D">
        <w:t>database reflecting the progress of subscriber work.</w:t>
      </w:r>
      <w:r>
        <w:rPr>
          <w:rStyle w:val="FootnoteReference"/>
        </w:rPr>
        <w:footnoteReference w:id="95"/>
      </w:r>
    </w:p>
    <w:p w:rsidR="005E757E" w:rsidRDefault="00A0377D" w:rsidP="00D9682E">
      <w:pPr>
        <w:pStyle w:val="ParaNum"/>
        <w:widowControl/>
      </w:pPr>
      <w:r>
        <w:t xml:space="preserve">Sprint opposes </w:t>
      </w:r>
      <w:r w:rsidR="001E4D46">
        <w:t xml:space="preserve">APSC’s </w:t>
      </w:r>
      <w:r w:rsidR="00F17859">
        <w:t>proposal to have computer technicians install the APSC</w:t>
      </w:r>
      <w:r w:rsidR="00C85D18">
        <w:t>-</w:t>
      </w:r>
      <w:r w:rsidR="00F17859">
        <w:t xml:space="preserve">provided software, </w:t>
      </w:r>
      <w:r>
        <w:t>arguing that the</w:t>
      </w:r>
      <w:r w:rsidR="00F17859">
        <w:t xml:space="preserve"> proposal </w:t>
      </w:r>
      <w:r>
        <w:t>reflect</w:t>
      </w:r>
      <w:r w:rsidR="00C85D18">
        <w:t>s</w:t>
      </w:r>
      <w:r>
        <w:t xml:space="preserve"> Harris’s inexperience with Motorola equipment</w:t>
      </w:r>
      <w:r w:rsidR="00C85D18">
        <w:t>.  Sprint also submits that having Harris computer technicians maintain a progress database is unnecessary and that the retuning technicians can record progress on a spreadsheet as part of the retuning effort.</w:t>
      </w:r>
      <w:r w:rsidR="004E28B0">
        <w:rPr>
          <w:rStyle w:val="FootnoteReference"/>
        </w:rPr>
        <w:footnoteReference w:id="96"/>
      </w:r>
      <w:r w:rsidR="00C85D18">
        <w:t xml:space="preserve">  </w:t>
      </w:r>
    </w:p>
    <w:p w:rsidR="00A0377D" w:rsidRDefault="00A0377D" w:rsidP="00D9682E">
      <w:pPr>
        <w:pStyle w:val="ParaNum"/>
        <w:widowControl/>
      </w:pPr>
      <w:r>
        <w:t xml:space="preserve">The </w:t>
      </w:r>
      <w:r w:rsidR="00BE12D2">
        <w:t>TA Mediator</w:t>
      </w:r>
      <w:r>
        <w:t xml:space="preserve"> recommends that the Commission find that the Licensee’s request for computer set up time is reasonable</w:t>
      </w:r>
      <w:r w:rsidR="004E28B0">
        <w:t>,</w:t>
      </w:r>
      <w:r w:rsidR="005E757E">
        <w:t xml:space="preserve"> because </w:t>
      </w:r>
      <w:r w:rsidR="004E28B0">
        <w:t xml:space="preserve">the </w:t>
      </w:r>
      <w:r>
        <w:t xml:space="preserve">PCs used for programming </w:t>
      </w:r>
      <w:r w:rsidR="005E757E">
        <w:t xml:space="preserve">must </w:t>
      </w:r>
      <w:r>
        <w:t xml:space="preserve">be “locked down” and that only the rebanding software provided by the Licensee </w:t>
      </w:r>
      <w:r w:rsidR="000637F9">
        <w:t xml:space="preserve">may </w:t>
      </w:r>
      <w:r>
        <w:t>be used to perform the rebanding work.</w:t>
      </w:r>
      <w:r w:rsidR="004E28B0">
        <w:rPr>
          <w:rStyle w:val="FootnoteReference"/>
        </w:rPr>
        <w:footnoteReference w:id="97"/>
      </w:r>
      <w:r>
        <w:t xml:space="preserve"> </w:t>
      </w:r>
      <w:r w:rsidR="00733071">
        <w:t xml:space="preserve"> Accordingly, the </w:t>
      </w:r>
      <w:r w:rsidR="00BE12D2">
        <w:t>TA Mediator</w:t>
      </w:r>
      <w:r w:rsidR="00733071">
        <w:t xml:space="preserve"> recommends that the Commission allow $4,200</w:t>
      </w:r>
      <w:r w:rsidR="005474A7">
        <w:t>—</w:t>
      </w:r>
      <w:r w:rsidR="00733071">
        <w:t>as proposed by APSC</w:t>
      </w:r>
      <w:r w:rsidR="005474A7">
        <w:t>—</w:t>
      </w:r>
      <w:r w:rsidR="00733071">
        <w:t>for computer set-up time.</w:t>
      </w:r>
      <w:r w:rsidR="004E28B0">
        <w:rPr>
          <w:rStyle w:val="FootnoteReference"/>
        </w:rPr>
        <w:footnoteReference w:id="98"/>
      </w:r>
      <w:r w:rsidR="004E28B0">
        <w:t xml:space="preserve">  </w:t>
      </w:r>
      <w:r w:rsidR="003F743F">
        <w:t xml:space="preserve">However, </w:t>
      </w:r>
      <w:r w:rsidR="000637F9">
        <w:t xml:space="preserve">the </w:t>
      </w:r>
      <w:r w:rsidR="00BE12D2">
        <w:t>TA Mediator</w:t>
      </w:r>
      <w:r>
        <w:t xml:space="preserve"> </w:t>
      </w:r>
      <w:r w:rsidR="003F743F">
        <w:t xml:space="preserve">does not believe </w:t>
      </w:r>
      <w:r>
        <w:t>that funding for database development is warranted</w:t>
      </w:r>
      <w:r w:rsidR="003F743F">
        <w:t xml:space="preserve">, </w:t>
      </w:r>
      <w:r w:rsidR="00485F92">
        <w:t>because</w:t>
      </w:r>
      <w:r>
        <w:t xml:space="preserve"> the technicians performing subscriber work can record what they have done on spreadsheets within the time allotted for the general retuning of the radios.</w:t>
      </w:r>
      <w:r w:rsidR="003F743F">
        <w:rPr>
          <w:rStyle w:val="FootnoteReference"/>
        </w:rPr>
        <w:footnoteReference w:id="99"/>
      </w:r>
    </w:p>
    <w:p w:rsidR="00A0377D" w:rsidRDefault="003F743F" w:rsidP="00D9682E">
      <w:pPr>
        <w:pStyle w:val="ParaNum"/>
        <w:widowControl/>
      </w:pPr>
      <w:r w:rsidRPr="00B7209A">
        <w:rPr>
          <w:i/>
        </w:rPr>
        <w:t xml:space="preserve">Licensee Internal Costs. </w:t>
      </w:r>
      <w:r w:rsidRPr="003F743F">
        <w:t xml:space="preserve"> APSC </w:t>
      </w:r>
      <w:r w:rsidR="00A0377D">
        <w:t>proposes 0.5 hours per radio per touch for services by its employees in connection with subscriber reconfiguration. These services consist of “coordination with the reconfiguration vendor and APS</w:t>
      </w:r>
      <w:r w:rsidR="000637F9">
        <w:t>C</w:t>
      </w:r>
      <w:r w:rsidR="00A0377D">
        <w:t xml:space="preserve"> users, issue resolution, template variations, etc.”</w:t>
      </w:r>
      <w:r>
        <w:rPr>
          <w:rStyle w:val="FootnoteReference"/>
        </w:rPr>
        <w:footnoteReference w:id="100"/>
      </w:r>
      <w:r w:rsidR="00A0377D">
        <w:t xml:space="preserve"> </w:t>
      </w:r>
      <w:r w:rsidR="00DF6561">
        <w:t xml:space="preserve"> </w:t>
      </w:r>
      <w:r w:rsidR="00A0377D">
        <w:t xml:space="preserve">This totals 1,515 hours per touch or 3,030 hours </w:t>
      </w:r>
      <w:r w:rsidR="00733071">
        <w:t>in total</w:t>
      </w:r>
      <w:r w:rsidR="00A0377D">
        <w:t>. The cost to Sprint would be $284,000 at a labor rate of $93.75 per hour.</w:t>
      </w:r>
      <w:r w:rsidR="00B7209A">
        <w:t xml:space="preserve">  </w:t>
      </w:r>
      <w:r>
        <w:t>APSC</w:t>
      </w:r>
      <w:r w:rsidR="00A0377D">
        <w:t xml:space="preserve"> also proposes 336.5 hours at a rate of $97 per hour for managing the participation of its employees in the rebanding effort.</w:t>
      </w:r>
      <w:r w:rsidR="00223212">
        <w:rPr>
          <w:rStyle w:val="FootnoteReference"/>
        </w:rPr>
        <w:footnoteReference w:id="101"/>
      </w:r>
    </w:p>
    <w:p w:rsidR="00A0377D" w:rsidRDefault="00A0377D" w:rsidP="00D9682E">
      <w:pPr>
        <w:pStyle w:val="ParaNum"/>
        <w:widowControl/>
      </w:pPr>
      <w:r>
        <w:t xml:space="preserve">Sprint </w:t>
      </w:r>
      <w:r w:rsidR="002E5C63">
        <w:t xml:space="preserve">proposes </w:t>
      </w:r>
      <w:r w:rsidR="003F743F">
        <w:t>to allocate APSC employees only 152 hours</w:t>
      </w:r>
      <w:r>
        <w:t xml:space="preserve"> </w:t>
      </w:r>
      <w:r w:rsidR="003F743F">
        <w:t xml:space="preserve">(one hour per day for </w:t>
      </w:r>
      <w:r>
        <w:t xml:space="preserve">152 days) </w:t>
      </w:r>
      <w:r w:rsidR="003F743F">
        <w:t xml:space="preserve">for </w:t>
      </w:r>
      <w:r>
        <w:t xml:space="preserve">day-to-day reconfiguration tasks. </w:t>
      </w:r>
      <w:r w:rsidR="00DF6561">
        <w:t xml:space="preserve"> </w:t>
      </w:r>
      <w:r>
        <w:t>Sprint argues that</w:t>
      </w:r>
      <w:r w:rsidR="00E461F6">
        <w:t xml:space="preserve"> although</w:t>
      </w:r>
      <w:r>
        <w:t xml:space="preserve"> allocating 30 minutes for securing a location for rebanding and possible follow-on resulting from schedule changes might be warranted, but 30 minutes per radio</w:t>
      </w:r>
      <w:r w:rsidR="00E461F6">
        <w:t xml:space="preserve"> is not</w:t>
      </w:r>
      <w:r w:rsidR="003F743F">
        <w:t>.</w:t>
      </w:r>
      <w:r w:rsidR="00223212">
        <w:rPr>
          <w:rStyle w:val="FootnoteReference"/>
        </w:rPr>
        <w:footnoteReference w:id="102"/>
      </w:r>
      <w:r w:rsidR="003F743F">
        <w:t xml:space="preserve">  </w:t>
      </w:r>
      <w:r>
        <w:t xml:space="preserve"> </w:t>
      </w:r>
    </w:p>
    <w:p w:rsidR="00A0377D" w:rsidRDefault="00A0377D" w:rsidP="00D9682E">
      <w:pPr>
        <w:pStyle w:val="ParaNum"/>
        <w:widowControl/>
      </w:pPr>
      <w:r>
        <w:t xml:space="preserve">Sprint </w:t>
      </w:r>
      <w:r w:rsidR="002E5C63">
        <w:t>proposes</w:t>
      </w:r>
      <w:r>
        <w:t xml:space="preserve"> </w:t>
      </w:r>
      <w:r w:rsidR="002E5C63">
        <w:t>to allocate APSC 44 hours (</w:t>
      </w:r>
      <w:r>
        <w:t xml:space="preserve">two hours per week </w:t>
      </w:r>
      <w:r w:rsidR="002E5C63">
        <w:t xml:space="preserve">for 22 weeks) </w:t>
      </w:r>
      <w:r w:rsidR="000637F9">
        <w:t>for APSC’s</w:t>
      </w:r>
      <w:r w:rsidR="002E5C63">
        <w:t xml:space="preserve"> </w:t>
      </w:r>
      <w:r w:rsidR="00D153BA">
        <w:t xml:space="preserve">management of its </w:t>
      </w:r>
      <w:r w:rsidR="002E5C63">
        <w:t>employees</w:t>
      </w:r>
      <w:r w:rsidR="00D153BA">
        <w:t>’</w:t>
      </w:r>
      <w:r w:rsidR="002E5C63">
        <w:t xml:space="preserve"> rebanding effort</w:t>
      </w:r>
      <w:r w:rsidR="00DA1F18">
        <w:t xml:space="preserve">s </w:t>
      </w:r>
      <w:r w:rsidR="002E5C63">
        <w:t>claiming</w:t>
      </w:r>
      <w:r>
        <w:t xml:space="preserve"> that this rate is more representative of the costs Sprint encounters when a licensee relies on a vendor to do retuning work.</w:t>
      </w:r>
      <w:r w:rsidR="00223212">
        <w:rPr>
          <w:rStyle w:val="FootnoteReference"/>
        </w:rPr>
        <w:footnoteReference w:id="103"/>
      </w:r>
    </w:p>
    <w:p w:rsidR="00A0377D" w:rsidRDefault="00223212" w:rsidP="00D9682E">
      <w:pPr>
        <w:pStyle w:val="ParaNum"/>
        <w:widowControl/>
      </w:pPr>
      <w:r>
        <w:t>The</w:t>
      </w:r>
      <w:r w:rsidR="00A0377D">
        <w:t xml:space="preserve"> </w:t>
      </w:r>
      <w:r w:rsidR="00BE12D2">
        <w:t>TA Mediator</w:t>
      </w:r>
      <w:r w:rsidR="00A0377D">
        <w:t xml:space="preserve"> </w:t>
      </w:r>
      <w:r w:rsidR="00E461F6">
        <w:t xml:space="preserve">agrees with Sprint that making radios available for retuning should not be priced on a per radio basis, but rather on a per day basis and </w:t>
      </w:r>
      <w:r w:rsidR="00A0377D">
        <w:t xml:space="preserve">recommends that the Commission find that </w:t>
      </w:r>
      <w:r w:rsidR="00B7209A">
        <w:t xml:space="preserve">APSC has not adequately justified </w:t>
      </w:r>
      <w:r>
        <w:t xml:space="preserve">its </w:t>
      </w:r>
      <w:r w:rsidR="00A0377D">
        <w:t xml:space="preserve">internal time under the </w:t>
      </w:r>
      <w:r w:rsidR="004C1F40">
        <w:t>Minimum Necessary Cost</w:t>
      </w:r>
      <w:r w:rsidR="00A0377D">
        <w:t xml:space="preserve"> Standard</w:t>
      </w:r>
      <w:r>
        <w:t>.</w:t>
      </w:r>
      <w:r>
        <w:rPr>
          <w:rStyle w:val="FootnoteReference"/>
        </w:rPr>
        <w:footnoteReference w:id="104"/>
      </w:r>
      <w:r>
        <w:t xml:space="preserve">  However, the </w:t>
      </w:r>
      <w:r w:rsidR="00BE12D2">
        <w:t>TA Mediator</w:t>
      </w:r>
      <w:r>
        <w:t xml:space="preserve"> does not believe a single hour per day is sufficient</w:t>
      </w:r>
      <w:r w:rsidR="00A0377D">
        <w:t>, given that there will be two separate programming teams working simultaneously at two different locations during most of the subscriber reconfiguration process.</w:t>
      </w:r>
      <w:r>
        <w:rPr>
          <w:rStyle w:val="FootnoteReference"/>
        </w:rPr>
        <w:footnoteReference w:id="105"/>
      </w:r>
      <w:r w:rsidR="00A0377D">
        <w:t xml:space="preserve">  The </w:t>
      </w:r>
      <w:r w:rsidR="00BE12D2">
        <w:t>TA Mediator</w:t>
      </w:r>
      <w:r w:rsidR="00A0377D">
        <w:t xml:space="preserve"> therefore recommends that the Commission find that the one hour per day proposed by Sprint should be doubled for a total of 304 hours at $93.75 per hour ($28,500).</w:t>
      </w:r>
      <w:r>
        <w:rPr>
          <w:rStyle w:val="FootnoteReference"/>
        </w:rPr>
        <w:footnoteReference w:id="106"/>
      </w:r>
    </w:p>
    <w:p w:rsidR="00A0377D" w:rsidRDefault="00A0377D" w:rsidP="00D9682E">
      <w:pPr>
        <w:pStyle w:val="ParaNum"/>
        <w:widowControl/>
      </w:pPr>
      <w:r>
        <w:t xml:space="preserve">The </w:t>
      </w:r>
      <w:r w:rsidR="00BE12D2">
        <w:t>TA Mediator</w:t>
      </w:r>
      <w:r w:rsidR="00B14FFA">
        <w:t xml:space="preserve"> </w:t>
      </w:r>
      <w:r>
        <w:t xml:space="preserve">recommends that the Commission find that Sprint’s proposal of two hours per week (for 22 weeks) </w:t>
      </w:r>
      <w:r w:rsidR="00DA1F18">
        <w:t xml:space="preserve">for APSC’s </w:t>
      </w:r>
      <w:r w:rsidR="00D153BA">
        <w:t xml:space="preserve">management </w:t>
      </w:r>
      <w:r>
        <w:t xml:space="preserve">during rebanding is appropriate. </w:t>
      </w:r>
      <w:r w:rsidR="00B14FFA">
        <w:rPr>
          <w:rStyle w:val="FootnoteReference"/>
        </w:rPr>
        <w:footnoteReference w:id="107"/>
      </w:r>
      <w:r w:rsidR="00B830F1">
        <w:t xml:space="preserve">  The </w:t>
      </w:r>
      <w:r w:rsidR="00BE12D2">
        <w:t>TA Mediator</w:t>
      </w:r>
      <w:r w:rsidR="00B830F1">
        <w:t xml:space="preserve"> </w:t>
      </w:r>
      <w:r w:rsidR="008B4C49">
        <w:t xml:space="preserve">discounts </w:t>
      </w:r>
      <w:r w:rsidR="00B830F1">
        <w:t>APSC</w:t>
      </w:r>
      <w:r w:rsidR="008B4C49">
        <w:t xml:space="preserve">’s proposed </w:t>
      </w:r>
      <w:r w:rsidR="00B14FFA" w:rsidRPr="00B14FFA">
        <w:t>336.5 hours for project management</w:t>
      </w:r>
      <w:r w:rsidR="008B4C49">
        <w:t>.  He finds that the 336.5 hours w</w:t>
      </w:r>
      <w:r w:rsidR="00E64445">
        <w:t>ere</w:t>
      </w:r>
      <w:r w:rsidR="008B4C49">
        <w:t xml:space="preserve"> premised on </w:t>
      </w:r>
      <w:r w:rsidR="00B14FFA" w:rsidRPr="00B14FFA">
        <w:t xml:space="preserve">the substantially higher level of effort for </w:t>
      </w:r>
      <w:r w:rsidR="008B4C49">
        <w:t xml:space="preserve">APSC </w:t>
      </w:r>
      <w:r w:rsidR="00B14FFA" w:rsidRPr="00B14FFA">
        <w:t>internal personnel tha</w:t>
      </w:r>
      <w:r w:rsidR="00E64445">
        <w:t>t</w:t>
      </w:r>
      <w:r w:rsidR="00B14FFA" w:rsidRPr="00B14FFA">
        <w:t xml:space="preserve"> had originally been contemplated. </w:t>
      </w:r>
      <w:r w:rsidR="008B4C49">
        <w:t xml:space="preserve">  </w:t>
      </w:r>
      <w:r w:rsidR="00B830F1">
        <w:t xml:space="preserve">However, </w:t>
      </w:r>
      <w:r w:rsidR="008B4C49">
        <w:t>with Federal assuming a management role</w:t>
      </w:r>
      <w:r w:rsidR="00E64445">
        <w:t>,</w:t>
      </w:r>
      <w:r w:rsidR="008B4C49">
        <w:t xml:space="preserve"> t</w:t>
      </w:r>
      <w:r w:rsidR="00B14FFA" w:rsidRPr="00B14FFA">
        <w:t xml:space="preserve">he </w:t>
      </w:r>
      <w:r w:rsidR="00BE12D2">
        <w:t>TA Mediator</w:t>
      </w:r>
      <w:r w:rsidR="00B14FFA" w:rsidRPr="00B14FFA">
        <w:t xml:space="preserve"> </w:t>
      </w:r>
      <w:r w:rsidR="00B830F1">
        <w:t xml:space="preserve">believes that most of APSC’s </w:t>
      </w:r>
      <w:r>
        <w:t>management role will be focused on interfacing with Federal</w:t>
      </w:r>
      <w:r w:rsidR="00187953">
        <w:t>.</w:t>
      </w:r>
      <w:r w:rsidR="008F396A">
        <w:rPr>
          <w:rStyle w:val="FootnoteReference"/>
        </w:rPr>
        <w:footnoteReference w:id="108"/>
      </w:r>
    </w:p>
    <w:p w:rsidR="008902BE" w:rsidRDefault="00CA58D5" w:rsidP="00D9682E">
      <w:pPr>
        <w:pStyle w:val="ParaNum"/>
        <w:widowControl/>
      </w:pPr>
      <w:r>
        <w:rPr>
          <w:i/>
        </w:rPr>
        <w:t xml:space="preserve">Federal Costs.  </w:t>
      </w:r>
      <w:r w:rsidRPr="00CA58D5">
        <w:t>APSC</w:t>
      </w:r>
      <w:r>
        <w:t xml:space="preserve"> proposes </w:t>
      </w:r>
      <w:r w:rsidRPr="00CA58D5">
        <w:t>$147,000 for nearly 800 hours of Federal’s time and $6,800 in travel expenses</w:t>
      </w:r>
      <w:r>
        <w:t xml:space="preserve"> </w:t>
      </w:r>
      <w:r w:rsidR="002E4376">
        <w:t xml:space="preserve">for </w:t>
      </w:r>
      <w:r w:rsidR="008902BE">
        <w:t xml:space="preserve">Federal </w:t>
      </w:r>
      <w:r>
        <w:t xml:space="preserve">to </w:t>
      </w:r>
      <w:r w:rsidR="008902BE">
        <w:t>perform the following functions:</w:t>
      </w:r>
      <w:r w:rsidR="00A002F3">
        <w:rPr>
          <w:rStyle w:val="FootnoteReference"/>
        </w:rPr>
        <w:footnoteReference w:id="109"/>
      </w:r>
    </w:p>
    <w:p w:rsidR="008902BE" w:rsidRDefault="008902BE" w:rsidP="00D9682E">
      <w:pPr>
        <w:pStyle w:val="ParaNum"/>
        <w:widowControl/>
        <w:numPr>
          <w:ilvl w:val="0"/>
          <w:numId w:val="12"/>
        </w:numPr>
      </w:pPr>
      <w:r>
        <w:t xml:space="preserve">Develop and track the overall schedule to reconfigure the radio system </w:t>
      </w:r>
    </w:p>
    <w:p w:rsidR="008902BE" w:rsidRDefault="008902BE" w:rsidP="00D9682E">
      <w:pPr>
        <w:pStyle w:val="ParaNum"/>
        <w:widowControl/>
        <w:numPr>
          <w:ilvl w:val="0"/>
          <w:numId w:val="12"/>
        </w:numPr>
      </w:pPr>
      <w:r>
        <w:t>Monitor</w:t>
      </w:r>
      <w:r w:rsidR="00E64445">
        <w:t xml:space="preserve"> </w:t>
      </w:r>
      <w:r>
        <w:t>and track reconfiguration activities with appropriate</w:t>
      </w:r>
      <w:r w:rsidR="00E700E7">
        <w:t xml:space="preserve"> </w:t>
      </w:r>
      <w:r>
        <w:t>user groups and agencies</w:t>
      </w:r>
    </w:p>
    <w:p w:rsidR="008902BE" w:rsidRDefault="008902BE" w:rsidP="00D9682E">
      <w:pPr>
        <w:pStyle w:val="ParaNum"/>
        <w:widowControl/>
        <w:numPr>
          <w:ilvl w:val="0"/>
          <w:numId w:val="12"/>
        </w:numPr>
      </w:pPr>
      <w:r>
        <w:t>Provid</w:t>
      </w:r>
      <w:r w:rsidR="00DA1F18">
        <w:t>e</w:t>
      </w:r>
      <w:r>
        <w:t xml:space="preserve"> technical assistance with radio template development to</w:t>
      </w:r>
      <w:r w:rsidR="00E700E7">
        <w:t xml:space="preserve"> </w:t>
      </w:r>
      <w:r>
        <w:t>include the initial addition of replacement channels and the</w:t>
      </w:r>
      <w:r w:rsidR="00E700E7">
        <w:t xml:space="preserve"> </w:t>
      </w:r>
      <w:r>
        <w:t>subsequent removal of original channels once the infrastructure has</w:t>
      </w:r>
      <w:r w:rsidR="00E700E7">
        <w:t xml:space="preserve"> </w:t>
      </w:r>
      <w:r>
        <w:t>been updated and reconfigured;</w:t>
      </w:r>
    </w:p>
    <w:p w:rsidR="008902BE" w:rsidRDefault="008902BE" w:rsidP="00D9682E">
      <w:pPr>
        <w:pStyle w:val="ParaNum"/>
        <w:widowControl/>
        <w:numPr>
          <w:ilvl w:val="0"/>
          <w:numId w:val="12"/>
        </w:numPr>
      </w:pPr>
      <w:r>
        <w:t>Develop radio system user orientation materials and</w:t>
      </w:r>
      <w:r w:rsidR="00E700E7">
        <w:t xml:space="preserve"> </w:t>
      </w:r>
      <w:r>
        <w:t>conduct briefings to explain the use of modified talk group</w:t>
      </w:r>
      <w:r w:rsidR="00E700E7">
        <w:t xml:space="preserve"> </w:t>
      </w:r>
      <w:r>
        <w:t>channel plans</w:t>
      </w:r>
    </w:p>
    <w:p w:rsidR="00E700E7" w:rsidRDefault="00E700E7" w:rsidP="00D9682E">
      <w:pPr>
        <w:pStyle w:val="ParaNum"/>
        <w:widowControl/>
        <w:numPr>
          <w:ilvl w:val="0"/>
          <w:numId w:val="12"/>
        </w:numPr>
      </w:pPr>
      <w:r>
        <w:t>Oversee and audit Harris performance acceptance tests on behalf of Licensee</w:t>
      </w:r>
    </w:p>
    <w:p w:rsidR="0006304A" w:rsidRDefault="00E700E7" w:rsidP="00D9682E">
      <w:pPr>
        <w:pStyle w:val="ParaNum"/>
        <w:widowControl/>
        <w:numPr>
          <w:ilvl w:val="0"/>
          <w:numId w:val="12"/>
        </w:numPr>
      </w:pPr>
      <w:r>
        <w:t>Monitor and coordinat</w:t>
      </w:r>
      <w:r w:rsidR="0006304A">
        <w:t>e</w:t>
      </w:r>
      <w:r>
        <w:t xml:space="preserve"> progress of reconfiguration activities, including with outside agencies to facilitate proper completion of all activities during the process.</w:t>
      </w:r>
      <w:r w:rsidR="00A002F3">
        <w:t xml:space="preserve"> </w:t>
      </w:r>
    </w:p>
    <w:p w:rsidR="00E700E7" w:rsidRDefault="00E700E7" w:rsidP="00D9682E">
      <w:pPr>
        <w:pStyle w:val="ParaNum"/>
        <w:widowControl/>
      </w:pPr>
      <w:r>
        <w:t xml:space="preserve">Sprint argues that </w:t>
      </w:r>
      <w:r w:rsidR="00A002F3">
        <w:t>APSC</w:t>
      </w:r>
      <w:r>
        <w:t xml:space="preserve"> has not shown that Federal</w:t>
      </w:r>
      <w:r w:rsidR="0006304A">
        <w:t>’</w:t>
      </w:r>
      <w:r w:rsidR="00A002F3">
        <w:t xml:space="preserve">s tasks </w:t>
      </w:r>
      <w:r>
        <w:t xml:space="preserve">will </w:t>
      </w:r>
      <w:r w:rsidR="00A002F3">
        <w:t xml:space="preserve">not duplicate efforts already covered by time allotted to APSC and therefore </w:t>
      </w:r>
      <w:r w:rsidR="002E4376">
        <w:t>proposes no payment to Federal</w:t>
      </w:r>
      <w:r>
        <w:t>.</w:t>
      </w:r>
      <w:r w:rsidR="00A002F3">
        <w:rPr>
          <w:rStyle w:val="FootnoteReference"/>
        </w:rPr>
        <w:footnoteReference w:id="110"/>
      </w:r>
    </w:p>
    <w:p w:rsidR="00E700E7" w:rsidRDefault="002B7E32" w:rsidP="00D9682E">
      <w:pPr>
        <w:pStyle w:val="ParaNum"/>
        <w:widowControl/>
      </w:pPr>
      <w:r>
        <w:t xml:space="preserve">The </w:t>
      </w:r>
      <w:r w:rsidR="00BE12D2">
        <w:t>TA Mediator</w:t>
      </w:r>
      <w:r>
        <w:t xml:space="preserve"> recommends the Commission allow APSC to use Federal to </w:t>
      </w:r>
      <w:r w:rsidR="00E700E7">
        <w:t xml:space="preserve">manage </w:t>
      </w:r>
      <w:r>
        <w:t xml:space="preserve">its </w:t>
      </w:r>
      <w:r w:rsidR="00E700E7">
        <w:t xml:space="preserve">subscriber reconfiguration effort, with support </w:t>
      </w:r>
      <w:r w:rsidR="00E64445">
        <w:t xml:space="preserve">from APSC’s </w:t>
      </w:r>
      <w:r w:rsidR="00E700E7">
        <w:t xml:space="preserve">internal resources. </w:t>
      </w:r>
      <w:r>
        <w:t xml:space="preserve"> APSC estimates </w:t>
      </w:r>
      <w:r w:rsidR="00E700E7">
        <w:t>Federal will require 24 hours for initial preparation of the rebanding effort, four hours per week</w:t>
      </w:r>
      <w:r w:rsidR="0006304A">
        <w:t xml:space="preserve"> during reconfiguration</w:t>
      </w:r>
      <w:r w:rsidR="00E700E7">
        <w:t>, two hours for status meetings every four weeks, and 40 hours for final closeout of the reconfiguration effort.</w:t>
      </w:r>
      <w:r>
        <w:rPr>
          <w:rStyle w:val="FootnoteReference"/>
        </w:rPr>
        <w:footnoteReference w:id="111"/>
      </w:r>
      <w:r w:rsidR="00E700E7">
        <w:t xml:space="preserve"> </w:t>
      </w:r>
      <w:r w:rsidR="0006304A">
        <w:t xml:space="preserve"> </w:t>
      </w:r>
      <w:r w:rsidR="00E700E7">
        <w:t xml:space="preserve">The </w:t>
      </w:r>
      <w:r w:rsidR="00BE12D2">
        <w:t>TA Mediator</w:t>
      </w:r>
      <w:r w:rsidR="00E700E7">
        <w:t xml:space="preserve"> recommends that the Commission conclude that time should be allotted to Federal during the rebanding process to assure that the Licensee’s personnel make radios available</w:t>
      </w:r>
      <w:r w:rsidR="0006304A">
        <w:t>,</w:t>
      </w:r>
      <w:r w:rsidR="00E700E7">
        <w:t xml:space="preserve"> to track which of the radios are in fact rebanded and which remain to be reconfigured, and to deal with problems as they arise</w:t>
      </w:r>
      <w:r w:rsidR="002E4376">
        <w:t xml:space="preserve">.  The </w:t>
      </w:r>
      <w:r w:rsidR="00BE12D2">
        <w:t>TA Mediator</w:t>
      </w:r>
      <w:r w:rsidR="002E4376">
        <w:t xml:space="preserve"> concludes, however</w:t>
      </w:r>
      <w:r w:rsidR="00E700E7">
        <w:t>,</w:t>
      </w:r>
      <w:r w:rsidR="002E4376">
        <w:t xml:space="preserve"> that</w:t>
      </w:r>
      <w:r w:rsidR="00E700E7">
        <w:t xml:space="preserve"> </w:t>
      </w:r>
      <w:r w:rsidR="00D56DB3">
        <w:t>APSC has</w:t>
      </w:r>
      <w:r w:rsidR="002E4376">
        <w:t xml:space="preserve"> </w:t>
      </w:r>
      <w:r w:rsidR="00D56DB3">
        <w:t xml:space="preserve">justified </w:t>
      </w:r>
      <w:r w:rsidR="002E4376">
        <w:t xml:space="preserve">only </w:t>
      </w:r>
      <w:r w:rsidR="005474A7">
        <w:t>$73,362.00 (</w:t>
      </w:r>
      <w:r w:rsidR="00D56DB3">
        <w:t>one</w:t>
      </w:r>
      <w:r w:rsidR="0006304A">
        <w:t>-</w:t>
      </w:r>
      <w:r w:rsidR="00D56DB3">
        <w:t xml:space="preserve"> half of </w:t>
      </w:r>
      <w:r w:rsidR="002E4376">
        <w:t xml:space="preserve">Federal’s </w:t>
      </w:r>
      <w:r w:rsidR="00D56DB3">
        <w:t xml:space="preserve">proposed </w:t>
      </w:r>
      <w:r>
        <w:t>levels of effort</w:t>
      </w:r>
      <w:r w:rsidR="00D56DB3">
        <w:t xml:space="preserve"> (including travel)</w:t>
      </w:r>
      <w:r w:rsidR="005474A7">
        <w:t>)</w:t>
      </w:r>
      <w:r>
        <w:t>.</w:t>
      </w:r>
      <w:r w:rsidR="00D56DB3">
        <w:rPr>
          <w:rStyle w:val="FootnoteReference"/>
        </w:rPr>
        <w:footnoteReference w:id="112"/>
      </w:r>
      <w:r>
        <w:t xml:space="preserve">  </w:t>
      </w:r>
    </w:p>
    <w:p w:rsidR="003F63DF" w:rsidRDefault="00D56DB3" w:rsidP="00D9682E">
      <w:pPr>
        <w:pStyle w:val="ParaNum"/>
        <w:widowControl/>
      </w:pPr>
      <w:r>
        <w:rPr>
          <w:i/>
        </w:rPr>
        <w:t xml:space="preserve">Infrastructure Reconfiguration.  </w:t>
      </w:r>
      <w:r w:rsidR="002E4376">
        <w:t>APSC</w:t>
      </w:r>
      <w:r w:rsidR="00E700E7">
        <w:t xml:space="preserve"> initially proposed $137,426 for infrastructure reconfiguration</w:t>
      </w:r>
      <w:r>
        <w:t xml:space="preserve">, with a level of effort involving two </w:t>
      </w:r>
      <w:r w:rsidR="00E700E7">
        <w:t>Harris technicians</w:t>
      </w:r>
      <w:r w:rsidR="00D37A3E">
        <w:t xml:space="preserve">, </w:t>
      </w:r>
      <w:r w:rsidR="00BC0AA4">
        <w:t>a</w:t>
      </w:r>
      <w:r w:rsidR="00E64445">
        <w:t xml:space="preserve"> </w:t>
      </w:r>
      <w:r w:rsidR="00E700E7">
        <w:t xml:space="preserve">Federal </w:t>
      </w:r>
      <w:r w:rsidR="00D37A3E">
        <w:t>supervisor</w:t>
      </w:r>
      <w:r w:rsidR="002E4376">
        <w:t xml:space="preserve"> and </w:t>
      </w:r>
      <w:r w:rsidR="00D37A3E">
        <w:t>a</w:t>
      </w:r>
      <w:r w:rsidR="00BC0AA4">
        <w:t>n</w:t>
      </w:r>
      <w:r w:rsidR="00D37A3E">
        <w:t xml:space="preserve"> APSC employee</w:t>
      </w:r>
      <w:r w:rsidR="002E4376">
        <w:t xml:space="preserve"> escort</w:t>
      </w:r>
      <w:r w:rsidR="00D37A3E">
        <w:t>.</w:t>
      </w:r>
      <w:r w:rsidR="00D37A3E">
        <w:rPr>
          <w:rStyle w:val="FootnoteReference"/>
        </w:rPr>
        <w:footnoteReference w:id="113"/>
      </w:r>
      <w:r w:rsidR="00D37A3E">
        <w:t xml:space="preserve">  </w:t>
      </w:r>
      <w:r w:rsidR="00966C82">
        <w:t>However, after several iterations in</w:t>
      </w:r>
      <w:r w:rsidR="003F63DF">
        <w:t xml:space="preserve"> effort</w:t>
      </w:r>
      <w:r w:rsidR="00966C82">
        <w:t>s</w:t>
      </w:r>
      <w:r w:rsidR="003F63DF">
        <w:t xml:space="preserve"> to streamline and reduce duplicati</w:t>
      </w:r>
      <w:r w:rsidR="00966C82">
        <w:t>ve efforts</w:t>
      </w:r>
      <w:r w:rsidR="00BC0AA4">
        <w:t>,</w:t>
      </w:r>
      <w:r w:rsidR="00966C82">
        <w:t xml:space="preserve"> APSC </w:t>
      </w:r>
      <w:r w:rsidR="00BC0AA4">
        <w:t xml:space="preserve">reduced </w:t>
      </w:r>
      <w:r w:rsidR="00966C82">
        <w:t xml:space="preserve">the </w:t>
      </w:r>
      <w:r w:rsidR="003F63DF">
        <w:t xml:space="preserve">amount </w:t>
      </w:r>
      <w:r w:rsidR="00966C82">
        <w:t xml:space="preserve">it seeks for this task </w:t>
      </w:r>
      <w:r w:rsidR="003F63DF">
        <w:t>to $58,893.</w:t>
      </w:r>
      <w:r w:rsidR="00966C82">
        <w:rPr>
          <w:rStyle w:val="FootnoteReference"/>
        </w:rPr>
        <w:footnoteReference w:id="114"/>
      </w:r>
    </w:p>
    <w:p w:rsidR="001908E3" w:rsidRDefault="003F63DF" w:rsidP="00D9682E">
      <w:pPr>
        <w:pStyle w:val="ParaNum"/>
        <w:widowControl/>
      </w:pPr>
      <w:r>
        <w:t>Sprint</w:t>
      </w:r>
      <w:r w:rsidR="00BC0AA4">
        <w:t>, however,</w:t>
      </w:r>
      <w:r>
        <w:t xml:space="preserve"> proposes $47,941 for infrastructure reconfiguration work</w:t>
      </w:r>
      <w:r w:rsidR="00966C82">
        <w:t xml:space="preserve">.  </w:t>
      </w:r>
      <w:r>
        <w:t xml:space="preserve">Sprint reduced the </w:t>
      </w:r>
      <w:r w:rsidR="00BC0AA4" w:rsidRPr="00BC0AA4">
        <w:t>$58,893</w:t>
      </w:r>
      <w:r w:rsidR="00240664">
        <w:t xml:space="preserve"> </w:t>
      </w:r>
      <w:r>
        <w:t>proposed by the Licensee by estimating the hours that it believes Motorola would require to</w:t>
      </w:r>
      <w:r w:rsidR="00271164">
        <w:t xml:space="preserve"> </w:t>
      </w:r>
      <w:r>
        <w:t>perform this work based on Sprint’s past experience</w:t>
      </w:r>
      <w:r w:rsidR="00BC0AA4">
        <w:t xml:space="preserve">.  Sprint reduced the Harris quote </w:t>
      </w:r>
      <w:r>
        <w:t xml:space="preserve"> </w:t>
      </w:r>
      <w:r w:rsidR="00966C82">
        <w:t>primarily</w:t>
      </w:r>
      <w:r w:rsidR="00BC0AA4">
        <w:t xml:space="preserve"> by basing its estimate on an 8</w:t>
      </w:r>
      <w:r w:rsidR="001D19FE">
        <w:t>-</w:t>
      </w:r>
      <w:r w:rsidR="00BC0AA4">
        <w:t>hour work day, instead of the 10-hour work day that was the basis of the Harris estimate.</w:t>
      </w:r>
      <w:r w:rsidR="00966C82">
        <w:rPr>
          <w:rStyle w:val="FootnoteReference"/>
        </w:rPr>
        <w:footnoteReference w:id="115"/>
      </w:r>
      <w:r>
        <w:t xml:space="preserve"> </w:t>
      </w:r>
      <w:r w:rsidR="002373AD">
        <w:t xml:space="preserve"> </w:t>
      </w:r>
      <w:r w:rsidR="00966C82">
        <w:t xml:space="preserve">However, </w:t>
      </w:r>
      <w:r w:rsidR="00BC0AA4">
        <w:t xml:space="preserve">when </w:t>
      </w:r>
      <w:r>
        <w:t xml:space="preserve">Sprint </w:t>
      </w:r>
      <w:r w:rsidR="00966C82">
        <w:t>made these adjustments</w:t>
      </w:r>
      <w:r w:rsidR="00BC0AA4">
        <w:t>, it was unaware that APSC had reduced its initial estimate from $137,426 to $58,893.</w:t>
      </w:r>
      <w:r w:rsidR="00966C82">
        <w:rPr>
          <w:rStyle w:val="FootnoteReference"/>
        </w:rPr>
        <w:footnoteReference w:id="116"/>
      </w:r>
      <w:r w:rsidR="00966C82">
        <w:t xml:space="preserve">  </w:t>
      </w:r>
    </w:p>
    <w:p w:rsidR="001908E3" w:rsidRDefault="001908E3" w:rsidP="00D9682E">
      <w:pPr>
        <w:pStyle w:val="ParaNum"/>
        <w:widowControl/>
      </w:pPr>
      <w:r>
        <w:t xml:space="preserve">The TA </w:t>
      </w:r>
      <w:r w:rsidR="004B7883">
        <w:t>M</w:t>
      </w:r>
      <w:r w:rsidR="00BE12D2">
        <w:t>ediator</w:t>
      </w:r>
      <w:r>
        <w:t xml:space="preserve"> recommends that the Commission find that </w:t>
      </w:r>
      <w:r w:rsidR="007E7E48">
        <w:t>APSC</w:t>
      </w:r>
      <w:r>
        <w:t xml:space="preserve">’s </w:t>
      </w:r>
      <w:r w:rsidR="0097532D" w:rsidRPr="0097532D">
        <w:t>$58,893</w:t>
      </w:r>
      <w:r w:rsidR="0097532D">
        <w:t xml:space="preserve"> </w:t>
      </w:r>
      <w:r>
        <w:t>proposal modified during the mediation process</w:t>
      </w:r>
      <w:r w:rsidR="00BC0AA4">
        <w:t>,</w:t>
      </w:r>
      <w:r>
        <w:t xml:space="preserve"> and </w:t>
      </w:r>
      <w:r w:rsidR="00BC0AA4">
        <w:t xml:space="preserve">as contained </w:t>
      </w:r>
      <w:r>
        <w:t xml:space="preserve">in </w:t>
      </w:r>
      <w:r w:rsidR="00BC0AA4">
        <w:t>APSC’s</w:t>
      </w:r>
      <w:r>
        <w:t xml:space="preserve"> Reply PRM</w:t>
      </w:r>
      <w:r w:rsidR="00BC0AA4">
        <w:t>,</w:t>
      </w:r>
      <w:r>
        <w:t xml:space="preserve"> is reasonable and satisfies the </w:t>
      </w:r>
      <w:r w:rsidR="004C1F40">
        <w:t>Minimum Necessary Cost</w:t>
      </w:r>
      <w:r>
        <w:t xml:space="preserve"> Standard. </w:t>
      </w:r>
      <w:r w:rsidR="007E7E48">
        <w:t xml:space="preserve"> </w:t>
      </w:r>
      <w:r>
        <w:t xml:space="preserve">The </w:t>
      </w:r>
      <w:r w:rsidR="00BE12D2">
        <w:t>TA Mediator</w:t>
      </w:r>
      <w:r w:rsidR="007E7E48">
        <w:t xml:space="preserve"> notes that APSC’s proposed </w:t>
      </w:r>
      <w:r>
        <w:t>revision</w:t>
      </w:r>
      <w:r w:rsidR="007E7E48">
        <w:t xml:space="preserve">s </w:t>
      </w:r>
      <w:r>
        <w:t xml:space="preserve">come very close to </w:t>
      </w:r>
      <w:r w:rsidR="007E7E48">
        <w:t xml:space="preserve">the amount </w:t>
      </w:r>
      <w:r w:rsidR="006E1BE5">
        <w:t>proposed by</w:t>
      </w:r>
      <w:r w:rsidR="007E7E48">
        <w:t xml:space="preserve"> Sprint. </w:t>
      </w:r>
      <w:r w:rsidR="0014734D">
        <w:rPr>
          <w:rStyle w:val="FootnoteReference"/>
        </w:rPr>
        <w:footnoteReference w:id="117"/>
      </w:r>
      <w:r w:rsidR="007E7E48">
        <w:t xml:space="preserve"> </w:t>
      </w:r>
      <w:r w:rsidR="006E1BE5">
        <w:t xml:space="preserve">APSC’s </w:t>
      </w:r>
      <w:r w:rsidR="007E7E48">
        <w:t xml:space="preserve">additional </w:t>
      </w:r>
      <w:r>
        <w:t xml:space="preserve">proposed revisions include some items such as travel costs which are uncertain and cannot always </w:t>
      </w:r>
      <w:r w:rsidR="006E1BE5">
        <w:t xml:space="preserve">be </w:t>
      </w:r>
      <w:r>
        <w:t>reliably estimated</w:t>
      </w:r>
      <w:r w:rsidR="007E7E48">
        <w:t>.</w:t>
      </w:r>
      <w:r>
        <w:t xml:space="preserve"> </w:t>
      </w:r>
      <w:r w:rsidR="007E7E48">
        <w:t xml:space="preserve"> </w:t>
      </w:r>
      <w:r>
        <w:t xml:space="preserve">Since these will be billed at actual time and expense, the TA </w:t>
      </w:r>
      <w:r w:rsidR="00BE12D2">
        <w:t>Mediator</w:t>
      </w:r>
      <w:r>
        <w:t xml:space="preserve"> sees no reason for a further reduction of Harris’s expenses.</w:t>
      </w:r>
      <w:r w:rsidR="0014734D">
        <w:rPr>
          <w:rStyle w:val="FootnoteReference"/>
        </w:rPr>
        <w:footnoteReference w:id="118"/>
      </w:r>
    </w:p>
    <w:p w:rsidR="001908E3" w:rsidRDefault="0014734D" w:rsidP="00D9682E">
      <w:pPr>
        <w:pStyle w:val="ParaNum"/>
        <w:widowControl/>
      </w:pPr>
      <w:r>
        <w:rPr>
          <w:i/>
        </w:rPr>
        <w:t xml:space="preserve">Engineering and Testing.  </w:t>
      </w:r>
      <w:r w:rsidRPr="0014734D">
        <w:t xml:space="preserve">APSC </w:t>
      </w:r>
      <w:r w:rsidR="001908E3">
        <w:t xml:space="preserve">initially proposed $115,972 </w:t>
      </w:r>
      <w:r w:rsidR="006E1BE5">
        <w:t xml:space="preserve">for </w:t>
      </w:r>
      <w:r w:rsidR="001908E3">
        <w:t xml:space="preserve">Method 2 </w:t>
      </w:r>
      <w:r w:rsidR="006E1BE5">
        <w:t xml:space="preserve">before-and-after coverage </w:t>
      </w:r>
      <w:r w:rsidR="001908E3">
        <w:t xml:space="preserve">testing at the eight infrastructure sites to be rebanded and to compile and review the results of that testing. </w:t>
      </w:r>
      <w:r w:rsidR="0097532D">
        <w:t xml:space="preserve"> </w:t>
      </w:r>
      <w:r w:rsidR="001908E3">
        <w:t>Sprint propose</w:t>
      </w:r>
      <w:r w:rsidR="00E84D72">
        <w:t>d</w:t>
      </w:r>
      <w:r w:rsidR="001908E3">
        <w:t xml:space="preserve"> </w:t>
      </w:r>
      <w:r w:rsidR="00E84D72">
        <w:t xml:space="preserve">reducing </w:t>
      </w:r>
      <w:r w:rsidR="001908E3">
        <w:t>this amount to $10,153, arguing that Method 2 testing is not called for in this case since no antennas are being changed.</w:t>
      </w:r>
      <w:r w:rsidR="0097532D">
        <w:rPr>
          <w:rStyle w:val="FootnoteReference"/>
        </w:rPr>
        <w:footnoteReference w:id="119"/>
      </w:r>
      <w:r w:rsidR="001908E3">
        <w:t xml:space="preserve"> </w:t>
      </w:r>
      <w:r w:rsidR="006E1BE5">
        <w:t xml:space="preserve"> </w:t>
      </w:r>
      <w:r w:rsidR="001908E3">
        <w:t xml:space="preserve">Following the submission of Sprint’s PRM, </w:t>
      </w:r>
      <w:r w:rsidR="00E84D72">
        <w:t xml:space="preserve">APSC </w:t>
      </w:r>
      <w:r w:rsidR="001908E3">
        <w:t xml:space="preserve">conceded that Method 1 testing is appropriate and reduced its proposed cost by $88,727, the </w:t>
      </w:r>
      <w:r w:rsidR="006E1BE5">
        <w:t xml:space="preserve">same </w:t>
      </w:r>
      <w:r w:rsidR="001908E3">
        <w:t xml:space="preserve">adjustment Sprint proposed </w:t>
      </w:r>
      <w:r w:rsidR="006E1BE5">
        <w:t xml:space="preserve">to the </w:t>
      </w:r>
      <w:r w:rsidR="001908E3">
        <w:t>Harris time.</w:t>
      </w:r>
      <w:r w:rsidR="008F396A">
        <w:t xml:space="preserve"> </w:t>
      </w:r>
      <w:r w:rsidR="001908E3">
        <w:t xml:space="preserve"> </w:t>
      </w:r>
      <w:r w:rsidR="00E84D72">
        <w:t>However, APSC did not</w:t>
      </w:r>
      <w:r w:rsidR="001908E3">
        <w:t xml:space="preserve"> propose to reduce the </w:t>
      </w:r>
      <w:r w:rsidR="006E1BE5">
        <w:t xml:space="preserve">amount  </w:t>
      </w:r>
      <w:r w:rsidR="001908E3">
        <w:t xml:space="preserve">requested for </w:t>
      </w:r>
      <w:r w:rsidR="0097532D">
        <w:t xml:space="preserve">the </w:t>
      </w:r>
      <w:r w:rsidR="001908E3">
        <w:t>Licensee</w:t>
      </w:r>
      <w:r w:rsidR="006E1BE5">
        <w:t>’s</w:t>
      </w:r>
      <w:r w:rsidR="001908E3">
        <w:t xml:space="preserve"> </w:t>
      </w:r>
      <w:r w:rsidR="006E1BE5">
        <w:t xml:space="preserve">internal costs, and for Federal.  </w:t>
      </w:r>
      <w:r w:rsidR="00E84D72">
        <w:t xml:space="preserve">APSC claims </w:t>
      </w:r>
      <w:r w:rsidR="006E1BE5">
        <w:t xml:space="preserve">that Federal’s services are </w:t>
      </w:r>
      <w:r w:rsidR="00E84D72">
        <w:t xml:space="preserve">needed </w:t>
      </w:r>
      <w:r w:rsidR="006E1BE5">
        <w:t xml:space="preserve">for </w:t>
      </w:r>
      <w:r w:rsidR="001908E3">
        <w:t xml:space="preserve">review </w:t>
      </w:r>
      <w:r w:rsidR="00BB0FC7">
        <w:t xml:space="preserve">of </w:t>
      </w:r>
      <w:r w:rsidR="001908E3">
        <w:t xml:space="preserve">the testing documentation, </w:t>
      </w:r>
      <w:r w:rsidR="00BB0FC7">
        <w:t xml:space="preserve">and </w:t>
      </w:r>
      <w:r w:rsidR="001908E3">
        <w:t>compil</w:t>
      </w:r>
      <w:r w:rsidR="00BB0FC7">
        <w:t>ation</w:t>
      </w:r>
      <w:r w:rsidR="001908E3">
        <w:t xml:space="preserve"> and analy</w:t>
      </w:r>
      <w:r w:rsidR="00BB0FC7">
        <w:t>sis of</w:t>
      </w:r>
      <w:r w:rsidR="001908E3">
        <w:t xml:space="preserve"> the data, </w:t>
      </w:r>
      <w:r w:rsidR="00BB0FC7">
        <w:t xml:space="preserve">so that APSC’s internal staff can confirm that coverage </w:t>
      </w:r>
      <w:r w:rsidR="001908E3">
        <w:t>comparability has been achieved.</w:t>
      </w:r>
      <w:r w:rsidR="008F396A">
        <w:rPr>
          <w:rStyle w:val="FootnoteReference"/>
        </w:rPr>
        <w:footnoteReference w:id="120"/>
      </w:r>
      <w:r w:rsidR="001908E3">
        <w:t xml:space="preserve"> </w:t>
      </w:r>
    </w:p>
    <w:p w:rsidR="001908E3" w:rsidRDefault="001908E3" w:rsidP="00D9682E">
      <w:pPr>
        <w:pStyle w:val="ParaNum"/>
        <w:widowControl/>
      </w:pPr>
      <w:r>
        <w:t>Sprint has proposed 24.8 hours for Licensee</w:t>
      </w:r>
      <w:r w:rsidR="00BB0FC7">
        <w:t xml:space="preserve"> time</w:t>
      </w:r>
      <w:r>
        <w:t>, and none for Federal</w:t>
      </w:r>
      <w:r w:rsidR="00BB0FC7">
        <w:t>.  Sprint argues that, given the change to Method 1 testing, Federal’s services are unnecessary and that 24.8 hours of internal staff time is sufficient for staff to analyze the measurement data and conclude whether comparable coverage has been achieved.</w:t>
      </w:r>
      <w:r w:rsidR="007479AC">
        <w:rPr>
          <w:rStyle w:val="FootnoteReference"/>
        </w:rPr>
        <w:footnoteReference w:id="121"/>
      </w:r>
    </w:p>
    <w:p w:rsidR="003230FF" w:rsidRDefault="001908E3" w:rsidP="00D9682E">
      <w:pPr>
        <w:pStyle w:val="ParaNum"/>
        <w:widowControl/>
      </w:pPr>
      <w:r>
        <w:t>T</w:t>
      </w:r>
      <w:r w:rsidR="007479AC">
        <w:t xml:space="preserve">he </w:t>
      </w:r>
      <w:r w:rsidR="00BE12D2">
        <w:t>TA Mediator</w:t>
      </w:r>
      <w:r>
        <w:t xml:space="preserve"> recommends substantially </w:t>
      </w:r>
      <w:r w:rsidR="007479AC">
        <w:t xml:space="preserve">reducing </w:t>
      </w:r>
      <w:r>
        <w:t xml:space="preserve">the </w:t>
      </w:r>
      <w:r w:rsidR="007479AC">
        <w:t xml:space="preserve">proposed level of </w:t>
      </w:r>
      <w:r w:rsidR="00BB0FC7">
        <w:t xml:space="preserve">testing </w:t>
      </w:r>
      <w:r w:rsidR="007479AC">
        <w:t xml:space="preserve">effort because </w:t>
      </w:r>
      <w:r>
        <w:t xml:space="preserve">Method 1 testing </w:t>
      </w:r>
      <w:r w:rsidR="007479AC">
        <w:t xml:space="preserve">is </w:t>
      </w:r>
      <w:r w:rsidR="00BB0FC7">
        <w:t xml:space="preserve">significantly </w:t>
      </w:r>
      <w:r w:rsidR="007479AC">
        <w:t xml:space="preserve">less complicated than </w:t>
      </w:r>
      <w:r>
        <w:t>Method 2 testing</w:t>
      </w:r>
      <w:r w:rsidR="007479AC">
        <w:t>, and</w:t>
      </w:r>
      <w:r w:rsidR="00E461F6">
        <w:t xml:space="preserve"> it</w:t>
      </w:r>
      <w:r w:rsidR="007479AC">
        <w:t xml:space="preserve"> will produce </w:t>
      </w:r>
      <w:r>
        <w:t xml:space="preserve">less data </w:t>
      </w:r>
      <w:r w:rsidR="007479AC">
        <w:t>for Federal to compile and for APSC to review.</w:t>
      </w:r>
      <w:r w:rsidR="007479AC">
        <w:rPr>
          <w:rStyle w:val="FootnoteReference"/>
        </w:rPr>
        <w:footnoteReference w:id="122"/>
      </w:r>
      <w:r w:rsidR="007479AC">
        <w:t xml:space="preserve">  </w:t>
      </w:r>
      <w:r w:rsidR="003230FF">
        <w:t xml:space="preserve">The TA </w:t>
      </w:r>
      <w:r w:rsidR="00BE12D2">
        <w:t>Mediator</w:t>
      </w:r>
      <w:r w:rsidR="003230FF">
        <w:t xml:space="preserve"> recommends that the Commission allocate 20.8 hours to Federal for the work described above ($3,640 at $175 per hour), and four hours to </w:t>
      </w:r>
      <w:r w:rsidR="009F6E87">
        <w:t xml:space="preserve">the </w:t>
      </w:r>
      <w:r w:rsidR="003230FF">
        <w:t>Licensee ($320 at $80 per hour)</w:t>
      </w:r>
      <w:r w:rsidR="009F6E87">
        <w:t>, for a total of $3,960</w:t>
      </w:r>
      <w:r w:rsidR="003230FF">
        <w:t>.</w:t>
      </w:r>
      <w:r w:rsidR="007479AC">
        <w:rPr>
          <w:rStyle w:val="FootnoteReference"/>
        </w:rPr>
        <w:footnoteReference w:id="123"/>
      </w:r>
    </w:p>
    <w:p w:rsidR="003230FF" w:rsidRDefault="00CF62EB" w:rsidP="00D9682E">
      <w:pPr>
        <w:pStyle w:val="ParaNum"/>
        <w:widowControl/>
      </w:pPr>
      <w:r>
        <w:rPr>
          <w:i/>
        </w:rPr>
        <w:t xml:space="preserve">Other Services.  </w:t>
      </w:r>
      <w:r w:rsidR="007479AC">
        <w:t xml:space="preserve">The parties dispute </w:t>
      </w:r>
      <w:r w:rsidR="003230FF">
        <w:t xml:space="preserve">16 hours of costs ($2,800) </w:t>
      </w:r>
      <w:r w:rsidR="00E461F6">
        <w:t xml:space="preserve">when </w:t>
      </w:r>
      <w:r>
        <w:t xml:space="preserve">Federal </w:t>
      </w:r>
      <w:r w:rsidR="00E461F6">
        <w:t xml:space="preserve">negotiated </w:t>
      </w:r>
      <w:r>
        <w:t xml:space="preserve">its contract with APSC, </w:t>
      </w:r>
      <w:r w:rsidR="00E461F6">
        <w:t xml:space="preserve">and </w:t>
      </w:r>
      <w:r>
        <w:t xml:space="preserve">the work of Federal’s </w:t>
      </w:r>
      <w:r w:rsidR="003230FF">
        <w:t xml:space="preserve">Project Manager </w:t>
      </w:r>
      <w:r w:rsidR="00E461F6">
        <w:t xml:space="preserve">when he </w:t>
      </w:r>
      <w:r w:rsidR="00A65D93">
        <w:t xml:space="preserve">(a) </w:t>
      </w:r>
      <w:r w:rsidR="00E461F6">
        <w:t xml:space="preserve">finalized </w:t>
      </w:r>
      <w:r w:rsidR="003230FF">
        <w:t xml:space="preserve">the SOW and the standalone consulting agreements with </w:t>
      </w:r>
      <w:r w:rsidR="007479AC">
        <w:t>APSC</w:t>
      </w:r>
      <w:r w:rsidR="003230FF">
        <w:t xml:space="preserve">, </w:t>
      </w:r>
      <w:r w:rsidR="00A65D93">
        <w:t xml:space="preserve">(b) </w:t>
      </w:r>
      <w:r w:rsidR="00E461F6">
        <w:t xml:space="preserve">reviewed </w:t>
      </w:r>
      <w:r w:rsidR="003230FF">
        <w:t xml:space="preserve">the final Harris SOW and consulting agreement, and </w:t>
      </w:r>
      <w:r w:rsidR="00A65D93">
        <w:t xml:space="preserve">(c) </w:t>
      </w:r>
      <w:r w:rsidR="00E461F6">
        <w:t xml:space="preserve">reviewed </w:t>
      </w:r>
      <w:r w:rsidR="000E75FD">
        <w:t>the final FRA documents.</w:t>
      </w:r>
      <w:r w:rsidR="000E75FD">
        <w:rPr>
          <w:rStyle w:val="FootnoteReference"/>
        </w:rPr>
        <w:footnoteReference w:id="124"/>
      </w:r>
      <w:r w:rsidR="00082C40">
        <w:t xml:space="preserve">  </w:t>
      </w:r>
      <w:r w:rsidR="003230FF">
        <w:t xml:space="preserve">Sprint </w:t>
      </w:r>
      <w:r>
        <w:t xml:space="preserve">rejects the request, </w:t>
      </w:r>
      <w:r w:rsidR="003230FF">
        <w:t>arguing that Sprint has not reimbursed vendors or contractors in the past for negotiating licensee-vendor contracts</w:t>
      </w:r>
      <w:r>
        <w:t xml:space="preserve"> and that the claimed costs are transactional costs normally absorbed by the vendor</w:t>
      </w:r>
      <w:r w:rsidR="000E75FD">
        <w:t>.</w:t>
      </w:r>
      <w:r w:rsidR="00082C40">
        <w:rPr>
          <w:rStyle w:val="FootnoteReference"/>
        </w:rPr>
        <w:footnoteReference w:id="125"/>
      </w:r>
    </w:p>
    <w:p w:rsidR="003230FF" w:rsidRDefault="00082C40" w:rsidP="00D9682E">
      <w:pPr>
        <w:pStyle w:val="ParaNum"/>
        <w:widowControl/>
      </w:pPr>
      <w:r>
        <w:t xml:space="preserve">The </w:t>
      </w:r>
      <w:r w:rsidR="00BE12D2">
        <w:t>TA Mediator</w:t>
      </w:r>
      <w:r>
        <w:t xml:space="preserve"> agrees with </w:t>
      </w:r>
      <w:r w:rsidR="003230FF">
        <w:t xml:space="preserve">Sprint that </w:t>
      </w:r>
      <w:r>
        <w:t xml:space="preserve">Sprint </w:t>
      </w:r>
      <w:r w:rsidR="003230FF">
        <w:t>should not be required to pay for expenses in connection with the negotiation of Licensee-vendor contracts.</w:t>
      </w:r>
      <w:r w:rsidR="00A65D93">
        <w:t xml:space="preserve"> </w:t>
      </w:r>
      <w:r w:rsidR="003230FF">
        <w:t xml:space="preserve"> </w:t>
      </w:r>
      <w:r>
        <w:t xml:space="preserve">Moreover, the mediator </w:t>
      </w:r>
      <w:r w:rsidR="003230FF">
        <w:t xml:space="preserve">also concludes that </w:t>
      </w:r>
      <w:r w:rsidR="00F52FA2">
        <w:t xml:space="preserve">Federal’s </w:t>
      </w:r>
      <w:r w:rsidR="003230FF">
        <w:t>other work</w:t>
      </w:r>
      <w:r w:rsidR="00F52FA2">
        <w:t xml:space="preserve">, </w:t>
      </w:r>
      <w:r w:rsidR="00F52FA2" w:rsidRPr="00D9682E">
        <w:rPr>
          <w:i/>
        </w:rPr>
        <w:t>supra,</w:t>
      </w:r>
      <w:r w:rsidR="00F52FA2">
        <w:t xml:space="preserve"> duplicates that </w:t>
      </w:r>
      <w:r w:rsidR="003230FF">
        <w:t xml:space="preserve">undertaken by </w:t>
      </w:r>
      <w:r w:rsidR="00BF77AD">
        <w:t xml:space="preserve">APSC’s </w:t>
      </w:r>
      <w:r w:rsidR="003230FF">
        <w:t>counsel. The TA</w:t>
      </w:r>
      <w:r w:rsidR="00BE12D2">
        <w:t xml:space="preserve"> Mediator</w:t>
      </w:r>
      <w:r w:rsidR="003230FF">
        <w:t xml:space="preserve"> therefore recommends that the Commission find that Federal’s costs do not satisfy the Minimum </w:t>
      </w:r>
      <w:r w:rsidR="00F52FA2">
        <w:t xml:space="preserve">Reasonable </w:t>
      </w:r>
      <w:r w:rsidR="003230FF">
        <w:t>Cost Standard.</w:t>
      </w:r>
      <w:r w:rsidR="00BF77AD">
        <w:rPr>
          <w:rStyle w:val="FootnoteReference"/>
        </w:rPr>
        <w:footnoteReference w:id="126"/>
      </w:r>
    </w:p>
    <w:p w:rsidR="00240664" w:rsidRDefault="00240664" w:rsidP="00D9682E">
      <w:pPr>
        <w:pStyle w:val="ParaNum"/>
        <w:widowControl/>
      </w:pPr>
      <w:r w:rsidRPr="00240664">
        <w:rPr>
          <w:i/>
        </w:rPr>
        <w:t xml:space="preserve">Combiner Issues.  </w:t>
      </w:r>
      <w:r w:rsidRPr="00813696">
        <w:t xml:space="preserve">Sprint has </w:t>
      </w:r>
      <w:r w:rsidR="00933AB2">
        <w:t xml:space="preserve">offered to </w:t>
      </w:r>
      <w:r w:rsidRPr="00813696">
        <w:t xml:space="preserve">replace three of the four combiners </w:t>
      </w:r>
      <w:r w:rsidR="00933AB2">
        <w:t>that APSC wanted replaced.</w:t>
      </w:r>
      <w:r w:rsidR="00595CCC">
        <w:rPr>
          <w:rStyle w:val="FootnoteReference"/>
        </w:rPr>
        <w:footnoteReference w:id="127"/>
      </w:r>
      <w:r w:rsidR="00933AB2">
        <w:t xml:space="preserve">  APSC </w:t>
      </w:r>
      <w:r w:rsidR="00F52FA2">
        <w:t xml:space="preserve">accepts the Sprint combiners </w:t>
      </w:r>
      <w:r>
        <w:t xml:space="preserve">so long as </w:t>
      </w:r>
      <w:r w:rsidR="00F52FA2">
        <w:t xml:space="preserve">their </w:t>
      </w:r>
      <w:r>
        <w:t>insertion loss</w:t>
      </w:r>
      <w:r w:rsidR="00F52FA2">
        <w:t xml:space="preserve"> is</w:t>
      </w:r>
      <w:r>
        <w:t xml:space="preserve"> not 1.5 dB or greater.</w:t>
      </w:r>
      <w:r w:rsidR="00595CCC">
        <w:rPr>
          <w:rStyle w:val="FootnoteReference"/>
        </w:rPr>
        <w:footnoteReference w:id="128"/>
      </w:r>
      <w:r>
        <w:t xml:space="preserve"> The TA </w:t>
      </w:r>
      <w:r w:rsidR="00BE12D2">
        <w:t>Mediator</w:t>
      </w:r>
      <w:r>
        <w:t xml:space="preserve"> recommends that the Commission accept Sprint’s proposal with the </w:t>
      </w:r>
      <w:r w:rsidR="00933AB2">
        <w:t>condition that if APSC can demonstrate that a</w:t>
      </w:r>
      <w:r w:rsidR="00F52FA2">
        <w:t xml:space="preserve"> combiner has an insertion loss </w:t>
      </w:r>
      <w:r>
        <w:t>1.5 dB or greater</w:t>
      </w:r>
      <w:r w:rsidR="00F52FA2">
        <w:t xml:space="preserve"> and</w:t>
      </w:r>
      <w:r w:rsidR="005474A7">
        <w:t>—</w:t>
      </w:r>
      <w:r w:rsidR="00F52FA2">
        <w:t>as a result of that insertion loss</w:t>
      </w:r>
      <w:r w:rsidR="005474A7">
        <w:t>—</w:t>
      </w:r>
      <w:r w:rsidR="00F52FA2">
        <w:t xml:space="preserve">APSC does not receive </w:t>
      </w:r>
      <w:r>
        <w:t xml:space="preserve">comparable facilities, </w:t>
      </w:r>
      <w:r w:rsidR="00933AB2">
        <w:t xml:space="preserve">APSC </w:t>
      </w:r>
      <w:r>
        <w:t>may seek redress through a change notice.</w:t>
      </w:r>
      <w:r w:rsidR="00595CCC">
        <w:rPr>
          <w:rStyle w:val="FootnoteReference"/>
        </w:rPr>
        <w:footnoteReference w:id="129"/>
      </w:r>
    </w:p>
    <w:p w:rsidR="00240664" w:rsidRDefault="00240664" w:rsidP="00D9682E">
      <w:pPr>
        <w:pStyle w:val="ParaNum"/>
        <w:widowControl/>
      </w:pPr>
      <w:r w:rsidRPr="00813696">
        <w:rPr>
          <w:i/>
        </w:rPr>
        <w:t>Pre-selector Issues</w:t>
      </w:r>
      <w:r w:rsidRPr="00240664">
        <w:rPr>
          <w:i/>
        </w:rPr>
        <w:t>.</w:t>
      </w:r>
      <w:r>
        <w:t xml:space="preserve">  </w:t>
      </w:r>
      <w:r w:rsidR="00595CCC">
        <w:t xml:space="preserve">APSC proposed replacing </w:t>
      </w:r>
      <w:r>
        <w:t xml:space="preserve">the pre-selector at the Mount Lemmon site, </w:t>
      </w:r>
      <w:r w:rsidR="00595CCC">
        <w:t xml:space="preserve">because </w:t>
      </w:r>
      <w:r w:rsidR="00B345BA">
        <w:t xml:space="preserve">the pre-selector </w:t>
      </w:r>
      <w:r w:rsidR="00595CCC">
        <w:t xml:space="preserve"> will not pass 809.9125 MHz, </w:t>
      </w:r>
      <w:r w:rsidR="00B345BA">
        <w:t xml:space="preserve">a frequency </w:t>
      </w:r>
      <w:r w:rsidR="00595CCC">
        <w:t>authorized for this site.</w:t>
      </w:r>
      <w:r w:rsidR="00093397">
        <w:rPr>
          <w:rStyle w:val="FootnoteReference"/>
        </w:rPr>
        <w:footnoteReference w:id="130"/>
      </w:r>
      <w:r w:rsidR="00595CCC">
        <w:t xml:space="preserve">  Sprint </w:t>
      </w:r>
      <w:r w:rsidR="00B345BA">
        <w:t xml:space="preserve">opposes replacement of the pre-selector, </w:t>
      </w:r>
      <w:r>
        <w:t>arguing that Harris’s own data show that the existing pre-selector will pass the rebanded frequencies</w:t>
      </w:r>
      <w:r w:rsidR="00B345BA">
        <w:t xml:space="preserve">, that frequency </w:t>
      </w:r>
      <w:r w:rsidR="00B345BA" w:rsidRPr="00B345BA">
        <w:t>809.9125 MHz</w:t>
      </w:r>
      <w:r w:rsidR="00B345BA">
        <w:t xml:space="preserve"> is not being changed as part of rebanding and that, in any event, </w:t>
      </w:r>
      <w:r w:rsidR="00093397">
        <w:t>APSC cannot currently use frequency</w:t>
      </w:r>
      <w:r w:rsidR="002373AD">
        <w:t xml:space="preserve"> </w:t>
      </w:r>
      <w:r w:rsidR="002373AD" w:rsidRPr="002373AD">
        <w:t>809.9125 MHz</w:t>
      </w:r>
      <w:r w:rsidR="00093397">
        <w:t>.</w:t>
      </w:r>
      <w:r w:rsidR="00093397">
        <w:rPr>
          <w:rStyle w:val="FootnoteReference"/>
        </w:rPr>
        <w:footnoteReference w:id="131"/>
      </w:r>
    </w:p>
    <w:p w:rsidR="00240664" w:rsidRDefault="00093397" w:rsidP="00D9682E">
      <w:pPr>
        <w:pStyle w:val="ParaNum"/>
        <w:widowControl/>
      </w:pPr>
      <w:r>
        <w:t xml:space="preserve">APSC </w:t>
      </w:r>
      <w:r w:rsidR="00240664">
        <w:t xml:space="preserve">does not dispute Sprint’s comments regarding </w:t>
      </w:r>
      <w:r w:rsidR="00B345BA">
        <w:t xml:space="preserve">frequency </w:t>
      </w:r>
      <w:r w:rsidR="00240664">
        <w:t xml:space="preserve">809.9125 MHz </w:t>
      </w:r>
      <w:r>
        <w:t>but</w:t>
      </w:r>
      <w:r w:rsidR="00240664">
        <w:t xml:space="preserve"> </w:t>
      </w:r>
      <w:r w:rsidR="007D27A5">
        <w:t xml:space="preserve">it </w:t>
      </w:r>
      <w:r w:rsidR="00240664">
        <w:t xml:space="preserve">argues that </w:t>
      </w:r>
      <w:r w:rsidR="007D27A5">
        <w:t>it</w:t>
      </w:r>
      <w:r w:rsidR="00240664">
        <w:t xml:space="preserve"> </w:t>
      </w:r>
      <w:r w:rsidR="00B345BA">
        <w:t xml:space="preserve">would </w:t>
      </w:r>
      <w:r w:rsidR="00240664">
        <w:t xml:space="preserve">leave </w:t>
      </w:r>
      <w:r>
        <w:t xml:space="preserve">APSC </w:t>
      </w:r>
      <w:r w:rsidR="00240664">
        <w:t xml:space="preserve">open to future commercial mobile interference and with a pre-selector different </w:t>
      </w:r>
      <w:r w:rsidR="00A65D93">
        <w:t>than</w:t>
      </w:r>
      <w:r w:rsidR="00240664">
        <w:t xml:space="preserve"> any of its others</w:t>
      </w:r>
      <w:r w:rsidR="007D27A5">
        <w:t xml:space="preserve"> if the pre-selector is not replaced</w:t>
      </w:r>
      <w:r w:rsidR="00240664">
        <w:t>.</w:t>
      </w:r>
      <w:r w:rsidR="00022224">
        <w:rPr>
          <w:rStyle w:val="FootnoteReference"/>
        </w:rPr>
        <w:footnoteReference w:id="132"/>
      </w:r>
    </w:p>
    <w:p w:rsidR="00240664" w:rsidRDefault="00022224" w:rsidP="00D9682E">
      <w:pPr>
        <w:pStyle w:val="ParaNum"/>
        <w:widowControl/>
      </w:pPr>
      <w:r>
        <w:t>The</w:t>
      </w:r>
      <w:r w:rsidR="00240664">
        <w:t xml:space="preserve"> TA </w:t>
      </w:r>
      <w:r w:rsidR="00BE12D2">
        <w:t>Mediator</w:t>
      </w:r>
      <w:r w:rsidR="00240664">
        <w:t xml:space="preserve"> recommends that the Commission find that a replacement for the Mount Lemmon pre-selector is not needed</w:t>
      </w:r>
      <w:r>
        <w:t xml:space="preserve">, since APSC cannot use </w:t>
      </w:r>
      <w:r w:rsidR="00093397">
        <w:t xml:space="preserve">809.9125 MHz </w:t>
      </w:r>
      <w:r>
        <w:t xml:space="preserve">and </w:t>
      </w:r>
      <w:r w:rsidR="00093397">
        <w:t>the existing pre-selector will pass the rebanded frequencies</w:t>
      </w:r>
      <w:r>
        <w:t>.</w:t>
      </w:r>
      <w:r>
        <w:rPr>
          <w:rStyle w:val="FootnoteReference"/>
        </w:rPr>
        <w:footnoteReference w:id="133"/>
      </w:r>
    </w:p>
    <w:p w:rsidR="00240664" w:rsidRDefault="00240664" w:rsidP="00D9682E">
      <w:pPr>
        <w:pStyle w:val="ParaNum"/>
        <w:widowControl/>
      </w:pPr>
      <w:r w:rsidRPr="00813696">
        <w:rPr>
          <w:i/>
        </w:rPr>
        <w:t>Loaner</w:t>
      </w:r>
      <w:r>
        <w:t xml:space="preserve"> </w:t>
      </w:r>
      <w:r w:rsidRPr="00813696">
        <w:rPr>
          <w:i/>
        </w:rPr>
        <w:t>Equipment</w:t>
      </w:r>
      <w:r w:rsidRPr="00240664">
        <w:rPr>
          <w:i/>
        </w:rPr>
        <w:t xml:space="preserve">.  </w:t>
      </w:r>
      <w:r w:rsidR="0051338E">
        <w:t xml:space="preserve">APSC </w:t>
      </w:r>
      <w:r>
        <w:t xml:space="preserve">requests various loaner cables </w:t>
      </w:r>
      <w:r w:rsidR="0051338E">
        <w:t xml:space="preserve">and </w:t>
      </w:r>
      <w:r>
        <w:t xml:space="preserve">loaner computers running DOS to be used in </w:t>
      </w:r>
      <w:r w:rsidR="00B345BA">
        <w:t>re</w:t>
      </w:r>
      <w:r>
        <w:t xml:space="preserve">programming </w:t>
      </w:r>
      <w:r w:rsidR="00B345BA">
        <w:t xml:space="preserve">APSC’s radios.  It also asks for a supply of spare replacement radios in the </w:t>
      </w:r>
      <w:r>
        <w:t xml:space="preserve">event that any of the existing radios “brick” </w:t>
      </w:r>
      <w:r w:rsidR="00B345BA">
        <w:t xml:space="preserve">(become unusable) </w:t>
      </w:r>
      <w:r>
        <w:t>during rebanding.</w:t>
      </w:r>
      <w:r w:rsidR="0051338E">
        <w:rPr>
          <w:rStyle w:val="FootnoteReference"/>
        </w:rPr>
        <w:footnoteReference w:id="134"/>
      </w:r>
      <w:r w:rsidR="0051338E">
        <w:t xml:space="preserve"> </w:t>
      </w:r>
      <w:r>
        <w:t xml:space="preserve"> </w:t>
      </w:r>
      <w:r w:rsidR="0051338E">
        <w:t xml:space="preserve">APSC </w:t>
      </w:r>
      <w:r>
        <w:t xml:space="preserve">notes that Sprint has made this type of equipment available in other rebandings, and that having fresh cables, and known good equipment at the start of rebanding allows </w:t>
      </w:r>
      <w:r w:rsidR="00A65D93">
        <w:t xml:space="preserve">technicians </w:t>
      </w:r>
      <w:r>
        <w:t>to complete work and meet daily requirements.</w:t>
      </w:r>
      <w:r w:rsidR="0051338E">
        <w:rPr>
          <w:rStyle w:val="FootnoteReference"/>
        </w:rPr>
        <w:footnoteReference w:id="135"/>
      </w:r>
    </w:p>
    <w:p w:rsidR="00240664" w:rsidRDefault="00240664" w:rsidP="00D9682E">
      <w:pPr>
        <w:pStyle w:val="ParaNum"/>
        <w:widowControl/>
      </w:pPr>
      <w:r>
        <w:t xml:space="preserve">Sprint </w:t>
      </w:r>
      <w:r w:rsidR="002F7E8C">
        <w:t xml:space="preserve">offers </w:t>
      </w:r>
      <w:r>
        <w:t>reduced quantities of each of the items requested</w:t>
      </w:r>
      <w:r w:rsidR="002F7E8C">
        <w:t xml:space="preserve"> and the </w:t>
      </w:r>
      <w:r w:rsidR="00BE12D2">
        <w:t>TA Mediator</w:t>
      </w:r>
      <w:r>
        <w:t xml:space="preserve"> recommends that the Commission accept Sprint’s proposal.</w:t>
      </w:r>
      <w:r w:rsidR="008767B6" w:rsidRPr="008767B6">
        <w:rPr>
          <w:rStyle w:val="FootnoteReference"/>
        </w:rPr>
        <w:t xml:space="preserve"> </w:t>
      </w:r>
      <w:r w:rsidR="008767B6">
        <w:rPr>
          <w:rStyle w:val="FootnoteReference"/>
        </w:rPr>
        <w:footnoteReference w:id="136"/>
      </w:r>
      <w:r>
        <w:t xml:space="preserve"> </w:t>
      </w:r>
      <w:r w:rsidR="002F7E8C">
        <w:t xml:space="preserve"> The </w:t>
      </w:r>
      <w:r w:rsidR="00BE12D2">
        <w:t>TA Mediator</w:t>
      </w:r>
      <w:r w:rsidR="002F7E8C">
        <w:t xml:space="preserve"> finds that APSC has not shown that it needs </w:t>
      </w:r>
      <w:r>
        <w:t>more equipment than Sprint has offered.</w:t>
      </w:r>
      <w:r w:rsidR="008767B6">
        <w:rPr>
          <w:rStyle w:val="FootnoteReference"/>
        </w:rPr>
        <w:footnoteReference w:id="137"/>
      </w:r>
    </w:p>
    <w:p w:rsidR="00240664" w:rsidRDefault="002373AD" w:rsidP="00D9682E">
      <w:pPr>
        <w:pStyle w:val="Heading3"/>
        <w:widowControl/>
      </w:pPr>
      <w:r>
        <w:t xml:space="preserve">APCS Allegations of </w:t>
      </w:r>
      <w:r w:rsidR="008767B6">
        <w:t xml:space="preserve"> </w:t>
      </w:r>
      <w:r w:rsidR="00FA35F5">
        <w:t>Sprint</w:t>
      </w:r>
      <w:r>
        <w:t>’s Failure to</w:t>
      </w:r>
      <w:r w:rsidR="00FA35F5">
        <w:t xml:space="preserve"> </w:t>
      </w:r>
      <w:r w:rsidR="008767B6">
        <w:t xml:space="preserve">Negotiate in </w:t>
      </w:r>
      <w:r w:rsidR="00063BF0">
        <w:t>Good Faith</w:t>
      </w:r>
    </w:p>
    <w:p w:rsidR="00063BF0" w:rsidRDefault="00063BF0" w:rsidP="00D9682E">
      <w:pPr>
        <w:pStyle w:val="ParaNum"/>
        <w:widowControl/>
      </w:pPr>
      <w:r>
        <w:t>The Commission’s Rules state that “[a]ll Parties are charged with the obligation of utmost ‘good faith’ in the negotiation process.”</w:t>
      </w:r>
      <w:r w:rsidR="00BC665E">
        <w:rPr>
          <w:rStyle w:val="FootnoteReference"/>
        </w:rPr>
        <w:footnoteReference w:id="138"/>
      </w:r>
      <w:r w:rsidR="00B345BA">
        <w:t xml:space="preserve"> </w:t>
      </w:r>
      <w:r w:rsidR="00FA35F5">
        <w:t>APSC</w:t>
      </w:r>
      <w:r>
        <w:t xml:space="preserve"> argues that Sprint has failed to comply with its</w:t>
      </w:r>
      <w:r w:rsidR="00B345BA">
        <w:t xml:space="preserve"> good faith</w:t>
      </w:r>
      <w:r>
        <w:t xml:space="preserve"> obligation </w:t>
      </w:r>
      <w:r w:rsidR="00B345BA">
        <w:t xml:space="preserve">in </w:t>
      </w:r>
      <w:r>
        <w:t>negotiation</w:t>
      </w:r>
      <w:r w:rsidR="00B345BA">
        <w:t>s</w:t>
      </w:r>
      <w:r>
        <w:t xml:space="preserve"> and mediation</w:t>
      </w:r>
      <w:r w:rsidR="00B345BA">
        <w:t xml:space="preserve">, </w:t>
      </w:r>
      <w:r w:rsidR="00FA35F5">
        <w:t xml:space="preserve">contending </w:t>
      </w:r>
      <w:r>
        <w:t xml:space="preserve">that Sprint failed to </w:t>
      </w:r>
      <w:r w:rsidR="00DA065C">
        <w:t xml:space="preserve">participate during </w:t>
      </w:r>
      <w:r>
        <w:t>the initial negotiation and mediation periods</w:t>
      </w:r>
      <w:r w:rsidR="00DA065C">
        <w:t xml:space="preserve">.  APSC also faults Sprint for failure to </w:t>
      </w:r>
      <w:r>
        <w:t xml:space="preserve">reply to correspondence from </w:t>
      </w:r>
      <w:r w:rsidR="00DA065C">
        <w:t>APSC</w:t>
      </w:r>
      <w:r>
        <w:t>, and that Sprint’s counteroffer failed to reflect knowledge of the Licensee’s system.</w:t>
      </w:r>
      <w:r w:rsidR="00BC665E">
        <w:rPr>
          <w:rStyle w:val="FootnoteReference"/>
        </w:rPr>
        <w:footnoteReference w:id="139"/>
      </w:r>
    </w:p>
    <w:p w:rsidR="00063BF0" w:rsidRDefault="00063BF0" w:rsidP="00D9682E">
      <w:pPr>
        <w:pStyle w:val="ParaNum"/>
        <w:widowControl/>
      </w:pPr>
      <w:r>
        <w:t>Sprint asserts that it has negotiated in good faith. Sprint notes that it raised questions and prepared a counteroffer during the mediation</w:t>
      </w:r>
      <w:r w:rsidR="00DA065C">
        <w:t xml:space="preserve"> period</w:t>
      </w:r>
      <w:r>
        <w:t xml:space="preserve">, </w:t>
      </w:r>
      <w:r w:rsidR="00DA065C">
        <w:t xml:space="preserve">but </w:t>
      </w:r>
      <w:r>
        <w:t xml:space="preserve">that it was delayed in preparing that counteroffer due to the unique circumstance of </w:t>
      </w:r>
      <w:r w:rsidR="00DA065C">
        <w:t xml:space="preserve">APSC proposing that </w:t>
      </w:r>
      <w:r>
        <w:t>Harris reband a Motorola system.</w:t>
      </w:r>
      <w:r w:rsidR="00BC665E">
        <w:rPr>
          <w:rStyle w:val="FootnoteReference"/>
        </w:rPr>
        <w:footnoteReference w:id="140"/>
      </w:r>
      <w:r>
        <w:t xml:space="preserve"> </w:t>
      </w:r>
      <w:r w:rsidR="00BC665E">
        <w:t xml:space="preserve"> </w:t>
      </w:r>
      <w:r>
        <w:t xml:space="preserve">Sprint </w:t>
      </w:r>
      <w:r w:rsidR="00BC665E">
        <w:t xml:space="preserve">also </w:t>
      </w:r>
      <w:r>
        <w:t xml:space="preserve">argues that </w:t>
      </w:r>
      <w:r w:rsidR="00BC665E">
        <w:t>APSC</w:t>
      </w:r>
      <w:r>
        <w:t xml:space="preserve"> should not be reimbursed for the cost of preparing its PRMs.</w:t>
      </w:r>
      <w:r w:rsidR="00BC665E">
        <w:rPr>
          <w:rStyle w:val="FootnoteReference"/>
        </w:rPr>
        <w:footnoteReference w:id="141"/>
      </w:r>
      <w:r>
        <w:t xml:space="preserve"> </w:t>
      </w:r>
    </w:p>
    <w:p w:rsidR="00063BF0" w:rsidRDefault="00063BF0" w:rsidP="00D9682E">
      <w:pPr>
        <w:pStyle w:val="ParaNum"/>
        <w:widowControl/>
      </w:pPr>
      <w:r>
        <w:t xml:space="preserve">The </w:t>
      </w:r>
      <w:r w:rsidR="00BE12D2">
        <w:t>TA Mediator</w:t>
      </w:r>
      <w:r>
        <w:t xml:space="preserve"> recommends that the Commission find that Sprint has not breached its</w:t>
      </w:r>
      <w:r w:rsidR="00DA065C">
        <w:t xml:space="preserve"> good faith</w:t>
      </w:r>
      <w:r>
        <w:t xml:space="preserve"> obligation.</w:t>
      </w:r>
      <w:r w:rsidR="009140CC">
        <w:rPr>
          <w:rStyle w:val="FootnoteReference"/>
        </w:rPr>
        <w:footnoteReference w:id="142"/>
      </w:r>
      <w:r>
        <w:t xml:space="preserve"> </w:t>
      </w:r>
      <w:r w:rsidR="000816E2">
        <w:t xml:space="preserve"> </w:t>
      </w:r>
      <w:r w:rsidR="00FA35F5">
        <w:t xml:space="preserve">The </w:t>
      </w:r>
      <w:r w:rsidR="000816E2">
        <w:t xml:space="preserve">TA </w:t>
      </w:r>
      <w:r w:rsidR="00BE12D2">
        <w:t>Mediator</w:t>
      </w:r>
      <w:r w:rsidR="00FA35F5">
        <w:t xml:space="preserve"> notes that </w:t>
      </w:r>
      <w:r>
        <w:t>Sprint</w:t>
      </w:r>
      <w:r w:rsidR="00DA065C">
        <w:t xml:space="preserve"> participated in mediation, </w:t>
      </w:r>
      <w:r w:rsidR="00DA065C" w:rsidRPr="00D9682E">
        <w:rPr>
          <w:i/>
        </w:rPr>
        <w:t xml:space="preserve">i.e., </w:t>
      </w:r>
      <w:r w:rsidR="00DA065C">
        <w:t>that Sprint</w:t>
      </w:r>
      <w:r>
        <w:t xml:space="preserve"> sought information from</w:t>
      </w:r>
      <w:r w:rsidR="009140CC">
        <w:t xml:space="preserve"> </w:t>
      </w:r>
      <w:r w:rsidR="00FA35F5">
        <w:t>APSC</w:t>
      </w:r>
      <w:r w:rsidR="007D27A5">
        <w:t>,</w:t>
      </w:r>
      <w:r w:rsidR="00FA35F5">
        <w:t xml:space="preserve"> </w:t>
      </w:r>
      <w:r w:rsidR="009140CC">
        <w:t xml:space="preserve">and APSC </w:t>
      </w:r>
      <w:r>
        <w:t xml:space="preserve">responded to </w:t>
      </w:r>
      <w:r w:rsidR="00DA065C">
        <w:t xml:space="preserve">Sprint’s </w:t>
      </w:r>
      <w:r>
        <w:t>requests.</w:t>
      </w:r>
      <w:r w:rsidR="00B71C19">
        <w:rPr>
          <w:rStyle w:val="FootnoteReference"/>
        </w:rPr>
        <w:footnoteReference w:id="143"/>
      </w:r>
    </w:p>
    <w:p w:rsidR="00063BF0" w:rsidRDefault="00FA35F5" w:rsidP="00D9682E">
      <w:pPr>
        <w:pStyle w:val="ParaNum"/>
        <w:widowControl/>
      </w:pPr>
      <w:r>
        <w:t xml:space="preserve">The </w:t>
      </w:r>
      <w:r w:rsidR="000816E2">
        <w:t xml:space="preserve">TA </w:t>
      </w:r>
      <w:r w:rsidR="00BE12D2">
        <w:t>Mediator</w:t>
      </w:r>
      <w:r>
        <w:t xml:space="preserve"> </w:t>
      </w:r>
      <w:r w:rsidR="00D11E46">
        <w:t xml:space="preserve">further </w:t>
      </w:r>
      <w:r>
        <w:t>notes that</w:t>
      </w:r>
      <w:r w:rsidR="00DA065C">
        <w:t>, although</w:t>
      </w:r>
      <w:r w:rsidR="00D11E46">
        <w:t xml:space="preserve"> </w:t>
      </w:r>
      <w:r w:rsidR="00063BF0">
        <w:t>Sprint</w:t>
      </w:r>
      <w:r w:rsidR="00D11E46">
        <w:t xml:space="preserve"> submitted it</w:t>
      </w:r>
      <w:r>
        <w:t xml:space="preserve">s </w:t>
      </w:r>
      <w:r w:rsidR="00063BF0">
        <w:t>P</w:t>
      </w:r>
      <w:r w:rsidR="001F7C57">
        <w:t>roject Review Worksheet (P</w:t>
      </w:r>
      <w:r w:rsidR="00063BF0">
        <w:t>RW</w:t>
      </w:r>
      <w:r w:rsidR="001F7C57">
        <w:t>)</w:t>
      </w:r>
      <w:r w:rsidR="00063BF0">
        <w:t xml:space="preserve"> and counteroffer</w:t>
      </w:r>
      <w:r w:rsidR="00DA065C">
        <w:t xml:space="preserve"> only</w:t>
      </w:r>
      <w:r>
        <w:t xml:space="preserve"> </w:t>
      </w:r>
      <w:r w:rsidR="00063BF0">
        <w:t>six days prior to the end of the initial mediation period</w:t>
      </w:r>
      <w:r>
        <w:t xml:space="preserve">, </w:t>
      </w:r>
      <w:r w:rsidR="00063BF0">
        <w:t xml:space="preserve">the </w:t>
      </w:r>
      <w:r w:rsidR="00DA065C">
        <w:t xml:space="preserve">Commission extended the mediation period by </w:t>
      </w:r>
      <w:r>
        <w:t xml:space="preserve">20 working days </w:t>
      </w:r>
      <w:r w:rsidR="00DA065C">
        <w:t>thereby alleviating any prejudice to APSC caused by Sprint’s late-submitted counteroffer.</w:t>
      </w:r>
      <w:r w:rsidR="00F50B08">
        <w:rPr>
          <w:rStyle w:val="FootnoteReference"/>
        </w:rPr>
        <w:footnoteReference w:id="144"/>
      </w:r>
      <w:r w:rsidR="00D11E46">
        <w:t xml:space="preserve">  The </w:t>
      </w:r>
      <w:r w:rsidR="00BE12D2">
        <w:t>TA Mediator</w:t>
      </w:r>
      <w:r w:rsidR="00E02185">
        <w:t xml:space="preserve"> also finds that </w:t>
      </w:r>
      <w:r w:rsidR="00063BF0">
        <w:t>Sprint</w:t>
      </w:r>
      <w:r w:rsidR="00E02185">
        <w:t xml:space="preserve">’s </w:t>
      </w:r>
      <w:r w:rsidR="00063BF0">
        <w:t xml:space="preserve">PRW is consistent with Commission orders stating that the presence of a less costly alternative is a basis for concluding that the Minimum </w:t>
      </w:r>
      <w:r w:rsidR="00FE6EAA">
        <w:t xml:space="preserve">Necessary </w:t>
      </w:r>
      <w:r w:rsidR="00063BF0">
        <w:t>Cost Standard has not been met by a particular licensee proposal.</w:t>
      </w:r>
      <w:r w:rsidR="00F50B08">
        <w:rPr>
          <w:rStyle w:val="FootnoteReference"/>
        </w:rPr>
        <w:footnoteReference w:id="145"/>
      </w:r>
      <w:r w:rsidR="00063BF0">
        <w:t xml:space="preserve"> </w:t>
      </w:r>
      <w:r w:rsidR="00E02185">
        <w:t xml:space="preserve"> </w:t>
      </w:r>
    </w:p>
    <w:p w:rsidR="00063BF0" w:rsidRDefault="00E02185" w:rsidP="00D9682E">
      <w:pPr>
        <w:pStyle w:val="ParaNum"/>
        <w:widowControl/>
      </w:pPr>
      <w:r>
        <w:t xml:space="preserve">Finally, the </w:t>
      </w:r>
      <w:r w:rsidR="00BE12D2">
        <w:t>TA Mediator</w:t>
      </w:r>
      <w:r w:rsidR="009140CC" w:rsidRPr="009140CC">
        <w:t xml:space="preserve"> </w:t>
      </w:r>
      <w:r w:rsidR="009140CC">
        <w:t xml:space="preserve">recommends that the Commission find </w:t>
      </w:r>
      <w:r>
        <w:t xml:space="preserve">APSC is entitled to reimbursement of its </w:t>
      </w:r>
      <w:r w:rsidR="009140CC">
        <w:t xml:space="preserve">reasonable costs in preparing its </w:t>
      </w:r>
      <w:r w:rsidR="00FE6EAA">
        <w:t xml:space="preserve">documents </w:t>
      </w:r>
      <w:r w:rsidR="009140CC">
        <w:t>in th</w:t>
      </w:r>
      <w:r w:rsidR="00496D20">
        <w:t>e</w:t>
      </w:r>
      <w:r w:rsidR="009140CC">
        <w:t xml:space="preserve"> mediation, including those of a consulting engineer</w:t>
      </w:r>
      <w:r>
        <w:t>.</w:t>
      </w:r>
      <w:r w:rsidR="00F50B08">
        <w:rPr>
          <w:rStyle w:val="FootnoteReference"/>
        </w:rPr>
        <w:footnoteReference w:id="146"/>
      </w:r>
      <w:r>
        <w:t xml:space="preserve">  The </w:t>
      </w:r>
      <w:r w:rsidR="00496D20">
        <w:t>TA M</w:t>
      </w:r>
      <w:r>
        <w:t xml:space="preserve">ediator notes that the </w:t>
      </w:r>
      <w:r w:rsidR="00063BF0">
        <w:t>Commission has said that wh</w:t>
      </w:r>
      <w:r w:rsidR="00FE6EAA">
        <w:t>en</w:t>
      </w:r>
      <w:r w:rsidR="00063BF0">
        <w:t xml:space="preserve"> arguments advanced in PRMs are patently frivolous, payment for preparation of those documents may be denied or reduced</w:t>
      </w:r>
      <w:r w:rsidR="00FE6EAA">
        <w:t>.</w:t>
      </w:r>
      <w:r w:rsidR="003F09CB">
        <w:rPr>
          <w:rStyle w:val="FootnoteReference"/>
        </w:rPr>
        <w:footnoteReference w:id="147"/>
      </w:r>
      <w:r w:rsidR="00FE6EAA">
        <w:t xml:space="preserve">  The</w:t>
      </w:r>
      <w:r w:rsidR="00496D20">
        <w:t xml:space="preserve"> </w:t>
      </w:r>
      <w:r w:rsidR="00BE12D2">
        <w:t>TA Mediator</w:t>
      </w:r>
      <w:r w:rsidR="00496D20">
        <w:t>,</w:t>
      </w:r>
      <w:r>
        <w:t xml:space="preserve"> </w:t>
      </w:r>
      <w:r w:rsidR="00FE6EAA">
        <w:t>however,</w:t>
      </w:r>
      <w:r w:rsidR="00063BF0">
        <w:t xml:space="preserve"> does not </w:t>
      </w:r>
      <w:r w:rsidR="00795A4C">
        <w:t>regard</w:t>
      </w:r>
      <w:r w:rsidR="00FE6EAA">
        <w:t xml:space="preserve"> </w:t>
      </w:r>
      <w:r>
        <w:t>APSC</w:t>
      </w:r>
      <w:r w:rsidR="00FE6EAA">
        <w:t xml:space="preserve">’s arguments as </w:t>
      </w:r>
      <w:r w:rsidR="00063BF0">
        <w:t>frivolous</w:t>
      </w:r>
      <w:r w:rsidR="00FE6EAA">
        <w:t>.</w:t>
      </w:r>
      <w:r w:rsidR="00F50B08">
        <w:rPr>
          <w:rStyle w:val="FootnoteReference"/>
        </w:rPr>
        <w:footnoteReference w:id="148"/>
      </w:r>
      <w:r w:rsidR="00063BF0">
        <w:t xml:space="preserve"> </w:t>
      </w:r>
    </w:p>
    <w:p w:rsidR="00F50B08" w:rsidRDefault="00B456B6" w:rsidP="00D9682E">
      <w:pPr>
        <w:pStyle w:val="Heading2"/>
        <w:widowControl/>
      </w:pPr>
      <w:r>
        <w:t>COST METRIC</w:t>
      </w:r>
      <w:r w:rsidR="00496D20">
        <w:t>S</w:t>
      </w:r>
      <w:r>
        <w:t xml:space="preserve"> REPORT</w:t>
      </w:r>
    </w:p>
    <w:p w:rsidR="002342AC" w:rsidRDefault="002342AC" w:rsidP="00D9682E">
      <w:pPr>
        <w:pStyle w:val="ParaNum"/>
        <w:widowControl/>
      </w:pPr>
      <w:r>
        <w:t>At the Bureau’s request, the TA produced Cost Metrics Report</w:t>
      </w:r>
      <w:r w:rsidR="0001558F">
        <w:t>s</w:t>
      </w:r>
      <w:r>
        <w:t xml:space="preserve"> </w:t>
      </w:r>
      <w:r w:rsidR="0074537B">
        <w:t xml:space="preserve">of APSC’s </w:t>
      </w:r>
      <w:r w:rsidR="0001558F">
        <w:t xml:space="preserve">and Sprint’s </w:t>
      </w:r>
      <w:r w:rsidR="0074537B">
        <w:t xml:space="preserve">cost estimate </w:t>
      </w:r>
      <w:r>
        <w:t>to assist in</w:t>
      </w:r>
      <w:r w:rsidR="003F09CB">
        <w:t xml:space="preserve"> the TA Mediator’s</w:t>
      </w:r>
      <w:r>
        <w:t xml:space="preserve"> analysis of this matter.</w:t>
      </w:r>
      <w:r>
        <w:rPr>
          <w:rStyle w:val="FootnoteReference"/>
        </w:rPr>
        <w:footnoteReference w:id="149"/>
      </w:r>
      <w:r>
        <w:t xml:space="preserve">  </w:t>
      </w:r>
      <w:r w:rsidR="00926BA0">
        <w:t xml:space="preserve">The Bureau also afforded the parties the opportunity to </w:t>
      </w:r>
      <w:r w:rsidR="00B02E58">
        <w:t xml:space="preserve">comment on </w:t>
      </w:r>
      <w:r w:rsidR="00DB0140">
        <w:t>these reports.</w:t>
      </w:r>
      <w:r w:rsidR="00DB0140">
        <w:rPr>
          <w:rStyle w:val="FootnoteReference"/>
        </w:rPr>
        <w:footnoteReference w:id="150"/>
      </w:r>
      <w:r w:rsidR="00DB0140">
        <w:t xml:space="preserve">  </w:t>
      </w:r>
    </w:p>
    <w:p w:rsidR="00F81DA0" w:rsidRPr="00ED68FB" w:rsidRDefault="00974B96" w:rsidP="00D9682E">
      <w:pPr>
        <w:pStyle w:val="ParaNum"/>
        <w:widowControl/>
      </w:pPr>
      <w:r w:rsidRPr="00974B96">
        <w:t>The TA Metrics are a set of aggregated data on retuning costs for 800 MHz systems approved by the TA</w:t>
      </w:r>
      <w:r w:rsidR="00F81DA0">
        <w:t>.</w:t>
      </w:r>
      <w:r w:rsidR="00F81DA0">
        <w:rPr>
          <w:rStyle w:val="FootnoteReference"/>
        </w:rPr>
        <w:footnoteReference w:id="151"/>
      </w:r>
      <w:r w:rsidR="00F81DA0">
        <w:t xml:space="preserve">  The Bureau has stated </w:t>
      </w:r>
      <w:r w:rsidR="00F81DA0" w:rsidRPr="00A77D69">
        <w:rPr>
          <w:szCs w:val="22"/>
        </w:rPr>
        <w:t>that, although the cost ranges presented in the TA Metrics give rise to a presumption of reasonableness, they are not binding or dispositive of individual cases.  In particular, any party to negotiation or mediation may demonstrate that there are aspects of a reconfiguration that differentiate it from the reconfigurations on which the TA Metrics are based, therefore justifying higher or lower rebanding costs.  Because rebanding licensees bear the burden of demonstrating that their proposed costs meet the Minimum</w:t>
      </w:r>
      <w:r w:rsidR="00795A4C">
        <w:rPr>
          <w:szCs w:val="22"/>
        </w:rPr>
        <w:t xml:space="preserve"> Reasonable</w:t>
      </w:r>
      <w:r w:rsidR="00F81DA0" w:rsidRPr="00A77D69">
        <w:rPr>
          <w:szCs w:val="22"/>
        </w:rPr>
        <w:t xml:space="preserve"> Cost Standard, a licensee whose costs are significantly higher than the costs incurred by licensees with similarly sized reconfigurations must conclusively demonstrate by record evidence that its reconfiguration is, in fact, materially different from the reconfigurations on which the TA Metrics are based.  Costs that deviate greatly from the TA Metrics will be given close scrutiny by the TA </w:t>
      </w:r>
      <w:r w:rsidR="00BE12D2">
        <w:rPr>
          <w:szCs w:val="22"/>
        </w:rPr>
        <w:t>Mediator</w:t>
      </w:r>
      <w:r w:rsidR="00F81DA0" w:rsidRPr="00A77D69">
        <w:rPr>
          <w:szCs w:val="22"/>
        </w:rPr>
        <w:t xml:space="preserve">s and by the Bureau in cases that are submitted for </w:t>
      </w:r>
      <w:r w:rsidR="00F81DA0" w:rsidRPr="00A77D69">
        <w:rPr>
          <w:i/>
          <w:szCs w:val="22"/>
        </w:rPr>
        <w:t>de novo</w:t>
      </w:r>
      <w:r w:rsidR="00F81DA0" w:rsidRPr="00A77D69">
        <w:rPr>
          <w:szCs w:val="22"/>
        </w:rPr>
        <w:t xml:space="preserve"> review.</w:t>
      </w:r>
      <w:r w:rsidR="00F81DA0">
        <w:rPr>
          <w:rStyle w:val="FootnoteReference"/>
          <w:szCs w:val="22"/>
        </w:rPr>
        <w:footnoteReference w:id="152"/>
      </w:r>
    </w:p>
    <w:p w:rsidR="00B33FB7" w:rsidRDefault="00974B96" w:rsidP="00D9682E">
      <w:pPr>
        <w:pStyle w:val="ParaNum"/>
        <w:widowControl/>
      </w:pPr>
      <w:r w:rsidRPr="00974B96">
        <w:t xml:space="preserve"> </w:t>
      </w:r>
      <w:r w:rsidR="0074537B" w:rsidRPr="0074537B">
        <w:t xml:space="preserve">The </w:t>
      </w:r>
      <w:r w:rsidR="00795A4C">
        <w:t xml:space="preserve">instant </w:t>
      </w:r>
      <w:r w:rsidR="00496D20">
        <w:t>C</w:t>
      </w:r>
      <w:r w:rsidR="0074537B" w:rsidRPr="0074537B">
        <w:t xml:space="preserve">ost </w:t>
      </w:r>
      <w:r w:rsidR="00496D20">
        <w:t>M</w:t>
      </w:r>
      <w:r w:rsidR="0074537B" w:rsidRPr="0074537B">
        <w:t xml:space="preserve">etric </w:t>
      </w:r>
      <w:r w:rsidR="00496D20">
        <w:t>R</w:t>
      </w:r>
      <w:r w:rsidR="0074537B" w:rsidRPr="0074537B">
        <w:t>eport</w:t>
      </w:r>
      <w:r w:rsidR="0001558F">
        <w:t>s</w:t>
      </w:r>
      <w:r w:rsidR="0074537B" w:rsidRPr="0074537B">
        <w:t xml:space="preserve"> </w:t>
      </w:r>
      <w:r w:rsidR="0074537B">
        <w:t xml:space="preserve">compare </w:t>
      </w:r>
      <w:r w:rsidR="0074537B" w:rsidRPr="0074537B">
        <w:t>APSC</w:t>
      </w:r>
      <w:r w:rsidR="0074537B">
        <w:t xml:space="preserve">’s cost estimate with FRAs of public safety </w:t>
      </w:r>
      <w:r w:rsidR="0074537B" w:rsidRPr="0074537B">
        <w:t>licensee</w:t>
      </w:r>
      <w:r w:rsidR="0074537B">
        <w:t>s</w:t>
      </w:r>
      <w:r w:rsidR="0074537B" w:rsidRPr="0074537B">
        <w:t xml:space="preserve"> with between 2000 and 4000 subscriber units</w:t>
      </w:r>
      <w:r w:rsidR="002D185A">
        <w:t xml:space="preserve"> and between 11-55 repeaters</w:t>
      </w:r>
      <w:r w:rsidR="0074537B">
        <w:t xml:space="preserve">.  </w:t>
      </w:r>
      <w:r w:rsidR="0074537B" w:rsidRPr="0074537B">
        <w:t xml:space="preserve">The </w:t>
      </w:r>
      <w:r w:rsidR="0074537B">
        <w:t xml:space="preserve">two </w:t>
      </w:r>
      <w:r w:rsidR="0074537B" w:rsidRPr="0074537B">
        <w:t>report</w:t>
      </w:r>
      <w:r w:rsidR="0074537B">
        <w:t>s</w:t>
      </w:r>
      <w:r w:rsidR="0074537B" w:rsidRPr="0074537B">
        <w:t xml:space="preserve"> highlight the </w:t>
      </w:r>
      <w:r w:rsidR="0074537B">
        <w:t>gulf</w:t>
      </w:r>
      <w:r w:rsidR="0074537B" w:rsidRPr="0074537B">
        <w:t xml:space="preserve"> between the two parties</w:t>
      </w:r>
      <w:r w:rsidR="00E04FE6">
        <w:t>’</w:t>
      </w:r>
      <w:r w:rsidR="0074537B" w:rsidRPr="0074537B">
        <w:t xml:space="preserve"> positions. </w:t>
      </w:r>
      <w:r w:rsidR="0074537B">
        <w:t xml:space="preserve"> </w:t>
      </w:r>
      <w:r w:rsidR="0074537B" w:rsidRPr="0074537B">
        <w:t xml:space="preserve">The </w:t>
      </w:r>
      <w:r w:rsidR="00C431EC">
        <w:t>Creative Quote</w:t>
      </w:r>
      <w:r w:rsidR="001D19FE">
        <w:t xml:space="preserve"> </w:t>
      </w:r>
      <w:r w:rsidR="002D185A">
        <w:t xml:space="preserve">of $787, 295.80 falls in </w:t>
      </w:r>
      <w:r w:rsidR="0074537B" w:rsidRPr="0074537B">
        <w:t xml:space="preserve">the 25th percentile of </w:t>
      </w:r>
      <w:r w:rsidR="002D185A">
        <w:t xml:space="preserve">all FRA's within the category, </w:t>
      </w:r>
      <w:r w:rsidR="0074537B" w:rsidRPr="0074537B">
        <w:t xml:space="preserve">while APSC's cost estimate </w:t>
      </w:r>
      <w:r w:rsidR="002D185A">
        <w:t xml:space="preserve">of $2,628,721.96 </w:t>
      </w:r>
      <w:r w:rsidR="0074537B" w:rsidRPr="0074537B">
        <w:t>is at the 98th percentile</w:t>
      </w:r>
      <w:r w:rsidR="002D185A">
        <w:t>.</w:t>
      </w:r>
      <w:r w:rsidR="0001558F">
        <w:rPr>
          <w:rStyle w:val="FootnoteReference"/>
        </w:rPr>
        <w:footnoteReference w:id="153"/>
      </w:r>
      <w:r w:rsidR="000930EB">
        <w:t xml:space="preserve"> </w:t>
      </w:r>
    </w:p>
    <w:p w:rsidR="002D185A" w:rsidRDefault="002D185A" w:rsidP="00D9682E">
      <w:pPr>
        <w:pStyle w:val="ParaNum"/>
        <w:widowControl/>
      </w:pPr>
      <w:r w:rsidRPr="002D185A">
        <w:t xml:space="preserve">Sprint contends that </w:t>
      </w:r>
      <w:r>
        <w:t xml:space="preserve">the Cost Metric Reports demonstrate </w:t>
      </w:r>
      <w:r w:rsidRPr="002D185A">
        <w:t xml:space="preserve">that APSC's cost estimate is highly inflated and fails to meet the </w:t>
      </w:r>
      <w:r w:rsidR="004C1F40">
        <w:t>Minimum Necessary Cost</w:t>
      </w:r>
      <w:r w:rsidRPr="002D185A">
        <w:t xml:space="preserve"> </w:t>
      </w:r>
      <w:r w:rsidR="00726566">
        <w:t>S</w:t>
      </w:r>
      <w:r w:rsidR="00726566" w:rsidRPr="002D185A">
        <w:t>tandard</w:t>
      </w:r>
      <w:r w:rsidRPr="002D185A">
        <w:t>.</w:t>
      </w:r>
      <w:r>
        <w:rPr>
          <w:rStyle w:val="FootnoteReference"/>
        </w:rPr>
        <w:footnoteReference w:id="154"/>
      </w:r>
      <w:r w:rsidRPr="002D185A">
        <w:t xml:space="preserve">  Sprint notes that </w:t>
      </w:r>
      <w:r>
        <w:t xml:space="preserve">APSC’s cost estimate </w:t>
      </w:r>
      <w:r w:rsidR="002F14E5">
        <w:t>exceed</w:t>
      </w:r>
      <w:r w:rsidR="00795A4C">
        <w:t>s</w:t>
      </w:r>
      <w:r w:rsidR="002F14E5">
        <w:t xml:space="preserve"> the 75th percentile for nine of eleven cost categories despite the fact that</w:t>
      </w:r>
      <w:r w:rsidR="00795A4C">
        <w:t xml:space="preserve"> the</w:t>
      </w:r>
      <w:r w:rsidR="002F14E5">
        <w:t xml:space="preserve"> APSC</w:t>
      </w:r>
      <w:r w:rsidRPr="002D185A">
        <w:t xml:space="preserve"> system </w:t>
      </w:r>
      <w:r w:rsidR="002F14E5">
        <w:t xml:space="preserve">only </w:t>
      </w:r>
      <w:r w:rsidRPr="002D185A">
        <w:t xml:space="preserve">has 3189 units which puts it in the middle of the </w:t>
      </w:r>
      <w:r w:rsidR="002F14E5">
        <w:t xml:space="preserve">Cost Metric </w:t>
      </w:r>
      <w:r w:rsidRPr="002D185A">
        <w:t>category of 2000</w:t>
      </w:r>
      <w:r w:rsidR="00795A4C">
        <w:t>-</w:t>
      </w:r>
      <w:r w:rsidRPr="002D185A">
        <w:t xml:space="preserve">4000 units and </w:t>
      </w:r>
      <w:r w:rsidR="002F14E5">
        <w:t xml:space="preserve">the fact that APSC </w:t>
      </w:r>
      <w:r w:rsidRPr="002D185A">
        <w:t>does not use atypical technology</w:t>
      </w:r>
      <w:r w:rsidR="00A77D69">
        <w:t>.</w:t>
      </w:r>
      <w:r w:rsidR="008F56C8">
        <w:rPr>
          <w:rStyle w:val="FootnoteReference"/>
        </w:rPr>
        <w:footnoteReference w:id="155"/>
      </w:r>
      <w:r w:rsidRPr="002D185A">
        <w:t xml:space="preserve">  </w:t>
      </w:r>
    </w:p>
    <w:p w:rsidR="002F14E5" w:rsidRPr="002342AC" w:rsidRDefault="002F14E5" w:rsidP="00D9682E">
      <w:pPr>
        <w:pStyle w:val="ParaNum"/>
        <w:widowControl/>
      </w:pPr>
      <w:r w:rsidRPr="002F14E5">
        <w:t xml:space="preserve">APSC argues that the </w:t>
      </w:r>
      <w:r>
        <w:t>C</w:t>
      </w:r>
      <w:r w:rsidRPr="002F14E5">
        <w:t xml:space="preserve">ost </w:t>
      </w:r>
      <w:r>
        <w:t>M</w:t>
      </w:r>
      <w:r w:rsidRPr="002F14E5">
        <w:t xml:space="preserve">etrics </w:t>
      </w:r>
      <w:r>
        <w:t>Report</w:t>
      </w:r>
      <w:r w:rsidR="008F56C8">
        <w:t xml:space="preserve"> merely</w:t>
      </w:r>
      <w:r>
        <w:t xml:space="preserve"> </w:t>
      </w:r>
      <w:r w:rsidRPr="002F14E5">
        <w:t>show</w:t>
      </w:r>
      <w:r w:rsidR="008F56C8">
        <w:t>s</w:t>
      </w:r>
      <w:r w:rsidRPr="002F14E5">
        <w:t xml:space="preserve"> </w:t>
      </w:r>
      <w:r w:rsidR="00795A4C">
        <w:t xml:space="preserve">only </w:t>
      </w:r>
      <w:r w:rsidRPr="002F14E5">
        <w:t xml:space="preserve">that the </w:t>
      </w:r>
      <w:r>
        <w:t>C</w:t>
      </w:r>
      <w:r w:rsidRPr="002F14E5">
        <w:t xml:space="preserve">reative </w:t>
      </w:r>
      <w:r>
        <w:t>Q</w:t>
      </w:r>
      <w:r w:rsidRPr="002F14E5">
        <w:t>uote is demonstrably inadequate</w:t>
      </w:r>
      <w:r w:rsidR="008F56C8">
        <w:t>.</w:t>
      </w:r>
      <w:r w:rsidR="008F56C8">
        <w:rPr>
          <w:rStyle w:val="FootnoteReference"/>
        </w:rPr>
        <w:footnoteReference w:id="156"/>
      </w:r>
      <w:r w:rsidR="008F56C8">
        <w:t xml:space="preserve">  APSC n</w:t>
      </w:r>
      <w:r w:rsidRPr="002F14E5">
        <w:t xml:space="preserve">otes that there are 105 </w:t>
      </w:r>
      <w:r w:rsidR="00AD5058">
        <w:t xml:space="preserve">rebandings </w:t>
      </w:r>
      <w:r w:rsidRPr="002F14E5">
        <w:t xml:space="preserve">within </w:t>
      </w:r>
      <w:r w:rsidR="008F56C8">
        <w:t xml:space="preserve">the 2000-4000 unit </w:t>
      </w:r>
      <w:r w:rsidRPr="002F14E5">
        <w:t xml:space="preserve">category and </w:t>
      </w:r>
      <w:r w:rsidR="00AD5058">
        <w:t xml:space="preserve">claims </w:t>
      </w:r>
      <w:r w:rsidRPr="002F14E5">
        <w:t xml:space="preserve">that </w:t>
      </w:r>
      <w:r w:rsidR="00CC6AC8">
        <w:t xml:space="preserve">without examining each individual </w:t>
      </w:r>
      <w:r w:rsidR="00AD5058">
        <w:t xml:space="preserve">rebanding </w:t>
      </w:r>
      <w:r w:rsidR="00CC6AC8">
        <w:t>it is impossible to evaluate whether APSC’s cost estimate is comparable because of the huge variation of reband</w:t>
      </w:r>
      <w:r w:rsidR="00AD5058">
        <w:t>ing</w:t>
      </w:r>
      <w:r w:rsidR="00CC6AC8">
        <w:t>s within the data set.</w:t>
      </w:r>
      <w:r w:rsidR="00CC6AC8">
        <w:rPr>
          <w:rStyle w:val="FootnoteReference"/>
        </w:rPr>
        <w:footnoteReference w:id="157"/>
      </w:r>
      <w:r w:rsidR="00CC6AC8">
        <w:t xml:space="preserve"> APSC contends that i</w:t>
      </w:r>
      <w:r w:rsidR="00AD5058">
        <w:t>t</w:t>
      </w:r>
      <w:r w:rsidR="00CC6AC8">
        <w:t xml:space="preserve"> is logical that </w:t>
      </w:r>
      <w:r w:rsidR="00AD5058">
        <w:t>APSC</w:t>
      </w:r>
      <w:r w:rsidR="00CC6AC8">
        <w:t xml:space="preserve"> should be in the upper end of the metrics</w:t>
      </w:r>
      <w:r w:rsidR="0042659E">
        <w:t>,</w:t>
      </w:r>
      <w:r w:rsidR="00CC6AC8">
        <w:t xml:space="preserve"> b</w:t>
      </w:r>
      <w:r w:rsidR="00AD5058">
        <w:t>e</w:t>
      </w:r>
      <w:r w:rsidR="00CC6AC8">
        <w:t>cause it is one of the few statewide systems in the category</w:t>
      </w:r>
      <w:r w:rsidR="0042659E">
        <w:t xml:space="preserve"> that</w:t>
      </w:r>
      <w:r w:rsidR="00CC6AC8">
        <w:t xml:space="preserve"> has increased travel and travel-related costs, including seasonal fluctuation in travel expenses.</w:t>
      </w:r>
      <w:r w:rsidR="00CC6AC8">
        <w:rPr>
          <w:rStyle w:val="FootnoteReference"/>
        </w:rPr>
        <w:footnoteReference w:id="158"/>
      </w:r>
      <w:r w:rsidR="00CC6AC8">
        <w:t xml:space="preserve">  In addition APSC notes that the metrics reflect an aggregation of over a decade </w:t>
      </w:r>
      <w:r w:rsidR="00AD5058">
        <w:t xml:space="preserve">of data </w:t>
      </w:r>
      <w:r w:rsidR="00CC6AC8">
        <w:t xml:space="preserve">and </w:t>
      </w:r>
      <w:r w:rsidRPr="002F14E5">
        <w:t>value</w:t>
      </w:r>
      <w:r w:rsidR="00CC6AC8">
        <w:t>s</w:t>
      </w:r>
      <w:r w:rsidRPr="002F14E5">
        <w:t xml:space="preserve"> should be adjusted upward because </w:t>
      </w:r>
      <w:r w:rsidR="00CC6AC8">
        <w:t>of</w:t>
      </w:r>
      <w:r w:rsidR="00AD5058">
        <w:t xml:space="preserve"> cost increases during this period</w:t>
      </w:r>
      <w:r w:rsidR="00CC6AC8">
        <w:t>.</w:t>
      </w:r>
      <w:r w:rsidR="00CC6AC8">
        <w:rPr>
          <w:rStyle w:val="FootnoteReference"/>
        </w:rPr>
        <w:footnoteReference w:id="159"/>
      </w:r>
    </w:p>
    <w:p w:rsidR="00406FB6" w:rsidRDefault="00406FB6" w:rsidP="00D9682E">
      <w:pPr>
        <w:pStyle w:val="Heading1"/>
        <w:widowControl/>
      </w:pPr>
      <w:r>
        <w:t>discussion</w:t>
      </w:r>
    </w:p>
    <w:p w:rsidR="006B53E2" w:rsidRDefault="006B53E2" w:rsidP="00D9682E">
      <w:pPr>
        <w:pStyle w:val="Heading2"/>
        <w:widowControl/>
      </w:pPr>
      <w:r>
        <w:t>APSC Has Failed to Meet Its Burden of Proof</w:t>
      </w:r>
    </w:p>
    <w:p w:rsidR="00E04FE6" w:rsidRDefault="00CC6AC8" w:rsidP="00D9682E">
      <w:pPr>
        <w:pStyle w:val="ParaNum"/>
        <w:widowControl/>
      </w:pPr>
      <w:r>
        <w:t xml:space="preserve">Based upon the record before us, we find that APSC has failed to demonstrate that its cost </w:t>
      </w:r>
      <w:r w:rsidR="00667149">
        <w:t>e</w:t>
      </w:r>
      <w:r>
        <w:t>stimate meets</w:t>
      </w:r>
      <w:r w:rsidR="00667149">
        <w:t xml:space="preserve"> the Minimum </w:t>
      </w:r>
      <w:r w:rsidR="00AD5058">
        <w:t xml:space="preserve">Necessary </w:t>
      </w:r>
      <w:r w:rsidR="00667149">
        <w:t xml:space="preserve">Cost Standard.  </w:t>
      </w:r>
      <w:r w:rsidR="00D26A27">
        <w:t xml:space="preserve">As an initial matter, we note that APSC is free to use </w:t>
      </w:r>
      <w:r w:rsidR="00AD5058">
        <w:t xml:space="preserve">Harris or </w:t>
      </w:r>
      <w:r w:rsidR="00D26A27">
        <w:t>wh</w:t>
      </w:r>
      <w:r w:rsidR="00496D20">
        <w:t>ich</w:t>
      </w:r>
      <w:r w:rsidR="00D26A27">
        <w:t xml:space="preserve">ever </w:t>
      </w:r>
      <w:r w:rsidR="00AD5058">
        <w:t xml:space="preserve">other </w:t>
      </w:r>
      <w:r w:rsidR="00D26A27">
        <w:t xml:space="preserve">vendor it wishes and can </w:t>
      </w:r>
      <w:r w:rsidR="00DA32BE">
        <w:t xml:space="preserve">use any rebanding methodology it desires.  </w:t>
      </w:r>
      <w:r w:rsidR="0042659E">
        <w:t>However, t</w:t>
      </w:r>
      <w:r w:rsidR="00EA18DD">
        <w:t xml:space="preserve">he </w:t>
      </w:r>
      <w:r w:rsidR="004C1F40">
        <w:t>Minimum Necessary Cost</w:t>
      </w:r>
      <w:r w:rsidR="00EA18DD">
        <w:t xml:space="preserve"> </w:t>
      </w:r>
      <w:r w:rsidR="0051531F">
        <w:t>S</w:t>
      </w:r>
      <w:r w:rsidR="00EA18DD">
        <w:t xml:space="preserve">tandard still applies.  To the extent that APSC’s chosen vendor cannot reband APSC’s system at the Minimum Necessary Cost, </w:t>
      </w:r>
      <w:r w:rsidR="00DB76A5">
        <w:t xml:space="preserve">APSC may still employ that vendor.  The cost </w:t>
      </w:r>
      <w:r w:rsidR="00EA18DD">
        <w:t>overage</w:t>
      </w:r>
      <w:r w:rsidR="00DB76A5">
        <w:t xml:space="preserve">, however, </w:t>
      </w:r>
      <w:r w:rsidR="00EA18DD">
        <w:t xml:space="preserve">is APSC’s responsibility, not Sprint’s.  </w:t>
      </w:r>
      <w:r w:rsidR="000B28C4">
        <w:t xml:space="preserve">Thus, we do not question APSC’s desire to utilize </w:t>
      </w:r>
      <w:r w:rsidR="008A27FE">
        <w:t>certain</w:t>
      </w:r>
      <w:r w:rsidR="000B28C4">
        <w:t xml:space="preserve"> vendor</w:t>
      </w:r>
      <w:r w:rsidR="008A27FE">
        <w:t>s</w:t>
      </w:r>
      <w:r w:rsidR="000B28C4">
        <w:t xml:space="preserve"> </w:t>
      </w:r>
      <w:r w:rsidR="008A27FE">
        <w:t xml:space="preserve">or to employ </w:t>
      </w:r>
      <w:r w:rsidR="000B28C4">
        <w:t xml:space="preserve">specific personnel who have previous knowledge of </w:t>
      </w:r>
      <w:r w:rsidR="00EA18DD">
        <w:t>its</w:t>
      </w:r>
      <w:r w:rsidR="008A27FE">
        <w:t xml:space="preserve"> system</w:t>
      </w:r>
      <w:r w:rsidR="00496D20">
        <w:t>;</w:t>
      </w:r>
      <w:r w:rsidR="008A27FE">
        <w:t xml:space="preserve"> we only rule on whether a lower cost alternative is clearly available that would provide APSC with comparable facilities.</w:t>
      </w:r>
      <w:r w:rsidR="00963602">
        <w:rPr>
          <w:rStyle w:val="FootnoteReference"/>
        </w:rPr>
        <w:footnoteReference w:id="160"/>
      </w:r>
      <w:r w:rsidR="006B5872">
        <w:t xml:space="preserve"> </w:t>
      </w:r>
      <w:r w:rsidR="008A27FE">
        <w:t xml:space="preserve"> </w:t>
      </w:r>
    </w:p>
    <w:p w:rsidR="00AD02BB" w:rsidRDefault="00DB76A5" w:rsidP="00D9682E">
      <w:pPr>
        <w:pStyle w:val="ParaNum"/>
        <w:widowControl/>
      </w:pPr>
      <w:r>
        <w:t>W</w:t>
      </w:r>
      <w:r w:rsidR="008A27FE">
        <w:t xml:space="preserve">e agree with APSC that the Creative Quote </w:t>
      </w:r>
      <w:r>
        <w:t xml:space="preserve">may </w:t>
      </w:r>
      <w:r w:rsidR="008A27FE">
        <w:t>not</w:t>
      </w:r>
      <w:r>
        <w:t xml:space="preserve"> be</w:t>
      </w:r>
      <w:r w:rsidR="008A27FE">
        <w:t xml:space="preserve"> </w:t>
      </w:r>
      <w:r w:rsidR="00E04FE6">
        <w:t xml:space="preserve">complete </w:t>
      </w:r>
      <w:r w:rsidR="008A27FE">
        <w:t xml:space="preserve">and </w:t>
      </w:r>
      <w:r w:rsidR="00485F92">
        <w:t>were</w:t>
      </w:r>
      <w:r w:rsidR="008A27FE">
        <w:t xml:space="preserve"> </w:t>
      </w:r>
      <w:r>
        <w:t xml:space="preserve">hastily prepared </w:t>
      </w:r>
      <w:r w:rsidR="0042659E">
        <w:t>in contrast to</w:t>
      </w:r>
      <w:r>
        <w:t xml:space="preserve"> the five months of planning that went into the Harris quote.</w:t>
      </w:r>
      <w:r w:rsidR="007779A9">
        <w:rPr>
          <w:rStyle w:val="FootnoteReference"/>
        </w:rPr>
        <w:footnoteReference w:id="161"/>
      </w:r>
      <w:r w:rsidR="008A27FE">
        <w:t xml:space="preserve"> </w:t>
      </w:r>
      <w:r w:rsidR="00E04FE6">
        <w:t xml:space="preserve"> </w:t>
      </w:r>
      <w:r w:rsidR="001C67EC">
        <w:t xml:space="preserve">Even </w:t>
      </w:r>
      <w:r w:rsidR="00E04FE6">
        <w:t xml:space="preserve">accounting for </w:t>
      </w:r>
      <w:r w:rsidR="00496D20">
        <w:t xml:space="preserve">the </w:t>
      </w:r>
      <w:r w:rsidR="00E04FE6">
        <w:t>shortcomings</w:t>
      </w:r>
      <w:r w:rsidR="001C67EC">
        <w:t xml:space="preserve">, </w:t>
      </w:r>
      <w:r w:rsidR="00EE4722">
        <w:t>in</w:t>
      </w:r>
      <w:r w:rsidR="001C67EC">
        <w:t xml:space="preserve"> </w:t>
      </w:r>
      <w:r w:rsidR="002955D1">
        <w:t>the Creative Quote</w:t>
      </w:r>
      <w:r w:rsidR="00EE4722">
        <w:t>, it</w:t>
      </w:r>
      <w:r w:rsidR="002955D1">
        <w:t xml:space="preserve"> is so much less than the sum sought by APSC, </w:t>
      </w:r>
      <w:r w:rsidR="002955D1" w:rsidRPr="00D9682E">
        <w:rPr>
          <w:i/>
        </w:rPr>
        <w:t>i.e.</w:t>
      </w:r>
      <w:r w:rsidR="00EE4722">
        <w:rPr>
          <w:i/>
        </w:rPr>
        <w:t>,</w:t>
      </w:r>
      <w:r w:rsidR="002955D1">
        <w:t xml:space="preserve"> one-third as much, </w:t>
      </w:r>
      <w:r w:rsidR="001C67EC">
        <w:t xml:space="preserve">that it suggests </w:t>
      </w:r>
      <w:r w:rsidR="002955D1">
        <w:t xml:space="preserve">that APSC has not met, indeed, even approached, the </w:t>
      </w:r>
      <w:r w:rsidR="004C1F40">
        <w:t>Minimum Necessary Cost</w:t>
      </w:r>
      <w:r w:rsidR="002955D1">
        <w:t xml:space="preserve"> </w:t>
      </w:r>
      <w:r w:rsidR="0051531F">
        <w:t>S</w:t>
      </w:r>
      <w:r w:rsidR="002955D1">
        <w:t>tandard.</w:t>
      </w:r>
      <w:r w:rsidR="00A5074C">
        <w:t xml:space="preserve">  Our opinion in that regard is bolstered by the fact that APSC has not shown that its radios are unique or that its infrastructure is particularly challenging to reband. </w:t>
      </w:r>
      <w:r w:rsidR="001C67EC">
        <w:t xml:space="preserve"> Licensees are not required to seek competitive bids for rebanding services.  However, at a minimum, we would expect that a licensee proposing to have a Motorola system rebanded by a Motorola competitor, would at least investigate the availability of services from Motorola – the system’s vendor.  </w:t>
      </w:r>
      <w:r w:rsidR="001C7670">
        <w:t xml:space="preserve">Here, however, APSC merely speculated that Motorola and its service shops might be too busy to accommodate APSC’s needs, and </w:t>
      </w:r>
      <w:r w:rsidR="0042659E">
        <w:t xml:space="preserve">it </w:t>
      </w:r>
      <w:r w:rsidR="001C7670">
        <w:t>ignored ascertaining the availability</w:t>
      </w:r>
      <w:r w:rsidR="00C431EC">
        <w:t>—</w:t>
      </w:r>
      <w:r w:rsidR="001C7670">
        <w:t>and cost</w:t>
      </w:r>
      <w:r w:rsidR="00C431EC">
        <w:t>—</w:t>
      </w:r>
      <w:r w:rsidR="001C7670">
        <w:t>of their services.</w:t>
      </w:r>
      <w:r w:rsidR="005C002A">
        <w:rPr>
          <w:rStyle w:val="FootnoteReference"/>
        </w:rPr>
        <w:footnoteReference w:id="162"/>
      </w:r>
      <w:r w:rsidR="00A5074C">
        <w:t xml:space="preserve"> We conclude, therefore, that the Creative Quote </w:t>
      </w:r>
      <w:r w:rsidR="00DE41C7">
        <w:t>is entitled to some deference in our analysis</w:t>
      </w:r>
      <w:r w:rsidR="00A5074C">
        <w:t>.</w:t>
      </w:r>
      <w:r w:rsidR="00AD02BB">
        <w:t xml:space="preserve"> </w:t>
      </w:r>
    </w:p>
    <w:p w:rsidR="0051531F" w:rsidRDefault="00AD02BB" w:rsidP="00D9682E">
      <w:pPr>
        <w:pStyle w:val="ParaNum"/>
        <w:widowControl/>
      </w:pPr>
      <w:r>
        <w:t xml:space="preserve">Our conclusion that </w:t>
      </w:r>
      <w:r w:rsidR="002B6859">
        <w:t>APSC</w:t>
      </w:r>
      <w:r>
        <w:t xml:space="preserve"> has not met its evidentiary burden of establishing that its proposal meets the </w:t>
      </w:r>
      <w:r w:rsidR="004C1F40">
        <w:t>Minimum Necessary Cost</w:t>
      </w:r>
      <w:r>
        <w:t xml:space="preserve"> </w:t>
      </w:r>
      <w:r w:rsidR="0051531F">
        <w:t>S</w:t>
      </w:r>
      <w:r>
        <w:t xml:space="preserve">tandard is </w:t>
      </w:r>
      <w:r w:rsidR="00A5074C">
        <w:t xml:space="preserve">confirmed </w:t>
      </w:r>
      <w:r>
        <w:t xml:space="preserve">by the Cost Metrics Reports. </w:t>
      </w:r>
      <w:r w:rsidR="00F65970">
        <w:t xml:space="preserve"> We disagree with APSC</w:t>
      </w:r>
      <w:r w:rsidR="00660C1A">
        <w:t>’s contention</w:t>
      </w:r>
      <w:r w:rsidR="00F65970">
        <w:t xml:space="preserve"> that these reports have limited value</w:t>
      </w:r>
      <w:r w:rsidR="00F8769A">
        <w:t>.</w:t>
      </w:r>
      <w:r w:rsidR="00F8769A">
        <w:rPr>
          <w:rStyle w:val="FootnoteReference"/>
        </w:rPr>
        <w:footnoteReference w:id="163"/>
      </w:r>
      <w:r w:rsidR="00F8769A">
        <w:t xml:space="preserve">  </w:t>
      </w:r>
      <w:r w:rsidR="00DA6070">
        <w:t>They have factored in</w:t>
      </w:r>
      <w:r w:rsidR="00C93627">
        <w:t>to</w:t>
      </w:r>
      <w:r w:rsidR="00DA6070">
        <w:t xml:space="preserve"> many of our prior decisions</w:t>
      </w:r>
      <w:r w:rsidR="00DA6070">
        <w:rPr>
          <w:rStyle w:val="FootnoteReference"/>
        </w:rPr>
        <w:footnoteReference w:id="164"/>
      </w:r>
      <w:r w:rsidR="00DA6070">
        <w:t xml:space="preserve"> and have become more </w:t>
      </w:r>
      <w:r w:rsidR="00441B73">
        <w:t xml:space="preserve">relevant </w:t>
      </w:r>
      <w:r w:rsidR="00DA6070">
        <w:t xml:space="preserve">with time as additional rebandings have been added to the collected data. </w:t>
      </w:r>
      <w:r w:rsidR="00C93627">
        <w:t xml:space="preserve"> As Sprint points out, a licensee’s burden to show compliance with the Commission’s </w:t>
      </w:r>
      <w:r w:rsidR="004C1F40">
        <w:t>Minimum Necessary Cost</w:t>
      </w:r>
      <w:r w:rsidR="00C93627">
        <w:t xml:space="preserve"> </w:t>
      </w:r>
      <w:r w:rsidR="0051531F">
        <w:t>S</w:t>
      </w:r>
      <w:r w:rsidR="00C93627">
        <w:t xml:space="preserve">tandard, increases the </w:t>
      </w:r>
      <w:r w:rsidR="001A4631">
        <w:t xml:space="preserve">more </w:t>
      </w:r>
      <w:r w:rsidR="00C93627">
        <w:t>the licensee’s costs fall above the median costs in the TA Metrics.</w:t>
      </w:r>
      <w:r w:rsidR="001A4631">
        <w:rPr>
          <w:rStyle w:val="FootnoteReference"/>
        </w:rPr>
        <w:footnoteReference w:id="165"/>
      </w:r>
      <w:r w:rsidR="00C93627">
        <w:t xml:space="preserve">  Because </w:t>
      </w:r>
      <w:r w:rsidR="002B6859">
        <w:t>APSC</w:t>
      </w:r>
      <w:r w:rsidR="00C93627">
        <w:t xml:space="preserve">’s </w:t>
      </w:r>
      <w:r w:rsidR="001A4631">
        <w:t>equipment reconfiguration costs fall in the 98</w:t>
      </w:r>
      <w:r w:rsidR="001A4631" w:rsidRPr="00D9682E">
        <w:rPr>
          <w:vertAlign w:val="superscript"/>
        </w:rPr>
        <w:t>th</w:t>
      </w:r>
      <w:r w:rsidR="001A4631">
        <w:t xml:space="preserve"> percentile</w:t>
      </w:r>
      <w:r w:rsidR="0042659E">
        <w:t>,</w:t>
      </w:r>
      <w:r w:rsidR="001A4631">
        <w:t xml:space="preserve"> its burden is particularly heavy.</w:t>
      </w:r>
    </w:p>
    <w:p w:rsidR="0022738F" w:rsidRDefault="0051531F" w:rsidP="00D9682E">
      <w:pPr>
        <w:pStyle w:val="ParaNum"/>
        <w:widowControl/>
      </w:pPr>
      <w:r>
        <w:t>O</w:t>
      </w:r>
      <w:r w:rsidR="00331A23">
        <w:t>ur decision</w:t>
      </w:r>
      <w:r>
        <w:t xml:space="preserve"> regarding the TA Metrics</w:t>
      </w:r>
      <w:r w:rsidR="00331A23">
        <w:t xml:space="preserve"> deviates from the TA Mediator’s Recommended Resolution in which he discounts the applicability of the TA Metrics to APSC’s system because the TA Metrics were derived only from the rebanding costs of public safety 800 MHz systems, resulting in what the TA Mediator describes as an “apple and oranges” comparison.</w:t>
      </w:r>
      <w:r w:rsidR="00331A23">
        <w:rPr>
          <w:rStyle w:val="FootnoteReference"/>
        </w:rPr>
        <w:footnoteReference w:id="166"/>
      </w:r>
      <w:r w:rsidR="00331A23">
        <w:t xml:space="preserve">  The TA Mediator, however, fails to explain what decisionally significant differences exist between public safety and non-public safety systems</w:t>
      </w:r>
      <w:r w:rsidR="00CC7EDB">
        <w:t xml:space="preserve">.  The non-public safety subscriber equipment is equivalent and the infrastructure indistinguishable from that used by public safety 800 MHz licensees.  </w:t>
      </w:r>
      <w:r w:rsidR="0042659E">
        <w:t>Although</w:t>
      </w:r>
      <w:r w:rsidR="00CC7EDB">
        <w:t>, APSC has described its system as “a public safety system on steroids”</w:t>
      </w:r>
      <w:r w:rsidR="00CC7EDB">
        <w:rPr>
          <w:rStyle w:val="FootnoteReference"/>
        </w:rPr>
        <w:footnoteReference w:id="167"/>
      </w:r>
      <w:r w:rsidR="00CC7EDB">
        <w:t xml:space="preserve"> </w:t>
      </w:r>
      <w:r w:rsidR="0042659E">
        <w:t>it has not explained how the APSC system</w:t>
      </w:r>
      <w:r w:rsidR="00CC7EDB">
        <w:t xml:space="preserve"> with equivalent radios and indistinguishable </w:t>
      </w:r>
      <w:r w:rsidR="004C66AB">
        <w:t>infrastructure</w:t>
      </w:r>
      <w:r w:rsidR="0042659E">
        <w:t xml:space="preserve"> </w:t>
      </w:r>
      <w:r w:rsidR="004C66AB">
        <w:t xml:space="preserve">differs at all from a comparable public safety system. </w:t>
      </w:r>
      <w:r w:rsidR="0017103A">
        <w:t xml:space="preserve"> We also note that APSC chose to </w:t>
      </w:r>
      <w:r w:rsidR="00C50EBD">
        <w:t>compare its system to that of a public safety licensee when arguing that its proposed methodology had been employed in other 800 MHz rebandings.</w:t>
      </w:r>
      <w:r w:rsidR="00C50EBD">
        <w:rPr>
          <w:rStyle w:val="FootnoteReference"/>
        </w:rPr>
        <w:footnoteReference w:id="168"/>
      </w:r>
      <w:r w:rsidR="00C50EBD">
        <w:t xml:space="preserve"> </w:t>
      </w:r>
    </w:p>
    <w:p w:rsidR="00464E53" w:rsidRDefault="008C19E6" w:rsidP="00D9682E">
      <w:pPr>
        <w:pStyle w:val="ParaNum"/>
        <w:widowControl/>
      </w:pPr>
      <w:r>
        <w:t xml:space="preserve">  We are unpersuaded by </w:t>
      </w:r>
      <w:r w:rsidR="002B6859">
        <w:t>APSC</w:t>
      </w:r>
      <w:r>
        <w:t xml:space="preserve"> extracting the State of Alabama from the TA Metrics and then </w:t>
      </w:r>
      <w:r w:rsidR="009A79DE">
        <w:t xml:space="preserve">claiming </w:t>
      </w:r>
      <w:r>
        <w:t xml:space="preserve">that travel and lodging are </w:t>
      </w:r>
      <w:r w:rsidR="009A79DE">
        <w:t xml:space="preserve">allegedly </w:t>
      </w:r>
      <w:r>
        <w:t>more expensive</w:t>
      </w:r>
      <w:r w:rsidR="00862593">
        <w:t xml:space="preserve"> in Arizona than in Alabama</w:t>
      </w:r>
      <w:r w:rsidR="0042659E">
        <w:t xml:space="preserve">. Nor are we persuaded by APSC’s claim </w:t>
      </w:r>
      <w:r w:rsidR="00862593">
        <w:t xml:space="preserve">that the TA Metrics </w:t>
      </w:r>
      <w:r w:rsidR="0042659E">
        <w:t>makes</w:t>
      </w:r>
      <w:r w:rsidR="00862593">
        <w:t xml:space="preserve"> no adjustments for inflation.</w:t>
      </w:r>
      <w:r w:rsidR="00862593">
        <w:rPr>
          <w:rStyle w:val="FootnoteReference"/>
        </w:rPr>
        <w:footnoteReference w:id="169"/>
      </w:r>
      <w:r w:rsidR="001A4631">
        <w:t xml:space="preserve"> </w:t>
      </w:r>
      <w:r w:rsidR="00862593">
        <w:t xml:space="preserve"> </w:t>
      </w:r>
      <w:r w:rsidR="00464E53">
        <w:t xml:space="preserve">Even accepting </w:t>
      </w:r>
      <w:r w:rsidR="002B6859">
        <w:t>APSC</w:t>
      </w:r>
      <w:r w:rsidR="00464E53">
        <w:t xml:space="preserve">’s claims, we cannot reconcile them with a three-to-one difference between </w:t>
      </w:r>
      <w:r w:rsidR="002B6859">
        <w:t>APSC</w:t>
      </w:r>
      <w:r w:rsidR="00464E53">
        <w:t xml:space="preserve">’s proposed costs and those submitted by Creative, or with the fact that </w:t>
      </w:r>
      <w:r w:rsidR="002B6859">
        <w:t>APSC</w:t>
      </w:r>
      <w:r w:rsidR="00464E53">
        <w:t>’s proposal falls in the 98</w:t>
      </w:r>
      <w:r w:rsidR="00464E53" w:rsidRPr="00D9682E">
        <w:rPr>
          <w:vertAlign w:val="superscript"/>
        </w:rPr>
        <w:t>th</w:t>
      </w:r>
      <w:r w:rsidR="00464E53">
        <w:t xml:space="preserve"> percentile</w:t>
      </w:r>
      <w:r w:rsidR="00A031F9">
        <w:t xml:space="preserve"> for a system whose only distinction is that it is more geographically dispersed than some</w:t>
      </w:r>
      <w:r w:rsidR="00A40C93">
        <w:t>—</w:t>
      </w:r>
      <w:r w:rsidR="009A79DE">
        <w:t>but not all</w:t>
      </w:r>
      <w:r w:rsidR="00A40C93">
        <w:t>—</w:t>
      </w:r>
      <w:r w:rsidR="00A031F9">
        <w:t xml:space="preserve">systems considered in the TA Metrics.  Again, we can concede APSC’s geographical dispersion claim and still not </w:t>
      </w:r>
      <w:r w:rsidR="005F5BEF">
        <w:t xml:space="preserve">conclude that it accounts for the fact that Creative’s quote is one third of APSC’s claimed costs.  </w:t>
      </w:r>
      <w:r w:rsidR="0098054E">
        <w:t>Further</w:t>
      </w:r>
      <w:r w:rsidR="005F5BEF">
        <w:t>, we can concede that the Creative quote omitted some of services claimed by APSC</w:t>
      </w:r>
      <w:r w:rsidR="00C64CC9">
        <w:t xml:space="preserve"> without</w:t>
      </w:r>
      <w:r w:rsidR="005F5BEF">
        <w:t xml:space="preserve"> </w:t>
      </w:r>
      <w:r w:rsidR="00C64CC9">
        <w:t>concluding that such omission accounts for a three-to-one difference between the APSC and Creative costs.  In sum, our legal analysis rests on the fact that it is APSC</w:t>
      </w:r>
      <w:r w:rsidR="0079756B">
        <w:t>—</w:t>
      </w:r>
      <w:r w:rsidR="00C64CC9">
        <w:t>not Sprint</w:t>
      </w:r>
      <w:r w:rsidR="0079756B">
        <w:t>—</w:t>
      </w:r>
      <w:r w:rsidR="00C64CC9">
        <w:t>that has the burden of proof</w:t>
      </w:r>
      <w:r w:rsidR="008F3253">
        <w:t xml:space="preserve"> to show compliance with the </w:t>
      </w:r>
      <w:r w:rsidR="004C1F40">
        <w:t>Minimum Necessary Cost</w:t>
      </w:r>
      <w:r w:rsidR="008F3253">
        <w:t xml:space="preserve"> </w:t>
      </w:r>
      <w:r w:rsidR="00116DA3">
        <w:t>St</w:t>
      </w:r>
      <w:r w:rsidR="008F3253">
        <w:t xml:space="preserve">andard.  The TA Metrics and the Creative </w:t>
      </w:r>
      <w:r w:rsidR="009A79DE">
        <w:t>Q</w:t>
      </w:r>
      <w:r w:rsidR="008F3253">
        <w:t>uote convince us that</w:t>
      </w:r>
      <w:r w:rsidR="0079756B">
        <w:t>—</w:t>
      </w:r>
      <w:r w:rsidR="008F3253">
        <w:t xml:space="preserve">although there </w:t>
      </w:r>
      <w:r w:rsidR="00B13ED2">
        <w:t xml:space="preserve">may be </w:t>
      </w:r>
      <w:r w:rsidR="008F3253">
        <w:t xml:space="preserve">limitations </w:t>
      </w:r>
      <w:r w:rsidR="009A79DE">
        <w:t>to</w:t>
      </w:r>
      <w:r w:rsidR="008F3253">
        <w:t xml:space="preserve"> both</w:t>
      </w:r>
      <w:r w:rsidR="0098054E">
        <w:t>,</w:t>
      </w:r>
      <w:r w:rsidR="0079756B">
        <w:t>—</w:t>
      </w:r>
      <w:r w:rsidR="008F3253">
        <w:t xml:space="preserve">they act in combination to lead us to conclude that APSC has not met </w:t>
      </w:r>
      <w:r w:rsidR="001030C9">
        <w:t xml:space="preserve">the </w:t>
      </w:r>
      <w:r w:rsidR="004C1F40">
        <w:t>Minimum Necessary Cost</w:t>
      </w:r>
      <w:r w:rsidR="008F3253">
        <w:t xml:space="preserve"> </w:t>
      </w:r>
      <w:r w:rsidR="00116DA3">
        <w:t>S</w:t>
      </w:r>
      <w:r w:rsidR="005C002A">
        <w:t>tandard</w:t>
      </w:r>
      <w:r w:rsidR="008F3253">
        <w:t>; , therefore, we cannot, consistent with precedent,</w:t>
      </w:r>
      <w:r w:rsidR="001030C9">
        <w:rPr>
          <w:rStyle w:val="FootnoteReference"/>
        </w:rPr>
        <w:footnoteReference w:id="170"/>
      </w:r>
      <w:r w:rsidR="008F3253">
        <w:t xml:space="preserve"> sanction APSC’</w:t>
      </w:r>
      <w:r w:rsidR="001030C9">
        <w:t>s claimed costs.</w:t>
      </w:r>
    </w:p>
    <w:p w:rsidR="000712A0" w:rsidRDefault="000712A0" w:rsidP="00D9682E">
      <w:pPr>
        <w:pStyle w:val="ParaNum"/>
        <w:widowControl/>
      </w:pPr>
      <w:r>
        <w:t xml:space="preserve">APSC has not </w:t>
      </w:r>
      <w:r w:rsidR="00B13ED2">
        <w:t xml:space="preserve">carried its burden to show that </w:t>
      </w:r>
      <w:r>
        <w:t xml:space="preserve">its cost estimate meets the </w:t>
      </w:r>
      <w:r w:rsidRPr="000712A0">
        <w:t xml:space="preserve">Minimum </w:t>
      </w:r>
      <w:r w:rsidR="00B13ED2">
        <w:t xml:space="preserve">Necessary </w:t>
      </w:r>
      <w:r w:rsidRPr="000712A0">
        <w:t>Cost Standard</w:t>
      </w:r>
      <w:r w:rsidR="00B13ED2">
        <w:t>.  Accordingly</w:t>
      </w:r>
      <w:r>
        <w:t xml:space="preserve">, we concur with the </w:t>
      </w:r>
      <w:r w:rsidR="00BE12D2">
        <w:t>TA Mediator</w:t>
      </w:r>
      <w:r>
        <w:t xml:space="preserve"> and </w:t>
      </w:r>
      <w:r w:rsidR="00B067C6">
        <w:t>find that Sprint’s counter-offer of $802,617</w:t>
      </w:r>
      <w:r w:rsidR="0079756B">
        <w:t>—</w:t>
      </w:r>
      <w:r w:rsidR="00B13ED2">
        <w:t xml:space="preserve"> as adjusted below</w:t>
      </w:r>
      <w:r w:rsidR="0079756B">
        <w:t>—</w:t>
      </w:r>
      <w:r w:rsidR="00B067C6">
        <w:t>is a reasonable cost to reconfigure APSC</w:t>
      </w:r>
      <w:r w:rsidR="00B13ED2">
        <w:t>’s system</w:t>
      </w:r>
      <w:r w:rsidR="00B067C6">
        <w:t xml:space="preserve">.  </w:t>
      </w:r>
    </w:p>
    <w:p w:rsidR="006B53E2" w:rsidRDefault="006B53E2" w:rsidP="00D9682E">
      <w:pPr>
        <w:pStyle w:val="Heading2"/>
        <w:widowControl/>
      </w:pPr>
      <w:r>
        <w:t>Specific SOW Issues</w:t>
      </w:r>
    </w:p>
    <w:p w:rsidR="00FF6464" w:rsidRDefault="006B53E2" w:rsidP="00D9682E">
      <w:pPr>
        <w:pStyle w:val="ParaNum"/>
        <w:widowControl/>
      </w:pPr>
      <w:r>
        <w:rPr>
          <w:i/>
        </w:rPr>
        <w:t xml:space="preserve">Code Plugs.  </w:t>
      </w:r>
      <w:r>
        <w:t xml:space="preserve">We </w:t>
      </w:r>
      <w:r w:rsidR="00B13135">
        <w:t>concur with the</w:t>
      </w:r>
      <w:r w:rsidR="00B13ED2">
        <w:t xml:space="preserve"> TA M</w:t>
      </w:r>
      <w:r w:rsidR="00B13135">
        <w:t xml:space="preserve">ediator and find that APSC has not met its burden of proof to allocate funds sufficient to </w:t>
      </w:r>
      <w:r w:rsidR="005F2099">
        <w:t xml:space="preserve">fund </w:t>
      </w:r>
      <w:r w:rsidR="00B13135">
        <w:t xml:space="preserve">code plug rebuilds </w:t>
      </w:r>
      <w:r w:rsidR="005F2099">
        <w:t xml:space="preserve">for one quarter of the </w:t>
      </w:r>
      <w:r w:rsidR="00B12933">
        <w:t>em</w:t>
      </w:r>
      <w:r w:rsidR="005F2099">
        <w:t>bedded subscriber base</w:t>
      </w:r>
      <w:r w:rsidR="00B13135">
        <w:t>.  Its subsequent position that</w:t>
      </w:r>
      <w:r w:rsidR="009A79DE">
        <w:t>,</w:t>
      </w:r>
      <w:r w:rsidR="00B13135">
        <w:t xml:space="preserve"> because </w:t>
      </w:r>
      <w:r w:rsidR="005F2099">
        <w:t xml:space="preserve">the number of </w:t>
      </w:r>
      <w:r w:rsidR="00B13135">
        <w:t xml:space="preserve">radios </w:t>
      </w:r>
      <w:r w:rsidR="005F2099">
        <w:t xml:space="preserve">that </w:t>
      </w:r>
      <w:r w:rsidR="00B13135">
        <w:t xml:space="preserve">will require rebuilds </w:t>
      </w:r>
      <w:r w:rsidR="005F2099">
        <w:t>“is not zero</w:t>
      </w:r>
      <w:r w:rsidR="009A79DE">
        <w:t>;</w:t>
      </w:r>
      <w:r w:rsidR="005F2099">
        <w:t xml:space="preserve">” </w:t>
      </w:r>
      <w:r w:rsidR="00B13135">
        <w:t>it is more cost-effective to allocate the funds up front, rather than using the change notice process does not overcome this deficiency.</w:t>
      </w:r>
      <w:r w:rsidR="005F2099">
        <w:rPr>
          <w:rStyle w:val="FootnoteReference"/>
        </w:rPr>
        <w:footnoteReference w:id="171"/>
      </w:r>
      <w:r w:rsidR="00B13135">
        <w:t xml:space="preserve">  </w:t>
      </w:r>
      <w:r w:rsidR="005F2099">
        <w:t xml:space="preserve">While we </w:t>
      </w:r>
      <w:r w:rsidR="00B12933">
        <w:t xml:space="preserve">may </w:t>
      </w:r>
      <w:r w:rsidR="005F2099">
        <w:t>agree that the number of radios needing code plug rebuilds is probabl</w:t>
      </w:r>
      <w:r w:rsidR="00B12933">
        <w:t>y</w:t>
      </w:r>
      <w:r w:rsidR="005F2099">
        <w:t xml:space="preserve"> not zero, APSC has offered no specific evidence to support its </w:t>
      </w:r>
      <w:r w:rsidR="00B12933">
        <w:t xml:space="preserve">speculative </w:t>
      </w:r>
      <w:r w:rsidR="005F2099">
        <w:t xml:space="preserve">estimate that almost 800 radios will require such work.  </w:t>
      </w:r>
      <w:r w:rsidR="00B12933">
        <w:t xml:space="preserve">Accordingly, when and if field experience demonstrates that a specific number of radios require code plug revisions, APSC </w:t>
      </w:r>
      <w:r w:rsidR="00FF6464">
        <w:t xml:space="preserve">can use the change notice process to </w:t>
      </w:r>
      <w:r w:rsidR="00B12933">
        <w:t xml:space="preserve">obtain funds for rebuilding that specific number of code plugs. </w:t>
      </w:r>
    </w:p>
    <w:p w:rsidR="00C805DB" w:rsidRDefault="00FF6464" w:rsidP="00D9682E">
      <w:pPr>
        <w:pStyle w:val="ParaNum"/>
        <w:widowControl/>
      </w:pPr>
      <w:r w:rsidRPr="00FF6464">
        <w:rPr>
          <w:i/>
        </w:rPr>
        <w:t>M</w:t>
      </w:r>
      <w:r w:rsidR="00EE4722">
        <w:rPr>
          <w:i/>
        </w:rPr>
        <w:t>IA Radios</w:t>
      </w:r>
      <w:r>
        <w:t xml:space="preserve">.  </w:t>
      </w:r>
      <w:r w:rsidR="00006D59">
        <w:t xml:space="preserve">First, we observe that </w:t>
      </w:r>
      <w:r w:rsidR="00EE4722">
        <w:t xml:space="preserve">MIA </w:t>
      </w:r>
      <w:r w:rsidR="00006D59">
        <w:t xml:space="preserve">radios – radios that are not made available for retuning on schedule – are </w:t>
      </w:r>
      <w:r w:rsidR="00EE4722">
        <w:t xml:space="preserve">largely </w:t>
      </w:r>
      <w:r w:rsidR="00006D59">
        <w:t xml:space="preserve">within the control of the licensee whose personnel are responsible for providing the radios to the retuning technicians.  Secondly, we </w:t>
      </w:r>
      <w:r w:rsidR="00E23DB4">
        <w:t xml:space="preserve">concur with the </w:t>
      </w:r>
      <w:r w:rsidR="00EE4722">
        <w:t>TA M</w:t>
      </w:r>
      <w:r w:rsidR="00E23DB4">
        <w:t xml:space="preserve">ediator that </w:t>
      </w:r>
      <w:r w:rsidR="00C805DB">
        <w:t xml:space="preserve">Sprint has already factored a certain level of </w:t>
      </w:r>
      <w:r w:rsidR="00006D59">
        <w:t xml:space="preserve">missing in action </w:t>
      </w:r>
      <w:r w:rsidR="00C805DB">
        <w:t>radios into its cost estimate</w:t>
      </w:r>
      <w:r w:rsidR="00006D59">
        <w:t>.  If, through no fault of the licensee, additional radios are missing in action, APSC may resort to the change notice process to account for any additional costs incurred.</w:t>
      </w:r>
      <w:r w:rsidR="00E23DB4">
        <w:t xml:space="preserve"> </w:t>
      </w:r>
    </w:p>
    <w:p w:rsidR="00053751" w:rsidRDefault="00C805DB" w:rsidP="00D9682E">
      <w:pPr>
        <w:pStyle w:val="ParaNum"/>
        <w:widowControl/>
      </w:pPr>
      <w:r>
        <w:rPr>
          <w:i/>
        </w:rPr>
        <w:t>M</w:t>
      </w:r>
      <w:r w:rsidR="00006D59">
        <w:rPr>
          <w:i/>
        </w:rPr>
        <w:t>otor</w:t>
      </w:r>
      <w:r>
        <w:rPr>
          <w:i/>
        </w:rPr>
        <w:t xml:space="preserve"> Homes</w:t>
      </w:r>
      <w:r w:rsidR="00DE3DC5" w:rsidRPr="00DE3DC5">
        <w:t>.</w:t>
      </w:r>
      <w:r w:rsidR="00DE3DC5">
        <w:t xml:space="preserve">  We find that APSC has not justified the rental of two recreational vehicles as mobile work places. </w:t>
      </w:r>
      <w:r w:rsidR="00216E83">
        <w:t xml:space="preserve"> In rebanding, at least a modicum of cooperation is required of the licensee and radios conventionally are retuned at the licensee’s premises.  We find that cooperation lacking here.  Thus, APSC contends that </w:t>
      </w:r>
      <w:r w:rsidR="00053751">
        <w:t xml:space="preserve">it has identified fifty </w:t>
      </w:r>
      <w:r w:rsidR="00216E83">
        <w:t xml:space="preserve">retuning </w:t>
      </w:r>
      <w:r w:rsidR="00053751">
        <w:t xml:space="preserve"> sites state-wide, </w:t>
      </w:r>
      <w:r w:rsidR="00216E83">
        <w:t xml:space="preserve">but </w:t>
      </w:r>
      <w:r w:rsidR="00053751">
        <w:t xml:space="preserve">cannot </w:t>
      </w:r>
      <w:r w:rsidR="00216E83">
        <w:t>“</w:t>
      </w:r>
      <w:r w:rsidR="00053751">
        <w:t>guarantee</w:t>
      </w:r>
      <w:r w:rsidR="00216E83">
        <w:t>”</w:t>
      </w:r>
      <w:r w:rsidR="00053751">
        <w:t xml:space="preserve"> that </w:t>
      </w:r>
      <w:r w:rsidR="00216E83">
        <w:t xml:space="preserve">retuning </w:t>
      </w:r>
      <w:r w:rsidR="00053751">
        <w:t>space will be available at these locations</w:t>
      </w:r>
      <w:r w:rsidR="00DB0195">
        <w:t>,</w:t>
      </w:r>
      <w:r w:rsidR="00A24CF5">
        <w:rPr>
          <w:rStyle w:val="FootnoteReference"/>
        </w:rPr>
        <w:footnoteReference w:id="172"/>
      </w:r>
      <w:r w:rsidR="00DB0195">
        <w:t xml:space="preserve"> and, therefore, that the motor homes are required.  We are not persuaded by this claim</w:t>
      </w:r>
      <w:r w:rsidR="0098054E">
        <w:t>,</w:t>
      </w:r>
      <w:r w:rsidR="00DB0195">
        <w:t xml:space="preserve"> because it is not supported by any indication of effort on APSC’s part to determine whether retuning space is available at APSC’s facilities.  </w:t>
      </w:r>
      <w:r w:rsidR="002F6A39">
        <w:t>Therefore, we disallow APSC’s claim for motor homes as it does not represent the Minimum Necessary Cost of retuning APSC’s radios.</w:t>
      </w:r>
      <w:r w:rsidR="009A79DE">
        <w:t xml:space="preserve">  </w:t>
      </w:r>
    </w:p>
    <w:p w:rsidR="00406FB6" w:rsidRPr="00180705" w:rsidRDefault="001F2589" w:rsidP="00D9682E">
      <w:pPr>
        <w:pStyle w:val="ParaNum"/>
        <w:widowControl/>
      </w:pPr>
      <w:r>
        <w:rPr>
          <w:i/>
        </w:rPr>
        <w:t>Harris Staffing</w:t>
      </w:r>
      <w:r w:rsidR="006E5AC8" w:rsidRPr="006E5AC8">
        <w:t>.</w:t>
      </w:r>
      <w:r w:rsidR="006E5AC8">
        <w:t xml:space="preserve">  We </w:t>
      </w:r>
      <w:r w:rsidR="00445D6E">
        <w:t>find that the Sprint’s allocation of $1</w:t>
      </w:r>
      <w:r w:rsidR="001D2778">
        <w:t xml:space="preserve">07,450 </w:t>
      </w:r>
      <w:r w:rsidR="00445D6E">
        <w:t>for the functions of</w:t>
      </w:r>
      <w:r w:rsidR="0052208D">
        <w:t xml:space="preserve"> the</w:t>
      </w:r>
      <w:r w:rsidR="00445D6E">
        <w:t xml:space="preserve"> Quality Assurance Manager is sufficient.  </w:t>
      </w:r>
      <w:r w:rsidR="00CD3C32">
        <w:t xml:space="preserve">We accept the Sprint allocation because </w:t>
      </w:r>
      <w:r w:rsidR="00C50543">
        <w:t xml:space="preserve">the </w:t>
      </w:r>
      <w:r w:rsidR="009A79DE">
        <w:t>$</w:t>
      </w:r>
      <w:r w:rsidR="00870B86">
        <w:t>371,707.68</w:t>
      </w:r>
      <w:r w:rsidR="009A79DE">
        <w:t xml:space="preserve"> </w:t>
      </w:r>
      <w:r w:rsidR="00C50543">
        <w:t xml:space="preserve">requested by </w:t>
      </w:r>
      <w:r w:rsidR="00CD3C32">
        <w:t>APSC</w:t>
      </w:r>
      <w:r w:rsidR="00C50543">
        <w:t xml:space="preserve"> </w:t>
      </w:r>
      <w:r w:rsidR="00CD3C32">
        <w:t xml:space="preserve">for a Quality Assurance Manager </w:t>
      </w:r>
      <w:r w:rsidR="00C50543">
        <w:t xml:space="preserve">includes </w:t>
      </w:r>
      <w:r w:rsidR="00CD3C32">
        <w:t xml:space="preserve">services </w:t>
      </w:r>
      <w:r w:rsidR="00AC1A7D">
        <w:t xml:space="preserve">also </w:t>
      </w:r>
      <w:r w:rsidR="00CD3C32">
        <w:t xml:space="preserve">proposed to be performed by others, including the System Engineer.  </w:t>
      </w:r>
      <w:r w:rsidR="00C50543">
        <w:t xml:space="preserve">Although Sprint contends that </w:t>
      </w:r>
      <w:r w:rsidR="00EA2856">
        <w:t>the services of a Harris System</w:t>
      </w:r>
      <w:r w:rsidR="00C50543">
        <w:t xml:space="preserve"> Engineer are unnecessary, </w:t>
      </w:r>
      <w:r w:rsidR="00EA2856">
        <w:t xml:space="preserve">we disagree, </w:t>
      </w:r>
      <w:r w:rsidR="00EA2856" w:rsidRPr="00A17FE9">
        <w:rPr>
          <w:i/>
        </w:rPr>
        <w:t>inter alia</w:t>
      </w:r>
      <w:r w:rsidR="00EA2856">
        <w:t xml:space="preserve"> because we have approved use of a Harris System Engineer in a similar case which we have reviewed,</w:t>
      </w:r>
      <w:r w:rsidR="00EA2856">
        <w:rPr>
          <w:rStyle w:val="FootnoteReference"/>
        </w:rPr>
        <w:footnoteReference w:id="173"/>
      </w:r>
      <w:r w:rsidR="00EA2856">
        <w:t xml:space="preserve"> and because the amount requested by APSC</w:t>
      </w:r>
      <w:r w:rsidR="00870B86">
        <w:t>—</w:t>
      </w:r>
      <w:r w:rsidR="00504339">
        <w:t>$26,</w:t>
      </w:r>
      <w:r w:rsidR="00AC1A7D">
        <w:t>346</w:t>
      </w:r>
      <w:r w:rsidR="00870B86">
        <w:t>—</w:t>
      </w:r>
      <w:r w:rsidR="00EA2856">
        <w:t xml:space="preserve">is reasonable for the services to be provided.  We therefore agree with the </w:t>
      </w:r>
      <w:r w:rsidR="00BE12D2">
        <w:t>TA Mediator</w:t>
      </w:r>
      <w:r w:rsidR="00EA2856">
        <w:t xml:space="preserve"> and approve the amount </w:t>
      </w:r>
      <w:r w:rsidR="00E3459C">
        <w:t>requested by APSC</w:t>
      </w:r>
      <w:r w:rsidR="009A79DE">
        <w:t xml:space="preserve"> for the System Engineer</w:t>
      </w:r>
      <w:r w:rsidR="00E3459C">
        <w:t xml:space="preserve">. </w:t>
      </w:r>
    </w:p>
    <w:p w:rsidR="00986A0B" w:rsidRDefault="000218A5" w:rsidP="00D9682E">
      <w:pPr>
        <w:pStyle w:val="ParaNum"/>
        <w:widowControl/>
      </w:pPr>
      <w:r>
        <w:rPr>
          <w:i/>
        </w:rPr>
        <w:t xml:space="preserve">Computer Services.  </w:t>
      </w:r>
      <w:r>
        <w:t xml:space="preserve">We find APSC has </w:t>
      </w:r>
      <w:r w:rsidR="009A79DE">
        <w:t xml:space="preserve">adequately </w:t>
      </w:r>
      <w:r>
        <w:t xml:space="preserve">justified </w:t>
      </w:r>
      <w:r w:rsidR="00986A0B">
        <w:t>its request to isolate</w:t>
      </w:r>
      <w:r w:rsidR="00E3459C">
        <w:t xml:space="preserve"> the</w:t>
      </w:r>
      <w:r w:rsidR="00986A0B">
        <w:t xml:space="preserve"> programming computers</w:t>
      </w:r>
      <w:r w:rsidR="00E3459C">
        <w:t xml:space="preserve"> from external connections and to use programming software supplied by APSC.  </w:t>
      </w:r>
      <w:r w:rsidR="00726A7D">
        <w:t>We therefore approve the services of an IT technician to load the programming software and oversee its use.  We decline, however, to approve database development work to re</w:t>
      </w:r>
      <w:r w:rsidR="009F24E5">
        <w:t>cord programming progress.  The programming technicians can memorialize their efforts on spreadsheet</w:t>
      </w:r>
      <w:r w:rsidR="00EE22E2">
        <w:t xml:space="preserve">s.   We find reasonable APSC’s </w:t>
      </w:r>
      <w:r w:rsidR="00986A0B">
        <w:t>request for $7,970 ($2.50 per subscriber radio)</w:t>
      </w:r>
      <w:r w:rsidR="00986A0B">
        <w:rPr>
          <w:rStyle w:val="FootnoteReference"/>
        </w:rPr>
        <w:footnoteReference w:id="174"/>
      </w:r>
      <w:r w:rsidR="00986A0B">
        <w:t xml:space="preserve"> to </w:t>
      </w:r>
      <w:r w:rsidR="00EE22E2">
        <w:t xml:space="preserve">originate and </w:t>
      </w:r>
      <w:r w:rsidR="00986A0B">
        <w:t xml:space="preserve">maintain </w:t>
      </w:r>
      <w:r w:rsidR="00EE22E2">
        <w:t xml:space="preserve">such </w:t>
      </w:r>
      <w:r w:rsidR="00986A0B">
        <w:t>spreadsheet</w:t>
      </w:r>
      <w:r w:rsidR="00EE22E2">
        <w:t>s</w:t>
      </w:r>
      <w:r w:rsidR="00986A0B">
        <w:t>.</w:t>
      </w:r>
    </w:p>
    <w:p w:rsidR="00C26D56" w:rsidRDefault="0079789E" w:rsidP="00D9682E">
      <w:pPr>
        <w:pStyle w:val="ParaNum"/>
        <w:widowControl/>
      </w:pPr>
      <w:r w:rsidRPr="006D7F04">
        <w:rPr>
          <w:i/>
        </w:rPr>
        <w:t xml:space="preserve">Licensee Internal Costs. </w:t>
      </w:r>
      <w:r w:rsidRPr="003F743F">
        <w:t xml:space="preserve"> </w:t>
      </w:r>
      <w:r>
        <w:t xml:space="preserve">We </w:t>
      </w:r>
      <w:r w:rsidR="004E39F6">
        <w:t>dis</w:t>
      </w:r>
      <w:r>
        <w:t xml:space="preserve">agree with </w:t>
      </w:r>
      <w:r w:rsidR="001B28DD">
        <w:t xml:space="preserve">APSC that its </w:t>
      </w:r>
      <w:r>
        <w:t xml:space="preserve">proposal of </w:t>
      </w:r>
      <w:r w:rsidR="004E39F6">
        <w:t xml:space="preserve">$284,000 </w:t>
      </w:r>
      <w:r w:rsidR="004A4B3C">
        <w:t>(</w:t>
      </w:r>
      <w:r>
        <w:t>one half hour per radio per touch</w:t>
      </w:r>
      <w:r w:rsidR="004A4B3C">
        <w:t>)</w:t>
      </w:r>
      <w:r>
        <w:t xml:space="preserve"> for services by </w:t>
      </w:r>
      <w:r w:rsidR="00F67D5E">
        <w:t xml:space="preserve">APSC </w:t>
      </w:r>
      <w:r>
        <w:t>employees in connection with subscriber reconfiguration</w:t>
      </w:r>
      <w:r w:rsidR="001B28DD">
        <w:t xml:space="preserve"> is either necessary or conforms to the Minimum </w:t>
      </w:r>
      <w:r w:rsidR="002240F9">
        <w:t xml:space="preserve">Necessary </w:t>
      </w:r>
      <w:r w:rsidR="001B28DD">
        <w:t>Cost Standard.</w:t>
      </w:r>
      <w:r w:rsidR="001B28DD" w:rsidRPr="001B28DD">
        <w:rPr>
          <w:vertAlign w:val="superscript"/>
        </w:rPr>
        <w:footnoteReference w:id="175"/>
      </w:r>
      <w:r w:rsidR="001B28DD">
        <w:t xml:space="preserve">  As Sprint notes, </w:t>
      </w:r>
      <w:r w:rsidR="00604E3A">
        <w:t>APSC</w:t>
      </w:r>
      <w:r w:rsidR="00A733C0">
        <w:t>’s</w:t>
      </w:r>
      <w:r w:rsidR="001B28DD">
        <w:t xml:space="preserve"> proposal for its </w:t>
      </w:r>
      <w:r w:rsidR="00AC1A7D">
        <w:t xml:space="preserve">internal </w:t>
      </w:r>
      <w:r w:rsidR="001B28DD">
        <w:t xml:space="preserve">staff’s involvement in the subscriber reconfiguration </w:t>
      </w:r>
      <w:r w:rsidR="00A733C0">
        <w:t>process would equate to more than 50% of the time taken to retune a radio.</w:t>
      </w:r>
      <w:r w:rsidR="00A733C0">
        <w:rPr>
          <w:rStyle w:val="FootnoteReference"/>
        </w:rPr>
        <w:footnoteReference w:id="176"/>
      </w:r>
      <w:r w:rsidR="001D16B2">
        <w:t xml:space="preserve">  We </w:t>
      </w:r>
      <w:r w:rsidR="00AC1A7D">
        <w:t xml:space="preserve">perceive </w:t>
      </w:r>
      <w:r w:rsidR="001D16B2">
        <w:t>a contradiction between APSC’s proposal and its claim that “</w:t>
      </w:r>
      <w:r w:rsidR="001D16B2" w:rsidRPr="001D16B2">
        <w:t>APS does not have sufficient internal resources with the skill set necessary to manage and</w:t>
      </w:r>
      <w:r w:rsidR="001D16B2">
        <w:t xml:space="preserve"> </w:t>
      </w:r>
      <w:r w:rsidR="001D16B2" w:rsidRPr="001D16B2">
        <w:t>audit a project of this magnitude and duration while continuing to support daily operational</w:t>
      </w:r>
      <w:r w:rsidR="001D16B2">
        <w:t xml:space="preserve"> </w:t>
      </w:r>
      <w:r w:rsidR="001D16B2" w:rsidRPr="001D16B2">
        <w:t>needs.</w:t>
      </w:r>
      <w:r w:rsidR="001D16B2">
        <w:t>”</w:t>
      </w:r>
      <w:r w:rsidR="001D16B2">
        <w:rPr>
          <w:rStyle w:val="FootnoteReference"/>
        </w:rPr>
        <w:footnoteReference w:id="177"/>
      </w:r>
      <w:r w:rsidR="00EF61D7">
        <w:t xml:space="preserve">  Thus, it is difficult to understand how, given this staff shortage, APSC could assign </w:t>
      </w:r>
      <w:r w:rsidR="00186E9C">
        <w:t xml:space="preserve">its </w:t>
      </w:r>
      <w:r w:rsidR="00EF61D7">
        <w:t xml:space="preserve">staff </w:t>
      </w:r>
      <w:r w:rsidR="00C26D56">
        <w:t xml:space="preserve"> </w:t>
      </w:r>
      <w:r w:rsidR="00EF61D7">
        <w:t xml:space="preserve">to </w:t>
      </w:r>
      <w:r w:rsidR="00C26D56">
        <w:t xml:space="preserve">3,030 </w:t>
      </w:r>
      <w:r w:rsidR="00EF61D7">
        <w:t>hours of effort in support of reconfiguration of subscriber units.</w:t>
      </w:r>
      <w:r w:rsidR="00186E9C">
        <w:t xml:space="preserve">  Similarly, </w:t>
      </w:r>
      <w:r w:rsidR="00C26D56">
        <w:t xml:space="preserve">because we do not approve the 3,030 hours of staff effort, we cannot logically </w:t>
      </w:r>
      <w:r w:rsidR="00186E9C">
        <w:t xml:space="preserve">approve APSC’s requested 336.5 hours of internal project management time associated </w:t>
      </w:r>
      <w:r w:rsidR="00C26D56">
        <w:t>with managing the participation of its employees in the rebanding effort.</w:t>
      </w:r>
      <w:r w:rsidR="001E5E1C">
        <w:t xml:space="preserve">  </w:t>
      </w:r>
      <w:r w:rsidR="00C26D56">
        <w:t xml:space="preserve">  </w:t>
      </w:r>
    </w:p>
    <w:p w:rsidR="003800B5" w:rsidRDefault="00C26D56" w:rsidP="00D9682E">
      <w:pPr>
        <w:pStyle w:val="ParaNum"/>
        <w:widowControl/>
      </w:pPr>
      <w:r>
        <w:t xml:space="preserve">  </w:t>
      </w:r>
      <w:r w:rsidR="001E5E1C">
        <w:t>We agree with Sprint that the services to be provided by APSC’s internal staff in connection with subscriber unit rebanding should not be calculated on a “per-radio” basis.</w:t>
      </w:r>
      <w:r w:rsidR="002F36E7">
        <w:rPr>
          <w:rStyle w:val="FootnoteReference"/>
        </w:rPr>
        <w:footnoteReference w:id="178"/>
      </w:r>
      <w:r w:rsidR="001E5E1C">
        <w:t xml:space="preserve">  We also agree with Sprint that one hour per day of internal staff time should suffice for the limited tasks that internal </w:t>
      </w:r>
      <w:r w:rsidR="00485F92">
        <w:t>staff is</w:t>
      </w:r>
      <w:r w:rsidR="001E5E1C">
        <w:t xml:space="preserve"> charged with.  </w:t>
      </w:r>
      <w:r w:rsidR="00E56835">
        <w:t xml:space="preserve">But we agree with the </w:t>
      </w:r>
      <w:r w:rsidR="00BE12D2">
        <w:t>TA Mediator</w:t>
      </w:r>
      <w:r w:rsidR="00E56835">
        <w:t xml:space="preserve"> as well, that one-hour per day is inadequate when it is considered that there will be “two separate programming teams working simultaneously at two different locations” thus justifying doubling Sprint’s estimate, </w:t>
      </w:r>
      <w:r w:rsidR="00E56835" w:rsidRPr="00904615">
        <w:rPr>
          <w:i/>
        </w:rPr>
        <w:t>i.e.</w:t>
      </w:r>
      <w:r w:rsidR="00E56835">
        <w:rPr>
          <w:i/>
        </w:rPr>
        <w:t xml:space="preserve">, </w:t>
      </w:r>
      <w:r w:rsidR="00E56835">
        <w:t>to two hours per day (304 hours total) at a cost of $28,500.</w:t>
      </w:r>
      <w:r w:rsidR="00E56835">
        <w:rPr>
          <w:rStyle w:val="FootnoteReference"/>
        </w:rPr>
        <w:footnoteReference w:id="179"/>
      </w:r>
      <w:r w:rsidR="00E56835">
        <w:t xml:space="preserve"> </w:t>
      </w:r>
      <w:r w:rsidR="00AC1A7D">
        <w:t xml:space="preserve"> </w:t>
      </w:r>
      <w:r w:rsidR="005649B0">
        <w:t xml:space="preserve">Given the reduction of the amount allocated for internal staff time in connection with reconfiguration of subscriber units, APSC’s request for 336.5 hours of management oversight is excessive.  Accordingly we agree with the </w:t>
      </w:r>
      <w:r w:rsidR="00BE12D2">
        <w:t>TA Mediator</w:t>
      </w:r>
      <w:r w:rsidR="005649B0">
        <w:t xml:space="preserve"> that $8,536 for such management oversight (two hours/week for 22 weeks, for</w:t>
      </w:r>
      <w:r w:rsidR="002F36E7">
        <w:t xml:space="preserve"> overseeing</w:t>
      </w:r>
      <w:r w:rsidR="005649B0">
        <w:t xml:space="preserve"> two rebanding teams) comes within the </w:t>
      </w:r>
      <w:r w:rsidR="004C1F40">
        <w:t>Minimum Necessary Cost</w:t>
      </w:r>
      <w:r w:rsidR="005649B0">
        <w:t xml:space="preserve"> Standard.</w:t>
      </w:r>
      <w:r w:rsidR="0015215E">
        <w:t xml:space="preserve">  </w:t>
      </w:r>
    </w:p>
    <w:p w:rsidR="0044765F" w:rsidRDefault="00CF1F82" w:rsidP="00D9682E">
      <w:pPr>
        <w:pStyle w:val="ParaNum"/>
        <w:widowControl/>
      </w:pPr>
      <w:r>
        <w:rPr>
          <w:i/>
        </w:rPr>
        <w:t>Federal Costs.</w:t>
      </w:r>
      <w:r>
        <w:t xml:space="preserve">  </w:t>
      </w:r>
      <w:r w:rsidR="008F4BC8">
        <w:t>W</w:t>
      </w:r>
      <w:r w:rsidR="00406FB6">
        <w:t xml:space="preserve">e </w:t>
      </w:r>
      <w:r w:rsidR="00CD29BF">
        <w:t>agree with the mediator that</w:t>
      </w:r>
      <w:r w:rsidR="00C63BDC">
        <w:t>,</w:t>
      </w:r>
      <w:r w:rsidR="00CD29BF">
        <w:t xml:space="preserve"> while APSC has demonstrated a need for outside engineering consultants, it has failed to justify the need for the level of project management that it seeks </w:t>
      </w:r>
      <w:r w:rsidR="00F67D5E">
        <w:t>from Federal</w:t>
      </w:r>
      <w:r w:rsidR="00CD29BF">
        <w:t>.</w:t>
      </w:r>
      <w:r w:rsidR="002F36E7">
        <w:rPr>
          <w:rStyle w:val="FootnoteReference"/>
        </w:rPr>
        <w:footnoteReference w:id="180"/>
      </w:r>
      <w:r w:rsidR="00CD29BF">
        <w:t xml:space="preserve">  We note that</w:t>
      </w:r>
      <w:r w:rsidR="00F67D5E">
        <w:t>,</w:t>
      </w:r>
      <w:r w:rsidR="00CD29BF">
        <w:t xml:space="preserve"> in addition to Federal Engineering project management efforts, APSC seeks project management hours for both its internal employees and Harris employees.  We </w:t>
      </w:r>
      <w:r w:rsidR="00975963">
        <w:t xml:space="preserve">find this level of effort duplicative and </w:t>
      </w:r>
      <w:r w:rsidR="00CD29BF">
        <w:t>therefore agree</w:t>
      </w:r>
      <w:r w:rsidR="003B6544">
        <w:t xml:space="preserve"> with the </w:t>
      </w:r>
      <w:r w:rsidR="00BE12D2">
        <w:t>TA Mediator</w:t>
      </w:r>
      <w:r w:rsidR="00CD29BF">
        <w:t xml:space="preserve"> that APSC has only justified half of the costs it seeks from Federal.  </w:t>
      </w:r>
    </w:p>
    <w:p w:rsidR="00975963" w:rsidRDefault="00975963" w:rsidP="00D9682E">
      <w:pPr>
        <w:pStyle w:val="ParaNum"/>
        <w:widowControl/>
      </w:pPr>
      <w:r>
        <w:rPr>
          <w:i/>
        </w:rPr>
        <w:t>Infrastructure Reconfiguration.</w:t>
      </w:r>
      <w:r>
        <w:t xml:space="preserve">  We agree with </w:t>
      </w:r>
      <w:r w:rsidR="002F36E7">
        <w:t>the TA M</w:t>
      </w:r>
      <w:r>
        <w:t>ediator and find that APSC</w:t>
      </w:r>
      <w:r w:rsidR="00F67D5E">
        <w:t>’s</w:t>
      </w:r>
      <w:r>
        <w:t xml:space="preserve"> restructured request for $58,893 is reasonable.</w:t>
      </w:r>
    </w:p>
    <w:p w:rsidR="00F0426C" w:rsidRDefault="00975963" w:rsidP="00D9682E">
      <w:pPr>
        <w:pStyle w:val="ParaNum"/>
        <w:widowControl/>
      </w:pPr>
      <w:r w:rsidRPr="00975963">
        <w:rPr>
          <w:i/>
        </w:rPr>
        <w:t>Engineering and Testing.</w:t>
      </w:r>
      <w:r>
        <w:rPr>
          <w:i/>
        </w:rPr>
        <w:t xml:space="preserve">  </w:t>
      </w:r>
      <w:r w:rsidR="00F0426C">
        <w:t xml:space="preserve">We agree with the </w:t>
      </w:r>
      <w:r w:rsidR="002F36E7">
        <w:t>TA M</w:t>
      </w:r>
      <w:r w:rsidR="00F0426C">
        <w:t>ediator and allocate 20.8 hours for Federal and 4 hours to the licensee to perform and evaluate Level 1 testing.  However, we agree with APSC that it can seek additional hours through the change notice process should the need arise.</w:t>
      </w:r>
      <w:r w:rsidR="00F0426C">
        <w:rPr>
          <w:rStyle w:val="FootnoteReference"/>
        </w:rPr>
        <w:footnoteReference w:id="181"/>
      </w:r>
    </w:p>
    <w:p w:rsidR="00F0426C" w:rsidRDefault="00F0426C" w:rsidP="00D9682E">
      <w:pPr>
        <w:pStyle w:val="ParaNum"/>
        <w:widowControl/>
      </w:pPr>
      <w:r>
        <w:rPr>
          <w:i/>
        </w:rPr>
        <w:t xml:space="preserve">Legal Services.  </w:t>
      </w:r>
      <w:r>
        <w:t>We find that Sprint is not responsible for the negotiation of licensee vendor contracts.</w:t>
      </w:r>
    </w:p>
    <w:p w:rsidR="005E6817" w:rsidRDefault="00F0426C" w:rsidP="00D9682E">
      <w:pPr>
        <w:pStyle w:val="ParaNum"/>
        <w:widowControl/>
      </w:pPr>
      <w:r>
        <w:rPr>
          <w:i/>
        </w:rPr>
        <w:t xml:space="preserve">Combiner Issues. </w:t>
      </w:r>
      <w:r>
        <w:t xml:space="preserve">Sprint’s offer to </w:t>
      </w:r>
      <w:r w:rsidR="005E6817">
        <w:t xml:space="preserve">replace three of the four combiners is reasonable, provided that if APSC can demonstrate an insertion loss of greater than 1.5 dB, </w:t>
      </w:r>
      <w:r w:rsidR="00420806">
        <w:t xml:space="preserve">which loss results in APSC not receiving comparable facilities, </w:t>
      </w:r>
      <w:r w:rsidR="005E6817">
        <w:t>APSC can seek redress via change notice.</w:t>
      </w:r>
    </w:p>
    <w:p w:rsidR="0007558C" w:rsidRDefault="005E6817" w:rsidP="00D9682E">
      <w:pPr>
        <w:pStyle w:val="ParaNum"/>
        <w:widowControl/>
      </w:pPr>
      <w:r>
        <w:rPr>
          <w:i/>
        </w:rPr>
        <w:t xml:space="preserve">Pre-selector Issues.  </w:t>
      </w:r>
      <w:r w:rsidR="0007558C" w:rsidRPr="0007558C">
        <w:t xml:space="preserve">Since APSC </w:t>
      </w:r>
      <w:r w:rsidR="005C002A">
        <w:t xml:space="preserve">cannot use frequency </w:t>
      </w:r>
      <w:r w:rsidR="0007558C">
        <w:t>809.9125 MHz there is no need for it to replace the pre-selector at the Mount Lemmon site</w:t>
      </w:r>
      <w:r w:rsidR="00420806">
        <w:t>.</w:t>
      </w:r>
    </w:p>
    <w:p w:rsidR="0007558C" w:rsidRDefault="0007558C" w:rsidP="00D9682E">
      <w:pPr>
        <w:pStyle w:val="ParaNum"/>
        <w:widowControl/>
      </w:pPr>
      <w:r>
        <w:rPr>
          <w:i/>
        </w:rPr>
        <w:t xml:space="preserve">Loaner Equipment.  </w:t>
      </w:r>
      <w:r>
        <w:t>Sprint’s offer of reduced levels of loaner equipment is adequate, however, APSC can address a need for more equipment via the change notice process should the need arise.</w:t>
      </w:r>
    </w:p>
    <w:p w:rsidR="0007558C" w:rsidRDefault="0007558C" w:rsidP="00D9682E">
      <w:pPr>
        <w:pStyle w:val="Heading2"/>
        <w:widowControl/>
      </w:pPr>
      <w:r>
        <w:t>Good Faith</w:t>
      </w:r>
    </w:p>
    <w:p w:rsidR="00BC0D47" w:rsidRDefault="0007558C" w:rsidP="00D9682E">
      <w:pPr>
        <w:pStyle w:val="ParaNum"/>
        <w:widowControl/>
      </w:pPr>
      <w:r>
        <w:t xml:space="preserve">We find that while </w:t>
      </w:r>
      <w:r w:rsidR="00BC0D47">
        <w:t xml:space="preserve">Sprint’s level of participation in the initial mediation and negotiation periods may not have been ideal it does not rise to the level of bad faith.  We also find that APSC is entitled to be reimbursed for the cost of preparing its PRMs, </w:t>
      </w:r>
      <w:r w:rsidR="00383AC1">
        <w:t>including an</w:t>
      </w:r>
      <w:r w:rsidR="00BC0D47">
        <w:t>y applicable consulting engineering fees.</w:t>
      </w:r>
    </w:p>
    <w:p w:rsidR="006106BD" w:rsidRDefault="006106BD" w:rsidP="00D9682E">
      <w:pPr>
        <w:pStyle w:val="Heading1"/>
        <w:widowControl/>
      </w:pPr>
      <w:r>
        <w:t xml:space="preserve">Conclusion </w:t>
      </w:r>
    </w:p>
    <w:p w:rsidR="006106BD" w:rsidRDefault="00786E92" w:rsidP="00D9682E">
      <w:pPr>
        <w:pStyle w:val="ParaNum"/>
        <w:widowControl/>
      </w:pPr>
      <w:r w:rsidRPr="00B82BDD">
        <w:t xml:space="preserve">In sum, we affirm the TA </w:t>
      </w:r>
      <w:r w:rsidR="00BE12D2">
        <w:t>Mediator</w:t>
      </w:r>
      <w:r w:rsidRPr="00B82BDD">
        <w:t xml:space="preserve">’s </w:t>
      </w:r>
      <w:r w:rsidRPr="00220837">
        <w:t xml:space="preserve">Recommended Resolution </w:t>
      </w:r>
      <w:r w:rsidRPr="00B82BDD">
        <w:t xml:space="preserve">entered </w:t>
      </w:r>
      <w:r w:rsidR="00BC0D47">
        <w:t>September 8</w:t>
      </w:r>
      <w:r w:rsidRPr="00B82BDD">
        <w:t xml:space="preserve">, 2014, </w:t>
      </w:r>
      <w:r w:rsidR="00220837">
        <w:t xml:space="preserve">to the extent that </w:t>
      </w:r>
      <w:r w:rsidR="00BB18CF">
        <w:t xml:space="preserve">it </w:t>
      </w:r>
      <w:r w:rsidR="00BC0D47">
        <w:t xml:space="preserve">finds that APSC has not met its burden of </w:t>
      </w:r>
      <w:r w:rsidR="00383AC1">
        <w:t xml:space="preserve">demonstrating that its proposed costs estimate meets the Commission’s </w:t>
      </w:r>
      <w:r w:rsidR="004C1F40">
        <w:t>Minimum Necessary Cost</w:t>
      </w:r>
      <w:r w:rsidR="00383AC1">
        <w:t xml:space="preserve"> Standard</w:t>
      </w:r>
      <w:r w:rsidRPr="00B82BDD">
        <w:t xml:space="preserve">. </w:t>
      </w:r>
      <w:r>
        <w:t xml:space="preserve"> </w:t>
      </w:r>
      <w:r w:rsidR="006106BD">
        <w:t xml:space="preserve">  </w:t>
      </w:r>
    </w:p>
    <w:p w:rsidR="007E5F1B" w:rsidRDefault="00B067C6" w:rsidP="00D9682E">
      <w:pPr>
        <w:pStyle w:val="ParaNum"/>
        <w:widowControl/>
      </w:pPr>
      <w:r>
        <w:t xml:space="preserve">Based on the record before us, we find the </w:t>
      </w:r>
      <w:r w:rsidR="00383AC1">
        <w:t>following costs</w:t>
      </w:r>
      <w:r>
        <w:t xml:space="preserve"> are reasonable</w:t>
      </w:r>
      <w:r w:rsidR="008B2F24">
        <w:t xml:space="preserve"> and approve them</w:t>
      </w:r>
      <w:r>
        <w:t xml:space="preserve">:  </w:t>
      </w:r>
    </w:p>
    <w:p w:rsidR="007E5F1B" w:rsidRPr="007E5F1B" w:rsidRDefault="007E5F1B" w:rsidP="00D9682E">
      <w:pPr>
        <w:pStyle w:val="ListParagraph"/>
        <w:numPr>
          <w:ilvl w:val="0"/>
          <w:numId w:val="15"/>
        </w:numPr>
        <w:rPr>
          <w:rFonts w:ascii="Times New Roman" w:hAnsi="Times New Roman" w:cs="Times New Roman"/>
        </w:rPr>
      </w:pPr>
      <w:r w:rsidRPr="007E5F1B">
        <w:rPr>
          <w:rFonts w:ascii="Times New Roman" w:hAnsi="Times New Roman" w:cs="Times New Roman"/>
        </w:rPr>
        <w:t>$802,617 for subscriber reconfiguration</w:t>
      </w:r>
    </w:p>
    <w:p w:rsidR="007E5F1B" w:rsidRPr="007E5F1B" w:rsidRDefault="007E5F1B" w:rsidP="00D9682E">
      <w:pPr>
        <w:pStyle w:val="ListParagraph"/>
        <w:numPr>
          <w:ilvl w:val="0"/>
          <w:numId w:val="15"/>
        </w:numPr>
        <w:rPr>
          <w:rFonts w:ascii="Times New Roman" w:hAnsi="Times New Roman" w:cs="Times New Roman"/>
        </w:rPr>
      </w:pPr>
      <w:r w:rsidRPr="007E5F1B">
        <w:rPr>
          <w:rFonts w:ascii="Times New Roman" w:hAnsi="Times New Roman" w:cs="Times New Roman"/>
        </w:rPr>
        <w:t>$1</w:t>
      </w:r>
      <w:r w:rsidR="001D2778">
        <w:rPr>
          <w:rFonts w:ascii="Times New Roman" w:hAnsi="Times New Roman" w:cs="Times New Roman"/>
        </w:rPr>
        <w:t>07,450</w:t>
      </w:r>
      <w:r w:rsidRPr="007E5F1B">
        <w:rPr>
          <w:rFonts w:ascii="Times New Roman" w:hAnsi="Times New Roman" w:cs="Times New Roman"/>
        </w:rPr>
        <w:t xml:space="preserve"> for </w:t>
      </w:r>
      <w:r w:rsidR="00D83985">
        <w:rPr>
          <w:rFonts w:ascii="Times New Roman" w:hAnsi="Times New Roman" w:cs="Times New Roman"/>
        </w:rPr>
        <w:t xml:space="preserve">a </w:t>
      </w:r>
      <w:r w:rsidRPr="007E5F1B">
        <w:rPr>
          <w:rFonts w:ascii="Times New Roman" w:hAnsi="Times New Roman" w:cs="Times New Roman"/>
        </w:rPr>
        <w:t>Quality Assurance Manager</w:t>
      </w:r>
    </w:p>
    <w:p w:rsidR="007E5F1B" w:rsidRPr="007E5F1B" w:rsidRDefault="007E5F1B" w:rsidP="00D9682E">
      <w:pPr>
        <w:pStyle w:val="ListParagraph"/>
        <w:numPr>
          <w:ilvl w:val="0"/>
          <w:numId w:val="15"/>
        </w:numPr>
        <w:rPr>
          <w:rFonts w:ascii="Times New Roman" w:hAnsi="Times New Roman" w:cs="Times New Roman"/>
        </w:rPr>
      </w:pPr>
      <w:r w:rsidRPr="007E5F1B">
        <w:rPr>
          <w:rFonts w:ascii="Times New Roman" w:hAnsi="Times New Roman" w:cs="Times New Roman"/>
        </w:rPr>
        <w:t>$26,364 for a System Engineer</w:t>
      </w:r>
    </w:p>
    <w:p w:rsidR="007E5F1B" w:rsidRPr="007E5F1B" w:rsidRDefault="007E5F1B" w:rsidP="00D9682E">
      <w:pPr>
        <w:pStyle w:val="ListParagraph"/>
        <w:numPr>
          <w:ilvl w:val="0"/>
          <w:numId w:val="15"/>
        </w:numPr>
        <w:rPr>
          <w:rFonts w:ascii="Times New Roman" w:hAnsi="Times New Roman" w:cs="Times New Roman"/>
        </w:rPr>
      </w:pPr>
      <w:r w:rsidRPr="007E5F1B">
        <w:rPr>
          <w:rFonts w:ascii="Times New Roman" w:hAnsi="Times New Roman" w:cs="Times New Roman"/>
        </w:rPr>
        <w:t xml:space="preserve">$4,200 for </w:t>
      </w:r>
      <w:r w:rsidR="00337C34">
        <w:rPr>
          <w:rFonts w:ascii="Times New Roman" w:hAnsi="Times New Roman" w:cs="Times New Roman"/>
        </w:rPr>
        <w:t>c</w:t>
      </w:r>
      <w:r w:rsidRPr="007E5F1B">
        <w:rPr>
          <w:rFonts w:ascii="Times New Roman" w:hAnsi="Times New Roman" w:cs="Times New Roman"/>
        </w:rPr>
        <w:t xml:space="preserve">omputer </w:t>
      </w:r>
      <w:r w:rsidR="00337C34">
        <w:rPr>
          <w:rFonts w:ascii="Times New Roman" w:hAnsi="Times New Roman" w:cs="Times New Roman"/>
        </w:rPr>
        <w:t>s</w:t>
      </w:r>
      <w:r w:rsidRPr="007E5F1B">
        <w:rPr>
          <w:rFonts w:ascii="Times New Roman" w:hAnsi="Times New Roman" w:cs="Times New Roman"/>
        </w:rPr>
        <w:t>et</w:t>
      </w:r>
      <w:r w:rsidR="00337C34">
        <w:rPr>
          <w:rFonts w:ascii="Times New Roman" w:hAnsi="Times New Roman" w:cs="Times New Roman"/>
        </w:rPr>
        <w:t>-up</w:t>
      </w:r>
      <w:r w:rsidRPr="007E5F1B">
        <w:rPr>
          <w:rFonts w:ascii="Times New Roman" w:hAnsi="Times New Roman" w:cs="Times New Roman"/>
        </w:rPr>
        <w:t xml:space="preserve"> </w:t>
      </w:r>
      <w:r w:rsidR="00337C34">
        <w:rPr>
          <w:rFonts w:ascii="Times New Roman" w:hAnsi="Times New Roman" w:cs="Times New Roman"/>
        </w:rPr>
        <w:t>c</w:t>
      </w:r>
      <w:r w:rsidRPr="007E5F1B">
        <w:rPr>
          <w:rFonts w:ascii="Times New Roman" w:hAnsi="Times New Roman" w:cs="Times New Roman"/>
        </w:rPr>
        <w:t>osts</w:t>
      </w:r>
    </w:p>
    <w:p w:rsidR="007E5F1B" w:rsidRPr="007E5F1B" w:rsidRDefault="007E5F1B" w:rsidP="00D9682E">
      <w:pPr>
        <w:pStyle w:val="ListParagraph"/>
        <w:numPr>
          <w:ilvl w:val="0"/>
          <w:numId w:val="15"/>
        </w:numPr>
        <w:rPr>
          <w:rFonts w:ascii="Times New Roman" w:hAnsi="Times New Roman" w:cs="Times New Roman"/>
        </w:rPr>
      </w:pPr>
      <w:r w:rsidRPr="007E5F1B">
        <w:rPr>
          <w:rFonts w:ascii="Times New Roman" w:hAnsi="Times New Roman" w:cs="Times New Roman"/>
        </w:rPr>
        <w:t xml:space="preserve">$7,970 for </w:t>
      </w:r>
      <w:r w:rsidR="00D83985">
        <w:rPr>
          <w:rFonts w:ascii="Times New Roman" w:hAnsi="Times New Roman" w:cs="Times New Roman"/>
        </w:rPr>
        <w:t xml:space="preserve">recording radio rebanding data on spreadsheets </w:t>
      </w:r>
    </w:p>
    <w:p w:rsidR="00D83985" w:rsidRDefault="007E5F1B" w:rsidP="00D9682E">
      <w:pPr>
        <w:pStyle w:val="ListParagraph"/>
        <w:numPr>
          <w:ilvl w:val="0"/>
          <w:numId w:val="15"/>
        </w:numPr>
        <w:rPr>
          <w:rFonts w:ascii="Times New Roman" w:hAnsi="Times New Roman" w:cs="Times New Roman"/>
        </w:rPr>
      </w:pPr>
      <w:r w:rsidRPr="007E5F1B">
        <w:rPr>
          <w:rFonts w:ascii="Times New Roman" w:hAnsi="Times New Roman" w:cs="Times New Roman"/>
        </w:rPr>
        <w:t>$</w:t>
      </w:r>
      <w:r w:rsidR="00901EC4">
        <w:rPr>
          <w:rFonts w:ascii="Times New Roman" w:hAnsi="Times New Roman" w:cs="Times New Roman"/>
        </w:rPr>
        <w:t>37,036</w:t>
      </w:r>
      <w:r w:rsidRPr="007E5F1B">
        <w:rPr>
          <w:rFonts w:ascii="Times New Roman" w:hAnsi="Times New Roman" w:cs="Times New Roman"/>
        </w:rPr>
        <w:t xml:space="preserve"> for </w:t>
      </w:r>
      <w:r w:rsidR="00D83985">
        <w:rPr>
          <w:rFonts w:ascii="Times New Roman" w:hAnsi="Times New Roman" w:cs="Times New Roman"/>
        </w:rPr>
        <w:t xml:space="preserve">APSC </w:t>
      </w:r>
      <w:r w:rsidR="00901EC4">
        <w:rPr>
          <w:rFonts w:ascii="Times New Roman" w:hAnsi="Times New Roman" w:cs="Times New Roman"/>
        </w:rPr>
        <w:t>internal staff and staff management</w:t>
      </w:r>
      <w:r w:rsidR="00D83985">
        <w:rPr>
          <w:rFonts w:ascii="Times New Roman" w:hAnsi="Times New Roman" w:cs="Times New Roman"/>
        </w:rPr>
        <w:t xml:space="preserve"> </w:t>
      </w:r>
    </w:p>
    <w:p w:rsidR="007E5F1B" w:rsidRPr="007E5F1B" w:rsidRDefault="00D83985" w:rsidP="00D9682E">
      <w:pPr>
        <w:pStyle w:val="ListParagraph"/>
        <w:numPr>
          <w:ilvl w:val="0"/>
          <w:numId w:val="15"/>
        </w:numPr>
        <w:rPr>
          <w:rFonts w:ascii="Times New Roman" w:hAnsi="Times New Roman" w:cs="Times New Roman"/>
        </w:rPr>
      </w:pPr>
      <w:r>
        <w:rPr>
          <w:rFonts w:ascii="Times New Roman" w:hAnsi="Times New Roman" w:cs="Times New Roman"/>
        </w:rPr>
        <w:t>$</w:t>
      </w:r>
      <w:r w:rsidR="007E5F1B" w:rsidRPr="007E5F1B">
        <w:rPr>
          <w:rFonts w:ascii="Times New Roman" w:hAnsi="Times New Roman" w:cs="Times New Roman"/>
        </w:rPr>
        <w:t>73,362 for Federal Engineering Costs</w:t>
      </w:r>
    </w:p>
    <w:p w:rsidR="007E5F1B" w:rsidRDefault="007E5F1B" w:rsidP="00D9682E">
      <w:pPr>
        <w:pStyle w:val="ListParagraph"/>
        <w:numPr>
          <w:ilvl w:val="0"/>
          <w:numId w:val="15"/>
        </w:numPr>
        <w:rPr>
          <w:rFonts w:ascii="Times New Roman" w:hAnsi="Times New Roman" w:cs="Times New Roman"/>
        </w:rPr>
      </w:pPr>
      <w:r w:rsidRPr="007E5F1B">
        <w:rPr>
          <w:rFonts w:ascii="Times New Roman" w:hAnsi="Times New Roman" w:cs="Times New Roman"/>
        </w:rPr>
        <w:t>$58,893 for Infrastructure Reconfiguration Costs</w:t>
      </w:r>
    </w:p>
    <w:p w:rsidR="00CF5763" w:rsidRDefault="00E77EE6" w:rsidP="00D9682E">
      <w:pPr>
        <w:pStyle w:val="ListParagraph"/>
        <w:numPr>
          <w:ilvl w:val="0"/>
          <w:numId w:val="15"/>
        </w:numPr>
        <w:rPr>
          <w:rFonts w:ascii="Times New Roman" w:hAnsi="Times New Roman" w:cs="Times New Roman"/>
        </w:rPr>
      </w:pPr>
      <w:r>
        <w:rPr>
          <w:rFonts w:ascii="Times New Roman" w:hAnsi="Times New Roman" w:cs="Times New Roman"/>
        </w:rPr>
        <w:t>$3964 for testing (Federal and APSC internal costs)</w:t>
      </w:r>
    </w:p>
    <w:p w:rsidR="0021326F" w:rsidRDefault="0021326F" w:rsidP="00D9682E">
      <w:pPr>
        <w:pStyle w:val="ListParagraph"/>
        <w:numPr>
          <w:ilvl w:val="0"/>
          <w:numId w:val="15"/>
        </w:numPr>
        <w:rPr>
          <w:rFonts w:ascii="Times New Roman" w:hAnsi="Times New Roman" w:cs="Times New Roman"/>
        </w:rPr>
      </w:pPr>
      <w:r w:rsidRPr="0021326F">
        <w:rPr>
          <w:rFonts w:ascii="Times New Roman" w:hAnsi="Times New Roman" w:cs="Times New Roman"/>
        </w:rPr>
        <w:t>$65,720</w:t>
      </w:r>
      <w:r>
        <w:rPr>
          <w:rFonts w:ascii="Times New Roman" w:hAnsi="Times New Roman" w:cs="Times New Roman"/>
        </w:rPr>
        <w:t xml:space="preserve"> for outside legal counsel.</w:t>
      </w:r>
    </w:p>
    <w:p w:rsidR="0021326F" w:rsidRDefault="0021326F" w:rsidP="00D9682E">
      <w:pPr>
        <w:pStyle w:val="ListParagraph"/>
        <w:numPr>
          <w:ilvl w:val="0"/>
          <w:numId w:val="15"/>
        </w:numPr>
        <w:rPr>
          <w:rFonts w:ascii="Times New Roman" w:hAnsi="Times New Roman" w:cs="Times New Roman"/>
        </w:rPr>
      </w:pPr>
      <w:r w:rsidRPr="0021326F">
        <w:rPr>
          <w:rFonts w:ascii="Times New Roman" w:hAnsi="Times New Roman" w:cs="Times New Roman"/>
        </w:rPr>
        <w:t>$5</w:t>
      </w:r>
      <w:r w:rsidR="00E76F40">
        <w:rPr>
          <w:rFonts w:ascii="Times New Roman" w:hAnsi="Times New Roman" w:cs="Times New Roman"/>
        </w:rPr>
        <w:t>,</w:t>
      </w:r>
      <w:r w:rsidRPr="0021326F">
        <w:rPr>
          <w:rFonts w:ascii="Times New Roman" w:hAnsi="Times New Roman" w:cs="Times New Roman"/>
        </w:rPr>
        <w:t>632</w:t>
      </w:r>
      <w:r>
        <w:rPr>
          <w:rFonts w:ascii="Times New Roman" w:hAnsi="Times New Roman" w:cs="Times New Roman"/>
        </w:rPr>
        <w:t xml:space="preserve"> for in-house legal counsel</w:t>
      </w:r>
    </w:p>
    <w:p w:rsidR="00AA4DA7" w:rsidRPr="006D7F04" w:rsidRDefault="00AA4DA7" w:rsidP="00D9682E">
      <w:pPr>
        <w:pStyle w:val="ListParagraph"/>
        <w:ind w:left="0"/>
        <w:rPr>
          <w:rFonts w:ascii="Times New Roman" w:hAnsi="Times New Roman" w:cs="Times New Roman"/>
        </w:rPr>
      </w:pPr>
      <w:r>
        <w:rPr>
          <w:rFonts w:ascii="Times New Roman" w:hAnsi="Times New Roman" w:cs="Times New Roman"/>
        </w:rPr>
        <w:t>The listed services total $1,</w:t>
      </w:r>
      <w:r w:rsidR="00FB00E8">
        <w:rPr>
          <w:rFonts w:ascii="Times New Roman" w:hAnsi="Times New Roman" w:cs="Times New Roman"/>
        </w:rPr>
        <w:t>1</w:t>
      </w:r>
      <w:r w:rsidR="009740D3">
        <w:rPr>
          <w:rFonts w:ascii="Times New Roman" w:hAnsi="Times New Roman" w:cs="Times New Roman"/>
        </w:rPr>
        <w:t>93,208</w:t>
      </w:r>
      <w:r w:rsidR="00953AB3">
        <w:rPr>
          <w:rFonts w:ascii="Times New Roman" w:hAnsi="Times New Roman" w:cs="Times New Roman"/>
        </w:rPr>
        <w:t xml:space="preserve">.  </w:t>
      </w:r>
      <w:r w:rsidR="00E76F40">
        <w:rPr>
          <w:rFonts w:ascii="Times New Roman" w:hAnsi="Times New Roman" w:cs="Times New Roman"/>
        </w:rPr>
        <w:t xml:space="preserve">The approved amount is </w:t>
      </w:r>
      <w:r w:rsidR="003D13C8">
        <w:rPr>
          <w:rFonts w:ascii="Times New Roman" w:hAnsi="Times New Roman" w:cs="Times New Roman"/>
        </w:rPr>
        <w:t>$</w:t>
      </w:r>
      <w:r w:rsidR="009740D3">
        <w:rPr>
          <w:rFonts w:ascii="Times New Roman" w:hAnsi="Times New Roman" w:cs="Times New Roman"/>
        </w:rPr>
        <w:t>1,435,514</w:t>
      </w:r>
      <w:r w:rsidR="003D13C8">
        <w:rPr>
          <w:rFonts w:ascii="Times New Roman" w:hAnsi="Times New Roman" w:cs="Times New Roman"/>
        </w:rPr>
        <w:t xml:space="preserve"> less than </w:t>
      </w:r>
      <w:r>
        <w:rPr>
          <w:rFonts w:ascii="Times New Roman" w:hAnsi="Times New Roman" w:cs="Times New Roman"/>
        </w:rPr>
        <w:t xml:space="preserve">APSC’s requested </w:t>
      </w:r>
      <w:r w:rsidR="00FC75E4">
        <w:rPr>
          <w:rFonts w:ascii="Times New Roman" w:hAnsi="Times New Roman" w:cs="Times New Roman"/>
        </w:rPr>
        <w:t xml:space="preserve"> $2,628,722</w:t>
      </w:r>
      <w:r w:rsidR="003D13C8">
        <w:rPr>
          <w:rFonts w:ascii="Times New Roman" w:hAnsi="Times New Roman" w:cs="Times New Roman"/>
        </w:rPr>
        <w:t>, but $</w:t>
      </w:r>
      <w:r w:rsidR="00CD0D0F">
        <w:rPr>
          <w:rFonts w:ascii="Times New Roman" w:hAnsi="Times New Roman" w:cs="Times New Roman"/>
        </w:rPr>
        <w:t>405,913</w:t>
      </w:r>
      <w:r w:rsidR="003D13C8">
        <w:rPr>
          <w:rFonts w:ascii="Times New Roman" w:hAnsi="Times New Roman" w:cs="Times New Roman"/>
        </w:rPr>
        <w:t xml:space="preserve"> more than the Creative Quote. </w:t>
      </w:r>
      <w:r w:rsidR="00CC1A1C">
        <w:rPr>
          <w:rStyle w:val="FootnoteReference"/>
          <w:rFonts w:cs="Times New Roman"/>
        </w:rPr>
        <w:footnoteReference w:id="182"/>
      </w:r>
      <w:r w:rsidR="00CF5763">
        <w:rPr>
          <w:rFonts w:ascii="Times New Roman" w:hAnsi="Times New Roman" w:cs="Times New Roman"/>
        </w:rPr>
        <w:t xml:space="preserve"> </w:t>
      </w:r>
    </w:p>
    <w:p w:rsidR="007E5F1B" w:rsidRDefault="007E5F1B" w:rsidP="00D9682E">
      <w:pPr>
        <w:pStyle w:val="ParaNum"/>
        <w:widowControl/>
      </w:pPr>
      <w:r>
        <w:t xml:space="preserve">We find the following proposed cost </w:t>
      </w:r>
      <w:r w:rsidR="00D83985">
        <w:t xml:space="preserve">categories </w:t>
      </w:r>
      <w:r>
        <w:t>are not reasonable</w:t>
      </w:r>
      <w:r w:rsidR="00D83985">
        <w:t xml:space="preserve"> within the meaning of the Commission’s </w:t>
      </w:r>
      <w:r w:rsidR="004C1F40">
        <w:t>Minimum Necessary Cost</w:t>
      </w:r>
      <w:r w:rsidR="00D83985">
        <w:t xml:space="preserve"> standard</w:t>
      </w:r>
      <w:r w:rsidR="00BE12D2">
        <w:t xml:space="preserve">, for the reasons expressed </w:t>
      </w:r>
      <w:r w:rsidR="00BE12D2" w:rsidRPr="00D9682E">
        <w:rPr>
          <w:i/>
        </w:rPr>
        <w:t>supra</w:t>
      </w:r>
      <w:r w:rsidR="00D83985">
        <w:t>:</w:t>
      </w:r>
    </w:p>
    <w:p w:rsidR="007E5F1B" w:rsidRPr="007E5F1B" w:rsidRDefault="00D83985" w:rsidP="00D9682E">
      <w:pPr>
        <w:pStyle w:val="ListParagraph"/>
        <w:numPr>
          <w:ilvl w:val="0"/>
          <w:numId w:val="15"/>
        </w:numPr>
        <w:rPr>
          <w:rFonts w:ascii="Times New Roman" w:hAnsi="Times New Roman" w:cs="Times New Roman"/>
        </w:rPr>
      </w:pPr>
      <w:r>
        <w:rPr>
          <w:rFonts w:ascii="Times New Roman" w:hAnsi="Times New Roman" w:cs="Times New Roman"/>
        </w:rPr>
        <w:t xml:space="preserve">Lease of </w:t>
      </w:r>
      <w:r w:rsidR="00A77D69">
        <w:rPr>
          <w:rFonts w:ascii="Times New Roman" w:hAnsi="Times New Roman" w:cs="Times New Roman"/>
        </w:rPr>
        <w:t>Mo</w:t>
      </w:r>
      <w:r>
        <w:rPr>
          <w:rFonts w:ascii="Times New Roman" w:hAnsi="Times New Roman" w:cs="Times New Roman"/>
        </w:rPr>
        <w:t xml:space="preserve">tor </w:t>
      </w:r>
      <w:r w:rsidR="00A77D69">
        <w:rPr>
          <w:rFonts w:ascii="Times New Roman" w:hAnsi="Times New Roman" w:cs="Times New Roman"/>
        </w:rPr>
        <w:t>Homes</w:t>
      </w:r>
      <w:r w:rsidR="00F67D5E">
        <w:rPr>
          <w:rFonts w:ascii="Times New Roman" w:hAnsi="Times New Roman" w:cs="Times New Roman"/>
        </w:rPr>
        <w:t xml:space="preserve"> </w:t>
      </w:r>
    </w:p>
    <w:p w:rsidR="007E5F1B" w:rsidRDefault="00FC75E4" w:rsidP="00D9682E">
      <w:pPr>
        <w:pStyle w:val="ListParagraph"/>
        <w:numPr>
          <w:ilvl w:val="0"/>
          <w:numId w:val="15"/>
        </w:numPr>
        <w:rPr>
          <w:rFonts w:ascii="Times New Roman" w:hAnsi="Times New Roman" w:cs="Times New Roman"/>
        </w:rPr>
      </w:pPr>
      <w:r>
        <w:rPr>
          <w:rFonts w:ascii="Times New Roman" w:hAnsi="Times New Roman" w:cs="Times New Roman"/>
        </w:rPr>
        <w:t>Vendor’s l</w:t>
      </w:r>
      <w:r w:rsidR="00A77D69">
        <w:rPr>
          <w:rFonts w:ascii="Times New Roman" w:hAnsi="Times New Roman" w:cs="Times New Roman"/>
        </w:rPr>
        <w:t xml:space="preserve">egal </w:t>
      </w:r>
      <w:r w:rsidR="006D7F04">
        <w:rPr>
          <w:rFonts w:ascii="Times New Roman" w:hAnsi="Times New Roman" w:cs="Times New Roman"/>
        </w:rPr>
        <w:t>c</w:t>
      </w:r>
      <w:r w:rsidR="00A77D69">
        <w:rPr>
          <w:rFonts w:ascii="Times New Roman" w:hAnsi="Times New Roman" w:cs="Times New Roman"/>
        </w:rPr>
        <w:t xml:space="preserve">osts associated with the negotiation of </w:t>
      </w:r>
      <w:r>
        <w:rPr>
          <w:rFonts w:ascii="Times New Roman" w:hAnsi="Times New Roman" w:cs="Times New Roman"/>
        </w:rPr>
        <w:t>l</w:t>
      </w:r>
      <w:r w:rsidR="00A77D69">
        <w:rPr>
          <w:rFonts w:ascii="Times New Roman" w:hAnsi="Times New Roman" w:cs="Times New Roman"/>
        </w:rPr>
        <w:t>icensee-</w:t>
      </w:r>
      <w:r>
        <w:rPr>
          <w:rFonts w:ascii="Times New Roman" w:hAnsi="Times New Roman" w:cs="Times New Roman"/>
        </w:rPr>
        <w:t>v</w:t>
      </w:r>
      <w:r w:rsidR="00A77D69">
        <w:rPr>
          <w:rFonts w:ascii="Times New Roman" w:hAnsi="Times New Roman" w:cs="Times New Roman"/>
        </w:rPr>
        <w:t>endor contracts</w:t>
      </w:r>
    </w:p>
    <w:p w:rsidR="00A77D69" w:rsidRPr="007E5F1B" w:rsidRDefault="00FC75E4" w:rsidP="00D9682E">
      <w:pPr>
        <w:pStyle w:val="ListParagraph"/>
        <w:numPr>
          <w:ilvl w:val="0"/>
          <w:numId w:val="15"/>
        </w:numPr>
        <w:rPr>
          <w:rFonts w:ascii="Times New Roman" w:hAnsi="Times New Roman" w:cs="Times New Roman"/>
        </w:rPr>
      </w:pPr>
      <w:r>
        <w:rPr>
          <w:rFonts w:ascii="Times New Roman" w:hAnsi="Times New Roman" w:cs="Times New Roman"/>
        </w:rPr>
        <w:t>Replacement of p</w:t>
      </w:r>
      <w:r w:rsidR="00A77D69">
        <w:rPr>
          <w:rFonts w:ascii="Times New Roman" w:hAnsi="Times New Roman" w:cs="Times New Roman"/>
        </w:rPr>
        <w:t>re-selector at the Mount Lemmon si</w:t>
      </w:r>
      <w:r w:rsidR="00D83985">
        <w:rPr>
          <w:rFonts w:ascii="Times New Roman" w:hAnsi="Times New Roman" w:cs="Times New Roman"/>
        </w:rPr>
        <w:t>te</w:t>
      </w:r>
    </w:p>
    <w:p w:rsidR="00A77D69" w:rsidRDefault="00A77D69" w:rsidP="00D9682E">
      <w:pPr>
        <w:pStyle w:val="ParaNum"/>
        <w:widowControl/>
      </w:pPr>
      <w:r>
        <w:t>If necessary</w:t>
      </w:r>
      <w:r w:rsidR="00F261CF">
        <w:t>,</w:t>
      </w:r>
      <w:r>
        <w:t xml:space="preserve"> APSC can address </w:t>
      </w:r>
      <w:r w:rsidR="00F261CF">
        <w:t xml:space="preserve">additional </w:t>
      </w:r>
      <w:r>
        <w:t xml:space="preserve">costs </w:t>
      </w:r>
      <w:r w:rsidR="00D83985">
        <w:t xml:space="preserve">for </w:t>
      </w:r>
      <w:r>
        <w:t xml:space="preserve">the following via Change Notice:  </w:t>
      </w:r>
    </w:p>
    <w:p w:rsidR="00A77D69" w:rsidRPr="007E5F1B" w:rsidRDefault="00A77D69" w:rsidP="00D9682E">
      <w:pPr>
        <w:pStyle w:val="ListParagraph"/>
        <w:numPr>
          <w:ilvl w:val="0"/>
          <w:numId w:val="15"/>
        </w:numPr>
        <w:rPr>
          <w:rFonts w:ascii="Times New Roman" w:hAnsi="Times New Roman" w:cs="Times New Roman"/>
        </w:rPr>
      </w:pPr>
      <w:r>
        <w:rPr>
          <w:rFonts w:ascii="Times New Roman" w:hAnsi="Times New Roman" w:cs="Times New Roman"/>
        </w:rPr>
        <w:t>Code Plug Rebuilds</w:t>
      </w:r>
    </w:p>
    <w:p w:rsidR="007E5F1B" w:rsidRPr="00D9682E" w:rsidRDefault="00A77D69" w:rsidP="00D9682E">
      <w:pPr>
        <w:pStyle w:val="ListParagraph"/>
        <w:numPr>
          <w:ilvl w:val="0"/>
          <w:numId w:val="15"/>
        </w:numPr>
      </w:pPr>
      <w:r>
        <w:rPr>
          <w:rFonts w:ascii="Times New Roman" w:hAnsi="Times New Roman" w:cs="Times New Roman"/>
        </w:rPr>
        <w:t>Missing in Action Radios</w:t>
      </w:r>
    </w:p>
    <w:p w:rsidR="00F261CF" w:rsidRPr="00D9682E" w:rsidRDefault="00F261CF" w:rsidP="00D9682E">
      <w:pPr>
        <w:pStyle w:val="ListParagraph"/>
        <w:numPr>
          <w:ilvl w:val="0"/>
          <w:numId w:val="15"/>
        </w:numPr>
      </w:pPr>
      <w:r>
        <w:rPr>
          <w:rFonts w:ascii="Times New Roman" w:hAnsi="Times New Roman" w:cs="Times New Roman"/>
        </w:rPr>
        <w:t>Replacement combiners for combiners with loss greater than 1.5 dB, which loss prevents APSC from receiving comparable facilities.</w:t>
      </w:r>
    </w:p>
    <w:p w:rsidR="00A739DF" w:rsidRPr="00D9682E" w:rsidRDefault="00A739DF" w:rsidP="00D9682E">
      <w:pPr>
        <w:pStyle w:val="ListParagraph"/>
        <w:numPr>
          <w:ilvl w:val="0"/>
          <w:numId w:val="15"/>
        </w:numPr>
      </w:pPr>
      <w:r>
        <w:rPr>
          <w:rFonts w:ascii="Times New Roman" w:hAnsi="Times New Roman" w:cs="Times New Roman"/>
        </w:rPr>
        <w:t>Additional hours for testing should initial tests disclose that APSC’s post-rebanding coverage is not comparable to pre-rebanding coverage.</w:t>
      </w:r>
    </w:p>
    <w:p w:rsidR="00D83985" w:rsidRPr="00A77D69" w:rsidRDefault="00420806" w:rsidP="00D9682E">
      <w:pPr>
        <w:pStyle w:val="Heading1"/>
        <w:widowControl/>
      </w:pPr>
      <w:r>
        <w:t>ordering clauses</w:t>
      </w:r>
    </w:p>
    <w:p w:rsidR="006106BD" w:rsidRDefault="006106BD" w:rsidP="00D9682E">
      <w:pPr>
        <w:pStyle w:val="ParaNum"/>
        <w:widowControl/>
        <w:rPr>
          <w:szCs w:val="22"/>
        </w:rPr>
      </w:pPr>
      <w:r w:rsidRPr="00A70389">
        <w:t xml:space="preserve">Accordingly, pursuant to the authority of Sections 0.131 and 0.331 of the Commission’s rules, 47 C.F.R. §§ 0.131, 0.331; Section 4(i) of the Communications Act of 1934, as amended, 47 U.S.C. § 154(i), and Section 90.677, of the Commission’s Rules, 47 C.F.R. § 90.677, IT IS ORDERED that the </w:t>
      </w:r>
      <w:r w:rsidR="00786E92">
        <w:t xml:space="preserve">dispute </w:t>
      </w:r>
      <w:r w:rsidRPr="00A70389">
        <w:t xml:space="preserve">submitted by the Transition Administrator </w:t>
      </w:r>
      <w:r w:rsidR="00786E92">
        <w:t xml:space="preserve">is </w:t>
      </w:r>
      <w:r w:rsidRPr="00A70389">
        <w:t>resolved as discussed above.</w:t>
      </w:r>
      <w:r w:rsidRPr="00A70389">
        <w:rPr>
          <w:szCs w:val="22"/>
        </w:rPr>
        <w:t xml:space="preserve"> </w:t>
      </w:r>
    </w:p>
    <w:p w:rsidR="006106BD" w:rsidRPr="0073788E" w:rsidRDefault="006106BD" w:rsidP="00D9682E">
      <w:pPr>
        <w:pStyle w:val="ParaNum"/>
        <w:widowControl/>
        <w:rPr>
          <w:szCs w:val="22"/>
        </w:rPr>
      </w:pPr>
      <w:r w:rsidRPr="00A70389">
        <w:t xml:space="preserve">IT IS FURTHER ORDERED, that representatives of Sprint Corporation and </w:t>
      </w:r>
      <w:r w:rsidR="00383AC1">
        <w:t>Arizona Public Service Company</w:t>
      </w:r>
      <w:r w:rsidRPr="00A70389">
        <w:t xml:space="preserve">, each with the authority to bind its principal, SHALL MEET under the auspices of the Transition Administrator </w:t>
      </w:r>
      <w:r w:rsidR="00BE12D2">
        <w:t>TA Mediator</w:t>
      </w:r>
      <w:r w:rsidRPr="00A70389">
        <w:t xml:space="preserve">, within ten business days of the release date of this </w:t>
      </w:r>
      <w:r w:rsidRPr="00A70389">
        <w:rPr>
          <w:i/>
        </w:rPr>
        <w:t xml:space="preserve">Memorandum Opinion and Order </w:t>
      </w:r>
      <w:r w:rsidRPr="00A70389">
        <w:t xml:space="preserve">to conclude a Frequency Reconfiguration Agreement consistent herewith and that such meeting shall continue from business day to business day until the parties reach agreement in principle.  </w:t>
      </w:r>
    </w:p>
    <w:p w:rsidR="006106BD" w:rsidRDefault="006106BD" w:rsidP="00D9682E">
      <w:pPr>
        <w:pStyle w:val="ParaNum"/>
        <w:widowControl/>
      </w:pPr>
      <w:r w:rsidRPr="0073788E">
        <w:t xml:space="preserve">This </w:t>
      </w:r>
      <w:r>
        <w:t>action</w:t>
      </w:r>
      <w:r w:rsidRPr="0073788E">
        <w:t xml:space="preserve"> is taken under </w:t>
      </w:r>
      <w:r w:rsidRPr="00786E92">
        <w:t>delegated</w:t>
      </w:r>
      <w:r w:rsidRPr="0073788E">
        <w:t xml:space="preserve"> authority pursuant to Sections 0.191(f) and 0.392 of the Commission’s rules, 47 C.F.R. §§ 0.191(f) and 0.392.</w:t>
      </w:r>
    </w:p>
    <w:p w:rsidR="006106BD" w:rsidRPr="0073788E" w:rsidRDefault="006106BD" w:rsidP="00D9682E">
      <w:pPr>
        <w:pStyle w:val="ParaNum"/>
        <w:keepNext/>
        <w:keepLines/>
        <w:widowControl/>
        <w:numPr>
          <w:ilvl w:val="0"/>
          <w:numId w:val="0"/>
        </w:numPr>
        <w:ind w:left="1800"/>
        <w:rPr>
          <w:szCs w:val="22"/>
        </w:rPr>
      </w:pPr>
    </w:p>
    <w:p w:rsidR="006106BD" w:rsidRPr="0073788E" w:rsidRDefault="006106BD" w:rsidP="00D9682E">
      <w:pPr>
        <w:keepNext/>
        <w:keepLines/>
        <w:widowControl/>
        <w:ind w:left="2880" w:firstLine="720"/>
      </w:pPr>
      <w:r w:rsidRPr="0073788E">
        <w:t>FEDERAL COMMUNICATIONS COMMISSION</w:t>
      </w:r>
    </w:p>
    <w:p w:rsidR="006106BD" w:rsidRPr="0073788E" w:rsidRDefault="006106BD" w:rsidP="00D9682E">
      <w:pPr>
        <w:keepNext/>
        <w:keepLines/>
        <w:widowControl/>
        <w:ind w:left="2880" w:firstLine="720"/>
        <w:contextualSpacing/>
      </w:pPr>
    </w:p>
    <w:p w:rsidR="006106BD" w:rsidRPr="0073788E" w:rsidRDefault="006106BD" w:rsidP="00D9682E">
      <w:pPr>
        <w:keepNext/>
        <w:keepLines/>
        <w:widowControl/>
        <w:ind w:left="2880" w:firstLine="720"/>
        <w:contextualSpacing/>
      </w:pPr>
    </w:p>
    <w:p w:rsidR="006106BD" w:rsidRPr="0073788E" w:rsidRDefault="006106BD" w:rsidP="00D9682E">
      <w:pPr>
        <w:keepNext/>
        <w:keepLines/>
        <w:widowControl/>
        <w:ind w:left="2880" w:firstLine="720"/>
        <w:contextualSpacing/>
      </w:pPr>
    </w:p>
    <w:p w:rsidR="006106BD" w:rsidRPr="0073788E" w:rsidRDefault="006106BD" w:rsidP="00D9682E">
      <w:pPr>
        <w:keepNext/>
        <w:keepLines/>
        <w:widowControl/>
        <w:contextualSpacing/>
      </w:pPr>
    </w:p>
    <w:p w:rsidR="006106BD" w:rsidRPr="0073788E" w:rsidRDefault="006106BD" w:rsidP="00D9682E">
      <w:pPr>
        <w:keepNext/>
        <w:keepLines/>
        <w:widowControl/>
        <w:ind w:left="2880" w:firstLine="720"/>
        <w:contextualSpacing/>
      </w:pPr>
      <w:r w:rsidRPr="0073788E">
        <w:t>Michael J. Wilhelm</w:t>
      </w:r>
    </w:p>
    <w:p w:rsidR="006106BD" w:rsidRPr="0073788E" w:rsidRDefault="006106BD" w:rsidP="00D9682E">
      <w:pPr>
        <w:keepNext/>
        <w:keepLines/>
        <w:widowControl/>
        <w:ind w:left="2880" w:firstLine="720"/>
        <w:contextualSpacing/>
      </w:pPr>
      <w:r w:rsidRPr="0073788E">
        <w:t>Deputy Chief</w:t>
      </w:r>
    </w:p>
    <w:p w:rsidR="006106BD" w:rsidRPr="0073788E" w:rsidRDefault="006106BD" w:rsidP="00D9682E">
      <w:pPr>
        <w:keepNext/>
        <w:keepLines/>
        <w:widowControl/>
        <w:ind w:left="2880" w:firstLine="720"/>
        <w:contextualSpacing/>
      </w:pPr>
      <w:r w:rsidRPr="0073788E">
        <w:t>Policy and Licensing Division</w:t>
      </w:r>
    </w:p>
    <w:p w:rsidR="006106BD" w:rsidRPr="0073788E" w:rsidRDefault="006106BD" w:rsidP="00D9682E">
      <w:pPr>
        <w:keepNext/>
        <w:keepLines/>
        <w:widowControl/>
        <w:ind w:left="2880" w:firstLine="720"/>
        <w:contextualSpacing/>
      </w:pPr>
      <w:r w:rsidRPr="0073788E">
        <w:t>Public Safety and Homeland Security Bureau</w:t>
      </w:r>
    </w:p>
    <w:p w:rsidR="006106BD" w:rsidRPr="006106BD" w:rsidRDefault="006106BD" w:rsidP="00D9682E">
      <w:pPr>
        <w:pStyle w:val="ParaNum"/>
        <w:widowControl/>
        <w:numPr>
          <w:ilvl w:val="0"/>
          <w:numId w:val="0"/>
        </w:numPr>
        <w:ind w:left="720"/>
      </w:pPr>
    </w:p>
    <w:sectPr w:rsidR="006106BD" w:rsidRPr="006106BD"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709" w:rsidRDefault="000F0709">
      <w:pPr>
        <w:spacing w:line="20" w:lineRule="exact"/>
      </w:pPr>
    </w:p>
  </w:endnote>
  <w:endnote w:type="continuationSeparator" w:id="0">
    <w:p w:rsidR="000F0709" w:rsidRDefault="000F0709">
      <w:r>
        <w:t xml:space="preserve"> </w:t>
      </w:r>
    </w:p>
  </w:endnote>
  <w:endnote w:type="continuationNotice" w:id="1">
    <w:p w:rsidR="000F0709" w:rsidRDefault="000F070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9" w:rsidRDefault="000F0709"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0F0709" w:rsidRDefault="000F07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9" w:rsidRDefault="000F0709" w:rsidP="0055614C">
    <w:pPr>
      <w:pStyle w:val="Footer"/>
      <w:framePr w:wrap="around" w:vAnchor="text" w:hAnchor="margin" w:xAlign="center" w:y="1"/>
    </w:pPr>
    <w:r>
      <w:fldChar w:fldCharType="begin"/>
    </w:r>
    <w:r>
      <w:instrText xml:space="preserve">PAGE  </w:instrText>
    </w:r>
    <w:r>
      <w:fldChar w:fldCharType="separate"/>
    </w:r>
    <w:r w:rsidR="00953AB3">
      <w:rPr>
        <w:noProof/>
      </w:rPr>
      <w:t>22</w:t>
    </w:r>
    <w:r>
      <w:fldChar w:fldCharType="end"/>
    </w:r>
  </w:p>
  <w:p w:rsidR="000F0709" w:rsidRDefault="000F0709">
    <w:pPr>
      <w:spacing w:before="140" w:line="100" w:lineRule="exact"/>
      <w:rPr>
        <w:sz w:val="10"/>
      </w:rPr>
    </w:pPr>
  </w:p>
  <w:p w:rsidR="000F0709" w:rsidRDefault="000F0709">
    <w:pPr>
      <w:suppressAutoHyphens/>
      <w:spacing w:line="227" w:lineRule="auto"/>
    </w:pPr>
  </w:p>
  <w:p w:rsidR="000F0709" w:rsidRDefault="000F070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9" w:rsidRDefault="000F0709">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709" w:rsidRDefault="000F0709">
      <w:r>
        <w:separator/>
      </w:r>
    </w:p>
  </w:footnote>
  <w:footnote w:type="continuationSeparator" w:id="0">
    <w:p w:rsidR="000F0709" w:rsidRDefault="000F0709">
      <w:pPr>
        <w:rPr>
          <w:sz w:val="20"/>
        </w:rPr>
      </w:pPr>
      <w:r>
        <w:rPr>
          <w:sz w:val="20"/>
        </w:rPr>
        <w:t xml:space="preserve">(Continued from previous page)  </w:t>
      </w:r>
      <w:r>
        <w:rPr>
          <w:sz w:val="20"/>
        </w:rPr>
        <w:separator/>
      </w:r>
    </w:p>
  </w:footnote>
  <w:footnote w:type="continuationNotice" w:id="1">
    <w:p w:rsidR="000F0709" w:rsidRDefault="000F0709">
      <w:pPr>
        <w:rPr>
          <w:sz w:val="20"/>
        </w:rPr>
      </w:pPr>
      <w:r>
        <w:rPr>
          <w:sz w:val="20"/>
        </w:rPr>
        <w:t>(continued….)</w:t>
      </w:r>
    </w:p>
  </w:footnote>
  <w:footnote w:id="2">
    <w:p w:rsidR="000F0709" w:rsidRPr="002C552D" w:rsidRDefault="000F0709" w:rsidP="000207BC">
      <w:pPr>
        <w:pStyle w:val="FootnoteText"/>
      </w:pPr>
      <w:r w:rsidRPr="002C552D">
        <w:rPr>
          <w:rStyle w:val="FootnoteReference"/>
        </w:rPr>
        <w:footnoteRef/>
      </w:r>
      <w:r w:rsidRPr="002C552D">
        <w:t xml:space="preserve"> TA Recommended Resolution, Mediation No. TAM-45</w:t>
      </w:r>
      <w:r>
        <w:t>0</w:t>
      </w:r>
      <w:r w:rsidRPr="002C552D">
        <w:t>1</w:t>
      </w:r>
      <w:r>
        <w:t>0</w:t>
      </w:r>
      <w:r w:rsidRPr="002C552D">
        <w:t xml:space="preserve">, filed </w:t>
      </w:r>
      <w:r>
        <w:t>September 8</w:t>
      </w:r>
      <w:r w:rsidRPr="002C552D">
        <w:t xml:space="preserve">, 2014 (RR). </w:t>
      </w:r>
    </w:p>
  </w:footnote>
  <w:footnote w:id="3">
    <w:p w:rsidR="000F0709" w:rsidRDefault="000F0709">
      <w:pPr>
        <w:pStyle w:val="FootnoteText"/>
      </w:pPr>
      <w:r>
        <w:rPr>
          <w:rStyle w:val="FootnoteReference"/>
        </w:rPr>
        <w:footnoteRef/>
      </w:r>
      <w:r>
        <w:t xml:space="preserve"> For uniformity in 800 MHz rebanding matters, we refer to wholly owned Sprint subsidiaries, such as Nextel Communications, Inc., by the name of their parent company, Sprint Corporation.</w:t>
      </w:r>
    </w:p>
  </w:footnote>
  <w:footnote w:id="4">
    <w:p w:rsidR="000F0709" w:rsidRPr="00710EF9" w:rsidRDefault="000F0709" w:rsidP="000207BC">
      <w:pPr>
        <w:pStyle w:val="FootnoteText"/>
      </w:pPr>
      <w:r w:rsidRPr="002C552D">
        <w:rPr>
          <w:rStyle w:val="FootnoteReference"/>
        </w:rPr>
        <w:footnoteRef/>
      </w:r>
      <w:r w:rsidRPr="002C552D">
        <w:t xml:space="preserve"> </w:t>
      </w:r>
      <w:r w:rsidRPr="00710EF9">
        <w:rPr>
          <w:i/>
          <w:iCs/>
        </w:rPr>
        <w:t xml:space="preserve">See </w:t>
      </w:r>
      <w:r w:rsidRPr="00710EF9">
        <w:t xml:space="preserve">Improving Public Safety Communications in the 800 MHz Band, </w:t>
      </w:r>
      <w:r w:rsidRPr="00710EF9">
        <w:rPr>
          <w:i/>
          <w:iCs/>
        </w:rPr>
        <w:t xml:space="preserve">Report and Order, Fifth Report and Order, </w:t>
      </w:r>
      <w:r w:rsidRPr="00710EF9">
        <w:rPr>
          <w:i/>
        </w:rPr>
        <w:t>Fourth</w:t>
      </w:r>
      <w:r w:rsidRPr="00710EF9">
        <w:rPr>
          <w:i/>
          <w:iCs/>
        </w:rPr>
        <w:t xml:space="preserve"> Memorandum Opinion and Order</w:t>
      </w:r>
      <w:r w:rsidRPr="00710EF9">
        <w:t>, 19 FCC Rcd 14969, 15075-77 (2004)(</w:t>
      </w:r>
      <w:r w:rsidRPr="00710EF9">
        <w:rPr>
          <w:i/>
          <w:iCs/>
        </w:rPr>
        <w:t>800 MHz Report and Order</w:t>
      </w:r>
      <w:r w:rsidRPr="00710EF9">
        <w:t xml:space="preserve">); Improving Public Safety Communications in the 800 MHz Band, </w:t>
      </w:r>
      <w:r w:rsidRPr="00710EF9">
        <w:rPr>
          <w:i/>
          <w:iCs/>
        </w:rPr>
        <w:t>Supplemental Order and Order on Reconsideration</w:t>
      </w:r>
      <w:r w:rsidRPr="00710EF9">
        <w:t>, 19 FCC Rcd 25120 (2004)(</w:t>
      </w:r>
      <w:r w:rsidRPr="00710EF9">
        <w:rPr>
          <w:i/>
          <w:iCs/>
        </w:rPr>
        <w:t>800 MHz Supplemental Order</w:t>
      </w:r>
      <w:r w:rsidRPr="00710EF9">
        <w:t xml:space="preserve">); Improving Public Safety Communications in the 800 MHz Band, </w:t>
      </w:r>
      <w:r w:rsidRPr="00710EF9">
        <w:rPr>
          <w:i/>
          <w:iCs/>
        </w:rPr>
        <w:t>Memorandum Opinion and Order</w:t>
      </w:r>
      <w:r w:rsidRPr="00710EF9">
        <w:t>, 20 FCC Rcd 16015 (2005)</w:t>
      </w:r>
      <w:r>
        <w:t>.</w:t>
      </w:r>
    </w:p>
  </w:footnote>
  <w:footnote w:id="5">
    <w:p w:rsidR="000F0709" w:rsidRPr="00710EF9" w:rsidRDefault="000F0709" w:rsidP="000207BC">
      <w:pPr>
        <w:pStyle w:val="FootnoteText"/>
      </w:pPr>
      <w:r w:rsidRPr="00710EF9">
        <w:rPr>
          <w:rStyle w:val="FootnoteReference"/>
        </w:rPr>
        <w:footnoteRef/>
      </w:r>
      <w:r w:rsidRPr="00710EF9">
        <w:t xml:space="preserve"> </w:t>
      </w:r>
      <w:r w:rsidRPr="00641EDD">
        <w:rPr>
          <w:i/>
        </w:rPr>
        <w:t>800 MHz Report and Order</w:t>
      </w:r>
      <w:r w:rsidRPr="00710EF9">
        <w:t>, 19 FCC Rcd at 14977</w:t>
      </w:r>
      <w:r>
        <w:t xml:space="preserve">, </w:t>
      </w:r>
      <w:r w:rsidRPr="00710EF9">
        <w:t>¶</w:t>
      </w:r>
      <w:r>
        <w:t>11</w:t>
      </w:r>
      <w:r w:rsidRPr="00710EF9">
        <w:t>.</w:t>
      </w:r>
    </w:p>
  </w:footnote>
  <w:footnote w:id="6">
    <w:p w:rsidR="000F0709" w:rsidRPr="00710EF9" w:rsidRDefault="000F0709" w:rsidP="000207BC">
      <w:pPr>
        <w:pStyle w:val="FootnoteText"/>
      </w:pPr>
      <w:r w:rsidRPr="00710EF9">
        <w:rPr>
          <w:rStyle w:val="FootnoteReference"/>
        </w:rPr>
        <w:footnoteRef/>
      </w:r>
      <w:r w:rsidRPr="00710EF9">
        <w:t xml:space="preserve"> The 800 MHz Transition Administrator (TA) </w:t>
      </w:r>
      <w:r w:rsidRPr="000207BC">
        <w:t>oversees</w:t>
      </w:r>
      <w:r w:rsidRPr="00710EF9">
        <w:t xml:space="preserve"> negotiation and implementation of 800 MHz rebanding and provides mediation services when disputes arise between licensees and Sprint over the cost or other aspects of rebanding.  </w:t>
      </w:r>
      <w:r w:rsidRPr="00710EF9">
        <w:rPr>
          <w:i/>
        </w:rPr>
        <w:t xml:space="preserve">800 MHz Report and Order </w:t>
      </w:r>
      <w:r w:rsidRPr="00710EF9">
        <w:t>19 FCC Rcd at 14986 ¶ 27.</w:t>
      </w:r>
    </w:p>
  </w:footnote>
  <w:footnote w:id="7">
    <w:p w:rsidR="000F0709" w:rsidRPr="002C552D" w:rsidRDefault="000F0709" w:rsidP="000207BC">
      <w:pPr>
        <w:pStyle w:val="FootnoteText"/>
      </w:pPr>
      <w:r w:rsidRPr="002C552D">
        <w:rPr>
          <w:rStyle w:val="FootnoteReference"/>
        </w:rPr>
        <w:footnoteRef/>
      </w:r>
      <w:r w:rsidRPr="002C552D">
        <w:t xml:space="preserve"> The </w:t>
      </w:r>
      <w:r w:rsidRPr="002C552D">
        <w:rPr>
          <w:i/>
        </w:rPr>
        <w:t xml:space="preserve">800 MHz Report and Order </w:t>
      </w:r>
      <w:r w:rsidRPr="002C552D">
        <w:t xml:space="preserve">originally provided for referral and </w:t>
      </w:r>
      <w:r w:rsidRPr="002C552D">
        <w:rPr>
          <w:i/>
        </w:rPr>
        <w:t>de novo</w:t>
      </w:r>
      <w:r w:rsidRPr="002C552D">
        <w:t xml:space="preserve"> review of unresolved mediation issues by the Public Safety and Critical Infrastructure Division of the Commission’s Wireless Telecommunications Bureau.  </w:t>
      </w:r>
      <w:r w:rsidRPr="002C552D">
        <w:rPr>
          <w:i/>
        </w:rPr>
        <w:t>800 MHz Report and Order</w:t>
      </w:r>
      <w:r w:rsidRPr="002C552D">
        <w:t xml:space="preserve">, 19 FCC Rcd at 15075 ¶ 201.  However, the Commission has since delegated this authority to the Public Safety and Homeland Security Bureau.  </w:t>
      </w:r>
      <w:r w:rsidRPr="002C552D">
        <w:rPr>
          <w:i/>
        </w:rPr>
        <w:t xml:space="preserve">See </w:t>
      </w:r>
      <w:r w:rsidRPr="002C552D">
        <w:t xml:space="preserve">Establishment of Public Safety and Homeland Security Bureau, </w:t>
      </w:r>
      <w:r w:rsidRPr="002C552D">
        <w:rPr>
          <w:i/>
        </w:rPr>
        <w:t>Order</w:t>
      </w:r>
      <w:r w:rsidRPr="002C552D">
        <w:t>, 21 FCC Rcd 10867 (2006).</w:t>
      </w:r>
    </w:p>
  </w:footnote>
  <w:footnote w:id="8">
    <w:p w:rsidR="000F0709" w:rsidRDefault="000F0709">
      <w:pPr>
        <w:pStyle w:val="FootnoteText"/>
      </w:pPr>
      <w:r>
        <w:rPr>
          <w:rStyle w:val="FootnoteReference"/>
        </w:rPr>
        <w:footnoteRef/>
      </w:r>
      <w:r>
        <w:t xml:space="preserve"> </w:t>
      </w:r>
      <w:r w:rsidRPr="002C552D">
        <w:rPr>
          <w:i/>
        </w:rPr>
        <w:t xml:space="preserve">See </w:t>
      </w:r>
      <w:r w:rsidRPr="002C552D">
        <w:t xml:space="preserve">RR at </w:t>
      </w:r>
      <w:r>
        <w:t>2.</w:t>
      </w:r>
    </w:p>
  </w:footnote>
  <w:footnote w:id="9">
    <w:p w:rsidR="000F0709" w:rsidRPr="00EB323C" w:rsidRDefault="000F0709">
      <w:pPr>
        <w:pStyle w:val="FootnoteText"/>
        <w:rPr>
          <w:i/>
        </w:rPr>
      </w:pPr>
      <w:r>
        <w:rPr>
          <w:rStyle w:val="FootnoteReference"/>
        </w:rPr>
        <w:footnoteRef/>
      </w:r>
      <w:r>
        <w:t xml:space="preserve"> </w:t>
      </w:r>
      <w:r>
        <w:rPr>
          <w:i/>
        </w:rPr>
        <w:t>Id.</w:t>
      </w:r>
    </w:p>
  </w:footnote>
  <w:footnote w:id="10">
    <w:p w:rsidR="000F0709" w:rsidRPr="00792961" w:rsidRDefault="000F0709">
      <w:pPr>
        <w:pStyle w:val="FootnoteText"/>
        <w:rPr>
          <w:i/>
        </w:rPr>
      </w:pPr>
      <w:r>
        <w:rPr>
          <w:rStyle w:val="FootnoteReference"/>
        </w:rPr>
        <w:footnoteRef/>
      </w:r>
      <w:r>
        <w:t xml:space="preserve"> </w:t>
      </w:r>
      <w:r>
        <w:rPr>
          <w:i/>
        </w:rPr>
        <w:t>Id.</w:t>
      </w:r>
    </w:p>
  </w:footnote>
  <w:footnote w:id="11">
    <w:p w:rsidR="000F0709" w:rsidRPr="00EB323C" w:rsidRDefault="000F0709" w:rsidP="00EB323C">
      <w:pPr>
        <w:pStyle w:val="FootnoteText"/>
        <w:rPr>
          <w:i/>
        </w:rPr>
      </w:pPr>
      <w:r>
        <w:rPr>
          <w:rStyle w:val="FootnoteReference"/>
        </w:rPr>
        <w:footnoteRef/>
      </w:r>
      <w:r>
        <w:t xml:space="preserve"> </w:t>
      </w:r>
      <w:r>
        <w:rPr>
          <w:i/>
        </w:rPr>
        <w:t>Id.</w:t>
      </w:r>
    </w:p>
  </w:footnote>
  <w:footnote w:id="12">
    <w:p w:rsidR="000F0709" w:rsidRPr="00EB323C" w:rsidRDefault="000F0709" w:rsidP="00EB323C">
      <w:pPr>
        <w:pStyle w:val="FootnoteText"/>
        <w:rPr>
          <w:i/>
        </w:rPr>
      </w:pPr>
      <w:r>
        <w:rPr>
          <w:rStyle w:val="FootnoteReference"/>
        </w:rPr>
        <w:footnoteRef/>
      </w:r>
      <w:r>
        <w:t xml:space="preserve"> </w:t>
      </w:r>
      <w:r w:rsidRPr="00B872BE">
        <w:t xml:space="preserve"> </w:t>
      </w:r>
      <w:r w:rsidRPr="0050220F">
        <w:t xml:space="preserve">Proposed Resolution Memorandum of </w:t>
      </w:r>
      <w:r>
        <w:t>Licensee</w:t>
      </w:r>
      <w:r w:rsidRPr="0050220F">
        <w:t xml:space="preserve"> dated August </w:t>
      </w:r>
      <w:r>
        <w:t>7</w:t>
      </w:r>
      <w:r w:rsidRPr="0050220F">
        <w:t>, 2014 (</w:t>
      </w:r>
      <w:r>
        <w:t>APSC</w:t>
      </w:r>
      <w:r w:rsidRPr="0050220F">
        <w:t xml:space="preserve"> PRM)</w:t>
      </w:r>
      <w:r>
        <w:t xml:space="preserve"> at 2</w:t>
      </w:r>
      <w:r>
        <w:rPr>
          <w:i/>
        </w:rPr>
        <w:t>.</w:t>
      </w:r>
    </w:p>
  </w:footnote>
  <w:footnote w:id="13">
    <w:p w:rsidR="000F0709" w:rsidRPr="004B3361" w:rsidRDefault="000F0709" w:rsidP="000207BC">
      <w:pPr>
        <w:pStyle w:val="FootnoteText"/>
      </w:pPr>
      <w:r w:rsidRPr="002C552D">
        <w:rPr>
          <w:rStyle w:val="FootnoteReference"/>
        </w:rPr>
        <w:footnoteRef/>
      </w:r>
      <w:r w:rsidRPr="002C552D">
        <w:t xml:space="preserve"> </w:t>
      </w:r>
      <w:r w:rsidRPr="002C552D">
        <w:rPr>
          <w:i/>
        </w:rPr>
        <w:t>800 MHz Report &amp; Order</w:t>
      </w:r>
      <w:r w:rsidRPr="002C552D">
        <w:t xml:space="preserve">, 19 FCC Rcd </w:t>
      </w:r>
      <w:r>
        <w:t xml:space="preserve">at </w:t>
      </w:r>
      <w:r w:rsidRPr="002C552D">
        <w:t>14977</w:t>
      </w:r>
      <w:r>
        <w:t xml:space="preserve">, </w:t>
      </w:r>
      <w:r w:rsidRPr="000D7C38">
        <w:t>¶ 1</w:t>
      </w:r>
      <w:r>
        <w:t>1</w:t>
      </w:r>
      <w:r w:rsidRPr="002C552D">
        <w:t>.</w:t>
      </w:r>
    </w:p>
  </w:footnote>
  <w:footnote w:id="14">
    <w:p w:rsidR="000F0709" w:rsidRPr="00785F74" w:rsidRDefault="000F0709">
      <w:pPr>
        <w:pStyle w:val="FootnoteText"/>
      </w:pPr>
      <w:r>
        <w:rPr>
          <w:rStyle w:val="FootnoteReference"/>
        </w:rPr>
        <w:footnoteRef/>
      </w:r>
      <w:r>
        <w:t xml:space="preserve"> </w:t>
      </w:r>
      <w:r>
        <w:rPr>
          <w:i/>
        </w:rPr>
        <w:t xml:space="preserve">See </w:t>
      </w:r>
      <w:r>
        <w:t>RR at 2.</w:t>
      </w:r>
    </w:p>
  </w:footnote>
  <w:footnote w:id="15">
    <w:p w:rsidR="000F0709" w:rsidRPr="00785F74" w:rsidRDefault="000F0709">
      <w:pPr>
        <w:pStyle w:val="FootnoteText"/>
        <w:rPr>
          <w:i/>
        </w:rPr>
      </w:pPr>
      <w:r>
        <w:rPr>
          <w:rStyle w:val="FootnoteReference"/>
        </w:rPr>
        <w:footnoteRef/>
      </w:r>
      <w:r>
        <w:t xml:space="preserve"> </w:t>
      </w:r>
      <w:r>
        <w:rPr>
          <w:i/>
        </w:rPr>
        <w:t>Id.</w:t>
      </w:r>
    </w:p>
  </w:footnote>
  <w:footnote w:id="16">
    <w:p w:rsidR="000F0709" w:rsidRPr="00785F74" w:rsidRDefault="000F0709">
      <w:pPr>
        <w:pStyle w:val="FootnoteText"/>
        <w:rPr>
          <w:i/>
        </w:rPr>
      </w:pPr>
      <w:r>
        <w:rPr>
          <w:rStyle w:val="FootnoteReference"/>
        </w:rPr>
        <w:footnoteRef/>
      </w:r>
      <w:r>
        <w:t xml:space="preserve"> </w:t>
      </w:r>
      <w:r>
        <w:rPr>
          <w:i/>
        </w:rPr>
        <w:t>Id.</w:t>
      </w:r>
    </w:p>
  </w:footnote>
  <w:footnote w:id="17">
    <w:p w:rsidR="000F0709" w:rsidRPr="00E7789B" w:rsidRDefault="000F0709">
      <w:pPr>
        <w:pStyle w:val="FootnoteText"/>
        <w:rPr>
          <w:i/>
        </w:rPr>
      </w:pPr>
      <w:r>
        <w:rPr>
          <w:rStyle w:val="FootnoteReference"/>
        </w:rPr>
        <w:footnoteRef/>
      </w:r>
      <w:r>
        <w:t xml:space="preserve"> </w:t>
      </w:r>
      <w:r>
        <w:rPr>
          <w:i/>
        </w:rPr>
        <w:t>Id.</w:t>
      </w:r>
    </w:p>
  </w:footnote>
  <w:footnote w:id="18">
    <w:p w:rsidR="000F0709" w:rsidRPr="00E7789B" w:rsidRDefault="000F0709">
      <w:pPr>
        <w:pStyle w:val="FootnoteText"/>
        <w:rPr>
          <w:i/>
        </w:rPr>
      </w:pPr>
      <w:r>
        <w:rPr>
          <w:rStyle w:val="FootnoteReference"/>
        </w:rPr>
        <w:footnoteRef/>
      </w:r>
      <w:r>
        <w:t xml:space="preserve"> </w:t>
      </w:r>
      <w:r>
        <w:rPr>
          <w:i/>
        </w:rPr>
        <w:t xml:space="preserve">Id. </w:t>
      </w:r>
      <w:r w:rsidRPr="00E7789B">
        <w:t>at 3</w:t>
      </w:r>
      <w:r>
        <w:t>.</w:t>
      </w:r>
    </w:p>
  </w:footnote>
  <w:footnote w:id="19">
    <w:p w:rsidR="000F0709" w:rsidRPr="00E7789B" w:rsidRDefault="000F0709">
      <w:pPr>
        <w:pStyle w:val="FootnoteText"/>
        <w:rPr>
          <w:i/>
        </w:rPr>
      </w:pPr>
      <w:r>
        <w:rPr>
          <w:rStyle w:val="FootnoteReference"/>
        </w:rPr>
        <w:footnoteRef/>
      </w:r>
      <w:r>
        <w:t xml:space="preserve"> </w:t>
      </w:r>
      <w:r>
        <w:rPr>
          <w:i/>
        </w:rPr>
        <w:t xml:space="preserve">Id. </w:t>
      </w:r>
    </w:p>
  </w:footnote>
  <w:footnote w:id="20">
    <w:p w:rsidR="000F0709" w:rsidRPr="00A00CF4" w:rsidRDefault="000F0709">
      <w:pPr>
        <w:pStyle w:val="FootnoteText"/>
      </w:pPr>
      <w:r>
        <w:rPr>
          <w:rStyle w:val="FootnoteReference"/>
        </w:rPr>
        <w:footnoteRef/>
      </w:r>
      <w:r>
        <w:t xml:space="preserve"> </w:t>
      </w:r>
      <w:r>
        <w:rPr>
          <w:i/>
        </w:rPr>
        <w:t>Id.</w:t>
      </w:r>
      <w:r>
        <w:t xml:space="preserve"> </w:t>
      </w:r>
    </w:p>
  </w:footnote>
  <w:footnote w:id="21">
    <w:p w:rsidR="000F0709" w:rsidRPr="00A00CF4" w:rsidRDefault="000F0709" w:rsidP="00A00CF4">
      <w:pPr>
        <w:pStyle w:val="FootnoteText"/>
      </w:pPr>
      <w:r>
        <w:rPr>
          <w:rStyle w:val="FootnoteReference"/>
        </w:rPr>
        <w:footnoteRef/>
      </w:r>
      <w:r>
        <w:t xml:space="preserve"> </w:t>
      </w:r>
      <w:r>
        <w:rPr>
          <w:i/>
        </w:rPr>
        <w:t>Id.</w:t>
      </w:r>
      <w:r>
        <w:t xml:space="preserve"> </w:t>
      </w:r>
    </w:p>
  </w:footnote>
  <w:footnote w:id="22">
    <w:p w:rsidR="000F0709" w:rsidRPr="00A00CF4" w:rsidRDefault="000F0709" w:rsidP="00A00CF4">
      <w:pPr>
        <w:pStyle w:val="FootnoteText"/>
      </w:pPr>
      <w:r>
        <w:rPr>
          <w:rStyle w:val="FootnoteReference"/>
        </w:rPr>
        <w:footnoteRef/>
      </w:r>
      <w:r>
        <w:t xml:space="preserve"> </w:t>
      </w:r>
      <w:r>
        <w:rPr>
          <w:i/>
        </w:rPr>
        <w:t>Id.</w:t>
      </w:r>
      <w:r>
        <w:t xml:space="preserve"> </w:t>
      </w:r>
    </w:p>
  </w:footnote>
  <w:footnote w:id="23">
    <w:p w:rsidR="000F0709" w:rsidRPr="0050220F" w:rsidRDefault="000F0709">
      <w:pPr>
        <w:pStyle w:val="FootnoteText"/>
        <w:rPr>
          <w:i/>
        </w:rPr>
      </w:pPr>
      <w:r>
        <w:rPr>
          <w:rStyle w:val="FootnoteReference"/>
        </w:rPr>
        <w:footnoteRef/>
      </w:r>
      <w:r>
        <w:t xml:space="preserve"> </w:t>
      </w:r>
      <w:r>
        <w:rPr>
          <w:i/>
        </w:rPr>
        <w:t>Id.</w:t>
      </w:r>
      <w:r>
        <w:t xml:space="preserve"> at 4.</w:t>
      </w:r>
    </w:p>
  </w:footnote>
  <w:footnote w:id="24">
    <w:p w:rsidR="000F0709" w:rsidRDefault="000F0709">
      <w:pPr>
        <w:pStyle w:val="FootnoteText"/>
      </w:pPr>
      <w:r>
        <w:rPr>
          <w:rStyle w:val="FootnoteReference"/>
        </w:rPr>
        <w:footnoteRef/>
      </w:r>
      <w:r>
        <w:t xml:space="preserve"> </w:t>
      </w:r>
      <w:r w:rsidRPr="0050220F">
        <w:rPr>
          <w:i/>
        </w:rPr>
        <w:t>See</w:t>
      </w:r>
      <w:r w:rsidRPr="0050220F">
        <w:t xml:space="preserve"> </w:t>
      </w:r>
      <w:r>
        <w:t>APSC</w:t>
      </w:r>
      <w:r w:rsidRPr="0050220F">
        <w:t xml:space="preserve"> PRM</w:t>
      </w:r>
      <w:r>
        <w:t>.</w:t>
      </w:r>
    </w:p>
  </w:footnote>
  <w:footnote w:id="25">
    <w:p w:rsidR="000F0709" w:rsidRDefault="000F0709">
      <w:pPr>
        <w:pStyle w:val="FootnoteText"/>
      </w:pPr>
      <w:r>
        <w:rPr>
          <w:rStyle w:val="FootnoteReference"/>
        </w:rPr>
        <w:footnoteRef/>
      </w:r>
      <w:r>
        <w:t xml:space="preserve"> </w:t>
      </w:r>
      <w:r w:rsidRPr="0050220F">
        <w:rPr>
          <w:i/>
        </w:rPr>
        <w:t>See</w:t>
      </w:r>
      <w:r w:rsidRPr="0050220F">
        <w:t xml:space="preserve"> Proposed Resolution Memorandum of Sprint Corporation dated August 18, 2014 (Sprint PRM)</w:t>
      </w:r>
      <w:r>
        <w:t>.</w:t>
      </w:r>
    </w:p>
  </w:footnote>
  <w:footnote w:id="26">
    <w:p w:rsidR="000F0709" w:rsidRDefault="000F0709">
      <w:pPr>
        <w:pStyle w:val="FootnoteText"/>
      </w:pPr>
      <w:r>
        <w:rPr>
          <w:rStyle w:val="FootnoteReference"/>
        </w:rPr>
        <w:footnoteRef/>
      </w:r>
      <w:r>
        <w:t xml:space="preserve"> </w:t>
      </w:r>
      <w:r w:rsidRPr="0050220F">
        <w:t>See Surreply of Sprint Corporation dated Au</w:t>
      </w:r>
      <w:r>
        <w:t>gust 29, 2014 (Sprint Surreply</w:t>
      </w:r>
      <w:r w:rsidRPr="0050220F">
        <w:t>)</w:t>
      </w:r>
      <w:r>
        <w:t>.</w:t>
      </w:r>
    </w:p>
  </w:footnote>
  <w:footnote w:id="27">
    <w:p w:rsidR="000F0709" w:rsidRPr="004B3361" w:rsidRDefault="000F0709" w:rsidP="000207BC">
      <w:pPr>
        <w:pStyle w:val="FootnoteText"/>
      </w:pPr>
      <w:r w:rsidRPr="004B3361">
        <w:rPr>
          <w:rStyle w:val="FootnoteReference"/>
        </w:rPr>
        <w:footnoteRef/>
      </w:r>
      <w:r w:rsidRPr="004B3361">
        <w:rPr>
          <w:i/>
        </w:rPr>
        <w:t xml:space="preserve"> See </w:t>
      </w:r>
      <w:r>
        <w:t>RR.</w:t>
      </w:r>
      <w:r w:rsidRPr="004B3361">
        <w:t xml:space="preserve"> </w:t>
      </w:r>
    </w:p>
  </w:footnote>
  <w:footnote w:id="28">
    <w:p w:rsidR="000F0709" w:rsidRPr="00861720" w:rsidRDefault="000F0709" w:rsidP="000207BC">
      <w:pPr>
        <w:pStyle w:val="FootnoteText"/>
      </w:pPr>
      <w:r>
        <w:rPr>
          <w:rStyle w:val="FootnoteReference"/>
        </w:rPr>
        <w:footnoteRef/>
      </w:r>
      <w:r>
        <w:t xml:space="preserve"> </w:t>
      </w:r>
      <w:r w:rsidRPr="004B3361">
        <w:rPr>
          <w:i/>
        </w:rPr>
        <w:t xml:space="preserve">See </w:t>
      </w:r>
      <w:r>
        <w:t xml:space="preserve">Statement of Position </w:t>
      </w:r>
      <w:r w:rsidRPr="004B3361">
        <w:t xml:space="preserve">of </w:t>
      </w:r>
      <w:r>
        <w:t>Arizona Public Service Company, filed September 22</w:t>
      </w:r>
      <w:r w:rsidRPr="004B3361">
        <w:t>, 2014 (</w:t>
      </w:r>
      <w:r>
        <w:t>APSC</w:t>
      </w:r>
      <w:r w:rsidRPr="0044378E">
        <w:t xml:space="preserve"> SOP</w:t>
      </w:r>
      <w:r w:rsidRPr="004B3361">
        <w:t xml:space="preserve">); </w:t>
      </w:r>
      <w:r>
        <w:t xml:space="preserve">Statement of Position </w:t>
      </w:r>
      <w:r w:rsidRPr="004B3361">
        <w:t>of Sprint Corporation</w:t>
      </w:r>
      <w:r>
        <w:t>, filed</w:t>
      </w:r>
      <w:r w:rsidRPr="004B3361">
        <w:t xml:space="preserve"> </w:t>
      </w:r>
      <w:r>
        <w:t>September 22</w:t>
      </w:r>
      <w:r w:rsidRPr="004B3361">
        <w:t>, 2014 (</w:t>
      </w:r>
      <w:r w:rsidRPr="0044378E">
        <w:t>Sprint SOP</w:t>
      </w:r>
      <w:r w:rsidRPr="004B3361">
        <w:t>).</w:t>
      </w:r>
    </w:p>
  </w:footnote>
  <w:footnote w:id="29">
    <w:p w:rsidR="000F0709" w:rsidRDefault="000F0709">
      <w:pPr>
        <w:pStyle w:val="FootnoteText"/>
      </w:pPr>
      <w:r>
        <w:rPr>
          <w:rStyle w:val="FootnoteReference"/>
        </w:rPr>
        <w:footnoteRef/>
      </w:r>
      <w:r>
        <w:t xml:space="preserve"> Transmittal of Supplement to the Record and Request for Confidential Treatment</w:t>
      </w:r>
      <w:r w:rsidRPr="002C552D">
        <w:t>, Mediation No. TAM-45</w:t>
      </w:r>
      <w:r>
        <w:t>0</w:t>
      </w:r>
      <w:r w:rsidRPr="002C552D">
        <w:t>1</w:t>
      </w:r>
      <w:r>
        <w:t>0</w:t>
      </w:r>
      <w:r w:rsidRPr="002C552D">
        <w:t xml:space="preserve">, filed </w:t>
      </w:r>
      <w:r>
        <w:t>November 4</w:t>
      </w:r>
      <w:r w:rsidRPr="002C552D">
        <w:t>, 2014.</w:t>
      </w:r>
    </w:p>
  </w:footnote>
  <w:footnote w:id="30">
    <w:p w:rsidR="000F0709" w:rsidRDefault="000F0709">
      <w:pPr>
        <w:pStyle w:val="FootnoteText"/>
      </w:pPr>
      <w:r>
        <w:rPr>
          <w:rStyle w:val="FootnoteReference"/>
        </w:rPr>
        <w:footnoteRef/>
      </w:r>
      <w:r>
        <w:t xml:space="preserve"> </w:t>
      </w:r>
      <w:r w:rsidRPr="000D7C38">
        <w:rPr>
          <w:i/>
        </w:rPr>
        <w:t>800 MHz Supplemental Order</w:t>
      </w:r>
      <w:r w:rsidRPr="000D7C38">
        <w:t>, 19 FCC Rcd at 25152</w:t>
      </w:r>
      <w:r>
        <w:t>,</w:t>
      </w:r>
      <w:r w:rsidRPr="000D7C38">
        <w:t xml:space="preserve"> </w:t>
      </w:r>
      <w:r>
        <w:t xml:space="preserve"> </w:t>
      </w:r>
      <w:r w:rsidRPr="000D7C38">
        <w:t>¶ 71.</w:t>
      </w:r>
    </w:p>
  </w:footnote>
  <w:footnote w:id="31">
    <w:p w:rsidR="000F0709" w:rsidRDefault="000F0709">
      <w:pPr>
        <w:pStyle w:val="FootnoteText"/>
      </w:pPr>
      <w:r>
        <w:rPr>
          <w:rStyle w:val="FootnoteReference"/>
        </w:rPr>
        <w:footnoteRef/>
      </w:r>
      <w:r>
        <w:t xml:space="preserve"> </w:t>
      </w:r>
      <w:r w:rsidRPr="000D7C38">
        <w:rPr>
          <w:i/>
        </w:rPr>
        <w:t xml:space="preserve">800 MHz </w:t>
      </w:r>
      <w:r>
        <w:rPr>
          <w:i/>
        </w:rPr>
        <w:t xml:space="preserve">Report and </w:t>
      </w:r>
      <w:r w:rsidRPr="000D7C38">
        <w:rPr>
          <w:i/>
        </w:rPr>
        <w:t>Order</w:t>
      </w:r>
      <w:r w:rsidRPr="000D7C38">
        <w:t>, 19 FCC Rcd at 15074</w:t>
      </w:r>
      <w:r>
        <w:t>,</w:t>
      </w:r>
      <w:r w:rsidRPr="000D7C38">
        <w:t xml:space="preserve"> </w:t>
      </w:r>
      <w:r>
        <w:t xml:space="preserve"> </w:t>
      </w:r>
      <w:r w:rsidRPr="000D7C38">
        <w:t>¶ 198</w:t>
      </w:r>
      <w:r>
        <w:t>.</w:t>
      </w:r>
    </w:p>
  </w:footnote>
  <w:footnote w:id="32">
    <w:p w:rsidR="000F0709" w:rsidRDefault="000F0709">
      <w:pPr>
        <w:pStyle w:val="FootnoteText"/>
      </w:pPr>
      <w:r>
        <w:rPr>
          <w:rStyle w:val="FootnoteReference"/>
        </w:rPr>
        <w:footnoteRef/>
      </w:r>
      <w:r>
        <w:t xml:space="preserve"> </w:t>
      </w:r>
      <w:r>
        <w:rPr>
          <w:i/>
          <w:iCs/>
        </w:rPr>
        <w:t xml:space="preserve">See </w:t>
      </w:r>
      <w:r>
        <w:t xml:space="preserve">Wireless Telecommunications Bureau Announces Procedures for </w:t>
      </w:r>
      <w:r>
        <w:rPr>
          <w:i/>
        </w:rPr>
        <w:t>De Novo</w:t>
      </w:r>
      <w:r>
        <w:t xml:space="preserve"> Review in the 800 MHz Public Safety Proceeding, WT Docket 02-55, </w:t>
      </w:r>
      <w:r>
        <w:rPr>
          <w:i/>
          <w:iCs/>
        </w:rPr>
        <w:t xml:space="preserve">Public Notice, </w:t>
      </w:r>
      <w:r>
        <w:t xml:space="preserve">21 FCC Rcd 758 (WTB 2006).  </w:t>
      </w:r>
    </w:p>
  </w:footnote>
  <w:footnote w:id="33">
    <w:p w:rsidR="000F0709" w:rsidRPr="000F0709" w:rsidRDefault="000F0709">
      <w:pPr>
        <w:pStyle w:val="FootnoteText"/>
        <w:rPr>
          <w:i/>
        </w:rPr>
      </w:pPr>
      <w:r>
        <w:rPr>
          <w:rStyle w:val="FootnoteReference"/>
        </w:rPr>
        <w:footnoteRef/>
      </w:r>
      <w:r>
        <w:t xml:space="preserve"> </w:t>
      </w:r>
      <w:r w:rsidRPr="00710EF9">
        <w:t xml:space="preserve">Improving Public Safety Communications in the 800 MHz Band, </w:t>
      </w:r>
      <w:r w:rsidRPr="00710EF9">
        <w:rPr>
          <w:i/>
          <w:iCs/>
        </w:rPr>
        <w:t>Memorandum Opinion and Order</w:t>
      </w:r>
      <w:r w:rsidRPr="00710EF9">
        <w:t>,</w:t>
      </w:r>
      <w:r>
        <w:t xml:space="preserve"> 22 FCC Rcd 9818, </w:t>
      </w:r>
      <w:r w:rsidRPr="000D7C38">
        <w:t xml:space="preserve">9820 </w:t>
      </w:r>
      <w:r>
        <w:t xml:space="preserve"> </w:t>
      </w:r>
      <w:r w:rsidRPr="000D7C38">
        <w:t>¶ 6</w:t>
      </w:r>
      <w:r>
        <w:t xml:space="preserve"> (</w:t>
      </w:r>
      <w:r>
        <w:rPr>
          <w:i/>
        </w:rPr>
        <w:t>Cost Clarification Order).</w:t>
      </w:r>
    </w:p>
  </w:footnote>
  <w:footnote w:id="34">
    <w:p w:rsidR="000F0709" w:rsidRDefault="000F0709">
      <w:pPr>
        <w:pStyle w:val="FootnoteText"/>
      </w:pPr>
      <w:r>
        <w:rPr>
          <w:rStyle w:val="FootnoteReference"/>
        </w:rPr>
        <w:footnoteRef/>
      </w:r>
      <w:r>
        <w:t xml:space="preserve"> </w:t>
      </w:r>
      <w:r>
        <w:rPr>
          <w:i/>
          <w:iCs/>
        </w:rPr>
        <w:t xml:space="preserve">Id. </w:t>
      </w:r>
      <w:r>
        <w:t>at 9821, ¶ 11.</w:t>
      </w:r>
    </w:p>
  </w:footnote>
  <w:footnote w:id="35">
    <w:p w:rsidR="000F0709" w:rsidRDefault="000F0709">
      <w:pPr>
        <w:pStyle w:val="FootnoteText"/>
      </w:pPr>
      <w:r>
        <w:rPr>
          <w:rStyle w:val="FootnoteReference"/>
        </w:rPr>
        <w:footnoteRef/>
      </w:r>
      <w:r>
        <w:t xml:space="preserve"> A “touch” is industry terminology for the process of retuning a radio.</w:t>
      </w:r>
    </w:p>
  </w:footnote>
  <w:footnote w:id="36">
    <w:p w:rsidR="000F0709" w:rsidRDefault="000F0709" w:rsidP="00B96416">
      <w:pPr>
        <w:pStyle w:val="FootnoteText"/>
      </w:pPr>
      <w:r>
        <w:rPr>
          <w:rStyle w:val="FootnoteReference"/>
        </w:rPr>
        <w:footnoteRef/>
      </w:r>
      <w:r>
        <w:t xml:space="preserve"> I</w:t>
      </w:r>
      <w:r w:rsidRPr="00D9682E">
        <w:rPr>
          <w:iCs/>
        </w:rPr>
        <w:t>llinois Public Safety Agency Network and Sprint Nextel</w:t>
      </w:r>
      <w:r w:rsidRPr="000D7C38">
        <w:rPr>
          <w:i/>
          <w:iCs/>
        </w:rPr>
        <w:t>, Memorandum Opinion and Order</w:t>
      </w:r>
      <w:r w:rsidRPr="000D7C38">
        <w:t>, 26 FCC Rcd</w:t>
      </w:r>
      <w:r>
        <w:t xml:space="preserve"> </w:t>
      </w:r>
      <w:r w:rsidRPr="000D7C38">
        <w:t>4061, 4067</w:t>
      </w:r>
      <w:r>
        <w:t>,</w:t>
      </w:r>
      <w:r w:rsidRPr="000D7C38">
        <w:t xml:space="preserve"> </w:t>
      </w:r>
      <w:r>
        <w:t xml:space="preserve"> </w:t>
      </w:r>
      <w:r w:rsidRPr="000D7C38">
        <w:t>¶¶ 17-18(</w:t>
      </w:r>
      <w:r>
        <w:t xml:space="preserve">PSHSB </w:t>
      </w:r>
      <w:r w:rsidRPr="000D7C38">
        <w:t>2011)</w:t>
      </w:r>
      <w:r>
        <w:t>(</w:t>
      </w:r>
      <w:r>
        <w:rPr>
          <w:i/>
        </w:rPr>
        <w:t>IPSAN MO&amp;O)</w:t>
      </w:r>
      <w:r w:rsidRPr="009E72C5">
        <w:t>.</w:t>
      </w:r>
    </w:p>
  </w:footnote>
  <w:footnote w:id="37">
    <w:p w:rsidR="000F0709" w:rsidRPr="000F0709" w:rsidRDefault="000F0709">
      <w:pPr>
        <w:pStyle w:val="FootnoteText"/>
        <w:rPr>
          <w:i/>
        </w:rPr>
      </w:pPr>
      <w:r>
        <w:rPr>
          <w:rStyle w:val="FootnoteReference"/>
        </w:rPr>
        <w:footnoteRef/>
      </w:r>
      <w:r>
        <w:t xml:space="preserve"> </w:t>
      </w:r>
      <w:r w:rsidRPr="00D9682E">
        <w:rPr>
          <w:iCs/>
        </w:rPr>
        <w:t>State of Maryland and Sprint Nextel</w:t>
      </w:r>
      <w:r w:rsidRPr="004F0221">
        <w:rPr>
          <w:i/>
          <w:iCs/>
        </w:rPr>
        <w:t>, Memorandum Opinion and Order</w:t>
      </w:r>
      <w:r w:rsidRPr="004F0221">
        <w:t xml:space="preserve">, 21 FCC Rcd 11939 </w:t>
      </w:r>
      <w:r>
        <w:t xml:space="preserve">PSHSB </w:t>
      </w:r>
      <w:r w:rsidRPr="004F0221">
        <w:t>2006)</w:t>
      </w:r>
      <w:r>
        <w:t>(</w:t>
      </w:r>
      <w:r>
        <w:rPr>
          <w:i/>
        </w:rPr>
        <w:t>Maryland MO&amp;O).</w:t>
      </w:r>
    </w:p>
  </w:footnote>
  <w:footnote w:id="38">
    <w:p w:rsidR="000F0709" w:rsidRDefault="000F0709">
      <w:pPr>
        <w:pStyle w:val="FootnoteText"/>
      </w:pPr>
      <w:r>
        <w:rPr>
          <w:rStyle w:val="FootnoteReference"/>
        </w:rPr>
        <w:footnoteRef/>
      </w:r>
      <w:r>
        <w:t xml:space="preserve"> </w:t>
      </w:r>
      <w:r w:rsidRPr="002B1927">
        <w:rPr>
          <w:i/>
        </w:rPr>
        <w:t>Id.</w:t>
      </w:r>
      <w:r>
        <w:rPr>
          <w:i/>
        </w:rPr>
        <w:t xml:space="preserve"> </w:t>
      </w:r>
      <w:r>
        <w:t>at 11941, ¶¶ 10-11.</w:t>
      </w:r>
    </w:p>
  </w:footnote>
  <w:footnote w:id="39">
    <w:p w:rsidR="000F0709" w:rsidRPr="006D0F7A" w:rsidRDefault="000F0709" w:rsidP="00D9682E">
      <w:pPr>
        <w:spacing w:after="120"/>
      </w:pPr>
      <w:r>
        <w:rPr>
          <w:rStyle w:val="FootnoteReference"/>
        </w:rPr>
        <w:footnoteRef/>
      </w:r>
      <w:r>
        <w:t xml:space="preserve"> </w:t>
      </w:r>
      <w:r w:rsidRPr="000F0709">
        <w:rPr>
          <w:sz w:val="20"/>
        </w:rPr>
        <w:t xml:space="preserve">State of Indiana and Sprint Nextel, </w:t>
      </w:r>
      <w:r w:rsidRPr="000F0709">
        <w:rPr>
          <w:i/>
          <w:sz w:val="20"/>
        </w:rPr>
        <w:t>Memorandum Opinion and Order</w:t>
      </w:r>
      <w:r w:rsidRPr="00B96416">
        <w:rPr>
          <w:snapToGrid/>
          <w:kern w:val="0"/>
          <w:sz w:val="20"/>
        </w:rPr>
        <w:t>, 26 FCC Rcd 1023 (PSHSB 2011)</w:t>
      </w:r>
      <w:r w:rsidRPr="006D0F7A">
        <w:rPr>
          <w:snapToGrid/>
          <w:kern w:val="0"/>
          <w:sz w:val="20"/>
        </w:rPr>
        <w:t xml:space="preserve">, </w:t>
      </w:r>
      <w:r w:rsidRPr="00D9682E">
        <w:rPr>
          <w:i/>
          <w:snapToGrid/>
          <w:kern w:val="0"/>
          <w:sz w:val="20"/>
        </w:rPr>
        <w:t>petition for reconsideration denied</w:t>
      </w:r>
      <w:r>
        <w:rPr>
          <w:snapToGrid/>
          <w:kern w:val="0"/>
          <w:sz w:val="20"/>
        </w:rPr>
        <w:t xml:space="preserve">, </w:t>
      </w:r>
      <w:r w:rsidRPr="00D9682E">
        <w:rPr>
          <w:i/>
          <w:snapToGrid/>
          <w:kern w:val="0"/>
          <w:sz w:val="20"/>
        </w:rPr>
        <w:t>Memorandum Opinion and Order</w:t>
      </w:r>
      <w:r>
        <w:rPr>
          <w:snapToGrid/>
          <w:kern w:val="0"/>
          <w:sz w:val="20"/>
        </w:rPr>
        <w:t xml:space="preserve">, </w:t>
      </w:r>
      <w:r w:rsidRPr="00891775">
        <w:rPr>
          <w:snapToGrid/>
          <w:kern w:val="0"/>
          <w:sz w:val="20"/>
        </w:rPr>
        <w:t>26 FCC Rcd. 5067</w:t>
      </w:r>
      <w:r>
        <w:rPr>
          <w:snapToGrid/>
          <w:kern w:val="0"/>
          <w:sz w:val="20"/>
        </w:rPr>
        <w:t xml:space="preserve"> (PSHSB 2011) </w:t>
      </w:r>
      <w:r w:rsidRPr="00D9682E">
        <w:rPr>
          <w:i/>
          <w:snapToGrid/>
          <w:kern w:val="0"/>
          <w:sz w:val="20"/>
        </w:rPr>
        <w:t>aff</w:t>
      </w:r>
      <w:r>
        <w:rPr>
          <w:i/>
          <w:snapToGrid/>
          <w:kern w:val="0"/>
          <w:sz w:val="20"/>
        </w:rPr>
        <w:t>’</w:t>
      </w:r>
      <w:r w:rsidRPr="00D9682E">
        <w:rPr>
          <w:i/>
          <w:snapToGrid/>
          <w:kern w:val="0"/>
          <w:sz w:val="20"/>
        </w:rPr>
        <w:t>d</w:t>
      </w:r>
      <w:r>
        <w:rPr>
          <w:snapToGrid/>
          <w:kern w:val="0"/>
          <w:sz w:val="20"/>
        </w:rPr>
        <w:t xml:space="preserve"> </w:t>
      </w:r>
      <w:r w:rsidRPr="005B551B">
        <w:rPr>
          <w:snapToGrid/>
          <w:kern w:val="0"/>
          <w:sz w:val="20"/>
        </w:rPr>
        <w:t xml:space="preserve">27 FCC </w:t>
      </w:r>
      <w:r>
        <w:rPr>
          <w:snapToGrid/>
          <w:kern w:val="0"/>
          <w:sz w:val="20"/>
        </w:rPr>
        <w:t xml:space="preserve">Rcd </w:t>
      </w:r>
      <w:r w:rsidRPr="00FA3A1C">
        <w:rPr>
          <w:snapToGrid/>
          <w:kern w:val="0"/>
          <w:sz w:val="20"/>
        </w:rPr>
        <w:t xml:space="preserve">11469 </w:t>
      </w:r>
      <w:r>
        <w:rPr>
          <w:snapToGrid/>
          <w:kern w:val="0"/>
          <w:sz w:val="20"/>
        </w:rPr>
        <w:t>(2012)(</w:t>
      </w:r>
      <w:r>
        <w:rPr>
          <w:i/>
          <w:snapToGrid/>
          <w:kern w:val="0"/>
          <w:sz w:val="20"/>
        </w:rPr>
        <w:t>Indiana MO&amp;O)</w:t>
      </w:r>
      <w:r>
        <w:rPr>
          <w:snapToGrid/>
          <w:kern w:val="0"/>
          <w:sz w:val="20"/>
        </w:rPr>
        <w:t>.</w:t>
      </w:r>
    </w:p>
  </w:footnote>
  <w:footnote w:id="40">
    <w:p w:rsidR="000F0709" w:rsidRPr="000F0709" w:rsidRDefault="000F0709">
      <w:pPr>
        <w:pStyle w:val="FootnoteText"/>
        <w:rPr>
          <w:i/>
        </w:rPr>
      </w:pPr>
      <w:r>
        <w:rPr>
          <w:rStyle w:val="FootnoteReference"/>
        </w:rPr>
        <w:footnoteRef/>
      </w:r>
      <w:r>
        <w:t xml:space="preserve"> </w:t>
      </w:r>
      <w:r>
        <w:rPr>
          <w:i/>
        </w:rPr>
        <w:t>Id.</w:t>
      </w:r>
      <w:r w:rsidRPr="000F0709">
        <w:t xml:space="preserve">at </w:t>
      </w:r>
      <w:r>
        <w:t>1032, ¶ 33.</w:t>
      </w:r>
    </w:p>
  </w:footnote>
  <w:footnote w:id="41">
    <w:p w:rsidR="000F0709" w:rsidRPr="00A02819" w:rsidRDefault="000F0709" w:rsidP="00BA79AB">
      <w:pPr>
        <w:pStyle w:val="FootnoteText"/>
        <w:rPr>
          <w:i/>
        </w:rPr>
      </w:pPr>
      <w:r>
        <w:rPr>
          <w:rStyle w:val="FootnoteReference"/>
        </w:rPr>
        <w:footnoteRef/>
      </w:r>
      <w:r>
        <w:t xml:space="preserve"> RR at 7.</w:t>
      </w:r>
    </w:p>
  </w:footnote>
  <w:footnote w:id="42">
    <w:p w:rsidR="000F0709" w:rsidRDefault="000F0709" w:rsidP="00A0377D">
      <w:pPr>
        <w:pStyle w:val="FootnoteText"/>
      </w:pPr>
      <w:r>
        <w:rPr>
          <w:rStyle w:val="FootnoteReference"/>
        </w:rPr>
        <w:footnoteRef/>
      </w:r>
      <w:r>
        <w:t xml:space="preserve"> </w:t>
      </w:r>
      <w:r>
        <w:rPr>
          <w:i/>
        </w:rPr>
        <w:t>Id.</w:t>
      </w:r>
    </w:p>
  </w:footnote>
  <w:footnote w:id="43">
    <w:p w:rsidR="000F0709" w:rsidRDefault="000F0709">
      <w:pPr>
        <w:pStyle w:val="FootnoteText"/>
      </w:pPr>
      <w:r>
        <w:rPr>
          <w:rStyle w:val="FootnoteReference"/>
        </w:rPr>
        <w:footnoteRef/>
      </w:r>
      <w:r>
        <w:t xml:space="preserve"> APSC PRM at 5-6.</w:t>
      </w:r>
    </w:p>
  </w:footnote>
  <w:footnote w:id="44">
    <w:p w:rsidR="000F0709" w:rsidRPr="00E77FBC" w:rsidRDefault="000F0709">
      <w:pPr>
        <w:pStyle w:val="FootnoteText"/>
        <w:rPr>
          <w:i/>
        </w:rPr>
      </w:pPr>
      <w:r>
        <w:rPr>
          <w:rStyle w:val="FootnoteReference"/>
        </w:rPr>
        <w:footnoteRef/>
      </w:r>
      <w:r>
        <w:t xml:space="preserve"> </w:t>
      </w:r>
      <w:r>
        <w:rPr>
          <w:i/>
        </w:rPr>
        <w:t>Id.</w:t>
      </w:r>
    </w:p>
  </w:footnote>
  <w:footnote w:id="45">
    <w:p w:rsidR="000F0709" w:rsidRPr="00E77FBC" w:rsidRDefault="000F0709">
      <w:pPr>
        <w:pStyle w:val="FootnoteText"/>
        <w:rPr>
          <w:i/>
        </w:rPr>
      </w:pPr>
      <w:r>
        <w:rPr>
          <w:rStyle w:val="FootnoteReference"/>
        </w:rPr>
        <w:footnoteRef/>
      </w:r>
      <w:r>
        <w:t xml:space="preserve"> </w:t>
      </w:r>
      <w:r>
        <w:rPr>
          <w:i/>
        </w:rPr>
        <w:t>Id.</w:t>
      </w:r>
    </w:p>
  </w:footnote>
  <w:footnote w:id="46">
    <w:p w:rsidR="000F0709" w:rsidRPr="00E77FBC" w:rsidRDefault="000F0709">
      <w:pPr>
        <w:pStyle w:val="FootnoteText"/>
        <w:rPr>
          <w:i/>
        </w:rPr>
      </w:pPr>
      <w:r>
        <w:rPr>
          <w:rStyle w:val="FootnoteReference"/>
        </w:rPr>
        <w:footnoteRef/>
      </w:r>
      <w:r>
        <w:t xml:space="preserve"> </w:t>
      </w:r>
      <w:r>
        <w:rPr>
          <w:i/>
        </w:rPr>
        <w:t>Id.</w:t>
      </w:r>
    </w:p>
  </w:footnote>
  <w:footnote w:id="47">
    <w:p w:rsidR="000F0709" w:rsidRDefault="000F0709">
      <w:pPr>
        <w:pStyle w:val="FootnoteText"/>
      </w:pPr>
      <w:r>
        <w:rPr>
          <w:rStyle w:val="FootnoteReference"/>
        </w:rPr>
        <w:footnoteRef/>
      </w:r>
      <w:r>
        <w:t xml:space="preserve"> Sprint PRM at 18.</w:t>
      </w:r>
    </w:p>
  </w:footnote>
  <w:footnote w:id="48">
    <w:p w:rsidR="000F0709" w:rsidRPr="00276A9D" w:rsidRDefault="000F0709">
      <w:pPr>
        <w:pStyle w:val="FootnoteText"/>
        <w:rPr>
          <w:i/>
        </w:rPr>
      </w:pPr>
      <w:r>
        <w:rPr>
          <w:rStyle w:val="FootnoteReference"/>
        </w:rPr>
        <w:footnoteRef/>
      </w:r>
      <w:r>
        <w:t xml:space="preserve"> </w:t>
      </w:r>
      <w:r>
        <w:rPr>
          <w:i/>
        </w:rPr>
        <w:t xml:space="preserve">Id. </w:t>
      </w:r>
      <w:r w:rsidRPr="00276A9D">
        <w:t>at 8</w:t>
      </w:r>
      <w:r>
        <w:t>; Sprint Surreply Ex. A.</w:t>
      </w:r>
    </w:p>
  </w:footnote>
  <w:footnote w:id="49">
    <w:p w:rsidR="000F0709" w:rsidRPr="00276A9D" w:rsidRDefault="000F0709" w:rsidP="00276A9D">
      <w:pPr>
        <w:pStyle w:val="FootnoteText"/>
      </w:pPr>
      <w:r>
        <w:rPr>
          <w:rStyle w:val="FootnoteReference"/>
        </w:rPr>
        <w:footnoteRef/>
      </w:r>
      <w:r>
        <w:t xml:space="preserve"> RR at 8 (</w:t>
      </w:r>
      <w:r w:rsidRPr="000F0709">
        <w:t>citing</w:t>
      </w:r>
      <w:r>
        <w:rPr>
          <w:i/>
        </w:rPr>
        <w:t xml:space="preserve"> </w:t>
      </w:r>
      <w:r w:rsidRPr="00276A9D">
        <w:rPr>
          <w:iCs/>
        </w:rPr>
        <w:t>City of Naperville, IL and Sprint Nextel</w:t>
      </w:r>
      <w:r w:rsidRPr="00276A9D">
        <w:rPr>
          <w:i/>
          <w:iCs/>
        </w:rPr>
        <w:t xml:space="preserve">, Memorandum Opinion and Order, </w:t>
      </w:r>
      <w:r w:rsidRPr="00276A9D">
        <w:t>22 FCC Rcd 10971, 10974</w:t>
      </w:r>
      <w:r>
        <w:t>,</w:t>
      </w:r>
      <w:r w:rsidRPr="00276A9D">
        <w:t xml:space="preserve"> ¶ 12 (2007)</w:t>
      </w:r>
      <w:r>
        <w:t>)</w:t>
      </w:r>
      <w:r w:rsidRPr="00276A9D">
        <w:t>.</w:t>
      </w:r>
    </w:p>
  </w:footnote>
  <w:footnote w:id="50">
    <w:p w:rsidR="000F0709" w:rsidRDefault="000F0709">
      <w:pPr>
        <w:pStyle w:val="FootnoteText"/>
      </w:pPr>
      <w:r>
        <w:rPr>
          <w:rStyle w:val="FootnoteReference"/>
        </w:rPr>
        <w:footnoteRef/>
      </w:r>
      <w:r>
        <w:t xml:space="preserve"> RR at 8-9.</w:t>
      </w:r>
    </w:p>
  </w:footnote>
  <w:footnote w:id="51">
    <w:p w:rsidR="000F0709" w:rsidRPr="003735BD" w:rsidRDefault="000F0709" w:rsidP="0088293E">
      <w:pPr>
        <w:pStyle w:val="FootnoteText"/>
      </w:pPr>
      <w:r w:rsidRPr="003735BD">
        <w:rPr>
          <w:rStyle w:val="FootnoteReference"/>
        </w:rPr>
        <w:footnoteRef/>
      </w:r>
      <w:r w:rsidRPr="003735BD">
        <w:rPr>
          <w:i/>
        </w:rPr>
        <w:t xml:space="preserve"> </w:t>
      </w:r>
      <w:r>
        <w:t>RR at 4.</w:t>
      </w:r>
    </w:p>
  </w:footnote>
  <w:footnote w:id="52">
    <w:p w:rsidR="000F0709" w:rsidRDefault="000F0709">
      <w:pPr>
        <w:pStyle w:val="FootnoteText"/>
      </w:pPr>
      <w:r>
        <w:rPr>
          <w:rStyle w:val="FootnoteReference"/>
        </w:rPr>
        <w:footnoteRef/>
      </w:r>
      <w:r>
        <w:t xml:space="preserve"> RR at 9.</w:t>
      </w:r>
    </w:p>
  </w:footnote>
  <w:footnote w:id="53">
    <w:p w:rsidR="000F0709" w:rsidRPr="004346DB" w:rsidRDefault="000F0709">
      <w:pPr>
        <w:pStyle w:val="FootnoteText"/>
        <w:rPr>
          <w:i/>
        </w:rPr>
      </w:pPr>
      <w:r>
        <w:rPr>
          <w:rStyle w:val="FootnoteReference"/>
        </w:rPr>
        <w:footnoteRef/>
      </w:r>
      <w:r>
        <w:t xml:space="preserve"> </w:t>
      </w:r>
      <w:r>
        <w:rPr>
          <w:i/>
        </w:rPr>
        <w:t>Id.</w:t>
      </w:r>
    </w:p>
  </w:footnote>
  <w:footnote w:id="54">
    <w:p w:rsidR="000F0709" w:rsidRPr="004346DB" w:rsidRDefault="000F0709">
      <w:pPr>
        <w:pStyle w:val="FootnoteText"/>
        <w:rPr>
          <w:i/>
        </w:rPr>
      </w:pPr>
      <w:r>
        <w:rPr>
          <w:rStyle w:val="FootnoteReference"/>
        </w:rPr>
        <w:footnoteRef/>
      </w:r>
      <w:r>
        <w:t xml:space="preserve"> </w:t>
      </w:r>
      <w:r>
        <w:rPr>
          <w:i/>
        </w:rPr>
        <w:t>Id.</w:t>
      </w:r>
    </w:p>
  </w:footnote>
  <w:footnote w:id="55">
    <w:p w:rsidR="000F0709" w:rsidRDefault="000F0709">
      <w:pPr>
        <w:pStyle w:val="FootnoteText"/>
      </w:pPr>
      <w:r>
        <w:rPr>
          <w:rStyle w:val="FootnoteReference"/>
        </w:rPr>
        <w:footnoteRef/>
      </w:r>
      <w:r>
        <w:t xml:space="preserve"> Sprint Surreply at 4.</w:t>
      </w:r>
    </w:p>
  </w:footnote>
  <w:footnote w:id="56">
    <w:p w:rsidR="000F0709" w:rsidRDefault="000F0709">
      <w:pPr>
        <w:pStyle w:val="FootnoteText"/>
      </w:pPr>
      <w:r>
        <w:rPr>
          <w:rStyle w:val="FootnoteReference"/>
        </w:rPr>
        <w:footnoteRef/>
      </w:r>
      <w:r>
        <w:t xml:space="preserve"> </w:t>
      </w:r>
      <w:r w:rsidRPr="002B1927">
        <w:rPr>
          <w:i/>
        </w:rPr>
        <w:t>Id.</w:t>
      </w:r>
    </w:p>
  </w:footnote>
  <w:footnote w:id="57">
    <w:p w:rsidR="000F0709" w:rsidRPr="0010723D" w:rsidRDefault="000F0709">
      <w:pPr>
        <w:pStyle w:val="FootnoteText"/>
        <w:rPr>
          <w:i/>
        </w:rPr>
      </w:pPr>
      <w:r>
        <w:rPr>
          <w:rStyle w:val="FootnoteReference"/>
        </w:rPr>
        <w:footnoteRef/>
      </w:r>
      <w:r>
        <w:t xml:space="preserve"> </w:t>
      </w:r>
      <w:r w:rsidRPr="00D9682E">
        <w:t>RR</w:t>
      </w:r>
      <w:r>
        <w:rPr>
          <w:i/>
        </w:rPr>
        <w:t xml:space="preserve"> </w:t>
      </w:r>
      <w:r w:rsidRPr="0010723D">
        <w:t>at 10</w:t>
      </w:r>
      <w:r>
        <w:t>.</w:t>
      </w:r>
    </w:p>
  </w:footnote>
  <w:footnote w:id="58">
    <w:p w:rsidR="000F0709" w:rsidRPr="0010723D" w:rsidRDefault="000F0709" w:rsidP="0010723D">
      <w:pPr>
        <w:pStyle w:val="FootnoteText"/>
        <w:rPr>
          <w:i/>
        </w:rPr>
      </w:pPr>
      <w:r>
        <w:rPr>
          <w:rStyle w:val="FootnoteReference"/>
        </w:rPr>
        <w:footnoteRef/>
      </w:r>
      <w:r>
        <w:t xml:space="preserve"> RR at 11 (</w:t>
      </w:r>
      <w:r w:rsidRPr="000F0709">
        <w:t>citing</w:t>
      </w:r>
      <w:r>
        <w:rPr>
          <w:i/>
        </w:rPr>
        <w:t xml:space="preserve"> </w:t>
      </w:r>
      <w:r w:rsidRPr="0010723D">
        <w:t>City of Houston, TX, Public Works Department and Sprint Nextel; City of Houston, TX, Police Department</w:t>
      </w:r>
      <w:r>
        <w:t xml:space="preserve"> </w:t>
      </w:r>
      <w:r w:rsidRPr="0010723D">
        <w:t>and Sprint Nextel</w:t>
      </w:r>
      <w:r w:rsidRPr="0010723D">
        <w:rPr>
          <w:i/>
        </w:rPr>
        <w:t xml:space="preserve">, Memorandum Opinion and Order, </w:t>
      </w:r>
      <w:r w:rsidRPr="0010723D">
        <w:t>24 FCC Rcd 4655, 4660-61</w:t>
      </w:r>
      <w:r>
        <w:t>,</w:t>
      </w:r>
      <w:r w:rsidRPr="0010723D">
        <w:t xml:space="preserve"> ¶ 20 (2009)</w:t>
      </w:r>
      <w:r>
        <w:t>).</w:t>
      </w:r>
    </w:p>
  </w:footnote>
  <w:footnote w:id="59">
    <w:p w:rsidR="000F0709" w:rsidRPr="007D6FEB" w:rsidRDefault="000F0709">
      <w:pPr>
        <w:pStyle w:val="FootnoteText"/>
      </w:pPr>
      <w:r>
        <w:rPr>
          <w:rStyle w:val="FootnoteReference"/>
        </w:rPr>
        <w:footnoteRef/>
      </w:r>
      <w:r>
        <w:t xml:space="preserve"> RR at 11.</w:t>
      </w:r>
    </w:p>
  </w:footnote>
  <w:footnote w:id="60">
    <w:p w:rsidR="000F0709" w:rsidRDefault="000F0709">
      <w:pPr>
        <w:pStyle w:val="FootnoteText"/>
      </w:pPr>
      <w:r>
        <w:rPr>
          <w:rStyle w:val="FootnoteReference"/>
        </w:rPr>
        <w:footnoteRef/>
      </w:r>
      <w:r>
        <w:t xml:space="preserve"> </w:t>
      </w:r>
      <w:r>
        <w:rPr>
          <w:i/>
        </w:rPr>
        <w:t>Id.</w:t>
      </w:r>
    </w:p>
  </w:footnote>
  <w:footnote w:id="61">
    <w:p w:rsidR="000F0709" w:rsidRPr="00BA2910" w:rsidRDefault="000F0709">
      <w:pPr>
        <w:pStyle w:val="FootnoteText"/>
      </w:pPr>
      <w:r>
        <w:rPr>
          <w:rStyle w:val="FootnoteReference"/>
        </w:rPr>
        <w:footnoteRef/>
      </w:r>
      <w:r>
        <w:t xml:space="preserve"> RR at 11 (</w:t>
      </w:r>
      <w:r w:rsidRPr="000F0709">
        <w:t>citing</w:t>
      </w:r>
      <w:r>
        <w:rPr>
          <w:i/>
        </w:rPr>
        <w:t xml:space="preserve"> </w:t>
      </w:r>
      <w:r>
        <w:t>Sprint PRM Ex. 1).</w:t>
      </w:r>
    </w:p>
  </w:footnote>
  <w:footnote w:id="62">
    <w:p w:rsidR="000F0709" w:rsidRPr="00BA2910" w:rsidRDefault="000F0709">
      <w:pPr>
        <w:pStyle w:val="FootnoteText"/>
        <w:rPr>
          <w:i/>
        </w:rPr>
      </w:pPr>
      <w:r>
        <w:rPr>
          <w:rStyle w:val="FootnoteReference"/>
        </w:rPr>
        <w:footnoteRef/>
      </w:r>
      <w:r>
        <w:t xml:space="preserve"> </w:t>
      </w:r>
      <w:r>
        <w:rPr>
          <w:i/>
        </w:rPr>
        <w:t>Id.</w:t>
      </w:r>
    </w:p>
  </w:footnote>
  <w:footnote w:id="63">
    <w:p w:rsidR="000F0709" w:rsidRPr="00BA2910" w:rsidRDefault="000F0709">
      <w:pPr>
        <w:pStyle w:val="FootnoteText"/>
      </w:pPr>
      <w:r>
        <w:rPr>
          <w:rStyle w:val="FootnoteReference"/>
        </w:rPr>
        <w:footnoteRef/>
      </w:r>
      <w:r>
        <w:t xml:space="preserve"> RR at 11 (</w:t>
      </w:r>
      <w:r w:rsidRPr="000F0709">
        <w:t>citing</w:t>
      </w:r>
      <w:r w:rsidRPr="00075C15">
        <w:t xml:space="preserve"> </w:t>
      </w:r>
      <w:r>
        <w:t>Sprint Surreply at 23).</w:t>
      </w:r>
    </w:p>
  </w:footnote>
  <w:footnote w:id="64">
    <w:p w:rsidR="000F0709" w:rsidRPr="0047705C" w:rsidRDefault="000F0709">
      <w:pPr>
        <w:pStyle w:val="FootnoteText"/>
      </w:pPr>
      <w:r>
        <w:rPr>
          <w:rStyle w:val="FootnoteReference"/>
        </w:rPr>
        <w:footnoteRef/>
      </w:r>
      <w:r>
        <w:t xml:space="preserve"> RR at 11.</w:t>
      </w:r>
    </w:p>
  </w:footnote>
  <w:footnote w:id="65">
    <w:p w:rsidR="000F0709" w:rsidRPr="0043388D" w:rsidRDefault="000F0709">
      <w:pPr>
        <w:pStyle w:val="FootnoteText"/>
      </w:pPr>
      <w:r>
        <w:rPr>
          <w:rStyle w:val="FootnoteReference"/>
        </w:rPr>
        <w:footnoteRef/>
      </w:r>
      <w:r>
        <w:t xml:space="preserve"> RR at 12 (</w:t>
      </w:r>
      <w:r w:rsidRPr="000F0709">
        <w:t>citing</w:t>
      </w:r>
      <w:r>
        <w:rPr>
          <w:i/>
        </w:rPr>
        <w:t xml:space="preserve"> </w:t>
      </w:r>
      <w:r>
        <w:t>Sprint PRM , Ex. 2).</w:t>
      </w:r>
    </w:p>
  </w:footnote>
  <w:footnote w:id="66">
    <w:p w:rsidR="000F0709" w:rsidRPr="008539A9" w:rsidRDefault="000F0709">
      <w:pPr>
        <w:pStyle w:val="FootnoteText"/>
        <w:rPr>
          <w:i/>
        </w:rPr>
      </w:pPr>
      <w:r>
        <w:rPr>
          <w:rStyle w:val="FootnoteReference"/>
        </w:rPr>
        <w:footnoteRef/>
      </w:r>
      <w:r>
        <w:t xml:space="preserve"> </w:t>
      </w:r>
      <w:r>
        <w:rPr>
          <w:i/>
        </w:rPr>
        <w:t>Id.</w:t>
      </w:r>
    </w:p>
  </w:footnote>
  <w:footnote w:id="67">
    <w:p w:rsidR="000F0709" w:rsidRPr="008539A9" w:rsidRDefault="000F0709">
      <w:pPr>
        <w:pStyle w:val="FootnoteText"/>
        <w:rPr>
          <w:i/>
        </w:rPr>
      </w:pPr>
      <w:r>
        <w:rPr>
          <w:rStyle w:val="FootnoteReference"/>
        </w:rPr>
        <w:footnoteRef/>
      </w:r>
      <w:r>
        <w:t xml:space="preserve"> </w:t>
      </w:r>
      <w:r>
        <w:rPr>
          <w:i/>
        </w:rPr>
        <w:t>Id.</w:t>
      </w:r>
    </w:p>
  </w:footnote>
  <w:footnote w:id="68">
    <w:p w:rsidR="000F0709" w:rsidRPr="008539A9" w:rsidRDefault="000F0709">
      <w:pPr>
        <w:pStyle w:val="FootnoteText"/>
      </w:pPr>
      <w:r>
        <w:rPr>
          <w:rStyle w:val="FootnoteReference"/>
        </w:rPr>
        <w:footnoteRef/>
      </w:r>
      <w:r>
        <w:t xml:space="preserve"> RR at 12 (</w:t>
      </w:r>
      <w:r w:rsidRPr="000F0709">
        <w:t>citing</w:t>
      </w:r>
      <w:r>
        <w:rPr>
          <w:i/>
        </w:rPr>
        <w:t xml:space="preserve"> </w:t>
      </w:r>
      <w:r>
        <w:t>Sprint PRM at i).</w:t>
      </w:r>
    </w:p>
  </w:footnote>
  <w:footnote w:id="69">
    <w:p w:rsidR="000F0709" w:rsidRPr="00F81D4C" w:rsidRDefault="000F0709">
      <w:pPr>
        <w:pStyle w:val="FootnoteText"/>
      </w:pPr>
      <w:r>
        <w:rPr>
          <w:rStyle w:val="FootnoteReference"/>
        </w:rPr>
        <w:footnoteRef/>
      </w:r>
      <w:r>
        <w:t xml:space="preserve"> RR at 12 (</w:t>
      </w:r>
      <w:r w:rsidRPr="000F0709">
        <w:t>citing</w:t>
      </w:r>
      <w:r>
        <w:rPr>
          <w:i/>
        </w:rPr>
        <w:t xml:space="preserve"> </w:t>
      </w:r>
      <w:r>
        <w:t>APSC PRM at 48-57).</w:t>
      </w:r>
    </w:p>
  </w:footnote>
  <w:footnote w:id="70">
    <w:p w:rsidR="000F0709" w:rsidRPr="00754BFF" w:rsidRDefault="000F0709">
      <w:pPr>
        <w:pStyle w:val="FootnoteText"/>
      </w:pPr>
      <w:r>
        <w:rPr>
          <w:rStyle w:val="FootnoteReference"/>
        </w:rPr>
        <w:footnoteRef/>
      </w:r>
      <w:r>
        <w:t xml:space="preserve"> RR at 12 (</w:t>
      </w:r>
      <w:r w:rsidRPr="000F0709">
        <w:t>citing</w:t>
      </w:r>
      <w:r>
        <w:rPr>
          <w:i/>
        </w:rPr>
        <w:t xml:space="preserve"> </w:t>
      </w:r>
      <w:r>
        <w:t>APSC PRM, Ex. 2).</w:t>
      </w:r>
    </w:p>
  </w:footnote>
  <w:footnote w:id="71">
    <w:p w:rsidR="000F0709" w:rsidRDefault="000F0709">
      <w:pPr>
        <w:pStyle w:val="FootnoteText"/>
      </w:pPr>
      <w:r>
        <w:rPr>
          <w:rStyle w:val="FootnoteReference"/>
        </w:rPr>
        <w:footnoteRef/>
      </w:r>
      <w:r>
        <w:t xml:space="preserve"> RR at 12-13(</w:t>
      </w:r>
      <w:r w:rsidRPr="000F0709">
        <w:t>citing</w:t>
      </w:r>
      <w:r>
        <w:rPr>
          <w:i/>
        </w:rPr>
        <w:t xml:space="preserve"> </w:t>
      </w:r>
      <w:r>
        <w:t>APSC PRM, Ex. 1).</w:t>
      </w:r>
    </w:p>
  </w:footnote>
  <w:footnote w:id="72">
    <w:p w:rsidR="000F0709" w:rsidRDefault="000F0709">
      <w:pPr>
        <w:pStyle w:val="FootnoteText"/>
      </w:pPr>
      <w:r>
        <w:rPr>
          <w:rStyle w:val="FootnoteReference"/>
        </w:rPr>
        <w:footnoteRef/>
      </w:r>
      <w:r>
        <w:t xml:space="preserve"> See </w:t>
      </w:r>
      <w:r w:rsidRPr="004174C3">
        <w:rPr>
          <w:i/>
        </w:rPr>
        <w:t>supra</w:t>
      </w:r>
      <w:r>
        <w:t xml:space="preserve"> n. </w:t>
      </w:r>
      <w:r>
        <w:fldChar w:fldCharType="begin"/>
      </w:r>
      <w:r>
        <w:instrText xml:space="preserve"> NOTEREF _Ref413142750 \h </w:instrText>
      </w:r>
      <w:r>
        <w:fldChar w:fldCharType="separate"/>
      </w:r>
      <w:r w:rsidR="00953AB3">
        <w:t>38</w:t>
      </w:r>
      <w:r>
        <w:fldChar w:fldCharType="end"/>
      </w:r>
      <w:r>
        <w:t>.</w:t>
      </w:r>
    </w:p>
  </w:footnote>
  <w:footnote w:id="73">
    <w:p w:rsidR="000F0709" w:rsidRDefault="000F0709">
      <w:pPr>
        <w:pStyle w:val="FootnoteText"/>
      </w:pPr>
      <w:r>
        <w:rPr>
          <w:rStyle w:val="FootnoteReference"/>
        </w:rPr>
        <w:footnoteRef/>
      </w:r>
      <w:r>
        <w:t xml:space="preserve"> RR at 13.</w:t>
      </w:r>
    </w:p>
  </w:footnote>
  <w:footnote w:id="74">
    <w:p w:rsidR="000F0709" w:rsidRPr="00B57C97" w:rsidRDefault="000F0709">
      <w:pPr>
        <w:pStyle w:val="FootnoteText"/>
      </w:pPr>
      <w:r>
        <w:rPr>
          <w:rStyle w:val="FootnoteReference"/>
        </w:rPr>
        <w:footnoteRef/>
      </w:r>
      <w:r>
        <w:t xml:space="preserve"> </w:t>
      </w:r>
      <w:r>
        <w:rPr>
          <w:i/>
        </w:rPr>
        <w:t>Id.</w:t>
      </w:r>
      <w:r>
        <w:t xml:space="preserve"> at 13-14.</w:t>
      </w:r>
    </w:p>
  </w:footnote>
  <w:footnote w:id="75">
    <w:p w:rsidR="000F0709" w:rsidRPr="008B10B6" w:rsidRDefault="000F0709">
      <w:pPr>
        <w:pStyle w:val="FootnoteText"/>
      </w:pPr>
      <w:r>
        <w:rPr>
          <w:rStyle w:val="FootnoteReference"/>
        </w:rPr>
        <w:footnoteRef/>
      </w:r>
      <w:r>
        <w:t xml:space="preserve"> RR at 14 (</w:t>
      </w:r>
      <w:r w:rsidRPr="000F0709">
        <w:t>citing</w:t>
      </w:r>
      <w:r>
        <w:rPr>
          <w:i/>
        </w:rPr>
        <w:t xml:space="preserve"> </w:t>
      </w:r>
      <w:r>
        <w:t>APSC PRM at 29-31).</w:t>
      </w:r>
    </w:p>
  </w:footnote>
  <w:footnote w:id="76">
    <w:p w:rsidR="000F0709" w:rsidRPr="001D3CF2" w:rsidRDefault="000F0709">
      <w:pPr>
        <w:pStyle w:val="FootnoteText"/>
      </w:pPr>
      <w:r>
        <w:rPr>
          <w:rStyle w:val="FootnoteReference"/>
        </w:rPr>
        <w:footnoteRef/>
      </w:r>
      <w:r>
        <w:t xml:space="preserve"> RR at 14 (</w:t>
      </w:r>
      <w:r w:rsidRPr="000F0709">
        <w:t>citing</w:t>
      </w:r>
      <w:r>
        <w:rPr>
          <w:i/>
        </w:rPr>
        <w:t xml:space="preserve"> </w:t>
      </w:r>
      <w:r>
        <w:t>Sprint PRM at 21).</w:t>
      </w:r>
    </w:p>
  </w:footnote>
  <w:footnote w:id="77">
    <w:p w:rsidR="000F0709" w:rsidRDefault="000F0709">
      <w:pPr>
        <w:pStyle w:val="FootnoteText"/>
      </w:pPr>
      <w:r>
        <w:rPr>
          <w:rStyle w:val="FootnoteReference"/>
        </w:rPr>
        <w:footnoteRef/>
      </w:r>
      <w:r>
        <w:t xml:space="preserve"> RR at 14 (</w:t>
      </w:r>
      <w:r w:rsidRPr="000F0709">
        <w:t>citing</w:t>
      </w:r>
      <w:r>
        <w:rPr>
          <w:i/>
        </w:rPr>
        <w:t xml:space="preserve"> </w:t>
      </w:r>
      <w:r>
        <w:t>APSC Reply PRM at 8).</w:t>
      </w:r>
    </w:p>
  </w:footnote>
  <w:footnote w:id="78">
    <w:p w:rsidR="000F0709" w:rsidRDefault="000F0709">
      <w:pPr>
        <w:pStyle w:val="FootnoteText"/>
      </w:pPr>
      <w:r>
        <w:rPr>
          <w:rStyle w:val="FootnoteReference"/>
        </w:rPr>
        <w:footnoteRef/>
      </w:r>
      <w:r>
        <w:t xml:space="preserve"> RR at 15.</w:t>
      </w:r>
    </w:p>
  </w:footnote>
  <w:footnote w:id="79">
    <w:p w:rsidR="000F0709" w:rsidRDefault="000F0709">
      <w:pPr>
        <w:pStyle w:val="FootnoteText"/>
      </w:pPr>
      <w:r>
        <w:rPr>
          <w:rStyle w:val="FootnoteReference"/>
        </w:rPr>
        <w:footnoteRef/>
      </w:r>
      <w:r>
        <w:t xml:space="preserve"> RR at 15.</w:t>
      </w:r>
    </w:p>
  </w:footnote>
  <w:footnote w:id="80">
    <w:p w:rsidR="000F0709" w:rsidRPr="009D241B" w:rsidRDefault="000F0709">
      <w:pPr>
        <w:pStyle w:val="FootnoteText"/>
        <w:rPr>
          <w:i/>
        </w:rPr>
      </w:pPr>
      <w:r>
        <w:rPr>
          <w:rStyle w:val="FootnoteReference"/>
        </w:rPr>
        <w:footnoteRef/>
      </w:r>
      <w:r>
        <w:t xml:space="preserve"> </w:t>
      </w:r>
      <w:r>
        <w:rPr>
          <w:i/>
        </w:rPr>
        <w:t>Id.</w:t>
      </w:r>
    </w:p>
  </w:footnote>
  <w:footnote w:id="81">
    <w:p w:rsidR="000F0709" w:rsidRPr="009D241B" w:rsidRDefault="000F0709">
      <w:pPr>
        <w:pStyle w:val="FootnoteText"/>
        <w:rPr>
          <w:i/>
        </w:rPr>
      </w:pPr>
      <w:r>
        <w:rPr>
          <w:rStyle w:val="FootnoteReference"/>
        </w:rPr>
        <w:footnoteRef/>
      </w:r>
      <w:r>
        <w:t xml:space="preserve"> </w:t>
      </w:r>
      <w:r>
        <w:rPr>
          <w:i/>
        </w:rPr>
        <w:t>Id.</w:t>
      </w:r>
    </w:p>
  </w:footnote>
  <w:footnote w:id="82">
    <w:p w:rsidR="000F0709" w:rsidRPr="009D241B" w:rsidRDefault="000F0709">
      <w:pPr>
        <w:pStyle w:val="FootnoteText"/>
        <w:rPr>
          <w:i/>
        </w:rPr>
      </w:pPr>
      <w:r>
        <w:rPr>
          <w:rStyle w:val="FootnoteReference"/>
        </w:rPr>
        <w:footnoteRef/>
      </w:r>
      <w:r>
        <w:t xml:space="preserve"> RR at 15 (</w:t>
      </w:r>
      <w:r w:rsidRPr="000F0709">
        <w:t>citing</w:t>
      </w:r>
      <w:r>
        <w:rPr>
          <w:i/>
        </w:rPr>
        <w:t xml:space="preserve"> </w:t>
      </w:r>
      <w:r w:rsidRPr="009D241B">
        <w:t xml:space="preserve">APSC PRM </w:t>
      </w:r>
      <w:r>
        <w:t xml:space="preserve">at </w:t>
      </w:r>
      <w:r w:rsidRPr="009D241B">
        <w:t>27-28</w:t>
      </w:r>
      <w:r>
        <w:t>).</w:t>
      </w:r>
    </w:p>
  </w:footnote>
  <w:footnote w:id="83">
    <w:p w:rsidR="000F0709" w:rsidRPr="00EB5D8D" w:rsidRDefault="000F0709">
      <w:pPr>
        <w:pStyle w:val="FootnoteText"/>
      </w:pPr>
      <w:r>
        <w:rPr>
          <w:rStyle w:val="FootnoteReference"/>
        </w:rPr>
        <w:footnoteRef/>
      </w:r>
      <w:r>
        <w:t xml:space="preserve"> RR at 16 (</w:t>
      </w:r>
      <w:r w:rsidRPr="000F0709">
        <w:t>citing</w:t>
      </w:r>
      <w:r>
        <w:rPr>
          <w:i/>
        </w:rPr>
        <w:t xml:space="preserve"> </w:t>
      </w:r>
      <w:r>
        <w:t>APSC PRM at 28).</w:t>
      </w:r>
    </w:p>
  </w:footnote>
  <w:footnote w:id="84">
    <w:p w:rsidR="000F0709" w:rsidRPr="00EB5D8D" w:rsidRDefault="000F0709">
      <w:pPr>
        <w:pStyle w:val="FootnoteText"/>
      </w:pPr>
      <w:r>
        <w:rPr>
          <w:rStyle w:val="FootnoteReference"/>
        </w:rPr>
        <w:footnoteRef/>
      </w:r>
      <w:r>
        <w:t xml:space="preserve"> RR at 16 (</w:t>
      </w:r>
      <w:r w:rsidRPr="000F0709">
        <w:t xml:space="preserve">citing </w:t>
      </w:r>
      <w:r>
        <w:t>Sprint PRM at 17-18).</w:t>
      </w:r>
    </w:p>
  </w:footnote>
  <w:footnote w:id="85">
    <w:p w:rsidR="000F0709" w:rsidRPr="00EB5D8D" w:rsidRDefault="000F0709">
      <w:pPr>
        <w:pStyle w:val="FootnoteText"/>
        <w:rPr>
          <w:i/>
        </w:rPr>
      </w:pPr>
      <w:r>
        <w:rPr>
          <w:rStyle w:val="FootnoteReference"/>
        </w:rPr>
        <w:footnoteRef/>
      </w:r>
      <w:r>
        <w:t xml:space="preserve"> </w:t>
      </w:r>
      <w:r>
        <w:rPr>
          <w:i/>
        </w:rPr>
        <w:t>Id.</w:t>
      </w:r>
    </w:p>
  </w:footnote>
  <w:footnote w:id="86">
    <w:p w:rsidR="000F0709" w:rsidRDefault="000F0709">
      <w:pPr>
        <w:pStyle w:val="FootnoteText"/>
      </w:pPr>
      <w:r>
        <w:rPr>
          <w:rStyle w:val="FootnoteReference"/>
        </w:rPr>
        <w:footnoteRef/>
      </w:r>
      <w:r>
        <w:t xml:space="preserve"> RR at 16. </w:t>
      </w:r>
    </w:p>
  </w:footnote>
  <w:footnote w:id="87">
    <w:p w:rsidR="000F0709" w:rsidRPr="00B60C0C" w:rsidRDefault="000F0709">
      <w:pPr>
        <w:pStyle w:val="FootnoteText"/>
        <w:rPr>
          <w:i/>
        </w:rPr>
      </w:pPr>
      <w:r>
        <w:rPr>
          <w:rStyle w:val="FootnoteReference"/>
        </w:rPr>
        <w:footnoteRef/>
      </w:r>
      <w:r>
        <w:t xml:space="preserve"> RR at 16-17 (</w:t>
      </w:r>
      <w:r w:rsidRPr="000F0709">
        <w:t>citing</w:t>
      </w:r>
      <w:r>
        <w:rPr>
          <w:i/>
        </w:rPr>
        <w:t xml:space="preserve"> </w:t>
      </w:r>
      <w:r w:rsidRPr="009D241B">
        <w:t xml:space="preserve">APSC PRM </w:t>
      </w:r>
      <w:r>
        <w:t xml:space="preserve">at </w:t>
      </w:r>
      <w:r w:rsidRPr="009D241B">
        <w:t>2</w:t>
      </w:r>
      <w:r>
        <w:t>4</w:t>
      </w:r>
      <w:r w:rsidRPr="009D241B">
        <w:t>-2</w:t>
      </w:r>
      <w:r>
        <w:t>5).</w:t>
      </w:r>
    </w:p>
  </w:footnote>
  <w:footnote w:id="88">
    <w:p w:rsidR="000F0709" w:rsidRDefault="000F0709">
      <w:pPr>
        <w:pStyle w:val="FootnoteText"/>
      </w:pPr>
      <w:r>
        <w:rPr>
          <w:rStyle w:val="FootnoteReference"/>
        </w:rPr>
        <w:footnoteRef/>
      </w:r>
      <w:r>
        <w:t xml:space="preserve"> </w:t>
      </w:r>
      <w:r>
        <w:rPr>
          <w:i/>
        </w:rPr>
        <w:t>Id.</w:t>
      </w:r>
      <w:r>
        <w:t xml:space="preserve"> at 17.</w:t>
      </w:r>
    </w:p>
  </w:footnote>
  <w:footnote w:id="89">
    <w:p w:rsidR="000F0709" w:rsidRDefault="000F0709">
      <w:pPr>
        <w:pStyle w:val="FootnoteText"/>
      </w:pPr>
      <w:r>
        <w:rPr>
          <w:rStyle w:val="FootnoteReference"/>
        </w:rPr>
        <w:footnoteRef/>
      </w:r>
      <w:r>
        <w:t xml:space="preserve"> </w:t>
      </w:r>
      <w:r>
        <w:rPr>
          <w:i/>
        </w:rPr>
        <w:t>Id.</w:t>
      </w:r>
      <w:r>
        <w:t xml:space="preserve"> </w:t>
      </w:r>
    </w:p>
  </w:footnote>
  <w:footnote w:id="90">
    <w:p w:rsidR="000F0709" w:rsidRPr="00B60C0C" w:rsidRDefault="000F0709">
      <w:pPr>
        <w:pStyle w:val="FootnoteText"/>
        <w:rPr>
          <w:i/>
        </w:rPr>
      </w:pPr>
      <w:r>
        <w:rPr>
          <w:rStyle w:val="FootnoteReference"/>
        </w:rPr>
        <w:footnoteRef/>
      </w:r>
      <w:r>
        <w:t xml:space="preserve"> </w:t>
      </w:r>
      <w:r>
        <w:rPr>
          <w:i/>
        </w:rPr>
        <w:t>Id.</w:t>
      </w:r>
    </w:p>
  </w:footnote>
  <w:footnote w:id="91">
    <w:p w:rsidR="000F0709" w:rsidRDefault="000F0709">
      <w:pPr>
        <w:pStyle w:val="FootnoteText"/>
      </w:pPr>
      <w:r>
        <w:rPr>
          <w:rStyle w:val="FootnoteReference"/>
        </w:rPr>
        <w:footnoteRef/>
      </w:r>
      <w:r>
        <w:t xml:space="preserve"> RR at 17 (</w:t>
      </w:r>
      <w:r w:rsidRPr="000F0709">
        <w:t>citing</w:t>
      </w:r>
      <w:r>
        <w:rPr>
          <w:i/>
        </w:rPr>
        <w:t xml:space="preserve"> </w:t>
      </w:r>
      <w:r>
        <w:t>Sprint PRM at 18-19).</w:t>
      </w:r>
    </w:p>
  </w:footnote>
  <w:footnote w:id="92">
    <w:p w:rsidR="000F0709" w:rsidRDefault="000F0709">
      <w:pPr>
        <w:pStyle w:val="FootnoteText"/>
      </w:pPr>
      <w:r>
        <w:rPr>
          <w:rStyle w:val="FootnoteReference"/>
        </w:rPr>
        <w:footnoteRef/>
      </w:r>
      <w:r>
        <w:t xml:space="preserve"> RR at 17</w:t>
      </w:r>
      <w:r w:rsidRPr="00D3769D">
        <w:rPr>
          <w:i/>
        </w:rPr>
        <w:t xml:space="preserve"> </w:t>
      </w:r>
      <w:r>
        <w:rPr>
          <w:i/>
        </w:rPr>
        <w:t>(</w:t>
      </w:r>
      <w:r w:rsidRPr="000F0709">
        <w:t>citing</w:t>
      </w:r>
      <w:r>
        <w:rPr>
          <w:i/>
        </w:rPr>
        <w:t xml:space="preserve"> </w:t>
      </w:r>
      <w:r>
        <w:t xml:space="preserve">Mississippi State University and Nextel, </w:t>
      </w:r>
      <w:r>
        <w:rPr>
          <w:i/>
        </w:rPr>
        <w:t xml:space="preserve">Memorandum Opinion and Order, </w:t>
      </w:r>
      <w:r>
        <w:t>28 FCC Rcd 11207 (PSHSB 2013)(</w:t>
      </w:r>
      <w:r>
        <w:rPr>
          <w:i/>
        </w:rPr>
        <w:t xml:space="preserve">MSU MO&amp;O) </w:t>
      </w:r>
      <w:r w:rsidRPr="000F0709">
        <w:t xml:space="preserve">at </w:t>
      </w:r>
      <w:r>
        <w:t>11230, 11233, ¶¶ 66,75).</w:t>
      </w:r>
    </w:p>
  </w:footnote>
  <w:footnote w:id="93">
    <w:p w:rsidR="000F0709" w:rsidRDefault="000F0709">
      <w:pPr>
        <w:pStyle w:val="FootnoteText"/>
      </w:pPr>
      <w:r>
        <w:rPr>
          <w:rStyle w:val="FootnoteReference"/>
        </w:rPr>
        <w:footnoteRef/>
      </w:r>
      <w:r>
        <w:t xml:space="preserve"> RR at 17.</w:t>
      </w:r>
    </w:p>
  </w:footnote>
  <w:footnote w:id="94">
    <w:p w:rsidR="000F0709" w:rsidRPr="004E28B0" w:rsidRDefault="000F0709">
      <w:pPr>
        <w:pStyle w:val="FootnoteText"/>
        <w:rPr>
          <w:i/>
        </w:rPr>
      </w:pPr>
      <w:r>
        <w:rPr>
          <w:rStyle w:val="FootnoteReference"/>
        </w:rPr>
        <w:footnoteRef/>
      </w:r>
      <w:r>
        <w:t xml:space="preserve"> RR at 18 (</w:t>
      </w:r>
      <w:r w:rsidRPr="000F0709">
        <w:t>citing</w:t>
      </w:r>
      <w:r w:rsidRPr="00E461F6">
        <w:t xml:space="preserve"> </w:t>
      </w:r>
      <w:r w:rsidRPr="004E28B0">
        <w:t>APSC PRM at 29-3</w:t>
      </w:r>
      <w:r>
        <w:t>0).</w:t>
      </w:r>
    </w:p>
  </w:footnote>
  <w:footnote w:id="95">
    <w:p w:rsidR="000F0709" w:rsidRPr="004E28B0" w:rsidRDefault="000F0709">
      <w:pPr>
        <w:pStyle w:val="FootnoteText"/>
      </w:pPr>
      <w:r>
        <w:rPr>
          <w:rStyle w:val="FootnoteReference"/>
        </w:rPr>
        <w:footnoteRef/>
      </w:r>
      <w:r>
        <w:t xml:space="preserve"> </w:t>
      </w:r>
      <w:r>
        <w:rPr>
          <w:i/>
        </w:rPr>
        <w:t xml:space="preserve">Id. </w:t>
      </w:r>
      <w:r w:rsidRPr="000F0709">
        <w:t>(citing</w:t>
      </w:r>
      <w:r>
        <w:rPr>
          <w:i/>
        </w:rPr>
        <w:t xml:space="preserve"> </w:t>
      </w:r>
      <w:r>
        <w:t>APSC PRM at 30-31).</w:t>
      </w:r>
    </w:p>
  </w:footnote>
  <w:footnote w:id="96">
    <w:p w:rsidR="000F0709" w:rsidRDefault="000F0709">
      <w:pPr>
        <w:pStyle w:val="FootnoteText"/>
      </w:pPr>
      <w:r>
        <w:rPr>
          <w:rStyle w:val="FootnoteReference"/>
        </w:rPr>
        <w:footnoteRef/>
      </w:r>
      <w:r>
        <w:t xml:space="preserve"> RR at 18.</w:t>
      </w:r>
    </w:p>
  </w:footnote>
  <w:footnote w:id="97">
    <w:p w:rsidR="000F0709" w:rsidRPr="004E28B0" w:rsidRDefault="000F0709">
      <w:pPr>
        <w:pStyle w:val="FootnoteText"/>
        <w:rPr>
          <w:i/>
        </w:rPr>
      </w:pPr>
      <w:r>
        <w:rPr>
          <w:rStyle w:val="FootnoteReference"/>
        </w:rPr>
        <w:footnoteRef/>
      </w:r>
      <w:r>
        <w:t xml:space="preserve"> </w:t>
      </w:r>
      <w:r>
        <w:rPr>
          <w:i/>
        </w:rPr>
        <w:t>Id.</w:t>
      </w:r>
    </w:p>
  </w:footnote>
  <w:footnote w:id="98">
    <w:p w:rsidR="000F0709" w:rsidRPr="004E28B0" w:rsidRDefault="000F0709">
      <w:pPr>
        <w:pStyle w:val="FootnoteText"/>
        <w:rPr>
          <w:i/>
        </w:rPr>
      </w:pPr>
      <w:r>
        <w:rPr>
          <w:rStyle w:val="FootnoteReference"/>
        </w:rPr>
        <w:footnoteRef/>
      </w:r>
      <w:r>
        <w:t xml:space="preserve"> </w:t>
      </w:r>
      <w:r>
        <w:rPr>
          <w:i/>
        </w:rPr>
        <w:t>Id.</w:t>
      </w:r>
    </w:p>
  </w:footnote>
  <w:footnote w:id="99">
    <w:p w:rsidR="000F0709" w:rsidRPr="003F743F" w:rsidRDefault="000F0709">
      <w:pPr>
        <w:pStyle w:val="FootnoteText"/>
        <w:rPr>
          <w:i/>
        </w:rPr>
      </w:pPr>
      <w:r>
        <w:rPr>
          <w:rStyle w:val="FootnoteReference"/>
        </w:rPr>
        <w:footnoteRef/>
      </w:r>
      <w:r>
        <w:t xml:space="preserve"> </w:t>
      </w:r>
      <w:r>
        <w:rPr>
          <w:i/>
        </w:rPr>
        <w:t>Id.</w:t>
      </w:r>
    </w:p>
  </w:footnote>
  <w:footnote w:id="100">
    <w:p w:rsidR="000F0709" w:rsidRPr="003F743F" w:rsidRDefault="000F0709">
      <w:pPr>
        <w:pStyle w:val="FootnoteText"/>
      </w:pPr>
      <w:r>
        <w:rPr>
          <w:rStyle w:val="FootnoteReference"/>
        </w:rPr>
        <w:footnoteRef/>
      </w:r>
      <w:r>
        <w:t xml:space="preserve"> RR at 19 (</w:t>
      </w:r>
      <w:r w:rsidRPr="000F0709">
        <w:t>citing</w:t>
      </w:r>
      <w:r>
        <w:rPr>
          <w:i/>
        </w:rPr>
        <w:t xml:space="preserve"> </w:t>
      </w:r>
      <w:r>
        <w:t>APSC PRM at 31).</w:t>
      </w:r>
    </w:p>
  </w:footnote>
  <w:footnote w:id="101">
    <w:p w:rsidR="000F0709" w:rsidRPr="00223212" w:rsidRDefault="000F0709">
      <w:pPr>
        <w:pStyle w:val="FootnoteText"/>
        <w:rPr>
          <w:i/>
        </w:rPr>
      </w:pPr>
      <w:r>
        <w:rPr>
          <w:rStyle w:val="FootnoteReference"/>
        </w:rPr>
        <w:footnoteRef/>
      </w:r>
      <w:r>
        <w:t xml:space="preserve"> </w:t>
      </w:r>
      <w:r>
        <w:rPr>
          <w:i/>
        </w:rPr>
        <w:t>Id.</w:t>
      </w:r>
    </w:p>
  </w:footnote>
  <w:footnote w:id="102">
    <w:p w:rsidR="000F0709" w:rsidRPr="00223212" w:rsidRDefault="000F0709">
      <w:pPr>
        <w:pStyle w:val="FootnoteText"/>
        <w:rPr>
          <w:i/>
        </w:rPr>
      </w:pPr>
      <w:r>
        <w:rPr>
          <w:rStyle w:val="FootnoteReference"/>
        </w:rPr>
        <w:footnoteRef/>
      </w:r>
      <w:r>
        <w:t xml:space="preserve"> RR at 19 (</w:t>
      </w:r>
      <w:r w:rsidRPr="000F0709">
        <w:t>citing</w:t>
      </w:r>
      <w:r w:rsidRPr="00E461F6">
        <w:t xml:space="preserve"> </w:t>
      </w:r>
      <w:r w:rsidRPr="00223212">
        <w:t>Sprint PRM at 19</w:t>
      </w:r>
      <w:r>
        <w:t>).</w:t>
      </w:r>
    </w:p>
  </w:footnote>
  <w:footnote w:id="103">
    <w:p w:rsidR="000F0709" w:rsidRDefault="000F0709">
      <w:pPr>
        <w:pStyle w:val="FootnoteText"/>
      </w:pPr>
      <w:r>
        <w:rPr>
          <w:rStyle w:val="FootnoteReference"/>
        </w:rPr>
        <w:footnoteRef/>
      </w:r>
      <w:r>
        <w:t xml:space="preserve"> </w:t>
      </w:r>
      <w:r w:rsidRPr="002B1927">
        <w:rPr>
          <w:i/>
        </w:rPr>
        <w:t>Id.</w:t>
      </w:r>
      <w:r>
        <w:rPr>
          <w:i/>
        </w:rPr>
        <w:t xml:space="preserve"> </w:t>
      </w:r>
      <w:r>
        <w:t>(</w:t>
      </w:r>
      <w:r w:rsidRPr="000F0709">
        <w:t>citing</w:t>
      </w:r>
      <w:r w:rsidRPr="00223212">
        <w:t xml:space="preserve"> Sprint PRM at </w:t>
      </w:r>
      <w:r>
        <w:t>26).</w:t>
      </w:r>
    </w:p>
  </w:footnote>
  <w:footnote w:id="104">
    <w:p w:rsidR="000F0709" w:rsidRDefault="000F0709">
      <w:pPr>
        <w:pStyle w:val="FootnoteText"/>
      </w:pPr>
      <w:r>
        <w:rPr>
          <w:rStyle w:val="FootnoteReference"/>
        </w:rPr>
        <w:footnoteRef/>
      </w:r>
      <w:r>
        <w:t xml:space="preserve"> RR at 20.</w:t>
      </w:r>
    </w:p>
  </w:footnote>
  <w:footnote w:id="105">
    <w:p w:rsidR="000F0709" w:rsidRPr="00223212" w:rsidRDefault="000F0709">
      <w:pPr>
        <w:pStyle w:val="FootnoteText"/>
        <w:rPr>
          <w:i/>
        </w:rPr>
      </w:pPr>
      <w:r>
        <w:rPr>
          <w:rStyle w:val="FootnoteReference"/>
        </w:rPr>
        <w:footnoteRef/>
      </w:r>
      <w:r>
        <w:t xml:space="preserve"> </w:t>
      </w:r>
      <w:r>
        <w:rPr>
          <w:i/>
        </w:rPr>
        <w:t>Id.</w:t>
      </w:r>
    </w:p>
  </w:footnote>
  <w:footnote w:id="106">
    <w:p w:rsidR="000F0709" w:rsidRPr="00223212" w:rsidRDefault="000F0709">
      <w:pPr>
        <w:pStyle w:val="FootnoteText"/>
        <w:rPr>
          <w:i/>
        </w:rPr>
      </w:pPr>
      <w:r>
        <w:rPr>
          <w:rStyle w:val="FootnoteReference"/>
        </w:rPr>
        <w:footnoteRef/>
      </w:r>
      <w:r>
        <w:t xml:space="preserve"> </w:t>
      </w:r>
      <w:r>
        <w:rPr>
          <w:i/>
        </w:rPr>
        <w:t>Id.</w:t>
      </w:r>
    </w:p>
  </w:footnote>
  <w:footnote w:id="107">
    <w:p w:rsidR="000F0709" w:rsidRPr="00B14FFA" w:rsidRDefault="000F0709">
      <w:pPr>
        <w:pStyle w:val="FootnoteText"/>
        <w:rPr>
          <w:i/>
        </w:rPr>
      </w:pPr>
      <w:r>
        <w:rPr>
          <w:rStyle w:val="FootnoteReference"/>
        </w:rPr>
        <w:footnoteRef/>
      </w:r>
      <w:r>
        <w:t xml:space="preserve"> </w:t>
      </w:r>
      <w:r>
        <w:rPr>
          <w:i/>
        </w:rPr>
        <w:t>Id.</w:t>
      </w:r>
    </w:p>
  </w:footnote>
  <w:footnote w:id="108">
    <w:p w:rsidR="000F0709" w:rsidRDefault="000F0709">
      <w:pPr>
        <w:pStyle w:val="FootnoteText"/>
      </w:pPr>
      <w:r>
        <w:rPr>
          <w:rStyle w:val="FootnoteReference"/>
        </w:rPr>
        <w:footnoteRef/>
      </w:r>
      <w:r>
        <w:t xml:space="preserve"> </w:t>
      </w:r>
      <w:r>
        <w:rPr>
          <w:i/>
        </w:rPr>
        <w:t>Id.</w:t>
      </w:r>
    </w:p>
  </w:footnote>
  <w:footnote w:id="109">
    <w:p w:rsidR="000F0709" w:rsidRDefault="000F0709">
      <w:pPr>
        <w:pStyle w:val="FootnoteText"/>
      </w:pPr>
      <w:r>
        <w:rPr>
          <w:rStyle w:val="FootnoteReference"/>
        </w:rPr>
        <w:footnoteRef/>
      </w:r>
      <w:r>
        <w:t xml:space="preserve"> RR at 21 (</w:t>
      </w:r>
      <w:r w:rsidRPr="000F0709">
        <w:t>citing</w:t>
      </w:r>
      <w:r w:rsidRPr="00E461F6">
        <w:t xml:space="preserve"> </w:t>
      </w:r>
      <w:r>
        <w:t>APSC PRM at 31, Sprint PRM, App. 1).</w:t>
      </w:r>
    </w:p>
  </w:footnote>
  <w:footnote w:id="110">
    <w:p w:rsidR="000F0709" w:rsidRPr="00A002F3" w:rsidRDefault="000F0709">
      <w:pPr>
        <w:pStyle w:val="FootnoteText"/>
      </w:pPr>
      <w:r>
        <w:rPr>
          <w:rStyle w:val="FootnoteReference"/>
        </w:rPr>
        <w:footnoteRef/>
      </w:r>
      <w:r>
        <w:t xml:space="preserve"> RR at 21 (</w:t>
      </w:r>
      <w:r w:rsidRPr="000F0709">
        <w:t>citing</w:t>
      </w:r>
      <w:r>
        <w:rPr>
          <w:i/>
        </w:rPr>
        <w:t xml:space="preserve"> </w:t>
      </w:r>
      <w:r>
        <w:t>Sprint PRM 23-24).</w:t>
      </w:r>
    </w:p>
  </w:footnote>
  <w:footnote w:id="111">
    <w:p w:rsidR="000F0709" w:rsidRDefault="000F0709">
      <w:pPr>
        <w:pStyle w:val="FootnoteText"/>
      </w:pPr>
      <w:r>
        <w:rPr>
          <w:rStyle w:val="FootnoteReference"/>
        </w:rPr>
        <w:footnoteRef/>
      </w:r>
      <w:r>
        <w:t xml:space="preserve"> RR at 21.</w:t>
      </w:r>
    </w:p>
  </w:footnote>
  <w:footnote w:id="112">
    <w:p w:rsidR="000F0709" w:rsidRPr="00D56DB3" w:rsidRDefault="000F0709">
      <w:pPr>
        <w:pStyle w:val="FootnoteText"/>
        <w:rPr>
          <w:i/>
        </w:rPr>
      </w:pPr>
      <w:r>
        <w:rPr>
          <w:rStyle w:val="FootnoteReference"/>
        </w:rPr>
        <w:footnoteRef/>
      </w:r>
      <w:r>
        <w:t xml:space="preserve"> </w:t>
      </w:r>
      <w:r>
        <w:rPr>
          <w:i/>
        </w:rPr>
        <w:t>Id.</w:t>
      </w:r>
    </w:p>
  </w:footnote>
  <w:footnote w:id="113">
    <w:p w:rsidR="000F0709" w:rsidRPr="00D37A3E" w:rsidRDefault="000F0709">
      <w:pPr>
        <w:pStyle w:val="FootnoteText"/>
        <w:rPr>
          <w:i/>
        </w:rPr>
      </w:pPr>
      <w:r>
        <w:rPr>
          <w:rStyle w:val="FootnoteReference"/>
        </w:rPr>
        <w:footnoteRef/>
      </w:r>
      <w:r>
        <w:t xml:space="preserve"> </w:t>
      </w:r>
      <w:r>
        <w:rPr>
          <w:i/>
        </w:rPr>
        <w:t>Id.</w:t>
      </w:r>
      <w:r w:rsidRPr="00D37A3E">
        <w:t xml:space="preserve"> at 22.</w:t>
      </w:r>
    </w:p>
  </w:footnote>
  <w:footnote w:id="114">
    <w:p w:rsidR="000F0709" w:rsidRPr="00966C82" w:rsidRDefault="000F0709">
      <w:pPr>
        <w:pStyle w:val="FootnoteText"/>
        <w:rPr>
          <w:i/>
        </w:rPr>
      </w:pPr>
      <w:r>
        <w:rPr>
          <w:rStyle w:val="FootnoteReference"/>
        </w:rPr>
        <w:footnoteRef/>
      </w:r>
      <w:r>
        <w:t xml:space="preserve"> </w:t>
      </w:r>
      <w:r>
        <w:rPr>
          <w:i/>
        </w:rPr>
        <w:t>Id.</w:t>
      </w:r>
    </w:p>
  </w:footnote>
  <w:footnote w:id="115">
    <w:p w:rsidR="000F0709" w:rsidRPr="00966C82" w:rsidRDefault="000F0709">
      <w:pPr>
        <w:pStyle w:val="FootnoteText"/>
        <w:rPr>
          <w:i/>
        </w:rPr>
      </w:pPr>
      <w:r>
        <w:rPr>
          <w:rStyle w:val="FootnoteReference"/>
        </w:rPr>
        <w:footnoteRef/>
      </w:r>
      <w:r>
        <w:t xml:space="preserve"> </w:t>
      </w:r>
      <w:r>
        <w:rPr>
          <w:i/>
        </w:rPr>
        <w:t xml:space="preserve">Id. </w:t>
      </w:r>
      <w:r w:rsidRPr="00966C82">
        <w:t>at 22-23.</w:t>
      </w:r>
    </w:p>
  </w:footnote>
  <w:footnote w:id="116">
    <w:p w:rsidR="000F0709" w:rsidRPr="00966C82" w:rsidRDefault="000F0709">
      <w:pPr>
        <w:pStyle w:val="FootnoteText"/>
        <w:rPr>
          <w:i/>
        </w:rPr>
      </w:pPr>
      <w:r>
        <w:rPr>
          <w:rStyle w:val="FootnoteReference"/>
        </w:rPr>
        <w:footnoteRef/>
      </w:r>
      <w:r>
        <w:t xml:space="preserve"> </w:t>
      </w:r>
      <w:r>
        <w:rPr>
          <w:i/>
        </w:rPr>
        <w:t xml:space="preserve">Id. </w:t>
      </w:r>
    </w:p>
  </w:footnote>
  <w:footnote w:id="117">
    <w:p w:rsidR="000F0709" w:rsidRPr="0014734D" w:rsidRDefault="000F0709">
      <w:pPr>
        <w:pStyle w:val="FootnoteText"/>
      </w:pPr>
      <w:r>
        <w:rPr>
          <w:rStyle w:val="FootnoteReference"/>
        </w:rPr>
        <w:footnoteRef/>
      </w:r>
      <w:r>
        <w:t xml:space="preserve"> </w:t>
      </w:r>
      <w:r>
        <w:rPr>
          <w:i/>
        </w:rPr>
        <w:t xml:space="preserve">Id. </w:t>
      </w:r>
      <w:r>
        <w:t>at 23.</w:t>
      </w:r>
    </w:p>
  </w:footnote>
  <w:footnote w:id="118">
    <w:p w:rsidR="000F0709" w:rsidRPr="0014734D" w:rsidRDefault="000F0709">
      <w:pPr>
        <w:pStyle w:val="FootnoteText"/>
        <w:rPr>
          <w:i/>
        </w:rPr>
      </w:pPr>
      <w:r>
        <w:rPr>
          <w:rStyle w:val="FootnoteReference"/>
        </w:rPr>
        <w:footnoteRef/>
      </w:r>
      <w:r>
        <w:t xml:space="preserve"> </w:t>
      </w:r>
      <w:r w:rsidRPr="005474A7">
        <w:rPr>
          <w:i/>
        </w:rPr>
        <w:t>Id</w:t>
      </w:r>
      <w:r>
        <w:rPr>
          <w:i/>
        </w:rPr>
        <w:t>.</w:t>
      </w:r>
    </w:p>
  </w:footnote>
  <w:footnote w:id="119">
    <w:p w:rsidR="000F0709" w:rsidRPr="000F0709" w:rsidRDefault="000F0709">
      <w:pPr>
        <w:pStyle w:val="FootnoteText"/>
      </w:pPr>
      <w:r w:rsidRPr="000F0709">
        <w:rPr>
          <w:rStyle w:val="FootnoteReference"/>
        </w:rPr>
        <w:footnoteRef/>
      </w:r>
      <w:r w:rsidRPr="000F0709">
        <w:t xml:space="preserve"> </w:t>
      </w:r>
      <w:r>
        <w:rPr>
          <w:i/>
        </w:rPr>
        <w:t>Id.</w:t>
      </w:r>
      <w:r>
        <w:t xml:space="preserve"> at 24.</w:t>
      </w:r>
    </w:p>
  </w:footnote>
  <w:footnote w:id="120">
    <w:p w:rsidR="000F0709" w:rsidRDefault="000F0709">
      <w:pPr>
        <w:pStyle w:val="FootnoteText"/>
      </w:pPr>
      <w:r w:rsidRPr="000F0709">
        <w:rPr>
          <w:rStyle w:val="FootnoteReference"/>
        </w:rPr>
        <w:footnoteRef/>
      </w:r>
      <w:r w:rsidRPr="000F0709">
        <w:t xml:space="preserve"> </w:t>
      </w:r>
      <w:r>
        <w:rPr>
          <w:i/>
        </w:rPr>
        <w:t>Id.</w:t>
      </w:r>
    </w:p>
  </w:footnote>
  <w:footnote w:id="121">
    <w:p w:rsidR="000F0709" w:rsidRPr="007479AC" w:rsidRDefault="000F0709">
      <w:pPr>
        <w:pStyle w:val="FootnoteText"/>
      </w:pPr>
      <w:r>
        <w:rPr>
          <w:rStyle w:val="FootnoteReference"/>
        </w:rPr>
        <w:footnoteRef/>
      </w:r>
      <w:r>
        <w:t xml:space="preserve"> </w:t>
      </w:r>
      <w:r>
        <w:rPr>
          <w:i/>
        </w:rPr>
        <w:t>Id.</w:t>
      </w:r>
      <w:r>
        <w:t xml:space="preserve"> at 24.</w:t>
      </w:r>
    </w:p>
  </w:footnote>
  <w:footnote w:id="122">
    <w:p w:rsidR="000F0709" w:rsidRPr="007479AC" w:rsidRDefault="000F0709">
      <w:pPr>
        <w:pStyle w:val="FootnoteText"/>
        <w:rPr>
          <w:i/>
        </w:rPr>
      </w:pPr>
      <w:r>
        <w:rPr>
          <w:rStyle w:val="FootnoteReference"/>
        </w:rPr>
        <w:footnoteRef/>
      </w:r>
      <w:r>
        <w:t xml:space="preserve"> </w:t>
      </w:r>
      <w:r>
        <w:rPr>
          <w:i/>
        </w:rPr>
        <w:t>Id.</w:t>
      </w:r>
    </w:p>
  </w:footnote>
  <w:footnote w:id="123">
    <w:p w:rsidR="000F0709" w:rsidRPr="007479AC" w:rsidRDefault="000F0709">
      <w:pPr>
        <w:pStyle w:val="FootnoteText"/>
        <w:rPr>
          <w:i/>
        </w:rPr>
      </w:pPr>
      <w:r>
        <w:rPr>
          <w:rStyle w:val="FootnoteReference"/>
        </w:rPr>
        <w:footnoteRef/>
      </w:r>
      <w:r>
        <w:t xml:space="preserve"> </w:t>
      </w:r>
      <w:r>
        <w:rPr>
          <w:i/>
        </w:rPr>
        <w:t>Id.</w:t>
      </w:r>
      <w:r w:rsidRPr="007479AC">
        <w:t xml:space="preserve"> at 25.</w:t>
      </w:r>
    </w:p>
  </w:footnote>
  <w:footnote w:id="124">
    <w:p w:rsidR="000F0709" w:rsidRPr="00082C40" w:rsidRDefault="000F0709">
      <w:pPr>
        <w:pStyle w:val="FootnoteText"/>
      </w:pPr>
      <w:r>
        <w:rPr>
          <w:rStyle w:val="FootnoteReference"/>
        </w:rPr>
        <w:footnoteRef/>
      </w:r>
      <w:r>
        <w:t xml:space="preserve"> </w:t>
      </w:r>
      <w:r>
        <w:rPr>
          <w:i/>
        </w:rPr>
        <w:t>Id.</w:t>
      </w:r>
      <w:r>
        <w:t xml:space="preserve"> (</w:t>
      </w:r>
      <w:r w:rsidRPr="000F0709">
        <w:t>citing</w:t>
      </w:r>
      <w:r>
        <w:rPr>
          <w:i/>
        </w:rPr>
        <w:t xml:space="preserve"> </w:t>
      </w:r>
      <w:r>
        <w:t>Sprint PRM at 27, 42).</w:t>
      </w:r>
    </w:p>
  </w:footnote>
  <w:footnote w:id="125">
    <w:p w:rsidR="000F0709" w:rsidRPr="00082C40" w:rsidRDefault="000F0709">
      <w:pPr>
        <w:pStyle w:val="FootnoteText"/>
        <w:rPr>
          <w:i/>
        </w:rPr>
      </w:pPr>
      <w:r>
        <w:rPr>
          <w:rStyle w:val="FootnoteReference"/>
        </w:rPr>
        <w:footnoteRef/>
      </w:r>
      <w:r>
        <w:t xml:space="preserve"> </w:t>
      </w:r>
      <w:r>
        <w:rPr>
          <w:i/>
        </w:rPr>
        <w:t>Id.</w:t>
      </w:r>
    </w:p>
  </w:footnote>
  <w:footnote w:id="126">
    <w:p w:rsidR="000F0709" w:rsidRPr="00BF77AD" w:rsidRDefault="000F0709">
      <w:pPr>
        <w:pStyle w:val="FootnoteText"/>
      </w:pPr>
      <w:r>
        <w:rPr>
          <w:rStyle w:val="FootnoteReference"/>
        </w:rPr>
        <w:footnoteRef/>
      </w:r>
      <w:r>
        <w:t xml:space="preserve"> RR at 25.</w:t>
      </w:r>
    </w:p>
  </w:footnote>
  <w:footnote w:id="127">
    <w:p w:rsidR="000F0709" w:rsidRPr="00595CCC" w:rsidRDefault="000F0709">
      <w:pPr>
        <w:pStyle w:val="FootnoteText"/>
        <w:rPr>
          <w:i/>
        </w:rPr>
      </w:pPr>
      <w:r>
        <w:rPr>
          <w:rStyle w:val="FootnoteReference"/>
        </w:rPr>
        <w:footnoteRef/>
      </w:r>
      <w:r>
        <w:t xml:space="preserve"> </w:t>
      </w:r>
      <w:r>
        <w:rPr>
          <w:i/>
        </w:rPr>
        <w:t>Id.</w:t>
      </w:r>
    </w:p>
  </w:footnote>
  <w:footnote w:id="128">
    <w:p w:rsidR="000F0709" w:rsidRPr="00595CCC" w:rsidRDefault="000F0709">
      <w:pPr>
        <w:pStyle w:val="FootnoteText"/>
        <w:rPr>
          <w:i/>
        </w:rPr>
      </w:pPr>
      <w:r>
        <w:rPr>
          <w:rStyle w:val="FootnoteReference"/>
        </w:rPr>
        <w:footnoteRef/>
      </w:r>
      <w:r>
        <w:t xml:space="preserve"> </w:t>
      </w:r>
      <w:r>
        <w:rPr>
          <w:i/>
        </w:rPr>
        <w:t>Id.</w:t>
      </w:r>
    </w:p>
  </w:footnote>
  <w:footnote w:id="129">
    <w:p w:rsidR="000F0709" w:rsidRPr="00595CCC" w:rsidRDefault="000F0709">
      <w:pPr>
        <w:pStyle w:val="FootnoteText"/>
        <w:rPr>
          <w:i/>
        </w:rPr>
      </w:pPr>
      <w:r>
        <w:rPr>
          <w:rStyle w:val="FootnoteReference"/>
        </w:rPr>
        <w:footnoteRef/>
      </w:r>
      <w:r>
        <w:t xml:space="preserve"> </w:t>
      </w:r>
      <w:r>
        <w:rPr>
          <w:i/>
        </w:rPr>
        <w:t>Id.</w:t>
      </w:r>
    </w:p>
  </w:footnote>
  <w:footnote w:id="130">
    <w:p w:rsidR="000F0709" w:rsidRPr="00093397" w:rsidRDefault="000F0709">
      <w:pPr>
        <w:pStyle w:val="FootnoteText"/>
      </w:pPr>
      <w:r>
        <w:rPr>
          <w:rStyle w:val="FootnoteReference"/>
        </w:rPr>
        <w:footnoteRef/>
      </w:r>
      <w:r>
        <w:t xml:space="preserve"> </w:t>
      </w:r>
      <w:r>
        <w:rPr>
          <w:i/>
        </w:rPr>
        <w:t>Id. (</w:t>
      </w:r>
      <w:r w:rsidRPr="000F0709">
        <w:t>citing</w:t>
      </w:r>
      <w:r>
        <w:rPr>
          <w:i/>
        </w:rPr>
        <w:t xml:space="preserve"> </w:t>
      </w:r>
      <w:r>
        <w:t>APSC PRM, Ex. 1).</w:t>
      </w:r>
    </w:p>
  </w:footnote>
  <w:footnote w:id="131">
    <w:p w:rsidR="000F0709" w:rsidRPr="00022224" w:rsidRDefault="000F0709">
      <w:pPr>
        <w:pStyle w:val="FootnoteText"/>
      </w:pPr>
      <w:r>
        <w:rPr>
          <w:rStyle w:val="FootnoteReference"/>
        </w:rPr>
        <w:footnoteRef/>
      </w:r>
      <w:r>
        <w:t xml:space="preserve"> RR at 25 (</w:t>
      </w:r>
      <w:r w:rsidRPr="000F0709">
        <w:t>citing</w:t>
      </w:r>
      <w:r>
        <w:rPr>
          <w:i/>
        </w:rPr>
        <w:t xml:space="preserve"> </w:t>
      </w:r>
      <w:r>
        <w:t>Sprint PRM at 28-29).</w:t>
      </w:r>
    </w:p>
  </w:footnote>
  <w:footnote w:id="132">
    <w:p w:rsidR="000F0709" w:rsidRPr="00022224" w:rsidRDefault="000F0709">
      <w:pPr>
        <w:pStyle w:val="FootnoteText"/>
      </w:pPr>
      <w:r>
        <w:rPr>
          <w:rStyle w:val="FootnoteReference"/>
        </w:rPr>
        <w:footnoteRef/>
      </w:r>
      <w:r>
        <w:t xml:space="preserve"> RR at 25 (</w:t>
      </w:r>
      <w:r w:rsidRPr="000F0709">
        <w:t>citing</w:t>
      </w:r>
      <w:r>
        <w:rPr>
          <w:i/>
        </w:rPr>
        <w:t xml:space="preserve"> </w:t>
      </w:r>
      <w:r>
        <w:t>APSC Reply PRM at 18).</w:t>
      </w:r>
    </w:p>
  </w:footnote>
  <w:footnote w:id="133">
    <w:p w:rsidR="000F0709" w:rsidRPr="00022224" w:rsidRDefault="000F0709">
      <w:pPr>
        <w:pStyle w:val="FootnoteText"/>
      </w:pPr>
      <w:r>
        <w:rPr>
          <w:rStyle w:val="FootnoteReference"/>
        </w:rPr>
        <w:footnoteRef/>
      </w:r>
      <w:r>
        <w:t xml:space="preserve"> RR at 25.</w:t>
      </w:r>
    </w:p>
  </w:footnote>
  <w:footnote w:id="134">
    <w:p w:rsidR="000F0709" w:rsidRPr="0051338E" w:rsidRDefault="000F0709">
      <w:pPr>
        <w:pStyle w:val="FootnoteText"/>
      </w:pPr>
      <w:r>
        <w:rPr>
          <w:rStyle w:val="FootnoteReference"/>
        </w:rPr>
        <w:footnoteRef/>
      </w:r>
      <w:r>
        <w:t xml:space="preserve"> RR at 25 (</w:t>
      </w:r>
      <w:r w:rsidRPr="000F0709">
        <w:t>citing</w:t>
      </w:r>
      <w:r>
        <w:rPr>
          <w:i/>
        </w:rPr>
        <w:t xml:space="preserve"> </w:t>
      </w:r>
      <w:r>
        <w:t>APSC Reply PRM at 8).</w:t>
      </w:r>
    </w:p>
  </w:footnote>
  <w:footnote w:id="135">
    <w:p w:rsidR="000F0709" w:rsidRPr="0051338E" w:rsidRDefault="000F0709">
      <w:pPr>
        <w:pStyle w:val="FootnoteText"/>
        <w:rPr>
          <w:i/>
        </w:rPr>
      </w:pPr>
      <w:r>
        <w:rPr>
          <w:rStyle w:val="FootnoteReference"/>
        </w:rPr>
        <w:footnoteRef/>
      </w:r>
      <w:r>
        <w:t xml:space="preserve"> RR at 25 (</w:t>
      </w:r>
      <w:r w:rsidRPr="000F0709">
        <w:t>citing</w:t>
      </w:r>
      <w:r>
        <w:rPr>
          <w:i/>
        </w:rPr>
        <w:t xml:space="preserve"> </w:t>
      </w:r>
      <w:r w:rsidRPr="0051338E">
        <w:t>APSC Reply PRM at 18</w:t>
      </w:r>
      <w:r>
        <w:t>)</w:t>
      </w:r>
      <w:r w:rsidRPr="0051338E">
        <w:t>.</w:t>
      </w:r>
    </w:p>
  </w:footnote>
  <w:footnote w:id="136">
    <w:p w:rsidR="000F0709" w:rsidRDefault="000F0709" w:rsidP="008767B6">
      <w:pPr>
        <w:pStyle w:val="FootnoteText"/>
      </w:pPr>
      <w:r>
        <w:rPr>
          <w:rStyle w:val="FootnoteReference"/>
        </w:rPr>
        <w:footnoteRef/>
      </w:r>
      <w:r>
        <w:t xml:space="preserve"> RR at 27.</w:t>
      </w:r>
    </w:p>
  </w:footnote>
  <w:footnote w:id="137">
    <w:p w:rsidR="000F0709" w:rsidRDefault="000F0709">
      <w:pPr>
        <w:pStyle w:val="FootnoteText"/>
      </w:pPr>
      <w:r>
        <w:rPr>
          <w:rStyle w:val="FootnoteReference"/>
        </w:rPr>
        <w:footnoteRef/>
      </w:r>
      <w:r>
        <w:rPr>
          <w:i/>
        </w:rPr>
        <w:t>Id</w:t>
      </w:r>
      <w:r>
        <w:t>.</w:t>
      </w:r>
    </w:p>
  </w:footnote>
  <w:footnote w:id="138">
    <w:p w:rsidR="000F0709" w:rsidRPr="00BC665E" w:rsidRDefault="000F0709">
      <w:pPr>
        <w:pStyle w:val="FootnoteText"/>
        <w:rPr>
          <w:i/>
        </w:rPr>
      </w:pPr>
      <w:r>
        <w:rPr>
          <w:rStyle w:val="FootnoteReference"/>
        </w:rPr>
        <w:footnoteRef/>
      </w:r>
      <w:r>
        <w:t xml:space="preserve"> </w:t>
      </w:r>
      <w:r>
        <w:rPr>
          <w:i/>
        </w:rPr>
        <w:t xml:space="preserve">See </w:t>
      </w:r>
      <w:r w:rsidRPr="00BC665E">
        <w:t>47 C.F.R. § 90.677(c)</w:t>
      </w:r>
      <w:r>
        <w:t>.</w:t>
      </w:r>
    </w:p>
  </w:footnote>
  <w:footnote w:id="139">
    <w:p w:rsidR="000F0709" w:rsidRDefault="000F0709">
      <w:pPr>
        <w:pStyle w:val="FootnoteText"/>
      </w:pPr>
      <w:r>
        <w:rPr>
          <w:rStyle w:val="FootnoteReference"/>
        </w:rPr>
        <w:footnoteRef/>
      </w:r>
      <w:r>
        <w:t xml:space="preserve"> ASPC PRM at 59.</w:t>
      </w:r>
    </w:p>
  </w:footnote>
  <w:footnote w:id="140">
    <w:p w:rsidR="000F0709" w:rsidRDefault="000F0709">
      <w:pPr>
        <w:pStyle w:val="FootnoteText"/>
      </w:pPr>
      <w:r>
        <w:rPr>
          <w:rStyle w:val="FootnoteReference"/>
        </w:rPr>
        <w:footnoteRef/>
      </w:r>
      <w:r>
        <w:t xml:space="preserve"> Sprint PRM at 44.</w:t>
      </w:r>
    </w:p>
  </w:footnote>
  <w:footnote w:id="141">
    <w:p w:rsidR="000F0709" w:rsidRPr="00BC665E" w:rsidRDefault="000F0709">
      <w:pPr>
        <w:pStyle w:val="FootnoteText"/>
        <w:rPr>
          <w:i/>
        </w:rPr>
      </w:pPr>
      <w:r>
        <w:rPr>
          <w:rStyle w:val="FootnoteReference"/>
        </w:rPr>
        <w:footnoteRef/>
      </w:r>
      <w:r>
        <w:t xml:space="preserve"> </w:t>
      </w:r>
      <w:r>
        <w:rPr>
          <w:i/>
        </w:rPr>
        <w:t>Id.</w:t>
      </w:r>
    </w:p>
  </w:footnote>
  <w:footnote w:id="142">
    <w:p w:rsidR="000F0709" w:rsidRDefault="000F0709">
      <w:pPr>
        <w:pStyle w:val="FootnoteText"/>
      </w:pPr>
      <w:r>
        <w:rPr>
          <w:rStyle w:val="FootnoteReference"/>
        </w:rPr>
        <w:footnoteRef/>
      </w:r>
      <w:r>
        <w:t xml:space="preserve"> RR at 28.</w:t>
      </w:r>
    </w:p>
  </w:footnote>
  <w:footnote w:id="143">
    <w:p w:rsidR="000F0709" w:rsidRPr="00B71C19" w:rsidRDefault="000F0709">
      <w:pPr>
        <w:pStyle w:val="FootnoteText"/>
      </w:pPr>
      <w:r>
        <w:rPr>
          <w:rStyle w:val="FootnoteReference"/>
        </w:rPr>
        <w:footnoteRef/>
      </w:r>
      <w:r>
        <w:t xml:space="preserve"> </w:t>
      </w:r>
      <w:r>
        <w:rPr>
          <w:i/>
        </w:rPr>
        <w:t>Id.</w:t>
      </w:r>
      <w:r>
        <w:t xml:space="preserve"> at 28-29.</w:t>
      </w:r>
    </w:p>
  </w:footnote>
  <w:footnote w:id="144">
    <w:p w:rsidR="000F0709" w:rsidRPr="00F50B08" w:rsidRDefault="000F0709">
      <w:pPr>
        <w:pStyle w:val="FootnoteText"/>
      </w:pPr>
      <w:r>
        <w:rPr>
          <w:rStyle w:val="FootnoteReference"/>
        </w:rPr>
        <w:footnoteRef/>
      </w:r>
      <w:r>
        <w:t xml:space="preserve"> </w:t>
      </w:r>
      <w:r>
        <w:rPr>
          <w:i/>
        </w:rPr>
        <w:t xml:space="preserve">Id. </w:t>
      </w:r>
      <w:r>
        <w:t>at 29.</w:t>
      </w:r>
    </w:p>
  </w:footnote>
  <w:footnote w:id="145">
    <w:p w:rsidR="000F0709" w:rsidRPr="00F50B08" w:rsidRDefault="000F0709">
      <w:pPr>
        <w:pStyle w:val="FootnoteText"/>
        <w:rPr>
          <w:i/>
        </w:rPr>
      </w:pPr>
      <w:r>
        <w:rPr>
          <w:rStyle w:val="FootnoteReference"/>
        </w:rPr>
        <w:footnoteRef/>
      </w:r>
      <w:r>
        <w:t xml:space="preserve"> </w:t>
      </w:r>
      <w:r>
        <w:rPr>
          <w:i/>
        </w:rPr>
        <w:t>Id.</w:t>
      </w:r>
    </w:p>
  </w:footnote>
  <w:footnote w:id="146">
    <w:p w:rsidR="000F0709" w:rsidRPr="00F50B08" w:rsidRDefault="000F0709">
      <w:pPr>
        <w:pStyle w:val="FootnoteText"/>
        <w:rPr>
          <w:i/>
        </w:rPr>
      </w:pPr>
      <w:r>
        <w:rPr>
          <w:rStyle w:val="FootnoteReference"/>
        </w:rPr>
        <w:footnoteRef/>
      </w:r>
      <w:r>
        <w:t xml:space="preserve"> </w:t>
      </w:r>
      <w:r>
        <w:rPr>
          <w:i/>
        </w:rPr>
        <w:t>Id.</w:t>
      </w:r>
    </w:p>
  </w:footnote>
  <w:footnote w:id="147">
    <w:p w:rsidR="000F0709" w:rsidRDefault="000F0709">
      <w:pPr>
        <w:pStyle w:val="FootnoteText"/>
      </w:pPr>
      <w:r>
        <w:rPr>
          <w:rStyle w:val="FootnoteReference"/>
        </w:rPr>
        <w:footnoteRef/>
      </w:r>
      <w:r>
        <w:t xml:space="preserve"> </w:t>
      </w:r>
      <w:r>
        <w:rPr>
          <w:i/>
        </w:rPr>
        <w:t>Id. (</w:t>
      </w:r>
      <w:r w:rsidRPr="000F0709">
        <w:t>citing</w:t>
      </w:r>
      <w:r>
        <w:rPr>
          <w:i/>
        </w:rPr>
        <w:t xml:space="preserve"> </w:t>
      </w:r>
      <w:r w:rsidRPr="00D9682E">
        <w:t>City of Virginia Beach, Virginia and Sprint Nextel,</w:t>
      </w:r>
      <w:r>
        <w:rPr>
          <w:i/>
        </w:rPr>
        <w:t xml:space="preserve"> Memorandum Opinion and Order, </w:t>
      </w:r>
      <w:r>
        <w:t>25 FCC Rcd 10898, 10913-14, ¶ 50. (</w:t>
      </w:r>
      <w:r>
        <w:rPr>
          <w:i/>
        </w:rPr>
        <w:t>Virginia Beach MO&amp;</w:t>
      </w:r>
      <w:r w:rsidRPr="00AF3B4A">
        <w:rPr>
          <w:i/>
        </w:rPr>
        <w:t>O</w:t>
      </w:r>
      <w:r>
        <w:t>)).</w:t>
      </w:r>
    </w:p>
  </w:footnote>
  <w:footnote w:id="148">
    <w:p w:rsidR="000F0709" w:rsidRPr="00F50B08" w:rsidRDefault="000F0709">
      <w:pPr>
        <w:pStyle w:val="FootnoteText"/>
      </w:pPr>
      <w:r>
        <w:rPr>
          <w:rStyle w:val="FootnoteReference"/>
        </w:rPr>
        <w:footnoteRef/>
      </w:r>
      <w:r>
        <w:t xml:space="preserve"> </w:t>
      </w:r>
      <w:r>
        <w:rPr>
          <w:i/>
        </w:rPr>
        <w:t xml:space="preserve">Id. </w:t>
      </w:r>
    </w:p>
  </w:footnote>
  <w:footnote w:id="149">
    <w:p w:rsidR="000F0709" w:rsidRDefault="000F0709">
      <w:pPr>
        <w:pStyle w:val="FootnoteText"/>
      </w:pPr>
      <w:r>
        <w:rPr>
          <w:rStyle w:val="FootnoteReference"/>
        </w:rPr>
        <w:footnoteRef/>
      </w:r>
      <w:r>
        <w:t xml:space="preserve"> Cost Metrics Comparison Report for Licensee Offer (October 28, 2014).</w:t>
      </w:r>
    </w:p>
  </w:footnote>
  <w:footnote w:id="150">
    <w:p w:rsidR="000F0709" w:rsidRPr="00DB0140" w:rsidRDefault="000F0709">
      <w:pPr>
        <w:pStyle w:val="FootnoteText"/>
        <w:rPr>
          <w:i/>
        </w:rPr>
      </w:pPr>
      <w:r>
        <w:rPr>
          <w:rStyle w:val="FootnoteReference"/>
        </w:rPr>
        <w:footnoteRef/>
      </w:r>
      <w:r>
        <w:t xml:space="preserve"> </w:t>
      </w:r>
      <w:r>
        <w:rPr>
          <w:i/>
        </w:rPr>
        <w:t xml:space="preserve">See </w:t>
      </w:r>
      <w:r w:rsidRPr="00B02E58">
        <w:t>Supplemental Statement of Position of Sprint Corporation, filed Nov. 10, 2014</w:t>
      </w:r>
      <w:r>
        <w:t xml:space="preserve"> </w:t>
      </w:r>
      <w:r w:rsidRPr="00B02E58">
        <w:t>(Sprint Supplemental SOP) and Comments on Transition Administrator Metrics of Arizona Public Service Company, filed Nov. 10, 2014 (APSC Supplemental SOP).</w:t>
      </w:r>
    </w:p>
  </w:footnote>
  <w:footnote w:id="151">
    <w:p w:rsidR="000F0709" w:rsidRPr="00983C11" w:rsidRDefault="000F0709" w:rsidP="00F81DA0">
      <w:pPr>
        <w:pStyle w:val="FootnoteText"/>
        <w:rPr>
          <w:i/>
        </w:rPr>
      </w:pPr>
      <w:r>
        <w:rPr>
          <w:rStyle w:val="FootnoteReference"/>
        </w:rPr>
        <w:footnoteRef/>
      </w:r>
      <w:r>
        <w:t xml:space="preserve"> </w:t>
      </w:r>
      <w:r>
        <w:rPr>
          <w:i/>
        </w:rPr>
        <w:t xml:space="preserve">See </w:t>
      </w:r>
      <w:r w:rsidRPr="00983C11">
        <w:t xml:space="preserve">Public Safety and Homeland Security Bureau Announces  Enhancements </w:t>
      </w:r>
      <w:r>
        <w:t>t</w:t>
      </w:r>
      <w:r w:rsidRPr="00983C11">
        <w:t xml:space="preserve">o </w:t>
      </w:r>
      <w:r>
        <w:t>t</w:t>
      </w:r>
      <w:r w:rsidRPr="00983C11">
        <w:t xml:space="preserve">he Metric Data Used </w:t>
      </w:r>
      <w:r>
        <w:t>i</w:t>
      </w:r>
      <w:r w:rsidRPr="00983C11">
        <w:t xml:space="preserve">n 800 </w:t>
      </w:r>
      <w:r>
        <w:t>MHz</w:t>
      </w:r>
      <w:r w:rsidRPr="00983C11">
        <w:t xml:space="preserve"> Rebanding Negotiations </w:t>
      </w:r>
      <w:r>
        <w:t>a</w:t>
      </w:r>
      <w:r w:rsidRPr="00983C11">
        <w:t>nd Mediations</w:t>
      </w:r>
      <w:r>
        <w:t xml:space="preserve">, </w:t>
      </w:r>
      <w:r>
        <w:rPr>
          <w:i/>
        </w:rPr>
        <w:t xml:space="preserve">Public Notice, </w:t>
      </w:r>
      <w:r>
        <w:t>25 FCC Rcd 8151 (PSHSB 2010).</w:t>
      </w:r>
    </w:p>
  </w:footnote>
  <w:footnote w:id="152">
    <w:p w:rsidR="000F0709" w:rsidRPr="00983C11" w:rsidRDefault="000F0709" w:rsidP="00F81DA0">
      <w:pPr>
        <w:pStyle w:val="FootnoteText"/>
        <w:rPr>
          <w:i/>
        </w:rPr>
      </w:pPr>
      <w:r>
        <w:rPr>
          <w:rStyle w:val="FootnoteReference"/>
        </w:rPr>
        <w:footnoteRef/>
      </w:r>
      <w:r>
        <w:t xml:space="preserve"> </w:t>
      </w:r>
      <w:r>
        <w:rPr>
          <w:i/>
        </w:rPr>
        <w:t>Id.</w:t>
      </w:r>
    </w:p>
  </w:footnote>
  <w:footnote w:id="153">
    <w:p w:rsidR="000F0709" w:rsidRDefault="000F0709">
      <w:pPr>
        <w:pStyle w:val="FootnoteText"/>
      </w:pPr>
      <w:r>
        <w:rPr>
          <w:rStyle w:val="FootnoteReference"/>
        </w:rPr>
        <w:footnoteRef/>
      </w:r>
      <w:r>
        <w:t xml:space="preserve"> As Sprint notes in its Supplemental SOP that the Cost Metric Report reflects the competitive price quote Creative Communications made in response to a request by Sprint. </w:t>
      </w:r>
    </w:p>
  </w:footnote>
  <w:footnote w:id="154">
    <w:p w:rsidR="000F0709" w:rsidRDefault="000F0709">
      <w:pPr>
        <w:pStyle w:val="FootnoteText"/>
      </w:pPr>
      <w:r>
        <w:rPr>
          <w:rStyle w:val="FootnoteReference"/>
        </w:rPr>
        <w:footnoteRef/>
      </w:r>
      <w:r>
        <w:t xml:space="preserve"> </w:t>
      </w:r>
      <w:r w:rsidRPr="00B02E58">
        <w:t>Sprint Supplemental SOP</w:t>
      </w:r>
      <w:r>
        <w:t xml:space="preserve"> at 2.</w:t>
      </w:r>
    </w:p>
  </w:footnote>
  <w:footnote w:id="155">
    <w:p w:rsidR="000F0709" w:rsidRPr="008F56C8" w:rsidRDefault="000F0709">
      <w:pPr>
        <w:pStyle w:val="FootnoteText"/>
        <w:rPr>
          <w:i/>
        </w:rPr>
      </w:pPr>
      <w:r>
        <w:rPr>
          <w:rStyle w:val="FootnoteReference"/>
        </w:rPr>
        <w:footnoteRef/>
      </w:r>
      <w:r>
        <w:t xml:space="preserve"> </w:t>
      </w:r>
      <w:r>
        <w:rPr>
          <w:i/>
        </w:rPr>
        <w:t>Id.</w:t>
      </w:r>
      <w:r w:rsidRPr="008F56C8">
        <w:t xml:space="preserve"> at 2-3</w:t>
      </w:r>
      <w:r>
        <w:t>.</w:t>
      </w:r>
    </w:p>
  </w:footnote>
  <w:footnote w:id="156">
    <w:p w:rsidR="000F0709" w:rsidRDefault="000F0709">
      <w:pPr>
        <w:pStyle w:val="FootnoteText"/>
      </w:pPr>
      <w:r>
        <w:rPr>
          <w:rStyle w:val="FootnoteReference"/>
        </w:rPr>
        <w:footnoteRef/>
      </w:r>
      <w:r>
        <w:t xml:space="preserve"> </w:t>
      </w:r>
      <w:r w:rsidRPr="00B02E58">
        <w:t>APSC Supplemental SOP</w:t>
      </w:r>
      <w:r>
        <w:t xml:space="preserve"> at 2.</w:t>
      </w:r>
    </w:p>
  </w:footnote>
  <w:footnote w:id="157">
    <w:p w:rsidR="000F0709" w:rsidRPr="00CC6AC8" w:rsidRDefault="000F0709">
      <w:pPr>
        <w:pStyle w:val="FootnoteText"/>
        <w:rPr>
          <w:i/>
        </w:rPr>
      </w:pPr>
      <w:r>
        <w:rPr>
          <w:rStyle w:val="FootnoteReference"/>
        </w:rPr>
        <w:footnoteRef/>
      </w:r>
      <w:r>
        <w:t xml:space="preserve"> </w:t>
      </w:r>
      <w:r>
        <w:rPr>
          <w:i/>
        </w:rPr>
        <w:t>Id.</w:t>
      </w:r>
    </w:p>
  </w:footnote>
  <w:footnote w:id="158">
    <w:p w:rsidR="000F0709" w:rsidRPr="00CC6AC8" w:rsidRDefault="000F0709">
      <w:pPr>
        <w:pStyle w:val="FootnoteText"/>
        <w:rPr>
          <w:i/>
        </w:rPr>
      </w:pPr>
      <w:r>
        <w:rPr>
          <w:rStyle w:val="FootnoteReference"/>
        </w:rPr>
        <w:footnoteRef/>
      </w:r>
      <w:r>
        <w:t xml:space="preserve"> </w:t>
      </w:r>
      <w:r>
        <w:rPr>
          <w:i/>
        </w:rPr>
        <w:t>Id.</w:t>
      </w:r>
      <w:r w:rsidRPr="00CC6AC8">
        <w:t xml:space="preserve"> at 3</w:t>
      </w:r>
      <w:r>
        <w:t>-4.</w:t>
      </w:r>
    </w:p>
  </w:footnote>
  <w:footnote w:id="159">
    <w:p w:rsidR="000F0709" w:rsidRPr="00CC6AC8" w:rsidRDefault="000F0709">
      <w:pPr>
        <w:pStyle w:val="FootnoteText"/>
      </w:pPr>
      <w:r>
        <w:rPr>
          <w:rStyle w:val="FootnoteReference"/>
        </w:rPr>
        <w:footnoteRef/>
      </w:r>
      <w:r>
        <w:t xml:space="preserve"> </w:t>
      </w:r>
      <w:r>
        <w:rPr>
          <w:i/>
        </w:rPr>
        <w:t>Id.</w:t>
      </w:r>
      <w:r>
        <w:t xml:space="preserve"> at 3.</w:t>
      </w:r>
    </w:p>
  </w:footnote>
  <w:footnote w:id="160">
    <w:p w:rsidR="000F0709" w:rsidRDefault="000F0709">
      <w:pPr>
        <w:pStyle w:val="FootnoteText"/>
      </w:pPr>
      <w:r>
        <w:rPr>
          <w:rStyle w:val="FootnoteReference"/>
        </w:rPr>
        <w:footnoteRef/>
      </w:r>
      <w:r>
        <w:t xml:space="preserve"> </w:t>
      </w:r>
      <w:r w:rsidRPr="003F37B4">
        <w:rPr>
          <w:i/>
        </w:rPr>
        <w:t xml:space="preserve">See </w:t>
      </w:r>
      <w:r w:rsidRPr="000F0709">
        <w:rPr>
          <w:i/>
        </w:rPr>
        <w:t>Indiana MO&amp;O</w:t>
      </w:r>
      <w:r>
        <w:t>.</w:t>
      </w:r>
    </w:p>
  </w:footnote>
  <w:footnote w:id="161">
    <w:p w:rsidR="000F0709" w:rsidRDefault="000F0709">
      <w:pPr>
        <w:pStyle w:val="FootnoteText"/>
      </w:pPr>
      <w:r>
        <w:rPr>
          <w:rStyle w:val="FootnoteReference"/>
        </w:rPr>
        <w:footnoteRef/>
      </w:r>
      <w:r>
        <w:t xml:space="preserve"> APSC SOP at 4.</w:t>
      </w:r>
    </w:p>
  </w:footnote>
  <w:footnote w:id="162">
    <w:p w:rsidR="000F0709" w:rsidRPr="00D9682E" w:rsidRDefault="000F0709" w:rsidP="00D9682E">
      <w:pPr>
        <w:pStyle w:val="FootnoteText"/>
        <w:ind w:left="720" w:hanging="720"/>
        <w:rPr>
          <w:i/>
        </w:rPr>
      </w:pPr>
      <w:r>
        <w:rPr>
          <w:rStyle w:val="FootnoteReference"/>
        </w:rPr>
        <w:footnoteRef/>
      </w:r>
      <w:r>
        <w:t xml:space="preserve"> APSC PRM at 5.</w:t>
      </w:r>
    </w:p>
  </w:footnote>
  <w:footnote w:id="163">
    <w:p w:rsidR="000F0709" w:rsidRDefault="000F0709">
      <w:pPr>
        <w:pStyle w:val="FootnoteText"/>
      </w:pPr>
      <w:r>
        <w:rPr>
          <w:rStyle w:val="FootnoteReference"/>
        </w:rPr>
        <w:footnoteRef/>
      </w:r>
      <w:r>
        <w:t xml:space="preserve"> APSC Supplemental SOP at 2.  </w:t>
      </w:r>
    </w:p>
  </w:footnote>
  <w:footnote w:id="164">
    <w:p w:rsidR="000F0709" w:rsidRDefault="000F0709">
      <w:pPr>
        <w:pStyle w:val="FootnoteText"/>
      </w:pPr>
      <w:r>
        <w:rPr>
          <w:rStyle w:val="FootnoteReference"/>
        </w:rPr>
        <w:footnoteRef/>
      </w:r>
      <w:r>
        <w:t xml:space="preserve"> </w:t>
      </w:r>
      <w:r>
        <w:rPr>
          <w:i/>
        </w:rPr>
        <w:t>See, e.g.</w:t>
      </w:r>
      <w:r w:rsidRPr="000F0709">
        <w:t>,</w:t>
      </w:r>
      <w:r>
        <w:rPr>
          <w:i/>
        </w:rPr>
        <w:t xml:space="preserve"> Virginia Beach MO&amp;O </w:t>
      </w:r>
      <w:r w:rsidRPr="000F0709">
        <w:t>and</w:t>
      </w:r>
      <w:r>
        <w:rPr>
          <w:i/>
        </w:rPr>
        <w:t xml:space="preserve"> MSU MO&amp;O.</w:t>
      </w:r>
    </w:p>
  </w:footnote>
  <w:footnote w:id="165">
    <w:p w:rsidR="000F0709" w:rsidRDefault="000F0709">
      <w:pPr>
        <w:pStyle w:val="FootnoteText"/>
      </w:pPr>
      <w:r>
        <w:rPr>
          <w:rStyle w:val="FootnoteReference"/>
        </w:rPr>
        <w:footnoteRef/>
      </w:r>
      <w:r>
        <w:t xml:space="preserve"> Sprint Supplementary SOP at 4 (</w:t>
      </w:r>
      <w:r w:rsidRPr="000F0709">
        <w:t>citing</w:t>
      </w:r>
      <w:r>
        <w:rPr>
          <w:i/>
        </w:rPr>
        <w:t xml:space="preserve"> </w:t>
      </w:r>
      <w:r>
        <w:t xml:space="preserve">County of Charles, Maryland, </w:t>
      </w:r>
      <w:r>
        <w:rPr>
          <w:i/>
        </w:rPr>
        <w:t xml:space="preserve">Memorandum Opinion and Order, </w:t>
      </w:r>
      <w:r>
        <w:t>27 FCC Rcd 11476.(2012)).</w:t>
      </w:r>
      <w:r w:rsidRPr="009E72C5">
        <w:rPr>
          <w:i/>
        </w:rPr>
        <w:t xml:space="preserve"> </w:t>
      </w:r>
    </w:p>
  </w:footnote>
  <w:footnote w:id="166">
    <w:p w:rsidR="000F0709" w:rsidRDefault="000F0709">
      <w:pPr>
        <w:pStyle w:val="FootnoteText"/>
      </w:pPr>
      <w:r>
        <w:rPr>
          <w:rStyle w:val="FootnoteReference"/>
        </w:rPr>
        <w:footnoteRef/>
      </w:r>
      <w:r>
        <w:t xml:space="preserve"> RR at 12-14, n.77.  </w:t>
      </w:r>
    </w:p>
  </w:footnote>
  <w:footnote w:id="167">
    <w:p w:rsidR="000F0709" w:rsidRPr="000F0709" w:rsidRDefault="000F0709">
      <w:pPr>
        <w:pStyle w:val="FootnoteText"/>
        <w:rPr>
          <w:b/>
        </w:rPr>
      </w:pPr>
      <w:r>
        <w:rPr>
          <w:rStyle w:val="FootnoteReference"/>
        </w:rPr>
        <w:footnoteRef/>
      </w:r>
      <w:r>
        <w:t xml:space="preserve"> APSC PRM at 58 n.36.</w:t>
      </w:r>
    </w:p>
  </w:footnote>
  <w:footnote w:id="168">
    <w:p w:rsidR="000F0709" w:rsidRPr="006D7F04" w:rsidRDefault="000F0709">
      <w:pPr>
        <w:pStyle w:val="FootnoteText"/>
      </w:pPr>
      <w:r>
        <w:rPr>
          <w:rStyle w:val="FootnoteReference"/>
        </w:rPr>
        <w:footnoteRef/>
      </w:r>
      <w:r>
        <w:t xml:space="preserve"> RR at 9 (</w:t>
      </w:r>
      <w:r w:rsidRPr="000F0709">
        <w:t>citing</w:t>
      </w:r>
      <w:r>
        <w:rPr>
          <w:i/>
        </w:rPr>
        <w:t xml:space="preserve"> </w:t>
      </w:r>
      <w:r>
        <w:t>Reply Proposed Resolution Memorandum of Licensee (Aug. 26, 2014) at 5).</w:t>
      </w:r>
    </w:p>
  </w:footnote>
  <w:footnote w:id="169">
    <w:p w:rsidR="000F0709" w:rsidRDefault="000F0709">
      <w:pPr>
        <w:pStyle w:val="FootnoteText"/>
      </w:pPr>
      <w:r>
        <w:rPr>
          <w:rStyle w:val="FootnoteReference"/>
        </w:rPr>
        <w:footnoteRef/>
      </w:r>
      <w:r>
        <w:t xml:space="preserve"> APSC Supplemental SOP at 3; Comments on Transition Administrator Metrics of APSC at 2, 5 (Nov. 10, 2014).</w:t>
      </w:r>
    </w:p>
  </w:footnote>
  <w:footnote w:id="170">
    <w:p w:rsidR="000F0709" w:rsidRDefault="000F0709">
      <w:pPr>
        <w:pStyle w:val="FootnoteText"/>
      </w:pPr>
      <w:r>
        <w:rPr>
          <w:rStyle w:val="FootnoteReference"/>
        </w:rPr>
        <w:footnoteRef/>
      </w:r>
      <w:r>
        <w:t xml:space="preserve"> </w:t>
      </w:r>
      <w:r>
        <w:rPr>
          <w:i/>
        </w:rPr>
        <w:t>See Cost Clarification Order.</w:t>
      </w:r>
    </w:p>
  </w:footnote>
  <w:footnote w:id="171">
    <w:p w:rsidR="000F0709" w:rsidRDefault="000F0709">
      <w:pPr>
        <w:pStyle w:val="FootnoteText"/>
      </w:pPr>
      <w:r>
        <w:rPr>
          <w:rStyle w:val="FootnoteReference"/>
        </w:rPr>
        <w:footnoteRef/>
      </w:r>
      <w:r>
        <w:t xml:space="preserve"> APSC SOP at 7.</w:t>
      </w:r>
    </w:p>
  </w:footnote>
  <w:footnote w:id="172">
    <w:p w:rsidR="000F0709" w:rsidRDefault="000F0709">
      <w:pPr>
        <w:pStyle w:val="FootnoteText"/>
      </w:pPr>
      <w:r>
        <w:rPr>
          <w:rStyle w:val="FootnoteReference"/>
        </w:rPr>
        <w:footnoteRef/>
      </w:r>
      <w:r>
        <w:t xml:space="preserve"> APSC SOP at 8-9.</w:t>
      </w:r>
    </w:p>
  </w:footnote>
  <w:footnote w:id="173">
    <w:p w:rsidR="000F0709" w:rsidRDefault="000F0709">
      <w:pPr>
        <w:pStyle w:val="FootnoteText"/>
      </w:pPr>
      <w:r>
        <w:rPr>
          <w:rStyle w:val="FootnoteReference"/>
        </w:rPr>
        <w:footnoteRef/>
      </w:r>
      <w:r>
        <w:t xml:space="preserve"> </w:t>
      </w:r>
      <w:r>
        <w:rPr>
          <w:i/>
        </w:rPr>
        <w:t xml:space="preserve">See MSU MO&amp;O) </w:t>
      </w:r>
      <w:r w:rsidRPr="009E72C5">
        <w:t xml:space="preserve">at </w:t>
      </w:r>
      <w:r>
        <w:t>11230, 11233, ¶¶ 66,75.</w:t>
      </w:r>
    </w:p>
  </w:footnote>
  <w:footnote w:id="174">
    <w:p w:rsidR="000F0709" w:rsidRPr="00986A0B" w:rsidRDefault="000F0709">
      <w:pPr>
        <w:pStyle w:val="FootnoteText"/>
        <w:rPr>
          <w:i/>
        </w:rPr>
      </w:pPr>
      <w:r>
        <w:rPr>
          <w:rStyle w:val="FootnoteReference"/>
        </w:rPr>
        <w:footnoteRef/>
      </w:r>
      <w:r>
        <w:t xml:space="preserve"> APSC SOP</w:t>
      </w:r>
      <w:r>
        <w:rPr>
          <w:i/>
        </w:rPr>
        <w:t xml:space="preserve"> </w:t>
      </w:r>
      <w:r w:rsidRPr="00986A0B">
        <w:t>at 10.</w:t>
      </w:r>
    </w:p>
  </w:footnote>
  <w:footnote w:id="175">
    <w:p w:rsidR="000F0709" w:rsidRPr="00604E3A" w:rsidRDefault="000F0709" w:rsidP="001B28DD">
      <w:pPr>
        <w:pStyle w:val="FootnoteText"/>
      </w:pPr>
      <w:r>
        <w:rPr>
          <w:rStyle w:val="FootnoteReference"/>
        </w:rPr>
        <w:footnoteRef/>
      </w:r>
      <w:r>
        <w:t xml:space="preserve"> </w:t>
      </w:r>
      <w:r>
        <w:rPr>
          <w:i/>
        </w:rPr>
        <w:t xml:space="preserve">Id. </w:t>
      </w:r>
      <w:r>
        <w:t>at 12.</w:t>
      </w:r>
    </w:p>
  </w:footnote>
  <w:footnote w:id="176">
    <w:p w:rsidR="000F0709" w:rsidRDefault="000F0709">
      <w:pPr>
        <w:pStyle w:val="FootnoteText"/>
      </w:pPr>
      <w:r>
        <w:rPr>
          <w:rStyle w:val="FootnoteReference"/>
        </w:rPr>
        <w:footnoteRef/>
      </w:r>
      <w:r>
        <w:t xml:space="preserve"> Sprint PRM at 19.</w:t>
      </w:r>
    </w:p>
  </w:footnote>
  <w:footnote w:id="177">
    <w:p w:rsidR="000F0709" w:rsidRDefault="000F0709">
      <w:pPr>
        <w:pStyle w:val="FootnoteText"/>
      </w:pPr>
      <w:r>
        <w:rPr>
          <w:rStyle w:val="FootnoteReference"/>
        </w:rPr>
        <w:footnoteRef/>
      </w:r>
      <w:r>
        <w:t xml:space="preserve"> APSC PRM at 3 (APSC’s justification for the use of Federal Engineering).</w:t>
      </w:r>
    </w:p>
  </w:footnote>
  <w:footnote w:id="178">
    <w:p w:rsidR="000F0709" w:rsidRDefault="000F0709">
      <w:pPr>
        <w:pStyle w:val="FootnoteText"/>
      </w:pPr>
      <w:r>
        <w:rPr>
          <w:rStyle w:val="FootnoteReference"/>
        </w:rPr>
        <w:footnoteRef/>
      </w:r>
      <w:r w:rsidRPr="002F36E7">
        <w:t xml:space="preserve"> </w:t>
      </w:r>
      <w:r>
        <w:t>Sprint PRM at 19.</w:t>
      </w:r>
    </w:p>
  </w:footnote>
  <w:footnote w:id="179">
    <w:p w:rsidR="000F0709" w:rsidRDefault="000F0709">
      <w:pPr>
        <w:pStyle w:val="FootnoteText"/>
      </w:pPr>
      <w:r>
        <w:rPr>
          <w:rStyle w:val="FootnoteReference"/>
        </w:rPr>
        <w:footnoteRef/>
      </w:r>
      <w:r>
        <w:t xml:space="preserve"> RR at 20.</w:t>
      </w:r>
    </w:p>
  </w:footnote>
  <w:footnote w:id="180">
    <w:p w:rsidR="000F0709" w:rsidRPr="00546619" w:rsidRDefault="000F0709">
      <w:pPr>
        <w:pStyle w:val="FootnoteText"/>
      </w:pPr>
      <w:r>
        <w:rPr>
          <w:rStyle w:val="FootnoteReference"/>
        </w:rPr>
        <w:footnoteRef/>
      </w:r>
      <w:r>
        <w:t xml:space="preserve"> </w:t>
      </w:r>
      <w:r>
        <w:rPr>
          <w:i/>
        </w:rPr>
        <w:t xml:space="preserve">Id. </w:t>
      </w:r>
      <w:r w:rsidRPr="000F0709">
        <w:t>a</w:t>
      </w:r>
      <w:r>
        <w:t>t 21-22.</w:t>
      </w:r>
    </w:p>
  </w:footnote>
  <w:footnote w:id="181">
    <w:p w:rsidR="000F0709" w:rsidRPr="00F0426C" w:rsidRDefault="000F0709">
      <w:pPr>
        <w:pStyle w:val="FootnoteText"/>
      </w:pPr>
      <w:r>
        <w:rPr>
          <w:rStyle w:val="FootnoteReference"/>
        </w:rPr>
        <w:footnoteRef/>
      </w:r>
      <w:r>
        <w:t xml:space="preserve"> </w:t>
      </w:r>
      <w:r>
        <w:rPr>
          <w:i/>
        </w:rPr>
        <w:t xml:space="preserve">Id. </w:t>
      </w:r>
      <w:r>
        <w:t>at 14.</w:t>
      </w:r>
    </w:p>
  </w:footnote>
  <w:footnote w:id="182">
    <w:p w:rsidR="000F0709" w:rsidRDefault="000F0709">
      <w:pPr>
        <w:pStyle w:val="FootnoteText"/>
      </w:pPr>
      <w:r>
        <w:rPr>
          <w:rStyle w:val="FootnoteReference"/>
        </w:rPr>
        <w:footnoteRef/>
      </w:r>
      <w:r>
        <w:t xml:space="preserve"> TA Metrics Report, DL8910418957, Arizona Public Service Company, TAM 45010 (Oct. 28,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3A9" w:rsidRDefault="006843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9" w:rsidRDefault="000F0709">
    <w:pPr>
      <w:pStyle w:val="Header"/>
      <w:pBdr>
        <w:bottom w:val="single" w:sz="12" w:space="1" w:color="auto"/>
      </w:pBdr>
      <w:rPr>
        <w:b w:val="0"/>
      </w:rPr>
    </w:pPr>
    <w:r>
      <w:tab/>
      <w:t>Federal Communications Commission</w:t>
    </w:r>
    <w:r>
      <w:tab/>
    </w:r>
    <w:r>
      <w:rPr>
        <w:spacing w:val="-2"/>
      </w:rPr>
      <w:t>DA 15-</w:t>
    </w:r>
    <w:r w:rsidR="008970B5">
      <w:rPr>
        <w:spacing w:val="-2"/>
      </w:rPr>
      <w:t>306</w:t>
    </w:r>
  </w:p>
  <w:p w:rsidR="000F0709" w:rsidRDefault="000F0709">
    <w:pPr>
      <w:tabs>
        <w:tab w:val="left" w:pos="-720"/>
      </w:tabs>
      <w:suppressAutoHyphens/>
      <w:spacing w:line="19" w:lineRule="exact"/>
      <w:rPr>
        <w:spacing w:val="-2"/>
      </w:rPr>
    </w:pPr>
  </w:p>
  <w:p w:rsidR="000F0709" w:rsidRDefault="000F0709">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9" w:rsidRDefault="000F0709">
    <w:pPr>
      <w:pStyle w:val="Header"/>
      <w:pBdr>
        <w:bottom w:val="single" w:sz="12" w:space="1" w:color="auto"/>
      </w:pBdr>
      <w:rPr>
        <w:b w:val="0"/>
      </w:rPr>
    </w:pPr>
    <w:r>
      <w:tab/>
      <w:t>Federal Communications Commission</w:t>
    </w:r>
    <w:r>
      <w:tab/>
    </w:r>
    <w:r>
      <w:rPr>
        <w:spacing w:val="-2"/>
      </w:rPr>
      <w:t>DA 15-</w:t>
    </w:r>
    <w:r w:rsidR="008970B5">
      <w:rPr>
        <w:spacing w:val="-2"/>
      </w:rPr>
      <w:t>306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7D2"/>
    <w:multiLevelType w:val="hybridMultilevel"/>
    <w:tmpl w:val="017EBD0E"/>
    <w:lvl w:ilvl="0" w:tplc="6B5623B6">
      <w:start w:val="1"/>
      <w:numFmt w:val="upperRoman"/>
      <w:lvlText w:val="%1."/>
      <w:lvlJc w:val="left"/>
      <w:pPr>
        <w:ind w:left="1080" w:hanging="720"/>
      </w:pPr>
      <w:rPr>
        <w:rFonts w:hint="default"/>
      </w:rPr>
    </w:lvl>
    <w:lvl w:ilvl="1" w:tplc="F7528A24">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1440" w:hanging="360"/>
      </w:pPr>
    </w:lvl>
    <w:lvl w:ilvl="4" w:tplc="91B07220">
      <w:start w:val="1"/>
      <w:numFmt w:val="lowerRoman"/>
      <w:lvlText w:val="%5."/>
      <w:lvlJc w:val="left"/>
      <w:pPr>
        <w:ind w:left="2250" w:hanging="360"/>
      </w:pPr>
      <w:rPr>
        <w:rFonts w:ascii="Times New Roman" w:eastAsiaTheme="minorHAnsi" w:hAnsi="Times New Roman" w:cs="Times New Roman"/>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8F24AA2"/>
    <w:multiLevelType w:val="hybridMultilevel"/>
    <w:tmpl w:val="D1401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B3EC2"/>
    <w:multiLevelType w:val="hybridMultilevel"/>
    <w:tmpl w:val="952C1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D674BFA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D5B2C33"/>
    <w:multiLevelType w:val="hybridMultilevel"/>
    <w:tmpl w:val="9C48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B2F71E8"/>
    <w:multiLevelType w:val="hybridMultilevel"/>
    <w:tmpl w:val="12302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FBF65A5"/>
    <w:multiLevelType w:val="hybridMultilevel"/>
    <w:tmpl w:val="58E01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2">
    <w:nsid w:val="636C7B53"/>
    <w:multiLevelType w:val="hybridMultilevel"/>
    <w:tmpl w:val="F454C896"/>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70B76387"/>
    <w:multiLevelType w:val="hybridMultilevel"/>
    <w:tmpl w:val="1C22A894"/>
    <w:lvl w:ilvl="0" w:tplc="295CF204">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4"/>
  </w:num>
  <w:num w:numId="2">
    <w:abstractNumId w:val="11"/>
  </w:num>
  <w:num w:numId="3">
    <w:abstractNumId w:val="6"/>
  </w:num>
  <w:num w:numId="4">
    <w:abstractNumId w:val="8"/>
  </w:num>
  <w:num w:numId="5">
    <w:abstractNumId w:val="5"/>
  </w:num>
  <w:num w:numId="6">
    <w:abstractNumId w:val="1"/>
  </w:num>
  <w:num w:numId="7">
    <w:abstractNumId w:val="7"/>
  </w:num>
  <w:num w:numId="8">
    <w:abstractNumId w:val="12"/>
  </w:num>
  <w:num w:numId="9">
    <w:abstractNumId w:val="13"/>
  </w:num>
  <w:num w:numId="10">
    <w:abstractNumId w:val="0"/>
  </w:num>
  <w:num w:numId="11">
    <w:abstractNumId w:val="11"/>
    <w:lvlOverride w:ilvl="0">
      <w:startOverride w:val="34"/>
    </w:lvlOverride>
  </w:num>
  <w:num w:numId="12">
    <w:abstractNumId w:val="9"/>
  </w:num>
  <w:num w:numId="13">
    <w:abstractNumId w:val="3"/>
  </w:num>
  <w:num w:numId="14">
    <w:abstractNumId w:val="2"/>
  </w:num>
  <w:num w:numId="15">
    <w:abstractNumId w:val="10"/>
  </w:num>
  <w:num w:numId="16">
    <w:abstractNumId w:val="11"/>
    <w:lvlOverride w:ilvl="0">
      <w:startOverride w:val="1"/>
    </w:lvlOverride>
  </w:num>
  <w:num w:numId="17">
    <w:abstractNumId w:val="11"/>
  </w:num>
  <w:num w:numId="18">
    <w:abstractNumId w:val="1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29"/>
    <w:rsid w:val="0000069C"/>
    <w:rsid w:val="00006D59"/>
    <w:rsid w:val="00014773"/>
    <w:rsid w:val="0001558F"/>
    <w:rsid w:val="00017663"/>
    <w:rsid w:val="000207BC"/>
    <w:rsid w:val="000218A5"/>
    <w:rsid w:val="00022224"/>
    <w:rsid w:val="000302A9"/>
    <w:rsid w:val="00030961"/>
    <w:rsid w:val="00036039"/>
    <w:rsid w:val="00037F90"/>
    <w:rsid w:val="00041FE0"/>
    <w:rsid w:val="0004455C"/>
    <w:rsid w:val="00046F62"/>
    <w:rsid w:val="00051596"/>
    <w:rsid w:val="00053751"/>
    <w:rsid w:val="0006304A"/>
    <w:rsid w:val="000637F9"/>
    <w:rsid w:val="00063BF0"/>
    <w:rsid w:val="0006435B"/>
    <w:rsid w:val="000712A0"/>
    <w:rsid w:val="00073525"/>
    <w:rsid w:val="0007558C"/>
    <w:rsid w:val="00075C15"/>
    <w:rsid w:val="00075E8A"/>
    <w:rsid w:val="000807C3"/>
    <w:rsid w:val="000816E2"/>
    <w:rsid w:val="00082C40"/>
    <w:rsid w:val="000875BF"/>
    <w:rsid w:val="000930EB"/>
    <w:rsid w:val="00093397"/>
    <w:rsid w:val="00096D8C"/>
    <w:rsid w:val="000A0496"/>
    <w:rsid w:val="000A1829"/>
    <w:rsid w:val="000A3889"/>
    <w:rsid w:val="000B28C4"/>
    <w:rsid w:val="000B4565"/>
    <w:rsid w:val="000B5A5C"/>
    <w:rsid w:val="000C0B65"/>
    <w:rsid w:val="000C6657"/>
    <w:rsid w:val="000D130B"/>
    <w:rsid w:val="000D35F9"/>
    <w:rsid w:val="000D7C38"/>
    <w:rsid w:val="000E3D42"/>
    <w:rsid w:val="000E5B8B"/>
    <w:rsid w:val="000E75FD"/>
    <w:rsid w:val="000F0709"/>
    <w:rsid w:val="001030C9"/>
    <w:rsid w:val="001032D7"/>
    <w:rsid w:val="0010723D"/>
    <w:rsid w:val="00116D1F"/>
    <w:rsid w:val="00116DA3"/>
    <w:rsid w:val="00122BD5"/>
    <w:rsid w:val="001351D1"/>
    <w:rsid w:val="0014734D"/>
    <w:rsid w:val="0015215E"/>
    <w:rsid w:val="0015586A"/>
    <w:rsid w:val="001630DA"/>
    <w:rsid w:val="00166561"/>
    <w:rsid w:val="0017103A"/>
    <w:rsid w:val="00174051"/>
    <w:rsid w:val="001814C2"/>
    <w:rsid w:val="001845B8"/>
    <w:rsid w:val="00186E9C"/>
    <w:rsid w:val="00187953"/>
    <w:rsid w:val="001908E3"/>
    <w:rsid w:val="00191078"/>
    <w:rsid w:val="00196C92"/>
    <w:rsid w:val="00197A9D"/>
    <w:rsid w:val="001A4631"/>
    <w:rsid w:val="001B28DD"/>
    <w:rsid w:val="001B2967"/>
    <w:rsid w:val="001B419C"/>
    <w:rsid w:val="001C67EC"/>
    <w:rsid w:val="001C7670"/>
    <w:rsid w:val="001D16B2"/>
    <w:rsid w:val="001D19FE"/>
    <w:rsid w:val="001D2778"/>
    <w:rsid w:val="001D30E9"/>
    <w:rsid w:val="001D32A4"/>
    <w:rsid w:val="001D3CF2"/>
    <w:rsid w:val="001D4F16"/>
    <w:rsid w:val="001D5268"/>
    <w:rsid w:val="001D5306"/>
    <w:rsid w:val="001D60B6"/>
    <w:rsid w:val="001D6BCF"/>
    <w:rsid w:val="001E01CA"/>
    <w:rsid w:val="001E4477"/>
    <w:rsid w:val="001E45C9"/>
    <w:rsid w:val="001E4D46"/>
    <w:rsid w:val="001E5E1C"/>
    <w:rsid w:val="001F2589"/>
    <w:rsid w:val="001F3C55"/>
    <w:rsid w:val="001F7C57"/>
    <w:rsid w:val="00202FA5"/>
    <w:rsid w:val="002079E6"/>
    <w:rsid w:val="0021326F"/>
    <w:rsid w:val="00216E83"/>
    <w:rsid w:val="00220837"/>
    <w:rsid w:val="00223212"/>
    <w:rsid w:val="002240F9"/>
    <w:rsid w:val="0022738F"/>
    <w:rsid w:val="00231DCE"/>
    <w:rsid w:val="002342AC"/>
    <w:rsid w:val="002373AD"/>
    <w:rsid w:val="00240664"/>
    <w:rsid w:val="00242013"/>
    <w:rsid w:val="0026123B"/>
    <w:rsid w:val="00261979"/>
    <w:rsid w:val="00262E00"/>
    <w:rsid w:val="00264A28"/>
    <w:rsid w:val="00265961"/>
    <w:rsid w:val="002660E4"/>
    <w:rsid w:val="00266CF0"/>
    <w:rsid w:val="00271164"/>
    <w:rsid w:val="00274FC3"/>
    <w:rsid w:val="00276A9D"/>
    <w:rsid w:val="00285017"/>
    <w:rsid w:val="002955D1"/>
    <w:rsid w:val="00295FE4"/>
    <w:rsid w:val="002A2281"/>
    <w:rsid w:val="002A2D2E"/>
    <w:rsid w:val="002A3623"/>
    <w:rsid w:val="002A7892"/>
    <w:rsid w:val="002B18B8"/>
    <w:rsid w:val="002B1E8B"/>
    <w:rsid w:val="002B6859"/>
    <w:rsid w:val="002B7E32"/>
    <w:rsid w:val="002C317B"/>
    <w:rsid w:val="002C7125"/>
    <w:rsid w:val="002D0323"/>
    <w:rsid w:val="002D185A"/>
    <w:rsid w:val="002E3F18"/>
    <w:rsid w:val="002E4376"/>
    <w:rsid w:val="002E5C63"/>
    <w:rsid w:val="002F069D"/>
    <w:rsid w:val="002F14E5"/>
    <w:rsid w:val="002F232E"/>
    <w:rsid w:val="002F36E7"/>
    <w:rsid w:val="002F4621"/>
    <w:rsid w:val="002F6A39"/>
    <w:rsid w:val="002F7E8C"/>
    <w:rsid w:val="00307DE2"/>
    <w:rsid w:val="00310C9F"/>
    <w:rsid w:val="003123EA"/>
    <w:rsid w:val="003230FF"/>
    <w:rsid w:val="00331A23"/>
    <w:rsid w:val="00331D5E"/>
    <w:rsid w:val="00334BB4"/>
    <w:rsid w:val="00337C34"/>
    <w:rsid w:val="00343749"/>
    <w:rsid w:val="00352910"/>
    <w:rsid w:val="00353181"/>
    <w:rsid w:val="0036104D"/>
    <w:rsid w:val="0036187F"/>
    <w:rsid w:val="003630C3"/>
    <w:rsid w:val="00363F70"/>
    <w:rsid w:val="00373882"/>
    <w:rsid w:val="0037720A"/>
    <w:rsid w:val="003800B5"/>
    <w:rsid w:val="00383AC1"/>
    <w:rsid w:val="003909F4"/>
    <w:rsid w:val="003A10AA"/>
    <w:rsid w:val="003B0550"/>
    <w:rsid w:val="003B1F44"/>
    <w:rsid w:val="003B2629"/>
    <w:rsid w:val="003B6544"/>
    <w:rsid w:val="003B694F"/>
    <w:rsid w:val="003B7368"/>
    <w:rsid w:val="003D13C8"/>
    <w:rsid w:val="003D1FA4"/>
    <w:rsid w:val="003D4634"/>
    <w:rsid w:val="003E2F41"/>
    <w:rsid w:val="003E4BB5"/>
    <w:rsid w:val="003F09CB"/>
    <w:rsid w:val="003F171C"/>
    <w:rsid w:val="003F63DF"/>
    <w:rsid w:val="003F66A6"/>
    <w:rsid w:val="003F743F"/>
    <w:rsid w:val="00403FAB"/>
    <w:rsid w:val="00406FB6"/>
    <w:rsid w:val="00412FC5"/>
    <w:rsid w:val="0041727A"/>
    <w:rsid w:val="00420153"/>
    <w:rsid w:val="00420806"/>
    <w:rsid w:val="00421A61"/>
    <w:rsid w:val="00422276"/>
    <w:rsid w:val="004242F1"/>
    <w:rsid w:val="00426587"/>
    <w:rsid w:val="0042659E"/>
    <w:rsid w:val="00426D49"/>
    <w:rsid w:val="00431C18"/>
    <w:rsid w:val="00432A4E"/>
    <w:rsid w:val="0043388D"/>
    <w:rsid w:val="004340B6"/>
    <w:rsid w:val="004346DB"/>
    <w:rsid w:val="00441B73"/>
    <w:rsid w:val="00442B7B"/>
    <w:rsid w:val="0044378E"/>
    <w:rsid w:val="00445A00"/>
    <w:rsid w:val="00445D6E"/>
    <w:rsid w:val="0044765F"/>
    <w:rsid w:val="00451B0F"/>
    <w:rsid w:val="00455781"/>
    <w:rsid w:val="00464E53"/>
    <w:rsid w:val="004651D2"/>
    <w:rsid w:val="004664EB"/>
    <w:rsid w:val="004703BB"/>
    <w:rsid w:val="0047705C"/>
    <w:rsid w:val="00485F92"/>
    <w:rsid w:val="00491FCD"/>
    <w:rsid w:val="00495E75"/>
    <w:rsid w:val="00496D20"/>
    <w:rsid w:val="004A094C"/>
    <w:rsid w:val="004A4B3C"/>
    <w:rsid w:val="004A60B9"/>
    <w:rsid w:val="004B7883"/>
    <w:rsid w:val="004C1F40"/>
    <w:rsid w:val="004C282C"/>
    <w:rsid w:val="004C2EE3"/>
    <w:rsid w:val="004C3BC3"/>
    <w:rsid w:val="004C441C"/>
    <w:rsid w:val="004C66AB"/>
    <w:rsid w:val="004D3C2B"/>
    <w:rsid w:val="004D4C7E"/>
    <w:rsid w:val="004E28B0"/>
    <w:rsid w:val="004E39F6"/>
    <w:rsid w:val="004E4A22"/>
    <w:rsid w:val="004F0221"/>
    <w:rsid w:val="004F5F3B"/>
    <w:rsid w:val="00500F39"/>
    <w:rsid w:val="0050220F"/>
    <w:rsid w:val="00504339"/>
    <w:rsid w:val="00511968"/>
    <w:rsid w:val="0051338E"/>
    <w:rsid w:val="00513851"/>
    <w:rsid w:val="0051531F"/>
    <w:rsid w:val="0052208D"/>
    <w:rsid w:val="00524ECF"/>
    <w:rsid w:val="00525268"/>
    <w:rsid w:val="00530058"/>
    <w:rsid w:val="00545D26"/>
    <w:rsid w:val="0054650B"/>
    <w:rsid w:val="00546619"/>
    <w:rsid w:val="005474A7"/>
    <w:rsid w:val="0055614C"/>
    <w:rsid w:val="005649B0"/>
    <w:rsid w:val="005651B4"/>
    <w:rsid w:val="00575436"/>
    <w:rsid w:val="00594F1D"/>
    <w:rsid w:val="00595CCC"/>
    <w:rsid w:val="00596431"/>
    <w:rsid w:val="00597D5E"/>
    <w:rsid w:val="005A6AFA"/>
    <w:rsid w:val="005A6C3A"/>
    <w:rsid w:val="005B39CA"/>
    <w:rsid w:val="005B551B"/>
    <w:rsid w:val="005C002A"/>
    <w:rsid w:val="005C146E"/>
    <w:rsid w:val="005D292C"/>
    <w:rsid w:val="005D2CCC"/>
    <w:rsid w:val="005E5A50"/>
    <w:rsid w:val="005E6817"/>
    <w:rsid w:val="005E757E"/>
    <w:rsid w:val="005F11B9"/>
    <w:rsid w:val="005F2099"/>
    <w:rsid w:val="005F5BEF"/>
    <w:rsid w:val="00604E3A"/>
    <w:rsid w:val="00607BA5"/>
    <w:rsid w:val="006106BD"/>
    <w:rsid w:val="006177F6"/>
    <w:rsid w:val="00617BD4"/>
    <w:rsid w:val="00626EB6"/>
    <w:rsid w:val="00641EDD"/>
    <w:rsid w:val="00655D03"/>
    <w:rsid w:val="00660C1A"/>
    <w:rsid w:val="00667149"/>
    <w:rsid w:val="00671324"/>
    <w:rsid w:val="006810CA"/>
    <w:rsid w:val="00683F84"/>
    <w:rsid w:val="006843A9"/>
    <w:rsid w:val="00684CD9"/>
    <w:rsid w:val="00693D7A"/>
    <w:rsid w:val="006A6A81"/>
    <w:rsid w:val="006A7597"/>
    <w:rsid w:val="006B53E2"/>
    <w:rsid w:val="006B5872"/>
    <w:rsid w:val="006C1F41"/>
    <w:rsid w:val="006D0F7A"/>
    <w:rsid w:val="006D6EEC"/>
    <w:rsid w:val="006D7F04"/>
    <w:rsid w:val="006E1886"/>
    <w:rsid w:val="006E1BE5"/>
    <w:rsid w:val="006E5AC8"/>
    <w:rsid w:val="006F7014"/>
    <w:rsid w:val="006F7393"/>
    <w:rsid w:val="00700140"/>
    <w:rsid w:val="0070064B"/>
    <w:rsid w:val="0070224F"/>
    <w:rsid w:val="0070451C"/>
    <w:rsid w:val="00710741"/>
    <w:rsid w:val="007115F7"/>
    <w:rsid w:val="00716C5C"/>
    <w:rsid w:val="0072089E"/>
    <w:rsid w:val="00724821"/>
    <w:rsid w:val="00726566"/>
    <w:rsid w:val="00726A7D"/>
    <w:rsid w:val="007325B1"/>
    <w:rsid w:val="00733071"/>
    <w:rsid w:val="0074537B"/>
    <w:rsid w:val="007457F7"/>
    <w:rsid w:val="00746439"/>
    <w:rsid w:val="007479AC"/>
    <w:rsid w:val="00751D1A"/>
    <w:rsid w:val="00754BFF"/>
    <w:rsid w:val="00756309"/>
    <w:rsid w:val="007779A9"/>
    <w:rsid w:val="00785689"/>
    <w:rsid w:val="00785F74"/>
    <w:rsid w:val="00786E92"/>
    <w:rsid w:val="00791A9B"/>
    <w:rsid w:val="00792961"/>
    <w:rsid w:val="00795A4C"/>
    <w:rsid w:val="0079754B"/>
    <w:rsid w:val="0079756B"/>
    <w:rsid w:val="0079789E"/>
    <w:rsid w:val="007A0A0F"/>
    <w:rsid w:val="007A1E6D"/>
    <w:rsid w:val="007B78DB"/>
    <w:rsid w:val="007C33A2"/>
    <w:rsid w:val="007C635B"/>
    <w:rsid w:val="007D1334"/>
    <w:rsid w:val="007D27A5"/>
    <w:rsid w:val="007D41FF"/>
    <w:rsid w:val="007D6FEB"/>
    <w:rsid w:val="007E4EE5"/>
    <w:rsid w:val="007E5F1B"/>
    <w:rsid w:val="007E7E48"/>
    <w:rsid w:val="007F0214"/>
    <w:rsid w:val="007F200B"/>
    <w:rsid w:val="007F4D0B"/>
    <w:rsid w:val="00802AC0"/>
    <w:rsid w:val="0080501C"/>
    <w:rsid w:val="0081104B"/>
    <w:rsid w:val="00811E56"/>
    <w:rsid w:val="00813696"/>
    <w:rsid w:val="0081453F"/>
    <w:rsid w:val="00822CE0"/>
    <w:rsid w:val="00831FBC"/>
    <w:rsid w:val="00835413"/>
    <w:rsid w:val="00836E48"/>
    <w:rsid w:val="00841AB1"/>
    <w:rsid w:val="008503CB"/>
    <w:rsid w:val="008539A9"/>
    <w:rsid w:val="0085440E"/>
    <w:rsid w:val="00862593"/>
    <w:rsid w:val="00865567"/>
    <w:rsid w:val="00870B86"/>
    <w:rsid w:val="008767B6"/>
    <w:rsid w:val="00880250"/>
    <w:rsid w:val="00881F7A"/>
    <w:rsid w:val="008827D5"/>
    <w:rsid w:val="0088293E"/>
    <w:rsid w:val="00883945"/>
    <w:rsid w:val="008902BE"/>
    <w:rsid w:val="00891775"/>
    <w:rsid w:val="008956D5"/>
    <w:rsid w:val="00895B46"/>
    <w:rsid w:val="008970B5"/>
    <w:rsid w:val="008A1F10"/>
    <w:rsid w:val="008A27FE"/>
    <w:rsid w:val="008A4505"/>
    <w:rsid w:val="008A591E"/>
    <w:rsid w:val="008A75BB"/>
    <w:rsid w:val="008B10B6"/>
    <w:rsid w:val="008B15CE"/>
    <w:rsid w:val="008B2F24"/>
    <w:rsid w:val="008B4C49"/>
    <w:rsid w:val="008C19E6"/>
    <w:rsid w:val="008F0215"/>
    <w:rsid w:val="008F3253"/>
    <w:rsid w:val="008F396A"/>
    <w:rsid w:val="008F4BC8"/>
    <w:rsid w:val="008F56C8"/>
    <w:rsid w:val="00901EC4"/>
    <w:rsid w:val="009069DC"/>
    <w:rsid w:val="009120E3"/>
    <w:rsid w:val="00912881"/>
    <w:rsid w:val="009140CC"/>
    <w:rsid w:val="00914684"/>
    <w:rsid w:val="00914924"/>
    <w:rsid w:val="009167AA"/>
    <w:rsid w:val="00921803"/>
    <w:rsid w:val="00926503"/>
    <w:rsid w:val="00926BA0"/>
    <w:rsid w:val="00933AB2"/>
    <w:rsid w:val="00935D3F"/>
    <w:rsid w:val="00950B18"/>
    <w:rsid w:val="0095241C"/>
    <w:rsid w:val="00953AB3"/>
    <w:rsid w:val="00954282"/>
    <w:rsid w:val="00954317"/>
    <w:rsid w:val="009624A8"/>
    <w:rsid w:val="00963602"/>
    <w:rsid w:val="00966C82"/>
    <w:rsid w:val="00970452"/>
    <w:rsid w:val="009740D3"/>
    <w:rsid w:val="00974B96"/>
    <w:rsid w:val="0097532D"/>
    <w:rsid w:val="00975963"/>
    <w:rsid w:val="0098054E"/>
    <w:rsid w:val="00986201"/>
    <w:rsid w:val="00986A0B"/>
    <w:rsid w:val="00993647"/>
    <w:rsid w:val="00996F7C"/>
    <w:rsid w:val="009A7711"/>
    <w:rsid w:val="009A79DE"/>
    <w:rsid w:val="009B31AE"/>
    <w:rsid w:val="009B7179"/>
    <w:rsid w:val="009D241B"/>
    <w:rsid w:val="009E0F0F"/>
    <w:rsid w:val="009F24E5"/>
    <w:rsid w:val="009F31C0"/>
    <w:rsid w:val="009F5F18"/>
    <w:rsid w:val="009F6E87"/>
    <w:rsid w:val="00A002F3"/>
    <w:rsid w:val="00A0081E"/>
    <w:rsid w:val="00A00CF4"/>
    <w:rsid w:val="00A031F9"/>
    <w:rsid w:val="00A0377D"/>
    <w:rsid w:val="00A10BC5"/>
    <w:rsid w:val="00A10C05"/>
    <w:rsid w:val="00A15DAD"/>
    <w:rsid w:val="00A24CF5"/>
    <w:rsid w:val="00A379BF"/>
    <w:rsid w:val="00A40C93"/>
    <w:rsid w:val="00A45F4F"/>
    <w:rsid w:val="00A46AB0"/>
    <w:rsid w:val="00A5074C"/>
    <w:rsid w:val="00A508BD"/>
    <w:rsid w:val="00A600A9"/>
    <w:rsid w:val="00A65C9A"/>
    <w:rsid w:val="00A65D93"/>
    <w:rsid w:val="00A71DC5"/>
    <w:rsid w:val="00A733C0"/>
    <w:rsid w:val="00A739DF"/>
    <w:rsid w:val="00A76B6C"/>
    <w:rsid w:val="00A77A00"/>
    <w:rsid w:val="00A77D69"/>
    <w:rsid w:val="00A82593"/>
    <w:rsid w:val="00AA2AF3"/>
    <w:rsid w:val="00AA4054"/>
    <w:rsid w:val="00AA4DA7"/>
    <w:rsid w:val="00AA55B7"/>
    <w:rsid w:val="00AA5B9E"/>
    <w:rsid w:val="00AB2407"/>
    <w:rsid w:val="00AB53DF"/>
    <w:rsid w:val="00AB5981"/>
    <w:rsid w:val="00AC1A7D"/>
    <w:rsid w:val="00AC1C69"/>
    <w:rsid w:val="00AD02BB"/>
    <w:rsid w:val="00AD5058"/>
    <w:rsid w:val="00AE6774"/>
    <w:rsid w:val="00AF0466"/>
    <w:rsid w:val="00AF3B4A"/>
    <w:rsid w:val="00AF6F8C"/>
    <w:rsid w:val="00AF70F1"/>
    <w:rsid w:val="00B0084F"/>
    <w:rsid w:val="00B00EDD"/>
    <w:rsid w:val="00B02E58"/>
    <w:rsid w:val="00B067C6"/>
    <w:rsid w:val="00B07E5C"/>
    <w:rsid w:val="00B12933"/>
    <w:rsid w:val="00B13135"/>
    <w:rsid w:val="00B13ED2"/>
    <w:rsid w:val="00B14FFA"/>
    <w:rsid w:val="00B219B9"/>
    <w:rsid w:val="00B25E5C"/>
    <w:rsid w:val="00B32D0F"/>
    <w:rsid w:val="00B33FB7"/>
    <w:rsid w:val="00B345BA"/>
    <w:rsid w:val="00B456B6"/>
    <w:rsid w:val="00B52050"/>
    <w:rsid w:val="00B57C97"/>
    <w:rsid w:val="00B60C0C"/>
    <w:rsid w:val="00B62E87"/>
    <w:rsid w:val="00B71C19"/>
    <w:rsid w:val="00B7209A"/>
    <w:rsid w:val="00B742B0"/>
    <w:rsid w:val="00B811F7"/>
    <w:rsid w:val="00B81A95"/>
    <w:rsid w:val="00B830F1"/>
    <w:rsid w:val="00B872BE"/>
    <w:rsid w:val="00B96416"/>
    <w:rsid w:val="00BA2910"/>
    <w:rsid w:val="00BA5DC6"/>
    <w:rsid w:val="00BA6196"/>
    <w:rsid w:val="00BA68C6"/>
    <w:rsid w:val="00BA79AB"/>
    <w:rsid w:val="00BB0BAB"/>
    <w:rsid w:val="00BB0FC7"/>
    <w:rsid w:val="00BB18CF"/>
    <w:rsid w:val="00BB638F"/>
    <w:rsid w:val="00BC0012"/>
    <w:rsid w:val="00BC0AA4"/>
    <w:rsid w:val="00BC0D47"/>
    <w:rsid w:val="00BC665E"/>
    <w:rsid w:val="00BC6D8C"/>
    <w:rsid w:val="00BD1124"/>
    <w:rsid w:val="00BD4A89"/>
    <w:rsid w:val="00BD5C4A"/>
    <w:rsid w:val="00BE12D2"/>
    <w:rsid w:val="00BF77AD"/>
    <w:rsid w:val="00C00FA8"/>
    <w:rsid w:val="00C02853"/>
    <w:rsid w:val="00C028CD"/>
    <w:rsid w:val="00C0401D"/>
    <w:rsid w:val="00C12912"/>
    <w:rsid w:val="00C135ED"/>
    <w:rsid w:val="00C219AD"/>
    <w:rsid w:val="00C2287B"/>
    <w:rsid w:val="00C22AD5"/>
    <w:rsid w:val="00C23BA4"/>
    <w:rsid w:val="00C25BB9"/>
    <w:rsid w:val="00C26D56"/>
    <w:rsid w:val="00C30BAC"/>
    <w:rsid w:val="00C34006"/>
    <w:rsid w:val="00C426B1"/>
    <w:rsid w:val="00C431EC"/>
    <w:rsid w:val="00C479F3"/>
    <w:rsid w:val="00C50543"/>
    <w:rsid w:val="00C50EBD"/>
    <w:rsid w:val="00C62637"/>
    <w:rsid w:val="00C63BDC"/>
    <w:rsid w:val="00C64CC9"/>
    <w:rsid w:val="00C666B8"/>
    <w:rsid w:val="00C733AE"/>
    <w:rsid w:val="00C805DB"/>
    <w:rsid w:val="00C81C1A"/>
    <w:rsid w:val="00C85D18"/>
    <w:rsid w:val="00C90D6A"/>
    <w:rsid w:val="00C93627"/>
    <w:rsid w:val="00CA247E"/>
    <w:rsid w:val="00CA58D5"/>
    <w:rsid w:val="00CB2D72"/>
    <w:rsid w:val="00CB7EB8"/>
    <w:rsid w:val="00CC1A1C"/>
    <w:rsid w:val="00CC6AC8"/>
    <w:rsid w:val="00CC72B6"/>
    <w:rsid w:val="00CC7EDB"/>
    <w:rsid w:val="00CD0D0F"/>
    <w:rsid w:val="00CD29BF"/>
    <w:rsid w:val="00CD3C32"/>
    <w:rsid w:val="00CD449A"/>
    <w:rsid w:val="00CF0045"/>
    <w:rsid w:val="00CF00D3"/>
    <w:rsid w:val="00CF1A7C"/>
    <w:rsid w:val="00CF1F82"/>
    <w:rsid w:val="00CF5763"/>
    <w:rsid w:val="00CF62EB"/>
    <w:rsid w:val="00D0218D"/>
    <w:rsid w:val="00D06D02"/>
    <w:rsid w:val="00D11E46"/>
    <w:rsid w:val="00D152A3"/>
    <w:rsid w:val="00D153BA"/>
    <w:rsid w:val="00D17737"/>
    <w:rsid w:val="00D20D31"/>
    <w:rsid w:val="00D214FE"/>
    <w:rsid w:val="00D23B39"/>
    <w:rsid w:val="00D26A27"/>
    <w:rsid w:val="00D35DDE"/>
    <w:rsid w:val="00D3769D"/>
    <w:rsid w:val="00D37A3E"/>
    <w:rsid w:val="00D429BA"/>
    <w:rsid w:val="00D50944"/>
    <w:rsid w:val="00D5249C"/>
    <w:rsid w:val="00D56DB3"/>
    <w:rsid w:val="00D601F9"/>
    <w:rsid w:val="00D6760E"/>
    <w:rsid w:val="00D70129"/>
    <w:rsid w:val="00D83985"/>
    <w:rsid w:val="00D930BC"/>
    <w:rsid w:val="00D9682E"/>
    <w:rsid w:val="00DA065C"/>
    <w:rsid w:val="00DA1F18"/>
    <w:rsid w:val="00DA2529"/>
    <w:rsid w:val="00DA32BE"/>
    <w:rsid w:val="00DA6070"/>
    <w:rsid w:val="00DB0140"/>
    <w:rsid w:val="00DB0195"/>
    <w:rsid w:val="00DB130A"/>
    <w:rsid w:val="00DB4FB2"/>
    <w:rsid w:val="00DB63E4"/>
    <w:rsid w:val="00DB76A5"/>
    <w:rsid w:val="00DC10A1"/>
    <w:rsid w:val="00DC655F"/>
    <w:rsid w:val="00DC6C37"/>
    <w:rsid w:val="00DD0B59"/>
    <w:rsid w:val="00DD7EBD"/>
    <w:rsid w:val="00DE28DB"/>
    <w:rsid w:val="00DE3DC5"/>
    <w:rsid w:val="00DE41C7"/>
    <w:rsid w:val="00DE7500"/>
    <w:rsid w:val="00DF3155"/>
    <w:rsid w:val="00DF62B6"/>
    <w:rsid w:val="00DF6561"/>
    <w:rsid w:val="00E02185"/>
    <w:rsid w:val="00E04FE6"/>
    <w:rsid w:val="00E05078"/>
    <w:rsid w:val="00E07044"/>
    <w:rsid w:val="00E07225"/>
    <w:rsid w:val="00E101C3"/>
    <w:rsid w:val="00E129E0"/>
    <w:rsid w:val="00E17072"/>
    <w:rsid w:val="00E23DB4"/>
    <w:rsid w:val="00E3390F"/>
    <w:rsid w:val="00E3459C"/>
    <w:rsid w:val="00E41BB9"/>
    <w:rsid w:val="00E4267E"/>
    <w:rsid w:val="00E43D15"/>
    <w:rsid w:val="00E461F6"/>
    <w:rsid w:val="00E5409F"/>
    <w:rsid w:val="00E550F2"/>
    <w:rsid w:val="00E56835"/>
    <w:rsid w:val="00E64445"/>
    <w:rsid w:val="00E658A5"/>
    <w:rsid w:val="00E66B8F"/>
    <w:rsid w:val="00E700E7"/>
    <w:rsid w:val="00E76F40"/>
    <w:rsid w:val="00E775C9"/>
    <w:rsid w:val="00E7789B"/>
    <w:rsid w:val="00E77EE6"/>
    <w:rsid w:val="00E77FBC"/>
    <w:rsid w:val="00E84D72"/>
    <w:rsid w:val="00E92316"/>
    <w:rsid w:val="00E92FA8"/>
    <w:rsid w:val="00EA18DD"/>
    <w:rsid w:val="00EA2856"/>
    <w:rsid w:val="00EA72FF"/>
    <w:rsid w:val="00EB323C"/>
    <w:rsid w:val="00EB5D8D"/>
    <w:rsid w:val="00EE0D75"/>
    <w:rsid w:val="00EE172F"/>
    <w:rsid w:val="00EE22E2"/>
    <w:rsid w:val="00EE4722"/>
    <w:rsid w:val="00EE4AD6"/>
    <w:rsid w:val="00EE6488"/>
    <w:rsid w:val="00EF0C14"/>
    <w:rsid w:val="00EF1DD5"/>
    <w:rsid w:val="00EF61D7"/>
    <w:rsid w:val="00F021FA"/>
    <w:rsid w:val="00F0426C"/>
    <w:rsid w:val="00F05D40"/>
    <w:rsid w:val="00F1205A"/>
    <w:rsid w:val="00F17859"/>
    <w:rsid w:val="00F261CF"/>
    <w:rsid w:val="00F262A6"/>
    <w:rsid w:val="00F303A5"/>
    <w:rsid w:val="00F33BD9"/>
    <w:rsid w:val="00F43B44"/>
    <w:rsid w:val="00F45F41"/>
    <w:rsid w:val="00F50154"/>
    <w:rsid w:val="00F50B08"/>
    <w:rsid w:val="00F51741"/>
    <w:rsid w:val="00F52FA2"/>
    <w:rsid w:val="00F62E97"/>
    <w:rsid w:val="00F64209"/>
    <w:rsid w:val="00F65970"/>
    <w:rsid w:val="00F67D5E"/>
    <w:rsid w:val="00F772A9"/>
    <w:rsid w:val="00F81770"/>
    <w:rsid w:val="00F81D4C"/>
    <w:rsid w:val="00F81DA0"/>
    <w:rsid w:val="00F8769A"/>
    <w:rsid w:val="00F879B3"/>
    <w:rsid w:val="00F93BF5"/>
    <w:rsid w:val="00FA0A12"/>
    <w:rsid w:val="00FA35F5"/>
    <w:rsid w:val="00FA3A1C"/>
    <w:rsid w:val="00FB00E8"/>
    <w:rsid w:val="00FB09CB"/>
    <w:rsid w:val="00FB0A87"/>
    <w:rsid w:val="00FB2208"/>
    <w:rsid w:val="00FC2137"/>
    <w:rsid w:val="00FC3737"/>
    <w:rsid w:val="00FC75E4"/>
    <w:rsid w:val="00FE2953"/>
    <w:rsid w:val="00FE3B48"/>
    <w:rsid w:val="00FE4648"/>
    <w:rsid w:val="00FE6EAA"/>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13851"/>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liases w:val="Footnote Text Char1 Char,Footnote Text Char1 Char Char Char,Footnote Text Char Char Char,Footnote Text Char1 Char1 Char,Footnote Text Char1,Footnote Text Char1 Char Char,Footnote Text Char Char,Footnote Text Char1 Char1"/>
    <w:link w:val="FootnoteTextChar"/>
    <w:rsid w:val="000E3D42"/>
    <w:pPr>
      <w:spacing w:after="120"/>
    </w:pPr>
  </w:style>
  <w:style w:type="character" w:styleId="FootnoteReference">
    <w:name w:val="footnote reference"/>
    <w:basedOn w:val="DefaultParagraphFon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uiPriority w:val="99"/>
    <w:rsid w:val="002A2D2E"/>
    <w:rPr>
      <w:color w:val="0000FF"/>
      <w:u w:val="single"/>
    </w:rPr>
  </w:style>
  <w:style w:type="character" w:customStyle="1" w:styleId="FootnoteTextChar">
    <w:name w:val="Footnote Text Char"/>
    <w:aliases w:val="Footnote Text Char1 Char Char1,Footnote Text Char1 Char Char Char Char,Footnote Text Char Char Char Char,Footnote Text Char1 Char1 Char Char,Footnote Text Char1 Char2,Footnote Text Char1 Char Char Char1,Footnote Text Char Char Char1"/>
    <w:basedOn w:val="DefaultParagraphFont"/>
    <w:link w:val="FootnoteText"/>
    <w:rsid w:val="000207BC"/>
  </w:style>
  <w:style w:type="paragraph" w:styleId="ListParagraph">
    <w:name w:val="List Paragraph"/>
    <w:basedOn w:val="Normal"/>
    <w:uiPriority w:val="34"/>
    <w:qFormat/>
    <w:rsid w:val="000207BC"/>
    <w:pPr>
      <w:widowControl/>
      <w:spacing w:after="200" w:line="276" w:lineRule="auto"/>
      <w:ind w:left="720"/>
      <w:contextualSpacing/>
    </w:pPr>
    <w:rPr>
      <w:rFonts w:asciiTheme="minorHAnsi" w:eastAsiaTheme="minorHAnsi" w:hAnsiTheme="minorHAnsi" w:cstheme="minorBidi"/>
      <w:snapToGrid/>
      <w:kern w:val="0"/>
      <w:szCs w:val="22"/>
    </w:rPr>
  </w:style>
  <w:style w:type="character" w:styleId="CommentReference">
    <w:name w:val="annotation reference"/>
    <w:rsid w:val="006106BD"/>
    <w:rPr>
      <w:sz w:val="16"/>
      <w:szCs w:val="16"/>
    </w:rPr>
  </w:style>
  <w:style w:type="paragraph" w:styleId="CommentText">
    <w:name w:val="annotation text"/>
    <w:basedOn w:val="Normal"/>
    <w:link w:val="CommentTextChar"/>
    <w:rsid w:val="006106BD"/>
    <w:rPr>
      <w:sz w:val="20"/>
    </w:rPr>
  </w:style>
  <w:style w:type="character" w:customStyle="1" w:styleId="CommentTextChar">
    <w:name w:val="Comment Text Char"/>
    <w:basedOn w:val="DefaultParagraphFont"/>
    <w:link w:val="CommentText"/>
    <w:rsid w:val="006106BD"/>
    <w:rPr>
      <w:snapToGrid w:val="0"/>
      <w:kern w:val="28"/>
    </w:rPr>
  </w:style>
  <w:style w:type="paragraph" w:styleId="BalloonText">
    <w:name w:val="Balloon Text"/>
    <w:basedOn w:val="Normal"/>
    <w:link w:val="BalloonTextChar"/>
    <w:rsid w:val="006106BD"/>
    <w:rPr>
      <w:rFonts w:ascii="Tahoma" w:hAnsi="Tahoma" w:cs="Tahoma"/>
      <w:sz w:val="16"/>
      <w:szCs w:val="16"/>
    </w:rPr>
  </w:style>
  <w:style w:type="character" w:customStyle="1" w:styleId="BalloonTextChar">
    <w:name w:val="Balloon Text Char"/>
    <w:basedOn w:val="DefaultParagraphFont"/>
    <w:link w:val="BalloonText"/>
    <w:rsid w:val="006106BD"/>
    <w:rPr>
      <w:rFonts w:ascii="Tahoma" w:hAnsi="Tahoma" w:cs="Tahoma"/>
      <w:snapToGrid w:val="0"/>
      <w:kern w:val="28"/>
      <w:sz w:val="16"/>
      <w:szCs w:val="16"/>
    </w:rPr>
  </w:style>
  <w:style w:type="paragraph" w:styleId="CommentSubject">
    <w:name w:val="annotation subject"/>
    <w:basedOn w:val="CommentText"/>
    <w:next w:val="CommentText"/>
    <w:link w:val="CommentSubjectChar"/>
    <w:rsid w:val="00CD449A"/>
    <w:rPr>
      <w:b/>
      <w:bCs/>
    </w:rPr>
  </w:style>
  <w:style w:type="character" w:customStyle="1" w:styleId="CommentSubjectChar">
    <w:name w:val="Comment Subject Char"/>
    <w:basedOn w:val="CommentTextChar"/>
    <w:link w:val="CommentSubject"/>
    <w:rsid w:val="00CD449A"/>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13851"/>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liases w:val="Footnote Text Char1 Char,Footnote Text Char1 Char Char Char,Footnote Text Char Char Char,Footnote Text Char1 Char1 Char,Footnote Text Char1,Footnote Text Char1 Char Char,Footnote Text Char Char,Footnote Text Char1 Char1"/>
    <w:link w:val="FootnoteTextChar"/>
    <w:rsid w:val="000E3D42"/>
    <w:pPr>
      <w:spacing w:after="120"/>
    </w:pPr>
  </w:style>
  <w:style w:type="character" w:styleId="FootnoteReference">
    <w:name w:val="footnote reference"/>
    <w:basedOn w:val="DefaultParagraphFon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uiPriority w:val="99"/>
    <w:rsid w:val="002A2D2E"/>
    <w:rPr>
      <w:color w:val="0000FF"/>
      <w:u w:val="single"/>
    </w:rPr>
  </w:style>
  <w:style w:type="character" w:customStyle="1" w:styleId="FootnoteTextChar">
    <w:name w:val="Footnote Text Char"/>
    <w:aliases w:val="Footnote Text Char1 Char Char1,Footnote Text Char1 Char Char Char Char,Footnote Text Char Char Char Char,Footnote Text Char1 Char1 Char Char,Footnote Text Char1 Char2,Footnote Text Char1 Char Char Char1,Footnote Text Char Char Char1"/>
    <w:basedOn w:val="DefaultParagraphFont"/>
    <w:link w:val="FootnoteText"/>
    <w:rsid w:val="000207BC"/>
  </w:style>
  <w:style w:type="paragraph" w:styleId="ListParagraph">
    <w:name w:val="List Paragraph"/>
    <w:basedOn w:val="Normal"/>
    <w:uiPriority w:val="34"/>
    <w:qFormat/>
    <w:rsid w:val="000207BC"/>
    <w:pPr>
      <w:widowControl/>
      <w:spacing w:after="200" w:line="276" w:lineRule="auto"/>
      <w:ind w:left="720"/>
      <w:contextualSpacing/>
    </w:pPr>
    <w:rPr>
      <w:rFonts w:asciiTheme="minorHAnsi" w:eastAsiaTheme="minorHAnsi" w:hAnsiTheme="minorHAnsi" w:cstheme="minorBidi"/>
      <w:snapToGrid/>
      <w:kern w:val="0"/>
      <w:szCs w:val="22"/>
    </w:rPr>
  </w:style>
  <w:style w:type="character" w:styleId="CommentReference">
    <w:name w:val="annotation reference"/>
    <w:rsid w:val="006106BD"/>
    <w:rPr>
      <w:sz w:val="16"/>
      <w:szCs w:val="16"/>
    </w:rPr>
  </w:style>
  <w:style w:type="paragraph" w:styleId="CommentText">
    <w:name w:val="annotation text"/>
    <w:basedOn w:val="Normal"/>
    <w:link w:val="CommentTextChar"/>
    <w:rsid w:val="006106BD"/>
    <w:rPr>
      <w:sz w:val="20"/>
    </w:rPr>
  </w:style>
  <w:style w:type="character" w:customStyle="1" w:styleId="CommentTextChar">
    <w:name w:val="Comment Text Char"/>
    <w:basedOn w:val="DefaultParagraphFont"/>
    <w:link w:val="CommentText"/>
    <w:rsid w:val="006106BD"/>
    <w:rPr>
      <w:snapToGrid w:val="0"/>
      <w:kern w:val="28"/>
    </w:rPr>
  </w:style>
  <w:style w:type="paragraph" w:styleId="BalloonText">
    <w:name w:val="Balloon Text"/>
    <w:basedOn w:val="Normal"/>
    <w:link w:val="BalloonTextChar"/>
    <w:rsid w:val="006106BD"/>
    <w:rPr>
      <w:rFonts w:ascii="Tahoma" w:hAnsi="Tahoma" w:cs="Tahoma"/>
      <w:sz w:val="16"/>
      <w:szCs w:val="16"/>
    </w:rPr>
  </w:style>
  <w:style w:type="character" w:customStyle="1" w:styleId="BalloonTextChar">
    <w:name w:val="Balloon Text Char"/>
    <w:basedOn w:val="DefaultParagraphFont"/>
    <w:link w:val="BalloonText"/>
    <w:rsid w:val="006106BD"/>
    <w:rPr>
      <w:rFonts w:ascii="Tahoma" w:hAnsi="Tahoma" w:cs="Tahoma"/>
      <w:snapToGrid w:val="0"/>
      <w:kern w:val="28"/>
      <w:sz w:val="16"/>
      <w:szCs w:val="16"/>
    </w:rPr>
  </w:style>
  <w:style w:type="paragraph" w:styleId="CommentSubject">
    <w:name w:val="annotation subject"/>
    <w:basedOn w:val="CommentText"/>
    <w:next w:val="CommentText"/>
    <w:link w:val="CommentSubjectChar"/>
    <w:rsid w:val="00CD449A"/>
    <w:rPr>
      <w:b/>
      <w:bCs/>
    </w:rPr>
  </w:style>
  <w:style w:type="character" w:customStyle="1" w:styleId="CommentSubjectChar">
    <w:name w:val="Comment Subject Char"/>
    <w:basedOn w:val="CommentTextChar"/>
    <w:link w:val="CommentSubject"/>
    <w:rsid w:val="00CD449A"/>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41177">
      <w:bodyDiv w:val="1"/>
      <w:marLeft w:val="0"/>
      <w:marRight w:val="0"/>
      <w:marTop w:val="0"/>
      <w:marBottom w:val="0"/>
      <w:divBdr>
        <w:top w:val="none" w:sz="0" w:space="0" w:color="auto"/>
        <w:left w:val="none" w:sz="0" w:space="0" w:color="auto"/>
        <w:bottom w:val="none" w:sz="0" w:space="0" w:color="auto"/>
        <w:right w:val="none" w:sz="0" w:space="0" w:color="auto"/>
      </w:divBdr>
      <w:divsChild>
        <w:div w:id="65880922">
          <w:marLeft w:val="0"/>
          <w:marRight w:val="0"/>
          <w:marTop w:val="0"/>
          <w:marBottom w:val="0"/>
          <w:divBdr>
            <w:top w:val="none" w:sz="0" w:space="0" w:color="auto"/>
            <w:left w:val="none" w:sz="0" w:space="0" w:color="auto"/>
            <w:bottom w:val="none" w:sz="0" w:space="0" w:color="auto"/>
            <w:right w:val="none" w:sz="0" w:space="0" w:color="auto"/>
          </w:divBdr>
          <w:divsChild>
            <w:div w:id="23871923">
              <w:marLeft w:val="0"/>
              <w:marRight w:val="0"/>
              <w:marTop w:val="0"/>
              <w:marBottom w:val="0"/>
              <w:divBdr>
                <w:top w:val="none" w:sz="0" w:space="0" w:color="auto"/>
                <w:left w:val="none" w:sz="0" w:space="0" w:color="auto"/>
                <w:bottom w:val="none" w:sz="0" w:space="0" w:color="auto"/>
                <w:right w:val="none" w:sz="0" w:space="0" w:color="auto"/>
              </w:divBdr>
              <w:divsChild>
                <w:div w:id="950207255">
                  <w:marLeft w:val="0"/>
                  <w:marRight w:val="0"/>
                  <w:marTop w:val="0"/>
                  <w:marBottom w:val="0"/>
                  <w:divBdr>
                    <w:top w:val="none" w:sz="0" w:space="0" w:color="auto"/>
                    <w:left w:val="none" w:sz="0" w:space="0" w:color="auto"/>
                    <w:bottom w:val="none" w:sz="0" w:space="0" w:color="auto"/>
                    <w:right w:val="none" w:sz="0" w:space="0" w:color="auto"/>
                  </w:divBdr>
                </w:div>
                <w:div w:id="1610315916">
                  <w:marLeft w:val="0"/>
                  <w:marRight w:val="0"/>
                  <w:marTop w:val="0"/>
                  <w:marBottom w:val="0"/>
                  <w:divBdr>
                    <w:top w:val="none" w:sz="0" w:space="0" w:color="auto"/>
                    <w:left w:val="none" w:sz="0" w:space="0" w:color="auto"/>
                    <w:bottom w:val="none" w:sz="0" w:space="0" w:color="auto"/>
                    <w:right w:val="none" w:sz="0" w:space="0" w:color="auto"/>
                  </w:divBdr>
                </w:div>
              </w:divsChild>
            </w:div>
            <w:div w:id="19509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8974</Words>
  <Characters>48086</Characters>
  <Application>Microsoft Office Word</Application>
  <DocSecurity>0</DocSecurity>
  <Lines>692</Lines>
  <Paragraphs>177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57220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2015-03-10T15:17:00Z</cp:lastPrinted>
  <dcterms:created xsi:type="dcterms:W3CDTF">2015-03-10T15:43:00Z</dcterms:created>
  <dcterms:modified xsi:type="dcterms:W3CDTF">2015-03-10T15:43:00Z</dcterms:modified>
  <cp:category> </cp:category>
  <cp:contentStatus> </cp:contentStatus>
</cp:coreProperties>
</file>