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B9" w:rsidRDefault="006D69B9">
      <w:pPr>
        <w:pStyle w:val="Title"/>
        <w:rPr>
          <w:szCs w:val="22"/>
        </w:rPr>
      </w:pPr>
      <w:bookmarkStart w:id="0" w:name="_GoBack"/>
      <w:bookmarkEnd w:id="0"/>
    </w:p>
    <w:p w:rsidR="00467653" w:rsidRPr="006D73F2" w:rsidRDefault="00467653">
      <w:pPr>
        <w:pStyle w:val="Title"/>
        <w:rPr>
          <w:szCs w:val="22"/>
        </w:rPr>
      </w:pPr>
      <w:r w:rsidRPr="006D73F2">
        <w:rPr>
          <w:szCs w:val="22"/>
        </w:rPr>
        <w:t>Before the</w:t>
      </w:r>
    </w:p>
    <w:p w:rsidR="00467653" w:rsidRPr="006D73F2" w:rsidRDefault="00467653">
      <w:pPr>
        <w:tabs>
          <w:tab w:val="center" w:pos="4680"/>
        </w:tabs>
        <w:spacing w:line="226" w:lineRule="auto"/>
        <w:jc w:val="center"/>
        <w:rPr>
          <w:b/>
          <w:szCs w:val="22"/>
        </w:rPr>
      </w:pPr>
      <w:r w:rsidRPr="006D73F2">
        <w:rPr>
          <w:b/>
          <w:szCs w:val="22"/>
        </w:rPr>
        <w:t>Federal Communications Commission</w:t>
      </w:r>
    </w:p>
    <w:p w:rsidR="00467653" w:rsidRPr="006D73F2" w:rsidRDefault="00467653">
      <w:pPr>
        <w:tabs>
          <w:tab w:val="center" w:pos="4680"/>
        </w:tabs>
        <w:spacing w:line="226" w:lineRule="auto"/>
        <w:jc w:val="center"/>
        <w:rPr>
          <w:szCs w:val="22"/>
        </w:rPr>
      </w:pPr>
      <w:r w:rsidRPr="006D73F2">
        <w:rPr>
          <w:b/>
          <w:szCs w:val="22"/>
        </w:rPr>
        <w:t>Washington, DC 20554</w:t>
      </w:r>
    </w:p>
    <w:p w:rsidR="00467653" w:rsidRPr="00B27008" w:rsidRDefault="00467653" w:rsidP="00B27008">
      <w:pPr>
        <w:tabs>
          <w:tab w:val="left" w:pos="-720"/>
        </w:tabs>
        <w:suppressAutoHyphens/>
        <w:spacing w:line="227" w:lineRule="auto"/>
        <w:rPr>
          <w:spacing w:val="-2"/>
        </w:rPr>
      </w:pPr>
    </w:p>
    <w:tbl>
      <w:tblPr>
        <w:tblW w:w="9540" w:type="dxa"/>
        <w:tblInd w:w="108" w:type="dxa"/>
        <w:tblLayout w:type="fixed"/>
        <w:tblLook w:val="0000" w:firstRow="0" w:lastRow="0" w:firstColumn="0" w:lastColumn="0" w:noHBand="0" w:noVBand="0"/>
      </w:tblPr>
      <w:tblGrid>
        <w:gridCol w:w="4590"/>
        <w:gridCol w:w="270"/>
        <w:gridCol w:w="4680"/>
      </w:tblGrid>
      <w:tr w:rsidR="003264EC" w:rsidRPr="006D73F2" w:rsidTr="00677CC4">
        <w:tc>
          <w:tcPr>
            <w:tcW w:w="4590" w:type="dxa"/>
          </w:tcPr>
          <w:p w:rsidR="000E5F4C" w:rsidRDefault="000E5F4C" w:rsidP="00303553">
            <w:pPr>
              <w:rPr>
                <w:spacing w:val="-2"/>
                <w:szCs w:val="22"/>
              </w:rPr>
            </w:pPr>
          </w:p>
          <w:p w:rsidR="003264EC" w:rsidRPr="006D73F2" w:rsidRDefault="003264EC" w:rsidP="00303553">
            <w:pPr>
              <w:rPr>
                <w:szCs w:val="22"/>
              </w:rPr>
            </w:pPr>
            <w:r w:rsidRPr="006D73F2">
              <w:rPr>
                <w:spacing w:val="-2"/>
                <w:szCs w:val="22"/>
              </w:rPr>
              <w:t>In the Matter of</w:t>
            </w:r>
            <w:r w:rsidRPr="006D73F2">
              <w:rPr>
                <w:szCs w:val="22"/>
              </w:rPr>
              <w:t xml:space="preserve"> </w:t>
            </w:r>
          </w:p>
          <w:p w:rsidR="003264EC" w:rsidRPr="006D73F2" w:rsidRDefault="003264EC" w:rsidP="00303553">
            <w:pPr>
              <w:rPr>
                <w:szCs w:val="22"/>
              </w:rPr>
            </w:pPr>
          </w:p>
          <w:p w:rsidR="003264EC" w:rsidRPr="006D73F2" w:rsidRDefault="00696E42" w:rsidP="00303553">
            <w:pPr>
              <w:rPr>
                <w:spacing w:val="-2"/>
                <w:szCs w:val="22"/>
              </w:rPr>
            </w:pPr>
            <w:r>
              <w:rPr>
                <w:spacing w:val="-2"/>
                <w:szCs w:val="22"/>
              </w:rPr>
              <w:t>AmericanWest Advertising LLC</w:t>
            </w:r>
          </w:p>
        </w:tc>
        <w:tc>
          <w:tcPr>
            <w:tcW w:w="270" w:type="dxa"/>
          </w:tcPr>
          <w:p w:rsidR="003264EC" w:rsidRPr="006D73F2" w:rsidRDefault="003264EC" w:rsidP="00303553">
            <w:pPr>
              <w:tabs>
                <w:tab w:val="center" w:pos="4680"/>
              </w:tabs>
              <w:suppressAutoHyphens/>
              <w:spacing w:line="240" w:lineRule="atLeast"/>
              <w:jc w:val="both"/>
              <w:outlineLvl w:val="0"/>
              <w:rPr>
                <w:szCs w:val="22"/>
              </w:rPr>
            </w:pPr>
            <w:r w:rsidRPr="006D73F2">
              <w:rPr>
                <w:szCs w:val="22"/>
              </w:rPr>
              <w:t>)</w:t>
            </w:r>
          </w:p>
          <w:p w:rsidR="003264EC" w:rsidRPr="006D73F2" w:rsidRDefault="003264EC" w:rsidP="00303553">
            <w:pPr>
              <w:tabs>
                <w:tab w:val="center" w:pos="4680"/>
              </w:tabs>
              <w:suppressAutoHyphens/>
              <w:spacing w:line="240" w:lineRule="atLeast"/>
              <w:jc w:val="both"/>
              <w:outlineLvl w:val="0"/>
              <w:rPr>
                <w:szCs w:val="22"/>
              </w:rPr>
            </w:pPr>
            <w:r w:rsidRPr="006D73F2">
              <w:rPr>
                <w:szCs w:val="22"/>
              </w:rPr>
              <w:t>)</w:t>
            </w:r>
          </w:p>
          <w:p w:rsidR="003264EC" w:rsidRPr="006D73F2" w:rsidRDefault="003264EC" w:rsidP="00303553">
            <w:pPr>
              <w:tabs>
                <w:tab w:val="center" w:pos="4680"/>
              </w:tabs>
              <w:suppressAutoHyphens/>
              <w:spacing w:line="240" w:lineRule="atLeast"/>
              <w:jc w:val="both"/>
              <w:outlineLvl w:val="0"/>
              <w:rPr>
                <w:szCs w:val="22"/>
              </w:rPr>
            </w:pPr>
            <w:r w:rsidRPr="006D73F2">
              <w:rPr>
                <w:szCs w:val="22"/>
              </w:rPr>
              <w:t>)</w:t>
            </w:r>
          </w:p>
          <w:p w:rsidR="003264EC" w:rsidRPr="006D73F2" w:rsidRDefault="003264EC" w:rsidP="00303553">
            <w:pPr>
              <w:tabs>
                <w:tab w:val="center" w:pos="4680"/>
              </w:tabs>
              <w:suppressAutoHyphens/>
              <w:spacing w:line="240" w:lineRule="atLeast"/>
              <w:jc w:val="both"/>
              <w:outlineLvl w:val="0"/>
              <w:rPr>
                <w:szCs w:val="22"/>
              </w:rPr>
            </w:pPr>
            <w:r w:rsidRPr="006D73F2">
              <w:rPr>
                <w:szCs w:val="22"/>
              </w:rPr>
              <w:t>)</w:t>
            </w:r>
          </w:p>
          <w:p w:rsidR="003264EC" w:rsidRPr="006D73F2" w:rsidRDefault="003264EC" w:rsidP="00303553">
            <w:pPr>
              <w:tabs>
                <w:tab w:val="center" w:pos="4680"/>
              </w:tabs>
              <w:suppressAutoHyphens/>
              <w:spacing w:line="240" w:lineRule="atLeast"/>
              <w:jc w:val="both"/>
              <w:outlineLvl w:val="0"/>
              <w:rPr>
                <w:szCs w:val="22"/>
              </w:rPr>
            </w:pPr>
            <w:r w:rsidRPr="006D73F2">
              <w:rPr>
                <w:szCs w:val="22"/>
              </w:rPr>
              <w:t>)</w:t>
            </w:r>
          </w:p>
          <w:p w:rsidR="008C02C7" w:rsidRPr="006D73F2" w:rsidRDefault="008C02C7" w:rsidP="008C02C7">
            <w:pPr>
              <w:tabs>
                <w:tab w:val="center" w:pos="4680"/>
              </w:tabs>
              <w:suppressAutoHyphens/>
              <w:spacing w:line="240" w:lineRule="atLeast"/>
              <w:jc w:val="both"/>
              <w:outlineLvl w:val="0"/>
              <w:rPr>
                <w:szCs w:val="22"/>
              </w:rPr>
            </w:pPr>
            <w:r w:rsidRPr="006D73F2">
              <w:rPr>
                <w:szCs w:val="22"/>
              </w:rPr>
              <w:t>)</w:t>
            </w:r>
          </w:p>
          <w:p w:rsidR="000C5F3C" w:rsidRPr="006D73F2" w:rsidRDefault="000C5F3C" w:rsidP="00303553">
            <w:pPr>
              <w:tabs>
                <w:tab w:val="center" w:pos="4680"/>
              </w:tabs>
              <w:suppressAutoHyphens/>
              <w:spacing w:line="240" w:lineRule="atLeast"/>
              <w:jc w:val="both"/>
              <w:outlineLvl w:val="0"/>
              <w:rPr>
                <w:szCs w:val="22"/>
              </w:rPr>
            </w:pPr>
          </w:p>
        </w:tc>
        <w:tc>
          <w:tcPr>
            <w:tcW w:w="4680" w:type="dxa"/>
          </w:tcPr>
          <w:p w:rsidR="003264EC" w:rsidRPr="006D73F2" w:rsidRDefault="003264EC" w:rsidP="00303553">
            <w:pPr>
              <w:rPr>
                <w:spacing w:val="-2"/>
                <w:szCs w:val="22"/>
              </w:rPr>
            </w:pPr>
          </w:p>
          <w:p w:rsidR="008C02C7" w:rsidRDefault="008C02C7" w:rsidP="00696E42">
            <w:pPr>
              <w:ind w:left="702"/>
              <w:rPr>
                <w:szCs w:val="22"/>
              </w:rPr>
            </w:pPr>
          </w:p>
          <w:p w:rsidR="008C02C7" w:rsidRDefault="008C02C7" w:rsidP="00696E42">
            <w:pPr>
              <w:ind w:left="702"/>
              <w:rPr>
                <w:szCs w:val="22"/>
              </w:rPr>
            </w:pPr>
          </w:p>
          <w:p w:rsidR="008C02C7" w:rsidRPr="006D73F2" w:rsidRDefault="008C02C7" w:rsidP="008C02C7">
            <w:pPr>
              <w:ind w:left="702"/>
              <w:rPr>
                <w:szCs w:val="22"/>
              </w:rPr>
            </w:pPr>
            <w:r w:rsidRPr="006D73F2">
              <w:rPr>
                <w:szCs w:val="22"/>
              </w:rPr>
              <w:t>File No.:  EB-</w:t>
            </w:r>
            <w:r>
              <w:rPr>
                <w:szCs w:val="22"/>
              </w:rPr>
              <w:t>TCD-12-00000307</w:t>
            </w:r>
            <w:r w:rsidRPr="00B27008">
              <w:rPr>
                <w:rStyle w:val="FootnoteReference"/>
                <w:spacing w:val="-2"/>
                <w:sz w:val="22"/>
              </w:rPr>
              <w:footnoteReference w:id="2"/>
            </w:r>
          </w:p>
          <w:p w:rsidR="008C02C7" w:rsidRPr="006D73F2" w:rsidRDefault="008C02C7" w:rsidP="008C02C7">
            <w:pPr>
              <w:ind w:left="702"/>
              <w:rPr>
                <w:szCs w:val="22"/>
              </w:rPr>
            </w:pPr>
            <w:r w:rsidRPr="006D73F2">
              <w:rPr>
                <w:szCs w:val="22"/>
              </w:rPr>
              <w:t xml:space="preserve">NAL/Acct. No.:  </w:t>
            </w:r>
            <w:r>
              <w:rPr>
                <w:szCs w:val="22"/>
              </w:rPr>
              <w:t>201132170015</w:t>
            </w:r>
          </w:p>
          <w:p w:rsidR="003264EC" w:rsidRPr="006D73F2" w:rsidRDefault="008C02C7" w:rsidP="008C02C7">
            <w:pPr>
              <w:ind w:left="702"/>
              <w:rPr>
                <w:szCs w:val="22"/>
              </w:rPr>
            </w:pPr>
            <w:r w:rsidRPr="006D73F2">
              <w:rPr>
                <w:szCs w:val="22"/>
              </w:rPr>
              <w:t xml:space="preserve">FRN:  </w:t>
            </w:r>
            <w:r>
              <w:rPr>
                <w:szCs w:val="22"/>
              </w:rPr>
              <w:t>0020675757</w:t>
            </w:r>
            <w:r w:rsidRPr="006D73F2">
              <w:rPr>
                <w:szCs w:val="22"/>
              </w:rPr>
              <w:t xml:space="preserve">    </w:t>
            </w:r>
            <w:r w:rsidR="003264EC" w:rsidRPr="006D73F2">
              <w:rPr>
                <w:szCs w:val="22"/>
              </w:rPr>
              <w:t xml:space="preserve"> </w:t>
            </w:r>
          </w:p>
        </w:tc>
      </w:tr>
    </w:tbl>
    <w:p w:rsidR="000E5F4C" w:rsidRPr="005A778D" w:rsidRDefault="000E5F4C" w:rsidP="005A778D"/>
    <w:p w:rsidR="00467653" w:rsidRPr="005A778D" w:rsidRDefault="00467653" w:rsidP="005A778D">
      <w:pPr>
        <w:ind w:left="2880" w:firstLine="720"/>
        <w:rPr>
          <w:b/>
        </w:rPr>
      </w:pPr>
      <w:r w:rsidRPr="005A778D">
        <w:rPr>
          <w:b/>
        </w:rPr>
        <w:t>FORFEITURE ORDER</w:t>
      </w:r>
    </w:p>
    <w:p w:rsidR="00EE33F3" w:rsidRPr="006D73F2" w:rsidRDefault="00EE33F3" w:rsidP="005362D6">
      <w:pPr>
        <w:spacing w:line="226" w:lineRule="auto"/>
        <w:jc w:val="both"/>
        <w:rPr>
          <w:b/>
          <w:szCs w:val="22"/>
        </w:rPr>
      </w:pPr>
    </w:p>
    <w:p w:rsidR="00467653" w:rsidRPr="00B27008" w:rsidRDefault="00467653" w:rsidP="009974C0">
      <w:pPr>
        <w:spacing w:line="226" w:lineRule="auto"/>
        <w:jc w:val="right"/>
        <w:rPr>
          <w:b/>
        </w:rPr>
      </w:pPr>
      <w:r w:rsidRPr="00816F70">
        <w:rPr>
          <w:b/>
          <w:szCs w:val="22"/>
        </w:rPr>
        <w:t xml:space="preserve">Adopted: </w:t>
      </w:r>
      <w:r w:rsidR="00EE68E4" w:rsidRPr="00816F70">
        <w:rPr>
          <w:b/>
          <w:szCs w:val="22"/>
        </w:rPr>
        <w:t xml:space="preserve"> </w:t>
      </w:r>
      <w:r w:rsidR="009974C0">
        <w:rPr>
          <w:b/>
          <w:szCs w:val="22"/>
        </w:rPr>
        <w:t>January 9, 2015</w:t>
      </w:r>
      <w:r w:rsidRPr="00B27008">
        <w:rPr>
          <w:b/>
        </w:rPr>
        <w:tab/>
      </w:r>
      <w:r w:rsidRPr="00816F70">
        <w:rPr>
          <w:b/>
          <w:szCs w:val="22"/>
        </w:rPr>
        <w:tab/>
      </w:r>
      <w:r w:rsidRPr="00816F70">
        <w:rPr>
          <w:b/>
          <w:szCs w:val="22"/>
        </w:rPr>
        <w:tab/>
      </w:r>
      <w:r w:rsidRPr="00816F70">
        <w:rPr>
          <w:b/>
          <w:szCs w:val="22"/>
        </w:rPr>
        <w:tab/>
      </w:r>
      <w:r w:rsidRPr="00816F70">
        <w:rPr>
          <w:b/>
          <w:szCs w:val="22"/>
        </w:rPr>
        <w:tab/>
        <w:t xml:space="preserve">        </w:t>
      </w:r>
      <w:r w:rsidR="003264EC" w:rsidRPr="00816F70">
        <w:rPr>
          <w:b/>
          <w:szCs w:val="22"/>
        </w:rPr>
        <w:tab/>
        <w:t xml:space="preserve">       </w:t>
      </w:r>
      <w:r w:rsidRPr="00816F70">
        <w:rPr>
          <w:b/>
          <w:szCs w:val="22"/>
        </w:rPr>
        <w:t>Released:</w:t>
      </w:r>
      <w:r w:rsidRPr="00B27008">
        <w:rPr>
          <w:b/>
        </w:rPr>
        <w:t xml:space="preserve"> </w:t>
      </w:r>
      <w:r w:rsidR="009974C0">
        <w:rPr>
          <w:b/>
        </w:rPr>
        <w:t>January 9, 2015</w:t>
      </w:r>
    </w:p>
    <w:p w:rsidR="00467653" w:rsidRPr="006D73F2" w:rsidRDefault="00467653">
      <w:pPr>
        <w:spacing w:line="226" w:lineRule="auto"/>
        <w:jc w:val="both"/>
        <w:rPr>
          <w:b/>
          <w:szCs w:val="22"/>
        </w:rPr>
      </w:pPr>
    </w:p>
    <w:p w:rsidR="00467653" w:rsidRPr="006D73F2" w:rsidRDefault="00467653">
      <w:pPr>
        <w:tabs>
          <w:tab w:val="left" w:pos="720"/>
          <w:tab w:val="left" w:pos="5760"/>
        </w:tabs>
        <w:suppressAutoHyphens/>
        <w:spacing w:line="227" w:lineRule="auto"/>
        <w:jc w:val="both"/>
        <w:rPr>
          <w:spacing w:val="-2"/>
          <w:szCs w:val="22"/>
        </w:rPr>
      </w:pPr>
      <w:r w:rsidRPr="006D73F2">
        <w:rPr>
          <w:spacing w:val="-2"/>
          <w:szCs w:val="22"/>
        </w:rPr>
        <w:t>By the</w:t>
      </w:r>
      <w:r w:rsidR="0012171E">
        <w:rPr>
          <w:spacing w:val="-2"/>
          <w:szCs w:val="22"/>
        </w:rPr>
        <w:t xml:space="preserve"> </w:t>
      </w:r>
      <w:r w:rsidR="00696E42">
        <w:rPr>
          <w:spacing w:val="-2"/>
          <w:szCs w:val="22"/>
        </w:rPr>
        <w:t>Chief</w:t>
      </w:r>
      <w:r w:rsidR="00D52F08">
        <w:rPr>
          <w:spacing w:val="-2"/>
          <w:szCs w:val="22"/>
        </w:rPr>
        <w:t>,</w:t>
      </w:r>
      <w:r w:rsidR="00696E42">
        <w:rPr>
          <w:spacing w:val="-2"/>
          <w:szCs w:val="22"/>
        </w:rPr>
        <w:t xml:space="preserve"> Telecommunications Consumers Division, Enforcement Bureau</w:t>
      </w:r>
      <w:r w:rsidRPr="006D73F2">
        <w:rPr>
          <w:spacing w:val="-2"/>
          <w:szCs w:val="22"/>
        </w:rPr>
        <w:t>:</w:t>
      </w:r>
    </w:p>
    <w:p w:rsidR="00467653" w:rsidRPr="006D73F2" w:rsidRDefault="00467653">
      <w:pPr>
        <w:tabs>
          <w:tab w:val="left" w:pos="0"/>
        </w:tabs>
        <w:suppressAutoHyphens/>
        <w:spacing w:line="240" w:lineRule="atLeast"/>
        <w:jc w:val="both"/>
        <w:rPr>
          <w:spacing w:val="-2"/>
          <w:szCs w:val="22"/>
        </w:rPr>
      </w:pPr>
    </w:p>
    <w:p w:rsidR="00824132" w:rsidRDefault="00824132" w:rsidP="005A778D">
      <w:pPr>
        <w:pStyle w:val="ParaNum"/>
      </w:pPr>
      <w:r w:rsidRPr="006D73F2">
        <w:t>We impose a penalty of $</w:t>
      </w:r>
      <w:r w:rsidR="00696E42">
        <w:t>18</w:t>
      </w:r>
      <w:r>
        <w:t>,000</w:t>
      </w:r>
      <w:r w:rsidRPr="006D73F2">
        <w:t xml:space="preserve"> against </w:t>
      </w:r>
      <w:r w:rsidR="00696E42">
        <w:t>AmericanWest Advertising LLC (AmericanWest)</w:t>
      </w:r>
      <w:r w:rsidRPr="006D73F2">
        <w:t xml:space="preserve"> for </w:t>
      </w:r>
      <w:r>
        <w:t xml:space="preserve">delivering </w:t>
      </w:r>
      <w:r w:rsidR="00DA00CF">
        <w:t xml:space="preserve">four </w:t>
      </w:r>
      <w:r>
        <w:t>unsolicited, prerecorded advertising messages</w:t>
      </w:r>
      <w:r w:rsidR="004C04BF">
        <w:t xml:space="preserve"> to consumers</w:t>
      </w:r>
      <w:r w:rsidRPr="006D73F2">
        <w:t>.</w:t>
      </w:r>
      <w:r>
        <w:t xml:space="preserve">  Consumers have the right not to be bothered by prerecorded sales calls that they do not expect and have not agreed to receive.  Congress took note of the especially intrusive nature of prerecorded calls—or “robocalls”—and authorized the Commission to adopt rules to ensure that</w:t>
      </w:r>
      <w:r w:rsidRPr="006D73F2">
        <w:t xml:space="preserve"> </w:t>
      </w:r>
      <w:r>
        <w:t xml:space="preserve">consumers are protected from such automated calls.  We hold </w:t>
      </w:r>
      <w:r w:rsidR="00696E42">
        <w:t>AmericanWest</w:t>
      </w:r>
      <w:r>
        <w:t xml:space="preserve"> accountable for its violations of these rules.</w:t>
      </w:r>
    </w:p>
    <w:p w:rsidR="00CD18A5" w:rsidRDefault="008E0506" w:rsidP="005A778D">
      <w:pPr>
        <w:pStyle w:val="ParaNum"/>
        <w:rPr>
          <w:spacing w:val="-2"/>
          <w:szCs w:val="22"/>
        </w:rPr>
      </w:pPr>
      <w:r w:rsidRPr="006D73F2">
        <w:rPr>
          <w:spacing w:val="-2"/>
          <w:szCs w:val="22"/>
        </w:rPr>
        <w:t>O</w:t>
      </w:r>
      <w:r w:rsidR="003264EC" w:rsidRPr="006D73F2">
        <w:rPr>
          <w:spacing w:val="-2"/>
          <w:szCs w:val="22"/>
        </w:rPr>
        <w:t xml:space="preserve">n </w:t>
      </w:r>
      <w:r w:rsidR="00696E42">
        <w:rPr>
          <w:spacing w:val="-2"/>
          <w:szCs w:val="22"/>
        </w:rPr>
        <w:t>March 22</w:t>
      </w:r>
      <w:r w:rsidR="00824132">
        <w:rPr>
          <w:spacing w:val="-2"/>
          <w:szCs w:val="22"/>
        </w:rPr>
        <w:t>, 2011</w:t>
      </w:r>
      <w:r w:rsidR="00EC393B" w:rsidRPr="006D73F2">
        <w:rPr>
          <w:spacing w:val="-2"/>
          <w:szCs w:val="22"/>
        </w:rPr>
        <w:t xml:space="preserve">, the </w:t>
      </w:r>
      <w:r w:rsidR="00696E42">
        <w:rPr>
          <w:spacing w:val="-2"/>
          <w:szCs w:val="22"/>
        </w:rPr>
        <w:t>Enforcement Bureau</w:t>
      </w:r>
      <w:r w:rsidR="00172FB7" w:rsidRPr="006D73F2">
        <w:rPr>
          <w:spacing w:val="-2"/>
          <w:szCs w:val="22"/>
        </w:rPr>
        <w:t xml:space="preserve"> </w:t>
      </w:r>
      <w:r w:rsidR="00696E42">
        <w:rPr>
          <w:spacing w:val="-2"/>
          <w:szCs w:val="22"/>
        </w:rPr>
        <w:t xml:space="preserve">(Bureau) </w:t>
      </w:r>
      <w:r w:rsidR="00467653" w:rsidRPr="006D73F2">
        <w:rPr>
          <w:spacing w:val="-2"/>
          <w:szCs w:val="22"/>
        </w:rPr>
        <w:t xml:space="preserve">issued </w:t>
      </w:r>
      <w:r w:rsidR="00816F70">
        <w:rPr>
          <w:spacing w:val="-2"/>
          <w:szCs w:val="22"/>
        </w:rPr>
        <w:t>a</w:t>
      </w:r>
      <w:r w:rsidR="00172FB7" w:rsidRPr="006D73F2">
        <w:rPr>
          <w:spacing w:val="-2"/>
          <w:szCs w:val="22"/>
        </w:rPr>
        <w:t xml:space="preserve"> </w:t>
      </w:r>
      <w:r w:rsidR="00816F70">
        <w:rPr>
          <w:spacing w:val="-2"/>
          <w:szCs w:val="22"/>
        </w:rPr>
        <w:t xml:space="preserve">Notice of Apparent Liability for </w:t>
      </w:r>
      <w:r w:rsidR="00816F70" w:rsidRPr="005A778D">
        <w:t>Forfeiture</w:t>
      </w:r>
      <w:r w:rsidR="00816F70">
        <w:rPr>
          <w:spacing w:val="-2"/>
          <w:szCs w:val="22"/>
        </w:rPr>
        <w:t xml:space="preserve"> (</w:t>
      </w:r>
      <w:r w:rsidR="00467653" w:rsidRPr="006D73F2">
        <w:rPr>
          <w:i/>
          <w:spacing w:val="-2"/>
          <w:szCs w:val="22"/>
        </w:rPr>
        <w:t>NAL</w:t>
      </w:r>
      <w:r w:rsidR="00816F70">
        <w:rPr>
          <w:spacing w:val="-2"/>
          <w:szCs w:val="22"/>
        </w:rPr>
        <w:t>)</w:t>
      </w:r>
      <w:r w:rsidR="009F11A1" w:rsidRPr="006D73F2">
        <w:rPr>
          <w:spacing w:val="-2"/>
          <w:szCs w:val="22"/>
        </w:rPr>
        <w:t xml:space="preserve"> </w:t>
      </w:r>
      <w:r w:rsidR="008F7F2E" w:rsidRPr="006D73F2">
        <w:rPr>
          <w:spacing w:val="-2"/>
          <w:szCs w:val="22"/>
        </w:rPr>
        <w:t>proposing a</w:t>
      </w:r>
      <w:r w:rsidR="009D5758">
        <w:rPr>
          <w:spacing w:val="-2"/>
          <w:szCs w:val="22"/>
        </w:rPr>
        <w:t>n</w:t>
      </w:r>
      <w:r w:rsidR="008F7F2E" w:rsidRPr="006D73F2">
        <w:rPr>
          <w:spacing w:val="-2"/>
          <w:szCs w:val="22"/>
        </w:rPr>
        <w:t xml:space="preserve"> $</w:t>
      </w:r>
      <w:r w:rsidR="00696E42">
        <w:rPr>
          <w:spacing w:val="-2"/>
          <w:szCs w:val="22"/>
        </w:rPr>
        <w:t>18</w:t>
      </w:r>
      <w:r w:rsidR="00824132">
        <w:rPr>
          <w:spacing w:val="-2"/>
          <w:szCs w:val="22"/>
        </w:rPr>
        <w:t>,000</w:t>
      </w:r>
      <w:r w:rsidR="007C0C63" w:rsidRPr="006D73F2">
        <w:rPr>
          <w:spacing w:val="-2"/>
          <w:szCs w:val="22"/>
        </w:rPr>
        <w:t xml:space="preserve"> </w:t>
      </w:r>
      <w:r w:rsidR="008F7F2E" w:rsidRPr="006D73F2">
        <w:rPr>
          <w:spacing w:val="-2"/>
          <w:szCs w:val="22"/>
        </w:rPr>
        <w:t>forfeiture against</w:t>
      </w:r>
      <w:r w:rsidR="007C0C63" w:rsidRPr="006D73F2">
        <w:rPr>
          <w:spacing w:val="-2"/>
          <w:szCs w:val="22"/>
        </w:rPr>
        <w:t xml:space="preserve"> </w:t>
      </w:r>
      <w:r w:rsidR="00696E42">
        <w:rPr>
          <w:spacing w:val="-2"/>
          <w:szCs w:val="22"/>
        </w:rPr>
        <w:t>AmericanWest</w:t>
      </w:r>
      <w:r w:rsidR="00824132" w:rsidRPr="00B27008">
        <w:rPr>
          <w:rStyle w:val="FootnoteReference"/>
          <w:spacing w:val="-2"/>
          <w:sz w:val="22"/>
        </w:rPr>
        <w:footnoteReference w:id="3"/>
      </w:r>
      <w:r w:rsidR="00DA00CF">
        <w:rPr>
          <w:i/>
          <w:color w:val="000000"/>
          <w:spacing w:val="-2"/>
          <w:szCs w:val="22"/>
        </w:rPr>
        <w:t xml:space="preserve"> </w:t>
      </w:r>
      <w:r w:rsidRPr="006D73F2">
        <w:rPr>
          <w:color w:val="000000"/>
          <w:spacing w:val="-2"/>
          <w:szCs w:val="22"/>
        </w:rPr>
        <w:t xml:space="preserve">for willful and repeated violation of </w:t>
      </w:r>
      <w:r w:rsidR="00322608">
        <w:rPr>
          <w:color w:val="000000"/>
          <w:spacing w:val="-2"/>
          <w:szCs w:val="22"/>
        </w:rPr>
        <w:t>Section 227(b)(1)(B) of the Communications Act of 1934, as amended</w:t>
      </w:r>
      <w:r w:rsidR="00DA00CF">
        <w:rPr>
          <w:color w:val="000000"/>
          <w:spacing w:val="-2"/>
          <w:szCs w:val="22"/>
        </w:rPr>
        <w:t xml:space="preserve"> (Act)</w:t>
      </w:r>
      <w:r w:rsidR="00322608" w:rsidRPr="00B27008">
        <w:rPr>
          <w:rStyle w:val="FootnoteReference"/>
          <w:spacing w:val="-2"/>
          <w:sz w:val="22"/>
        </w:rPr>
        <w:footnoteReference w:id="4"/>
      </w:r>
      <w:r w:rsidR="00DA00CF">
        <w:rPr>
          <w:color w:val="000000"/>
          <w:spacing w:val="-2"/>
          <w:szCs w:val="22"/>
        </w:rPr>
        <w:t xml:space="preserve"> </w:t>
      </w:r>
      <w:r w:rsidR="00322608">
        <w:rPr>
          <w:color w:val="000000"/>
          <w:spacing w:val="-2"/>
          <w:szCs w:val="22"/>
        </w:rPr>
        <w:t>and Section 64.1200(a)(2) of the Commission’s rules</w:t>
      </w:r>
      <w:r w:rsidR="00DA00CF">
        <w:rPr>
          <w:color w:val="000000"/>
          <w:spacing w:val="-2"/>
          <w:szCs w:val="22"/>
        </w:rPr>
        <w:t xml:space="preserve"> (Rules)</w:t>
      </w:r>
      <w:r w:rsidR="00322608">
        <w:rPr>
          <w:color w:val="000000"/>
          <w:spacing w:val="-2"/>
          <w:szCs w:val="22"/>
        </w:rPr>
        <w:t>, as that section existed at the time of the violations</w:t>
      </w:r>
      <w:r w:rsidR="00DA00CF">
        <w:rPr>
          <w:color w:val="000000"/>
          <w:spacing w:val="-2"/>
          <w:szCs w:val="22"/>
        </w:rPr>
        <w:t>,</w:t>
      </w:r>
      <w:r w:rsidR="00322608" w:rsidRPr="006D73F2">
        <w:rPr>
          <w:rStyle w:val="FootnoteReference"/>
          <w:sz w:val="22"/>
          <w:szCs w:val="22"/>
        </w:rPr>
        <w:footnoteReference w:id="5"/>
      </w:r>
      <w:r w:rsidR="00DA00CF">
        <w:rPr>
          <w:color w:val="000000"/>
          <w:spacing w:val="-2"/>
          <w:szCs w:val="22"/>
        </w:rPr>
        <w:t xml:space="preserve"> </w:t>
      </w:r>
      <w:r w:rsidR="008F7F2E" w:rsidRPr="006D73F2">
        <w:rPr>
          <w:color w:val="000000"/>
          <w:spacing w:val="-2"/>
          <w:szCs w:val="22"/>
        </w:rPr>
        <w:t xml:space="preserve">by </w:t>
      </w:r>
      <w:r w:rsidR="00322608">
        <w:rPr>
          <w:color w:val="000000"/>
          <w:spacing w:val="-2"/>
          <w:szCs w:val="22"/>
        </w:rPr>
        <w:t xml:space="preserve">delivering </w:t>
      </w:r>
      <w:r w:rsidR="00696E42">
        <w:rPr>
          <w:color w:val="000000"/>
          <w:spacing w:val="-2"/>
          <w:szCs w:val="22"/>
        </w:rPr>
        <w:t>four</w:t>
      </w:r>
      <w:r w:rsidR="00322608">
        <w:rPr>
          <w:color w:val="000000"/>
          <w:spacing w:val="-2"/>
          <w:szCs w:val="22"/>
        </w:rPr>
        <w:t xml:space="preserve"> prerecorded advertising calls to </w:t>
      </w:r>
      <w:r w:rsidR="00696E42">
        <w:rPr>
          <w:color w:val="000000"/>
          <w:spacing w:val="-2"/>
          <w:szCs w:val="22"/>
        </w:rPr>
        <w:t>four</w:t>
      </w:r>
      <w:r w:rsidR="00322608">
        <w:rPr>
          <w:color w:val="000000"/>
          <w:spacing w:val="-2"/>
          <w:szCs w:val="22"/>
        </w:rPr>
        <w:t xml:space="preserve"> consumers</w:t>
      </w:r>
      <w:r w:rsidR="0069587D">
        <w:rPr>
          <w:color w:val="000000"/>
          <w:spacing w:val="-2"/>
          <w:szCs w:val="22"/>
        </w:rPr>
        <w:t xml:space="preserve"> without either prior express consent or an established business relationship</w:t>
      </w:r>
      <w:r w:rsidR="008F7F2E" w:rsidRPr="006D73F2">
        <w:rPr>
          <w:i/>
          <w:color w:val="000000"/>
          <w:spacing w:val="-2"/>
          <w:szCs w:val="22"/>
        </w:rPr>
        <w:t>.</w:t>
      </w:r>
      <w:r w:rsidR="00CB3197" w:rsidRPr="00B27008">
        <w:rPr>
          <w:rStyle w:val="FootnoteReference"/>
          <w:spacing w:val="-2"/>
          <w:sz w:val="22"/>
        </w:rPr>
        <w:footnoteReference w:id="6"/>
      </w:r>
      <w:r w:rsidR="008F7F2E" w:rsidRPr="006D73F2">
        <w:rPr>
          <w:i/>
          <w:color w:val="000000"/>
          <w:spacing w:val="-2"/>
          <w:szCs w:val="22"/>
        </w:rPr>
        <w:t xml:space="preserve"> </w:t>
      </w:r>
      <w:r w:rsidR="000E5F4C">
        <w:rPr>
          <w:color w:val="000000"/>
          <w:spacing w:val="-2"/>
          <w:szCs w:val="22"/>
        </w:rPr>
        <w:t>AmericanWest</w:t>
      </w:r>
      <w:r w:rsidR="004B2792" w:rsidRPr="006D73F2">
        <w:rPr>
          <w:spacing w:val="-2"/>
          <w:szCs w:val="22"/>
        </w:rPr>
        <w:t xml:space="preserve"> </w:t>
      </w:r>
      <w:r w:rsidR="00467653" w:rsidRPr="006D73F2">
        <w:rPr>
          <w:spacing w:val="-2"/>
          <w:szCs w:val="22"/>
        </w:rPr>
        <w:t xml:space="preserve">has not filed a response to the </w:t>
      </w:r>
      <w:r w:rsidR="00467653" w:rsidRPr="006D73F2">
        <w:rPr>
          <w:i/>
          <w:spacing w:val="-2"/>
          <w:szCs w:val="22"/>
        </w:rPr>
        <w:t>NAL</w:t>
      </w:r>
      <w:r w:rsidR="00467653" w:rsidRPr="006D73F2">
        <w:rPr>
          <w:spacing w:val="-2"/>
          <w:szCs w:val="22"/>
        </w:rPr>
        <w:t>.  Based on the information before us, we affirm the forfeiture</w:t>
      </w:r>
      <w:r w:rsidRPr="006D73F2">
        <w:rPr>
          <w:spacing w:val="-2"/>
          <w:szCs w:val="22"/>
        </w:rPr>
        <w:t xml:space="preserve"> proposed in the </w:t>
      </w:r>
      <w:r w:rsidRPr="006D73F2">
        <w:rPr>
          <w:i/>
          <w:spacing w:val="-2"/>
          <w:szCs w:val="22"/>
        </w:rPr>
        <w:t>NAL</w:t>
      </w:r>
      <w:r w:rsidR="00467653" w:rsidRPr="006D73F2">
        <w:rPr>
          <w:spacing w:val="-2"/>
          <w:szCs w:val="22"/>
        </w:rPr>
        <w:t>.</w:t>
      </w:r>
    </w:p>
    <w:p w:rsidR="006D73F2" w:rsidRPr="006D73F2" w:rsidRDefault="00CD18A5" w:rsidP="00CD18A5">
      <w:pPr>
        <w:tabs>
          <w:tab w:val="left" w:pos="0"/>
        </w:tabs>
        <w:suppressAutoHyphens/>
        <w:autoSpaceDE w:val="0"/>
        <w:autoSpaceDN w:val="0"/>
        <w:adjustRightInd w:val="0"/>
        <w:spacing w:after="120"/>
        <w:ind w:left="720"/>
        <w:rPr>
          <w:spacing w:val="-2"/>
          <w:szCs w:val="22"/>
        </w:rPr>
      </w:pPr>
      <w:r>
        <w:rPr>
          <w:spacing w:val="-2"/>
          <w:szCs w:val="22"/>
        </w:rPr>
        <w:br w:type="page"/>
      </w:r>
    </w:p>
    <w:p w:rsidR="006D73F2" w:rsidRPr="006D73F2" w:rsidRDefault="001040CA" w:rsidP="005A778D">
      <w:pPr>
        <w:pStyle w:val="ParaNum"/>
        <w:rPr>
          <w:spacing w:val="-2"/>
          <w:szCs w:val="22"/>
        </w:rPr>
      </w:pPr>
      <w:r w:rsidRPr="005A778D">
        <w:t>Accordingly</w:t>
      </w:r>
      <w:r w:rsidRPr="006D73F2">
        <w:rPr>
          <w:szCs w:val="22"/>
        </w:rPr>
        <w:t xml:space="preserve">, </w:t>
      </w:r>
      <w:r w:rsidRPr="006D73F2">
        <w:rPr>
          <w:b/>
          <w:szCs w:val="22"/>
        </w:rPr>
        <w:t>IT IS ORDERED</w:t>
      </w:r>
      <w:r w:rsidRPr="006D73F2">
        <w:rPr>
          <w:szCs w:val="22"/>
        </w:rPr>
        <w:t xml:space="preserve"> </w:t>
      </w:r>
      <w:r>
        <w:rPr>
          <w:szCs w:val="22"/>
        </w:rPr>
        <w:t>that</w:t>
      </w:r>
      <w:r w:rsidRPr="006D73F2">
        <w:rPr>
          <w:szCs w:val="22"/>
        </w:rPr>
        <w:t>, pursuant to Section 503(b) of the Act</w:t>
      </w:r>
      <w:r w:rsidR="008C02C7">
        <w:rPr>
          <w:szCs w:val="22"/>
        </w:rPr>
        <w:t>,</w:t>
      </w:r>
      <w:r w:rsidRPr="006D73F2">
        <w:rPr>
          <w:rStyle w:val="FootnoteReference"/>
          <w:sz w:val="22"/>
          <w:szCs w:val="22"/>
        </w:rPr>
        <w:footnoteReference w:id="7"/>
      </w:r>
      <w:r w:rsidRPr="006D73F2">
        <w:rPr>
          <w:szCs w:val="22"/>
        </w:rPr>
        <w:t xml:space="preserve"> Section 1.80 of the </w:t>
      </w:r>
      <w:r>
        <w:rPr>
          <w:szCs w:val="22"/>
        </w:rPr>
        <w:t>Rules</w:t>
      </w:r>
      <w:r w:rsidRPr="006D73F2">
        <w:rPr>
          <w:szCs w:val="22"/>
        </w:rPr>
        <w:t>,</w:t>
      </w:r>
      <w:r w:rsidRPr="006D73F2">
        <w:rPr>
          <w:rStyle w:val="FootnoteReference"/>
          <w:sz w:val="22"/>
          <w:szCs w:val="22"/>
        </w:rPr>
        <w:footnoteReference w:id="8"/>
      </w:r>
      <w:r w:rsidRPr="006D73F2">
        <w:rPr>
          <w:szCs w:val="22"/>
        </w:rPr>
        <w:t xml:space="preserve"> and Sections 0.111, 0.204, and 0.311 of the Rules</w:t>
      </w:r>
      <w:r>
        <w:rPr>
          <w:szCs w:val="22"/>
        </w:rPr>
        <w:t>,</w:t>
      </w:r>
      <w:r w:rsidRPr="006D73F2">
        <w:rPr>
          <w:rStyle w:val="FootnoteReference"/>
          <w:sz w:val="22"/>
          <w:szCs w:val="22"/>
        </w:rPr>
        <w:footnoteReference w:id="9"/>
      </w:r>
      <w:r w:rsidR="00CB2BD2">
        <w:rPr>
          <w:szCs w:val="22"/>
        </w:rPr>
        <w:t xml:space="preserve"> A</w:t>
      </w:r>
      <w:r w:rsidR="00696E42">
        <w:rPr>
          <w:szCs w:val="22"/>
        </w:rPr>
        <w:t>mericanWest Advertising</w:t>
      </w:r>
      <w:r w:rsidR="0069587D">
        <w:rPr>
          <w:szCs w:val="22"/>
        </w:rPr>
        <w:t xml:space="preserve"> LLC</w:t>
      </w:r>
      <w:r w:rsidR="008F7F2E" w:rsidRPr="006D73F2">
        <w:rPr>
          <w:b/>
          <w:szCs w:val="22"/>
        </w:rPr>
        <w:t xml:space="preserve"> </w:t>
      </w:r>
      <w:r w:rsidR="007A4841">
        <w:rPr>
          <w:b/>
          <w:szCs w:val="22"/>
        </w:rPr>
        <w:t xml:space="preserve">IS </w:t>
      </w:r>
      <w:r w:rsidR="008F7F2E" w:rsidRPr="006D73F2">
        <w:rPr>
          <w:b/>
          <w:szCs w:val="22"/>
        </w:rPr>
        <w:t>LIABLE FOR A MONETARY FORFEITURE</w:t>
      </w:r>
      <w:r w:rsidR="008F7F2E" w:rsidRPr="006D73F2">
        <w:rPr>
          <w:szCs w:val="22"/>
        </w:rPr>
        <w:t xml:space="preserve"> in the amount of </w:t>
      </w:r>
      <w:r>
        <w:rPr>
          <w:szCs w:val="22"/>
        </w:rPr>
        <w:t>eighteen</w:t>
      </w:r>
      <w:r w:rsidR="0012171E">
        <w:rPr>
          <w:szCs w:val="22"/>
        </w:rPr>
        <w:t xml:space="preserve"> thousand</w:t>
      </w:r>
      <w:r w:rsidR="008F7F2E" w:rsidRPr="006D73F2">
        <w:rPr>
          <w:szCs w:val="22"/>
        </w:rPr>
        <w:t xml:space="preserve"> dollars ($</w:t>
      </w:r>
      <w:r>
        <w:rPr>
          <w:szCs w:val="22"/>
        </w:rPr>
        <w:t>18</w:t>
      </w:r>
      <w:r w:rsidR="0012171E">
        <w:rPr>
          <w:szCs w:val="22"/>
        </w:rPr>
        <w:t>,000</w:t>
      </w:r>
      <w:r w:rsidR="008F7F2E" w:rsidRPr="006D73F2">
        <w:rPr>
          <w:szCs w:val="22"/>
        </w:rPr>
        <w:t xml:space="preserve">) for willfully </w:t>
      </w:r>
      <w:r w:rsidR="00816F70">
        <w:rPr>
          <w:szCs w:val="22"/>
        </w:rPr>
        <w:t xml:space="preserve">and repeatedly </w:t>
      </w:r>
      <w:r w:rsidR="008F7F2E" w:rsidRPr="006D73F2">
        <w:rPr>
          <w:szCs w:val="22"/>
        </w:rPr>
        <w:t xml:space="preserve">violating </w:t>
      </w:r>
      <w:r w:rsidR="0012171E">
        <w:rPr>
          <w:szCs w:val="22"/>
        </w:rPr>
        <w:t>Section 227(b)(1)(B)</w:t>
      </w:r>
      <w:r w:rsidR="0012171E" w:rsidRPr="006D73F2">
        <w:rPr>
          <w:szCs w:val="22"/>
        </w:rPr>
        <w:t xml:space="preserve"> of the Act</w:t>
      </w:r>
      <w:r w:rsidR="0012171E" w:rsidRPr="006D73F2">
        <w:rPr>
          <w:rStyle w:val="FootnoteReference"/>
          <w:sz w:val="22"/>
          <w:szCs w:val="22"/>
        </w:rPr>
        <w:footnoteReference w:id="10"/>
      </w:r>
      <w:r w:rsidR="0012171E" w:rsidRPr="006D73F2">
        <w:rPr>
          <w:szCs w:val="22"/>
        </w:rPr>
        <w:t xml:space="preserve"> and Section </w:t>
      </w:r>
      <w:r w:rsidR="0012171E">
        <w:rPr>
          <w:szCs w:val="22"/>
        </w:rPr>
        <w:t xml:space="preserve">64.1200(a)(2) </w:t>
      </w:r>
      <w:r w:rsidR="0012171E" w:rsidRPr="006D73F2">
        <w:rPr>
          <w:szCs w:val="22"/>
        </w:rPr>
        <w:t xml:space="preserve">of the </w:t>
      </w:r>
      <w:r w:rsidR="0012171E">
        <w:rPr>
          <w:szCs w:val="22"/>
        </w:rPr>
        <w:t>R</w:t>
      </w:r>
      <w:r w:rsidR="0012171E" w:rsidRPr="006D73F2">
        <w:rPr>
          <w:szCs w:val="22"/>
        </w:rPr>
        <w:t>ules</w:t>
      </w:r>
      <w:r w:rsidR="0012171E">
        <w:rPr>
          <w:szCs w:val="22"/>
        </w:rPr>
        <w:t>, as that section existed at the time of the violations</w:t>
      </w:r>
      <w:r w:rsidR="0012171E" w:rsidRPr="006D73F2">
        <w:rPr>
          <w:szCs w:val="22"/>
        </w:rPr>
        <w:t>.</w:t>
      </w:r>
      <w:r w:rsidR="0012171E" w:rsidRPr="006D73F2">
        <w:rPr>
          <w:rStyle w:val="FootnoteReference"/>
          <w:sz w:val="22"/>
          <w:szCs w:val="22"/>
        </w:rPr>
        <w:footnoteReference w:id="11"/>
      </w:r>
      <w:r w:rsidR="0012171E" w:rsidRPr="006D73F2">
        <w:rPr>
          <w:szCs w:val="22"/>
        </w:rPr>
        <w:t xml:space="preserve"> </w:t>
      </w:r>
    </w:p>
    <w:p w:rsidR="006D73F2" w:rsidRPr="006D73F2" w:rsidRDefault="008F7F2E" w:rsidP="005A778D">
      <w:pPr>
        <w:pStyle w:val="ParaNum"/>
        <w:rPr>
          <w:spacing w:val="-2"/>
          <w:szCs w:val="22"/>
        </w:rPr>
      </w:pPr>
      <w:r w:rsidRPr="005A778D">
        <w:t>Payment</w:t>
      </w:r>
      <w:r w:rsidRPr="006D73F2">
        <w:rPr>
          <w:szCs w:val="22"/>
        </w:rPr>
        <w:t xml:space="preserve"> of the forfeiture shall be made in the manner provided for in Section 1.80 of the Rules within </w:t>
      </w:r>
      <w:r w:rsidR="00761D02">
        <w:rPr>
          <w:szCs w:val="22"/>
        </w:rPr>
        <w:t>fifteen</w:t>
      </w:r>
      <w:r w:rsidRPr="006D73F2">
        <w:rPr>
          <w:szCs w:val="22"/>
        </w:rPr>
        <w:t xml:space="preserve"> (</w:t>
      </w:r>
      <w:r w:rsidR="00761D02">
        <w:rPr>
          <w:szCs w:val="22"/>
        </w:rPr>
        <w:t>15</w:t>
      </w:r>
      <w:r w:rsidRPr="006D73F2">
        <w:rPr>
          <w:szCs w:val="22"/>
        </w:rPr>
        <w:t>)</w:t>
      </w:r>
      <w:r w:rsidR="00CB3197" w:rsidRPr="006D73F2">
        <w:rPr>
          <w:szCs w:val="22"/>
        </w:rPr>
        <w:t xml:space="preserve"> </w:t>
      </w:r>
      <w:r w:rsidRPr="006D73F2">
        <w:rPr>
          <w:szCs w:val="22"/>
        </w:rPr>
        <w:t>calendar days after the release date of this Forfeiture Order.</w:t>
      </w:r>
      <w:r w:rsidRPr="006D73F2">
        <w:rPr>
          <w:rStyle w:val="FootnoteReference"/>
          <w:sz w:val="22"/>
          <w:szCs w:val="22"/>
        </w:rPr>
        <w:footnoteReference w:id="12"/>
      </w:r>
      <w:r w:rsidRPr="006D73F2">
        <w:rPr>
          <w:szCs w:val="22"/>
        </w:rPr>
        <w:t xml:space="preserve">  If the forfeiture is not paid within the period specified, the case may be referred to the U.S. Department of Justice for enforcement of the forfeiture pursuant to Section 504(a) of the Act.</w:t>
      </w:r>
      <w:r w:rsidRPr="006D73F2">
        <w:rPr>
          <w:rStyle w:val="FootnoteReference"/>
          <w:sz w:val="22"/>
          <w:szCs w:val="22"/>
        </w:rPr>
        <w:footnoteReference w:id="13"/>
      </w:r>
      <w:r w:rsidRPr="006D73F2">
        <w:rPr>
          <w:szCs w:val="22"/>
        </w:rPr>
        <w:t xml:space="preserve">  </w:t>
      </w:r>
    </w:p>
    <w:p w:rsidR="008F7F2E" w:rsidRPr="006D73F2" w:rsidRDefault="00077577" w:rsidP="005A778D">
      <w:pPr>
        <w:pStyle w:val="ParaNum"/>
        <w:rPr>
          <w:spacing w:val="-2"/>
          <w:szCs w:val="22"/>
        </w:rPr>
      </w:pPr>
      <w:r>
        <w:rPr>
          <w:szCs w:val="22"/>
        </w:rPr>
        <w:t xml:space="preserve">Payment of the forfeiture </w:t>
      </w:r>
      <w:r w:rsidR="008F7F2E" w:rsidRPr="006D73F2">
        <w:rPr>
          <w:szCs w:val="22"/>
        </w:rPr>
        <w:t xml:space="preserve">must be made by check or similar instrument, wire transfer, or credit card, and must include the NAL/Account Number and FRN referenced </w:t>
      </w:r>
      <w:r>
        <w:rPr>
          <w:szCs w:val="22"/>
        </w:rPr>
        <w:t>above</w:t>
      </w:r>
      <w:r w:rsidR="008F7F2E" w:rsidRPr="006D73F2">
        <w:rPr>
          <w:szCs w:val="22"/>
        </w:rPr>
        <w:t xml:space="preserve">.  </w:t>
      </w:r>
      <w:r w:rsidR="000E5F4C">
        <w:rPr>
          <w:szCs w:val="22"/>
        </w:rPr>
        <w:t>AmericanWest Advertising</w:t>
      </w:r>
      <w:r w:rsidR="007A4841">
        <w:rPr>
          <w:szCs w:val="22"/>
        </w:rPr>
        <w:t xml:space="preserve"> LLC</w:t>
      </w:r>
      <w:r w:rsidRPr="006D73F2">
        <w:rPr>
          <w:szCs w:val="22"/>
        </w:rPr>
        <w:t xml:space="preserve"> shall send electronic notification </w:t>
      </w:r>
      <w:r>
        <w:rPr>
          <w:szCs w:val="22"/>
        </w:rPr>
        <w:t xml:space="preserve">of </w:t>
      </w:r>
      <w:r w:rsidRPr="006D73F2">
        <w:rPr>
          <w:szCs w:val="22"/>
        </w:rPr>
        <w:t xml:space="preserve">payment to </w:t>
      </w:r>
      <w:r w:rsidR="007A4841">
        <w:rPr>
          <w:szCs w:val="22"/>
        </w:rPr>
        <w:t>Johnny Drake</w:t>
      </w:r>
      <w:r w:rsidRPr="006D73F2">
        <w:rPr>
          <w:szCs w:val="22"/>
        </w:rPr>
        <w:t xml:space="preserve"> at </w:t>
      </w:r>
      <w:r w:rsidR="007A4841">
        <w:rPr>
          <w:szCs w:val="22"/>
        </w:rPr>
        <w:t>johnny.drake</w:t>
      </w:r>
      <w:r w:rsidRPr="006D73F2">
        <w:rPr>
          <w:szCs w:val="22"/>
        </w:rPr>
        <w:t>@fcc.gov on the date said payment is made.</w:t>
      </w:r>
      <w:r>
        <w:rPr>
          <w:szCs w:val="22"/>
        </w:rPr>
        <w:t xml:space="preserve">  </w:t>
      </w:r>
      <w:r w:rsidR="008F7F2E" w:rsidRPr="006D73F2">
        <w:rPr>
          <w:szCs w:val="22"/>
        </w:rPr>
        <w:t>Regardless of the form of payment, a completed FCC Form 159 (Remittance Advice) must be submitted.</w:t>
      </w:r>
      <w:r w:rsidR="008F7F2E" w:rsidRPr="006D73F2">
        <w:rPr>
          <w:rStyle w:val="FootnoteReference"/>
          <w:sz w:val="22"/>
          <w:szCs w:val="22"/>
        </w:rPr>
        <w:footnoteReference w:id="14"/>
      </w:r>
      <w:r w:rsidR="008F7F2E" w:rsidRPr="006D73F2">
        <w:rPr>
          <w:szCs w:val="22"/>
        </w:rPr>
        <w:t xml:space="preserve">  When completing the Form 159, enter the Account Number in block number 23A (call sign/other ID) and enter the letters “FORF” in block number 24A (payment type code).  Below are additional instructions</w:t>
      </w:r>
      <w:r w:rsidR="00716D74">
        <w:rPr>
          <w:szCs w:val="22"/>
        </w:rPr>
        <w:t xml:space="preserve"> </w:t>
      </w:r>
      <w:r>
        <w:rPr>
          <w:szCs w:val="22"/>
        </w:rPr>
        <w:t xml:space="preserve">that should be followed </w:t>
      </w:r>
      <w:r w:rsidR="008F7F2E" w:rsidRPr="006D73F2">
        <w:rPr>
          <w:szCs w:val="22"/>
        </w:rPr>
        <w:t>based on the form of payment select</w:t>
      </w:r>
      <w:r w:rsidR="00373669">
        <w:rPr>
          <w:szCs w:val="22"/>
        </w:rPr>
        <w:t>ed</w:t>
      </w:r>
      <w:r w:rsidR="008F7F2E" w:rsidRPr="006D73F2">
        <w:rPr>
          <w:szCs w:val="22"/>
        </w:rPr>
        <w:t>:</w:t>
      </w:r>
    </w:p>
    <w:p w:rsidR="008F7F2E" w:rsidRPr="006D73F2" w:rsidRDefault="008F7F2E" w:rsidP="00B27008">
      <w:pPr>
        <w:pStyle w:val="par1"/>
        <w:numPr>
          <w:ilvl w:val="0"/>
          <w:numId w:val="11"/>
        </w:numPr>
        <w:tabs>
          <w:tab w:val="clear" w:pos="1440"/>
        </w:tabs>
        <w:spacing w:after="120"/>
        <w:rPr>
          <w:szCs w:val="22"/>
        </w:rPr>
      </w:pPr>
      <w:r w:rsidRPr="006D73F2">
        <w:rPr>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6D73F2">
        <w:rPr>
          <w:szCs w:val="22"/>
        </w:rPr>
        <w:noBreakHyphen/>
        <w:t>MO-C2-GL, 1005 Convention Plaza, St. Louis, MO 63101.</w:t>
      </w:r>
    </w:p>
    <w:p w:rsidR="008F7F2E" w:rsidRPr="006D73F2" w:rsidRDefault="008F7F2E" w:rsidP="00B27008">
      <w:pPr>
        <w:pStyle w:val="par1"/>
        <w:numPr>
          <w:ilvl w:val="0"/>
          <w:numId w:val="11"/>
        </w:numPr>
        <w:tabs>
          <w:tab w:val="clear" w:pos="1440"/>
        </w:tabs>
        <w:spacing w:after="120"/>
        <w:rPr>
          <w:szCs w:val="22"/>
        </w:rPr>
      </w:pPr>
      <w:r w:rsidRPr="006D73F2">
        <w:rPr>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6D73F2" w:rsidRPr="00B27008" w:rsidRDefault="008F7F2E" w:rsidP="00B27008">
      <w:pPr>
        <w:pStyle w:val="par1"/>
        <w:widowControl/>
        <w:numPr>
          <w:ilvl w:val="0"/>
          <w:numId w:val="11"/>
        </w:numPr>
        <w:tabs>
          <w:tab w:val="clear" w:pos="1440"/>
        </w:tabs>
        <w:spacing w:after="120"/>
        <w:ind w:left="1267"/>
      </w:pPr>
      <w:r w:rsidRPr="006D73F2">
        <w:rPr>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6D73F2" w:rsidRPr="00816F70" w:rsidRDefault="008F7F2E" w:rsidP="005A778D">
      <w:pPr>
        <w:pStyle w:val="ParaNum"/>
        <w:rPr>
          <w:szCs w:val="22"/>
        </w:rPr>
      </w:pPr>
      <w:r w:rsidRPr="006D73F2">
        <w:rPr>
          <w:szCs w:val="22"/>
        </w:rPr>
        <w:t xml:space="preserve">Any request for </w:t>
      </w:r>
      <w:r w:rsidR="00077577">
        <w:rPr>
          <w:szCs w:val="22"/>
        </w:rPr>
        <w:t xml:space="preserve">making </w:t>
      </w:r>
      <w:r w:rsidRPr="006D73F2">
        <w:rPr>
          <w:szCs w:val="22"/>
        </w:rPr>
        <w:t xml:space="preserve">full payment </w:t>
      </w:r>
      <w:r w:rsidR="00C63243">
        <w:rPr>
          <w:szCs w:val="22"/>
        </w:rPr>
        <w:t xml:space="preserve">over time </w:t>
      </w:r>
      <w:r w:rsidRPr="006D73F2">
        <w:rPr>
          <w:szCs w:val="22"/>
        </w:rPr>
        <w:t>under an installment plan should be sent to</w:t>
      </w:r>
      <w:r w:rsidR="00C63243">
        <w:rPr>
          <w:szCs w:val="22"/>
        </w:rPr>
        <w:t xml:space="preserve">: </w:t>
      </w:r>
      <w:r w:rsidRPr="006D73F2">
        <w:rPr>
          <w:szCs w:val="22"/>
        </w:rPr>
        <w:t xml:space="preserve"> Chief Financial Officer – Financial Operations, Federal Communications Commission, 445 12th Street, SW, Room 1</w:t>
      </w:r>
      <w:r w:rsidRPr="006D73F2">
        <w:rPr>
          <w:szCs w:val="22"/>
        </w:rPr>
        <w:noBreakHyphen/>
        <w:t>A625, Washington, DC</w:t>
      </w:r>
      <w:r w:rsidR="005B4A45">
        <w:rPr>
          <w:szCs w:val="22"/>
        </w:rPr>
        <w:t>,</w:t>
      </w:r>
      <w:r w:rsidRPr="006D73F2">
        <w:rPr>
          <w:szCs w:val="22"/>
        </w:rPr>
        <w:t xml:space="preserve"> 20554.</w:t>
      </w:r>
      <w:r w:rsidRPr="006D73F2">
        <w:rPr>
          <w:rStyle w:val="FootnoteReference"/>
          <w:sz w:val="22"/>
          <w:szCs w:val="22"/>
        </w:rPr>
        <w:footnoteReference w:id="15"/>
      </w:r>
      <w:r w:rsidRPr="006D73F2">
        <w:rPr>
          <w:szCs w:val="22"/>
        </w:rPr>
        <w:t xml:space="preserve">  </w:t>
      </w:r>
      <w:r w:rsidR="00573CFE">
        <w:rPr>
          <w:szCs w:val="22"/>
        </w:rPr>
        <w:t>Q</w:t>
      </w:r>
      <w:r w:rsidRPr="006D73F2">
        <w:rPr>
          <w:szCs w:val="22"/>
        </w:rPr>
        <w:t>uestions regarding payment procedures</w:t>
      </w:r>
      <w:r w:rsidR="00573CFE">
        <w:rPr>
          <w:szCs w:val="22"/>
        </w:rPr>
        <w:t xml:space="preserve"> </w:t>
      </w:r>
      <w:r w:rsidRPr="006D73F2">
        <w:rPr>
          <w:szCs w:val="22"/>
        </w:rPr>
        <w:t xml:space="preserve">should </w:t>
      </w:r>
      <w:r w:rsidR="00573CFE">
        <w:rPr>
          <w:szCs w:val="22"/>
        </w:rPr>
        <w:lastRenderedPageBreak/>
        <w:t xml:space="preserve">be directed to </w:t>
      </w:r>
      <w:r w:rsidRPr="006D73F2">
        <w:rPr>
          <w:szCs w:val="22"/>
        </w:rPr>
        <w:t xml:space="preserve">the </w:t>
      </w:r>
      <w:r w:rsidRPr="005A778D">
        <w:t>Financial</w:t>
      </w:r>
      <w:r w:rsidRPr="006D73F2">
        <w:rPr>
          <w:szCs w:val="22"/>
        </w:rPr>
        <w:t xml:space="preserve"> Operations Group Help Desk by telephone, 1-877-480-3201, or by e-mail, </w:t>
      </w:r>
      <w:r w:rsidR="00C63243" w:rsidRPr="004C4397">
        <w:t>ARINQUIRIES@</w:t>
      </w:r>
      <w:r w:rsidR="00C63243" w:rsidRPr="00B27008">
        <w:rPr>
          <w:szCs w:val="22"/>
        </w:rPr>
        <w:t>fcc.gov</w:t>
      </w:r>
      <w:r w:rsidRPr="00373669">
        <w:rPr>
          <w:szCs w:val="22"/>
        </w:rPr>
        <w:t>.</w:t>
      </w:r>
    </w:p>
    <w:p w:rsidR="001040CA" w:rsidRPr="006D73F2" w:rsidRDefault="008F7F2E" w:rsidP="005A778D">
      <w:pPr>
        <w:pStyle w:val="ParaNum"/>
      </w:pPr>
      <w:r w:rsidRPr="001040CA">
        <w:rPr>
          <w:b/>
        </w:rPr>
        <w:t>IT IS FURTHER ORDERED</w:t>
      </w:r>
      <w:r w:rsidRPr="001040CA">
        <w:t xml:space="preserve"> that a copy of this Forfeiture Order </w:t>
      </w:r>
      <w:r w:rsidR="005109E0" w:rsidRPr="001040CA">
        <w:t xml:space="preserve">shall be sent by first class mail and certified mail, return receipt requested, to </w:t>
      </w:r>
      <w:r w:rsidR="001040CA">
        <w:t>Patrice Huth</w:t>
      </w:r>
      <w:r w:rsidR="001040CA" w:rsidRPr="00BD5A2B">
        <w:t xml:space="preserve">, </w:t>
      </w:r>
      <w:r w:rsidR="001040CA">
        <w:t>Member</w:t>
      </w:r>
      <w:r w:rsidR="001040CA" w:rsidRPr="00BD5A2B">
        <w:t xml:space="preserve">, </w:t>
      </w:r>
      <w:r w:rsidR="001040CA">
        <w:t>AmericanWest Advertising LLC</w:t>
      </w:r>
      <w:r w:rsidR="001040CA" w:rsidRPr="00BD5A2B">
        <w:t xml:space="preserve">, </w:t>
      </w:r>
      <w:r w:rsidR="001040CA" w:rsidRPr="005A778D">
        <w:rPr>
          <w:szCs w:val="22"/>
        </w:rPr>
        <w:t>2108</w:t>
      </w:r>
      <w:r w:rsidR="001040CA">
        <w:t xml:space="preserve"> SW 152</w:t>
      </w:r>
      <w:r w:rsidR="005B4A45">
        <w:t>nd</w:t>
      </w:r>
      <w:r w:rsidR="001040CA">
        <w:t xml:space="preserve"> Street, Burien, W</w:t>
      </w:r>
      <w:r w:rsidR="00361A53">
        <w:t>A</w:t>
      </w:r>
      <w:r w:rsidR="001040CA">
        <w:t xml:space="preserve"> 98116</w:t>
      </w:r>
      <w:r w:rsidR="00D90B1D">
        <w:t xml:space="preserve">; </w:t>
      </w:r>
      <w:r w:rsidR="001040CA">
        <w:t>Patrice Huth</w:t>
      </w:r>
      <w:r w:rsidR="001040CA" w:rsidRPr="00BD5A2B">
        <w:t xml:space="preserve">, </w:t>
      </w:r>
      <w:r w:rsidR="001040CA">
        <w:t>27020 9</w:t>
      </w:r>
      <w:r w:rsidR="005B4A45">
        <w:t>th</w:t>
      </w:r>
      <w:r w:rsidR="001040CA">
        <w:t xml:space="preserve"> Avenue South, Des Moines, W</w:t>
      </w:r>
      <w:r w:rsidR="005B4A45">
        <w:t>A</w:t>
      </w:r>
      <w:r w:rsidR="001040CA">
        <w:t xml:space="preserve"> 98198</w:t>
      </w:r>
      <w:r w:rsidR="00D90B1D">
        <w:t>; and Patrice Huth</w:t>
      </w:r>
      <w:r w:rsidR="00D90B1D" w:rsidRPr="00BD5A2B">
        <w:t xml:space="preserve">, </w:t>
      </w:r>
      <w:r w:rsidR="00D90B1D">
        <w:t>27020 8th Avenue South, Des Moines, WA 98198</w:t>
      </w:r>
      <w:r w:rsidR="001040CA" w:rsidRPr="00BD5A2B">
        <w:t>.</w:t>
      </w:r>
    </w:p>
    <w:p w:rsidR="008F7F2E" w:rsidRPr="001040CA" w:rsidRDefault="008F7F2E" w:rsidP="001040CA">
      <w:pPr>
        <w:pStyle w:val="par1"/>
        <w:widowControl/>
        <w:numPr>
          <w:ilvl w:val="0"/>
          <w:numId w:val="0"/>
        </w:numPr>
        <w:tabs>
          <w:tab w:val="clear" w:pos="1440"/>
        </w:tabs>
        <w:spacing w:after="120"/>
        <w:rPr>
          <w:szCs w:val="22"/>
        </w:rPr>
      </w:pPr>
    </w:p>
    <w:p w:rsidR="008F7F2E" w:rsidRPr="006D73F2" w:rsidRDefault="008F7F2E" w:rsidP="008F7F2E">
      <w:pPr>
        <w:rPr>
          <w:szCs w:val="22"/>
        </w:rPr>
      </w:pPr>
    </w:p>
    <w:p w:rsidR="008F7F2E" w:rsidRPr="00BD5A2B" w:rsidRDefault="008F7F2E" w:rsidP="008F7F2E">
      <w:pPr>
        <w:ind w:left="4410"/>
      </w:pPr>
      <w:r w:rsidRPr="00BD5A2B">
        <w:t>FEDERAL COMMUNICATIONS COMMISSION</w:t>
      </w:r>
    </w:p>
    <w:p w:rsidR="008F7F2E" w:rsidRPr="006D73F2" w:rsidRDefault="008F7F2E" w:rsidP="008F7F2E">
      <w:pPr>
        <w:ind w:left="4410"/>
        <w:rPr>
          <w:szCs w:val="22"/>
        </w:rPr>
      </w:pPr>
    </w:p>
    <w:p w:rsidR="008F7F2E" w:rsidRPr="006D73F2" w:rsidRDefault="008F7F2E" w:rsidP="008F7F2E">
      <w:pPr>
        <w:ind w:left="4410"/>
        <w:rPr>
          <w:szCs w:val="22"/>
        </w:rPr>
      </w:pPr>
    </w:p>
    <w:p w:rsidR="008F7F2E" w:rsidRPr="006D73F2" w:rsidRDefault="008F7F2E" w:rsidP="008F7F2E">
      <w:pPr>
        <w:ind w:left="4410"/>
        <w:rPr>
          <w:szCs w:val="22"/>
        </w:rPr>
      </w:pPr>
    </w:p>
    <w:p w:rsidR="008F7F2E" w:rsidRPr="006D73F2" w:rsidRDefault="008F7F2E" w:rsidP="008F7F2E">
      <w:pPr>
        <w:ind w:left="4410"/>
        <w:rPr>
          <w:szCs w:val="22"/>
        </w:rPr>
      </w:pPr>
    </w:p>
    <w:p w:rsidR="008F7F2E" w:rsidRDefault="001040CA" w:rsidP="008F7F2E">
      <w:pPr>
        <w:ind w:left="4410"/>
        <w:rPr>
          <w:szCs w:val="22"/>
        </w:rPr>
      </w:pPr>
      <w:r>
        <w:rPr>
          <w:szCs w:val="22"/>
        </w:rPr>
        <w:t xml:space="preserve">Richard </w:t>
      </w:r>
      <w:r w:rsidR="00D52F08">
        <w:rPr>
          <w:szCs w:val="22"/>
        </w:rPr>
        <w:t>A. Hindman</w:t>
      </w:r>
    </w:p>
    <w:p w:rsidR="00D52F08" w:rsidRDefault="00D52F08" w:rsidP="008F7F2E">
      <w:pPr>
        <w:ind w:left="4410"/>
        <w:rPr>
          <w:szCs w:val="22"/>
        </w:rPr>
      </w:pPr>
      <w:r>
        <w:rPr>
          <w:szCs w:val="22"/>
        </w:rPr>
        <w:t>Chief, Telecommunications Consumers Division</w:t>
      </w:r>
    </w:p>
    <w:p w:rsidR="00D52F08" w:rsidRPr="006D73F2" w:rsidRDefault="00D52F08" w:rsidP="008F7F2E">
      <w:pPr>
        <w:ind w:left="4410"/>
        <w:rPr>
          <w:szCs w:val="22"/>
        </w:rPr>
      </w:pPr>
      <w:r>
        <w:rPr>
          <w:szCs w:val="22"/>
        </w:rPr>
        <w:t>Enforcement Bureau</w:t>
      </w:r>
    </w:p>
    <w:sectPr w:rsidR="00D52F08" w:rsidRPr="006D73F2" w:rsidSect="0055145B">
      <w:headerReference w:type="even" r:id="rId8"/>
      <w:headerReference w:type="default" r:id="rId9"/>
      <w:footerReference w:type="even" r:id="rId10"/>
      <w:footerReference w:type="default" r:id="rId11"/>
      <w:headerReference w:type="first" r:id="rId12"/>
      <w:footerReference w:type="first" r:id="rId13"/>
      <w:pgSz w:w="12240" w:h="15840" w:code="1"/>
      <w:pgMar w:top="90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505" w:rsidRDefault="00855505">
      <w:r>
        <w:separator/>
      </w:r>
    </w:p>
  </w:endnote>
  <w:endnote w:type="continuationSeparator" w:id="0">
    <w:p w:rsidR="00855505" w:rsidRDefault="00855505">
      <w:r>
        <w:continuationSeparator/>
      </w:r>
    </w:p>
  </w:endnote>
  <w:endnote w:type="continuationNotice" w:id="1">
    <w:p w:rsidR="00855505" w:rsidRDefault="00855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53" w:rsidRDefault="00303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03553" w:rsidRDefault="00303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53" w:rsidRDefault="00303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3D92">
      <w:rPr>
        <w:rStyle w:val="PageNumber"/>
        <w:noProof/>
      </w:rPr>
      <w:t>3</w:t>
    </w:r>
    <w:r>
      <w:rPr>
        <w:rStyle w:val="PageNumber"/>
      </w:rPr>
      <w:fldChar w:fldCharType="end"/>
    </w:r>
  </w:p>
  <w:p w:rsidR="00303553" w:rsidRDefault="00303553" w:rsidP="005514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2E" w:rsidRDefault="00521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505" w:rsidRDefault="00855505">
      <w:r>
        <w:separator/>
      </w:r>
    </w:p>
  </w:footnote>
  <w:footnote w:type="continuationSeparator" w:id="0">
    <w:p w:rsidR="00855505" w:rsidRDefault="00855505">
      <w:r>
        <w:continuationSeparator/>
      </w:r>
    </w:p>
  </w:footnote>
  <w:footnote w:type="continuationNotice" w:id="1">
    <w:p w:rsidR="00855505" w:rsidRDefault="00855505"/>
  </w:footnote>
  <w:footnote w:id="2">
    <w:p w:rsidR="008C02C7" w:rsidRDefault="008C02C7" w:rsidP="008C02C7">
      <w:pPr>
        <w:pStyle w:val="FootnoteText"/>
      </w:pPr>
      <w:r>
        <w:rPr>
          <w:rStyle w:val="FootnoteReference"/>
        </w:rPr>
        <w:footnoteRef/>
      </w:r>
      <w:r>
        <w:t xml:space="preserve"> The investigation began under EB-09-TC-395 and was subsequently assigned File No. EB-TCD-12-00000307.  Any future correspondence with the Commission concerning this matter should reflect the new case number.</w:t>
      </w:r>
      <w:r w:rsidRPr="00140ABB">
        <w:t xml:space="preserve">  </w:t>
      </w:r>
    </w:p>
  </w:footnote>
  <w:footnote w:id="3">
    <w:p w:rsidR="00824132" w:rsidRDefault="00824132" w:rsidP="00824132">
      <w:pPr>
        <w:pStyle w:val="FootnoteText"/>
      </w:pPr>
      <w:r>
        <w:rPr>
          <w:rStyle w:val="FootnoteReference"/>
        </w:rPr>
        <w:footnoteRef/>
      </w:r>
      <w:r>
        <w:t xml:space="preserve"> </w:t>
      </w:r>
      <w:r w:rsidR="00696E42">
        <w:rPr>
          <w:i/>
        </w:rPr>
        <w:t>American West Advertising</w:t>
      </w:r>
      <w:r w:rsidR="00322608">
        <w:t xml:space="preserve">, Notice of Apparent Liability for Forfeiture, 26 FCC Rcd </w:t>
      </w:r>
      <w:r w:rsidR="00696E42">
        <w:t>3762</w:t>
      </w:r>
      <w:r w:rsidR="00322608">
        <w:t xml:space="preserve"> (</w:t>
      </w:r>
      <w:r w:rsidR="00696E42">
        <w:t xml:space="preserve">Enf. Bur. </w:t>
      </w:r>
      <w:r w:rsidR="00322608">
        <w:t xml:space="preserve">2011).  The </w:t>
      </w:r>
      <w:r w:rsidR="00322608">
        <w:rPr>
          <w:i/>
        </w:rPr>
        <w:t>NAL</w:t>
      </w:r>
      <w:r w:rsidR="00322608">
        <w:t xml:space="preserve"> noted that the proposed forfeiture penalty applied to both the corporate entity</w:t>
      </w:r>
      <w:r w:rsidR="00696E42">
        <w:t>, which is AmericanWest Advertising LLC, and all principals and officers,</w:t>
      </w:r>
      <w:r w:rsidR="00322608">
        <w:t xml:space="preserve"> including the designated contact person</w:t>
      </w:r>
      <w:r w:rsidR="008C02C7">
        <w:t>,</w:t>
      </w:r>
      <w:r w:rsidR="00696E42">
        <w:t xml:space="preserve"> who is Patrice Huth.</w:t>
      </w:r>
      <w:r w:rsidRPr="00140ABB">
        <w:t xml:space="preserve">  </w:t>
      </w:r>
    </w:p>
  </w:footnote>
  <w:footnote w:id="4">
    <w:p w:rsidR="00322608" w:rsidRDefault="00322608" w:rsidP="00322608">
      <w:pPr>
        <w:pStyle w:val="FootnoteText"/>
      </w:pPr>
      <w:r>
        <w:rPr>
          <w:rStyle w:val="FootnoteReference"/>
        </w:rPr>
        <w:footnoteRef/>
      </w:r>
      <w:r>
        <w:t xml:space="preserve"> 47 U.S.C. § 227(b)(1)(B).</w:t>
      </w:r>
    </w:p>
  </w:footnote>
  <w:footnote w:id="5">
    <w:p w:rsidR="00322608" w:rsidRPr="00344C0B" w:rsidRDefault="00322608" w:rsidP="00322608">
      <w:pPr>
        <w:pStyle w:val="FootnoteText"/>
      </w:pPr>
      <w:r w:rsidRPr="00344C0B">
        <w:rPr>
          <w:rStyle w:val="FootnoteReference"/>
        </w:rPr>
        <w:footnoteRef/>
      </w:r>
      <w:r>
        <w:t xml:space="preserve"> At the time of the violations and when the </w:t>
      </w:r>
      <w:r>
        <w:rPr>
          <w:i/>
        </w:rPr>
        <w:t xml:space="preserve">NAL </w:t>
      </w:r>
      <w:r>
        <w:t xml:space="preserve">was issued, the Commission’s rules governing prerecorded calls to residential telephone lines were codified at 47 C.F.R. </w:t>
      </w:r>
      <w:r w:rsidRPr="00344C0B">
        <w:t>§</w:t>
      </w:r>
      <w:r>
        <w:t xml:space="preserve"> 64.1200(a)(2).  Since then, the Commission has amended and renumbered the provisions contained therein as 47 C.F.R. </w:t>
      </w:r>
      <w:r w:rsidRPr="00344C0B">
        <w:t>§</w:t>
      </w:r>
      <w:r>
        <w:t xml:space="preserve"> 64.1200(a)(3).  </w:t>
      </w:r>
      <w:r>
        <w:rPr>
          <w:i/>
        </w:rPr>
        <w:t>Rules and Regulations Implementing the Telephone Consumer Protection Act of 1991</w:t>
      </w:r>
      <w:r>
        <w:t>, Report and Order, 27 FCC Rcd 1830 (2012) (amending rules governing prerecorded advertising calls to require that prior express consent to receive such calls must be in writing and to remove the exemption for calls made under an established business relationship).</w:t>
      </w:r>
    </w:p>
  </w:footnote>
  <w:footnote w:id="6">
    <w:p w:rsidR="00CB3197" w:rsidRDefault="00CB3197" w:rsidP="00607AA0">
      <w:pPr>
        <w:pStyle w:val="FootnoteText"/>
      </w:pPr>
      <w:r>
        <w:rPr>
          <w:rStyle w:val="FootnoteReference"/>
        </w:rPr>
        <w:footnoteRef/>
      </w:r>
      <w:r>
        <w:t xml:space="preserve"> </w:t>
      </w:r>
      <w:r w:rsidRPr="00140ABB">
        <w:rPr>
          <w:iCs/>
          <w:color w:val="000000"/>
        </w:rPr>
        <w:t xml:space="preserve">The </w:t>
      </w:r>
      <w:r w:rsidRPr="00140ABB">
        <w:rPr>
          <w:i/>
          <w:iCs/>
          <w:color w:val="000000"/>
        </w:rPr>
        <w:t>NAL</w:t>
      </w:r>
      <w:r w:rsidRPr="00140ABB">
        <w:rPr>
          <w:iCs/>
          <w:color w:val="000000"/>
        </w:rPr>
        <w:t xml:space="preserve"> includes a more complete discussion of the facts and history of this case and is incorporated herein by reference.</w:t>
      </w:r>
      <w:r w:rsidR="007A4841">
        <w:t xml:space="preserve">  </w:t>
      </w:r>
      <w:r w:rsidR="007A4841">
        <w:rPr>
          <w:i/>
        </w:rPr>
        <w:t>NAL</w:t>
      </w:r>
      <w:r w:rsidR="007A4841">
        <w:t xml:space="preserve">, 26 FCC Rcd at </w:t>
      </w:r>
      <w:r w:rsidR="00696E42">
        <w:t>3763-65</w:t>
      </w:r>
      <w:r w:rsidR="008C02C7">
        <w:t>, paras. 2-7</w:t>
      </w:r>
      <w:r w:rsidR="007A4841">
        <w:t>.</w:t>
      </w:r>
      <w:r w:rsidR="00077577">
        <w:t xml:space="preserve"> </w:t>
      </w:r>
      <w:r w:rsidRPr="00140ABB">
        <w:t xml:space="preserve">  </w:t>
      </w:r>
    </w:p>
  </w:footnote>
  <w:footnote w:id="7">
    <w:p w:rsidR="001040CA" w:rsidRPr="00344C0B" w:rsidRDefault="001040CA" w:rsidP="001040CA">
      <w:pPr>
        <w:pStyle w:val="FootnoteText"/>
      </w:pPr>
      <w:r w:rsidRPr="00344C0B">
        <w:rPr>
          <w:rStyle w:val="FootnoteReference"/>
        </w:rPr>
        <w:footnoteRef/>
      </w:r>
      <w:r w:rsidRPr="00344C0B">
        <w:t xml:space="preserve"> 47 U.S.C. § 503(b).</w:t>
      </w:r>
    </w:p>
  </w:footnote>
  <w:footnote w:id="8">
    <w:p w:rsidR="001040CA" w:rsidRPr="00344C0B" w:rsidRDefault="001040CA" w:rsidP="001040CA">
      <w:pPr>
        <w:pStyle w:val="FootnoteText"/>
      </w:pPr>
      <w:r w:rsidRPr="00344C0B">
        <w:rPr>
          <w:rStyle w:val="FootnoteReference"/>
        </w:rPr>
        <w:footnoteRef/>
      </w:r>
      <w:r w:rsidRPr="00344C0B">
        <w:t xml:space="preserve"> 47 C.F.R. § 1.80.</w:t>
      </w:r>
    </w:p>
  </w:footnote>
  <w:footnote w:id="9">
    <w:p w:rsidR="001040CA" w:rsidRDefault="001040CA" w:rsidP="001040CA">
      <w:pPr>
        <w:pStyle w:val="FootnoteText"/>
      </w:pPr>
      <w:r>
        <w:rPr>
          <w:rStyle w:val="FootnoteReference"/>
        </w:rPr>
        <w:footnoteRef/>
      </w:r>
      <w:r>
        <w:t xml:space="preserve"> 47 C.F.R. </w:t>
      </w:r>
      <w:r w:rsidRPr="00344C0B">
        <w:t>§§</w:t>
      </w:r>
      <w:r>
        <w:t xml:space="preserve"> 0.111, 0.204, 0.311. </w:t>
      </w:r>
    </w:p>
  </w:footnote>
  <w:footnote w:id="10">
    <w:p w:rsidR="0012171E" w:rsidRDefault="0012171E" w:rsidP="0012171E">
      <w:pPr>
        <w:pStyle w:val="FootnoteText"/>
      </w:pPr>
      <w:r>
        <w:rPr>
          <w:rStyle w:val="FootnoteReference"/>
        </w:rPr>
        <w:footnoteRef/>
      </w:r>
      <w:r>
        <w:t xml:space="preserve"> 47 U.S.C. </w:t>
      </w:r>
      <w:r w:rsidRPr="00344C0B">
        <w:t>§</w:t>
      </w:r>
      <w:r>
        <w:t xml:space="preserve"> 227(b)(1)(B). </w:t>
      </w:r>
    </w:p>
  </w:footnote>
  <w:footnote w:id="11">
    <w:p w:rsidR="0012171E" w:rsidRDefault="0012171E" w:rsidP="0012171E">
      <w:pPr>
        <w:pStyle w:val="FootnoteText"/>
      </w:pPr>
      <w:r>
        <w:rPr>
          <w:rStyle w:val="FootnoteReference"/>
        </w:rPr>
        <w:footnoteRef/>
      </w:r>
      <w:r>
        <w:t xml:space="preserve"> 47 C.F.R. </w:t>
      </w:r>
      <w:r w:rsidRPr="00344C0B">
        <w:t>§</w:t>
      </w:r>
      <w:r>
        <w:t xml:space="preserve"> 64.1200(a)(2) (2003).     </w:t>
      </w:r>
    </w:p>
  </w:footnote>
  <w:footnote w:id="12">
    <w:p w:rsidR="008F7F2E" w:rsidRPr="007D40D2" w:rsidRDefault="008F7F2E" w:rsidP="00607AA0">
      <w:pPr>
        <w:pStyle w:val="FootnoteText"/>
      </w:pPr>
      <w:r w:rsidRPr="00344C0B">
        <w:rPr>
          <w:rStyle w:val="FootnoteReference"/>
        </w:rPr>
        <w:footnoteRef/>
      </w:r>
      <w:r w:rsidRPr="00344C0B">
        <w:t xml:space="preserve"> 47 C.F.R. § 1.80.</w:t>
      </w:r>
    </w:p>
  </w:footnote>
  <w:footnote w:id="13">
    <w:p w:rsidR="008F7F2E" w:rsidRPr="00344C0B" w:rsidRDefault="008F7F2E" w:rsidP="00607AA0">
      <w:pPr>
        <w:pStyle w:val="FootnoteText"/>
      </w:pPr>
      <w:r w:rsidRPr="00344C0B">
        <w:rPr>
          <w:rStyle w:val="FootnoteReference"/>
        </w:rPr>
        <w:footnoteRef/>
      </w:r>
      <w:r w:rsidRPr="00344C0B">
        <w:t xml:space="preserve"> 47 U.S.C. § 504(a).</w:t>
      </w:r>
    </w:p>
  </w:footnote>
  <w:footnote w:id="14">
    <w:p w:rsidR="008F7F2E" w:rsidRPr="00344C0B" w:rsidRDefault="008F7F2E" w:rsidP="00607AA0">
      <w:pPr>
        <w:pStyle w:val="FootnoteText"/>
      </w:pPr>
      <w:r w:rsidRPr="00344C0B">
        <w:rPr>
          <w:rStyle w:val="FootnoteReference"/>
        </w:rPr>
        <w:footnoteRef/>
      </w:r>
      <w:r w:rsidRPr="00344C0B">
        <w:t xml:space="preserve"> </w:t>
      </w:r>
      <w:r w:rsidRPr="00344C0B">
        <w:rPr>
          <w:rStyle w:val="FootnoteTextChar2"/>
        </w:rPr>
        <w:t xml:space="preserve">An FCC Form 159 and detailed instructions for completing the form may be obtained at </w:t>
      </w:r>
      <w:r w:rsidRPr="00344C0B">
        <w:t>http://www.fcc.gov/Forms/Form159/159.pdf</w:t>
      </w:r>
      <w:r w:rsidRPr="00344C0B">
        <w:rPr>
          <w:rStyle w:val="FootnoteTextChar2"/>
        </w:rPr>
        <w:t>.</w:t>
      </w:r>
    </w:p>
  </w:footnote>
  <w:footnote w:id="15">
    <w:p w:rsidR="008F7F2E" w:rsidRPr="0030738C" w:rsidRDefault="008F7F2E" w:rsidP="00607AA0">
      <w:pPr>
        <w:pStyle w:val="FootnoteText"/>
      </w:pPr>
      <w:r w:rsidRPr="00344C0B">
        <w:rPr>
          <w:rStyle w:val="FootnoteReference"/>
        </w:rPr>
        <w:footnoteRef/>
      </w:r>
      <w:r w:rsidRPr="00344C0B">
        <w:t xml:space="preserve"> </w:t>
      </w:r>
      <w:r w:rsidRPr="00344C0B">
        <w:rPr>
          <w:i/>
        </w:rPr>
        <w:t>See</w:t>
      </w:r>
      <w:r w:rsidRPr="00344C0B">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2E" w:rsidRDefault="005216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53" w:rsidRDefault="00303553" w:rsidP="00810B3F">
    <w:pPr>
      <w:tabs>
        <w:tab w:val="center" w:pos="4680"/>
        <w:tab w:val="right" w:pos="9360"/>
      </w:tabs>
      <w:suppressAutoHyphens/>
      <w:spacing w:line="227" w:lineRule="auto"/>
      <w:jc w:val="both"/>
      <w:rPr>
        <w:spacing w:val="-2"/>
      </w:rPr>
    </w:pPr>
    <w:r>
      <w:rPr>
        <w:b/>
        <w:spacing w:val="-2"/>
      </w:rPr>
      <w:tab/>
      <w:t>Federal Communications Commission</w:t>
    </w:r>
    <w:r>
      <w:rPr>
        <w:b/>
        <w:spacing w:val="-2"/>
      </w:rPr>
      <w:tab/>
    </w:r>
    <w:r w:rsidR="00D52F08">
      <w:rPr>
        <w:b/>
        <w:spacing w:val="-2"/>
      </w:rPr>
      <w:t>DA</w:t>
    </w:r>
    <w:r w:rsidR="00816F70">
      <w:rPr>
        <w:b/>
        <w:spacing w:val="-2"/>
      </w:rPr>
      <w:t xml:space="preserve"> </w:t>
    </w:r>
    <w:r w:rsidR="0062576A">
      <w:rPr>
        <w:b/>
        <w:spacing w:val="-2"/>
      </w:rPr>
      <w:t>15</w:t>
    </w:r>
    <w:r w:rsidR="00816F70">
      <w:rPr>
        <w:b/>
        <w:spacing w:val="-2"/>
      </w:rPr>
      <w:t>-</w:t>
    </w:r>
    <w:r w:rsidR="009974C0">
      <w:rPr>
        <w:b/>
        <w:spacing w:val="-2"/>
      </w:rPr>
      <w:t>30</w:t>
    </w:r>
  </w:p>
  <w:p w:rsidR="00303553" w:rsidRDefault="00B83D92" w:rsidP="00810B3F">
    <w:pPr>
      <w:tabs>
        <w:tab w:val="left" w:pos="-1440"/>
        <w:tab w:val="left" w:pos="-720"/>
      </w:tabs>
      <w:suppressAutoHyphens/>
      <w:spacing w:line="19" w:lineRule="exact"/>
      <w:jc w:val="both"/>
      <w:rPr>
        <w:spacing w:val="-2"/>
      </w:rPr>
    </w:pPr>
    <w:r>
      <w:rPr>
        <w:noProof/>
      </w:rPr>
      <w:pict>
        <v:rect id="_x0000_s2051" style="position:absolute;left:0;text-align:left;margin-left:0;margin-top:0;width:468pt;height:.95pt;z-index:-251658240;mso-position-horizontal-relative:margin" o:allowincell="f" fillcolor="black" stroked="f" strokeweight=".05pt">
          <v:fill color2="black"/>
          <v:textbox style="mso-next-textbox:#_x0000_s2051">
            <w:txbxContent>
              <w:p w:rsidR="00303553" w:rsidRDefault="00303553" w:rsidP="00810B3F"/>
            </w:txbxContent>
          </v:textbox>
          <w10:wrap anchorx="margin"/>
        </v:rect>
      </w:pict>
    </w:r>
  </w:p>
  <w:p w:rsidR="00303553" w:rsidRDefault="00303553" w:rsidP="00810B3F">
    <w:pPr>
      <w:pStyle w:val="Header"/>
      <w:pBdr>
        <w:between w:val="single" w:sz="4" w:space="1" w:color="auto"/>
      </w:pBdr>
      <w:tabs>
        <w:tab w:val="left" w:pos="8434"/>
      </w:tabs>
      <w:rPr>
        <w:b w:val="0"/>
      </w:rPr>
    </w:pP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53" w:rsidRDefault="00303553">
    <w:pPr>
      <w:tabs>
        <w:tab w:val="center" w:pos="4680"/>
        <w:tab w:val="right" w:pos="9360"/>
      </w:tabs>
      <w:suppressAutoHyphens/>
      <w:spacing w:line="227" w:lineRule="auto"/>
      <w:jc w:val="both"/>
      <w:rPr>
        <w:spacing w:val="-2"/>
      </w:rPr>
    </w:pPr>
    <w:r>
      <w:rPr>
        <w:b/>
        <w:spacing w:val="-2"/>
      </w:rPr>
      <w:tab/>
      <w:t>Federal Communications Commission</w:t>
    </w:r>
    <w:r>
      <w:rPr>
        <w:b/>
        <w:spacing w:val="-2"/>
      </w:rPr>
      <w:tab/>
    </w:r>
    <w:r w:rsidR="00087029">
      <w:rPr>
        <w:b/>
        <w:spacing w:val="-2"/>
      </w:rPr>
      <w:t>DA</w:t>
    </w:r>
    <w:r>
      <w:rPr>
        <w:b/>
        <w:spacing w:val="-2"/>
      </w:rPr>
      <w:t xml:space="preserve"> </w:t>
    </w:r>
    <w:r w:rsidR="0062576A">
      <w:rPr>
        <w:b/>
        <w:spacing w:val="-2"/>
      </w:rPr>
      <w:t>15</w:t>
    </w:r>
    <w:r>
      <w:rPr>
        <w:b/>
        <w:spacing w:val="-2"/>
      </w:rPr>
      <w:t>-</w:t>
    </w:r>
    <w:r w:rsidR="005B4A45">
      <w:rPr>
        <w:b/>
        <w:spacing w:val="-2"/>
      </w:rPr>
      <w:t>30</w:t>
    </w:r>
  </w:p>
  <w:p w:rsidR="00303553" w:rsidRDefault="00B83D92">
    <w:pPr>
      <w:tabs>
        <w:tab w:val="left" w:pos="-1440"/>
        <w:tab w:val="left" w:pos="-720"/>
      </w:tabs>
      <w:suppressAutoHyphens/>
      <w:spacing w:line="19" w:lineRule="exact"/>
      <w:jc w:val="both"/>
      <w:rPr>
        <w:spacing w:val="-2"/>
      </w:rPr>
    </w:pPr>
    <w:r>
      <w:rPr>
        <w:noProof/>
      </w:rPr>
      <w:pict>
        <v:rect id="_x0000_s2049" style="position:absolute;left:0;text-align:left;margin-left:0;margin-top:0;width:468pt;height:.95pt;z-index:-251659264;mso-position-horizontal-relative:margin" o:allowincell="f" fillcolor="black" stroked="f" strokeweight=".05pt">
          <v:fill color2="black"/>
          <v:textbox style="mso-next-textbox:#_x0000_s2049">
            <w:txbxContent>
              <w:p w:rsidR="00303553" w:rsidRDefault="00303553"/>
            </w:txbxContent>
          </v:textbox>
          <w10:wrap anchorx="margin"/>
        </v:rect>
      </w:pict>
    </w:r>
  </w:p>
  <w:p w:rsidR="00303553" w:rsidRDefault="00303553">
    <w:pPr>
      <w:pStyle w:val="Header"/>
      <w:pBdr>
        <w:between w:val="single" w:sz="4" w:space="1" w:color="auto"/>
      </w:pBdr>
      <w:tabs>
        <w:tab w:val="left" w:pos="8434"/>
      </w:tabs>
      <w:rPr>
        <w:b w:val="0"/>
      </w:rPr>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7070BBF"/>
    <w:multiLevelType w:val="singleLevel"/>
    <w:tmpl w:val="8DE2A35E"/>
    <w:lvl w:ilvl="0">
      <w:start w:val="1"/>
      <w:numFmt w:val="decimal"/>
      <w:lvlText w:val="%1."/>
      <w:lvlJc w:val="left"/>
      <w:pPr>
        <w:tabs>
          <w:tab w:val="num" w:pos="1515"/>
        </w:tabs>
        <w:ind w:left="1515" w:hanging="795"/>
      </w:pPr>
      <w:rPr>
        <w:rFont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7">
    <w:nsid w:val="432817C4"/>
    <w:multiLevelType w:val="multilevel"/>
    <w:tmpl w:val="3C50564A"/>
    <w:lvl w:ilvl="0">
      <w:start w:val="1"/>
      <w:numFmt w:val="decimal"/>
      <w:lvlText w:val="%1."/>
      <w:lvlJc w:val="left"/>
      <w:pPr>
        <w:tabs>
          <w:tab w:val="num" w:pos="1080"/>
        </w:tabs>
        <w:ind w:left="0" w:firstLine="720"/>
      </w:pPr>
      <w:rPr>
        <w:rFonts w:ascii="Times New Roman" w:hAnsi="Times New Roman" w:hint="default"/>
        <w:b w:val="0"/>
        <w:i w:val="0"/>
        <w:sz w:val="24"/>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560256BB"/>
    <w:multiLevelType w:val="hybridMultilevel"/>
    <w:tmpl w:val="232E04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75C2E3D"/>
    <w:multiLevelType w:val="singleLevel"/>
    <w:tmpl w:val="9D8455C4"/>
    <w:lvl w:ilvl="0">
      <w:start w:val="1"/>
      <w:numFmt w:val="upperRoman"/>
      <w:lvlText w:val="%1."/>
      <w:lvlJc w:val="left"/>
      <w:pPr>
        <w:tabs>
          <w:tab w:val="num" w:pos="720"/>
        </w:tabs>
        <w:ind w:left="720" w:hanging="720"/>
      </w:pPr>
      <w:rPr>
        <w:rFont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AE342B4"/>
    <w:multiLevelType w:val="singleLevel"/>
    <w:tmpl w:val="A8B6F512"/>
    <w:lvl w:ilvl="0">
      <w:start w:val="1"/>
      <w:numFmt w:val="decimal"/>
      <w:lvlText w:val="%1."/>
      <w:lvlJc w:val="left"/>
      <w:pPr>
        <w:tabs>
          <w:tab w:val="num" w:pos="1080"/>
        </w:tabs>
        <w:ind w:left="0" w:firstLine="720"/>
      </w:pPr>
      <w:rPr>
        <w:rFonts w:ascii="Times New Roman" w:hAnsi="Times New Roman" w:hint="default"/>
        <w:b w:val="0"/>
        <w:i w:val="0"/>
        <w:sz w:val="24"/>
      </w:rPr>
    </w:lvl>
  </w:abstractNum>
  <w:num w:numId="1">
    <w:abstractNumId w:val="7"/>
  </w:num>
  <w:num w:numId="2">
    <w:abstractNumId w:val="12"/>
  </w:num>
  <w:num w:numId="3">
    <w:abstractNumId w:val="2"/>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num>
  <w:num w:numId="8">
    <w:abstractNumId w:val="11"/>
  </w:num>
  <w:num w:numId="9">
    <w:abstractNumId w:val="13"/>
  </w:num>
  <w:num w:numId="10">
    <w:abstractNumId w:val="0"/>
    <w:lvlOverride w:ilvl="0">
      <w:lvl w:ilvl="0">
        <w:numFmt w:val="bullet"/>
        <w:pStyle w:val="par1"/>
        <w:lvlText w:val=""/>
        <w:legacy w:legacy="1" w:legacySpace="0" w:legacyIndent="360"/>
        <w:lvlJc w:val="left"/>
        <w:rPr>
          <w:rFonts w:ascii="Symbol" w:hAnsi="Symbol" w:hint="default"/>
        </w:rPr>
      </w:lvl>
    </w:lvlOverride>
  </w:num>
  <w:num w:numId="11">
    <w:abstractNumId w:val="10"/>
  </w:num>
  <w:num w:numId="12">
    <w:abstractNumId w:val="3"/>
  </w:num>
  <w:num w:numId="13">
    <w:abstractNumId w:val="5"/>
  </w:num>
  <w:num w:numId="14">
    <w:abstractNumId w:val="8"/>
  </w:num>
  <w:num w:numId="15">
    <w:abstractNumId w:val="4"/>
  </w:num>
  <w:num w:numId="16">
    <w:abstractNumId w:val="1"/>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11A1"/>
    <w:rsid w:val="00006E99"/>
    <w:rsid w:val="00007CB1"/>
    <w:rsid w:val="00016EE8"/>
    <w:rsid w:val="0002016C"/>
    <w:rsid w:val="000214B8"/>
    <w:rsid w:val="0002156B"/>
    <w:rsid w:val="000426B5"/>
    <w:rsid w:val="00053111"/>
    <w:rsid w:val="00065988"/>
    <w:rsid w:val="000732A2"/>
    <w:rsid w:val="00077577"/>
    <w:rsid w:val="00086C79"/>
    <w:rsid w:val="00087029"/>
    <w:rsid w:val="00096FC3"/>
    <w:rsid w:val="000A6B4F"/>
    <w:rsid w:val="000C4BF8"/>
    <w:rsid w:val="000C5F3C"/>
    <w:rsid w:val="000D0910"/>
    <w:rsid w:val="000D532F"/>
    <w:rsid w:val="000E5F4C"/>
    <w:rsid w:val="0010276E"/>
    <w:rsid w:val="001040CA"/>
    <w:rsid w:val="0012171E"/>
    <w:rsid w:val="00122015"/>
    <w:rsid w:val="001536C5"/>
    <w:rsid w:val="0016387C"/>
    <w:rsid w:val="0017294B"/>
    <w:rsid w:val="001729D4"/>
    <w:rsid w:val="00172FB7"/>
    <w:rsid w:val="00175DE5"/>
    <w:rsid w:val="00175E75"/>
    <w:rsid w:val="001946C5"/>
    <w:rsid w:val="00197375"/>
    <w:rsid w:val="001A312E"/>
    <w:rsid w:val="001A697A"/>
    <w:rsid w:val="001B17F8"/>
    <w:rsid w:val="001B51E3"/>
    <w:rsid w:val="00211BC2"/>
    <w:rsid w:val="00213BBA"/>
    <w:rsid w:val="00216794"/>
    <w:rsid w:val="002459A8"/>
    <w:rsid w:val="0027200E"/>
    <w:rsid w:val="002735F3"/>
    <w:rsid w:val="0028281D"/>
    <w:rsid w:val="00282F70"/>
    <w:rsid w:val="00286DE4"/>
    <w:rsid w:val="00287E26"/>
    <w:rsid w:val="002A111B"/>
    <w:rsid w:val="002A3DCD"/>
    <w:rsid w:val="002A71F5"/>
    <w:rsid w:val="002A7519"/>
    <w:rsid w:val="002D0551"/>
    <w:rsid w:val="002D2A0F"/>
    <w:rsid w:val="002D5913"/>
    <w:rsid w:val="002E5A87"/>
    <w:rsid w:val="002E6043"/>
    <w:rsid w:val="00303553"/>
    <w:rsid w:val="00305CD3"/>
    <w:rsid w:val="00305EB5"/>
    <w:rsid w:val="003158B8"/>
    <w:rsid w:val="00322608"/>
    <w:rsid w:val="00325767"/>
    <w:rsid w:val="003264EC"/>
    <w:rsid w:val="00331129"/>
    <w:rsid w:val="0034003D"/>
    <w:rsid w:val="00340B78"/>
    <w:rsid w:val="00340BC7"/>
    <w:rsid w:val="00357476"/>
    <w:rsid w:val="00361A53"/>
    <w:rsid w:val="003648A8"/>
    <w:rsid w:val="00373669"/>
    <w:rsid w:val="003742F2"/>
    <w:rsid w:val="00380820"/>
    <w:rsid w:val="00381CBF"/>
    <w:rsid w:val="00382187"/>
    <w:rsid w:val="00383A7B"/>
    <w:rsid w:val="003843C0"/>
    <w:rsid w:val="00387F61"/>
    <w:rsid w:val="0039064F"/>
    <w:rsid w:val="00392744"/>
    <w:rsid w:val="00395A4E"/>
    <w:rsid w:val="003A00ED"/>
    <w:rsid w:val="003A34C6"/>
    <w:rsid w:val="003B51DD"/>
    <w:rsid w:val="003C312D"/>
    <w:rsid w:val="003D24EF"/>
    <w:rsid w:val="003D4241"/>
    <w:rsid w:val="003D6417"/>
    <w:rsid w:val="003E21FC"/>
    <w:rsid w:val="003E4382"/>
    <w:rsid w:val="003F4A61"/>
    <w:rsid w:val="003F601F"/>
    <w:rsid w:val="00413AC3"/>
    <w:rsid w:val="00427171"/>
    <w:rsid w:val="00427309"/>
    <w:rsid w:val="00430E52"/>
    <w:rsid w:val="00436905"/>
    <w:rsid w:val="004415E4"/>
    <w:rsid w:val="00455B41"/>
    <w:rsid w:val="00467653"/>
    <w:rsid w:val="0047375C"/>
    <w:rsid w:val="00475662"/>
    <w:rsid w:val="0047761D"/>
    <w:rsid w:val="00480E7D"/>
    <w:rsid w:val="004851CD"/>
    <w:rsid w:val="004867FB"/>
    <w:rsid w:val="00487356"/>
    <w:rsid w:val="0049372F"/>
    <w:rsid w:val="004A563B"/>
    <w:rsid w:val="004A6274"/>
    <w:rsid w:val="004B2792"/>
    <w:rsid w:val="004B45A7"/>
    <w:rsid w:val="004B6E19"/>
    <w:rsid w:val="004C04BF"/>
    <w:rsid w:val="004C19E6"/>
    <w:rsid w:val="004C4397"/>
    <w:rsid w:val="004D36B5"/>
    <w:rsid w:val="004D7B4E"/>
    <w:rsid w:val="004E129A"/>
    <w:rsid w:val="004E493B"/>
    <w:rsid w:val="005109E0"/>
    <w:rsid w:val="0052162E"/>
    <w:rsid w:val="005219C0"/>
    <w:rsid w:val="00523047"/>
    <w:rsid w:val="005233A6"/>
    <w:rsid w:val="005362D6"/>
    <w:rsid w:val="005411F4"/>
    <w:rsid w:val="005444E7"/>
    <w:rsid w:val="0055145B"/>
    <w:rsid w:val="00551C2B"/>
    <w:rsid w:val="005557F9"/>
    <w:rsid w:val="005619FD"/>
    <w:rsid w:val="00564984"/>
    <w:rsid w:val="00573CFE"/>
    <w:rsid w:val="00573E9F"/>
    <w:rsid w:val="00584872"/>
    <w:rsid w:val="005915CD"/>
    <w:rsid w:val="005A2B10"/>
    <w:rsid w:val="005A778D"/>
    <w:rsid w:val="005A7F89"/>
    <w:rsid w:val="005B4A45"/>
    <w:rsid w:val="005C20E6"/>
    <w:rsid w:val="005E3445"/>
    <w:rsid w:val="005E4B5E"/>
    <w:rsid w:val="005F5DAD"/>
    <w:rsid w:val="005F761E"/>
    <w:rsid w:val="0060275B"/>
    <w:rsid w:val="00607AA0"/>
    <w:rsid w:val="00610838"/>
    <w:rsid w:val="006126ED"/>
    <w:rsid w:val="00620146"/>
    <w:rsid w:val="00624E00"/>
    <w:rsid w:val="0062576A"/>
    <w:rsid w:val="00625BA0"/>
    <w:rsid w:val="0065394E"/>
    <w:rsid w:val="006608B7"/>
    <w:rsid w:val="00671093"/>
    <w:rsid w:val="00674E3A"/>
    <w:rsid w:val="00677CC4"/>
    <w:rsid w:val="00681CCD"/>
    <w:rsid w:val="0069587D"/>
    <w:rsid w:val="00696E42"/>
    <w:rsid w:val="006A0C23"/>
    <w:rsid w:val="006A38F5"/>
    <w:rsid w:val="006A4F92"/>
    <w:rsid w:val="006B7326"/>
    <w:rsid w:val="006D0F92"/>
    <w:rsid w:val="006D1783"/>
    <w:rsid w:val="006D69B9"/>
    <w:rsid w:val="006D73F2"/>
    <w:rsid w:val="006E33E0"/>
    <w:rsid w:val="006E45C3"/>
    <w:rsid w:val="006F6EEC"/>
    <w:rsid w:val="00704D2A"/>
    <w:rsid w:val="00712B90"/>
    <w:rsid w:val="007143C9"/>
    <w:rsid w:val="00716D74"/>
    <w:rsid w:val="00722452"/>
    <w:rsid w:val="00726175"/>
    <w:rsid w:val="00727819"/>
    <w:rsid w:val="00735062"/>
    <w:rsid w:val="00754DE8"/>
    <w:rsid w:val="00754F52"/>
    <w:rsid w:val="007550AD"/>
    <w:rsid w:val="0075606F"/>
    <w:rsid w:val="00761D02"/>
    <w:rsid w:val="00772DDD"/>
    <w:rsid w:val="00774F5A"/>
    <w:rsid w:val="007A4841"/>
    <w:rsid w:val="007B1E9A"/>
    <w:rsid w:val="007B3224"/>
    <w:rsid w:val="007B3A8B"/>
    <w:rsid w:val="007C0C63"/>
    <w:rsid w:val="007C568D"/>
    <w:rsid w:val="007D0590"/>
    <w:rsid w:val="007D3897"/>
    <w:rsid w:val="007D5402"/>
    <w:rsid w:val="007E52F2"/>
    <w:rsid w:val="007E53B8"/>
    <w:rsid w:val="00804BF5"/>
    <w:rsid w:val="00810B3F"/>
    <w:rsid w:val="00816F70"/>
    <w:rsid w:val="00824132"/>
    <w:rsid w:val="008274F6"/>
    <w:rsid w:val="00831B8F"/>
    <w:rsid w:val="00835A57"/>
    <w:rsid w:val="00843138"/>
    <w:rsid w:val="00844A7B"/>
    <w:rsid w:val="00846BC0"/>
    <w:rsid w:val="00846FBF"/>
    <w:rsid w:val="00850748"/>
    <w:rsid w:val="00855505"/>
    <w:rsid w:val="00880472"/>
    <w:rsid w:val="00882921"/>
    <w:rsid w:val="008A7EE3"/>
    <w:rsid w:val="008B1CAC"/>
    <w:rsid w:val="008B6EE7"/>
    <w:rsid w:val="008C02C7"/>
    <w:rsid w:val="008D2207"/>
    <w:rsid w:val="008E0506"/>
    <w:rsid w:val="008E69E9"/>
    <w:rsid w:val="008E727A"/>
    <w:rsid w:val="008F05BB"/>
    <w:rsid w:val="008F3246"/>
    <w:rsid w:val="008F7F2E"/>
    <w:rsid w:val="00906393"/>
    <w:rsid w:val="00914587"/>
    <w:rsid w:val="00923FEC"/>
    <w:rsid w:val="009246B1"/>
    <w:rsid w:val="00926DC8"/>
    <w:rsid w:val="00926DFA"/>
    <w:rsid w:val="00943DCE"/>
    <w:rsid w:val="00954880"/>
    <w:rsid w:val="00954E26"/>
    <w:rsid w:val="009574C7"/>
    <w:rsid w:val="00960613"/>
    <w:rsid w:val="0096278A"/>
    <w:rsid w:val="00963499"/>
    <w:rsid w:val="009752DF"/>
    <w:rsid w:val="00976954"/>
    <w:rsid w:val="0098215F"/>
    <w:rsid w:val="00984CAB"/>
    <w:rsid w:val="009974C0"/>
    <w:rsid w:val="009A37E6"/>
    <w:rsid w:val="009A79A8"/>
    <w:rsid w:val="009C40F9"/>
    <w:rsid w:val="009C5D7E"/>
    <w:rsid w:val="009D0541"/>
    <w:rsid w:val="009D2ABC"/>
    <w:rsid w:val="009D5758"/>
    <w:rsid w:val="009E2F52"/>
    <w:rsid w:val="009F084F"/>
    <w:rsid w:val="009F0926"/>
    <w:rsid w:val="009F11A1"/>
    <w:rsid w:val="00A007F6"/>
    <w:rsid w:val="00A07DA6"/>
    <w:rsid w:val="00A14A2D"/>
    <w:rsid w:val="00A16299"/>
    <w:rsid w:val="00A304A9"/>
    <w:rsid w:val="00A369C1"/>
    <w:rsid w:val="00A45B3A"/>
    <w:rsid w:val="00A46613"/>
    <w:rsid w:val="00A538FA"/>
    <w:rsid w:val="00A57778"/>
    <w:rsid w:val="00A640B0"/>
    <w:rsid w:val="00A75FA7"/>
    <w:rsid w:val="00A772FC"/>
    <w:rsid w:val="00A82D00"/>
    <w:rsid w:val="00AA5E72"/>
    <w:rsid w:val="00AB7264"/>
    <w:rsid w:val="00AC0692"/>
    <w:rsid w:val="00AE3A9C"/>
    <w:rsid w:val="00AE6BB8"/>
    <w:rsid w:val="00AF1995"/>
    <w:rsid w:val="00AF3C28"/>
    <w:rsid w:val="00B0066E"/>
    <w:rsid w:val="00B064BC"/>
    <w:rsid w:val="00B13F06"/>
    <w:rsid w:val="00B14681"/>
    <w:rsid w:val="00B21EBA"/>
    <w:rsid w:val="00B27008"/>
    <w:rsid w:val="00B27060"/>
    <w:rsid w:val="00B339ED"/>
    <w:rsid w:val="00B41F9C"/>
    <w:rsid w:val="00B45389"/>
    <w:rsid w:val="00B540F5"/>
    <w:rsid w:val="00B63F46"/>
    <w:rsid w:val="00B6524D"/>
    <w:rsid w:val="00B74A41"/>
    <w:rsid w:val="00B76704"/>
    <w:rsid w:val="00B83D92"/>
    <w:rsid w:val="00B925E3"/>
    <w:rsid w:val="00B93820"/>
    <w:rsid w:val="00B95829"/>
    <w:rsid w:val="00B95DCD"/>
    <w:rsid w:val="00BC1C93"/>
    <w:rsid w:val="00BC2225"/>
    <w:rsid w:val="00BC5B64"/>
    <w:rsid w:val="00BD4CCB"/>
    <w:rsid w:val="00BD5A2B"/>
    <w:rsid w:val="00BF3B58"/>
    <w:rsid w:val="00BF4014"/>
    <w:rsid w:val="00BF4987"/>
    <w:rsid w:val="00C03DA5"/>
    <w:rsid w:val="00C070E2"/>
    <w:rsid w:val="00C1625F"/>
    <w:rsid w:val="00C244DF"/>
    <w:rsid w:val="00C32931"/>
    <w:rsid w:val="00C32F47"/>
    <w:rsid w:val="00C63243"/>
    <w:rsid w:val="00C644D4"/>
    <w:rsid w:val="00C916D0"/>
    <w:rsid w:val="00C97A34"/>
    <w:rsid w:val="00CA6AD7"/>
    <w:rsid w:val="00CA796D"/>
    <w:rsid w:val="00CB0C3B"/>
    <w:rsid w:val="00CB2BD2"/>
    <w:rsid w:val="00CB3197"/>
    <w:rsid w:val="00CC1731"/>
    <w:rsid w:val="00CD18A5"/>
    <w:rsid w:val="00CD3527"/>
    <w:rsid w:val="00CE6436"/>
    <w:rsid w:val="00CF29F3"/>
    <w:rsid w:val="00CF5414"/>
    <w:rsid w:val="00D015F1"/>
    <w:rsid w:val="00D05FDD"/>
    <w:rsid w:val="00D12C53"/>
    <w:rsid w:val="00D14185"/>
    <w:rsid w:val="00D16BAA"/>
    <w:rsid w:val="00D2320D"/>
    <w:rsid w:val="00D321F7"/>
    <w:rsid w:val="00D43111"/>
    <w:rsid w:val="00D52F08"/>
    <w:rsid w:val="00D65042"/>
    <w:rsid w:val="00D66787"/>
    <w:rsid w:val="00D85612"/>
    <w:rsid w:val="00D87306"/>
    <w:rsid w:val="00D90B1D"/>
    <w:rsid w:val="00DA00CF"/>
    <w:rsid w:val="00DA17CB"/>
    <w:rsid w:val="00DB27A2"/>
    <w:rsid w:val="00DF5146"/>
    <w:rsid w:val="00E043F8"/>
    <w:rsid w:val="00E055F0"/>
    <w:rsid w:val="00E16B06"/>
    <w:rsid w:val="00E2064A"/>
    <w:rsid w:val="00E2138B"/>
    <w:rsid w:val="00E2230F"/>
    <w:rsid w:val="00E6565D"/>
    <w:rsid w:val="00E677B4"/>
    <w:rsid w:val="00E76BB4"/>
    <w:rsid w:val="00E9036A"/>
    <w:rsid w:val="00EA1CB0"/>
    <w:rsid w:val="00EA3D71"/>
    <w:rsid w:val="00EA671C"/>
    <w:rsid w:val="00EB1E35"/>
    <w:rsid w:val="00EB2B7A"/>
    <w:rsid w:val="00EB3C8B"/>
    <w:rsid w:val="00EC393B"/>
    <w:rsid w:val="00EC3F96"/>
    <w:rsid w:val="00EC412C"/>
    <w:rsid w:val="00ED2A01"/>
    <w:rsid w:val="00ED6ECA"/>
    <w:rsid w:val="00EE33F3"/>
    <w:rsid w:val="00EE68E4"/>
    <w:rsid w:val="00EE7AA5"/>
    <w:rsid w:val="00EF4E46"/>
    <w:rsid w:val="00EF5F55"/>
    <w:rsid w:val="00F0180A"/>
    <w:rsid w:val="00F06E41"/>
    <w:rsid w:val="00F165FC"/>
    <w:rsid w:val="00F25F0C"/>
    <w:rsid w:val="00F31408"/>
    <w:rsid w:val="00F53E7E"/>
    <w:rsid w:val="00F65D94"/>
    <w:rsid w:val="00F812C5"/>
    <w:rsid w:val="00F8325E"/>
    <w:rsid w:val="00F8618A"/>
    <w:rsid w:val="00FB332B"/>
    <w:rsid w:val="00FC4ABC"/>
    <w:rsid w:val="00FD7AFC"/>
    <w:rsid w:val="00FE1DF9"/>
    <w:rsid w:val="00FF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D92"/>
    <w:pPr>
      <w:widowControl w:val="0"/>
    </w:pPr>
    <w:rPr>
      <w:snapToGrid w:val="0"/>
      <w:kern w:val="28"/>
      <w:sz w:val="22"/>
    </w:rPr>
  </w:style>
  <w:style w:type="paragraph" w:styleId="Heading1">
    <w:name w:val="heading 1"/>
    <w:basedOn w:val="Normal"/>
    <w:next w:val="ParaNum"/>
    <w:qFormat/>
    <w:rsid w:val="00B83D92"/>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83D92"/>
    <w:pPr>
      <w:keepNext/>
      <w:numPr>
        <w:ilvl w:val="1"/>
        <w:numId w:val="13"/>
      </w:numPr>
      <w:spacing w:after="120"/>
      <w:outlineLvl w:val="1"/>
    </w:pPr>
    <w:rPr>
      <w:b/>
    </w:rPr>
  </w:style>
  <w:style w:type="paragraph" w:styleId="Heading3">
    <w:name w:val="heading 3"/>
    <w:basedOn w:val="Normal"/>
    <w:next w:val="ParaNum"/>
    <w:link w:val="Heading3Char"/>
    <w:qFormat/>
    <w:rsid w:val="00B83D92"/>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B83D92"/>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B83D92"/>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B83D92"/>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B83D92"/>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B83D92"/>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83D92"/>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83D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3D92"/>
  </w:style>
  <w:style w:type="paragraph" w:styleId="Header">
    <w:name w:val="header"/>
    <w:basedOn w:val="Normal"/>
    <w:autoRedefine/>
    <w:rsid w:val="00B83D92"/>
    <w:pPr>
      <w:tabs>
        <w:tab w:val="center" w:pos="4680"/>
        <w:tab w:val="right" w:pos="9360"/>
      </w:tabs>
    </w:pPr>
    <w:rPr>
      <w:b/>
    </w:rPr>
  </w:style>
  <w:style w:type="paragraph" w:styleId="Footer">
    <w:name w:val="footer"/>
    <w:basedOn w:val="Normal"/>
    <w:rsid w:val="00B83D92"/>
    <w:pPr>
      <w:tabs>
        <w:tab w:val="center" w:pos="4320"/>
        <w:tab w:val="right" w:pos="8640"/>
      </w:tabs>
    </w:pPr>
  </w:style>
  <w:style w:type="character" w:styleId="PageNumber">
    <w:name w:val="page number"/>
    <w:basedOn w:val="DefaultParagraphFont"/>
    <w:rsid w:val="00B83D92"/>
  </w:style>
  <w:style w:type="character" w:styleId="FootnoteReference">
    <w:name w:val="footnote reference"/>
    <w:aliases w:val="Style 12,(NECG) Footnote Reference,Appel note de bas de p,Style 124,Style 4,Style 13,o,fr,Style 3,FR,Style 17,Style 6,Footnote Reference/"/>
    <w:rsid w:val="00B83D92"/>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f"/>
    <w:link w:val="FootnoteTextChar2"/>
    <w:rsid w:val="00B83D92"/>
    <w:pPr>
      <w:spacing w:after="120"/>
    </w:pPr>
  </w:style>
  <w:style w:type="paragraph" w:styleId="BodyText">
    <w:name w:val="Body Text"/>
    <w:basedOn w:val="Normal"/>
    <w:rPr>
      <w:snapToGrid/>
    </w:rPr>
  </w:style>
  <w:style w:type="paragraph" w:styleId="Title">
    <w:name w:val="Title"/>
    <w:basedOn w:val="Normal"/>
    <w:qFormat/>
    <w:pPr>
      <w:tabs>
        <w:tab w:val="center" w:pos="4770"/>
      </w:tabs>
      <w:spacing w:line="226" w:lineRule="auto"/>
      <w:jc w:val="center"/>
    </w:pPr>
    <w:rPr>
      <w:b/>
    </w:rPr>
  </w:style>
  <w:style w:type="paragraph" w:styleId="EndnoteText">
    <w:name w:val="endnote text"/>
    <w:basedOn w:val="Normal"/>
    <w:semiHidden/>
    <w:rsid w:val="00B83D92"/>
    <w:rPr>
      <w:sz w:val="20"/>
    </w:rPr>
  </w:style>
  <w:style w:type="character" w:styleId="EndnoteReference">
    <w:name w:val="endnote reference"/>
    <w:semiHidden/>
    <w:rsid w:val="00B83D92"/>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6">
    <w:name w:val="toc 6"/>
    <w:basedOn w:val="Normal"/>
    <w:next w:val="Normal"/>
    <w:autoRedefine/>
    <w:semiHidden/>
    <w:rsid w:val="00B83D92"/>
    <w:pPr>
      <w:tabs>
        <w:tab w:val="left" w:pos="2160"/>
        <w:tab w:val="right" w:leader="dot" w:pos="9360"/>
      </w:tabs>
      <w:suppressAutoHyphens/>
      <w:ind w:left="2160" w:hanging="360"/>
    </w:pPr>
    <w:rPr>
      <w:noProof/>
    </w:rPr>
  </w:style>
  <w:style w:type="paragraph" w:customStyle="1" w:styleId="Style0">
    <w:name w:val="Style0"/>
    <w:rPr>
      <w:rFonts w:ascii="Arial" w:hAnsi="Arial"/>
      <w:snapToGrid w:val="0"/>
      <w:sz w:val="24"/>
    </w:rPr>
  </w:style>
  <w:style w:type="paragraph" w:styleId="BodyText2">
    <w:name w:val="Body Text 2"/>
    <w:basedOn w:val="Normal"/>
    <w:rsid w:val="009F11A1"/>
    <w:pPr>
      <w:spacing w:after="120" w:line="480" w:lineRule="auto"/>
    </w:pPr>
  </w:style>
  <w:style w:type="character" w:customStyle="1" w:styleId="FootnoteTextChar2">
    <w:name w:val="Footnote Text Char2"/>
    <w:aliases w:val="rrfootnote Char2,Footnote Text Char1 Char1,Footnote Text Char Char Char1,rrfootnote Char Char Char,rrfootnote Char1 Char,Footnote Text Char Char1,Footnote Text Char1 Char Char,Footnote Text Char Char Char Char,f Char"/>
    <w:link w:val="FootnoteText"/>
    <w:rsid w:val="002D2A0F"/>
  </w:style>
  <w:style w:type="character" w:customStyle="1" w:styleId="FootnoteTextCharCharCharCharChar">
    <w:name w:val="Footnote Text Char Char Char Char Char"/>
    <w:aliases w:val="Footnote Text Char1 Char Char Char Char Char,rrfootnote Char1 Char Char Char Char Char"/>
    <w:rsid w:val="00211BC2"/>
    <w:rPr>
      <w:snapToGrid w:val="0"/>
      <w:sz w:val="22"/>
      <w:szCs w:val="22"/>
      <w:lang w:val="en-US" w:eastAsia="en-US" w:bidi="ar-SA"/>
    </w:rPr>
  </w:style>
  <w:style w:type="character" w:styleId="Hyperlink">
    <w:name w:val="Hyperlink"/>
    <w:rsid w:val="00B83D92"/>
    <w:rPr>
      <w:color w:val="0000FF"/>
      <w:u w:val="single"/>
    </w:rPr>
  </w:style>
  <w:style w:type="character" w:customStyle="1" w:styleId="documentbody">
    <w:name w:val="documentbody"/>
    <w:basedOn w:val="DefaultParagraphFont"/>
    <w:rsid w:val="00963499"/>
  </w:style>
  <w:style w:type="character" w:customStyle="1" w:styleId="searchterm">
    <w:name w:val="searchterm"/>
    <w:basedOn w:val="DefaultParagraphFont"/>
    <w:rsid w:val="00963499"/>
  </w:style>
  <w:style w:type="character" w:customStyle="1" w:styleId="rrfootnoteChar">
    <w:name w:val="rrfootnote Char"/>
    <w:aliases w:val="rrfootnote Char Char Char1,Footnote Text Char1 Char Char1,Footnote Text Char Char Char Char1,Footnote Text Char1 Char Char Char Char1"/>
    <w:rsid w:val="00380820"/>
    <w:rPr>
      <w:lang w:val="en-US" w:eastAsia="en-US" w:bidi="ar-SA"/>
    </w:rPr>
  </w:style>
  <w:style w:type="character" w:customStyle="1" w:styleId="FootnoteCharacters">
    <w:name w:val="Footnote Characters"/>
    <w:uiPriority w:val="99"/>
    <w:rsid w:val="00B6524D"/>
    <w:rPr>
      <w:rFonts w:ascii="Times New Roman" w:hAnsi="Times New Roman"/>
      <w:color w:val="auto"/>
      <w:sz w:val="20"/>
      <w:vertAlign w:val="superscript"/>
    </w:rPr>
  </w:style>
  <w:style w:type="character" w:customStyle="1" w:styleId="ParaNumChar">
    <w:name w:val="ParaNum Char"/>
    <w:link w:val="ParaNum"/>
    <w:locked/>
    <w:rsid w:val="009A79A8"/>
    <w:rPr>
      <w:snapToGrid w:val="0"/>
      <w:kern w:val="28"/>
      <w:sz w:val="22"/>
    </w:rPr>
  </w:style>
  <w:style w:type="paragraph" w:customStyle="1" w:styleId="ParaNum">
    <w:name w:val="ParaNum"/>
    <w:basedOn w:val="Normal"/>
    <w:link w:val="ParaNumChar"/>
    <w:rsid w:val="00B83D92"/>
    <w:pPr>
      <w:numPr>
        <w:numId w:val="9"/>
      </w:numPr>
      <w:tabs>
        <w:tab w:val="clear" w:pos="1080"/>
        <w:tab w:val="num" w:pos="1440"/>
      </w:tabs>
      <w:spacing w:after="120"/>
    </w:pPr>
  </w:style>
  <w:style w:type="paragraph" w:styleId="ListParagraph">
    <w:name w:val="List Paragraph"/>
    <w:basedOn w:val="Normal"/>
    <w:uiPriority w:val="99"/>
    <w:qFormat/>
    <w:rsid w:val="008F7F2E"/>
    <w:pPr>
      <w:ind w:left="720"/>
      <w:contextualSpacing/>
    </w:pPr>
    <w:rPr>
      <w:snapToGrid/>
    </w:rPr>
  </w:style>
  <w:style w:type="paragraph" w:customStyle="1" w:styleId="par1">
    <w:name w:val="par1"/>
    <w:basedOn w:val="Normal"/>
    <w:link w:val="par1Char"/>
    <w:uiPriority w:val="99"/>
    <w:rsid w:val="008F7F2E"/>
    <w:pPr>
      <w:numPr>
        <w:numId w:val="10"/>
      </w:numPr>
      <w:tabs>
        <w:tab w:val="num" w:pos="900"/>
        <w:tab w:val="left" w:pos="1440"/>
      </w:tabs>
      <w:ind w:left="-180" w:firstLine="720"/>
    </w:pPr>
    <w:rPr>
      <w:snapToGrid/>
    </w:rPr>
  </w:style>
  <w:style w:type="character" w:customStyle="1" w:styleId="par1Char">
    <w:name w:val="par1 Char"/>
    <w:link w:val="par1"/>
    <w:uiPriority w:val="99"/>
    <w:locked/>
    <w:rsid w:val="008F7F2E"/>
    <w:rPr>
      <w:snapToGrid w:val="0"/>
      <w:kern w:val="28"/>
    </w:rPr>
  </w:style>
  <w:style w:type="character" w:customStyle="1" w:styleId="Heading3Char">
    <w:name w:val="Heading 3 Char"/>
    <w:basedOn w:val="DefaultParagraphFont"/>
    <w:link w:val="Heading3"/>
    <w:rsid w:val="00BC2225"/>
    <w:rPr>
      <w:b/>
      <w:snapToGrid w:val="0"/>
      <w:kern w:val="28"/>
      <w:sz w:val="22"/>
    </w:rPr>
  </w:style>
  <w:style w:type="character" w:customStyle="1" w:styleId="Heading4Char">
    <w:name w:val="Heading 4 Char"/>
    <w:basedOn w:val="DefaultParagraphFont"/>
    <w:link w:val="Heading4"/>
    <w:rsid w:val="00BC2225"/>
    <w:rPr>
      <w:b/>
      <w:snapToGrid w:val="0"/>
      <w:kern w:val="28"/>
      <w:sz w:val="22"/>
    </w:rPr>
  </w:style>
  <w:style w:type="character" w:customStyle="1" w:styleId="Heading5Char">
    <w:name w:val="Heading 5 Char"/>
    <w:basedOn w:val="DefaultParagraphFont"/>
    <w:link w:val="Heading5"/>
    <w:rsid w:val="00BC2225"/>
    <w:rPr>
      <w:b/>
      <w:snapToGrid w:val="0"/>
      <w:kern w:val="28"/>
      <w:sz w:val="22"/>
    </w:rPr>
  </w:style>
  <w:style w:type="character" w:customStyle="1" w:styleId="Heading6Char">
    <w:name w:val="Heading 6 Char"/>
    <w:basedOn w:val="DefaultParagraphFont"/>
    <w:link w:val="Heading6"/>
    <w:rsid w:val="00BC2225"/>
    <w:rPr>
      <w:b/>
      <w:snapToGrid w:val="0"/>
      <w:kern w:val="28"/>
      <w:sz w:val="22"/>
    </w:rPr>
  </w:style>
  <w:style w:type="character" w:customStyle="1" w:styleId="Heading7Char">
    <w:name w:val="Heading 7 Char"/>
    <w:basedOn w:val="DefaultParagraphFont"/>
    <w:link w:val="Heading7"/>
    <w:rsid w:val="00BC2225"/>
    <w:rPr>
      <w:b/>
      <w:snapToGrid w:val="0"/>
      <w:kern w:val="28"/>
      <w:sz w:val="22"/>
    </w:rPr>
  </w:style>
  <w:style w:type="character" w:customStyle="1" w:styleId="Heading8Char">
    <w:name w:val="Heading 8 Char"/>
    <w:basedOn w:val="DefaultParagraphFont"/>
    <w:link w:val="Heading8"/>
    <w:rsid w:val="00BC2225"/>
    <w:rPr>
      <w:b/>
      <w:snapToGrid w:val="0"/>
      <w:kern w:val="28"/>
      <w:sz w:val="22"/>
    </w:rPr>
  </w:style>
  <w:style w:type="character" w:customStyle="1" w:styleId="Heading9Char">
    <w:name w:val="Heading 9 Char"/>
    <w:basedOn w:val="DefaultParagraphFont"/>
    <w:link w:val="Heading9"/>
    <w:rsid w:val="00BC2225"/>
    <w:rPr>
      <w:b/>
      <w:snapToGrid w:val="0"/>
      <w:kern w:val="28"/>
      <w:sz w:val="22"/>
    </w:rPr>
  </w:style>
  <w:style w:type="paragraph" w:styleId="TOC1">
    <w:name w:val="toc 1"/>
    <w:basedOn w:val="Normal"/>
    <w:next w:val="Normal"/>
    <w:rsid w:val="00B83D92"/>
    <w:pPr>
      <w:tabs>
        <w:tab w:val="left" w:pos="360"/>
        <w:tab w:val="right" w:leader="dot" w:pos="9360"/>
      </w:tabs>
      <w:suppressAutoHyphens/>
      <w:ind w:left="360" w:right="720" w:hanging="360"/>
    </w:pPr>
    <w:rPr>
      <w:caps/>
      <w:noProof/>
    </w:rPr>
  </w:style>
  <w:style w:type="paragraph" w:styleId="TOC2">
    <w:name w:val="toc 2"/>
    <w:basedOn w:val="Normal"/>
    <w:next w:val="Normal"/>
    <w:rsid w:val="00B83D92"/>
    <w:pPr>
      <w:tabs>
        <w:tab w:val="left" w:pos="720"/>
        <w:tab w:val="right" w:leader="dot" w:pos="9360"/>
      </w:tabs>
      <w:suppressAutoHyphens/>
      <w:ind w:left="720" w:right="720" w:hanging="360"/>
    </w:pPr>
    <w:rPr>
      <w:noProof/>
    </w:rPr>
  </w:style>
  <w:style w:type="paragraph" w:styleId="TOC3">
    <w:name w:val="toc 3"/>
    <w:basedOn w:val="Normal"/>
    <w:next w:val="Normal"/>
    <w:rsid w:val="00B83D9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83D9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B83D92"/>
    <w:pPr>
      <w:tabs>
        <w:tab w:val="left" w:pos="1800"/>
        <w:tab w:val="right" w:leader="dot" w:pos="9360"/>
      </w:tabs>
      <w:suppressAutoHyphens/>
      <w:ind w:left="1800" w:right="720" w:hanging="360"/>
    </w:pPr>
    <w:rPr>
      <w:noProof/>
    </w:rPr>
  </w:style>
  <w:style w:type="paragraph" w:styleId="TOC7">
    <w:name w:val="toc 7"/>
    <w:basedOn w:val="Normal"/>
    <w:next w:val="Normal"/>
    <w:autoRedefine/>
    <w:rsid w:val="00B83D92"/>
    <w:pPr>
      <w:tabs>
        <w:tab w:val="left" w:pos="2520"/>
        <w:tab w:val="right" w:leader="dot" w:pos="9360"/>
      </w:tabs>
      <w:suppressAutoHyphens/>
      <w:ind w:left="2520" w:hanging="360"/>
    </w:pPr>
    <w:rPr>
      <w:noProof/>
    </w:rPr>
  </w:style>
  <w:style w:type="paragraph" w:styleId="TOC8">
    <w:name w:val="toc 8"/>
    <w:basedOn w:val="Normal"/>
    <w:next w:val="Normal"/>
    <w:autoRedefine/>
    <w:rsid w:val="00B83D92"/>
    <w:pPr>
      <w:tabs>
        <w:tab w:val="left" w:pos="2880"/>
        <w:tab w:val="right" w:leader="dot" w:pos="9360"/>
      </w:tabs>
      <w:suppressAutoHyphens/>
      <w:ind w:left="2880" w:hanging="360"/>
    </w:pPr>
    <w:rPr>
      <w:noProof/>
    </w:rPr>
  </w:style>
  <w:style w:type="paragraph" w:styleId="TOC9">
    <w:name w:val="toc 9"/>
    <w:basedOn w:val="Normal"/>
    <w:next w:val="Normal"/>
    <w:autoRedefine/>
    <w:rsid w:val="00B83D92"/>
    <w:pPr>
      <w:tabs>
        <w:tab w:val="left" w:pos="3240"/>
        <w:tab w:val="right" w:leader="dot" w:pos="9360"/>
      </w:tabs>
      <w:suppressAutoHyphens/>
      <w:ind w:left="3240" w:hanging="360"/>
    </w:pPr>
    <w:rPr>
      <w:noProof/>
    </w:rPr>
  </w:style>
  <w:style w:type="paragraph" w:styleId="TOAHeading">
    <w:name w:val="toa heading"/>
    <w:basedOn w:val="Normal"/>
    <w:next w:val="Normal"/>
    <w:rsid w:val="00B83D92"/>
    <w:pPr>
      <w:tabs>
        <w:tab w:val="right" w:pos="9360"/>
      </w:tabs>
      <w:suppressAutoHyphens/>
    </w:pPr>
  </w:style>
  <w:style w:type="character" w:customStyle="1" w:styleId="EquationCaption">
    <w:name w:val="_Equation Caption"/>
    <w:rsid w:val="00B83D92"/>
  </w:style>
  <w:style w:type="paragraph" w:styleId="BlockText">
    <w:name w:val="Block Text"/>
    <w:basedOn w:val="Normal"/>
    <w:rsid w:val="00B83D92"/>
    <w:pPr>
      <w:spacing w:after="240"/>
      <w:ind w:left="1440" w:right="1440"/>
    </w:pPr>
  </w:style>
  <w:style w:type="paragraph" w:customStyle="1" w:styleId="Paratitle">
    <w:name w:val="Para title"/>
    <w:basedOn w:val="Normal"/>
    <w:rsid w:val="00B83D92"/>
    <w:pPr>
      <w:tabs>
        <w:tab w:val="center" w:pos="9270"/>
      </w:tabs>
      <w:spacing w:after="240"/>
    </w:pPr>
    <w:rPr>
      <w:spacing w:val="-2"/>
    </w:rPr>
  </w:style>
  <w:style w:type="paragraph" w:customStyle="1" w:styleId="Bullet">
    <w:name w:val="Bullet"/>
    <w:basedOn w:val="Normal"/>
    <w:rsid w:val="00B83D92"/>
    <w:pPr>
      <w:tabs>
        <w:tab w:val="left" w:pos="2160"/>
      </w:tabs>
      <w:spacing w:after="220"/>
      <w:ind w:left="2160" w:hanging="720"/>
    </w:pPr>
  </w:style>
  <w:style w:type="paragraph" w:customStyle="1" w:styleId="TableFormat">
    <w:name w:val="TableFormat"/>
    <w:basedOn w:val="Bullet"/>
    <w:rsid w:val="00B83D92"/>
    <w:pPr>
      <w:tabs>
        <w:tab w:val="clear" w:pos="2160"/>
        <w:tab w:val="left" w:pos="5040"/>
      </w:tabs>
      <w:ind w:left="5040" w:hanging="3600"/>
    </w:pPr>
  </w:style>
  <w:style w:type="paragraph" w:customStyle="1" w:styleId="TOCTitle">
    <w:name w:val="TOC Title"/>
    <w:basedOn w:val="Normal"/>
    <w:rsid w:val="00B83D9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83D92"/>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D92"/>
    <w:pPr>
      <w:widowControl w:val="0"/>
    </w:pPr>
    <w:rPr>
      <w:snapToGrid w:val="0"/>
      <w:kern w:val="28"/>
      <w:sz w:val="22"/>
    </w:rPr>
  </w:style>
  <w:style w:type="paragraph" w:styleId="Heading1">
    <w:name w:val="heading 1"/>
    <w:basedOn w:val="Normal"/>
    <w:next w:val="ParaNum"/>
    <w:qFormat/>
    <w:rsid w:val="00B83D92"/>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83D92"/>
    <w:pPr>
      <w:keepNext/>
      <w:numPr>
        <w:ilvl w:val="1"/>
        <w:numId w:val="13"/>
      </w:numPr>
      <w:spacing w:after="120"/>
      <w:outlineLvl w:val="1"/>
    </w:pPr>
    <w:rPr>
      <w:b/>
    </w:rPr>
  </w:style>
  <w:style w:type="paragraph" w:styleId="Heading3">
    <w:name w:val="heading 3"/>
    <w:basedOn w:val="Normal"/>
    <w:next w:val="ParaNum"/>
    <w:link w:val="Heading3Char"/>
    <w:qFormat/>
    <w:rsid w:val="00B83D92"/>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B83D92"/>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B83D92"/>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B83D92"/>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B83D92"/>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B83D92"/>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83D92"/>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83D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3D92"/>
  </w:style>
  <w:style w:type="paragraph" w:styleId="Header">
    <w:name w:val="header"/>
    <w:basedOn w:val="Normal"/>
    <w:autoRedefine/>
    <w:rsid w:val="00B83D92"/>
    <w:pPr>
      <w:tabs>
        <w:tab w:val="center" w:pos="4680"/>
        <w:tab w:val="right" w:pos="9360"/>
      </w:tabs>
    </w:pPr>
    <w:rPr>
      <w:b/>
    </w:rPr>
  </w:style>
  <w:style w:type="paragraph" w:styleId="Footer">
    <w:name w:val="footer"/>
    <w:basedOn w:val="Normal"/>
    <w:rsid w:val="00B83D92"/>
    <w:pPr>
      <w:tabs>
        <w:tab w:val="center" w:pos="4320"/>
        <w:tab w:val="right" w:pos="8640"/>
      </w:tabs>
    </w:pPr>
  </w:style>
  <w:style w:type="character" w:styleId="PageNumber">
    <w:name w:val="page number"/>
    <w:basedOn w:val="DefaultParagraphFont"/>
    <w:rsid w:val="00B83D92"/>
  </w:style>
  <w:style w:type="character" w:styleId="FootnoteReference">
    <w:name w:val="footnote reference"/>
    <w:aliases w:val="Style 12,(NECG) Footnote Reference,Appel note de bas de p,Style 124,Style 4,Style 13,o,fr,Style 3,FR,Style 17,Style 6,Footnote Reference/"/>
    <w:rsid w:val="00B83D92"/>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f"/>
    <w:link w:val="FootnoteTextChar2"/>
    <w:rsid w:val="00B83D92"/>
    <w:pPr>
      <w:spacing w:after="120"/>
    </w:pPr>
  </w:style>
  <w:style w:type="paragraph" w:styleId="BodyText">
    <w:name w:val="Body Text"/>
    <w:basedOn w:val="Normal"/>
    <w:rPr>
      <w:snapToGrid/>
    </w:rPr>
  </w:style>
  <w:style w:type="paragraph" w:styleId="Title">
    <w:name w:val="Title"/>
    <w:basedOn w:val="Normal"/>
    <w:qFormat/>
    <w:pPr>
      <w:tabs>
        <w:tab w:val="center" w:pos="4770"/>
      </w:tabs>
      <w:spacing w:line="226" w:lineRule="auto"/>
      <w:jc w:val="center"/>
    </w:pPr>
    <w:rPr>
      <w:b/>
    </w:rPr>
  </w:style>
  <w:style w:type="paragraph" w:styleId="EndnoteText">
    <w:name w:val="endnote text"/>
    <w:basedOn w:val="Normal"/>
    <w:semiHidden/>
    <w:rsid w:val="00B83D92"/>
    <w:rPr>
      <w:sz w:val="20"/>
    </w:rPr>
  </w:style>
  <w:style w:type="character" w:styleId="EndnoteReference">
    <w:name w:val="endnote reference"/>
    <w:semiHidden/>
    <w:rsid w:val="00B83D92"/>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6">
    <w:name w:val="toc 6"/>
    <w:basedOn w:val="Normal"/>
    <w:next w:val="Normal"/>
    <w:autoRedefine/>
    <w:semiHidden/>
    <w:rsid w:val="00B83D92"/>
    <w:pPr>
      <w:tabs>
        <w:tab w:val="left" w:pos="2160"/>
        <w:tab w:val="right" w:leader="dot" w:pos="9360"/>
      </w:tabs>
      <w:suppressAutoHyphens/>
      <w:ind w:left="2160" w:hanging="360"/>
    </w:pPr>
    <w:rPr>
      <w:noProof/>
    </w:rPr>
  </w:style>
  <w:style w:type="paragraph" w:customStyle="1" w:styleId="Style0">
    <w:name w:val="Style0"/>
    <w:rPr>
      <w:rFonts w:ascii="Arial" w:hAnsi="Arial"/>
      <w:snapToGrid w:val="0"/>
      <w:sz w:val="24"/>
    </w:rPr>
  </w:style>
  <w:style w:type="paragraph" w:styleId="BodyText2">
    <w:name w:val="Body Text 2"/>
    <w:basedOn w:val="Normal"/>
    <w:rsid w:val="009F11A1"/>
    <w:pPr>
      <w:spacing w:after="120" w:line="480" w:lineRule="auto"/>
    </w:pPr>
  </w:style>
  <w:style w:type="character" w:customStyle="1" w:styleId="FootnoteTextChar2">
    <w:name w:val="Footnote Text Char2"/>
    <w:aliases w:val="rrfootnote Char2,Footnote Text Char1 Char1,Footnote Text Char Char Char1,rrfootnote Char Char Char,rrfootnote Char1 Char,Footnote Text Char Char1,Footnote Text Char1 Char Char,Footnote Text Char Char Char Char,f Char"/>
    <w:link w:val="FootnoteText"/>
    <w:rsid w:val="002D2A0F"/>
  </w:style>
  <w:style w:type="character" w:customStyle="1" w:styleId="FootnoteTextCharCharCharCharChar">
    <w:name w:val="Footnote Text Char Char Char Char Char"/>
    <w:aliases w:val="Footnote Text Char1 Char Char Char Char Char,rrfootnote Char1 Char Char Char Char Char"/>
    <w:rsid w:val="00211BC2"/>
    <w:rPr>
      <w:snapToGrid w:val="0"/>
      <w:sz w:val="22"/>
      <w:szCs w:val="22"/>
      <w:lang w:val="en-US" w:eastAsia="en-US" w:bidi="ar-SA"/>
    </w:rPr>
  </w:style>
  <w:style w:type="character" w:styleId="Hyperlink">
    <w:name w:val="Hyperlink"/>
    <w:rsid w:val="00B83D92"/>
    <w:rPr>
      <w:color w:val="0000FF"/>
      <w:u w:val="single"/>
    </w:rPr>
  </w:style>
  <w:style w:type="character" w:customStyle="1" w:styleId="documentbody">
    <w:name w:val="documentbody"/>
    <w:basedOn w:val="DefaultParagraphFont"/>
    <w:rsid w:val="00963499"/>
  </w:style>
  <w:style w:type="character" w:customStyle="1" w:styleId="searchterm">
    <w:name w:val="searchterm"/>
    <w:basedOn w:val="DefaultParagraphFont"/>
    <w:rsid w:val="00963499"/>
  </w:style>
  <w:style w:type="character" w:customStyle="1" w:styleId="rrfootnoteChar">
    <w:name w:val="rrfootnote Char"/>
    <w:aliases w:val="rrfootnote Char Char Char1,Footnote Text Char1 Char Char1,Footnote Text Char Char Char Char1,Footnote Text Char1 Char Char Char Char1"/>
    <w:rsid w:val="00380820"/>
    <w:rPr>
      <w:lang w:val="en-US" w:eastAsia="en-US" w:bidi="ar-SA"/>
    </w:rPr>
  </w:style>
  <w:style w:type="character" w:customStyle="1" w:styleId="FootnoteCharacters">
    <w:name w:val="Footnote Characters"/>
    <w:uiPriority w:val="99"/>
    <w:rsid w:val="00B6524D"/>
    <w:rPr>
      <w:rFonts w:ascii="Times New Roman" w:hAnsi="Times New Roman"/>
      <w:color w:val="auto"/>
      <w:sz w:val="20"/>
      <w:vertAlign w:val="superscript"/>
    </w:rPr>
  </w:style>
  <w:style w:type="character" w:customStyle="1" w:styleId="ParaNumChar">
    <w:name w:val="ParaNum Char"/>
    <w:link w:val="ParaNum"/>
    <w:locked/>
    <w:rsid w:val="009A79A8"/>
    <w:rPr>
      <w:snapToGrid w:val="0"/>
      <w:kern w:val="28"/>
      <w:sz w:val="22"/>
    </w:rPr>
  </w:style>
  <w:style w:type="paragraph" w:customStyle="1" w:styleId="ParaNum">
    <w:name w:val="ParaNum"/>
    <w:basedOn w:val="Normal"/>
    <w:link w:val="ParaNumChar"/>
    <w:rsid w:val="00B83D92"/>
    <w:pPr>
      <w:numPr>
        <w:numId w:val="9"/>
      </w:numPr>
      <w:tabs>
        <w:tab w:val="clear" w:pos="1080"/>
        <w:tab w:val="num" w:pos="1440"/>
      </w:tabs>
      <w:spacing w:after="120"/>
    </w:pPr>
  </w:style>
  <w:style w:type="paragraph" w:styleId="ListParagraph">
    <w:name w:val="List Paragraph"/>
    <w:basedOn w:val="Normal"/>
    <w:uiPriority w:val="99"/>
    <w:qFormat/>
    <w:rsid w:val="008F7F2E"/>
    <w:pPr>
      <w:ind w:left="720"/>
      <w:contextualSpacing/>
    </w:pPr>
    <w:rPr>
      <w:snapToGrid/>
    </w:rPr>
  </w:style>
  <w:style w:type="paragraph" w:customStyle="1" w:styleId="par1">
    <w:name w:val="par1"/>
    <w:basedOn w:val="Normal"/>
    <w:link w:val="par1Char"/>
    <w:uiPriority w:val="99"/>
    <w:rsid w:val="008F7F2E"/>
    <w:pPr>
      <w:numPr>
        <w:numId w:val="10"/>
      </w:numPr>
      <w:tabs>
        <w:tab w:val="num" w:pos="900"/>
        <w:tab w:val="left" w:pos="1440"/>
      </w:tabs>
      <w:ind w:left="-180" w:firstLine="720"/>
    </w:pPr>
    <w:rPr>
      <w:snapToGrid/>
    </w:rPr>
  </w:style>
  <w:style w:type="character" w:customStyle="1" w:styleId="par1Char">
    <w:name w:val="par1 Char"/>
    <w:link w:val="par1"/>
    <w:uiPriority w:val="99"/>
    <w:locked/>
    <w:rsid w:val="008F7F2E"/>
    <w:rPr>
      <w:snapToGrid w:val="0"/>
      <w:kern w:val="28"/>
    </w:rPr>
  </w:style>
  <w:style w:type="character" w:customStyle="1" w:styleId="Heading3Char">
    <w:name w:val="Heading 3 Char"/>
    <w:basedOn w:val="DefaultParagraphFont"/>
    <w:link w:val="Heading3"/>
    <w:rsid w:val="00BC2225"/>
    <w:rPr>
      <w:b/>
      <w:snapToGrid w:val="0"/>
      <w:kern w:val="28"/>
      <w:sz w:val="22"/>
    </w:rPr>
  </w:style>
  <w:style w:type="character" w:customStyle="1" w:styleId="Heading4Char">
    <w:name w:val="Heading 4 Char"/>
    <w:basedOn w:val="DefaultParagraphFont"/>
    <w:link w:val="Heading4"/>
    <w:rsid w:val="00BC2225"/>
    <w:rPr>
      <w:b/>
      <w:snapToGrid w:val="0"/>
      <w:kern w:val="28"/>
      <w:sz w:val="22"/>
    </w:rPr>
  </w:style>
  <w:style w:type="character" w:customStyle="1" w:styleId="Heading5Char">
    <w:name w:val="Heading 5 Char"/>
    <w:basedOn w:val="DefaultParagraphFont"/>
    <w:link w:val="Heading5"/>
    <w:rsid w:val="00BC2225"/>
    <w:rPr>
      <w:b/>
      <w:snapToGrid w:val="0"/>
      <w:kern w:val="28"/>
      <w:sz w:val="22"/>
    </w:rPr>
  </w:style>
  <w:style w:type="character" w:customStyle="1" w:styleId="Heading6Char">
    <w:name w:val="Heading 6 Char"/>
    <w:basedOn w:val="DefaultParagraphFont"/>
    <w:link w:val="Heading6"/>
    <w:rsid w:val="00BC2225"/>
    <w:rPr>
      <w:b/>
      <w:snapToGrid w:val="0"/>
      <w:kern w:val="28"/>
      <w:sz w:val="22"/>
    </w:rPr>
  </w:style>
  <w:style w:type="character" w:customStyle="1" w:styleId="Heading7Char">
    <w:name w:val="Heading 7 Char"/>
    <w:basedOn w:val="DefaultParagraphFont"/>
    <w:link w:val="Heading7"/>
    <w:rsid w:val="00BC2225"/>
    <w:rPr>
      <w:b/>
      <w:snapToGrid w:val="0"/>
      <w:kern w:val="28"/>
      <w:sz w:val="22"/>
    </w:rPr>
  </w:style>
  <w:style w:type="character" w:customStyle="1" w:styleId="Heading8Char">
    <w:name w:val="Heading 8 Char"/>
    <w:basedOn w:val="DefaultParagraphFont"/>
    <w:link w:val="Heading8"/>
    <w:rsid w:val="00BC2225"/>
    <w:rPr>
      <w:b/>
      <w:snapToGrid w:val="0"/>
      <w:kern w:val="28"/>
      <w:sz w:val="22"/>
    </w:rPr>
  </w:style>
  <w:style w:type="character" w:customStyle="1" w:styleId="Heading9Char">
    <w:name w:val="Heading 9 Char"/>
    <w:basedOn w:val="DefaultParagraphFont"/>
    <w:link w:val="Heading9"/>
    <w:rsid w:val="00BC2225"/>
    <w:rPr>
      <w:b/>
      <w:snapToGrid w:val="0"/>
      <w:kern w:val="28"/>
      <w:sz w:val="22"/>
    </w:rPr>
  </w:style>
  <w:style w:type="paragraph" w:styleId="TOC1">
    <w:name w:val="toc 1"/>
    <w:basedOn w:val="Normal"/>
    <w:next w:val="Normal"/>
    <w:rsid w:val="00B83D92"/>
    <w:pPr>
      <w:tabs>
        <w:tab w:val="left" w:pos="360"/>
        <w:tab w:val="right" w:leader="dot" w:pos="9360"/>
      </w:tabs>
      <w:suppressAutoHyphens/>
      <w:ind w:left="360" w:right="720" w:hanging="360"/>
    </w:pPr>
    <w:rPr>
      <w:caps/>
      <w:noProof/>
    </w:rPr>
  </w:style>
  <w:style w:type="paragraph" w:styleId="TOC2">
    <w:name w:val="toc 2"/>
    <w:basedOn w:val="Normal"/>
    <w:next w:val="Normal"/>
    <w:rsid w:val="00B83D92"/>
    <w:pPr>
      <w:tabs>
        <w:tab w:val="left" w:pos="720"/>
        <w:tab w:val="right" w:leader="dot" w:pos="9360"/>
      </w:tabs>
      <w:suppressAutoHyphens/>
      <w:ind w:left="720" w:right="720" w:hanging="360"/>
    </w:pPr>
    <w:rPr>
      <w:noProof/>
    </w:rPr>
  </w:style>
  <w:style w:type="paragraph" w:styleId="TOC3">
    <w:name w:val="toc 3"/>
    <w:basedOn w:val="Normal"/>
    <w:next w:val="Normal"/>
    <w:rsid w:val="00B83D9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83D9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B83D92"/>
    <w:pPr>
      <w:tabs>
        <w:tab w:val="left" w:pos="1800"/>
        <w:tab w:val="right" w:leader="dot" w:pos="9360"/>
      </w:tabs>
      <w:suppressAutoHyphens/>
      <w:ind w:left="1800" w:right="720" w:hanging="360"/>
    </w:pPr>
    <w:rPr>
      <w:noProof/>
    </w:rPr>
  </w:style>
  <w:style w:type="paragraph" w:styleId="TOC7">
    <w:name w:val="toc 7"/>
    <w:basedOn w:val="Normal"/>
    <w:next w:val="Normal"/>
    <w:autoRedefine/>
    <w:rsid w:val="00B83D92"/>
    <w:pPr>
      <w:tabs>
        <w:tab w:val="left" w:pos="2520"/>
        <w:tab w:val="right" w:leader="dot" w:pos="9360"/>
      </w:tabs>
      <w:suppressAutoHyphens/>
      <w:ind w:left="2520" w:hanging="360"/>
    </w:pPr>
    <w:rPr>
      <w:noProof/>
    </w:rPr>
  </w:style>
  <w:style w:type="paragraph" w:styleId="TOC8">
    <w:name w:val="toc 8"/>
    <w:basedOn w:val="Normal"/>
    <w:next w:val="Normal"/>
    <w:autoRedefine/>
    <w:rsid w:val="00B83D92"/>
    <w:pPr>
      <w:tabs>
        <w:tab w:val="left" w:pos="2880"/>
        <w:tab w:val="right" w:leader="dot" w:pos="9360"/>
      </w:tabs>
      <w:suppressAutoHyphens/>
      <w:ind w:left="2880" w:hanging="360"/>
    </w:pPr>
    <w:rPr>
      <w:noProof/>
    </w:rPr>
  </w:style>
  <w:style w:type="paragraph" w:styleId="TOC9">
    <w:name w:val="toc 9"/>
    <w:basedOn w:val="Normal"/>
    <w:next w:val="Normal"/>
    <w:autoRedefine/>
    <w:rsid w:val="00B83D92"/>
    <w:pPr>
      <w:tabs>
        <w:tab w:val="left" w:pos="3240"/>
        <w:tab w:val="right" w:leader="dot" w:pos="9360"/>
      </w:tabs>
      <w:suppressAutoHyphens/>
      <w:ind w:left="3240" w:hanging="360"/>
    </w:pPr>
    <w:rPr>
      <w:noProof/>
    </w:rPr>
  </w:style>
  <w:style w:type="paragraph" w:styleId="TOAHeading">
    <w:name w:val="toa heading"/>
    <w:basedOn w:val="Normal"/>
    <w:next w:val="Normal"/>
    <w:rsid w:val="00B83D92"/>
    <w:pPr>
      <w:tabs>
        <w:tab w:val="right" w:pos="9360"/>
      </w:tabs>
      <w:suppressAutoHyphens/>
    </w:pPr>
  </w:style>
  <w:style w:type="character" w:customStyle="1" w:styleId="EquationCaption">
    <w:name w:val="_Equation Caption"/>
    <w:rsid w:val="00B83D92"/>
  </w:style>
  <w:style w:type="paragraph" w:styleId="BlockText">
    <w:name w:val="Block Text"/>
    <w:basedOn w:val="Normal"/>
    <w:rsid w:val="00B83D92"/>
    <w:pPr>
      <w:spacing w:after="240"/>
      <w:ind w:left="1440" w:right="1440"/>
    </w:pPr>
  </w:style>
  <w:style w:type="paragraph" w:customStyle="1" w:styleId="Paratitle">
    <w:name w:val="Para title"/>
    <w:basedOn w:val="Normal"/>
    <w:rsid w:val="00B83D92"/>
    <w:pPr>
      <w:tabs>
        <w:tab w:val="center" w:pos="9270"/>
      </w:tabs>
      <w:spacing w:after="240"/>
    </w:pPr>
    <w:rPr>
      <w:spacing w:val="-2"/>
    </w:rPr>
  </w:style>
  <w:style w:type="paragraph" w:customStyle="1" w:styleId="Bullet">
    <w:name w:val="Bullet"/>
    <w:basedOn w:val="Normal"/>
    <w:rsid w:val="00B83D92"/>
    <w:pPr>
      <w:tabs>
        <w:tab w:val="left" w:pos="2160"/>
      </w:tabs>
      <w:spacing w:after="220"/>
      <w:ind w:left="2160" w:hanging="720"/>
    </w:pPr>
  </w:style>
  <w:style w:type="paragraph" w:customStyle="1" w:styleId="TableFormat">
    <w:name w:val="TableFormat"/>
    <w:basedOn w:val="Bullet"/>
    <w:rsid w:val="00B83D92"/>
    <w:pPr>
      <w:tabs>
        <w:tab w:val="clear" w:pos="2160"/>
        <w:tab w:val="left" w:pos="5040"/>
      </w:tabs>
      <w:ind w:left="5040" w:hanging="3600"/>
    </w:pPr>
  </w:style>
  <w:style w:type="paragraph" w:customStyle="1" w:styleId="TOCTitle">
    <w:name w:val="TOC Title"/>
    <w:basedOn w:val="Normal"/>
    <w:rsid w:val="00B83D9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83D92"/>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32799">
      <w:bodyDiv w:val="1"/>
      <w:marLeft w:val="0"/>
      <w:marRight w:val="0"/>
      <w:marTop w:val="0"/>
      <w:marBottom w:val="0"/>
      <w:divBdr>
        <w:top w:val="none" w:sz="0" w:space="0" w:color="auto"/>
        <w:left w:val="none" w:sz="0" w:space="0" w:color="auto"/>
        <w:bottom w:val="none" w:sz="0" w:space="0" w:color="auto"/>
        <w:right w:val="none" w:sz="0" w:space="0" w:color="auto"/>
      </w:divBdr>
    </w:div>
    <w:div w:id="911815933">
      <w:bodyDiv w:val="1"/>
      <w:marLeft w:val="0"/>
      <w:marRight w:val="0"/>
      <w:marTop w:val="0"/>
      <w:marBottom w:val="0"/>
      <w:divBdr>
        <w:top w:val="none" w:sz="0" w:space="0" w:color="auto"/>
        <w:left w:val="none" w:sz="0" w:space="0" w:color="auto"/>
        <w:bottom w:val="none" w:sz="0" w:space="0" w:color="auto"/>
        <w:right w:val="none" w:sz="0" w:space="0" w:color="auto"/>
      </w:divBdr>
    </w:div>
    <w:div w:id="1258173432">
      <w:bodyDiv w:val="1"/>
      <w:marLeft w:val="0"/>
      <w:marRight w:val="0"/>
      <w:marTop w:val="0"/>
      <w:marBottom w:val="0"/>
      <w:divBdr>
        <w:top w:val="none" w:sz="0" w:space="0" w:color="auto"/>
        <w:left w:val="none" w:sz="0" w:space="0" w:color="auto"/>
        <w:bottom w:val="none" w:sz="0" w:space="0" w:color="auto"/>
        <w:right w:val="none" w:sz="0" w:space="0" w:color="auto"/>
      </w:divBdr>
    </w:div>
    <w:div w:id="1277522232">
      <w:bodyDiv w:val="1"/>
      <w:marLeft w:val="0"/>
      <w:marRight w:val="0"/>
      <w:marTop w:val="0"/>
      <w:marBottom w:val="0"/>
      <w:divBdr>
        <w:top w:val="none" w:sz="0" w:space="0" w:color="auto"/>
        <w:left w:val="none" w:sz="0" w:space="0" w:color="auto"/>
        <w:bottom w:val="none" w:sz="0" w:space="0" w:color="auto"/>
        <w:right w:val="none" w:sz="0" w:space="0" w:color="auto"/>
      </w:divBdr>
    </w:div>
    <w:div w:id="18300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784</Words>
  <Characters>4305</Characters>
  <Application>Microsoft Office Word</Application>
  <DocSecurity>0</DocSecurity>
  <Lines>94</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2015-01-09T15:51:00Z</dcterms:created>
  <dcterms:modified xsi:type="dcterms:W3CDTF">2015-01-09T15:51:00Z</dcterms:modified>
  <cp:category> </cp:category>
  <cp:contentStatus> </cp:contentStatus>
</cp:coreProperties>
</file>