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Default="00302F7F">
      <w:pPr>
        <w:jc w:val="center"/>
        <w:rPr>
          <w:b/>
          <w:szCs w:val="22"/>
        </w:rPr>
      </w:pPr>
      <w:bookmarkStart w:id="0" w:name="_GoBack"/>
      <w:bookmarkEnd w:id="0"/>
      <w:r>
        <w:rPr>
          <w:b/>
          <w:szCs w:val="22"/>
        </w:rPr>
        <w:t>B</w:t>
      </w:r>
      <w:r w:rsidR="00CF236D">
        <w:rPr>
          <w:b/>
          <w:szCs w:val="22"/>
        </w:rPr>
        <w:t>efore the</w:t>
      </w:r>
    </w:p>
    <w:p w:rsidR="006C1806" w:rsidRDefault="00CF236D">
      <w:pPr>
        <w:jc w:val="center"/>
        <w:rPr>
          <w:b/>
          <w:szCs w:val="22"/>
        </w:rPr>
      </w:pPr>
      <w:r>
        <w:rPr>
          <w:b/>
          <w:szCs w:val="22"/>
        </w:rPr>
        <w:t>Federal Communications Commission</w:t>
      </w:r>
    </w:p>
    <w:p w:rsidR="006C1806" w:rsidRDefault="00CF236D">
      <w:pPr>
        <w:jc w:val="center"/>
        <w:rPr>
          <w:b/>
          <w:szCs w:val="22"/>
        </w:rPr>
      </w:pPr>
      <w:r>
        <w:rPr>
          <w:b/>
          <w:szCs w:val="22"/>
        </w:rPr>
        <w:t>Washington, D.C. 20554</w:t>
      </w:r>
    </w:p>
    <w:p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tc>
          <w:tcPr>
            <w:tcW w:w="4698" w:type="dxa"/>
          </w:tcPr>
          <w:p w:rsidR="006C1806" w:rsidRDefault="00CF236D">
            <w:pPr>
              <w:ind w:right="-18"/>
              <w:rPr>
                <w:szCs w:val="22"/>
              </w:rPr>
            </w:pPr>
            <w:r>
              <w:rPr>
                <w:szCs w:val="22"/>
              </w:rPr>
              <w:t xml:space="preserve">In re Application of  </w:t>
            </w:r>
          </w:p>
          <w:p w:rsidR="006C1806" w:rsidRDefault="006C1806">
            <w:pPr>
              <w:ind w:right="-18"/>
              <w:rPr>
                <w:szCs w:val="22"/>
              </w:rPr>
            </w:pPr>
          </w:p>
          <w:p w:rsidR="006C1806" w:rsidRPr="00CF7851" w:rsidRDefault="006015C5" w:rsidP="006015C5">
            <w:pPr>
              <w:tabs>
                <w:tab w:val="left" w:pos="0"/>
              </w:tabs>
              <w:suppressAutoHyphens/>
              <w:rPr>
                <w:b/>
                <w:szCs w:val="22"/>
              </w:rPr>
            </w:pPr>
            <w:r>
              <w:rPr>
                <w:b/>
                <w:szCs w:val="22"/>
              </w:rPr>
              <w:t>PECONIC PUBLIC BROADCASTING</w:t>
            </w:r>
          </w:p>
          <w:p w:rsidR="006C1806" w:rsidRDefault="006C1806">
            <w:pPr>
              <w:tabs>
                <w:tab w:val="left" w:pos="0"/>
              </w:tabs>
              <w:suppressAutoHyphens/>
              <w:ind w:left="5040" w:hanging="5040"/>
              <w:rPr>
                <w:b/>
                <w:szCs w:val="22"/>
              </w:rPr>
            </w:pPr>
          </w:p>
          <w:p w:rsidR="006C1806" w:rsidRDefault="00CF236D">
            <w:pPr>
              <w:ind w:right="-18"/>
              <w:rPr>
                <w:szCs w:val="22"/>
              </w:rPr>
            </w:pPr>
            <w:r>
              <w:rPr>
                <w:szCs w:val="22"/>
              </w:rPr>
              <w:t>For Renewal of License for</w:t>
            </w:r>
          </w:p>
          <w:p w:rsidR="006C1806" w:rsidRDefault="00CF236D">
            <w:pPr>
              <w:ind w:right="-18"/>
              <w:rPr>
                <w:b/>
                <w:szCs w:val="22"/>
              </w:rPr>
            </w:pPr>
            <w:r>
              <w:rPr>
                <w:szCs w:val="22"/>
              </w:rPr>
              <w:t>Station</w:t>
            </w:r>
            <w:r w:rsidR="006015C5">
              <w:rPr>
                <w:szCs w:val="22"/>
              </w:rPr>
              <w:t xml:space="preserve"> WPPB(FM)</w:t>
            </w:r>
            <w:r>
              <w:rPr>
                <w:b/>
                <w:szCs w:val="22"/>
              </w:rPr>
              <w:t xml:space="preserve"> </w:t>
            </w:r>
          </w:p>
          <w:p w:rsidR="006C1806" w:rsidRDefault="00110108" w:rsidP="00CF7851">
            <w:pPr>
              <w:ind w:right="-18"/>
              <w:rPr>
                <w:szCs w:val="22"/>
              </w:rPr>
            </w:pPr>
            <w:r>
              <w:rPr>
                <w:szCs w:val="22"/>
              </w:rPr>
              <w:t>South</w:t>
            </w:r>
            <w:r w:rsidR="006015C5">
              <w:rPr>
                <w:szCs w:val="22"/>
              </w:rPr>
              <w:t>ampton, New York</w:t>
            </w:r>
            <w:r w:rsidR="00CF236D">
              <w:rPr>
                <w:szCs w:val="22"/>
              </w:rPr>
              <w:t xml:space="preserve"> </w:t>
            </w:r>
          </w:p>
        </w:tc>
        <w:tc>
          <w:tcPr>
            <w:tcW w:w="720" w:type="dxa"/>
          </w:tcPr>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tc>
        <w:tc>
          <w:tcPr>
            <w:tcW w:w="4230" w:type="dxa"/>
          </w:tcPr>
          <w:p w:rsidR="006C1806" w:rsidRDefault="006C1806">
            <w:pPr>
              <w:rPr>
                <w:szCs w:val="22"/>
              </w:rPr>
            </w:pPr>
          </w:p>
          <w:p w:rsidR="006C1806" w:rsidRDefault="006C1806">
            <w:pPr>
              <w:rPr>
                <w:szCs w:val="22"/>
              </w:rPr>
            </w:pPr>
          </w:p>
          <w:p w:rsidR="006C1806" w:rsidRDefault="00CF236D">
            <w:pPr>
              <w:rPr>
                <w:szCs w:val="22"/>
              </w:rPr>
            </w:pPr>
            <w:r>
              <w:rPr>
                <w:szCs w:val="22"/>
              </w:rPr>
              <w:t xml:space="preserve">Facility I.D. No. </w:t>
            </w:r>
            <w:r w:rsidR="006015C5">
              <w:rPr>
                <w:szCs w:val="22"/>
              </w:rPr>
              <w:t>38340</w:t>
            </w:r>
          </w:p>
          <w:p w:rsidR="006C1806" w:rsidRDefault="00D36061">
            <w:pPr>
              <w:rPr>
                <w:szCs w:val="22"/>
              </w:rPr>
            </w:pPr>
            <w:r>
              <w:rPr>
                <w:szCs w:val="22"/>
              </w:rPr>
              <w:t>NAL/Acct. No. MB-</w:t>
            </w:r>
            <w:r w:rsidR="00CB6096">
              <w:rPr>
                <w:szCs w:val="22"/>
              </w:rPr>
              <w:t>201541410015</w:t>
            </w:r>
          </w:p>
          <w:p w:rsidR="006C1806" w:rsidRDefault="00CF236D">
            <w:pPr>
              <w:rPr>
                <w:szCs w:val="22"/>
              </w:rPr>
            </w:pPr>
            <w:r>
              <w:rPr>
                <w:szCs w:val="22"/>
              </w:rPr>
              <w:t xml:space="preserve">FRN: </w:t>
            </w:r>
            <w:r w:rsidR="006356F9">
              <w:rPr>
                <w:szCs w:val="22"/>
              </w:rPr>
              <w:t>00</w:t>
            </w:r>
            <w:r w:rsidR="006015C5">
              <w:rPr>
                <w:szCs w:val="22"/>
              </w:rPr>
              <w:t>20296422</w:t>
            </w:r>
          </w:p>
          <w:p w:rsidR="006C1806" w:rsidRDefault="00CF236D" w:rsidP="006015C5">
            <w:pPr>
              <w:rPr>
                <w:szCs w:val="22"/>
              </w:rPr>
            </w:pPr>
            <w:r>
              <w:rPr>
                <w:szCs w:val="22"/>
              </w:rPr>
              <w:t xml:space="preserve">File No. </w:t>
            </w:r>
            <w:r w:rsidR="00D36061">
              <w:rPr>
                <w:szCs w:val="22"/>
              </w:rPr>
              <w:t>BR</w:t>
            </w:r>
            <w:r w:rsidR="006015C5">
              <w:rPr>
                <w:szCs w:val="22"/>
              </w:rPr>
              <w:t>ED</w:t>
            </w:r>
            <w:r w:rsidR="00D36061">
              <w:rPr>
                <w:szCs w:val="22"/>
              </w:rPr>
              <w:t>-201</w:t>
            </w:r>
            <w:r w:rsidR="006015C5">
              <w:rPr>
                <w:szCs w:val="22"/>
              </w:rPr>
              <w:t>40203ARX</w:t>
            </w:r>
          </w:p>
        </w:tc>
      </w:tr>
    </w:tbl>
    <w:p w:rsidR="006C1806" w:rsidRDefault="006C1806">
      <w:pPr>
        <w:rPr>
          <w:szCs w:val="22"/>
        </w:rPr>
      </w:pPr>
    </w:p>
    <w:p w:rsidR="006C1806" w:rsidRDefault="00CF236D">
      <w:pPr>
        <w:jc w:val="center"/>
        <w:rPr>
          <w:b/>
          <w:spacing w:val="-2"/>
          <w:szCs w:val="22"/>
        </w:rPr>
      </w:pPr>
      <w:r>
        <w:rPr>
          <w:b/>
          <w:spacing w:val="-2"/>
          <w:szCs w:val="22"/>
        </w:rPr>
        <w:t xml:space="preserve">MEMORANDUM OPINION AND ORDER </w:t>
      </w:r>
    </w:p>
    <w:p w:rsidR="006C1806" w:rsidRDefault="00CF236D">
      <w:pPr>
        <w:jc w:val="center"/>
        <w:rPr>
          <w:b/>
          <w:spacing w:val="-2"/>
          <w:szCs w:val="22"/>
        </w:rPr>
      </w:pPr>
      <w:r>
        <w:rPr>
          <w:b/>
          <w:spacing w:val="-2"/>
          <w:szCs w:val="22"/>
        </w:rPr>
        <w:t>AND</w:t>
      </w:r>
    </w:p>
    <w:p w:rsidR="006C1806" w:rsidRDefault="00CF236D">
      <w:pPr>
        <w:jc w:val="center"/>
        <w:rPr>
          <w:b/>
          <w:szCs w:val="22"/>
        </w:rPr>
      </w:pPr>
      <w:r>
        <w:rPr>
          <w:b/>
          <w:spacing w:val="-2"/>
          <w:szCs w:val="22"/>
        </w:rPr>
        <w:t>NOTICE OF APPARENT LIABILITY FOR FORFEITURE</w:t>
      </w:r>
    </w:p>
    <w:p w:rsidR="006C1806" w:rsidRDefault="006C1806">
      <w:pPr>
        <w:tabs>
          <w:tab w:val="left" w:pos="5760"/>
        </w:tabs>
        <w:rPr>
          <w:szCs w:val="22"/>
        </w:rPr>
      </w:pPr>
    </w:p>
    <w:p w:rsidR="006C1806" w:rsidRDefault="00CF236D">
      <w:pPr>
        <w:tabs>
          <w:tab w:val="left" w:pos="5760"/>
        </w:tabs>
        <w:rPr>
          <w:b/>
          <w:szCs w:val="22"/>
        </w:rPr>
      </w:pPr>
      <w:r>
        <w:rPr>
          <w:b/>
          <w:szCs w:val="22"/>
        </w:rPr>
        <w:t>Adopted:</w:t>
      </w:r>
      <w:r w:rsidR="007D7E21">
        <w:rPr>
          <w:b/>
          <w:szCs w:val="22"/>
        </w:rPr>
        <w:t xml:space="preserve"> </w:t>
      </w:r>
      <w:r w:rsidR="00CB6096">
        <w:rPr>
          <w:b/>
          <w:szCs w:val="22"/>
        </w:rPr>
        <w:t xml:space="preserve">March </w:t>
      </w:r>
      <w:r w:rsidR="00302F7F">
        <w:rPr>
          <w:b/>
          <w:szCs w:val="22"/>
        </w:rPr>
        <w:t>11</w:t>
      </w:r>
      <w:r w:rsidR="007D7E21">
        <w:rPr>
          <w:b/>
          <w:szCs w:val="22"/>
        </w:rPr>
        <w:t>, 201</w:t>
      </w:r>
      <w:r w:rsidR="002128B7">
        <w:rPr>
          <w:b/>
          <w:szCs w:val="22"/>
        </w:rPr>
        <w:t>5</w:t>
      </w:r>
      <w:r>
        <w:rPr>
          <w:b/>
          <w:szCs w:val="22"/>
        </w:rPr>
        <w:tab/>
        <w:t>Released:</w:t>
      </w:r>
      <w:r w:rsidR="007D7E21">
        <w:rPr>
          <w:b/>
          <w:szCs w:val="22"/>
        </w:rPr>
        <w:t xml:space="preserve"> </w:t>
      </w:r>
      <w:r w:rsidR="00CB6096">
        <w:rPr>
          <w:b/>
          <w:szCs w:val="22"/>
        </w:rPr>
        <w:t xml:space="preserve">March </w:t>
      </w:r>
      <w:r w:rsidR="00302F7F">
        <w:rPr>
          <w:b/>
          <w:szCs w:val="22"/>
        </w:rPr>
        <w:t>11</w:t>
      </w:r>
      <w:r w:rsidR="007D7E21">
        <w:rPr>
          <w:b/>
          <w:szCs w:val="22"/>
        </w:rPr>
        <w:t>, 201</w:t>
      </w:r>
      <w:r w:rsidR="002128B7">
        <w:rPr>
          <w:b/>
          <w:szCs w:val="22"/>
        </w:rPr>
        <w:t>5</w:t>
      </w:r>
      <w:r>
        <w:rPr>
          <w:b/>
          <w:szCs w:val="22"/>
        </w:rPr>
        <w:t xml:space="preserve"> </w:t>
      </w:r>
    </w:p>
    <w:p w:rsidR="006C1806" w:rsidRDefault="006C1806">
      <w:pPr>
        <w:tabs>
          <w:tab w:val="left" w:pos="5760"/>
        </w:tabs>
        <w:rPr>
          <w:b/>
          <w:szCs w:val="22"/>
        </w:rPr>
      </w:pPr>
    </w:p>
    <w:p w:rsidR="006C1806" w:rsidRDefault="00CF236D">
      <w:pPr>
        <w:tabs>
          <w:tab w:val="left" w:pos="5760"/>
        </w:tabs>
        <w:rPr>
          <w:spacing w:val="-2"/>
          <w:szCs w:val="22"/>
        </w:rPr>
      </w:pPr>
      <w:r>
        <w:rPr>
          <w:szCs w:val="22"/>
        </w:rPr>
        <w:t>By the Chief, Audio Division, Media Bureau</w:t>
      </w:r>
      <w:r>
        <w:rPr>
          <w:spacing w:val="-2"/>
          <w:szCs w:val="22"/>
        </w:rPr>
        <w:t>:</w:t>
      </w:r>
    </w:p>
    <w:p w:rsidR="006C1806" w:rsidRDefault="006C1806">
      <w:pPr>
        <w:tabs>
          <w:tab w:val="left" w:pos="5760"/>
        </w:tabs>
        <w:rPr>
          <w:szCs w:val="22"/>
        </w:rPr>
      </w:pPr>
    </w:p>
    <w:p w:rsidR="006C1806" w:rsidRDefault="000C75FE">
      <w:pPr>
        <w:tabs>
          <w:tab w:val="left" w:pos="5760"/>
        </w:tabs>
        <w:jc w:val="both"/>
        <w:rPr>
          <w:b/>
          <w:szCs w:val="22"/>
        </w:rPr>
      </w:pPr>
      <w:r>
        <w:rPr>
          <w:b/>
          <w:szCs w:val="22"/>
        </w:rPr>
        <w:t xml:space="preserve">I.          </w:t>
      </w:r>
      <w:r w:rsidR="00CF236D">
        <w:rPr>
          <w:b/>
          <w:szCs w:val="22"/>
        </w:rPr>
        <w:t>INTRODUCTION</w:t>
      </w:r>
    </w:p>
    <w:p w:rsidR="006C1806" w:rsidRDefault="006C1806">
      <w:pPr>
        <w:tabs>
          <w:tab w:val="left" w:pos="5760"/>
        </w:tabs>
        <w:jc w:val="both"/>
        <w:rPr>
          <w:b/>
          <w:szCs w:val="22"/>
        </w:rPr>
      </w:pPr>
    </w:p>
    <w:p w:rsidR="006C1806" w:rsidRDefault="00CF236D">
      <w:pPr>
        <w:pStyle w:val="ParaNum"/>
        <w:widowControl/>
        <w:jc w:val="left"/>
        <w:rPr>
          <w:szCs w:val="22"/>
        </w:rPr>
      </w:pPr>
      <w:r>
        <w:rPr>
          <w:szCs w:val="22"/>
        </w:rPr>
        <w:t xml:space="preserve">The Media Bureau (“Bureau”) has before it the application of </w:t>
      </w:r>
      <w:r w:rsidR="006015C5">
        <w:rPr>
          <w:szCs w:val="22"/>
        </w:rPr>
        <w:t>Peconic Public Broadcasting</w:t>
      </w:r>
      <w:r w:rsidR="00A63012">
        <w:t xml:space="preserve"> </w:t>
      </w:r>
      <w:r>
        <w:rPr>
          <w:szCs w:val="22"/>
        </w:rPr>
        <w:t>(“Licensee”</w:t>
      </w:r>
      <w:r w:rsidR="00E6027C">
        <w:rPr>
          <w:szCs w:val="22"/>
        </w:rPr>
        <w:t xml:space="preserve"> or “Peconic”</w:t>
      </w:r>
      <w:r>
        <w:rPr>
          <w:szCs w:val="22"/>
        </w:rPr>
        <w:t>)</w:t>
      </w:r>
      <w:r w:rsidR="004A5C7A">
        <w:rPr>
          <w:szCs w:val="22"/>
        </w:rPr>
        <w:t>,</w:t>
      </w:r>
      <w:r>
        <w:rPr>
          <w:szCs w:val="22"/>
        </w:rPr>
        <w:t xml:space="preserve"> for renewal of its license for </w:t>
      </w:r>
      <w:r w:rsidR="00190988">
        <w:rPr>
          <w:szCs w:val="22"/>
        </w:rPr>
        <w:t xml:space="preserve">non-commercial educational (“NCE”) </w:t>
      </w:r>
      <w:r w:rsidR="006628FF">
        <w:rPr>
          <w:szCs w:val="22"/>
        </w:rPr>
        <w:t>Station</w:t>
      </w:r>
      <w:r w:rsidR="00653378">
        <w:rPr>
          <w:szCs w:val="22"/>
        </w:rPr>
        <w:t xml:space="preserve"> </w:t>
      </w:r>
      <w:r w:rsidR="006015C5">
        <w:rPr>
          <w:szCs w:val="22"/>
        </w:rPr>
        <w:t>WPPB(</w:t>
      </w:r>
      <w:r w:rsidR="00DA5F96">
        <w:rPr>
          <w:szCs w:val="22"/>
        </w:rPr>
        <w:t>FM</w:t>
      </w:r>
      <w:r w:rsidR="006015C5">
        <w:rPr>
          <w:szCs w:val="22"/>
        </w:rPr>
        <w:t>)</w:t>
      </w:r>
      <w:r w:rsidR="006628FF">
        <w:rPr>
          <w:szCs w:val="22"/>
        </w:rPr>
        <w:t xml:space="preserve">, </w:t>
      </w:r>
      <w:r w:rsidR="00110108">
        <w:rPr>
          <w:szCs w:val="22"/>
        </w:rPr>
        <w:t>South</w:t>
      </w:r>
      <w:r w:rsidR="006015C5">
        <w:rPr>
          <w:szCs w:val="22"/>
        </w:rPr>
        <w:t xml:space="preserve">ampton, New York </w:t>
      </w:r>
      <w:r>
        <w:rPr>
          <w:szCs w:val="22"/>
        </w:rPr>
        <w:t xml:space="preserve">(“Station”).  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1"/>
      </w:r>
      <w:r>
        <w:rPr>
          <w:szCs w:val="22"/>
        </w:rPr>
        <w:t xml:space="preserve"> we find that Licensee apparently willfully and repeatedly violated Section 73.352</w:t>
      </w:r>
      <w:r w:rsidR="00190988">
        <w:rPr>
          <w:szCs w:val="22"/>
        </w:rPr>
        <w:t>7</w:t>
      </w:r>
      <w:r>
        <w:rPr>
          <w:szCs w:val="22"/>
        </w:rPr>
        <w:t xml:space="preserve"> of the Rules by failing to retain all required documentation in the </w:t>
      </w:r>
      <w:r w:rsidR="008D7AD0">
        <w:rPr>
          <w:szCs w:val="22"/>
        </w:rPr>
        <w:t>Station</w:t>
      </w:r>
      <w:r w:rsidR="00037B89">
        <w:rPr>
          <w:szCs w:val="22"/>
        </w:rPr>
        <w:t>’s</w:t>
      </w:r>
      <w:r>
        <w:rPr>
          <w:szCs w:val="22"/>
        </w:rPr>
        <w:t xml:space="preserve"> public inspection file.</w:t>
      </w:r>
      <w:r>
        <w:rPr>
          <w:rStyle w:val="FootnoteReference"/>
          <w:szCs w:val="22"/>
        </w:rPr>
        <w:footnoteReference w:id="2"/>
      </w:r>
      <w:r>
        <w:rPr>
          <w:szCs w:val="22"/>
        </w:rPr>
        <w:t xml:space="preserve">  Based upon our review of the record before us, we conclude that Licensee is apparently liable for a monetary forfeiture in the amount of ten thousand dollars ($10,000).</w:t>
      </w:r>
    </w:p>
    <w:p w:rsidR="006C1806" w:rsidRDefault="00CF236D">
      <w:pPr>
        <w:rPr>
          <w:b/>
          <w:szCs w:val="22"/>
        </w:rPr>
      </w:pPr>
      <w:r>
        <w:rPr>
          <w:b/>
          <w:szCs w:val="22"/>
        </w:rPr>
        <w:t>II.         BACKGROUND</w:t>
      </w:r>
    </w:p>
    <w:p w:rsidR="006C1806" w:rsidRDefault="006C1806">
      <w:pPr>
        <w:rPr>
          <w:b/>
          <w:szCs w:val="22"/>
        </w:rPr>
      </w:pPr>
    </w:p>
    <w:p w:rsidR="006C1806" w:rsidRDefault="00CF236D">
      <w:pPr>
        <w:pStyle w:val="ParaNum"/>
        <w:widowControl/>
        <w:jc w:val="left"/>
        <w:rPr>
          <w:szCs w:val="22"/>
        </w:rPr>
      </w:pPr>
      <w:r>
        <w:rPr>
          <w:szCs w:val="22"/>
        </w:rPr>
        <w:t>Section 73.352</w:t>
      </w:r>
      <w:r w:rsidR="00190988">
        <w:rPr>
          <w:szCs w:val="22"/>
        </w:rPr>
        <w:t>7</w:t>
      </w:r>
      <w:r>
        <w:rPr>
          <w:szCs w:val="22"/>
        </w:rPr>
        <w:t xml:space="preserve"> of the Rules requires a</w:t>
      </w:r>
      <w:r w:rsidR="00173E98">
        <w:rPr>
          <w:szCs w:val="22"/>
        </w:rPr>
        <w:t xml:space="preserve">n NCE </w:t>
      </w:r>
      <w:r>
        <w:rPr>
          <w:szCs w:val="22"/>
        </w:rPr>
        <w:t>licensee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3"/>
      </w:r>
      <w:r>
        <w:rPr>
          <w:szCs w:val="22"/>
        </w:rPr>
        <w:t xml:space="preserve">  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4"/>
      </w:r>
      <w:r>
        <w:rPr>
          <w:szCs w:val="22"/>
        </w:rPr>
        <w:t xml:space="preserve"> </w:t>
      </w:r>
    </w:p>
    <w:p w:rsidR="00DA5F96" w:rsidRDefault="00CF236D">
      <w:pPr>
        <w:pStyle w:val="ParaNum"/>
        <w:widowControl/>
        <w:jc w:val="left"/>
        <w:rPr>
          <w:szCs w:val="22"/>
        </w:rPr>
      </w:pPr>
      <w:r>
        <w:rPr>
          <w:szCs w:val="22"/>
        </w:rPr>
        <w:t>Section III, Item 3 of the license renewal application form, FCC Form 303-S, requests that the licensee certify that the documentation required by Section 73.352</w:t>
      </w:r>
      <w:r w:rsidR="00173E98">
        <w:rPr>
          <w:szCs w:val="22"/>
        </w:rPr>
        <w:t>7</w:t>
      </w:r>
      <w:r>
        <w:rPr>
          <w:szCs w:val="22"/>
        </w:rPr>
        <w:t xml:space="preserve"> has been placed in the </w:t>
      </w:r>
      <w:r>
        <w:rPr>
          <w:szCs w:val="22"/>
        </w:rPr>
        <w:lastRenderedPageBreak/>
        <w:t xml:space="preserve">station’s public inspection file at the appropriate times.  Licensee answered “No” to that certification and attached an Exhibit </w:t>
      </w:r>
      <w:r w:rsidR="001B4B13">
        <w:rPr>
          <w:szCs w:val="22"/>
        </w:rPr>
        <w:t>explaining</w:t>
      </w:r>
      <w:r w:rsidR="00173E98">
        <w:rPr>
          <w:szCs w:val="22"/>
        </w:rPr>
        <w:t>, in pertinent part,</w:t>
      </w:r>
      <w:r w:rsidR="001B4B13">
        <w:rPr>
          <w:szCs w:val="22"/>
        </w:rPr>
        <w:t xml:space="preserve"> </w:t>
      </w:r>
      <w:r w:rsidR="00DA5F96">
        <w:rPr>
          <w:szCs w:val="22"/>
        </w:rPr>
        <w:t>that:</w:t>
      </w:r>
    </w:p>
    <w:p w:rsidR="00CD5C3A" w:rsidRDefault="00173E98" w:rsidP="009360B2">
      <w:pPr>
        <w:pStyle w:val="ParaNum"/>
        <w:numPr>
          <w:ilvl w:val="0"/>
          <w:numId w:val="0"/>
        </w:numPr>
        <w:ind w:left="720"/>
        <w:jc w:val="left"/>
      </w:pPr>
      <w:r>
        <w:t>During the preparation for license renewal . . .  management realized that information about its local issues programming, while well-documented, had been maintained only in the form of contemporaneously-created program log entries, but not in the form specified as issues/programs lists in Commission Rule 73.3527(e)(8).  Issues/programs lists, as such, were not prepared or filed on a timely basis for the 13 quarters (beginning December 15, 2010) for which Peconic as licensee is responsible.</w:t>
      </w:r>
      <w:r>
        <w:rPr>
          <w:rStyle w:val="FootnoteReference"/>
        </w:rPr>
        <w:footnoteReference w:id="5"/>
      </w:r>
      <w:r w:rsidR="00CD5C3A">
        <w:t xml:space="preserve">  These program logs, however, were maintained contemporaneously in the same publicly-accessible room as the public file and were equally available to the public for review at all times since December 15, 2010.</w:t>
      </w:r>
    </w:p>
    <w:p w:rsidR="00E039DE" w:rsidRDefault="00CD5C3A" w:rsidP="00CD5C3A">
      <w:pPr>
        <w:pStyle w:val="ParaNum"/>
        <w:numPr>
          <w:ilvl w:val="0"/>
          <w:numId w:val="0"/>
        </w:numPr>
        <w:ind w:left="720"/>
        <w:jc w:val="left"/>
        <w:rPr>
          <w:szCs w:val="22"/>
        </w:rPr>
      </w:pPr>
      <w:r>
        <w:t>In connection with this renewal process, management has overseen the transfer of this pre-existing program information from the logs into the form of thirteen (13) quarterly issues/program lists, all of which have now been placed in WPPB’s public file.</w:t>
      </w:r>
      <w:r>
        <w:rPr>
          <w:rStyle w:val="FootnoteReference"/>
        </w:rPr>
        <w:footnoteReference w:id="6"/>
      </w:r>
      <w:r w:rsidR="00173E98">
        <w:t xml:space="preserve">   </w:t>
      </w:r>
    </w:p>
    <w:p w:rsidR="006C1806" w:rsidRDefault="00CF236D">
      <w:pPr>
        <w:rPr>
          <w:b/>
          <w:szCs w:val="22"/>
        </w:rPr>
      </w:pPr>
      <w:r>
        <w:rPr>
          <w:b/>
          <w:szCs w:val="22"/>
        </w:rPr>
        <w:t>III.       DISCUSSION</w:t>
      </w:r>
    </w:p>
    <w:p w:rsidR="006C1806" w:rsidRDefault="006C1806">
      <w:pPr>
        <w:rPr>
          <w:b/>
          <w:szCs w:val="22"/>
        </w:rPr>
      </w:pPr>
    </w:p>
    <w:p w:rsidR="006C1806" w:rsidRDefault="00CF236D">
      <w:pPr>
        <w:pStyle w:val="ParaNum"/>
        <w:widowControl/>
        <w:jc w:val="left"/>
        <w:rPr>
          <w:szCs w:val="22"/>
        </w:rPr>
      </w:pPr>
      <w:r>
        <w:rPr>
          <w:i/>
          <w:szCs w:val="22"/>
        </w:rPr>
        <w:t>Proposed Forfeiture.</w:t>
      </w:r>
      <w:r>
        <w:rPr>
          <w:szCs w:val="22"/>
        </w:rPr>
        <w:t xml:space="preserve">  As Licensee has acknowledged, at the time of the filing of the Station’s license renewal application, and during periods within the license term, the Station’s public inspection file did not contain many of the items required to be retained in the file by Section 73.352</w:t>
      </w:r>
      <w:r w:rsidR="00CD5C3A">
        <w:rPr>
          <w:szCs w:val="22"/>
        </w:rPr>
        <w:t>7</w:t>
      </w:r>
      <w:r>
        <w:rPr>
          <w:szCs w:val="22"/>
        </w:rPr>
        <w:t xml:space="preserve"> of the Rules.  </w:t>
      </w:r>
      <w:r w:rsidR="00CD5C3A">
        <w:rPr>
          <w:szCs w:val="22"/>
        </w:rPr>
        <w:t xml:space="preserve">In particular, the issues and programs lists </w:t>
      </w:r>
      <w:r w:rsidR="00110108">
        <w:rPr>
          <w:szCs w:val="22"/>
        </w:rPr>
        <w:t xml:space="preserve">for the period </w:t>
      </w:r>
      <w:r w:rsidR="00CD5C3A">
        <w:rPr>
          <w:szCs w:val="22"/>
        </w:rPr>
        <w:t>commencing on December 15, 2010</w:t>
      </w:r>
      <w:r w:rsidR="00912F8F">
        <w:rPr>
          <w:szCs w:val="22"/>
        </w:rPr>
        <w:t xml:space="preserve">, </w:t>
      </w:r>
      <w:r w:rsidR="00110108">
        <w:rPr>
          <w:szCs w:val="22"/>
        </w:rPr>
        <w:t xml:space="preserve">until December 31, 2013, </w:t>
      </w:r>
      <w:r w:rsidR="00912F8F">
        <w:rPr>
          <w:szCs w:val="22"/>
        </w:rPr>
        <w:t xml:space="preserve">were not in compliance with </w:t>
      </w:r>
      <w:r w:rsidR="00E6027C">
        <w:rPr>
          <w:szCs w:val="22"/>
        </w:rPr>
        <w:t xml:space="preserve">Section </w:t>
      </w:r>
      <w:r w:rsidR="00912F8F">
        <w:rPr>
          <w:szCs w:val="22"/>
        </w:rPr>
        <w:t>73.3527(e)(8) as they were not maintained in the required format nor located in the public file.  Additionally, i</w:t>
      </w:r>
      <w:r>
        <w:rPr>
          <w:szCs w:val="22"/>
        </w:rPr>
        <w:t>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7"/>
      </w:r>
      <w:r>
        <w:rPr>
          <w:szCs w:val="22"/>
        </w:rPr>
        <w:t xml:space="preserve">  </w:t>
      </w:r>
    </w:p>
    <w:p w:rsidR="006C1806" w:rsidRDefault="00CF236D">
      <w:pPr>
        <w:pStyle w:val="ParaNum"/>
        <w:widowControl/>
        <w:jc w:val="left"/>
        <w:rPr>
          <w:szCs w:val="22"/>
        </w:rPr>
      </w:pPr>
      <w:r>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8"/>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9"/>
      </w:r>
      <w:r>
        <w:rPr>
          <w:szCs w:val="22"/>
        </w:rPr>
        <w:t xml:space="preserve">  The legislative history to Section 312(f)(1) of the Act clarifies that this definition of willful applies to both Sections 312 and 503(b) of the Act,</w:t>
      </w:r>
      <w:r>
        <w:rPr>
          <w:rStyle w:val="FootnoteReference"/>
          <w:szCs w:val="22"/>
        </w:rPr>
        <w:footnoteReference w:id="10"/>
      </w:r>
      <w:r>
        <w:rPr>
          <w:szCs w:val="22"/>
        </w:rPr>
        <w:t xml:space="preserve"> and the Commission has so interpreted the term in the Section 503(b) context.</w:t>
      </w:r>
      <w:r>
        <w:rPr>
          <w:rStyle w:val="FootnoteReference"/>
          <w:szCs w:val="22"/>
        </w:rPr>
        <w:footnoteReference w:id="11"/>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2"/>
      </w:r>
      <w:r>
        <w:rPr>
          <w:szCs w:val="22"/>
        </w:rPr>
        <w:t xml:space="preserve">  </w:t>
      </w:r>
    </w:p>
    <w:p w:rsidR="003137F9" w:rsidRDefault="00CF236D" w:rsidP="003137F9">
      <w:pPr>
        <w:pStyle w:val="ParaNum"/>
        <w:widowControl/>
        <w:jc w:val="left"/>
        <w:rPr>
          <w:szCs w:val="22"/>
        </w:rPr>
      </w:pPr>
      <w:r>
        <w:rPr>
          <w:szCs w:val="22"/>
        </w:rPr>
        <w:lastRenderedPageBreak/>
        <w:t>The</w:t>
      </w:r>
      <w:r>
        <w:rPr>
          <w:i/>
          <w:szCs w:val="22"/>
        </w:rPr>
        <w:t xml:space="preserve"> </w:t>
      </w:r>
      <w:r>
        <w:rPr>
          <w:szCs w:val="22"/>
        </w:rPr>
        <w:t>Commission’s</w:t>
      </w:r>
      <w:r>
        <w:rPr>
          <w:i/>
          <w:szCs w:val="22"/>
        </w:rPr>
        <w:t xml:space="preserve"> Forfeiture Policy Statement</w:t>
      </w:r>
      <w:r>
        <w:rPr>
          <w:szCs w:val="22"/>
        </w:rPr>
        <w:t xml:space="preserve"> and Section 1.80(b)(</w:t>
      </w:r>
      <w:r w:rsidR="00190988">
        <w:rPr>
          <w:szCs w:val="22"/>
        </w:rPr>
        <w:t>8</w:t>
      </w:r>
      <w:r>
        <w:rPr>
          <w:szCs w:val="22"/>
        </w:rPr>
        <w:t xml:space="preserve">) of the Rules establish a base forfeiture amount of $10,000 for </w:t>
      </w:r>
      <w:r w:rsidR="00BB704C">
        <w:rPr>
          <w:szCs w:val="22"/>
        </w:rPr>
        <w:t xml:space="preserve">a </w:t>
      </w:r>
      <w:r>
        <w:rPr>
          <w:szCs w:val="22"/>
        </w:rPr>
        <w:t>violation of Section 73.352</w:t>
      </w:r>
      <w:r w:rsidR="00912F8F">
        <w:rPr>
          <w:szCs w:val="22"/>
        </w:rPr>
        <w:t>7</w:t>
      </w:r>
      <w:r>
        <w:rPr>
          <w:b/>
          <w:szCs w:val="22"/>
        </w:rPr>
        <w:t>.</w:t>
      </w:r>
      <w:r>
        <w:rPr>
          <w:rStyle w:val="FootnoteReference"/>
          <w:szCs w:val="22"/>
        </w:rPr>
        <w:footnoteReference w:id="13"/>
      </w:r>
      <w:r>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4"/>
      </w:r>
    </w:p>
    <w:p w:rsidR="003137F9" w:rsidRDefault="00CF236D" w:rsidP="003137F9">
      <w:pPr>
        <w:pStyle w:val="ParaNum"/>
        <w:widowControl/>
        <w:jc w:val="left"/>
        <w:rPr>
          <w:szCs w:val="22"/>
        </w:rPr>
      </w:pPr>
      <w:r w:rsidRPr="003137F9">
        <w:rPr>
          <w:szCs w:val="22"/>
        </w:rPr>
        <w:t>In this case, although Licensee admitted to violating Section 73.352</w:t>
      </w:r>
      <w:r w:rsidR="00912F8F" w:rsidRPr="003137F9">
        <w:rPr>
          <w:szCs w:val="22"/>
        </w:rPr>
        <w:t>7</w:t>
      </w:r>
      <w:r w:rsidRPr="003137F9">
        <w:rPr>
          <w:szCs w:val="22"/>
        </w:rPr>
        <w:t xml:space="preserve">, it did so only in the context of the question contained in its license renewal application that compelled such disclosure.  Moreover, the violations were extensive, occurring over </w:t>
      </w:r>
      <w:r w:rsidR="00DA5F96" w:rsidRPr="003137F9">
        <w:rPr>
          <w:szCs w:val="22"/>
        </w:rPr>
        <w:t xml:space="preserve">a </w:t>
      </w:r>
      <w:r w:rsidR="00CE3F8B" w:rsidRPr="003137F9">
        <w:rPr>
          <w:szCs w:val="22"/>
        </w:rPr>
        <w:t>four</w:t>
      </w:r>
      <w:r w:rsidR="009360B2" w:rsidRPr="003137F9">
        <w:rPr>
          <w:szCs w:val="22"/>
        </w:rPr>
        <w:t>-</w:t>
      </w:r>
      <w:r w:rsidR="00DA5F96" w:rsidRPr="003137F9">
        <w:rPr>
          <w:szCs w:val="22"/>
        </w:rPr>
        <w:t xml:space="preserve">year period </w:t>
      </w:r>
      <w:r w:rsidRPr="003137F9">
        <w:rPr>
          <w:szCs w:val="22"/>
        </w:rPr>
        <w:t xml:space="preserve">and involving </w:t>
      </w:r>
      <w:r w:rsidR="00C41531" w:rsidRPr="003137F9">
        <w:rPr>
          <w:szCs w:val="22"/>
        </w:rPr>
        <w:t>1</w:t>
      </w:r>
      <w:r w:rsidR="00912F8F" w:rsidRPr="003137F9">
        <w:rPr>
          <w:szCs w:val="22"/>
        </w:rPr>
        <w:t>3</w:t>
      </w:r>
      <w:r w:rsidRPr="003137F9">
        <w:rPr>
          <w:szCs w:val="22"/>
        </w:rPr>
        <w:t xml:space="preserve"> issues/programs lists.  Additionally, a downward adjustment is not appropriate here considering the extensive violations that occurred.  Considering the record as a whole, we believe that a $10,000 forfeiture is appropriate for the Section 73.352</w:t>
      </w:r>
      <w:r w:rsidR="00CE3F8B" w:rsidRPr="003137F9">
        <w:rPr>
          <w:szCs w:val="22"/>
        </w:rPr>
        <w:t>7</w:t>
      </w:r>
      <w:r w:rsidRPr="003137F9">
        <w:rPr>
          <w:szCs w:val="22"/>
        </w:rPr>
        <w:t xml:space="preserve"> violations in this case.</w:t>
      </w:r>
      <w:r>
        <w:rPr>
          <w:rStyle w:val="FootnoteReference"/>
          <w:szCs w:val="22"/>
        </w:rPr>
        <w:footnoteReference w:id="15"/>
      </w:r>
      <w:r w:rsidRPr="003137F9">
        <w:rPr>
          <w:szCs w:val="22"/>
        </w:rPr>
        <w:t xml:space="preserve">  </w:t>
      </w:r>
    </w:p>
    <w:p w:rsidR="003137F9" w:rsidRDefault="00CF236D" w:rsidP="003137F9">
      <w:pPr>
        <w:pStyle w:val="ParaNum"/>
        <w:widowControl/>
        <w:jc w:val="left"/>
        <w:rPr>
          <w:szCs w:val="22"/>
        </w:rPr>
      </w:pPr>
      <w:r w:rsidRPr="003137F9">
        <w:rPr>
          <w:i/>
          <w:szCs w:val="22"/>
        </w:rPr>
        <w:t>License Renewal Application.</w:t>
      </w:r>
      <w:r w:rsidRPr="003137F9">
        <w:rPr>
          <w:szCs w:val="22"/>
        </w:rPr>
        <w:t xml:space="preserve">  In evaluating an application for license renewal, the Commission’s decision is governed by Section 309(k) of the Act.</w:t>
      </w:r>
      <w:r>
        <w:rPr>
          <w:rStyle w:val="FootnoteReference"/>
          <w:szCs w:val="22"/>
        </w:rPr>
        <w:footnoteReference w:id="16"/>
      </w:r>
      <w:r w:rsidRPr="003137F9">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17"/>
      </w:r>
      <w:r w:rsidRPr="003137F9">
        <w:rPr>
          <w:szCs w:val="22"/>
        </w:rPr>
        <w:t xml:space="preserve"> </w:t>
      </w:r>
      <w:r w:rsidRPr="003137F9">
        <w:rPr>
          <w:i/>
          <w:szCs w:val="22"/>
        </w:rPr>
        <w:t xml:space="preserve"> </w:t>
      </w:r>
      <w:r w:rsidRPr="003137F9">
        <w:rPr>
          <w:szCs w:val="22"/>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18"/>
      </w:r>
    </w:p>
    <w:p w:rsidR="005903E7" w:rsidRDefault="00CF236D" w:rsidP="005903E7">
      <w:pPr>
        <w:pStyle w:val="ParaNum"/>
        <w:widowControl/>
        <w:jc w:val="left"/>
        <w:rPr>
          <w:szCs w:val="22"/>
        </w:rPr>
      </w:pPr>
      <w:r w:rsidRPr="003137F9">
        <w:rPr>
          <w:color w:val="000000"/>
          <w:szCs w:val="22"/>
        </w:rPr>
        <w:t>We find that Licensee’s apparent violations of Section 73.352</w:t>
      </w:r>
      <w:r w:rsidR="00CE3F8B" w:rsidRPr="003137F9">
        <w:rPr>
          <w:color w:val="000000"/>
          <w:szCs w:val="22"/>
        </w:rPr>
        <w:t>7</w:t>
      </w:r>
      <w:r w:rsidRPr="003137F9">
        <w:rPr>
          <w:color w:val="000000"/>
          <w:szCs w:val="22"/>
        </w:rPr>
        <w:t xml:space="preserve"> of the Rules do not constitute “serious violations” warranting designation for evidentiary hearing.  Moreover, we find no evidence of violations that, when considered together, evidence a pattern of abuse.</w:t>
      </w:r>
      <w:r>
        <w:rPr>
          <w:rStyle w:val="FootnoteReference"/>
          <w:color w:val="000000"/>
          <w:szCs w:val="22"/>
        </w:rPr>
        <w:footnoteReference w:id="19"/>
      </w:r>
      <w:r w:rsidRPr="003137F9">
        <w:rPr>
          <w:color w:val="000000"/>
          <w:szCs w:val="22"/>
        </w:rPr>
        <w:t xml:space="preserve">  </w:t>
      </w:r>
      <w:r w:rsidRPr="003137F9">
        <w:rPr>
          <w:spacing w:val="-2"/>
          <w:szCs w:val="22"/>
        </w:rPr>
        <w:t>Further, we find that</w:t>
      </w:r>
      <w:r w:rsidRPr="003137F9">
        <w:rPr>
          <w:szCs w:val="22"/>
        </w:rPr>
        <w:t xml:space="preserve"> the Station served the public interest, convenience, and necessity during the subject license term.  We will therefore grant the license renewal application by separate action upon the conclusion of this forfeiture proceeding if there are no issues other than the apparent violation</w:t>
      </w:r>
      <w:r w:rsidR="00032CB2" w:rsidRPr="003137F9">
        <w:rPr>
          <w:szCs w:val="22"/>
        </w:rPr>
        <w:t>s</w:t>
      </w:r>
      <w:r w:rsidRPr="003137F9">
        <w:rPr>
          <w:szCs w:val="22"/>
        </w:rPr>
        <w:t xml:space="preserve"> that would preclude grant of the application.  </w:t>
      </w:r>
    </w:p>
    <w:p w:rsidR="005903E7" w:rsidRPr="005903E7" w:rsidRDefault="005903E7" w:rsidP="005903E7">
      <w:pPr>
        <w:pStyle w:val="ParaNum"/>
        <w:numPr>
          <w:ilvl w:val="0"/>
          <w:numId w:val="0"/>
        </w:numPr>
        <w:rPr>
          <w:b/>
        </w:rPr>
      </w:pPr>
      <w:r w:rsidRPr="005903E7">
        <w:rPr>
          <w:b/>
        </w:rPr>
        <w:t>IV.       ORDERING CLAUSES</w:t>
      </w:r>
    </w:p>
    <w:p w:rsidR="005903E7" w:rsidRPr="005903E7" w:rsidRDefault="00CF236D" w:rsidP="005903E7">
      <w:pPr>
        <w:pStyle w:val="ParaNum"/>
        <w:widowControl/>
        <w:jc w:val="left"/>
        <w:rPr>
          <w:szCs w:val="22"/>
        </w:rPr>
      </w:pPr>
      <w:r>
        <w:t xml:space="preserve">Accordingly, IT IS ORDERED, pursuant to Section 503(b) of the Communications Act of 1934, as amended, and Section 1.80 of the Commission’s Rules, that </w:t>
      </w:r>
      <w:r w:rsidR="00912F8F">
        <w:t>Peconic Public Broadcasting</w:t>
      </w:r>
      <w:r w:rsidR="00BC5507">
        <w:t xml:space="preserve"> </w:t>
      </w:r>
      <w:r>
        <w:t>is hereby NOTIFIED of its APPARENT LIABILITY FOR FORFEITURE in the amount of ten thousand dollars ($10,000) for its apparent willful and repeated violation</w:t>
      </w:r>
      <w:r w:rsidR="00BB704C">
        <w:t>s</w:t>
      </w:r>
      <w:r>
        <w:t xml:space="preserve"> of Section 73.352</w:t>
      </w:r>
      <w:r w:rsidR="00912F8F">
        <w:t>7</w:t>
      </w:r>
      <w:r>
        <w:t xml:space="preserve"> of the Commission’s Rules.</w:t>
      </w:r>
    </w:p>
    <w:p w:rsidR="005903E7" w:rsidRDefault="00CF236D" w:rsidP="005903E7">
      <w:pPr>
        <w:pStyle w:val="ParaNum"/>
        <w:widowControl/>
        <w:jc w:val="left"/>
        <w:rPr>
          <w:szCs w:val="22"/>
        </w:rPr>
      </w:pPr>
      <w:r>
        <w:t xml:space="preserve">IT IS FURTHER ORDERED, pursuant to Section 1.80 of the Commission’s Rules, that, within thirty (30) days of the release date of this </w:t>
      </w:r>
      <w:r w:rsidRPr="005903E7">
        <w:rPr>
          <w:i/>
        </w:rPr>
        <w:t>NAL,</w:t>
      </w:r>
      <w:r w:rsidR="00912F8F">
        <w:t xml:space="preserve"> Peconic Public Broadcasting</w:t>
      </w:r>
      <w:r w:rsidR="00CF7851">
        <w:t>, Inc.,</w:t>
      </w:r>
      <w:r>
        <w:t xml:space="preserve"> SHALL PAY the full amount of the proposed forfeiture or SHALL FILE a written statement seeking reduction or cancellation of the proposed forfeiture.  </w:t>
      </w:r>
    </w:p>
    <w:p w:rsidR="005903E7" w:rsidRDefault="00CF236D" w:rsidP="005903E7">
      <w:pPr>
        <w:pStyle w:val="ParaNum"/>
        <w:widowControl/>
        <w:jc w:val="left"/>
        <w:rPr>
          <w:szCs w:val="22"/>
        </w:rPr>
      </w:pPr>
      <w:r w:rsidRPr="005903E7">
        <w:rPr>
          <w:szCs w:val="22"/>
        </w:rPr>
        <w:t>Payment of the proposed forfeiture must be made by check or similar instrument, payable</w:t>
      </w:r>
      <w:r w:rsidRPr="005903E7">
        <w:rPr>
          <w:rFonts w:ascii="Arial" w:hAnsi="Arial" w:cs="Arial"/>
          <w:szCs w:val="22"/>
        </w:rPr>
        <w:t xml:space="preserve"> </w:t>
      </w:r>
      <w:r w:rsidRPr="005903E7">
        <w:rPr>
          <w:szCs w:val="22"/>
        </w:rPr>
        <w:t xml:space="preserve">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Penelope.Dade@fcc.gov and </w:t>
      </w:r>
      <w:r w:rsidR="00CF7851">
        <w:t>Kim</w:t>
      </w:r>
      <w:r w:rsidR="005C0326">
        <w:t>.</w:t>
      </w:r>
      <w:r w:rsidR="00CF7851">
        <w:t>Varner</w:t>
      </w:r>
      <w:r>
        <w:t>@fcc.gov.</w:t>
      </w:r>
      <w:r w:rsidRPr="005903E7">
        <w:rPr>
          <w:szCs w:val="22"/>
        </w:rPr>
        <w:t xml:space="preserve">  </w:t>
      </w:r>
    </w:p>
    <w:p w:rsidR="005903E7" w:rsidRDefault="00CF236D" w:rsidP="005903E7">
      <w:pPr>
        <w:pStyle w:val="ParaNum"/>
        <w:widowControl/>
        <w:jc w:val="left"/>
        <w:rPr>
          <w:szCs w:val="22"/>
        </w:rPr>
      </w:pPr>
      <w:r w:rsidRPr="005903E7">
        <w:rPr>
          <w:szCs w:val="22"/>
        </w:rPr>
        <w:t>The response, if any, must be mailed to Office of the Secretary, Federal Communications Commission, 445 12</w:t>
      </w:r>
      <w:r w:rsidRPr="005903E7">
        <w:rPr>
          <w:szCs w:val="22"/>
          <w:vertAlign w:val="superscript"/>
        </w:rPr>
        <w:t>th</w:t>
      </w:r>
      <w:r w:rsidRPr="005903E7">
        <w:rPr>
          <w:szCs w:val="22"/>
        </w:rPr>
        <w:t xml:space="preserve"> Street, S.W., Washington DC 20554, ATTN:  Peter H. Doyle, Chief, Audio Division, Media Bureau, and MUST INCLUDE the NAL/Acct. No. referenced above.</w:t>
      </w:r>
    </w:p>
    <w:p w:rsidR="005903E7" w:rsidRDefault="00CF236D" w:rsidP="005903E7">
      <w:pPr>
        <w:pStyle w:val="ParaNum"/>
        <w:widowControl/>
        <w:jc w:val="left"/>
        <w:rPr>
          <w:szCs w:val="22"/>
        </w:rPr>
      </w:pPr>
      <w:r w:rsidRPr="005903E7">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5903E7" w:rsidRDefault="00CF236D" w:rsidP="005903E7">
      <w:pPr>
        <w:pStyle w:val="ParaNum"/>
        <w:widowControl/>
        <w:jc w:val="left"/>
        <w:rPr>
          <w:szCs w:val="22"/>
        </w:rPr>
      </w:pPr>
      <w:r w:rsidRPr="005903E7">
        <w:rPr>
          <w:szCs w:val="22"/>
        </w:rPr>
        <w:t xml:space="preserve">Requests for full payment of the forfeiture proposed in this </w:t>
      </w:r>
      <w:r w:rsidRPr="005903E7">
        <w:rPr>
          <w:i/>
          <w:szCs w:val="22"/>
        </w:rPr>
        <w:t>NAL</w:t>
      </w:r>
      <w:r w:rsidRPr="005903E7">
        <w:rPr>
          <w:szCs w:val="22"/>
        </w:rP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20"/>
      </w:r>
    </w:p>
    <w:p w:rsidR="005903E7" w:rsidRDefault="005903E7">
      <w:pPr>
        <w:rPr>
          <w:szCs w:val="22"/>
        </w:rPr>
      </w:pPr>
      <w:r>
        <w:rPr>
          <w:szCs w:val="22"/>
        </w:rPr>
        <w:br w:type="page"/>
      </w:r>
    </w:p>
    <w:p w:rsidR="006C1806" w:rsidRPr="005903E7" w:rsidRDefault="00CF236D" w:rsidP="005903E7">
      <w:pPr>
        <w:pStyle w:val="ParaNum"/>
        <w:widowControl/>
        <w:jc w:val="left"/>
        <w:rPr>
          <w:szCs w:val="22"/>
        </w:rPr>
      </w:pPr>
      <w:r w:rsidRPr="005903E7">
        <w:rPr>
          <w:szCs w:val="22"/>
        </w:rPr>
        <w:t xml:space="preserve">IT IS FURTHER ORDERED that copies of this </w:t>
      </w:r>
      <w:r w:rsidRPr="005903E7">
        <w:rPr>
          <w:i/>
          <w:szCs w:val="22"/>
        </w:rPr>
        <w:t>NAL</w:t>
      </w:r>
      <w:r w:rsidRPr="005903E7">
        <w:rPr>
          <w:szCs w:val="22"/>
        </w:rPr>
        <w:t xml:space="preserve"> shall be sent, by First Class and Certified Mail, Return Receipt Requested, to </w:t>
      </w:r>
      <w:r w:rsidR="00190988" w:rsidRPr="005903E7">
        <w:rPr>
          <w:szCs w:val="22"/>
        </w:rPr>
        <w:t>Peconic Public Broadcasting</w:t>
      </w:r>
      <w:r w:rsidR="00CF7851" w:rsidRPr="005903E7">
        <w:rPr>
          <w:szCs w:val="22"/>
        </w:rPr>
        <w:t xml:space="preserve">, Inc., P.O. Box </w:t>
      </w:r>
      <w:r w:rsidR="00190988" w:rsidRPr="005903E7">
        <w:rPr>
          <w:szCs w:val="22"/>
        </w:rPr>
        <w:t>1410</w:t>
      </w:r>
      <w:r w:rsidR="00CF7851" w:rsidRPr="005903E7">
        <w:rPr>
          <w:szCs w:val="22"/>
        </w:rPr>
        <w:t xml:space="preserve">, </w:t>
      </w:r>
      <w:r w:rsidR="00110108" w:rsidRPr="005903E7">
        <w:rPr>
          <w:szCs w:val="22"/>
        </w:rPr>
        <w:t>South</w:t>
      </w:r>
      <w:r w:rsidR="00190988" w:rsidRPr="005903E7">
        <w:rPr>
          <w:szCs w:val="22"/>
        </w:rPr>
        <w:t>ampton, NY 11969</w:t>
      </w:r>
      <w:r w:rsidRPr="005903E7">
        <w:rPr>
          <w:szCs w:val="22"/>
        </w:rPr>
        <w:t xml:space="preserve">, and to its counsel, </w:t>
      </w:r>
      <w:r w:rsidR="00CF7851" w:rsidRPr="005903E7">
        <w:rPr>
          <w:szCs w:val="22"/>
        </w:rPr>
        <w:t>Er</w:t>
      </w:r>
      <w:r w:rsidR="00190988" w:rsidRPr="005903E7">
        <w:rPr>
          <w:szCs w:val="22"/>
        </w:rPr>
        <w:t>nest T. Sanchez</w:t>
      </w:r>
      <w:r w:rsidR="00694FC0" w:rsidRPr="005903E7">
        <w:rPr>
          <w:szCs w:val="22"/>
        </w:rPr>
        <w:t xml:space="preserve">, Esq., </w:t>
      </w:r>
      <w:r w:rsidR="00190988" w:rsidRPr="005903E7">
        <w:rPr>
          <w:szCs w:val="22"/>
        </w:rPr>
        <w:t>The Sanchez Law Firm, P.C.</w:t>
      </w:r>
      <w:r w:rsidR="00694FC0" w:rsidRPr="005903E7">
        <w:rPr>
          <w:szCs w:val="22"/>
        </w:rPr>
        <w:t xml:space="preserve">, </w:t>
      </w:r>
      <w:r w:rsidR="00CF7851" w:rsidRPr="005903E7">
        <w:rPr>
          <w:szCs w:val="22"/>
        </w:rPr>
        <w:t>1</w:t>
      </w:r>
      <w:r w:rsidR="00190988" w:rsidRPr="005903E7">
        <w:rPr>
          <w:szCs w:val="22"/>
        </w:rPr>
        <w:t>155 F Street, NW</w:t>
      </w:r>
      <w:r w:rsidR="00694FC0" w:rsidRPr="005903E7">
        <w:rPr>
          <w:szCs w:val="22"/>
        </w:rPr>
        <w:t>,</w:t>
      </w:r>
      <w:r w:rsidR="00DC134A" w:rsidRPr="005903E7">
        <w:rPr>
          <w:szCs w:val="22"/>
        </w:rPr>
        <w:t xml:space="preserve"> Suite 1050, </w:t>
      </w:r>
      <w:r w:rsidR="00694FC0" w:rsidRPr="005903E7">
        <w:rPr>
          <w:szCs w:val="22"/>
        </w:rPr>
        <w:t>Washington, DC 200</w:t>
      </w:r>
      <w:r w:rsidR="00CF7851" w:rsidRPr="005903E7">
        <w:rPr>
          <w:szCs w:val="22"/>
        </w:rPr>
        <w:t>0</w:t>
      </w:r>
      <w:r w:rsidR="00190988" w:rsidRPr="005903E7">
        <w:rPr>
          <w:szCs w:val="22"/>
        </w:rPr>
        <w:t>4</w:t>
      </w:r>
      <w:r w:rsidRPr="005903E7">
        <w:rPr>
          <w:szCs w:val="22"/>
        </w:rPr>
        <w:t>.</w:t>
      </w:r>
    </w:p>
    <w:p w:rsidR="006C1806" w:rsidRDefault="00CF236D">
      <w:pPr>
        <w:tabs>
          <w:tab w:val="left" w:pos="0"/>
        </w:tabs>
        <w:suppressAutoHyphens/>
        <w:rPr>
          <w:szCs w:val="22"/>
        </w:rPr>
      </w:pP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6C1806" w:rsidRDefault="006C1806">
      <w:pPr>
        <w:tabs>
          <w:tab w:val="left" w:pos="0"/>
        </w:tabs>
        <w:suppressAutoHyphens/>
        <w:rPr>
          <w:szCs w:val="22"/>
        </w:rPr>
      </w:pPr>
    </w:p>
    <w:p w:rsidR="006C1806" w:rsidRDefault="006C1806">
      <w:pPr>
        <w:tabs>
          <w:tab w:val="left" w:pos="0"/>
        </w:tabs>
        <w:suppressAutoHyphens/>
        <w:rPr>
          <w:szCs w:val="22"/>
        </w:rPr>
      </w:pP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6C1806" w:rsidRDefault="00CF236D">
      <w:pPr>
        <w:rPr>
          <w:szCs w:val="22"/>
        </w:rPr>
      </w:pPr>
      <w:r>
        <w:rPr>
          <w:szCs w:val="22"/>
        </w:rPr>
        <w:tab/>
      </w:r>
      <w:r>
        <w:rPr>
          <w:szCs w:val="22"/>
        </w:rPr>
        <w:tab/>
      </w:r>
      <w:r>
        <w:rPr>
          <w:szCs w:val="22"/>
        </w:rPr>
        <w:tab/>
      </w:r>
      <w:r>
        <w:rPr>
          <w:szCs w:val="22"/>
        </w:rPr>
        <w:tab/>
        <w:t xml:space="preserve">             Chief, Audio Division</w:t>
      </w:r>
    </w:p>
    <w:p w:rsidR="006C1806" w:rsidRDefault="00CF236D">
      <w:pPr>
        <w:rPr>
          <w:szCs w:val="22"/>
        </w:rPr>
      </w:pPr>
      <w:r>
        <w:rPr>
          <w:szCs w:val="22"/>
        </w:rPr>
        <w:tab/>
      </w:r>
      <w:r>
        <w:rPr>
          <w:szCs w:val="22"/>
        </w:rPr>
        <w:tab/>
      </w:r>
      <w:r>
        <w:rPr>
          <w:szCs w:val="22"/>
        </w:rPr>
        <w:tab/>
      </w:r>
      <w:r>
        <w:rPr>
          <w:szCs w:val="22"/>
        </w:rPr>
        <w:tab/>
      </w:r>
      <w:r>
        <w:rPr>
          <w:szCs w:val="22"/>
        </w:rPr>
        <w:tab/>
        <w:t>Media Bureau</w:t>
      </w:r>
    </w:p>
    <w:p w:rsidR="006C1806" w:rsidRDefault="006C1806">
      <w:pPr>
        <w:rPr>
          <w:szCs w:val="22"/>
        </w:rPr>
      </w:pPr>
    </w:p>
    <w:p w:rsidR="006C1806" w:rsidRDefault="006C1806"/>
    <w:sectPr w:rsidR="006C18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A0" w:rsidRDefault="00BB78A0">
      <w:r>
        <w:separator/>
      </w:r>
    </w:p>
  </w:endnote>
  <w:endnote w:type="continuationSeparator" w:id="0">
    <w:p w:rsidR="00BB78A0" w:rsidRDefault="00BB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06" w:rsidRDefault="006C1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8A1">
      <w:rPr>
        <w:rStyle w:val="PageNumber"/>
        <w:noProof/>
      </w:rPr>
      <w:t>2</w:t>
    </w:r>
    <w:r>
      <w:rPr>
        <w:rStyle w:val="PageNumber"/>
      </w:rPr>
      <w:fldChar w:fldCharType="end"/>
    </w:r>
  </w:p>
  <w:p w:rsidR="006C1806" w:rsidRDefault="006C1806">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6C180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A0" w:rsidRDefault="00BB78A0">
      <w:r>
        <w:separator/>
      </w:r>
    </w:p>
  </w:footnote>
  <w:footnote w:type="continuationSeparator" w:id="0">
    <w:p w:rsidR="00BB78A0" w:rsidRDefault="00BB78A0">
      <w:r>
        <w:continuationSeparator/>
      </w:r>
    </w:p>
  </w:footnote>
  <w:footnote w:id="1">
    <w:p w:rsidR="006C1806" w:rsidRPr="00E7504D" w:rsidRDefault="00CF236D">
      <w:pPr>
        <w:pStyle w:val="FootnoteText"/>
        <w:jc w:val="left"/>
        <w:rPr>
          <w:sz w:val="20"/>
        </w:rPr>
      </w:pPr>
      <w:r w:rsidRPr="00E7504D">
        <w:rPr>
          <w:rStyle w:val="FootnoteReference"/>
          <w:sz w:val="20"/>
        </w:rPr>
        <w:footnoteRef/>
      </w:r>
      <w:r w:rsidRPr="00E7504D">
        <w:rPr>
          <w:sz w:val="20"/>
        </w:rPr>
        <w:t xml:space="preserve"> This </w:t>
      </w:r>
      <w:r w:rsidRPr="00E7504D">
        <w:rPr>
          <w:i/>
          <w:sz w:val="20"/>
        </w:rPr>
        <w:t>NAL</w:t>
      </w:r>
      <w:r w:rsidRPr="00E7504D">
        <w:rPr>
          <w:sz w:val="20"/>
        </w:rPr>
        <w:t xml:space="preserve"> is issued pursuant to Sections 309(k) and 503(b) of the Communications Act of 1934, as amended (“Act”), and Section 1.80 of the Commission’s rules (“Rules”).  </w:t>
      </w:r>
      <w:r w:rsidRPr="00E7504D">
        <w:rPr>
          <w:i/>
          <w:sz w:val="20"/>
        </w:rPr>
        <w:t>See</w:t>
      </w:r>
      <w:r w:rsidRPr="00E7504D">
        <w:rPr>
          <w:sz w:val="20"/>
        </w:rPr>
        <w:t xml:space="preserve"> 47 U.S.C. §§ 309(k), 503(b); 47 C.F.R. § 1.80.  The Bureau has delegated authority to issue the </w:t>
      </w:r>
      <w:r w:rsidRPr="00E7504D">
        <w:rPr>
          <w:i/>
          <w:sz w:val="20"/>
        </w:rPr>
        <w:t>NAL</w:t>
      </w:r>
      <w:r w:rsidRPr="00E7504D">
        <w:rPr>
          <w:sz w:val="20"/>
        </w:rPr>
        <w:t xml:space="preserve"> under Section 0.283 of the Rules.  </w:t>
      </w:r>
      <w:r w:rsidRPr="00E7504D">
        <w:rPr>
          <w:i/>
          <w:sz w:val="20"/>
        </w:rPr>
        <w:t>See</w:t>
      </w:r>
      <w:r w:rsidRPr="00E7504D">
        <w:rPr>
          <w:sz w:val="20"/>
        </w:rPr>
        <w:t xml:space="preserve"> 47 C.F.R. § 0.283.</w:t>
      </w:r>
    </w:p>
  </w:footnote>
  <w:footnote w:id="2">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 xml:space="preserve">See </w:t>
      </w:r>
      <w:r w:rsidRPr="00E7504D">
        <w:rPr>
          <w:sz w:val="20"/>
        </w:rPr>
        <w:t>47 C.F.R. § 73.352</w:t>
      </w:r>
      <w:r w:rsidR="00190988">
        <w:rPr>
          <w:sz w:val="20"/>
        </w:rPr>
        <w:t>7</w:t>
      </w:r>
      <w:r w:rsidRPr="00E7504D">
        <w:rPr>
          <w:sz w:val="20"/>
        </w:rPr>
        <w:t>.</w:t>
      </w:r>
    </w:p>
  </w:footnote>
  <w:footnote w:id="3">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Cf</w:t>
      </w:r>
      <w:r w:rsidRPr="00E7504D">
        <w:rPr>
          <w:sz w:val="20"/>
        </w:rPr>
        <w:t xml:space="preserve">. </w:t>
      </w:r>
      <w:r w:rsidRPr="00E7504D">
        <w:rPr>
          <w:i/>
          <w:sz w:val="20"/>
        </w:rPr>
        <w:t>Letter to Kathleen N. Benfield from Linda B. Blair, Chief, Audio Services Division</w:t>
      </w:r>
      <w:r w:rsidRPr="00E7504D">
        <w:rPr>
          <w:sz w:val="20"/>
        </w:rPr>
        <w:t>, 13 FCC Rcd 4102 (MMB 1997) (citing</w:t>
      </w:r>
      <w:r w:rsidRPr="00E7504D">
        <w:rPr>
          <w:i/>
          <w:sz w:val="20"/>
        </w:rPr>
        <w:t xml:space="preserve"> License Renewal Applications of Certain Commercial Radio Stations,</w:t>
      </w:r>
      <w:r w:rsidRPr="00E7504D">
        <w:rPr>
          <w:sz w:val="20"/>
        </w:rPr>
        <w:t xml:space="preserve"> Memorandum Opinion and Order, 8 FCC Rcd 6400 (MMB 1993)).  </w:t>
      </w:r>
    </w:p>
  </w:footnote>
  <w:footnote w:id="4">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 xml:space="preserve">See </w:t>
      </w:r>
      <w:r w:rsidRPr="00E7504D">
        <w:rPr>
          <w:sz w:val="20"/>
        </w:rPr>
        <w:t>47 C.F.R. § 73.</w:t>
      </w:r>
      <w:r w:rsidR="00AF7539" w:rsidRPr="00E7504D">
        <w:rPr>
          <w:sz w:val="20"/>
        </w:rPr>
        <w:t>352</w:t>
      </w:r>
      <w:r w:rsidR="00173E98">
        <w:rPr>
          <w:sz w:val="20"/>
        </w:rPr>
        <w:t>7</w:t>
      </w:r>
      <w:r w:rsidRPr="00E7504D">
        <w:rPr>
          <w:sz w:val="20"/>
        </w:rPr>
        <w:t>(e)(</w:t>
      </w:r>
      <w:r w:rsidR="000A0223">
        <w:rPr>
          <w:sz w:val="20"/>
        </w:rPr>
        <w:t>8</w:t>
      </w:r>
      <w:r w:rsidRPr="00E7504D">
        <w:rPr>
          <w:sz w:val="20"/>
        </w:rPr>
        <w:t>).</w:t>
      </w:r>
    </w:p>
  </w:footnote>
  <w:footnote w:id="5">
    <w:p w:rsidR="00173E98" w:rsidRPr="00CD5C3A" w:rsidRDefault="00173E98" w:rsidP="00CE3F8B">
      <w:pPr>
        <w:pStyle w:val="FootnoteText"/>
        <w:jc w:val="left"/>
        <w:rPr>
          <w:sz w:val="20"/>
        </w:rPr>
      </w:pPr>
      <w:r w:rsidRPr="00CD5C3A">
        <w:rPr>
          <w:rStyle w:val="FootnoteReference"/>
          <w:sz w:val="20"/>
        </w:rPr>
        <w:footnoteRef/>
      </w:r>
      <w:r w:rsidRPr="00CD5C3A">
        <w:rPr>
          <w:sz w:val="20"/>
        </w:rPr>
        <w:t xml:space="preserve"> </w:t>
      </w:r>
      <w:r w:rsidR="00CE3F8B">
        <w:rPr>
          <w:sz w:val="20"/>
        </w:rPr>
        <w:t xml:space="preserve">On December 15, 2010, </w:t>
      </w:r>
      <w:r w:rsidRPr="00CD5C3A">
        <w:rPr>
          <w:sz w:val="20"/>
        </w:rPr>
        <w:t xml:space="preserve">Peconic consummated the </w:t>
      </w:r>
      <w:r w:rsidR="00110108">
        <w:rPr>
          <w:sz w:val="20"/>
        </w:rPr>
        <w:t xml:space="preserve">acquisition </w:t>
      </w:r>
      <w:r w:rsidRPr="00CD5C3A">
        <w:rPr>
          <w:sz w:val="20"/>
        </w:rPr>
        <w:t xml:space="preserve">of the Station from </w:t>
      </w:r>
      <w:r w:rsidR="00110108">
        <w:rPr>
          <w:sz w:val="20"/>
        </w:rPr>
        <w:t>Long Island University Public Radio Network</w:t>
      </w:r>
      <w:r w:rsidR="00BC5507">
        <w:rPr>
          <w:sz w:val="20"/>
        </w:rPr>
        <w:t xml:space="preserve">.  </w:t>
      </w:r>
      <w:r w:rsidR="00BC5507">
        <w:rPr>
          <w:i/>
          <w:sz w:val="20"/>
        </w:rPr>
        <w:t xml:space="preserve">See </w:t>
      </w:r>
      <w:r w:rsidRPr="00CD5C3A">
        <w:rPr>
          <w:sz w:val="20"/>
        </w:rPr>
        <w:t>BALED-20100316ABB</w:t>
      </w:r>
      <w:r w:rsidR="00227030">
        <w:rPr>
          <w:sz w:val="20"/>
        </w:rPr>
        <w:t>, granted</w:t>
      </w:r>
      <w:r w:rsidR="00BC5507">
        <w:rPr>
          <w:sz w:val="20"/>
        </w:rPr>
        <w:t xml:space="preserve"> October 13, 2010</w:t>
      </w:r>
      <w:r w:rsidRPr="00CD5C3A">
        <w:rPr>
          <w:sz w:val="20"/>
        </w:rPr>
        <w:t>.</w:t>
      </w:r>
      <w:r w:rsidRPr="00CD5C3A">
        <w:rPr>
          <w:i/>
          <w:sz w:val="20"/>
        </w:rPr>
        <w:t xml:space="preserve"> </w:t>
      </w:r>
      <w:r w:rsidRPr="00CD5C3A">
        <w:rPr>
          <w:sz w:val="20"/>
        </w:rPr>
        <w:t xml:space="preserve"> </w:t>
      </w:r>
    </w:p>
  </w:footnote>
  <w:footnote w:id="6">
    <w:p w:rsidR="00CD5C3A" w:rsidRPr="00CD5C3A" w:rsidRDefault="00CD5C3A" w:rsidP="00CE3F8B">
      <w:pPr>
        <w:pStyle w:val="FootnoteText"/>
        <w:jc w:val="left"/>
        <w:rPr>
          <w:sz w:val="20"/>
        </w:rPr>
      </w:pPr>
      <w:r w:rsidRPr="00CD5C3A">
        <w:rPr>
          <w:rStyle w:val="FootnoteReference"/>
          <w:sz w:val="20"/>
        </w:rPr>
        <w:footnoteRef/>
      </w:r>
      <w:r w:rsidRPr="00CD5C3A">
        <w:rPr>
          <w:sz w:val="20"/>
        </w:rPr>
        <w:t xml:space="preserve"> Application, </w:t>
      </w:r>
      <w:r>
        <w:rPr>
          <w:sz w:val="20"/>
        </w:rPr>
        <w:t>Exhibit 12</w:t>
      </w:r>
      <w:r w:rsidR="00BC5507">
        <w:rPr>
          <w:sz w:val="20"/>
        </w:rPr>
        <w:t>.</w:t>
      </w:r>
    </w:p>
  </w:footnote>
  <w:footnote w:id="7">
    <w:p w:rsidR="006C1806" w:rsidRPr="00E7504D" w:rsidRDefault="00CF236D" w:rsidP="00CE3F8B">
      <w:pPr>
        <w:pStyle w:val="FootnoteText"/>
        <w:jc w:val="left"/>
        <w:rPr>
          <w:sz w:val="20"/>
        </w:rPr>
      </w:pPr>
      <w:r w:rsidRPr="00E7504D">
        <w:rPr>
          <w:rStyle w:val="FootnoteReference"/>
          <w:sz w:val="20"/>
        </w:rPr>
        <w:footnoteRef/>
      </w:r>
      <w:r w:rsidRPr="00E7504D">
        <w:rPr>
          <w:sz w:val="20"/>
        </w:rPr>
        <w:t xml:space="preserve"> </w:t>
      </w:r>
      <w:r w:rsidRPr="00E7504D">
        <w:rPr>
          <w:i/>
          <w:sz w:val="20"/>
        </w:rPr>
        <w:t>See Padre Serra Communications, Inc.</w:t>
      </w:r>
      <w:r w:rsidRPr="00E7504D">
        <w:rPr>
          <w:sz w:val="20"/>
        </w:rPr>
        <w:t>, Letter, 14 FCC Rcd 9709 (MMB 1999) (citing</w:t>
      </w:r>
      <w:r w:rsidRPr="00E7504D">
        <w:rPr>
          <w:i/>
          <w:sz w:val="20"/>
        </w:rPr>
        <w:t xml:space="preserve"> Gaffney Broadcasting, Inc</w:t>
      </w:r>
      <w:r w:rsidRPr="00E7504D">
        <w:rPr>
          <w:sz w:val="20"/>
        </w:rPr>
        <w:t>., Memorandum Opinion and Order, 23 FCC 2d 912, 913 (1970) and</w:t>
      </w:r>
      <w:r w:rsidRPr="00E7504D">
        <w:rPr>
          <w:i/>
          <w:sz w:val="20"/>
        </w:rPr>
        <w:t xml:space="preserve"> Eleven Ten Broadcasting Corp</w:t>
      </w:r>
      <w:r w:rsidRPr="00E7504D">
        <w:rPr>
          <w:sz w:val="20"/>
        </w:rPr>
        <w:t>., Notice of Apparent Liability, 33 FCC</w:t>
      </w:r>
      <w:r w:rsidRPr="00E7504D">
        <w:rPr>
          <w:b/>
          <w:sz w:val="20"/>
        </w:rPr>
        <w:t xml:space="preserve"> </w:t>
      </w:r>
      <w:r w:rsidRPr="00E7504D">
        <w:rPr>
          <w:sz w:val="20"/>
        </w:rPr>
        <w:t xml:space="preserve">706 (1962)); </w:t>
      </w:r>
      <w:r w:rsidRPr="00E7504D">
        <w:rPr>
          <w:i/>
          <w:sz w:val="20"/>
        </w:rPr>
        <w:t>Surrey Front Range Limited Partnership</w:t>
      </w:r>
      <w:r w:rsidRPr="00E7504D">
        <w:rPr>
          <w:sz w:val="20"/>
        </w:rPr>
        <w:t>, Notice of Apparent Liability, 7 FCC Rcd 6361 (FOB 1992).</w:t>
      </w:r>
    </w:p>
  </w:footnote>
  <w:footnote w:id="8">
    <w:p w:rsidR="006C1806" w:rsidRPr="00E7504D" w:rsidRDefault="00CF236D" w:rsidP="00CE3F8B">
      <w:pPr>
        <w:pStyle w:val="FootnoteText"/>
        <w:jc w:val="left"/>
        <w:rPr>
          <w:sz w:val="20"/>
        </w:rPr>
      </w:pPr>
      <w:r w:rsidRPr="00E7504D">
        <w:rPr>
          <w:rStyle w:val="FootnoteReference"/>
          <w:sz w:val="20"/>
        </w:rPr>
        <w:footnoteRef/>
      </w:r>
      <w:r w:rsidRPr="00E7504D">
        <w:rPr>
          <w:sz w:val="20"/>
        </w:rPr>
        <w:t xml:space="preserve"> 47 U.S.C. § 503(b)(1)(B).  </w:t>
      </w:r>
      <w:r w:rsidRPr="00E7504D">
        <w:rPr>
          <w:i/>
          <w:sz w:val="20"/>
        </w:rPr>
        <w:t>S</w:t>
      </w:r>
      <w:r w:rsidRPr="00E7504D">
        <w:rPr>
          <w:i/>
          <w:iCs/>
          <w:sz w:val="20"/>
        </w:rPr>
        <w:t>ee also</w:t>
      </w:r>
      <w:r w:rsidRPr="00E7504D">
        <w:rPr>
          <w:sz w:val="20"/>
        </w:rPr>
        <w:t xml:space="preserve"> 47 C.F.R. 1.80(a)(1).</w:t>
      </w:r>
    </w:p>
  </w:footnote>
  <w:footnote w:id="9">
    <w:p w:rsidR="006C1806" w:rsidRPr="00E7504D" w:rsidRDefault="00CF236D" w:rsidP="00CE3F8B">
      <w:pPr>
        <w:pStyle w:val="FootnoteText"/>
        <w:jc w:val="left"/>
        <w:rPr>
          <w:sz w:val="20"/>
        </w:rPr>
      </w:pPr>
      <w:r w:rsidRPr="00E7504D">
        <w:rPr>
          <w:rStyle w:val="FootnoteReference"/>
          <w:sz w:val="20"/>
        </w:rPr>
        <w:footnoteRef/>
      </w:r>
      <w:r w:rsidRPr="00E7504D">
        <w:rPr>
          <w:sz w:val="20"/>
        </w:rPr>
        <w:t xml:space="preserve"> 47 U.S.C. § 312(f)(1).</w:t>
      </w:r>
    </w:p>
  </w:footnote>
  <w:footnote w:id="10">
    <w:p w:rsidR="006C1806" w:rsidRPr="00E7504D" w:rsidRDefault="00CF236D" w:rsidP="00CE3F8B">
      <w:pPr>
        <w:pStyle w:val="FootnoteText"/>
        <w:jc w:val="left"/>
        <w:rPr>
          <w:sz w:val="20"/>
        </w:rPr>
      </w:pPr>
      <w:r w:rsidRPr="00E7504D">
        <w:rPr>
          <w:rStyle w:val="FootnoteReference"/>
          <w:sz w:val="20"/>
        </w:rPr>
        <w:footnoteRef/>
      </w:r>
      <w:r w:rsidRPr="00E7504D">
        <w:rPr>
          <w:i/>
          <w:sz w:val="20"/>
        </w:rPr>
        <w:t xml:space="preserve"> See</w:t>
      </w:r>
      <w:r w:rsidRPr="00E7504D">
        <w:rPr>
          <w:sz w:val="20"/>
        </w:rPr>
        <w:t xml:space="preserve"> H.R. Rep. No. 97-765, 97</w:t>
      </w:r>
      <w:r w:rsidRPr="00E7504D">
        <w:rPr>
          <w:sz w:val="20"/>
          <w:vertAlign w:val="superscript"/>
        </w:rPr>
        <w:t>th</w:t>
      </w:r>
      <w:r w:rsidRPr="00E7504D">
        <w:rPr>
          <w:sz w:val="20"/>
        </w:rPr>
        <w:t xml:space="preserve"> Cong. 2d Sess. 51 (1982).</w:t>
      </w:r>
    </w:p>
  </w:footnote>
  <w:footnote w:id="11">
    <w:p w:rsidR="006C1806" w:rsidRPr="00E7504D" w:rsidRDefault="00CF236D" w:rsidP="00CE3F8B">
      <w:pPr>
        <w:pStyle w:val="FootnoteText"/>
        <w:jc w:val="left"/>
        <w:rPr>
          <w:sz w:val="20"/>
        </w:rPr>
      </w:pPr>
      <w:r w:rsidRPr="00E7504D">
        <w:rPr>
          <w:rStyle w:val="FootnoteReference"/>
          <w:sz w:val="20"/>
        </w:rPr>
        <w:footnoteRef/>
      </w:r>
      <w:r w:rsidRPr="00E7504D">
        <w:rPr>
          <w:i/>
          <w:iCs/>
          <w:sz w:val="20"/>
        </w:rPr>
        <w:t xml:space="preserve"> See Southern California Broadcasting Co.</w:t>
      </w:r>
      <w:r w:rsidRPr="00E7504D">
        <w:rPr>
          <w:sz w:val="20"/>
        </w:rPr>
        <w:t>, Memorandum Opinion and Order, 6 FCC Rcd 4387, 4388 (1991).</w:t>
      </w:r>
    </w:p>
  </w:footnote>
  <w:footnote w:id="12">
    <w:p w:rsidR="006C1806" w:rsidRPr="00E7504D" w:rsidRDefault="00CF236D" w:rsidP="00CE3F8B">
      <w:pPr>
        <w:pStyle w:val="FootnoteText"/>
        <w:jc w:val="left"/>
        <w:rPr>
          <w:sz w:val="20"/>
        </w:rPr>
      </w:pPr>
      <w:r w:rsidRPr="00E7504D">
        <w:rPr>
          <w:rStyle w:val="FootnoteReference"/>
          <w:sz w:val="20"/>
        </w:rPr>
        <w:footnoteRef/>
      </w:r>
      <w:r w:rsidRPr="00E7504D">
        <w:rPr>
          <w:sz w:val="20"/>
        </w:rPr>
        <w:t xml:space="preserve"> 47 U.S.C. § 312(f)(2). </w:t>
      </w:r>
    </w:p>
  </w:footnote>
  <w:footnote w:id="13">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 Forfeiture Policy Statement and Amendment of Section 1.80(b) of the Rules to Incorporate the Forfeiture Guidelines</w:t>
      </w:r>
      <w:r w:rsidRPr="00E7504D">
        <w:rPr>
          <w:sz w:val="20"/>
        </w:rPr>
        <w:t xml:space="preserve">, Report and Order, 12 FCC Rcd 17087, 17113-15 (1997) </w:t>
      </w:r>
      <w:r w:rsidRPr="00E7504D">
        <w:rPr>
          <w:i/>
          <w:sz w:val="20"/>
        </w:rPr>
        <w:t>(“Forfeiture Policy Statement”),</w:t>
      </w:r>
      <w:r w:rsidRPr="00E7504D">
        <w:rPr>
          <w:sz w:val="20"/>
        </w:rPr>
        <w:t xml:space="preserve"> </w:t>
      </w:r>
      <w:r w:rsidRPr="00E7504D">
        <w:rPr>
          <w:i/>
          <w:sz w:val="20"/>
        </w:rPr>
        <w:t>recon. denied</w:t>
      </w:r>
      <w:r w:rsidRPr="00E7504D">
        <w:rPr>
          <w:sz w:val="20"/>
        </w:rPr>
        <w:t>, 15 FCC Rcd 303 (1999); 47 C.F.R. § 1.80(b)(</w:t>
      </w:r>
      <w:r w:rsidR="00E6027C">
        <w:rPr>
          <w:sz w:val="20"/>
        </w:rPr>
        <w:t>8</w:t>
      </w:r>
      <w:r w:rsidRPr="00E7504D">
        <w:rPr>
          <w:sz w:val="20"/>
        </w:rPr>
        <w:t>), note to paragraph (b)(</w:t>
      </w:r>
      <w:r w:rsidR="00E6027C">
        <w:rPr>
          <w:sz w:val="20"/>
        </w:rPr>
        <w:t>8</w:t>
      </w:r>
      <w:r w:rsidRPr="00E7504D">
        <w:rPr>
          <w:sz w:val="20"/>
        </w:rPr>
        <w:t>), Section I.</w:t>
      </w:r>
    </w:p>
  </w:footnote>
  <w:footnote w:id="14">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503(b)(2)(D); </w:t>
      </w:r>
      <w:r w:rsidRPr="00E7504D">
        <w:rPr>
          <w:i/>
          <w:sz w:val="20"/>
        </w:rPr>
        <w:t xml:space="preserve">see also Forfeiture Policy Statement, </w:t>
      </w:r>
      <w:r w:rsidRPr="00E7504D">
        <w:rPr>
          <w:sz w:val="20"/>
        </w:rPr>
        <w:t>12 FCC Rcd at 17100; 47 C.F.R. § 1.80(b)(4).</w:t>
      </w:r>
    </w:p>
  </w:footnote>
  <w:footnote w:id="15">
    <w:p w:rsidR="006C1806" w:rsidRPr="00E7504D" w:rsidRDefault="00CF236D">
      <w:pPr>
        <w:spacing w:after="120"/>
        <w:rPr>
          <w:sz w:val="20"/>
        </w:rPr>
      </w:pPr>
      <w:r w:rsidRPr="00E7504D">
        <w:rPr>
          <w:rStyle w:val="FootnoteReference"/>
          <w:sz w:val="20"/>
        </w:rPr>
        <w:footnoteRef/>
      </w:r>
      <w:r w:rsidRPr="00E7504D">
        <w:rPr>
          <w:sz w:val="20"/>
        </w:rPr>
        <w:t xml:space="preserve"> </w:t>
      </w:r>
      <w:r w:rsidRPr="00E7504D">
        <w:rPr>
          <w:i/>
          <w:sz w:val="20"/>
        </w:rPr>
        <w:t xml:space="preserve">See, e.g., </w:t>
      </w:r>
      <w:r w:rsidR="00133EA8">
        <w:rPr>
          <w:i/>
          <w:sz w:val="20"/>
        </w:rPr>
        <w:t xml:space="preserve">Linfield College, </w:t>
      </w:r>
      <w:r w:rsidR="00133EA8" w:rsidRPr="00133EA8">
        <w:rPr>
          <w:sz w:val="20"/>
        </w:rPr>
        <w:t>Memorandum Opinion and Order and Notice of Apparent Liability</w:t>
      </w:r>
      <w:r w:rsidR="00133EA8">
        <w:rPr>
          <w:sz w:val="20"/>
        </w:rPr>
        <w:t xml:space="preserve">, 24 FCC Rcd 12429 (MB 2009) </w:t>
      </w:r>
      <w:r w:rsidR="00133EA8" w:rsidRPr="00E7504D">
        <w:rPr>
          <w:sz w:val="20"/>
        </w:rPr>
        <w:t>($10,000 forfeiture proposed for</w:t>
      </w:r>
      <w:r w:rsidR="00133EA8">
        <w:rPr>
          <w:sz w:val="20"/>
        </w:rPr>
        <w:t xml:space="preserve"> </w:t>
      </w:r>
      <w:r w:rsidR="00BC5507">
        <w:rPr>
          <w:sz w:val="20"/>
        </w:rPr>
        <w:t xml:space="preserve">12 </w:t>
      </w:r>
      <w:r w:rsidR="00133EA8" w:rsidRPr="00E7504D">
        <w:rPr>
          <w:sz w:val="20"/>
        </w:rPr>
        <w:t>missing issues/programs lists</w:t>
      </w:r>
      <w:r w:rsidR="00133EA8">
        <w:rPr>
          <w:sz w:val="20"/>
        </w:rPr>
        <w:t xml:space="preserve">); </w:t>
      </w:r>
      <w:r w:rsidRPr="00E7504D">
        <w:rPr>
          <w:i/>
          <w:sz w:val="20"/>
        </w:rPr>
        <w:t>Faith Baptist Church</w:t>
      </w:r>
      <w:r w:rsidRPr="00E7504D">
        <w:rPr>
          <w:sz w:val="20"/>
        </w:rPr>
        <w:t>, Memorandum Opinion and Order and Notice of Apparent Liability, 22 FCC Rcd 9146 (MB 2007) ($10,000 forfeiture proposed for 11 missing issues/programs lists)</w:t>
      </w:r>
      <w:bookmarkStart w:id="1" w:name="SR;1995"/>
      <w:bookmarkStart w:id="2" w:name="SR;1996"/>
      <w:bookmarkStart w:id="3" w:name="SR;1999"/>
      <w:bookmarkStart w:id="4" w:name="SearchTerm"/>
      <w:bookmarkStart w:id="5" w:name="SR;4285"/>
      <w:bookmarkEnd w:id="1"/>
      <w:bookmarkEnd w:id="2"/>
      <w:bookmarkEnd w:id="3"/>
      <w:bookmarkEnd w:id="4"/>
      <w:bookmarkEnd w:id="5"/>
      <w:r w:rsidR="00133EA8">
        <w:rPr>
          <w:sz w:val="20"/>
        </w:rPr>
        <w:t>.</w:t>
      </w:r>
    </w:p>
  </w:footnote>
  <w:footnote w:id="16">
    <w:p w:rsidR="006C1806" w:rsidRPr="00E7504D" w:rsidRDefault="00CF236D">
      <w:pPr>
        <w:pStyle w:val="FootnoteText"/>
        <w:jc w:val="left"/>
        <w:rPr>
          <w:sz w:val="20"/>
        </w:rPr>
      </w:pPr>
      <w:r w:rsidRPr="00E7504D">
        <w:rPr>
          <w:rStyle w:val="FootnoteReference"/>
          <w:sz w:val="20"/>
        </w:rPr>
        <w:footnoteRef/>
      </w:r>
      <w:r w:rsidRPr="00E7504D">
        <w:rPr>
          <w:i/>
          <w:sz w:val="20"/>
        </w:rPr>
        <w:t xml:space="preserve"> </w:t>
      </w:r>
      <w:r w:rsidRPr="00E7504D">
        <w:rPr>
          <w:sz w:val="20"/>
        </w:rPr>
        <w:t>47 U.S.C. § 309(k).</w:t>
      </w:r>
    </w:p>
  </w:footnote>
  <w:footnote w:id="17">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309(k)(1).  </w:t>
      </w:r>
    </w:p>
  </w:footnote>
  <w:footnote w:id="18">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309(k)(2), 309(k)(3).</w:t>
      </w:r>
    </w:p>
  </w:footnote>
  <w:footnote w:id="19">
    <w:p w:rsidR="006C1806" w:rsidRPr="00E7504D" w:rsidRDefault="00CF236D">
      <w:pPr>
        <w:pStyle w:val="FootnoteText"/>
        <w:jc w:val="left"/>
        <w:rPr>
          <w:sz w:val="20"/>
        </w:rPr>
      </w:pPr>
      <w:r w:rsidRPr="00E7504D">
        <w:rPr>
          <w:rStyle w:val="FootnoteReference"/>
          <w:sz w:val="20"/>
        </w:rPr>
        <w:footnoteRef/>
      </w:r>
      <w:r w:rsidRPr="00E7504D">
        <w:rPr>
          <w:sz w:val="20"/>
        </w:rPr>
        <w:t xml:space="preserve"> For example, we do not find here that Licensee's Station operation "was conducted in an exceedingly careless, inept and negligent manner and that the licensee is either incapable of correcting or unwilling to correct the operating deficiencies."  </w:t>
      </w:r>
      <w:r w:rsidRPr="00E7504D">
        <w:rPr>
          <w:i/>
          <w:sz w:val="20"/>
        </w:rPr>
        <w:t>See Heart of the Black Hills Stations</w:t>
      </w:r>
      <w:r w:rsidRPr="00E7504D">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sidRPr="00E7504D">
        <w:rPr>
          <w:i/>
          <w:sz w:val="20"/>
        </w:rPr>
        <w:t>Id</w:t>
      </w:r>
      <w:r w:rsidRPr="00E7504D">
        <w:rPr>
          <w:sz w:val="20"/>
        </w:rPr>
        <w:t xml:space="preserve">. at 200.  </w:t>
      </w:r>
      <w:r w:rsidRPr="00E7504D">
        <w:rPr>
          <w:i/>
          <w:sz w:val="20"/>
        </w:rPr>
        <w:t>See also Center for Study and Application of Black Economic Development</w:t>
      </w:r>
      <w:r w:rsidRPr="00E7504D">
        <w:rPr>
          <w:sz w:val="20"/>
        </w:rPr>
        <w:t xml:space="preserve">, Hearing Designation Order, 6 FCC Rcd 4622 (1991); </w:t>
      </w:r>
      <w:r w:rsidRPr="00E7504D">
        <w:rPr>
          <w:i/>
          <w:sz w:val="20"/>
        </w:rPr>
        <w:t>Calvary Educational Broadcasting Network, Inc</w:t>
      </w:r>
      <w:r w:rsidRPr="00E7504D">
        <w:rPr>
          <w:sz w:val="20"/>
        </w:rPr>
        <w:t>., Hearing Designation Order, 7 FCC Rcd 4037 (1992).</w:t>
      </w:r>
    </w:p>
  </w:footnote>
  <w:footnote w:id="20">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w:t>
      </w:r>
      <w:r w:rsidRPr="00E7504D">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1A" w:rsidRDefault="00D47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484BA0" w:rsidRPr="00484BA0">
      <w:rPr>
        <w:b/>
        <w:szCs w:val="22"/>
      </w:rPr>
      <w:t>15-311</w:t>
    </w:r>
  </w:p>
  <w:p w:rsidR="006C1806" w:rsidRDefault="00387E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4A809BC" wp14:editId="2D8A53C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484BA0" w:rsidRPr="00484BA0">
      <w:rPr>
        <w:b/>
        <w:szCs w:val="22"/>
      </w:rPr>
      <w:t>15-311</w:t>
    </w:r>
  </w:p>
  <w:p w:rsidR="006C1806" w:rsidRDefault="00387E93">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20051"/>
    <w:rsid w:val="00032CB2"/>
    <w:rsid w:val="00037B89"/>
    <w:rsid w:val="000A0223"/>
    <w:rsid w:val="000A5964"/>
    <w:rsid w:val="000C75FE"/>
    <w:rsid w:val="000E3FB6"/>
    <w:rsid w:val="00110108"/>
    <w:rsid w:val="001208B0"/>
    <w:rsid w:val="00133EA8"/>
    <w:rsid w:val="00173E98"/>
    <w:rsid w:val="00174881"/>
    <w:rsid w:val="00190988"/>
    <w:rsid w:val="001B4B13"/>
    <w:rsid w:val="002128B7"/>
    <w:rsid w:val="00227030"/>
    <w:rsid w:val="00276D49"/>
    <w:rsid w:val="00302F7F"/>
    <w:rsid w:val="00305CBC"/>
    <w:rsid w:val="003137F9"/>
    <w:rsid w:val="0035129B"/>
    <w:rsid w:val="00387E93"/>
    <w:rsid w:val="003B5587"/>
    <w:rsid w:val="003E6521"/>
    <w:rsid w:val="0046508D"/>
    <w:rsid w:val="00484BA0"/>
    <w:rsid w:val="004A5C7A"/>
    <w:rsid w:val="005903E7"/>
    <w:rsid w:val="005C0326"/>
    <w:rsid w:val="006015C5"/>
    <w:rsid w:val="006356F9"/>
    <w:rsid w:val="00653378"/>
    <w:rsid w:val="006628FF"/>
    <w:rsid w:val="00694FC0"/>
    <w:rsid w:val="006C1806"/>
    <w:rsid w:val="00702B1A"/>
    <w:rsid w:val="00724704"/>
    <w:rsid w:val="00736FD3"/>
    <w:rsid w:val="007802A5"/>
    <w:rsid w:val="007D7E21"/>
    <w:rsid w:val="008036E7"/>
    <w:rsid w:val="0084323D"/>
    <w:rsid w:val="008611EB"/>
    <w:rsid w:val="00873376"/>
    <w:rsid w:val="00887B7A"/>
    <w:rsid w:val="008D46B0"/>
    <w:rsid w:val="008D7AD0"/>
    <w:rsid w:val="00912F8F"/>
    <w:rsid w:val="009360B2"/>
    <w:rsid w:val="009A4EC0"/>
    <w:rsid w:val="00A506BB"/>
    <w:rsid w:val="00A63012"/>
    <w:rsid w:val="00AF7539"/>
    <w:rsid w:val="00B353FB"/>
    <w:rsid w:val="00BB704C"/>
    <w:rsid w:val="00BB78A0"/>
    <w:rsid w:val="00BC5507"/>
    <w:rsid w:val="00C41531"/>
    <w:rsid w:val="00C74BDB"/>
    <w:rsid w:val="00CB6096"/>
    <w:rsid w:val="00CD5C3A"/>
    <w:rsid w:val="00CE38A1"/>
    <w:rsid w:val="00CE3F8B"/>
    <w:rsid w:val="00CF236D"/>
    <w:rsid w:val="00CF7851"/>
    <w:rsid w:val="00D36061"/>
    <w:rsid w:val="00D47B1A"/>
    <w:rsid w:val="00D56DBC"/>
    <w:rsid w:val="00DA5F96"/>
    <w:rsid w:val="00DC134A"/>
    <w:rsid w:val="00DE114D"/>
    <w:rsid w:val="00E039DE"/>
    <w:rsid w:val="00E6027C"/>
    <w:rsid w:val="00E7504D"/>
    <w:rsid w:val="00FA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8983</Characters>
  <Application>Microsoft Office Word</Application>
  <DocSecurity>0</DocSecurity>
  <Lines>161</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10689</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2015-03-11T11:32:00Z</dcterms:created>
  <dcterms:modified xsi:type="dcterms:W3CDTF">2015-03-11T11:32:00Z</dcterms:modified>
  <cp:category> </cp:category>
  <cp:contentStatus> </cp:contentStatus>
</cp:coreProperties>
</file>