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A604" w14:textId="77777777" w:rsidR="00E273E3" w:rsidRPr="00790B4B" w:rsidRDefault="00E273E3" w:rsidP="002659F3">
      <w:pPr>
        <w:widowControl/>
        <w:jc w:val="center"/>
        <w:rPr>
          <w:b/>
        </w:rPr>
      </w:pPr>
      <w:bookmarkStart w:id="0" w:name="_GoBack"/>
      <w:bookmarkEnd w:id="0"/>
      <w:r w:rsidRPr="00790B4B">
        <w:rPr>
          <w:b/>
          <w:kern w:val="0"/>
          <w:szCs w:val="22"/>
        </w:rPr>
        <w:t>Before</w:t>
      </w:r>
      <w:r w:rsidRPr="00790B4B">
        <w:rPr>
          <w:b/>
        </w:rPr>
        <w:t xml:space="preserve"> the</w:t>
      </w:r>
    </w:p>
    <w:p w14:paraId="24F6D034"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2B9E3255"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6EFDBFBE" w14:textId="77777777"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14:paraId="708F7600" w14:textId="77777777">
        <w:tc>
          <w:tcPr>
            <w:tcW w:w="4698" w:type="dxa"/>
          </w:tcPr>
          <w:p w14:paraId="17B1C633" w14:textId="77777777" w:rsidR="00E273E3" w:rsidRPr="00790B4B" w:rsidRDefault="00E273E3" w:rsidP="002659F3">
            <w:pPr>
              <w:widowControl/>
              <w:suppressAutoHyphens/>
              <w:rPr>
                <w:spacing w:val="-2"/>
              </w:rPr>
            </w:pPr>
            <w:r w:rsidRPr="00790B4B">
              <w:rPr>
                <w:spacing w:val="-2"/>
              </w:rPr>
              <w:t>In the Matter of</w:t>
            </w:r>
          </w:p>
          <w:p w14:paraId="1A0D54D7" w14:textId="77777777" w:rsidR="00E273E3" w:rsidRPr="00790B4B" w:rsidRDefault="00E273E3" w:rsidP="002659F3">
            <w:pPr>
              <w:widowControl/>
              <w:suppressAutoHyphens/>
              <w:rPr>
                <w:spacing w:val="-2"/>
              </w:rPr>
            </w:pPr>
          </w:p>
          <w:p w14:paraId="0C7C8C6F" w14:textId="77777777" w:rsidR="007D656F" w:rsidRDefault="007D656F" w:rsidP="007D656F">
            <w:pPr>
              <w:widowControl/>
              <w:tabs>
                <w:tab w:val="center" w:pos="4680"/>
              </w:tabs>
              <w:suppressAutoHyphens/>
              <w:rPr>
                <w:spacing w:val="-2"/>
                <w:szCs w:val="22"/>
              </w:rPr>
            </w:pPr>
            <w:r>
              <w:rPr>
                <w:spacing w:val="-2"/>
                <w:szCs w:val="22"/>
              </w:rPr>
              <w:t xml:space="preserve">The Hinton Telephone Company </w:t>
            </w:r>
          </w:p>
          <w:p w14:paraId="21242703" w14:textId="77777777" w:rsidR="007D656F" w:rsidRDefault="007D656F" w:rsidP="007D656F">
            <w:pPr>
              <w:widowControl/>
              <w:tabs>
                <w:tab w:val="center" w:pos="4680"/>
              </w:tabs>
              <w:suppressAutoHyphens/>
              <w:rPr>
                <w:spacing w:val="-2"/>
                <w:szCs w:val="22"/>
              </w:rPr>
            </w:pPr>
            <w:r>
              <w:rPr>
                <w:spacing w:val="-2"/>
                <w:szCs w:val="22"/>
              </w:rPr>
              <w:t xml:space="preserve">of Hinton, Oklahoma, Inc., </w:t>
            </w:r>
          </w:p>
          <w:p w14:paraId="02F969C5" w14:textId="77777777" w:rsidR="007D656F" w:rsidRDefault="007D656F" w:rsidP="007D656F">
            <w:pPr>
              <w:widowControl/>
              <w:tabs>
                <w:tab w:val="center" w:pos="4680"/>
              </w:tabs>
              <w:suppressAutoHyphens/>
              <w:rPr>
                <w:spacing w:val="-2"/>
                <w:szCs w:val="22"/>
              </w:rPr>
            </w:pPr>
            <w:r>
              <w:rPr>
                <w:spacing w:val="-2"/>
                <w:szCs w:val="22"/>
              </w:rPr>
              <w:t>d/b/a Hinton Telephone Company</w:t>
            </w:r>
          </w:p>
          <w:p w14:paraId="355B6F94" w14:textId="77777777" w:rsidR="00E273E3" w:rsidRPr="00344C0B" w:rsidRDefault="00E273E3" w:rsidP="002659F3">
            <w:pPr>
              <w:widowControl/>
              <w:suppressAutoHyphens/>
              <w:rPr>
                <w:spacing w:val="-2"/>
              </w:rPr>
            </w:pPr>
          </w:p>
        </w:tc>
        <w:tc>
          <w:tcPr>
            <w:tcW w:w="630" w:type="dxa"/>
          </w:tcPr>
          <w:p w14:paraId="0FD43F69" w14:textId="77777777" w:rsidR="00E273E3" w:rsidRPr="00344C0B" w:rsidRDefault="00E273E3" w:rsidP="002659F3">
            <w:pPr>
              <w:widowControl/>
              <w:suppressAutoHyphens/>
              <w:rPr>
                <w:spacing w:val="-2"/>
              </w:rPr>
            </w:pPr>
            <w:r w:rsidRPr="00344C0B">
              <w:rPr>
                <w:spacing w:val="-2"/>
              </w:rPr>
              <w:t>)</w:t>
            </w:r>
          </w:p>
          <w:p w14:paraId="5C9163ED" w14:textId="77777777" w:rsidR="00E273E3" w:rsidRPr="00344C0B" w:rsidRDefault="00E273E3" w:rsidP="002659F3">
            <w:pPr>
              <w:widowControl/>
              <w:suppressAutoHyphens/>
              <w:rPr>
                <w:spacing w:val="-2"/>
              </w:rPr>
            </w:pPr>
            <w:r w:rsidRPr="00344C0B">
              <w:rPr>
                <w:spacing w:val="-2"/>
              </w:rPr>
              <w:t>)</w:t>
            </w:r>
          </w:p>
          <w:p w14:paraId="50B3718F" w14:textId="77777777" w:rsidR="00E273E3" w:rsidRPr="00344C0B" w:rsidRDefault="00E273E3" w:rsidP="002659F3">
            <w:pPr>
              <w:widowControl/>
              <w:suppressAutoHyphens/>
              <w:rPr>
                <w:spacing w:val="-2"/>
              </w:rPr>
            </w:pPr>
            <w:r w:rsidRPr="00344C0B">
              <w:rPr>
                <w:spacing w:val="-2"/>
              </w:rPr>
              <w:t>)</w:t>
            </w:r>
          </w:p>
          <w:p w14:paraId="0F185B76" w14:textId="77777777" w:rsidR="00E273E3" w:rsidRPr="00344C0B" w:rsidRDefault="00E273E3" w:rsidP="002659F3">
            <w:pPr>
              <w:widowControl/>
              <w:suppressAutoHyphens/>
              <w:rPr>
                <w:spacing w:val="-2"/>
              </w:rPr>
            </w:pPr>
            <w:r w:rsidRPr="00344C0B">
              <w:rPr>
                <w:spacing w:val="-2"/>
              </w:rPr>
              <w:t>)</w:t>
            </w:r>
          </w:p>
          <w:p w14:paraId="34796F8C" w14:textId="77777777" w:rsidR="00E273E3" w:rsidRPr="00344C0B" w:rsidRDefault="00E273E3" w:rsidP="002659F3">
            <w:pPr>
              <w:widowControl/>
              <w:suppressAutoHyphens/>
              <w:rPr>
                <w:spacing w:val="-2"/>
              </w:rPr>
            </w:pPr>
            <w:r w:rsidRPr="00344C0B">
              <w:rPr>
                <w:spacing w:val="-2"/>
              </w:rPr>
              <w:t>)</w:t>
            </w:r>
          </w:p>
        </w:tc>
        <w:tc>
          <w:tcPr>
            <w:tcW w:w="4248" w:type="dxa"/>
          </w:tcPr>
          <w:p w14:paraId="31B911BF" w14:textId="77777777" w:rsidR="00C87AD5" w:rsidRPr="0007571D" w:rsidRDefault="00C87AD5" w:rsidP="00C87AD5">
            <w:pPr>
              <w:widowControl/>
              <w:suppressAutoHyphens/>
              <w:ind w:left="432"/>
              <w:rPr>
                <w:spacing w:val="-2"/>
              </w:rPr>
            </w:pPr>
            <w:r w:rsidRPr="00344C0B">
              <w:rPr>
                <w:spacing w:val="-2"/>
              </w:rPr>
              <w:t xml:space="preserve">File No.:  </w:t>
            </w:r>
            <w:r w:rsidRPr="00495FE8">
              <w:rPr>
                <w:szCs w:val="22"/>
              </w:rPr>
              <w:t>EB-SED-14-</w:t>
            </w:r>
            <w:r>
              <w:rPr>
                <w:spacing w:val="-2"/>
                <w:szCs w:val="22"/>
              </w:rPr>
              <w:t>00016210</w:t>
            </w:r>
            <w:r w:rsidRPr="00495FE8">
              <w:rPr>
                <w:rStyle w:val="FootnoteReference"/>
                <w:spacing w:val="-2"/>
                <w:szCs w:val="22"/>
              </w:rPr>
              <w:footnoteReference w:id="2"/>
            </w:r>
          </w:p>
          <w:p w14:paraId="23EA9598" w14:textId="77777777" w:rsidR="00E273E3" w:rsidRPr="00344C0B" w:rsidRDefault="00E273E3" w:rsidP="002659F3">
            <w:pPr>
              <w:widowControl/>
              <w:suppressAutoHyphens/>
              <w:rPr>
                <w:spacing w:val="-2"/>
              </w:rPr>
            </w:pPr>
          </w:p>
          <w:p w14:paraId="7979AD73" w14:textId="77777777" w:rsidR="00C87AD5" w:rsidRPr="0007571D" w:rsidRDefault="00C87AD5" w:rsidP="00C87AD5">
            <w:pPr>
              <w:widowControl/>
              <w:suppressAutoHyphens/>
              <w:ind w:left="432"/>
              <w:rPr>
                <w:spacing w:val="-2"/>
              </w:rPr>
            </w:pPr>
            <w:r w:rsidRPr="00344C0B">
              <w:rPr>
                <w:spacing w:val="-2"/>
              </w:rPr>
              <w:t xml:space="preserve">NAL/Acct. No.:  </w:t>
            </w:r>
            <w:r w:rsidRPr="00965FCB">
              <w:rPr>
                <w:spacing w:val="-2"/>
                <w:szCs w:val="22"/>
              </w:rPr>
              <w:t>201432100027</w:t>
            </w:r>
          </w:p>
          <w:p w14:paraId="4C000EAF" w14:textId="77777777" w:rsidR="00E273E3" w:rsidRPr="00344C0B" w:rsidRDefault="00E273E3" w:rsidP="002659F3">
            <w:pPr>
              <w:widowControl/>
              <w:suppressAutoHyphens/>
              <w:rPr>
                <w:spacing w:val="-2"/>
              </w:rPr>
            </w:pPr>
          </w:p>
          <w:p w14:paraId="39403DCB" w14:textId="77777777" w:rsidR="00E273E3" w:rsidRPr="0007571D" w:rsidRDefault="00E273E3" w:rsidP="00153904">
            <w:pPr>
              <w:widowControl/>
              <w:suppressAutoHyphens/>
              <w:ind w:left="432"/>
              <w:rPr>
                <w:spacing w:val="-2"/>
              </w:rPr>
            </w:pPr>
            <w:r w:rsidRPr="00344C0B">
              <w:rPr>
                <w:spacing w:val="-2"/>
              </w:rPr>
              <w:t xml:space="preserve">FRN:  </w:t>
            </w:r>
            <w:r w:rsidR="007D656F" w:rsidRPr="00B8280E">
              <w:rPr>
                <w:spacing w:val="-2"/>
                <w:szCs w:val="22"/>
              </w:rPr>
              <w:t>0004365334</w:t>
            </w:r>
          </w:p>
        </w:tc>
      </w:tr>
    </w:tbl>
    <w:p w14:paraId="4AAED55C" w14:textId="77777777" w:rsidR="00E273E3" w:rsidRPr="00344C0B" w:rsidRDefault="00E273E3" w:rsidP="002659F3">
      <w:pPr>
        <w:pStyle w:val="StyleBoldCentered"/>
        <w:widowControl/>
        <w:spacing w:after="220"/>
      </w:pPr>
      <w:r w:rsidRPr="00344C0B">
        <w:t>forfeiture ORDER</w:t>
      </w:r>
    </w:p>
    <w:p w14:paraId="303C11E6" w14:textId="0E44DAC2" w:rsidR="00E273E3" w:rsidRPr="0007571D" w:rsidRDefault="00E273E3" w:rsidP="00226191">
      <w:pPr>
        <w:widowControl/>
        <w:tabs>
          <w:tab w:val="right" w:pos="9360"/>
        </w:tabs>
        <w:suppressAutoHyphens/>
        <w:rPr>
          <w:spacing w:val="-2"/>
        </w:rPr>
      </w:pPr>
      <w:r w:rsidRPr="00344C0B">
        <w:rPr>
          <w:b/>
          <w:spacing w:val="-2"/>
        </w:rPr>
        <w:t xml:space="preserve">Adopted:  </w:t>
      </w:r>
      <w:r w:rsidR="00BA302F">
        <w:rPr>
          <w:b/>
          <w:spacing w:val="-2"/>
        </w:rPr>
        <w:t>March 18, 2015</w:t>
      </w:r>
      <w:r w:rsidR="006D2212" w:rsidRPr="0007571D">
        <w:rPr>
          <w:b/>
          <w:spacing w:val="-2"/>
        </w:rPr>
        <w:tab/>
        <w:t xml:space="preserve">Released:  </w:t>
      </w:r>
      <w:r w:rsidR="00BA302F">
        <w:rPr>
          <w:b/>
          <w:spacing w:val="-2"/>
        </w:rPr>
        <w:t>March 18, 2015</w:t>
      </w:r>
    </w:p>
    <w:p w14:paraId="0B87787A" w14:textId="77777777" w:rsidR="00E273E3" w:rsidRPr="00344C0B" w:rsidRDefault="00E273E3" w:rsidP="00EE05DB">
      <w:pPr>
        <w:widowControl/>
        <w:jc w:val="center"/>
      </w:pPr>
    </w:p>
    <w:p w14:paraId="6725A494" w14:textId="77777777" w:rsidR="00E273E3" w:rsidRPr="00344C0B" w:rsidRDefault="00E273E3" w:rsidP="002659F3">
      <w:pPr>
        <w:widowControl/>
        <w:rPr>
          <w:spacing w:val="-2"/>
        </w:rPr>
      </w:pPr>
      <w:r w:rsidRPr="00344C0B">
        <w:t>By the Chief, Enforcement Bureau</w:t>
      </w:r>
      <w:r w:rsidRPr="0007571D">
        <w:rPr>
          <w:spacing w:val="-2"/>
        </w:rPr>
        <w:t>:</w:t>
      </w:r>
    </w:p>
    <w:p w14:paraId="2A27ADD0" w14:textId="77777777" w:rsidR="00E273E3" w:rsidRPr="00344C0B" w:rsidRDefault="00E273E3" w:rsidP="002659F3">
      <w:pPr>
        <w:widowControl/>
        <w:rPr>
          <w:spacing w:val="-2"/>
        </w:rPr>
      </w:pPr>
    </w:p>
    <w:p w14:paraId="4F43DB8E" w14:textId="77777777" w:rsidR="00E273E3" w:rsidRPr="00344C0B" w:rsidRDefault="00E273E3" w:rsidP="00226191">
      <w:pPr>
        <w:pStyle w:val="Heading1"/>
      </w:pPr>
      <w:bookmarkStart w:id="1" w:name="_Toc379288998"/>
      <w:bookmarkStart w:id="2" w:name="_Toc379365499"/>
      <w:r w:rsidRPr="00344C0B">
        <w:t>INTRODUCTION</w:t>
      </w:r>
      <w:bookmarkEnd w:id="1"/>
      <w:bookmarkEnd w:id="2"/>
    </w:p>
    <w:p w14:paraId="794AAC00" w14:textId="22D48271" w:rsidR="001F7AFE" w:rsidRDefault="00E273E3" w:rsidP="001F7AFE">
      <w:pPr>
        <w:pStyle w:val="ParaNum"/>
      </w:pPr>
      <w:r w:rsidRPr="00344C0B">
        <w:t>We impose a penalty of $</w:t>
      </w:r>
      <w:r w:rsidR="007D656F">
        <w:t>100,000</w:t>
      </w:r>
      <w:r w:rsidRPr="0007571D">
        <w:t xml:space="preserve"> against </w:t>
      </w:r>
      <w:r w:rsidR="007D656F" w:rsidRPr="00A458D2">
        <w:t>Hinton Telephone Company of Hinton, Oklahoma, Inc.</w:t>
      </w:r>
      <w:r w:rsidR="007D656F">
        <w:t xml:space="preserve"> (Hinton)</w:t>
      </w:r>
      <w:r w:rsidRPr="00344C0B">
        <w:t xml:space="preserve"> </w:t>
      </w:r>
      <w:r w:rsidR="00BA01A8">
        <w:t>for failing to use reasonable judgment when it knowingly routed 911 calls to an automated operat</w:t>
      </w:r>
      <w:r w:rsidR="00731C9A">
        <w:t>or</w:t>
      </w:r>
      <w:r w:rsidR="00BA01A8">
        <w:t xml:space="preserve"> message</w:t>
      </w:r>
      <w:r w:rsidR="00946E14">
        <w:t>—a message that instructed callers to “hang up and dial 911” to report an emergency</w:t>
      </w:r>
      <w:r w:rsidR="00BA01A8">
        <w:t xml:space="preserve">.  </w:t>
      </w:r>
      <w:r w:rsidR="001B06B0">
        <w:t xml:space="preserve">This violation of the Commission’s 911 rules </w:t>
      </w:r>
      <w:r w:rsidR="001F7AFE">
        <w:t xml:space="preserve">continued for three months after Hinton learned of the problem, </w:t>
      </w:r>
      <w:r w:rsidR="00ED76A9">
        <w:t>creating</w:t>
      </w:r>
      <w:r w:rsidR="007D656F" w:rsidRPr="00A458D2">
        <w:t xml:space="preserve"> a significant threat to the life a</w:t>
      </w:r>
      <w:r w:rsidR="001F7AFE">
        <w:t>nd property of Caddo County</w:t>
      </w:r>
      <w:r w:rsidR="001B06B0">
        <w:t>, Oklahoma,</w:t>
      </w:r>
      <w:r w:rsidR="001F7AFE">
        <w:t xml:space="preserve"> residents</w:t>
      </w:r>
      <w:r w:rsidR="007D656F" w:rsidRPr="00A458D2">
        <w:t>.</w:t>
      </w:r>
      <w:r w:rsidR="001F7AFE">
        <w:t xml:space="preserve">  Despite knowing of this ongoing risk to public safety, Hinton did nothing to resolve the problem and returned its system to functionality only after being directed to do so by FCC investigators.  Such behavior is manifestly unacceptable and undermines the public’s ability to make one of the most important calls they ever have to make—calls to first responders in times of critical need.</w:t>
      </w:r>
    </w:p>
    <w:p w14:paraId="40B57EE6" w14:textId="1F4B1487" w:rsidR="00E273E3" w:rsidRPr="00344C0B" w:rsidRDefault="000A434E" w:rsidP="001F7AFE">
      <w:pPr>
        <w:pStyle w:val="ParaNum"/>
      </w:pPr>
      <w:r>
        <w:t xml:space="preserve">In response to the </w:t>
      </w:r>
      <w:r w:rsidR="00BA01A8">
        <w:t>Notice of Apparent Liability for Forfeiture (</w:t>
      </w:r>
      <w:r w:rsidRPr="001F7AFE">
        <w:rPr>
          <w:i/>
        </w:rPr>
        <w:t>NAL</w:t>
      </w:r>
      <w:r w:rsidR="00BA01A8">
        <w:t>)</w:t>
      </w:r>
      <w:r>
        <w:t xml:space="preserve">, Hinton </w:t>
      </w:r>
      <w:r w:rsidR="001F7AFE">
        <w:t xml:space="preserve">simply </w:t>
      </w:r>
      <w:r w:rsidR="00944699">
        <w:t xml:space="preserve">restates the same </w:t>
      </w:r>
      <w:r>
        <w:t>argu</w:t>
      </w:r>
      <w:r w:rsidR="00944699">
        <w:t xml:space="preserve">ments </w:t>
      </w:r>
      <w:r w:rsidR="001B06B0">
        <w:t xml:space="preserve">we previously rejected in the </w:t>
      </w:r>
      <w:r w:rsidR="001B06B0">
        <w:rPr>
          <w:i/>
        </w:rPr>
        <w:t>NAL</w:t>
      </w:r>
      <w:r w:rsidR="00944699">
        <w:t xml:space="preserve"> to justify its continued </w:t>
      </w:r>
      <w:r w:rsidR="00CD650D">
        <w:t>failure t</w:t>
      </w:r>
      <w:r w:rsidR="001F7AFE">
        <w:t>o protect the safety of its customers</w:t>
      </w:r>
      <w:r w:rsidR="001B06B0">
        <w:t xml:space="preserve"> by following the Commission’s 911 rules</w:t>
      </w:r>
      <w:r w:rsidR="00965D5D">
        <w:t>.</w:t>
      </w:r>
      <w:r w:rsidR="00CD650D">
        <w:t xml:space="preserve">  </w:t>
      </w:r>
      <w:r w:rsidR="00C06AB8">
        <w:t xml:space="preserve">We </w:t>
      </w:r>
      <w:r w:rsidR="001B06B0">
        <w:t xml:space="preserve">again </w:t>
      </w:r>
      <w:r w:rsidR="00C06AB8">
        <w:t xml:space="preserve">reject these arguments.  </w:t>
      </w:r>
      <w:r w:rsidR="001B06B0">
        <w:t>We are also unpersuaded by Hinton’s arguments that we should reduce the amount of the penalty.  Accordingly, a</w:t>
      </w:r>
      <w:r w:rsidR="0078649E" w:rsidRPr="001F7AFE">
        <w:rPr>
          <w:szCs w:val="22"/>
        </w:rPr>
        <w:t xml:space="preserve">fter reviewing </w:t>
      </w:r>
      <w:r w:rsidR="007D656F">
        <w:t>Hinton’s</w:t>
      </w:r>
      <w:r w:rsidR="0078649E" w:rsidRPr="0007571D">
        <w:t xml:space="preserve"> </w:t>
      </w:r>
      <w:r w:rsidR="0078649E" w:rsidRPr="001F7AFE">
        <w:rPr>
          <w:szCs w:val="22"/>
        </w:rPr>
        <w:t xml:space="preserve">response to the </w:t>
      </w:r>
      <w:r w:rsidR="0078649E" w:rsidRPr="001F7AFE">
        <w:rPr>
          <w:i/>
          <w:szCs w:val="22"/>
        </w:rPr>
        <w:t>NAL</w:t>
      </w:r>
      <w:r w:rsidR="0078649E" w:rsidRPr="001F7AFE">
        <w:rPr>
          <w:szCs w:val="22"/>
        </w:rPr>
        <w:t xml:space="preserve">, we find no reason to cancel, withdraw, or reduce the proposed </w:t>
      </w:r>
      <w:r w:rsidR="00CA60E2" w:rsidRPr="001F7AFE">
        <w:rPr>
          <w:szCs w:val="22"/>
        </w:rPr>
        <w:t>penalty</w:t>
      </w:r>
      <w:r w:rsidR="0078649E" w:rsidRPr="001F7AFE">
        <w:rPr>
          <w:szCs w:val="22"/>
        </w:rPr>
        <w:t>, and</w:t>
      </w:r>
      <w:r w:rsidR="00CA60E2" w:rsidRPr="001F7AFE">
        <w:rPr>
          <w:szCs w:val="22"/>
        </w:rPr>
        <w:t xml:space="preserve"> we</w:t>
      </w:r>
      <w:r w:rsidR="0078649E" w:rsidRPr="001F7AFE">
        <w:rPr>
          <w:szCs w:val="22"/>
        </w:rPr>
        <w:t xml:space="preserve"> therefore assess the $</w:t>
      </w:r>
      <w:r w:rsidR="007D656F">
        <w:t xml:space="preserve">100,000 </w:t>
      </w:r>
      <w:r w:rsidR="0078649E" w:rsidRPr="001F7AFE">
        <w:rPr>
          <w:szCs w:val="22"/>
        </w:rPr>
        <w:t xml:space="preserve">forfeiture </w:t>
      </w:r>
      <w:r w:rsidR="008D1BE7" w:rsidRPr="001F7AFE">
        <w:rPr>
          <w:szCs w:val="22"/>
        </w:rPr>
        <w:t xml:space="preserve">the </w:t>
      </w:r>
      <w:r w:rsidR="009605D0">
        <w:rPr>
          <w:szCs w:val="22"/>
        </w:rPr>
        <w:t xml:space="preserve">Enforcement </w:t>
      </w:r>
      <w:r w:rsidR="007D656F" w:rsidRPr="001F7AFE">
        <w:rPr>
          <w:szCs w:val="22"/>
        </w:rPr>
        <w:t>Bureau</w:t>
      </w:r>
      <w:r w:rsidR="0078649E" w:rsidRPr="001F7AFE">
        <w:rPr>
          <w:szCs w:val="22"/>
        </w:rPr>
        <w:t xml:space="preserve"> previously proposed.</w:t>
      </w:r>
    </w:p>
    <w:p w14:paraId="0DD223FC" w14:textId="77777777" w:rsidR="00E273E3" w:rsidRPr="00344C0B" w:rsidRDefault="00E273E3" w:rsidP="00226191">
      <w:pPr>
        <w:pStyle w:val="Heading1"/>
      </w:pPr>
      <w:bookmarkStart w:id="3" w:name="_Toc379288999"/>
      <w:bookmarkStart w:id="4" w:name="_Toc379365500"/>
      <w:r w:rsidRPr="00344C0B">
        <w:t>BACKGROUND</w:t>
      </w:r>
      <w:bookmarkEnd w:id="3"/>
      <w:bookmarkEnd w:id="4"/>
    </w:p>
    <w:p w14:paraId="51BB39A3" w14:textId="1FE2251C" w:rsidR="00017A3B" w:rsidRPr="00683085" w:rsidRDefault="002C1E19" w:rsidP="009605D0">
      <w:pPr>
        <w:pStyle w:val="ParaNum"/>
      </w:pPr>
      <w:r w:rsidRPr="00683085">
        <w:t>In</w:t>
      </w:r>
      <w:r w:rsidR="00B9382F" w:rsidRPr="00683085">
        <w:t xml:space="preserve"> </w:t>
      </w:r>
      <w:r w:rsidRPr="00683085">
        <w:t>May</w:t>
      </w:r>
      <w:r w:rsidR="00B9382F" w:rsidRPr="00683085">
        <w:t xml:space="preserve"> 2013, </w:t>
      </w:r>
      <w:r w:rsidR="00A218D6">
        <w:t xml:space="preserve">the Commission’s </w:t>
      </w:r>
      <w:r w:rsidR="00A218D6" w:rsidRPr="00683085">
        <w:t xml:space="preserve">Public Safety and Homeland Security Bureau </w:t>
      </w:r>
      <w:r w:rsidR="00A218D6">
        <w:t xml:space="preserve">(PSHSB) received a complaint that </w:t>
      </w:r>
      <w:r w:rsidR="00CD650D">
        <w:t>Hinton</w:t>
      </w:r>
      <w:r w:rsidR="00A218D6">
        <w:t xml:space="preserve"> was not providing basic 911 service to its Caddo County</w:t>
      </w:r>
      <w:r w:rsidR="009D153E">
        <w:t>, Oklahoma,</w:t>
      </w:r>
      <w:r w:rsidR="00A218D6">
        <w:t xml:space="preserve"> customers.</w:t>
      </w:r>
      <w:r w:rsidR="00A218D6">
        <w:rPr>
          <w:rStyle w:val="FootnoteReference"/>
        </w:rPr>
        <w:footnoteReference w:id="3"/>
      </w:r>
      <w:r w:rsidR="00A218D6">
        <w:t xml:space="preserve">  Hinton stated that it previously routed its 911 calls to a live AT&amp;T operator, but that AT&amp;T subsequently discontinued this service and substituted an automated operat</w:t>
      </w:r>
      <w:r w:rsidR="0009222F">
        <w:t>or</w:t>
      </w:r>
      <w:r w:rsidR="00A218D6">
        <w:t xml:space="preserve"> </w:t>
      </w:r>
      <w:r w:rsidR="009D153E">
        <w:t>in place of the live operator</w:t>
      </w:r>
      <w:r w:rsidR="00A218D6">
        <w:t>.</w:t>
      </w:r>
      <w:r w:rsidR="00A218D6">
        <w:rPr>
          <w:rStyle w:val="FootnoteReference"/>
        </w:rPr>
        <w:footnoteReference w:id="4"/>
      </w:r>
      <w:r w:rsidR="00A218D6">
        <w:t xml:space="preserve">  Despite knowing that 911 calls were no longer sent to a live operator</w:t>
      </w:r>
      <w:r w:rsidR="002242BD">
        <w:t xml:space="preserve">—and, instead, were sent to a recording that told </w:t>
      </w:r>
      <w:r w:rsidR="00731C9A">
        <w:t>callers</w:t>
      </w:r>
      <w:r w:rsidR="002242BD">
        <w:t xml:space="preserve"> to “hang up and dial 911”</w:t>
      </w:r>
      <w:r w:rsidR="002242BD">
        <w:rPr>
          <w:rStyle w:val="FootnoteReference"/>
        </w:rPr>
        <w:footnoteReference w:id="5"/>
      </w:r>
      <w:r w:rsidR="002242BD">
        <w:t>—</w:t>
      </w:r>
      <w:r w:rsidR="00A218D6">
        <w:t xml:space="preserve">Hinton failed to </w:t>
      </w:r>
      <w:r w:rsidR="00D23554">
        <w:t xml:space="preserve">fix the problem </w:t>
      </w:r>
      <w:r w:rsidR="00A218D6">
        <w:t xml:space="preserve">by routing </w:t>
      </w:r>
      <w:r w:rsidR="00A218D6">
        <w:lastRenderedPageBreak/>
        <w:t xml:space="preserve">such calls directly to the Caddo County Public Safety Answer Point </w:t>
      </w:r>
      <w:r w:rsidR="007926EC">
        <w:t xml:space="preserve">(PSAP) </w:t>
      </w:r>
      <w:r w:rsidR="00A218D6">
        <w:t xml:space="preserve">until August 2013, three months after it </w:t>
      </w:r>
      <w:r w:rsidR="00240655">
        <w:t xml:space="preserve">learned </w:t>
      </w:r>
      <w:r w:rsidR="00A218D6">
        <w:t>of the issue and only after PSHSB</w:t>
      </w:r>
      <w:r w:rsidR="009605D0">
        <w:t xml:space="preserve"> directed it to act immediately.</w:t>
      </w:r>
      <w:r w:rsidR="009605D0">
        <w:rPr>
          <w:rStyle w:val="FootnoteReference"/>
        </w:rPr>
        <w:footnoteReference w:id="6"/>
      </w:r>
      <w:r w:rsidR="009605D0">
        <w:t xml:space="preserve">  </w:t>
      </w:r>
      <w:r w:rsidR="00B9382F" w:rsidRPr="00683085">
        <w:t xml:space="preserve">The Spectrum Enforcement Division </w:t>
      </w:r>
      <w:r w:rsidR="00AD28C5">
        <w:t xml:space="preserve">of the Enforcement Bureau (Bureau) </w:t>
      </w:r>
      <w:r w:rsidR="00B9382F" w:rsidRPr="00683085">
        <w:t>subsequently commenced an investigation by directing Hinton to respond to a series of inquiries into</w:t>
      </w:r>
      <w:r w:rsidR="00240655">
        <w:t xml:space="preserve"> the company’s </w:t>
      </w:r>
      <w:r w:rsidR="00B9382F" w:rsidRPr="00683085">
        <w:t>provision of basic 911 service.</w:t>
      </w:r>
      <w:r w:rsidR="00B9382F" w:rsidRPr="00683085">
        <w:rPr>
          <w:rStyle w:val="FootnoteReference"/>
        </w:rPr>
        <w:footnoteReference w:id="7"/>
      </w:r>
      <w:r w:rsidR="00B9382F" w:rsidRPr="009605D0">
        <w:rPr>
          <w:szCs w:val="22"/>
        </w:rPr>
        <w:t xml:space="preserve">  </w:t>
      </w:r>
    </w:p>
    <w:p w14:paraId="169EF9CF" w14:textId="701736E1" w:rsidR="00E273E3" w:rsidRPr="00344C0B" w:rsidRDefault="00E273E3" w:rsidP="00DD28AD">
      <w:pPr>
        <w:pStyle w:val="ParaNum"/>
        <w:widowControl/>
      </w:pPr>
      <w:r w:rsidRPr="0007571D">
        <w:t xml:space="preserve">On </w:t>
      </w:r>
      <w:r w:rsidR="007D656F">
        <w:t>August 4, 2014</w:t>
      </w:r>
      <w:r w:rsidRPr="0007571D">
        <w:t xml:space="preserve">, the </w:t>
      </w:r>
      <w:r w:rsidRPr="00344C0B">
        <w:t>Bureau</w:t>
      </w:r>
      <w:r w:rsidR="009605D0">
        <w:t xml:space="preserve"> issued the </w:t>
      </w:r>
      <w:r w:rsidRPr="0007571D">
        <w:rPr>
          <w:i/>
        </w:rPr>
        <w:t xml:space="preserve">NAL </w:t>
      </w:r>
      <w:r w:rsidR="00CB6E37" w:rsidRPr="0007571D">
        <w:t xml:space="preserve">proposing a </w:t>
      </w:r>
      <w:r w:rsidRPr="00344C0B">
        <w:t>$</w:t>
      </w:r>
      <w:r w:rsidR="007D656F">
        <w:t>100,000</w:t>
      </w:r>
      <w:r w:rsidRPr="0007571D">
        <w:t xml:space="preserve"> </w:t>
      </w:r>
      <w:r w:rsidR="00CB6E37" w:rsidRPr="00344C0B">
        <w:t xml:space="preserve">forfeiture </w:t>
      </w:r>
      <w:r w:rsidR="00154A5C" w:rsidRPr="00344C0B">
        <w:t xml:space="preserve">against </w:t>
      </w:r>
      <w:r w:rsidR="007D656F">
        <w:t>Hinton</w:t>
      </w:r>
      <w:r w:rsidR="00154A5C" w:rsidRPr="0007571D">
        <w:t xml:space="preserve"> </w:t>
      </w:r>
      <w:r w:rsidRPr="0007571D">
        <w:t>for its apparent willful and</w:t>
      </w:r>
      <w:r w:rsidRPr="00344C0B">
        <w:t xml:space="preserve"> repeated violation of </w:t>
      </w:r>
      <w:r w:rsidR="007D656F">
        <w:t xml:space="preserve">Sections 64.3001 and 64.3002(d) of </w:t>
      </w:r>
      <w:r w:rsidR="007D656F" w:rsidRPr="00495FE8">
        <w:t>the Commission’s rules (Rules)</w:t>
      </w:r>
      <w:r w:rsidR="007D656F">
        <w:t xml:space="preserve"> </w:t>
      </w:r>
      <w:r w:rsidR="004B461C">
        <w:t xml:space="preserve">for </w:t>
      </w:r>
      <w:r w:rsidR="007D656F">
        <w:t xml:space="preserve">failing to use reasonable judgment </w:t>
      </w:r>
      <w:r w:rsidR="004B461C">
        <w:t>over a three-month period</w:t>
      </w:r>
      <w:r w:rsidR="007D1622">
        <w:t>, from May 6, 2013 to August 5, 2013,</w:t>
      </w:r>
      <w:r w:rsidR="009605D0">
        <w:t xml:space="preserve"> </w:t>
      </w:r>
      <w:r w:rsidR="007D656F">
        <w:t>when it knowingly routed 911 calls to an automated operator message</w:t>
      </w:r>
      <w:r w:rsidR="007D656F" w:rsidRPr="00495FE8">
        <w:t>.</w:t>
      </w:r>
      <w:r w:rsidR="007D656F" w:rsidRPr="00495FE8">
        <w:rPr>
          <w:rStyle w:val="FootnoteReference"/>
          <w:szCs w:val="22"/>
        </w:rPr>
        <w:footnoteReference w:id="8"/>
      </w:r>
    </w:p>
    <w:p w14:paraId="6BE23AA3" w14:textId="00DE67D1" w:rsidR="00DA4421" w:rsidRDefault="00E273E3" w:rsidP="00EE37E4">
      <w:pPr>
        <w:pStyle w:val="ParaNum"/>
      </w:pPr>
      <w:r w:rsidRPr="00344C0B">
        <w:t xml:space="preserve">On </w:t>
      </w:r>
      <w:r w:rsidR="00DA4421">
        <w:t>September 3, 2014</w:t>
      </w:r>
      <w:r w:rsidR="000B29ED" w:rsidRPr="0007571D">
        <w:t xml:space="preserve">, </w:t>
      </w:r>
      <w:r w:rsidR="00DA4421">
        <w:t>Hinton</w:t>
      </w:r>
      <w:r w:rsidR="000B29ED" w:rsidRPr="0007571D">
        <w:t xml:space="preserve"> </w:t>
      </w:r>
      <w:r w:rsidRPr="0007571D">
        <w:t xml:space="preserve">filed a response to the </w:t>
      </w:r>
      <w:r w:rsidRPr="00344C0B">
        <w:rPr>
          <w:i/>
        </w:rPr>
        <w:t>NAL</w:t>
      </w:r>
      <w:r w:rsidR="00D334BA">
        <w:t>, requesting that the proposed forfeiture be cancelled.</w:t>
      </w:r>
      <w:r w:rsidRPr="0007571D">
        <w:rPr>
          <w:rStyle w:val="FootnoteReference"/>
        </w:rPr>
        <w:footnoteReference w:id="9"/>
      </w:r>
      <w:r w:rsidR="00476221">
        <w:t xml:space="preserve">  Hinton’s NAL R</w:t>
      </w:r>
      <w:r w:rsidR="00D334BA">
        <w:t xml:space="preserve">esponse reiterates the same arguments </w:t>
      </w:r>
      <w:r w:rsidR="003D482B">
        <w:t xml:space="preserve">it </w:t>
      </w:r>
      <w:r w:rsidR="00D334BA">
        <w:t xml:space="preserve">asserted in </w:t>
      </w:r>
      <w:r w:rsidR="003D482B">
        <w:t>its</w:t>
      </w:r>
      <w:r w:rsidR="00D334BA">
        <w:t xml:space="preserve"> </w:t>
      </w:r>
      <w:r w:rsidR="009605D0">
        <w:t xml:space="preserve">earlier </w:t>
      </w:r>
      <w:r w:rsidR="009D153E">
        <w:t>Letter of Inquiry (</w:t>
      </w:r>
      <w:r w:rsidR="00D334BA">
        <w:t>LOI</w:t>
      </w:r>
      <w:r w:rsidR="009D153E">
        <w:t>)</w:t>
      </w:r>
      <w:r w:rsidR="00D334BA">
        <w:t xml:space="preserve"> Responses,</w:t>
      </w:r>
      <w:r w:rsidR="00735FF0">
        <w:rPr>
          <w:rStyle w:val="FootnoteReference"/>
        </w:rPr>
        <w:footnoteReference w:id="10"/>
      </w:r>
      <w:r w:rsidR="00D334BA">
        <w:t xml:space="preserve"> which the Bureau </w:t>
      </w:r>
      <w:r w:rsidR="009605D0">
        <w:t xml:space="preserve">already </w:t>
      </w:r>
      <w:r w:rsidR="00D334BA">
        <w:t>considered and rejected</w:t>
      </w:r>
      <w:r w:rsidR="00A4021B">
        <w:t xml:space="preserve"> in the </w:t>
      </w:r>
      <w:r w:rsidR="00A4021B" w:rsidRPr="00F87FC5">
        <w:rPr>
          <w:i/>
        </w:rPr>
        <w:t>NAL</w:t>
      </w:r>
      <w:r w:rsidR="00D334BA">
        <w:t xml:space="preserve">.  </w:t>
      </w:r>
      <w:r w:rsidR="00510DE7">
        <w:t xml:space="preserve">Hinton </w:t>
      </w:r>
      <w:r w:rsidR="00E83419">
        <w:t>argues</w:t>
      </w:r>
      <w:r w:rsidR="00AD28C5">
        <w:t xml:space="preserve"> </w:t>
      </w:r>
      <w:r w:rsidR="00510DE7">
        <w:t>that</w:t>
      </w:r>
      <w:r w:rsidR="00D17170">
        <w:t xml:space="preserve">, given the </w:t>
      </w:r>
      <w:r w:rsidR="00742001">
        <w:t>unique, complicated</w:t>
      </w:r>
      <w:r w:rsidR="009605D0">
        <w:t>,</w:t>
      </w:r>
      <w:r w:rsidR="00742001">
        <w:t xml:space="preserve"> and </w:t>
      </w:r>
      <w:r w:rsidR="00D17170">
        <w:t>difficult circumstances of providing 911 service in Caddo County,</w:t>
      </w:r>
      <w:r w:rsidR="00DA4421">
        <w:t xml:space="preserve"> it</w:t>
      </w:r>
      <w:r w:rsidR="009605D0">
        <w:t xml:space="preserve"> </w:t>
      </w:r>
      <w:r w:rsidR="00DA4421">
        <w:t xml:space="preserve">exercised reasonable judgment by </w:t>
      </w:r>
      <w:r w:rsidR="009B1E76" w:rsidRPr="00742001">
        <w:t>r</w:t>
      </w:r>
      <w:r w:rsidR="00D17170" w:rsidRPr="00742001">
        <w:t>outing</w:t>
      </w:r>
      <w:r w:rsidR="00D17170">
        <w:t xml:space="preserve"> </w:t>
      </w:r>
      <w:r w:rsidR="009B1E76">
        <w:t>911 calls to a pre-recorded message</w:t>
      </w:r>
      <w:r w:rsidR="00E002B5">
        <w:t xml:space="preserve"> while it </w:t>
      </w:r>
      <w:r w:rsidR="00AD28C5">
        <w:t xml:space="preserve">considered and </w:t>
      </w:r>
      <w:r w:rsidR="00E002B5">
        <w:t>developed alternative options</w:t>
      </w:r>
      <w:r w:rsidR="00D17170">
        <w:t>.</w:t>
      </w:r>
      <w:r w:rsidR="00E93D30">
        <w:rPr>
          <w:rStyle w:val="FootnoteReference"/>
        </w:rPr>
        <w:footnoteReference w:id="11"/>
      </w:r>
      <w:r w:rsidR="00EE37E4">
        <w:t xml:space="preserve">  </w:t>
      </w:r>
      <w:r w:rsidR="00D334BA">
        <w:t>Hinton</w:t>
      </w:r>
      <w:r w:rsidR="00D334BA" w:rsidRPr="0007571D">
        <w:t xml:space="preserve"> </w:t>
      </w:r>
      <w:r w:rsidR="00D334BA">
        <w:t xml:space="preserve">also argues for cancellation </w:t>
      </w:r>
      <w:r w:rsidR="00E83419">
        <w:t xml:space="preserve">of the proposed forfeiture </w:t>
      </w:r>
      <w:r w:rsidR="00D334BA">
        <w:t>on the basis that the company has an excellent record of regulatory compliance,</w:t>
      </w:r>
      <w:r w:rsidR="00D334BA">
        <w:rPr>
          <w:rStyle w:val="FootnoteReference"/>
        </w:rPr>
        <w:footnoteReference w:id="12"/>
      </w:r>
      <w:r w:rsidR="00D334BA">
        <w:t xml:space="preserve"> and that the proposed forfeiture </w:t>
      </w:r>
      <w:r w:rsidR="00E002B5">
        <w:t>is significant</w:t>
      </w:r>
      <w:r w:rsidR="00875A5D">
        <w:t xml:space="preserve"> for </w:t>
      </w:r>
      <w:r w:rsidR="00735FF0">
        <w:t xml:space="preserve">a company of Hinton’s size and </w:t>
      </w:r>
      <w:r w:rsidR="00875A5D">
        <w:t xml:space="preserve">would </w:t>
      </w:r>
      <w:r w:rsidR="00D334BA">
        <w:t>adverse</w:t>
      </w:r>
      <w:r w:rsidR="00875A5D">
        <w:t xml:space="preserve">ly impact </w:t>
      </w:r>
      <w:r w:rsidR="00D334BA">
        <w:t>the company’s ability to construct and deploy broadband service.</w:t>
      </w:r>
      <w:r w:rsidR="00D334BA">
        <w:rPr>
          <w:rStyle w:val="FootnoteReference"/>
        </w:rPr>
        <w:footnoteReference w:id="13"/>
      </w:r>
      <w:r w:rsidR="003D482B">
        <w:t xml:space="preserve">  </w:t>
      </w:r>
      <w:r w:rsidR="006C456C">
        <w:t>We reject each of these claims below</w:t>
      </w:r>
      <w:r w:rsidR="00875A5D">
        <w:rPr>
          <w:szCs w:val="22"/>
        </w:rPr>
        <w:t>.</w:t>
      </w:r>
      <w:r w:rsidR="00875A5D">
        <w:t xml:space="preserve"> </w:t>
      </w:r>
    </w:p>
    <w:p w14:paraId="60F06125" w14:textId="77777777" w:rsidR="00E273E3" w:rsidRPr="00344C0B" w:rsidRDefault="00E273E3" w:rsidP="00226191">
      <w:pPr>
        <w:pStyle w:val="Heading1"/>
      </w:pPr>
      <w:bookmarkStart w:id="5" w:name="_Toc379289000"/>
      <w:bookmarkStart w:id="6" w:name="_Toc379365501"/>
      <w:r w:rsidRPr="00344C0B">
        <w:lastRenderedPageBreak/>
        <w:t>DISCUSSION</w:t>
      </w:r>
      <w:bookmarkEnd w:id="5"/>
      <w:bookmarkEnd w:id="6"/>
    </w:p>
    <w:p w14:paraId="00CBB1DF" w14:textId="15CDDB2D" w:rsidR="00E6009E" w:rsidRPr="00EE37E4" w:rsidRDefault="00E6009E" w:rsidP="00B5182F">
      <w:pPr>
        <w:pStyle w:val="ParaNum"/>
      </w:pPr>
      <w:r w:rsidRPr="00344C0B">
        <w:t xml:space="preserve">The </w:t>
      </w:r>
      <w:r w:rsidR="007D656F">
        <w:t>Bureau</w:t>
      </w:r>
      <w:r w:rsidRPr="00344C0B">
        <w:t xml:space="preserve"> </w:t>
      </w:r>
      <w:r w:rsidR="00E273E3" w:rsidRPr="00344C0B">
        <w:t xml:space="preserve">proposed </w:t>
      </w:r>
      <w:r w:rsidRPr="00344C0B">
        <w:t xml:space="preserve">a </w:t>
      </w:r>
      <w:r w:rsidR="00E273E3" w:rsidRPr="00344C0B">
        <w:t>forfeiture in this case in accordance with Section</w:t>
      </w:r>
      <w:r w:rsidR="007D1622">
        <w:t xml:space="preserve"> </w:t>
      </w:r>
      <w:r w:rsidR="00E273E3" w:rsidRPr="00344C0B">
        <w:t>503(b) of the Communications Act of 1934, as amended (Act),</w:t>
      </w:r>
      <w:r w:rsidR="00E273E3" w:rsidRPr="0007571D">
        <w:rPr>
          <w:rStyle w:val="FootnoteReference"/>
        </w:rPr>
        <w:footnoteReference w:id="14"/>
      </w:r>
      <w:r w:rsidR="00875A5D">
        <w:t xml:space="preserve"> Section 1.80 of the Rules</w:t>
      </w:r>
      <w:r w:rsidR="00E273E3" w:rsidRPr="0007571D">
        <w:t>,</w:t>
      </w:r>
      <w:r w:rsidR="00E273E3" w:rsidRPr="0007571D">
        <w:rPr>
          <w:vertAlign w:val="superscript"/>
        </w:rPr>
        <w:footnoteReference w:id="15"/>
      </w:r>
      <w:r w:rsidR="00E273E3" w:rsidRPr="0007571D">
        <w:t xml:space="preserve"> and the Commissi</w:t>
      </w:r>
      <w:r w:rsidR="00E273E3" w:rsidRPr="00344C0B">
        <w:t xml:space="preserve">on’s </w:t>
      </w:r>
      <w:r w:rsidR="00E273E3" w:rsidRPr="00344C0B">
        <w:rPr>
          <w:i/>
        </w:rPr>
        <w:t xml:space="preserve">Forfeiture Policy </w:t>
      </w:r>
      <w:r w:rsidR="00E273E3" w:rsidRPr="00344C0B">
        <w:rPr>
          <w:rFonts w:eastAsia="MS Mincho"/>
          <w:i/>
          <w:szCs w:val="22"/>
        </w:rPr>
        <w:t>Statement</w:t>
      </w:r>
      <w:r w:rsidR="00E273E3" w:rsidRPr="00344C0B">
        <w:t>.</w:t>
      </w:r>
      <w:r w:rsidR="00E273E3" w:rsidRPr="0007571D">
        <w:rPr>
          <w:rStyle w:val="FootnoteReference"/>
          <w:szCs w:val="22"/>
        </w:rPr>
        <w:footnoteReference w:id="16"/>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17"/>
      </w:r>
      <w:r w:rsidR="00E273E3" w:rsidRPr="0007571D">
        <w:t xml:space="preserve">  </w:t>
      </w:r>
      <w:r w:rsidR="000E6BBA" w:rsidRPr="00344C0B">
        <w:rPr>
          <w:szCs w:val="22"/>
        </w:rPr>
        <w:t xml:space="preserve">As discussed below, we have fully considered </w:t>
      </w:r>
      <w:r w:rsidR="000E6BBA">
        <w:t xml:space="preserve">Hinton’s </w:t>
      </w:r>
      <w:r w:rsidR="000E6BBA" w:rsidRPr="00344C0B">
        <w:rPr>
          <w:szCs w:val="22"/>
        </w:rPr>
        <w:t xml:space="preserve">response to the </w:t>
      </w:r>
      <w:r w:rsidR="000E6BBA" w:rsidRPr="00344C0B">
        <w:rPr>
          <w:i/>
          <w:szCs w:val="22"/>
        </w:rPr>
        <w:t>NAL</w:t>
      </w:r>
      <w:r w:rsidR="000E6BBA">
        <w:rPr>
          <w:szCs w:val="22"/>
        </w:rPr>
        <w:t xml:space="preserve">, </w:t>
      </w:r>
      <w:r w:rsidR="006C456C">
        <w:rPr>
          <w:szCs w:val="22"/>
        </w:rPr>
        <w:t>but we do not find it persuasive</w:t>
      </w:r>
      <w:r w:rsidR="000E6BBA" w:rsidRPr="00344C0B">
        <w:rPr>
          <w:szCs w:val="22"/>
        </w:rPr>
        <w:t xml:space="preserve">. </w:t>
      </w:r>
      <w:r w:rsidR="006C456C">
        <w:rPr>
          <w:szCs w:val="22"/>
        </w:rPr>
        <w:t xml:space="preserve"> </w:t>
      </w:r>
      <w:r w:rsidRPr="00344C0B">
        <w:rPr>
          <w:szCs w:val="22"/>
        </w:rPr>
        <w:t>We therefore affirm the $</w:t>
      </w:r>
      <w:r w:rsidR="007D656F">
        <w:rPr>
          <w:szCs w:val="22"/>
        </w:rPr>
        <w:t>100,000</w:t>
      </w:r>
      <w:r w:rsidRPr="0007571D">
        <w:rPr>
          <w:szCs w:val="22"/>
        </w:rPr>
        <w:t xml:space="preserve"> forfeiture proposed in the </w:t>
      </w:r>
      <w:r w:rsidRPr="0007571D">
        <w:rPr>
          <w:i/>
          <w:szCs w:val="22"/>
        </w:rPr>
        <w:t>NAL.</w:t>
      </w:r>
    </w:p>
    <w:p w14:paraId="21735AEE" w14:textId="77777777" w:rsidR="003D5221" w:rsidRDefault="00EE37E4" w:rsidP="00DD28AD">
      <w:pPr>
        <w:pStyle w:val="Heading2"/>
        <w:widowControl/>
      </w:pPr>
      <w:r>
        <w:t xml:space="preserve">Hinton Acted Unreasonably by </w:t>
      </w:r>
      <w:r w:rsidR="00A16CB1">
        <w:t>Continuing to Route</w:t>
      </w:r>
      <w:r>
        <w:t xml:space="preserve"> 91</w:t>
      </w:r>
      <w:r w:rsidR="00A16CB1">
        <w:t xml:space="preserve">1 Calls to an Automated Message </w:t>
      </w:r>
      <w:r w:rsidR="00373A85">
        <w:t>f</w:t>
      </w:r>
      <w:r w:rsidR="00E002B5">
        <w:t xml:space="preserve">or Three Months </w:t>
      </w:r>
      <w:r w:rsidR="00373A85">
        <w:t>after</w:t>
      </w:r>
      <w:r w:rsidR="00E002B5">
        <w:t xml:space="preserve"> Notification</w:t>
      </w:r>
    </w:p>
    <w:p w14:paraId="617428AA" w14:textId="4B862672" w:rsidR="00C15914" w:rsidRDefault="006E43AE" w:rsidP="00646519">
      <w:pPr>
        <w:pStyle w:val="ParaNum"/>
      </w:pPr>
      <w:r>
        <w:t xml:space="preserve">Hinton sets forth a number of </w:t>
      </w:r>
      <w:r w:rsidR="00950E17">
        <w:t xml:space="preserve">facts that </w:t>
      </w:r>
      <w:r w:rsidR="00C579E9">
        <w:t>it</w:t>
      </w:r>
      <w:r w:rsidR="00950E17">
        <w:t xml:space="preserve"> claims demonstrate that </w:t>
      </w:r>
      <w:r w:rsidR="003D482B">
        <w:t>it</w:t>
      </w:r>
      <w:r w:rsidR="00950E17">
        <w:t xml:space="preserve"> exercised reasonable judgment in its decision to c</w:t>
      </w:r>
      <w:r w:rsidR="00646519">
        <w:t>ontinue to route</w:t>
      </w:r>
      <w:r w:rsidR="00646519" w:rsidRPr="003D5221">
        <w:t xml:space="preserve"> 911 calls to</w:t>
      </w:r>
      <w:r w:rsidR="00646519">
        <w:t xml:space="preserve"> AT&amp;T’s operator</w:t>
      </w:r>
      <w:r w:rsidR="00432051">
        <w:t xml:space="preserve"> </w:t>
      </w:r>
      <w:r w:rsidR="003D482B">
        <w:t xml:space="preserve">for three months </w:t>
      </w:r>
      <w:r w:rsidR="00432051">
        <w:t xml:space="preserve">even after it learned those calls were </w:t>
      </w:r>
      <w:r w:rsidR="00D23554">
        <w:t xml:space="preserve">being </w:t>
      </w:r>
      <w:r w:rsidR="006C456C">
        <w:t xml:space="preserve">sent </w:t>
      </w:r>
      <w:r w:rsidR="00432051">
        <w:t xml:space="preserve">to an automated </w:t>
      </w:r>
      <w:r w:rsidR="00646519">
        <w:t>message</w:t>
      </w:r>
      <w:r w:rsidR="00074B18">
        <w:t xml:space="preserve"> </w:t>
      </w:r>
      <w:r w:rsidR="00432051">
        <w:t>service</w:t>
      </w:r>
      <w:r w:rsidR="00646519">
        <w:t>.</w:t>
      </w:r>
      <w:r w:rsidR="00646519">
        <w:rPr>
          <w:rStyle w:val="FootnoteReference"/>
        </w:rPr>
        <w:footnoteReference w:id="18"/>
      </w:r>
      <w:r w:rsidR="00646519">
        <w:t xml:space="preserve">  </w:t>
      </w:r>
      <w:r w:rsidR="003D482B">
        <w:t xml:space="preserve">According to </w:t>
      </w:r>
      <w:r w:rsidR="00C579E9">
        <w:t>Hinton</w:t>
      </w:r>
      <w:r w:rsidR="003D482B">
        <w:t xml:space="preserve">, </w:t>
      </w:r>
      <w:r w:rsidR="007926EC">
        <w:t xml:space="preserve">after </w:t>
      </w:r>
      <w:r w:rsidR="00D23554">
        <w:t xml:space="preserve">it learned </w:t>
      </w:r>
      <w:r w:rsidR="007926EC">
        <w:t>of the issue in May it:  (1)</w:t>
      </w:r>
      <w:r w:rsidR="003D482B">
        <w:t xml:space="preserve"> </w:t>
      </w:r>
      <w:r w:rsidR="007926EC">
        <w:t>sought</w:t>
      </w:r>
      <w:r w:rsidR="00C579E9">
        <w:t xml:space="preserve"> </w:t>
      </w:r>
      <w:r w:rsidR="007926EC">
        <w:t xml:space="preserve">the advice of </w:t>
      </w:r>
      <w:r w:rsidR="00C579E9">
        <w:t>Oklahoma Corporation Commission staff</w:t>
      </w:r>
      <w:r w:rsidR="003D482B">
        <w:t>;</w:t>
      </w:r>
      <w:r w:rsidR="00C579E9">
        <w:t xml:space="preserve"> </w:t>
      </w:r>
      <w:r w:rsidR="007926EC">
        <w:t xml:space="preserve">(2) </w:t>
      </w:r>
      <w:r w:rsidR="00C579E9">
        <w:t>plac</w:t>
      </w:r>
      <w:r w:rsidR="003D482B">
        <w:t>e</w:t>
      </w:r>
      <w:r w:rsidR="007926EC">
        <w:t>d</w:t>
      </w:r>
      <w:r w:rsidR="00C579E9">
        <w:t xml:space="preserve"> notices in local newspapers and in customer bills </w:t>
      </w:r>
      <w:r w:rsidR="003D482B">
        <w:t xml:space="preserve">informing </w:t>
      </w:r>
      <w:r w:rsidR="00C579E9">
        <w:t>customers they could reach various emergency numbers more quickly by dialing them directly</w:t>
      </w:r>
      <w:r w:rsidR="003D482B">
        <w:t>;</w:t>
      </w:r>
      <w:r w:rsidR="00C579E9">
        <w:t xml:space="preserve"> and </w:t>
      </w:r>
      <w:r w:rsidR="007926EC">
        <w:t>(3) analyzed</w:t>
      </w:r>
      <w:r w:rsidR="00C579E9">
        <w:t xml:space="preserve"> potential temporary solution</w:t>
      </w:r>
      <w:r w:rsidR="00C15914">
        <w:t>s</w:t>
      </w:r>
      <w:r w:rsidR="007D1622">
        <w:t>, each</w:t>
      </w:r>
      <w:r w:rsidR="007926EC">
        <w:t xml:space="preserve"> of</w:t>
      </w:r>
      <w:r w:rsidR="007D1622">
        <w:t xml:space="preserve"> which</w:t>
      </w:r>
      <w:r w:rsidR="007926EC">
        <w:t>,</w:t>
      </w:r>
      <w:r w:rsidR="007D1622">
        <w:t xml:space="preserve"> according to Hinton</w:t>
      </w:r>
      <w:r w:rsidR="007926EC">
        <w:t>,</w:t>
      </w:r>
      <w:r w:rsidR="007D1622">
        <w:t xml:space="preserve"> were fraught with </w:t>
      </w:r>
      <w:r w:rsidR="003D482B">
        <w:t>difficulty</w:t>
      </w:r>
      <w:r w:rsidR="007D1622">
        <w:t>.</w:t>
      </w:r>
      <w:r w:rsidR="007D1622">
        <w:rPr>
          <w:rStyle w:val="FootnoteReference"/>
        </w:rPr>
        <w:footnoteReference w:id="19"/>
      </w:r>
      <w:r w:rsidR="007D1622">
        <w:t xml:space="preserve">  </w:t>
      </w:r>
      <w:r w:rsidR="00653904">
        <w:t>According to Hinton,</w:t>
      </w:r>
      <w:r w:rsidR="00825E37">
        <w:t xml:space="preserve"> the fact that it </w:t>
      </w:r>
      <w:r w:rsidR="007926EC">
        <w:t>responded so quickly to PSHSB’s directive</w:t>
      </w:r>
      <w:r w:rsidR="00825E37">
        <w:t xml:space="preserve"> </w:t>
      </w:r>
      <w:r w:rsidR="007926EC">
        <w:t xml:space="preserve">to resolve the issue </w:t>
      </w:r>
      <w:r w:rsidR="00825E37">
        <w:t xml:space="preserve">is a testament to </w:t>
      </w:r>
      <w:r w:rsidR="003D482B">
        <w:t>the preparation that it had done.</w:t>
      </w:r>
      <w:r w:rsidR="00825E37">
        <w:rPr>
          <w:rStyle w:val="FootnoteReference"/>
        </w:rPr>
        <w:footnoteReference w:id="20"/>
      </w:r>
      <w:r w:rsidR="007D1622">
        <w:t xml:space="preserve"> </w:t>
      </w:r>
    </w:p>
    <w:p w14:paraId="1FD3FFF5" w14:textId="74806833" w:rsidR="00D23554" w:rsidRPr="00D23554" w:rsidRDefault="00432051" w:rsidP="007926EC">
      <w:pPr>
        <w:pStyle w:val="ParaNum"/>
      </w:pPr>
      <w:r>
        <w:t xml:space="preserve">As we </w:t>
      </w:r>
      <w:r w:rsidR="00742552">
        <w:t xml:space="preserve">stated </w:t>
      </w:r>
      <w:r>
        <w:t xml:space="preserve">in the </w:t>
      </w:r>
      <w:r w:rsidRPr="00FC5CBF">
        <w:rPr>
          <w:i/>
        </w:rPr>
        <w:t>NAL</w:t>
      </w:r>
      <w:r>
        <w:t xml:space="preserve">, </w:t>
      </w:r>
      <w:r w:rsidR="00825E37">
        <w:t xml:space="preserve">we </w:t>
      </w:r>
      <w:r w:rsidR="007244C3">
        <w:t>find no merit in Hinton’s argument that it e</w:t>
      </w:r>
      <w:r w:rsidR="00825E37">
        <w:t xml:space="preserve">xercised reasonable judgment by continuing to route 911 call to AT&amp;T’s operator service </w:t>
      </w:r>
      <w:r w:rsidR="008C10FD">
        <w:t xml:space="preserve">for three months </w:t>
      </w:r>
      <w:r w:rsidR="00825E37">
        <w:t xml:space="preserve">after </w:t>
      </w:r>
      <w:r w:rsidR="007244C3">
        <w:t xml:space="preserve">discovering </w:t>
      </w:r>
      <w:r w:rsidR="00646519" w:rsidRPr="008717EB">
        <w:rPr>
          <w:szCs w:val="22"/>
        </w:rPr>
        <w:t xml:space="preserve">that </w:t>
      </w:r>
      <w:r w:rsidR="00373A85" w:rsidRPr="008717EB">
        <w:rPr>
          <w:szCs w:val="22"/>
        </w:rPr>
        <w:t>AT&amp;T had replaced its voice operator service with an automated message</w:t>
      </w:r>
      <w:r w:rsidR="00825E37" w:rsidRPr="008717EB">
        <w:rPr>
          <w:szCs w:val="22"/>
        </w:rPr>
        <w:t>.</w:t>
      </w:r>
      <w:r w:rsidR="00646519">
        <w:rPr>
          <w:rStyle w:val="FootnoteReference"/>
          <w:szCs w:val="22"/>
        </w:rPr>
        <w:footnoteReference w:id="21"/>
      </w:r>
      <w:r w:rsidR="00646519" w:rsidRPr="008717EB">
        <w:rPr>
          <w:szCs w:val="22"/>
        </w:rPr>
        <w:t xml:space="preserve"> </w:t>
      </w:r>
      <w:r w:rsidR="008717EB" w:rsidRPr="008717EB">
        <w:rPr>
          <w:szCs w:val="22"/>
        </w:rPr>
        <w:t xml:space="preserve"> </w:t>
      </w:r>
      <w:r w:rsidR="007926EC" w:rsidRPr="00245B3F">
        <w:t xml:space="preserve">Section 64.3001 of the </w:t>
      </w:r>
      <w:r w:rsidR="007926EC">
        <w:t>Rules directs telecommunications carriers</w:t>
      </w:r>
      <w:r w:rsidR="007926EC" w:rsidRPr="00245B3F">
        <w:t xml:space="preserve"> to transmit all 911 calls to</w:t>
      </w:r>
      <w:r w:rsidR="007926EC">
        <w:t xml:space="preserve"> a PSAP</w:t>
      </w:r>
      <w:r w:rsidR="007926EC" w:rsidRPr="00245B3F">
        <w:t>, a designated statewide default answering point, or to an appropriate local emergency authority.</w:t>
      </w:r>
      <w:r w:rsidR="007926EC">
        <w:rPr>
          <w:rStyle w:val="FootnoteReference"/>
        </w:rPr>
        <w:footnoteReference w:id="22"/>
      </w:r>
      <w:r w:rsidR="007926EC">
        <w:t xml:space="preserve">  </w:t>
      </w:r>
      <w:r w:rsidR="00646519" w:rsidRPr="007926EC">
        <w:rPr>
          <w:szCs w:val="22"/>
        </w:rPr>
        <w:t>Section 64.3002(d) of the Rules imposes on telecommunications carriers the obligation to “identify an appropriate local emergency authority, based on the exercise of reasonable judgment, and complete all translation and routing necessary to deliver 911 calls to such appropr</w:t>
      </w:r>
      <w:r w:rsidR="007926EC">
        <w:rPr>
          <w:szCs w:val="22"/>
        </w:rPr>
        <w:t>iate local emergency authority</w:t>
      </w:r>
      <w:r w:rsidR="00646519" w:rsidRPr="007926EC">
        <w:rPr>
          <w:szCs w:val="22"/>
        </w:rPr>
        <w:t>.</w:t>
      </w:r>
      <w:r w:rsidR="007926EC">
        <w:rPr>
          <w:szCs w:val="22"/>
        </w:rPr>
        <w:t xml:space="preserve"> . . .</w:t>
      </w:r>
      <w:r w:rsidR="00646519" w:rsidRPr="007926EC">
        <w:rPr>
          <w:szCs w:val="22"/>
        </w:rPr>
        <w:t>”</w:t>
      </w:r>
      <w:r w:rsidR="00646519">
        <w:rPr>
          <w:rStyle w:val="FootnoteReference"/>
          <w:szCs w:val="22"/>
        </w:rPr>
        <w:footnoteReference w:id="23"/>
      </w:r>
      <w:r w:rsidR="00646519" w:rsidRPr="007926EC">
        <w:rPr>
          <w:szCs w:val="22"/>
        </w:rPr>
        <w:t xml:space="preserve">  </w:t>
      </w:r>
    </w:p>
    <w:p w14:paraId="4048DCAF" w14:textId="2A0E9554" w:rsidR="00646519" w:rsidRPr="007D6254" w:rsidRDefault="00646519" w:rsidP="007926EC">
      <w:pPr>
        <w:pStyle w:val="ParaNum"/>
      </w:pPr>
      <w:r w:rsidRPr="007926EC">
        <w:rPr>
          <w:rFonts w:eastAsia="Batang"/>
        </w:rPr>
        <w:t>As the Commission has stated, 911 service is intended to</w:t>
      </w:r>
      <w:r w:rsidR="00741108">
        <w:rPr>
          <w:rFonts w:eastAsia="Batang"/>
        </w:rPr>
        <w:t xml:space="preserve"> enable people everywhere to quickly connect </w:t>
      </w:r>
      <w:r w:rsidRPr="007926EC">
        <w:rPr>
          <w:rFonts w:eastAsia="Batang"/>
        </w:rPr>
        <w:t>to trained individuals who have ready access to police, fire, and health emergency service providers.</w:t>
      </w:r>
      <w:r>
        <w:rPr>
          <w:rStyle w:val="FootnoteReference"/>
          <w:rFonts w:eastAsia="Batang"/>
        </w:rPr>
        <w:footnoteReference w:id="24"/>
      </w:r>
      <w:r w:rsidRPr="007926EC">
        <w:rPr>
          <w:rFonts w:eastAsia="Batang"/>
        </w:rPr>
        <w:t xml:space="preserve">  </w:t>
      </w:r>
      <w:r>
        <w:t xml:space="preserve">After Hinton discovered that 911 calls were being routed to an automated message service, </w:t>
      </w:r>
      <w:r w:rsidR="008C10FD">
        <w:t xml:space="preserve">it </w:t>
      </w:r>
      <w:r w:rsidR="008C10FD">
        <w:lastRenderedPageBreak/>
        <w:t xml:space="preserve">was unacceptable for </w:t>
      </w:r>
      <w:r>
        <w:t>the company t</w:t>
      </w:r>
      <w:r w:rsidR="008C10FD">
        <w:t>o take</w:t>
      </w:r>
      <w:r>
        <w:t xml:space="preserve"> three months </w:t>
      </w:r>
      <w:r w:rsidR="008C10FD">
        <w:t xml:space="preserve">without </w:t>
      </w:r>
      <w:r w:rsidR="008717EB">
        <w:t xml:space="preserve">any action </w:t>
      </w:r>
      <w:r w:rsidR="008C10FD">
        <w:t xml:space="preserve">and to act only </w:t>
      </w:r>
      <w:r w:rsidR="008717EB">
        <w:t xml:space="preserve">after </w:t>
      </w:r>
      <w:r w:rsidR="008C10FD">
        <w:t>being directed to do so</w:t>
      </w:r>
      <w:r w:rsidR="008717EB">
        <w:t xml:space="preserve"> by PSHSB staff</w:t>
      </w:r>
      <w:r>
        <w:t>.</w:t>
      </w:r>
      <w:r>
        <w:rPr>
          <w:rStyle w:val="FootnoteReference"/>
        </w:rPr>
        <w:footnoteReference w:id="25"/>
      </w:r>
      <w:r>
        <w:t xml:space="preserve">  As we </w:t>
      </w:r>
      <w:r w:rsidR="00741108">
        <w:t xml:space="preserve">determined </w:t>
      </w:r>
      <w:r>
        <w:t xml:space="preserve">in the </w:t>
      </w:r>
      <w:r w:rsidR="00545A1F">
        <w:rPr>
          <w:i/>
        </w:rPr>
        <w:t>NAL</w:t>
      </w:r>
      <w:r w:rsidR="00545A1F" w:rsidRPr="00FC5CBF">
        <w:t>,</w:t>
      </w:r>
      <w:r w:rsidRPr="007926EC">
        <w:rPr>
          <w:i/>
        </w:rPr>
        <w:t xml:space="preserve"> </w:t>
      </w:r>
      <w:r w:rsidRPr="007926EC">
        <w:rPr>
          <w:rFonts w:eastAsia="Batang"/>
        </w:rPr>
        <w:t>Hinton was obligated, consistent with the requirements of Section</w:t>
      </w:r>
      <w:r w:rsidR="00545A1F">
        <w:rPr>
          <w:rFonts w:eastAsia="Batang"/>
        </w:rPr>
        <w:t>s</w:t>
      </w:r>
      <w:r w:rsidRPr="007926EC">
        <w:rPr>
          <w:rFonts w:eastAsia="Batang"/>
        </w:rPr>
        <w:t xml:space="preserve"> </w:t>
      </w:r>
      <w:r w:rsidR="00545A1F">
        <w:rPr>
          <w:rFonts w:eastAsia="Batang"/>
        </w:rPr>
        <w:t xml:space="preserve">64.3001 and </w:t>
      </w:r>
      <w:r w:rsidRPr="007926EC">
        <w:rPr>
          <w:rFonts w:eastAsia="Batang"/>
        </w:rPr>
        <w:t xml:space="preserve">64.3002(d) of the Rules, to reassess its call routing protocols and ascertain whether, based on the exercise of reasonable judgment, there was an alternative appropriate local emergency authority </w:t>
      </w:r>
      <w:r w:rsidRPr="007926EC">
        <w:rPr>
          <w:szCs w:val="22"/>
        </w:rPr>
        <w:t>to which it could route its 911 calls.</w:t>
      </w:r>
      <w:r>
        <w:rPr>
          <w:rStyle w:val="FootnoteReference"/>
          <w:szCs w:val="22"/>
        </w:rPr>
        <w:footnoteReference w:id="26"/>
      </w:r>
      <w:r w:rsidRPr="007926EC">
        <w:rPr>
          <w:szCs w:val="22"/>
        </w:rPr>
        <w:t xml:space="preserve">  We </w:t>
      </w:r>
      <w:r w:rsidR="006E43AE" w:rsidRPr="007926EC">
        <w:rPr>
          <w:szCs w:val="22"/>
        </w:rPr>
        <w:t>recognize</w:t>
      </w:r>
      <w:r w:rsidR="00545A1F">
        <w:rPr>
          <w:szCs w:val="22"/>
        </w:rPr>
        <w:t xml:space="preserve"> that Hinton faced </w:t>
      </w:r>
      <w:r w:rsidRPr="007926EC">
        <w:rPr>
          <w:szCs w:val="22"/>
        </w:rPr>
        <w:t>challenges in the implementation of the new Caddo County 911 call center.</w:t>
      </w:r>
      <w:r>
        <w:rPr>
          <w:rStyle w:val="FootnoteReference"/>
          <w:szCs w:val="22"/>
        </w:rPr>
        <w:footnoteReference w:id="27"/>
      </w:r>
      <w:r w:rsidRPr="007926EC">
        <w:rPr>
          <w:szCs w:val="22"/>
        </w:rPr>
        <w:t xml:space="preserve">  However, given the availability of </w:t>
      </w:r>
      <w:r w:rsidR="008C10FD" w:rsidRPr="007926EC">
        <w:rPr>
          <w:szCs w:val="22"/>
        </w:rPr>
        <w:t xml:space="preserve">a </w:t>
      </w:r>
      <w:r w:rsidR="00545A1F">
        <w:rPr>
          <w:szCs w:val="22"/>
        </w:rPr>
        <w:t>viable workaround, it was un</w:t>
      </w:r>
      <w:r w:rsidRPr="007926EC">
        <w:rPr>
          <w:szCs w:val="22"/>
        </w:rPr>
        <w:t xml:space="preserve">reasonable for Hinton </w:t>
      </w:r>
      <w:r w:rsidR="007A7AF0" w:rsidRPr="007926EC">
        <w:rPr>
          <w:szCs w:val="22"/>
        </w:rPr>
        <w:t xml:space="preserve">to </w:t>
      </w:r>
      <w:r w:rsidR="00545A1F">
        <w:rPr>
          <w:szCs w:val="22"/>
        </w:rPr>
        <w:t xml:space="preserve">wait </w:t>
      </w:r>
      <w:r w:rsidR="00093F01" w:rsidRPr="007926EC">
        <w:rPr>
          <w:szCs w:val="22"/>
        </w:rPr>
        <w:t>until pressed by PSHSB staff</w:t>
      </w:r>
      <w:r w:rsidRPr="007926EC">
        <w:rPr>
          <w:szCs w:val="22"/>
        </w:rPr>
        <w:t xml:space="preserve"> to implement a </w:t>
      </w:r>
      <w:r w:rsidR="009C73E2" w:rsidRPr="007926EC">
        <w:rPr>
          <w:szCs w:val="22"/>
        </w:rPr>
        <w:t xml:space="preserve">reasonable </w:t>
      </w:r>
      <w:r w:rsidRPr="007926EC">
        <w:rPr>
          <w:szCs w:val="22"/>
        </w:rPr>
        <w:t>solution.</w:t>
      </w:r>
      <w:r>
        <w:rPr>
          <w:rStyle w:val="FootnoteReference"/>
          <w:szCs w:val="22"/>
        </w:rPr>
        <w:footnoteReference w:id="28"/>
      </w:r>
    </w:p>
    <w:p w14:paraId="4646FC57" w14:textId="62602488" w:rsidR="00020626" w:rsidRDefault="00616CB5" w:rsidP="007D6254">
      <w:pPr>
        <w:pStyle w:val="Heading2"/>
      </w:pPr>
      <w:r>
        <w:t xml:space="preserve">Hinton’s Record of Regulatory Compliance </w:t>
      </w:r>
      <w:r w:rsidR="00545A1F">
        <w:t xml:space="preserve">Does Not Warrant </w:t>
      </w:r>
      <w:r w:rsidR="00020626">
        <w:t>Cancellation</w:t>
      </w:r>
      <w:r w:rsidR="00C93A54" w:rsidRPr="00C93A54">
        <w:t xml:space="preserve"> </w:t>
      </w:r>
      <w:r w:rsidR="00C93A54">
        <w:t>of the Proposed Forfeiture</w:t>
      </w:r>
    </w:p>
    <w:p w14:paraId="2C4B7C7C" w14:textId="0503C57A" w:rsidR="00020626" w:rsidRPr="00020626" w:rsidRDefault="00020626" w:rsidP="00020626">
      <w:pPr>
        <w:pStyle w:val="ParaNum"/>
      </w:pPr>
      <w:r w:rsidRPr="000B786D">
        <w:rPr>
          <w:szCs w:val="22"/>
        </w:rPr>
        <w:t>Hinton contends that it should</w:t>
      </w:r>
      <w:r w:rsidR="00545A1F">
        <w:rPr>
          <w:szCs w:val="22"/>
        </w:rPr>
        <w:t xml:space="preserve"> not be subject to the </w:t>
      </w:r>
      <w:r w:rsidRPr="000B786D">
        <w:rPr>
          <w:szCs w:val="22"/>
        </w:rPr>
        <w:t xml:space="preserve">$100,000 forfeiture </w:t>
      </w:r>
      <w:r w:rsidR="00545A1F">
        <w:rPr>
          <w:szCs w:val="22"/>
        </w:rPr>
        <w:t xml:space="preserve">proposed in the </w:t>
      </w:r>
      <w:r w:rsidR="00545A1F">
        <w:rPr>
          <w:i/>
          <w:szCs w:val="22"/>
        </w:rPr>
        <w:t xml:space="preserve">NAL </w:t>
      </w:r>
      <w:r w:rsidRPr="000B786D">
        <w:rPr>
          <w:szCs w:val="22"/>
        </w:rPr>
        <w:t>because of its 64-year record of</w:t>
      </w:r>
      <w:r w:rsidR="00545A1F">
        <w:rPr>
          <w:szCs w:val="22"/>
        </w:rPr>
        <w:t xml:space="preserve"> compliance with the </w:t>
      </w:r>
      <w:r>
        <w:t xml:space="preserve">Rules, its successful provision of 911 and </w:t>
      </w:r>
      <w:r w:rsidR="00545A1F">
        <w:t xml:space="preserve">E911 services </w:t>
      </w:r>
      <w:r>
        <w:t>in the other Oklahoma counties it serves, as well as its service to customers in Caddo County.</w:t>
      </w:r>
      <w:r w:rsidR="00C93A54" w:rsidRPr="00C93A54">
        <w:rPr>
          <w:rStyle w:val="FootnoteReference"/>
        </w:rPr>
        <w:t xml:space="preserve"> </w:t>
      </w:r>
      <w:r w:rsidR="00C93A54">
        <w:rPr>
          <w:rStyle w:val="FootnoteReference"/>
        </w:rPr>
        <w:footnoteReference w:id="29"/>
      </w:r>
      <w:r w:rsidR="00C93A54">
        <w:t xml:space="preserve">  </w:t>
      </w:r>
      <w:r w:rsidR="00545A1F">
        <w:t xml:space="preserve">However, Hinton’s compliance record </w:t>
      </w:r>
      <w:r w:rsidR="007967A6">
        <w:t>is not spotless</w:t>
      </w:r>
      <w:r w:rsidR="007967A6">
        <w:rPr>
          <w:rStyle w:val="FootnoteReference"/>
        </w:rPr>
        <w:footnoteReference w:id="30"/>
      </w:r>
      <w:r w:rsidR="007967A6">
        <w:t xml:space="preserve"> and</w:t>
      </w:r>
      <w:r w:rsidR="00C93A54">
        <w:t xml:space="preserve"> </w:t>
      </w:r>
      <w:r w:rsidR="00545A1F">
        <w:t>its success</w:t>
      </w:r>
      <w:r w:rsidR="00741108">
        <w:t>f</w:t>
      </w:r>
      <w:r w:rsidR="00545A1F">
        <w:t xml:space="preserve">ul provision of 911 and E911 services in other Oklahoma counties does not excuse or mitigate its failure </w:t>
      </w:r>
      <w:r w:rsidR="00967C7A">
        <w:t xml:space="preserve">over an extended period of time </w:t>
      </w:r>
      <w:r w:rsidR="00A35A70">
        <w:t xml:space="preserve">to use reasonable judgment in routing 911 calls in Caddo County.  In addition, any </w:t>
      </w:r>
      <w:r w:rsidR="003E6F3F">
        <w:t>good-faith effort</w:t>
      </w:r>
      <w:r w:rsidR="00A35A70">
        <w:t>s taken by Hinton to comply with the R</w:t>
      </w:r>
      <w:r w:rsidR="003E6F3F">
        <w:t xml:space="preserve">ules </w:t>
      </w:r>
      <w:r w:rsidR="00A35A70">
        <w:t xml:space="preserve">following the Bureau’s investigation </w:t>
      </w:r>
      <w:r w:rsidR="003E6F3F">
        <w:t>is expected and generally does not serve to mitigate a forfeiture.</w:t>
      </w:r>
      <w:r w:rsidR="003E6F3F">
        <w:rPr>
          <w:rStyle w:val="FootnoteReference"/>
        </w:rPr>
        <w:footnoteReference w:id="31"/>
      </w:r>
      <w:r w:rsidR="00A35A70">
        <w:t xml:space="preserve">  </w:t>
      </w:r>
      <w:r w:rsidR="00C93A54">
        <w:t>Accordingly, we decline to reduce the forfeiture on this basis.</w:t>
      </w:r>
    </w:p>
    <w:p w14:paraId="66F36395" w14:textId="77777777" w:rsidR="007D6254" w:rsidRDefault="00373A85" w:rsidP="007D6254">
      <w:pPr>
        <w:pStyle w:val="Heading2"/>
      </w:pPr>
      <w:r>
        <w:t xml:space="preserve">Hinton’s </w:t>
      </w:r>
      <w:r w:rsidR="00C93A54">
        <w:t>Desire to</w:t>
      </w:r>
      <w:r w:rsidR="00616CB5">
        <w:t xml:space="preserve"> </w:t>
      </w:r>
      <w:r w:rsidR="00C93A54">
        <w:t>Improve</w:t>
      </w:r>
      <w:r w:rsidR="00616CB5">
        <w:t xml:space="preserve"> Broadband Service to its Customers </w:t>
      </w:r>
      <w:r w:rsidR="008C10FD">
        <w:t xml:space="preserve">and its </w:t>
      </w:r>
      <w:r w:rsidR="00A35A70">
        <w:t xml:space="preserve">Purported </w:t>
      </w:r>
      <w:r w:rsidR="008C10FD">
        <w:t xml:space="preserve">Inability to Pay </w:t>
      </w:r>
      <w:r w:rsidR="00616CB5">
        <w:t>Are Not Valid Grounds for Cancellation of the Proposed Forfeiture</w:t>
      </w:r>
    </w:p>
    <w:p w14:paraId="2240305C" w14:textId="114E075D" w:rsidR="007D6254" w:rsidRPr="00020626" w:rsidRDefault="000B786D" w:rsidP="007D6254">
      <w:pPr>
        <w:pStyle w:val="ParaNum"/>
      </w:pPr>
      <w:r>
        <w:t>H</w:t>
      </w:r>
      <w:r w:rsidRPr="000B786D">
        <w:rPr>
          <w:szCs w:val="22"/>
        </w:rPr>
        <w:t xml:space="preserve">inton </w:t>
      </w:r>
      <w:r w:rsidR="006C42C7" w:rsidRPr="000B786D">
        <w:rPr>
          <w:szCs w:val="22"/>
        </w:rPr>
        <w:t>also c</w:t>
      </w:r>
      <w:r w:rsidR="007D6254" w:rsidRPr="000B786D">
        <w:rPr>
          <w:szCs w:val="22"/>
        </w:rPr>
        <w:t>ontends</w:t>
      </w:r>
      <w:r w:rsidR="00A35A70">
        <w:rPr>
          <w:szCs w:val="22"/>
        </w:rPr>
        <w:t xml:space="preserve"> that it should not have to pay </w:t>
      </w:r>
      <w:r>
        <w:rPr>
          <w:szCs w:val="22"/>
        </w:rPr>
        <w:t xml:space="preserve">the $100,000 </w:t>
      </w:r>
      <w:r w:rsidR="00A35A70">
        <w:rPr>
          <w:szCs w:val="22"/>
        </w:rPr>
        <w:t>proposed forfeiture because such a penalty would adversely impact its</w:t>
      </w:r>
      <w:r w:rsidR="007D6254" w:rsidRPr="000B786D">
        <w:rPr>
          <w:szCs w:val="22"/>
        </w:rPr>
        <w:t xml:space="preserve"> ability to bring broadband services to its rural customers</w:t>
      </w:r>
      <w:r w:rsidR="00C93A54">
        <w:rPr>
          <w:szCs w:val="22"/>
        </w:rPr>
        <w:t xml:space="preserve">, and </w:t>
      </w:r>
      <w:r w:rsidR="00A35A70">
        <w:rPr>
          <w:szCs w:val="22"/>
        </w:rPr>
        <w:t xml:space="preserve">suggests </w:t>
      </w:r>
      <w:r w:rsidR="00C93A54">
        <w:rPr>
          <w:szCs w:val="22"/>
        </w:rPr>
        <w:t>that it is unable to pay the proposed forfeiture</w:t>
      </w:r>
      <w:r w:rsidR="007D6254" w:rsidRPr="000B786D">
        <w:rPr>
          <w:szCs w:val="22"/>
        </w:rPr>
        <w:t>.</w:t>
      </w:r>
      <w:r w:rsidR="007609A4">
        <w:rPr>
          <w:rStyle w:val="FootnoteReference"/>
          <w:szCs w:val="22"/>
        </w:rPr>
        <w:footnoteReference w:id="32"/>
      </w:r>
      <w:r w:rsidR="008E0136" w:rsidRPr="000B786D">
        <w:rPr>
          <w:szCs w:val="22"/>
        </w:rPr>
        <w:t xml:space="preserve">  </w:t>
      </w:r>
      <w:r w:rsidR="004C641F">
        <w:rPr>
          <w:szCs w:val="22"/>
        </w:rPr>
        <w:t xml:space="preserve">The Commission has long supported programs that assist </w:t>
      </w:r>
      <w:r w:rsidR="00373A85">
        <w:rPr>
          <w:szCs w:val="22"/>
        </w:rPr>
        <w:t xml:space="preserve">rural communities </w:t>
      </w:r>
      <w:r w:rsidR="002A0244">
        <w:rPr>
          <w:szCs w:val="22"/>
        </w:rPr>
        <w:t xml:space="preserve">and schools with access to modern telecommunications services, including </w:t>
      </w:r>
      <w:r w:rsidR="008E0136" w:rsidRPr="000B786D">
        <w:rPr>
          <w:szCs w:val="22"/>
        </w:rPr>
        <w:t>broadband deployment</w:t>
      </w:r>
      <w:r w:rsidR="00986D5F" w:rsidRPr="000B786D">
        <w:rPr>
          <w:szCs w:val="22"/>
        </w:rPr>
        <w:t xml:space="preserve">.  However, </w:t>
      </w:r>
      <w:r w:rsidR="002A0244">
        <w:rPr>
          <w:szCs w:val="22"/>
        </w:rPr>
        <w:t xml:space="preserve">the Commission also has a </w:t>
      </w:r>
      <w:r w:rsidR="002A0244" w:rsidRPr="000B786D">
        <w:rPr>
          <w:szCs w:val="22"/>
        </w:rPr>
        <w:t xml:space="preserve">clear interest in </w:t>
      </w:r>
      <w:r w:rsidR="002A0244" w:rsidRPr="000B786D">
        <w:rPr>
          <w:szCs w:val="22"/>
        </w:rPr>
        <w:lastRenderedPageBreak/>
        <w:t>regulatory compliance</w:t>
      </w:r>
      <w:r w:rsidR="00A35A70">
        <w:rPr>
          <w:szCs w:val="22"/>
        </w:rPr>
        <w:t>, especially when</w:t>
      </w:r>
      <w:r w:rsidR="002A0244">
        <w:rPr>
          <w:szCs w:val="22"/>
        </w:rPr>
        <w:t xml:space="preserve"> public safety considerations </w:t>
      </w:r>
      <w:r w:rsidR="00A35A70">
        <w:rPr>
          <w:szCs w:val="22"/>
        </w:rPr>
        <w:t xml:space="preserve">like 911 reliability </w:t>
      </w:r>
      <w:r w:rsidR="002A0244">
        <w:rPr>
          <w:szCs w:val="22"/>
        </w:rPr>
        <w:t xml:space="preserve">are </w:t>
      </w:r>
      <w:r w:rsidR="004F35CA">
        <w:rPr>
          <w:szCs w:val="22"/>
        </w:rPr>
        <w:t xml:space="preserve">compromised.  </w:t>
      </w:r>
      <w:r w:rsidR="00A35A70">
        <w:rPr>
          <w:szCs w:val="22"/>
        </w:rPr>
        <w:t xml:space="preserve">Hinton </w:t>
      </w:r>
      <w:r w:rsidR="009C73E2">
        <w:rPr>
          <w:szCs w:val="22"/>
        </w:rPr>
        <w:t xml:space="preserve">has </w:t>
      </w:r>
      <w:r w:rsidR="0089063C">
        <w:rPr>
          <w:szCs w:val="22"/>
        </w:rPr>
        <w:t>made no showing of</w:t>
      </w:r>
      <w:r w:rsidR="00481985">
        <w:rPr>
          <w:szCs w:val="22"/>
        </w:rPr>
        <w:t xml:space="preserve"> </w:t>
      </w:r>
      <w:r w:rsidR="008C10FD">
        <w:rPr>
          <w:szCs w:val="22"/>
        </w:rPr>
        <w:t>a</w:t>
      </w:r>
      <w:r w:rsidR="0089063C">
        <w:rPr>
          <w:szCs w:val="22"/>
        </w:rPr>
        <w:t xml:space="preserve"> </w:t>
      </w:r>
      <w:r w:rsidR="00481985">
        <w:rPr>
          <w:szCs w:val="22"/>
        </w:rPr>
        <w:t xml:space="preserve">public benefit </w:t>
      </w:r>
      <w:r w:rsidR="008C10FD">
        <w:rPr>
          <w:szCs w:val="22"/>
        </w:rPr>
        <w:t>from</w:t>
      </w:r>
      <w:r w:rsidR="00481985">
        <w:rPr>
          <w:szCs w:val="22"/>
        </w:rPr>
        <w:t xml:space="preserve"> cancelling the forfeiture</w:t>
      </w:r>
      <w:r w:rsidR="007C78A4">
        <w:rPr>
          <w:szCs w:val="22"/>
        </w:rPr>
        <w:t>, and provides scant evidence that the penalty would affect its plans to develop rural broadband services</w:t>
      </w:r>
      <w:r w:rsidR="00481985">
        <w:rPr>
          <w:szCs w:val="22"/>
        </w:rPr>
        <w:t>.</w:t>
      </w:r>
      <w:r w:rsidR="007C78A4">
        <w:rPr>
          <w:rStyle w:val="FootnoteReference"/>
          <w:szCs w:val="22"/>
        </w:rPr>
        <w:footnoteReference w:id="33"/>
      </w:r>
      <w:r w:rsidR="00481985">
        <w:rPr>
          <w:szCs w:val="22"/>
        </w:rPr>
        <w:t xml:space="preserve">  </w:t>
      </w:r>
      <w:r w:rsidR="005A6FA8">
        <w:rPr>
          <w:szCs w:val="22"/>
        </w:rPr>
        <w:t xml:space="preserve">Weighing the </w:t>
      </w:r>
      <w:r w:rsidR="00481985">
        <w:rPr>
          <w:szCs w:val="22"/>
        </w:rPr>
        <w:t xml:space="preserve">evidence at hand and the </w:t>
      </w:r>
      <w:r w:rsidR="005A6FA8">
        <w:rPr>
          <w:szCs w:val="22"/>
        </w:rPr>
        <w:t>public interests at stake, we decline to cancel the forfeiture on this basis.</w:t>
      </w:r>
    </w:p>
    <w:p w14:paraId="138BFC1C" w14:textId="0DA23366" w:rsidR="00020626" w:rsidRPr="00020626" w:rsidRDefault="002C1E19" w:rsidP="007D6254">
      <w:pPr>
        <w:pStyle w:val="ParaNum"/>
      </w:pPr>
      <w:r>
        <w:t xml:space="preserve">Finally, </w:t>
      </w:r>
      <w:r w:rsidR="00020626">
        <w:t>Hinton</w:t>
      </w:r>
      <w:r w:rsidR="009C73E2">
        <w:t xml:space="preserve"> responds with an</w:t>
      </w:r>
      <w:r>
        <w:t xml:space="preserve"> implicit</w:t>
      </w:r>
      <w:r w:rsidR="00020626">
        <w:t xml:space="preserve"> </w:t>
      </w:r>
      <w:r>
        <w:t>claim of financial hardship.</w:t>
      </w:r>
      <w:r>
        <w:rPr>
          <w:rStyle w:val="FootnoteReference"/>
          <w:szCs w:val="22"/>
        </w:rPr>
        <w:footnoteReference w:id="34"/>
      </w:r>
      <w:r>
        <w:t xml:space="preserve">  </w:t>
      </w:r>
      <w:r w:rsidRPr="00135F7F">
        <w:t xml:space="preserve">Any </w:t>
      </w:r>
      <w:r w:rsidRPr="006877E7">
        <w:rPr>
          <w:rFonts w:eastAsia="MS Mincho"/>
        </w:rPr>
        <w:t>claim</w:t>
      </w:r>
      <w:r w:rsidRPr="00135F7F">
        <w:t xml:space="preserve"> of inability to pay must specifically identify the basis for the claim by reference to financial documentation submitted.</w:t>
      </w:r>
      <w:r w:rsidRPr="00135F7F">
        <w:rPr>
          <w:rStyle w:val="FootnoteReference"/>
          <w:szCs w:val="22"/>
        </w:rPr>
        <w:footnoteReference w:id="35"/>
      </w:r>
      <w:r w:rsidRPr="00135F7F">
        <w:t xml:space="preserve">  </w:t>
      </w:r>
      <w:r>
        <w:rPr>
          <w:spacing w:val="-2"/>
        </w:rPr>
        <w:t>Hinton</w:t>
      </w:r>
      <w:r w:rsidRPr="00135F7F">
        <w:rPr>
          <w:spacing w:val="-2"/>
        </w:rPr>
        <w:t xml:space="preserve">, however, has not provided </w:t>
      </w:r>
      <w:r w:rsidR="008C10FD">
        <w:rPr>
          <w:spacing w:val="-2"/>
        </w:rPr>
        <w:t xml:space="preserve">any of the required </w:t>
      </w:r>
      <w:r w:rsidRPr="00135F7F">
        <w:rPr>
          <w:spacing w:val="-2"/>
        </w:rPr>
        <w:t xml:space="preserve">financial documentation to support </w:t>
      </w:r>
      <w:r w:rsidR="00646519">
        <w:rPr>
          <w:spacing w:val="-2"/>
        </w:rPr>
        <w:t>a</w:t>
      </w:r>
      <w:r w:rsidRPr="00135F7F">
        <w:rPr>
          <w:spacing w:val="-2"/>
        </w:rPr>
        <w:t xml:space="preserve"> </w:t>
      </w:r>
      <w:r>
        <w:rPr>
          <w:spacing w:val="-2"/>
        </w:rPr>
        <w:t>claim of</w:t>
      </w:r>
      <w:r w:rsidRPr="00135F7F">
        <w:rPr>
          <w:spacing w:val="-2"/>
        </w:rPr>
        <w:t xml:space="preserve"> financial </w:t>
      </w:r>
      <w:r>
        <w:rPr>
          <w:spacing w:val="-2"/>
        </w:rPr>
        <w:t>hardship</w:t>
      </w:r>
      <w:r w:rsidRPr="00135F7F">
        <w:rPr>
          <w:spacing w:val="-2"/>
        </w:rPr>
        <w:t xml:space="preserve">.  </w:t>
      </w:r>
      <w:r w:rsidR="00FC5CBF">
        <w:rPr>
          <w:spacing w:val="-2"/>
        </w:rPr>
        <w:t>Consistent with our prior decisions, w</w:t>
      </w:r>
      <w:r w:rsidRPr="00135F7F">
        <w:t>e</w:t>
      </w:r>
      <w:r>
        <w:t xml:space="preserve"> therefore </w:t>
      </w:r>
      <w:r w:rsidR="00D33A62">
        <w:t xml:space="preserve">find that forfeiture </w:t>
      </w:r>
      <w:r>
        <w:t xml:space="preserve">cancellation or reduction </w:t>
      </w:r>
      <w:r w:rsidR="00D33A62">
        <w:t xml:space="preserve">is not warranted </w:t>
      </w:r>
      <w:r>
        <w:t>on this basis.</w:t>
      </w:r>
      <w:r w:rsidR="00FC5CBF">
        <w:rPr>
          <w:rStyle w:val="FootnoteReference"/>
        </w:rPr>
        <w:footnoteReference w:id="36"/>
      </w:r>
    </w:p>
    <w:p w14:paraId="7C538AF8" w14:textId="77777777" w:rsidR="003343CA" w:rsidRPr="00344C0B" w:rsidRDefault="003343CA" w:rsidP="00E03BDD">
      <w:pPr>
        <w:pStyle w:val="Heading1"/>
      </w:pPr>
      <w:r w:rsidRPr="00344C0B">
        <w:t>CONCLUSION</w:t>
      </w:r>
    </w:p>
    <w:p w14:paraId="2C075344" w14:textId="7553D38F" w:rsidR="005B4CEA" w:rsidRPr="00A020A9" w:rsidRDefault="005B4CEA" w:rsidP="00DD28AD">
      <w:pPr>
        <w:pStyle w:val="ParaNum"/>
        <w:widowControl/>
      </w:pPr>
      <w:r w:rsidRPr="00344C0B">
        <w:t xml:space="preserve">Based on the record before us and in light of the applicable statutory factors, we </w:t>
      </w:r>
      <w:r w:rsidR="000145C6">
        <w:t>conclude</w:t>
      </w:r>
      <w:r w:rsidRPr="00344C0B">
        <w:t xml:space="preserve"> that </w:t>
      </w:r>
      <w:r w:rsidR="007D656F">
        <w:t>Hinton</w:t>
      </w:r>
      <w:r w:rsidRPr="0007571D">
        <w:t xml:space="preserve"> willfully and repeatedly </w:t>
      </w:r>
      <w:r w:rsidR="007D656F">
        <w:t xml:space="preserve">Sections 64.3001 and 64.3002(d) of </w:t>
      </w:r>
      <w:r w:rsidR="007D656F" w:rsidRPr="00495FE8">
        <w:t xml:space="preserve">the </w:t>
      </w:r>
      <w:r w:rsidR="007D656F">
        <w:t>Rules by failing to use reasonable judgment when it knowingly routed 911 calls to an automated operator message</w:t>
      </w:r>
      <w:r w:rsidR="00EA46B6">
        <w:t xml:space="preserve"> for an extended period of time</w:t>
      </w:r>
      <w:r w:rsidR="007D656F" w:rsidRPr="00495FE8">
        <w:t>.</w:t>
      </w:r>
      <w:r w:rsidR="007D656F" w:rsidRPr="00495FE8">
        <w:rPr>
          <w:rStyle w:val="FootnoteReference"/>
          <w:szCs w:val="22"/>
        </w:rPr>
        <w:footnoteReference w:id="37"/>
      </w:r>
      <w:r w:rsidRPr="0007571D">
        <w:t xml:space="preserve">  We decline to cancel or reduce the</w:t>
      </w:r>
      <w:r w:rsidR="00932FF9">
        <w:t xml:space="preserve"> </w:t>
      </w:r>
      <w:r w:rsidRPr="0007571D">
        <w:t>$</w:t>
      </w:r>
      <w:r w:rsidR="007D656F">
        <w:t>100,000</w:t>
      </w:r>
      <w:r w:rsidRPr="00A020A9">
        <w:t xml:space="preserve"> </w:t>
      </w:r>
      <w:r w:rsidR="00932FF9">
        <w:t xml:space="preserve">forfeiture </w:t>
      </w:r>
      <w:r w:rsidRPr="00A020A9">
        <w:t xml:space="preserve">proposed in the </w:t>
      </w:r>
      <w:r w:rsidRPr="00C138D9">
        <w:rPr>
          <w:i/>
        </w:rPr>
        <w:t>NAL</w:t>
      </w:r>
      <w:r w:rsidRPr="00A020A9">
        <w:t xml:space="preserve">.  </w:t>
      </w:r>
      <w:r w:rsidR="003343CA" w:rsidRPr="00A020A9">
        <w:t xml:space="preserve"> </w:t>
      </w:r>
    </w:p>
    <w:p w14:paraId="30122541" w14:textId="77777777" w:rsidR="003343CA" w:rsidRPr="00344C0B" w:rsidRDefault="003343CA" w:rsidP="003343CA">
      <w:pPr>
        <w:pStyle w:val="Heading1"/>
      </w:pPr>
      <w:r w:rsidRPr="00344C0B">
        <w:t>ORDERING CLAUSES</w:t>
      </w:r>
    </w:p>
    <w:p w14:paraId="432C0861" w14:textId="2B9F6408" w:rsidR="003343CA" w:rsidRPr="009A2403" w:rsidRDefault="003343CA" w:rsidP="00F23F1E">
      <w:pPr>
        <w:pStyle w:val="ParaNum"/>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344C0B">
        <w:t>,</w:t>
      </w:r>
      <w:r w:rsidRPr="0007571D">
        <w:rPr>
          <w:rStyle w:val="FootnoteReference"/>
        </w:rPr>
        <w:footnoteReference w:id="38"/>
      </w:r>
      <w:r w:rsidRPr="0007571D">
        <w:t xml:space="preserve"> and Section 1.80 of the Rules,</w:t>
      </w:r>
      <w:r w:rsidRPr="0007571D">
        <w:rPr>
          <w:rStyle w:val="FootnoteReference"/>
        </w:rPr>
        <w:footnoteReference w:id="39"/>
      </w:r>
      <w:r w:rsidRPr="0007571D">
        <w:t xml:space="preserve"> </w:t>
      </w:r>
      <w:r w:rsidR="007D656F">
        <w:t>Hinton</w:t>
      </w:r>
      <w:r w:rsidRPr="0007571D">
        <w:t xml:space="preserve"> </w:t>
      </w:r>
      <w:r w:rsidRPr="0007571D">
        <w:rPr>
          <w:b/>
        </w:rPr>
        <w:t>IS LIABLE FOR A MONETARY FORFEITURE</w:t>
      </w:r>
      <w:r w:rsidRPr="009A2403">
        <w:t xml:space="preserve"> in the amount of </w:t>
      </w:r>
      <w:r w:rsidR="00D33A62">
        <w:t>one hundred t</w:t>
      </w:r>
      <w:r w:rsidR="007D656F">
        <w:t>housand</w:t>
      </w:r>
      <w:r w:rsidRPr="0007571D">
        <w:t xml:space="preserve"> dollars ($</w:t>
      </w:r>
      <w:r w:rsidR="007D656F">
        <w:t>100,000</w:t>
      </w:r>
      <w:r w:rsidRPr="0007571D">
        <w:t xml:space="preserve">) for willfully </w:t>
      </w:r>
      <w:r w:rsidR="007D656F">
        <w:t>and repeatedly</w:t>
      </w:r>
      <w:r w:rsidR="00F23F1E">
        <w:t xml:space="preserve"> </w:t>
      </w:r>
      <w:r w:rsidRPr="0007571D">
        <w:t xml:space="preserve">violating Sections </w:t>
      </w:r>
      <w:r w:rsidR="007D656F">
        <w:t xml:space="preserve">64.3001 and 64.3002(d) </w:t>
      </w:r>
      <w:r w:rsidRPr="0007571D">
        <w:t>of the R</w:t>
      </w:r>
      <w:r w:rsidRPr="009A2403">
        <w:t>ules.</w:t>
      </w:r>
    </w:p>
    <w:p w14:paraId="0B4A3BF2" w14:textId="77777777" w:rsidR="003343CA" w:rsidRPr="00344C0B" w:rsidRDefault="003343CA" w:rsidP="00F23F1E">
      <w:pPr>
        <w:pStyle w:val="ParaNum"/>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40"/>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41"/>
      </w:r>
      <w:r w:rsidRPr="0007571D">
        <w:t xml:space="preserve">  </w:t>
      </w:r>
    </w:p>
    <w:p w14:paraId="39EA6A10" w14:textId="77777777" w:rsidR="003343CA" w:rsidRPr="00344C0B" w:rsidRDefault="00F23F1E" w:rsidP="00F23F1E">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7D656F">
        <w:rPr>
          <w:szCs w:val="22"/>
        </w:rPr>
        <w:t>Hinton</w:t>
      </w:r>
      <w:r w:rsidRPr="006D73F2">
        <w:rPr>
          <w:szCs w:val="22"/>
        </w:rPr>
        <w:t xml:space="preserve"> shall send electronic notification </w:t>
      </w:r>
      <w:r>
        <w:rPr>
          <w:szCs w:val="22"/>
        </w:rPr>
        <w:t xml:space="preserve">of </w:t>
      </w:r>
      <w:r w:rsidRPr="006D73F2">
        <w:rPr>
          <w:szCs w:val="22"/>
        </w:rPr>
        <w:t xml:space="preserve">payment to </w:t>
      </w:r>
      <w:r w:rsidR="00BF2021" w:rsidRPr="006C39A1">
        <w:rPr>
          <w:szCs w:val="22"/>
        </w:rPr>
        <w:t xml:space="preserve">JoAnn Lucanik at </w:t>
      </w:r>
      <w:r w:rsidR="00E93A61">
        <w:rPr>
          <w:szCs w:val="22"/>
        </w:rPr>
        <w:t>joann.l</w:t>
      </w:r>
      <w:r w:rsidR="00E93A61" w:rsidRPr="00E93A61">
        <w:rPr>
          <w:szCs w:val="22"/>
        </w:rPr>
        <w:t>ucanik@fcc.gov</w:t>
      </w:r>
      <w:r w:rsidR="00E93A61">
        <w:rPr>
          <w:szCs w:val="22"/>
        </w:rPr>
        <w:t xml:space="preserve"> and William Reed at william.reed@fcc.gov</w:t>
      </w:r>
      <w:r w:rsidRPr="006D73F2">
        <w:rPr>
          <w:szCs w:val="22"/>
        </w:rPr>
        <w:t xml:space="preserve"> 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42"/>
      </w:r>
      <w:r w:rsidR="003343CA" w:rsidRPr="0007571D">
        <w:t xml:space="preserve">  When completing the Form 159, enter the </w:t>
      </w:r>
      <w:r w:rsidR="003343CA" w:rsidRPr="0007571D">
        <w:lastRenderedPageBreak/>
        <w:t xml:space="preserve">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70F3B5A9" w14:textId="77777777" w:rsidR="003343CA" w:rsidRPr="00344C0B" w:rsidRDefault="003343CA" w:rsidP="00476221">
      <w:pPr>
        <w:pStyle w:val="par1"/>
        <w:numPr>
          <w:ilvl w:val="0"/>
          <w:numId w:val="4"/>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508D0A08" w14:textId="77777777" w:rsidR="003343CA" w:rsidRPr="00344C0B" w:rsidRDefault="003343CA" w:rsidP="00476221">
      <w:pPr>
        <w:pStyle w:val="par1"/>
        <w:numPr>
          <w:ilvl w:val="0"/>
          <w:numId w:val="4"/>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14:paraId="4DC6B5A3" w14:textId="77777777" w:rsidR="003343CA" w:rsidRPr="00344C0B" w:rsidRDefault="003343CA" w:rsidP="00476221">
      <w:pPr>
        <w:pStyle w:val="par1"/>
        <w:widowControl/>
        <w:numPr>
          <w:ilvl w:val="0"/>
          <w:numId w:val="4"/>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B331B29" w14:textId="77777777" w:rsidR="00F23F1E" w:rsidRPr="00816F70" w:rsidRDefault="00F23F1E" w:rsidP="00C90207">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43"/>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52A5D1C7" w14:textId="77777777" w:rsidR="003343CA" w:rsidRPr="0007571D" w:rsidRDefault="003343CA" w:rsidP="00C90207">
      <w:pPr>
        <w:pStyle w:val="ParaNum"/>
      </w:pPr>
      <w:r w:rsidRPr="00344C0B">
        <w:rPr>
          <w:b/>
        </w:rPr>
        <w:t>IT IS FURTHER ORDERED</w:t>
      </w:r>
      <w:r w:rsidRPr="00344C0B">
        <w:t xml:space="preserve"> that a copy of this Forfeiture Order </w:t>
      </w:r>
      <w:r w:rsidR="00F23F1E" w:rsidRPr="004749BE">
        <w:t xml:space="preserve">shall be sent by first class mail and certified mail, return receipt requested, to </w:t>
      </w:r>
      <w:r w:rsidR="00BF2021">
        <w:rPr>
          <w:szCs w:val="22"/>
        </w:rPr>
        <w:t xml:space="preserve">Kenneth Doughty, Chief Executive Officer, </w:t>
      </w:r>
      <w:r w:rsidR="00BF2021">
        <w:rPr>
          <w:rFonts w:eastAsia="MS Mincho"/>
          <w:szCs w:val="22"/>
        </w:rPr>
        <w:t xml:space="preserve">The </w:t>
      </w:r>
      <w:r w:rsidR="00BF2021" w:rsidRPr="00C36CFF">
        <w:rPr>
          <w:spacing w:val="-2"/>
        </w:rPr>
        <w:t>Hinton Telephone Company</w:t>
      </w:r>
      <w:r w:rsidR="00BF2021">
        <w:rPr>
          <w:rFonts w:eastAsia="MS Mincho"/>
          <w:szCs w:val="22"/>
        </w:rPr>
        <w:t xml:space="preserve"> </w:t>
      </w:r>
      <w:r w:rsidR="00BF2021" w:rsidRPr="006C39A1">
        <w:rPr>
          <w:rFonts w:eastAsia="MS Mincho"/>
          <w:szCs w:val="22"/>
        </w:rPr>
        <w:t xml:space="preserve">of Hinton, Oklahoma, Inc., </w:t>
      </w:r>
      <w:r w:rsidR="00BF2021">
        <w:t>d/b/a Hinton Telephone Company</w:t>
      </w:r>
      <w:r w:rsidR="00BF2021">
        <w:rPr>
          <w:szCs w:val="22"/>
        </w:rPr>
        <w:t>, 200 West Main Street, Hinton, Oklahoma, 73047 and to Kendall Parrish</w:t>
      </w:r>
      <w:r w:rsidR="00BF2021" w:rsidRPr="00495FE8">
        <w:rPr>
          <w:szCs w:val="22"/>
        </w:rPr>
        <w:t xml:space="preserve">, </w:t>
      </w:r>
      <w:r w:rsidR="00BF2021">
        <w:rPr>
          <w:szCs w:val="22"/>
        </w:rPr>
        <w:t>Comingdeer &amp; Associates, 6011 North Robinson Avenue, Oklahoma City, Oklahoma 73118.</w:t>
      </w:r>
    </w:p>
    <w:p w14:paraId="3E6DAFFC" w14:textId="77777777" w:rsidR="003343CA" w:rsidRPr="00344C0B" w:rsidRDefault="003343CA" w:rsidP="003343CA"/>
    <w:p w14:paraId="11053795" w14:textId="77777777" w:rsidR="003343CA" w:rsidRPr="00344C0B" w:rsidRDefault="003343CA" w:rsidP="003343CA"/>
    <w:p w14:paraId="10320B3A" w14:textId="77777777" w:rsidR="003343CA" w:rsidRPr="00344C0B" w:rsidRDefault="003343CA" w:rsidP="0007571D">
      <w:pPr>
        <w:ind w:left="4410"/>
      </w:pPr>
      <w:r w:rsidRPr="00344C0B">
        <w:t>FEDERAL COMMUNICATIONS COMMISSION</w:t>
      </w:r>
    </w:p>
    <w:p w14:paraId="6AE5571B" w14:textId="77777777" w:rsidR="003343CA" w:rsidRPr="00344C0B" w:rsidRDefault="003343CA" w:rsidP="0007571D">
      <w:pPr>
        <w:ind w:left="4410"/>
      </w:pPr>
    </w:p>
    <w:p w14:paraId="7B4B98FF" w14:textId="77777777" w:rsidR="003343CA" w:rsidRPr="00344C0B" w:rsidRDefault="003343CA" w:rsidP="0007571D">
      <w:pPr>
        <w:ind w:left="4410"/>
      </w:pPr>
    </w:p>
    <w:p w14:paraId="1E3967F3" w14:textId="77777777" w:rsidR="003343CA" w:rsidRPr="00344C0B" w:rsidRDefault="003343CA" w:rsidP="0007571D">
      <w:pPr>
        <w:ind w:left="4410"/>
      </w:pPr>
    </w:p>
    <w:p w14:paraId="1B558BC1" w14:textId="77777777" w:rsidR="00D33A62" w:rsidRDefault="00D33A62" w:rsidP="00D33A62">
      <w:pPr>
        <w:tabs>
          <w:tab w:val="left" w:pos="0"/>
          <w:tab w:val="left" w:pos="720"/>
          <w:tab w:val="left" w:pos="1440"/>
        </w:tabs>
        <w:suppressAutoHyphens/>
        <w:spacing w:line="240" w:lineRule="atLeast"/>
      </w:pPr>
      <w:r>
        <w:tab/>
      </w:r>
      <w:r>
        <w:tab/>
      </w:r>
      <w:r>
        <w:tab/>
      </w:r>
      <w:r>
        <w:tab/>
      </w:r>
      <w:r>
        <w:tab/>
      </w:r>
      <w:r>
        <w:tab/>
      </w:r>
    </w:p>
    <w:p w14:paraId="3BDF209D" w14:textId="77777777" w:rsidR="009B0223" w:rsidRPr="006D73F2" w:rsidRDefault="00D33A62" w:rsidP="00FC5CBF">
      <w:pPr>
        <w:tabs>
          <w:tab w:val="left" w:pos="0"/>
          <w:tab w:val="left" w:pos="720"/>
          <w:tab w:val="left" w:pos="1440"/>
        </w:tabs>
        <w:suppressAutoHyphens/>
        <w:spacing w:line="240" w:lineRule="atLeast"/>
        <w:rPr>
          <w:szCs w:val="22"/>
        </w:rPr>
      </w:pPr>
      <w:r>
        <w:tab/>
      </w:r>
      <w:r>
        <w:tab/>
      </w:r>
      <w:r>
        <w:tab/>
      </w:r>
      <w:r>
        <w:tab/>
      </w:r>
      <w:r>
        <w:tab/>
      </w:r>
      <w:r>
        <w:tab/>
        <w:t xml:space="preserve">  </w:t>
      </w:r>
      <w:r w:rsidR="009B0223" w:rsidRPr="006D73F2">
        <w:rPr>
          <w:szCs w:val="22"/>
        </w:rPr>
        <w:t xml:space="preserve">Travis LeBlanc </w:t>
      </w:r>
    </w:p>
    <w:p w14:paraId="79F2F508" w14:textId="77777777" w:rsidR="009B0223" w:rsidRPr="006D73F2" w:rsidRDefault="009B0223" w:rsidP="009B0223">
      <w:pPr>
        <w:ind w:left="4410"/>
        <w:rPr>
          <w:szCs w:val="22"/>
        </w:rPr>
      </w:pPr>
      <w:r w:rsidRPr="006D73F2">
        <w:rPr>
          <w:szCs w:val="22"/>
        </w:rPr>
        <w:t>Chief</w:t>
      </w:r>
    </w:p>
    <w:p w14:paraId="78AF377A" w14:textId="77777777" w:rsidR="00715666" w:rsidRPr="007D656F" w:rsidRDefault="009B0223" w:rsidP="007D656F">
      <w:pPr>
        <w:ind w:left="4410"/>
        <w:rPr>
          <w:szCs w:val="22"/>
        </w:rPr>
      </w:pPr>
      <w:r w:rsidRPr="006D73F2">
        <w:rPr>
          <w:szCs w:val="22"/>
        </w:rPr>
        <w:t>Enforcement Bureau</w:t>
      </w:r>
    </w:p>
    <w:sectPr w:rsidR="00715666" w:rsidRPr="007D656F"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7439F" w14:textId="77777777" w:rsidR="00E5098C" w:rsidRDefault="00E5098C">
      <w:pPr>
        <w:spacing w:line="20" w:lineRule="exact"/>
      </w:pPr>
    </w:p>
  </w:endnote>
  <w:endnote w:type="continuationSeparator" w:id="0">
    <w:p w14:paraId="634993B9" w14:textId="77777777" w:rsidR="00E5098C" w:rsidRDefault="00E5098C">
      <w:r>
        <w:t xml:space="preserve"> </w:t>
      </w:r>
    </w:p>
  </w:endnote>
  <w:endnote w:type="continuationNotice" w:id="1">
    <w:p w14:paraId="74DD6E04" w14:textId="77777777" w:rsidR="00E5098C" w:rsidRDefault="00E509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A0AE"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497DF17A"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2D52"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B06B3E">
      <w:rPr>
        <w:noProof/>
      </w:rPr>
      <w:t>4</w:t>
    </w:r>
    <w:r>
      <w:rPr>
        <w:noProof/>
      </w:rPr>
      <w:fldChar w:fldCharType="end"/>
    </w:r>
  </w:p>
  <w:p w14:paraId="5FD95A4F"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E803" w14:textId="77777777" w:rsidR="00B53F60" w:rsidRDefault="00B53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77E04" w14:textId="77777777" w:rsidR="00E5098C" w:rsidRDefault="00E5098C">
      <w:r>
        <w:separator/>
      </w:r>
    </w:p>
  </w:footnote>
  <w:footnote w:type="continuationSeparator" w:id="0">
    <w:p w14:paraId="5EA5A5F8" w14:textId="77777777" w:rsidR="00E5098C" w:rsidRDefault="00E5098C">
      <w:pPr>
        <w:rPr>
          <w:sz w:val="20"/>
        </w:rPr>
      </w:pPr>
      <w:r>
        <w:rPr>
          <w:sz w:val="20"/>
        </w:rPr>
        <w:t xml:space="preserve">(Continued from previous page)  </w:t>
      </w:r>
      <w:r>
        <w:rPr>
          <w:sz w:val="20"/>
        </w:rPr>
        <w:separator/>
      </w:r>
    </w:p>
  </w:footnote>
  <w:footnote w:type="continuationNotice" w:id="1">
    <w:p w14:paraId="21BE0331" w14:textId="77777777" w:rsidR="00E5098C" w:rsidRDefault="00E5098C">
      <w:pPr>
        <w:rPr>
          <w:sz w:val="20"/>
        </w:rPr>
      </w:pPr>
      <w:r>
        <w:rPr>
          <w:sz w:val="20"/>
        </w:rPr>
        <w:t>(continued….)</w:t>
      </w:r>
    </w:p>
  </w:footnote>
  <w:footnote w:id="2">
    <w:p w14:paraId="69D01937" w14:textId="77777777" w:rsidR="00C87AD5" w:rsidRPr="00F567D1" w:rsidRDefault="00C87AD5" w:rsidP="00C87AD5">
      <w:pPr>
        <w:pStyle w:val="FootnoteText"/>
      </w:pPr>
      <w:r w:rsidRPr="00F567D1">
        <w:rPr>
          <w:rStyle w:val="FootnoteReference"/>
        </w:rPr>
        <w:footnoteRef/>
      </w:r>
      <w:r w:rsidRPr="00F567D1">
        <w:t xml:space="preserve"> The investigation initiated under File No. EB-SED-13-00010169 was subsequently assigned File No. </w:t>
      </w:r>
      <w:r w:rsidRPr="00F567D1">
        <w:rPr>
          <w:bCs/>
        </w:rPr>
        <w:t>EB-SED-14-00016210</w:t>
      </w:r>
      <w:r w:rsidRPr="00F567D1">
        <w:t>.  Any future correspondence with the FCC concerning this matter should reflect the new case number.</w:t>
      </w:r>
    </w:p>
  </w:footnote>
  <w:footnote w:id="3">
    <w:p w14:paraId="6F6442EC" w14:textId="77777777" w:rsidR="00A218D6" w:rsidRDefault="00A218D6">
      <w:pPr>
        <w:pStyle w:val="FootnoteText"/>
      </w:pPr>
      <w:r>
        <w:rPr>
          <w:rStyle w:val="FootnoteReference"/>
        </w:rPr>
        <w:footnoteRef/>
      </w:r>
      <w:r>
        <w:t xml:space="preserve"> </w:t>
      </w:r>
      <w:r w:rsidRPr="000B013F">
        <w:rPr>
          <w:i/>
        </w:rPr>
        <w:t>The Hinton Telephone Company of Hinton, Oklahoma, Inc., d/b/a Hinton Telephone Company</w:t>
      </w:r>
      <w:r>
        <w:t>, Notice of Apparent Liability for Forfeiture, 29 FCC Rcd 9228, 9229,</w:t>
      </w:r>
      <w:r>
        <w:rPr>
          <w:i/>
        </w:rPr>
        <w:t xml:space="preserve"> </w:t>
      </w:r>
      <w:r>
        <w:t>para. 5 (Enf. Bur. 2014) (</w:t>
      </w:r>
      <w:r>
        <w:rPr>
          <w:i/>
        </w:rPr>
        <w:t>NAL)</w:t>
      </w:r>
      <w:r>
        <w:t>.</w:t>
      </w:r>
    </w:p>
  </w:footnote>
  <w:footnote w:id="4">
    <w:p w14:paraId="74683FCF" w14:textId="77777777" w:rsidR="00A218D6" w:rsidRPr="00A218D6" w:rsidRDefault="00A218D6">
      <w:pPr>
        <w:pStyle w:val="FootnoteText"/>
        <w:rPr>
          <w:i/>
        </w:rPr>
      </w:pPr>
      <w:r>
        <w:rPr>
          <w:rStyle w:val="FootnoteReference"/>
        </w:rPr>
        <w:footnoteRef/>
      </w:r>
      <w:r>
        <w:t xml:space="preserve"> </w:t>
      </w:r>
      <w:r>
        <w:rPr>
          <w:i/>
        </w:rPr>
        <w:t>Id.</w:t>
      </w:r>
    </w:p>
  </w:footnote>
  <w:footnote w:id="5">
    <w:p w14:paraId="2B1FD880" w14:textId="7D0CBB80" w:rsidR="002242BD" w:rsidRPr="00731C9A" w:rsidRDefault="002242BD">
      <w:pPr>
        <w:pStyle w:val="FootnoteText"/>
      </w:pPr>
      <w:r w:rsidRPr="00731C9A">
        <w:rPr>
          <w:rStyle w:val="FootnoteReference"/>
        </w:rPr>
        <w:footnoteRef/>
      </w:r>
      <w:r w:rsidRPr="00731C9A">
        <w:t xml:space="preserve"> </w:t>
      </w:r>
      <w:r w:rsidR="00731C9A" w:rsidRPr="00E91A86">
        <w:t xml:space="preserve"> </w:t>
      </w:r>
      <w:r w:rsidR="00731C9A" w:rsidRPr="00E91A86">
        <w:rPr>
          <w:i/>
        </w:rPr>
        <w:t>Id</w:t>
      </w:r>
      <w:r w:rsidR="00731C9A" w:rsidRPr="00E91A86">
        <w:t xml:space="preserve">. </w:t>
      </w:r>
      <w:r w:rsidR="00DB3B85" w:rsidRPr="00E91A86">
        <w:t>A</w:t>
      </w:r>
      <w:r w:rsidR="00731C9A" w:rsidRPr="00E91A86">
        <w:t>t</w:t>
      </w:r>
      <w:r w:rsidR="00DB3B85">
        <w:t xml:space="preserve"> para. 4 n.</w:t>
      </w:r>
      <w:r w:rsidR="00731C9A" w:rsidRPr="00E91A86">
        <w:t>9.  The complaint received by the Commission included a recording purported to be the message heard by a caller dialing 911 on Hinton’s network, which stated “</w:t>
      </w:r>
      <w:r w:rsidR="00731C9A" w:rsidRPr="00F567D1">
        <w:t xml:space="preserve">Hinton Telephone Company.  The local time is. . . </w:t>
      </w:r>
      <w:r w:rsidR="00731C9A">
        <w:t xml:space="preserve">. </w:t>
      </w:r>
      <w:r w:rsidR="00731C9A" w:rsidRPr="00F567D1">
        <w:t>If this call is an emergency, hang up and dial 911.  To place a call, press one.  If you need additional assistance, press zero for the operator or remain on the line.  To hear your options again, press star.”</w:t>
      </w:r>
      <w:r w:rsidR="00DB3B85">
        <w:t xml:space="preserve">  Hinton did not dispute this in its NAL Response.  </w:t>
      </w:r>
      <w:r w:rsidR="00DB3B85">
        <w:rPr>
          <w:i/>
        </w:rPr>
        <w:t xml:space="preserve">See </w:t>
      </w:r>
      <w:r w:rsidR="00DB3B85" w:rsidRPr="00DB3B85">
        <w:rPr>
          <w:i/>
        </w:rPr>
        <w:t>generally</w:t>
      </w:r>
      <w:r w:rsidR="00DB3B85">
        <w:t xml:space="preserve">, </w:t>
      </w:r>
      <w:r w:rsidR="00DB3B85" w:rsidRPr="00DB3B85">
        <w:t>Hinton</w:t>
      </w:r>
      <w:r w:rsidR="00DB3B85" w:rsidRPr="0007571D">
        <w:t>, Response to Notice of Apparent Liability (</w:t>
      </w:r>
      <w:r w:rsidR="00DB3B85">
        <w:t>Sep. 3, 2014</w:t>
      </w:r>
      <w:r w:rsidR="00DB3B85" w:rsidRPr="0007571D">
        <w:t xml:space="preserve">) (on file in </w:t>
      </w:r>
      <w:r w:rsidR="00DB3B85" w:rsidRPr="00495FE8">
        <w:rPr>
          <w:szCs w:val="22"/>
        </w:rPr>
        <w:t>EB-SED-14-</w:t>
      </w:r>
      <w:r w:rsidR="00DB3B85">
        <w:rPr>
          <w:spacing w:val="-2"/>
          <w:szCs w:val="22"/>
        </w:rPr>
        <w:t>00016210</w:t>
      </w:r>
      <w:r w:rsidR="00DB3B85" w:rsidRPr="0007571D">
        <w:t>) (NAL Response).</w:t>
      </w:r>
    </w:p>
  </w:footnote>
  <w:footnote w:id="6">
    <w:p w14:paraId="5E64CD93" w14:textId="77777777" w:rsidR="009605D0" w:rsidRPr="009605D0" w:rsidRDefault="009605D0">
      <w:pPr>
        <w:pStyle w:val="FootnoteText"/>
        <w:rPr>
          <w:i/>
        </w:rPr>
      </w:pPr>
      <w:r>
        <w:rPr>
          <w:rStyle w:val="FootnoteReference"/>
        </w:rPr>
        <w:footnoteRef/>
      </w:r>
      <w:r>
        <w:t xml:space="preserve"> </w:t>
      </w:r>
      <w:r>
        <w:rPr>
          <w:i/>
        </w:rPr>
        <w:t>Id.</w:t>
      </w:r>
    </w:p>
  </w:footnote>
  <w:footnote w:id="7">
    <w:p w14:paraId="5C2F7776" w14:textId="77777777" w:rsidR="00B9382F" w:rsidRPr="00F567D1" w:rsidRDefault="00B9382F" w:rsidP="00B9382F">
      <w:pPr>
        <w:pStyle w:val="FootnoteText"/>
      </w:pPr>
      <w:r w:rsidRPr="00737EC5">
        <w:rPr>
          <w:rStyle w:val="FootnoteReference"/>
        </w:rPr>
        <w:footnoteRef/>
      </w:r>
      <w:r w:rsidRPr="00F567D1">
        <w:t xml:space="preserve"> </w:t>
      </w:r>
      <w:r w:rsidRPr="00F567D1">
        <w:rPr>
          <w:i/>
          <w:iCs/>
        </w:rPr>
        <w:t>See</w:t>
      </w:r>
      <w:r w:rsidRPr="00F567D1">
        <w:t xml:space="preserve"> Letter from John D. Poutasse, Chief, Spectrum Enforcement Division, FCC Enforcement Bureau, to Kenneth Doughty, CEO, Hinton Telephone Company (Jan. 27, 2014) (on file in EB-SED-14-00016210); Letter from John D. Poutasse, Chief, Spectrum Enforcement Division, FCC Enforcement Bureau, to Kenneth Doughty, CEO, Hinton Telephone Company (July 10, 2014) (on file in EB-SED-14-</w:t>
      </w:r>
      <w:r w:rsidRPr="00F567D1">
        <w:rPr>
          <w:spacing w:val="-2"/>
        </w:rPr>
        <w:t>00016210</w:t>
      </w:r>
      <w:r w:rsidRPr="00F567D1">
        <w:t>); E-mail from Josh Zeldis, Attorney Advisor, Spectrum Enforcement Division, FCC Enforcement Bureau, to Kendall Parish, Ron Comingdeer &amp; Associates, Counsel for Hinton Telephone Company (May 30, 2014, 12:48 EDT) (on file in EB-SED-14-00016210</w:t>
      </w:r>
      <w:r>
        <w:t>);</w:t>
      </w:r>
      <w:r w:rsidRPr="00F567D1">
        <w:t xml:space="preserve"> E-mail from Josh Zeldis, Attorney Advisor, Spectrum Enforcement Division, FCC Enforcement Bureau, to Kendall Parish, Ron Comingdeer &amp; Associates, Counsel for Hinton Telephone Company (Jun. 12, 2014, 15:57 EDT) (on file in EB-SED-14-00016210); E-mail from Josh Zeldis, Attorney Advisor, Spectrum Enforcement Division, FCC Enforcement Bureau, to Kendall Parish, Ron Comingdeer &amp; Associates, Counsel for Hinton Telephone Company (July 15, 2014, 12:33 EDT) (on file in EB-SED-14-00016210).</w:t>
      </w:r>
    </w:p>
  </w:footnote>
  <w:footnote w:id="8">
    <w:p w14:paraId="2406DBC3" w14:textId="3890D4D2" w:rsidR="007D656F" w:rsidRPr="00F567D1" w:rsidRDefault="007D656F" w:rsidP="007D656F">
      <w:pPr>
        <w:pStyle w:val="FootnoteText"/>
      </w:pPr>
      <w:r w:rsidRPr="00F567D1">
        <w:rPr>
          <w:rStyle w:val="FootnoteReference"/>
        </w:rPr>
        <w:footnoteRef/>
      </w:r>
      <w:r w:rsidRPr="00F567D1">
        <w:t xml:space="preserve"> </w:t>
      </w:r>
      <w:r w:rsidR="00ED76A9" w:rsidRPr="000B013F">
        <w:rPr>
          <w:i/>
        </w:rPr>
        <w:t xml:space="preserve">See </w:t>
      </w:r>
      <w:r w:rsidR="009605D0" w:rsidRPr="009605D0">
        <w:rPr>
          <w:i/>
        </w:rPr>
        <w:t>NAL</w:t>
      </w:r>
      <w:r w:rsidR="009605D0">
        <w:t xml:space="preserve">, </w:t>
      </w:r>
      <w:r w:rsidR="00ED76A9" w:rsidRPr="009605D0">
        <w:t>29</w:t>
      </w:r>
      <w:r w:rsidR="009605D0">
        <w:t xml:space="preserve"> FCC Rcd at 9233–35</w:t>
      </w:r>
      <w:r w:rsidR="00ED76A9">
        <w:t>,</w:t>
      </w:r>
      <w:r w:rsidR="00ED76A9">
        <w:rPr>
          <w:i/>
        </w:rPr>
        <w:t xml:space="preserve"> </w:t>
      </w:r>
      <w:r w:rsidR="009605D0">
        <w:t>paras. 11–</w:t>
      </w:r>
      <w:r w:rsidR="00ED76A9" w:rsidRPr="000B013F">
        <w:t>14</w:t>
      </w:r>
      <w:r w:rsidR="000B013F">
        <w:t xml:space="preserve">; </w:t>
      </w:r>
      <w:r w:rsidR="000B013F" w:rsidRPr="000B013F">
        <w:rPr>
          <w:i/>
        </w:rPr>
        <w:t>see also</w:t>
      </w:r>
      <w:r w:rsidR="000B013F">
        <w:t xml:space="preserve"> </w:t>
      </w:r>
      <w:r w:rsidRPr="00F567D1">
        <w:t>47 C.F.R. §§ 64.3001, 64.3002(d).</w:t>
      </w:r>
    </w:p>
  </w:footnote>
  <w:footnote w:id="9">
    <w:p w14:paraId="36297EEA" w14:textId="534ABBB6" w:rsidR="00E273E3" w:rsidRPr="00344C0B" w:rsidRDefault="00E273E3">
      <w:pPr>
        <w:pStyle w:val="FootnoteText"/>
      </w:pPr>
      <w:r w:rsidRPr="00344C0B">
        <w:rPr>
          <w:rStyle w:val="FootnoteReference"/>
        </w:rPr>
        <w:footnoteRef/>
      </w:r>
      <w:r w:rsidRPr="00344C0B">
        <w:t xml:space="preserve"> </w:t>
      </w:r>
      <w:r w:rsidR="00DB3B85">
        <w:t>NAL Response</w:t>
      </w:r>
      <w:r w:rsidRPr="0007571D">
        <w:t xml:space="preserve">.    </w:t>
      </w:r>
    </w:p>
  </w:footnote>
  <w:footnote w:id="10">
    <w:p w14:paraId="70F69DE3" w14:textId="382ACB08" w:rsidR="00735FF0" w:rsidRDefault="00735FF0">
      <w:pPr>
        <w:pStyle w:val="FootnoteText"/>
      </w:pPr>
      <w:r>
        <w:rPr>
          <w:rStyle w:val="FootnoteReference"/>
        </w:rPr>
        <w:footnoteRef/>
      </w:r>
      <w:r>
        <w:t xml:space="preserve"> </w:t>
      </w:r>
      <w:r w:rsidRPr="00F567D1">
        <w:rPr>
          <w:i/>
        </w:rPr>
        <w:t>See</w:t>
      </w:r>
      <w:r w:rsidRPr="00F567D1">
        <w:t xml:space="preserve"> Letter from Kendall Parish, Ron Comingdeer &amp; Associates, Counsel for Hinton Telephone Company, to </w:t>
      </w:r>
      <w:r w:rsidR="006D753C">
        <w:t>Josh Zeldis</w:t>
      </w:r>
      <w:r w:rsidRPr="00F567D1">
        <w:t>, Spectrum Enforcement Division, FCC Enforcement Bureau (Mar</w:t>
      </w:r>
      <w:r w:rsidR="00151B2B">
        <w:t>.</w:t>
      </w:r>
      <w:r w:rsidRPr="00F567D1">
        <w:t xml:space="preserve"> 10, 2014) (on file in EB-SED-1</w:t>
      </w:r>
      <w:r w:rsidR="009605D0">
        <w:t>4-00016210)</w:t>
      </w:r>
      <w:r>
        <w:t xml:space="preserve">; </w:t>
      </w:r>
      <w:r w:rsidRPr="00F567D1">
        <w:t xml:space="preserve">Letter from Kendall Parish, Ron Comingdeer &amp; Associates, Counsel for Hinton Telephone Company, to </w:t>
      </w:r>
      <w:r w:rsidR="006D753C">
        <w:t>Josh Zeldis</w:t>
      </w:r>
      <w:r w:rsidRPr="00F567D1">
        <w:t>, Spectrum Enforcement Division, FCC Enforcement Bureau (May 27, 2014) (on file in EB-SED-14</w:t>
      </w:r>
      <w:r w:rsidR="009605D0">
        <w:t>-00016210)</w:t>
      </w:r>
      <w:r>
        <w:t xml:space="preserve">; </w:t>
      </w:r>
      <w:r w:rsidRPr="00F567D1">
        <w:t xml:space="preserve">Letter from Kendall Parish, Ron Comingdeer &amp; Associates, Counsel for Hinton Telephone Company, to </w:t>
      </w:r>
      <w:r w:rsidR="006D753C">
        <w:t>Josh Zeldis</w:t>
      </w:r>
      <w:r w:rsidRPr="00F567D1">
        <w:t>, Spectrum Enforcement Division, FCC Enforcement Bureau (June 10, 2014) (on file in EB-SED-1</w:t>
      </w:r>
      <w:r w:rsidR="009605D0">
        <w:t xml:space="preserve">3-00016210); </w:t>
      </w:r>
      <w:r w:rsidR="007A6169" w:rsidRPr="00F567D1">
        <w:t xml:space="preserve">Letter from Kendall Parish, Ron Comingdeer &amp; Associates, Counsel for Hinton Telephone Company, to </w:t>
      </w:r>
      <w:r w:rsidR="006D753C">
        <w:t>Josh Zeldis</w:t>
      </w:r>
      <w:r w:rsidR="007A6169" w:rsidRPr="00F567D1">
        <w:t>, Spectrum Enforcement Division, FCC Enforcement Bureau (June 18, 2014) (on file in EB-SED-1</w:t>
      </w:r>
      <w:r w:rsidR="009605D0">
        <w:t>4-00016210)</w:t>
      </w:r>
      <w:r w:rsidR="006D753C">
        <w:t xml:space="preserve">; </w:t>
      </w:r>
      <w:r w:rsidR="006D753C" w:rsidRPr="00F567D1">
        <w:t xml:space="preserve">Letter from Kendall Parish, Ron Comingdeer &amp; Associates, Counsel for Hinton Telephone Company, to </w:t>
      </w:r>
      <w:r w:rsidR="006D753C">
        <w:t>Josh Zeldis</w:t>
      </w:r>
      <w:r w:rsidR="006D753C" w:rsidRPr="00F567D1">
        <w:t>, Spectrum Enforcement Division, FCC Enforcement Bureau (</w:t>
      </w:r>
      <w:r w:rsidR="006D753C">
        <w:t>July 21</w:t>
      </w:r>
      <w:r w:rsidR="006D753C" w:rsidRPr="00F567D1">
        <w:t>, 2014) (on file in EB-SED-14-00016210)</w:t>
      </w:r>
      <w:r w:rsidR="009605D0">
        <w:t xml:space="preserve"> (together, the LOI Responses</w:t>
      </w:r>
      <w:r w:rsidR="007A6169" w:rsidRPr="00F567D1">
        <w:t>)</w:t>
      </w:r>
      <w:r w:rsidR="007A6169">
        <w:t>.</w:t>
      </w:r>
    </w:p>
  </w:footnote>
  <w:footnote w:id="11">
    <w:p w14:paraId="40140739" w14:textId="18B4C9D0" w:rsidR="00E93D30" w:rsidRDefault="00E93D30">
      <w:pPr>
        <w:pStyle w:val="FootnoteText"/>
      </w:pPr>
      <w:r>
        <w:rPr>
          <w:rStyle w:val="FootnoteReference"/>
        </w:rPr>
        <w:footnoteRef/>
      </w:r>
      <w:r>
        <w:t xml:space="preserve"> </w:t>
      </w:r>
      <w:r w:rsidR="00D43A05" w:rsidRPr="00D43A05">
        <w:rPr>
          <w:i/>
        </w:rPr>
        <w:t>See</w:t>
      </w:r>
      <w:r w:rsidR="00D43A05">
        <w:t xml:space="preserve"> </w:t>
      </w:r>
      <w:r w:rsidR="000B013F">
        <w:t>NAL Response</w:t>
      </w:r>
      <w:r>
        <w:t xml:space="preserve"> at 3</w:t>
      </w:r>
      <w:r w:rsidR="009605D0">
        <w:t>–</w:t>
      </w:r>
      <w:r w:rsidR="00742001">
        <w:t>11</w:t>
      </w:r>
      <w:r>
        <w:t>.</w:t>
      </w:r>
    </w:p>
  </w:footnote>
  <w:footnote w:id="12">
    <w:p w14:paraId="5B65F5FD" w14:textId="77777777" w:rsidR="00D334BA" w:rsidRDefault="00D334BA" w:rsidP="00D334BA">
      <w:pPr>
        <w:pStyle w:val="FootnoteText"/>
      </w:pPr>
      <w:r>
        <w:rPr>
          <w:rStyle w:val="FootnoteReference"/>
        </w:rPr>
        <w:footnoteRef/>
      </w:r>
      <w:r w:rsidR="000B013F">
        <w:t xml:space="preserve"> </w:t>
      </w:r>
      <w:r w:rsidR="00D43A05" w:rsidRPr="00D43A05">
        <w:rPr>
          <w:i/>
        </w:rPr>
        <w:t>See</w:t>
      </w:r>
      <w:r w:rsidR="00D43A05">
        <w:t xml:space="preserve"> </w:t>
      </w:r>
      <w:r w:rsidR="00A658AF" w:rsidRPr="00DD28AD">
        <w:rPr>
          <w:i/>
        </w:rPr>
        <w:t>id.</w:t>
      </w:r>
      <w:r>
        <w:t xml:space="preserve"> at 2</w:t>
      </w:r>
      <w:r w:rsidR="006635EE">
        <w:t>, 12</w:t>
      </w:r>
      <w:r>
        <w:t>.</w:t>
      </w:r>
    </w:p>
  </w:footnote>
  <w:footnote w:id="13">
    <w:p w14:paraId="719AD468" w14:textId="77777777" w:rsidR="00D334BA" w:rsidRDefault="00D334BA" w:rsidP="00D334BA">
      <w:pPr>
        <w:pStyle w:val="FootnoteText"/>
      </w:pPr>
      <w:r>
        <w:rPr>
          <w:rStyle w:val="FootnoteReference"/>
        </w:rPr>
        <w:footnoteRef/>
      </w:r>
      <w:r w:rsidR="000B013F">
        <w:t xml:space="preserve"> </w:t>
      </w:r>
      <w:r w:rsidR="00D43A05" w:rsidRPr="00D43A05">
        <w:rPr>
          <w:i/>
        </w:rPr>
        <w:t>See</w:t>
      </w:r>
      <w:r w:rsidR="00D43A05">
        <w:t xml:space="preserve"> </w:t>
      </w:r>
      <w:r w:rsidR="00A658AF" w:rsidRPr="00F07D2F">
        <w:rPr>
          <w:i/>
        </w:rPr>
        <w:t>id.</w:t>
      </w:r>
      <w:r>
        <w:t xml:space="preserve"> at 1</w:t>
      </w:r>
      <w:r w:rsidR="006635EE">
        <w:t>2</w:t>
      </w:r>
      <w:r>
        <w:t>.</w:t>
      </w:r>
    </w:p>
  </w:footnote>
  <w:footnote w:id="14">
    <w:p w14:paraId="5BD39064" w14:textId="77777777"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15">
    <w:p w14:paraId="5E573AD9" w14:textId="77777777" w:rsidR="00E273E3" w:rsidRPr="00344C0B" w:rsidRDefault="00E273E3" w:rsidP="006168A4">
      <w:pPr>
        <w:pStyle w:val="FootnoteText"/>
      </w:pPr>
      <w:r w:rsidRPr="00344C0B">
        <w:rPr>
          <w:rStyle w:val="FootnoteReference"/>
        </w:rPr>
        <w:footnoteRef/>
      </w:r>
      <w:r w:rsidRPr="00344C0B">
        <w:t xml:space="preserve"> 47 C.F.R. § 1.80.</w:t>
      </w:r>
    </w:p>
  </w:footnote>
  <w:footnote w:id="16">
    <w:p w14:paraId="53796D99" w14:textId="77777777"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7">
    <w:p w14:paraId="746E6D75" w14:textId="77777777" w:rsidR="00E273E3" w:rsidRPr="00344C0B" w:rsidRDefault="00E273E3" w:rsidP="006168A4">
      <w:pPr>
        <w:pStyle w:val="FootnoteText"/>
      </w:pPr>
      <w:r w:rsidRPr="00344C0B">
        <w:rPr>
          <w:rStyle w:val="FootnoteReference"/>
        </w:rPr>
        <w:footnoteRef/>
      </w:r>
      <w:r w:rsidRPr="00344C0B">
        <w:t xml:space="preserve"> 47 U.S.C. § 503(b)(2)(E).</w:t>
      </w:r>
    </w:p>
  </w:footnote>
  <w:footnote w:id="18">
    <w:p w14:paraId="4B6A0A67" w14:textId="3244E38A" w:rsidR="00646519" w:rsidRDefault="00646519" w:rsidP="00646519">
      <w:pPr>
        <w:pStyle w:val="FootnoteText"/>
      </w:pPr>
      <w:r>
        <w:rPr>
          <w:rStyle w:val="FootnoteReference"/>
        </w:rPr>
        <w:footnoteRef/>
      </w:r>
      <w:r>
        <w:t xml:space="preserve"> </w:t>
      </w:r>
      <w:r w:rsidRPr="006C42C7">
        <w:rPr>
          <w:i/>
        </w:rPr>
        <w:t>See</w:t>
      </w:r>
      <w:r>
        <w:t xml:space="preserve"> NAL Response at </w:t>
      </w:r>
      <w:r w:rsidR="006635EE">
        <w:t>5</w:t>
      </w:r>
      <w:r w:rsidR="006C456C">
        <w:t>–</w:t>
      </w:r>
      <w:r>
        <w:t xml:space="preserve">9. </w:t>
      </w:r>
    </w:p>
  </w:footnote>
  <w:footnote w:id="19">
    <w:p w14:paraId="3E1DF6A6" w14:textId="2098EDD2" w:rsidR="007D1622" w:rsidRDefault="007D1622">
      <w:pPr>
        <w:pStyle w:val="FootnoteText"/>
      </w:pPr>
      <w:r>
        <w:rPr>
          <w:rStyle w:val="FootnoteReference"/>
        </w:rPr>
        <w:footnoteRef/>
      </w:r>
      <w:r>
        <w:t xml:space="preserve"> </w:t>
      </w:r>
      <w:r w:rsidRPr="007D1622">
        <w:rPr>
          <w:i/>
        </w:rPr>
        <w:t>See</w:t>
      </w:r>
      <w:r>
        <w:t xml:space="preserve"> </w:t>
      </w:r>
      <w:r w:rsidR="00A658AF" w:rsidRPr="00F07D2F">
        <w:rPr>
          <w:i/>
        </w:rPr>
        <w:t>id.</w:t>
      </w:r>
      <w:r>
        <w:t xml:space="preserve"> at </w:t>
      </w:r>
      <w:r w:rsidR="007926EC">
        <w:t>5–6, 8–</w:t>
      </w:r>
      <w:r w:rsidR="006635EE">
        <w:t>9</w:t>
      </w:r>
      <w:r>
        <w:t xml:space="preserve">. </w:t>
      </w:r>
    </w:p>
  </w:footnote>
  <w:footnote w:id="20">
    <w:p w14:paraId="1E8C00FE" w14:textId="77777777" w:rsidR="00825E37" w:rsidRDefault="00825E37">
      <w:pPr>
        <w:pStyle w:val="FootnoteText"/>
      </w:pPr>
      <w:r>
        <w:rPr>
          <w:rStyle w:val="FootnoteReference"/>
        </w:rPr>
        <w:footnoteRef/>
      </w:r>
      <w:r>
        <w:t xml:space="preserve"> </w:t>
      </w:r>
      <w:r w:rsidRPr="00825E37">
        <w:rPr>
          <w:i/>
        </w:rPr>
        <w:t>See</w:t>
      </w:r>
      <w:r>
        <w:t xml:space="preserve"> </w:t>
      </w:r>
      <w:r w:rsidR="00A658AF" w:rsidRPr="00F07D2F">
        <w:rPr>
          <w:i/>
        </w:rPr>
        <w:t>id.</w:t>
      </w:r>
      <w:r>
        <w:t xml:space="preserve"> at 10.</w:t>
      </w:r>
    </w:p>
  </w:footnote>
  <w:footnote w:id="21">
    <w:p w14:paraId="7C0EDD12" w14:textId="5EBEF58A" w:rsidR="00646519" w:rsidRDefault="00646519" w:rsidP="00646519">
      <w:pPr>
        <w:pStyle w:val="FootnoteText"/>
      </w:pPr>
      <w:r>
        <w:rPr>
          <w:rStyle w:val="FootnoteReference"/>
        </w:rPr>
        <w:footnoteRef/>
      </w:r>
      <w:r>
        <w:t xml:space="preserve"> </w:t>
      </w:r>
      <w:r w:rsidRPr="007723D3">
        <w:rPr>
          <w:i/>
        </w:rPr>
        <w:t>See</w:t>
      </w:r>
      <w:r>
        <w:t xml:space="preserve"> </w:t>
      </w:r>
      <w:r w:rsidR="00373A85">
        <w:rPr>
          <w:i/>
        </w:rPr>
        <w:t>NAL</w:t>
      </w:r>
      <w:r w:rsidR="007926EC">
        <w:t>, 29 FCC Rcd at 9231–33, paras. 9–</w:t>
      </w:r>
      <w:r w:rsidR="00373A85">
        <w:t>10</w:t>
      </w:r>
      <w:r>
        <w:t>.</w:t>
      </w:r>
    </w:p>
  </w:footnote>
  <w:footnote w:id="22">
    <w:p w14:paraId="614402B5" w14:textId="77777777" w:rsidR="007926EC" w:rsidRDefault="007926EC">
      <w:pPr>
        <w:pStyle w:val="FootnoteText"/>
      </w:pPr>
      <w:r>
        <w:rPr>
          <w:rStyle w:val="FootnoteReference"/>
        </w:rPr>
        <w:footnoteRef/>
      </w:r>
      <w:r>
        <w:t xml:space="preserve"> 47 C.F.R. § 64.3001.</w:t>
      </w:r>
    </w:p>
  </w:footnote>
  <w:footnote w:id="23">
    <w:p w14:paraId="0928CDAC" w14:textId="77777777" w:rsidR="00646519" w:rsidRPr="00F567D1" w:rsidRDefault="00646519" w:rsidP="00646519">
      <w:pPr>
        <w:pStyle w:val="FootnoteText"/>
      </w:pPr>
      <w:r w:rsidRPr="00737EC5">
        <w:rPr>
          <w:rStyle w:val="FootnoteReference"/>
        </w:rPr>
        <w:footnoteRef/>
      </w:r>
      <w:r w:rsidRPr="00F567D1">
        <w:t xml:space="preserve"> 47 C.F.R. § 64.3002(d).  </w:t>
      </w:r>
    </w:p>
  </w:footnote>
  <w:footnote w:id="24">
    <w:p w14:paraId="7D66F2E2" w14:textId="533248BC" w:rsidR="00646519" w:rsidRPr="00F567D1" w:rsidRDefault="00646519" w:rsidP="00646519">
      <w:pPr>
        <w:pStyle w:val="FootnoteText"/>
      </w:pPr>
      <w:r w:rsidRPr="00737EC5">
        <w:rPr>
          <w:rStyle w:val="FootnoteReference"/>
        </w:rPr>
        <w:footnoteRef/>
      </w:r>
      <w:r w:rsidRPr="00F567D1">
        <w:t xml:space="preserve"> </w:t>
      </w:r>
      <w:r w:rsidRPr="00F567D1">
        <w:rPr>
          <w:i/>
        </w:rPr>
        <w:t>See</w:t>
      </w:r>
      <w:r w:rsidR="00494FE8">
        <w:rPr>
          <w:i/>
        </w:rPr>
        <w:t xml:space="preserve"> </w:t>
      </w:r>
      <w:r w:rsidRPr="00F567D1">
        <w:rPr>
          <w:i/>
        </w:rPr>
        <w:t>Revision of the Commission’s Rules to Ensure Compatibility with Enhanced 911 Emergency Call Systems</w:t>
      </w:r>
      <w:r w:rsidRPr="00F567D1">
        <w:t>, Report and Order and Further Notice of Proposed Rulemaking, 11 FCC Rcd 18676, 18678</w:t>
      </w:r>
      <w:r w:rsidR="00545A1F">
        <w:t>–79</w:t>
      </w:r>
      <w:r w:rsidRPr="00F567D1">
        <w:t>, para. 3 (1996)</w:t>
      </w:r>
      <w:r w:rsidR="00494FE8">
        <w:t xml:space="preserve">; </w:t>
      </w:r>
      <w:r w:rsidR="00494FE8" w:rsidRPr="00052783">
        <w:rPr>
          <w:i/>
        </w:rPr>
        <w:t>see also</w:t>
      </w:r>
      <w:r w:rsidR="00494FE8">
        <w:t xml:space="preserve"> </w:t>
      </w:r>
      <w:r w:rsidR="00052783">
        <w:rPr>
          <w:i/>
        </w:rPr>
        <w:t>In the Matters of 911 Governance and Accountability Improving 911 Reliability</w:t>
      </w:r>
      <w:r w:rsidR="00052783">
        <w:t xml:space="preserve">, Policy Statement and Notice of Proposed Rulemaking, 29 FCC Rcd 14208, </w:t>
      </w:r>
      <w:r w:rsidR="00042FD4">
        <w:t>14209</w:t>
      </w:r>
      <w:r w:rsidR="00052783">
        <w:t>, paras. 1–3 (2014);</w:t>
      </w:r>
      <w:r w:rsidR="00052783">
        <w:rPr>
          <w:i/>
        </w:rPr>
        <w:t xml:space="preserve"> In the Matter of Improving 911 Reliability Reliability and Continuity of Communications Networks, Including Broadband Technologies</w:t>
      </w:r>
      <w:r w:rsidR="00052783">
        <w:t>, Report and Order, 28 FCC Rcd 17476, 17484, para. 23 (2013).</w:t>
      </w:r>
    </w:p>
  </w:footnote>
  <w:footnote w:id="25">
    <w:p w14:paraId="7180B92A" w14:textId="77777777" w:rsidR="00646519" w:rsidRDefault="00646519" w:rsidP="00646519">
      <w:pPr>
        <w:pStyle w:val="FootnoteText"/>
      </w:pPr>
      <w:r>
        <w:rPr>
          <w:rStyle w:val="FootnoteReference"/>
        </w:rPr>
        <w:footnoteRef/>
      </w:r>
      <w:r>
        <w:t xml:space="preserve"> </w:t>
      </w:r>
      <w:r>
        <w:rPr>
          <w:i/>
        </w:rPr>
        <w:t xml:space="preserve">See </w:t>
      </w:r>
      <w:r>
        <w:t>NAL Response at 5.</w:t>
      </w:r>
    </w:p>
  </w:footnote>
  <w:footnote w:id="26">
    <w:p w14:paraId="724C8434" w14:textId="1CCD3E22" w:rsidR="00646519" w:rsidRPr="007723D3" w:rsidRDefault="00646519" w:rsidP="00646519">
      <w:pPr>
        <w:pStyle w:val="FootnoteText"/>
      </w:pPr>
      <w:r>
        <w:rPr>
          <w:rStyle w:val="FootnoteReference"/>
        </w:rPr>
        <w:footnoteRef/>
      </w:r>
      <w:r>
        <w:t xml:space="preserve"> </w:t>
      </w:r>
      <w:r w:rsidRPr="007723D3">
        <w:rPr>
          <w:i/>
        </w:rPr>
        <w:t>See</w:t>
      </w:r>
      <w:r>
        <w:t xml:space="preserve"> </w:t>
      </w:r>
      <w:r>
        <w:rPr>
          <w:i/>
        </w:rPr>
        <w:t>NAL</w:t>
      </w:r>
      <w:r w:rsidR="00545A1F">
        <w:t>, 29 FCC Rcd at 9232</w:t>
      </w:r>
      <w:r>
        <w:t>, para. 10.</w:t>
      </w:r>
    </w:p>
  </w:footnote>
  <w:footnote w:id="27">
    <w:p w14:paraId="7C78BA25" w14:textId="79F06C59" w:rsidR="00646519" w:rsidRDefault="00646519" w:rsidP="00646519">
      <w:pPr>
        <w:pStyle w:val="FootnoteText"/>
      </w:pPr>
      <w:r>
        <w:rPr>
          <w:rStyle w:val="FootnoteReference"/>
        </w:rPr>
        <w:footnoteRef/>
      </w:r>
      <w:r>
        <w:t xml:space="preserve"> </w:t>
      </w:r>
      <w:r w:rsidRPr="004319BE">
        <w:rPr>
          <w:i/>
        </w:rPr>
        <w:t>See</w:t>
      </w:r>
      <w:r w:rsidR="00545A1F">
        <w:t xml:space="preserve"> NAL Response at 6–</w:t>
      </w:r>
      <w:r>
        <w:t xml:space="preserve">8 (noting that the Caddo County Courthouse was being remodeled, new names for streets and county roads throughout the county were being assigned, and a possible number translation change to route these 911 calls would have jeopardized E911 service already implemented in other counties that Hinton served).    </w:t>
      </w:r>
    </w:p>
  </w:footnote>
  <w:footnote w:id="28">
    <w:p w14:paraId="3E8A1600" w14:textId="77777777" w:rsidR="00646519" w:rsidRDefault="00646519" w:rsidP="00646519">
      <w:pPr>
        <w:pStyle w:val="FootnoteText"/>
      </w:pPr>
      <w:r>
        <w:rPr>
          <w:rStyle w:val="FootnoteReference"/>
        </w:rPr>
        <w:footnoteRef/>
      </w:r>
      <w:r>
        <w:t xml:space="preserve"> </w:t>
      </w:r>
      <w:r w:rsidRPr="004319BE">
        <w:rPr>
          <w:i/>
        </w:rPr>
        <w:t>See</w:t>
      </w:r>
      <w:r>
        <w:t xml:space="preserve"> </w:t>
      </w:r>
      <w:r w:rsidR="00A658AF" w:rsidRPr="00F07D2F">
        <w:rPr>
          <w:i/>
        </w:rPr>
        <w:t>id.</w:t>
      </w:r>
      <w:r>
        <w:t xml:space="preserve"> at 9.</w:t>
      </w:r>
    </w:p>
  </w:footnote>
  <w:footnote w:id="29">
    <w:p w14:paraId="527AE1E1" w14:textId="0FEBA410" w:rsidR="00C93A54" w:rsidRDefault="00C93A54" w:rsidP="00C93A54">
      <w:pPr>
        <w:pStyle w:val="FootnoteText"/>
        <w:tabs>
          <w:tab w:val="left" w:pos="2805"/>
        </w:tabs>
      </w:pPr>
      <w:r>
        <w:rPr>
          <w:rStyle w:val="FootnoteReference"/>
        </w:rPr>
        <w:footnoteRef/>
      </w:r>
      <w:r>
        <w:t xml:space="preserve"> </w:t>
      </w:r>
      <w:r w:rsidRPr="000B786D">
        <w:rPr>
          <w:i/>
        </w:rPr>
        <w:t>See</w:t>
      </w:r>
      <w:r>
        <w:t xml:space="preserve"> </w:t>
      </w:r>
      <w:r w:rsidR="00A658AF" w:rsidRPr="00F07D2F">
        <w:rPr>
          <w:i/>
        </w:rPr>
        <w:t>id.</w:t>
      </w:r>
      <w:r>
        <w:t xml:space="preserve"> at 12.  Hinton also attaches a letter from Benny Bowling, Commissioner, Caddo County Board of Commissioners to Josh Zeldis, Federal Communications Commission, stating that Hinton is “doing a good job serving their subscribers with telephone service and building broadband service to the rural areas” and indicating his belief that Hinton is doing the best for their subscribers in the provisioning of E911 service.  </w:t>
      </w:r>
      <w:r w:rsidRPr="00C65A96">
        <w:rPr>
          <w:i/>
        </w:rPr>
        <w:t>See</w:t>
      </w:r>
      <w:r w:rsidR="003E6F3F">
        <w:rPr>
          <w:i/>
        </w:rPr>
        <w:t xml:space="preserve"> also</w:t>
      </w:r>
      <w:r>
        <w:t xml:space="preserve"> </w:t>
      </w:r>
      <w:r w:rsidR="00A658AF" w:rsidRPr="00F07D2F">
        <w:rPr>
          <w:i/>
        </w:rPr>
        <w:t>id.</w:t>
      </w:r>
      <w:r>
        <w:t>, Exh</w:t>
      </w:r>
      <w:r w:rsidR="00DB3B85">
        <w:t>.</w:t>
      </w:r>
      <w:r>
        <w:t xml:space="preserve"> A. </w:t>
      </w:r>
    </w:p>
  </w:footnote>
  <w:footnote w:id="30">
    <w:p w14:paraId="4F385372" w14:textId="4A4A0A94" w:rsidR="007967A6" w:rsidRPr="007967A6" w:rsidRDefault="007967A6">
      <w:pPr>
        <w:pStyle w:val="FootnoteText"/>
      </w:pPr>
      <w:r>
        <w:rPr>
          <w:rStyle w:val="FootnoteReference"/>
        </w:rPr>
        <w:footnoteRef/>
      </w:r>
      <w:r>
        <w:t xml:space="preserve"> </w:t>
      </w:r>
      <w:r>
        <w:rPr>
          <w:i/>
        </w:rPr>
        <w:t xml:space="preserve">See </w:t>
      </w:r>
      <w:r w:rsidR="00F46AE2">
        <w:rPr>
          <w:i/>
        </w:rPr>
        <w:t xml:space="preserve">In Re </w:t>
      </w:r>
      <w:r>
        <w:rPr>
          <w:i/>
        </w:rPr>
        <w:t>The Hinton Telephone Company of Hinton, Oklahoma, Inc.</w:t>
      </w:r>
      <w:r>
        <w:t xml:space="preserve">, Notice of Apparent Liability for Forfeiture, </w:t>
      </w:r>
      <w:r w:rsidR="00F46AE2">
        <w:t>6 FCC Rcd 7002 (</w:t>
      </w:r>
      <w:r w:rsidR="0009222F">
        <w:t xml:space="preserve">Mobile Servs. Div. </w:t>
      </w:r>
      <w:r w:rsidR="00F46AE2">
        <w:t>1991) (</w:t>
      </w:r>
      <w:r w:rsidR="0090658E">
        <w:t>assessing a $7,000 penalty</w:t>
      </w:r>
      <w:r w:rsidR="00F46AE2">
        <w:t xml:space="preserve"> for failure to file a timely application for a pro forma transfer of control of Hinton).</w:t>
      </w:r>
    </w:p>
  </w:footnote>
  <w:footnote w:id="31">
    <w:p w14:paraId="3EE62D08" w14:textId="2F087728" w:rsidR="003E6F3F" w:rsidRDefault="003E6F3F">
      <w:pPr>
        <w:pStyle w:val="FootnoteText"/>
      </w:pPr>
      <w:r>
        <w:rPr>
          <w:rStyle w:val="FootnoteReference"/>
        </w:rPr>
        <w:footnoteRef/>
      </w:r>
      <w:r>
        <w:t xml:space="preserve"> </w:t>
      </w:r>
      <w:r w:rsidR="00A35A70" w:rsidRPr="005A6D93">
        <w:rPr>
          <w:i/>
          <w:iCs/>
        </w:rPr>
        <w:t>See, e.g.</w:t>
      </w:r>
      <w:r w:rsidR="00A35A70" w:rsidRPr="005A6D93">
        <w:t>,</w:t>
      </w:r>
      <w:r w:rsidR="00A35A70" w:rsidRPr="005A6D93">
        <w:rPr>
          <w:i/>
          <w:iCs/>
        </w:rPr>
        <w:t xml:space="preserve"> </w:t>
      </w:r>
      <w:r w:rsidR="00A35A70" w:rsidRPr="00A35A70">
        <w:rPr>
          <w:i/>
          <w:szCs w:val="22"/>
        </w:rPr>
        <w:t>R.J.’s Late Night Entm’t Corp.</w:t>
      </w:r>
      <w:r w:rsidR="00A35A70">
        <w:rPr>
          <w:szCs w:val="22"/>
        </w:rPr>
        <w:t xml:space="preserve">, Memorandum Opinion and Order, FCC 15-181 (Enf. Bur. Feb. 9, 2015); </w:t>
      </w:r>
      <w:r w:rsidR="00A35A70" w:rsidRPr="001E38F2">
        <w:rPr>
          <w:i/>
          <w:iCs/>
        </w:rPr>
        <w:t>Seawest Yacht Brokers</w:t>
      </w:r>
      <w:r w:rsidR="00A35A70" w:rsidRPr="001E38F2">
        <w:rPr>
          <w:iCs/>
        </w:rPr>
        <w:t xml:space="preserve">, </w:t>
      </w:r>
      <w:r w:rsidR="00A35A70" w:rsidRPr="001E38F2">
        <w:t>Notice of Forfeiture</w:t>
      </w:r>
      <w:r w:rsidR="00A35A70" w:rsidRPr="001E38F2">
        <w:rPr>
          <w:iCs/>
        </w:rPr>
        <w:t>, 9 FCC Rcd 6099, 6099, para. 7 (1994)</w:t>
      </w:r>
      <w:r w:rsidR="00A35A70" w:rsidRPr="005A6D93">
        <w:rPr>
          <w:iCs/>
        </w:rPr>
        <w:t xml:space="preserve"> </w:t>
      </w:r>
      <w:r w:rsidR="00A35A70" w:rsidRPr="005A6D93">
        <w:t>(</w:t>
      </w:r>
      <w:r w:rsidR="00A35A70" w:rsidRPr="005A6D93">
        <w:rPr>
          <w:iCs/>
        </w:rPr>
        <w:t>citations omitted)</w:t>
      </w:r>
      <w:r w:rsidR="00A35A70" w:rsidRPr="005A6D93">
        <w:t xml:space="preserve">; </w:t>
      </w:r>
      <w:r w:rsidR="00A35A70" w:rsidRPr="001E38F2">
        <w:rPr>
          <w:i/>
          <w:iCs/>
        </w:rPr>
        <w:t>Exec. Broad. Corp.</w:t>
      </w:r>
      <w:r w:rsidR="00A35A70" w:rsidRPr="001E38F2">
        <w:t xml:space="preserve">, </w:t>
      </w:r>
      <w:r w:rsidR="00A35A70">
        <w:t xml:space="preserve">Memorandum Opinion and Order, </w:t>
      </w:r>
      <w:r w:rsidR="00A35A70" w:rsidRPr="001E38F2">
        <w:t>3 FCC 2d 699, 700, para. 6 (1966)</w:t>
      </w:r>
      <w:r w:rsidR="00A35A70">
        <w:t>;</w:t>
      </w:r>
      <w:r w:rsidR="00A35A70">
        <w:rPr>
          <w:i/>
        </w:rPr>
        <w:t xml:space="preserve"> see also </w:t>
      </w:r>
      <w:r w:rsidRPr="00A3796D">
        <w:rPr>
          <w:i/>
        </w:rPr>
        <w:t>Forfeiture Policy Statement</w:t>
      </w:r>
      <w:r w:rsidRPr="00A3796D">
        <w:t>, 12 FCC Rcd at 17099, para. 22 (“[t]he Commission expects [each licensee], and it is each licensee’s obligation, to know and comply with all of the Commission’s rules”).</w:t>
      </w:r>
    </w:p>
  </w:footnote>
  <w:footnote w:id="32">
    <w:p w14:paraId="1F5A65F9" w14:textId="77777777" w:rsidR="007609A4" w:rsidRDefault="007609A4">
      <w:pPr>
        <w:pStyle w:val="FootnoteText"/>
      </w:pPr>
      <w:r>
        <w:rPr>
          <w:rStyle w:val="FootnoteReference"/>
        </w:rPr>
        <w:footnoteRef/>
      </w:r>
      <w:r>
        <w:t xml:space="preserve"> </w:t>
      </w:r>
      <w:r w:rsidR="002C1E19" w:rsidRPr="00A3796D">
        <w:rPr>
          <w:i/>
        </w:rPr>
        <w:t xml:space="preserve">See </w:t>
      </w:r>
      <w:r>
        <w:t>NAL Response at 1</w:t>
      </w:r>
      <w:r w:rsidR="006635EE">
        <w:t>2</w:t>
      </w:r>
      <w:r>
        <w:t>.</w:t>
      </w:r>
    </w:p>
  </w:footnote>
  <w:footnote w:id="33">
    <w:p w14:paraId="797D4111" w14:textId="3852E6C1" w:rsidR="007C78A4" w:rsidRDefault="007C78A4">
      <w:pPr>
        <w:pStyle w:val="FootnoteText"/>
      </w:pPr>
      <w:r>
        <w:rPr>
          <w:rStyle w:val="FootnoteReference"/>
        </w:rPr>
        <w:footnoteRef/>
      </w:r>
      <w:r>
        <w:t xml:space="preserve"> </w:t>
      </w:r>
      <w:r w:rsidRPr="00A3796D">
        <w:rPr>
          <w:i/>
        </w:rPr>
        <w:t xml:space="preserve">See </w:t>
      </w:r>
      <w:r w:rsidRPr="00F07D2F">
        <w:rPr>
          <w:i/>
        </w:rPr>
        <w:t>id.</w:t>
      </w:r>
    </w:p>
  </w:footnote>
  <w:footnote w:id="34">
    <w:p w14:paraId="6A06C1AB" w14:textId="77777777" w:rsidR="002C1E19" w:rsidRPr="00A3796D" w:rsidRDefault="002C1E19" w:rsidP="002C1E19">
      <w:pPr>
        <w:pStyle w:val="FootnoteText"/>
      </w:pPr>
      <w:r w:rsidRPr="00A3796D">
        <w:rPr>
          <w:rStyle w:val="FootnoteReference"/>
        </w:rPr>
        <w:footnoteRef/>
      </w:r>
      <w:r>
        <w:t xml:space="preserve"> </w:t>
      </w:r>
      <w:r w:rsidRPr="00A3796D">
        <w:rPr>
          <w:i/>
        </w:rPr>
        <w:t xml:space="preserve">See </w:t>
      </w:r>
      <w:r w:rsidR="00A658AF" w:rsidRPr="00F07D2F">
        <w:rPr>
          <w:i/>
        </w:rPr>
        <w:t>id.</w:t>
      </w:r>
    </w:p>
  </w:footnote>
  <w:footnote w:id="35">
    <w:p w14:paraId="2040B083" w14:textId="72D00B0D" w:rsidR="002C1E19" w:rsidRPr="00A3796D" w:rsidRDefault="002C1E19" w:rsidP="002C1E19">
      <w:pPr>
        <w:pStyle w:val="FootnoteText"/>
      </w:pPr>
      <w:r w:rsidRPr="00A3796D">
        <w:rPr>
          <w:rStyle w:val="FootnoteReference"/>
        </w:rPr>
        <w:footnoteRef/>
      </w:r>
      <w:r w:rsidRPr="00A3796D">
        <w:t xml:space="preserve"> </w:t>
      </w:r>
      <w:r w:rsidRPr="002C1E19">
        <w:rPr>
          <w:color w:val="000000"/>
        </w:rPr>
        <w:t xml:space="preserve">As stated in the </w:t>
      </w:r>
      <w:r w:rsidRPr="002C1E19">
        <w:rPr>
          <w:i/>
          <w:color w:val="000000"/>
        </w:rPr>
        <w:t>NAL</w:t>
      </w:r>
      <w:r w:rsidRPr="002C1E19">
        <w:rPr>
          <w:color w:val="000000"/>
        </w:rPr>
        <w:t xml:space="preserve">, the Commission will not consider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w:t>
      </w:r>
      <w:r w:rsidR="00D33A62">
        <w:rPr>
          <w:i/>
          <w:color w:val="000000"/>
        </w:rPr>
        <w:t>NAL</w:t>
      </w:r>
      <w:r w:rsidR="00D33A62">
        <w:rPr>
          <w:color w:val="000000"/>
        </w:rPr>
        <w:t>,</w:t>
      </w:r>
      <w:r w:rsidR="00D33A62">
        <w:rPr>
          <w:i/>
          <w:color w:val="000000"/>
        </w:rPr>
        <w:t xml:space="preserve"> </w:t>
      </w:r>
      <w:r w:rsidR="00373786">
        <w:t>29</w:t>
      </w:r>
      <w:r w:rsidRPr="002C1E19">
        <w:t xml:space="preserve"> FCC Rcd at </w:t>
      </w:r>
      <w:r w:rsidR="00D33A62">
        <w:t>9236</w:t>
      </w:r>
      <w:r w:rsidRPr="002C1E19">
        <w:t>, para. 20.</w:t>
      </w:r>
    </w:p>
  </w:footnote>
  <w:footnote w:id="36">
    <w:p w14:paraId="78DFB7EA" w14:textId="23467507" w:rsidR="00FC5CBF" w:rsidRDefault="00FC5CBF">
      <w:pPr>
        <w:pStyle w:val="FootnoteText"/>
      </w:pPr>
      <w:r>
        <w:rPr>
          <w:rStyle w:val="FootnoteReference"/>
        </w:rPr>
        <w:footnoteRef/>
      </w:r>
      <w:r>
        <w:t xml:space="preserve"> </w:t>
      </w:r>
      <w:r w:rsidRPr="006C0FCF">
        <w:rPr>
          <w:i/>
        </w:rPr>
        <w:t>See In the Matter of Indigo Wireless, Inc.</w:t>
      </w:r>
      <w:r>
        <w:t xml:space="preserve">, Forfeiture Order, 29 FCC Rcd 7404, 7408, para. 9, </w:t>
      </w:r>
      <w:r w:rsidRPr="006C0FCF">
        <w:rPr>
          <w:i/>
        </w:rPr>
        <w:t>aff’d</w:t>
      </w:r>
      <w:r>
        <w:t>, Memorandum Opinion and Order, 29 FCC Rcd 14076</w:t>
      </w:r>
      <w:r w:rsidR="006D753C">
        <w:t xml:space="preserve"> (denying request for cancellation or reduction of forfeiture due to lack of adequate documentation)</w:t>
      </w:r>
      <w:r>
        <w:t>.</w:t>
      </w:r>
    </w:p>
  </w:footnote>
  <w:footnote w:id="37">
    <w:p w14:paraId="6CC060F0" w14:textId="77777777" w:rsidR="007D656F" w:rsidRPr="00F567D1" w:rsidRDefault="007D656F" w:rsidP="007D656F">
      <w:pPr>
        <w:pStyle w:val="FootnoteText"/>
      </w:pPr>
      <w:r w:rsidRPr="00F567D1">
        <w:rPr>
          <w:rStyle w:val="FootnoteReference"/>
        </w:rPr>
        <w:footnoteRef/>
      </w:r>
      <w:r w:rsidRPr="00F567D1">
        <w:t xml:space="preserve"> 47 C.F.R. §§ 64.3001, 64.3002(d).</w:t>
      </w:r>
    </w:p>
  </w:footnote>
  <w:footnote w:id="38">
    <w:p w14:paraId="2B53BEBD" w14:textId="77777777" w:rsidR="003343CA" w:rsidRPr="00344C0B" w:rsidRDefault="003343CA" w:rsidP="003343CA">
      <w:pPr>
        <w:pStyle w:val="FootnoteText"/>
      </w:pPr>
      <w:r w:rsidRPr="00344C0B">
        <w:rPr>
          <w:rStyle w:val="FootnoteReference"/>
        </w:rPr>
        <w:footnoteRef/>
      </w:r>
      <w:r w:rsidRPr="00344C0B">
        <w:t xml:space="preserve"> 47 U.S.C. § 503(b).</w:t>
      </w:r>
    </w:p>
  </w:footnote>
  <w:footnote w:id="39">
    <w:p w14:paraId="46C933B3" w14:textId="77777777" w:rsidR="003343CA" w:rsidRPr="00344C0B" w:rsidRDefault="003343CA" w:rsidP="003343CA">
      <w:pPr>
        <w:pStyle w:val="FootnoteText"/>
      </w:pPr>
      <w:r w:rsidRPr="00344C0B">
        <w:rPr>
          <w:rStyle w:val="FootnoteReference"/>
        </w:rPr>
        <w:footnoteRef/>
      </w:r>
      <w:r w:rsidRPr="00344C0B">
        <w:t xml:space="preserve"> 47 C.F.R. § 1.80.</w:t>
      </w:r>
    </w:p>
  </w:footnote>
  <w:footnote w:id="40">
    <w:p w14:paraId="2FD1281B" w14:textId="77777777" w:rsidR="003343CA" w:rsidRPr="00344C0B" w:rsidRDefault="003343CA" w:rsidP="003343CA">
      <w:pPr>
        <w:pStyle w:val="FootnoteText"/>
      </w:pPr>
      <w:r w:rsidRPr="00344C0B">
        <w:rPr>
          <w:rStyle w:val="FootnoteReference"/>
        </w:rPr>
        <w:footnoteRef/>
      </w:r>
      <w:r w:rsidRPr="00344C0B">
        <w:t xml:space="preserve"> </w:t>
      </w:r>
      <w:r w:rsidRPr="00344C0B">
        <w:rPr>
          <w:i/>
        </w:rPr>
        <w:t>Id.</w:t>
      </w:r>
    </w:p>
  </w:footnote>
  <w:footnote w:id="41">
    <w:p w14:paraId="05FC51A1" w14:textId="77777777" w:rsidR="003343CA" w:rsidRPr="00344C0B" w:rsidRDefault="003343CA" w:rsidP="003343CA">
      <w:pPr>
        <w:pStyle w:val="FootnoteText"/>
      </w:pPr>
      <w:r w:rsidRPr="00344C0B">
        <w:rPr>
          <w:rStyle w:val="FootnoteReference"/>
        </w:rPr>
        <w:footnoteRef/>
      </w:r>
      <w:r w:rsidRPr="00344C0B">
        <w:t xml:space="preserve"> 47 U.S.C. § 504(a).</w:t>
      </w:r>
    </w:p>
  </w:footnote>
  <w:footnote w:id="42">
    <w:p w14:paraId="3BD43B58" w14:textId="77777777"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An FCC Form 159</w:t>
      </w:r>
      <w:r w:rsidR="008717EB">
        <w:rPr>
          <w:rStyle w:val="FootnoteTextChar2"/>
        </w:rPr>
        <w:t xml:space="preserve"> </w:t>
      </w:r>
      <w:r w:rsidRPr="00344C0B">
        <w:rPr>
          <w:rStyle w:val="FootnoteTextChar2"/>
        </w:rPr>
        <w:t>and</w:t>
      </w:r>
      <w:r w:rsidR="008717EB">
        <w:rPr>
          <w:rStyle w:val="FootnoteTextChar2"/>
        </w:rPr>
        <w:t xml:space="preserve"> </w:t>
      </w:r>
      <w:r w:rsidRPr="00344C0B">
        <w:rPr>
          <w:rStyle w:val="FootnoteTextChar2"/>
        </w:rPr>
        <w:t>detailed instructions</w:t>
      </w:r>
      <w:r w:rsidR="008717EB">
        <w:rPr>
          <w:rStyle w:val="FootnoteTextChar2"/>
        </w:rPr>
        <w:t xml:space="preserve"> </w:t>
      </w:r>
      <w:r w:rsidRPr="00344C0B">
        <w:rPr>
          <w:rStyle w:val="FootnoteTextChar2"/>
        </w:rPr>
        <w:t xml:space="preserve">for completing the form may be obtained at </w:t>
      </w:r>
      <w:r w:rsidRPr="00344C0B">
        <w:t>http://www.fcc.gov/Forms/Form159/159.pdf</w:t>
      </w:r>
      <w:r w:rsidRPr="00344C0B">
        <w:rPr>
          <w:rStyle w:val="FootnoteTextChar2"/>
        </w:rPr>
        <w:t>.</w:t>
      </w:r>
    </w:p>
  </w:footnote>
  <w:footnote w:id="43">
    <w:p w14:paraId="57F57F1A" w14:textId="77777777"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3E6B" w14:textId="77777777" w:rsidR="00B53F60" w:rsidRDefault="00B53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E403" w14:textId="06250039"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6EC0F7CB" wp14:editId="7BEF1842">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6354A8">
      <w:t>DA 15-</w:t>
    </w:r>
    <w:r w:rsidR="00EB317F">
      <w:t>339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D25B" w14:textId="4C55580D" w:rsidR="00E273E3" w:rsidRDefault="006D2212" w:rsidP="001B048F">
    <w:pPr>
      <w:pStyle w:val="Header"/>
    </w:pPr>
    <w:r>
      <w:rPr>
        <w:noProof/>
      </w:rPr>
      <mc:AlternateContent>
        <mc:Choice Requires="wps">
          <w:drawing>
            <wp:anchor distT="0" distB="0" distL="114300" distR="114300" simplePos="0" relativeHeight="251657216" behindDoc="1" locked="0" layoutInCell="0" allowOverlap="1" wp14:anchorId="1E82A360" wp14:editId="14C2560C">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6354A8">
      <w:t>DA 15</w:t>
    </w:r>
    <w:r w:rsidR="007D656F">
      <w:t>-</w:t>
    </w:r>
    <w:r w:rsidR="00EB317F">
      <w:t>339</w:t>
    </w:r>
  </w:p>
  <w:p w14:paraId="7CF5F5E0" w14:textId="77777777" w:rsidR="007D656F" w:rsidRPr="001B048F" w:rsidRDefault="007D656F" w:rsidP="001B048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6"/>
  </w:num>
  <w:num w:numId="5">
    <w:abstractNumId w:val="7"/>
    <w:lvlOverride w:ilvl="0">
      <w:startOverride w:val="1"/>
    </w:lvlOverride>
  </w:num>
  <w:num w:numId="6">
    <w:abstractNumId w:val="2"/>
  </w:num>
  <w:num w:numId="7">
    <w:abstractNumId w:val="5"/>
  </w:num>
  <w:num w:numId="8">
    <w:abstractNumId w:val="3"/>
  </w:num>
  <w:num w:numId="9">
    <w:abstractNumId w:val="1"/>
  </w:num>
  <w:num w:numId="10">
    <w:abstractNumId w:val="7"/>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07DE6"/>
    <w:rsid w:val="00014462"/>
    <w:rsid w:val="000145C6"/>
    <w:rsid w:val="000174F9"/>
    <w:rsid w:val="00017A3B"/>
    <w:rsid w:val="00020626"/>
    <w:rsid w:val="000264B4"/>
    <w:rsid w:val="00031AE8"/>
    <w:rsid w:val="00036D58"/>
    <w:rsid w:val="00042FD4"/>
    <w:rsid w:val="00043C9B"/>
    <w:rsid w:val="00046801"/>
    <w:rsid w:val="00052783"/>
    <w:rsid w:val="0005643C"/>
    <w:rsid w:val="000604EB"/>
    <w:rsid w:val="00062C44"/>
    <w:rsid w:val="000649FE"/>
    <w:rsid w:val="00071E2C"/>
    <w:rsid w:val="00071E3F"/>
    <w:rsid w:val="00072D7D"/>
    <w:rsid w:val="00074717"/>
    <w:rsid w:val="00074B18"/>
    <w:rsid w:val="0007571D"/>
    <w:rsid w:val="00080535"/>
    <w:rsid w:val="000853AD"/>
    <w:rsid w:val="00086824"/>
    <w:rsid w:val="00091AE4"/>
    <w:rsid w:val="0009222F"/>
    <w:rsid w:val="00092506"/>
    <w:rsid w:val="00093F01"/>
    <w:rsid w:val="000962DF"/>
    <w:rsid w:val="00097F82"/>
    <w:rsid w:val="000A3097"/>
    <w:rsid w:val="000A3E68"/>
    <w:rsid w:val="000A434E"/>
    <w:rsid w:val="000A4776"/>
    <w:rsid w:val="000B013F"/>
    <w:rsid w:val="000B14C3"/>
    <w:rsid w:val="000B1C2B"/>
    <w:rsid w:val="000B29ED"/>
    <w:rsid w:val="000B7657"/>
    <w:rsid w:val="000B786D"/>
    <w:rsid w:val="000C092B"/>
    <w:rsid w:val="000C6050"/>
    <w:rsid w:val="000D03AE"/>
    <w:rsid w:val="000D1391"/>
    <w:rsid w:val="000D5F5F"/>
    <w:rsid w:val="000D6299"/>
    <w:rsid w:val="000E1951"/>
    <w:rsid w:val="000E2707"/>
    <w:rsid w:val="000E6BBA"/>
    <w:rsid w:val="000F1155"/>
    <w:rsid w:val="00100646"/>
    <w:rsid w:val="00105A35"/>
    <w:rsid w:val="001067B6"/>
    <w:rsid w:val="001128C2"/>
    <w:rsid w:val="0011337B"/>
    <w:rsid w:val="0011687C"/>
    <w:rsid w:val="001205FE"/>
    <w:rsid w:val="0012427E"/>
    <w:rsid w:val="00126C88"/>
    <w:rsid w:val="00135F7F"/>
    <w:rsid w:val="00136476"/>
    <w:rsid w:val="00140ABB"/>
    <w:rsid w:val="001426F0"/>
    <w:rsid w:val="00145E08"/>
    <w:rsid w:val="00151B2B"/>
    <w:rsid w:val="001532B1"/>
    <w:rsid w:val="00153904"/>
    <w:rsid w:val="00153CE0"/>
    <w:rsid w:val="00154A5C"/>
    <w:rsid w:val="001608EF"/>
    <w:rsid w:val="00162161"/>
    <w:rsid w:val="00164D9B"/>
    <w:rsid w:val="001715BD"/>
    <w:rsid w:val="00172581"/>
    <w:rsid w:val="001740BB"/>
    <w:rsid w:val="00180026"/>
    <w:rsid w:val="001819AF"/>
    <w:rsid w:val="00196E93"/>
    <w:rsid w:val="001A29EF"/>
    <w:rsid w:val="001A2F40"/>
    <w:rsid w:val="001A3CCD"/>
    <w:rsid w:val="001A69BA"/>
    <w:rsid w:val="001A79FB"/>
    <w:rsid w:val="001B048F"/>
    <w:rsid w:val="001B06B0"/>
    <w:rsid w:val="001C3156"/>
    <w:rsid w:val="001C3B35"/>
    <w:rsid w:val="001C42B3"/>
    <w:rsid w:val="001D1CEF"/>
    <w:rsid w:val="001E135C"/>
    <w:rsid w:val="001E1906"/>
    <w:rsid w:val="001E401B"/>
    <w:rsid w:val="001F2B76"/>
    <w:rsid w:val="001F5AA4"/>
    <w:rsid w:val="001F7AFE"/>
    <w:rsid w:val="001F7EE0"/>
    <w:rsid w:val="002037C2"/>
    <w:rsid w:val="0021315C"/>
    <w:rsid w:val="002146E2"/>
    <w:rsid w:val="00223173"/>
    <w:rsid w:val="002242BD"/>
    <w:rsid w:val="00225854"/>
    <w:rsid w:val="00226191"/>
    <w:rsid w:val="0022665A"/>
    <w:rsid w:val="00236820"/>
    <w:rsid w:val="00240655"/>
    <w:rsid w:val="00246222"/>
    <w:rsid w:val="00250EDF"/>
    <w:rsid w:val="00251515"/>
    <w:rsid w:val="002523B2"/>
    <w:rsid w:val="00252799"/>
    <w:rsid w:val="00256904"/>
    <w:rsid w:val="00256B42"/>
    <w:rsid w:val="00261866"/>
    <w:rsid w:val="002659F3"/>
    <w:rsid w:val="00265FC9"/>
    <w:rsid w:val="00270CD1"/>
    <w:rsid w:val="002710C5"/>
    <w:rsid w:val="002718D7"/>
    <w:rsid w:val="00283E59"/>
    <w:rsid w:val="00287146"/>
    <w:rsid w:val="00287564"/>
    <w:rsid w:val="00290939"/>
    <w:rsid w:val="00293ACC"/>
    <w:rsid w:val="002966A1"/>
    <w:rsid w:val="00297424"/>
    <w:rsid w:val="002A0244"/>
    <w:rsid w:val="002A09E7"/>
    <w:rsid w:val="002A1963"/>
    <w:rsid w:val="002B17E2"/>
    <w:rsid w:val="002B7493"/>
    <w:rsid w:val="002C079C"/>
    <w:rsid w:val="002C12AD"/>
    <w:rsid w:val="002C1E19"/>
    <w:rsid w:val="002C66A2"/>
    <w:rsid w:val="002D38E3"/>
    <w:rsid w:val="002D3A88"/>
    <w:rsid w:val="002D4CD9"/>
    <w:rsid w:val="002D6A81"/>
    <w:rsid w:val="002D74C4"/>
    <w:rsid w:val="002E046E"/>
    <w:rsid w:val="002E1671"/>
    <w:rsid w:val="002E43B6"/>
    <w:rsid w:val="002E6027"/>
    <w:rsid w:val="002F2ACB"/>
    <w:rsid w:val="00306C34"/>
    <w:rsid w:val="00306C50"/>
    <w:rsid w:val="0032053D"/>
    <w:rsid w:val="0032244D"/>
    <w:rsid w:val="00325463"/>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2ED0"/>
    <w:rsid w:val="00353E9D"/>
    <w:rsid w:val="00354D0F"/>
    <w:rsid w:val="003563C1"/>
    <w:rsid w:val="00356EC5"/>
    <w:rsid w:val="00361B43"/>
    <w:rsid w:val="003623B1"/>
    <w:rsid w:val="00373786"/>
    <w:rsid w:val="00373A85"/>
    <w:rsid w:val="00375EAB"/>
    <w:rsid w:val="0038136A"/>
    <w:rsid w:val="00386A05"/>
    <w:rsid w:val="0039768C"/>
    <w:rsid w:val="003A0715"/>
    <w:rsid w:val="003A07BF"/>
    <w:rsid w:val="003A4346"/>
    <w:rsid w:val="003A4767"/>
    <w:rsid w:val="003A5530"/>
    <w:rsid w:val="003A6F0A"/>
    <w:rsid w:val="003B4544"/>
    <w:rsid w:val="003B5341"/>
    <w:rsid w:val="003B5EF6"/>
    <w:rsid w:val="003B6421"/>
    <w:rsid w:val="003B6F75"/>
    <w:rsid w:val="003C0BCF"/>
    <w:rsid w:val="003C5EF1"/>
    <w:rsid w:val="003C6559"/>
    <w:rsid w:val="003D482B"/>
    <w:rsid w:val="003D5221"/>
    <w:rsid w:val="003D5B63"/>
    <w:rsid w:val="003D5BD6"/>
    <w:rsid w:val="003E36EC"/>
    <w:rsid w:val="003E4BA1"/>
    <w:rsid w:val="003E5CB1"/>
    <w:rsid w:val="003E6F3F"/>
    <w:rsid w:val="003E7003"/>
    <w:rsid w:val="003F2F66"/>
    <w:rsid w:val="004016AD"/>
    <w:rsid w:val="00403291"/>
    <w:rsid w:val="00403B86"/>
    <w:rsid w:val="00416F51"/>
    <w:rsid w:val="004200CE"/>
    <w:rsid w:val="0042056B"/>
    <w:rsid w:val="00426D12"/>
    <w:rsid w:val="00431572"/>
    <w:rsid w:val="004319BE"/>
    <w:rsid w:val="00432051"/>
    <w:rsid w:val="00436A9E"/>
    <w:rsid w:val="00441CED"/>
    <w:rsid w:val="00452C14"/>
    <w:rsid w:val="00454EFD"/>
    <w:rsid w:val="00457AE7"/>
    <w:rsid w:val="00463491"/>
    <w:rsid w:val="00466CC6"/>
    <w:rsid w:val="004736A1"/>
    <w:rsid w:val="00476221"/>
    <w:rsid w:val="00481985"/>
    <w:rsid w:val="00493B9B"/>
    <w:rsid w:val="00493EB0"/>
    <w:rsid w:val="00494FE8"/>
    <w:rsid w:val="004A7F0F"/>
    <w:rsid w:val="004B461C"/>
    <w:rsid w:val="004C0831"/>
    <w:rsid w:val="004C1903"/>
    <w:rsid w:val="004C3EDB"/>
    <w:rsid w:val="004C4957"/>
    <w:rsid w:val="004C641F"/>
    <w:rsid w:val="004E218D"/>
    <w:rsid w:val="004E4FD9"/>
    <w:rsid w:val="004E5D01"/>
    <w:rsid w:val="004F0990"/>
    <w:rsid w:val="004F242F"/>
    <w:rsid w:val="004F35CA"/>
    <w:rsid w:val="00505616"/>
    <w:rsid w:val="00510DE7"/>
    <w:rsid w:val="00512A5C"/>
    <w:rsid w:val="00514466"/>
    <w:rsid w:val="00514B5F"/>
    <w:rsid w:val="00516474"/>
    <w:rsid w:val="005214C9"/>
    <w:rsid w:val="00522727"/>
    <w:rsid w:val="00523498"/>
    <w:rsid w:val="00526086"/>
    <w:rsid w:val="00526174"/>
    <w:rsid w:val="00526803"/>
    <w:rsid w:val="00534461"/>
    <w:rsid w:val="00535D18"/>
    <w:rsid w:val="00537EE6"/>
    <w:rsid w:val="005415C8"/>
    <w:rsid w:val="0054220C"/>
    <w:rsid w:val="005440C1"/>
    <w:rsid w:val="00544882"/>
    <w:rsid w:val="00545A1F"/>
    <w:rsid w:val="00545EF8"/>
    <w:rsid w:val="00547654"/>
    <w:rsid w:val="00552923"/>
    <w:rsid w:val="00557BF1"/>
    <w:rsid w:val="00560703"/>
    <w:rsid w:val="0056704D"/>
    <w:rsid w:val="00567C95"/>
    <w:rsid w:val="00567D8D"/>
    <w:rsid w:val="005771F2"/>
    <w:rsid w:val="0059732E"/>
    <w:rsid w:val="005A6FA8"/>
    <w:rsid w:val="005A72DD"/>
    <w:rsid w:val="005B3158"/>
    <w:rsid w:val="005B4CEA"/>
    <w:rsid w:val="005B4F08"/>
    <w:rsid w:val="005B67ED"/>
    <w:rsid w:val="005C2A5A"/>
    <w:rsid w:val="005C30D4"/>
    <w:rsid w:val="005D250F"/>
    <w:rsid w:val="005D364B"/>
    <w:rsid w:val="005D4F7D"/>
    <w:rsid w:val="005E0682"/>
    <w:rsid w:val="005E3D9F"/>
    <w:rsid w:val="006020E8"/>
    <w:rsid w:val="00603106"/>
    <w:rsid w:val="00611791"/>
    <w:rsid w:val="00613797"/>
    <w:rsid w:val="006168A4"/>
    <w:rsid w:val="00616CB5"/>
    <w:rsid w:val="00622396"/>
    <w:rsid w:val="00624EEA"/>
    <w:rsid w:val="0063038A"/>
    <w:rsid w:val="00634F84"/>
    <w:rsid w:val="006354A8"/>
    <w:rsid w:val="00637D3F"/>
    <w:rsid w:val="00640EAA"/>
    <w:rsid w:val="00644983"/>
    <w:rsid w:val="0064498D"/>
    <w:rsid w:val="00646519"/>
    <w:rsid w:val="006472F4"/>
    <w:rsid w:val="00650C92"/>
    <w:rsid w:val="00653904"/>
    <w:rsid w:val="00653DFB"/>
    <w:rsid w:val="006557D7"/>
    <w:rsid w:val="00655B5D"/>
    <w:rsid w:val="0065677C"/>
    <w:rsid w:val="006606A3"/>
    <w:rsid w:val="00661DE5"/>
    <w:rsid w:val="006635EE"/>
    <w:rsid w:val="0066537F"/>
    <w:rsid w:val="00671666"/>
    <w:rsid w:val="00672014"/>
    <w:rsid w:val="006733A8"/>
    <w:rsid w:val="00673674"/>
    <w:rsid w:val="00674B18"/>
    <w:rsid w:val="00682B90"/>
    <w:rsid w:val="00683085"/>
    <w:rsid w:val="00683E53"/>
    <w:rsid w:val="00686968"/>
    <w:rsid w:val="006877E7"/>
    <w:rsid w:val="006A001F"/>
    <w:rsid w:val="006A6FD0"/>
    <w:rsid w:val="006B080E"/>
    <w:rsid w:val="006B685D"/>
    <w:rsid w:val="006C42C7"/>
    <w:rsid w:val="006C456C"/>
    <w:rsid w:val="006D013C"/>
    <w:rsid w:val="006D2212"/>
    <w:rsid w:val="006D550A"/>
    <w:rsid w:val="006D753C"/>
    <w:rsid w:val="006D7FF3"/>
    <w:rsid w:val="006E3B0D"/>
    <w:rsid w:val="006E43AE"/>
    <w:rsid w:val="006E4417"/>
    <w:rsid w:val="006E6868"/>
    <w:rsid w:val="006E728E"/>
    <w:rsid w:val="006E7650"/>
    <w:rsid w:val="00704843"/>
    <w:rsid w:val="007112FE"/>
    <w:rsid w:val="007115F7"/>
    <w:rsid w:val="00714FD7"/>
    <w:rsid w:val="00715666"/>
    <w:rsid w:val="007244C3"/>
    <w:rsid w:val="0072776E"/>
    <w:rsid w:val="00731211"/>
    <w:rsid w:val="00731C9A"/>
    <w:rsid w:val="007325C3"/>
    <w:rsid w:val="0073326F"/>
    <w:rsid w:val="00735FF0"/>
    <w:rsid w:val="00741108"/>
    <w:rsid w:val="00742001"/>
    <w:rsid w:val="00742552"/>
    <w:rsid w:val="00743885"/>
    <w:rsid w:val="00743CDB"/>
    <w:rsid w:val="00745AB4"/>
    <w:rsid w:val="007470E1"/>
    <w:rsid w:val="007479D6"/>
    <w:rsid w:val="00752D0E"/>
    <w:rsid w:val="00754D94"/>
    <w:rsid w:val="00755564"/>
    <w:rsid w:val="00757E63"/>
    <w:rsid w:val="007609A4"/>
    <w:rsid w:val="00765619"/>
    <w:rsid w:val="0077103F"/>
    <w:rsid w:val="007723D3"/>
    <w:rsid w:val="00780827"/>
    <w:rsid w:val="00781BFC"/>
    <w:rsid w:val="00782257"/>
    <w:rsid w:val="00785772"/>
    <w:rsid w:val="0078649E"/>
    <w:rsid w:val="00787DBC"/>
    <w:rsid w:val="00790B4B"/>
    <w:rsid w:val="00791577"/>
    <w:rsid w:val="007926EC"/>
    <w:rsid w:val="00792AD9"/>
    <w:rsid w:val="007967A6"/>
    <w:rsid w:val="007A0AA5"/>
    <w:rsid w:val="007A2AF2"/>
    <w:rsid w:val="007A3E06"/>
    <w:rsid w:val="007A400F"/>
    <w:rsid w:val="007A6169"/>
    <w:rsid w:val="007A7AF0"/>
    <w:rsid w:val="007A7D13"/>
    <w:rsid w:val="007B1B20"/>
    <w:rsid w:val="007B25BE"/>
    <w:rsid w:val="007C197B"/>
    <w:rsid w:val="007C3802"/>
    <w:rsid w:val="007C39C9"/>
    <w:rsid w:val="007C3FB4"/>
    <w:rsid w:val="007C416C"/>
    <w:rsid w:val="007C78A4"/>
    <w:rsid w:val="007D1622"/>
    <w:rsid w:val="007D559F"/>
    <w:rsid w:val="007D5BA0"/>
    <w:rsid w:val="007D6254"/>
    <w:rsid w:val="007D656F"/>
    <w:rsid w:val="007E10B6"/>
    <w:rsid w:val="007E39BB"/>
    <w:rsid w:val="007F29BF"/>
    <w:rsid w:val="007F3C22"/>
    <w:rsid w:val="007F5C1E"/>
    <w:rsid w:val="0080144D"/>
    <w:rsid w:val="00804AA7"/>
    <w:rsid w:val="00806AEF"/>
    <w:rsid w:val="00813F43"/>
    <w:rsid w:val="00817123"/>
    <w:rsid w:val="008218CC"/>
    <w:rsid w:val="00823395"/>
    <w:rsid w:val="00825E37"/>
    <w:rsid w:val="00832DD0"/>
    <w:rsid w:val="00836DF6"/>
    <w:rsid w:val="00854197"/>
    <w:rsid w:val="00862B6D"/>
    <w:rsid w:val="008635E6"/>
    <w:rsid w:val="008666BC"/>
    <w:rsid w:val="00867A33"/>
    <w:rsid w:val="008717EB"/>
    <w:rsid w:val="008718AF"/>
    <w:rsid w:val="008742A5"/>
    <w:rsid w:val="00874CFC"/>
    <w:rsid w:val="00875A5D"/>
    <w:rsid w:val="00881244"/>
    <w:rsid w:val="0089063C"/>
    <w:rsid w:val="00890DC3"/>
    <w:rsid w:val="0089634B"/>
    <w:rsid w:val="00897848"/>
    <w:rsid w:val="008A0B16"/>
    <w:rsid w:val="008A1A2C"/>
    <w:rsid w:val="008B1964"/>
    <w:rsid w:val="008C10FD"/>
    <w:rsid w:val="008C5016"/>
    <w:rsid w:val="008D0650"/>
    <w:rsid w:val="008D1BE7"/>
    <w:rsid w:val="008D6AFE"/>
    <w:rsid w:val="008E0136"/>
    <w:rsid w:val="008E0D87"/>
    <w:rsid w:val="008F0F79"/>
    <w:rsid w:val="008F308B"/>
    <w:rsid w:val="009012DC"/>
    <w:rsid w:val="00901EA9"/>
    <w:rsid w:val="0090658E"/>
    <w:rsid w:val="00910008"/>
    <w:rsid w:val="00913674"/>
    <w:rsid w:val="009150E9"/>
    <w:rsid w:val="00920FB9"/>
    <w:rsid w:val="00922BC7"/>
    <w:rsid w:val="00924198"/>
    <w:rsid w:val="009244F0"/>
    <w:rsid w:val="00932FF9"/>
    <w:rsid w:val="0093638C"/>
    <w:rsid w:val="00937A4E"/>
    <w:rsid w:val="00944699"/>
    <w:rsid w:val="00946E14"/>
    <w:rsid w:val="00950E17"/>
    <w:rsid w:val="00955661"/>
    <w:rsid w:val="00957948"/>
    <w:rsid w:val="009605D0"/>
    <w:rsid w:val="00965D5D"/>
    <w:rsid w:val="00966093"/>
    <w:rsid w:val="00967C7A"/>
    <w:rsid w:val="009708B5"/>
    <w:rsid w:val="009714F0"/>
    <w:rsid w:val="0097329B"/>
    <w:rsid w:val="00974A8A"/>
    <w:rsid w:val="0097633D"/>
    <w:rsid w:val="00980AA0"/>
    <w:rsid w:val="00981A39"/>
    <w:rsid w:val="009847FB"/>
    <w:rsid w:val="00985084"/>
    <w:rsid w:val="009855B2"/>
    <w:rsid w:val="00986D5F"/>
    <w:rsid w:val="00987B38"/>
    <w:rsid w:val="00990196"/>
    <w:rsid w:val="00992A29"/>
    <w:rsid w:val="009A09C6"/>
    <w:rsid w:val="009A2403"/>
    <w:rsid w:val="009A323D"/>
    <w:rsid w:val="009A3AE5"/>
    <w:rsid w:val="009A4C09"/>
    <w:rsid w:val="009B0223"/>
    <w:rsid w:val="009B1061"/>
    <w:rsid w:val="009B1E76"/>
    <w:rsid w:val="009B2C59"/>
    <w:rsid w:val="009B3E58"/>
    <w:rsid w:val="009B6F55"/>
    <w:rsid w:val="009C2411"/>
    <w:rsid w:val="009C3321"/>
    <w:rsid w:val="009C45F2"/>
    <w:rsid w:val="009C46AB"/>
    <w:rsid w:val="009C6AD9"/>
    <w:rsid w:val="009C73E2"/>
    <w:rsid w:val="009D0C63"/>
    <w:rsid w:val="009D153E"/>
    <w:rsid w:val="009D5355"/>
    <w:rsid w:val="009E44EE"/>
    <w:rsid w:val="009E708F"/>
    <w:rsid w:val="00A002F4"/>
    <w:rsid w:val="00A00AE0"/>
    <w:rsid w:val="00A01D1A"/>
    <w:rsid w:val="00A020A9"/>
    <w:rsid w:val="00A02148"/>
    <w:rsid w:val="00A047AF"/>
    <w:rsid w:val="00A0567A"/>
    <w:rsid w:val="00A10460"/>
    <w:rsid w:val="00A14E35"/>
    <w:rsid w:val="00A16CB1"/>
    <w:rsid w:val="00A174D4"/>
    <w:rsid w:val="00A204BA"/>
    <w:rsid w:val="00A20570"/>
    <w:rsid w:val="00A218D6"/>
    <w:rsid w:val="00A223C9"/>
    <w:rsid w:val="00A230E1"/>
    <w:rsid w:val="00A24336"/>
    <w:rsid w:val="00A24CD1"/>
    <w:rsid w:val="00A26C54"/>
    <w:rsid w:val="00A35A70"/>
    <w:rsid w:val="00A3796D"/>
    <w:rsid w:val="00A4021B"/>
    <w:rsid w:val="00A41565"/>
    <w:rsid w:val="00A42341"/>
    <w:rsid w:val="00A45420"/>
    <w:rsid w:val="00A52CEE"/>
    <w:rsid w:val="00A658AF"/>
    <w:rsid w:val="00A67D19"/>
    <w:rsid w:val="00A73F24"/>
    <w:rsid w:val="00A95983"/>
    <w:rsid w:val="00AA19E7"/>
    <w:rsid w:val="00AA1C42"/>
    <w:rsid w:val="00AA614F"/>
    <w:rsid w:val="00AB1B23"/>
    <w:rsid w:val="00AB2A81"/>
    <w:rsid w:val="00AB3FF0"/>
    <w:rsid w:val="00AC08EF"/>
    <w:rsid w:val="00AC0A30"/>
    <w:rsid w:val="00AC7682"/>
    <w:rsid w:val="00AC7905"/>
    <w:rsid w:val="00AC7A87"/>
    <w:rsid w:val="00AD18E9"/>
    <w:rsid w:val="00AD28C5"/>
    <w:rsid w:val="00AD35D3"/>
    <w:rsid w:val="00AD525D"/>
    <w:rsid w:val="00AE4E71"/>
    <w:rsid w:val="00AE5290"/>
    <w:rsid w:val="00AE6CDF"/>
    <w:rsid w:val="00AF11D5"/>
    <w:rsid w:val="00AF2483"/>
    <w:rsid w:val="00AF6122"/>
    <w:rsid w:val="00AF7E19"/>
    <w:rsid w:val="00B046DF"/>
    <w:rsid w:val="00B0601B"/>
    <w:rsid w:val="00B06B3E"/>
    <w:rsid w:val="00B102D9"/>
    <w:rsid w:val="00B106C6"/>
    <w:rsid w:val="00B20811"/>
    <w:rsid w:val="00B21753"/>
    <w:rsid w:val="00B246DD"/>
    <w:rsid w:val="00B26603"/>
    <w:rsid w:val="00B307A4"/>
    <w:rsid w:val="00B5182F"/>
    <w:rsid w:val="00B52F5E"/>
    <w:rsid w:val="00B53F60"/>
    <w:rsid w:val="00B661C1"/>
    <w:rsid w:val="00B70A0B"/>
    <w:rsid w:val="00B7385F"/>
    <w:rsid w:val="00B74E97"/>
    <w:rsid w:val="00B75D7F"/>
    <w:rsid w:val="00B84DAA"/>
    <w:rsid w:val="00B86B94"/>
    <w:rsid w:val="00B9382F"/>
    <w:rsid w:val="00BA01A8"/>
    <w:rsid w:val="00BA0DEA"/>
    <w:rsid w:val="00BA302F"/>
    <w:rsid w:val="00BB18C9"/>
    <w:rsid w:val="00BB2B10"/>
    <w:rsid w:val="00BB4888"/>
    <w:rsid w:val="00BB6D6F"/>
    <w:rsid w:val="00BC2F77"/>
    <w:rsid w:val="00BC3C88"/>
    <w:rsid w:val="00BC3FB6"/>
    <w:rsid w:val="00BD5C10"/>
    <w:rsid w:val="00BD747D"/>
    <w:rsid w:val="00BE3B33"/>
    <w:rsid w:val="00BE6EA2"/>
    <w:rsid w:val="00BF006A"/>
    <w:rsid w:val="00BF0CB5"/>
    <w:rsid w:val="00BF2021"/>
    <w:rsid w:val="00BF5A19"/>
    <w:rsid w:val="00BF689C"/>
    <w:rsid w:val="00C02572"/>
    <w:rsid w:val="00C063BE"/>
    <w:rsid w:val="00C06AB8"/>
    <w:rsid w:val="00C11CF4"/>
    <w:rsid w:val="00C135FF"/>
    <w:rsid w:val="00C138D9"/>
    <w:rsid w:val="00C14EBB"/>
    <w:rsid w:val="00C15447"/>
    <w:rsid w:val="00C15914"/>
    <w:rsid w:val="00C16C03"/>
    <w:rsid w:val="00C211BD"/>
    <w:rsid w:val="00C23262"/>
    <w:rsid w:val="00C23391"/>
    <w:rsid w:val="00C2400C"/>
    <w:rsid w:val="00C2483C"/>
    <w:rsid w:val="00C25EAE"/>
    <w:rsid w:val="00C26770"/>
    <w:rsid w:val="00C26850"/>
    <w:rsid w:val="00C30B5C"/>
    <w:rsid w:val="00C31134"/>
    <w:rsid w:val="00C32B5E"/>
    <w:rsid w:val="00C33457"/>
    <w:rsid w:val="00C339C4"/>
    <w:rsid w:val="00C37DEA"/>
    <w:rsid w:val="00C47867"/>
    <w:rsid w:val="00C5575E"/>
    <w:rsid w:val="00C579E9"/>
    <w:rsid w:val="00C65A96"/>
    <w:rsid w:val="00C710A4"/>
    <w:rsid w:val="00C7583B"/>
    <w:rsid w:val="00C7593B"/>
    <w:rsid w:val="00C771F0"/>
    <w:rsid w:val="00C80AB7"/>
    <w:rsid w:val="00C81248"/>
    <w:rsid w:val="00C81C57"/>
    <w:rsid w:val="00C81DFC"/>
    <w:rsid w:val="00C82A24"/>
    <w:rsid w:val="00C835A2"/>
    <w:rsid w:val="00C855E5"/>
    <w:rsid w:val="00C85A56"/>
    <w:rsid w:val="00C869B5"/>
    <w:rsid w:val="00C87AD5"/>
    <w:rsid w:val="00C90207"/>
    <w:rsid w:val="00C9180D"/>
    <w:rsid w:val="00C93A54"/>
    <w:rsid w:val="00C9559E"/>
    <w:rsid w:val="00C9673A"/>
    <w:rsid w:val="00C97F25"/>
    <w:rsid w:val="00CA60E2"/>
    <w:rsid w:val="00CA74A0"/>
    <w:rsid w:val="00CB6E37"/>
    <w:rsid w:val="00CC3E7E"/>
    <w:rsid w:val="00CC48B6"/>
    <w:rsid w:val="00CC660D"/>
    <w:rsid w:val="00CC6B2D"/>
    <w:rsid w:val="00CD01AA"/>
    <w:rsid w:val="00CD650D"/>
    <w:rsid w:val="00CD7A1B"/>
    <w:rsid w:val="00CE041D"/>
    <w:rsid w:val="00CE57A9"/>
    <w:rsid w:val="00CF0BCD"/>
    <w:rsid w:val="00CF2340"/>
    <w:rsid w:val="00CF537E"/>
    <w:rsid w:val="00CF6B67"/>
    <w:rsid w:val="00CF7667"/>
    <w:rsid w:val="00D137D5"/>
    <w:rsid w:val="00D15C2F"/>
    <w:rsid w:val="00D17170"/>
    <w:rsid w:val="00D2212E"/>
    <w:rsid w:val="00D23554"/>
    <w:rsid w:val="00D23943"/>
    <w:rsid w:val="00D249F3"/>
    <w:rsid w:val="00D24C81"/>
    <w:rsid w:val="00D26793"/>
    <w:rsid w:val="00D334BA"/>
    <w:rsid w:val="00D33A62"/>
    <w:rsid w:val="00D417DA"/>
    <w:rsid w:val="00D43A05"/>
    <w:rsid w:val="00D55192"/>
    <w:rsid w:val="00D70FC6"/>
    <w:rsid w:val="00D75D1C"/>
    <w:rsid w:val="00D77881"/>
    <w:rsid w:val="00DA4421"/>
    <w:rsid w:val="00DA4A80"/>
    <w:rsid w:val="00DA67BE"/>
    <w:rsid w:val="00DB04B0"/>
    <w:rsid w:val="00DB110F"/>
    <w:rsid w:val="00DB209B"/>
    <w:rsid w:val="00DB3B85"/>
    <w:rsid w:val="00DC68F5"/>
    <w:rsid w:val="00DD066D"/>
    <w:rsid w:val="00DD17B4"/>
    <w:rsid w:val="00DD28AD"/>
    <w:rsid w:val="00DD355E"/>
    <w:rsid w:val="00DD7B34"/>
    <w:rsid w:val="00DF26ED"/>
    <w:rsid w:val="00DF2FC3"/>
    <w:rsid w:val="00DF3333"/>
    <w:rsid w:val="00DF49C5"/>
    <w:rsid w:val="00E002B5"/>
    <w:rsid w:val="00E03BDD"/>
    <w:rsid w:val="00E03C5E"/>
    <w:rsid w:val="00E03D76"/>
    <w:rsid w:val="00E0401A"/>
    <w:rsid w:val="00E136B4"/>
    <w:rsid w:val="00E20614"/>
    <w:rsid w:val="00E216B3"/>
    <w:rsid w:val="00E273E3"/>
    <w:rsid w:val="00E32B89"/>
    <w:rsid w:val="00E40344"/>
    <w:rsid w:val="00E41348"/>
    <w:rsid w:val="00E44BA5"/>
    <w:rsid w:val="00E457FD"/>
    <w:rsid w:val="00E5098C"/>
    <w:rsid w:val="00E51553"/>
    <w:rsid w:val="00E51F9F"/>
    <w:rsid w:val="00E57ED1"/>
    <w:rsid w:val="00E6009E"/>
    <w:rsid w:val="00E61780"/>
    <w:rsid w:val="00E650AE"/>
    <w:rsid w:val="00E6792A"/>
    <w:rsid w:val="00E74600"/>
    <w:rsid w:val="00E83419"/>
    <w:rsid w:val="00E85E97"/>
    <w:rsid w:val="00E91A86"/>
    <w:rsid w:val="00E93A61"/>
    <w:rsid w:val="00E93D30"/>
    <w:rsid w:val="00E9402D"/>
    <w:rsid w:val="00E95342"/>
    <w:rsid w:val="00EA46B6"/>
    <w:rsid w:val="00EA7BC5"/>
    <w:rsid w:val="00EB317F"/>
    <w:rsid w:val="00EB5C8E"/>
    <w:rsid w:val="00EC01C8"/>
    <w:rsid w:val="00EC389E"/>
    <w:rsid w:val="00EC59F7"/>
    <w:rsid w:val="00EC6192"/>
    <w:rsid w:val="00ED001A"/>
    <w:rsid w:val="00ED50F4"/>
    <w:rsid w:val="00ED76A9"/>
    <w:rsid w:val="00ED7F11"/>
    <w:rsid w:val="00EE05DB"/>
    <w:rsid w:val="00EE194C"/>
    <w:rsid w:val="00EE37E4"/>
    <w:rsid w:val="00EE7218"/>
    <w:rsid w:val="00EF23E9"/>
    <w:rsid w:val="00EF2D22"/>
    <w:rsid w:val="00EF3412"/>
    <w:rsid w:val="00EF49F0"/>
    <w:rsid w:val="00EF5B91"/>
    <w:rsid w:val="00F0262C"/>
    <w:rsid w:val="00F03DF9"/>
    <w:rsid w:val="00F0418D"/>
    <w:rsid w:val="00F07C8E"/>
    <w:rsid w:val="00F114BB"/>
    <w:rsid w:val="00F122FD"/>
    <w:rsid w:val="00F156C3"/>
    <w:rsid w:val="00F15E74"/>
    <w:rsid w:val="00F16485"/>
    <w:rsid w:val="00F16875"/>
    <w:rsid w:val="00F210F9"/>
    <w:rsid w:val="00F21DEF"/>
    <w:rsid w:val="00F23F1E"/>
    <w:rsid w:val="00F332FD"/>
    <w:rsid w:val="00F35991"/>
    <w:rsid w:val="00F368C8"/>
    <w:rsid w:val="00F46AE2"/>
    <w:rsid w:val="00F51AF3"/>
    <w:rsid w:val="00F80BCB"/>
    <w:rsid w:val="00F83951"/>
    <w:rsid w:val="00F84343"/>
    <w:rsid w:val="00F8613C"/>
    <w:rsid w:val="00F87FC5"/>
    <w:rsid w:val="00F90362"/>
    <w:rsid w:val="00F906F4"/>
    <w:rsid w:val="00F93126"/>
    <w:rsid w:val="00F9326A"/>
    <w:rsid w:val="00F968BB"/>
    <w:rsid w:val="00FA2BC9"/>
    <w:rsid w:val="00FA3463"/>
    <w:rsid w:val="00FA581C"/>
    <w:rsid w:val="00FB450C"/>
    <w:rsid w:val="00FC1C58"/>
    <w:rsid w:val="00FC5CBF"/>
    <w:rsid w:val="00FD2585"/>
    <w:rsid w:val="00FD6155"/>
    <w:rsid w:val="00FE2967"/>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6B3E"/>
    <w:pPr>
      <w:widowControl w:val="0"/>
    </w:pPr>
    <w:rPr>
      <w:snapToGrid w:val="0"/>
      <w:kern w:val="28"/>
      <w:szCs w:val="20"/>
    </w:rPr>
  </w:style>
  <w:style w:type="paragraph" w:styleId="Heading1">
    <w:name w:val="heading 1"/>
    <w:basedOn w:val="Normal"/>
    <w:next w:val="ParaNum"/>
    <w:link w:val="Heading1Char"/>
    <w:qFormat/>
    <w:rsid w:val="00B06B3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06B3E"/>
    <w:pPr>
      <w:keepNext/>
      <w:numPr>
        <w:ilvl w:val="1"/>
        <w:numId w:val="2"/>
      </w:numPr>
      <w:spacing w:after="120"/>
      <w:outlineLvl w:val="1"/>
    </w:pPr>
    <w:rPr>
      <w:b/>
    </w:rPr>
  </w:style>
  <w:style w:type="paragraph" w:styleId="Heading3">
    <w:name w:val="heading 3"/>
    <w:basedOn w:val="Normal"/>
    <w:next w:val="ParaNum"/>
    <w:link w:val="Heading3Char"/>
    <w:qFormat/>
    <w:rsid w:val="00B06B3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06B3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06B3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06B3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06B3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06B3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06B3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6B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B3E"/>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B06B3E"/>
    <w:pPr>
      <w:numPr>
        <w:numId w:val="1"/>
      </w:numPr>
      <w:tabs>
        <w:tab w:val="clear" w:pos="1080"/>
        <w:tab w:val="num" w:pos="1440"/>
      </w:tabs>
      <w:spacing w:after="120"/>
    </w:pPr>
  </w:style>
  <w:style w:type="paragraph" w:styleId="EndnoteText">
    <w:name w:val="endnote text"/>
    <w:basedOn w:val="Normal"/>
    <w:link w:val="EndnoteTextChar"/>
    <w:semiHidden/>
    <w:rsid w:val="00B06B3E"/>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B06B3E"/>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B06B3E"/>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B06B3E"/>
    <w:rPr>
      <w:rFonts w:ascii="Times New Roman" w:hAnsi="Times New Roman"/>
      <w:dstrike w:val="0"/>
      <w:color w:val="auto"/>
      <w:sz w:val="20"/>
      <w:vertAlign w:val="superscript"/>
    </w:rPr>
  </w:style>
  <w:style w:type="paragraph" w:styleId="TOC1">
    <w:name w:val="toc 1"/>
    <w:basedOn w:val="Normal"/>
    <w:next w:val="Normal"/>
    <w:rsid w:val="00B06B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6B3E"/>
    <w:pPr>
      <w:tabs>
        <w:tab w:val="left" w:pos="720"/>
        <w:tab w:val="right" w:leader="dot" w:pos="9360"/>
      </w:tabs>
      <w:suppressAutoHyphens/>
      <w:ind w:left="720" w:right="720" w:hanging="360"/>
    </w:pPr>
    <w:rPr>
      <w:noProof/>
    </w:rPr>
  </w:style>
  <w:style w:type="paragraph" w:styleId="TOC3">
    <w:name w:val="toc 3"/>
    <w:basedOn w:val="Normal"/>
    <w:next w:val="Normal"/>
    <w:semiHidden/>
    <w:rsid w:val="00B06B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6B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6B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6B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6B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6B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6B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6B3E"/>
    <w:pPr>
      <w:tabs>
        <w:tab w:val="right" w:pos="9360"/>
      </w:tabs>
      <w:suppressAutoHyphens/>
    </w:pPr>
  </w:style>
  <w:style w:type="character" w:customStyle="1" w:styleId="EquationCaption">
    <w:name w:val="_Equation Caption"/>
    <w:rsid w:val="00B06B3E"/>
  </w:style>
  <w:style w:type="paragraph" w:styleId="Header">
    <w:name w:val="header"/>
    <w:basedOn w:val="Normal"/>
    <w:link w:val="HeaderChar"/>
    <w:autoRedefine/>
    <w:rsid w:val="00B06B3E"/>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B06B3E"/>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B06B3E"/>
  </w:style>
  <w:style w:type="paragraph" w:styleId="BlockText">
    <w:name w:val="Block Text"/>
    <w:basedOn w:val="Normal"/>
    <w:rsid w:val="00B06B3E"/>
    <w:pPr>
      <w:spacing w:after="240"/>
      <w:ind w:left="1440" w:right="1440"/>
    </w:pPr>
  </w:style>
  <w:style w:type="paragraph" w:customStyle="1" w:styleId="Paratitle">
    <w:name w:val="Para title"/>
    <w:basedOn w:val="Normal"/>
    <w:rsid w:val="00B06B3E"/>
    <w:pPr>
      <w:tabs>
        <w:tab w:val="center" w:pos="9270"/>
      </w:tabs>
      <w:spacing w:after="240"/>
    </w:pPr>
    <w:rPr>
      <w:spacing w:val="-2"/>
    </w:rPr>
  </w:style>
  <w:style w:type="paragraph" w:customStyle="1" w:styleId="Bullet">
    <w:name w:val="Bullet"/>
    <w:basedOn w:val="Normal"/>
    <w:rsid w:val="00B06B3E"/>
    <w:pPr>
      <w:tabs>
        <w:tab w:val="left" w:pos="2160"/>
      </w:tabs>
      <w:spacing w:after="220"/>
      <w:ind w:left="2160" w:hanging="720"/>
    </w:pPr>
  </w:style>
  <w:style w:type="paragraph" w:customStyle="1" w:styleId="TableFormat">
    <w:name w:val="TableFormat"/>
    <w:basedOn w:val="Bullet"/>
    <w:rsid w:val="00B06B3E"/>
    <w:pPr>
      <w:tabs>
        <w:tab w:val="clear" w:pos="2160"/>
        <w:tab w:val="left" w:pos="5040"/>
      </w:tabs>
      <w:ind w:left="5040" w:hanging="3600"/>
    </w:pPr>
  </w:style>
  <w:style w:type="paragraph" w:customStyle="1" w:styleId="TOCTitle">
    <w:name w:val="TOC Title"/>
    <w:basedOn w:val="Normal"/>
    <w:rsid w:val="00B06B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6B3E"/>
    <w:pPr>
      <w:jc w:val="center"/>
    </w:pPr>
    <w:rPr>
      <w:rFonts w:ascii="Times New Roman Bold" w:hAnsi="Times New Roman Bold"/>
      <w:b/>
      <w:bCs/>
      <w:caps/>
      <w:szCs w:val="22"/>
    </w:rPr>
  </w:style>
  <w:style w:type="character" w:styleId="Hyperlink">
    <w:name w:val="Hyperlink"/>
    <w:rsid w:val="00B06B3E"/>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paragraph" w:styleId="PlainText">
    <w:name w:val="Plain Text"/>
    <w:basedOn w:val="Normal"/>
    <w:link w:val="PlainTextChar"/>
    <w:uiPriority w:val="99"/>
    <w:unhideWhenUsed/>
    <w:locked/>
    <w:rsid w:val="007D6254"/>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7D6254"/>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6B3E"/>
    <w:pPr>
      <w:widowControl w:val="0"/>
    </w:pPr>
    <w:rPr>
      <w:snapToGrid w:val="0"/>
      <w:kern w:val="28"/>
      <w:szCs w:val="20"/>
    </w:rPr>
  </w:style>
  <w:style w:type="paragraph" w:styleId="Heading1">
    <w:name w:val="heading 1"/>
    <w:basedOn w:val="Normal"/>
    <w:next w:val="ParaNum"/>
    <w:link w:val="Heading1Char"/>
    <w:qFormat/>
    <w:rsid w:val="00B06B3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06B3E"/>
    <w:pPr>
      <w:keepNext/>
      <w:numPr>
        <w:ilvl w:val="1"/>
        <w:numId w:val="2"/>
      </w:numPr>
      <w:spacing w:after="120"/>
      <w:outlineLvl w:val="1"/>
    </w:pPr>
    <w:rPr>
      <w:b/>
    </w:rPr>
  </w:style>
  <w:style w:type="paragraph" w:styleId="Heading3">
    <w:name w:val="heading 3"/>
    <w:basedOn w:val="Normal"/>
    <w:next w:val="ParaNum"/>
    <w:link w:val="Heading3Char"/>
    <w:qFormat/>
    <w:rsid w:val="00B06B3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06B3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06B3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06B3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06B3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06B3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06B3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6B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B3E"/>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B06B3E"/>
    <w:pPr>
      <w:numPr>
        <w:numId w:val="1"/>
      </w:numPr>
      <w:tabs>
        <w:tab w:val="clear" w:pos="1080"/>
        <w:tab w:val="num" w:pos="1440"/>
      </w:tabs>
      <w:spacing w:after="120"/>
    </w:pPr>
  </w:style>
  <w:style w:type="paragraph" w:styleId="EndnoteText">
    <w:name w:val="endnote text"/>
    <w:basedOn w:val="Normal"/>
    <w:link w:val="EndnoteTextChar"/>
    <w:semiHidden/>
    <w:rsid w:val="00B06B3E"/>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B06B3E"/>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B06B3E"/>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B06B3E"/>
    <w:rPr>
      <w:rFonts w:ascii="Times New Roman" w:hAnsi="Times New Roman"/>
      <w:dstrike w:val="0"/>
      <w:color w:val="auto"/>
      <w:sz w:val="20"/>
      <w:vertAlign w:val="superscript"/>
    </w:rPr>
  </w:style>
  <w:style w:type="paragraph" w:styleId="TOC1">
    <w:name w:val="toc 1"/>
    <w:basedOn w:val="Normal"/>
    <w:next w:val="Normal"/>
    <w:rsid w:val="00B06B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6B3E"/>
    <w:pPr>
      <w:tabs>
        <w:tab w:val="left" w:pos="720"/>
        <w:tab w:val="right" w:leader="dot" w:pos="9360"/>
      </w:tabs>
      <w:suppressAutoHyphens/>
      <w:ind w:left="720" w:right="720" w:hanging="360"/>
    </w:pPr>
    <w:rPr>
      <w:noProof/>
    </w:rPr>
  </w:style>
  <w:style w:type="paragraph" w:styleId="TOC3">
    <w:name w:val="toc 3"/>
    <w:basedOn w:val="Normal"/>
    <w:next w:val="Normal"/>
    <w:semiHidden/>
    <w:rsid w:val="00B06B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6B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6B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6B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6B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6B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6B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6B3E"/>
    <w:pPr>
      <w:tabs>
        <w:tab w:val="right" w:pos="9360"/>
      </w:tabs>
      <w:suppressAutoHyphens/>
    </w:pPr>
  </w:style>
  <w:style w:type="character" w:customStyle="1" w:styleId="EquationCaption">
    <w:name w:val="_Equation Caption"/>
    <w:rsid w:val="00B06B3E"/>
  </w:style>
  <w:style w:type="paragraph" w:styleId="Header">
    <w:name w:val="header"/>
    <w:basedOn w:val="Normal"/>
    <w:link w:val="HeaderChar"/>
    <w:autoRedefine/>
    <w:rsid w:val="00B06B3E"/>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B06B3E"/>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B06B3E"/>
  </w:style>
  <w:style w:type="paragraph" w:styleId="BlockText">
    <w:name w:val="Block Text"/>
    <w:basedOn w:val="Normal"/>
    <w:rsid w:val="00B06B3E"/>
    <w:pPr>
      <w:spacing w:after="240"/>
      <w:ind w:left="1440" w:right="1440"/>
    </w:pPr>
  </w:style>
  <w:style w:type="paragraph" w:customStyle="1" w:styleId="Paratitle">
    <w:name w:val="Para title"/>
    <w:basedOn w:val="Normal"/>
    <w:rsid w:val="00B06B3E"/>
    <w:pPr>
      <w:tabs>
        <w:tab w:val="center" w:pos="9270"/>
      </w:tabs>
      <w:spacing w:after="240"/>
    </w:pPr>
    <w:rPr>
      <w:spacing w:val="-2"/>
    </w:rPr>
  </w:style>
  <w:style w:type="paragraph" w:customStyle="1" w:styleId="Bullet">
    <w:name w:val="Bullet"/>
    <w:basedOn w:val="Normal"/>
    <w:rsid w:val="00B06B3E"/>
    <w:pPr>
      <w:tabs>
        <w:tab w:val="left" w:pos="2160"/>
      </w:tabs>
      <w:spacing w:after="220"/>
      <w:ind w:left="2160" w:hanging="720"/>
    </w:pPr>
  </w:style>
  <w:style w:type="paragraph" w:customStyle="1" w:styleId="TableFormat">
    <w:name w:val="TableFormat"/>
    <w:basedOn w:val="Bullet"/>
    <w:rsid w:val="00B06B3E"/>
    <w:pPr>
      <w:tabs>
        <w:tab w:val="clear" w:pos="2160"/>
        <w:tab w:val="left" w:pos="5040"/>
      </w:tabs>
      <w:ind w:left="5040" w:hanging="3600"/>
    </w:pPr>
  </w:style>
  <w:style w:type="paragraph" w:customStyle="1" w:styleId="TOCTitle">
    <w:name w:val="TOC Title"/>
    <w:basedOn w:val="Normal"/>
    <w:rsid w:val="00B06B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6B3E"/>
    <w:pPr>
      <w:jc w:val="center"/>
    </w:pPr>
    <w:rPr>
      <w:rFonts w:ascii="Times New Roman Bold" w:hAnsi="Times New Roman Bold"/>
      <w:b/>
      <w:bCs/>
      <w:caps/>
      <w:szCs w:val="22"/>
    </w:rPr>
  </w:style>
  <w:style w:type="character" w:styleId="Hyperlink">
    <w:name w:val="Hyperlink"/>
    <w:rsid w:val="00B06B3E"/>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paragraph" w:styleId="PlainText">
    <w:name w:val="Plain Text"/>
    <w:basedOn w:val="Normal"/>
    <w:link w:val="PlainTextChar"/>
    <w:uiPriority w:val="99"/>
    <w:unhideWhenUsed/>
    <w:locked/>
    <w:rsid w:val="007D6254"/>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7D6254"/>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2185</Words>
  <Characters>11762</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2015-03-18T13:45:00Z</dcterms:created>
  <dcterms:modified xsi:type="dcterms:W3CDTF">2015-03-18T13:45:00Z</dcterms:modified>
  <cp:category> </cp:category>
  <cp:contentStatus> </cp:contentStatus>
</cp:coreProperties>
</file>