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5" w:rsidRDefault="00E4481B">
      <w:pPr>
        <w:pStyle w:val="Header"/>
        <w:tabs>
          <w:tab w:val="clear" w:pos="4320"/>
          <w:tab w:val="clear" w:pos="8640"/>
        </w:tabs>
        <w:rPr>
          <w:szCs w:val="22"/>
        </w:rPr>
        <w:sectPr w:rsidR="00B61F0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p>
    <w:p w:rsidR="00B61F05" w:rsidRDefault="001F343C">
      <w:pPr>
        <w:suppressAutoHyphens/>
        <w:ind w:left="7920"/>
        <w:jc w:val="right"/>
        <w:rPr>
          <w:b/>
          <w:szCs w:val="22"/>
        </w:rPr>
      </w:pPr>
      <w:r>
        <w:rPr>
          <w:b/>
          <w:szCs w:val="22"/>
        </w:rPr>
        <w:lastRenderedPageBreak/>
        <w:t>DA 15</w:t>
      </w:r>
      <w:r w:rsidR="005319D1">
        <w:rPr>
          <w:b/>
          <w:szCs w:val="22"/>
        </w:rPr>
        <w:t>-</w:t>
      </w:r>
      <w:r w:rsidR="00D470B8">
        <w:rPr>
          <w:b/>
          <w:szCs w:val="22"/>
        </w:rPr>
        <w:t>33</w:t>
      </w:r>
    </w:p>
    <w:p w:rsidR="00B61F05" w:rsidRDefault="0037372C">
      <w:pPr>
        <w:suppressAutoHyphens/>
        <w:spacing w:after="240"/>
        <w:ind w:left="720"/>
        <w:jc w:val="right"/>
        <w:rPr>
          <w:b/>
          <w:szCs w:val="22"/>
        </w:rPr>
      </w:pPr>
      <w:r>
        <w:rPr>
          <w:b/>
          <w:szCs w:val="22"/>
        </w:rPr>
        <w:t xml:space="preserve">Released:  </w:t>
      </w:r>
      <w:r w:rsidR="001F343C">
        <w:rPr>
          <w:b/>
          <w:szCs w:val="22"/>
        </w:rPr>
        <w:t>January</w:t>
      </w:r>
      <w:r w:rsidR="003D48CD">
        <w:rPr>
          <w:b/>
          <w:szCs w:val="22"/>
        </w:rPr>
        <w:t xml:space="preserve"> </w:t>
      </w:r>
      <w:r w:rsidR="00113F49">
        <w:rPr>
          <w:b/>
          <w:szCs w:val="22"/>
        </w:rPr>
        <w:t>8</w:t>
      </w:r>
      <w:r w:rsidR="001F343C">
        <w:rPr>
          <w:b/>
          <w:szCs w:val="22"/>
        </w:rPr>
        <w:t>, 2015</w:t>
      </w:r>
    </w:p>
    <w:p w:rsidR="00113F49" w:rsidRDefault="00B61F05">
      <w:pPr>
        <w:autoSpaceDE w:val="0"/>
        <w:autoSpaceDN w:val="0"/>
        <w:adjustRightInd w:val="0"/>
        <w:jc w:val="center"/>
        <w:rPr>
          <w:b/>
          <w:szCs w:val="22"/>
        </w:rPr>
      </w:pPr>
      <w:r>
        <w:rPr>
          <w:b/>
          <w:szCs w:val="22"/>
        </w:rPr>
        <w:t>DOMESTIC SECTIO</w:t>
      </w:r>
      <w:r w:rsidR="00534C15">
        <w:rPr>
          <w:b/>
          <w:szCs w:val="22"/>
        </w:rPr>
        <w:t>N 214 APPLICATION FILED FOR THE</w:t>
      </w:r>
      <w:r w:rsidR="00A177E0">
        <w:rPr>
          <w:b/>
          <w:szCs w:val="22"/>
        </w:rPr>
        <w:t xml:space="preserve"> </w:t>
      </w:r>
      <w:r w:rsidR="001F343C">
        <w:rPr>
          <w:b/>
          <w:szCs w:val="22"/>
        </w:rPr>
        <w:t>A</w:t>
      </w:r>
      <w:r w:rsidR="007B2203">
        <w:rPr>
          <w:b/>
          <w:szCs w:val="22"/>
        </w:rPr>
        <w:t>QUISITION</w:t>
      </w:r>
      <w:r w:rsidR="001F343C">
        <w:rPr>
          <w:b/>
          <w:szCs w:val="22"/>
        </w:rPr>
        <w:t xml:space="preserve"> OF </w:t>
      </w:r>
      <w:r w:rsidR="00113F49">
        <w:rPr>
          <w:b/>
          <w:szCs w:val="22"/>
        </w:rPr>
        <w:t xml:space="preserve">CERTAIN </w:t>
      </w:r>
      <w:r w:rsidR="001F343C">
        <w:rPr>
          <w:b/>
          <w:szCs w:val="22"/>
        </w:rPr>
        <w:t xml:space="preserve">ASSETS </w:t>
      </w:r>
      <w:r w:rsidR="009E4024">
        <w:rPr>
          <w:b/>
          <w:szCs w:val="22"/>
        </w:rPr>
        <w:t xml:space="preserve">OF </w:t>
      </w:r>
      <w:r w:rsidR="001F343C">
        <w:rPr>
          <w:b/>
          <w:szCs w:val="22"/>
        </w:rPr>
        <w:t>BPM, INC., D/B/</w:t>
      </w:r>
      <w:r w:rsidR="007B2203">
        <w:rPr>
          <w:b/>
          <w:szCs w:val="22"/>
        </w:rPr>
        <w:t>A NOXAPATER TELEPHONE COMPANY BY</w:t>
      </w:r>
      <w:r w:rsidR="001F343C">
        <w:rPr>
          <w:b/>
          <w:szCs w:val="22"/>
        </w:rPr>
        <w:t xml:space="preserve"> </w:t>
      </w:r>
    </w:p>
    <w:p w:rsidR="00B61F05" w:rsidRDefault="001F343C">
      <w:pPr>
        <w:autoSpaceDE w:val="0"/>
        <w:autoSpaceDN w:val="0"/>
        <w:adjustRightInd w:val="0"/>
        <w:jc w:val="center"/>
        <w:rPr>
          <w:b/>
          <w:szCs w:val="22"/>
        </w:rPr>
      </w:pPr>
      <w:r>
        <w:rPr>
          <w:b/>
          <w:szCs w:val="22"/>
        </w:rPr>
        <w:t>THE NOVA TELEPHONE COMPANY</w:t>
      </w:r>
      <w:r w:rsidR="003D48CD">
        <w:rPr>
          <w:b/>
          <w:szCs w:val="22"/>
        </w:rPr>
        <w:t xml:space="preserve"> </w:t>
      </w:r>
      <w:r w:rsidR="003E0703">
        <w:rPr>
          <w:b/>
          <w:szCs w:val="22"/>
        </w:rPr>
        <w:t xml:space="preserve"> </w:t>
      </w:r>
    </w:p>
    <w:p w:rsidR="008B2CC4" w:rsidRDefault="008B2CC4">
      <w:pPr>
        <w:autoSpaceDE w:val="0"/>
        <w:autoSpaceDN w:val="0"/>
        <w:adjustRightInd w:val="0"/>
        <w:jc w:val="center"/>
        <w:rPr>
          <w:b/>
          <w:szCs w:val="22"/>
        </w:rPr>
      </w:pPr>
    </w:p>
    <w:p w:rsidR="00B61F05" w:rsidRDefault="00B61F05">
      <w:pPr>
        <w:suppressAutoHyphens/>
        <w:spacing w:after="240"/>
        <w:jc w:val="center"/>
        <w:rPr>
          <w:b/>
          <w:caps/>
          <w:szCs w:val="22"/>
        </w:rPr>
      </w:pPr>
      <w:r>
        <w:rPr>
          <w:b/>
          <w:caps/>
          <w:szCs w:val="22"/>
        </w:rPr>
        <w:t>STREAMLINED Pleading Cycle Established</w:t>
      </w:r>
    </w:p>
    <w:p w:rsidR="00B61F05" w:rsidRDefault="00C84939">
      <w:pPr>
        <w:suppressAutoHyphens/>
        <w:spacing w:after="240"/>
        <w:jc w:val="center"/>
        <w:rPr>
          <w:b/>
          <w:szCs w:val="22"/>
        </w:rPr>
      </w:pPr>
      <w:r>
        <w:rPr>
          <w:b/>
          <w:szCs w:val="22"/>
        </w:rPr>
        <w:t>WC Docket No. 14</w:t>
      </w:r>
      <w:r w:rsidR="007E5178">
        <w:rPr>
          <w:b/>
          <w:szCs w:val="22"/>
        </w:rPr>
        <w:t>-</w:t>
      </w:r>
      <w:r>
        <w:rPr>
          <w:b/>
          <w:szCs w:val="22"/>
        </w:rPr>
        <w:t>269</w:t>
      </w:r>
    </w:p>
    <w:p w:rsidR="00B61F05" w:rsidRDefault="008D3675">
      <w:pPr>
        <w:suppressAutoHyphens/>
        <w:rPr>
          <w:b/>
          <w:szCs w:val="22"/>
        </w:rPr>
      </w:pPr>
      <w:r>
        <w:rPr>
          <w:b/>
          <w:szCs w:val="22"/>
        </w:rPr>
        <w:t>Comments Due:</w:t>
      </w:r>
      <w:r w:rsidR="0037372C">
        <w:rPr>
          <w:b/>
          <w:szCs w:val="22"/>
        </w:rPr>
        <w:t xml:space="preserve"> </w:t>
      </w:r>
      <w:r w:rsidR="001F343C">
        <w:rPr>
          <w:b/>
          <w:szCs w:val="22"/>
        </w:rPr>
        <w:t>January</w:t>
      </w:r>
      <w:r w:rsidR="00A16864">
        <w:rPr>
          <w:b/>
          <w:szCs w:val="22"/>
        </w:rPr>
        <w:t xml:space="preserve"> </w:t>
      </w:r>
      <w:r w:rsidR="00113F49">
        <w:rPr>
          <w:b/>
          <w:szCs w:val="22"/>
        </w:rPr>
        <w:t>22</w:t>
      </w:r>
      <w:r w:rsidR="001F343C">
        <w:rPr>
          <w:b/>
          <w:szCs w:val="22"/>
        </w:rPr>
        <w:t>, 2015</w:t>
      </w:r>
    </w:p>
    <w:p w:rsidR="00B61F05" w:rsidRDefault="001F343C">
      <w:pPr>
        <w:suppressAutoHyphens/>
        <w:rPr>
          <w:b/>
          <w:szCs w:val="22"/>
        </w:rPr>
      </w:pPr>
      <w:r>
        <w:rPr>
          <w:b/>
          <w:szCs w:val="22"/>
        </w:rPr>
        <w:t>Reply Comments Due:  January</w:t>
      </w:r>
      <w:r w:rsidR="00A16864">
        <w:rPr>
          <w:b/>
          <w:szCs w:val="22"/>
        </w:rPr>
        <w:t xml:space="preserve"> </w:t>
      </w:r>
      <w:r w:rsidR="00113F49">
        <w:rPr>
          <w:b/>
          <w:szCs w:val="22"/>
        </w:rPr>
        <w:t>29</w:t>
      </w:r>
      <w:r>
        <w:rPr>
          <w:b/>
          <w:szCs w:val="22"/>
        </w:rPr>
        <w:t>, 2015</w:t>
      </w:r>
    </w:p>
    <w:p w:rsidR="00B61F05" w:rsidRDefault="00B61F05">
      <w:pPr>
        <w:autoSpaceDE w:val="0"/>
        <w:autoSpaceDN w:val="0"/>
        <w:adjustRightInd w:val="0"/>
        <w:rPr>
          <w:rFonts w:ascii="Arial" w:hAnsi="Arial" w:cs="Arial"/>
          <w:szCs w:val="22"/>
        </w:rPr>
      </w:pPr>
    </w:p>
    <w:p w:rsidR="001F343C" w:rsidRDefault="009E4024" w:rsidP="001F343C">
      <w:pPr>
        <w:autoSpaceDE w:val="0"/>
        <w:autoSpaceDN w:val="0"/>
        <w:adjustRightInd w:val="0"/>
        <w:ind w:firstLine="720"/>
        <w:rPr>
          <w:szCs w:val="22"/>
        </w:rPr>
      </w:pPr>
      <w:r>
        <w:rPr>
          <w:szCs w:val="22"/>
        </w:rPr>
        <w:t>On December</w:t>
      </w:r>
      <w:r w:rsidR="007B67A4">
        <w:rPr>
          <w:szCs w:val="22"/>
        </w:rPr>
        <w:t xml:space="preserve"> </w:t>
      </w:r>
      <w:r>
        <w:rPr>
          <w:szCs w:val="22"/>
        </w:rPr>
        <w:t>31, 2014</w:t>
      </w:r>
      <w:r w:rsidR="00B61F05" w:rsidRPr="00441F01">
        <w:rPr>
          <w:szCs w:val="22"/>
        </w:rPr>
        <w:t xml:space="preserve">, </w:t>
      </w:r>
      <w:r w:rsidR="001F343C">
        <w:rPr>
          <w:szCs w:val="22"/>
        </w:rPr>
        <w:t xml:space="preserve">BPM, Inc., </w:t>
      </w:r>
      <w:r w:rsidR="007B2203">
        <w:rPr>
          <w:szCs w:val="22"/>
        </w:rPr>
        <w:t xml:space="preserve">d/b/a </w:t>
      </w:r>
      <w:r w:rsidR="001F343C">
        <w:rPr>
          <w:szCs w:val="22"/>
        </w:rPr>
        <w:t xml:space="preserve">Noxapater Telephone Company (BPM) and The Nova Telephone Company (Nova), (collectively, Applicants) filed </w:t>
      </w:r>
      <w:r w:rsidR="001F343C" w:rsidRPr="00441F01">
        <w:rPr>
          <w:szCs w:val="22"/>
        </w:rPr>
        <w:t>an application pursuant to section 63.03 of the Commission’s rules</w:t>
      </w:r>
      <w:r w:rsidR="001F343C">
        <w:rPr>
          <w:szCs w:val="22"/>
        </w:rPr>
        <w:t xml:space="preserve"> for the</w:t>
      </w:r>
      <w:r w:rsidR="00113F49">
        <w:rPr>
          <w:szCs w:val="22"/>
        </w:rPr>
        <w:t xml:space="preserve"> transfer</w:t>
      </w:r>
      <w:r w:rsidR="001F343C">
        <w:rPr>
          <w:szCs w:val="22"/>
        </w:rPr>
        <w:t xml:space="preserve"> of domestic Section 214 authorization and related domestic telecommunications assets of BPM to Nova.</w:t>
      </w:r>
      <w:r w:rsidR="00537DAE" w:rsidRPr="00537DAE">
        <w:rPr>
          <w:szCs w:val="22"/>
          <w:vertAlign w:val="superscript"/>
        </w:rPr>
        <w:footnoteReference w:id="1"/>
      </w:r>
    </w:p>
    <w:p w:rsidR="001F343C" w:rsidRDefault="001F343C" w:rsidP="001F343C">
      <w:pPr>
        <w:autoSpaceDE w:val="0"/>
        <w:autoSpaceDN w:val="0"/>
        <w:adjustRightInd w:val="0"/>
        <w:ind w:firstLine="720"/>
        <w:rPr>
          <w:szCs w:val="22"/>
        </w:rPr>
      </w:pPr>
    </w:p>
    <w:p w:rsidR="00F27C79" w:rsidRDefault="001F343C" w:rsidP="001F343C">
      <w:pPr>
        <w:autoSpaceDE w:val="0"/>
        <w:autoSpaceDN w:val="0"/>
        <w:adjustRightInd w:val="0"/>
        <w:ind w:firstLine="720"/>
        <w:rPr>
          <w:szCs w:val="22"/>
        </w:rPr>
      </w:pPr>
      <w:r>
        <w:rPr>
          <w:szCs w:val="22"/>
        </w:rPr>
        <w:t>BPM</w:t>
      </w:r>
      <w:r w:rsidR="007B2203">
        <w:rPr>
          <w:szCs w:val="22"/>
        </w:rPr>
        <w:t xml:space="preserve">, </w:t>
      </w:r>
      <w:r>
        <w:rPr>
          <w:szCs w:val="22"/>
        </w:rPr>
        <w:t>a Mississippi corporation</w:t>
      </w:r>
      <w:r w:rsidR="007B2203">
        <w:rPr>
          <w:szCs w:val="22"/>
        </w:rPr>
        <w:t xml:space="preserve">, </w:t>
      </w:r>
      <w:r>
        <w:rPr>
          <w:szCs w:val="22"/>
        </w:rPr>
        <w:t>provides local exchange and exchange access service</w:t>
      </w:r>
      <w:r w:rsidR="00113F49">
        <w:rPr>
          <w:szCs w:val="22"/>
        </w:rPr>
        <w:t>s</w:t>
      </w:r>
      <w:r>
        <w:rPr>
          <w:szCs w:val="22"/>
        </w:rPr>
        <w:t xml:space="preserve"> as an incumbent local exchange carrier (LEC) in the Noxapater exchange in </w:t>
      </w:r>
      <w:r w:rsidR="00113F49">
        <w:rPr>
          <w:szCs w:val="22"/>
        </w:rPr>
        <w:t xml:space="preserve">the </w:t>
      </w:r>
      <w:r>
        <w:rPr>
          <w:szCs w:val="22"/>
        </w:rPr>
        <w:t xml:space="preserve">Winston, Neshoba and Attala Counties in rural east central Mississippi. </w:t>
      </w:r>
      <w:r w:rsidR="00EE6834">
        <w:rPr>
          <w:szCs w:val="22"/>
        </w:rPr>
        <w:t xml:space="preserve"> </w:t>
      </w:r>
      <w:r w:rsidR="007B2203">
        <w:rPr>
          <w:szCs w:val="22"/>
        </w:rPr>
        <w:t xml:space="preserve">BPM is wholly owned by </w:t>
      </w:r>
      <w:r w:rsidR="00EE6834">
        <w:rPr>
          <w:szCs w:val="22"/>
        </w:rPr>
        <w:t>Colonial Telephone Company</w:t>
      </w:r>
      <w:r w:rsidR="007B2203">
        <w:rPr>
          <w:szCs w:val="22"/>
        </w:rPr>
        <w:t>, a U.S. entity</w:t>
      </w:r>
      <w:r w:rsidR="00EE6834">
        <w:rPr>
          <w:szCs w:val="22"/>
        </w:rPr>
        <w:t xml:space="preserve">. </w:t>
      </w:r>
      <w:r w:rsidR="007B2203">
        <w:rPr>
          <w:szCs w:val="22"/>
        </w:rPr>
        <w:t xml:space="preserve"> </w:t>
      </w:r>
      <w:r w:rsidR="00EE6834">
        <w:rPr>
          <w:szCs w:val="22"/>
        </w:rPr>
        <w:t>In turn</w:t>
      </w:r>
      <w:r w:rsidR="007B2203">
        <w:rPr>
          <w:szCs w:val="22"/>
        </w:rPr>
        <w:t xml:space="preserve">, </w:t>
      </w:r>
      <w:r w:rsidR="00EE6834">
        <w:rPr>
          <w:szCs w:val="22"/>
        </w:rPr>
        <w:t>Colonial Telephone Company</w:t>
      </w:r>
      <w:r w:rsidR="00734979">
        <w:rPr>
          <w:szCs w:val="22"/>
        </w:rPr>
        <w:t xml:space="preserve"> is wholly owned by </w:t>
      </w:r>
      <w:r w:rsidR="006C5BE0">
        <w:rPr>
          <w:szCs w:val="22"/>
        </w:rPr>
        <w:t xml:space="preserve">John E. Pearce, </w:t>
      </w:r>
      <w:r w:rsidR="00734979">
        <w:rPr>
          <w:szCs w:val="22"/>
        </w:rPr>
        <w:t xml:space="preserve">a </w:t>
      </w:r>
      <w:r w:rsidR="006C5BE0">
        <w:rPr>
          <w:szCs w:val="22"/>
        </w:rPr>
        <w:t>U.S. citizen</w:t>
      </w:r>
      <w:r w:rsidR="00EE6834">
        <w:rPr>
          <w:szCs w:val="22"/>
        </w:rPr>
        <w:t xml:space="preserve">. </w:t>
      </w:r>
      <w:r w:rsidR="00734979">
        <w:rPr>
          <w:szCs w:val="22"/>
        </w:rPr>
        <w:t xml:space="preserve"> </w:t>
      </w:r>
      <w:r w:rsidR="00EE6834">
        <w:rPr>
          <w:szCs w:val="22"/>
        </w:rPr>
        <w:t xml:space="preserve">No other individual or entity owns any of the issued and outstanding stock of BPM prior to or at the time of the proposed transaction. </w:t>
      </w:r>
    </w:p>
    <w:p w:rsidR="001F343C" w:rsidRDefault="001F343C" w:rsidP="001F343C">
      <w:pPr>
        <w:autoSpaceDE w:val="0"/>
        <w:autoSpaceDN w:val="0"/>
        <w:adjustRightInd w:val="0"/>
        <w:ind w:firstLine="720"/>
        <w:rPr>
          <w:szCs w:val="22"/>
        </w:rPr>
      </w:pPr>
    </w:p>
    <w:p w:rsidR="001F343C" w:rsidRDefault="00734979" w:rsidP="001F343C">
      <w:pPr>
        <w:autoSpaceDE w:val="0"/>
        <w:autoSpaceDN w:val="0"/>
        <w:adjustRightInd w:val="0"/>
        <w:ind w:firstLine="720"/>
        <w:rPr>
          <w:szCs w:val="22"/>
        </w:rPr>
      </w:pPr>
      <w:r>
        <w:rPr>
          <w:szCs w:val="22"/>
        </w:rPr>
        <w:t xml:space="preserve">Nova, </w:t>
      </w:r>
      <w:r w:rsidR="001F343C">
        <w:rPr>
          <w:szCs w:val="22"/>
        </w:rPr>
        <w:t>an Ohio corporation</w:t>
      </w:r>
      <w:r>
        <w:rPr>
          <w:szCs w:val="22"/>
        </w:rPr>
        <w:t>,</w:t>
      </w:r>
      <w:r w:rsidR="001F343C">
        <w:rPr>
          <w:szCs w:val="22"/>
        </w:rPr>
        <w:t xml:space="preserve"> provides local exchange and exchange access service</w:t>
      </w:r>
      <w:r w:rsidR="00113F49">
        <w:rPr>
          <w:szCs w:val="22"/>
        </w:rPr>
        <w:t>s</w:t>
      </w:r>
      <w:r w:rsidR="001F343C">
        <w:rPr>
          <w:szCs w:val="22"/>
        </w:rPr>
        <w:t xml:space="preserve"> as an </w:t>
      </w:r>
      <w:r>
        <w:rPr>
          <w:szCs w:val="22"/>
        </w:rPr>
        <w:t xml:space="preserve">incumbent </w:t>
      </w:r>
      <w:r w:rsidR="001F343C">
        <w:rPr>
          <w:szCs w:val="22"/>
        </w:rPr>
        <w:t>LEC in the Nova exchange in Ashland County in rural north central Ohio.  Nova has no existing operations or affiliates in Mississippi</w:t>
      </w:r>
      <w:r>
        <w:rPr>
          <w:szCs w:val="22"/>
        </w:rPr>
        <w:t xml:space="preserve">.  </w:t>
      </w:r>
      <w:r w:rsidR="006C5BE0">
        <w:rPr>
          <w:szCs w:val="22"/>
        </w:rPr>
        <w:t xml:space="preserve">Nova </w:t>
      </w:r>
      <w:r>
        <w:rPr>
          <w:szCs w:val="22"/>
        </w:rPr>
        <w:t xml:space="preserve">is wholly owned by </w:t>
      </w:r>
      <w:r w:rsidR="006C5BE0">
        <w:rPr>
          <w:szCs w:val="22"/>
        </w:rPr>
        <w:t>VNC Enterprises</w:t>
      </w:r>
      <w:r>
        <w:rPr>
          <w:szCs w:val="22"/>
        </w:rPr>
        <w:t xml:space="preserve">, a </w:t>
      </w:r>
      <w:r w:rsidR="00DE2632">
        <w:rPr>
          <w:szCs w:val="22"/>
        </w:rPr>
        <w:t xml:space="preserve">Texas limited liability </w:t>
      </w:r>
      <w:r>
        <w:rPr>
          <w:szCs w:val="22"/>
        </w:rPr>
        <w:t>co</w:t>
      </w:r>
      <w:r w:rsidR="00DE2632">
        <w:rPr>
          <w:szCs w:val="22"/>
        </w:rPr>
        <w:t>mpany</w:t>
      </w:r>
      <w:r w:rsidR="006C5BE0">
        <w:rPr>
          <w:szCs w:val="22"/>
        </w:rPr>
        <w:t xml:space="preserve">. </w:t>
      </w:r>
      <w:r>
        <w:rPr>
          <w:szCs w:val="22"/>
        </w:rPr>
        <w:t xml:space="preserve"> </w:t>
      </w:r>
      <w:r w:rsidR="004B79D4">
        <w:rPr>
          <w:szCs w:val="22"/>
        </w:rPr>
        <w:t xml:space="preserve">Nova’s ultimate owner, Charles D. Mattingly, </w:t>
      </w:r>
      <w:r w:rsidR="006C5BE0">
        <w:rPr>
          <w:szCs w:val="22"/>
        </w:rPr>
        <w:t>J</w:t>
      </w:r>
      <w:r w:rsidR="004B79D4">
        <w:rPr>
          <w:szCs w:val="22"/>
        </w:rPr>
        <w:t>r, is also the sole member of KCL Enterprises, LLC, a Texas limited liability company that owns the Dunnell Telephone Company (DTC).  DTC provides local exchange and</w:t>
      </w:r>
      <w:r>
        <w:rPr>
          <w:szCs w:val="22"/>
        </w:rPr>
        <w:t xml:space="preserve"> exchange access service</w:t>
      </w:r>
      <w:r w:rsidR="00113F49">
        <w:rPr>
          <w:szCs w:val="22"/>
        </w:rPr>
        <w:t>s</w:t>
      </w:r>
      <w:r>
        <w:rPr>
          <w:szCs w:val="22"/>
        </w:rPr>
        <w:t xml:space="preserve"> as an incumbent </w:t>
      </w:r>
      <w:r w:rsidR="004B79D4">
        <w:rPr>
          <w:szCs w:val="22"/>
        </w:rPr>
        <w:t>LEC, as well as resold long distance toll services, in the Dunnell exchange in Martin County in rural south central Minnesota.</w:t>
      </w:r>
      <w:r>
        <w:rPr>
          <w:szCs w:val="22"/>
        </w:rPr>
        <w:t xml:space="preserve"> </w:t>
      </w:r>
      <w:r w:rsidR="004B79D4">
        <w:rPr>
          <w:szCs w:val="22"/>
        </w:rPr>
        <w:t xml:space="preserve"> Nova has n</w:t>
      </w:r>
      <w:r>
        <w:rPr>
          <w:szCs w:val="22"/>
        </w:rPr>
        <w:t>o</w:t>
      </w:r>
      <w:r w:rsidR="004B79D4">
        <w:rPr>
          <w:szCs w:val="22"/>
        </w:rPr>
        <w:t xml:space="preserve"> ownership interest in, or affiliation with, any other entity that offers domestic telecommunications services. </w:t>
      </w:r>
    </w:p>
    <w:p w:rsidR="006777F6" w:rsidRDefault="006777F6" w:rsidP="00760CA3">
      <w:pPr>
        <w:autoSpaceDE w:val="0"/>
        <w:autoSpaceDN w:val="0"/>
        <w:adjustRightInd w:val="0"/>
        <w:rPr>
          <w:szCs w:val="22"/>
        </w:rPr>
      </w:pPr>
    </w:p>
    <w:p w:rsidR="000D54EC" w:rsidRDefault="006777F6" w:rsidP="000D54EC">
      <w:pPr>
        <w:autoSpaceDE w:val="0"/>
        <w:autoSpaceDN w:val="0"/>
        <w:adjustRightInd w:val="0"/>
        <w:ind w:firstLine="720"/>
        <w:rPr>
          <w:szCs w:val="22"/>
        </w:rPr>
      </w:pPr>
      <w:r>
        <w:rPr>
          <w:szCs w:val="22"/>
        </w:rPr>
        <w:t>Pur</w:t>
      </w:r>
      <w:r w:rsidR="001861D1">
        <w:rPr>
          <w:szCs w:val="22"/>
        </w:rPr>
        <w:t xml:space="preserve">suant to the terms of the </w:t>
      </w:r>
      <w:r w:rsidR="009E4024">
        <w:rPr>
          <w:szCs w:val="22"/>
        </w:rPr>
        <w:t xml:space="preserve">proposed </w:t>
      </w:r>
      <w:r w:rsidR="001861D1">
        <w:rPr>
          <w:szCs w:val="22"/>
        </w:rPr>
        <w:t xml:space="preserve">transaction, </w:t>
      </w:r>
      <w:r w:rsidR="009E4024">
        <w:rPr>
          <w:szCs w:val="22"/>
        </w:rPr>
        <w:t>Nova is purchasing all of the domestic telecommunications assets of BPM</w:t>
      </w:r>
      <w:r w:rsidR="00734979">
        <w:rPr>
          <w:szCs w:val="22"/>
        </w:rPr>
        <w:t xml:space="preserve"> used in the operation of the incumbent </w:t>
      </w:r>
      <w:r w:rsidR="009E4024">
        <w:rPr>
          <w:szCs w:val="22"/>
        </w:rPr>
        <w:t xml:space="preserve">LEC in the Noxapater, Mississippi local exchange.  The Applicants state </w:t>
      </w:r>
      <w:r w:rsidR="00113F49">
        <w:rPr>
          <w:szCs w:val="22"/>
        </w:rPr>
        <w:t xml:space="preserve">that </w:t>
      </w:r>
      <w:r w:rsidR="009E4024">
        <w:rPr>
          <w:szCs w:val="22"/>
        </w:rPr>
        <w:t xml:space="preserve">after completion of the proposed transaction, Nova </w:t>
      </w:r>
      <w:r w:rsidR="009E4024">
        <w:rPr>
          <w:szCs w:val="22"/>
        </w:rPr>
        <w:lastRenderedPageBreak/>
        <w:t>will own and op</w:t>
      </w:r>
      <w:r w:rsidR="00734979">
        <w:rPr>
          <w:szCs w:val="22"/>
        </w:rPr>
        <w:t xml:space="preserve">erate the acquired Mississippi incumbent </w:t>
      </w:r>
      <w:r w:rsidR="009E4024">
        <w:rPr>
          <w:szCs w:val="22"/>
        </w:rPr>
        <w:t xml:space="preserve">LEC business under the </w:t>
      </w:r>
      <w:r w:rsidR="00C3169F">
        <w:rPr>
          <w:szCs w:val="22"/>
        </w:rPr>
        <w:t>d/b/a</w:t>
      </w:r>
      <w:r w:rsidR="009E4024">
        <w:rPr>
          <w:szCs w:val="22"/>
        </w:rPr>
        <w:t xml:space="preserve"> trade name of Noxapater Telephone Company.  </w:t>
      </w:r>
      <w:r w:rsidR="00734979">
        <w:rPr>
          <w:szCs w:val="22"/>
        </w:rPr>
        <w:t xml:space="preserve">Applicants state that </w:t>
      </w:r>
      <w:r w:rsidR="009E4024">
        <w:rPr>
          <w:szCs w:val="22"/>
        </w:rPr>
        <w:t xml:space="preserve">Nova has no plans to change service rates, terms and conditions.  </w:t>
      </w:r>
      <w:r w:rsidR="00B61F05" w:rsidRPr="00441F01">
        <w:rPr>
          <w:szCs w:val="22"/>
        </w:rPr>
        <w:t>Applicants assert that the proposed transaction is entitled to presumptive streamlined tr</w:t>
      </w:r>
      <w:r w:rsidR="004E377B" w:rsidRPr="00441F01">
        <w:rPr>
          <w:szCs w:val="22"/>
        </w:rPr>
        <w:t>eatment under section 63.03(b)(</w:t>
      </w:r>
      <w:r w:rsidR="00D10A4E">
        <w:rPr>
          <w:szCs w:val="22"/>
        </w:rPr>
        <w:t>2</w:t>
      </w:r>
      <w:r w:rsidR="001364F6">
        <w:rPr>
          <w:szCs w:val="22"/>
        </w:rPr>
        <w:t>)(</w:t>
      </w:r>
      <w:r w:rsidR="006C5BE0">
        <w:rPr>
          <w:szCs w:val="22"/>
        </w:rPr>
        <w:t>ii</w:t>
      </w:r>
      <w:r w:rsidR="00F53F81" w:rsidRPr="00441F01">
        <w:rPr>
          <w:szCs w:val="22"/>
        </w:rPr>
        <w:t>i</w:t>
      </w:r>
      <w:r w:rsidR="00B61F05" w:rsidRPr="00441F01">
        <w:rPr>
          <w:szCs w:val="22"/>
        </w:rPr>
        <w:t>) of the Commission’s rules and that a grant of the application will serve the public interest, convenience, and necessity.</w:t>
      </w:r>
      <w:r w:rsidR="00B61F05" w:rsidRPr="00441F01">
        <w:rPr>
          <w:rStyle w:val="FootnoteReference"/>
          <w:szCs w:val="22"/>
        </w:rPr>
        <w:footnoteReference w:id="2"/>
      </w:r>
    </w:p>
    <w:p w:rsidR="002C2F3E" w:rsidRDefault="002C2F3E" w:rsidP="004D05BF">
      <w:pPr>
        <w:ind w:right="720"/>
        <w:rPr>
          <w:szCs w:val="22"/>
        </w:rPr>
      </w:pPr>
    </w:p>
    <w:p w:rsidR="00B61F05" w:rsidRDefault="00B61F05">
      <w:pPr>
        <w:ind w:left="720" w:right="720"/>
        <w:rPr>
          <w:szCs w:val="22"/>
        </w:rPr>
      </w:pPr>
      <w:r>
        <w:rPr>
          <w:szCs w:val="22"/>
        </w:rPr>
        <w:t xml:space="preserve">Domestic Section 214 Application Filed for the </w:t>
      </w:r>
      <w:r w:rsidR="000D54EC">
        <w:rPr>
          <w:szCs w:val="22"/>
        </w:rPr>
        <w:t>Assignment of Assets of BPM, Inc., d/b/a Noxapater Telephone Company to The Nova Telephone Company</w:t>
      </w:r>
      <w:r w:rsidR="002C2F3E">
        <w:rPr>
          <w:szCs w:val="22"/>
        </w:rPr>
        <w:t xml:space="preserve">, </w:t>
      </w:r>
      <w:r w:rsidR="004D05BF">
        <w:rPr>
          <w:szCs w:val="22"/>
        </w:rPr>
        <w:t>WC Docke</w:t>
      </w:r>
      <w:r w:rsidR="00C84939">
        <w:rPr>
          <w:szCs w:val="22"/>
        </w:rPr>
        <w:t>t No. 14</w:t>
      </w:r>
      <w:r w:rsidR="00101C6E">
        <w:rPr>
          <w:szCs w:val="22"/>
        </w:rPr>
        <w:t>-</w:t>
      </w:r>
      <w:r w:rsidR="00C84939">
        <w:rPr>
          <w:szCs w:val="22"/>
        </w:rPr>
        <w:t>269</w:t>
      </w:r>
      <w:r w:rsidR="001364F6">
        <w:rPr>
          <w:szCs w:val="22"/>
        </w:rPr>
        <w:t xml:space="preserve"> (filed</w:t>
      </w:r>
      <w:r w:rsidR="009E4024">
        <w:rPr>
          <w:szCs w:val="22"/>
        </w:rPr>
        <w:t xml:space="preserve"> </w:t>
      </w:r>
      <w:r w:rsidR="00EE6834">
        <w:rPr>
          <w:szCs w:val="22"/>
        </w:rPr>
        <w:t>Dec</w:t>
      </w:r>
      <w:r w:rsidR="00C66D86">
        <w:rPr>
          <w:szCs w:val="22"/>
        </w:rPr>
        <w:t>.</w:t>
      </w:r>
      <w:r w:rsidR="004D05BF">
        <w:rPr>
          <w:szCs w:val="22"/>
        </w:rPr>
        <w:t xml:space="preserve"> </w:t>
      </w:r>
      <w:r w:rsidR="00EE6834">
        <w:rPr>
          <w:szCs w:val="22"/>
        </w:rPr>
        <w:t>31</w:t>
      </w:r>
      <w:r w:rsidR="009E4024">
        <w:rPr>
          <w:szCs w:val="22"/>
        </w:rPr>
        <w:t>, 201</w:t>
      </w:r>
      <w:r w:rsidR="00EE6834">
        <w:rPr>
          <w:szCs w:val="22"/>
        </w:rPr>
        <w:t>4</w:t>
      </w:r>
      <w:r>
        <w:rPr>
          <w:szCs w:val="22"/>
        </w:rPr>
        <w:t>).</w:t>
      </w:r>
    </w:p>
    <w:p w:rsidR="008E77C1" w:rsidRDefault="008E77C1" w:rsidP="008E77C1">
      <w:pPr>
        <w:ind w:right="720"/>
        <w:rPr>
          <w:szCs w:val="22"/>
        </w:rPr>
      </w:pPr>
    </w:p>
    <w:p w:rsidR="008E77C1" w:rsidRPr="008E77C1" w:rsidRDefault="008E77C1" w:rsidP="008E77C1">
      <w:pPr>
        <w:ind w:right="720"/>
        <w:rPr>
          <w:szCs w:val="22"/>
        </w:rPr>
      </w:pPr>
      <w:r w:rsidRPr="008E77C1">
        <w:rPr>
          <w:b/>
          <w:szCs w:val="22"/>
          <w:u w:val="single"/>
        </w:rPr>
        <w:t>GENERAL INFORMATION</w:t>
      </w:r>
    </w:p>
    <w:p w:rsidR="008E77C1" w:rsidRPr="008E77C1" w:rsidRDefault="008E77C1" w:rsidP="008E77C1">
      <w:pPr>
        <w:ind w:right="720"/>
        <w:rPr>
          <w:szCs w:val="22"/>
        </w:rPr>
      </w:pPr>
    </w:p>
    <w:p w:rsidR="008E77C1" w:rsidRPr="008E77C1" w:rsidRDefault="008E77C1" w:rsidP="008E77C1">
      <w:pPr>
        <w:ind w:firstLine="720"/>
        <w:rPr>
          <w:szCs w:val="22"/>
        </w:rPr>
      </w:pPr>
      <w:r w:rsidRPr="008E77C1">
        <w:rPr>
          <w:szCs w:val="22"/>
        </w:rPr>
        <w:t xml:space="preserve">The transfer of </w:t>
      </w:r>
      <w:r w:rsidR="00C73103">
        <w:rPr>
          <w:szCs w:val="22"/>
        </w:rPr>
        <w:t>assets</w:t>
      </w:r>
      <w:r w:rsidR="004F2435">
        <w:rPr>
          <w:szCs w:val="22"/>
        </w:rPr>
        <w:t xml:space="preserve"> </w:t>
      </w:r>
      <w:r w:rsidRPr="008E77C1">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8E77C1">
        <w:rPr>
          <w:b/>
          <w:szCs w:val="22"/>
        </w:rPr>
        <w:t xml:space="preserve">on or before </w:t>
      </w:r>
      <w:r w:rsidR="004624BE">
        <w:rPr>
          <w:b/>
          <w:szCs w:val="22"/>
        </w:rPr>
        <w:t xml:space="preserve">January </w:t>
      </w:r>
      <w:r w:rsidR="00113F49">
        <w:rPr>
          <w:b/>
          <w:szCs w:val="22"/>
        </w:rPr>
        <w:t>22</w:t>
      </w:r>
      <w:r w:rsidRPr="008E77C1">
        <w:rPr>
          <w:b/>
          <w:szCs w:val="22"/>
        </w:rPr>
        <w:t>, 201</w:t>
      </w:r>
      <w:r w:rsidR="004624BE">
        <w:rPr>
          <w:b/>
          <w:szCs w:val="22"/>
        </w:rPr>
        <w:t>5</w:t>
      </w:r>
      <w:r w:rsidRPr="008E77C1">
        <w:rPr>
          <w:szCs w:val="22"/>
        </w:rPr>
        <w:t xml:space="preserve">, and reply comments </w:t>
      </w:r>
      <w:r w:rsidRPr="008E77C1">
        <w:rPr>
          <w:b/>
          <w:szCs w:val="22"/>
        </w:rPr>
        <w:t xml:space="preserve">on or before </w:t>
      </w:r>
      <w:r w:rsidR="004624BE">
        <w:rPr>
          <w:b/>
          <w:szCs w:val="22"/>
        </w:rPr>
        <w:t>January</w:t>
      </w:r>
      <w:r w:rsidR="00113F49">
        <w:rPr>
          <w:b/>
          <w:szCs w:val="22"/>
        </w:rPr>
        <w:t xml:space="preserve"> 29</w:t>
      </w:r>
      <w:r w:rsidRPr="008E77C1">
        <w:rPr>
          <w:b/>
          <w:szCs w:val="22"/>
        </w:rPr>
        <w:t>, 201</w:t>
      </w:r>
      <w:r w:rsidR="004624BE">
        <w:rPr>
          <w:b/>
          <w:szCs w:val="22"/>
        </w:rPr>
        <w:t>5</w:t>
      </w:r>
      <w:r w:rsidRPr="008E77C1">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8E77C1" w:rsidRPr="008E77C1" w:rsidRDefault="008E77C1" w:rsidP="008E77C1">
      <w:pPr>
        <w:rPr>
          <w:szCs w:val="22"/>
        </w:rPr>
      </w:pPr>
    </w:p>
    <w:p w:rsidR="008E77C1" w:rsidRPr="008E77C1" w:rsidRDefault="008E77C1" w:rsidP="008E77C1">
      <w:pPr>
        <w:ind w:firstLine="720"/>
        <w:rPr>
          <w:szCs w:val="22"/>
        </w:rPr>
      </w:pPr>
      <w:r w:rsidRPr="008E77C1">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8E77C1" w:rsidRPr="008E77C1" w:rsidRDefault="008E77C1" w:rsidP="008E77C1">
      <w:pPr>
        <w:rPr>
          <w:szCs w:val="22"/>
        </w:rPr>
      </w:pPr>
    </w:p>
    <w:p w:rsidR="008E77C1" w:rsidRPr="008E77C1" w:rsidRDefault="008E77C1" w:rsidP="008E77C1">
      <w:pPr>
        <w:rPr>
          <w:b/>
          <w:szCs w:val="22"/>
        </w:rPr>
      </w:pPr>
      <w:r w:rsidRPr="008E77C1">
        <w:rPr>
          <w:b/>
          <w:szCs w:val="22"/>
        </w:rPr>
        <w:t>In addition, e-mail one copy of each pleading to each of the following:</w:t>
      </w:r>
    </w:p>
    <w:p w:rsidR="008E77C1" w:rsidRPr="008E77C1" w:rsidRDefault="008E77C1" w:rsidP="008E77C1">
      <w:pPr>
        <w:rPr>
          <w:szCs w:val="22"/>
        </w:rPr>
      </w:pPr>
    </w:p>
    <w:p w:rsidR="008E77C1" w:rsidRPr="008E77C1" w:rsidRDefault="00680978" w:rsidP="008E77C1">
      <w:pPr>
        <w:numPr>
          <w:ilvl w:val="0"/>
          <w:numId w:val="17"/>
        </w:numPr>
        <w:rPr>
          <w:szCs w:val="22"/>
        </w:rPr>
      </w:pPr>
      <w:r>
        <w:rPr>
          <w:szCs w:val="22"/>
        </w:rPr>
        <w:t>Tracey Wilson</w:t>
      </w:r>
      <w:r w:rsidR="008E77C1" w:rsidRPr="008E77C1">
        <w:rPr>
          <w:szCs w:val="22"/>
        </w:rPr>
        <w:t xml:space="preserve">, Competition Policy Division, Wireline Competition Bureau, </w:t>
      </w:r>
      <w:r>
        <w:rPr>
          <w:szCs w:val="22"/>
        </w:rPr>
        <w:t>tracey.wilson</w:t>
      </w:r>
      <w:r w:rsidR="008E77C1" w:rsidRPr="008E77C1">
        <w:rPr>
          <w:szCs w:val="22"/>
        </w:rPr>
        <w:t>@fcc.gov;</w:t>
      </w:r>
    </w:p>
    <w:p w:rsidR="008E77C1" w:rsidRPr="008E77C1" w:rsidRDefault="008E77C1" w:rsidP="008E77C1">
      <w:pPr>
        <w:rPr>
          <w:szCs w:val="22"/>
        </w:rPr>
      </w:pPr>
    </w:p>
    <w:p w:rsidR="008E77C1" w:rsidRDefault="00C73103" w:rsidP="008E77C1">
      <w:pPr>
        <w:numPr>
          <w:ilvl w:val="0"/>
          <w:numId w:val="17"/>
        </w:numPr>
        <w:rPr>
          <w:szCs w:val="22"/>
        </w:rPr>
      </w:pPr>
      <w:r>
        <w:rPr>
          <w:szCs w:val="22"/>
        </w:rPr>
        <w:t>Dennis Johnson</w:t>
      </w:r>
      <w:r w:rsidR="008E77C1" w:rsidRPr="008E77C1">
        <w:rPr>
          <w:szCs w:val="22"/>
        </w:rPr>
        <w:t>, Competition Policy Division, Wireli</w:t>
      </w:r>
      <w:r w:rsidR="00A35FA4">
        <w:rPr>
          <w:szCs w:val="22"/>
        </w:rPr>
        <w:t>ne Competition Burea</w:t>
      </w:r>
      <w:r w:rsidR="00E150B6">
        <w:rPr>
          <w:szCs w:val="22"/>
        </w:rPr>
        <w:t xml:space="preserve">u, </w:t>
      </w:r>
      <w:r>
        <w:rPr>
          <w:szCs w:val="22"/>
        </w:rPr>
        <w:t>dennis.johnson@fcc.gov;</w:t>
      </w:r>
    </w:p>
    <w:p w:rsidR="007534EF" w:rsidRDefault="007534EF" w:rsidP="007534EF">
      <w:pPr>
        <w:pStyle w:val="ListParagraph"/>
        <w:rPr>
          <w:szCs w:val="22"/>
        </w:rPr>
      </w:pPr>
    </w:p>
    <w:p w:rsidR="007534EF" w:rsidRPr="008E77C1" w:rsidRDefault="007534EF" w:rsidP="008E77C1">
      <w:pPr>
        <w:numPr>
          <w:ilvl w:val="0"/>
          <w:numId w:val="17"/>
        </w:numPr>
        <w:rPr>
          <w:szCs w:val="22"/>
        </w:rPr>
      </w:pPr>
      <w:r>
        <w:rPr>
          <w:szCs w:val="22"/>
        </w:rPr>
        <w:t>David Krech, Policy Division, International Bureau, david.krech@fcc.gov;</w:t>
      </w:r>
    </w:p>
    <w:p w:rsidR="008E77C1" w:rsidRPr="008E77C1" w:rsidRDefault="008E77C1" w:rsidP="008E77C1">
      <w:pPr>
        <w:rPr>
          <w:szCs w:val="22"/>
        </w:rPr>
      </w:pPr>
    </w:p>
    <w:p w:rsidR="008E77C1" w:rsidRPr="008E77C1" w:rsidRDefault="008E77C1" w:rsidP="008E77C1">
      <w:pPr>
        <w:numPr>
          <w:ilvl w:val="0"/>
          <w:numId w:val="17"/>
        </w:numPr>
        <w:rPr>
          <w:szCs w:val="22"/>
        </w:rPr>
      </w:pPr>
      <w:r w:rsidRPr="008E77C1">
        <w:rPr>
          <w:szCs w:val="22"/>
        </w:rPr>
        <w:t xml:space="preserve">Jim Bird, Office of General Counsel, </w:t>
      </w:r>
      <w:hyperlink r:id="rId14" w:history="1">
        <w:r w:rsidR="00C73103" w:rsidRPr="004452AD">
          <w:rPr>
            <w:rStyle w:val="Hyperlink"/>
            <w:szCs w:val="22"/>
          </w:rPr>
          <w:t>jim.bird@fcc.gov</w:t>
        </w:r>
      </w:hyperlink>
      <w:r w:rsidRPr="008E77C1">
        <w:rPr>
          <w:szCs w:val="22"/>
        </w:rPr>
        <w:t>.</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 xml:space="preserve">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w:t>
      </w:r>
      <w:r w:rsidRPr="008E77C1">
        <w:rPr>
          <w:szCs w:val="22"/>
        </w:rPr>
        <w:lastRenderedPageBreak/>
        <w:t>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8E77C1" w:rsidRPr="008E77C1" w:rsidRDefault="008E77C1" w:rsidP="008E77C1">
      <w:pPr>
        <w:rPr>
          <w:szCs w:val="22"/>
        </w:rPr>
      </w:pPr>
    </w:p>
    <w:p w:rsidR="008E77C1" w:rsidRPr="008E77C1" w:rsidRDefault="008E77C1" w:rsidP="008E77C1">
      <w:pPr>
        <w:rPr>
          <w:szCs w:val="22"/>
        </w:rPr>
      </w:pPr>
      <w:r w:rsidRPr="008E77C1">
        <w:rPr>
          <w:szCs w:val="22"/>
        </w:rPr>
        <w:tab/>
        <w:t xml:space="preserve">For further information, please contact </w:t>
      </w:r>
      <w:r w:rsidR="00A4495B">
        <w:rPr>
          <w:szCs w:val="22"/>
        </w:rPr>
        <w:t>Tracey Wilson</w:t>
      </w:r>
      <w:r w:rsidRPr="008E77C1">
        <w:rPr>
          <w:szCs w:val="22"/>
        </w:rPr>
        <w:t xml:space="preserve"> at (202) 418-1</w:t>
      </w:r>
      <w:r w:rsidR="00A4495B">
        <w:rPr>
          <w:szCs w:val="22"/>
        </w:rPr>
        <w:t>394</w:t>
      </w:r>
      <w:r w:rsidRPr="008E77C1">
        <w:rPr>
          <w:szCs w:val="22"/>
        </w:rPr>
        <w:t xml:space="preserve"> o</w:t>
      </w:r>
      <w:r w:rsidR="00E150B6">
        <w:rPr>
          <w:szCs w:val="22"/>
        </w:rPr>
        <w:t xml:space="preserve">r </w:t>
      </w:r>
      <w:r w:rsidR="00C73103">
        <w:rPr>
          <w:szCs w:val="22"/>
        </w:rPr>
        <w:t>Dennis Johnson</w:t>
      </w:r>
      <w:r w:rsidR="00E150B6">
        <w:rPr>
          <w:szCs w:val="22"/>
        </w:rPr>
        <w:t xml:space="preserve"> at (202) 418-</w:t>
      </w:r>
      <w:r w:rsidR="00C73103">
        <w:rPr>
          <w:szCs w:val="22"/>
        </w:rPr>
        <w:t>0809</w:t>
      </w:r>
      <w:r w:rsidRPr="008E77C1">
        <w:rPr>
          <w:szCs w:val="22"/>
        </w:rPr>
        <w:t>.</w:t>
      </w:r>
    </w:p>
    <w:p w:rsidR="008E77C1" w:rsidRPr="008E77C1" w:rsidRDefault="008E77C1" w:rsidP="008E77C1">
      <w:pPr>
        <w:ind w:left="720" w:right="720"/>
        <w:rPr>
          <w:szCs w:val="22"/>
        </w:rPr>
      </w:pPr>
    </w:p>
    <w:p w:rsidR="008E77C1" w:rsidRPr="008E77C1" w:rsidRDefault="008E77C1" w:rsidP="008E77C1">
      <w:pPr>
        <w:jc w:val="center"/>
        <w:rPr>
          <w:szCs w:val="22"/>
        </w:rPr>
      </w:pPr>
      <w:r w:rsidRPr="008E77C1">
        <w:rPr>
          <w:b/>
          <w:szCs w:val="22"/>
        </w:rPr>
        <w:t>- FCC -</w:t>
      </w:r>
    </w:p>
    <w:p w:rsidR="008E77C1" w:rsidRDefault="008E77C1" w:rsidP="008E77C1">
      <w:pPr>
        <w:ind w:right="720"/>
        <w:rPr>
          <w:szCs w:val="22"/>
        </w:rPr>
      </w:pPr>
    </w:p>
    <w:p w:rsidR="008E77C1" w:rsidRDefault="008E77C1" w:rsidP="008E77C1">
      <w:pPr>
        <w:ind w:right="720"/>
        <w:rPr>
          <w:szCs w:val="22"/>
        </w:rPr>
      </w:pPr>
    </w:p>
    <w:p w:rsidR="008E77C1" w:rsidRDefault="008E77C1" w:rsidP="008E77C1">
      <w:pPr>
        <w:ind w:right="720"/>
        <w:rPr>
          <w:szCs w:val="22"/>
        </w:rPr>
      </w:pPr>
    </w:p>
    <w:p w:rsidR="00B61F05" w:rsidRDefault="00B61F05">
      <w:pPr>
        <w:autoSpaceDE w:val="0"/>
        <w:autoSpaceDN w:val="0"/>
        <w:adjustRightInd w:val="0"/>
        <w:ind w:firstLine="720"/>
        <w:rPr>
          <w:szCs w:val="22"/>
        </w:rPr>
      </w:pPr>
    </w:p>
    <w:sectPr w:rsidR="00B61F05" w:rsidSect="00EF2C8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4D" w:rsidRDefault="001D4F4D">
      <w:r>
        <w:separator/>
      </w:r>
    </w:p>
  </w:endnote>
  <w:endnote w:type="continuationSeparator" w:id="0">
    <w:p w:rsidR="001D4F4D" w:rsidRDefault="001D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6" w:rsidRDefault="000B7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09107"/>
      <w:docPartObj>
        <w:docPartGallery w:val="Page Numbers (Bottom of Page)"/>
        <w:docPartUnique/>
      </w:docPartObj>
    </w:sdtPr>
    <w:sdtEndPr>
      <w:rPr>
        <w:noProof/>
      </w:rPr>
    </w:sdtEndPr>
    <w:sdtContent>
      <w:p w:rsidR="00EF2A58" w:rsidRDefault="00027DC2">
        <w:pPr>
          <w:pStyle w:val="Footer"/>
          <w:jc w:val="center"/>
        </w:pPr>
        <w:r>
          <w:fldChar w:fldCharType="begin"/>
        </w:r>
        <w:r w:rsidR="00EF2A58">
          <w:instrText xml:space="preserve"> PAGE   \* MERGEFORMAT </w:instrText>
        </w:r>
        <w:r>
          <w:fldChar w:fldCharType="separate"/>
        </w:r>
        <w:r w:rsidR="004213B2">
          <w:rPr>
            <w:noProof/>
          </w:rPr>
          <w:t>2</w:t>
        </w:r>
        <w:r>
          <w:rPr>
            <w:noProof/>
          </w:rPr>
          <w:fldChar w:fldCharType="end"/>
        </w:r>
      </w:p>
    </w:sdtContent>
  </w:sdt>
  <w:p w:rsidR="00EF2A58" w:rsidRDefault="00EF2A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6" w:rsidRDefault="000B7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4D" w:rsidRDefault="001D4F4D">
      <w:r>
        <w:separator/>
      </w:r>
    </w:p>
  </w:footnote>
  <w:footnote w:type="continuationSeparator" w:id="0">
    <w:p w:rsidR="001D4F4D" w:rsidRDefault="001D4F4D">
      <w:r>
        <w:continuationSeparator/>
      </w:r>
    </w:p>
  </w:footnote>
  <w:footnote w:id="1">
    <w:p w:rsidR="00537DAE" w:rsidRDefault="00537DAE" w:rsidP="00537DAE">
      <w:pPr>
        <w:pStyle w:val="FootnoteText"/>
        <w:rPr>
          <w:sz w:val="20"/>
        </w:rPr>
      </w:pPr>
      <w:r>
        <w:rPr>
          <w:rStyle w:val="FootnoteReference"/>
          <w:sz w:val="20"/>
        </w:rPr>
        <w:footnoteRef/>
      </w:r>
      <w:r>
        <w:rPr>
          <w:sz w:val="20"/>
        </w:rPr>
        <w:t xml:space="preserve">  47 C.F.R § 63.03; </w:t>
      </w:r>
      <w:r>
        <w:rPr>
          <w:i/>
          <w:sz w:val="20"/>
        </w:rPr>
        <w:t xml:space="preserve">see </w:t>
      </w:r>
      <w:r>
        <w:rPr>
          <w:sz w:val="20"/>
        </w:rPr>
        <w:t>47 U.S.C. § 214.</w:t>
      </w:r>
      <w:r w:rsidR="00DF7112">
        <w:rPr>
          <w:sz w:val="20"/>
        </w:rPr>
        <w:t xml:space="preserve"> </w:t>
      </w:r>
      <w:r w:rsidR="009E4024">
        <w:rPr>
          <w:sz w:val="20"/>
        </w:rPr>
        <w:t xml:space="preserve"> </w:t>
      </w:r>
      <w:r>
        <w:rPr>
          <w:sz w:val="20"/>
        </w:rPr>
        <w:t xml:space="preserve">  </w:t>
      </w:r>
    </w:p>
  </w:footnote>
  <w:footnote w:id="2">
    <w:p w:rsidR="000703BB" w:rsidRDefault="000703BB">
      <w:pPr>
        <w:pStyle w:val="FootnoteText"/>
        <w:rPr>
          <w:sz w:val="20"/>
        </w:rPr>
      </w:pPr>
      <w:r>
        <w:rPr>
          <w:rStyle w:val="FootnoteReference"/>
          <w:sz w:val="20"/>
        </w:rPr>
        <w:footnoteRef/>
      </w:r>
      <w:r>
        <w:rPr>
          <w:sz w:val="20"/>
        </w:rPr>
        <w:t xml:space="preserve"> 47 C.F.R. § 63.03(b)(</w:t>
      </w:r>
      <w:r w:rsidR="00D10A4E">
        <w:rPr>
          <w:sz w:val="20"/>
          <w:lang w:val="en-US"/>
        </w:rPr>
        <w:t>2</w:t>
      </w:r>
      <w:r>
        <w:rPr>
          <w:sz w:val="20"/>
        </w:rPr>
        <w:t>)(</w:t>
      </w:r>
      <w:r w:rsidR="001861D1">
        <w:rPr>
          <w:sz w:val="20"/>
        </w:rPr>
        <w:t>i</w:t>
      </w:r>
      <w:r w:rsidR="006C5BE0">
        <w:rPr>
          <w:sz w:val="20"/>
        </w:rPr>
        <w:t>ii</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6" w:rsidRDefault="000B7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6" w:rsidRDefault="000B7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BB" w:rsidRDefault="005C099D">
    <w:pPr>
      <w:pStyle w:val="Header"/>
      <w:tabs>
        <w:tab w:val="clear" w:pos="4320"/>
        <w:tab w:val="clear" w:pos="8640"/>
      </w:tabs>
      <w:spacing w:before="40"/>
      <w:ind w:firstLine="1080"/>
      <w:rPr>
        <w:rFonts w:ascii="Calibri" w:hAnsi="Calibri" w:cs="Calibri"/>
        <w:b/>
        <w:kern w:val="28"/>
        <w:sz w:val="96"/>
      </w:rPr>
    </w:pPr>
    <w:r>
      <w:rPr>
        <w:rFonts w:ascii="Calibri" w:hAnsi="Calibri" w:cs="Calibri"/>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C84939">
      <w:rPr>
        <w:rFonts w:ascii="Calibri" w:hAnsi="Calibri" w:cs="Calibri"/>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BB" w:rsidRDefault="000703BB">
                          <w:pPr>
                            <w:rPr>
                              <w:rFonts w:ascii="Arial" w:hAnsi="Arial"/>
                              <w:b/>
                            </w:rPr>
                          </w:pPr>
                          <w:r>
                            <w:rPr>
                              <w:rFonts w:ascii="Arial" w:hAnsi="Arial"/>
                              <w:b/>
                            </w:rPr>
                            <w:t>Federal Communications Commission</w:t>
                          </w:r>
                        </w:p>
                        <w:p w:rsidR="000703BB" w:rsidRDefault="000703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3BB" w:rsidRDefault="000703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0703BB" w:rsidRDefault="000703BB">
                    <w:pPr>
                      <w:rPr>
                        <w:rFonts w:ascii="Arial" w:hAnsi="Arial"/>
                        <w:b/>
                      </w:rPr>
                    </w:pPr>
                    <w:r>
                      <w:rPr>
                        <w:rFonts w:ascii="Arial" w:hAnsi="Arial"/>
                        <w:b/>
                      </w:rPr>
                      <w:t>Federal Communications Commission</w:t>
                    </w:r>
                  </w:p>
                  <w:p w:rsidR="000703BB" w:rsidRDefault="000703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3BB" w:rsidRDefault="000703BB">
                    <w:pPr>
                      <w:rPr>
                        <w:rFonts w:ascii="Arial" w:hAnsi="Arial"/>
                        <w:sz w:val="24"/>
                      </w:rPr>
                    </w:pPr>
                    <w:r>
                      <w:rPr>
                        <w:rFonts w:ascii="Arial" w:hAnsi="Arial"/>
                        <w:b/>
                      </w:rPr>
                      <w:t>Washington, D.C. 20554</w:t>
                    </w:r>
                  </w:p>
                </w:txbxContent>
              </v:textbox>
            </v:shape>
          </w:pict>
        </mc:Fallback>
      </mc:AlternateContent>
    </w:r>
    <w:r w:rsidR="000703BB">
      <w:rPr>
        <w:rFonts w:ascii="Calibri" w:hAnsi="Calibri" w:cs="Calibri"/>
        <w:b/>
        <w:kern w:val="28"/>
        <w:sz w:val="96"/>
      </w:rPr>
      <w:t>PUBLIC NOTICE</w:t>
    </w:r>
  </w:p>
  <w:p w:rsidR="000703BB" w:rsidRDefault="00C849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BB" w:rsidRDefault="000703BB">
                          <w:pPr>
                            <w:spacing w:before="40"/>
                            <w:jc w:val="right"/>
                            <w:rPr>
                              <w:rFonts w:ascii="Arial" w:hAnsi="Arial"/>
                              <w:b/>
                              <w:sz w:val="16"/>
                            </w:rPr>
                          </w:pPr>
                          <w:r>
                            <w:rPr>
                              <w:rFonts w:ascii="Arial" w:hAnsi="Arial"/>
                              <w:b/>
                              <w:sz w:val="16"/>
                            </w:rPr>
                            <w:t>News Media Information 202 / 418-0500</w:t>
                          </w:r>
                        </w:p>
                        <w:p w:rsidR="000703BB" w:rsidRDefault="000703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703BB" w:rsidRDefault="000703BB">
                          <w:pPr>
                            <w:jc w:val="right"/>
                            <w:rPr>
                              <w:rFonts w:ascii="Arial" w:hAnsi="Arial"/>
                              <w:b/>
                              <w:sz w:val="16"/>
                            </w:rPr>
                          </w:pPr>
                          <w:r>
                            <w:rPr>
                              <w:rFonts w:ascii="Arial" w:hAnsi="Arial"/>
                              <w:b/>
                              <w:sz w:val="16"/>
                            </w:rPr>
                            <w:t>TTY: 1-888-835-5322</w:t>
                          </w:r>
                        </w:p>
                        <w:p w:rsidR="000703BB" w:rsidRDefault="000703B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0703BB" w:rsidRDefault="000703BB">
                    <w:pPr>
                      <w:spacing w:before="40"/>
                      <w:jc w:val="right"/>
                      <w:rPr>
                        <w:rFonts w:ascii="Arial" w:hAnsi="Arial"/>
                        <w:b/>
                        <w:sz w:val="16"/>
                      </w:rPr>
                    </w:pPr>
                    <w:r>
                      <w:rPr>
                        <w:rFonts w:ascii="Arial" w:hAnsi="Arial"/>
                        <w:b/>
                        <w:sz w:val="16"/>
                      </w:rPr>
                      <w:t>News Media Information 202 / 418-0500</w:t>
                    </w:r>
                  </w:p>
                  <w:p w:rsidR="000703BB" w:rsidRDefault="000703B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703BB" w:rsidRDefault="000703BB">
                    <w:pPr>
                      <w:jc w:val="right"/>
                      <w:rPr>
                        <w:rFonts w:ascii="Arial" w:hAnsi="Arial"/>
                        <w:b/>
                        <w:sz w:val="16"/>
                      </w:rPr>
                    </w:pPr>
                    <w:r>
                      <w:rPr>
                        <w:rFonts w:ascii="Arial" w:hAnsi="Arial"/>
                        <w:b/>
                        <w:sz w:val="16"/>
                      </w:rPr>
                      <w:t>TTY: 1-888-835-5322</w:t>
                    </w:r>
                  </w:p>
                  <w:p w:rsidR="000703BB" w:rsidRDefault="000703BB">
                    <w:pPr>
                      <w:jc w:val="right"/>
                    </w:pPr>
                  </w:p>
                </w:txbxContent>
              </v:textbox>
            </v:shape>
          </w:pict>
        </mc:Fallback>
      </mc:AlternateContent>
    </w:r>
  </w:p>
  <w:p w:rsidR="000703BB" w:rsidRDefault="000703B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7"/>
    <w:rsid w:val="00017630"/>
    <w:rsid w:val="00027DC2"/>
    <w:rsid w:val="0006238D"/>
    <w:rsid w:val="00062AB4"/>
    <w:rsid w:val="00064034"/>
    <w:rsid w:val="000669DF"/>
    <w:rsid w:val="000703BB"/>
    <w:rsid w:val="000769BF"/>
    <w:rsid w:val="00082ADD"/>
    <w:rsid w:val="00084F02"/>
    <w:rsid w:val="00085484"/>
    <w:rsid w:val="000863DA"/>
    <w:rsid w:val="00097369"/>
    <w:rsid w:val="00097963"/>
    <w:rsid w:val="000A172B"/>
    <w:rsid w:val="000A4886"/>
    <w:rsid w:val="000B7896"/>
    <w:rsid w:val="000C755B"/>
    <w:rsid w:val="000D5433"/>
    <w:rsid w:val="000D54EC"/>
    <w:rsid w:val="000F597C"/>
    <w:rsid w:val="00101C6E"/>
    <w:rsid w:val="00113F49"/>
    <w:rsid w:val="00115BD7"/>
    <w:rsid w:val="001272B2"/>
    <w:rsid w:val="001364F6"/>
    <w:rsid w:val="001430E2"/>
    <w:rsid w:val="00145CAC"/>
    <w:rsid w:val="00165091"/>
    <w:rsid w:val="001740A8"/>
    <w:rsid w:val="0018024B"/>
    <w:rsid w:val="001861D1"/>
    <w:rsid w:val="00190144"/>
    <w:rsid w:val="001B3AC2"/>
    <w:rsid w:val="001D4F4D"/>
    <w:rsid w:val="001E6789"/>
    <w:rsid w:val="001F343C"/>
    <w:rsid w:val="00205A12"/>
    <w:rsid w:val="00214EB9"/>
    <w:rsid w:val="00225252"/>
    <w:rsid w:val="00246ECA"/>
    <w:rsid w:val="00252D2C"/>
    <w:rsid w:val="002570EA"/>
    <w:rsid w:val="0027007C"/>
    <w:rsid w:val="0029347D"/>
    <w:rsid w:val="00294EF1"/>
    <w:rsid w:val="002974AF"/>
    <w:rsid w:val="002A054F"/>
    <w:rsid w:val="002A15A1"/>
    <w:rsid w:val="002B5FCA"/>
    <w:rsid w:val="002C2F3E"/>
    <w:rsid w:val="002D2A44"/>
    <w:rsid w:val="002E25DD"/>
    <w:rsid w:val="002E5138"/>
    <w:rsid w:val="002F1DC9"/>
    <w:rsid w:val="002F682B"/>
    <w:rsid w:val="0031298F"/>
    <w:rsid w:val="003553B3"/>
    <w:rsid w:val="00357C6A"/>
    <w:rsid w:val="0036395F"/>
    <w:rsid w:val="0037372C"/>
    <w:rsid w:val="0038639C"/>
    <w:rsid w:val="003A235A"/>
    <w:rsid w:val="003A32CA"/>
    <w:rsid w:val="003C667A"/>
    <w:rsid w:val="003D2EC4"/>
    <w:rsid w:val="003D48CD"/>
    <w:rsid w:val="003D6331"/>
    <w:rsid w:val="003E06F1"/>
    <w:rsid w:val="003E0703"/>
    <w:rsid w:val="00400E30"/>
    <w:rsid w:val="004048EE"/>
    <w:rsid w:val="004213B2"/>
    <w:rsid w:val="00421F01"/>
    <w:rsid w:val="00434F0F"/>
    <w:rsid w:val="00441F01"/>
    <w:rsid w:val="00446E66"/>
    <w:rsid w:val="004624BE"/>
    <w:rsid w:val="004635F0"/>
    <w:rsid w:val="00463D38"/>
    <w:rsid w:val="004740B7"/>
    <w:rsid w:val="00474C23"/>
    <w:rsid w:val="0048168C"/>
    <w:rsid w:val="0048393D"/>
    <w:rsid w:val="004870C8"/>
    <w:rsid w:val="00491D77"/>
    <w:rsid w:val="004B0FC7"/>
    <w:rsid w:val="004B3691"/>
    <w:rsid w:val="004B57E7"/>
    <w:rsid w:val="004B79D4"/>
    <w:rsid w:val="004C4663"/>
    <w:rsid w:val="004D05BF"/>
    <w:rsid w:val="004E377B"/>
    <w:rsid w:val="004E4585"/>
    <w:rsid w:val="004F2435"/>
    <w:rsid w:val="004F54E4"/>
    <w:rsid w:val="004F5BC7"/>
    <w:rsid w:val="004F7844"/>
    <w:rsid w:val="00511064"/>
    <w:rsid w:val="005201EC"/>
    <w:rsid w:val="005319D1"/>
    <w:rsid w:val="00534C15"/>
    <w:rsid w:val="00537DAE"/>
    <w:rsid w:val="005479EE"/>
    <w:rsid w:val="00552A43"/>
    <w:rsid w:val="00560127"/>
    <w:rsid w:val="00564D95"/>
    <w:rsid w:val="005704AF"/>
    <w:rsid w:val="00576043"/>
    <w:rsid w:val="005A5AAB"/>
    <w:rsid w:val="005A5B18"/>
    <w:rsid w:val="005B1A47"/>
    <w:rsid w:val="005C099D"/>
    <w:rsid w:val="005C2F78"/>
    <w:rsid w:val="005C3804"/>
    <w:rsid w:val="005C40AB"/>
    <w:rsid w:val="005D1422"/>
    <w:rsid w:val="005D65D2"/>
    <w:rsid w:val="005F5840"/>
    <w:rsid w:val="005F7343"/>
    <w:rsid w:val="00624B16"/>
    <w:rsid w:val="0064010D"/>
    <w:rsid w:val="00665F0D"/>
    <w:rsid w:val="0067133A"/>
    <w:rsid w:val="00676931"/>
    <w:rsid w:val="006777F6"/>
    <w:rsid w:val="00680978"/>
    <w:rsid w:val="00680F18"/>
    <w:rsid w:val="006A57A9"/>
    <w:rsid w:val="006C5BE0"/>
    <w:rsid w:val="006D2EF1"/>
    <w:rsid w:val="006D7189"/>
    <w:rsid w:val="006F3D2B"/>
    <w:rsid w:val="006F7E57"/>
    <w:rsid w:val="007079A5"/>
    <w:rsid w:val="00714CB5"/>
    <w:rsid w:val="00720533"/>
    <w:rsid w:val="00734979"/>
    <w:rsid w:val="00737531"/>
    <w:rsid w:val="007534EF"/>
    <w:rsid w:val="00760CA3"/>
    <w:rsid w:val="00791B40"/>
    <w:rsid w:val="00796930"/>
    <w:rsid w:val="007A7CF3"/>
    <w:rsid w:val="007B2203"/>
    <w:rsid w:val="007B67A4"/>
    <w:rsid w:val="007B708C"/>
    <w:rsid w:val="007C1C49"/>
    <w:rsid w:val="007E5178"/>
    <w:rsid w:val="007E7294"/>
    <w:rsid w:val="007F0093"/>
    <w:rsid w:val="007F11B6"/>
    <w:rsid w:val="008006E4"/>
    <w:rsid w:val="0080212F"/>
    <w:rsid w:val="00817A34"/>
    <w:rsid w:val="00822DB4"/>
    <w:rsid w:val="008253B7"/>
    <w:rsid w:val="00836513"/>
    <w:rsid w:val="00842B3E"/>
    <w:rsid w:val="00861D5A"/>
    <w:rsid w:val="0087014B"/>
    <w:rsid w:val="0088788A"/>
    <w:rsid w:val="00893C9C"/>
    <w:rsid w:val="00896803"/>
    <w:rsid w:val="008A0064"/>
    <w:rsid w:val="008B2CC4"/>
    <w:rsid w:val="008B4B12"/>
    <w:rsid w:val="008D090E"/>
    <w:rsid w:val="008D3675"/>
    <w:rsid w:val="008E44BF"/>
    <w:rsid w:val="008E57FE"/>
    <w:rsid w:val="008E77C1"/>
    <w:rsid w:val="008F2E19"/>
    <w:rsid w:val="008F7654"/>
    <w:rsid w:val="00937965"/>
    <w:rsid w:val="00950A89"/>
    <w:rsid w:val="009670A7"/>
    <w:rsid w:val="009715CD"/>
    <w:rsid w:val="00977F05"/>
    <w:rsid w:val="00980A0C"/>
    <w:rsid w:val="009A4732"/>
    <w:rsid w:val="009D5022"/>
    <w:rsid w:val="009E4024"/>
    <w:rsid w:val="00A064CD"/>
    <w:rsid w:val="00A10ED1"/>
    <w:rsid w:val="00A1618E"/>
    <w:rsid w:val="00A16864"/>
    <w:rsid w:val="00A177E0"/>
    <w:rsid w:val="00A20F1B"/>
    <w:rsid w:val="00A27FC9"/>
    <w:rsid w:val="00A3391E"/>
    <w:rsid w:val="00A35FA4"/>
    <w:rsid w:val="00A4495B"/>
    <w:rsid w:val="00A64D9B"/>
    <w:rsid w:val="00A70BD1"/>
    <w:rsid w:val="00A81586"/>
    <w:rsid w:val="00A8193F"/>
    <w:rsid w:val="00A81AFF"/>
    <w:rsid w:val="00A87F7F"/>
    <w:rsid w:val="00A95983"/>
    <w:rsid w:val="00AA2090"/>
    <w:rsid w:val="00AC0881"/>
    <w:rsid w:val="00AD406D"/>
    <w:rsid w:val="00AF2939"/>
    <w:rsid w:val="00AF5CAC"/>
    <w:rsid w:val="00AF5D67"/>
    <w:rsid w:val="00AF5FC8"/>
    <w:rsid w:val="00B00FD3"/>
    <w:rsid w:val="00B20117"/>
    <w:rsid w:val="00B2465C"/>
    <w:rsid w:val="00B61F05"/>
    <w:rsid w:val="00B66205"/>
    <w:rsid w:val="00B70E93"/>
    <w:rsid w:val="00B85187"/>
    <w:rsid w:val="00B8715F"/>
    <w:rsid w:val="00BA5AA4"/>
    <w:rsid w:val="00BC4298"/>
    <w:rsid w:val="00BE0252"/>
    <w:rsid w:val="00BF3C1D"/>
    <w:rsid w:val="00BF52CC"/>
    <w:rsid w:val="00C11D3D"/>
    <w:rsid w:val="00C3169F"/>
    <w:rsid w:val="00C410F9"/>
    <w:rsid w:val="00C5291C"/>
    <w:rsid w:val="00C66D86"/>
    <w:rsid w:val="00C73103"/>
    <w:rsid w:val="00C833D9"/>
    <w:rsid w:val="00C84939"/>
    <w:rsid w:val="00CB42A4"/>
    <w:rsid w:val="00CC3A79"/>
    <w:rsid w:val="00CD315B"/>
    <w:rsid w:val="00CE7325"/>
    <w:rsid w:val="00CF2A16"/>
    <w:rsid w:val="00CF7123"/>
    <w:rsid w:val="00D02A8B"/>
    <w:rsid w:val="00D07121"/>
    <w:rsid w:val="00D10A4E"/>
    <w:rsid w:val="00D17740"/>
    <w:rsid w:val="00D2542E"/>
    <w:rsid w:val="00D261E5"/>
    <w:rsid w:val="00D3763E"/>
    <w:rsid w:val="00D470B8"/>
    <w:rsid w:val="00D570DB"/>
    <w:rsid w:val="00D751CA"/>
    <w:rsid w:val="00D77765"/>
    <w:rsid w:val="00D9073D"/>
    <w:rsid w:val="00D97EDC"/>
    <w:rsid w:val="00DB6D68"/>
    <w:rsid w:val="00DC45CF"/>
    <w:rsid w:val="00DD32D3"/>
    <w:rsid w:val="00DE2632"/>
    <w:rsid w:val="00DE78BE"/>
    <w:rsid w:val="00DF10E9"/>
    <w:rsid w:val="00DF7112"/>
    <w:rsid w:val="00E150B6"/>
    <w:rsid w:val="00E22A23"/>
    <w:rsid w:val="00E2610D"/>
    <w:rsid w:val="00E4276C"/>
    <w:rsid w:val="00E43F64"/>
    <w:rsid w:val="00E4481B"/>
    <w:rsid w:val="00E555A6"/>
    <w:rsid w:val="00E728EC"/>
    <w:rsid w:val="00ED5285"/>
    <w:rsid w:val="00EE6834"/>
    <w:rsid w:val="00EF2A58"/>
    <w:rsid w:val="00EF2C8C"/>
    <w:rsid w:val="00EF7CCB"/>
    <w:rsid w:val="00F051A5"/>
    <w:rsid w:val="00F148D5"/>
    <w:rsid w:val="00F27C79"/>
    <w:rsid w:val="00F43DD0"/>
    <w:rsid w:val="00F50DEE"/>
    <w:rsid w:val="00F53F81"/>
    <w:rsid w:val="00F56E3E"/>
    <w:rsid w:val="00F6168A"/>
    <w:rsid w:val="00F847CF"/>
    <w:rsid w:val="00FA1D89"/>
    <w:rsid w:val="00FC3C1E"/>
    <w:rsid w:val="00FC7D97"/>
    <w:rsid w:val="00FD1890"/>
    <w:rsid w:val="00FD42A4"/>
    <w:rsid w:val="00FE4B7D"/>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EF2A5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EF2A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im.bird@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3</Pages>
  <Words>941</Words>
  <Characters>5325</Characters>
  <Application>Microsoft Office Word</Application>
  <DocSecurity>0</DocSecurity>
  <Lines>103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6277</CharactersWithSpaces>
  <SharedDoc>false</SharedDoc>
  <HyperlinkBase> </HyperlinkBase>
  <HLinks>
    <vt:vector size="6" baseType="variant">
      <vt:variant>
        <vt:i4>1507426</vt:i4>
      </vt:variant>
      <vt:variant>
        <vt:i4>0</vt:i4>
      </vt:variant>
      <vt:variant>
        <vt:i4>0</vt:i4>
      </vt:variant>
      <vt:variant>
        <vt:i4>5</vt:i4>
      </vt:variant>
      <vt:variant>
        <vt:lpwstr>mailto:jim.bird@fcc.gov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2012-11-05T18:32:00Z</cp:lastPrinted>
  <dcterms:created xsi:type="dcterms:W3CDTF">2015-01-08T19:00:00Z</dcterms:created>
  <dcterms:modified xsi:type="dcterms:W3CDTF">2015-01-08T19:00:00Z</dcterms:modified>
  <cp:category> </cp:category>
  <cp:contentStatus> </cp:contentStatus>
</cp:coreProperties>
</file>