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C53" w:rsidRDefault="00703C53" w:rsidP="0060268B">
      <w:pPr>
        <w:widowControl/>
        <w:jc w:val="center"/>
        <w:rPr>
          <w:b/>
        </w:rPr>
      </w:pPr>
      <w:bookmarkStart w:id="0" w:name="_GoBack"/>
      <w:bookmarkEnd w:id="0"/>
      <w:r>
        <w:rPr>
          <w:rFonts w:ascii="Times New Roman Bold" w:hAnsi="Times New Roman Bold"/>
          <w:b/>
          <w:szCs w:val="22"/>
        </w:rPr>
        <w:t>Before</w:t>
      </w:r>
      <w:r>
        <w:rPr>
          <w:b/>
        </w:rPr>
        <w:t xml:space="preserve"> the</w:t>
      </w:r>
    </w:p>
    <w:p w:rsidR="00703C53" w:rsidRDefault="00703C53" w:rsidP="0060268B">
      <w:pPr>
        <w:pStyle w:val="StyleBoldCentered"/>
        <w:widowControl/>
      </w:pPr>
      <w:r>
        <w:t>F</w:t>
      </w:r>
      <w:r>
        <w:rPr>
          <w:caps w:val="0"/>
        </w:rPr>
        <w:t>ederal Communications Commission</w:t>
      </w:r>
    </w:p>
    <w:p w:rsidR="00703C53" w:rsidRDefault="00703C53" w:rsidP="0060268B">
      <w:pPr>
        <w:pStyle w:val="StyleBoldCentered"/>
        <w:widowControl/>
      </w:pPr>
      <w:r>
        <w:rPr>
          <w:caps w:val="0"/>
        </w:rPr>
        <w:t>Washington</w:t>
      </w:r>
      <w:r>
        <w:t>, D.C. 20554</w:t>
      </w:r>
    </w:p>
    <w:p w:rsidR="00703C53" w:rsidRDefault="00703C53" w:rsidP="0060268B">
      <w:pPr>
        <w:widowControl/>
      </w:pPr>
    </w:p>
    <w:p w:rsidR="00703C53" w:rsidRDefault="00703C53" w:rsidP="0060268B">
      <w:pPr>
        <w:widowControl/>
      </w:pPr>
    </w:p>
    <w:tbl>
      <w:tblPr>
        <w:tblW w:w="0" w:type="auto"/>
        <w:tblLayout w:type="fixed"/>
        <w:tblLook w:val="0000" w:firstRow="0" w:lastRow="0" w:firstColumn="0" w:lastColumn="0" w:noHBand="0" w:noVBand="0"/>
      </w:tblPr>
      <w:tblGrid>
        <w:gridCol w:w="4698"/>
        <w:gridCol w:w="630"/>
        <w:gridCol w:w="4248"/>
      </w:tblGrid>
      <w:tr w:rsidR="00703C53">
        <w:tc>
          <w:tcPr>
            <w:tcW w:w="4698" w:type="dxa"/>
          </w:tcPr>
          <w:p w:rsidR="00703C53" w:rsidRDefault="00703C53" w:rsidP="0060268B">
            <w:pPr>
              <w:widowControl/>
              <w:tabs>
                <w:tab w:val="center" w:pos="4680"/>
              </w:tabs>
              <w:suppressAutoHyphens/>
              <w:rPr>
                <w:spacing w:val="-2"/>
              </w:rPr>
            </w:pPr>
            <w:r>
              <w:rPr>
                <w:spacing w:val="-2"/>
              </w:rPr>
              <w:t>In the Matter of</w:t>
            </w:r>
          </w:p>
          <w:p w:rsidR="00703C53" w:rsidRDefault="00703C53" w:rsidP="0060268B">
            <w:pPr>
              <w:widowControl/>
              <w:tabs>
                <w:tab w:val="center" w:pos="4680"/>
              </w:tabs>
              <w:suppressAutoHyphens/>
              <w:rPr>
                <w:spacing w:val="-2"/>
              </w:rPr>
            </w:pPr>
          </w:p>
          <w:p w:rsidR="00703C53" w:rsidRDefault="00703C53" w:rsidP="0060268B">
            <w:pPr>
              <w:widowControl/>
              <w:tabs>
                <w:tab w:val="center" w:pos="4680"/>
              </w:tabs>
              <w:suppressAutoHyphens/>
              <w:rPr>
                <w:spacing w:val="-2"/>
              </w:rPr>
            </w:pPr>
            <w:r>
              <w:rPr>
                <w:spacing w:val="-2"/>
              </w:rPr>
              <w:t xml:space="preserve">STATE OF </w:t>
            </w:r>
            <w:r w:rsidR="00CE4E43">
              <w:rPr>
                <w:spacing w:val="-2"/>
              </w:rPr>
              <w:t>SOUTH CAROLINA</w:t>
            </w:r>
          </w:p>
          <w:p w:rsidR="00703C53" w:rsidRDefault="00703C53" w:rsidP="0060268B">
            <w:pPr>
              <w:widowControl/>
              <w:tabs>
                <w:tab w:val="center" w:pos="4680"/>
              </w:tabs>
              <w:suppressAutoHyphens/>
              <w:rPr>
                <w:spacing w:val="-2"/>
              </w:rPr>
            </w:pPr>
          </w:p>
          <w:p w:rsidR="00703C53" w:rsidRDefault="00703C53" w:rsidP="004F732A">
            <w:pPr>
              <w:widowControl/>
              <w:tabs>
                <w:tab w:val="center" w:pos="4680"/>
              </w:tabs>
              <w:suppressAutoHyphens/>
              <w:rPr>
                <w:spacing w:val="-2"/>
              </w:rPr>
            </w:pPr>
            <w:r>
              <w:rPr>
                <w:spacing w:val="-2"/>
              </w:rPr>
              <w:t>Request for Waiver of Section 90.529</w:t>
            </w:r>
            <w:r w:rsidR="004F732A">
              <w:rPr>
                <w:spacing w:val="-2"/>
              </w:rPr>
              <w:t>(b)(1)</w:t>
            </w:r>
            <w:r>
              <w:rPr>
                <w:spacing w:val="-2"/>
              </w:rPr>
              <w:t xml:space="preserve"> of the Commission’s Rules </w:t>
            </w:r>
          </w:p>
        </w:tc>
        <w:tc>
          <w:tcPr>
            <w:tcW w:w="630" w:type="dxa"/>
          </w:tcPr>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p w:rsidR="00703C53" w:rsidRDefault="00703C53" w:rsidP="0060268B">
            <w:pPr>
              <w:widowControl/>
              <w:tabs>
                <w:tab w:val="center" w:pos="4680"/>
              </w:tabs>
              <w:suppressAutoHyphens/>
              <w:rPr>
                <w:spacing w:val="-2"/>
              </w:rPr>
            </w:pPr>
            <w:r>
              <w:rPr>
                <w:spacing w:val="-2"/>
              </w:rPr>
              <w:t>)</w:t>
            </w:r>
          </w:p>
        </w:tc>
        <w:tc>
          <w:tcPr>
            <w:tcW w:w="4248" w:type="dxa"/>
          </w:tcPr>
          <w:p w:rsidR="00703C53" w:rsidRDefault="00703C53" w:rsidP="0060268B">
            <w:pPr>
              <w:widowControl/>
              <w:tabs>
                <w:tab w:val="center" w:pos="4680"/>
              </w:tabs>
              <w:suppressAutoHyphens/>
              <w:rPr>
                <w:spacing w:val="-2"/>
              </w:rPr>
            </w:pPr>
          </w:p>
          <w:p w:rsidR="00703C53" w:rsidRDefault="00703C53" w:rsidP="0060268B">
            <w:pPr>
              <w:pStyle w:val="TOAHeading"/>
              <w:widowControl/>
              <w:tabs>
                <w:tab w:val="clear" w:pos="9360"/>
                <w:tab w:val="center" w:pos="4680"/>
              </w:tabs>
              <w:rPr>
                <w:spacing w:val="-2"/>
              </w:rPr>
            </w:pPr>
          </w:p>
          <w:p w:rsidR="00703C53" w:rsidRDefault="00703C53" w:rsidP="0060268B">
            <w:pPr>
              <w:widowControl/>
              <w:tabs>
                <w:tab w:val="center" w:pos="4680"/>
              </w:tabs>
              <w:suppressAutoHyphens/>
              <w:rPr>
                <w:spacing w:val="-2"/>
              </w:rPr>
            </w:pPr>
            <w:r>
              <w:t xml:space="preserve">FCC File No. </w:t>
            </w:r>
            <w:r w:rsidR="00CE4E43" w:rsidRPr="00CE4E43">
              <w:rPr>
                <w:szCs w:val="22"/>
              </w:rPr>
              <w:t>0006468758</w:t>
            </w:r>
          </w:p>
          <w:p w:rsidR="00703C53" w:rsidRDefault="00703C53" w:rsidP="0060268B">
            <w:pPr>
              <w:widowControl/>
              <w:tabs>
                <w:tab w:val="center" w:pos="4680"/>
              </w:tabs>
              <w:suppressAutoHyphens/>
              <w:rPr>
                <w:spacing w:val="-2"/>
              </w:rPr>
            </w:pPr>
          </w:p>
          <w:p w:rsidR="00703C53" w:rsidRDefault="00703C53" w:rsidP="0060268B">
            <w:pPr>
              <w:widowControl/>
              <w:tabs>
                <w:tab w:val="center" w:pos="4680"/>
              </w:tabs>
              <w:suppressAutoHyphens/>
              <w:rPr>
                <w:spacing w:val="-2"/>
              </w:rPr>
            </w:pPr>
          </w:p>
        </w:tc>
      </w:tr>
    </w:tbl>
    <w:p w:rsidR="00703C53" w:rsidRDefault="00703C53" w:rsidP="0060268B">
      <w:pPr>
        <w:widowControl/>
      </w:pPr>
    </w:p>
    <w:p w:rsidR="00703C53" w:rsidRDefault="00703C53" w:rsidP="0060268B">
      <w:pPr>
        <w:pStyle w:val="StyleBoldCentered"/>
        <w:widowControl/>
      </w:pPr>
      <w:r>
        <w:t>Order</w:t>
      </w:r>
    </w:p>
    <w:p w:rsidR="00703C53" w:rsidRDefault="00703C53" w:rsidP="0060268B">
      <w:pPr>
        <w:widowControl/>
        <w:tabs>
          <w:tab w:val="left" w:pos="-720"/>
        </w:tabs>
        <w:suppressAutoHyphens/>
        <w:spacing w:line="227" w:lineRule="auto"/>
        <w:rPr>
          <w:spacing w:val="-2"/>
        </w:rPr>
      </w:pPr>
    </w:p>
    <w:p w:rsidR="00703C53" w:rsidRDefault="00703C53" w:rsidP="0060268B">
      <w:pPr>
        <w:widowControl/>
        <w:tabs>
          <w:tab w:val="left" w:pos="720"/>
          <w:tab w:val="left" w:pos="5760"/>
        </w:tabs>
        <w:suppressAutoHyphens/>
        <w:spacing w:line="227" w:lineRule="auto"/>
        <w:rPr>
          <w:spacing w:val="-2"/>
        </w:rPr>
      </w:pPr>
      <w:r>
        <w:rPr>
          <w:b/>
          <w:spacing w:val="-2"/>
        </w:rPr>
        <w:t xml:space="preserve">Adopted:  </w:t>
      </w:r>
      <w:r w:rsidR="00A26DE4">
        <w:rPr>
          <w:b/>
          <w:spacing w:val="-2"/>
        </w:rPr>
        <w:t>March 20</w:t>
      </w:r>
      <w:r>
        <w:rPr>
          <w:b/>
          <w:spacing w:val="-2"/>
        </w:rPr>
        <w:t>, 201</w:t>
      </w:r>
      <w:r w:rsidR="00CE4E43">
        <w:rPr>
          <w:b/>
          <w:spacing w:val="-2"/>
        </w:rPr>
        <w:t>5</w:t>
      </w:r>
      <w:r>
        <w:rPr>
          <w:b/>
          <w:spacing w:val="-2"/>
        </w:rPr>
        <w:tab/>
        <w:t xml:space="preserve">Released:  </w:t>
      </w:r>
      <w:r w:rsidR="00A26DE4">
        <w:rPr>
          <w:b/>
          <w:spacing w:val="-2"/>
        </w:rPr>
        <w:t>March 20</w:t>
      </w:r>
      <w:r>
        <w:rPr>
          <w:b/>
          <w:spacing w:val="-2"/>
        </w:rPr>
        <w:t>, 201</w:t>
      </w:r>
      <w:r w:rsidR="00CE4E43">
        <w:rPr>
          <w:b/>
          <w:spacing w:val="-2"/>
        </w:rPr>
        <w:t>5</w:t>
      </w:r>
    </w:p>
    <w:p w:rsidR="00703C53" w:rsidRDefault="00703C53" w:rsidP="0060268B">
      <w:pPr>
        <w:widowControl/>
      </w:pPr>
    </w:p>
    <w:p w:rsidR="00703C53" w:rsidRDefault="00703C53" w:rsidP="0060268B">
      <w:pPr>
        <w:widowControl/>
        <w:rPr>
          <w:spacing w:val="-2"/>
        </w:rPr>
      </w:pPr>
      <w:r>
        <w:t>By the Deputy Chief, Policy and Licensing Division, Public Safety and Homeland Security Bureau</w:t>
      </w:r>
      <w:r>
        <w:rPr>
          <w:spacing w:val="-2"/>
        </w:rPr>
        <w:t xml:space="preserve">:  </w:t>
      </w:r>
      <w:r>
        <w:rPr>
          <w:szCs w:val="22"/>
        </w:rPr>
        <w:t xml:space="preserve"> </w:t>
      </w:r>
      <w:r>
        <w:rPr>
          <w:spacing w:val="-2"/>
        </w:rPr>
        <w:t xml:space="preserve"> </w:t>
      </w:r>
    </w:p>
    <w:p w:rsidR="00703C53" w:rsidRDefault="00703C53" w:rsidP="0060268B">
      <w:pPr>
        <w:widowControl/>
      </w:pPr>
      <w:bookmarkStart w:id="1" w:name="TOChere"/>
    </w:p>
    <w:p w:rsidR="00703C53" w:rsidRDefault="00703C53" w:rsidP="0060268B">
      <w:pPr>
        <w:pStyle w:val="Heading1"/>
        <w:widowControl/>
        <w:spacing w:after="220"/>
      </w:pPr>
      <w:bookmarkStart w:id="2" w:name="_Toc202589907"/>
      <w:bookmarkStart w:id="3" w:name="_Toc202781493"/>
      <w:bookmarkStart w:id="4" w:name="_Toc202782110"/>
      <w:bookmarkStart w:id="5" w:name="_Toc202783829"/>
      <w:bookmarkStart w:id="6" w:name="_Toc202784152"/>
      <w:bookmarkStart w:id="7" w:name="_Toc202858172"/>
      <w:bookmarkStart w:id="8" w:name="_Toc202858289"/>
      <w:bookmarkStart w:id="9" w:name="_Toc202858511"/>
      <w:bookmarkStart w:id="10" w:name="_Toc203270817"/>
      <w:bookmarkStart w:id="11" w:name="_Toc204662402"/>
      <w:bookmarkStart w:id="12" w:name="_Toc204779955"/>
      <w:bookmarkEnd w:id="1"/>
      <w:r>
        <w:t>introduction</w:t>
      </w:r>
      <w:bookmarkEnd w:id="2"/>
      <w:bookmarkEnd w:id="3"/>
      <w:bookmarkEnd w:id="4"/>
      <w:bookmarkEnd w:id="5"/>
      <w:bookmarkEnd w:id="6"/>
      <w:bookmarkEnd w:id="7"/>
      <w:bookmarkEnd w:id="8"/>
      <w:bookmarkEnd w:id="9"/>
      <w:bookmarkEnd w:id="10"/>
      <w:bookmarkEnd w:id="11"/>
      <w:bookmarkEnd w:id="12"/>
      <w:r>
        <w:t xml:space="preserve"> </w:t>
      </w:r>
    </w:p>
    <w:p w:rsidR="00703C53" w:rsidRDefault="00992BCC" w:rsidP="00213BF5">
      <w:pPr>
        <w:pStyle w:val="ParaNum"/>
        <w:widowControl/>
      </w:pPr>
      <w:r>
        <w:t xml:space="preserve">In this </w:t>
      </w:r>
      <w:r w:rsidRPr="00213BF5">
        <w:rPr>
          <w:i/>
        </w:rPr>
        <w:t>Order</w:t>
      </w:r>
      <w:r>
        <w:t>, we grant t</w:t>
      </w:r>
      <w:r w:rsidR="00DD4D21">
        <w:t>he State of South Carolina (South Carolina</w:t>
      </w:r>
      <w:r w:rsidR="009C26B6">
        <w:t xml:space="preserve"> or the State</w:t>
      </w:r>
      <w:r w:rsidR="00DD4D21">
        <w:t xml:space="preserve">) a waiver of </w:t>
      </w:r>
      <w:r>
        <w:t>Section 90.529(b)(1)</w:t>
      </w:r>
      <w:r w:rsidRPr="00680D54">
        <w:rPr>
          <w:rStyle w:val="FootnoteReference"/>
          <w:sz w:val="22"/>
          <w:szCs w:val="22"/>
        </w:rPr>
        <w:footnoteReference w:id="2"/>
      </w:r>
      <w:r>
        <w:t xml:space="preserve"> of the Commission’s rules to permit the acceptance of South Carolina’s late-filed interim “substantial service”</w:t>
      </w:r>
      <w:r w:rsidR="00D86778">
        <w:rPr>
          <w:rStyle w:val="FootnoteReference"/>
        </w:rPr>
        <w:footnoteReference w:id="3"/>
      </w:r>
      <w:r>
        <w:t xml:space="preserve"> showing</w:t>
      </w:r>
      <w:r w:rsidR="00D86778">
        <w:t xml:space="preserve"> </w:t>
      </w:r>
      <w:r w:rsidR="008436AA">
        <w:t xml:space="preserve">for </w:t>
      </w:r>
      <w:r w:rsidR="004E3FCC">
        <w:t xml:space="preserve">its </w:t>
      </w:r>
      <w:r w:rsidR="00C71B8E">
        <w:t xml:space="preserve">license for </w:t>
      </w:r>
      <w:r w:rsidR="004E3FCC">
        <w:t xml:space="preserve">700 MHz </w:t>
      </w:r>
      <w:r w:rsidR="004F5BEA">
        <w:t>s</w:t>
      </w:r>
      <w:r w:rsidR="004E3FCC">
        <w:t xml:space="preserve">tate </w:t>
      </w:r>
      <w:r w:rsidR="004F5BEA">
        <w:t>channel</w:t>
      </w:r>
      <w:r w:rsidR="00C71B8E">
        <w:t>s</w:t>
      </w:r>
      <w:r w:rsidR="004F5BEA">
        <w:t xml:space="preserve"> </w:t>
      </w:r>
      <w:r w:rsidR="004E3FCC">
        <w:t xml:space="preserve">under </w:t>
      </w:r>
      <w:r w:rsidR="00D86778">
        <w:t>call sign WPTZ777</w:t>
      </w:r>
      <w:r w:rsidR="00DD4D21">
        <w:t>.</w:t>
      </w:r>
      <w:r w:rsidR="00AF37E7">
        <w:rPr>
          <w:rStyle w:val="FootnoteReference"/>
        </w:rPr>
        <w:footnoteReference w:id="4"/>
      </w:r>
      <w:r w:rsidR="00DD4D21">
        <w:t xml:space="preserve">  </w:t>
      </w:r>
      <w:r w:rsidR="00D86778">
        <w:t xml:space="preserve">Section 90.529(b)(1) requires licensees </w:t>
      </w:r>
      <w:r w:rsidR="004F5BEA">
        <w:t xml:space="preserve">on state channels </w:t>
      </w:r>
      <w:r w:rsidR="00D86778">
        <w:t>to certify that they are providing or prepared to provide substantial service to one-third of their population or territory by June 13, 2014.</w:t>
      </w:r>
      <w:r w:rsidR="00B667BF">
        <w:t xml:space="preserve">  </w:t>
      </w:r>
      <w:r w:rsidR="00703C53">
        <w:t xml:space="preserve">      </w:t>
      </w:r>
    </w:p>
    <w:p w:rsidR="00703C53" w:rsidRDefault="00703C53" w:rsidP="0060268B">
      <w:pPr>
        <w:pStyle w:val="Heading1"/>
        <w:widowControl/>
      </w:pPr>
      <w:bookmarkStart w:id="13" w:name="_Toc202589908"/>
      <w:bookmarkStart w:id="14" w:name="_Toc202781494"/>
      <w:bookmarkStart w:id="15" w:name="_Toc202782111"/>
      <w:bookmarkStart w:id="16" w:name="_Toc202783830"/>
      <w:bookmarkStart w:id="17" w:name="_Toc202784153"/>
      <w:bookmarkStart w:id="18" w:name="_Toc202858173"/>
      <w:bookmarkStart w:id="19" w:name="_Toc202858290"/>
      <w:bookmarkStart w:id="20" w:name="_Toc202858512"/>
      <w:bookmarkStart w:id="21" w:name="_Toc203270818"/>
      <w:bookmarkStart w:id="22" w:name="_Toc204662403"/>
      <w:bookmarkStart w:id="23" w:name="_Toc204779956"/>
      <w:r>
        <w:t>BACKGROUND</w:t>
      </w:r>
      <w:bookmarkEnd w:id="13"/>
      <w:bookmarkEnd w:id="14"/>
      <w:bookmarkEnd w:id="15"/>
      <w:bookmarkEnd w:id="16"/>
      <w:bookmarkEnd w:id="17"/>
      <w:bookmarkEnd w:id="18"/>
      <w:bookmarkEnd w:id="19"/>
      <w:bookmarkEnd w:id="20"/>
      <w:bookmarkEnd w:id="21"/>
      <w:bookmarkEnd w:id="22"/>
      <w:bookmarkEnd w:id="23"/>
    </w:p>
    <w:p w:rsidR="00DC267A" w:rsidRPr="004E3FCC" w:rsidRDefault="00DC267A" w:rsidP="00213BF5">
      <w:pPr>
        <w:pStyle w:val="ParaNum"/>
        <w:widowControl/>
      </w:pPr>
      <w:r>
        <w:t xml:space="preserve">South Carolina holds a license (State License) permitting it to operate on state channels in the 700 MHz band under call sign </w:t>
      </w:r>
      <w:r w:rsidRPr="005D1B9E">
        <w:t>WPTZ777</w:t>
      </w:r>
      <w:r>
        <w:t xml:space="preserve">.  The state channels consist of </w:t>
      </w:r>
      <w:r w:rsidRPr="00AD0908">
        <w:t>ninety-six channel pairs (12.5 kHz bandwidth)</w:t>
      </w:r>
      <w:r>
        <w:t xml:space="preserve"> </w:t>
      </w:r>
      <w:r w:rsidRPr="00DC267A">
        <w:rPr>
          <w:kern w:val="0"/>
          <w:szCs w:val="22"/>
        </w:rPr>
        <w:t xml:space="preserve">from the public safety narrowband segment of the 700 MHz band </w:t>
      </w:r>
      <w:r w:rsidR="00874645">
        <w:rPr>
          <w:kern w:val="0"/>
          <w:szCs w:val="22"/>
        </w:rPr>
        <w:t xml:space="preserve">that </w:t>
      </w:r>
      <w:r w:rsidRPr="00DC267A">
        <w:rPr>
          <w:kern w:val="0"/>
          <w:szCs w:val="22"/>
        </w:rPr>
        <w:t>are reserved for use by each state, territory, district or possession.</w:t>
      </w:r>
      <w:r>
        <w:rPr>
          <w:rStyle w:val="FootnoteReference"/>
          <w:kern w:val="0"/>
          <w:szCs w:val="22"/>
        </w:rPr>
        <w:footnoteReference w:id="5"/>
      </w:r>
    </w:p>
    <w:p w:rsidR="00DC267A" w:rsidRDefault="00DC267A" w:rsidP="00213BF5">
      <w:pPr>
        <w:pStyle w:val="ParaNum"/>
        <w:widowControl/>
        <w:rPr>
          <w:snapToGrid/>
          <w:color w:val="010101"/>
          <w:kern w:val="0"/>
          <w:szCs w:val="22"/>
        </w:rPr>
      </w:pPr>
      <w:r>
        <w:t xml:space="preserve">In order to ensure efficient use of the state channels, the Commission established a five-year interim and a ten-year final benchmark for </w:t>
      </w:r>
      <w:r w:rsidR="00EB056D">
        <w:t>state licensees</w:t>
      </w:r>
      <w:r>
        <w:t xml:space="preserve"> to provide specified levels of “substantial service” within their statewide license areas.</w:t>
      </w:r>
      <w:r>
        <w:rPr>
          <w:rStyle w:val="FootnoteReference"/>
        </w:rPr>
        <w:footnoteReference w:id="6"/>
      </w:r>
    </w:p>
    <w:p w:rsidR="001657A8" w:rsidRPr="004E3FCC" w:rsidRDefault="00EE6B15" w:rsidP="00213BF5">
      <w:pPr>
        <w:pStyle w:val="ParaNum"/>
        <w:widowControl/>
        <w:rPr>
          <w:snapToGrid/>
          <w:color w:val="010101"/>
          <w:kern w:val="0"/>
          <w:szCs w:val="22"/>
        </w:rPr>
      </w:pPr>
      <w:r w:rsidRPr="00715EAC">
        <w:rPr>
          <w:kern w:val="0"/>
          <w:szCs w:val="22"/>
        </w:rPr>
        <w:t>Section 90.529(b)(1</w:t>
      </w:r>
      <w:r>
        <w:rPr>
          <w:kern w:val="0"/>
          <w:szCs w:val="22"/>
        </w:rPr>
        <w:t xml:space="preserve">) of the Commission’s rules specifies </w:t>
      </w:r>
      <w:r w:rsidRPr="00715EAC">
        <w:t>June 13, 2014</w:t>
      </w:r>
      <w:r>
        <w:t xml:space="preserve"> as the due date for state licensees to file their interim five-year benchmark showing.</w:t>
      </w:r>
      <w:r>
        <w:rPr>
          <w:rStyle w:val="FootnoteReference"/>
          <w:kern w:val="0"/>
          <w:szCs w:val="22"/>
        </w:rPr>
        <w:footnoteReference w:id="7"/>
      </w:r>
      <w:r>
        <w:t xml:space="preserve">  By this date, state licensees were to </w:t>
      </w:r>
      <w:r>
        <w:lastRenderedPageBreak/>
        <w:t xml:space="preserve">certify that they were providing or were prepared to provide substantial service to </w:t>
      </w:r>
      <w:r w:rsidRPr="002E3C70">
        <w:t>one-third</w:t>
      </w:r>
      <w:r>
        <w:t xml:space="preserve"> of their population or territory.</w:t>
      </w:r>
      <w:r>
        <w:rPr>
          <w:rStyle w:val="FootnoteReference"/>
          <w:kern w:val="0"/>
          <w:szCs w:val="22"/>
        </w:rPr>
        <w:footnoteReference w:id="8"/>
      </w:r>
      <w:r>
        <w:t xml:space="preserve">  </w:t>
      </w:r>
    </w:p>
    <w:p w:rsidR="00EE6B15" w:rsidRPr="004E3FCC" w:rsidRDefault="001657A8" w:rsidP="00213BF5">
      <w:pPr>
        <w:pStyle w:val="ParaNum"/>
        <w:widowControl/>
        <w:rPr>
          <w:snapToGrid/>
          <w:color w:val="010101"/>
          <w:kern w:val="0"/>
          <w:szCs w:val="22"/>
        </w:rPr>
      </w:pPr>
      <w:bookmarkStart w:id="24" w:name="_Ref414284105"/>
      <w:r>
        <w:rPr>
          <w:kern w:val="0"/>
          <w:szCs w:val="22"/>
        </w:rPr>
        <w:t>Prior to the June</w:t>
      </w:r>
      <w:r w:rsidR="008436AA">
        <w:rPr>
          <w:kern w:val="0"/>
          <w:szCs w:val="22"/>
        </w:rPr>
        <w:t xml:space="preserve"> 13,</w:t>
      </w:r>
      <w:r>
        <w:rPr>
          <w:kern w:val="0"/>
          <w:szCs w:val="22"/>
        </w:rPr>
        <w:t xml:space="preserve"> 2014 deadline</w:t>
      </w:r>
      <w:r w:rsidR="00EE6B15" w:rsidRPr="009A5BCE">
        <w:rPr>
          <w:snapToGrid/>
          <w:color w:val="010101"/>
          <w:kern w:val="0"/>
          <w:szCs w:val="22"/>
        </w:rPr>
        <w:t xml:space="preserve">, the Public Safety and Homeland Security Bureau (Bureau) issued a </w:t>
      </w:r>
      <w:r w:rsidR="00EE6B15" w:rsidRPr="009A5BCE">
        <w:rPr>
          <w:i/>
          <w:iCs/>
          <w:snapToGrid/>
          <w:color w:val="010101"/>
          <w:kern w:val="0"/>
          <w:szCs w:val="22"/>
        </w:rPr>
        <w:t xml:space="preserve">Public Notice </w:t>
      </w:r>
      <w:r w:rsidR="00EE6B15" w:rsidRPr="009A5BCE">
        <w:rPr>
          <w:snapToGrid/>
          <w:color w:val="010101"/>
          <w:kern w:val="0"/>
          <w:szCs w:val="22"/>
        </w:rPr>
        <w:t xml:space="preserve">providing state licensees guidance on </w:t>
      </w:r>
      <w:r w:rsidR="008436AA">
        <w:rPr>
          <w:snapToGrid/>
          <w:color w:val="010101"/>
          <w:kern w:val="0"/>
          <w:szCs w:val="22"/>
        </w:rPr>
        <w:t xml:space="preserve">how to </w:t>
      </w:r>
      <w:r w:rsidR="00EE6B15" w:rsidRPr="009A5BCE">
        <w:rPr>
          <w:snapToGrid/>
          <w:color w:val="010101"/>
          <w:kern w:val="0"/>
          <w:szCs w:val="22"/>
        </w:rPr>
        <w:t>demonstrat</w:t>
      </w:r>
      <w:r w:rsidR="008436AA">
        <w:rPr>
          <w:snapToGrid/>
          <w:color w:val="010101"/>
          <w:kern w:val="0"/>
          <w:szCs w:val="22"/>
        </w:rPr>
        <w:t xml:space="preserve">e </w:t>
      </w:r>
      <w:r w:rsidR="00EE6B15" w:rsidRPr="009A5BCE">
        <w:rPr>
          <w:snapToGrid/>
          <w:color w:val="010101"/>
          <w:kern w:val="0"/>
          <w:szCs w:val="22"/>
        </w:rPr>
        <w:t xml:space="preserve">compliance with the interim </w:t>
      </w:r>
      <w:r w:rsidR="008436AA">
        <w:rPr>
          <w:snapToGrid/>
          <w:color w:val="010101"/>
          <w:kern w:val="0"/>
          <w:szCs w:val="22"/>
        </w:rPr>
        <w:t xml:space="preserve">substantial service </w:t>
      </w:r>
      <w:r w:rsidR="00EE6B15" w:rsidRPr="009A5BCE">
        <w:rPr>
          <w:snapToGrid/>
          <w:color w:val="010101"/>
          <w:kern w:val="0"/>
          <w:szCs w:val="22"/>
        </w:rPr>
        <w:t>benchmark</w:t>
      </w:r>
      <w:r w:rsidR="00EE6B15">
        <w:rPr>
          <w:snapToGrid/>
          <w:color w:val="010101"/>
          <w:kern w:val="0"/>
          <w:szCs w:val="22"/>
        </w:rPr>
        <w:t>.</w:t>
      </w:r>
      <w:r w:rsidR="00EE6B15">
        <w:rPr>
          <w:rStyle w:val="FootnoteReference"/>
          <w:snapToGrid/>
          <w:kern w:val="0"/>
          <w:szCs w:val="22"/>
        </w:rPr>
        <w:footnoteReference w:id="9"/>
      </w:r>
      <w:r w:rsidR="00EE6B15">
        <w:rPr>
          <w:snapToGrid/>
          <w:color w:val="010101"/>
          <w:kern w:val="0"/>
          <w:szCs w:val="22"/>
        </w:rPr>
        <w:t xml:space="preserve">  To facilitate staff review of substantial service showings, the Bureau provided examples of specific information to submit for review, including the type of public safety service being provided, </w:t>
      </w:r>
      <w:r>
        <w:rPr>
          <w:snapToGrid/>
          <w:color w:val="010101"/>
          <w:kern w:val="0"/>
          <w:szCs w:val="22"/>
        </w:rPr>
        <w:t xml:space="preserve">a list of </w:t>
      </w:r>
      <w:r w:rsidR="00EE6B15">
        <w:rPr>
          <w:snapToGrid/>
          <w:color w:val="010101"/>
          <w:kern w:val="0"/>
          <w:szCs w:val="22"/>
        </w:rPr>
        <w:t xml:space="preserve">which state channels are used in the state system, and </w:t>
      </w:r>
      <w:r w:rsidR="00874645">
        <w:rPr>
          <w:snapToGrid/>
          <w:color w:val="010101"/>
          <w:kern w:val="0"/>
          <w:szCs w:val="22"/>
        </w:rPr>
        <w:t xml:space="preserve">the </w:t>
      </w:r>
      <w:r w:rsidR="00EE6B15">
        <w:rPr>
          <w:snapToGrid/>
          <w:color w:val="010101"/>
          <w:kern w:val="0"/>
          <w:szCs w:val="22"/>
        </w:rPr>
        <w:t>percentage of population or territory served by the composite footprint of the state system.</w:t>
      </w:r>
      <w:r w:rsidR="00EE6B15">
        <w:rPr>
          <w:rStyle w:val="FootnoteReference"/>
          <w:kern w:val="0"/>
          <w:szCs w:val="22"/>
        </w:rPr>
        <w:footnoteReference w:id="10"/>
      </w:r>
      <w:bookmarkEnd w:id="24"/>
      <w:r w:rsidR="00EE6B15" w:rsidRPr="00245E58">
        <w:rPr>
          <w:kern w:val="0"/>
          <w:szCs w:val="22"/>
        </w:rPr>
        <w:t xml:space="preserve"> </w:t>
      </w:r>
      <w:r w:rsidR="00EE6B15">
        <w:rPr>
          <w:snapToGrid/>
          <w:color w:val="010101"/>
          <w:kern w:val="0"/>
          <w:szCs w:val="22"/>
        </w:rPr>
        <w:t xml:space="preserve">  </w:t>
      </w:r>
    </w:p>
    <w:p w:rsidR="00EE6B15" w:rsidRDefault="003D73F0" w:rsidP="00213BF5">
      <w:pPr>
        <w:pStyle w:val="ParaNum"/>
        <w:widowControl/>
        <w:rPr>
          <w:snapToGrid/>
          <w:color w:val="010101"/>
          <w:kern w:val="0"/>
          <w:szCs w:val="22"/>
        </w:rPr>
      </w:pPr>
      <w:r w:rsidRPr="00907FDC">
        <w:t>On December 12, 2014, South Carolina filed</w:t>
      </w:r>
      <w:r>
        <w:t xml:space="preserve"> its interim substantial service certification along with a request for waiver of the June 13, 2014 deadline</w:t>
      </w:r>
      <w:r w:rsidRPr="003D73F0">
        <w:rPr>
          <w:kern w:val="0"/>
          <w:szCs w:val="22"/>
        </w:rPr>
        <w:t>.</w:t>
      </w:r>
      <w:r>
        <w:rPr>
          <w:rStyle w:val="FootnoteReference"/>
          <w:kern w:val="0"/>
          <w:szCs w:val="22"/>
        </w:rPr>
        <w:footnoteReference w:id="11"/>
      </w:r>
    </w:p>
    <w:p w:rsidR="002F3BF8" w:rsidRPr="004E3FCC" w:rsidRDefault="002F3BF8" w:rsidP="00213BF5">
      <w:pPr>
        <w:pStyle w:val="ParaNum"/>
        <w:widowControl/>
        <w:rPr>
          <w:snapToGrid/>
          <w:color w:val="010101"/>
          <w:kern w:val="0"/>
          <w:szCs w:val="22"/>
        </w:rPr>
      </w:pPr>
      <w:r>
        <w:t xml:space="preserve">In its request for waiver, </w:t>
      </w:r>
      <w:r w:rsidR="00F672A8" w:rsidRPr="002F3BF8">
        <w:t xml:space="preserve">South Carolina states that </w:t>
      </w:r>
      <w:r>
        <w:t xml:space="preserve">it missed </w:t>
      </w:r>
      <w:r w:rsidR="00F672A8" w:rsidRPr="00EE6B15">
        <w:rPr>
          <w:kern w:val="0"/>
          <w:szCs w:val="22"/>
        </w:rPr>
        <w:t xml:space="preserve">the June deadline </w:t>
      </w:r>
      <w:r w:rsidR="000E3B4F" w:rsidRPr="00EE6B15">
        <w:rPr>
          <w:kern w:val="0"/>
          <w:szCs w:val="22"/>
        </w:rPr>
        <w:t xml:space="preserve">due to a misinterpretation of </w:t>
      </w:r>
      <w:r w:rsidRPr="00EE6B15">
        <w:rPr>
          <w:kern w:val="0"/>
          <w:szCs w:val="22"/>
        </w:rPr>
        <w:t>the rules.</w:t>
      </w:r>
      <w:r w:rsidR="00CB3924">
        <w:rPr>
          <w:rStyle w:val="FootnoteReference"/>
          <w:kern w:val="0"/>
          <w:szCs w:val="22"/>
        </w:rPr>
        <w:footnoteReference w:id="12"/>
      </w:r>
      <w:r w:rsidRPr="00EE6B15">
        <w:rPr>
          <w:kern w:val="0"/>
          <w:szCs w:val="22"/>
        </w:rPr>
        <w:t xml:space="preserve">  </w:t>
      </w:r>
      <w:r w:rsidR="009A05BC" w:rsidRPr="00EE6B15">
        <w:rPr>
          <w:kern w:val="0"/>
          <w:szCs w:val="22"/>
        </w:rPr>
        <w:t>Specifically</w:t>
      </w:r>
      <w:r w:rsidR="00315FFB" w:rsidRPr="00EE6B15">
        <w:rPr>
          <w:kern w:val="0"/>
          <w:szCs w:val="22"/>
        </w:rPr>
        <w:t xml:space="preserve">, South Carolina states that it </w:t>
      </w:r>
      <w:r w:rsidR="00F672A8" w:rsidRPr="002F3BF8">
        <w:t>erroneous</w:t>
      </w:r>
      <w:r w:rsidR="00315FFB">
        <w:t xml:space="preserve">ly believed it </w:t>
      </w:r>
      <w:r w:rsidR="00F672A8" w:rsidRPr="002F3BF8">
        <w:t>was required to construct base station infrastructure</w:t>
      </w:r>
      <w:r w:rsidR="00315FFB">
        <w:t xml:space="preserve"> and </w:t>
      </w:r>
      <w:r w:rsidR="00F672A8" w:rsidRPr="00EE6B15">
        <w:rPr>
          <w:kern w:val="0"/>
          <w:szCs w:val="22"/>
        </w:rPr>
        <w:t xml:space="preserve">argues </w:t>
      </w:r>
      <w:r w:rsidR="00315FFB" w:rsidRPr="00EE6B15">
        <w:rPr>
          <w:kern w:val="0"/>
          <w:szCs w:val="22"/>
        </w:rPr>
        <w:t xml:space="preserve">it was unable to </w:t>
      </w:r>
      <w:r w:rsidR="00A76189" w:rsidRPr="00EE6B15">
        <w:rPr>
          <w:kern w:val="0"/>
          <w:szCs w:val="22"/>
        </w:rPr>
        <w:t xml:space="preserve">do so </w:t>
      </w:r>
      <w:r w:rsidR="00F672A8" w:rsidRPr="00EE6B15">
        <w:rPr>
          <w:kern w:val="0"/>
          <w:szCs w:val="22"/>
        </w:rPr>
        <w:t>“[d]ue to system limitations</w:t>
      </w:r>
      <w:r w:rsidR="00315FFB" w:rsidRPr="00EE6B15">
        <w:rPr>
          <w:kern w:val="0"/>
          <w:szCs w:val="22"/>
        </w:rPr>
        <w:t xml:space="preserve"> [because]</w:t>
      </w:r>
      <w:r w:rsidR="00F672A8" w:rsidRPr="00EE6B15">
        <w:rPr>
          <w:kern w:val="0"/>
          <w:szCs w:val="22"/>
        </w:rPr>
        <w:t xml:space="preserve"> there are no available ports on the existing statewide trunked system, [and] no fixed trunked sites can be constructed until [South Carolina] com</w:t>
      </w:r>
      <w:r w:rsidR="000E3B4F" w:rsidRPr="00EE6B15">
        <w:rPr>
          <w:kern w:val="0"/>
          <w:szCs w:val="22"/>
        </w:rPr>
        <w:t>plete[s] the conversion to P25 . . .</w:t>
      </w:r>
      <w:r w:rsidR="00874645">
        <w:rPr>
          <w:kern w:val="0"/>
          <w:szCs w:val="22"/>
        </w:rPr>
        <w:t>.</w:t>
      </w:r>
      <w:r w:rsidR="00F672A8" w:rsidRPr="00EE6B15">
        <w:rPr>
          <w:kern w:val="0"/>
          <w:szCs w:val="22"/>
        </w:rPr>
        <w:t>”</w:t>
      </w:r>
      <w:r w:rsidR="00F672A8" w:rsidRPr="002F3BF8">
        <w:rPr>
          <w:rStyle w:val="FootnoteReference"/>
          <w:kern w:val="0"/>
          <w:szCs w:val="22"/>
        </w:rPr>
        <w:footnoteReference w:id="13"/>
      </w:r>
      <w:r w:rsidR="00F672A8" w:rsidRPr="002F3BF8">
        <w:t xml:space="preserve">  </w:t>
      </w:r>
    </w:p>
    <w:p w:rsidR="00F672A8" w:rsidRPr="002F3BF8" w:rsidRDefault="000E3B4F" w:rsidP="0060268B">
      <w:pPr>
        <w:pStyle w:val="ParaNum"/>
        <w:widowControl/>
      </w:pPr>
      <w:r w:rsidRPr="002F3BF8">
        <w:t xml:space="preserve">Nonetheless, </w:t>
      </w:r>
      <w:r w:rsidRPr="002F3BF8">
        <w:rPr>
          <w:kern w:val="0"/>
          <w:szCs w:val="22"/>
        </w:rPr>
        <w:t xml:space="preserve">South Carolina indicates that </w:t>
      </w:r>
      <w:r w:rsidR="00CB3924">
        <w:rPr>
          <w:kern w:val="0"/>
          <w:szCs w:val="22"/>
        </w:rPr>
        <w:t xml:space="preserve">it programmed </w:t>
      </w:r>
      <w:r w:rsidRPr="002F3BF8">
        <w:rPr>
          <w:kern w:val="0"/>
          <w:szCs w:val="22"/>
        </w:rPr>
        <w:t xml:space="preserve">six </w:t>
      </w:r>
      <w:r w:rsidR="00CB3924">
        <w:rPr>
          <w:kern w:val="0"/>
          <w:szCs w:val="22"/>
        </w:rPr>
        <w:t xml:space="preserve">State License channel pairs into the state’s portable trunked infrastructure and that those portable fixed sites were operational </w:t>
      </w:r>
      <w:r w:rsidR="005748F9" w:rsidRPr="002F3BF8">
        <w:rPr>
          <w:kern w:val="0"/>
          <w:szCs w:val="22"/>
        </w:rPr>
        <w:t>prior to June 13, 2014</w:t>
      </w:r>
      <w:r w:rsidRPr="002F3BF8">
        <w:rPr>
          <w:kern w:val="0"/>
          <w:szCs w:val="22"/>
        </w:rPr>
        <w:t>.</w:t>
      </w:r>
      <w:r w:rsidRPr="002F3BF8">
        <w:rPr>
          <w:rStyle w:val="FootnoteReference"/>
          <w:kern w:val="0"/>
          <w:szCs w:val="22"/>
        </w:rPr>
        <w:footnoteReference w:id="14"/>
      </w:r>
      <w:r w:rsidRPr="002F3BF8">
        <w:t xml:space="preserve"> </w:t>
      </w:r>
      <w:r w:rsidR="00CB3924">
        <w:t xml:space="preserve"> South Carolina notes that its </w:t>
      </w:r>
      <w:r w:rsidRPr="002F3BF8">
        <w:rPr>
          <w:kern w:val="0"/>
          <w:szCs w:val="22"/>
        </w:rPr>
        <w:t>portable fixed sites</w:t>
      </w:r>
      <w:r w:rsidR="00CB3924">
        <w:rPr>
          <w:kern w:val="0"/>
          <w:szCs w:val="22"/>
        </w:rPr>
        <w:t xml:space="preserve"> serve one-hundred percent </w:t>
      </w:r>
      <w:r w:rsidRPr="002F3BF8">
        <w:rPr>
          <w:kern w:val="0"/>
          <w:szCs w:val="22"/>
        </w:rPr>
        <w:t>of the state’s population.</w:t>
      </w:r>
      <w:r w:rsidRPr="002F3BF8">
        <w:rPr>
          <w:rStyle w:val="FootnoteReference"/>
          <w:kern w:val="0"/>
          <w:szCs w:val="22"/>
        </w:rPr>
        <w:footnoteReference w:id="15"/>
      </w:r>
      <w:r w:rsidRPr="002F3BF8">
        <w:rPr>
          <w:kern w:val="0"/>
          <w:szCs w:val="22"/>
        </w:rPr>
        <w:t xml:space="preserve"> </w:t>
      </w:r>
      <w:r w:rsidR="00CB3924">
        <w:rPr>
          <w:kern w:val="0"/>
          <w:szCs w:val="22"/>
        </w:rPr>
        <w:t xml:space="preserve"> </w:t>
      </w:r>
      <w:r w:rsidR="00A76C93">
        <w:rPr>
          <w:kern w:val="0"/>
          <w:szCs w:val="22"/>
        </w:rPr>
        <w:t xml:space="preserve">Furthermore, South Carolina notes that </w:t>
      </w:r>
      <w:r w:rsidR="007E4C1C">
        <w:rPr>
          <w:kern w:val="0"/>
          <w:szCs w:val="22"/>
        </w:rPr>
        <w:t xml:space="preserve">it also programmed sixteen State License channels into </w:t>
      </w:r>
      <w:r w:rsidR="00F672A8" w:rsidRPr="002F3BF8">
        <w:rPr>
          <w:kern w:val="0"/>
          <w:szCs w:val="22"/>
        </w:rPr>
        <w:t>over 42,000 mobile and handheld radio</w:t>
      </w:r>
      <w:r w:rsidR="007E4C1C">
        <w:rPr>
          <w:kern w:val="0"/>
          <w:szCs w:val="22"/>
        </w:rPr>
        <w:t xml:space="preserve"> unit</w:t>
      </w:r>
      <w:r w:rsidR="00F672A8" w:rsidRPr="002F3BF8">
        <w:rPr>
          <w:kern w:val="0"/>
          <w:szCs w:val="22"/>
        </w:rPr>
        <w:t>s</w:t>
      </w:r>
      <w:r w:rsidRPr="002F3BF8">
        <w:rPr>
          <w:kern w:val="0"/>
          <w:szCs w:val="22"/>
        </w:rPr>
        <w:t xml:space="preserve"> </w:t>
      </w:r>
      <w:r w:rsidR="007E4C1C">
        <w:rPr>
          <w:kern w:val="0"/>
          <w:szCs w:val="22"/>
        </w:rPr>
        <w:t>for tactical communications and that these radios were operational as well prior to June 13, 2014.</w:t>
      </w:r>
      <w:r w:rsidR="00F672A8" w:rsidRPr="002F3BF8">
        <w:rPr>
          <w:rStyle w:val="FootnoteReference"/>
          <w:kern w:val="0"/>
          <w:szCs w:val="22"/>
        </w:rPr>
        <w:footnoteReference w:id="16"/>
      </w:r>
      <w:r w:rsidR="00F672A8" w:rsidRPr="002F3BF8">
        <w:rPr>
          <w:kern w:val="0"/>
          <w:szCs w:val="22"/>
          <w:highlight w:val="yellow"/>
        </w:rPr>
        <w:t xml:space="preserve">  </w:t>
      </w:r>
    </w:p>
    <w:p w:rsidR="00703C53" w:rsidRDefault="00703C53" w:rsidP="0060268B">
      <w:pPr>
        <w:pStyle w:val="Heading1"/>
        <w:widowControl/>
        <w:rPr>
          <w:b w:val="0"/>
        </w:rPr>
      </w:pPr>
      <w:r>
        <w:rPr>
          <w:b w:val="0"/>
        </w:rPr>
        <w:t>DISCUSSION</w:t>
      </w:r>
    </w:p>
    <w:p w:rsidR="00667B34" w:rsidRPr="003E2CF2" w:rsidRDefault="00703C53">
      <w:pPr>
        <w:pStyle w:val="ParaNum"/>
        <w:widowControl/>
      </w:pPr>
      <w:bookmarkStart w:id="25" w:name="_Toc194920642"/>
      <w:bookmarkStart w:id="26" w:name="_Toc194921850"/>
      <w:bookmarkStart w:id="27" w:name="_Toc194927741"/>
      <w:bookmarkStart w:id="28" w:name="_Toc195496619"/>
      <w:bookmarkStart w:id="29" w:name="_Toc196131849"/>
      <w:bookmarkStart w:id="30" w:name="_Toc196732576"/>
      <w:bookmarkStart w:id="31" w:name="_Toc196740828"/>
      <w:bookmarkStart w:id="32" w:name="_Toc198032895"/>
      <w:bookmarkStart w:id="33" w:name="_Toc198033797"/>
      <w:bookmarkStart w:id="34" w:name="_Toc198466365"/>
      <w:bookmarkStart w:id="35" w:name="_Toc198521376"/>
      <w:r>
        <w:rPr>
          <w:szCs w:val="22"/>
        </w:rPr>
        <w:t>To obtain a waiver of the Commission’s rules, a petitioner must demonstrate either that:  (i) the underlying purpose of the rule(s) would not be served or would be frustrated by application to the present case, and that a grant of the waiver would be in the public interest;</w:t>
      </w:r>
      <w:r>
        <w:rPr>
          <w:rStyle w:val="FootnoteReference"/>
          <w:szCs w:val="22"/>
        </w:rPr>
        <w:footnoteReference w:id="17"/>
      </w:r>
      <w:r>
        <w:rPr>
          <w:szCs w:val="22"/>
        </w:rPr>
        <w:t xml:space="preserve"> or (ii) in view of unique or unusual factual circumstances of the instant case, application of the rule(s) would be inequitable, unduly burdensome, or contrary to</w:t>
      </w:r>
      <w:r>
        <w:t xml:space="preserve"> the public interest, or the applicant has no reasonable alternative.</w:t>
      </w:r>
      <w:r>
        <w:rPr>
          <w:rStyle w:val="FootnoteReference"/>
          <w:szCs w:val="22"/>
        </w:rPr>
        <w:footnoteReference w:id="18"/>
      </w:r>
      <w:r>
        <w:t xml:space="preserve">  An applicant seeking a waiver faces a </w:t>
      </w:r>
      <w:r>
        <w:rPr>
          <w:szCs w:val="22"/>
        </w:rPr>
        <w:t>high hurdle and must plead with particularity the facts and circumstances that warrant a waiver.</w:t>
      </w:r>
      <w:r>
        <w:rPr>
          <w:rStyle w:val="FootnoteReference"/>
          <w:szCs w:val="22"/>
        </w:rPr>
        <w:footnoteReference w:id="19"/>
      </w:r>
      <w:r>
        <w:rPr>
          <w:szCs w:val="22"/>
        </w:rPr>
        <w:t xml:space="preserve">  </w:t>
      </w:r>
      <w:r w:rsidRPr="003E2CF2">
        <w:rPr>
          <w:szCs w:val="22"/>
        </w:rPr>
        <w:t>Based on the record before us,</w:t>
      </w:r>
      <w:r w:rsidR="00667B34" w:rsidRPr="003E2CF2">
        <w:rPr>
          <w:szCs w:val="22"/>
        </w:rPr>
        <w:t xml:space="preserve"> we find that South Carolina has shown that its request should be granted under the first prong of the waiver standard.    </w:t>
      </w:r>
    </w:p>
    <w:p w:rsidR="003E2CF2" w:rsidRPr="003E2CF2" w:rsidRDefault="004A7437">
      <w:pPr>
        <w:pStyle w:val="ParaNum"/>
        <w:widowControl/>
        <w:rPr>
          <w:szCs w:val="22"/>
        </w:rPr>
      </w:pPr>
      <w:r w:rsidRPr="003E2CF2">
        <w:rPr>
          <w:szCs w:val="22"/>
        </w:rPr>
        <w:t xml:space="preserve">The underlying purpose of </w:t>
      </w:r>
      <w:r w:rsidR="007F01EF">
        <w:rPr>
          <w:szCs w:val="22"/>
        </w:rPr>
        <w:t xml:space="preserve">the substantial service requirement </w:t>
      </w:r>
      <w:r w:rsidR="007075BA">
        <w:rPr>
          <w:szCs w:val="22"/>
        </w:rPr>
        <w:t xml:space="preserve">is </w:t>
      </w:r>
      <w:r w:rsidR="00800E0B">
        <w:rPr>
          <w:szCs w:val="22"/>
        </w:rPr>
        <w:t xml:space="preserve">to ensure efficient use of </w:t>
      </w:r>
      <w:r w:rsidR="00CC0C75">
        <w:rPr>
          <w:szCs w:val="22"/>
        </w:rPr>
        <w:t>s</w:t>
      </w:r>
      <w:r w:rsidR="009C26B6">
        <w:rPr>
          <w:szCs w:val="22"/>
        </w:rPr>
        <w:t>tate c</w:t>
      </w:r>
      <w:r w:rsidR="00800E0B">
        <w:rPr>
          <w:szCs w:val="22"/>
        </w:rPr>
        <w:t>hannels including service to “rural, remote and insular areas.”</w:t>
      </w:r>
      <w:r w:rsidR="00D10EFA">
        <w:rPr>
          <w:rStyle w:val="FootnoteReference"/>
          <w:szCs w:val="22"/>
        </w:rPr>
        <w:footnoteReference w:id="20"/>
      </w:r>
      <w:r w:rsidR="00D10EFA" w:rsidDel="00D10EFA">
        <w:rPr>
          <w:rStyle w:val="FootnoteReference"/>
          <w:szCs w:val="22"/>
        </w:rPr>
        <w:t xml:space="preserve"> </w:t>
      </w:r>
      <w:r w:rsidR="00800E0B">
        <w:rPr>
          <w:szCs w:val="22"/>
        </w:rPr>
        <w:t xml:space="preserve"> </w:t>
      </w:r>
      <w:r w:rsidR="00646E80">
        <w:rPr>
          <w:szCs w:val="22"/>
        </w:rPr>
        <w:t xml:space="preserve">To this end, </w:t>
      </w:r>
      <w:r w:rsidRPr="003E2CF2">
        <w:rPr>
          <w:szCs w:val="22"/>
        </w:rPr>
        <w:t>Section 90.529(b)(1)</w:t>
      </w:r>
      <w:r w:rsidR="007F01EF">
        <w:rPr>
          <w:szCs w:val="22"/>
        </w:rPr>
        <w:t xml:space="preserve"> </w:t>
      </w:r>
      <w:r w:rsidR="00646E80">
        <w:rPr>
          <w:szCs w:val="22"/>
        </w:rPr>
        <w:t xml:space="preserve">establishes a deadline for </w:t>
      </w:r>
      <w:r w:rsidR="00496ED8">
        <w:t>state licensees</w:t>
      </w:r>
      <w:r w:rsidR="00646E80">
        <w:rPr>
          <w:szCs w:val="22"/>
        </w:rPr>
        <w:t xml:space="preserve"> to </w:t>
      </w:r>
      <w:r w:rsidRPr="003E2CF2">
        <w:rPr>
          <w:szCs w:val="22"/>
        </w:rPr>
        <w:t xml:space="preserve">certify that they are </w:t>
      </w:r>
      <w:r w:rsidR="009C26B6">
        <w:rPr>
          <w:szCs w:val="22"/>
        </w:rPr>
        <w:t xml:space="preserve">meeting the interim benchmark by </w:t>
      </w:r>
      <w:r w:rsidRPr="003E2CF2">
        <w:rPr>
          <w:szCs w:val="22"/>
        </w:rPr>
        <w:t xml:space="preserve">providing or </w:t>
      </w:r>
      <w:r w:rsidR="009C26B6">
        <w:rPr>
          <w:szCs w:val="22"/>
        </w:rPr>
        <w:t xml:space="preserve">being </w:t>
      </w:r>
      <w:r w:rsidRPr="003E2CF2">
        <w:rPr>
          <w:szCs w:val="22"/>
        </w:rPr>
        <w:t>prepared to provide substantial service to one third of their population or territory.</w:t>
      </w:r>
      <w:r w:rsidR="00962CEB" w:rsidRPr="003E2CF2">
        <w:rPr>
          <w:rStyle w:val="FootnoteReference"/>
          <w:szCs w:val="22"/>
        </w:rPr>
        <w:footnoteReference w:id="21"/>
      </w:r>
      <w:r w:rsidRPr="003E2CF2">
        <w:rPr>
          <w:szCs w:val="22"/>
        </w:rPr>
        <w:t xml:space="preserve">  </w:t>
      </w:r>
      <w:r w:rsidR="00814C80">
        <w:rPr>
          <w:szCs w:val="22"/>
        </w:rPr>
        <w:t>A</w:t>
      </w:r>
      <w:r w:rsidRPr="003E2CF2">
        <w:rPr>
          <w:szCs w:val="22"/>
        </w:rPr>
        <w:t xml:space="preserve"> </w:t>
      </w:r>
      <w:r w:rsidR="00496ED8">
        <w:t>state licensee</w:t>
      </w:r>
      <w:r w:rsidRPr="003E2CF2">
        <w:rPr>
          <w:szCs w:val="22"/>
        </w:rPr>
        <w:t xml:space="preserve"> is deemed “prepared” to provide substantial service if it certifies that a radio system has been approved and funded by the deadline date.</w:t>
      </w:r>
      <w:r w:rsidR="00962CEB" w:rsidRPr="003E2CF2">
        <w:rPr>
          <w:rStyle w:val="FootnoteReference"/>
          <w:szCs w:val="22"/>
        </w:rPr>
        <w:footnoteReference w:id="22"/>
      </w:r>
      <w:r w:rsidRPr="003E2CF2">
        <w:rPr>
          <w:szCs w:val="22"/>
        </w:rPr>
        <w:t xml:space="preserve">  The Commission’s rules </w:t>
      </w:r>
      <w:r w:rsidR="000B6660" w:rsidRPr="003E2CF2">
        <w:rPr>
          <w:szCs w:val="22"/>
        </w:rPr>
        <w:t xml:space="preserve">also </w:t>
      </w:r>
      <w:r w:rsidRPr="003E2CF2">
        <w:rPr>
          <w:szCs w:val="22"/>
        </w:rPr>
        <w:t xml:space="preserve">recognize that </w:t>
      </w:r>
      <w:r w:rsidR="00496ED8">
        <w:t>state licensees</w:t>
      </w:r>
      <w:r w:rsidRPr="003E2CF2">
        <w:rPr>
          <w:szCs w:val="22"/>
        </w:rPr>
        <w:t xml:space="preserve"> that do not meet the interim substantial service benchmark, </w:t>
      </w:r>
      <w:r w:rsidR="000B6660" w:rsidRPr="003E2CF2">
        <w:rPr>
          <w:i/>
          <w:szCs w:val="22"/>
        </w:rPr>
        <w:t xml:space="preserve">e.g., </w:t>
      </w:r>
      <w:r w:rsidRPr="003E2CF2">
        <w:rPr>
          <w:szCs w:val="22"/>
        </w:rPr>
        <w:t>because they have failed to construct or receive funding for any facilities by the deadline, will be subject to license cancelation or modification.</w:t>
      </w:r>
      <w:r w:rsidR="00962CEB" w:rsidRPr="003E2CF2">
        <w:rPr>
          <w:rStyle w:val="FootnoteReference"/>
          <w:szCs w:val="22"/>
        </w:rPr>
        <w:footnoteReference w:id="23"/>
      </w:r>
      <w:r w:rsidR="007B29A9">
        <w:rPr>
          <w:szCs w:val="22"/>
        </w:rPr>
        <w:t xml:space="preserve">  </w:t>
      </w:r>
      <w:r w:rsidR="001657A8">
        <w:rPr>
          <w:szCs w:val="22"/>
        </w:rPr>
        <w:t>As noted above</w:t>
      </w:r>
      <w:r w:rsidR="007B29A9">
        <w:rPr>
          <w:szCs w:val="22"/>
        </w:rPr>
        <w:t xml:space="preserve">, the Bureau provided </w:t>
      </w:r>
      <w:r w:rsidR="00496ED8">
        <w:t>state licensees</w:t>
      </w:r>
      <w:r w:rsidR="001657A8">
        <w:rPr>
          <w:szCs w:val="22"/>
        </w:rPr>
        <w:t xml:space="preserve"> </w:t>
      </w:r>
      <w:r w:rsidR="007B29A9">
        <w:rPr>
          <w:szCs w:val="22"/>
        </w:rPr>
        <w:t xml:space="preserve">guidance on how to </w:t>
      </w:r>
      <w:r w:rsidR="00DD0A30">
        <w:rPr>
          <w:szCs w:val="22"/>
        </w:rPr>
        <w:t xml:space="preserve">demonstrate that they </w:t>
      </w:r>
      <w:r w:rsidR="007B29A9">
        <w:rPr>
          <w:szCs w:val="22"/>
        </w:rPr>
        <w:t xml:space="preserve">met the </w:t>
      </w:r>
      <w:r w:rsidR="00DD0A30">
        <w:rPr>
          <w:szCs w:val="22"/>
        </w:rPr>
        <w:t xml:space="preserve">interim </w:t>
      </w:r>
      <w:r w:rsidR="007B29A9">
        <w:rPr>
          <w:szCs w:val="22"/>
        </w:rPr>
        <w:t>substantial service showing.</w:t>
      </w:r>
      <w:r w:rsidR="00E65ABC">
        <w:rPr>
          <w:rStyle w:val="FootnoteReference"/>
          <w:szCs w:val="22"/>
        </w:rPr>
        <w:footnoteReference w:id="24"/>
      </w:r>
      <w:r w:rsidR="007B29A9">
        <w:rPr>
          <w:szCs w:val="22"/>
        </w:rPr>
        <w:t xml:space="preserve">  </w:t>
      </w:r>
    </w:p>
    <w:p w:rsidR="00672292" w:rsidRDefault="007B29A9">
      <w:pPr>
        <w:pStyle w:val="ParaNum"/>
        <w:widowControl/>
        <w:rPr>
          <w:szCs w:val="22"/>
        </w:rPr>
      </w:pPr>
      <w:r>
        <w:rPr>
          <w:kern w:val="0"/>
          <w:szCs w:val="22"/>
        </w:rPr>
        <w:t xml:space="preserve">Consistent with the Commission’s rules and policies as well as the Bureau’s guidance, </w:t>
      </w:r>
      <w:r w:rsidR="00CC0C75">
        <w:rPr>
          <w:kern w:val="0"/>
          <w:szCs w:val="22"/>
        </w:rPr>
        <w:t xml:space="preserve">Commission </w:t>
      </w:r>
      <w:r>
        <w:rPr>
          <w:kern w:val="0"/>
          <w:szCs w:val="22"/>
        </w:rPr>
        <w:t>s</w:t>
      </w:r>
      <w:r w:rsidR="009C26B6">
        <w:rPr>
          <w:kern w:val="0"/>
          <w:szCs w:val="22"/>
        </w:rPr>
        <w:t>taff</w:t>
      </w:r>
      <w:r w:rsidR="000B6660" w:rsidRPr="003E2CF2">
        <w:rPr>
          <w:kern w:val="0"/>
          <w:szCs w:val="22"/>
        </w:rPr>
        <w:t xml:space="preserve"> confirmed that </w:t>
      </w:r>
      <w:r>
        <w:rPr>
          <w:kern w:val="0"/>
          <w:szCs w:val="22"/>
        </w:rPr>
        <w:t>South Carolina</w:t>
      </w:r>
      <w:r w:rsidR="000B6660" w:rsidRPr="003E2CF2">
        <w:rPr>
          <w:kern w:val="0"/>
          <w:szCs w:val="22"/>
        </w:rPr>
        <w:t xml:space="preserve"> </w:t>
      </w:r>
      <w:r w:rsidR="009C26B6">
        <w:rPr>
          <w:kern w:val="0"/>
          <w:szCs w:val="22"/>
        </w:rPr>
        <w:t xml:space="preserve">satisfied </w:t>
      </w:r>
      <w:r w:rsidR="000B6660" w:rsidRPr="003E2CF2">
        <w:rPr>
          <w:kern w:val="0"/>
          <w:szCs w:val="22"/>
        </w:rPr>
        <w:t>the interim substantial service benchmark</w:t>
      </w:r>
      <w:r w:rsidR="00B07CA5" w:rsidRPr="003E2CF2">
        <w:rPr>
          <w:kern w:val="0"/>
          <w:szCs w:val="22"/>
        </w:rPr>
        <w:t xml:space="preserve"> </w:t>
      </w:r>
      <w:r w:rsidR="009C26B6">
        <w:rPr>
          <w:kern w:val="0"/>
          <w:szCs w:val="22"/>
        </w:rPr>
        <w:t xml:space="preserve">by </w:t>
      </w:r>
      <w:r w:rsidR="00B07CA5" w:rsidRPr="003E2CF2">
        <w:rPr>
          <w:kern w:val="0"/>
          <w:szCs w:val="22"/>
        </w:rPr>
        <w:t xml:space="preserve">programming six paired </w:t>
      </w:r>
      <w:r w:rsidR="00774FA5">
        <w:rPr>
          <w:kern w:val="0"/>
          <w:szCs w:val="22"/>
        </w:rPr>
        <w:t>s</w:t>
      </w:r>
      <w:r w:rsidR="00B07CA5" w:rsidRPr="003E2CF2">
        <w:rPr>
          <w:kern w:val="0"/>
          <w:szCs w:val="22"/>
        </w:rPr>
        <w:t xml:space="preserve">tate channels into the State’s portable fixed trunked </w:t>
      </w:r>
      <w:r w:rsidR="009C26B6">
        <w:rPr>
          <w:kern w:val="0"/>
          <w:szCs w:val="22"/>
        </w:rPr>
        <w:t xml:space="preserve">infrastructure and programming </w:t>
      </w:r>
      <w:r w:rsidR="00FC17A9" w:rsidRPr="003E2CF2">
        <w:rPr>
          <w:kern w:val="0"/>
          <w:szCs w:val="22"/>
        </w:rPr>
        <w:t xml:space="preserve">sixteen </w:t>
      </w:r>
      <w:r w:rsidR="00774FA5">
        <w:rPr>
          <w:kern w:val="0"/>
          <w:szCs w:val="22"/>
        </w:rPr>
        <w:t>s</w:t>
      </w:r>
      <w:r w:rsidR="00FC17A9" w:rsidRPr="003E2CF2">
        <w:rPr>
          <w:kern w:val="0"/>
          <w:szCs w:val="22"/>
        </w:rPr>
        <w:t xml:space="preserve">tate channels into over 42,000 mobile and handheld radio units for tactical communications prior to </w:t>
      </w:r>
      <w:r w:rsidR="00EB056D">
        <w:rPr>
          <w:kern w:val="0"/>
          <w:szCs w:val="22"/>
        </w:rPr>
        <w:t xml:space="preserve">the </w:t>
      </w:r>
      <w:r w:rsidR="00FC17A9" w:rsidRPr="003E2CF2">
        <w:rPr>
          <w:kern w:val="0"/>
          <w:szCs w:val="22"/>
        </w:rPr>
        <w:t>June 13, 2014</w:t>
      </w:r>
      <w:r w:rsidR="009C26B6">
        <w:rPr>
          <w:kern w:val="0"/>
          <w:szCs w:val="22"/>
        </w:rPr>
        <w:t xml:space="preserve"> deadline</w:t>
      </w:r>
      <w:r w:rsidR="00FC17A9" w:rsidRPr="003E2CF2">
        <w:rPr>
          <w:kern w:val="0"/>
          <w:szCs w:val="22"/>
        </w:rPr>
        <w:t>.</w:t>
      </w:r>
      <w:r w:rsidR="00FC17A9" w:rsidRPr="003E2CF2">
        <w:rPr>
          <w:rStyle w:val="FootnoteReference"/>
          <w:kern w:val="0"/>
          <w:szCs w:val="22"/>
        </w:rPr>
        <w:footnoteReference w:id="25"/>
      </w:r>
      <w:r w:rsidR="00FC17A9" w:rsidRPr="003E2CF2">
        <w:rPr>
          <w:kern w:val="0"/>
          <w:szCs w:val="22"/>
        </w:rPr>
        <w:t xml:space="preserve"> </w:t>
      </w:r>
      <w:r w:rsidR="009C26B6">
        <w:rPr>
          <w:kern w:val="0"/>
          <w:szCs w:val="22"/>
        </w:rPr>
        <w:t xml:space="preserve"> </w:t>
      </w:r>
      <w:r w:rsidR="003370EE">
        <w:rPr>
          <w:kern w:val="0"/>
          <w:szCs w:val="22"/>
        </w:rPr>
        <w:t>Thus, Sout</w:t>
      </w:r>
      <w:r w:rsidR="00672292">
        <w:rPr>
          <w:kern w:val="0"/>
          <w:szCs w:val="22"/>
        </w:rPr>
        <w:t>h</w:t>
      </w:r>
      <w:r w:rsidR="003370EE">
        <w:rPr>
          <w:kern w:val="0"/>
          <w:szCs w:val="22"/>
        </w:rPr>
        <w:t xml:space="preserve"> Car</w:t>
      </w:r>
      <w:r w:rsidR="00672292">
        <w:rPr>
          <w:kern w:val="0"/>
          <w:szCs w:val="22"/>
        </w:rPr>
        <w:t>o</w:t>
      </w:r>
      <w:r w:rsidR="003370EE">
        <w:rPr>
          <w:kern w:val="0"/>
          <w:szCs w:val="22"/>
        </w:rPr>
        <w:t xml:space="preserve">lina needs a waiver solely because it failed to file its certification prior to the deadline.  </w:t>
      </w:r>
    </w:p>
    <w:p w:rsidR="00231640" w:rsidRPr="00231640" w:rsidRDefault="000B6751" w:rsidP="00213BF5">
      <w:pPr>
        <w:pStyle w:val="ParaNum"/>
        <w:widowControl/>
      </w:pPr>
      <w:r w:rsidRPr="000B6751">
        <w:rPr>
          <w:rFonts w:ascii="Verdana" w:hAnsi="Verdana"/>
          <w:color w:val="000000"/>
          <w:sz w:val="19"/>
          <w:szCs w:val="19"/>
        </w:rPr>
        <w:t xml:space="preserve"> </w:t>
      </w:r>
      <w:r w:rsidR="004B1B9D">
        <w:rPr>
          <w:szCs w:val="22"/>
        </w:rPr>
        <w:t xml:space="preserve">The </w:t>
      </w:r>
      <w:r w:rsidR="00CC649F">
        <w:rPr>
          <w:szCs w:val="22"/>
        </w:rPr>
        <w:t xml:space="preserve">Commission has </w:t>
      </w:r>
      <w:r w:rsidR="004B1B9D">
        <w:rPr>
          <w:szCs w:val="22"/>
        </w:rPr>
        <w:t xml:space="preserve">previously </w:t>
      </w:r>
      <w:r w:rsidR="00CC649F">
        <w:rPr>
          <w:szCs w:val="22"/>
        </w:rPr>
        <w:t>explained that f</w:t>
      </w:r>
      <w:r>
        <w:rPr>
          <w:szCs w:val="22"/>
        </w:rPr>
        <w:t xml:space="preserve">or certain Wireless Radio Services, including </w:t>
      </w:r>
      <w:r w:rsidR="009D1890">
        <w:rPr>
          <w:szCs w:val="22"/>
        </w:rPr>
        <w:t xml:space="preserve">the </w:t>
      </w:r>
      <w:r>
        <w:rPr>
          <w:szCs w:val="22"/>
        </w:rPr>
        <w:t xml:space="preserve">Private Land Mobile Radio Service, </w:t>
      </w:r>
      <w:r w:rsidRPr="00231640">
        <w:rPr>
          <w:color w:val="000000"/>
          <w:szCs w:val="22"/>
        </w:rPr>
        <w:t xml:space="preserve">the purpose of our construction notification </w:t>
      </w:r>
      <w:r w:rsidR="00E65ABC">
        <w:rPr>
          <w:color w:val="000000"/>
          <w:szCs w:val="22"/>
        </w:rPr>
        <w:t>requirements is to “</w:t>
      </w:r>
      <w:r w:rsidRPr="00231640">
        <w:rPr>
          <w:color w:val="000000"/>
          <w:szCs w:val="22"/>
        </w:rPr>
        <w:t>verify whether licensees have in fact met their construction and coverage obligations, not to terminate licenses for legitimately operating facilities based on a failure to notify by the licensee</w:t>
      </w:r>
      <w:r w:rsidR="004B1B9D">
        <w:rPr>
          <w:color w:val="000000"/>
          <w:szCs w:val="22"/>
        </w:rPr>
        <w:t>….</w:t>
      </w:r>
      <w:r w:rsidRPr="00231640">
        <w:rPr>
          <w:color w:val="000000"/>
          <w:szCs w:val="22"/>
        </w:rPr>
        <w:t>.”</w:t>
      </w:r>
      <w:bookmarkStart w:id="36" w:name="FN[FN16]"/>
      <w:bookmarkEnd w:id="36"/>
      <w:r>
        <w:rPr>
          <w:rStyle w:val="FootnoteReference"/>
          <w:szCs w:val="22"/>
        </w:rPr>
        <w:footnoteReference w:id="26"/>
      </w:r>
      <w:r w:rsidR="00572E0F" w:rsidRPr="002A5DA3">
        <w:rPr>
          <w:szCs w:val="22"/>
        </w:rPr>
        <w:t xml:space="preserve">  </w:t>
      </w:r>
      <w:r w:rsidR="00231640">
        <w:rPr>
          <w:szCs w:val="22"/>
        </w:rPr>
        <w:t xml:space="preserve">Furthermore, the Commission has advised any licensee missing a construction notification deadline that it may seek a waiver of the Commission’s rules but </w:t>
      </w:r>
      <w:bookmarkStart w:id="37" w:name="SearchTerm"/>
      <w:r w:rsidR="008457DF" w:rsidRPr="00231640">
        <w:rPr>
          <w:color w:val="000000"/>
          <w:szCs w:val="22"/>
        </w:rPr>
        <w:t xml:space="preserve">must certify that </w:t>
      </w:r>
      <w:r w:rsidR="00231640" w:rsidRPr="00231640">
        <w:rPr>
          <w:szCs w:val="22"/>
        </w:rPr>
        <w:t>“</w:t>
      </w:r>
      <w:r w:rsidR="008457DF" w:rsidRPr="00231640">
        <w:rPr>
          <w:szCs w:val="22"/>
        </w:rPr>
        <w:t xml:space="preserve">it did meet the </w:t>
      </w:r>
      <w:bookmarkEnd w:id="37"/>
      <w:r w:rsidR="002A5DA3" w:rsidRPr="00231640">
        <w:rPr>
          <w:szCs w:val="22"/>
        </w:rPr>
        <w:t xml:space="preserve">construction </w:t>
      </w:r>
      <w:r w:rsidR="008457DF" w:rsidRPr="00231640">
        <w:rPr>
          <w:szCs w:val="22"/>
        </w:rPr>
        <w:t>or coverage requirement and provide the date by which the licensee met that requirement.”</w:t>
      </w:r>
      <w:r w:rsidR="00231640" w:rsidRPr="00231640">
        <w:rPr>
          <w:rStyle w:val="FootnoteReference"/>
          <w:szCs w:val="22"/>
        </w:rPr>
        <w:t xml:space="preserve"> </w:t>
      </w:r>
      <w:r w:rsidR="00231640">
        <w:rPr>
          <w:rStyle w:val="FootnoteReference"/>
          <w:szCs w:val="22"/>
        </w:rPr>
        <w:footnoteReference w:id="27"/>
      </w:r>
      <w:r w:rsidR="00231640">
        <w:rPr>
          <w:color w:val="000000"/>
          <w:szCs w:val="22"/>
        </w:rPr>
        <w:t xml:space="preserve"> </w:t>
      </w:r>
      <w:r w:rsidR="002A5DA3">
        <w:rPr>
          <w:color w:val="FF0000"/>
          <w:szCs w:val="22"/>
        </w:rPr>
        <w:t xml:space="preserve"> </w:t>
      </w:r>
    </w:p>
    <w:p w:rsidR="00E128CB" w:rsidRPr="004E3FCC" w:rsidRDefault="00231640" w:rsidP="00213BF5">
      <w:pPr>
        <w:pStyle w:val="ParaNum"/>
        <w:widowControl/>
      </w:pPr>
      <w:bookmarkStart w:id="38" w:name="SR;1583"/>
      <w:bookmarkStart w:id="39" w:name="SR;1584"/>
      <w:bookmarkStart w:id="40" w:name="SR;1585"/>
      <w:bookmarkStart w:id="41" w:name="SR;1586"/>
      <w:bookmarkStart w:id="42" w:name="SR;1595"/>
      <w:bookmarkStart w:id="43" w:name="SR;1610"/>
      <w:bookmarkStart w:id="44" w:name="SR;1611"/>
      <w:bookmarkStart w:id="45" w:name="BestSection"/>
      <w:bookmarkStart w:id="46" w:name="SR;1663"/>
      <w:bookmarkStart w:id="47" w:name="SR;1665"/>
      <w:bookmarkStart w:id="48" w:name="SR;1666"/>
      <w:bookmarkStart w:id="49" w:name="SR;1674"/>
      <w:bookmarkEnd w:id="38"/>
      <w:bookmarkEnd w:id="39"/>
      <w:bookmarkEnd w:id="40"/>
      <w:bookmarkEnd w:id="41"/>
      <w:bookmarkEnd w:id="42"/>
      <w:bookmarkEnd w:id="43"/>
      <w:bookmarkEnd w:id="44"/>
      <w:bookmarkEnd w:id="45"/>
      <w:bookmarkEnd w:id="46"/>
      <w:bookmarkEnd w:id="47"/>
      <w:bookmarkEnd w:id="48"/>
      <w:bookmarkEnd w:id="49"/>
      <w:r>
        <w:rPr>
          <w:kern w:val="0"/>
          <w:szCs w:val="22"/>
        </w:rPr>
        <w:t>Consequently, u</w:t>
      </w:r>
      <w:r w:rsidR="0054037F" w:rsidRPr="00231640" w:rsidDel="00211E8A">
        <w:rPr>
          <w:kern w:val="0"/>
          <w:szCs w:val="22"/>
        </w:rPr>
        <w:t xml:space="preserve">nder the circumstances presented, we find that granting </w:t>
      </w:r>
      <w:r>
        <w:rPr>
          <w:kern w:val="0"/>
          <w:szCs w:val="22"/>
        </w:rPr>
        <w:t xml:space="preserve">South Carolina </w:t>
      </w:r>
      <w:r w:rsidR="0054037F" w:rsidRPr="00231640" w:rsidDel="00211E8A">
        <w:rPr>
          <w:kern w:val="0"/>
          <w:szCs w:val="22"/>
        </w:rPr>
        <w:t xml:space="preserve">a waiver of </w:t>
      </w:r>
      <w:r w:rsidR="0054037F" w:rsidRPr="00231640" w:rsidDel="00211E8A">
        <w:rPr>
          <w:szCs w:val="22"/>
        </w:rPr>
        <w:t>Section 90.529(b)(1) would not frustrate the underlying purpose of the rule</w:t>
      </w:r>
      <w:r w:rsidR="00EB056D">
        <w:rPr>
          <w:szCs w:val="22"/>
        </w:rPr>
        <w:t>,</w:t>
      </w:r>
      <w:r w:rsidR="0054037F" w:rsidRPr="00231640" w:rsidDel="00211E8A">
        <w:rPr>
          <w:szCs w:val="22"/>
        </w:rPr>
        <w:t xml:space="preserve"> because </w:t>
      </w:r>
      <w:r>
        <w:rPr>
          <w:szCs w:val="22"/>
        </w:rPr>
        <w:t xml:space="preserve">it </w:t>
      </w:r>
      <w:r w:rsidR="0054037F" w:rsidRPr="00231640" w:rsidDel="00211E8A">
        <w:rPr>
          <w:szCs w:val="22"/>
        </w:rPr>
        <w:t xml:space="preserve">satisfied the interim benchmark by providing substantial service to more than one-third of its population and it did so prior to the deadline.  </w:t>
      </w:r>
    </w:p>
    <w:p w:rsidR="00527776" w:rsidRPr="003E2CF2" w:rsidRDefault="008D35B5" w:rsidP="00213BF5">
      <w:pPr>
        <w:pStyle w:val="ParaNum"/>
        <w:widowControl/>
      </w:pPr>
      <w:r>
        <w:t>Finally</w:t>
      </w:r>
      <w:r w:rsidR="00A34105" w:rsidRPr="003E2CF2">
        <w:t xml:space="preserve">, we </w:t>
      </w:r>
      <w:r>
        <w:t xml:space="preserve">find </w:t>
      </w:r>
      <w:r w:rsidR="00A34105" w:rsidRPr="003E2CF2">
        <w:t xml:space="preserve">that the public interest </w:t>
      </w:r>
      <w:r>
        <w:t xml:space="preserve">is </w:t>
      </w:r>
      <w:r w:rsidR="00A34105" w:rsidRPr="003E2CF2">
        <w:t>served by grant</w:t>
      </w:r>
      <w:r>
        <w:t xml:space="preserve">ing South Carolina </w:t>
      </w:r>
      <w:r w:rsidR="00A34105" w:rsidRPr="003E2CF2">
        <w:t>a waiver of Section 90.529(b)(1)</w:t>
      </w:r>
      <w:r w:rsidR="00EB056D">
        <w:t xml:space="preserve"> </w:t>
      </w:r>
      <w:r w:rsidR="00E128CB">
        <w:t xml:space="preserve">and </w:t>
      </w:r>
      <w:r w:rsidR="00A34105" w:rsidRPr="003E2CF2">
        <w:t>allow</w:t>
      </w:r>
      <w:r w:rsidR="00E128CB">
        <w:t>ing</w:t>
      </w:r>
      <w:r w:rsidR="00A34105" w:rsidRPr="003E2CF2">
        <w:t xml:space="preserve"> </w:t>
      </w:r>
      <w:r>
        <w:t xml:space="preserve">it to retain its State License.  </w:t>
      </w:r>
      <w:r w:rsidR="00E128CB">
        <w:t xml:space="preserve">The Commission established </w:t>
      </w:r>
      <w:r w:rsidR="00DC4A2D">
        <w:t xml:space="preserve">a </w:t>
      </w:r>
      <w:r w:rsidR="00E128CB">
        <w:t xml:space="preserve">geographic area licensing </w:t>
      </w:r>
      <w:r w:rsidR="00DC4A2D">
        <w:t xml:space="preserve">scheme </w:t>
      </w:r>
      <w:r w:rsidR="00E128CB">
        <w:t xml:space="preserve">for </w:t>
      </w:r>
      <w:r w:rsidR="00DC4A2D">
        <w:t xml:space="preserve">all </w:t>
      </w:r>
      <w:r w:rsidR="00496ED8">
        <w:t>state licensees</w:t>
      </w:r>
      <w:r w:rsidR="00E128CB">
        <w:t xml:space="preserve"> so that each state or territory would have </w:t>
      </w:r>
      <w:r w:rsidR="00E128CB" w:rsidRPr="007F1F49">
        <w:rPr>
          <w:kern w:val="0"/>
          <w:szCs w:val="22"/>
        </w:rPr>
        <w:t>latitude to plan and develop shared wide-area networks under a substantially streamlined licensing process.</w:t>
      </w:r>
      <w:r w:rsidR="00E128CB">
        <w:rPr>
          <w:rStyle w:val="FootnoteReference"/>
          <w:kern w:val="0"/>
          <w:szCs w:val="22"/>
        </w:rPr>
        <w:footnoteReference w:id="28"/>
      </w:r>
      <w:r w:rsidR="00E128CB">
        <w:rPr>
          <w:kern w:val="0"/>
          <w:szCs w:val="22"/>
        </w:rPr>
        <w:t xml:space="preserve">  </w:t>
      </w:r>
      <w:r w:rsidR="00DC4A2D">
        <w:rPr>
          <w:kern w:val="0"/>
          <w:szCs w:val="22"/>
        </w:rPr>
        <w:t xml:space="preserve">Absent a waiver of Section </w:t>
      </w:r>
      <w:r w:rsidR="00DC4A2D" w:rsidRPr="003E2CF2">
        <w:rPr>
          <w:szCs w:val="22"/>
        </w:rPr>
        <w:t>90.529(b)(1)</w:t>
      </w:r>
      <w:r w:rsidR="00DC4A2D">
        <w:rPr>
          <w:szCs w:val="22"/>
        </w:rPr>
        <w:t xml:space="preserve">, South Carolina would lose its State License.  </w:t>
      </w:r>
      <w:r>
        <w:t>Cons</w:t>
      </w:r>
      <w:r w:rsidR="00324525">
        <w:t>e</w:t>
      </w:r>
      <w:r>
        <w:t xml:space="preserve">quently, </w:t>
      </w:r>
      <w:r w:rsidR="00DC4A2D">
        <w:t xml:space="preserve">we find it in the public interest to grant </w:t>
      </w:r>
      <w:r>
        <w:t xml:space="preserve">South Carolina </w:t>
      </w:r>
      <w:r w:rsidR="00DC4A2D">
        <w:t xml:space="preserve">a waiver of Section 90.529(b)(1) so that it can </w:t>
      </w:r>
      <w:r>
        <w:t xml:space="preserve">continue building-out its </w:t>
      </w:r>
      <w:r w:rsidRPr="00572E0F">
        <w:rPr>
          <w:szCs w:val="22"/>
        </w:rPr>
        <w:t xml:space="preserve">wide-area network under a substantially streamlined licensing process </w:t>
      </w:r>
      <w:r w:rsidR="00324525" w:rsidRPr="00572E0F">
        <w:rPr>
          <w:szCs w:val="22"/>
        </w:rPr>
        <w:t xml:space="preserve">thereby </w:t>
      </w:r>
      <w:r w:rsidR="00A34105" w:rsidRPr="003E2CF2">
        <w:t>enhanc</w:t>
      </w:r>
      <w:r w:rsidR="00324525">
        <w:t xml:space="preserve">ing </w:t>
      </w:r>
      <w:r w:rsidR="00A34105" w:rsidRPr="003E2CF2">
        <w:t xml:space="preserve">the safety of </w:t>
      </w:r>
      <w:r w:rsidR="007B2BD2">
        <w:t xml:space="preserve">the State’s </w:t>
      </w:r>
      <w:r w:rsidR="00A34105" w:rsidRPr="003E2CF2">
        <w:t xml:space="preserve">citizens and their property.  </w:t>
      </w:r>
      <w:r w:rsidR="001A3A69" w:rsidRPr="003E2CF2">
        <w:t xml:space="preserve"> </w:t>
      </w:r>
    </w:p>
    <w:p w:rsidR="00703C53" w:rsidRDefault="00703C53" w:rsidP="0060268B">
      <w:pPr>
        <w:pStyle w:val="Heading1"/>
        <w:keepNext w:val="0"/>
        <w:widowControl/>
      </w:pPr>
      <w:bookmarkStart w:id="50" w:name="_Toc194920649"/>
      <w:bookmarkStart w:id="51" w:name="_Toc194921857"/>
      <w:bookmarkStart w:id="52" w:name="_Toc194927748"/>
      <w:bookmarkStart w:id="53" w:name="_Toc195496626"/>
      <w:bookmarkStart w:id="54" w:name="_Toc196131856"/>
      <w:bookmarkStart w:id="55" w:name="_Toc196732583"/>
      <w:bookmarkStart w:id="56" w:name="_Toc196740835"/>
      <w:bookmarkStart w:id="57" w:name="_Toc198032902"/>
      <w:bookmarkStart w:id="58" w:name="_Toc198033804"/>
      <w:bookmarkStart w:id="59" w:name="_Toc198466372"/>
      <w:bookmarkStart w:id="60" w:name="_Toc198521383"/>
      <w:bookmarkEnd w:id="25"/>
      <w:bookmarkEnd w:id="26"/>
      <w:bookmarkEnd w:id="27"/>
      <w:bookmarkEnd w:id="28"/>
      <w:bookmarkEnd w:id="29"/>
      <w:bookmarkEnd w:id="30"/>
      <w:bookmarkEnd w:id="31"/>
      <w:bookmarkEnd w:id="32"/>
      <w:bookmarkEnd w:id="33"/>
      <w:bookmarkEnd w:id="34"/>
      <w:bookmarkEnd w:id="35"/>
      <w:r>
        <w:t>ORDERING CLAUSES</w:t>
      </w:r>
      <w:bookmarkEnd w:id="50"/>
      <w:bookmarkEnd w:id="51"/>
      <w:bookmarkEnd w:id="52"/>
      <w:bookmarkEnd w:id="53"/>
      <w:bookmarkEnd w:id="54"/>
      <w:bookmarkEnd w:id="55"/>
      <w:bookmarkEnd w:id="56"/>
      <w:bookmarkEnd w:id="57"/>
      <w:bookmarkEnd w:id="58"/>
      <w:bookmarkEnd w:id="59"/>
      <w:bookmarkEnd w:id="60"/>
    </w:p>
    <w:p w:rsidR="00703C53" w:rsidRDefault="00703C53" w:rsidP="0060268B">
      <w:pPr>
        <w:pStyle w:val="ParaNum"/>
        <w:widowControl/>
      </w:pPr>
      <w:r>
        <w:t xml:space="preserve">Accordingly, IT IS ORDERED, pursuant to Section 4(i) of the Communications Act of 1934, as amended, 47 U.S.C. § 154(i), and Section 1.925 of the Commission’s rules, 47 C.F.R. § 1.925, that the waiver request </w:t>
      </w:r>
      <w:r w:rsidRPr="00EB056D">
        <w:t xml:space="preserve">filed by the State of </w:t>
      </w:r>
      <w:r w:rsidR="0004350D">
        <w:t xml:space="preserve">South Carolina </w:t>
      </w:r>
      <w:r>
        <w:t>IS GRANTED</w:t>
      </w:r>
      <w:r w:rsidR="0004350D">
        <w:t xml:space="preserve">. </w:t>
      </w:r>
      <w:r w:rsidR="009366C2">
        <w:t xml:space="preserve"> We instruct staff to process the associated Schedule K application</w:t>
      </w:r>
      <w:r w:rsidR="00CC0C75">
        <w:t>,</w:t>
      </w:r>
      <w:r w:rsidR="009366C2">
        <w:t xml:space="preserve"> ULS File number </w:t>
      </w:r>
      <w:r w:rsidR="009366C2" w:rsidRPr="00CE4E43">
        <w:rPr>
          <w:szCs w:val="22"/>
        </w:rPr>
        <w:t>0006468758</w:t>
      </w:r>
      <w:r w:rsidR="00CC0C75">
        <w:rPr>
          <w:szCs w:val="22"/>
        </w:rPr>
        <w:t>,</w:t>
      </w:r>
      <w:r w:rsidR="009366C2">
        <w:rPr>
          <w:szCs w:val="22"/>
        </w:rPr>
        <w:t xml:space="preserve"> accordingly.</w:t>
      </w:r>
    </w:p>
    <w:p w:rsidR="00E65ABC" w:rsidRDefault="00703C53">
      <w:pPr>
        <w:pStyle w:val="ParaNum"/>
        <w:widowControl/>
      </w:pPr>
      <w:r>
        <w:t xml:space="preserve">This action is taken under delegated authority pursuant to Sections 0.191 and 0.392 of the Commission’s rules, 47 C.F.R. §§ 0.191, 0.392.  </w:t>
      </w:r>
    </w:p>
    <w:p w:rsidR="00E65ABC" w:rsidRDefault="00703C53">
      <w:pPr>
        <w:widowControl/>
        <w:tabs>
          <w:tab w:val="left" w:pos="3600"/>
        </w:tabs>
        <w:spacing w:line="234" w:lineRule="auto"/>
      </w:pPr>
      <w:r>
        <w:tab/>
      </w:r>
      <w:r>
        <w:tab/>
      </w:r>
    </w:p>
    <w:p w:rsidR="00703C53" w:rsidRDefault="00E65ABC">
      <w:pPr>
        <w:widowControl/>
        <w:tabs>
          <w:tab w:val="left" w:pos="3600"/>
        </w:tabs>
        <w:spacing w:line="234" w:lineRule="auto"/>
      </w:pPr>
      <w:r>
        <w:tab/>
      </w:r>
      <w:r>
        <w:tab/>
      </w:r>
      <w:r w:rsidR="00703C53">
        <w:t>FEDERAL COMMUNICATIONS COMMISSION</w:t>
      </w:r>
    </w:p>
    <w:p w:rsidR="00703C53" w:rsidRDefault="00703C53">
      <w:pPr>
        <w:widowControl/>
        <w:tabs>
          <w:tab w:val="left" w:pos="4320"/>
        </w:tabs>
        <w:spacing w:line="234" w:lineRule="auto"/>
      </w:pPr>
    </w:p>
    <w:p w:rsidR="00703C53" w:rsidRDefault="00703C53">
      <w:pPr>
        <w:widowControl/>
        <w:tabs>
          <w:tab w:val="left" w:pos="4320"/>
        </w:tabs>
        <w:spacing w:line="234" w:lineRule="auto"/>
      </w:pPr>
    </w:p>
    <w:p w:rsidR="00703C53" w:rsidRDefault="00703C53">
      <w:pPr>
        <w:widowControl/>
        <w:tabs>
          <w:tab w:val="left" w:pos="3600"/>
        </w:tabs>
        <w:spacing w:line="234" w:lineRule="auto"/>
      </w:pPr>
    </w:p>
    <w:p w:rsidR="00703C53" w:rsidRDefault="00703C53">
      <w:pPr>
        <w:widowControl/>
        <w:tabs>
          <w:tab w:val="left" w:pos="3600"/>
        </w:tabs>
        <w:spacing w:line="234" w:lineRule="auto"/>
      </w:pPr>
    </w:p>
    <w:p w:rsidR="00703C53" w:rsidRDefault="00703C53">
      <w:pPr>
        <w:widowControl/>
        <w:tabs>
          <w:tab w:val="left" w:pos="3600"/>
        </w:tabs>
        <w:spacing w:line="234" w:lineRule="auto"/>
        <w:rPr>
          <w:szCs w:val="22"/>
        </w:rPr>
      </w:pPr>
      <w:r>
        <w:tab/>
      </w:r>
      <w:r>
        <w:tab/>
      </w:r>
      <w:r>
        <w:rPr>
          <w:szCs w:val="22"/>
        </w:rPr>
        <w:t xml:space="preserve">Michael J. Wilhelm </w:t>
      </w:r>
    </w:p>
    <w:p w:rsidR="00703C53" w:rsidRDefault="00703C53">
      <w:pPr>
        <w:widowControl/>
        <w:tabs>
          <w:tab w:val="left" w:pos="3600"/>
        </w:tabs>
        <w:spacing w:line="234" w:lineRule="auto"/>
        <w:rPr>
          <w:szCs w:val="22"/>
        </w:rPr>
      </w:pPr>
      <w:r>
        <w:rPr>
          <w:szCs w:val="22"/>
        </w:rPr>
        <w:tab/>
      </w:r>
      <w:r>
        <w:rPr>
          <w:szCs w:val="22"/>
        </w:rPr>
        <w:tab/>
        <w:t>Deputy Chief, Policy and Licensing Division</w:t>
      </w:r>
    </w:p>
    <w:p w:rsidR="00703C53" w:rsidRDefault="00703C53">
      <w:pPr>
        <w:widowControl/>
        <w:tabs>
          <w:tab w:val="left" w:pos="3600"/>
        </w:tabs>
        <w:spacing w:line="234" w:lineRule="auto"/>
        <w:rPr>
          <w:szCs w:val="22"/>
        </w:rPr>
      </w:pPr>
      <w:r>
        <w:rPr>
          <w:szCs w:val="22"/>
        </w:rPr>
        <w:tab/>
      </w:r>
      <w:r>
        <w:rPr>
          <w:szCs w:val="22"/>
        </w:rPr>
        <w:tab/>
        <w:t>Public Safety and Homeland Security Bureau</w:t>
      </w:r>
    </w:p>
    <w:sectPr w:rsidR="00703C53">
      <w:headerReference w:type="even" r:id="rId8"/>
      <w:headerReference w:type="default" r:id="rId9"/>
      <w:footerReference w:type="even" r:id="rId10"/>
      <w:footerReference w:type="default" r:id="rId11"/>
      <w:headerReference w:type="first" r:id="rId12"/>
      <w:footerReference w:type="first" r:id="rId13"/>
      <w:footnotePr>
        <w:numRestart w:val="eachSect"/>
      </w:footnotePr>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29FC" w:rsidRDefault="007529FC">
      <w:pPr>
        <w:spacing w:line="20" w:lineRule="exact"/>
      </w:pPr>
    </w:p>
  </w:endnote>
  <w:endnote w:type="continuationSeparator" w:id="0">
    <w:p w:rsidR="007529FC" w:rsidRDefault="007529FC">
      <w:r>
        <w:t xml:space="preserve"> </w:t>
      </w:r>
    </w:p>
  </w:endnote>
  <w:endnote w:type="continuationNotice" w:id="1">
    <w:p w:rsidR="007529FC" w:rsidRDefault="007529FC">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imes New Roman Bold">
    <w:altName w:val="Times New Roman"/>
    <w:panose1 w:val="02020803070505020304"/>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03C53" w:rsidRDefault="00703C5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C8D">
      <w:rPr>
        <w:rStyle w:val="PageNumber"/>
        <w:noProof/>
      </w:rPr>
      <w:t>2</w:t>
    </w:r>
    <w:r>
      <w:rPr>
        <w:rStyle w:val="PageNumber"/>
      </w:rPr>
      <w:fldChar w:fldCharType="end"/>
    </w:r>
  </w:p>
  <w:p w:rsidR="00703C53" w:rsidRDefault="00703C5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Footer"/>
      <w:framePr w:wrap="around" w:vAnchor="text" w:hAnchor="margin" w:xAlign="center" w:y="1"/>
      <w:rPr>
        <w:rStyle w:val="PageNumber"/>
      </w:rPr>
    </w:pPr>
  </w:p>
  <w:p w:rsidR="00703C53" w:rsidRDefault="00703C53">
    <w:pPr>
      <w:pStyle w:val="Footer"/>
      <w:framePr w:wrap="around" w:vAnchor="text" w:hAnchor="margin" w:xAlign="center" w:y="1"/>
      <w:rPr>
        <w:rStyle w:val="PageNumber"/>
      </w:rPr>
    </w:pPr>
  </w:p>
  <w:p w:rsidR="00703C53" w:rsidRDefault="00703C53">
    <w:pPr>
      <w:pStyle w:val="Footer"/>
      <w:tabs>
        <w:tab w:val="clear" w:pos="8640"/>
      </w:tabs>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29FC" w:rsidRDefault="007529FC">
      <w:r>
        <w:separator/>
      </w:r>
    </w:p>
  </w:footnote>
  <w:footnote w:type="continuationSeparator" w:id="0">
    <w:p w:rsidR="007529FC" w:rsidRDefault="007529FC">
      <w:pPr>
        <w:rPr>
          <w:sz w:val="20"/>
        </w:rPr>
      </w:pPr>
      <w:r>
        <w:rPr>
          <w:sz w:val="20"/>
        </w:rPr>
        <w:t xml:space="preserve">(Continued from previous page)  </w:t>
      </w:r>
      <w:r>
        <w:rPr>
          <w:sz w:val="20"/>
        </w:rPr>
        <w:separator/>
      </w:r>
    </w:p>
  </w:footnote>
  <w:footnote w:type="continuationNotice" w:id="1">
    <w:p w:rsidR="007529FC" w:rsidRDefault="007529FC">
      <w:pPr>
        <w:rPr>
          <w:sz w:val="20"/>
        </w:rPr>
      </w:pPr>
      <w:r>
        <w:rPr>
          <w:sz w:val="20"/>
        </w:rPr>
        <w:t>(continued….)</w:t>
      </w:r>
    </w:p>
  </w:footnote>
  <w:footnote w:id="2">
    <w:p w:rsidR="00992BCC" w:rsidRDefault="00992BCC" w:rsidP="00A26DE4">
      <w:pPr>
        <w:pStyle w:val="ParaNum"/>
        <w:numPr>
          <w:ilvl w:val="0"/>
          <w:numId w:val="0"/>
        </w:numPr>
        <w:rPr>
          <w:sz w:val="20"/>
        </w:rPr>
      </w:pPr>
      <w:r>
        <w:rPr>
          <w:rStyle w:val="FootnoteReference"/>
        </w:rPr>
        <w:footnoteRef/>
      </w:r>
      <w:r>
        <w:rPr>
          <w:sz w:val="20"/>
        </w:rPr>
        <w:t xml:space="preserve"> 47 C.F.R. § 90.529(b)(1).  </w:t>
      </w:r>
    </w:p>
  </w:footnote>
  <w:footnote w:id="3">
    <w:p w:rsidR="00EB056D" w:rsidRPr="00213BF5" w:rsidRDefault="00D86778" w:rsidP="00A26DE4">
      <w:pPr>
        <w:widowControl/>
        <w:autoSpaceDE w:val="0"/>
        <w:autoSpaceDN w:val="0"/>
        <w:adjustRightInd w:val="0"/>
        <w:spacing w:after="120"/>
        <w:rPr>
          <w:snapToGrid/>
          <w:color w:val="010101"/>
          <w:kern w:val="0"/>
          <w:sz w:val="20"/>
        </w:rPr>
      </w:pPr>
      <w:r w:rsidRPr="00D86778">
        <w:rPr>
          <w:rStyle w:val="FootnoteReference"/>
        </w:rPr>
        <w:footnoteRef/>
      </w:r>
      <w:r w:rsidRPr="00D86778">
        <w:t xml:space="preserve"> </w:t>
      </w:r>
      <w:r w:rsidRPr="001657A8">
        <w:rPr>
          <w:snapToGrid/>
          <w:color w:val="010101"/>
          <w:kern w:val="0"/>
          <w:sz w:val="20"/>
        </w:rPr>
        <w:t>“Substantial service” is defined as the construction and operation of facilities on state channels which is “sound, favorable, and substantially above a level of mediocre service which just might minimally warrant renewal.”</w:t>
      </w:r>
      <w:r w:rsidRPr="009A5BCE">
        <w:rPr>
          <w:snapToGrid/>
          <w:color w:val="010101"/>
          <w:kern w:val="0"/>
          <w:sz w:val="20"/>
        </w:rPr>
        <w:t xml:space="preserve">  </w:t>
      </w:r>
      <w:r w:rsidRPr="009A5BCE">
        <w:rPr>
          <w:i/>
          <w:snapToGrid/>
          <w:color w:val="010101"/>
          <w:kern w:val="0"/>
          <w:sz w:val="20"/>
        </w:rPr>
        <w:t>Id</w:t>
      </w:r>
      <w:r w:rsidRPr="009A5BCE">
        <w:rPr>
          <w:snapToGrid/>
          <w:color w:val="010101"/>
          <w:kern w:val="0"/>
          <w:sz w:val="20"/>
        </w:rPr>
        <w:t>.</w:t>
      </w:r>
    </w:p>
  </w:footnote>
  <w:footnote w:id="4">
    <w:p w:rsidR="00AF37E7" w:rsidRPr="00AF37E7" w:rsidRDefault="00AF37E7" w:rsidP="00A26DE4">
      <w:pPr>
        <w:pStyle w:val="FootnoteText"/>
      </w:pPr>
      <w:r>
        <w:rPr>
          <w:rStyle w:val="FootnoteReference"/>
        </w:rPr>
        <w:footnoteRef/>
      </w:r>
      <w:r>
        <w:t xml:space="preserve"> </w:t>
      </w:r>
      <w:r>
        <w:rPr>
          <w:i/>
        </w:rPr>
        <w:t xml:space="preserve">See </w:t>
      </w:r>
      <w:r>
        <w:t xml:space="preserve">ULS File No. </w:t>
      </w:r>
      <w:r w:rsidRPr="00AF37E7">
        <w:t>0006468758</w:t>
      </w:r>
      <w:r>
        <w:t xml:space="preserve"> </w:t>
      </w:r>
      <w:r w:rsidR="00715EAC">
        <w:t xml:space="preserve">(South Carolina Schedule K Filing) and associated attachments.  </w:t>
      </w:r>
    </w:p>
  </w:footnote>
  <w:footnote w:id="5">
    <w:p w:rsidR="00DC267A" w:rsidRDefault="00DC267A" w:rsidP="00A26DE4">
      <w:pPr>
        <w:pStyle w:val="FootnoteText"/>
      </w:pPr>
      <w:r>
        <w:rPr>
          <w:rStyle w:val="FootnoteReference"/>
        </w:rPr>
        <w:footnoteRef/>
      </w:r>
      <w:r>
        <w:t xml:space="preserve"> 47 C.F.R. § 90.531(b)(5).</w:t>
      </w:r>
    </w:p>
  </w:footnote>
  <w:footnote w:id="6">
    <w:p w:rsidR="00DC267A" w:rsidRDefault="00DC267A" w:rsidP="00A26DE4">
      <w:pPr>
        <w:pStyle w:val="FootnoteText"/>
      </w:pPr>
      <w:r>
        <w:rPr>
          <w:rStyle w:val="FootnoteReference"/>
        </w:rPr>
        <w:footnoteRef/>
      </w:r>
      <w:r>
        <w:t xml:space="preserve"> </w:t>
      </w:r>
      <w:r w:rsidR="001657A8">
        <w:t>47 C.F.R. § 90.529(b)</w:t>
      </w:r>
      <w:r w:rsidR="00B153EB">
        <w:t xml:space="preserve">. </w:t>
      </w:r>
    </w:p>
  </w:footnote>
  <w:footnote w:id="7">
    <w:p w:rsidR="00EE6B15" w:rsidRDefault="00EE6B15" w:rsidP="00A26DE4">
      <w:pPr>
        <w:pStyle w:val="FootnoteText"/>
      </w:pPr>
      <w:r>
        <w:rPr>
          <w:rStyle w:val="FootnoteReference"/>
        </w:rPr>
        <w:footnoteRef/>
      </w:r>
      <w:r>
        <w:t xml:space="preserve"> 47 C.F.R. § 90.529(b)(1).  </w:t>
      </w:r>
      <w:r w:rsidRPr="00D96743">
        <w:rPr>
          <w:i/>
        </w:rPr>
        <w:t>See also</w:t>
      </w:r>
      <w:r>
        <w:t xml:space="preserve"> </w:t>
      </w:r>
      <w:r w:rsidRPr="002D31B3">
        <w:t>Service Rules Governing Public Safety Narrowband Operations in the 769-775/799-805 MHz Bands</w:t>
      </w:r>
      <w:r>
        <w:t xml:space="preserve">, WT Docket 96-86, </w:t>
      </w:r>
      <w:r w:rsidRPr="002D31B3">
        <w:rPr>
          <w:i/>
        </w:rPr>
        <w:t>Declaratory Ruling</w:t>
      </w:r>
      <w:r>
        <w:t xml:space="preserve">, </w:t>
      </w:r>
      <w:r w:rsidRPr="002D31B3">
        <w:t>26 FCC Rcd 10895</w:t>
      </w:r>
      <w:r>
        <w:t>, 10896 ¶ 5 (2011) (</w:t>
      </w:r>
      <w:r>
        <w:rPr>
          <w:i/>
        </w:rPr>
        <w:t xml:space="preserve">Declaratory </w:t>
      </w:r>
      <w:r w:rsidRPr="00EC7887">
        <w:rPr>
          <w:i/>
        </w:rPr>
        <w:t>Ruling</w:t>
      </w:r>
      <w:r w:rsidRPr="00F52337">
        <w:t>)</w:t>
      </w:r>
      <w:r w:rsidRPr="00EC7887">
        <w:t xml:space="preserve">; </w:t>
      </w:r>
      <w:r w:rsidRPr="00F52337">
        <w:rPr>
          <w:i/>
        </w:rPr>
        <w:t>Order</w:t>
      </w:r>
      <w:r w:rsidRPr="00EC7887">
        <w:t>, 27 FCC Rcd 15010 (PSHSB 2012) (</w:t>
      </w:r>
      <w:r w:rsidRPr="00F52337">
        <w:t>conforming section 90.529(b) of the FCC</w:t>
      </w:r>
      <w:r w:rsidRPr="00EC7887">
        <w:t>’</w:t>
      </w:r>
      <w:r w:rsidRPr="00F52337">
        <w:t>s rules reg</w:t>
      </w:r>
      <w:r>
        <w:t>arding the substantial service</w:t>
      </w:r>
      <w:r w:rsidRPr="00F52337">
        <w:t xml:space="preserve"> deadlines for state-licensed 700 MHz public safety narrowband channels to comport with the deadli</w:t>
      </w:r>
      <w:r>
        <w:t>nes specified in the Commission’</w:t>
      </w:r>
      <w:r w:rsidRPr="00F52337">
        <w:t xml:space="preserve">s </w:t>
      </w:r>
      <w:r w:rsidRPr="00213BF5">
        <w:rPr>
          <w:i/>
        </w:rPr>
        <w:t>Declaratory Ruling</w:t>
      </w:r>
      <w:r w:rsidRPr="00EC7887">
        <w:t>).</w:t>
      </w:r>
      <w:r>
        <w:t xml:space="preserve">  </w:t>
      </w:r>
      <w:r w:rsidRPr="000A7612">
        <w:t xml:space="preserve"> </w:t>
      </w:r>
    </w:p>
  </w:footnote>
  <w:footnote w:id="8">
    <w:p w:rsidR="00EE6B15" w:rsidRDefault="00EE6B15" w:rsidP="00A26DE4">
      <w:pPr>
        <w:pStyle w:val="FootnoteText"/>
      </w:pPr>
      <w:r>
        <w:rPr>
          <w:rStyle w:val="FootnoteReference"/>
        </w:rPr>
        <w:footnoteRef/>
      </w:r>
      <w:r>
        <w:t xml:space="preserve"> </w:t>
      </w:r>
      <w:r w:rsidRPr="0013362D">
        <w:rPr>
          <w:i/>
        </w:rPr>
        <w:t xml:space="preserve">See </w:t>
      </w:r>
      <w:r w:rsidRPr="0013362D">
        <w:t>47 C</w:t>
      </w:r>
      <w:r w:rsidRPr="007C3733">
        <w:t xml:space="preserve">.F.R. § 90.529(b)(1).  For the </w:t>
      </w:r>
      <w:r w:rsidRPr="007C3733">
        <w:rPr>
          <w:szCs w:val="22"/>
        </w:rPr>
        <w:t xml:space="preserve">ten-year benchmark, </w:t>
      </w:r>
      <w:r w:rsidR="00496ED8" w:rsidRPr="007C3733">
        <w:t>state licensees</w:t>
      </w:r>
      <w:r w:rsidRPr="007C3733">
        <w:rPr>
          <w:szCs w:val="22"/>
        </w:rPr>
        <w:t xml:space="preserve"> must certify that they are providing or are prepared to provide substantial service to two-thirds of their population or territory.  The due date for the ten-year benchmark showing is June 13, 2019.  </w:t>
      </w:r>
      <w:r w:rsidRPr="00774FA5">
        <w:rPr>
          <w:i/>
        </w:rPr>
        <w:t xml:space="preserve">See </w:t>
      </w:r>
      <w:r w:rsidRPr="00774FA5">
        <w:t>47 C.F.R. § 90.529(b)(2).</w:t>
      </w:r>
    </w:p>
  </w:footnote>
  <w:footnote w:id="9">
    <w:p w:rsidR="00EE6B15" w:rsidRPr="009A5BCE" w:rsidRDefault="00EE6B15" w:rsidP="00A26DE4">
      <w:pPr>
        <w:widowControl/>
        <w:autoSpaceDE w:val="0"/>
        <w:autoSpaceDN w:val="0"/>
        <w:adjustRightInd w:val="0"/>
        <w:spacing w:after="120"/>
        <w:rPr>
          <w:color w:val="010101"/>
        </w:rPr>
      </w:pPr>
      <w:r w:rsidRPr="00907FDC">
        <w:rPr>
          <w:rStyle w:val="FootnoteReference"/>
        </w:rPr>
        <w:footnoteRef/>
      </w:r>
      <w:r w:rsidRPr="00907FDC">
        <w:t xml:space="preserve"> </w:t>
      </w:r>
      <w:r w:rsidRPr="009A5BCE">
        <w:rPr>
          <w:snapToGrid/>
          <w:color w:val="010101"/>
          <w:kern w:val="0"/>
          <w:sz w:val="20"/>
        </w:rPr>
        <w:t xml:space="preserve">Public Safety and Homeland Security Bureau Provides Guidance to 700 MHz Narrowband State Licensees Regarding Interim Substantial Service Benchmark Showing Due on June 13, 2014, </w:t>
      </w:r>
      <w:r w:rsidRPr="009A5BCE">
        <w:rPr>
          <w:i/>
          <w:iCs/>
          <w:snapToGrid/>
          <w:color w:val="010101"/>
          <w:kern w:val="0"/>
          <w:sz w:val="20"/>
        </w:rPr>
        <w:t>Public Notice</w:t>
      </w:r>
      <w:r w:rsidRPr="009A5BCE">
        <w:rPr>
          <w:snapToGrid/>
          <w:color w:val="010101"/>
          <w:kern w:val="0"/>
          <w:sz w:val="20"/>
        </w:rPr>
        <w:t>, 29 FCC Rcd 3706 (PSHSB 2014).</w:t>
      </w:r>
    </w:p>
  </w:footnote>
  <w:footnote w:id="10">
    <w:p w:rsidR="00EE6B15" w:rsidRDefault="00EE6B15" w:rsidP="00A26DE4">
      <w:pPr>
        <w:pStyle w:val="FootnoteText"/>
      </w:pPr>
      <w:r>
        <w:rPr>
          <w:rStyle w:val="FootnoteReference"/>
        </w:rPr>
        <w:footnoteRef/>
      </w:r>
      <w:r>
        <w:t xml:space="preserve"> </w:t>
      </w:r>
      <w:r w:rsidRPr="009A5BCE">
        <w:rPr>
          <w:i/>
        </w:rPr>
        <w:t>Id</w:t>
      </w:r>
      <w:r>
        <w:t xml:space="preserve">.  </w:t>
      </w:r>
      <w:r>
        <w:rPr>
          <w:szCs w:val="22"/>
        </w:rPr>
        <w:t xml:space="preserve">For purposes of reviewing interim benchmark showings by </w:t>
      </w:r>
      <w:r w:rsidR="00EB056D">
        <w:t>state licensees</w:t>
      </w:r>
      <w:r>
        <w:rPr>
          <w:szCs w:val="22"/>
        </w:rPr>
        <w:t xml:space="preserve">, the Bureau stated that it “will consider coverage </w:t>
      </w:r>
      <w:r w:rsidR="00A26DE4">
        <w:rPr>
          <w:szCs w:val="22"/>
        </w:rPr>
        <w:t>on</w:t>
      </w:r>
      <w:r>
        <w:rPr>
          <w:szCs w:val="22"/>
        </w:rPr>
        <w:t xml:space="preserve"> any state channel in a </w:t>
      </w:r>
      <w:r w:rsidR="00EB056D">
        <w:t>state licensee</w:t>
      </w:r>
      <w:r>
        <w:rPr>
          <w:szCs w:val="22"/>
        </w:rPr>
        <w:t xml:space="preserve">’s system sufficient to establish coverage for purposes of defining the licensee’s composite footprint.”  </w:t>
      </w:r>
      <w:r w:rsidRPr="009A5BCE">
        <w:rPr>
          <w:i/>
          <w:szCs w:val="22"/>
        </w:rPr>
        <w:t>Id</w:t>
      </w:r>
      <w:r>
        <w:rPr>
          <w:szCs w:val="22"/>
        </w:rPr>
        <w:t xml:space="preserve">. at note 9.  </w:t>
      </w:r>
    </w:p>
  </w:footnote>
  <w:footnote w:id="11">
    <w:p w:rsidR="003D73F0" w:rsidRPr="00BA1CD5" w:rsidRDefault="003D73F0" w:rsidP="00A26DE4">
      <w:pPr>
        <w:pStyle w:val="FootnoteText"/>
      </w:pPr>
      <w:r>
        <w:rPr>
          <w:rStyle w:val="FootnoteReference"/>
        </w:rPr>
        <w:footnoteRef/>
      </w:r>
      <w:r>
        <w:t xml:space="preserve"> </w:t>
      </w:r>
      <w:r>
        <w:rPr>
          <w:i/>
        </w:rPr>
        <w:t xml:space="preserve">See </w:t>
      </w:r>
      <w:r>
        <w:t xml:space="preserve">attachment </w:t>
      </w:r>
      <w:r w:rsidR="001F59EE">
        <w:t xml:space="preserve">to </w:t>
      </w:r>
      <w:r>
        <w:t>South Carolina Schedule K Filing labeled “</w:t>
      </w:r>
      <w:r w:rsidRPr="00BA1CD5">
        <w:t>700 MHz waiver request of 90.529(b)(1)</w:t>
      </w:r>
      <w:r>
        <w:t>”</w:t>
      </w:r>
      <w:r w:rsidR="007C3733">
        <w:t xml:space="preserve"> (Waiver Request).  </w:t>
      </w:r>
      <w:r w:rsidR="007C3733">
        <w:rPr>
          <w:i/>
        </w:rPr>
        <w:t>See also</w:t>
      </w:r>
      <w:r>
        <w:t xml:space="preserve"> </w:t>
      </w:r>
      <w:r w:rsidR="007C3733">
        <w:t xml:space="preserve">attachment to South Carolina Schedule K Filing labeled </w:t>
      </w:r>
      <w:r>
        <w:t>“</w:t>
      </w:r>
      <w:r w:rsidRPr="00BA1CD5">
        <w:t>Addendum to the waiver request</w:t>
      </w:r>
      <w:r>
        <w:t xml:space="preserve">” (Addendum to Waiver Request). </w:t>
      </w:r>
    </w:p>
  </w:footnote>
  <w:footnote w:id="12">
    <w:p w:rsidR="00CB3924" w:rsidRDefault="00CB3924" w:rsidP="00A26DE4">
      <w:pPr>
        <w:pStyle w:val="FootnoteText"/>
      </w:pPr>
      <w:r>
        <w:rPr>
          <w:rStyle w:val="FootnoteReference"/>
        </w:rPr>
        <w:footnoteRef/>
      </w:r>
      <w:r>
        <w:t xml:space="preserve"> Waiver Request</w:t>
      </w:r>
      <w:r w:rsidR="0060268B">
        <w:t xml:space="preserve"> at</w:t>
      </w:r>
      <w:r>
        <w:t xml:space="preserve"> 1.</w:t>
      </w:r>
    </w:p>
  </w:footnote>
  <w:footnote w:id="13">
    <w:p w:rsidR="00F672A8" w:rsidRDefault="00F672A8" w:rsidP="00A26DE4">
      <w:pPr>
        <w:pStyle w:val="FootnoteText"/>
      </w:pPr>
      <w:r>
        <w:rPr>
          <w:rStyle w:val="FootnoteReference"/>
        </w:rPr>
        <w:footnoteRef/>
      </w:r>
      <w:r>
        <w:t xml:space="preserve"> </w:t>
      </w:r>
      <w:r w:rsidR="00CB3924">
        <w:rPr>
          <w:i/>
        </w:rPr>
        <w:t>Id</w:t>
      </w:r>
      <w:r>
        <w:t xml:space="preserve">.  </w:t>
      </w:r>
    </w:p>
  </w:footnote>
  <w:footnote w:id="14">
    <w:p w:rsidR="000E3B4F" w:rsidRDefault="000E3B4F" w:rsidP="00A26DE4">
      <w:pPr>
        <w:pStyle w:val="FootnoteText"/>
      </w:pPr>
      <w:r>
        <w:rPr>
          <w:rStyle w:val="FootnoteReference"/>
        </w:rPr>
        <w:footnoteRef/>
      </w:r>
      <w:r>
        <w:t xml:space="preserve"> </w:t>
      </w:r>
      <w:r w:rsidR="00A56722">
        <w:rPr>
          <w:i/>
        </w:rPr>
        <w:t xml:space="preserve">See </w:t>
      </w:r>
      <w:r w:rsidR="00A56722">
        <w:t xml:space="preserve">attachment </w:t>
      </w:r>
      <w:r w:rsidR="001F59EE">
        <w:t xml:space="preserve">to </w:t>
      </w:r>
      <w:r w:rsidR="00A56722">
        <w:t>South Carolina Schedule K Filing labeled</w:t>
      </w:r>
      <w:r w:rsidR="00A56722">
        <w:rPr>
          <w:i/>
        </w:rPr>
        <w:t xml:space="preserve"> </w:t>
      </w:r>
      <w:r w:rsidR="00A56722">
        <w:t>“</w:t>
      </w:r>
      <w:r w:rsidR="00A56722" w:rsidRPr="00A56722">
        <w:t>700 MHz substantial buildout justification</w:t>
      </w:r>
      <w:r w:rsidR="00A56722">
        <w:t xml:space="preserve">” (Interim Substantial Service Showing) at 2.  </w:t>
      </w:r>
      <w:r>
        <w:rPr>
          <w:i/>
        </w:rPr>
        <w:t>See</w:t>
      </w:r>
      <w:r w:rsidR="007E4C1C">
        <w:rPr>
          <w:i/>
        </w:rPr>
        <w:t xml:space="preserve"> also</w:t>
      </w:r>
      <w:r>
        <w:rPr>
          <w:i/>
        </w:rPr>
        <w:t xml:space="preserve"> </w:t>
      </w:r>
      <w:r>
        <w:t xml:space="preserve">Addendum to Waiver Request </w:t>
      </w:r>
      <w:r w:rsidR="007E4C1C">
        <w:t xml:space="preserve">at </w:t>
      </w:r>
      <w:r>
        <w:t xml:space="preserve">1.  </w:t>
      </w:r>
    </w:p>
  </w:footnote>
  <w:footnote w:id="15">
    <w:p w:rsidR="000E3B4F" w:rsidRDefault="000E3B4F" w:rsidP="00A26DE4">
      <w:pPr>
        <w:pStyle w:val="FootnoteText"/>
      </w:pPr>
      <w:r>
        <w:rPr>
          <w:rStyle w:val="FootnoteReference"/>
        </w:rPr>
        <w:footnoteRef/>
      </w:r>
      <w:r>
        <w:t xml:space="preserve"> Addendum to Waiver Request</w:t>
      </w:r>
      <w:r w:rsidR="0060268B">
        <w:t xml:space="preserve"> at</w:t>
      </w:r>
      <w:r>
        <w:t xml:space="preserve"> 1.  </w:t>
      </w:r>
    </w:p>
  </w:footnote>
  <w:footnote w:id="16">
    <w:p w:rsidR="00F672A8" w:rsidRDefault="00F672A8" w:rsidP="00A26DE4">
      <w:pPr>
        <w:pStyle w:val="FootnoteText"/>
      </w:pPr>
      <w:r>
        <w:rPr>
          <w:rStyle w:val="FootnoteReference"/>
        </w:rPr>
        <w:footnoteRef/>
      </w:r>
      <w:r>
        <w:t xml:space="preserve"> </w:t>
      </w:r>
      <w:r w:rsidR="007C3733">
        <w:t xml:space="preserve">Interim </w:t>
      </w:r>
      <w:r w:rsidR="00A56722">
        <w:t>Substantial Service Showing</w:t>
      </w:r>
      <w:r w:rsidR="00A56722" w:rsidDel="007E4C1C">
        <w:rPr>
          <w:i/>
        </w:rPr>
        <w:t xml:space="preserve"> </w:t>
      </w:r>
      <w:r w:rsidR="00A56722">
        <w:t xml:space="preserve">at 1; Addendum to Waiver Request </w:t>
      </w:r>
      <w:r w:rsidR="0060268B">
        <w:t xml:space="preserve">at </w:t>
      </w:r>
      <w:r w:rsidR="00A56722">
        <w:t xml:space="preserve">2. </w:t>
      </w:r>
      <w:r>
        <w:t xml:space="preserve">  </w:t>
      </w:r>
    </w:p>
  </w:footnote>
  <w:footnote w:id="17">
    <w:p w:rsidR="00703C53" w:rsidRDefault="00703C53" w:rsidP="00A26DE4">
      <w:pPr>
        <w:pStyle w:val="FootnoteText"/>
      </w:pPr>
      <w:r>
        <w:rPr>
          <w:rStyle w:val="FootnoteReference"/>
        </w:rPr>
        <w:footnoteRef/>
      </w:r>
      <w:r>
        <w:t xml:space="preserve"> 47 C.F.R. § 1.925(b)(3)(i).</w:t>
      </w:r>
    </w:p>
  </w:footnote>
  <w:footnote w:id="18">
    <w:p w:rsidR="00703C53" w:rsidRDefault="00703C53" w:rsidP="00A26DE4">
      <w:pPr>
        <w:pStyle w:val="FootnoteText"/>
      </w:pPr>
      <w:r>
        <w:rPr>
          <w:rStyle w:val="FootnoteReference"/>
        </w:rPr>
        <w:footnoteRef/>
      </w:r>
      <w:r>
        <w:t xml:space="preserve"> 47 C.F.R. § 1.925(b)(3)(ii).</w:t>
      </w:r>
    </w:p>
  </w:footnote>
  <w:footnote w:id="19">
    <w:p w:rsidR="00703C53" w:rsidRDefault="00703C53" w:rsidP="00A26DE4">
      <w:pPr>
        <w:pStyle w:val="FootnoteText"/>
      </w:pPr>
      <w:r>
        <w:rPr>
          <w:rStyle w:val="FootnoteReference"/>
        </w:rPr>
        <w:footnoteRef/>
      </w:r>
      <w:r>
        <w:t xml:space="preserve"> </w:t>
      </w:r>
      <w:r>
        <w:rPr>
          <w:i/>
        </w:rPr>
        <w:t xml:space="preserve">WAIT Radio v. FCC, </w:t>
      </w:r>
      <w:r>
        <w:t>413 F.2d 1153, 1157 (D.C. Cir. 1969) (</w:t>
      </w:r>
      <w:r>
        <w:rPr>
          <w:i/>
        </w:rPr>
        <w:t>WAIT Radio</w:t>
      </w:r>
      <w:r>
        <w:t xml:space="preserve">), </w:t>
      </w:r>
      <w:r>
        <w:rPr>
          <w:i/>
        </w:rPr>
        <w:t xml:space="preserve">aff’d, </w:t>
      </w:r>
      <w:r>
        <w:t xml:space="preserve">459 F.2d 1203 (1973), </w:t>
      </w:r>
      <w:r>
        <w:rPr>
          <w:i/>
        </w:rPr>
        <w:t xml:space="preserve">cert. denied, </w:t>
      </w:r>
      <w:r>
        <w:t>409 U.S. 1027 (1972) (</w:t>
      </w:r>
      <w:r>
        <w:rPr>
          <w:i/>
        </w:rPr>
        <w:t xml:space="preserve">citing Rio Grande Family Radio Fellowship, Inc. v. FCC, </w:t>
      </w:r>
      <w:r>
        <w:t xml:space="preserve">406 F.2d 664 (D.C. Cir. 1968)); Birach Broad. Corp., </w:t>
      </w:r>
      <w:r>
        <w:rPr>
          <w:i/>
        </w:rPr>
        <w:t xml:space="preserve">Memorandum Opinion and Order, </w:t>
      </w:r>
      <w:r>
        <w:t>18 FCC Rcd 1414, 1415 (2003).</w:t>
      </w:r>
    </w:p>
  </w:footnote>
  <w:footnote w:id="20">
    <w:p w:rsidR="00D10EFA" w:rsidRPr="00BE3EE0" w:rsidRDefault="00D10EFA" w:rsidP="00A26DE4">
      <w:pPr>
        <w:spacing w:after="120"/>
        <w:rPr>
          <w:snapToGrid/>
          <w:kern w:val="0"/>
          <w:sz w:val="20"/>
        </w:rPr>
      </w:pPr>
      <w:r>
        <w:rPr>
          <w:rStyle w:val="FootnoteReference"/>
        </w:rPr>
        <w:footnoteRef/>
      </w:r>
      <w:r>
        <w:t xml:space="preserve"> </w:t>
      </w:r>
      <w:r w:rsidR="00081D3C" w:rsidRPr="00231640">
        <w:rPr>
          <w:i/>
          <w:sz w:val="20"/>
        </w:rPr>
        <w:t>See</w:t>
      </w:r>
      <w:r w:rsidR="00081D3C" w:rsidRPr="004E3FCC">
        <w:rPr>
          <w:sz w:val="20"/>
        </w:rPr>
        <w:t xml:space="preserve"> Development of Operational, Technical and Spectrum Requirements for Meeting Federal, State and Local Public Safety Agency Communications Requirements Through the Year 2010, WT Docket No. 96-86, </w:t>
      </w:r>
      <w:r w:rsidR="00081D3C" w:rsidRPr="004E3FCC">
        <w:rPr>
          <w:i/>
          <w:sz w:val="20"/>
        </w:rPr>
        <w:t>Third Memorandum Opinion and Order and Third Report and Order</w:t>
      </w:r>
      <w:r w:rsidR="00081D3C" w:rsidRPr="004E3FCC">
        <w:rPr>
          <w:sz w:val="20"/>
        </w:rPr>
        <w:t xml:space="preserve">, 15 FCC Rcd 19844, 19869 ¶ </w:t>
      </w:r>
      <w:r w:rsidR="00081D3C" w:rsidRPr="00B81BBA">
        <w:rPr>
          <w:sz w:val="20"/>
        </w:rPr>
        <w:t>62</w:t>
      </w:r>
      <w:r w:rsidR="00081D3C" w:rsidRPr="004E3FCC">
        <w:rPr>
          <w:sz w:val="20"/>
        </w:rPr>
        <w:t xml:space="preserve"> (2000)</w:t>
      </w:r>
      <w:r w:rsidR="00F7382B">
        <w:rPr>
          <w:sz w:val="20"/>
        </w:rPr>
        <w:t xml:space="preserve"> (</w:t>
      </w:r>
      <w:r w:rsidR="00F7382B" w:rsidRPr="004E3FCC">
        <w:rPr>
          <w:i/>
          <w:sz w:val="20"/>
        </w:rPr>
        <w:t>Third R&amp;O</w:t>
      </w:r>
      <w:r w:rsidR="00F7382B">
        <w:rPr>
          <w:sz w:val="20"/>
        </w:rPr>
        <w:t>)</w:t>
      </w:r>
      <w:r w:rsidR="00081D3C">
        <w:rPr>
          <w:sz w:val="20"/>
        </w:rPr>
        <w:t xml:space="preserve">.  </w:t>
      </w:r>
      <w:r w:rsidR="00BE3EE0" w:rsidRPr="004E3FCC">
        <w:rPr>
          <w:i/>
          <w:sz w:val="20"/>
        </w:rPr>
        <w:t>See</w:t>
      </w:r>
      <w:r w:rsidR="00081D3C" w:rsidRPr="004E3FCC">
        <w:rPr>
          <w:i/>
          <w:sz w:val="20"/>
        </w:rPr>
        <w:t xml:space="preserve"> also</w:t>
      </w:r>
      <w:r w:rsidR="00BE3EE0" w:rsidRPr="004E3FCC">
        <w:rPr>
          <w:i/>
          <w:sz w:val="20"/>
        </w:rPr>
        <w:t xml:space="preserve"> </w:t>
      </w:r>
      <w:r w:rsidR="00081D3C" w:rsidRPr="004E3FCC">
        <w:rPr>
          <w:sz w:val="20"/>
        </w:rPr>
        <w:t>State of Iowa</w:t>
      </w:r>
      <w:r w:rsidR="00081D3C">
        <w:rPr>
          <w:sz w:val="20"/>
        </w:rPr>
        <w:t>,</w:t>
      </w:r>
      <w:r w:rsidR="00081D3C" w:rsidRPr="004E3FCC">
        <w:rPr>
          <w:i/>
          <w:sz w:val="20"/>
        </w:rPr>
        <w:t xml:space="preserve"> </w:t>
      </w:r>
      <w:r w:rsidR="00BE3EE0" w:rsidRPr="004E3FCC">
        <w:rPr>
          <w:i/>
          <w:snapToGrid/>
          <w:kern w:val="0"/>
          <w:sz w:val="20"/>
        </w:rPr>
        <w:t>Order</w:t>
      </w:r>
      <w:r w:rsidR="00BE3EE0" w:rsidRPr="004E3FCC">
        <w:rPr>
          <w:snapToGrid/>
          <w:kern w:val="0"/>
          <w:sz w:val="20"/>
        </w:rPr>
        <w:t>, 29 FCC Rcd</w:t>
      </w:r>
      <w:r w:rsidR="00081D3C">
        <w:rPr>
          <w:snapToGrid/>
          <w:kern w:val="0"/>
          <w:sz w:val="20"/>
        </w:rPr>
        <w:t xml:space="preserve"> </w:t>
      </w:r>
      <w:r w:rsidR="00BE3EE0" w:rsidRPr="004E3FCC">
        <w:rPr>
          <w:snapToGrid/>
          <w:kern w:val="0"/>
          <w:sz w:val="20"/>
        </w:rPr>
        <w:t>11899</w:t>
      </w:r>
      <w:r w:rsidR="00081D3C">
        <w:rPr>
          <w:snapToGrid/>
          <w:kern w:val="0"/>
          <w:sz w:val="20"/>
        </w:rPr>
        <w:t>, 11900</w:t>
      </w:r>
      <w:r w:rsidR="00BE3EE0" w:rsidRPr="004E3FCC">
        <w:rPr>
          <w:snapToGrid/>
          <w:kern w:val="0"/>
          <w:sz w:val="20"/>
        </w:rPr>
        <w:t xml:space="preserve"> ¶ 7</w:t>
      </w:r>
      <w:r w:rsidR="001632D7">
        <w:rPr>
          <w:snapToGrid/>
          <w:kern w:val="0"/>
          <w:sz w:val="20"/>
        </w:rPr>
        <w:t xml:space="preserve"> (granting Iowa a conditional waiver of the substantial service requirement)</w:t>
      </w:r>
      <w:r w:rsidR="00531A5B">
        <w:rPr>
          <w:snapToGrid/>
          <w:kern w:val="0"/>
          <w:sz w:val="20"/>
        </w:rPr>
        <w:t xml:space="preserve">. </w:t>
      </w:r>
    </w:p>
  </w:footnote>
  <w:footnote w:id="21">
    <w:p w:rsidR="00962CEB" w:rsidRDefault="00962CEB" w:rsidP="00A26DE4">
      <w:pPr>
        <w:pStyle w:val="FootnoteText"/>
      </w:pPr>
      <w:r>
        <w:rPr>
          <w:rStyle w:val="FootnoteReference"/>
        </w:rPr>
        <w:footnoteRef/>
      </w:r>
      <w:r>
        <w:t xml:space="preserve"> </w:t>
      </w:r>
      <w:r w:rsidRPr="0013362D">
        <w:rPr>
          <w:i/>
        </w:rPr>
        <w:t xml:space="preserve">See </w:t>
      </w:r>
      <w:r w:rsidRPr="0013362D">
        <w:t>47 C.F.R. § 90.529(b)(1).</w:t>
      </w:r>
      <w:r w:rsidRPr="00213BF5">
        <w:rPr>
          <w:highlight w:val="yellow"/>
        </w:rPr>
        <w:t xml:space="preserve">  </w:t>
      </w:r>
    </w:p>
  </w:footnote>
  <w:footnote w:id="22">
    <w:p w:rsidR="00962CEB" w:rsidRDefault="00962CEB" w:rsidP="00A26DE4">
      <w:pPr>
        <w:pStyle w:val="FootnoteText"/>
      </w:pPr>
      <w:r>
        <w:rPr>
          <w:rStyle w:val="FootnoteReference"/>
        </w:rPr>
        <w:footnoteRef/>
      </w:r>
      <w:r>
        <w:t xml:space="preserve"> </w:t>
      </w:r>
      <w:r>
        <w:rPr>
          <w:i/>
        </w:rPr>
        <w:t xml:space="preserve">See </w:t>
      </w:r>
      <w:r>
        <w:t>47 C.F.R. § </w:t>
      </w:r>
      <w:r w:rsidR="00774FA5">
        <w:t>90</w:t>
      </w:r>
      <w:r>
        <w:t>.5</w:t>
      </w:r>
      <w:r w:rsidR="00774FA5">
        <w:t>29</w:t>
      </w:r>
      <w:r>
        <w:t>(c)</w:t>
      </w:r>
      <w:r w:rsidR="0060268B">
        <w:t>.</w:t>
      </w:r>
    </w:p>
  </w:footnote>
  <w:footnote w:id="23">
    <w:p w:rsidR="00962CEB" w:rsidRDefault="00962CEB" w:rsidP="00A26DE4">
      <w:pPr>
        <w:pStyle w:val="FootnoteText"/>
      </w:pPr>
      <w:r>
        <w:rPr>
          <w:rStyle w:val="FootnoteReference"/>
        </w:rPr>
        <w:footnoteRef/>
      </w:r>
      <w:r>
        <w:t xml:space="preserve"> </w:t>
      </w:r>
      <w:r>
        <w:rPr>
          <w:i/>
        </w:rPr>
        <w:t xml:space="preserve">See </w:t>
      </w:r>
      <w:r>
        <w:t xml:space="preserve">47 C.F.R. §§ 90.529(d) and (e).  </w:t>
      </w:r>
    </w:p>
  </w:footnote>
  <w:footnote w:id="24">
    <w:p w:rsidR="00E65ABC" w:rsidRPr="00E65ABC" w:rsidRDefault="00E65ABC" w:rsidP="00A26DE4">
      <w:pPr>
        <w:pStyle w:val="FootnoteText"/>
      </w:pPr>
      <w:r>
        <w:rPr>
          <w:rStyle w:val="FootnoteReference"/>
        </w:rPr>
        <w:footnoteRef/>
      </w:r>
      <w:r>
        <w:t xml:space="preserve"> </w:t>
      </w:r>
      <w:r>
        <w:rPr>
          <w:i/>
        </w:rPr>
        <w:t>See supra</w:t>
      </w:r>
      <w:r>
        <w:t xml:space="preserve"> </w:t>
      </w:r>
      <w:r w:rsidRPr="004A68C2">
        <w:rPr>
          <w:iCs/>
          <w:color w:val="000000"/>
        </w:rPr>
        <w:t>¶</w:t>
      </w:r>
      <w:r>
        <w:rPr>
          <w:iCs/>
          <w:color w:val="000000"/>
        </w:rPr>
        <w:t xml:space="preserve"> </w:t>
      </w:r>
      <w:r>
        <w:rPr>
          <w:iCs/>
          <w:color w:val="000000"/>
        </w:rPr>
        <w:fldChar w:fldCharType="begin"/>
      </w:r>
      <w:r>
        <w:rPr>
          <w:iCs/>
          <w:color w:val="000000"/>
        </w:rPr>
        <w:instrText xml:space="preserve"> REF _Ref414284105 \r \h </w:instrText>
      </w:r>
      <w:r>
        <w:rPr>
          <w:iCs/>
          <w:color w:val="000000"/>
        </w:rPr>
      </w:r>
      <w:r>
        <w:rPr>
          <w:iCs/>
          <w:color w:val="000000"/>
        </w:rPr>
        <w:fldChar w:fldCharType="separate"/>
      </w:r>
      <w:r w:rsidR="004F732A">
        <w:rPr>
          <w:iCs/>
          <w:color w:val="000000"/>
        </w:rPr>
        <w:t>5</w:t>
      </w:r>
      <w:r>
        <w:rPr>
          <w:iCs/>
          <w:color w:val="000000"/>
        </w:rPr>
        <w:fldChar w:fldCharType="end"/>
      </w:r>
      <w:r>
        <w:rPr>
          <w:iCs/>
          <w:color w:val="000000"/>
        </w:rPr>
        <w:t>.</w:t>
      </w:r>
    </w:p>
  </w:footnote>
  <w:footnote w:id="25">
    <w:p w:rsidR="00FC17A9" w:rsidRDefault="00FC17A9" w:rsidP="00A26DE4">
      <w:pPr>
        <w:pStyle w:val="FootnoteText"/>
      </w:pPr>
      <w:r>
        <w:rPr>
          <w:rStyle w:val="FootnoteReference"/>
        </w:rPr>
        <w:footnoteRef/>
      </w:r>
      <w:r>
        <w:t xml:space="preserve"> Substantial Service Showing</w:t>
      </w:r>
      <w:r w:rsidDel="007E4C1C">
        <w:rPr>
          <w:i/>
        </w:rPr>
        <w:t xml:space="preserve"> </w:t>
      </w:r>
      <w:r>
        <w:t>at 1; Addendum to Waiver Request</w:t>
      </w:r>
      <w:r w:rsidR="0060268B">
        <w:t xml:space="preserve"> at</w:t>
      </w:r>
      <w:r>
        <w:t xml:space="preserve"> 2.   </w:t>
      </w:r>
    </w:p>
  </w:footnote>
  <w:footnote w:id="26">
    <w:p w:rsidR="000B6751" w:rsidRPr="00231640" w:rsidRDefault="000B6751" w:rsidP="00A26DE4">
      <w:pPr>
        <w:spacing w:after="120"/>
        <w:rPr>
          <w:i/>
          <w:iCs/>
          <w:color w:val="000000"/>
        </w:rPr>
      </w:pPr>
      <w:r w:rsidRPr="00650D12">
        <w:rPr>
          <w:rStyle w:val="FootnoteReference"/>
        </w:rPr>
        <w:footnoteRef/>
      </w:r>
      <w:r w:rsidRPr="00650D12">
        <w:rPr>
          <w:sz w:val="20"/>
        </w:rPr>
        <w:t xml:space="preserve"> </w:t>
      </w:r>
      <w:r w:rsidRPr="00231640">
        <w:rPr>
          <w:i/>
          <w:iCs/>
          <w:color w:val="000000"/>
          <w:sz w:val="20"/>
        </w:rPr>
        <w:t>See</w:t>
      </w:r>
      <w:r w:rsidR="00650D12" w:rsidRPr="00650D12">
        <w:rPr>
          <w:i/>
          <w:iCs/>
          <w:color w:val="000000"/>
          <w:sz w:val="20"/>
        </w:rPr>
        <w:t xml:space="preserve"> </w:t>
      </w:r>
      <w:r w:rsidR="00650D12" w:rsidRPr="004A68C2">
        <w:rPr>
          <w:iCs/>
          <w:color w:val="000000"/>
          <w:sz w:val="20"/>
        </w:rPr>
        <w:t xml:space="preserve">Biennial Regulatory Review – Amendment of Parts 0. 1, 13, 22, 24, 26, 27, 80, 87, 90, 95 and 101 of the Commission’s Rules to Facilitate the Development of the Universal Licensing System in the Wireless Telecommunications Services, </w:t>
      </w:r>
      <w:r w:rsidR="00650D12" w:rsidRPr="00231640">
        <w:rPr>
          <w:i/>
          <w:iCs/>
          <w:color w:val="000000"/>
          <w:sz w:val="20"/>
        </w:rPr>
        <w:t>Report and Order</w:t>
      </w:r>
      <w:r w:rsidR="00650D12" w:rsidRPr="004A68C2">
        <w:rPr>
          <w:iCs/>
          <w:color w:val="000000"/>
          <w:sz w:val="20"/>
        </w:rPr>
        <w:t>, 13 FCC Rcd 21027, 21076 ¶ 106 (1998).</w:t>
      </w:r>
      <w:r w:rsidR="00650D12">
        <w:rPr>
          <w:i/>
          <w:iCs/>
          <w:color w:val="000000"/>
          <w:sz w:val="20"/>
        </w:rPr>
        <w:t xml:space="preserve"> </w:t>
      </w:r>
    </w:p>
  </w:footnote>
  <w:footnote w:id="27">
    <w:p w:rsidR="00231640" w:rsidRPr="002A5DA3" w:rsidRDefault="00231640" w:rsidP="00A26DE4">
      <w:pPr>
        <w:pStyle w:val="FootnoteText"/>
      </w:pPr>
      <w:r w:rsidRPr="002A5DA3">
        <w:rPr>
          <w:rStyle w:val="FootnoteReference"/>
        </w:rPr>
        <w:footnoteRef/>
      </w:r>
      <w:r w:rsidRPr="002A5DA3">
        <w:t xml:space="preserve"> </w:t>
      </w:r>
      <w:r w:rsidRPr="00970936">
        <w:rPr>
          <w:i/>
          <w:iCs/>
          <w:color w:val="000000"/>
        </w:rPr>
        <w:t>See</w:t>
      </w:r>
      <w:hyperlink r:id="rId1" w:tgtFrame="_top" w:history="1">
        <w:r w:rsidRPr="00231640">
          <w:t xml:space="preserve"> Wireless Telecommunications Bureau Announces the Deployment of “Auto Term,” the Automated Feature in its Universal Licensing System that Identifies Unconstructed Stations Resulting in Automatic Termination of Licenses, </w:t>
        </w:r>
        <w:r w:rsidRPr="00231640">
          <w:rPr>
            <w:i/>
            <w:iCs/>
          </w:rPr>
          <w:t>Public Notice</w:t>
        </w:r>
        <w:r w:rsidRPr="00231640">
          <w:t>, 21 FCC Rcd 163, 167 (WTB 2006)</w:t>
        </w:r>
      </w:hyperlink>
      <w:r w:rsidRPr="00231640">
        <w:t>.</w:t>
      </w:r>
    </w:p>
  </w:footnote>
  <w:footnote w:id="28">
    <w:p w:rsidR="00E128CB" w:rsidRDefault="00E128CB" w:rsidP="00A26DE4">
      <w:pPr>
        <w:pStyle w:val="FootnoteText"/>
      </w:pPr>
      <w:r>
        <w:rPr>
          <w:rStyle w:val="FootnoteReference"/>
        </w:rPr>
        <w:footnoteRef/>
      </w:r>
      <w:r>
        <w:t xml:space="preserve"> </w:t>
      </w:r>
      <w:r w:rsidR="00F7382B" w:rsidRPr="00CB0CC3">
        <w:rPr>
          <w:i/>
        </w:rPr>
        <w:t>Third R&amp;O</w:t>
      </w:r>
      <w:r>
        <w:t xml:space="preserve">, 15 FCC Rcd </w:t>
      </w:r>
      <w:r w:rsidR="00F7382B">
        <w:t xml:space="preserve">at </w:t>
      </w:r>
      <w:r>
        <w:t>19869 ¶ 57.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5C8D" w:rsidRDefault="00805C8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Header"/>
      <w:pBdr>
        <w:bottom w:val="single" w:sz="12" w:space="0" w:color="auto"/>
      </w:pBdr>
      <w:rPr>
        <w:b w:val="0"/>
      </w:rPr>
    </w:pPr>
    <w:r>
      <w:tab/>
      <w:t>Federal Communications Commission</w:t>
    </w:r>
    <w:r>
      <w:tab/>
      <w:t xml:space="preserve">DA </w:t>
    </w:r>
    <w:r w:rsidR="009D5895" w:rsidRPr="009D5895">
      <w:t>15-352</w:t>
    </w:r>
  </w:p>
  <w:p w:rsidR="00703C53" w:rsidRDefault="00703C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C53" w:rsidRDefault="00703C53">
    <w:pPr>
      <w:pStyle w:val="Header"/>
      <w:pBdr>
        <w:bottom w:val="single" w:sz="12" w:space="1" w:color="auto"/>
      </w:pBdr>
      <w:rPr>
        <w:b w:val="0"/>
      </w:rPr>
    </w:pPr>
    <w:r>
      <w:tab/>
      <w:t>Federal Communications Commission</w:t>
    </w:r>
    <w:r>
      <w:tab/>
      <w:t xml:space="preserve">DA </w:t>
    </w:r>
    <w:r w:rsidR="009D5895" w:rsidRPr="009D5895">
      <w:t>15-352</w:t>
    </w:r>
  </w:p>
  <w:p w:rsidR="00703C53" w:rsidRDefault="00703C53"/>
  <w:p w:rsidR="00703C53" w:rsidRDefault="00703C5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1">
    <w:nsid w:val="084B453C"/>
    <w:multiLevelType w:val="singleLevel"/>
    <w:tmpl w:val="40A8E97A"/>
    <w:lvl w:ilvl="0">
      <w:start w:val="1"/>
      <w:numFmt w:val="decimal"/>
      <w:lvlText w:val="%1."/>
      <w:lvlJc w:val="left"/>
      <w:pPr>
        <w:tabs>
          <w:tab w:val="num" w:pos="1080"/>
        </w:tabs>
        <w:ind w:left="0" w:firstLine="720"/>
      </w:pPr>
    </w:lvl>
  </w:abstractNum>
  <w:abstractNum w:abstractNumId="2">
    <w:nsid w:val="163F1933"/>
    <w:multiLevelType w:val="singleLevel"/>
    <w:tmpl w:val="00000002"/>
    <w:lvl w:ilvl="0">
      <w:start w:val="1"/>
      <w:numFmt w:val="decimal"/>
      <w:lvlText w:val="%1."/>
      <w:lvlJc w:val="left"/>
      <w:pPr>
        <w:tabs>
          <w:tab w:val="num" w:pos="0"/>
        </w:tabs>
        <w:ind w:left="0" w:firstLine="720"/>
      </w:pPr>
      <w:rPr>
        <w:rFonts w:ascii="Times New Roman" w:hAnsi="Times New Roman"/>
        <w:b w:val="0"/>
        <w:i w:val="0"/>
        <w:caps w:val="0"/>
        <w:smallCaps w:val="0"/>
        <w:strike w:val="0"/>
        <w:dstrike w:val="0"/>
        <w:vanish w:val="0"/>
        <w:position w:val="0"/>
        <w:sz w:val="22"/>
        <w:u w:val="none"/>
        <w:vertAlign w:val="baseline"/>
        <w14:shadow w14:blurRad="0" w14:dist="0" w14:dir="0" w14:sx="0" w14:sy="0" w14:kx="0" w14:ky="0" w14:algn="none">
          <w14:srgbClr w14:val="000000"/>
        </w14:shadow>
      </w:rPr>
    </w:lvl>
  </w:abstractNum>
  <w:abstractNum w:abstractNumId="3">
    <w:nsid w:val="1D5F0B24"/>
    <w:multiLevelType w:val="singleLevel"/>
    <w:tmpl w:val="9FD2E0D8"/>
    <w:lvl w:ilvl="0">
      <w:start w:val="1"/>
      <w:numFmt w:val="decimal"/>
      <w:pStyle w:val="NumberedParagraphs"/>
      <w:lvlText w:val="%1."/>
      <w:lvlJc w:val="left"/>
      <w:pPr>
        <w:tabs>
          <w:tab w:val="num" w:pos="1080"/>
        </w:tabs>
        <w:ind w:left="0" w:firstLine="720"/>
      </w:pPr>
    </w:lvl>
  </w:abstractNum>
  <w:abstractNum w:abstractNumId="4">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5">
    <w:nsid w:val="248246F3"/>
    <w:multiLevelType w:val="singleLevel"/>
    <w:tmpl w:val="B1F45678"/>
    <w:lvl w:ilvl="0">
      <w:start w:val="1"/>
      <w:numFmt w:val="decimal"/>
      <w:lvlText w:val="%1."/>
      <w:lvlJc w:val="left"/>
      <w:pPr>
        <w:tabs>
          <w:tab w:val="num" w:pos="1080"/>
        </w:tabs>
        <w:ind w:left="0" w:firstLine="720"/>
      </w:pPr>
    </w:lvl>
  </w:abstractNum>
  <w:abstractNum w:abstractNumId="6">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7">
    <w:nsid w:val="3D0F1B3D"/>
    <w:multiLevelType w:val="singleLevel"/>
    <w:tmpl w:val="4DCCE696"/>
    <w:lvl w:ilvl="0">
      <w:start w:val="1"/>
      <w:numFmt w:val="decimal"/>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9">
    <w:nsid w:val="50E225D9"/>
    <w:multiLevelType w:val="hybridMultilevel"/>
    <w:tmpl w:val="6F56B5B2"/>
    <w:lvl w:ilvl="0" w:tplc="5E569490">
      <w:start w:val="1"/>
      <w:numFmt w:val="bullet"/>
      <w:lvlText w:val=""/>
      <w:lvlJc w:val="left"/>
      <w:pPr>
        <w:tabs>
          <w:tab w:val="num" w:pos="720"/>
        </w:tabs>
        <w:ind w:left="720" w:hanging="360"/>
      </w:pPr>
      <w:rPr>
        <w:rFonts w:ascii="Wingdings" w:hAnsi="Wingdings" w:hint="default"/>
      </w:rPr>
    </w:lvl>
    <w:lvl w:ilvl="1" w:tplc="BEA44C08">
      <w:start w:val="1"/>
      <w:numFmt w:val="bullet"/>
      <w:lvlText w:val="o"/>
      <w:lvlJc w:val="left"/>
      <w:pPr>
        <w:tabs>
          <w:tab w:val="num" w:pos="720"/>
        </w:tabs>
        <w:ind w:left="720" w:hanging="360"/>
      </w:pPr>
      <w:rPr>
        <w:rFonts w:ascii="Courier New" w:hAnsi="Courier New" w:cs="Courier New" w:hint="default"/>
      </w:rPr>
    </w:lvl>
    <w:lvl w:ilvl="2" w:tplc="5B08C580">
      <w:start w:val="1"/>
      <w:numFmt w:val="bullet"/>
      <w:lvlText w:val=""/>
      <w:lvlJc w:val="left"/>
      <w:pPr>
        <w:tabs>
          <w:tab w:val="num" w:pos="1440"/>
        </w:tabs>
        <w:ind w:left="1440" w:hanging="360"/>
      </w:pPr>
      <w:rPr>
        <w:rFonts w:ascii="Wingdings" w:hAnsi="Wingdings" w:hint="default"/>
      </w:rPr>
    </w:lvl>
    <w:lvl w:ilvl="3" w:tplc="6D4A0E18" w:tentative="1">
      <w:start w:val="1"/>
      <w:numFmt w:val="bullet"/>
      <w:lvlText w:val=""/>
      <w:lvlJc w:val="left"/>
      <w:pPr>
        <w:tabs>
          <w:tab w:val="num" w:pos="2160"/>
        </w:tabs>
        <w:ind w:left="2160" w:hanging="360"/>
      </w:pPr>
      <w:rPr>
        <w:rFonts w:ascii="Symbol" w:hAnsi="Symbol" w:hint="default"/>
      </w:rPr>
    </w:lvl>
    <w:lvl w:ilvl="4" w:tplc="250EDF7A" w:tentative="1">
      <w:start w:val="1"/>
      <w:numFmt w:val="bullet"/>
      <w:lvlText w:val="o"/>
      <w:lvlJc w:val="left"/>
      <w:pPr>
        <w:tabs>
          <w:tab w:val="num" w:pos="2880"/>
        </w:tabs>
        <w:ind w:left="2880" w:hanging="360"/>
      </w:pPr>
      <w:rPr>
        <w:rFonts w:ascii="Courier New" w:hAnsi="Courier New" w:cs="Courier New" w:hint="default"/>
      </w:rPr>
    </w:lvl>
    <w:lvl w:ilvl="5" w:tplc="C67E881E" w:tentative="1">
      <w:start w:val="1"/>
      <w:numFmt w:val="bullet"/>
      <w:lvlText w:val=""/>
      <w:lvlJc w:val="left"/>
      <w:pPr>
        <w:tabs>
          <w:tab w:val="num" w:pos="3600"/>
        </w:tabs>
        <w:ind w:left="3600" w:hanging="360"/>
      </w:pPr>
      <w:rPr>
        <w:rFonts w:ascii="Wingdings" w:hAnsi="Wingdings" w:hint="default"/>
      </w:rPr>
    </w:lvl>
    <w:lvl w:ilvl="6" w:tplc="6C4629F6" w:tentative="1">
      <w:start w:val="1"/>
      <w:numFmt w:val="bullet"/>
      <w:lvlText w:val=""/>
      <w:lvlJc w:val="left"/>
      <w:pPr>
        <w:tabs>
          <w:tab w:val="num" w:pos="4320"/>
        </w:tabs>
        <w:ind w:left="4320" w:hanging="360"/>
      </w:pPr>
      <w:rPr>
        <w:rFonts w:ascii="Symbol" w:hAnsi="Symbol" w:hint="default"/>
      </w:rPr>
    </w:lvl>
    <w:lvl w:ilvl="7" w:tplc="0B922692" w:tentative="1">
      <w:start w:val="1"/>
      <w:numFmt w:val="bullet"/>
      <w:lvlText w:val="o"/>
      <w:lvlJc w:val="left"/>
      <w:pPr>
        <w:tabs>
          <w:tab w:val="num" w:pos="5040"/>
        </w:tabs>
        <w:ind w:left="5040" w:hanging="360"/>
      </w:pPr>
      <w:rPr>
        <w:rFonts w:ascii="Courier New" w:hAnsi="Courier New" w:cs="Courier New" w:hint="default"/>
      </w:rPr>
    </w:lvl>
    <w:lvl w:ilvl="8" w:tplc="1014226C" w:tentative="1">
      <w:start w:val="1"/>
      <w:numFmt w:val="bullet"/>
      <w:lvlText w:val=""/>
      <w:lvlJc w:val="left"/>
      <w:pPr>
        <w:tabs>
          <w:tab w:val="num" w:pos="5760"/>
        </w:tabs>
        <w:ind w:left="5760" w:hanging="360"/>
      </w:pPr>
      <w:rPr>
        <w:rFonts w:ascii="Wingdings" w:hAnsi="Wingdings" w:hint="default"/>
      </w:rPr>
    </w:lvl>
  </w:abstractNum>
  <w:abstractNum w:abstractNumId="10">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1">
    <w:nsid w:val="7631020E"/>
    <w:multiLevelType w:val="hybridMultilevel"/>
    <w:tmpl w:val="D1123B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7F0406EE"/>
    <w:multiLevelType w:val="hybridMultilevel"/>
    <w:tmpl w:val="749E4CE6"/>
    <w:lvl w:ilvl="0" w:tplc="FFFFFFFF">
      <w:start w:val="1"/>
      <w:numFmt w:val="bullet"/>
      <w:lvlText w:val=""/>
      <w:lvlJc w:val="left"/>
      <w:pPr>
        <w:tabs>
          <w:tab w:val="num" w:pos="1440"/>
        </w:tabs>
        <w:ind w:left="1440" w:hanging="360"/>
      </w:pPr>
      <w:rPr>
        <w:rFonts w:ascii="Wingdings" w:hAnsi="Wingdings" w:hint="default"/>
      </w:rPr>
    </w:lvl>
    <w:lvl w:ilvl="1" w:tplc="FFFFFFFF">
      <w:start w:val="1"/>
      <w:numFmt w:val="decimal"/>
      <w:lvlText w:val="(%2)"/>
      <w:lvlJc w:val="left"/>
      <w:pPr>
        <w:tabs>
          <w:tab w:val="num" w:pos="2160"/>
        </w:tabs>
        <w:ind w:left="2160" w:hanging="360"/>
      </w:pPr>
      <w:rPr>
        <w:rFonts w:hint="default"/>
      </w:rPr>
    </w:lvl>
    <w:lvl w:ilvl="2" w:tplc="FFFFFFFF">
      <w:start w:val="1"/>
      <w:numFmt w:val="lowerRoman"/>
      <w:lvlText w:val="%3."/>
      <w:lvlJc w:val="right"/>
      <w:pPr>
        <w:tabs>
          <w:tab w:val="num" w:pos="2880"/>
        </w:tabs>
        <w:ind w:left="2880" w:hanging="180"/>
      </w:pPr>
    </w:lvl>
    <w:lvl w:ilvl="3" w:tplc="FFFFFFFF">
      <w:numFmt w:val="bullet"/>
      <w:lvlText w:val="-"/>
      <w:lvlJc w:val="left"/>
      <w:pPr>
        <w:tabs>
          <w:tab w:val="num" w:pos="1440"/>
        </w:tabs>
        <w:ind w:left="1440" w:hanging="360"/>
      </w:pPr>
      <w:rPr>
        <w:rFonts w:ascii="Times New Roman" w:eastAsia="Times New Roman" w:hAnsi="Times New Roman" w:cs="Times New Roman" w:hint="default"/>
      </w:rPr>
    </w:lvl>
    <w:lvl w:ilvl="4" w:tplc="FFFFFFFF">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num w:numId="1">
    <w:abstractNumId w:val="4"/>
  </w:num>
  <w:num w:numId="2">
    <w:abstractNumId w:val="10"/>
  </w:num>
  <w:num w:numId="3">
    <w:abstractNumId w:val="6"/>
  </w:num>
  <w:num w:numId="4">
    <w:abstractNumId w:val="9"/>
  </w:num>
  <w:num w:numId="5">
    <w:abstractNumId w:val="12"/>
  </w:num>
  <w:num w:numId="6">
    <w:abstractNumId w:val="3"/>
  </w:num>
  <w:num w:numId="7">
    <w:abstractNumId w:val="6"/>
    <w:lvlOverride w:ilvl="0">
      <w:startOverride w:val="4"/>
    </w:lvlOverride>
  </w:num>
  <w:num w:numId="8">
    <w:abstractNumId w:val="8"/>
  </w:num>
  <w:num w:numId="9">
    <w:abstractNumId w:val="5"/>
  </w:num>
  <w:num w:numId="10">
    <w:abstractNumId w:val="1"/>
  </w:num>
  <w:num w:numId="11">
    <w:abstractNumId w:val="10"/>
  </w:num>
  <w:num w:numId="12">
    <w:abstractNumId w:val="10"/>
  </w:num>
  <w:num w:numId="13">
    <w:abstractNumId w:val="10"/>
  </w:num>
  <w:num w:numId="14">
    <w:abstractNumId w:val="10"/>
  </w:num>
  <w:num w:numId="15">
    <w:abstractNumId w:val="10"/>
  </w:num>
  <w:num w:numId="16">
    <w:abstractNumId w:val="10"/>
  </w:num>
  <w:num w:numId="17">
    <w:abstractNumId w:val="10"/>
  </w:num>
  <w:num w:numId="18">
    <w:abstractNumId w:val="10"/>
  </w:num>
  <w:num w:numId="19">
    <w:abstractNumId w:val="7"/>
  </w:num>
  <w:num w:numId="20">
    <w:abstractNumId w:val="7"/>
    <w:lvlOverride w:ilvl="0">
      <w:startOverride w:val="1"/>
    </w:lvlOverride>
  </w:num>
  <w:num w:numId="21">
    <w:abstractNumId w:val="7"/>
  </w:num>
  <w:num w:numId="22">
    <w:abstractNumId w:val="7"/>
  </w:num>
  <w:num w:numId="23">
    <w:abstractNumId w:val="11"/>
  </w:num>
  <w:num w:numId="24">
    <w:abstractNumId w:val="10"/>
  </w:num>
  <w:num w:numId="25">
    <w:abstractNumId w:val="10"/>
  </w:num>
  <w:num w:numId="26">
    <w:abstractNumId w:val="6"/>
  </w:num>
  <w:num w:numId="27">
    <w:abstractNumId w:val="0"/>
  </w:num>
  <w:num w:numId="28">
    <w:abstractNumId w:val="2"/>
  </w:num>
  <w:num w:numId="29">
    <w:abstractNumId w:val="10"/>
    <w:lvlOverride w:ilvl="0">
      <w:startOverride w:val="1"/>
    </w:lvlOverride>
  </w:num>
  <w:num w:numId="30">
    <w:abstractNumId w:val="10"/>
    <w:lvlOverride w:ilvl="0">
      <w:startOverride w:val="1"/>
    </w:lvlOverride>
  </w:num>
  <w:num w:numId="31">
    <w:abstractNumId w:val="10"/>
    <w:lvlOverride w:ilvl="0">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PersonalInformation/>
  <w:removeDateAndTime/>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86A"/>
    <w:rsid w:val="0000586F"/>
    <w:rsid w:val="0002786A"/>
    <w:rsid w:val="0004350D"/>
    <w:rsid w:val="00081D3C"/>
    <w:rsid w:val="000A61DE"/>
    <w:rsid w:val="000B6660"/>
    <w:rsid w:val="000B6751"/>
    <w:rsid w:val="000B76D9"/>
    <w:rsid w:val="000D583E"/>
    <w:rsid w:val="000E1A88"/>
    <w:rsid w:val="000E3B4F"/>
    <w:rsid w:val="00107476"/>
    <w:rsid w:val="0011785B"/>
    <w:rsid w:val="00117DE1"/>
    <w:rsid w:val="0013362D"/>
    <w:rsid w:val="0014187E"/>
    <w:rsid w:val="00150084"/>
    <w:rsid w:val="001632D7"/>
    <w:rsid w:val="001657A8"/>
    <w:rsid w:val="00170745"/>
    <w:rsid w:val="001A3A69"/>
    <w:rsid w:val="001B1BD2"/>
    <w:rsid w:val="001D3C9C"/>
    <w:rsid w:val="001D6166"/>
    <w:rsid w:val="001D684C"/>
    <w:rsid w:val="001F59EE"/>
    <w:rsid w:val="00204E30"/>
    <w:rsid w:val="00211E8A"/>
    <w:rsid w:val="00213BF5"/>
    <w:rsid w:val="00220306"/>
    <w:rsid w:val="00230B22"/>
    <w:rsid w:val="00231640"/>
    <w:rsid w:val="00273421"/>
    <w:rsid w:val="00275E9C"/>
    <w:rsid w:val="002A5DA3"/>
    <w:rsid w:val="002E3C70"/>
    <w:rsid w:val="002F3BF8"/>
    <w:rsid w:val="003064E2"/>
    <w:rsid w:val="00315FFB"/>
    <w:rsid w:val="00324525"/>
    <w:rsid w:val="003370EE"/>
    <w:rsid w:val="00343357"/>
    <w:rsid w:val="00345BA5"/>
    <w:rsid w:val="003D24EE"/>
    <w:rsid w:val="003D73F0"/>
    <w:rsid w:val="003E2CF2"/>
    <w:rsid w:val="003E2DC0"/>
    <w:rsid w:val="00470B80"/>
    <w:rsid w:val="00496ED8"/>
    <w:rsid w:val="004A65D1"/>
    <w:rsid w:val="004A7437"/>
    <w:rsid w:val="004B1B9D"/>
    <w:rsid w:val="004B77A8"/>
    <w:rsid w:val="004E3FCC"/>
    <w:rsid w:val="004F5BEA"/>
    <w:rsid w:val="004F5BF9"/>
    <w:rsid w:val="004F732A"/>
    <w:rsid w:val="00511089"/>
    <w:rsid w:val="00512F84"/>
    <w:rsid w:val="0052560F"/>
    <w:rsid w:val="00527776"/>
    <w:rsid w:val="00531A5B"/>
    <w:rsid w:val="0054037F"/>
    <w:rsid w:val="005549B6"/>
    <w:rsid w:val="00572E0F"/>
    <w:rsid w:val="005748F9"/>
    <w:rsid w:val="00580F55"/>
    <w:rsid w:val="00586C0A"/>
    <w:rsid w:val="00587767"/>
    <w:rsid w:val="005A020F"/>
    <w:rsid w:val="005D1B9E"/>
    <w:rsid w:val="0060268B"/>
    <w:rsid w:val="00603A67"/>
    <w:rsid w:val="00646E80"/>
    <w:rsid w:val="00650D12"/>
    <w:rsid w:val="00667B34"/>
    <w:rsid w:val="00672292"/>
    <w:rsid w:val="00680D54"/>
    <w:rsid w:val="006E5929"/>
    <w:rsid w:val="006E7CAE"/>
    <w:rsid w:val="00703C53"/>
    <w:rsid w:val="00703CDF"/>
    <w:rsid w:val="007075BA"/>
    <w:rsid w:val="00715EAC"/>
    <w:rsid w:val="00746342"/>
    <w:rsid w:val="007529FC"/>
    <w:rsid w:val="0076031E"/>
    <w:rsid w:val="00774FA5"/>
    <w:rsid w:val="007B29A9"/>
    <w:rsid w:val="007B2BD2"/>
    <w:rsid w:val="007C3733"/>
    <w:rsid w:val="007D7E00"/>
    <w:rsid w:val="007E4C1C"/>
    <w:rsid w:val="007E515C"/>
    <w:rsid w:val="007F01EF"/>
    <w:rsid w:val="007F1F49"/>
    <w:rsid w:val="00800E0B"/>
    <w:rsid w:val="00805C8D"/>
    <w:rsid w:val="00814C80"/>
    <w:rsid w:val="00825570"/>
    <w:rsid w:val="008436AA"/>
    <w:rsid w:val="008457DF"/>
    <w:rsid w:val="00863F72"/>
    <w:rsid w:val="00874645"/>
    <w:rsid w:val="00882CF2"/>
    <w:rsid w:val="008B6770"/>
    <w:rsid w:val="008D35B5"/>
    <w:rsid w:val="008E00FF"/>
    <w:rsid w:val="00907FDC"/>
    <w:rsid w:val="009366C2"/>
    <w:rsid w:val="0095000B"/>
    <w:rsid w:val="00962CEB"/>
    <w:rsid w:val="00992BCC"/>
    <w:rsid w:val="009A05BC"/>
    <w:rsid w:val="009A4374"/>
    <w:rsid w:val="009A5BCE"/>
    <w:rsid w:val="009C26B6"/>
    <w:rsid w:val="009D1890"/>
    <w:rsid w:val="009D5895"/>
    <w:rsid w:val="009E5062"/>
    <w:rsid w:val="009F6D4B"/>
    <w:rsid w:val="00A17DC4"/>
    <w:rsid w:val="00A26DE4"/>
    <w:rsid w:val="00A34105"/>
    <w:rsid w:val="00A56722"/>
    <w:rsid w:val="00A75728"/>
    <w:rsid w:val="00A76189"/>
    <w:rsid w:val="00A76C93"/>
    <w:rsid w:val="00AA167C"/>
    <w:rsid w:val="00AA64B9"/>
    <w:rsid w:val="00AD0908"/>
    <w:rsid w:val="00AE38FF"/>
    <w:rsid w:val="00AE7B17"/>
    <w:rsid w:val="00AF37E7"/>
    <w:rsid w:val="00B07CA5"/>
    <w:rsid w:val="00B11274"/>
    <w:rsid w:val="00B153EB"/>
    <w:rsid w:val="00B1580E"/>
    <w:rsid w:val="00B221E4"/>
    <w:rsid w:val="00B667BF"/>
    <w:rsid w:val="00BA1CD5"/>
    <w:rsid w:val="00BA200A"/>
    <w:rsid w:val="00BE3EE0"/>
    <w:rsid w:val="00BE5AC0"/>
    <w:rsid w:val="00C01990"/>
    <w:rsid w:val="00C11988"/>
    <w:rsid w:val="00C33852"/>
    <w:rsid w:val="00C50518"/>
    <w:rsid w:val="00C53B0F"/>
    <w:rsid w:val="00C71B8E"/>
    <w:rsid w:val="00C746B0"/>
    <w:rsid w:val="00CB3924"/>
    <w:rsid w:val="00CC0C75"/>
    <w:rsid w:val="00CC649F"/>
    <w:rsid w:val="00CE4E43"/>
    <w:rsid w:val="00D10EFA"/>
    <w:rsid w:val="00D71D8B"/>
    <w:rsid w:val="00D86778"/>
    <w:rsid w:val="00D96743"/>
    <w:rsid w:val="00DB2704"/>
    <w:rsid w:val="00DB3B3C"/>
    <w:rsid w:val="00DC267A"/>
    <w:rsid w:val="00DC4A2D"/>
    <w:rsid w:val="00DD0A30"/>
    <w:rsid w:val="00DD4D21"/>
    <w:rsid w:val="00E128CB"/>
    <w:rsid w:val="00E560AD"/>
    <w:rsid w:val="00E65ABC"/>
    <w:rsid w:val="00EB056D"/>
    <w:rsid w:val="00EE6B15"/>
    <w:rsid w:val="00F26CD0"/>
    <w:rsid w:val="00F55797"/>
    <w:rsid w:val="00F672A8"/>
    <w:rsid w:val="00F7382B"/>
    <w:rsid w:val="00F8539C"/>
    <w:rsid w:val="00FA0CAC"/>
    <w:rsid w:val="00FB0618"/>
    <w:rsid w:val="00FC17A9"/>
    <w:rsid w:val="00FE1FFE"/>
    <w:rsid w:val="00FF2B43"/>
    <w:rsid w:val="00FF3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AC0"/>
    <w:pPr>
      <w:widowControl w:val="0"/>
    </w:pPr>
    <w:rPr>
      <w:snapToGrid w:val="0"/>
      <w:kern w:val="28"/>
      <w:sz w:val="22"/>
    </w:rPr>
  </w:style>
  <w:style w:type="paragraph" w:styleId="Heading1">
    <w:name w:val="heading 1"/>
    <w:basedOn w:val="Normal"/>
    <w:next w:val="ParaNum"/>
    <w:qFormat/>
    <w:rsid w:val="00BE5A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BE5AC0"/>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BE5AC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BE5AC0"/>
    <w:pPr>
      <w:keepNext/>
      <w:numPr>
        <w:ilvl w:val="3"/>
        <w:numId w:val="3"/>
      </w:numPr>
      <w:tabs>
        <w:tab w:val="left" w:pos="2880"/>
      </w:tabs>
      <w:spacing w:after="120"/>
      <w:outlineLvl w:val="3"/>
    </w:pPr>
    <w:rPr>
      <w:b/>
    </w:rPr>
  </w:style>
  <w:style w:type="paragraph" w:styleId="Heading5">
    <w:name w:val="heading 5"/>
    <w:basedOn w:val="Normal"/>
    <w:next w:val="ParaNum"/>
    <w:qFormat/>
    <w:rsid w:val="00BE5AC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E5AC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E5A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5AC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E5A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E5A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5AC0"/>
  </w:style>
  <w:style w:type="paragraph" w:customStyle="1" w:styleId="ParaNum">
    <w:name w:val="ParaNum"/>
    <w:basedOn w:val="Normal"/>
    <w:link w:val="ParaNumChar"/>
    <w:rsid w:val="00BE5AC0"/>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BE5AC0"/>
    <w:rPr>
      <w:sz w:val="20"/>
    </w:rPr>
  </w:style>
  <w:style w:type="character" w:styleId="EndnoteReference">
    <w:name w:val="endnote reference"/>
    <w:semiHidden/>
    <w:rsid w:val="00BE5AC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BE5AC0"/>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BE5AC0"/>
    <w:rPr>
      <w:rFonts w:ascii="Times New Roman" w:hAnsi="Times New Roman"/>
      <w:dstrike w:val="0"/>
      <w:color w:val="auto"/>
      <w:sz w:val="20"/>
      <w:vertAlign w:val="superscript"/>
    </w:rPr>
  </w:style>
  <w:style w:type="paragraph" w:styleId="TOC1">
    <w:name w:val="toc 1"/>
    <w:basedOn w:val="Normal"/>
    <w:next w:val="Normal"/>
    <w:semiHidden/>
    <w:rsid w:val="00BE5A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5AC0"/>
    <w:pPr>
      <w:tabs>
        <w:tab w:val="left" w:pos="720"/>
        <w:tab w:val="right" w:leader="dot" w:pos="9360"/>
      </w:tabs>
      <w:suppressAutoHyphens/>
      <w:ind w:left="720" w:right="720" w:hanging="360"/>
    </w:pPr>
    <w:rPr>
      <w:noProof/>
    </w:rPr>
  </w:style>
  <w:style w:type="paragraph" w:styleId="TOC3">
    <w:name w:val="toc 3"/>
    <w:basedOn w:val="Normal"/>
    <w:next w:val="Normal"/>
    <w:semiHidden/>
    <w:rsid w:val="00BE5A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5A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5A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5A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5A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5A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5A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5AC0"/>
    <w:pPr>
      <w:tabs>
        <w:tab w:val="right" w:pos="9360"/>
      </w:tabs>
      <w:suppressAutoHyphens/>
    </w:pPr>
  </w:style>
  <w:style w:type="character" w:customStyle="1" w:styleId="EquationCaption">
    <w:name w:val="_Equation Caption"/>
    <w:rsid w:val="00BE5AC0"/>
  </w:style>
  <w:style w:type="paragraph" w:styleId="Header">
    <w:name w:val="header"/>
    <w:basedOn w:val="Normal"/>
    <w:autoRedefine/>
    <w:rsid w:val="00BE5AC0"/>
    <w:pPr>
      <w:tabs>
        <w:tab w:val="center" w:pos="4680"/>
        <w:tab w:val="right" w:pos="9360"/>
      </w:tabs>
    </w:pPr>
    <w:rPr>
      <w:b/>
    </w:rPr>
  </w:style>
  <w:style w:type="paragraph" w:styleId="Footer">
    <w:name w:val="footer"/>
    <w:basedOn w:val="Normal"/>
    <w:rsid w:val="00BE5AC0"/>
    <w:pPr>
      <w:tabs>
        <w:tab w:val="center" w:pos="4320"/>
        <w:tab w:val="right" w:pos="8640"/>
      </w:tabs>
    </w:pPr>
  </w:style>
  <w:style w:type="character" w:styleId="PageNumber">
    <w:name w:val="page number"/>
    <w:basedOn w:val="DefaultParagraphFont"/>
    <w:rsid w:val="00BE5AC0"/>
  </w:style>
  <w:style w:type="paragraph" w:styleId="BlockText">
    <w:name w:val="Block Text"/>
    <w:basedOn w:val="Normal"/>
    <w:rsid w:val="00BE5AC0"/>
    <w:pPr>
      <w:spacing w:after="240"/>
      <w:ind w:left="1440" w:right="1440"/>
    </w:pPr>
  </w:style>
  <w:style w:type="paragraph" w:customStyle="1" w:styleId="Paratitle">
    <w:name w:val="Para title"/>
    <w:basedOn w:val="Normal"/>
    <w:rsid w:val="00BE5AC0"/>
    <w:pPr>
      <w:tabs>
        <w:tab w:val="center" w:pos="9270"/>
      </w:tabs>
      <w:spacing w:after="240"/>
    </w:pPr>
    <w:rPr>
      <w:spacing w:val="-2"/>
    </w:rPr>
  </w:style>
  <w:style w:type="paragraph" w:customStyle="1" w:styleId="Bullet">
    <w:name w:val="Bullet"/>
    <w:basedOn w:val="Normal"/>
    <w:rsid w:val="00BE5AC0"/>
    <w:pPr>
      <w:tabs>
        <w:tab w:val="left" w:pos="2160"/>
      </w:tabs>
      <w:spacing w:after="220"/>
      <w:ind w:left="2160" w:hanging="720"/>
    </w:pPr>
  </w:style>
  <w:style w:type="paragraph" w:customStyle="1" w:styleId="TableFormat">
    <w:name w:val="TableFormat"/>
    <w:basedOn w:val="Bullet"/>
    <w:rsid w:val="00BE5AC0"/>
    <w:pPr>
      <w:tabs>
        <w:tab w:val="clear" w:pos="2160"/>
        <w:tab w:val="left" w:pos="5040"/>
      </w:tabs>
      <w:ind w:left="5040" w:hanging="3600"/>
    </w:pPr>
  </w:style>
  <w:style w:type="paragraph" w:customStyle="1" w:styleId="TOCTitle">
    <w:name w:val="TOC Title"/>
    <w:basedOn w:val="Normal"/>
    <w:rsid w:val="00BE5A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5AC0"/>
    <w:pPr>
      <w:jc w:val="center"/>
    </w:pPr>
    <w:rPr>
      <w:rFonts w:ascii="Times New Roman Bold" w:hAnsi="Times New Roman Bold"/>
      <w:b/>
      <w:bCs/>
      <w:caps/>
      <w:szCs w:val="22"/>
    </w:rPr>
  </w:style>
  <w:style w:type="character" w:styleId="Hyperlink">
    <w:name w:val="Hyperlink"/>
    <w:rsid w:val="00BE5AC0"/>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uiPriority w:val="20"/>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fn Char"/>
    <w:uiPriority w:val="99"/>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character" w:styleId="PlaceholderText">
    <w:name w:val="Placeholder Text"/>
    <w:basedOn w:val="DefaultParagraphFont"/>
    <w:uiPriority w:val="99"/>
    <w:semiHidden/>
    <w:rsid w:val="00531A5B"/>
    <w:rPr>
      <w:color w:val="808080"/>
    </w:rPr>
  </w:style>
  <w:style w:type="character" w:customStyle="1" w:styleId="cosearchterm">
    <w:name w:val="co_searchterm"/>
    <w:basedOn w:val="DefaultParagraphFont"/>
    <w:rsid w:val="00170745"/>
  </w:style>
  <w:style w:type="character" w:customStyle="1" w:styleId="apple-converted-space">
    <w:name w:val="apple-converted-space"/>
    <w:basedOn w:val="DefaultParagraphFont"/>
    <w:rsid w:val="0017074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Default Paragraph Font" w:uiPriority="1"/>
    <w:lsdException w:name="Subtitle" w:qFormat="1"/>
    <w:lsdException w:name="Strong" w:qFormat="1"/>
    <w:lsdException w:name="Emphasis" w:uiPriority="20"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E5AC0"/>
    <w:pPr>
      <w:widowControl w:val="0"/>
    </w:pPr>
    <w:rPr>
      <w:snapToGrid w:val="0"/>
      <w:kern w:val="28"/>
      <w:sz w:val="22"/>
    </w:rPr>
  </w:style>
  <w:style w:type="paragraph" w:styleId="Heading1">
    <w:name w:val="heading 1"/>
    <w:basedOn w:val="Normal"/>
    <w:next w:val="ParaNum"/>
    <w:qFormat/>
    <w:rsid w:val="00BE5AC0"/>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aliases w:val="Heading 2 Char,h2 Char,UNDERRUBRIK 1-2 Char"/>
    <w:basedOn w:val="Normal"/>
    <w:next w:val="ParaNum"/>
    <w:autoRedefine/>
    <w:qFormat/>
    <w:rsid w:val="00BE5AC0"/>
    <w:pPr>
      <w:keepNext/>
      <w:numPr>
        <w:ilvl w:val="1"/>
        <w:numId w:val="3"/>
      </w:numPr>
      <w:spacing w:after="120"/>
      <w:outlineLvl w:val="1"/>
    </w:pPr>
    <w:rPr>
      <w:b/>
    </w:rPr>
  </w:style>
  <w:style w:type="paragraph" w:styleId="Heading3">
    <w:name w:val="heading 3"/>
    <w:aliases w:val="Heading 3 Char,3 Char,Titre 3 Char,1 Char,31 Char,Titre 31 Char,?? 3 Char,3,Titre 3,1,31,Titre 31,?? 3,Heading 3 Char1,Heading 3 Char Char"/>
    <w:basedOn w:val="Normal"/>
    <w:next w:val="ParaNum"/>
    <w:qFormat/>
    <w:rsid w:val="00BE5AC0"/>
    <w:pPr>
      <w:keepNext/>
      <w:numPr>
        <w:ilvl w:val="2"/>
        <w:numId w:val="3"/>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Heading 4 Char"/>
    <w:basedOn w:val="Normal"/>
    <w:next w:val="ParaNum"/>
    <w:qFormat/>
    <w:rsid w:val="00BE5AC0"/>
    <w:pPr>
      <w:keepNext/>
      <w:numPr>
        <w:ilvl w:val="3"/>
        <w:numId w:val="3"/>
      </w:numPr>
      <w:tabs>
        <w:tab w:val="left" w:pos="2880"/>
      </w:tabs>
      <w:spacing w:after="120"/>
      <w:outlineLvl w:val="3"/>
    </w:pPr>
    <w:rPr>
      <w:b/>
    </w:rPr>
  </w:style>
  <w:style w:type="paragraph" w:styleId="Heading5">
    <w:name w:val="heading 5"/>
    <w:basedOn w:val="Normal"/>
    <w:next w:val="ParaNum"/>
    <w:qFormat/>
    <w:rsid w:val="00BE5AC0"/>
    <w:pPr>
      <w:keepNext/>
      <w:numPr>
        <w:ilvl w:val="4"/>
        <w:numId w:val="3"/>
      </w:numPr>
      <w:tabs>
        <w:tab w:val="left" w:pos="3600"/>
      </w:tabs>
      <w:suppressAutoHyphens/>
      <w:spacing w:after="120"/>
      <w:outlineLvl w:val="4"/>
    </w:pPr>
    <w:rPr>
      <w:b/>
    </w:rPr>
  </w:style>
  <w:style w:type="paragraph" w:styleId="Heading6">
    <w:name w:val="heading 6"/>
    <w:aliases w:val="h6"/>
    <w:basedOn w:val="Normal"/>
    <w:next w:val="ParaNum"/>
    <w:qFormat/>
    <w:rsid w:val="00BE5AC0"/>
    <w:pPr>
      <w:numPr>
        <w:ilvl w:val="5"/>
        <w:numId w:val="3"/>
      </w:numPr>
      <w:tabs>
        <w:tab w:val="left" w:pos="4320"/>
      </w:tabs>
      <w:spacing w:after="120"/>
      <w:outlineLvl w:val="5"/>
    </w:pPr>
    <w:rPr>
      <w:b/>
    </w:rPr>
  </w:style>
  <w:style w:type="paragraph" w:styleId="Heading7">
    <w:name w:val="heading 7"/>
    <w:aliases w:val="Heading 7 Char"/>
    <w:basedOn w:val="Normal"/>
    <w:next w:val="ParaNum"/>
    <w:qFormat/>
    <w:rsid w:val="00BE5AC0"/>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BE5AC0"/>
    <w:pPr>
      <w:numPr>
        <w:ilvl w:val="7"/>
        <w:numId w:val="3"/>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BE5AC0"/>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BE5AC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BE5AC0"/>
  </w:style>
  <w:style w:type="paragraph" w:customStyle="1" w:styleId="ParaNum">
    <w:name w:val="ParaNum"/>
    <w:basedOn w:val="Normal"/>
    <w:link w:val="ParaNumChar"/>
    <w:rsid w:val="00BE5AC0"/>
    <w:pPr>
      <w:numPr>
        <w:numId w:val="2"/>
      </w:numPr>
      <w:tabs>
        <w:tab w:val="clear" w:pos="1080"/>
        <w:tab w:val="num" w:pos="1440"/>
      </w:tabs>
      <w:spacing w:after="120"/>
    </w:pPr>
  </w:style>
  <w:style w:type="character" w:customStyle="1" w:styleId="ParaNumChar">
    <w:name w:val="ParaNum Char"/>
    <w:link w:val="ParaNum"/>
    <w:rPr>
      <w:snapToGrid w:val="0"/>
      <w:kern w:val="28"/>
      <w:sz w:val="22"/>
    </w:rPr>
  </w:style>
  <w:style w:type="paragraph" w:styleId="EndnoteText">
    <w:name w:val="endnote text"/>
    <w:basedOn w:val="Normal"/>
    <w:semiHidden/>
    <w:rsid w:val="00BE5AC0"/>
    <w:rPr>
      <w:sz w:val="20"/>
    </w:rPr>
  </w:style>
  <w:style w:type="character" w:styleId="EndnoteReference">
    <w:name w:val="endnote reference"/>
    <w:semiHidden/>
    <w:rsid w:val="00BE5AC0"/>
    <w:rPr>
      <w:vertAlign w:val="superscript"/>
    </w:rPr>
  </w:style>
  <w:style w:type="paragraph" w:styleId="FootnoteText">
    <w:name w:val="footnote text"/>
    <w:aliases w:val="Footnote Text Char1,Footnote Text Char Char,Footnote Text Char5 Char Char,Footnote Text Char Char Char Char,Footnote Text Char4 Char Char1 Char Char,Footnote Text Char2 Char Char2 Char2 Char Char,Footnote Text Char,Footnote Text Char5 Char"/>
    <w:link w:val="FootnoteTextChar2"/>
    <w:rsid w:val="00BE5AC0"/>
    <w:pPr>
      <w:spacing w:after="120"/>
    </w:pPr>
  </w:style>
  <w:style w:type="character" w:customStyle="1" w:styleId="FootnoteTextChar2">
    <w:name w:val="Footnote Text Char2"/>
    <w:aliases w:val="Footnote Text Char1 Char,Footnote Text Char Char Char,Footnote Text Char5 Char Char Char,Footnote Text Char Char Char Char Char,Footnote Text Char4 Char Char1 Char Char Char,Footnote Text Char2 Char Char2 Char2 Char Char Char"/>
    <w:basedOn w:val="DefaultParagraphFont"/>
    <w:link w:val="FootnoteText"/>
    <w:locked/>
  </w:style>
  <w:style w:type="character" w:styleId="FootnoteReference">
    <w:name w:val="footnote reference"/>
    <w:aliases w:val="Appel note de bas de p,Style 12,(NECG) Footnote Reference,Style 124,Style 13,o,fr,Style 3"/>
    <w:rsid w:val="00BE5AC0"/>
    <w:rPr>
      <w:rFonts w:ascii="Times New Roman" w:hAnsi="Times New Roman"/>
      <w:dstrike w:val="0"/>
      <w:color w:val="auto"/>
      <w:sz w:val="20"/>
      <w:vertAlign w:val="superscript"/>
    </w:rPr>
  </w:style>
  <w:style w:type="paragraph" w:styleId="TOC1">
    <w:name w:val="toc 1"/>
    <w:basedOn w:val="Normal"/>
    <w:next w:val="Normal"/>
    <w:semiHidden/>
    <w:rsid w:val="00BE5AC0"/>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BE5AC0"/>
    <w:pPr>
      <w:tabs>
        <w:tab w:val="left" w:pos="720"/>
        <w:tab w:val="right" w:leader="dot" w:pos="9360"/>
      </w:tabs>
      <w:suppressAutoHyphens/>
      <w:ind w:left="720" w:right="720" w:hanging="360"/>
    </w:pPr>
    <w:rPr>
      <w:noProof/>
    </w:rPr>
  </w:style>
  <w:style w:type="paragraph" w:styleId="TOC3">
    <w:name w:val="toc 3"/>
    <w:basedOn w:val="Normal"/>
    <w:next w:val="Normal"/>
    <w:semiHidden/>
    <w:rsid w:val="00BE5AC0"/>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BE5AC0"/>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BE5AC0"/>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BE5AC0"/>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BE5AC0"/>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BE5AC0"/>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BE5AC0"/>
    <w:pPr>
      <w:tabs>
        <w:tab w:val="left" w:pos="3240"/>
        <w:tab w:val="right" w:leader="dot" w:pos="9360"/>
      </w:tabs>
      <w:suppressAutoHyphens/>
      <w:ind w:left="3240" w:hanging="360"/>
    </w:pPr>
    <w:rPr>
      <w:noProof/>
    </w:rPr>
  </w:style>
  <w:style w:type="paragraph" w:styleId="TOAHeading">
    <w:name w:val="toa heading"/>
    <w:basedOn w:val="Normal"/>
    <w:next w:val="Normal"/>
    <w:semiHidden/>
    <w:rsid w:val="00BE5AC0"/>
    <w:pPr>
      <w:tabs>
        <w:tab w:val="right" w:pos="9360"/>
      </w:tabs>
      <w:suppressAutoHyphens/>
    </w:pPr>
  </w:style>
  <w:style w:type="character" w:customStyle="1" w:styleId="EquationCaption">
    <w:name w:val="_Equation Caption"/>
    <w:rsid w:val="00BE5AC0"/>
  </w:style>
  <w:style w:type="paragraph" w:styleId="Header">
    <w:name w:val="header"/>
    <w:basedOn w:val="Normal"/>
    <w:autoRedefine/>
    <w:rsid w:val="00BE5AC0"/>
    <w:pPr>
      <w:tabs>
        <w:tab w:val="center" w:pos="4680"/>
        <w:tab w:val="right" w:pos="9360"/>
      </w:tabs>
    </w:pPr>
    <w:rPr>
      <w:b/>
    </w:rPr>
  </w:style>
  <w:style w:type="paragraph" w:styleId="Footer">
    <w:name w:val="footer"/>
    <w:basedOn w:val="Normal"/>
    <w:rsid w:val="00BE5AC0"/>
    <w:pPr>
      <w:tabs>
        <w:tab w:val="center" w:pos="4320"/>
        <w:tab w:val="right" w:pos="8640"/>
      </w:tabs>
    </w:pPr>
  </w:style>
  <w:style w:type="character" w:styleId="PageNumber">
    <w:name w:val="page number"/>
    <w:basedOn w:val="DefaultParagraphFont"/>
    <w:rsid w:val="00BE5AC0"/>
  </w:style>
  <w:style w:type="paragraph" w:styleId="BlockText">
    <w:name w:val="Block Text"/>
    <w:basedOn w:val="Normal"/>
    <w:rsid w:val="00BE5AC0"/>
    <w:pPr>
      <w:spacing w:after="240"/>
      <w:ind w:left="1440" w:right="1440"/>
    </w:pPr>
  </w:style>
  <w:style w:type="paragraph" w:customStyle="1" w:styleId="Paratitle">
    <w:name w:val="Para title"/>
    <w:basedOn w:val="Normal"/>
    <w:rsid w:val="00BE5AC0"/>
    <w:pPr>
      <w:tabs>
        <w:tab w:val="center" w:pos="9270"/>
      </w:tabs>
      <w:spacing w:after="240"/>
    </w:pPr>
    <w:rPr>
      <w:spacing w:val="-2"/>
    </w:rPr>
  </w:style>
  <w:style w:type="paragraph" w:customStyle="1" w:styleId="Bullet">
    <w:name w:val="Bullet"/>
    <w:basedOn w:val="Normal"/>
    <w:rsid w:val="00BE5AC0"/>
    <w:pPr>
      <w:tabs>
        <w:tab w:val="left" w:pos="2160"/>
      </w:tabs>
      <w:spacing w:after="220"/>
      <w:ind w:left="2160" w:hanging="720"/>
    </w:pPr>
  </w:style>
  <w:style w:type="paragraph" w:customStyle="1" w:styleId="TableFormat">
    <w:name w:val="TableFormat"/>
    <w:basedOn w:val="Bullet"/>
    <w:rsid w:val="00BE5AC0"/>
    <w:pPr>
      <w:tabs>
        <w:tab w:val="clear" w:pos="2160"/>
        <w:tab w:val="left" w:pos="5040"/>
      </w:tabs>
      <w:ind w:left="5040" w:hanging="3600"/>
    </w:pPr>
  </w:style>
  <w:style w:type="paragraph" w:customStyle="1" w:styleId="TOCTitle">
    <w:name w:val="TOC Title"/>
    <w:basedOn w:val="Normal"/>
    <w:rsid w:val="00BE5AC0"/>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BE5AC0"/>
    <w:pPr>
      <w:jc w:val="center"/>
    </w:pPr>
    <w:rPr>
      <w:rFonts w:ascii="Times New Roman Bold" w:hAnsi="Times New Roman Bold"/>
      <w:b/>
      <w:bCs/>
      <w:caps/>
      <w:szCs w:val="22"/>
    </w:rPr>
  </w:style>
  <w:style w:type="character" w:styleId="Hyperlink">
    <w:name w:val="Hyperlink"/>
    <w:rsid w:val="00BE5AC0"/>
    <w:rPr>
      <w:color w:val="0000FF"/>
      <w:u w:val="single"/>
    </w:rPr>
  </w:style>
  <w:style w:type="paragraph" w:styleId="BalloonText">
    <w:name w:val="Balloon Text"/>
    <w:basedOn w:val="Normal"/>
    <w:link w:val="BalloonTextChar"/>
    <w:semiHidden/>
    <w:rPr>
      <w:rFonts w:ascii="Tahoma" w:hAnsi="Tahoma" w:cs="Tahoma"/>
      <w:sz w:val="16"/>
      <w:szCs w:val="16"/>
    </w:rPr>
  </w:style>
  <w:style w:type="character" w:styleId="FollowedHyperlink">
    <w:name w:val="FollowedHyperlink"/>
    <w:rPr>
      <w:color w:val="800080"/>
      <w:u w:val="single"/>
    </w:rPr>
  </w:style>
  <w:style w:type="character" w:customStyle="1" w:styleId="documentbody1">
    <w:name w:val="documentbody1"/>
    <w:rPr>
      <w:rFonts w:ascii="Verdana" w:hAnsi="Verdana" w:hint="default"/>
      <w:sz w:val="19"/>
      <w:szCs w:val="19"/>
    </w:rPr>
  </w:style>
  <w:style w:type="paragraph" w:customStyle="1" w:styleId="Default">
    <w:name w:val="Default"/>
    <w:pPr>
      <w:autoSpaceDE w:val="0"/>
      <w:autoSpaceDN w:val="0"/>
      <w:adjustRightInd w:val="0"/>
    </w:pPr>
    <w:rPr>
      <w:color w:val="000000"/>
      <w:sz w:val="24"/>
      <w:szCs w:val="24"/>
    </w:rPr>
  </w:style>
  <w:style w:type="paragraph" w:styleId="BodyText">
    <w:name w:val="Body Text"/>
    <w:basedOn w:val="Default"/>
    <w:next w:val="Default"/>
    <w:rPr>
      <w:color w:val="auto"/>
    </w:rPr>
  </w:style>
  <w:style w:type="character" w:styleId="Emphasis">
    <w:name w:val="Emphasis"/>
    <w:uiPriority w:val="20"/>
    <w:qFormat/>
    <w:rPr>
      <w:i/>
      <w:iCs/>
    </w:rPr>
  </w:style>
  <w:style w:type="character" w:customStyle="1" w:styleId="searchterm1">
    <w:name w:val="searchterm1"/>
    <w:rPr>
      <w:b/>
      <w:bCs/>
      <w:shd w:val="clear" w:color="auto" w:fill="FFFF00"/>
    </w:rPr>
  </w:style>
  <w:style w:type="character" w:styleId="Strong">
    <w:name w:val="Strong"/>
    <w:qFormat/>
    <w:rPr>
      <w:b/>
      <w:bCs/>
    </w:rPr>
  </w:style>
  <w:style w:type="character" w:customStyle="1" w:styleId="BalloonTextChar">
    <w:name w:val="Balloon Text Char"/>
    <w:link w:val="BalloonText"/>
    <w:semiHidden/>
    <w:locked/>
    <w:rPr>
      <w:rFonts w:ascii="Tahoma" w:hAnsi="Tahoma" w:cs="Tahoma"/>
      <w:snapToGrid w:val="0"/>
      <w:kern w:val="28"/>
      <w:sz w:val="16"/>
      <w:szCs w:val="16"/>
      <w:lang w:val="en-US" w:eastAsia="en-US" w:bidi="ar-SA"/>
    </w:rPr>
  </w:style>
  <w:style w:type="character" w:customStyle="1" w:styleId="FootnoteTextChar2Char">
    <w:name w:val="Footnote Text Char2 Char"/>
    <w:aliases w:val="Footnote Text Char2 Char Char Char Char,Footnote Text Char1 Char Char Char Char Char Char,Footnote Text Char1 Char1,Footnote Text Char1 Char3 Char,Footnote Text Char2 Char Char Char Char Char1,Footnote Text Char1 Char4,fn Char"/>
    <w:uiPriority w:val="99"/>
    <w:rPr>
      <w:lang w:val="en-US" w:eastAsia="en-US" w:bidi="ar-SA"/>
    </w:rPr>
  </w:style>
  <w:style w:type="character" w:customStyle="1" w:styleId="StyleParaNum11pt1CharCharCharCharCharCharCharCharCharCharCharCharCharCharCharCharChar">
    <w:name w:val="Style ParaNum + 11 pt1 Char Char Char Char Char Char Char Char Char Char Char Char Char Char Char Char Char"/>
    <w:rPr>
      <w:noProof w:val="0"/>
      <w:snapToGrid w:val="0"/>
      <w:kern w:val="28"/>
      <w:sz w:val="22"/>
      <w:szCs w:val="22"/>
      <w:lang w:val="en-US" w:eastAsia="en-US" w:bidi="ar-SA"/>
    </w:rPr>
  </w:style>
  <w:style w:type="character" w:customStyle="1" w:styleId="EmailStyle541">
    <w:name w:val="EmailStyle541"/>
    <w:semiHidden/>
    <w:rPr>
      <w:rFonts w:ascii="Arial" w:hAnsi="Arial" w:cs="Arial"/>
      <w:b w:val="0"/>
      <w:bCs w:val="0"/>
      <w:i w:val="0"/>
      <w:iCs w:val="0"/>
      <w:strike w:val="0"/>
      <w:color w:val="auto"/>
      <w:sz w:val="22"/>
      <w:szCs w:val="22"/>
      <w:u w:val="none"/>
    </w:rPr>
  </w:style>
  <w:style w:type="paragraph" w:customStyle="1" w:styleId="NumberedParagraphs">
    <w:name w:val="Numbered Paragraphs"/>
    <w:basedOn w:val="Normal"/>
    <w:pPr>
      <w:numPr>
        <w:numId w:val="6"/>
      </w:numPr>
      <w:jc w:val="both"/>
    </w:p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character" w:customStyle="1" w:styleId="documentbody5">
    <w:name w:val="documentbody5"/>
    <w:rPr>
      <w:rFonts w:ascii="Verdana" w:hAnsi="Verdana" w:hint="default"/>
      <w:sz w:val="19"/>
      <w:szCs w:val="19"/>
    </w:rPr>
  </w:style>
  <w:style w:type="paragraph" w:styleId="NormalWeb">
    <w:name w:val="Normal (Web)"/>
    <w:basedOn w:val="Normal"/>
    <w:pPr>
      <w:spacing w:before="100" w:beforeAutospacing="1" w:after="100" w:afterAutospacing="1"/>
    </w:pPr>
    <w:rPr>
      <w:sz w:val="24"/>
      <w:szCs w:val="24"/>
    </w:rPr>
  </w:style>
  <w:style w:type="character" w:customStyle="1" w:styleId="updatebodytest">
    <w:name w:val="updatebodytest"/>
    <w:basedOn w:val="DefaultParagraphFont"/>
  </w:style>
  <w:style w:type="paragraph" w:styleId="HTMLPreformatted">
    <w:name w:val="HTML Preformatted"/>
    <w:basedOn w:val="Normal"/>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napToGrid/>
      <w:kern w:val="0"/>
      <w:sz w:val="20"/>
    </w:rPr>
  </w:style>
  <w:style w:type="paragraph" w:customStyle="1" w:styleId="StyleParaNumLeft2">
    <w:name w:val="Style ParaNum + Left2"/>
    <w:basedOn w:val="ParaNum"/>
    <w:pPr>
      <w:tabs>
        <w:tab w:val="left" w:pos="1440"/>
      </w:tabs>
      <w:spacing w:after="220"/>
    </w:pPr>
    <w:rPr>
      <w:snapToGrid/>
      <w:kern w:val="0"/>
    </w:rPr>
  </w:style>
  <w:style w:type="character" w:customStyle="1" w:styleId="searchterm3">
    <w:name w:val="searchterm3"/>
    <w:rPr>
      <w:b/>
      <w:bCs/>
      <w:shd w:val="clear" w:color="auto" w:fill="FFFF00"/>
    </w:rPr>
  </w:style>
  <w:style w:type="character" w:customStyle="1" w:styleId="starpage1">
    <w:name w:val="starpage1"/>
    <w:rPr>
      <w:b/>
      <w:bCs/>
      <w:i/>
      <w:iCs/>
      <w:color w:val="800080"/>
    </w:rPr>
  </w:style>
  <w:style w:type="paragraph" w:customStyle="1" w:styleId="default0">
    <w:name w:val="default"/>
    <w:basedOn w:val="Normal"/>
    <w:rPr>
      <w:color w:val="000000"/>
    </w:rPr>
  </w:style>
  <w:style w:type="character" w:customStyle="1" w:styleId="ParaNumChar1">
    <w:name w:val="ParaNum Char1"/>
    <w:rPr>
      <w:sz w:val="22"/>
      <w:lang w:val="en-US" w:eastAsia="en-US" w:bidi="ar-SA"/>
    </w:rPr>
  </w:style>
  <w:style w:type="character" w:styleId="PlaceholderText">
    <w:name w:val="Placeholder Text"/>
    <w:basedOn w:val="DefaultParagraphFont"/>
    <w:uiPriority w:val="99"/>
    <w:semiHidden/>
    <w:rsid w:val="00531A5B"/>
    <w:rPr>
      <w:color w:val="808080"/>
    </w:rPr>
  </w:style>
  <w:style w:type="character" w:customStyle="1" w:styleId="cosearchterm">
    <w:name w:val="co_searchterm"/>
    <w:basedOn w:val="DefaultParagraphFont"/>
    <w:rsid w:val="00170745"/>
  </w:style>
  <w:style w:type="character" w:customStyle="1" w:styleId="apple-converted-space">
    <w:name w:val="apple-converted-space"/>
    <w:basedOn w:val="DefaultParagraphFont"/>
    <w:rsid w:val="001707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312165">
      <w:bodyDiv w:val="1"/>
      <w:marLeft w:val="0"/>
      <w:marRight w:val="0"/>
      <w:marTop w:val="0"/>
      <w:marBottom w:val="0"/>
      <w:divBdr>
        <w:top w:val="none" w:sz="0" w:space="0" w:color="auto"/>
        <w:left w:val="none" w:sz="0" w:space="0" w:color="auto"/>
        <w:bottom w:val="none" w:sz="0" w:space="0" w:color="auto"/>
        <w:right w:val="none" w:sz="0" w:space="0" w:color="auto"/>
      </w:divBdr>
    </w:div>
    <w:div w:id="119736906">
      <w:bodyDiv w:val="1"/>
      <w:marLeft w:val="0"/>
      <w:marRight w:val="0"/>
      <w:marTop w:val="0"/>
      <w:marBottom w:val="0"/>
      <w:divBdr>
        <w:top w:val="none" w:sz="0" w:space="0" w:color="auto"/>
        <w:left w:val="none" w:sz="0" w:space="0" w:color="auto"/>
        <w:bottom w:val="none" w:sz="0" w:space="0" w:color="auto"/>
        <w:right w:val="none" w:sz="0" w:space="0" w:color="auto"/>
      </w:divBdr>
    </w:div>
    <w:div w:id="179779614">
      <w:bodyDiv w:val="1"/>
      <w:marLeft w:val="0"/>
      <w:marRight w:val="0"/>
      <w:marTop w:val="0"/>
      <w:marBottom w:val="0"/>
      <w:divBdr>
        <w:top w:val="none" w:sz="0" w:space="0" w:color="auto"/>
        <w:left w:val="none" w:sz="0" w:space="0" w:color="auto"/>
        <w:bottom w:val="none" w:sz="0" w:space="0" w:color="auto"/>
        <w:right w:val="none" w:sz="0" w:space="0" w:color="auto"/>
      </w:divBdr>
    </w:div>
    <w:div w:id="193083492">
      <w:bodyDiv w:val="1"/>
      <w:marLeft w:val="0"/>
      <w:marRight w:val="0"/>
      <w:marTop w:val="0"/>
      <w:marBottom w:val="0"/>
      <w:divBdr>
        <w:top w:val="none" w:sz="0" w:space="0" w:color="auto"/>
        <w:left w:val="none" w:sz="0" w:space="0" w:color="auto"/>
        <w:bottom w:val="none" w:sz="0" w:space="0" w:color="auto"/>
        <w:right w:val="none" w:sz="0" w:space="0" w:color="auto"/>
      </w:divBdr>
    </w:div>
    <w:div w:id="235215006">
      <w:bodyDiv w:val="1"/>
      <w:marLeft w:val="0"/>
      <w:marRight w:val="0"/>
      <w:marTop w:val="0"/>
      <w:marBottom w:val="0"/>
      <w:divBdr>
        <w:top w:val="none" w:sz="0" w:space="0" w:color="auto"/>
        <w:left w:val="none" w:sz="0" w:space="0" w:color="auto"/>
        <w:bottom w:val="none" w:sz="0" w:space="0" w:color="auto"/>
        <w:right w:val="none" w:sz="0" w:space="0" w:color="auto"/>
      </w:divBdr>
      <w:divsChild>
        <w:div w:id="1246525692">
          <w:marLeft w:val="0"/>
          <w:marRight w:val="0"/>
          <w:marTop w:val="0"/>
          <w:marBottom w:val="0"/>
          <w:divBdr>
            <w:top w:val="none" w:sz="0" w:space="0" w:color="auto"/>
            <w:left w:val="none" w:sz="0" w:space="0" w:color="auto"/>
            <w:bottom w:val="none" w:sz="0" w:space="0" w:color="auto"/>
            <w:right w:val="none" w:sz="0" w:space="0" w:color="auto"/>
          </w:divBdr>
          <w:divsChild>
            <w:div w:id="403063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491">
      <w:bodyDiv w:val="1"/>
      <w:marLeft w:val="0"/>
      <w:marRight w:val="0"/>
      <w:marTop w:val="0"/>
      <w:marBottom w:val="0"/>
      <w:divBdr>
        <w:top w:val="none" w:sz="0" w:space="0" w:color="auto"/>
        <w:left w:val="none" w:sz="0" w:space="0" w:color="auto"/>
        <w:bottom w:val="none" w:sz="0" w:space="0" w:color="auto"/>
        <w:right w:val="none" w:sz="0" w:space="0" w:color="auto"/>
      </w:divBdr>
    </w:div>
    <w:div w:id="514392430">
      <w:bodyDiv w:val="1"/>
      <w:marLeft w:val="0"/>
      <w:marRight w:val="0"/>
      <w:marTop w:val="0"/>
      <w:marBottom w:val="0"/>
      <w:divBdr>
        <w:top w:val="none" w:sz="0" w:space="0" w:color="auto"/>
        <w:left w:val="none" w:sz="0" w:space="0" w:color="auto"/>
        <w:bottom w:val="none" w:sz="0" w:space="0" w:color="auto"/>
        <w:right w:val="none" w:sz="0" w:space="0" w:color="auto"/>
      </w:divBdr>
    </w:div>
    <w:div w:id="535387846">
      <w:bodyDiv w:val="1"/>
      <w:marLeft w:val="0"/>
      <w:marRight w:val="0"/>
      <w:marTop w:val="0"/>
      <w:marBottom w:val="0"/>
      <w:divBdr>
        <w:top w:val="none" w:sz="0" w:space="0" w:color="auto"/>
        <w:left w:val="none" w:sz="0" w:space="0" w:color="auto"/>
        <w:bottom w:val="none" w:sz="0" w:space="0" w:color="auto"/>
        <w:right w:val="none" w:sz="0" w:space="0" w:color="auto"/>
      </w:divBdr>
    </w:div>
    <w:div w:id="633103496">
      <w:bodyDiv w:val="1"/>
      <w:marLeft w:val="0"/>
      <w:marRight w:val="0"/>
      <w:marTop w:val="0"/>
      <w:marBottom w:val="0"/>
      <w:divBdr>
        <w:top w:val="none" w:sz="0" w:space="0" w:color="auto"/>
        <w:left w:val="none" w:sz="0" w:space="0" w:color="auto"/>
        <w:bottom w:val="none" w:sz="0" w:space="0" w:color="auto"/>
        <w:right w:val="none" w:sz="0" w:space="0" w:color="auto"/>
      </w:divBdr>
    </w:div>
    <w:div w:id="698355110">
      <w:bodyDiv w:val="1"/>
      <w:marLeft w:val="30"/>
      <w:marRight w:val="30"/>
      <w:marTop w:val="30"/>
      <w:marBottom w:val="30"/>
      <w:divBdr>
        <w:top w:val="none" w:sz="0" w:space="0" w:color="auto"/>
        <w:left w:val="none" w:sz="0" w:space="0" w:color="auto"/>
        <w:bottom w:val="none" w:sz="0" w:space="0" w:color="auto"/>
        <w:right w:val="none" w:sz="0" w:space="0" w:color="auto"/>
      </w:divBdr>
      <w:divsChild>
        <w:div w:id="1072047464">
          <w:marLeft w:val="0"/>
          <w:marRight w:val="0"/>
          <w:marTop w:val="0"/>
          <w:marBottom w:val="0"/>
          <w:divBdr>
            <w:top w:val="none" w:sz="0" w:space="0" w:color="auto"/>
            <w:left w:val="none" w:sz="0" w:space="0" w:color="auto"/>
            <w:bottom w:val="none" w:sz="0" w:space="0" w:color="auto"/>
            <w:right w:val="none" w:sz="0" w:space="0" w:color="auto"/>
          </w:divBdr>
          <w:divsChild>
            <w:div w:id="612051475">
              <w:marLeft w:val="45"/>
              <w:marRight w:val="45"/>
              <w:marTop w:val="45"/>
              <w:marBottom w:val="45"/>
              <w:divBdr>
                <w:top w:val="none" w:sz="0" w:space="0" w:color="auto"/>
                <w:left w:val="none" w:sz="0" w:space="0" w:color="auto"/>
                <w:bottom w:val="none" w:sz="0" w:space="0" w:color="auto"/>
                <w:right w:val="none" w:sz="0" w:space="0" w:color="auto"/>
              </w:divBdr>
              <w:divsChild>
                <w:div w:id="592402382">
                  <w:marLeft w:val="0"/>
                  <w:marRight w:val="0"/>
                  <w:marTop w:val="0"/>
                  <w:marBottom w:val="0"/>
                  <w:divBdr>
                    <w:top w:val="none" w:sz="0" w:space="0" w:color="auto"/>
                    <w:left w:val="none" w:sz="0" w:space="0" w:color="auto"/>
                    <w:bottom w:val="none" w:sz="0" w:space="0" w:color="auto"/>
                    <w:right w:val="none" w:sz="0" w:space="0" w:color="auto"/>
                  </w:divBdr>
                  <w:divsChild>
                    <w:div w:id="9554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6076706">
      <w:bodyDiv w:val="1"/>
      <w:marLeft w:val="0"/>
      <w:marRight w:val="0"/>
      <w:marTop w:val="0"/>
      <w:marBottom w:val="0"/>
      <w:divBdr>
        <w:top w:val="none" w:sz="0" w:space="0" w:color="auto"/>
        <w:left w:val="none" w:sz="0" w:space="0" w:color="auto"/>
        <w:bottom w:val="none" w:sz="0" w:space="0" w:color="auto"/>
        <w:right w:val="none" w:sz="0" w:space="0" w:color="auto"/>
      </w:divBdr>
    </w:div>
    <w:div w:id="738791138">
      <w:bodyDiv w:val="1"/>
      <w:marLeft w:val="0"/>
      <w:marRight w:val="0"/>
      <w:marTop w:val="0"/>
      <w:marBottom w:val="0"/>
      <w:divBdr>
        <w:top w:val="none" w:sz="0" w:space="0" w:color="auto"/>
        <w:left w:val="none" w:sz="0" w:space="0" w:color="auto"/>
        <w:bottom w:val="none" w:sz="0" w:space="0" w:color="auto"/>
        <w:right w:val="none" w:sz="0" w:space="0" w:color="auto"/>
      </w:divBdr>
    </w:div>
    <w:div w:id="825247928">
      <w:bodyDiv w:val="1"/>
      <w:marLeft w:val="0"/>
      <w:marRight w:val="0"/>
      <w:marTop w:val="0"/>
      <w:marBottom w:val="0"/>
      <w:divBdr>
        <w:top w:val="none" w:sz="0" w:space="0" w:color="auto"/>
        <w:left w:val="none" w:sz="0" w:space="0" w:color="auto"/>
        <w:bottom w:val="none" w:sz="0" w:space="0" w:color="auto"/>
        <w:right w:val="none" w:sz="0" w:space="0" w:color="auto"/>
      </w:divBdr>
    </w:div>
    <w:div w:id="839006687">
      <w:bodyDiv w:val="1"/>
      <w:marLeft w:val="0"/>
      <w:marRight w:val="0"/>
      <w:marTop w:val="0"/>
      <w:marBottom w:val="0"/>
      <w:divBdr>
        <w:top w:val="none" w:sz="0" w:space="0" w:color="auto"/>
        <w:left w:val="none" w:sz="0" w:space="0" w:color="auto"/>
        <w:bottom w:val="none" w:sz="0" w:space="0" w:color="auto"/>
        <w:right w:val="none" w:sz="0" w:space="0" w:color="auto"/>
      </w:divBdr>
    </w:div>
    <w:div w:id="847599799">
      <w:bodyDiv w:val="1"/>
      <w:marLeft w:val="0"/>
      <w:marRight w:val="0"/>
      <w:marTop w:val="0"/>
      <w:marBottom w:val="0"/>
      <w:divBdr>
        <w:top w:val="none" w:sz="0" w:space="0" w:color="auto"/>
        <w:left w:val="none" w:sz="0" w:space="0" w:color="auto"/>
        <w:bottom w:val="none" w:sz="0" w:space="0" w:color="auto"/>
        <w:right w:val="none" w:sz="0" w:space="0" w:color="auto"/>
      </w:divBdr>
    </w:div>
    <w:div w:id="1068721760">
      <w:bodyDiv w:val="1"/>
      <w:marLeft w:val="0"/>
      <w:marRight w:val="0"/>
      <w:marTop w:val="0"/>
      <w:marBottom w:val="0"/>
      <w:divBdr>
        <w:top w:val="none" w:sz="0" w:space="0" w:color="auto"/>
        <w:left w:val="none" w:sz="0" w:space="0" w:color="auto"/>
        <w:bottom w:val="none" w:sz="0" w:space="0" w:color="auto"/>
        <w:right w:val="none" w:sz="0" w:space="0" w:color="auto"/>
      </w:divBdr>
      <w:divsChild>
        <w:div w:id="2004891140">
          <w:marLeft w:val="0"/>
          <w:marRight w:val="0"/>
          <w:marTop w:val="0"/>
          <w:marBottom w:val="0"/>
          <w:divBdr>
            <w:top w:val="none" w:sz="0" w:space="0" w:color="auto"/>
            <w:left w:val="none" w:sz="0" w:space="0" w:color="auto"/>
            <w:bottom w:val="none" w:sz="0" w:space="0" w:color="auto"/>
            <w:right w:val="none" w:sz="0" w:space="0" w:color="auto"/>
          </w:divBdr>
          <w:divsChild>
            <w:div w:id="587542811">
              <w:marLeft w:val="0"/>
              <w:marRight w:val="0"/>
              <w:marTop w:val="0"/>
              <w:marBottom w:val="75"/>
              <w:divBdr>
                <w:top w:val="none" w:sz="0" w:space="0" w:color="auto"/>
                <w:left w:val="none" w:sz="0" w:space="0" w:color="auto"/>
                <w:bottom w:val="none" w:sz="0" w:space="0" w:color="auto"/>
                <w:right w:val="none" w:sz="0" w:space="0" w:color="auto"/>
              </w:divBdr>
              <w:divsChild>
                <w:div w:id="673654260">
                  <w:marLeft w:val="0"/>
                  <w:marRight w:val="0"/>
                  <w:marTop w:val="0"/>
                  <w:marBottom w:val="0"/>
                  <w:divBdr>
                    <w:top w:val="none" w:sz="0" w:space="0" w:color="auto"/>
                    <w:left w:val="none" w:sz="0" w:space="0" w:color="auto"/>
                    <w:bottom w:val="none" w:sz="0" w:space="0" w:color="auto"/>
                    <w:right w:val="none" w:sz="0" w:space="0" w:color="auto"/>
                  </w:divBdr>
                  <w:divsChild>
                    <w:div w:id="1085029501">
                      <w:marLeft w:val="0"/>
                      <w:marRight w:val="0"/>
                      <w:marTop w:val="0"/>
                      <w:marBottom w:val="0"/>
                      <w:divBdr>
                        <w:top w:val="none" w:sz="0" w:space="0" w:color="auto"/>
                        <w:left w:val="none" w:sz="0" w:space="0" w:color="auto"/>
                        <w:bottom w:val="none" w:sz="0" w:space="0" w:color="auto"/>
                        <w:right w:val="none" w:sz="0" w:space="0" w:color="auto"/>
                      </w:divBdr>
                      <w:divsChild>
                        <w:div w:id="2008896860">
                          <w:marLeft w:val="0"/>
                          <w:marRight w:val="0"/>
                          <w:marTop w:val="0"/>
                          <w:marBottom w:val="0"/>
                          <w:divBdr>
                            <w:top w:val="none" w:sz="0" w:space="0" w:color="auto"/>
                            <w:left w:val="none" w:sz="0" w:space="0" w:color="auto"/>
                            <w:bottom w:val="none" w:sz="0" w:space="0" w:color="auto"/>
                            <w:right w:val="none" w:sz="0" w:space="0" w:color="auto"/>
                          </w:divBdr>
                          <w:divsChild>
                            <w:div w:id="1709256043">
                              <w:marLeft w:val="0"/>
                              <w:marRight w:val="0"/>
                              <w:marTop w:val="0"/>
                              <w:marBottom w:val="0"/>
                              <w:divBdr>
                                <w:top w:val="none" w:sz="0" w:space="0" w:color="auto"/>
                                <w:left w:val="none" w:sz="0" w:space="0" w:color="auto"/>
                                <w:bottom w:val="none" w:sz="0" w:space="0" w:color="auto"/>
                                <w:right w:val="none" w:sz="0" w:space="0" w:color="auto"/>
                              </w:divBdr>
                              <w:divsChild>
                                <w:div w:id="124683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1240086">
      <w:bodyDiv w:val="1"/>
      <w:marLeft w:val="0"/>
      <w:marRight w:val="0"/>
      <w:marTop w:val="0"/>
      <w:marBottom w:val="0"/>
      <w:divBdr>
        <w:top w:val="none" w:sz="0" w:space="0" w:color="auto"/>
        <w:left w:val="none" w:sz="0" w:space="0" w:color="auto"/>
        <w:bottom w:val="none" w:sz="0" w:space="0" w:color="auto"/>
        <w:right w:val="none" w:sz="0" w:space="0" w:color="auto"/>
      </w:divBdr>
    </w:div>
    <w:div w:id="1130855538">
      <w:bodyDiv w:val="1"/>
      <w:marLeft w:val="30"/>
      <w:marRight w:val="30"/>
      <w:marTop w:val="30"/>
      <w:marBottom w:val="30"/>
      <w:divBdr>
        <w:top w:val="none" w:sz="0" w:space="0" w:color="auto"/>
        <w:left w:val="none" w:sz="0" w:space="0" w:color="auto"/>
        <w:bottom w:val="none" w:sz="0" w:space="0" w:color="auto"/>
        <w:right w:val="none" w:sz="0" w:space="0" w:color="auto"/>
      </w:divBdr>
      <w:divsChild>
        <w:div w:id="248735466">
          <w:marLeft w:val="0"/>
          <w:marRight w:val="0"/>
          <w:marTop w:val="0"/>
          <w:marBottom w:val="0"/>
          <w:divBdr>
            <w:top w:val="none" w:sz="0" w:space="0" w:color="auto"/>
            <w:left w:val="none" w:sz="0" w:space="0" w:color="auto"/>
            <w:bottom w:val="none" w:sz="0" w:space="0" w:color="auto"/>
            <w:right w:val="none" w:sz="0" w:space="0" w:color="auto"/>
          </w:divBdr>
          <w:divsChild>
            <w:div w:id="172962289">
              <w:marLeft w:val="45"/>
              <w:marRight w:val="45"/>
              <w:marTop w:val="45"/>
              <w:marBottom w:val="45"/>
              <w:divBdr>
                <w:top w:val="none" w:sz="0" w:space="0" w:color="auto"/>
                <w:left w:val="none" w:sz="0" w:space="0" w:color="auto"/>
                <w:bottom w:val="none" w:sz="0" w:space="0" w:color="auto"/>
                <w:right w:val="none" w:sz="0" w:space="0" w:color="auto"/>
              </w:divBdr>
              <w:divsChild>
                <w:div w:id="139347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416150">
      <w:bodyDiv w:val="1"/>
      <w:marLeft w:val="0"/>
      <w:marRight w:val="0"/>
      <w:marTop w:val="0"/>
      <w:marBottom w:val="0"/>
      <w:divBdr>
        <w:top w:val="none" w:sz="0" w:space="0" w:color="auto"/>
        <w:left w:val="none" w:sz="0" w:space="0" w:color="auto"/>
        <w:bottom w:val="none" w:sz="0" w:space="0" w:color="auto"/>
        <w:right w:val="none" w:sz="0" w:space="0" w:color="auto"/>
      </w:divBdr>
      <w:divsChild>
        <w:div w:id="1552303671">
          <w:marLeft w:val="0"/>
          <w:marRight w:val="0"/>
          <w:marTop w:val="0"/>
          <w:marBottom w:val="0"/>
          <w:divBdr>
            <w:top w:val="none" w:sz="0" w:space="0" w:color="auto"/>
            <w:left w:val="none" w:sz="0" w:space="0" w:color="auto"/>
            <w:bottom w:val="none" w:sz="0" w:space="0" w:color="auto"/>
            <w:right w:val="none" w:sz="0" w:space="0" w:color="auto"/>
          </w:divBdr>
          <w:divsChild>
            <w:div w:id="2095390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327821">
      <w:bodyDiv w:val="1"/>
      <w:marLeft w:val="0"/>
      <w:marRight w:val="0"/>
      <w:marTop w:val="0"/>
      <w:marBottom w:val="0"/>
      <w:divBdr>
        <w:top w:val="none" w:sz="0" w:space="0" w:color="auto"/>
        <w:left w:val="none" w:sz="0" w:space="0" w:color="auto"/>
        <w:bottom w:val="none" w:sz="0" w:space="0" w:color="auto"/>
        <w:right w:val="none" w:sz="0" w:space="0" w:color="auto"/>
      </w:divBdr>
      <w:divsChild>
        <w:div w:id="390928241">
          <w:marLeft w:val="0"/>
          <w:marRight w:val="0"/>
          <w:marTop w:val="240"/>
          <w:marBottom w:val="0"/>
          <w:divBdr>
            <w:top w:val="none" w:sz="0" w:space="0" w:color="auto"/>
            <w:left w:val="none" w:sz="0" w:space="0" w:color="auto"/>
            <w:bottom w:val="none" w:sz="0" w:space="0" w:color="auto"/>
            <w:right w:val="none" w:sz="0" w:space="0" w:color="auto"/>
          </w:divBdr>
        </w:div>
        <w:div w:id="598099915">
          <w:marLeft w:val="0"/>
          <w:marRight w:val="0"/>
          <w:marTop w:val="240"/>
          <w:marBottom w:val="0"/>
          <w:divBdr>
            <w:top w:val="none" w:sz="0" w:space="0" w:color="auto"/>
            <w:left w:val="none" w:sz="0" w:space="0" w:color="auto"/>
            <w:bottom w:val="none" w:sz="0" w:space="0" w:color="auto"/>
            <w:right w:val="none" w:sz="0" w:space="0" w:color="auto"/>
          </w:divBdr>
          <w:divsChild>
            <w:div w:id="1150095919">
              <w:marLeft w:val="0"/>
              <w:marRight w:val="0"/>
              <w:marTop w:val="0"/>
              <w:marBottom w:val="0"/>
              <w:divBdr>
                <w:top w:val="none" w:sz="0" w:space="0" w:color="auto"/>
                <w:left w:val="none" w:sz="0" w:space="0" w:color="auto"/>
                <w:bottom w:val="none" w:sz="0" w:space="0" w:color="auto"/>
                <w:right w:val="none" w:sz="0" w:space="0" w:color="auto"/>
              </w:divBdr>
              <w:divsChild>
                <w:div w:id="263851077">
                  <w:blockQuote w:val="1"/>
                  <w:marLeft w:val="600"/>
                  <w:marRight w:val="600"/>
                  <w:marTop w:val="60"/>
                  <w:marBottom w:val="60"/>
                  <w:divBdr>
                    <w:top w:val="none" w:sz="0" w:space="0" w:color="auto"/>
                    <w:left w:val="none" w:sz="0" w:space="0" w:color="auto"/>
                    <w:bottom w:val="none" w:sz="0" w:space="0" w:color="auto"/>
                    <w:right w:val="none" w:sz="0" w:space="0" w:color="auto"/>
                  </w:divBdr>
                  <w:divsChild>
                    <w:div w:id="126638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9504528">
      <w:bodyDiv w:val="1"/>
      <w:marLeft w:val="0"/>
      <w:marRight w:val="0"/>
      <w:marTop w:val="0"/>
      <w:marBottom w:val="0"/>
      <w:divBdr>
        <w:top w:val="none" w:sz="0" w:space="0" w:color="auto"/>
        <w:left w:val="none" w:sz="0" w:space="0" w:color="auto"/>
        <w:bottom w:val="none" w:sz="0" w:space="0" w:color="auto"/>
        <w:right w:val="none" w:sz="0" w:space="0" w:color="auto"/>
      </w:divBdr>
    </w:div>
    <w:div w:id="1407610598">
      <w:bodyDiv w:val="1"/>
      <w:marLeft w:val="0"/>
      <w:marRight w:val="0"/>
      <w:marTop w:val="0"/>
      <w:marBottom w:val="0"/>
      <w:divBdr>
        <w:top w:val="none" w:sz="0" w:space="0" w:color="auto"/>
        <w:left w:val="none" w:sz="0" w:space="0" w:color="auto"/>
        <w:bottom w:val="none" w:sz="0" w:space="0" w:color="auto"/>
        <w:right w:val="none" w:sz="0" w:space="0" w:color="auto"/>
      </w:divBdr>
    </w:div>
    <w:div w:id="1507016181">
      <w:bodyDiv w:val="1"/>
      <w:marLeft w:val="0"/>
      <w:marRight w:val="0"/>
      <w:marTop w:val="0"/>
      <w:marBottom w:val="0"/>
      <w:divBdr>
        <w:top w:val="none" w:sz="0" w:space="0" w:color="auto"/>
        <w:left w:val="none" w:sz="0" w:space="0" w:color="auto"/>
        <w:bottom w:val="none" w:sz="0" w:space="0" w:color="auto"/>
        <w:right w:val="none" w:sz="0" w:space="0" w:color="auto"/>
      </w:divBdr>
    </w:div>
    <w:div w:id="1607348082">
      <w:bodyDiv w:val="1"/>
      <w:marLeft w:val="0"/>
      <w:marRight w:val="0"/>
      <w:marTop w:val="0"/>
      <w:marBottom w:val="0"/>
      <w:divBdr>
        <w:top w:val="none" w:sz="0" w:space="0" w:color="auto"/>
        <w:left w:val="none" w:sz="0" w:space="0" w:color="auto"/>
        <w:bottom w:val="none" w:sz="0" w:space="0" w:color="auto"/>
        <w:right w:val="none" w:sz="0" w:space="0" w:color="auto"/>
      </w:divBdr>
    </w:div>
    <w:div w:id="1688485301">
      <w:bodyDiv w:val="1"/>
      <w:marLeft w:val="0"/>
      <w:marRight w:val="0"/>
      <w:marTop w:val="0"/>
      <w:marBottom w:val="0"/>
      <w:divBdr>
        <w:top w:val="none" w:sz="0" w:space="0" w:color="auto"/>
        <w:left w:val="none" w:sz="0" w:space="0" w:color="auto"/>
        <w:bottom w:val="none" w:sz="0" w:space="0" w:color="auto"/>
        <w:right w:val="none" w:sz="0" w:space="0" w:color="auto"/>
      </w:divBdr>
    </w:div>
    <w:div w:id="1702511871">
      <w:bodyDiv w:val="1"/>
      <w:marLeft w:val="0"/>
      <w:marRight w:val="0"/>
      <w:marTop w:val="0"/>
      <w:marBottom w:val="0"/>
      <w:divBdr>
        <w:top w:val="none" w:sz="0" w:space="0" w:color="auto"/>
        <w:left w:val="none" w:sz="0" w:space="0" w:color="auto"/>
        <w:bottom w:val="none" w:sz="0" w:space="0" w:color="auto"/>
        <w:right w:val="none" w:sz="0" w:space="0" w:color="auto"/>
      </w:divBdr>
    </w:div>
    <w:div w:id="1761096934">
      <w:bodyDiv w:val="1"/>
      <w:marLeft w:val="0"/>
      <w:marRight w:val="0"/>
      <w:marTop w:val="0"/>
      <w:marBottom w:val="0"/>
      <w:divBdr>
        <w:top w:val="none" w:sz="0" w:space="0" w:color="auto"/>
        <w:left w:val="none" w:sz="0" w:space="0" w:color="auto"/>
        <w:bottom w:val="none" w:sz="0" w:space="0" w:color="auto"/>
        <w:right w:val="none" w:sz="0" w:space="0" w:color="auto"/>
      </w:divBdr>
    </w:div>
    <w:div w:id="1815877693">
      <w:bodyDiv w:val="1"/>
      <w:marLeft w:val="30"/>
      <w:marRight w:val="30"/>
      <w:marTop w:val="30"/>
      <w:marBottom w:val="30"/>
      <w:divBdr>
        <w:top w:val="none" w:sz="0" w:space="0" w:color="auto"/>
        <w:left w:val="none" w:sz="0" w:space="0" w:color="auto"/>
        <w:bottom w:val="none" w:sz="0" w:space="0" w:color="auto"/>
        <w:right w:val="none" w:sz="0" w:space="0" w:color="auto"/>
      </w:divBdr>
      <w:divsChild>
        <w:div w:id="1453523180">
          <w:marLeft w:val="0"/>
          <w:marRight w:val="0"/>
          <w:marTop w:val="0"/>
          <w:marBottom w:val="0"/>
          <w:divBdr>
            <w:top w:val="none" w:sz="0" w:space="0" w:color="auto"/>
            <w:left w:val="none" w:sz="0" w:space="0" w:color="auto"/>
            <w:bottom w:val="none" w:sz="0" w:space="0" w:color="auto"/>
            <w:right w:val="none" w:sz="0" w:space="0" w:color="auto"/>
          </w:divBdr>
          <w:divsChild>
            <w:div w:id="1859654379">
              <w:marLeft w:val="45"/>
              <w:marRight w:val="45"/>
              <w:marTop w:val="45"/>
              <w:marBottom w:val="45"/>
              <w:divBdr>
                <w:top w:val="none" w:sz="0" w:space="0" w:color="auto"/>
                <w:left w:val="none" w:sz="0" w:space="0" w:color="auto"/>
                <w:bottom w:val="none" w:sz="0" w:space="0" w:color="auto"/>
                <w:right w:val="none" w:sz="0" w:space="0" w:color="auto"/>
              </w:divBdr>
              <w:divsChild>
                <w:div w:id="1896966831">
                  <w:marLeft w:val="0"/>
                  <w:marRight w:val="0"/>
                  <w:marTop w:val="0"/>
                  <w:marBottom w:val="0"/>
                  <w:divBdr>
                    <w:top w:val="none" w:sz="0" w:space="0" w:color="auto"/>
                    <w:left w:val="none" w:sz="0" w:space="0" w:color="auto"/>
                    <w:bottom w:val="none" w:sz="0" w:space="0" w:color="auto"/>
                    <w:right w:val="none" w:sz="0" w:space="0" w:color="auto"/>
                  </w:divBdr>
                  <w:divsChild>
                    <w:div w:id="203906566">
                      <w:marLeft w:val="0"/>
                      <w:marRight w:val="0"/>
                      <w:marTop w:val="0"/>
                      <w:marBottom w:val="0"/>
                      <w:divBdr>
                        <w:top w:val="none" w:sz="0" w:space="0" w:color="auto"/>
                        <w:left w:val="none" w:sz="0" w:space="0" w:color="auto"/>
                        <w:bottom w:val="none" w:sz="0" w:space="0" w:color="auto"/>
                        <w:right w:val="none" w:sz="0" w:space="0" w:color="auto"/>
                      </w:divBdr>
                    </w:div>
                    <w:div w:id="240795602">
                      <w:marLeft w:val="180"/>
                      <w:marRight w:val="0"/>
                      <w:marTop w:val="0"/>
                      <w:marBottom w:val="0"/>
                      <w:divBdr>
                        <w:top w:val="none" w:sz="0" w:space="0" w:color="auto"/>
                        <w:left w:val="none" w:sz="0" w:space="0" w:color="auto"/>
                        <w:bottom w:val="none" w:sz="0" w:space="0" w:color="auto"/>
                        <w:right w:val="none" w:sz="0" w:space="0" w:color="auto"/>
                      </w:divBdr>
                    </w:div>
                    <w:div w:id="512191323">
                      <w:marLeft w:val="180"/>
                      <w:marRight w:val="0"/>
                      <w:marTop w:val="0"/>
                      <w:marBottom w:val="0"/>
                      <w:divBdr>
                        <w:top w:val="none" w:sz="0" w:space="0" w:color="auto"/>
                        <w:left w:val="none" w:sz="0" w:space="0" w:color="auto"/>
                        <w:bottom w:val="none" w:sz="0" w:space="0" w:color="auto"/>
                        <w:right w:val="none" w:sz="0" w:space="0" w:color="auto"/>
                      </w:divBdr>
                    </w:div>
                    <w:div w:id="732312310">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57685">
      <w:bodyDiv w:val="1"/>
      <w:marLeft w:val="0"/>
      <w:marRight w:val="0"/>
      <w:marTop w:val="0"/>
      <w:marBottom w:val="0"/>
      <w:divBdr>
        <w:top w:val="none" w:sz="0" w:space="0" w:color="auto"/>
        <w:left w:val="none" w:sz="0" w:space="0" w:color="auto"/>
        <w:bottom w:val="none" w:sz="0" w:space="0" w:color="auto"/>
        <w:right w:val="none" w:sz="0" w:space="0" w:color="auto"/>
      </w:divBdr>
    </w:div>
    <w:div w:id="2143646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eb2.westlaw.com/find/default.wl?mt=Communications&amp;db=4493&amp;rs=WLW15.01&amp;tc=-1&amp;rp=%2ffind%2fdefault.wl&amp;findtype=Y&amp;ordoc=2032755271&amp;serialnum=2008257737&amp;vr=2.0&amp;fn=_top&amp;sv=Split&amp;tf=-1&amp;referencepositiontype=S&amp;pbc=32FD20A7&amp;referenceposition=167&amp;uti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2</Pages>
  <Words>1308</Words>
  <Characters>7164</Characters>
  <Application>Microsoft Office Word</Application>
  <DocSecurity>0</DocSecurity>
  <Lines>126</Lines>
  <Paragraphs>40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8507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2011-07-27T15:03:00Z</cp:lastPrinted>
  <dcterms:created xsi:type="dcterms:W3CDTF">2015-03-20T11:30:00Z</dcterms:created>
  <dcterms:modified xsi:type="dcterms:W3CDTF">2015-03-20T11:30:00Z</dcterms:modified>
  <cp:category> </cp:category>
  <cp:contentStatus> </cp:contentStatus>
</cp:coreProperties>
</file>