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714443" w:rsidP="007115F7">
            <w:pPr>
              <w:tabs>
                <w:tab w:val="center" w:pos="4680"/>
              </w:tabs>
              <w:suppressAutoHyphens/>
              <w:rPr>
                <w:spacing w:val="-2"/>
              </w:rPr>
            </w:pPr>
            <w:r>
              <w:rPr>
                <w:spacing w:val="-2"/>
              </w:rPr>
              <w:t>Involuntary Modification of License</w:t>
            </w:r>
          </w:p>
          <w:p w:rsidR="00714443" w:rsidRDefault="00714443" w:rsidP="007115F7">
            <w:pPr>
              <w:tabs>
                <w:tab w:val="center" w:pos="4680"/>
              </w:tabs>
              <w:suppressAutoHyphens/>
              <w:rPr>
                <w:spacing w:val="-2"/>
              </w:rPr>
            </w:pPr>
            <w:r>
              <w:rPr>
                <w:spacing w:val="-2"/>
              </w:rPr>
              <w:t>o</w:t>
            </w:r>
            <w:r w:rsidR="00C40AC7">
              <w:rPr>
                <w:spacing w:val="-2"/>
              </w:rPr>
              <w:t>f</w:t>
            </w:r>
            <w:r>
              <w:rPr>
                <w:spacing w:val="-2"/>
              </w:rPr>
              <w:t xml:space="preserve"> Station KFWR(FM),</w:t>
            </w:r>
          </w:p>
          <w:p w:rsidR="00714443" w:rsidRPr="007115F7" w:rsidRDefault="00714443" w:rsidP="007115F7">
            <w:pPr>
              <w:tabs>
                <w:tab w:val="center" w:pos="4680"/>
              </w:tabs>
              <w:suppressAutoHyphens/>
              <w:rPr>
                <w:spacing w:val="-2"/>
              </w:rPr>
            </w:pPr>
            <w:r>
              <w:rPr>
                <w:spacing w:val="-2"/>
              </w:rPr>
              <w:t>Jacksboro, Texas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D42DF4">
            <w:pPr>
              <w:tabs>
                <w:tab w:val="center" w:pos="4680"/>
              </w:tabs>
              <w:suppressAutoHyphens/>
              <w:rPr>
                <w:spacing w:val="-2"/>
              </w:rPr>
            </w:pPr>
            <w:r>
              <w:rPr>
                <w:spacing w:val="-2"/>
              </w:rPr>
              <w:t>File No. BLH-20130110AFG</w:t>
            </w:r>
          </w:p>
          <w:p w:rsidR="00D42DF4" w:rsidRDefault="00D42DF4">
            <w:pPr>
              <w:tabs>
                <w:tab w:val="center" w:pos="4680"/>
              </w:tabs>
              <w:suppressAutoHyphens/>
              <w:rPr>
                <w:spacing w:val="-2"/>
              </w:rPr>
            </w:pPr>
            <w:r>
              <w:rPr>
                <w:spacing w:val="-2"/>
              </w:rPr>
              <w:t>Facility ID No. 31062</w:t>
            </w:r>
          </w:p>
        </w:tc>
      </w:tr>
    </w:tbl>
    <w:p w:rsidR="004C2EE3" w:rsidRDefault="004C2EE3" w:rsidP="0070224F"/>
    <w:p w:rsidR="00841AB1" w:rsidRDefault="00A9797A" w:rsidP="00F021FA">
      <w:pPr>
        <w:pStyle w:val="StyleBoldCentered"/>
      </w:pPr>
      <w:r>
        <w:t>order to show cause</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42DF4">
        <w:rPr>
          <w:b/>
          <w:spacing w:val="-2"/>
        </w:rPr>
        <w:t>March 23,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42DF4">
        <w:rPr>
          <w:b/>
          <w:spacing w:val="-2"/>
        </w:rPr>
        <w:t>March 23, 2015</w:t>
      </w:r>
    </w:p>
    <w:p w:rsidR="00822CE0" w:rsidRDefault="00822CE0"/>
    <w:p w:rsidR="004C2EE3" w:rsidRDefault="004C2EE3">
      <w:pPr>
        <w:rPr>
          <w:spacing w:val="-2"/>
        </w:rPr>
      </w:pPr>
      <w:r>
        <w:t xml:space="preserve">By </w:t>
      </w:r>
      <w:r w:rsidR="004E4A22">
        <w:t>the</w:t>
      </w:r>
      <w:r w:rsidR="002A2D2E">
        <w:t xml:space="preserve"> </w:t>
      </w:r>
      <w:r w:rsidR="00714443">
        <w:rPr>
          <w:spacing w:val="-2"/>
        </w:rPr>
        <w:t>Chief, Audio Division, Media Bureau</w:t>
      </w:r>
    </w:p>
    <w:p w:rsidR="00822CE0" w:rsidRDefault="00822CE0">
      <w:pPr>
        <w:rPr>
          <w:spacing w:val="-2"/>
        </w:rPr>
      </w:pPr>
    </w:p>
    <w:p w:rsidR="00412FC5" w:rsidRDefault="00412FC5" w:rsidP="00412FC5"/>
    <w:p w:rsidR="002C00E8" w:rsidRDefault="00527850" w:rsidP="002C00E8">
      <w:pPr>
        <w:pStyle w:val="Heading1"/>
      </w:pPr>
      <w:r>
        <w:t>INTRODUCTION</w:t>
      </w:r>
    </w:p>
    <w:p w:rsidR="00527850" w:rsidRPr="00C92E3A" w:rsidRDefault="0090161A" w:rsidP="00DB31C5">
      <w:pPr>
        <w:pStyle w:val="ParaNum"/>
        <w:keepNext/>
        <w:widowControl/>
      </w:pPr>
      <w:r>
        <w:rPr>
          <w:spacing w:val="-3"/>
          <w:szCs w:val="22"/>
        </w:rPr>
        <w:t>We have before us</w:t>
      </w:r>
      <w:r w:rsidR="00527850" w:rsidRPr="00942D62">
        <w:rPr>
          <w:spacing w:val="-3"/>
          <w:szCs w:val="22"/>
        </w:rPr>
        <w:t xml:space="preserve"> a Complaint filed by Lake Country Radio (“</w:t>
      </w:r>
      <w:r>
        <w:rPr>
          <w:spacing w:val="-3"/>
          <w:szCs w:val="22"/>
        </w:rPr>
        <w:t>Lake</w:t>
      </w:r>
      <w:r w:rsidR="00527850" w:rsidRPr="00942D62">
        <w:rPr>
          <w:spacing w:val="-3"/>
          <w:szCs w:val="22"/>
        </w:rPr>
        <w:t xml:space="preserve">”), licensee of </w:t>
      </w:r>
      <w:r>
        <w:rPr>
          <w:spacing w:val="-3"/>
          <w:szCs w:val="22"/>
        </w:rPr>
        <w:t xml:space="preserve">station </w:t>
      </w:r>
      <w:r w:rsidR="00527850" w:rsidRPr="00942D62">
        <w:rPr>
          <w:spacing w:val="-3"/>
          <w:szCs w:val="22"/>
        </w:rPr>
        <w:t>KCKL(FM), Malakoff, Texas</w:t>
      </w:r>
      <w:r>
        <w:rPr>
          <w:spacing w:val="-3"/>
          <w:szCs w:val="22"/>
        </w:rPr>
        <w:t xml:space="preserve"> (“KCKL”)</w:t>
      </w:r>
      <w:r w:rsidR="00527850" w:rsidRPr="00942D62">
        <w:rPr>
          <w:spacing w:val="-3"/>
          <w:szCs w:val="22"/>
        </w:rPr>
        <w:t>, against LKCM Radio Licenses, LLP (“LKCM”), licensee of KFWR(FM), Jacksboro, TX</w:t>
      </w:r>
      <w:r>
        <w:rPr>
          <w:spacing w:val="-3"/>
          <w:szCs w:val="22"/>
        </w:rPr>
        <w:t xml:space="preserve"> (“KFWR”)</w:t>
      </w:r>
      <w:r w:rsidR="00527850" w:rsidRPr="00942D62">
        <w:rPr>
          <w:spacing w:val="-3"/>
          <w:szCs w:val="22"/>
        </w:rPr>
        <w:t xml:space="preserve">.   </w:t>
      </w:r>
      <w:r>
        <w:rPr>
          <w:spacing w:val="-3"/>
          <w:szCs w:val="22"/>
        </w:rPr>
        <w:t>In its</w:t>
      </w:r>
      <w:r w:rsidR="00527850" w:rsidRPr="00942D62">
        <w:rPr>
          <w:spacing w:val="-3"/>
          <w:szCs w:val="22"/>
        </w:rPr>
        <w:t xml:space="preserve"> complaint, as supplemented, </w:t>
      </w:r>
      <w:r>
        <w:rPr>
          <w:spacing w:val="-3"/>
          <w:szCs w:val="22"/>
        </w:rPr>
        <w:t xml:space="preserve">Lake </w:t>
      </w:r>
      <w:r w:rsidR="00527850" w:rsidRPr="00942D62">
        <w:rPr>
          <w:spacing w:val="-3"/>
          <w:szCs w:val="22"/>
        </w:rPr>
        <w:t>alleges that LKCM intentionally installed a directional antenna designed to increase KFWR’s signal toward KCKL, and that such operation is causing impermissible interference to KCKL within that station’s protected service contour.</w:t>
      </w:r>
      <w:r w:rsidR="00527850" w:rsidRPr="00942D62">
        <w:rPr>
          <w:rStyle w:val="FootnoteReference"/>
          <w:spacing w:val="-3"/>
          <w:szCs w:val="22"/>
        </w:rPr>
        <w:footnoteReference w:id="2"/>
      </w:r>
      <w:r w:rsidR="00527850" w:rsidRPr="00942D62">
        <w:rPr>
          <w:spacing w:val="-3"/>
          <w:szCs w:val="22"/>
        </w:rPr>
        <w:t xml:space="preserve">  LKCM has responded to </w:t>
      </w:r>
      <w:r>
        <w:rPr>
          <w:spacing w:val="-3"/>
          <w:szCs w:val="22"/>
        </w:rPr>
        <w:t>Lake</w:t>
      </w:r>
      <w:r w:rsidR="00527850" w:rsidRPr="00942D62">
        <w:rPr>
          <w:spacing w:val="-3"/>
          <w:szCs w:val="22"/>
        </w:rPr>
        <w:t>’s allegations.</w:t>
      </w:r>
      <w:r w:rsidR="00527850" w:rsidRPr="00942D62">
        <w:rPr>
          <w:rStyle w:val="FootnoteReference"/>
          <w:spacing w:val="-3"/>
          <w:szCs w:val="22"/>
        </w:rPr>
        <w:footnoteReference w:id="3"/>
      </w:r>
      <w:r w:rsidR="00527850" w:rsidRPr="00942D62">
        <w:rPr>
          <w:spacing w:val="-3"/>
          <w:szCs w:val="22"/>
        </w:rPr>
        <w:t xml:space="preserve">  For the reasons set forth </w:t>
      </w:r>
      <w:r>
        <w:rPr>
          <w:spacing w:val="-3"/>
          <w:szCs w:val="22"/>
        </w:rPr>
        <w:t>herein</w:t>
      </w:r>
      <w:r w:rsidR="00527850" w:rsidRPr="00942D62">
        <w:rPr>
          <w:spacing w:val="-3"/>
          <w:szCs w:val="22"/>
        </w:rPr>
        <w:t xml:space="preserve">, we conclude that </w:t>
      </w:r>
      <w:r>
        <w:rPr>
          <w:spacing w:val="-3"/>
          <w:szCs w:val="22"/>
        </w:rPr>
        <w:t>Lake</w:t>
      </w:r>
      <w:r w:rsidR="00527850" w:rsidRPr="00942D62">
        <w:rPr>
          <w:spacing w:val="-3"/>
          <w:szCs w:val="22"/>
        </w:rPr>
        <w:t xml:space="preserve"> has established that </w:t>
      </w:r>
      <w:r>
        <w:rPr>
          <w:spacing w:val="-3"/>
          <w:szCs w:val="22"/>
        </w:rPr>
        <w:t xml:space="preserve">station </w:t>
      </w:r>
      <w:r w:rsidR="00527850" w:rsidRPr="00942D62">
        <w:rPr>
          <w:spacing w:val="-3"/>
          <w:szCs w:val="22"/>
        </w:rPr>
        <w:t xml:space="preserve">KFWR is not operating in accordance within </w:t>
      </w:r>
      <w:r>
        <w:rPr>
          <w:spacing w:val="-3"/>
          <w:szCs w:val="22"/>
        </w:rPr>
        <w:t>its licensed</w:t>
      </w:r>
      <w:r w:rsidR="00527850" w:rsidRPr="00942D62">
        <w:rPr>
          <w:spacing w:val="-3"/>
          <w:szCs w:val="22"/>
        </w:rPr>
        <w:t xml:space="preserve"> parameters.  We therefore issue this </w:t>
      </w:r>
      <w:r w:rsidR="00527850" w:rsidRPr="00942D62">
        <w:rPr>
          <w:i/>
          <w:spacing w:val="-3"/>
          <w:szCs w:val="22"/>
        </w:rPr>
        <w:t>Order to Show Cause</w:t>
      </w:r>
      <w:r w:rsidR="00527850" w:rsidRPr="00942D62">
        <w:rPr>
          <w:spacing w:val="-3"/>
          <w:szCs w:val="22"/>
        </w:rPr>
        <w:t xml:space="preserve"> to LKCM, directing </w:t>
      </w:r>
      <w:r>
        <w:rPr>
          <w:spacing w:val="-3"/>
          <w:szCs w:val="22"/>
        </w:rPr>
        <w:t>it</w:t>
      </w:r>
      <w:r w:rsidR="00527850" w:rsidRPr="00942D62">
        <w:rPr>
          <w:spacing w:val="-3"/>
          <w:szCs w:val="22"/>
        </w:rPr>
        <w:t xml:space="preserve"> to show why KFWR’s operation should not be classified as directional and KFWR’s license should not be modified to reduce the transmitter power </w:t>
      </w:r>
      <w:r w:rsidR="001E2ED4">
        <w:rPr>
          <w:spacing w:val="-3"/>
          <w:szCs w:val="22"/>
        </w:rPr>
        <w:t xml:space="preserve">output (“TPO”) </w:t>
      </w:r>
      <w:r w:rsidR="00527850" w:rsidRPr="00942D62">
        <w:rPr>
          <w:spacing w:val="-3"/>
          <w:szCs w:val="22"/>
        </w:rPr>
        <w:t>to a value that would correspond to the 100 kW effective radiated power (“ERP”) specified on the station’s license.</w:t>
      </w:r>
    </w:p>
    <w:p w:rsidR="00C92E3A" w:rsidRPr="00527850" w:rsidRDefault="00C92E3A" w:rsidP="00DB31C5">
      <w:pPr>
        <w:pStyle w:val="Heading1"/>
        <w:widowControl/>
      </w:pPr>
      <w:r>
        <w:t>BACKGROUND</w:t>
      </w:r>
    </w:p>
    <w:p w:rsidR="00527850" w:rsidRPr="00527850" w:rsidRDefault="003F522E" w:rsidP="00DB31C5">
      <w:pPr>
        <w:pStyle w:val="ParaNum"/>
        <w:keepNext/>
        <w:widowControl/>
      </w:pPr>
      <w:r>
        <w:rPr>
          <w:szCs w:val="22"/>
        </w:rPr>
        <w:t xml:space="preserve">KCKL’s current facilities were </w:t>
      </w:r>
      <w:r w:rsidR="00527850" w:rsidRPr="00942D62">
        <w:rPr>
          <w:szCs w:val="22"/>
        </w:rPr>
        <w:t>licensed on September 9, 1993</w:t>
      </w:r>
      <w:r w:rsidR="00527850">
        <w:rPr>
          <w:szCs w:val="22"/>
        </w:rPr>
        <w:t>,</w:t>
      </w:r>
      <w:r w:rsidR="00527850" w:rsidRPr="00942D62">
        <w:rPr>
          <w:szCs w:val="22"/>
        </w:rPr>
        <w:t xml:space="preserve"> and </w:t>
      </w:r>
      <w:r>
        <w:rPr>
          <w:szCs w:val="22"/>
        </w:rPr>
        <w:t xml:space="preserve">the station </w:t>
      </w:r>
      <w:r w:rsidR="00527850" w:rsidRPr="00942D62">
        <w:rPr>
          <w:szCs w:val="22"/>
        </w:rPr>
        <w:t>has operated since then with the same Class A facilities</w:t>
      </w:r>
      <w:r>
        <w:rPr>
          <w:szCs w:val="22"/>
        </w:rPr>
        <w:t xml:space="preserve"> on Channel 240</w:t>
      </w:r>
      <w:r w:rsidR="00527850" w:rsidRPr="00942D62">
        <w:rPr>
          <w:szCs w:val="22"/>
        </w:rPr>
        <w:t>.</w:t>
      </w:r>
      <w:r w:rsidR="00527850" w:rsidRPr="00942D62">
        <w:rPr>
          <w:rStyle w:val="FootnoteReference"/>
          <w:szCs w:val="22"/>
        </w:rPr>
        <w:t xml:space="preserve"> </w:t>
      </w:r>
      <w:r w:rsidR="00527850" w:rsidRPr="00942D62">
        <w:rPr>
          <w:rStyle w:val="FootnoteReference"/>
          <w:szCs w:val="22"/>
        </w:rPr>
        <w:footnoteReference w:id="4"/>
      </w:r>
      <w:r w:rsidR="001E2ED4">
        <w:rPr>
          <w:szCs w:val="22"/>
        </w:rPr>
        <w:t xml:space="preserve">  LKCM</w:t>
      </w:r>
      <w:r w:rsidR="00527850" w:rsidRPr="00942D62">
        <w:rPr>
          <w:szCs w:val="22"/>
        </w:rPr>
        <w:t xml:space="preserve"> was granted a modified construction permit on May 29, 2012</w:t>
      </w:r>
      <w:r w:rsidR="00527850">
        <w:rPr>
          <w:szCs w:val="22"/>
        </w:rPr>
        <w:t>,</w:t>
      </w:r>
      <w:r w:rsidR="00527850" w:rsidRPr="00942D62">
        <w:rPr>
          <w:szCs w:val="22"/>
        </w:rPr>
        <w:t xml:space="preserve"> to upgrade </w:t>
      </w:r>
      <w:r w:rsidR="001E2ED4">
        <w:rPr>
          <w:szCs w:val="22"/>
        </w:rPr>
        <w:t>KFWR’s</w:t>
      </w:r>
      <w:r w:rsidR="00527850" w:rsidRPr="00942D62">
        <w:rPr>
          <w:szCs w:val="22"/>
        </w:rPr>
        <w:t xml:space="preserve"> licensed Class C1facilities at Mineral Wells, </w:t>
      </w:r>
      <w:r>
        <w:rPr>
          <w:szCs w:val="22"/>
        </w:rPr>
        <w:t>Texas,</w:t>
      </w:r>
      <w:r w:rsidR="00527850" w:rsidRPr="00942D62">
        <w:rPr>
          <w:szCs w:val="22"/>
        </w:rPr>
        <w:t xml:space="preserve"> to </w:t>
      </w:r>
      <w:r>
        <w:rPr>
          <w:szCs w:val="22"/>
        </w:rPr>
        <w:t>a Class C0 facility on Channel 240</w:t>
      </w:r>
      <w:r w:rsidR="00527850" w:rsidRPr="00942D62">
        <w:rPr>
          <w:szCs w:val="22"/>
        </w:rPr>
        <w:t xml:space="preserve"> at Jacksboro, </w:t>
      </w:r>
      <w:r>
        <w:rPr>
          <w:szCs w:val="22"/>
        </w:rPr>
        <w:t>Texas</w:t>
      </w:r>
      <w:r w:rsidR="00527850" w:rsidRPr="00942D62">
        <w:rPr>
          <w:szCs w:val="22"/>
        </w:rPr>
        <w:t>.</w:t>
      </w:r>
      <w:r w:rsidR="00527850" w:rsidRPr="00942D62">
        <w:rPr>
          <w:rStyle w:val="FootnoteReference"/>
          <w:szCs w:val="22"/>
        </w:rPr>
        <w:footnoteReference w:id="5"/>
      </w:r>
      <w:r w:rsidR="00527850" w:rsidRPr="00942D62">
        <w:rPr>
          <w:szCs w:val="22"/>
        </w:rPr>
        <w:t xml:space="preserve">  KFWR’s construction permit specified </w:t>
      </w:r>
      <w:r w:rsidR="009D4C32">
        <w:rPr>
          <w:szCs w:val="22"/>
        </w:rPr>
        <w:lastRenderedPageBreak/>
        <w:t>non-directional</w:t>
      </w:r>
      <w:r w:rsidR="00527850" w:rsidRPr="00942D62">
        <w:rPr>
          <w:szCs w:val="22"/>
        </w:rPr>
        <w:t xml:space="preserve"> operation</w:t>
      </w:r>
      <w:r w:rsidR="00A95AD7">
        <w:rPr>
          <w:szCs w:val="22"/>
        </w:rPr>
        <w:t>,</w:t>
      </w:r>
      <w:r w:rsidR="00A95AD7">
        <w:rPr>
          <w:rStyle w:val="FootnoteReference"/>
          <w:szCs w:val="22"/>
        </w:rPr>
        <w:footnoteReference w:id="6"/>
      </w:r>
      <w:r w:rsidR="00527850" w:rsidRPr="00942D62">
        <w:rPr>
          <w:szCs w:val="22"/>
        </w:rPr>
        <w:t xml:space="preserve"> and </w:t>
      </w:r>
      <w:r w:rsidR="00A95AD7">
        <w:rPr>
          <w:szCs w:val="22"/>
        </w:rPr>
        <w:t xml:space="preserve">specified </w:t>
      </w:r>
      <w:r w:rsidR="00527850" w:rsidRPr="00942D62">
        <w:rPr>
          <w:szCs w:val="22"/>
        </w:rPr>
        <w:t xml:space="preserve">a site fully spaced </w:t>
      </w:r>
      <w:r w:rsidR="00162BB3">
        <w:rPr>
          <w:szCs w:val="22"/>
        </w:rPr>
        <w:t xml:space="preserve">with respect to KCKL </w:t>
      </w:r>
      <w:r w:rsidR="00527850" w:rsidRPr="00942D62">
        <w:rPr>
          <w:szCs w:val="22"/>
        </w:rPr>
        <w:t>under Section 73.207 of the Commission’s Rules.</w:t>
      </w:r>
      <w:r w:rsidR="00527850" w:rsidRPr="00942D62">
        <w:rPr>
          <w:rStyle w:val="FootnoteReference"/>
          <w:szCs w:val="22"/>
        </w:rPr>
        <w:footnoteReference w:id="7"/>
      </w:r>
      <w:r w:rsidR="00527850" w:rsidRPr="00942D62">
        <w:rPr>
          <w:szCs w:val="22"/>
        </w:rPr>
        <w:t xml:space="preserve">  LKCM constructed the KFWR facility and filed a license ap</w:t>
      </w:r>
      <w:r w:rsidR="00260281">
        <w:rPr>
          <w:szCs w:val="22"/>
        </w:rPr>
        <w:t>plication on January 10, 2013,</w:t>
      </w:r>
      <w:r w:rsidR="008C2B3B">
        <w:rPr>
          <w:rStyle w:val="FootnoteReference"/>
          <w:szCs w:val="22"/>
        </w:rPr>
        <w:footnoteReference w:id="8"/>
      </w:r>
      <w:r w:rsidR="00260281">
        <w:rPr>
          <w:szCs w:val="22"/>
        </w:rPr>
        <w:t xml:space="preserve"> which </w:t>
      </w:r>
      <w:r w:rsidR="00527850" w:rsidRPr="00942D62">
        <w:rPr>
          <w:szCs w:val="22"/>
        </w:rPr>
        <w:t xml:space="preserve">was granted on February 21, 2013.  </w:t>
      </w:r>
    </w:p>
    <w:p w:rsidR="00527850" w:rsidRDefault="0090161A" w:rsidP="00DB31C5">
      <w:pPr>
        <w:pStyle w:val="ParaNum"/>
        <w:keepNext/>
        <w:widowControl/>
      </w:pPr>
      <w:r>
        <w:t>Lake</w:t>
      </w:r>
      <w:r w:rsidR="00527850" w:rsidRPr="00942D62">
        <w:t xml:space="preserve"> </w:t>
      </w:r>
      <w:r w:rsidR="00F95965">
        <w:t>initially complained</w:t>
      </w:r>
      <w:r w:rsidR="00527850" w:rsidRPr="00942D62">
        <w:t xml:space="preserve"> </w:t>
      </w:r>
      <w:r w:rsidR="002E4152">
        <w:t>about</w:t>
      </w:r>
      <w:r w:rsidR="00527850" w:rsidRPr="00942D62">
        <w:t xml:space="preserve"> KFWR </w:t>
      </w:r>
      <w:r w:rsidR="00081019">
        <w:t xml:space="preserve">on </w:t>
      </w:r>
      <w:r w:rsidR="00972881">
        <w:t>June 7</w:t>
      </w:r>
      <w:r w:rsidR="00081019">
        <w:t>, 2013,</w:t>
      </w:r>
      <w:r w:rsidR="00081019">
        <w:rPr>
          <w:rStyle w:val="FootnoteReference"/>
        </w:rPr>
        <w:footnoteReference w:id="9"/>
      </w:r>
      <w:r w:rsidR="00081019">
        <w:t xml:space="preserve"> </w:t>
      </w:r>
      <w:r w:rsidR="00527850" w:rsidRPr="00942D62">
        <w:t xml:space="preserve">alleging that KFWR had constructed a new antenna system that </w:t>
      </w:r>
      <w:r w:rsidR="001B7547">
        <w:t>was</w:t>
      </w:r>
      <w:r w:rsidR="00527850" w:rsidRPr="00942D62">
        <w:t xml:space="preserve"> not being operated in ac</w:t>
      </w:r>
      <w:r w:rsidR="001B7547">
        <w:t>cordance with the Commission’s R</w:t>
      </w:r>
      <w:r w:rsidR="00527850" w:rsidRPr="00942D62">
        <w:t xml:space="preserve">ules, </w:t>
      </w:r>
      <w:r w:rsidR="001B7547">
        <w:t>thus causing interference</w:t>
      </w:r>
      <w:r w:rsidR="00527850" w:rsidRPr="00942D62">
        <w:t xml:space="preserve"> to </w:t>
      </w:r>
      <w:r w:rsidR="001927CA">
        <w:t>KCKL</w:t>
      </w:r>
      <w:r w:rsidR="00527850" w:rsidRPr="00942D62">
        <w:t xml:space="preserve">.  </w:t>
      </w:r>
      <w:r w:rsidR="00DA30A3">
        <w:t>The</w:t>
      </w:r>
      <w:r w:rsidR="001B7547">
        <w:t xml:space="preserve"> </w:t>
      </w:r>
      <w:r w:rsidR="00527850" w:rsidRPr="00942D62">
        <w:t>Medi</w:t>
      </w:r>
      <w:r w:rsidR="001B7547">
        <w:t>a Bureau</w:t>
      </w:r>
      <w:r w:rsidR="00527850" w:rsidRPr="00942D62">
        <w:t xml:space="preserve"> responded that KFWR’s construction permit was granted in May 2012 without objection, that no contour overlap occurred between these two stations, and that the </w:t>
      </w:r>
      <w:r w:rsidR="001B7547">
        <w:t xml:space="preserve">record, including low-resolution black-and-white photographs provided by Lake, did not demonstrate that KFWR was using </w:t>
      </w:r>
      <w:r w:rsidR="00527850" w:rsidRPr="00942D62">
        <w:t>a directional antenna or parasitic antenna elements.</w:t>
      </w:r>
      <w:r w:rsidR="00527850" w:rsidRPr="00942D62">
        <w:rPr>
          <w:rStyle w:val="FootnoteReference"/>
        </w:rPr>
        <w:footnoteReference w:id="10"/>
      </w:r>
    </w:p>
    <w:p w:rsidR="00527850" w:rsidRDefault="00081019" w:rsidP="00DB31C5">
      <w:pPr>
        <w:pStyle w:val="ParaNum"/>
        <w:keepNext/>
        <w:widowControl/>
      </w:pPr>
      <w:r>
        <w:t>In its C</w:t>
      </w:r>
      <w:r w:rsidR="00DA30A3">
        <w:t xml:space="preserve">omplaint, Lake </w:t>
      </w:r>
      <w:r w:rsidR="00DA2B1D" w:rsidRPr="00942D62">
        <w:t>include</w:t>
      </w:r>
      <w:r w:rsidR="00242580">
        <w:t>s</w:t>
      </w:r>
      <w:r w:rsidR="00DA30A3">
        <w:t xml:space="preserve"> additional information</w:t>
      </w:r>
      <w:r w:rsidR="00DA2B1D" w:rsidRPr="00942D62">
        <w:t xml:space="preserve"> in support of its interference </w:t>
      </w:r>
      <w:r w:rsidR="00C40AC7">
        <w:t>allegations</w:t>
      </w:r>
      <w:r w:rsidR="00DA2B1D" w:rsidRPr="00942D62">
        <w:t xml:space="preserve">.   </w:t>
      </w:r>
      <w:r w:rsidR="00242580">
        <w:t>Attached to the</w:t>
      </w:r>
      <w:r w:rsidR="00DA2B1D" w:rsidRPr="00942D62">
        <w:t xml:space="preserve"> </w:t>
      </w:r>
      <w:r w:rsidR="00C40AC7">
        <w:t xml:space="preserve">Lake Complaint </w:t>
      </w:r>
      <w:r w:rsidR="00242580">
        <w:t>are</w:t>
      </w:r>
      <w:r w:rsidR="00DA2B1D" w:rsidRPr="00942D62">
        <w:t xml:space="preserve"> clear color photographs showing the KFWR tower and antenna and the use of vertical parasitic elements on the antenna.  It also include</w:t>
      </w:r>
      <w:r w:rsidR="00242580">
        <w:t>s</w:t>
      </w:r>
      <w:r w:rsidR="00DA2B1D" w:rsidRPr="00942D62">
        <w:t xml:space="preserve"> the “manufacturer sourced final pattern</w:t>
      </w:r>
      <w:r w:rsidR="00C40AC7">
        <w:t>,</w:t>
      </w:r>
      <w:r w:rsidR="00DA2B1D" w:rsidRPr="00942D62">
        <w:t xml:space="preserve">” </w:t>
      </w:r>
      <w:r w:rsidR="00242580">
        <w:t>under the letter</w:t>
      </w:r>
      <w:r w:rsidR="00C40AC7">
        <w:t>head of</w:t>
      </w:r>
      <w:r w:rsidR="00DA2B1D" w:rsidRPr="00942D62">
        <w:t xml:space="preserve"> Electronic Research, Inc. (“ERI”)</w:t>
      </w:r>
      <w:r w:rsidR="00C40AC7">
        <w:t>, the KFWR antenna manufacturer</w:t>
      </w:r>
      <w:r w:rsidR="00DA2B1D" w:rsidRPr="00942D62">
        <w:t>.  This antenna pattern plot show</w:t>
      </w:r>
      <w:r w:rsidR="00242580">
        <w:t>s</w:t>
      </w:r>
      <w:r w:rsidR="00DA2B1D" w:rsidRPr="00942D62">
        <w:t xml:space="preserve"> a radiation pat</w:t>
      </w:r>
      <w:r w:rsidR="009E1093">
        <w:t xml:space="preserve">tern for KFWR that </w:t>
      </w:r>
      <w:r w:rsidR="00242580">
        <w:t>is</w:t>
      </w:r>
      <w:r w:rsidR="009E1093">
        <w:t xml:space="preserve"> far from non-</w:t>
      </w:r>
      <w:r w:rsidR="00DA2B1D" w:rsidRPr="00942D62">
        <w:t>directional.</w:t>
      </w:r>
      <w:r w:rsidR="00DA2B1D" w:rsidRPr="00942D62">
        <w:rPr>
          <w:rStyle w:val="FootnoteReference"/>
        </w:rPr>
        <w:footnoteReference w:id="11"/>
      </w:r>
      <w:r w:rsidR="00DA2B1D" w:rsidRPr="00942D62">
        <w:t xml:space="preserve">  The </w:t>
      </w:r>
      <w:r w:rsidR="009E1093">
        <w:t>Lake Complaint</w:t>
      </w:r>
      <w:r w:rsidR="00DA2B1D" w:rsidRPr="00942D62">
        <w:t xml:space="preserve"> also </w:t>
      </w:r>
      <w:r w:rsidR="009E1093">
        <w:t>include</w:t>
      </w:r>
      <w:r w:rsidR="00242580">
        <w:t>s</w:t>
      </w:r>
      <w:r w:rsidR="00DA2B1D" w:rsidRPr="00942D62">
        <w:t xml:space="preserve"> two contour plots, one</w:t>
      </w:r>
      <w:r w:rsidR="009E1093">
        <w:t xml:space="preserve"> </w:t>
      </w:r>
      <w:r w:rsidR="009E1093" w:rsidRPr="00942D62">
        <w:t xml:space="preserve">using </w:t>
      </w:r>
      <w:r w:rsidR="009E1093">
        <w:t>KFWR’s</w:t>
      </w:r>
      <w:r w:rsidR="009E1093" w:rsidRPr="00942D62">
        <w:t xml:space="preserve"> licensed non</w:t>
      </w:r>
      <w:r w:rsidR="009E1093">
        <w:t>-</w:t>
      </w:r>
      <w:r w:rsidR="009E1093" w:rsidRPr="00942D62">
        <w:t>directional pattern</w:t>
      </w:r>
      <w:r w:rsidR="00DA2B1D" w:rsidRPr="00942D62">
        <w:t xml:space="preserve"> </w:t>
      </w:r>
      <w:r w:rsidR="009E1093">
        <w:t xml:space="preserve">and </w:t>
      </w:r>
      <w:r w:rsidR="00DA2B1D" w:rsidRPr="00942D62">
        <w:t xml:space="preserve">showing no contour overlap between KFWR and </w:t>
      </w:r>
      <w:r w:rsidR="001927CA">
        <w:t>KCKL</w:t>
      </w:r>
      <w:r w:rsidR="00DA2B1D" w:rsidRPr="00942D62">
        <w:t>, and a second showing co</w:t>
      </w:r>
      <w:r w:rsidR="009E1093">
        <w:t>-</w:t>
      </w:r>
      <w:r w:rsidR="00DA2B1D" w:rsidRPr="00942D62">
        <w:t xml:space="preserve">channel contour overlap created by the </w:t>
      </w:r>
      <w:r w:rsidR="009D4C32">
        <w:t xml:space="preserve">antenna pattern shown in the </w:t>
      </w:r>
      <w:r w:rsidR="00DA2B1D" w:rsidRPr="00942D62">
        <w:t xml:space="preserve">ERI </w:t>
      </w:r>
      <w:r w:rsidR="009D4C32">
        <w:t>documents</w:t>
      </w:r>
      <w:r w:rsidR="00DA2B1D" w:rsidRPr="00942D62">
        <w:t>.</w:t>
      </w:r>
      <w:r w:rsidR="00DA2B1D" w:rsidRPr="00942D62">
        <w:rPr>
          <w:rStyle w:val="FootnoteReference"/>
        </w:rPr>
        <w:footnoteReference w:id="12"/>
      </w:r>
      <w:r w:rsidR="00DA2B1D" w:rsidRPr="00942D62">
        <w:t xml:space="preserve">  The latter plot show</w:t>
      </w:r>
      <w:r w:rsidR="00242580">
        <w:t>s</w:t>
      </w:r>
      <w:r w:rsidR="00DA2B1D" w:rsidRPr="00942D62">
        <w:t xml:space="preserve"> KFWR’s actual 40 dB</w:t>
      </w:r>
      <w:r>
        <w:t>µ</w:t>
      </w:r>
      <w:r w:rsidR="00DA2B1D" w:rsidRPr="00942D62">
        <w:t xml:space="preserve"> interfering contour overlapping the 60 dB</w:t>
      </w:r>
      <w:r>
        <w:t>µ</w:t>
      </w:r>
      <w:r w:rsidR="00DA2B1D" w:rsidRPr="00942D62">
        <w:t xml:space="preserve"> protected service contour of KCK</w:t>
      </w:r>
      <w:r w:rsidR="00DB0EE5">
        <w:t>L, covering approximately 30 percent</w:t>
      </w:r>
      <w:r w:rsidR="00DA2B1D" w:rsidRPr="00942D62">
        <w:t xml:space="preserve"> of KCKL’s 60 dB</w:t>
      </w:r>
      <w:r w:rsidR="00DB0EE5">
        <w:t>µ</w:t>
      </w:r>
      <w:r w:rsidR="00DA2B1D" w:rsidRPr="00942D62">
        <w:t xml:space="preserve"> service area toward the west.   </w:t>
      </w:r>
      <w:r w:rsidR="0090161A">
        <w:t>Lake</w:t>
      </w:r>
      <w:r w:rsidR="00DA2B1D" w:rsidRPr="00942D62">
        <w:t xml:space="preserve"> </w:t>
      </w:r>
      <w:r w:rsidR="009D4C32">
        <w:t>urge</w:t>
      </w:r>
      <w:r w:rsidR="00242580">
        <w:t>s</w:t>
      </w:r>
      <w:r w:rsidR="00DA2B1D" w:rsidRPr="00942D62">
        <w:t xml:space="preserve"> the Commission to require KFWR to correct the conditions causing the alleged signal interference </w:t>
      </w:r>
      <w:r w:rsidR="009D4C32">
        <w:t xml:space="preserve">to </w:t>
      </w:r>
      <w:r w:rsidR="001927CA">
        <w:t>KCKL</w:t>
      </w:r>
      <w:r w:rsidR="00DA2B1D" w:rsidRPr="00942D62">
        <w:t>.</w:t>
      </w:r>
      <w:r w:rsidR="00DD2EED">
        <w:t xml:space="preserve"> </w:t>
      </w:r>
    </w:p>
    <w:p w:rsidR="00DA2B1D" w:rsidRDefault="00DA2B1D" w:rsidP="00DB31C5">
      <w:pPr>
        <w:pStyle w:val="ParaNum"/>
        <w:keepNext/>
        <w:widowControl/>
      </w:pPr>
      <w:r w:rsidRPr="00942D62">
        <w:t xml:space="preserve">With </w:t>
      </w:r>
      <w:r w:rsidR="0090161A">
        <w:t>Lake</w:t>
      </w:r>
      <w:r w:rsidRPr="00942D62">
        <w:t xml:space="preserve">’s permission, on November 4, 2013, the staff forwarded the </w:t>
      </w:r>
      <w:r w:rsidR="009D4C32">
        <w:t>Lake Complaint</w:t>
      </w:r>
      <w:r w:rsidRPr="00942D62">
        <w:t xml:space="preserve"> to LKCM for comment.</w:t>
      </w:r>
      <w:r w:rsidR="00242580">
        <w:rPr>
          <w:rStyle w:val="FootnoteReference"/>
        </w:rPr>
        <w:footnoteReference w:id="13"/>
      </w:r>
      <w:r w:rsidRPr="00942D62">
        <w:t xml:space="preserve">  </w:t>
      </w:r>
      <w:r w:rsidRPr="009D4C32">
        <w:t xml:space="preserve">LKCM </w:t>
      </w:r>
      <w:r w:rsidR="009D4C32">
        <w:t xml:space="preserve">filed its </w:t>
      </w:r>
      <w:r w:rsidRPr="009D4C32">
        <w:t>Initial Response</w:t>
      </w:r>
      <w:r w:rsidRPr="00942D62">
        <w:t xml:space="preserve"> on December 4, 2013.  LKCM advise</w:t>
      </w:r>
      <w:r w:rsidR="00242580">
        <w:t>s</w:t>
      </w:r>
      <w:r w:rsidRPr="00942D62">
        <w:t xml:space="preserve"> that the directional antenna pattern </w:t>
      </w:r>
      <w:r w:rsidR="009D4C32">
        <w:t>attached to the</w:t>
      </w:r>
      <w:r w:rsidRPr="00942D62">
        <w:t xml:space="preserve"> </w:t>
      </w:r>
      <w:r w:rsidR="0090161A">
        <w:t>Lake</w:t>
      </w:r>
      <w:r w:rsidRPr="00942D62">
        <w:t xml:space="preserve"> </w:t>
      </w:r>
      <w:r w:rsidR="009D4C32">
        <w:t xml:space="preserve">Complaint </w:t>
      </w:r>
      <w:r w:rsidRPr="00942D62">
        <w:t>was an interim pattern only, of unknown provenance, and was not the final pattern used.</w:t>
      </w:r>
      <w:r w:rsidRPr="00942D62">
        <w:rPr>
          <w:rStyle w:val="FootnoteReference"/>
        </w:rPr>
        <w:footnoteReference w:id="14"/>
      </w:r>
      <w:r w:rsidRPr="00942D62">
        <w:t xml:space="preserve">  LKCM </w:t>
      </w:r>
      <w:r w:rsidR="006041BB">
        <w:t>contends</w:t>
      </w:r>
      <w:r w:rsidRPr="00942D62">
        <w:t xml:space="preserve"> that the second contour plot provided by </w:t>
      </w:r>
      <w:r w:rsidR="0090161A">
        <w:t>Lake</w:t>
      </w:r>
      <w:r w:rsidRPr="00942D62">
        <w:t xml:space="preserve"> (showing contour overlap) would only be valid if KFWR had been authorized pursuant to the contour protection rule, Section 73.215,</w:t>
      </w:r>
      <w:r w:rsidR="0080559C">
        <w:rPr>
          <w:rStyle w:val="FootnoteReference"/>
        </w:rPr>
        <w:footnoteReference w:id="15"/>
      </w:r>
      <w:r w:rsidRPr="00942D62">
        <w:t xml:space="preserve"> </w:t>
      </w:r>
      <w:r w:rsidR="006041BB">
        <w:t>which it</w:t>
      </w:r>
      <w:r w:rsidRPr="00942D62">
        <w:t xml:space="preserve"> was not.  LKCM acknowledges that </w:t>
      </w:r>
      <w:r w:rsidR="006041BB">
        <w:t>David</w:t>
      </w:r>
      <w:r w:rsidRPr="00942D62">
        <w:t xml:space="preserve"> Gates</w:t>
      </w:r>
      <w:r w:rsidR="006041BB">
        <w:t xml:space="preserve">, </w:t>
      </w:r>
      <w:r w:rsidR="0090161A">
        <w:t>Lake</w:t>
      </w:r>
      <w:r w:rsidR="006041BB">
        <w:t>’s president, had contacted LKCM officials</w:t>
      </w:r>
      <w:r w:rsidRPr="00942D62">
        <w:t xml:space="preserve"> and met with them, and</w:t>
      </w:r>
      <w:r w:rsidR="006041BB">
        <w:t xml:space="preserve"> that </w:t>
      </w:r>
      <w:r w:rsidR="009F666C">
        <w:t>LKCM</w:t>
      </w:r>
      <w:r w:rsidR="006041BB">
        <w:t xml:space="preserve"> had</w:t>
      </w:r>
      <w:r w:rsidRPr="00942D62">
        <w:t xml:space="preserve"> “declined his </w:t>
      </w:r>
      <w:r w:rsidRPr="00942D62">
        <w:lastRenderedPageBreak/>
        <w:t>requests.”</w:t>
      </w:r>
      <w:r w:rsidR="006041BB">
        <w:rPr>
          <w:rStyle w:val="FootnoteReference"/>
        </w:rPr>
        <w:footnoteReference w:id="16"/>
      </w:r>
      <w:r w:rsidRPr="00942D62">
        <w:t xml:space="preserve">  LKCM’s Chief Engineer </w:t>
      </w:r>
      <w:r w:rsidR="00853641">
        <w:t>further state</w:t>
      </w:r>
      <w:r w:rsidR="00242580">
        <w:t>s</w:t>
      </w:r>
      <w:r w:rsidR="00853641">
        <w:t xml:space="preserve"> that he </w:t>
      </w:r>
      <w:r w:rsidRPr="00942D62">
        <w:t xml:space="preserve">“can certify that </w:t>
      </w:r>
      <w:r w:rsidR="00853641">
        <w:t>[the]</w:t>
      </w:r>
      <w:r w:rsidRPr="00942D62">
        <w:t xml:space="preserve"> KFWR transmitter has operated within the required TPO range to meet</w:t>
      </w:r>
      <w:r>
        <w:t>, and not exceed, Licensed ERP of</w:t>
      </w:r>
      <w:r w:rsidRPr="00942D62">
        <w:t xml:space="preserve"> 100 </w:t>
      </w:r>
      <w:r>
        <w:t>k</w:t>
      </w:r>
      <w:r w:rsidRPr="00942D62">
        <w:t>W.”</w:t>
      </w:r>
      <w:r w:rsidRPr="00942D62">
        <w:rPr>
          <w:rStyle w:val="FootnoteReference"/>
        </w:rPr>
        <w:footnoteReference w:id="17"/>
      </w:r>
    </w:p>
    <w:p w:rsidR="00DA2B1D" w:rsidRDefault="002A17F7" w:rsidP="00DB31C5">
      <w:pPr>
        <w:pStyle w:val="ParaNum"/>
        <w:keepNext/>
        <w:widowControl/>
      </w:pPr>
      <w:r w:rsidRPr="00942D62">
        <w:t xml:space="preserve">The </w:t>
      </w:r>
      <w:r w:rsidRPr="00853641">
        <w:t>LKCM Initial Response</w:t>
      </w:r>
      <w:r w:rsidRPr="00942D62">
        <w:t xml:space="preserve"> includes a statement from ERI’s president, Mr. Thomas Silliman, acknowledging that KFWR’s antenna “was mounted in a favorable direction, but </w:t>
      </w:r>
      <w:r w:rsidR="00EA1899">
        <w:t>. . .</w:t>
      </w:r>
      <w:r w:rsidRPr="00942D62">
        <w:t xml:space="preserve"> has not been directionalized and therefore is legal.”</w:t>
      </w:r>
      <w:r w:rsidRPr="00942D62">
        <w:rPr>
          <w:rStyle w:val="FootnoteReference"/>
        </w:rPr>
        <w:footnoteReference w:id="18"/>
      </w:r>
      <w:r w:rsidRPr="00942D62">
        <w:t xml:space="preserve"> </w:t>
      </w:r>
      <w:r w:rsidR="00853641">
        <w:t xml:space="preserve"> Mr. Silliman </w:t>
      </w:r>
      <w:r w:rsidRPr="00942D62">
        <w:t>add</w:t>
      </w:r>
      <w:r w:rsidR="00242580">
        <w:t>s</w:t>
      </w:r>
      <w:r w:rsidR="00BE5922">
        <w:t xml:space="preserve"> that the custom l</w:t>
      </w:r>
      <w:r w:rsidR="00C05309">
        <w:t>ambda tower at the top of the new KFWR tower was specifically designed for operation at KFWR’s frequency of 95.9 MHz, and that the tower’s lattice structure is “repetitive at the half wave of the specified FM frequency.”</w:t>
      </w:r>
      <w:r w:rsidR="00C05309">
        <w:rPr>
          <w:rStyle w:val="FootnoteReference"/>
        </w:rPr>
        <w:footnoteReference w:id="19"/>
      </w:r>
      <w:r w:rsidR="00C05309">
        <w:t xml:space="preserve">  Thus, “if one picks a favorable mounting position on the tower, every element in the array sees the same favorable mounting result.</w:t>
      </w:r>
      <w:r w:rsidR="00C05309">
        <w:rPr>
          <w:rStyle w:val="FootnoteReference"/>
        </w:rPr>
        <w:footnoteReference w:id="20"/>
      </w:r>
      <w:r w:rsidR="00C05309">
        <w:t xml:space="preserve">  </w:t>
      </w:r>
      <w:r w:rsidR="00853641">
        <w:t>Mr. Silliman</w:t>
      </w:r>
      <w:r w:rsidRPr="00942D62">
        <w:t xml:space="preserve"> </w:t>
      </w:r>
      <w:r w:rsidR="00853641">
        <w:t>also state</w:t>
      </w:r>
      <w:r w:rsidR="00242580">
        <w:t>s</w:t>
      </w:r>
      <w:r w:rsidRPr="00942D62">
        <w:t xml:space="preserve"> that vertical parasitic elements are use</w:t>
      </w:r>
      <w:r w:rsidR="00091039">
        <w:t>d</w:t>
      </w:r>
      <w:r w:rsidRPr="00942D62">
        <w:t xml:space="preserve"> to make the vertical radiation pattern “more circular” and reduce the vertically polarized gain to the east.</w:t>
      </w:r>
      <w:r w:rsidR="000A32DB">
        <w:rPr>
          <w:rStyle w:val="FootnoteReference"/>
        </w:rPr>
        <w:footnoteReference w:id="21"/>
      </w:r>
      <w:r w:rsidRPr="00942D62">
        <w:t xml:space="preserve">  </w:t>
      </w:r>
      <w:r w:rsidR="00242580">
        <w:t xml:space="preserve">In a subsequent pleading, </w:t>
      </w:r>
      <w:r w:rsidRPr="00942D62">
        <w:t>ERI</w:t>
      </w:r>
      <w:r w:rsidR="00BD05D3">
        <w:t xml:space="preserve"> elaborate</w:t>
      </w:r>
      <w:r w:rsidR="00242580">
        <w:t>s</w:t>
      </w:r>
      <w:r w:rsidR="00BD05D3">
        <w:t xml:space="preserve"> that it</w:t>
      </w:r>
      <w:r w:rsidRPr="00942D62">
        <w:t>s computed val</w:t>
      </w:r>
      <w:r>
        <w:t>u</w:t>
      </w:r>
      <w:r w:rsidRPr="00942D62">
        <w:t xml:space="preserve">es “are relative to an RMS </w:t>
      </w:r>
      <w:r w:rsidR="00BD05D3">
        <w:t xml:space="preserve">measured </w:t>
      </w:r>
      <w:r w:rsidRPr="00942D62">
        <w:t>field of 1.0.”</w:t>
      </w:r>
      <w:r w:rsidRPr="00942D62">
        <w:rPr>
          <w:rStyle w:val="FootnoteReference"/>
        </w:rPr>
        <w:footnoteReference w:id="22"/>
      </w:r>
      <w:r w:rsidRPr="00942D62">
        <w:t xml:space="preserve">  </w:t>
      </w:r>
      <w:r w:rsidR="00091039">
        <w:t xml:space="preserve">Mr. Silliman </w:t>
      </w:r>
      <w:r w:rsidR="00C23EDB">
        <w:t>concede</w:t>
      </w:r>
      <w:r w:rsidR="00242580">
        <w:t>s</w:t>
      </w:r>
      <w:r w:rsidR="00C23EDB">
        <w:t xml:space="preserve"> that the mounting of the antenna on a certain tower face constitutes</w:t>
      </w:r>
      <w:r w:rsidRPr="00942D62">
        <w:t xml:space="preserve"> “pattern optimization</w:t>
      </w:r>
      <w:r w:rsidR="000A32DB">
        <w:t>,”</w:t>
      </w:r>
      <w:r w:rsidR="00EA1899">
        <w:rPr>
          <w:rStyle w:val="FootnoteReference"/>
        </w:rPr>
        <w:footnoteReference w:id="23"/>
      </w:r>
      <w:r w:rsidRPr="00942D62">
        <w:t xml:space="preserve"> </w:t>
      </w:r>
      <w:r w:rsidR="00242580">
        <w:t>arguing later that this</w:t>
      </w:r>
      <w:r w:rsidR="00C23EDB">
        <w:t xml:space="preserve"> is a common practice used by all antenna manufacturers,</w:t>
      </w:r>
      <w:r w:rsidR="00C23EDB">
        <w:rPr>
          <w:rStyle w:val="FootnoteReference"/>
        </w:rPr>
        <w:footnoteReference w:id="24"/>
      </w:r>
      <w:r w:rsidR="00C23EDB">
        <w:t xml:space="preserve"> but</w:t>
      </w:r>
      <w:r w:rsidRPr="00942D62">
        <w:t xml:space="preserve"> state</w:t>
      </w:r>
      <w:r w:rsidR="00242580">
        <w:t>s</w:t>
      </w:r>
      <w:r w:rsidRPr="00942D62">
        <w:t xml:space="preserve"> that it is the </w:t>
      </w:r>
      <w:r w:rsidR="00C23EDB">
        <w:t xml:space="preserve">ERI’s </w:t>
      </w:r>
      <w:r w:rsidRPr="00942D62">
        <w:t xml:space="preserve">policy “not </w:t>
      </w:r>
      <w:r w:rsidR="00C23EDB">
        <w:t xml:space="preserve">[to] </w:t>
      </w:r>
      <w:r w:rsidRPr="00942D62">
        <w:t>increase the directivity of the antenna pattern.”</w:t>
      </w:r>
      <w:r w:rsidR="00C23EDB">
        <w:rPr>
          <w:rStyle w:val="FootnoteReference"/>
        </w:rPr>
        <w:footnoteReference w:id="25"/>
      </w:r>
    </w:p>
    <w:p w:rsidR="002A17F7" w:rsidRDefault="00D17BA5" w:rsidP="00DB31C5">
      <w:pPr>
        <w:pStyle w:val="ParaNum"/>
        <w:keepNext/>
        <w:widowControl/>
      </w:pPr>
      <w:r>
        <w:t xml:space="preserve">The </w:t>
      </w:r>
      <w:r w:rsidR="002A17F7" w:rsidRPr="00D17BA5">
        <w:t>LKCM Initial Response</w:t>
      </w:r>
      <w:r w:rsidR="002A17F7" w:rsidRPr="00942D62">
        <w:t xml:space="preserve"> </w:t>
      </w:r>
      <w:r w:rsidR="00D4064C">
        <w:t xml:space="preserve">also </w:t>
      </w:r>
      <w:r w:rsidR="002A17F7" w:rsidRPr="00942D62">
        <w:t>includes the conclusions of a consulting engineer retained to evaluate the reported interference.</w:t>
      </w:r>
      <w:r w:rsidR="002A17F7" w:rsidRPr="00942D62">
        <w:rPr>
          <w:rStyle w:val="FootnoteReference"/>
        </w:rPr>
        <w:footnoteReference w:id="26"/>
      </w:r>
      <w:r w:rsidR="002A17F7" w:rsidRPr="00942D62">
        <w:t xml:space="preserve">  LKCM’s consulting engineer “detected no interference by KFWR to KCKL during </w:t>
      </w:r>
      <w:r w:rsidR="00FA1D6F">
        <w:t>five</w:t>
      </w:r>
      <w:r w:rsidR="002A17F7" w:rsidRPr="00942D62">
        <w:t xml:space="preserve"> hours of listening tests undertaken on two separate days, under different weather conditions, driving throughout a wide area of countryside between the two stations.”</w:t>
      </w:r>
      <w:r>
        <w:rPr>
          <w:rStyle w:val="FootnoteReference"/>
        </w:rPr>
        <w:footnoteReference w:id="27"/>
      </w:r>
      <w:r w:rsidR="002A17F7" w:rsidRPr="00942D62">
        <w:t xml:space="preserve">  Finally, in response to </w:t>
      </w:r>
      <w:r w:rsidR="00D4064C">
        <w:t xml:space="preserve">the staff’s request </w:t>
      </w:r>
      <w:r w:rsidR="00242580">
        <w:t>that LKCM calculate</w:t>
      </w:r>
      <w:r w:rsidR="002A17F7" w:rsidRPr="00942D62">
        <w:t xml:space="preserve"> the transmitter power output (</w:t>
      </w:r>
      <w:r w:rsidR="00D4064C">
        <w:t>“</w:t>
      </w:r>
      <w:r w:rsidR="002A17F7" w:rsidRPr="00942D62">
        <w:t>TPO</w:t>
      </w:r>
      <w:r w:rsidR="00D4064C">
        <w:t>”</w:t>
      </w:r>
      <w:r w:rsidR="002A17F7" w:rsidRPr="00942D62">
        <w:t>) in any direction (assuming an effective radiated power of 100 kW in any direction), LKCM explain</w:t>
      </w:r>
      <w:r>
        <w:t xml:space="preserve">s that the “accepted practice” </w:t>
      </w:r>
      <w:r w:rsidR="002A17F7" w:rsidRPr="00942D62">
        <w:t>is that the “TPO is calculated using the RMS gain of the antenna determined by the antenna manufacturer” with power added to compensate for transmission system losses.</w:t>
      </w:r>
      <w:r w:rsidR="00FA1D6F">
        <w:rPr>
          <w:rStyle w:val="FootnoteReference"/>
        </w:rPr>
        <w:footnoteReference w:id="28"/>
      </w:r>
    </w:p>
    <w:p w:rsidR="002A17F7" w:rsidRDefault="002A17F7" w:rsidP="00DB31C5">
      <w:pPr>
        <w:pStyle w:val="ParaNum"/>
        <w:keepNext/>
        <w:widowControl/>
      </w:pPr>
      <w:r w:rsidRPr="00942D62">
        <w:t xml:space="preserve">In the </w:t>
      </w:r>
      <w:r w:rsidR="0090161A" w:rsidRPr="00FA1D6F">
        <w:t>Lake</w:t>
      </w:r>
      <w:r w:rsidRPr="00FA1D6F">
        <w:t xml:space="preserve"> Response</w:t>
      </w:r>
      <w:r w:rsidRPr="00942D62">
        <w:t xml:space="preserve">, </w:t>
      </w:r>
      <w:r w:rsidR="0090161A">
        <w:t>Lake</w:t>
      </w:r>
      <w:r w:rsidRPr="00942D62">
        <w:t xml:space="preserve"> acknowledges LKCM’s statement that it has been common practice for licensees to take advantage of tower reflections created by side-mounted antennas, but argues that </w:t>
      </w:r>
      <w:r w:rsidR="000C758C">
        <w:t xml:space="preserve">when </w:t>
      </w:r>
      <w:r w:rsidRPr="00942D62">
        <w:t xml:space="preserve">the </w:t>
      </w:r>
      <w:r w:rsidR="000C758C">
        <w:t>practice</w:t>
      </w:r>
      <w:r w:rsidRPr="00942D62">
        <w:t xml:space="preserve"> </w:t>
      </w:r>
      <w:r w:rsidR="000C758C">
        <w:t xml:space="preserve">“is </w:t>
      </w:r>
      <w:r w:rsidRPr="00942D62">
        <w:t>taken to such an extreme that the resulting radiation, clearly intentionally directionalized, creates interference within the protected contour of a station that is entitled to protection afforded a fully spaced station</w:t>
      </w:r>
      <w:r w:rsidR="004607E0">
        <w:t>, an abuse of that ‘common practice’ has occurred</w:t>
      </w:r>
      <w:r w:rsidRPr="00942D62">
        <w:t>.”</w:t>
      </w:r>
      <w:r w:rsidRPr="00942D62">
        <w:rPr>
          <w:rStyle w:val="FootnoteReference"/>
        </w:rPr>
        <w:footnoteReference w:id="29"/>
      </w:r>
      <w:r w:rsidRPr="00942D62">
        <w:t xml:space="preserve">  </w:t>
      </w:r>
      <w:r w:rsidR="0090161A">
        <w:t>Lake</w:t>
      </w:r>
      <w:r w:rsidRPr="00942D62">
        <w:t xml:space="preserve"> points out </w:t>
      </w:r>
      <w:r w:rsidR="00DB06E0">
        <w:t xml:space="preserve">that </w:t>
      </w:r>
      <w:r w:rsidRPr="00942D62">
        <w:t>KFWR’s community of license, Jacksboro, TX, lies almost in the opposite direction from the maximum radiation of the KFWR antenna</w:t>
      </w:r>
      <w:r w:rsidR="00D4064C">
        <w:t>,</w:t>
      </w:r>
      <w:r w:rsidRPr="00942D62">
        <w:t xml:space="preserve"> which is oriented toward the much larger </w:t>
      </w:r>
      <w:r w:rsidR="00D4064C">
        <w:t>Dallas/Fort Worth</w:t>
      </w:r>
      <w:r w:rsidRPr="00942D62">
        <w:t xml:space="preserve"> market.</w:t>
      </w:r>
      <w:r w:rsidRPr="00942D62">
        <w:rPr>
          <w:rStyle w:val="FootnoteReference"/>
        </w:rPr>
        <w:footnoteReference w:id="30"/>
      </w:r>
      <w:r w:rsidRPr="00942D62">
        <w:t xml:space="preserve">  </w:t>
      </w:r>
      <w:r w:rsidR="0090161A">
        <w:t>Lake</w:t>
      </w:r>
      <w:r w:rsidRPr="00942D62">
        <w:t>’s consulting engineer computes that KFWR is radiating a maximum of 262.4 kW ERP horizontally polarized and 274.5 kW vertically polarized</w:t>
      </w:r>
      <w:r w:rsidR="00D4064C">
        <w:t xml:space="preserve"> in that direction</w:t>
      </w:r>
      <w:r w:rsidRPr="00942D62">
        <w:t xml:space="preserve">, </w:t>
      </w:r>
      <w:r w:rsidR="00D4064C">
        <w:t>concluding</w:t>
      </w:r>
      <w:r w:rsidRPr="00942D62">
        <w:t xml:space="preserve"> that the current KFWR radiation pattern was not the unintentional result of side mounting but instead the result of a planned, “optimized” installation.</w:t>
      </w:r>
      <w:r w:rsidRPr="00942D62">
        <w:rPr>
          <w:rStyle w:val="FootnoteReference"/>
        </w:rPr>
        <w:footnoteReference w:id="31"/>
      </w:r>
      <w:r w:rsidRPr="00942D62">
        <w:t xml:space="preserve">  Robert R. Surette of Shively Labs, an antenna manufacturer, </w:t>
      </w:r>
      <w:r w:rsidR="00D4064C">
        <w:t xml:space="preserve">likewise </w:t>
      </w:r>
      <w:r w:rsidR="00A0438C">
        <w:t>opines</w:t>
      </w:r>
      <w:r w:rsidRPr="00942D62">
        <w:t xml:space="preserve"> that the KFWR “optimized pattern represents some of the best broadcast patterns that can be reasonably achieved for a formal FCC directional </w:t>
      </w:r>
      <w:r w:rsidR="006669F1">
        <w:t>requirement</w:t>
      </w:r>
      <w:r w:rsidRPr="00942D62">
        <w:t>.”</w:t>
      </w:r>
      <w:r w:rsidRPr="00942D62">
        <w:rPr>
          <w:rStyle w:val="FootnoteReference"/>
        </w:rPr>
        <w:footnoteReference w:id="32"/>
      </w:r>
      <w:r w:rsidRPr="00942D62">
        <w:t xml:space="preserve">  Mr. Surette points out that while the “generally accepted limits on an omni-d</w:t>
      </w:r>
      <w:r w:rsidR="00D4064C">
        <w:t>irectional antenna are +/-2 dB,”</w:t>
      </w:r>
      <w:r w:rsidRPr="00942D62">
        <w:t xml:space="preserve"> the “pattern optimized” KFWR antenna installation has a gain of 4.385 dB</w:t>
      </w:r>
      <w:r w:rsidR="00D4064C">
        <w:t>,</w:t>
      </w:r>
      <w:r w:rsidRPr="00942D62">
        <w:t xml:space="preserve"> “which represents almost the maximum gain that can be developed by a side-mount antenna.”</w:t>
      </w:r>
      <w:r w:rsidR="00142C36">
        <w:rPr>
          <w:rStyle w:val="FootnoteReference"/>
        </w:rPr>
        <w:footnoteReference w:id="33"/>
      </w:r>
      <w:r w:rsidRPr="00942D62">
        <w:t xml:space="preserve">  </w:t>
      </w:r>
      <w:r w:rsidR="0090161A">
        <w:t>Lake</w:t>
      </w:r>
      <w:r w:rsidRPr="00942D62">
        <w:t>’s engineering consultant</w:t>
      </w:r>
      <w:r w:rsidR="009F0321">
        <w:t xml:space="preserve"> Everist</w:t>
      </w:r>
      <w:r w:rsidRPr="00942D62">
        <w:t xml:space="preserve"> observe</w:t>
      </w:r>
      <w:r>
        <w:t>s</w:t>
      </w:r>
      <w:r w:rsidRPr="00942D62">
        <w:t xml:space="preserve"> that the maximum-to-minimum power ratio for the KFWR antenna is 19.</w:t>
      </w:r>
      <w:r>
        <w:t>1</w:t>
      </w:r>
      <w:r w:rsidRPr="00942D62">
        <w:t>8 dB for the horizontally polarized component and 11.2 dB for the vertically polarized component, with a maximum relative field value of 1.62 for the horizontally polarized component and 1.657 for the vertically polarized component.</w:t>
      </w:r>
      <w:r w:rsidR="00142C36">
        <w:rPr>
          <w:rStyle w:val="FootnoteReference"/>
        </w:rPr>
        <w:footnoteReference w:id="34"/>
      </w:r>
    </w:p>
    <w:p w:rsidR="002A17F7" w:rsidRPr="00942D62" w:rsidRDefault="00C276D9" w:rsidP="00DB31C5">
      <w:pPr>
        <w:pStyle w:val="ParaNum"/>
        <w:keepNext/>
        <w:widowControl/>
        <w:tabs>
          <w:tab w:val="left" w:pos="-720"/>
        </w:tabs>
        <w:suppressAutoHyphens/>
        <w:spacing w:line="225" w:lineRule="auto"/>
      </w:pPr>
      <w:r>
        <w:t xml:space="preserve">In support of its position that the KFWR </w:t>
      </w:r>
      <w:r w:rsidR="001927CA">
        <w:t>antenna</w:t>
      </w:r>
      <w:r>
        <w:t xml:space="preserve"> should be regarded as directional, </w:t>
      </w:r>
      <w:r w:rsidR="0090161A">
        <w:t>Lake</w:t>
      </w:r>
      <w:r w:rsidR="002A17F7" w:rsidRPr="00942D62">
        <w:t xml:space="preserve"> cites to the Commission’s September 14, 1984</w:t>
      </w:r>
      <w:r w:rsidR="005C63B9">
        <w:t>,</w:t>
      </w:r>
      <w:r w:rsidR="002A17F7" w:rsidRPr="00942D62">
        <w:t xml:space="preserve"> </w:t>
      </w:r>
      <w:r w:rsidR="002A17F7" w:rsidRPr="00C92E3A">
        <w:rPr>
          <w:i/>
        </w:rPr>
        <w:t>Public Notice</w:t>
      </w:r>
      <w:r w:rsidR="002A17F7" w:rsidRPr="00942D62">
        <w:t>.</w:t>
      </w:r>
      <w:r w:rsidR="002A17F7" w:rsidRPr="00942D62">
        <w:rPr>
          <w:rStyle w:val="FootnoteReference"/>
        </w:rPr>
        <w:footnoteReference w:id="35"/>
      </w:r>
      <w:r w:rsidR="002A17F7" w:rsidRPr="00942D62">
        <w:t xml:space="preserve">  Paragraph 1 of </w:t>
      </w:r>
      <w:r w:rsidR="005B3B26">
        <w:t xml:space="preserve">the </w:t>
      </w:r>
      <w:r w:rsidR="005B3B26" w:rsidRPr="005B3B26">
        <w:rPr>
          <w:i/>
        </w:rPr>
        <w:t>FM Antenna Public Notice</w:t>
      </w:r>
      <w:r w:rsidR="002A17F7" w:rsidRPr="00942D62">
        <w:t xml:space="preserve"> states:</w:t>
      </w:r>
    </w:p>
    <w:p w:rsidR="002A17F7" w:rsidRDefault="002A17F7" w:rsidP="00DB31C5">
      <w:pPr>
        <w:pStyle w:val="ParaNum"/>
        <w:keepNext/>
        <w:widowControl/>
        <w:numPr>
          <w:ilvl w:val="0"/>
          <w:numId w:val="0"/>
        </w:numPr>
        <w:ind w:left="720"/>
        <w:rPr>
          <w:szCs w:val="22"/>
        </w:rPr>
      </w:pPr>
      <w:r>
        <w:rPr>
          <w:szCs w:val="22"/>
        </w:rPr>
        <w:t>I</w:t>
      </w:r>
      <w:r w:rsidRPr="002A17F7">
        <w:rPr>
          <w:szCs w:val="22"/>
        </w:rPr>
        <w:t>n making allotments and in issuing construction permits and licenses the Commission assumes that FM non-directional broadcast antennas have perfectly circular horizontal radiation patterns.  Actual antenna patterns shall conform to the ideal as closely as is practicable.  The use of any technique or means (including side mounting) which intentionally distorts the radiation pattern of what is nominally a non-directional antenna makes that antenna directional and it must be licensed as such.</w:t>
      </w:r>
      <w:r w:rsidR="00D4064C">
        <w:rPr>
          <w:rStyle w:val="FootnoteReference"/>
          <w:szCs w:val="22"/>
        </w:rPr>
        <w:footnoteReference w:id="36"/>
      </w:r>
    </w:p>
    <w:p w:rsidR="002A17F7" w:rsidRDefault="005B3B26" w:rsidP="00DB31C5">
      <w:pPr>
        <w:pStyle w:val="ParaNum"/>
        <w:keepNext/>
        <w:widowControl/>
      </w:pPr>
      <w:r>
        <w:t>In its Further</w:t>
      </w:r>
      <w:r w:rsidR="002A17F7" w:rsidRPr="00942D62">
        <w:t xml:space="preserve"> Response</w:t>
      </w:r>
      <w:r>
        <w:t>, LKCM</w:t>
      </w:r>
      <w:r w:rsidR="002A17F7" w:rsidRPr="00942D62">
        <w:t xml:space="preserve"> </w:t>
      </w:r>
      <w:r w:rsidR="00CB0E53">
        <w:t>dismisses what it terms</w:t>
      </w:r>
      <w:r w:rsidR="002A17F7" w:rsidRPr="00942D62">
        <w:t xml:space="preserve"> a “30-year old Public Notice in which the Commission ‘assume[d] that FM non-directional antennas have perfectly</w:t>
      </w:r>
      <w:r w:rsidR="007069BA">
        <w:t xml:space="preserve"> circular</w:t>
      </w:r>
      <w:r w:rsidR="002A17F7" w:rsidRPr="00942D62">
        <w:t xml:space="preserve"> horizontal radiation patterns</w:t>
      </w:r>
      <w:r w:rsidR="00CB0E53">
        <w:t>,</w:t>
      </w:r>
      <w:r w:rsidR="00C276D9">
        <w:t>’”</w:t>
      </w:r>
      <w:r w:rsidR="00CB0E53">
        <w:t xml:space="preserve"> stating that the FM Antenna Public Notice espouses a standard “that bears no relationship to the physics of FM signal propagation or the realities of today’s practices in FM antenna design and implementation.”</w:t>
      </w:r>
      <w:r w:rsidR="00CB0E53">
        <w:rPr>
          <w:rStyle w:val="FootnoteReference"/>
        </w:rPr>
        <w:footnoteReference w:id="37"/>
      </w:r>
      <w:r w:rsidR="002A17F7" w:rsidRPr="00942D62">
        <w:t xml:space="preserve">  LKCM argues that variations in antenna pattern occur with every non-dir</w:t>
      </w:r>
      <w:r w:rsidR="00CB0E53">
        <w:t xml:space="preserve">ectional antenna installation, </w:t>
      </w:r>
      <w:r w:rsidR="002A17F7" w:rsidRPr="00942D62">
        <w:t xml:space="preserve">and </w:t>
      </w:r>
      <w:r w:rsidR="00CB0E53">
        <w:t xml:space="preserve">that </w:t>
      </w:r>
      <w:r w:rsidR="002A17F7" w:rsidRPr="00942D62">
        <w:t>there are thousands of such antennas in use.</w:t>
      </w:r>
      <w:r w:rsidR="00CB0E53">
        <w:rPr>
          <w:rStyle w:val="FootnoteReference"/>
        </w:rPr>
        <w:footnoteReference w:id="38"/>
      </w:r>
      <w:r w:rsidR="002A17F7" w:rsidRPr="00942D62">
        <w:t xml:space="preserve">  LKCM buttresses this conclusion with a survey of </w:t>
      </w:r>
      <w:r w:rsidR="009D4C32">
        <w:t>non-directional</w:t>
      </w:r>
      <w:r w:rsidR="002A17F7" w:rsidRPr="00942D62">
        <w:t xml:space="preserve"> antenna installations across a range of antenna manufacturers.</w:t>
      </w:r>
      <w:r w:rsidR="002A17F7" w:rsidRPr="00942D62">
        <w:rPr>
          <w:rStyle w:val="FootnoteReference"/>
        </w:rPr>
        <w:footnoteReference w:id="39"/>
      </w:r>
      <w:r w:rsidR="002A17F7" w:rsidRPr="00942D62">
        <w:t xml:space="preserve">  Starting with different </w:t>
      </w:r>
      <w:r w:rsidR="009D4C32">
        <w:t>non-directional</w:t>
      </w:r>
      <w:r w:rsidR="002A17F7" w:rsidRPr="00942D62">
        <w:t xml:space="preserve"> antennas with “natural variations” on the order of +/- 2 dB,</w:t>
      </w:r>
      <w:r w:rsidR="00313081">
        <w:rPr>
          <w:rStyle w:val="FootnoteReference"/>
        </w:rPr>
        <w:footnoteReference w:id="40"/>
      </w:r>
      <w:r w:rsidR="002A17F7" w:rsidRPr="00942D62">
        <w:t xml:space="preserve"> </w:t>
      </w:r>
      <w:r w:rsidR="00972881">
        <w:t>LKCM’s consultant</w:t>
      </w:r>
      <w:r w:rsidR="00313081">
        <w:t xml:space="preserve"> Beverage</w:t>
      </w:r>
      <w:r w:rsidR="002A17F7" w:rsidRPr="00942D62">
        <w:t xml:space="preserve"> concludes that the</w:t>
      </w:r>
      <w:r w:rsidR="00313081">
        <w:t xml:space="preserve"> signal</w:t>
      </w:r>
      <w:r w:rsidR="002A17F7" w:rsidRPr="00942D62">
        <w:t xml:space="preserve"> distortions after side mounting are significantly greater, even for antennas that have not</w:t>
      </w:r>
      <w:r w:rsidR="002A17F7">
        <w:t xml:space="preserve"> been “optimized.”</w:t>
      </w:r>
      <w:r w:rsidR="00313081">
        <w:rPr>
          <w:rStyle w:val="FootnoteReference"/>
        </w:rPr>
        <w:footnoteReference w:id="41"/>
      </w:r>
      <w:r w:rsidR="00313081">
        <w:t xml:space="preserve">  He further states that the KFWR antenna exhibits minimum and maximum ERP gain values in line with those of other manufacturers’ comparable antennas.</w:t>
      </w:r>
      <w:r w:rsidR="00313081">
        <w:rPr>
          <w:rStyle w:val="FootnoteReference"/>
        </w:rPr>
        <w:footnoteReference w:id="42"/>
      </w:r>
      <w:r w:rsidR="009366E5">
        <w:t xml:space="preserve">  </w:t>
      </w:r>
      <w:r w:rsidR="009366E5" w:rsidRPr="00942D62">
        <w:t xml:space="preserve">LKCM </w:t>
      </w:r>
      <w:r w:rsidR="009366E5">
        <w:t>also argues</w:t>
      </w:r>
      <w:r w:rsidR="009366E5" w:rsidRPr="00942D62">
        <w:t xml:space="preserve"> that </w:t>
      </w:r>
      <w:r w:rsidR="009366E5">
        <w:t>its KFWR</w:t>
      </w:r>
      <w:r w:rsidR="009366E5" w:rsidRPr="00942D62">
        <w:t xml:space="preserve"> antenna installation has been designed to “increase circularity” by moving the vertically polarized component closer to the shape of the horizontally polarized component.</w:t>
      </w:r>
      <w:r w:rsidR="009366E5" w:rsidRPr="00942D62">
        <w:rPr>
          <w:rStyle w:val="FootnoteReference"/>
        </w:rPr>
        <w:footnoteReference w:id="43"/>
      </w:r>
    </w:p>
    <w:p w:rsidR="00C92E3A" w:rsidRDefault="00C92E3A" w:rsidP="00DB31C5">
      <w:pPr>
        <w:pStyle w:val="ParaNum"/>
        <w:keepNext/>
        <w:widowControl/>
      </w:pPr>
      <w:r w:rsidRPr="00942D62">
        <w:t xml:space="preserve">LKCM </w:t>
      </w:r>
      <w:r w:rsidR="003937D3">
        <w:t xml:space="preserve">further argues that there </w:t>
      </w:r>
      <w:r w:rsidR="009366E5">
        <w:t xml:space="preserve">is little or no legal guidance regarding the permissible </w:t>
      </w:r>
      <w:r w:rsidR="00A95AD7">
        <w:t>characteristics</w:t>
      </w:r>
      <w:r w:rsidR="009366E5">
        <w:t xml:space="preserve"> of side-mounted </w:t>
      </w:r>
      <w:r w:rsidR="00A95AD7">
        <w:t xml:space="preserve">non-directional </w:t>
      </w:r>
      <w:r w:rsidR="009366E5">
        <w:t xml:space="preserve">FM antennas.  It states there </w:t>
      </w:r>
      <w:r w:rsidR="003937D3">
        <w:t>has been</w:t>
      </w:r>
      <w:r w:rsidRPr="00942D62">
        <w:t xml:space="preserve"> no case since the issuance of the </w:t>
      </w:r>
      <w:r w:rsidR="003937D3">
        <w:rPr>
          <w:i/>
        </w:rPr>
        <w:t>FM Antenna</w:t>
      </w:r>
      <w:r w:rsidRPr="00942D62">
        <w:rPr>
          <w:i/>
        </w:rPr>
        <w:t xml:space="preserve"> Public Notice </w:t>
      </w:r>
      <w:r w:rsidR="003937D3">
        <w:t>in which</w:t>
      </w:r>
      <w:r w:rsidRPr="00942D62">
        <w:t xml:space="preserve"> the Commission has declared a </w:t>
      </w:r>
      <w:r w:rsidR="009D4C32">
        <w:t>non-directional</w:t>
      </w:r>
      <w:r w:rsidRPr="00942D62">
        <w:t xml:space="preserve"> antenna to be directional</w:t>
      </w:r>
      <w:r w:rsidR="003937D3">
        <w:t xml:space="preserve">; moreover, </w:t>
      </w:r>
      <w:r w:rsidRPr="00942D62">
        <w:t xml:space="preserve">LKCM finds only two instances where the Commission has cited that </w:t>
      </w:r>
      <w:r w:rsidRPr="003937D3">
        <w:rPr>
          <w:i/>
        </w:rPr>
        <w:t>Public Notice</w:t>
      </w:r>
      <w:r w:rsidRPr="00942D62">
        <w:t xml:space="preserve">, </w:t>
      </w:r>
      <w:r w:rsidR="003937D3">
        <w:t>the latest in</w:t>
      </w:r>
      <w:r w:rsidRPr="00942D62">
        <w:t xml:space="preserve"> 1992.</w:t>
      </w:r>
      <w:r w:rsidRPr="00942D62">
        <w:rPr>
          <w:rStyle w:val="FootnoteReference"/>
        </w:rPr>
        <w:footnoteReference w:id="44"/>
      </w:r>
      <w:r w:rsidRPr="00942D62">
        <w:t xml:space="preserve">  LKCM </w:t>
      </w:r>
      <w:r w:rsidR="009366E5">
        <w:t>also</w:t>
      </w:r>
      <w:r w:rsidR="00904725">
        <w:t xml:space="preserve"> </w:t>
      </w:r>
      <w:r w:rsidR="00675A20">
        <w:t>cites</w:t>
      </w:r>
      <w:r w:rsidRPr="00942D62">
        <w:t xml:space="preserve"> two instances </w:t>
      </w:r>
      <w:r w:rsidR="00675A20">
        <w:t>in which</w:t>
      </w:r>
      <w:r w:rsidRPr="00942D62">
        <w:t xml:space="preserve"> the Commission did not accept allegations that a licensee had employed a directional antenna for a </w:t>
      </w:r>
      <w:r w:rsidR="009D4C32">
        <w:t>non-directional</w:t>
      </w:r>
      <w:r w:rsidRPr="00942D62">
        <w:t xml:space="preserve"> operation.</w:t>
      </w:r>
      <w:r w:rsidRPr="00942D62">
        <w:rPr>
          <w:rStyle w:val="FootnoteReference"/>
        </w:rPr>
        <w:footnoteReference w:id="45"/>
      </w:r>
      <w:r w:rsidRPr="00942D62">
        <w:t xml:space="preserve">  </w:t>
      </w:r>
      <w:r w:rsidR="00904725">
        <w:t>It argues that</w:t>
      </w:r>
      <w:r w:rsidRPr="00942D62">
        <w:t xml:space="preserve"> no Commission rule, nor </w:t>
      </w:r>
      <w:r w:rsidR="009366E5">
        <w:t>helpful</w:t>
      </w:r>
      <w:r w:rsidRPr="00942D62">
        <w:t xml:space="preserve"> precedent, defines what the maximum distortion of FM directional antenna patterns is for side-mounted antennas.</w:t>
      </w:r>
      <w:r w:rsidR="009366E5">
        <w:rPr>
          <w:rStyle w:val="FootnoteReference"/>
        </w:rPr>
        <w:footnoteReference w:id="46"/>
      </w:r>
      <w:r w:rsidRPr="00942D62">
        <w:t xml:space="preserve">  </w:t>
      </w:r>
    </w:p>
    <w:p w:rsidR="00394B23" w:rsidRDefault="00EC03C1" w:rsidP="00DB31C5">
      <w:pPr>
        <w:pStyle w:val="ParaNum"/>
        <w:keepNext/>
        <w:widowControl/>
      </w:pPr>
      <w:r>
        <w:t>Lake, in its Further Response,</w:t>
      </w:r>
      <w:r w:rsidR="00C92E3A" w:rsidRPr="00942D62">
        <w:t xml:space="preserve"> </w:t>
      </w:r>
      <w:r>
        <w:t>challenges</w:t>
      </w:r>
      <w:r w:rsidR="00C92E3A" w:rsidRPr="00942D62">
        <w:t xml:space="preserve"> LKCM’s </w:t>
      </w:r>
      <w:r>
        <w:t>claim</w:t>
      </w:r>
      <w:r w:rsidR="00C92E3A" w:rsidRPr="00942D62">
        <w:t xml:space="preserve"> that no relevant case law </w:t>
      </w:r>
      <w:r>
        <w:t>supports</w:t>
      </w:r>
      <w:r w:rsidR="00C92E3A" w:rsidRPr="00942D62">
        <w:t xml:space="preserve"> </w:t>
      </w:r>
      <w:r w:rsidR="0090161A">
        <w:t>Lake</w:t>
      </w:r>
      <w:r w:rsidR="00C92E3A" w:rsidRPr="00942D62">
        <w:t xml:space="preserve">’s requested relief.  </w:t>
      </w:r>
      <w:r w:rsidR="0090161A">
        <w:t>Lake</w:t>
      </w:r>
      <w:r w:rsidR="00C92E3A" w:rsidRPr="00942D62">
        <w:t xml:space="preserve"> </w:t>
      </w:r>
      <w:r w:rsidR="00415797">
        <w:t>notes</w:t>
      </w:r>
      <w:r w:rsidR="00C92E3A" w:rsidRPr="00942D62">
        <w:t xml:space="preserve"> that in </w:t>
      </w:r>
      <w:r w:rsidR="00C92E3A" w:rsidRPr="00942D62">
        <w:rPr>
          <w:i/>
        </w:rPr>
        <w:t>Rebecca Radio</w:t>
      </w:r>
      <w:r w:rsidR="00C92E3A" w:rsidRPr="00942D62">
        <w:t>, the Commission denied petitions for reconsideration where applicants proposed directional installations with maximum-to-minimum ratios exceeding 15 dB</w:t>
      </w:r>
      <w:r w:rsidR="00415797">
        <w:t>,</w:t>
      </w:r>
      <w:r w:rsidR="00C92E3A" w:rsidRPr="00942D62">
        <w:rPr>
          <w:rStyle w:val="FootnoteReference"/>
        </w:rPr>
        <w:footnoteReference w:id="47"/>
      </w:r>
      <w:r w:rsidR="00415797">
        <w:t xml:space="preserve"> emphasizing LKCM’s failure to dispute </w:t>
      </w:r>
      <w:r w:rsidR="00C92E3A" w:rsidRPr="00942D62">
        <w:t xml:space="preserve">that the KFWR installation has a maximum-to-minimum ratio </w:t>
      </w:r>
      <w:r w:rsidR="00A10980">
        <w:t>exceeds that value</w:t>
      </w:r>
      <w:r w:rsidR="00C92E3A" w:rsidRPr="00942D62">
        <w:t xml:space="preserve"> in the horizontal plane.</w:t>
      </w:r>
      <w:r w:rsidR="00415797">
        <w:rPr>
          <w:rStyle w:val="FootnoteReference"/>
        </w:rPr>
        <w:footnoteReference w:id="48"/>
      </w:r>
      <w:r w:rsidR="00C92E3A" w:rsidRPr="00942D62">
        <w:t xml:space="preserve">  </w:t>
      </w:r>
      <w:r w:rsidR="0090161A">
        <w:t>Lake</w:t>
      </w:r>
      <w:r w:rsidR="00C92E3A" w:rsidRPr="00942D62">
        <w:t xml:space="preserve"> also </w:t>
      </w:r>
      <w:r w:rsidR="00415797">
        <w:t>analogizes</w:t>
      </w:r>
      <w:r w:rsidR="00C92E3A" w:rsidRPr="00942D62">
        <w:t xml:space="preserve"> </w:t>
      </w:r>
      <w:r w:rsidR="00C92E3A" w:rsidRPr="00942D62">
        <w:rPr>
          <w:i/>
        </w:rPr>
        <w:t>Ettlinger Broadcasting Corp.,</w:t>
      </w:r>
      <w:r w:rsidR="00415797" w:rsidRPr="00415797">
        <w:rPr>
          <w:rStyle w:val="FootnoteReference"/>
        </w:rPr>
        <w:footnoteReference w:id="49"/>
      </w:r>
      <w:r w:rsidR="00C92E3A" w:rsidRPr="00415797">
        <w:t xml:space="preserve"> </w:t>
      </w:r>
      <w:r w:rsidR="00415797">
        <w:t xml:space="preserve">to the present situation, noting that in </w:t>
      </w:r>
      <w:r w:rsidR="00415797" w:rsidRPr="00415797">
        <w:rPr>
          <w:i/>
        </w:rPr>
        <w:t>Ettlinger</w:t>
      </w:r>
      <w:r w:rsidR="00415797">
        <w:t xml:space="preserve"> </w:t>
      </w:r>
      <w:r w:rsidR="00C92E3A" w:rsidRPr="00942D62">
        <w:t>the Commission refused to grant a proposal where the antenna power gain was 3 dB (as compared to 4.389 dB here).</w:t>
      </w:r>
      <w:r w:rsidR="00C92E3A" w:rsidRPr="00942D62">
        <w:rPr>
          <w:rStyle w:val="FootnoteReference"/>
        </w:rPr>
        <w:footnoteReference w:id="50"/>
      </w:r>
      <w:r w:rsidR="00C92E3A" w:rsidRPr="00942D62">
        <w:t xml:space="preserve">  </w:t>
      </w:r>
      <w:r w:rsidR="0090161A">
        <w:t>Lake</w:t>
      </w:r>
      <w:r w:rsidR="00C92E3A" w:rsidRPr="00942D62">
        <w:t xml:space="preserve"> restates i</w:t>
      </w:r>
      <w:r w:rsidR="00C92E3A">
        <w:t>t</w:t>
      </w:r>
      <w:r w:rsidR="00C92E3A" w:rsidRPr="00942D62">
        <w:t>s contention th</w:t>
      </w:r>
      <w:r w:rsidR="00415797">
        <w:t>at LKCM deliberately chose to “’push’</w:t>
      </w:r>
      <w:r w:rsidR="00C92E3A" w:rsidRPr="00942D62">
        <w:t xml:space="preserve"> the KFWR pattern” to “anything but</w:t>
      </w:r>
      <w:r w:rsidR="00C92E3A">
        <w:t xml:space="preserve"> an </w:t>
      </w:r>
      <w:r w:rsidR="00A22EC8">
        <w:t>[omnidirectional] pattern,</w:t>
      </w:r>
      <w:r w:rsidR="00C92E3A">
        <w:t xml:space="preserve">” </w:t>
      </w:r>
      <w:r w:rsidR="00A22EC8">
        <w:rPr>
          <w:rStyle w:val="FootnoteReference"/>
        </w:rPr>
        <w:footnoteReference w:id="51"/>
      </w:r>
      <w:r w:rsidR="00C92E3A" w:rsidRPr="00942D62">
        <w:t xml:space="preserve"> </w:t>
      </w:r>
      <w:r w:rsidR="00A22EC8">
        <w:t xml:space="preserve">and </w:t>
      </w:r>
      <w:r w:rsidR="00C92E3A" w:rsidRPr="00942D62">
        <w:t xml:space="preserve">renews its request for the Commission to act and provide the </w:t>
      </w:r>
      <w:r w:rsidR="003E1D88">
        <w:t xml:space="preserve">requested </w:t>
      </w:r>
      <w:r w:rsidR="00C92E3A" w:rsidRPr="00942D62">
        <w:t>relief.</w:t>
      </w:r>
    </w:p>
    <w:p w:rsidR="00C92E3A" w:rsidRDefault="00C92E3A" w:rsidP="00394B23">
      <w:pPr>
        <w:widowControl/>
      </w:pPr>
    </w:p>
    <w:p w:rsidR="00C92E3A" w:rsidRDefault="00C92E3A" w:rsidP="00DB31C5">
      <w:pPr>
        <w:pStyle w:val="Heading1"/>
        <w:widowControl/>
      </w:pPr>
      <w:r>
        <w:t>DISCUSSION</w:t>
      </w:r>
    </w:p>
    <w:p w:rsidR="007F0D97" w:rsidRDefault="007F0D97" w:rsidP="00DB31C5">
      <w:pPr>
        <w:pStyle w:val="ParaNum"/>
        <w:keepNext/>
        <w:widowControl/>
      </w:pPr>
      <w:r>
        <w:t>At the heart of this case is the question:  how far can an FM antenna pattern deviate from the ideal of a circular, perfectly non-directional pattern before it is considered to be directional?  As LKCM argues, and Lake recognizes, it is impossible to mount any FM antenna on a metallic support structure without some pattern distortion occurring.  The issue before us is whether the KFWR pattern is so distorted as to be in violation of the Commission’s Rules, requiring a remedy in order to correct any potential or actual interference to co-channel station KCKL.  As discussed below, we conclude that the KFWR antenna pattern is for all intents and purposes directional, and must be licensed accordingly.</w:t>
      </w:r>
    </w:p>
    <w:p w:rsidR="007F0D97" w:rsidRPr="0059218B" w:rsidRDefault="007F0D97" w:rsidP="00DB31C5">
      <w:pPr>
        <w:pStyle w:val="ParaNum"/>
        <w:keepNext/>
        <w:widowControl/>
      </w:pPr>
      <w:r>
        <w:t xml:space="preserve">The </w:t>
      </w:r>
      <w:r w:rsidRPr="00076728">
        <w:rPr>
          <w:i/>
        </w:rPr>
        <w:t>Ettlinger</w:t>
      </w:r>
      <w:r>
        <w:t xml:space="preserve"> case provides the most useful guidance in this instance.  In </w:t>
      </w:r>
      <w:r w:rsidRPr="00076728">
        <w:rPr>
          <w:i/>
        </w:rPr>
        <w:t>Ettlinger</w:t>
      </w:r>
      <w:r>
        <w:t>, a commercial FM applicant sought use of a non-directional but optimized antenna installation in order to meet its community of license coverage requirement while simultaneously serving a more populous area well to the north of that community.</w:t>
      </w:r>
      <w:r>
        <w:rPr>
          <w:rStyle w:val="FootnoteReference"/>
        </w:rPr>
        <w:footnoteReference w:id="52"/>
      </w:r>
      <w:r>
        <w:t xml:space="preserve">  The Commission first reiterated that, when a licensee specifies a non-directional pattern, an omni-directional or circular pattern</w:t>
      </w:r>
      <w:r w:rsidR="00A37FFD">
        <w:t xml:space="preserve"> is assumed</w:t>
      </w:r>
      <w:r>
        <w:t>.</w:t>
      </w:r>
      <w:r>
        <w:rPr>
          <w:rStyle w:val="FootnoteReference"/>
        </w:rPr>
        <w:footnoteReference w:id="53"/>
      </w:r>
      <w:r>
        <w:t xml:space="preserve">  It then pointed out that, irrespective of whether a directional or non-directional pattern has been proposed, “the maximum rad</w:t>
      </w:r>
      <w:r w:rsidR="006609C7">
        <w:t>i</w:t>
      </w:r>
      <w:r>
        <w:t>ation for the particular class of station cannot be exceeded along any azimuth.”</w:t>
      </w:r>
      <w:r>
        <w:rPr>
          <w:rStyle w:val="FootnoteReference"/>
        </w:rPr>
        <w:footnoteReference w:id="54"/>
      </w:r>
      <w:r>
        <w:t xml:space="preserve">  The Commission then noted that, while the applicant wished its antenna pattern to be considered non-directional, it nevertheless instructed the antenna manufacturer to design the antenna so that the signal strength over the community of license would be increased by approximately 3 dB</w:t>
      </w:r>
      <w:r w:rsidR="0025485C">
        <w:t>µ</w:t>
      </w:r>
      <w:r>
        <w:t xml:space="preserve"> (double the effective radiated power) over the permissible radiation that would result from omnidirectional operation.</w:t>
      </w:r>
      <w:r>
        <w:rPr>
          <w:rStyle w:val="FootnoteReference"/>
        </w:rPr>
        <w:footnoteReference w:id="55"/>
      </w:r>
      <w:r>
        <w:t xml:space="preserve">   In rejecting this operation, the Commission emphasized that the FM allocation rules are premised, not on actual interference studies, but rather on inter-station spacings determined by assuming the maximum ERP and antenna height for each station class.</w:t>
      </w:r>
      <w:r>
        <w:rPr>
          <w:rStyle w:val="FootnoteReference"/>
        </w:rPr>
        <w:footnoteReference w:id="56"/>
      </w:r>
      <w:r>
        <w:t xml:space="preserve">  In considering individual applications, then, the Commission assumes either non-directional (i.e., essentially circular) operation, or directional operation based on a showing that the proposed antenna pattern will not radiate in the maximum lobe any more than the prescribed upper power limit set forth in Section 73.211 of the Rules.</w:t>
      </w:r>
      <w:r>
        <w:rPr>
          <w:rStyle w:val="FootnoteReference"/>
        </w:rPr>
        <w:footnoteReference w:id="57"/>
      </w:r>
      <w:r>
        <w:t xml:space="preserve">  “The table of FM allocations, based on the same spacing requirements, is undermined by deviating from this very basic underlying premise.”</w:t>
      </w:r>
      <w:r>
        <w:rPr>
          <w:rStyle w:val="FootnoteReference"/>
        </w:rPr>
        <w:footnoteReference w:id="58"/>
      </w:r>
      <w:r>
        <w:t xml:space="preserve">  </w:t>
      </w:r>
    </w:p>
    <w:p w:rsidR="007F0D97" w:rsidRDefault="007F0D97" w:rsidP="00DB31C5">
      <w:pPr>
        <w:pStyle w:val="ParaNum"/>
        <w:keepNext/>
        <w:widowControl/>
      </w:pPr>
      <w:r>
        <w:t>The holding in</w:t>
      </w:r>
      <w:r w:rsidRPr="00942D62">
        <w:t xml:space="preserve"> </w:t>
      </w:r>
      <w:r w:rsidRPr="00942D62">
        <w:rPr>
          <w:i/>
        </w:rPr>
        <w:t>Ettlinger</w:t>
      </w:r>
      <w:r>
        <w:t xml:space="preserve"> illuminates the shortcomings in LKCM’s operation.  In </w:t>
      </w:r>
      <w:r w:rsidRPr="00665ACC">
        <w:rPr>
          <w:i/>
        </w:rPr>
        <w:t>Ettlinger</w:t>
      </w:r>
      <w:r>
        <w:t xml:space="preserve"> the Commission made it clear that, whether directional or non-directional, a station may not transmit power in any direction beyond the upper power limit set forth in Section 73.211(b).</w:t>
      </w:r>
      <w:r w:rsidR="006609C7">
        <w:rPr>
          <w:rStyle w:val="FootnoteReference"/>
        </w:rPr>
        <w:footnoteReference w:id="59"/>
      </w:r>
      <w:r>
        <w:t xml:space="preserve">  Thus, KFWR may not broadcast with an ERP of over 100 kW in any direction.</w:t>
      </w:r>
      <w:r>
        <w:rPr>
          <w:rStyle w:val="FootnoteReference"/>
        </w:rPr>
        <w:footnoteReference w:id="60"/>
      </w:r>
      <w:r>
        <w:t xml:space="preserve">  However, LKCM, in describing the KFWR antenna pattern, states that it</w:t>
      </w:r>
      <w:r w:rsidRPr="00942D62">
        <w:t>s computed val</w:t>
      </w:r>
      <w:r>
        <w:t>u</w:t>
      </w:r>
      <w:r w:rsidRPr="00942D62">
        <w:t xml:space="preserve">es “are relative to an RMS </w:t>
      </w:r>
      <w:r>
        <w:t xml:space="preserve">measured </w:t>
      </w:r>
      <w:r w:rsidRPr="00942D62">
        <w:t>field of 1.0.”</w:t>
      </w:r>
      <w:r w:rsidRPr="00942D62">
        <w:rPr>
          <w:rStyle w:val="FootnoteReference"/>
        </w:rPr>
        <w:footnoteReference w:id="61"/>
      </w:r>
      <w:r>
        <w:rPr>
          <w:i/>
        </w:rPr>
        <w:t xml:space="preserve">  </w:t>
      </w:r>
      <w:r>
        <w:t xml:space="preserve">A true non-directional antenna pattern will have a relative field value of 1.0 at every azimuth, hence the </w:t>
      </w:r>
      <w:r w:rsidR="00C02DEB">
        <w:t>root mean square (“</w:t>
      </w:r>
      <w:r>
        <w:t>RMS</w:t>
      </w:r>
      <w:r w:rsidR="00C02DEB">
        <w:t>”)</w:t>
      </w:r>
      <w:r>
        <w:t xml:space="preserve"> field will be 1.0 as well.</w:t>
      </w:r>
      <w:r>
        <w:rPr>
          <w:rStyle w:val="FootnoteReference"/>
        </w:rPr>
        <w:footnoteReference w:id="62"/>
      </w:r>
      <w:r>
        <w:t xml:space="preserve">  A licensed</w:t>
      </w:r>
      <w:r w:rsidRPr="00942D62">
        <w:t xml:space="preserve"> directional antenna has </w:t>
      </w:r>
      <w:r>
        <w:t>one or more</w:t>
      </w:r>
      <w:r w:rsidRPr="00942D62">
        <w:t xml:space="preserve"> </w:t>
      </w:r>
      <w:r>
        <w:t xml:space="preserve">azimuths with </w:t>
      </w:r>
      <w:r w:rsidRPr="00942D62">
        <w:t>relative field values at 1.0 (corresponding to the maximum licensed power) whi</w:t>
      </w:r>
      <w:r>
        <w:t>l</w:t>
      </w:r>
      <w:r w:rsidRPr="00942D62">
        <w:t>e other</w:t>
      </w:r>
      <w:r>
        <w:t xml:space="preserve"> azimuths will have relative field values of less than </w:t>
      </w:r>
      <w:r w:rsidRPr="00942D62">
        <w:t xml:space="preserve">1.0. </w:t>
      </w:r>
      <w:r>
        <w:t xml:space="preserve"> </w:t>
      </w:r>
      <w:r w:rsidRPr="00942D62">
        <w:t>Consequently</w:t>
      </w:r>
      <w:r>
        <w:t>,</w:t>
      </w:r>
      <w:r w:rsidRPr="00942D62">
        <w:t xml:space="preserve"> the RMS for such an antenna will be below 1.0.</w:t>
      </w:r>
      <w:r>
        <w:t xml:space="preserve">  </w:t>
      </w:r>
      <w:r w:rsidR="00030127">
        <w:t>Under its definition of</w:t>
      </w:r>
      <w:r w:rsidRPr="00942D62">
        <w:t xml:space="preserve"> “pattern optimization” for </w:t>
      </w:r>
      <w:r>
        <w:t>non-directional</w:t>
      </w:r>
      <w:r w:rsidRPr="00942D62">
        <w:t xml:space="preserve"> antennas</w:t>
      </w:r>
      <w:r>
        <w:t>, however,</w:t>
      </w:r>
      <w:r w:rsidRPr="00942D62">
        <w:t xml:space="preserve"> </w:t>
      </w:r>
      <w:r w:rsidR="00030127">
        <w:t xml:space="preserve">ERI </w:t>
      </w:r>
      <w:r>
        <w:t>appears</w:t>
      </w:r>
      <w:r w:rsidRPr="00942D62">
        <w:t xml:space="preserve"> to consider an antenna as equivalent to </w:t>
      </w:r>
      <w:r>
        <w:t xml:space="preserve">non-directional – </w:t>
      </w:r>
      <w:r w:rsidRPr="00942D62">
        <w:t xml:space="preserve">and thus </w:t>
      </w:r>
      <w:r>
        <w:t>allegedly rule-</w:t>
      </w:r>
      <w:r w:rsidRPr="00942D62">
        <w:t xml:space="preserve">compliant </w:t>
      </w:r>
      <w:r>
        <w:t>–</w:t>
      </w:r>
      <w:r w:rsidRPr="00942D62">
        <w:t xml:space="preserve"> if its RMS value is 1.0</w:t>
      </w:r>
      <w:r>
        <w:t>, even if the relative field value along one or more azimuths is greater than 1.0</w:t>
      </w:r>
      <w:r w:rsidRPr="00942D62">
        <w:t xml:space="preserve">.  </w:t>
      </w:r>
      <w:r>
        <w:t>Under LKCM and ERI’s definition, then,</w:t>
      </w:r>
      <w:r w:rsidRPr="00942D62">
        <w:t xml:space="preserve"> </w:t>
      </w:r>
      <w:r>
        <w:t xml:space="preserve">an antenna should be considered non-directional even if the signal along certain azimuths exceeds the maximum permitted power, as long as the signal along enough other azimuths is sufficiently below the allowable power so as to make the average </w:t>
      </w:r>
      <w:r w:rsidR="00C02DEB">
        <w:t>equal</w:t>
      </w:r>
      <w:r>
        <w:t xml:space="preserve"> 1.0.  </w:t>
      </w:r>
      <w:r w:rsidRPr="00942D62">
        <w:t>ERI cites no Commission precedent in support of this proposition</w:t>
      </w:r>
      <w:r>
        <w:t xml:space="preserve"> and, as noted above, such a definition of “non-directional” contradicts the holding of </w:t>
      </w:r>
      <w:r w:rsidRPr="00797709">
        <w:rPr>
          <w:i/>
        </w:rPr>
        <w:t>Ettlinger</w:t>
      </w:r>
      <w:r>
        <w:t xml:space="preserve"> insofar as that case prohibits radiation greater than that set forth in Section 73.211 in any direction</w:t>
      </w:r>
      <w:r w:rsidRPr="00942D62">
        <w:t xml:space="preserve">. </w:t>
      </w:r>
      <w:r>
        <w:t xml:space="preserve"> </w:t>
      </w:r>
    </w:p>
    <w:p w:rsidR="007F0D97" w:rsidRDefault="007F0D97" w:rsidP="00DB31C5">
      <w:pPr>
        <w:pStyle w:val="ParaNum"/>
        <w:keepNext/>
        <w:widowControl/>
      </w:pPr>
      <w:r>
        <w:t xml:space="preserve">From the record, including LKCM’s showings, it is clear that KFWR exceeds those power limits.  </w:t>
      </w:r>
      <w:r w:rsidRPr="00942D62">
        <w:t xml:space="preserve">Using the pattern provided by ERI in </w:t>
      </w:r>
      <w:r>
        <w:t>the LKCM Initial Response</w:t>
      </w:r>
      <w:r w:rsidRPr="00942D62">
        <w:t xml:space="preserve"> (and again as Exhibit C – Figure 1 </w:t>
      </w:r>
      <w:r>
        <w:t>to the LKCM Further Response</w:t>
      </w:r>
      <w:r w:rsidRPr="00942D62">
        <w:t>), it can be seen that the maximum relative field value for the KFWR antenna is 1.657 at 105</w:t>
      </w:r>
      <w:r>
        <w:t xml:space="preserve"> degrees</w:t>
      </w:r>
      <w:r w:rsidRPr="00942D62">
        <w:t xml:space="preserve"> True (using the larger vertically polarized component).</w:t>
      </w:r>
      <w:r>
        <w:rPr>
          <w:rStyle w:val="FootnoteReference"/>
        </w:rPr>
        <w:footnoteReference w:id="63"/>
      </w:r>
      <w:r>
        <w:t xml:space="preserve">  This equates to an ERP of 274.56 kW toward the 105 degree azimuth, or over twice the licensed 100 kW ERP in that direction.</w:t>
      </w:r>
      <w:r>
        <w:rPr>
          <w:rStyle w:val="FootnoteReference"/>
        </w:rPr>
        <w:footnoteReference w:id="64"/>
      </w:r>
      <w:r>
        <w:t xml:space="preserve">  The KFWR installation also results in a computed gain along that azimuth of 4.386 dB,</w:t>
      </w:r>
      <w:r>
        <w:rPr>
          <w:rStyle w:val="FootnoteReference"/>
        </w:rPr>
        <w:footnoteReference w:id="65"/>
      </w:r>
      <w:r>
        <w:t xml:space="preserve"> significantly higher than the 3 dB gain that the Commission in </w:t>
      </w:r>
      <w:r w:rsidRPr="00171978">
        <w:rPr>
          <w:i/>
        </w:rPr>
        <w:t>Ettlinger</w:t>
      </w:r>
      <w:r>
        <w:t xml:space="preserve"> found to be unacceptable.  Ultimately, </w:t>
      </w:r>
      <w:r w:rsidRPr="004251F4">
        <w:rPr>
          <w:i/>
        </w:rPr>
        <w:t>Ettlinger</w:t>
      </w:r>
      <w:r>
        <w:t xml:space="preserve"> instructs us that the Commission will not allow a non-directional permittee to construct an antenna in such a way that a directional antenna results, even if it is not formally acknowledged as directional.  “Permittees should not conclude . . . that our recognition of [the fact that side mounting results in some degree of distortion from circularity] implies consent to any backdoor methodology whereby an applicant who was granted on the assumption that he would operate non-directionally introduces parasitic elements and constructs in such a fashion that a directional pattern results.”</w:t>
      </w:r>
      <w:r>
        <w:rPr>
          <w:rStyle w:val="FootnoteReference"/>
        </w:rPr>
        <w:footnoteReference w:id="66"/>
      </w:r>
      <w:r>
        <w:t xml:space="preserve">  The </w:t>
      </w:r>
      <w:r w:rsidRPr="004251F4">
        <w:rPr>
          <w:i/>
        </w:rPr>
        <w:t>FM Antenna Public Notice</w:t>
      </w:r>
      <w:r>
        <w:t xml:space="preserve"> amplified this point, stating that the </w:t>
      </w:r>
      <w:r w:rsidRPr="00201E26">
        <w:t>use of any technique or means (including side mounting) which intentionally distorts the radiation pattern of what is nominally a non-directional antenna makes that antenna directional and it must be licensed as such.</w:t>
      </w:r>
      <w:r>
        <w:rPr>
          <w:rStyle w:val="FootnoteReference"/>
        </w:rPr>
        <w:footnoteReference w:id="67"/>
      </w:r>
    </w:p>
    <w:p w:rsidR="007F0D97" w:rsidRPr="009A6328" w:rsidRDefault="007F0D97" w:rsidP="00DB31C5">
      <w:pPr>
        <w:pStyle w:val="ParaNum"/>
        <w:keepNext/>
        <w:widowControl/>
      </w:pPr>
      <w:r w:rsidRPr="00942D62">
        <w:rPr>
          <w:szCs w:val="22"/>
        </w:rPr>
        <w:t xml:space="preserve">The other cited cases do not disturb these conclusions.  In </w:t>
      </w:r>
      <w:r w:rsidRPr="00942D62">
        <w:rPr>
          <w:i/>
          <w:szCs w:val="22"/>
        </w:rPr>
        <w:t xml:space="preserve">Duchossois, </w:t>
      </w:r>
      <w:r w:rsidRPr="00942D62">
        <w:rPr>
          <w:szCs w:val="22"/>
        </w:rPr>
        <w:t xml:space="preserve">the </w:t>
      </w:r>
      <w:r>
        <w:rPr>
          <w:szCs w:val="22"/>
        </w:rPr>
        <w:t>Commission found that petitioner’s evidence that the applicant intentionally directionalized its signal lacked crucial detail regarding the methodology used, whereas the applicant’s technical report paralleled the actual installation, and demonstrated that the installation was intended to, and did, result in an “essentially circular radiation pattern.”</w:t>
      </w:r>
      <w:r>
        <w:rPr>
          <w:rStyle w:val="FootnoteReference"/>
          <w:szCs w:val="22"/>
        </w:rPr>
        <w:footnoteReference w:id="68"/>
      </w:r>
      <w:r w:rsidRPr="00942D62">
        <w:rPr>
          <w:szCs w:val="22"/>
        </w:rPr>
        <w:t xml:space="preserve"> </w:t>
      </w:r>
      <w:r>
        <w:rPr>
          <w:szCs w:val="22"/>
        </w:rPr>
        <w:t xml:space="preserve"> </w:t>
      </w:r>
      <w:r w:rsidR="008B754D" w:rsidRPr="008B754D">
        <w:rPr>
          <w:i/>
          <w:szCs w:val="22"/>
        </w:rPr>
        <w:t>Duchossois</w:t>
      </w:r>
      <w:r w:rsidR="008B754D">
        <w:rPr>
          <w:szCs w:val="22"/>
        </w:rPr>
        <w:t xml:space="preserve"> is</w:t>
      </w:r>
      <w:r>
        <w:rPr>
          <w:szCs w:val="22"/>
        </w:rPr>
        <w:t xml:space="preserve"> thus</w:t>
      </w:r>
      <w:r w:rsidR="008B754D">
        <w:rPr>
          <w:szCs w:val="22"/>
        </w:rPr>
        <w:t xml:space="preserve"> distinguishable, as the Commission</w:t>
      </w:r>
      <w:r>
        <w:rPr>
          <w:szCs w:val="22"/>
        </w:rPr>
        <w:t xml:space="preserve"> dismissed</w:t>
      </w:r>
      <w:r w:rsidRPr="00942D62">
        <w:rPr>
          <w:szCs w:val="22"/>
        </w:rPr>
        <w:t xml:space="preserve"> petitioner</w:t>
      </w:r>
      <w:r>
        <w:rPr>
          <w:szCs w:val="22"/>
        </w:rPr>
        <w:t>’s allegation for failing to establish a substantial and material question regarding pattern distortion.</w:t>
      </w:r>
      <w:r>
        <w:rPr>
          <w:rStyle w:val="FootnoteReference"/>
          <w:szCs w:val="22"/>
        </w:rPr>
        <w:footnoteReference w:id="69"/>
      </w:r>
      <w:r w:rsidRPr="00942D62">
        <w:rPr>
          <w:szCs w:val="22"/>
        </w:rPr>
        <w:t xml:space="preserve"> </w:t>
      </w:r>
      <w:r>
        <w:rPr>
          <w:szCs w:val="22"/>
        </w:rPr>
        <w:t xml:space="preserve"> Here, LKCM’s own evidence establishes the parameters of the KFWR antenna.  </w:t>
      </w:r>
      <w:r w:rsidRPr="00942D62">
        <w:rPr>
          <w:szCs w:val="22"/>
        </w:rPr>
        <w:t xml:space="preserve">Similarly, in </w:t>
      </w:r>
      <w:r w:rsidRPr="00942D62">
        <w:rPr>
          <w:i/>
          <w:szCs w:val="22"/>
        </w:rPr>
        <w:t xml:space="preserve">R&amp;R </w:t>
      </w:r>
      <w:r w:rsidRPr="00942D62">
        <w:rPr>
          <w:szCs w:val="22"/>
        </w:rPr>
        <w:t xml:space="preserve">the </w:t>
      </w:r>
      <w:r>
        <w:rPr>
          <w:szCs w:val="22"/>
        </w:rPr>
        <w:t>staff dismissed opponent’s challenge to the applicant’s new antenna as “wholly speculative,” because among other things</w:t>
      </w:r>
      <w:r w:rsidR="008B655C">
        <w:rPr>
          <w:szCs w:val="22"/>
        </w:rPr>
        <w:t>,</w:t>
      </w:r>
      <w:r>
        <w:rPr>
          <w:szCs w:val="22"/>
        </w:rPr>
        <w:t xml:space="preserve"> the opponent made unwarranted assumptions about the model of antenna to be used, which is not the case here, where both LKCM and its antenna manufacturer have set forth the model of antenna to be used and its characteristics.</w:t>
      </w:r>
      <w:r>
        <w:rPr>
          <w:rStyle w:val="FootnoteReference"/>
          <w:szCs w:val="22"/>
        </w:rPr>
        <w:footnoteReference w:id="70"/>
      </w:r>
      <w:r>
        <w:rPr>
          <w:szCs w:val="22"/>
        </w:rPr>
        <w:t xml:space="preserve">  Additionally, while the applicant in </w:t>
      </w:r>
      <w:r w:rsidRPr="00BA0A39">
        <w:rPr>
          <w:i/>
          <w:szCs w:val="22"/>
        </w:rPr>
        <w:t>R&amp;R</w:t>
      </w:r>
      <w:r>
        <w:rPr>
          <w:szCs w:val="22"/>
        </w:rPr>
        <w:t xml:space="preserve"> proposed an existing tower using lambda tower sections of the type proposed by LKCM here, those sections were tuned for another station already transmitting from that tower, rather than applicant’s frequency.</w:t>
      </w:r>
      <w:r w:rsidR="00BA69D3" w:rsidRPr="00942D62">
        <w:rPr>
          <w:rStyle w:val="FootnoteReference"/>
          <w:szCs w:val="22"/>
        </w:rPr>
        <w:footnoteReference w:id="71"/>
      </w:r>
      <w:r>
        <w:rPr>
          <w:szCs w:val="22"/>
        </w:rPr>
        <w:t xml:space="preserve">  In the instant case, the lambda tower sections are tuned to KFWR’s frequency</w:t>
      </w:r>
      <w:r w:rsidRPr="00942D62">
        <w:rPr>
          <w:szCs w:val="22"/>
        </w:rPr>
        <w:t>.  Finally,</w:t>
      </w:r>
      <w:r w:rsidRPr="00942D62">
        <w:rPr>
          <w:i/>
          <w:szCs w:val="22"/>
        </w:rPr>
        <w:t xml:space="preserve"> </w:t>
      </w:r>
      <w:r>
        <w:rPr>
          <w:szCs w:val="22"/>
        </w:rPr>
        <w:t xml:space="preserve">the staff in </w:t>
      </w:r>
      <w:r w:rsidRPr="00942D62">
        <w:rPr>
          <w:i/>
          <w:szCs w:val="22"/>
        </w:rPr>
        <w:t xml:space="preserve">Rebecca Radio </w:t>
      </w:r>
      <w:r w:rsidRPr="00942D62">
        <w:rPr>
          <w:szCs w:val="22"/>
        </w:rPr>
        <w:t xml:space="preserve">upheld the dismissal of two applications for proposing directional antenna patterns with maximum-to-minimum ratios in excess of the </w:t>
      </w:r>
      <w:r>
        <w:rPr>
          <w:szCs w:val="22"/>
        </w:rPr>
        <w:t xml:space="preserve">15 dB limit in </w:t>
      </w:r>
      <w:r w:rsidRPr="00942D62">
        <w:rPr>
          <w:szCs w:val="22"/>
        </w:rPr>
        <w:t>Section 73.316</w:t>
      </w:r>
      <w:r>
        <w:rPr>
          <w:szCs w:val="22"/>
        </w:rPr>
        <w:t xml:space="preserve"> of the Rules</w:t>
      </w:r>
      <w:r w:rsidRPr="00942D62">
        <w:rPr>
          <w:szCs w:val="22"/>
        </w:rPr>
        <w:t>,</w:t>
      </w:r>
      <w:r>
        <w:rPr>
          <w:rStyle w:val="FootnoteReference"/>
          <w:szCs w:val="22"/>
        </w:rPr>
        <w:footnoteReference w:id="72"/>
      </w:r>
      <w:r w:rsidRPr="00942D62">
        <w:rPr>
          <w:szCs w:val="22"/>
        </w:rPr>
        <w:t xml:space="preserve"> but that fault was attributable to defective propos</w:t>
      </w:r>
      <w:r w:rsidR="00BE5922">
        <w:rPr>
          <w:szCs w:val="22"/>
        </w:rPr>
        <w:t xml:space="preserve">ed directional antenna patterns, </w:t>
      </w:r>
      <w:r>
        <w:rPr>
          <w:szCs w:val="22"/>
        </w:rPr>
        <w:t>n</w:t>
      </w:r>
      <w:r w:rsidRPr="00942D62">
        <w:rPr>
          <w:szCs w:val="22"/>
        </w:rPr>
        <w:t xml:space="preserve">either </w:t>
      </w:r>
      <w:r w:rsidR="00BE5922">
        <w:rPr>
          <w:szCs w:val="22"/>
        </w:rPr>
        <w:t>of which</w:t>
      </w:r>
      <w:r w:rsidRPr="00942D62">
        <w:rPr>
          <w:szCs w:val="22"/>
        </w:rPr>
        <w:t xml:space="preserve"> ever advanced to the stage of construction.</w:t>
      </w:r>
      <w:r w:rsidRPr="00942D62">
        <w:rPr>
          <w:rStyle w:val="FootnoteReference"/>
          <w:szCs w:val="22"/>
        </w:rPr>
        <w:footnoteReference w:id="73"/>
      </w:r>
      <w:r>
        <w:rPr>
          <w:szCs w:val="22"/>
        </w:rPr>
        <w:t xml:space="preserve"> </w:t>
      </w:r>
    </w:p>
    <w:p w:rsidR="007F0D97" w:rsidRPr="009A6328" w:rsidRDefault="007F0D97" w:rsidP="00DB31C5">
      <w:pPr>
        <w:pStyle w:val="ParaNum"/>
        <w:keepNext/>
        <w:widowControl/>
      </w:pPr>
      <w:r>
        <w:rPr>
          <w:szCs w:val="22"/>
        </w:rPr>
        <w:t>We find that</w:t>
      </w:r>
      <w:r w:rsidRPr="00942D62">
        <w:rPr>
          <w:szCs w:val="22"/>
        </w:rPr>
        <w:t xml:space="preserve"> </w:t>
      </w:r>
      <w:r w:rsidRPr="000A790C">
        <w:rPr>
          <w:szCs w:val="22"/>
        </w:rPr>
        <w:t>Lake</w:t>
      </w:r>
      <w:r>
        <w:rPr>
          <w:szCs w:val="22"/>
        </w:rPr>
        <w:t>, in its</w:t>
      </w:r>
      <w:r w:rsidRPr="000A790C">
        <w:rPr>
          <w:szCs w:val="22"/>
        </w:rPr>
        <w:t xml:space="preserve"> Complaint</w:t>
      </w:r>
      <w:r w:rsidRPr="000A790C">
        <w:rPr>
          <w:i/>
          <w:szCs w:val="22"/>
        </w:rPr>
        <w:t>,</w:t>
      </w:r>
      <w:r w:rsidRPr="00942D62">
        <w:rPr>
          <w:szCs w:val="22"/>
        </w:rPr>
        <w:t xml:space="preserve"> as supplemented by the </w:t>
      </w:r>
      <w:r w:rsidRPr="000A790C">
        <w:rPr>
          <w:szCs w:val="22"/>
        </w:rPr>
        <w:t>Lake Response,</w:t>
      </w:r>
      <w:r w:rsidRPr="00942D62">
        <w:rPr>
          <w:i/>
          <w:szCs w:val="22"/>
        </w:rPr>
        <w:t xml:space="preserve"> </w:t>
      </w:r>
      <w:r w:rsidRPr="00942D62">
        <w:rPr>
          <w:szCs w:val="22"/>
        </w:rPr>
        <w:t xml:space="preserve">provides </w:t>
      </w:r>
      <w:r w:rsidR="00DC27E0">
        <w:rPr>
          <w:szCs w:val="22"/>
        </w:rPr>
        <w:t>substantial</w:t>
      </w:r>
      <w:r w:rsidRPr="00942D62">
        <w:rPr>
          <w:szCs w:val="22"/>
        </w:rPr>
        <w:t xml:space="preserve"> evidence of a directional </w:t>
      </w:r>
      <w:r>
        <w:rPr>
          <w:szCs w:val="22"/>
        </w:rPr>
        <w:t xml:space="preserve">antenna </w:t>
      </w:r>
      <w:r w:rsidRPr="00942D62">
        <w:rPr>
          <w:szCs w:val="22"/>
        </w:rPr>
        <w:t>installation by LKCM</w:t>
      </w:r>
      <w:r>
        <w:rPr>
          <w:szCs w:val="22"/>
        </w:rPr>
        <w:t xml:space="preserve"> at KFWR.  While</w:t>
      </w:r>
      <w:r w:rsidRPr="00942D62">
        <w:rPr>
          <w:szCs w:val="22"/>
        </w:rPr>
        <w:t xml:space="preserve"> LKCM takes great pains to avoid characterizing its licensed facility as directional, instead referring to “pattern optimization” and the fact that such optimization brought the vertically polarized component closer to the h</w:t>
      </w:r>
      <w:r>
        <w:rPr>
          <w:szCs w:val="22"/>
        </w:rPr>
        <w:t xml:space="preserve">orizontally polarized component, </w:t>
      </w:r>
      <w:r w:rsidRPr="00942D62">
        <w:rPr>
          <w:szCs w:val="22"/>
        </w:rPr>
        <w:t xml:space="preserve">the conclusion is inescapable that the KFWR </w:t>
      </w:r>
      <w:r>
        <w:rPr>
          <w:szCs w:val="22"/>
        </w:rPr>
        <w:t>antenna</w:t>
      </w:r>
      <w:r w:rsidRPr="00942D62">
        <w:rPr>
          <w:szCs w:val="22"/>
        </w:rPr>
        <w:t xml:space="preserve"> is, in fact, directional.  </w:t>
      </w:r>
      <w:r>
        <w:rPr>
          <w:szCs w:val="22"/>
        </w:rPr>
        <w:t>Lake</w:t>
      </w:r>
      <w:r w:rsidRPr="00942D62">
        <w:rPr>
          <w:szCs w:val="22"/>
        </w:rPr>
        <w:t>’s relative field patterns show that the radiation from the KFWR facility is predomin</w:t>
      </w:r>
      <w:r>
        <w:rPr>
          <w:szCs w:val="22"/>
        </w:rPr>
        <w:t>a</w:t>
      </w:r>
      <w:r w:rsidRPr="00942D62">
        <w:rPr>
          <w:szCs w:val="22"/>
        </w:rPr>
        <w:t>ntly southeastward with far lesser amounts north, west, and south</w:t>
      </w:r>
      <w:r>
        <w:rPr>
          <w:szCs w:val="22"/>
        </w:rPr>
        <w:t>, including in the direction of the community of license</w:t>
      </w:r>
      <w:r w:rsidRPr="00942D62">
        <w:rPr>
          <w:szCs w:val="22"/>
        </w:rPr>
        <w:t>.</w:t>
      </w:r>
      <w:r w:rsidRPr="00942D62">
        <w:rPr>
          <w:rStyle w:val="FootnoteReference"/>
          <w:szCs w:val="22"/>
        </w:rPr>
        <w:footnoteReference w:id="74"/>
      </w:r>
      <w:r w:rsidRPr="00942D62">
        <w:rPr>
          <w:szCs w:val="22"/>
        </w:rPr>
        <w:t xml:space="preserve">  </w:t>
      </w:r>
      <w:r>
        <w:rPr>
          <w:szCs w:val="22"/>
        </w:rPr>
        <w:t>Lake</w:t>
      </w:r>
      <w:r w:rsidRPr="00942D62">
        <w:rPr>
          <w:szCs w:val="22"/>
        </w:rPr>
        <w:t xml:space="preserve"> has established (and the staff has corroborated) that the maximum gain of this antenna installation is 4.1</w:t>
      </w:r>
      <w:r>
        <w:rPr>
          <w:szCs w:val="22"/>
        </w:rPr>
        <w:t>89</w:t>
      </w:r>
      <w:r w:rsidRPr="00942D62">
        <w:rPr>
          <w:szCs w:val="22"/>
        </w:rPr>
        <w:t xml:space="preserve"> dB horizontally polarized and 4.38</w:t>
      </w:r>
      <w:r>
        <w:rPr>
          <w:szCs w:val="22"/>
        </w:rPr>
        <w:t>6</w:t>
      </w:r>
      <w:r w:rsidRPr="00942D62">
        <w:rPr>
          <w:szCs w:val="22"/>
        </w:rPr>
        <w:t xml:space="preserve"> dB</w:t>
      </w:r>
      <w:r w:rsidR="00BE5922">
        <w:rPr>
          <w:szCs w:val="22"/>
        </w:rPr>
        <w:t xml:space="preserve"> vertically polarized</w:t>
      </w:r>
      <w:r w:rsidRPr="00942D62">
        <w:rPr>
          <w:szCs w:val="22"/>
        </w:rPr>
        <w:t xml:space="preserve"> above the 100 kW (20 dBk) level nominally authorized for KFWR.</w:t>
      </w:r>
      <w:r w:rsidRPr="00942D62">
        <w:rPr>
          <w:rStyle w:val="FootnoteReference"/>
          <w:szCs w:val="22"/>
        </w:rPr>
        <w:footnoteReference w:id="75"/>
      </w:r>
      <w:r w:rsidRPr="00942D62">
        <w:rPr>
          <w:szCs w:val="22"/>
        </w:rPr>
        <w:t xml:space="preserve">   This is well over the 3 dB value that </w:t>
      </w:r>
      <w:r>
        <w:rPr>
          <w:szCs w:val="22"/>
        </w:rPr>
        <w:t>was rejected</w:t>
      </w:r>
      <w:r w:rsidRPr="00942D62">
        <w:rPr>
          <w:szCs w:val="22"/>
        </w:rPr>
        <w:t xml:space="preserve"> in </w:t>
      </w:r>
      <w:r w:rsidRPr="00942D62">
        <w:rPr>
          <w:i/>
          <w:szCs w:val="22"/>
        </w:rPr>
        <w:t>Ettlinger.</w:t>
      </w:r>
      <w:r w:rsidRPr="00942D62">
        <w:rPr>
          <w:szCs w:val="22"/>
        </w:rPr>
        <w:t xml:space="preserve">  </w:t>
      </w:r>
      <w:r>
        <w:rPr>
          <w:szCs w:val="22"/>
        </w:rPr>
        <w:t>Lake</w:t>
      </w:r>
      <w:r w:rsidRPr="00942D62">
        <w:rPr>
          <w:szCs w:val="22"/>
        </w:rPr>
        <w:t xml:space="preserve"> has also established that the maximum-to-minimum ratio for the antenna is 19.18 dB in the horizontal plane and 11.2 dB vertically polarized.  </w:t>
      </w:r>
      <w:r>
        <w:rPr>
          <w:szCs w:val="22"/>
        </w:rPr>
        <w:t>Given</w:t>
      </w:r>
      <w:r w:rsidRPr="00942D62">
        <w:rPr>
          <w:szCs w:val="22"/>
        </w:rPr>
        <w:t xml:space="preserve"> that under Section 73</w:t>
      </w:r>
      <w:r>
        <w:rPr>
          <w:szCs w:val="22"/>
        </w:rPr>
        <w:t>.316(b)(1) of the R</w:t>
      </w:r>
      <w:r w:rsidRPr="00942D62">
        <w:rPr>
          <w:szCs w:val="22"/>
        </w:rPr>
        <w:t>ules,</w:t>
      </w:r>
      <w:r>
        <w:rPr>
          <w:rStyle w:val="FootnoteReference"/>
          <w:szCs w:val="22"/>
        </w:rPr>
        <w:footnoteReference w:id="76"/>
      </w:r>
      <w:r w:rsidRPr="00942D62">
        <w:rPr>
          <w:szCs w:val="22"/>
        </w:rPr>
        <w:t xml:space="preserve"> the greatest maximum-to-minimum ratio</w:t>
      </w:r>
      <w:r>
        <w:rPr>
          <w:szCs w:val="22"/>
        </w:rPr>
        <w:t xml:space="preserve"> for a </w:t>
      </w:r>
      <w:r w:rsidRPr="00BA0A39">
        <w:rPr>
          <w:i/>
          <w:szCs w:val="22"/>
        </w:rPr>
        <w:t>directional</w:t>
      </w:r>
      <w:r>
        <w:rPr>
          <w:szCs w:val="22"/>
        </w:rPr>
        <w:t xml:space="preserve"> antenna</w:t>
      </w:r>
      <w:r w:rsidRPr="00942D62">
        <w:rPr>
          <w:szCs w:val="22"/>
        </w:rPr>
        <w:t xml:space="preserve"> routinely author</w:t>
      </w:r>
      <w:r>
        <w:rPr>
          <w:szCs w:val="22"/>
        </w:rPr>
        <w:t>ized by the Commission is 15 dB, it is difficult to credit LKCM’s position that its facility should be considered non-directional.</w:t>
      </w:r>
      <w:r w:rsidRPr="00942D62">
        <w:rPr>
          <w:szCs w:val="22"/>
        </w:rPr>
        <w:t xml:space="preserve">  </w:t>
      </w:r>
      <w:r>
        <w:rPr>
          <w:szCs w:val="22"/>
        </w:rPr>
        <w:t>We therefore find that</w:t>
      </w:r>
      <w:r w:rsidRPr="00942D62">
        <w:rPr>
          <w:szCs w:val="22"/>
        </w:rPr>
        <w:t xml:space="preserve"> the KFWR facility </w:t>
      </w:r>
      <w:r>
        <w:rPr>
          <w:szCs w:val="22"/>
        </w:rPr>
        <w:t>is</w:t>
      </w:r>
      <w:r w:rsidRPr="00942D62">
        <w:rPr>
          <w:szCs w:val="22"/>
        </w:rPr>
        <w:t xml:space="preserve"> directional.</w:t>
      </w:r>
    </w:p>
    <w:p w:rsidR="007F0D97" w:rsidRPr="009A6328" w:rsidRDefault="007F0D97" w:rsidP="00DB31C5">
      <w:pPr>
        <w:pStyle w:val="ParaNum"/>
        <w:keepNext/>
        <w:widowControl/>
      </w:pPr>
      <w:r w:rsidRPr="000358A6">
        <w:rPr>
          <w:szCs w:val="22"/>
        </w:rPr>
        <w:t xml:space="preserve">Similarly, there can be no question that the KFWR pattern distortion is intentional.  The KFWR antenna is </w:t>
      </w:r>
      <w:r w:rsidR="00DB31C5">
        <w:rPr>
          <w:szCs w:val="22"/>
        </w:rPr>
        <w:t>mounted on a frequency-matched l</w:t>
      </w:r>
      <w:r w:rsidRPr="000358A6">
        <w:rPr>
          <w:szCs w:val="22"/>
        </w:rPr>
        <w:t>ambda tower, and ERI performed pattern optimization studies in advance of construction.  Clearly, ERI and LKCM knew in advance what the result would be.</w:t>
      </w:r>
      <w:r>
        <w:rPr>
          <w:szCs w:val="22"/>
        </w:rPr>
        <w:t xml:space="preserve">  Specifically, that result is that</w:t>
      </w:r>
      <w:r w:rsidRPr="000358A6">
        <w:rPr>
          <w:szCs w:val="22"/>
        </w:rPr>
        <w:t xml:space="preserve"> KFWR</w:t>
      </w:r>
      <w:r>
        <w:rPr>
          <w:szCs w:val="22"/>
        </w:rPr>
        <w:t>,</w:t>
      </w:r>
      <w:r w:rsidRPr="000358A6">
        <w:rPr>
          <w:szCs w:val="22"/>
        </w:rPr>
        <w:t xml:space="preserve"> licensed to radiate a maximum of 100 kW in a</w:t>
      </w:r>
      <w:r>
        <w:rPr>
          <w:szCs w:val="22"/>
        </w:rPr>
        <w:t>ny direction,</w:t>
      </w:r>
      <w:r w:rsidRPr="000358A6">
        <w:rPr>
          <w:szCs w:val="22"/>
        </w:rPr>
        <w:t xml:space="preserve"> is presently radiating 262.4 kW horizontally polarized, and 274.5 kW vertically polarized, into the maximum lobe of </w:t>
      </w:r>
      <w:r>
        <w:rPr>
          <w:szCs w:val="22"/>
        </w:rPr>
        <w:t>its</w:t>
      </w:r>
      <w:r w:rsidRPr="000358A6">
        <w:rPr>
          <w:szCs w:val="22"/>
        </w:rPr>
        <w:t xml:space="preserve"> directional pattern.</w:t>
      </w:r>
      <w:r w:rsidRPr="00942D62">
        <w:rPr>
          <w:rStyle w:val="FootnoteReference"/>
          <w:szCs w:val="22"/>
        </w:rPr>
        <w:footnoteReference w:id="77"/>
      </w:r>
      <w:r w:rsidRPr="000358A6">
        <w:rPr>
          <w:szCs w:val="22"/>
        </w:rPr>
        <w:t xml:space="preserve">   LKCM contends that since that KCKL and KFWR are fully spaced under Section 73.207,</w:t>
      </w:r>
      <w:r>
        <w:rPr>
          <w:rStyle w:val="FootnoteReference"/>
          <w:szCs w:val="22"/>
        </w:rPr>
        <w:footnoteReference w:id="78"/>
      </w:r>
      <w:r w:rsidRPr="000358A6">
        <w:rPr>
          <w:szCs w:val="22"/>
        </w:rPr>
        <w:t xml:space="preserve"> the Commission should not consider Lake’s contour overlap analyses.  </w:t>
      </w:r>
      <w:r>
        <w:rPr>
          <w:szCs w:val="22"/>
        </w:rPr>
        <w:t>We</w:t>
      </w:r>
      <w:r w:rsidRPr="000358A6">
        <w:rPr>
          <w:szCs w:val="22"/>
        </w:rPr>
        <w:t xml:space="preserve"> would agree with LKCM were it not for the fact that KFWR is radiating 2.75 times the ERP toward KCKL than is permitted by the FCC’s rules.   In this situation, we conclude that a contour overlap analysis is justified to </w:t>
      </w:r>
      <w:r>
        <w:rPr>
          <w:szCs w:val="22"/>
        </w:rPr>
        <w:t>predict</w:t>
      </w:r>
      <w:r w:rsidRPr="000358A6">
        <w:rPr>
          <w:szCs w:val="22"/>
        </w:rPr>
        <w:t xml:space="preserve"> the effects on KCKL.</w:t>
      </w:r>
    </w:p>
    <w:p w:rsidR="003F17E6" w:rsidRPr="00BA13AC" w:rsidRDefault="007F0D97" w:rsidP="00125435">
      <w:pPr>
        <w:pStyle w:val="ParaNum"/>
        <w:keepNext/>
        <w:widowControl/>
      </w:pPr>
      <w:r w:rsidRPr="007E49F9">
        <w:rPr>
          <w:szCs w:val="22"/>
        </w:rPr>
        <w:t>The</w:t>
      </w:r>
      <w:r w:rsidRPr="007E49F9">
        <w:rPr>
          <w:i/>
          <w:szCs w:val="22"/>
        </w:rPr>
        <w:t xml:space="preserve"> </w:t>
      </w:r>
      <w:r w:rsidRPr="007E49F9">
        <w:rPr>
          <w:szCs w:val="22"/>
        </w:rPr>
        <w:t>Lake Complaint includes a contour overlap analysis that shows that the 40 dBµ co-channel interfering contour of KFWR’s facility (as built) overlaps approximately 30 percent of KCKL’s 60 dBµ protected service contour.  A comparison using KFWR’s licensed parameters (100 kW ERP, omnidirectional antenna) shows that no contour overlap should exist.</w:t>
      </w:r>
      <w:r w:rsidRPr="00942D62">
        <w:rPr>
          <w:rStyle w:val="FootnoteReference"/>
          <w:szCs w:val="22"/>
        </w:rPr>
        <w:footnoteReference w:id="79"/>
      </w:r>
      <w:r w:rsidRPr="007E49F9">
        <w:rPr>
          <w:szCs w:val="22"/>
        </w:rPr>
        <w:t xml:space="preserve">  This </w:t>
      </w:r>
      <w:r w:rsidR="00E1734C">
        <w:rPr>
          <w:szCs w:val="22"/>
        </w:rPr>
        <w:t xml:space="preserve">overlap analysis </w:t>
      </w:r>
      <w:r w:rsidRPr="007E49F9">
        <w:rPr>
          <w:szCs w:val="22"/>
        </w:rPr>
        <w:t xml:space="preserve">suggests that the KFWR directional operation may be having </w:t>
      </w:r>
      <w:r w:rsidR="009C22B7">
        <w:rPr>
          <w:szCs w:val="22"/>
        </w:rPr>
        <w:t>an</w:t>
      </w:r>
      <w:r w:rsidRPr="007E49F9">
        <w:rPr>
          <w:szCs w:val="22"/>
        </w:rPr>
        <w:t xml:space="preserve"> </w:t>
      </w:r>
      <w:r w:rsidR="00C84DA4" w:rsidRPr="007E49F9">
        <w:rPr>
          <w:szCs w:val="22"/>
        </w:rPr>
        <w:t>adverse</w:t>
      </w:r>
      <w:r w:rsidR="009C22B7">
        <w:rPr>
          <w:szCs w:val="22"/>
        </w:rPr>
        <w:t xml:space="preserve"> effect</w:t>
      </w:r>
      <w:r w:rsidR="00374485">
        <w:rPr>
          <w:szCs w:val="22"/>
        </w:rPr>
        <w:t xml:space="preserve"> on reception of KCKL.  E</w:t>
      </w:r>
      <w:r w:rsidRPr="007E49F9">
        <w:rPr>
          <w:szCs w:val="22"/>
        </w:rPr>
        <w:t xml:space="preserve">ven if </w:t>
      </w:r>
      <w:r w:rsidR="00374485">
        <w:rPr>
          <w:szCs w:val="22"/>
        </w:rPr>
        <w:t>the overlap</w:t>
      </w:r>
      <w:r w:rsidRPr="007E49F9">
        <w:rPr>
          <w:szCs w:val="22"/>
        </w:rPr>
        <w:t xml:space="preserve"> is only at</w:t>
      </w:r>
      <w:r w:rsidR="00374485">
        <w:rPr>
          <w:szCs w:val="22"/>
        </w:rPr>
        <w:t xml:space="preserve"> the fringes of KCKL’s service</w:t>
      </w:r>
      <w:r w:rsidR="004E4179">
        <w:rPr>
          <w:szCs w:val="22"/>
        </w:rPr>
        <w:t xml:space="preserve"> area</w:t>
      </w:r>
      <w:r w:rsidR="00374485">
        <w:rPr>
          <w:szCs w:val="22"/>
        </w:rPr>
        <w:t>, u</w:t>
      </w:r>
      <w:r w:rsidRPr="007E49F9">
        <w:rPr>
          <w:szCs w:val="22"/>
        </w:rPr>
        <w:t>nder Sections 73.207 and 73.212 of the Commission’s Rules,</w:t>
      </w:r>
      <w:r>
        <w:rPr>
          <w:rStyle w:val="FootnoteReference"/>
          <w:szCs w:val="22"/>
        </w:rPr>
        <w:footnoteReference w:id="80"/>
      </w:r>
      <w:r w:rsidRPr="007E49F9">
        <w:rPr>
          <w:szCs w:val="22"/>
        </w:rPr>
        <w:t xml:space="preserve"> Lake has a reasonable expectation that KFWR shall not radiate more than the 100 kW </w:t>
      </w:r>
      <w:r w:rsidR="007E49F9" w:rsidRPr="007E49F9">
        <w:rPr>
          <w:szCs w:val="22"/>
        </w:rPr>
        <w:t xml:space="preserve">maximum permitted ERP </w:t>
      </w:r>
      <w:r w:rsidRPr="007E49F9">
        <w:rPr>
          <w:szCs w:val="22"/>
        </w:rPr>
        <w:t>toward KCKL</w:t>
      </w:r>
      <w:r w:rsidR="007E49F9" w:rsidRPr="007E49F9">
        <w:rPr>
          <w:szCs w:val="22"/>
        </w:rPr>
        <w:t>.</w:t>
      </w:r>
      <w:r w:rsidR="007E49F9">
        <w:rPr>
          <w:szCs w:val="22"/>
        </w:rPr>
        <w:t xml:space="preserve">  Moreover</w:t>
      </w:r>
      <w:r w:rsidRPr="007E49F9">
        <w:rPr>
          <w:szCs w:val="22"/>
        </w:rPr>
        <w:t xml:space="preserve">, the quantity or quality of interference complaints is not a salient issue here.  There is no requirement </w:t>
      </w:r>
      <w:r w:rsidR="007E49F9">
        <w:rPr>
          <w:szCs w:val="22"/>
        </w:rPr>
        <w:t>that</w:t>
      </w:r>
      <w:r w:rsidRPr="007E49F9">
        <w:rPr>
          <w:szCs w:val="22"/>
        </w:rPr>
        <w:t xml:space="preserve"> Lake first d</w:t>
      </w:r>
      <w:r w:rsidR="00DB31C5" w:rsidRPr="007E49F9">
        <w:rPr>
          <w:szCs w:val="22"/>
        </w:rPr>
        <w:t>emonstrate harmful interference</w:t>
      </w:r>
      <w:r w:rsidRPr="007E49F9">
        <w:rPr>
          <w:szCs w:val="22"/>
        </w:rPr>
        <w:t xml:space="preserve"> before </w:t>
      </w:r>
      <w:r w:rsidR="00DB31C5" w:rsidRPr="007E49F9">
        <w:rPr>
          <w:szCs w:val="22"/>
        </w:rPr>
        <w:t>it</w:t>
      </w:r>
      <w:r w:rsidR="00A0438C" w:rsidRPr="007E49F9">
        <w:rPr>
          <w:szCs w:val="22"/>
        </w:rPr>
        <w:t xml:space="preserve"> can claim the protection to KCKL </w:t>
      </w:r>
      <w:r w:rsidRPr="007E49F9">
        <w:rPr>
          <w:szCs w:val="22"/>
        </w:rPr>
        <w:t>to which it is legally entitled under the Commission’s Rules.</w:t>
      </w:r>
    </w:p>
    <w:p w:rsidR="00BA13AC" w:rsidRPr="009A6328" w:rsidRDefault="00BA13AC" w:rsidP="00DB31C5">
      <w:pPr>
        <w:pStyle w:val="Heading1"/>
        <w:widowControl/>
      </w:pPr>
      <w:r>
        <w:t>CONCLUSION / ORDERING CLAUSES</w:t>
      </w:r>
    </w:p>
    <w:p w:rsidR="0012091E" w:rsidRPr="0012091E" w:rsidRDefault="00B87871" w:rsidP="00DB31C5">
      <w:pPr>
        <w:pStyle w:val="ParaNum"/>
        <w:keepNext/>
        <w:widowControl/>
      </w:pPr>
      <w:r w:rsidRPr="00942D62">
        <w:rPr>
          <w:szCs w:val="22"/>
        </w:rPr>
        <w:t xml:space="preserve">The </w:t>
      </w:r>
      <w:r>
        <w:rPr>
          <w:szCs w:val="22"/>
        </w:rPr>
        <w:t>record herein establishes that</w:t>
      </w:r>
      <w:r w:rsidRPr="00942D62">
        <w:rPr>
          <w:szCs w:val="22"/>
        </w:rPr>
        <w:t xml:space="preserve"> LKCM’s antenna installation is clearly and intentionally directional, and was </w:t>
      </w:r>
      <w:r>
        <w:rPr>
          <w:szCs w:val="22"/>
        </w:rPr>
        <w:t>specifically</w:t>
      </w:r>
      <w:r w:rsidRPr="00942D62">
        <w:rPr>
          <w:szCs w:val="22"/>
        </w:rPr>
        <w:t xml:space="preserve"> designed to be so.  Given the excessive radiation from that facility, </w:t>
      </w:r>
      <w:r>
        <w:rPr>
          <w:szCs w:val="22"/>
        </w:rPr>
        <w:t>Lake</w:t>
      </w:r>
      <w:r w:rsidRPr="00942D62">
        <w:rPr>
          <w:szCs w:val="22"/>
        </w:rPr>
        <w:t xml:space="preserve"> is not barred from pursuing this complaint merely because KCKL and KFWR are fully spaced under Section 73.207</w:t>
      </w:r>
      <w:r>
        <w:rPr>
          <w:szCs w:val="22"/>
        </w:rPr>
        <w:t xml:space="preserve"> of the Rules</w:t>
      </w:r>
      <w:r w:rsidRPr="00942D62">
        <w:rPr>
          <w:szCs w:val="22"/>
        </w:rPr>
        <w:t xml:space="preserve">.  </w:t>
      </w:r>
      <w:r>
        <w:rPr>
          <w:szCs w:val="22"/>
        </w:rPr>
        <w:t>Under the Rules,</w:t>
      </w:r>
      <w:r w:rsidRPr="00942D62">
        <w:rPr>
          <w:szCs w:val="22"/>
        </w:rPr>
        <w:t xml:space="preserve"> </w:t>
      </w:r>
      <w:r>
        <w:rPr>
          <w:szCs w:val="22"/>
        </w:rPr>
        <w:t>Lake</w:t>
      </w:r>
      <w:r w:rsidRPr="00942D62">
        <w:rPr>
          <w:szCs w:val="22"/>
        </w:rPr>
        <w:t xml:space="preserve"> has a reasonable expectation that KFWR shall not radiate more than 100 kW in any direction. </w:t>
      </w:r>
      <w:r>
        <w:rPr>
          <w:szCs w:val="22"/>
        </w:rPr>
        <w:t xml:space="preserve"> </w:t>
      </w:r>
      <w:r w:rsidR="00A742DD">
        <w:rPr>
          <w:szCs w:val="22"/>
        </w:rPr>
        <w:t>Although</w:t>
      </w:r>
      <w:r w:rsidRPr="00942D62">
        <w:rPr>
          <w:szCs w:val="22"/>
        </w:rPr>
        <w:t xml:space="preserve"> we do not find </w:t>
      </w:r>
      <w:r w:rsidR="00A742DD">
        <w:rPr>
          <w:szCs w:val="22"/>
        </w:rPr>
        <w:t xml:space="preserve">evidence in the record </w:t>
      </w:r>
      <w:r w:rsidRPr="00942D62">
        <w:rPr>
          <w:szCs w:val="22"/>
        </w:rPr>
        <w:t xml:space="preserve">that LKCM intentionally deceived the Commission about its constructed facility, </w:t>
      </w:r>
      <w:r>
        <w:rPr>
          <w:szCs w:val="22"/>
        </w:rPr>
        <w:t>we nonetheless</w:t>
      </w:r>
      <w:r w:rsidRPr="00942D62">
        <w:rPr>
          <w:szCs w:val="22"/>
        </w:rPr>
        <w:t xml:space="preserve"> conclude that </w:t>
      </w:r>
      <w:r>
        <w:rPr>
          <w:szCs w:val="22"/>
        </w:rPr>
        <w:t>we</w:t>
      </w:r>
      <w:r w:rsidRPr="00942D62">
        <w:rPr>
          <w:szCs w:val="22"/>
        </w:rPr>
        <w:t xml:space="preserve"> must take steps to correct the matter now that it has been documented.</w:t>
      </w:r>
    </w:p>
    <w:p w:rsidR="0012091E" w:rsidRDefault="0012091E" w:rsidP="00DB31C5">
      <w:pPr>
        <w:pStyle w:val="ParaNum"/>
        <w:keepNext/>
        <w:widowControl/>
        <w:rPr>
          <w:szCs w:val="22"/>
        </w:rPr>
      </w:pPr>
      <w:r w:rsidRPr="0012091E">
        <w:rPr>
          <w:szCs w:val="22"/>
        </w:rPr>
        <w:t xml:space="preserve">IT IS THEREFORE ORDERED that, on or before </w:t>
      </w:r>
      <w:r w:rsidR="00C46B06" w:rsidRPr="00C46B06">
        <w:rPr>
          <w:b/>
          <w:szCs w:val="22"/>
        </w:rPr>
        <w:t>April 22, 2015</w:t>
      </w:r>
      <w:r w:rsidRPr="0012091E">
        <w:rPr>
          <w:b/>
          <w:szCs w:val="22"/>
        </w:rPr>
        <w:t xml:space="preserve">, </w:t>
      </w:r>
      <w:r w:rsidRPr="0012091E">
        <w:rPr>
          <w:spacing w:val="-3"/>
          <w:szCs w:val="22"/>
        </w:rPr>
        <w:t>LKCM Radio Licenses, LLP</w:t>
      </w:r>
      <w:r w:rsidR="00B87871">
        <w:rPr>
          <w:spacing w:val="-3"/>
          <w:szCs w:val="22"/>
        </w:rPr>
        <w:t>,</w:t>
      </w:r>
      <w:r w:rsidRPr="0012091E">
        <w:rPr>
          <w:spacing w:val="-3"/>
          <w:szCs w:val="22"/>
        </w:rPr>
        <w:t xml:space="preserve"> SHALL SHOW CAUSE why its license for Station KFWR (FM), File No. BLH-20130110AFG,</w:t>
      </w:r>
      <w:r w:rsidRPr="0012091E">
        <w:rPr>
          <w:lang w:val="en"/>
        </w:rPr>
        <w:t xml:space="preserve"> </w:t>
      </w:r>
      <w:r w:rsidR="00B87871">
        <w:rPr>
          <w:spacing w:val="-3"/>
          <w:szCs w:val="22"/>
        </w:rPr>
        <w:t>SHOULD NOT BE MODIFIED</w:t>
      </w:r>
      <w:r w:rsidRPr="0012091E">
        <w:rPr>
          <w:spacing w:val="-3"/>
          <w:szCs w:val="22"/>
        </w:rPr>
        <w:t xml:space="preserve"> to define the </w:t>
      </w:r>
      <w:r w:rsidRPr="0012091E">
        <w:rPr>
          <w:szCs w:val="22"/>
        </w:rPr>
        <w:t>antenna</w:t>
      </w:r>
      <w:r w:rsidRPr="0012091E">
        <w:rPr>
          <w:spacing w:val="-3"/>
          <w:szCs w:val="22"/>
        </w:rPr>
        <w:t xml:space="preserve"> installation as directional, using the pattern supplied in LKCM’s December 4, 2013</w:t>
      </w:r>
      <w:r w:rsidRPr="0012091E">
        <w:rPr>
          <w:i/>
          <w:spacing w:val="-3"/>
          <w:szCs w:val="22"/>
        </w:rPr>
        <w:t xml:space="preserve">, </w:t>
      </w:r>
      <w:r w:rsidRPr="0012091E">
        <w:rPr>
          <w:spacing w:val="-3"/>
          <w:szCs w:val="22"/>
        </w:rPr>
        <w:t>Response to Complaint.  In addition, LKCM Radio Licenses, LLP</w:t>
      </w:r>
      <w:r w:rsidR="00B87871">
        <w:rPr>
          <w:spacing w:val="-3"/>
          <w:szCs w:val="22"/>
        </w:rPr>
        <w:t>,</w:t>
      </w:r>
      <w:r w:rsidRPr="0012091E">
        <w:rPr>
          <w:spacing w:val="-3"/>
          <w:szCs w:val="22"/>
        </w:rPr>
        <w:t xml:space="preserve"> </w:t>
      </w:r>
      <w:r w:rsidRPr="0012091E">
        <w:rPr>
          <w:szCs w:val="22"/>
        </w:rPr>
        <w:t>SHALL</w:t>
      </w:r>
      <w:r w:rsidRPr="0012091E">
        <w:rPr>
          <w:spacing w:val="-3"/>
          <w:szCs w:val="22"/>
        </w:rPr>
        <w:t xml:space="preserve"> SHOW CAUSE why the </w:t>
      </w:r>
      <w:r w:rsidR="00B87871">
        <w:rPr>
          <w:spacing w:val="-3"/>
          <w:szCs w:val="22"/>
        </w:rPr>
        <w:t>KFWR</w:t>
      </w:r>
      <w:r w:rsidRPr="0012091E">
        <w:rPr>
          <w:spacing w:val="-3"/>
          <w:szCs w:val="22"/>
        </w:rPr>
        <w:t xml:space="preserve"> license </w:t>
      </w:r>
      <w:r w:rsidR="00B87871">
        <w:rPr>
          <w:spacing w:val="-3"/>
          <w:szCs w:val="22"/>
        </w:rPr>
        <w:t>SHOULD NOT BE MODIFIED</w:t>
      </w:r>
      <w:r w:rsidRPr="0012091E">
        <w:rPr>
          <w:spacing w:val="-3"/>
          <w:szCs w:val="22"/>
        </w:rPr>
        <w:t xml:space="preserve"> to </w:t>
      </w:r>
      <w:r w:rsidR="00B87871">
        <w:rPr>
          <w:spacing w:val="-3"/>
          <w:szCs w:val="22"/>
        </w:rPr>
        <w:t>indicate</w:t>
      </w:r>
      <w:r w:rsidRPr="0012091E">
        <w:rPr>
          <w:spacing w:val="-3"/>
          <w:szCs w:val="22"/>
        </w:rPr>
        <w:t xml:space="preserve"> a reduction in transmitter power output from 25.0 kW to 9.1 kW, or such other value </w:t>
      </w:r>
      <w:r w:rsidR="00B87871">
        <w:rPr>
          <w:spacing w:val="-3"/>
          <w:szCs w:val="22"/>
        </w:rPr>
        <w:t>sufficient</w:t>
      </w:r>
      <w:r w:rsidRPr="0012091E">
        <w:rPr>
          <w:spacing w:val="-3"/>
          <w:szCs w:val="22"/>
        </w:rPr>
        <w:t xml:space="preserve"> to limit the maximum radiation to 100 kW in any direction.</w:t>
      </w:r>
      <w:r w:rsidRPr="00942D62">
        <w:rPr>
          <w:rStyle w:val="FootnoteReference"/>
          <w:spacing w:val="-3"/>
          <w:szCs w:val="22"/>
        </w:rPr>
        <w:footnoteReference w:id="81"/>
      </w:r>
      <w:r>
        <w:t xml:space="preserve">  </w:t>
      </w:r>
      <w:r w:rsidRPr="0012091E">
        <w:rPr>
          <w:szCs w:val="22"/>
        </w:rPr>
        <w:t xml:space="preserve">Any protest to this proposed license modification may be sent by hand or messenger delivery, by commercial overnight courier, or by first-class or overnight U.S. Postal Service mail. </w:t>
      </w:r>
      <w:r w:rsidR="00B87871">
        <w:rPr>
          <w:szCs w:val="22"/>
        </w:rPr>
        <w:t xml:space="preserve"> </w:t>
      </w:r>
      <w:r w:rsidR="00552635" w:rsidRPr="006329EB">
        <w:rPr>
          <w:rFonts w:eastAsia="Calibri"/>
          <w:snapToGrid/>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00552635" w:rsidRPr="007E49F9">
        <w:rPr>
          <w:rFonts w:eastAsia="Calibri"/>
          <w:snapToGrid/>
          <w:szCs w:val="22"/>
        </w:rPr>
        <w:t>before</w:t>
      </w:r>
      <w:r w:rsidR="00552635" w:rsidRPr="006329EB">
        <w:rPr>
          <w:rFonts w:eastAsia="Calibri"/>
          <w:snapToGrid/>
          <w:szCs w:val="22"/>
        </w:rPr>
        <w:t xml:space="preserve"> entering the building.</w:t>
      </w:r>
      <w:r w:rsidR="00552635">
        <w:rPr>
          <w:rFonts w:eastAsia="Calibri"/>
          <w:snapToGrid/>
          <w:szCs w:val="22"/>
        </w:rPr>
        <w:t xml:space="preserve">  </w:t>
      </w:r>
      <w:r w:rsidR="00552635" w:rsidRPr="00072960">
        <w:rPr>
          <w:rFonts w:eastAsia="Calibri"/>
          <w:snapToGrid/>
          <w:szCs w:val="22"/>
        </w:rPr>
        <w:t>U.S. Postal Service first-class, Express, and Priority mail must be addressed to 445 12th Street, SW, Washington DC 20554.</w:t>
      </w:r>
      <w:r w:rsidR="00552635">
        <w:rPr>
          <w:rFonts w:eastAsia="Calibri"/>
          <w:snapToGrid/>
          <w:szCs w:val="22"/>
        </w:rPr>
        <w:t xml:space="preserve">  </w:t>
      </w:r>
      <w:r w:rsidR="00552635" w:rsidRPr="006329EB">
        <w:rPr>
          <w:rFonts w:eastAsia="Calibri"/>
          <w:snapToGrid/>
          <w:szCs w:val="22"/>
        </w:rPr>
        <w:t>Commercial overnight mail (other than U.S. Postal Service Express Mail and Priority Mail) must be sent to 9300 East Hampton Drive, Capitol Heights, MD 20743.</w:t>
      </w:r>
      <w:r w:rsidR="00552635" w:rsidRPr="00942D62">
        <w:rPr>
          <w:szCs w:val="22"/>
        </w:rPr>
        <w:t xml:space="preserve">  </w:t>
      </w:r>
      <w:r w:rsidR="00552635">
        <w:rPr>
          <w:szCs w:val="22"/>
        </w:rPr>
        <w:t xml:space="preserve"> </w:t>
      </w:r>
      <w:r w:rsidR="00552635" w:rsidRPr="00942D62">
        <w:rPr>
          <w:b/>
          <w:szCs w:val="22"/>
        </w:rPr>
        <w:t>Any filing that is not addressed to the Office of the Secretary will be treated as filed on the day it is received in the Office of the Secretary.</w:t>
      </w:r>
      <w:r w:rsidR="00552635">
        <w:rPr>
          <w:rStyle w:val="FootnoteReference"/>
          <w:b/>
          <w:szCs w:val="22"/>
        </w:rPr>
        <w:footnoteReference w:id="82"/>
      </w:r>
      <w:r w:rsidR="00552635" w:rsidRPr="00942D62">
        <w:rPr>
          <w:b/>
          <w:szCs w:val="22"/>
        </w:rPr>
        <w:t xml:space="preserve">  Accordingly, failure to follow the specified requirements may result in the treatment of a filing as untimely.</w:t>
      </w:r>
      <w:r w:rsidR="00552635">
        <w:rPr>
          <w:b/>
          <w:szCs w:val="22"/>
        </w:rPr>
        <w:t xml:space="preserve">  </w:t>
      </w:r>
      <w:r w:rsidRPr="0012091E">
        <w:rPr>
          <w:szCs w:val="22"/>
        </w:rPr>
        <w:t xml:space="preserve">Additionally, a copy of any filing must be served on: </w:t>
      </w:r>
    </w:p>
    <w:p w:rsidR="0012091E" w:rsidRPr="0012091E" w:rsidRDefault="0012091E" w:rsidP="00DB31C5">
      <w:pPr>
        <w:pStyle w:val="ParaNum"/>
        <w:keepNext/>
        <w:widowControl/>
        <w:numPr>
          <w:ilvl w:val="0"/>
          <w:numId w:val="0"/>
        </w:numPr>
        <w:spacing w:after="0"/>
        <w:rPr>
          <w:szCs w:val="22"/>
        </w:rPr>
      </w:pPr>
    </w:p>
    <w:p w:rsidR="0012091E" w:rsidRPr="00942D62" w:rsidRDefault="0012091E" w:rsidP="00DB31C5">
      <w:pPr>
        <w:pStyle w:val="ParaNum"/>
        <w:keepNext/>
        <w:widowControl/>
        <w:numPr>
          <w:ilvl w:val="0"/>
          <w:numId w:val="0"/>
        </w:numPr>
        <w:tabs>
          <w:tab w:val="left" w:pos="270"/>
          <w:tab w:val="left" w:pos="360"/>
          <w:tab w:val="left" w:pos="720"/>
        </w:tabs>
        <w:spacing w:after="0"/>
        <w:rPr>
          <w:szCs w:val="22"/>
        </w:rPr>
      </w:pPr>
      <w:r w:rsidRPr="00942D62">
        <w:rPr>
          <w:szCs w:val="22"/>
        </w:rPr>
        <w:tab/>
      </w:r>
      <w:r w:rsidRPr="00942D62">
        <w:rPr>
          <w:szCs w:val="22"/>
        </w:rPr>
        <w:tab/>
      </w:r>
      <w:r w:rsidRPr="00942D62">
        <w:rPr>
          <w:szCs w:val="22"/>
        </w:rPr>
        <w:tab/>
        <w:t>John Wells King</w:t>
      </w:r>
      <w:r w:rsidR="00924646">
        <w:rPr>
          <w:szCs w:val="22"/>
        </w:rPr>
        <w:t>, Esq.</w:t>
      </w:r>
    </w:p>
    <w:p w:rsidR="0012091E" w:rsidRPr="00942D62" w:rsidRDefault="0012091E" w:rsidP="00DB31C5">
      <w:pPr>
        <w:pStyle w:val="ParaNum"/>
        <w:keepNext/>
        <w:widowControl/>
        <w:numPr>
          <w:ilvl w:val="0"/>
          <w:numId w:val="0"/>
        </w:numPr>
        <w:tabs>
          <w:tab w:val="left" w:pos="270"/>
          <w:tab w:val="left" w:pos="360"/>
          <w:tab w:val="left" w:pos="720"/>
        </w:tabs>
        <w:spacing w:after="0"/>
        <w:rPr>
          <w:szCs w:val="22"/>
        </w:rPr>
      </w:pPr>
      <w:r w:rsidRPr="00942D62">
        <w:rPr>
          <w:szCs w:val="22"/>
        </w:rPr>
        <w:tab/>
      </w:r>
      <w:r w:rsidRPr="00942D62">
        <w:rPr>
          <w:szCs w:val="22"/>
        </w:rPr>
        <w:tab/>
      </w:r>
      <w:r w:rsidRPr="00942D62">
        <w:rPr>
          <w:szCs w:val="22"/>
        </w:rPr>
        <w:tab/>
        <w:t>John Wells King, PLLC</w:t>
      </w:r>
    </w:p>
    <w:p w:rsidR="0012091E" w:rsidRPr="00942D62" w:rsidRDefault="0012091E" w:rsidP="00DB31C5">
      <w:pPr>
        <w:pStyle w:val="ParaNum"/>
        <w:keepNext/>
        <w:widowControl/>
        <w:numPr>
          <w:ilvl w:val="0"/>
          <w:numId w:val="0"/>
        </w:numPr>
        <w:tabs>
          <w:tab w:val="left" w:pos="270"/>
          <w:tab w:val="left" w:pos="360"/>
          <w:tab w:val="left" w:pos="720"/>
        </w:tabs>
        <w:spacing w:after="0"/>
        <w:rPr>
          <w:szCs w:val="22"/>
        </w:rPr>
      </w:pPr>
      <w:r w:rsidRPr="00942D62">
        <w:rPr>
          <w:szCs w:val="22"/>
        </w:rPr>
        <w:tab/>
      </w:r>
      <w:r w:rsidRPr="00942D62">
        <w:rPr>
          <w:szCs w:val="22"/>
        </w:rPr>
        <w:tab/>
      </w:r>
      <w:r w:rsidRPr="00942D62">
        <w:rPr>
          <w:szCs w:val="22"/>
        </w:rPr>
        <w:tab/>
        <w:t>4051 Shoal Creek Lane East</w:t>
      </w:r>
    </w:p>
    <w:p w:rsidR="009A6328" w:rsidRPr="0012091E" w:rsidRDefault="0012091E" w:rsidP="00DB31C5">
      <w:pPr>
        <w:pStyle w:val="ParaNum"/>
        <w:keepNext/>
        <w:widowControl/>
        <w:numPr>
          <w:ilvl w:val="0"/>
          <w:numId w:val="0"/>
        </w:numPr>
        <w:ind w:left="720"/>
      </w:pPr>
      <w:r w:rsidRPr="0012091E">
        <w:rPr>
          <w:szCs w:val="22"/>
        </w:rPr>
        <w:t>Jacksonville, FL 32225-4792</w:t>
      </w:r>
    </w:p>
    <w:p w:rsidR="009A6328" w:rsidRDefault="009A6328" w:rsidP="00DB31C5">
      <w:pPr>
        <w:pStyle w:val="ParaNum"/>
        <w:keepNext/>
        <w:widowControl/>
      </w:pPr>
      <w:r w:rsidRPr="00942D62">
        <w:rPr>
          <w:szCs w:val="22"/>
        </w:rPr>
        <w:t>For further information concerning this proceeding, contact Dale Bickel, Media Bureau, at (202) 418-2706.</w:t>
      </w:r>
    </w:p>
    <w:p w:rsidR="00552635" w:rsidRDefault="00552635" w:rsidP="00552635">
      <w:pPr>
        <w:pStyle w:val="ParaNum"/>
        <w:numPr>
          <w:ilvl w:val="0"/>
          <w:numId w:val="0"/>
        </w:numPr>
        <w:spacing w:after="0"/>
      </w:pPr>
    </w:p>
    <w:p w:rsidR="009A6328" w:rsidRPr="00942D62" w:rsidRDefault="00552635" w:rsidP="00552635">
      <w:pPr>
        <w:pStyle w:val="ParaNum"/>
        <w:numPr>
          <w:ilvl w:val="0"/>
          <w:numId w:val="0"/>
        </w:numPr>
        <w:spacing w:after="0"/>
      </w:pPr>
      <w:r>
        <w:tab/>
      </w:r>
      <w:r w:rsidR="009A6328" w:rsidRPr="00942D62">
        <w:tab/>
      </w:r>
      <w:r w:rsidR="009A6328" w:rsidRPr="00942D62">
        <w:tab/>
      </w:r>
      <w:r w:rsidR="009A6328" w:rsidRPr="00942D62">
        <w:tab/>
      </w:r>
      <w:r w:rsidR="009A6328" w:rsidRPr="00942D62">
        <w:tab/>
      </w:r>
      <w:r w:rsidR="009A6328" w:rsidRPr="00942D62">
        <w:tab/>
        <w:t>FEDERAL COMMUNICATIONS COMMISSION</w:t>
      </w:r>
    </w:p>
    <w:p w:rsidR="009A6328" w:rsidRPr="00942D62" w:rsidRDefault="009A6328" w:rsidP="009A6328">
      <w:pPr>
        <w:pStyle w:val="ParaNum"/>
        <w:numPr>
          <w:ilvl w:val="0"/>
          <w:numId w:val="0"/>
        </w:numPr>
        <w:spacing w:after="0"/>
        <w:ind w:left="720"/>
      </w:pPr>
    </w:p>
    <w:p w:rsidR="009A6328" w:rsidRDefault="009A6328" w:rsidP="009A6328">
      <w:pPr>
        <w:pStyle w:val="ParaNum"/>
        <w:numPr>
          <w:ilvl w:val="0"/>
          <w:numId w:val="0"/>
        </w:numPr>
        <w:spacing w:after="0"/>
        <w:ind w:left="720"/>
      </w:pPr>
    </w:p>
    <w:p w:rsidR="009A6328" w:rsidRPr="00942D62" w:rsidRDefault="009A6328" w:rsidP="009A6328">
      <w:pPr>
        <w:pStyle w:val="ParaNum"/>
        <w:numPr>
          <w:ilvl w:val="0"/>
          <w:numId w:val="0"/>
        </w:numPr>
        <w:spacing w:after="0"/>
        <w:ind w:left="720"/>
      </w:pPr>
    </w:p>
    <w:p w:rsidR="009A6328" w:rsidRPr="00942D62" w:rsidRDefault="009A6328" w:rsidP="009A6328">
      <w:pPr>
        <w:pStyle w:val="ParaNum"/>
        <w:numPr>
          <w:ilvl w:val="0"/>
          <w:numId w:val="0"/>
        </w:numPr>
        <w:spacing w:after="0"/>
        <w:ind w:left="720"/>
      </w:pPr>
      <w:r w:rsidRPr="00942D62">
        <w:tab/>
      </w:r>
      <w:r w:rsidRPr="00942D62">
        <w:tab/>
      </w:r>
      <w:r w:rsidRPr="00942D62">
        <w:tab/>
      </w:r>
      <w:r w:rsidRPr="00942D62">
        <w:tab/>
      </w:r>
      <w:r w:rsidRPr="00942D62">
        <w:tab/>
        <w:t>Peter H. Doyle</w:t>
      </w:r>
    </w:p>
    <w:p w:rsidR="009A6328" w:rsidRPr="00942D62" w:rsidRDefault="009A6328" w:rsidP="009A6328">
      <w:pPr>
        <w:pStyle w:val="ParaNum"/>
        <w:numPr>
          <w:ilvl w:val="0"/>
          <w:numId w:val="0"/>
        </w:numPr>
        <w:spacing w:after="0"/>
        <w:ind w:left="3600" w:firstLine="720"/>
      </w:pPr>
      <w:r>
        <w:t xml:space="preserve">Chief, </w:t>
      </w:r>
      <w:r w:rsidRPr="00942D62">
        <w:t>Audio Division</w:t>
      </w:r>
    </w:p>
    <w:p w:rsidR="009A6328" w:rsidRPr="00527850" w:rsidRDefault="009A6328" w:rsidP="00DB31C5">
      <w:pPr>
        <w:pStyle w:val="ParaNum"/>
        <w:numPr>
          <w:ilvl w:val="0"/>
          <w:numId w:val="0"/>
        </w:numPr>
        <w:spacing w:after="0"/>
        <w:ind w:left="3600" w:firstLine="720"/>
      </w:pPr>
      <w:r w:rsidRPr="00942D62">
        <w:t>Media Bureau</w:t>
      </w:r>
    </w:p>
    <w:sectPr w:rsidR="009A6328" w:rsidRPr="0052785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C6" w:rsidRDefault="004D38C6">
      <w:pPr>
        <w:spacing w:line="20" w:lineRule="exact"/>
      </w:pPr>
    </w:p>
  </w:endnote>
  <w:endnote w:type="continuationSeparator" w:id="0">
    <w:p w:rsidR="004D38C6" w:rsidRDefault="004D38C6">
      <w:r>
        <w:t xml:space="preserve"> </w:t>
      </w:r>
    </w:p>
  </w:endnote>
  <w:endnote w:type="continuationNotice" w:id="1">
    <w:p w:rsidR="004D38C6" w:rsidRDefault="004D38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369E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C6" w:rsidRDefault="004D38C6">
      <w:r>
        <w:separator/>
      </w:r>
    </w:p>
  </w:footnote>
  <w:footnote w:type="continuationSeparator" w:id="0">
    <w:p w:rsidR="004D38C6" w:rsidRDefault="004D38C6" w:rsidP="00C721AC">
      <w:pPr>
        <w:spacing w:before="120"/>
        <w:rPr>
          <w:sz w:val="20"/>
        </w:rPr>
      </w:pPr>
      <w:r>
        <w:rPr>
          <w:sz w:val="20"/>
        </w:rPr>
        <w:t xml:space="preserve">(Continued from previous page)  </w:t>
      </w:r>
      <w:r>
        <w:rPr>
          <w:sz w:val="20"/>
        </w:rPr>
        <w:separator/>
      </w:r>
    </w:p>
  </w:footnote>
  <w:footnote w:type="continuationNotice" w:id="1">
    <w:p w:rsidR="004D38C6" w:rsidRDefault="004D38C6" w:rsidP="00C721AC">
      <w:pPr>
        <w:jc w:val="right"/>
        <w:rPr>
          <w:sz w:val="20"/>
        </w:rPr>
      </w:pPr>
      <w:r>
        <w:rPr>
          <w:sz w:val="20"/>
        </w:rPr>
        <w:t>(continued….)</w:t>
      </w:r>
    </w:p>
  </w:footnote>
  <w:footnote w:id="2">
    <w:p w:rsidR="00527850" w:rsidRPr="00942D62" w:rsidRDefault="00527850" w:rsidP="00527850">
      <w:pPr>
        <w:pStyle w:val="FootnoteText"/>
      </w:pPr>
      <w:r w:rsidRPr="00942D62">
        <w:rPr>
          <w:rStyle w:val="FootnoteReference"/>
        </w:rPr>
        <w:footnoteRef/>
      </w:r>
      <w:r w:rsidRPr="00942D62">
        <w:t xml:space="preserve"> </w:t>
      </w:r>
      <w:r w:rsidR="0090161A">
        <w:t>In addition to Lake’s</w:t>
      </w:r>
      <w:r w:rsidRPr="00942D62">
        <w:t xml:space="preserve"> July 25, 2013</w:t>
      </w:r>
      <w:r w:rsidR="00BD619B">
        <w:t>,</w:t>
      </w:r>
      <w:r w:rsidRPr="00942D62">
        <w:t xml:space="preserve"> complaint (hereafter “</w:t>
      </w:r>
      <w:r w:rsidR="0090161A">
        <w:t>Lake</w:t>
      </w:r>
      <w:r w:rsidRPr="00942D62">
        <w:t xml:space="preserve"> Complaint”), </w:t>
      </w:r>
      <w:r w:rsidR="0090161A">
        <w:t xml:space="preserve">Lake filed </w:t>
      </w:r>
      <w:r w:rsidRPr="00942D62">
        <w:t>a March 14, 2014, response to LKCM’s December 4, 2013, filing (“</w:t>
      </w:r>
      <w:r w:rsidR="0090161A">
        <w:t>Lake</w:t>
      </w:r>
      <w:r w:rsidRPr="00942D62">
        <w:t xml:space="preserve"> Response”), and a September 22, 2014, response to LKCM’s March 14, 2014, comments (“</w:t>
      </w:r>
      <w:r w:rsidR="0090161A">
        <w:t>Lake</w:t>
      </w:r>
      <w:r w:rsidRPr="00942D62">
        <w:t xml:space="preserve"> Further Response”). </w:t>
      </w:r>
    </w:p>
  </w:footnote>
  <w:footnote w:id="3">
    <w:p w:rsidR="00527850" w:rsidRPr="00942D62" w:rsidRDefault="00527850" w:rsidP="00527850">
      <w:pPr>
        <w:pStyle w:val="FootnoteText"/>
      </w:pPr>
      <w:r w:rsidRPr="00942D62">
        <w:rPr>
          <w:rStyle w:val="FootnoteReference"/>
        </w:rPr>
        <w:footnoteRef/>
      </w:r>
      <w:r w:rsidR="0090161A">
        <w:t xml:space="preserve"> LKCM filed a </w:t>
      </w:r>
      <w:r w:rsidRPr="00942D62">
        <w:t xml:space="preserve">December 14, 2013, Response to Complaint (hereafter “LKCM Initial Response”), and a September 2, 2014, Response to Comments of Lake Country Radio (“LKCM Further Response”). </w:t>
      </w:r>
    </w:p>
  </w:footnote>
  <w:footnote w:id="4">
    <w:p w:rsidR="00527850" w:rsidRPr="00942D62" w:rsidRDefault="00527850" w:rsidP="00527850">
      <w:pPr>
        <w:pStyle w:val="FootnoteText"/>
      </w:pPr>
      <w:r w:rsidRPr="00942D62">
        <w:rPr>
          <w:rStyle w:val="FootnoteReference"/>
        </w:rPr>
        <w:footnoteRef/>
      </w:r>
      <w:r w:rsidRPr="00942D62">
        <w:t xml:space="preserve"> </w:t>
      </w:r>
      <w:r w:rsidR="0090161A">
        <w:t>File No.</w:t>
      </w:r>
      <w:r w:rsidRPr="00942D62">
        <w:t xml:space="preserve"> BLH-19921013KI.</w:t>
      </w:r>
    </w:p>
  </w:footnote>
  <w:footnote w:id="5">
    <w:p w:rsidR="00527850" w:rsidRPr="00942D62" w:rsidRDefault="00527850" w:rsidP="00527850">
      <w:pPr>
        <w:pStyle w:val="FootnoteText"/>
      </w:pPr>
      <w:r w:rsidRPr="00942D62">
        <w:rPr>
          <w:rStyle w:val="FootnoteReference"/>
        </w:rPr>
        <w:footnoteRef/>
      </w:r>
      <w:r w:rsidRPr="00942D62">
        <w:t xml:space="preserve"> </w:t>
      </w:r>
      <w:r w:rsidR="003F522E">
        <w:t>File No.</w:t>
      </w:r>
      <w:r w:rsidRPr="00942D62">
        <w:t xml:space="preserve"> BMPH-20120329AHJ. </w:t>
      </w:r>
    </w:p>
  </w:footnote>
  <w:footnote w:id="6">
    <w:p w:rsidR="00A95AD7" w:rsidRDefault="00A95AD7">
      <w:pPr>
        <w:pStyle w:val="FootnoteText"/>
      </w:pPr>
      <w:r>
        <w:rPr>
          <w:rStyle w:val="FootnoteReference"/>
        </w:rPr>
        <w:footnoteRef/>
      </w:r>
      <w:r>
        <w:t xml:space="preserve"> In the Commission’s licensing terminology, FM antenna systems are permitted and licensed as either “directional” or “non-directional.”  </w:t>
      </w:r>
      <w:r w:rsidR="00D56034">
        <w:t xml:space="preserve">A non-directional antenna pattern is one in which the energy radiated is </w:t>
      </w:r>
      <w:r w:rsidR="000E3563">
        <w:t>essential</w:t>
      </w:r>
      <w:r w:rsidR="00D56034">
        <w:t xml:space="preserve">ly uniform along all azimuths.  </w:t>
      </w:r>
      <w:r>
        <w:t>In some of the cases and pleadings cited herein, the term “omnidirectional” is used to describe a non-directional antenna pattern.  For purposes of this Order, the terms “omnidirectional” and “non-directional” are used interchangeably.</w:t>
      </w:r>
    </w:p>
  </w:footnote>
  <w:footnote w:id="7">
    <w:p w:rsidR="00527850" w:rsidRPr="00942D62" w:rsidRDefault="00527850" w:rsidP="00527850">
      <w:pPr>
        <w:pStyle w:val="FootnoteText"/>
      </w:pPr>
      <w:r w:rsidRPr="00942D62">
        <w:rPr>
          <w:rStyle w:val="FootnoteReference"/>
        </w:rPr>
        <w:footnoteRef/>
      </w:r>
      <w:r w:rsidRPr="00942D62">
        <w:t xml:space="preserve"> </w:t>
      </w:r>
      <w:r w:rsidR="00162BB3">
        <w:t xml:space="preserve">47 C.F.R. § 73.207.  That rule </w:t>
      </w:r>
      <w:r w:rsidRPr="00942D62">
        <w:t>requires a minimum distance separation of 215 km between KFWR</w:t>
      </w:r>
      <w:r w:rsidR="00162BB3">
        <w:t xml:space="preserve"> and KCKL;</w:t>
      </w:r>
      <w:r w:rsidRPr="00942D62">
        <w:t xml:space="preserve"> the actual spacing </w:t>
      </w:r>
      <w:r w:rsidR="00162BB3">
        <w:t xml:space="preserve">between the stations </w:t>
      </w:r>
      <w:r w:rsidRPr="00942D62">
        <w:t>is 216.8 km.</w:t>
      </w:r>
    </w:p>
  </w:footnote>
  <w:footnote w:id="8">
    <w:p w:rsidR="008C2B3B" w:rsidRDefault="008C2B3B">
      <w:pPr>
        <w:pStyle w:val="FootnoteText"/>
      </w:pPr>
      <w:r>
        <w:rPr>
          <w:rStyle w:val="FootnoteReference"/>
        </w:rPr>
        <w:footnoteRef/>
      </w:r>
      <w:r>
        <w:t xml:space="preserve"> File No. BLH-20130110AFG.</w:t>
      </w:r>
    </w:p>
  </w:footnote>
  <w:footnote w:id="9">
    <w:p w:rsidR="00081019" w:rsidRDefault="00081019">
      <w:pPr>
        <w:pStyle w:val="FootnoteText"/>
      </w:pPr>
      <w:r>
        <w:rPr>
          <w:rStyle w:val="FootnoteReference"/>
        </w:rPr>
        <w:footnoteRef/>
      </w:r>
      <w:r>
        <w:t xml:space="preserve"> The initial complaint was transmitted to Congressman Jeb Hensarling of Texas, who forwarded the complaint to the Commission.</w:t>
      </w:r>
    </w:p>
  </w:footnote>
  <w:footnote w:id="10">
    <w:p w:rsidR="00527850" w:rsidRPr="00942D62" w:rsidRDefault="00527850" w:rsidP="00527850">
      <w:pPr>
        <w:pStyle w:val="FootnoteText"/>
      </w:pPr>
      <w:r w:rsidRPr="00942D62">
        <w:rPr>
          <w:rStyle w:val="FootnoteReference"/>
        </w:rPr>
        <w:footnoteRef/>
      </w:r>
      <w:r w:rsidRPr="00942D62">
        <w:t xml:space="preserve"> </w:t>
      </w:r>
      <w:r w:rsidR="00853641" w:rsidRPr="00853641">
        <w:rPr>
          <w:i/>
        </w:rPr>
        <w:t>The Honorable Jeb Hensarling</w:t>
      </w:r>
      <w:r w:rsidR="001B7547">
        <w:t xml:space="preserve">, Letter (MB July 8, 2013).  </w:t>
      </w:r>
      <w:r w:rsidRPr="00942D62">
        <w:t xml:space="preserve">A copy of this letter is </w:t>
      </w:r>
      <w:r w:rsidR="001B7547">
        <w:t>attached to</w:t>
      </w:r>
      <w:r w:rsidRPr="00942D62">
        <w:t xml:space="preserve"> the </w:t>
      </w:r>
      <w:r w:rsidR="0090161A" w:rsidRPr="00853641">
        <w:t>Lake</w:t>
      </w:r>
      <w:r w:rsidRPr="00853641">
        <w:t xml:space="preserve"> Complaint</w:t>
      </w:r>
      <w:r w:rsidRPr="00942D62">
        <w:t>.</w:t>
      </w:r>
    </w:p>
  </w:footnote>
  <w:footnote w:id="11">
    <w:p w:rsidR="00DA2B1D" w:rsidRPr="00942D62" w:rsidRDefault="00DA2B1D" w:rsidP="00DA2B1D">
      <w:pPr>
        <w:pStyle w:val="FootnoteText"/>
      </w:pPr>
      <w:r w:rsidRPr="00942D62">
        <w:rPr>
          <w:rStyle w:val="FootnoteReference"/>
        </w:rPr>
        <w:footnoteRef/>
      </w:r>
      <w:r w:rsidRPr="00942D62">
        <w:t xml:space="preserve"> </w:t>
      </w:r>
      <w:r w:rsidR="0090161A" w:rsidRPr="00853641">
        <w:t>Lake</w:t>
      </w:r>
      <w:r w:rsidRPr="00853641">
        <w:t xml:space="preserve"> Complaint</w:t>
      </w:r>
      <w:r w:rsidRPr="00942D62">
        <w:t xml:space="preserve"> at 12.</w:t>
      </w:r>
    </w:p>
  </w:footnote>
  <w:footnote w:id="12">
    <w:p w:rsidR="00DA2B1D" w:rsidRPr="00942D62" w:rsidRDefault="00DA2B1D" w:rsidP="00DA2B1D">
      <w:pPr>
        <w:pStyle w:val="FootnoteText"/>
      </w:pPr>
      <w:r w:rsidRPr="00942D62">
        <w:rPr>
          <w:rStyle w:val="FootnoteReference"/>
        </w:rPr>
        <w:footnoteRef/>
      </w:r>
      <w:r w:rsidRPr="00942D62">
        <w:t xml:space="preserve"> </w:t>
      </w:r>
      <w:r w:rsidR="009D4C32">
        <w:rPr>
          <w:i/>
        </w:rPr>
        <w:t>Id.</w:t>
      </w:r>
      <w:r w:rsidRPr="00942D62">
        <w:t xml:space="preserve"> at 9-11.</w:t>
      </w:r>
    </w:p>
  </w:footnote>
  <w:footnote w:id="13">
    <w:p w:rsidR="00242580" w:rsidRDefault="00242580">
      <w:pPr>
        <w:pStyle w:val="FootnoteText"/>
      </w:pPr>
      <w:r>
        <w:rPr>
          <w:rStyle w:val="FootnoteReference"/>
        </w:rPr>
        <w:footnoteRef/>
      </w:r>
      <w:r>
        <w:t xml:space="preserve"> </w:t>
      </w:r>
      <w:r w:rsidRPr="00242580">
        <w:rPr>
          <w:i/>
        </w:rPr>
        <w:t>Mr. Kevin Priegel, LKCM Radio Licenses, LP</w:t>
      </w:r>
      <w:r>
        <w:t>, Letter (MB Nov. 4, 2013) (“</w:t>
      </w:r>
      <w:r w:rsidRPr="00242580">
        <w:rPr>
          <w:i/>
        </w:rPr>
        <w:t>Staff Inquiry Letter</w:t>
      </w:r>
      <w:r>
        <w:t>”).</w:t>
      </w:r>
    </w:p>
  </w:footnote>
  <w:footnote w:id="14">
    <w:p w:rsidR="00DA2B1D" w:rsidRPr="00942D62" w:rsidRDefault="00DA2B1D" w:rsidP="00DA2B1D">
      <w:pPr>
        <w:pStyle w:val="FootnoteText"/>
      </w:pPr>
      <w:r w:rsidRPr="00942D62">
        <w:rPr>
          <w:rStyle w:val="FootnoteReference"/>
        </w:rPr>
        <w:footnoteRef/>
      </w:r>
      <w:r w:rsidRPr="00942D62">
        <w:t xml:space="preserve"> </w:t>
      </w:r>
      <w:r w:rsidR="006041BB">
        <w:t>Letter from Ross Stephen Campbell, P.E., to Marlene H. Dortch, Secretary, FCC (Dec. 3, 2013)</w:t>
      </w:r>
      <w:r w:rsidR="00FA1D6F">
        <w:t xml:space="preserve"> (“Campbell Letter”)</w:t>
      </w:r>
      <w:r w:rsidR="006041BB">
        <w:t xml:space="preserve">, at 1 (attached to </w:t>
      </w:r>
      <w:r w:rsidRPr="009D4C32">
        <w:t>LKCM Initial Response</w:t>
      </w:r>
      <w:r w:rsidR="006041BB">
        <w:t>)</w:t>
      </w:r>
      <w:r w:rsidRPr="00942D62">
        <w:t>.</w:t>
      </w:r>
    </w:p>
  </w:footnote>
  <w:footnote w:id="15">
    <w:p w:rsidR="0080559C" w:rsidRDefault="0080559C">
      <w:pPr>
        <w:pStyle w:val="FootnoteText"/>
      </w:pPr>
      <w:r>
        <w:rPr>
          <w:rStyle w:val="FootnoteReference"/>
        </w:rPr>
        <w:footnoteRef/>
      </w:r>
      <w:r>
        <w:t xml:space="preserve"> 47 C.F.R. § 73.215.</w:t>
      </w:r>
      <w:r w:rsidR="00B27E4F">
        <w:t xml:space="preserve">  </w:t>
      </w:r>
      <w:r w:rsidR="00B27E4F" w:rsidRPr="00B27E4F">
        <w:rPr>
          <w:i/>
        </w:rPr>
        <w:t>See</w:t>
      </w:r>
      <w:r w:rsidR="00B27E4F">
        <w:t xml:space="preserve"> Lake Initial Response at 1.</w:t>
      </w:r>
    </w:p>
  </w:footnote>
  <w:footnote w:id="16">
    <w:p w:rsidR="006041BB" w:rsidRDefault="006041BB">
      <w:pPr>
        <w:pStyle w:val="FootnoteText"/>
      </w:pPr>
      <w:r>
        <w:rPr>
          <w:rStyle w:val="FootnoteReference"/>
        </w:rPr>
        <w:footnoteRef/>
      </w:r>
      <w:r>
        <w:t xml:space="preserve"> </w:t>
      </w:r>
      <w:r w:rsidR="00EA1899" w:rsidRPr="00EA1899">
        <w:rPr>
          <w:i/>
        </w:rPr>
        <w:t>Id</w:t>
      </w:r>
      <w:r w:rsidR="00EA1899">
        <w:t>.</w:t>
      </w:r>
      <w:r>
        <w:t xml:space="preserve"> at 2.</w:t>
      </w:r>
    </w:p>
  </w:footnote>
  <w:footnote w:id="17">
    <w:p w:rsidR="00DA2B1D" w:rsidRPr="00942D62" w:rsidRDefault="00DA2B1D" w:rsidP="00DA2B1D">
      <w:pPr>
        <w:pStyle w:val="FootnoteText"/>
      </w:pPr>
      <w:r w:rsidRPr="00942D62">
        <w:rPr>
          <w:rStyle w:val="FootnoteReference"/>
        </w:rPr>
        <w:footnoteRef/>
      </w:r>
      <w:r w:rsidRPr="00942D62">
        <w:t xml:space="preserve"> </w:t>
      </w:r>
      <w:r w:rsidRPr="00853641">
        <w:t>LKCM Initial Response,</w:t>
      </w:r>
      <w:r w:rsidRPr="00942D62">
        <w:t xml:space="preserve"> Supplemental Exhibit 6, </w:t>
      </w:r>
      <w:r w:rsidR="00853641">
        <w:t>at</w:t>
      </w:r>
      <w:r w:rsidRPr="00942D62">
        <w:t xml:space="preserve"> 1.</w:t>
      </w:r>
    </w:p>
  </w:footnote>
  <w:footnote w:id="18">
    <w:p w:rsidR="002A17F7" w:rsidRPr="00942D62" w:rsidRDefault="002A17F7" w:rsidP="002A17F7">
      <w:pPr>
        <w:pStyle w:val="FootnoteText"/>
      </w:pPr>
      <w:r w:rsidRPr="00942D62">
        <w:rPr>
          <w:rStyle w:val="FootnoteReference"/>
        </w:rPr>
        <w:footnoteRef/>
      </w:r>
      <w:r w:rsidRPr="00942D62">
        <w:t xml:space="preserve"> </w:t>
      </w:r>
      <w:r w:rsidR="00C05309">
        <w:t>LKCM Initial Response</w:t>
      </w:r>
      <w:r w:rsidRPr="00853641">
        <w:t>,</w:t>
      </w:r>
      <w:r w:rsidRPr="00942D62">
        <w:rPr>
          <w:i/>
        </w:rPr>
        <w:t xml:space="preserve"> </w:t>
      </w:r>
      <w:r w:rsidR="00742B0E">
        <w:t>Supplemental Exhibit 4</w:t>
      </w:r>
      <w:r w:rsidR="000A32DB">
        <w:t xml:space="preserve"> at 1</w:t>
      </w:r>
      <w:r w:rsidR="00742B0E">
        <w:t>.</w:t>
      </w:r>
    </w:p>
  </w:footnote>
  <w:footnote w:id="19">
    <w:p w:rsidR="00C05309" w:rsidRDefault="00C05309">
      <w:pPr>
        <w:pStyle w:val="FootnoteText"/>
      </w:pPr>
      <w:r>
        <w:rPr>
          <w:rStyle w:val="FootnoteReference"/>
        </w:rPr>
        <w:footnoteRef/>
      </w:r>
      <w:r>
        <w:t xml:space="preserve"> </w:t>
      </w:r>
      <w:r w:rsidRPr="00C05309">
        <w:rPr>
          <w:i/>
        </w:rPr>
        <w:t>Id</w:t>
      </w:r>
      <w:r>
        <w:t>.</w:t>
      </w:r>
    </w:p>
  </w:footnote>
  <w:footnote w:id="20">
    <w:p w:rsidR="00C05309" w:rsidRDefault="00C05309">
      <w:pPr>
        <w:pStyle w:val="FootnoteText"/>
      </w:pPr>
      <w:r>
        <w:rPr>
          <w:rStyle w:val="FootnoteReference"/>
        </w:rPr>
        <w:footnoteRef/>
      </w:r>
      <w:r>
        <w:t xml:space="preserve"> </w:t>
      </w:r>
      <w:r w:rsidRPr="00C05309">
        <w:rPr>
          <w:i/>
        </w:rPr>
        <w:t>Id</w:t>
      </w:r>
      <w:r>
        <w:t>.</w:t>
      </w:r>
    </w:p>
  </w:footnote>
  <w:footnote w:id="21">
    <w:p w:rsidR="000A32DB" w:rsidRDefault="000A32DB">
      <w:pPr>
        <w:pStyle w:val="FootnoteText"/>
      </w:pPr>
      <w:r>
        <w:rPr>
          <w:rStyle w:val="FootnoteReference"/>
        </w:rPr>
        <w:footnoteRef/>
      </w:r>
      <w:r>
        <w:t xml:space="preserve"> </w:t>
      </w:r>
      <w:r w:rsidRPr="000A32DB">
        <w:rPr>
          <w:i/>
        </w:rPr>
        <w:t>Id</w:t>
      </w:r>
      <w:r>
        <w:t>.</w:t>
      </w:r>
    </w:p>
  </w:footnote>
  <w:footnote w:id="22">
    <w:p w:rsidR="002A17F7" w:rsidRPr="00942D62" w:rsidRDefault="002A17F7" w:rsidP="002A17F7">
      <w:pPr>
        <w:pStyle w:val="FootnoteText"/>
      </w:pPr>
      <w:r w:rsidRPr="00942D62">
        <w:rPr>
          <w:rStyle w:val="FootnoteReference"/>
        </w:rPr>
        <w:footnoteRef/>
      </w:r>
      <w:r w:rsidRPr="00942D62">
        <w:t xml:space="preserve"> </w:t>
      </w:r>
      <w:r w:rsidR="00BD05D3">
        <w:t>LKCM Further Response</w:t>
      </w:r>
      <w:r w:rsidR="00122079">
        <w:t>, Attachment B</w:t>
      </w:r>
      <w:r w:rsidR="00BD05D3">
        <w:t xml:space="preserve"> (Aug.22, 2014, letter from Thomas B. Silliman, PE</w:t>
      </w:r>
      <w:r w:rsidR="009366E5">
        <w:t>, President of ERI</w:t>
      </w:r>
      <w:r w:rsidR="00BD05D3">
        <w:t xml:space="preserve">), at 2. </w:t>
      </w:r>
      <w:r w:rsidR="000A32DB">
        <w:t xml:space="preserve"> </w:t>
      </w:r>
      <w:r w:rsidR="00BD05D3">
        <w:t xml:space="preserve">The implications of this statement will be addressed in further detail below.  </w:t>
      </w:r>
      <w:r>
        <w:t xml:space="preserve">  </w:t>
      </w:r>
    </w:p>
  </w:footnote>
  <w:footnote w:id="23">
    <w:p w:rsidR="00EA1899" w:rsidRDefault="00EA1899">
      <w:pPr>
        <w:pStyle w:val="FootnoteText"/>
      </w:pPr>
      <w:r>
        <w:rPr>
          <w:rStyle w:val="FootnoteReference"/>
        </w:rPr>
        <w:footnoteRef/>
      </w:r>
      <w:r>
        <w:t xml:space="preserve"> LKCM Initial Response</w:t>
      </w:r>
      <w:r w:rsidRPr="00853641">
        <w:t>,</w:t>
      </w:r>
      <w:r w:rsidRPr="00942D62">
        <w:rPr>
          <w:i/>
        </w:rPr>
        <w:t xml:space="preserve"> </w:t>
      </w:r>
      <w:r>
        <w:t>Supplemental Exhibit 4 at 2.</w:t>
      </w:r>
    </w:p>
  </w:footnote>
  <w:footnote w:id="24">
    <w:p w:rsidR="00C23EDB" w:rsidRDefault="00C23EDB">
      <w:pPr>
        <w:pStyle w:val="FootnoteText"/>
      </w:pPr>
      <w:r>
        <w:rPr>
          <w:rStyle w:val="FootnoteReference"/>
        </w:rPr>
        <w:footnoteRef/>
      </w:r>
      <w:r>
        <w:t xml:space="preserve"> LKCM Further Response</w:t>
      </w:r>
      <w:r w:rsidR="00122079">
        <w:t>, Attachment B</w:t>
      </w:r>
      <w:r>
        <w:t xml:space="preserve"> at 2.</w:t>
      </w:r>
    </w:p>
  </w:footnote>
  <w:footnote w:id="25">
    <w:p w:rsidR="00C23EDB" w:rsidRDefault="00C23EDB">
      <w:pPr>
        <w:pStyle w:val="FootnoteText"/>
      </w:pPr>
      <w:r>
        <w:rPr>
          <w:rStyle w:val="FootnoteReference"/>
        </w:rPr>
        <w:footnoteRef/>
      </w:r>
      <w:r>
        <w:t xml:space="preserve"> </w:t>
      </w:r>
      <w:r w:rsidRPr="00122079">
        <w:rPr>
          <w:i/>
        </w:rPr>
        <w:t>Id</w:t>
      </w:r>
      <w:r>
        <w:t>.</w:t>
      </w:r>
    </w:p>
  </w:footnote>
  <w:footnote w:id="26">
    <w:p w:rsidR="002A17F7" w:rsidRPr="00942D62" w:rsidRDefault="002A17F7" w:rsidP="002A17F7">
      <w:pPr>
        <w:pStyle w:val="FootnoteText"/>
      </w:pPr>
      <w:r w:rsidRPr="00942D62">
        <w:rPr>
          <w:rStyle w:val="FootnoteReference"/>
        </w:rPr>
        <w:footnoteRef/>
      </w:r>
      <w:r w:rsidRPr="00942D62">
        <w:t xml:space="preserve"> </w:t>
      </w:r>
      <w:r w:rsidRPr="00C23EDB">
        <w:t>LKCM Initial Response,</w:t>
      </w:r>
      <w:r w:rsidRPr="00942D62">
        <w:rPr>
          <w:i/>
        </w:rPr>
        <w:t xml:space="preserve"> </w:t>
      </w:r>
      <w:r w:rsidRPr="00942D62">
        <w:t>Supplemental Exhibit 5</w:t>
      </w:r>
      <w:r w:rsidR="00122079">
        <w:t xml:space="preserve"> (Engineering Statement of J.S. Sellmeyer, P.E.)</w:t>
      </w:r>
      <w:r w:rsidRPr="00942D62">
        <w:t>.</w:t>
      </w:r>
    </w:p>
  </w:footnote>
  <w:footnote w:id="27">
    <w:p w:rsidR="00D17BA5" w:rsidRDefault="00D17BA5">
      <w:pPr>
        <w:pStyle w:val="FootnoteText"/>
      </w:pPr>
      <w:r>
        <w:rPr>
          <w:rStyle w:val="FootnoteReference"/>
        </w:rPr>
        <w:footnoteRef/>
      </w:r>
      <w:r>
        <w:t xml:space="preserve"> </w:t>
      </w:r>
      <w:r w:rsidR="00FA1D6F">
        <w:t>LKCM Initial Response at 1.</w:t>
      </w:r>
      <w:r w:rsidR="00950007">
        <w:t xml:space="preserve"> </w:t>
      </w:r>
    </w:p>
  </w:footnote>
  <w:footnote w:id="28">
    <w:p w:rsidR="00FA1D6F" w:rsidRDefault="00FA1D6F">
      <w:pPr>
        <w:pStyle w:val="FootnoteText"/>
      </w:pPr>
      <w:r>
        <w:rPr>
          <w:rStyle w:val="FootnoteReference"/>
        </w:rPr>
        <w:footnoteRef/>
      </w:r>
      <w:r w:rsidR="002E4152">
        <w:t xml:space="preserve"> Campbell Letter at 2.</w:t>
      </w:r>
    </w:p>
  </w:footnote>
  <w:footnote w:id="29">
    <w:p w:rsidR="002A17F7" w:rsidRPr="00942D62" w:rsidRDefault="002A17F7" w:rsidP="002A17F7">
      <w:pPr>
        <w:pStyle w:val="FootnoteText"/>
      </w:pPr>
      <w:r w:rsidRPr="00942D62">
        <w:rPr>
          <w:rStyle w:val="FootnoteReference"/>
        </w:rPr>
        <w:footnoteRef/>
      </w:r>
      <w:r w:rsidRPr="00942D62">
        <w:t xml:space="preserve"> </w:t>
      </w:r>
      <w:r w:rsidR="0090161A" w:rsidRPr="00C23EDB">
        <w:t>Lake</w:t>
      </w:r>
      <w:r w:rsidRPr="00C23EDB">
        <w:t xml:space="preserve"> Response</w:t>
      </w:r>
      <w:r w:rsidRPr="00942D62">
        <w:rPr>
          <w:i/>
        </w:rPr>
        <w:t xml:space="preserve"> </w:t>
      </w:r>
      <w:r w:rsidRPr="00942D62">
        <w:t>at 2.</w:t>
      </w:r>
    </w:p>
  </w:footnote>
  <w:footnote w:id="30">
    <w:p w:rsidR="002A17F7" w:rsidRPr="00942D62" w:rsidRDefault="002A17F7" w:rsidP="002A17F7">
      <w:pPr>
        <w:pStyle w:val="FootnoteText"/>
      </w:pPr>
      <w:r w:rsidRPr="00942D62">
        <w:rPr>
          <w:rStyle w:val="FootnoteReference"/>
        </w:rPr>
        <w:footnoteRef/>
      </w:r>
      <w:r w:rsidRPr="00942D62">
        <w:t xml:space="preserve"> </w:t>
      </w:r>
      <w:r w:rsidR="009F0321" w:rsidRPr="009F0321">
        <w:rPr>
          <w:i/>
        </w:rPr>
        <w:t>Id</w:t>
      </w:r>
      <w:r w:rsidR="009F0321">
        <w:t>.</w:t>
      </w:r>
      <w:r w:rsidRPr="00942D62">
        <w:t xml:space="preserve"> at 5.</w:t>
      </w:r>
    </w:p>
  </w:footnote>
  <w:footnote w:id="31">
    <w:p w:rsidR="002A17F7" w:rsidRPr="00742B0E" w:rsidRDefault="002A17F7" w:rsidP="002A17F7">
      <w:pPr>
        <w:pStyle w:val="FootnoteText"/>
        <w:jc w:val="both"/>
      </w:pPr>
      <w:r w:rsidRPr="00942D62">
        <w:rPr>
          <w:rStyle w:val="FootnoteReference"/>
        </w:rPr>
        <w:footnoteRef/>
      </w:r>
      <w:r w:rsidRPr="00942D62">
        <w:t xml:space="preserve"> </w:t>
      </w:r>
      <w:r w:rsidR="0090161A" w:rsidRPr="00C23EDB">
        <w:t>Lake</w:t>
      </w:r>
      <w:r w:rsidRPr="00C23EDB">
        <w:t xml:space="preserve"> Response,</w:t>
      </w:r>
      <w:r w:rsidRPr="00942D62">
        <w:rPr>
          <w:i/>
        </w:rPr>
        <w:t xml:space="preserve"> </w:t>
      </w:r>
      <w:r w:rsidR="00A250A1">
        <w:t>Attachment 2 (</w:t>
      </w:r>
      <w:r w:rsidRPr="00942D62">
        <w:t xml:space="preserve">Engineering </w:t>
      </w:r>
      <w:r w:rsidR="00A250A1">
        <w:t xml:space="preserve">Statement of Donald G. Everist), at 1, 5, </w:t>
      </w:r>
      <w:r w:rsidRPr="00942D62">
        <w:t xml:space="preserve">and </w:t>
      </w:r>
      <w:r w:rsidR="00A250A1">
        <w:t>attached</w:t>
      </w:r>
      <w:r w:rsidRPr="00942D62">
        <w:t xml:space="preserve"> Appendix A </w:t>
      </w:r>
      <w:r w:rsidR="00A250A1">
        <w:t>(S</w:t>
      </w:r>
      <w:r w:rsidRPr="00942D62">
        <w:t>ta</w:t>
      </w:r>
      <w:r w:rsidR="00A250A1">
        <w:t xml:space="preserve">tement from Robert R. Surette, </w:t>
      </w:r>
      <w:r w:rsidRPr="00942D62">
        <w:t>Shively Labs</w:t>
      </w:r>
      <w:r w:rsidR="00A250A1">
        <w:t>) at 1</w:t>
      </w:r>
      <w:r w:rsidRPr="00942D62">
        <w:t>.</w:t>
      </w:r>
    </w:p>
  </w:footnote>
  <w:footnote w:id="32">
    <w:p w:rsidR="002A17F7" w:rsidRPr="00942D62" w:rsidRDefault="002A17F7" w:rsidP="00742B0E">
      <w:pPr>
        <w:pStyle w:val="FootnoteText"/>
        <w:jc w:val="both"/>
      </w:pPr>
      <w:r w:rsidRPr="00942D62">
        <w:rPr>
          <w:rStyle w:val="FootnoteReference"/>
        </w:rPr>
        <w:footnoteRef/>
      </w:r>
      <w:r w:rsidRPr="00942D62">
        <w:t xml:space="preserve"> </w:t>
      </w:r>
      <w:r w:rsidR="009F0321" w:rsidRPr="009F0321">
        <w:rPr>
          <w:i/>
        </w:rPr>
        <w:t>Id</w:t>
      </w:r>
      <w:r w:rsidR="006669F1">
        <w:t>.</w:t>
      </w:r>
    </w:p>
  </w:footnote>
  <w:footnote w:id="33">
    <w:p w:rsidR="00142C36" w:rsidRDefault="00142C36">
      <w:pPr>
        <w:pStyle w:val="FootnoteText"/>
      </w:pPr>
      <w:r>
        <w:rPr>
          <w:rStyle w:val="FootnoteReference"/>
        </w:rPr>
        <w:footnoteRef/>
      </w:r>
      <w:r>
        <w:t xml:space="preserve"> </w:t>
      </w:r>
      <w:r w:rsidRPr="00142C36">
        <w:rPr>
          <w:i/>
        </w:rPr>
        <w:t>Id</w:t>
      </w:r>
      <w:r>
        <w:t>.</w:t>
      </w:r>
    </w:p>
  </w:footnote>
  <w:footnote w:id="34">
    <w:p w:rsidR="00142C36" w:rsidRDefault="00142C36">
      <w:pPr>
        <w:pStyle w:val="FootnoteText"/>
      </w:pPr>
      <w:r>
        <w:rPr>
          <w:rStyle w:val="FootnoteReference"/>
        </w:rPr>
        <w:footnoteRef/>
      </w:r>
      <w:r>
        <w:t xml:space="preserve"> Lake Response, Attachment 2 at 2.</w:t>
      </w:r>
    </w:p>
  </w:footnote>
  <w:footnote w:id="35">
    <w:p w:rsidR="002A17F7" w:rsidRPr="00942D62" w:rsidRDefault="002A17F7" w:rsidP="002A17F7">
      <w:pPr>
        <w:pStyle w:val="FootnoteText"/>
      </w:pPr>
      <w:r w:rsidRPr="00942D62">
        <w:rPr>
          <w:rStyle w:val="FootnoteReference"/>
        </w:rPr>
        <w:footnoteRef/>
      </w:r>
      <w:r w:rsidRPr="00942D62">
        <w:t xml:space="preserve">  </w:t>
      </w:r>
      <w:r w:rsidRPr="00942D62">
        <w:rPr>
          <w:i/>
        </w:rPr>
        <w:t>Criteria for Licensing of FM Broadcast Antenna Systems</w:t>
      </w:r>
      <w:r w:rsidR="00C276D9">
        <w:t>, Public Notice, FCC 84-437 (rel. Sept.</w:t>
      </w:r>
      <w:r w:rsidRPr="00942D62">
        <w:t xml:space="preserve"> 14, 1984</w:t>
      </w:r>
      <w:r w:rsidR="00C276D9">
        <w:t>) (“</w:t>
      </w:r>
      <w:r w:rsidR="00C276D9" w:rsidRPr="00C276D9">
        <w:rPr>
          <w:i/>
        </w:rPr>
        <w:t xml:space="preserve">FM </w:t>
      </w:r>
      <w:r w:rsidR="005B3B26">
        <w:rPr>
          <w:i/>
        </w:rPr>
        <w:t>Antenna</w:t>
      </w:r>
      <w:r w:rsidR="00C276D9" w:rsidRPr="00C276D9">
        <w:rPr>
          <w:i/>
        </w:rPr>
        <w:t xml:space="preserve"> Public Notice</w:t>
      </w:r>
      <w:r w:rsidR="00C276D9">
        <w:t>”)</w:t>
      </w:r>
      <w:r w:rsidRPr="00942D62">
        <w:t>.</w:t>
      </w:r>
    </w:p>
  </w:footnote>
  <w:footnote w:id="36">
    <w:p w:rsidR="00D4064C" w:rsidRDefault="00D4064C">
      <w:pPr>
        <w:pStyle w:val="FootnoteText"/>
      </w:pPr>
      <w:r>
        <w:rPr>
          <w:rStyle w:val="FootnoteReference"/>
        </w:rPr>
        <w:footnoteRef/>
      </w:r>
      <w:r>
        <w:t xml:space="preserve"> </w:t>
      </w:r>
      <w:r w:rsidRPr="00D4064C">
        <w:rPr>
          <w:i/>
        </w:rPr>
        <w:t>Id</w:t>
      </w:r>
      <w:r>
        <w:t>.</w:t>
      </w:r>
    </w:p>
  </w:footnote>
  <w:footnote w:id="37">
    <w:p w:rsidR="00CB0E53" w:rsidRDefault="00CB0E53">
      <w:pPr>
        <w:pStyle w:val="FootnoteText"/>
      </w:pPr>
      <w:r>
        <w:rPr>
          <w:rStyle w:val="FootnoteReference"/>
        </w:rPr>
        <w:footnoteRef/>
      </w:r>
      <w:r>
        <w:t xml:space="preserve"> LKCM Further Response at 1-2.</w:t>
      </w:r>
    </w:p>
  </w:footnote>
  <w:footnote w:id="38">
    <w:p w:rsidR="00CB0E53" w:rsidRDefault="00CB0E53">
      <w:pPr>
        <w:pStyle w:val="FootnoteText"/>
      </w:pPr>
      <w:r>
        <w:rPr>
          <w:rStyle w:val="FootnoteReference"/>
        </w:rPr>
        <w:footnoteRef/>
      </w:r>
      <w:r>
        <w:t xml:space="preserve"> </w:t>
      </w:r>
      <w:r w:rsidRPr="00CB0E53">
        <w:rPr>
          <w:i/>
        </w:rPr>
        <w:t>Id</w:t>
      </w:r>
      <w:r>
        <w:t>. at 2.</w:t>
      </w:r>
    </w:p>
  </w:footnote>
  <w:footnote w:id="39">
    <w:p w:rsidR="002A17F7" w:rsidRPr="00942D62" w:rsidRDefault="002A17F7" w:rsidP="002A17F7">
      <w:pPr>
        <w:pStyle w:val="FootnoteText"/>
      </w:pPr>
      <w:r w:rsidRPr="00942D62">
        <w:rPr>
          <w:rStyle w:val="FootnoteReference"/>
        </w:rPr>
        <w:footnoteRef/>
      </w:r>
      <w:r w:rsidRPr="00942D62">
        <w:t xml:space="preserve"> </w:t>
      </w:r>
      <w:r w:rsidRPr="00207859">
        <w:t xml:space="preserve">LKCM </w:t>
      </w:r>
      <w:r w:rsidR="00313081">
        <w:t xml:space="preserve">Further </w:t>
      </w:r>
      <w:r w:rsidRPr="00207859">
        <w:t>Response</w:t>
      </w:r>
      <w:r w:rsidRPr="00942D62">
        <w:t>, Attachment A</w:t>
      </w:r>
      <w:r w:rsidR="00313081">
        <w:t xml:space="preserve"> (Statement of Clarence M. Beverage, Communications Technologies, Inc.) (</w:t>
      </w:r>
      <w:r w:rsidRPr="00942D62">
        <w:t>comparing a number of antennas to show that, in fact, none are truly omnidirectional when mounted on a tower</w:t>
      </w:r>
      <w:r w:rsidR="00313081">
        <w:t>)</w:t>
      </w:r>
      <w:r w:rsidRPr="00942D62">
        <w:t xml:space="preserve">.  </w:t>
      </w:r>
    </w:p>
  </w:footnote>
  <w:footnote w:id="40">
    <w:p w:rsidR="00313081" w:rsidRDefault="00313081">
      <w:pPr>
        <w:pStyle w:val="FootnoteText"/>
      </w:pPr>
      <w:r>
        <w:rPr>
          <w:rStyle w:val="FootnoteReference"/>
        </w:rPr>
        <w:footnoteRef/>
      </w:r>
      <w:r>
        <w:t xml:space="preserve"> Beverage states that most non-directional FM antennas can vary up to +/- 2 dB even in a theoretical “free space” situation, that is, when mounted atop a non-metallic support.  LKCM Further Response, Attachment A at 3.</w:t>
      </w:r>
    </w:p>
  </w:footnote>
  <w:footnote w:id="41">
    <w:p w:rsidR="00313081" w:rsidRDefault="00313081">
      <w:pPr>
        <w:pStyle w:val="FootnoteText"/>
      </w:pPr>
      <w:r>
        <w:rPr>
          <w:rStyle w:val="FootnoteReference"/>
        </w:rPr>
        <w:footnoteRef/>
      </w:r>
      <w:r>
        <w:t xml:space="preserve"> </w:t>
      </w:r>
      <w:r w:rsidRPr="00313081">
        <w:rPr>
          <w:i/>
        </w:rPr>
        <w:t>Id</w:t>
      </w:r>
      <w:r>
        <w:t xml:space="preserve">. at 4-6.  Beverage claims that the goal of pattern optimization is to fill pattern nulls or obtain improved axial ratio.  </w:t>
      </w:r>
      <w:r w:rsidRPr="00313081">
        <w:rPr>
          <w:i/>
        </w:rPr>
        <w:t>Id</w:t>
      </w:r>
      <w:r>
        <w:t>. at 8-9.</w:t>
      </w:r>
    </w:p>
  </w:footnote>
  <w:footnote w:id="42">
    <w:p w:rsidR="00313081" w:rsidRDefault="00313081">
      <w:pPr>
        <w:pStyle w:val="FootnoteText"/>
      </w:pPr>
      <w:r>
        <w:rPr>
          <w:rStyle w:val="FootnoteReference"/>
        </w:rPr>
        <w:footnoteRef/>
      </w:r>
      <w:r>
        <w:t xml:space="preserve"> </w:t>
      </w:r>
      <w:r w:rsidRPr="00313081">
        <w:rPr>
          <w:i/>
        </w:rPr>
        <w:t>Id</w:t>
      </w:r>
      <w:r>
        <w:t>. at 10.</w:t>
      </w:r>
    </w:p>
  </w:footnote>
  <w:footnote w:id="43">
    <w:p w:rsidR="009366E5" w:rsidRPr="00942D62" w:rsidRDefault="009366E5" w:rsidP="009366E5">
      <w:pPr>
        <w:pStyle w:val="FootnoteText"/>
      </w:pPr>
      <w:r w:rsidRPr="00942D62">
        <w:rPr>
          <w:rStyle w:val="FootnoteReference"/>
        </w:rPr>
        <w:footnoteRef/>
      </w:r>
      <w:r w:rsidRPr="00942D62">
        <w:t xml:space="preserve"> </w:t>
      </w:r>
      <w:r w:rsidRPr="00942D62">
        <w:rPr>
          <w:i/>
        </w:rPr>
        <w:t>LKCM Response</w:t>
      </w:r>
      <w:r w:rsidRPr="00942D62">
        <w:t xml:space="preserve"> at page 4; </w:t>
      </w:r>
      <w:r>
        <w:t xml:space="preserve">see </w:t>
      </w:r>
      <w:r w:rsidRPr="00942D62">
        <w:t xml:space="preserve">also Attachment B  at 2 (“Initially, the antenna’s vertical polarization had a pattern directivity of 14.32 dB </w:t>
      </w:r>
      <w:r w:rsidR="00125435">
        <w:t>. . .</w:t>
      </w:r>
      <w:r w:rsidRPr="00942D62">
        <w:t xml:space="preserve"> upon completion </w:t>
      </w:r>
      <w:r w:rsidR="00125435">
        <w:t xml:space="preserve">. . . </w:t>
      </w:r>
      <w:r w:rsidRPr="00942D62">
        <w:t xml:space="preserve">the pattern directivity” for the vertically polarized component “was 10.91 dB … an improvement of 3.4 dB in pattern circularity.” </w:t>
      </w:r>
      <w:r w:rsidR="00125435">
        <w:t xml:space="preserve"> </w:t>
      </w:r>
      <w:r w:rsidRPr="00942D62">
        <w:t xml:space="preserve">These figures were computed “relative to an RMS measured field of 1.0.” </w:t>
      </w:r>
      <w:r w:rsidR="00125435">
        <w:t xml:space="preserve"> </w:t>
      </w:r>
      <w:r w:rsidRPr="009366E5">
        <w:rPr>
          <w:i/>
        </w:rPr>
        <w:t>See infra</w:t>
      </w:r>
      <w:r>
        <w:t xml:space="preserve"> para. </w:t>
      </w:r>
      <w:r w:rsidR="00000079">
        <w:t>15</w:t>
      </w:r>
      <w:r w:rsidR="00EC03C1">
        <w:t>)</w:t>
      </w:r>
      <w:r>
        <w:t>.</w:t>
      </w:r>
    </w:p>
  </w:footnote>
  <w:footnote w:id="44">
    <w:p w:rsidR="00C92E3A" w:rsidRPr="00942D62" w:rsidRDefault="00C92E3A" w:rsidP="00C92E3A">
      <w:pPr>
        <w:pStyle w:val="FootnoteText"/>
      </w:pPr>
      <w:r w:rsidRPr="00942D62">
        <w:rPr>
          <w:rStyle w:val="FootnoteReference"/>
        </w:rPr>
        <w:footnoteRef/>
      </w:r>
      <w:r w:rsidRPr="00942D62">
        <w:t xml:space="preserve">  </w:t>
      </w:r>
      <w:r w:rsidR="003937D3">
        <w:t xml:space="preserve">LKCM Further Response at 2.  The two cases cited are </w:t>
      </w:r>
      <w:r w:rsidRPr="00942D62">
        <w:rPr>
          <w:i/>
        </w:rPr>
        <w:t>Rebecca Radio of Marco</w:t>
      </w:r>
      <w:r w:rsidRPr="00942D62">
        <w:t xml:space="preserve">, </w:t>
      </w:r>
      <w:r w:rsidR="003937D3">
        <w:t xml:space="preserve">Hearing Designation Order, </w:t>
      </w:r>
      <w:r w:rsidRPr="00942D62">
        <w:t>2 FCC Rcd 4053 (</w:t>
      </w:r>
      <w:r w:rsidR="003937D3">
        <w:t>MMB</w:t>
      </w:r>
      <w:r w:rsidRPr="00942D62">
        <w:t xml:space="preserve"> 1987)</w:t>
      </w:r>
      <w:r w:rsidR="00EC03C1">
        <w:t xml:space="preserve"> (“</w:t>
      </w:r>
      <w:r w:rsidR="00EC03C1" w:rsidRPr="00EC03C1">
        <w:rPr>
          <w:i/>
        </w:rPr>
        <w:t>Rebecca Radio</w:t>
      </w:r>
      <w:r w:rsidR="00EC03C1">
        <w:t>”)</w:t>
      </w:r>
      <w:r w:rsidRPr="00942D62">
        <w:t xml:space="preserve"> and </w:t>
      </w:r>
      <w:r w:rsidRPr="00942D62">
        <w:rPr>
          <w:i/>
        </w:rPr>
        <w:t>New Life Enterprises, Inc.,</w:t>
      </w:r>
      <w:r w:rsidRPr="00942D62">
        <w:t xml:space="preserve"> </w:t>
      </w:r>
      <w:r w:rsidR="003937D3">
        <w:t xml:space="preserve">Memorandum Opinion and Order, </w:t>
      </w:r>
      <w:r w:rsidRPr="00942D62">
        <w:t>7 FCC Rcd 843 (1992)</w:t>
      </w:r>
      <w:r w:rsidR="00EC03C1">
        <w:t xml:space="preserve"> (“</w:t>
      </w:r>
      <w:r w:rsidR="00EC03C1" w:rsidRPr="00EC03C1">
        <w:rPr>
          <w:i/>
        </w:rPr>
        <w:t>New Life</w:t>
      </w:r>
      <w:r w:rsidR="00EC03C1">
        <w:t>”)</w:t>
      </w:r>
      <w:r w:rsidRPr="00942D62">
        <w:t xml:space="preserve">.  </w:t>
      </w:r>
    </w:p>
  </w:footnote>
  <w:footnote w:id="45">
    <w:p w:rsidR="00C92E3A" w:rsidRPr="00942D62" w:rsidRDefault="00C92E3A" w:rsidP="00C92E3A">
      <w:pPr>
        <w:pStyle w:val="FootnoteText"/>
      </w:pPr>
      <w:r w:rsidRPr="00942D62">
        <w:rPr>
          <w:rStyle w:val="FootnoteReference"/>
        </w:rPr>
        <w:footnoteRef/>
      </w:r>
      <w:r w:rsidRPr="00942D62">
        <w:t xml:space="preserve"> </w:t>
      </w:r>
      <w:r w:rsidR="00904725" w:rsidRPr="00904725">
        <w:rPr>
          <w:i/>
        </w:rPr>
        <w:t>Id</w:t>
      </w:r>
      <w:r w:rsidR="00904725">
        <w:t xml:space="preserve">. at 2-3 and n.6, citing </w:t>
      </w:r>
      <w:r w:rsidRPr="00942D62">
        <w:rPr>
          <w:i/>
        </w:rPr>
        <w:t>Duchossois Communications of Maryland,</w:t>
      </w:r>
      <w:r w:rsidRPr="00942D62">
        <w:t xml:space="preserve"> </w:t>
      </w:r>
      <w:r w:rsidR="000A6686">
        <w:t xml:space="preserve">Memorandum Opinion and Order, </w:t>
      </w:r>
      <w:r w:rsidRPr="00942D62">
        <w:t>10 FCC Rcd 6688 (1995)</w:t>
      </w:r>
      <w:r w:rsidR="00EC03C1">
        <w:t xml:space="preserve"> (“</w:t>
      </w:r>
      <w:r w:rsidR="00EC03C1" w:rsidRPr="00EC03C1">
        <w:rPr>
          <w:i/>
        </w:rPr>
        <w:t>Duchossois</w:t>
      </w:r>
      <w:r w:rsidR="00EC03C1">
        <w:t>”)</w:t>
      </w:r>
      <w:r w:rsidRPr="00942D62">
        <w:t xml:space="preserve"> and </w:t>
      </w:r>
      <w:r w:rsidRPr="00942D62">
        <w:rPr>
          <w:i/>
        </w:rPr>
        <w:t xml:space="preserve">R&amp;R Radio Corp., </w:t>
      </w:r>
      <w:r w:rsidR="00C115F0">
        <w:t>Letter, 23 FCC Rcd 16489</w:t>
      </w:r>
      <w:r w:rsidRPr="00942D62">
        <w:t xml:space="preserve"> (</w:t>
      </w:r>
      <w:r w:rsidR="000A6686">
        <w:t xml:space="preserve">MB </w:t>
      </w:r>
      <w:r w:rsidRPr="00942D62">
        <w:t>2008)</w:t>
      </w:r>
      <w:r w:rsidR="00EC03C1">
        <w:t xml:space="preserve"> (“</w:t>
      </w:r>
      <w:r w:rsidR="00EC03C1" w:rsidRPr="00EC03C1">
        <w:rPr>
          <w:i/>
        </w:rPr>
        <w:t>R&amp;R</w:t>
      </w:r>
      <w:r w:rsidR="00EC03C1">
        <w:t>”)</w:t>
      </w:r>
      <w:r w:rsidRPr="00942D62">
        <w:t>.</w:t>
      </w:r>
    </w:p>
  </w:footnote>
  <w:footnote w:id="46">
    <w:p w:rsidR="009366E5" w:rsidRDefault="009366E5">
      <w:pPr>
        <w:pStyle w:val="FootnoteText"/>
      </w:pPr>
      <w:r>
        <w:rPr>
          <w:rStyle w:val="FootnoteReference"/>
        </w:rPr>
        <w:footnoteRef/>
      </w:r>
      <w:r>
        <w:t xml:space="preserve"> </w:t>
      </w:r>
      <w:r w:rsidRPr="009366E5">
        <w:rPr>
          <w:i/>
        </w:rPr>
        <w:t>Id</w:t>
      </w:r>
      <w:r>
        <w:t>. at 3.</w:t>
      </w:r>
    </w:p>
  </w:footnote>
  <w:footnote w:id="47">
    <w:p w:rsidR="00C92E3A" w:rsidRPr="00942D62" w:rsidRDefault="00C92E3A" w:rsidP="00C92E3A">
      <w:pPr>
        <w:pStyle w:val="FootnoteText"/>
      </w:pPr>
      <w:r w:rsidRPr="00942D62">
        <w:rPr>
          <w:rStyle w:val="FootnoteReference"/>
        </w:rPr>
        <w:footnoteRef/>
      </w:r>
      <w:r w:rsidRPr="00942D62">
        <w:t xml:space="preserve"> </w:t>
      </w:r>
      <w:r w:rsidR="00415797">
        <w:t>47 C.F.R. §</w:t>
      </w:r>
      <w:r w:rsidRPr="00942D62">
        <w:t xml:space="preserve"> 73.316(b) states that “[a] directional antenna is an antenna that is designed or altered for the purpose of obtaining a non-circular radiation pattern.”  Section 73.316(b)(1) limits FM directional antennas to 15 dB in the horizontal plane.</w:t>
      </w:r>
    </w:p>
  </w:footnote>
  <w:footnote w:id="48">
    <w:p w:rsidR="00415797" w:rsidRDefault="00415797">
      <w:pPr>
        <w:pStyle w:val="FootnoteText"/>
      </w:pPr>
      <w:r>
        <w:rPr>
          <w:rStyle w:val="FootnoteReference"/>
        </w:rPr>
        <w:footnoteRef/>
      </w:r>
      <w:r>
        <w:t xml:space="preserve"> Lake Further Response at 1-2.</w:t>
      </w:r>
    </w:p>
  </w:footnote>
  <w:footnote w:id="49">
    <w:p w:rsidR="00415797" w:rsidRDefault="00415797">
      <w:pPr>
        <w:pStyle w:val="FootnoteText"/>
      </w:pPr>
      <w:r>
        <w:rPr>
          <w:rStyle w:val="FootnoteReference"/>
        </w:rPr>
        <w:footnoteRef/>
      </w:r>
      <w:r>
        <w:t xml:space="preserve"> Memorandum Opinion and Order, 53 R</w:t>
      </w:r>
      <w:r w:rsidR="00E10F77">
        <w:t>.</w:t>
      </w:r>
      <w:r>
        <w:t>R</w:t>
      </w:r>
      <w:r w:rsidR="00E10F77">
        <w:t>.</w:t>
      </w:r>
      <w:r>
        <w:t>2d 635 (1983) (“</w:t>
      </w:r>
      <w:r w:rsidRPr="00415797">
        <w:rPr>
          <w:i/>
        </w:rPr>
        <w:t>Ettlinger</w:t>
      </w:r>
      <w:r>
        <w:t>”).</w:t>
      </w:r>
    </w:p>
  </w:footnote>
  <w:footnote w:id="50">
    <w:p w:rsidR="00C92E3A" w:rsidRPr="00942D62" w:rsidRDefault="00C92E3A" w:rsidP="00C92E3A">
      <w:pPr>
        <w:pStyle w:val="FootnoteText"/>
      </w:pPr>
      <w:r w:rsidRPr="00942D62">
        <w:rPr>
          <w:rStyle w:val="FootnoteReference"/>
        </w:rPr>
        <w:footnoteRef/>
      </w:r>
      <w:r w:rsidR="00A22EC8">
        <w:t xml:space="preserve"> Lake Further Response at 2-3.</w:t>
      </w:r>
    </w:p>
  </w:footnote>
  <w:footnote w:id="51">
    <w:p w:rsidR="00A22EC8" w:rsidRDefault="00A22EC8">
      <w:pPr>
        <w:pStyle w:val="FootnoteText"/>
      </w:pPr>
      <w:r>
        <w:rPr>
          <w:rStyle w:val="FootnoteReference"/>
        </w:rPr>
        <w:footnoteRef/>
      </w:r>
      <w:r>
        <w:t xml:space="preserve"> </w:t>
      </w:r>
      <w:r w:rsidRPr="00A22EC8">
        <w:rPr>
          <w:i/>
        </w:rPr>
        <w:t>Id</w:t>
      </w:r>
      <w:r>
        <w:t>. at 3.</w:t>
      </w:r>
    </w:p>
  </w:footnote>
  <w:footnote w:id="52">
    <w:p w:rsidR="007F0D97" w:rsidRDefault="007F0D97" w:rsidP="007F0D97">
      <w:pPr>
        <w:pStyle w:val="FootnoteText"/>
      </w:pPr>
      <w:r>
        <w:rPr>
          <w:rStyle w:val="FootnoteReference"/>
        </w:rPr>
        <w:footnoteRef/>
      </w:r>
      <w:r>
        <w:t xml:space="preserve"> </w:t>
      </w:r>
      <w:r w:rsidRPr="00186A19">
        <w:rPr>
          <w:i/>
        </w:rPr>
        <w:t>Ettlinger</w:t>
      </w:r>
      <w:r w:rsidR="00A37FFD">
        <w:t>, 53 R.R.</w:t>
      </w:r>
      <w:r>
        <w:t>2d at 636.</w:t>
      </w:r>
    </w:p>
  </w:footnote>
  <w:footnote w:id="53">
    <w:p w:rsidR="007F0D97" w:rsidRDefault="007F0D97" w:rsidP="007F0D97">
      <w:pPr>
        <w:pStyle w:val="FootnoteText"/>
      </w:pPr>
      <w:r>
        <w:rPr>
          <w:rStyle w:val="FootnoteReference"/>
        </w:rPr>
        <w:footnoteRef/>
      </w:r>
      <w:r>
        <w:t xml:space="preserve"> </w:t>
      </w:r>
      <w:r w:rsidRPr="00186A19">
        <w:rPr>
          <w:i/>
        </w:rPr>
        <w:t>Id</w:t>
      </w:r>
      <w:r>
        <w:t>.</w:t>
      </w:r>
    </w:p>
  </w:footnote>
  <w:footnote w:id="54">
    <w:p w:rsidR="007F0D97" w:rsidRDefault="007F0D97" w:rsidP="007F0D97">
      <w:pPr>
        <w:pStyle w:val="FootnoteText"/>
      </w:pPr>
      <w:r>
        <w:rPr>
          <w:rStyle w:val="FootnoteReference"/>
        </w:rPr>
        <w:footnoteRef/>
      </w:r>
      <w:r>
        <w:t xml:space="preserve"> </w:t>
      </w:r>
      <w:r w:rsidRPr="00AD78B5">
        <w:rPr>
          <w:i/>
        </w:rPr>
        <w:t>Id</w:t>
      </w:r>
      <w:r>
        <w:t>., citing 47 C.F.R. § 73.211.</w:t>
      </w:r>
    </w:p>
  </w:footnote>
  <w:footnote w:id="55">
    <w:p w:rsidR="007F0D97" w:rsidRDefault="007F0D97" w:rsidP="007F0D97">
      <w:pPr>
        <w:pStyle w:val="FootnoteText"/>
      </w:pPr>
      <w:r>
        <w:rPr>
          <w:rStyle w:val="FootnoteReference"/>
        </w:rPr>
        <w:footnoteRef/>
      </w:r>
      <w:r>
        <w:t xml:space="preserve"> </w:t>
      </w:r>
      <w:r w:rsidRPr="00186A19">
        <w:rPr>
          <w:i/>
        </w:rPr>
        <w:t>Ettlinger</w:t>
      </w:r>
      <w:r w:rsidR="0025485C">
        <w:t>, 53 R.R.</w:t>
      </w:r>
      <w:r>
        <w:t>2d at 636-37.</w:t>
      </w:r>
    </w:p>
  </w:footnote>
  <w:footnote w:id="56">
    <w:p w:rsidR="007F0D97" w:rsidRDefault="007F0D97" w:rsidP="007F0D97">
      <w:pPr>
        <w:pStyle w:val="FootnoteText"/>
      </w:pPr>
      <w:r>
        <w:rPr>
          <w:rStyle w:val="FootnoteReference"/>
        </w:rPr>
        <w:footnoteRef/>
      </w:r>
      <w:r>
        <w:t xml:space="preserve"> </w:t>
      </w:r>
      <w:r w:rsidRPr="00186A19">
        <w:rPr>
          <w:i/>
        </w:rPr>
        <w:t>Id</w:t>
      </w:r>
      <w:r>
        <w:t>. at 637 n.4.</w:t>
      </w:r>
    </w:p>
  </w:footnote>
  <w:footnote w:id="57">
    <w:p w:rsidR="007F0D97" w:rsidRDefault="007F0D97" w:rsidP="007F0D97">
      <w:pPr>
        <w:pStyle w:val="FootnoteText"/>
      </w:pPr>
      <w:r>
        <w:rPr>
          <w:rStyle w:val="FootnoteReference"/>
        </w:rPr>
        <w:footnoteRef/>
      </w:r>
      <w:r>
        <w:t xml:space="preserve"> </w:t>
      </w:r>
      <w:r w:rsidRPr="00186A19">
        <w:rPr>
          <w:i/>
        </w:rPr>
        <w:t>Id</w:t>
      </w:r>
      <w:r>
        <w:t xml:space="preserve">.  </w:t>
      </w:r>
      <w:r w:rsidRPr="00186A19">
        <w:rPr>
          <w:i/>
        </w:rPr>
        <w:t>See</w:t>
      </w:r>
      <w:r>
        <w:t xml:space="preserve"> 47 C.F.R. § 73.211.</w:t>
      </w:r>
    </w:p>
  </w:footnote>
  <w:footnote w:id="58">
    <w:p w:rsidR="007F0D97" w:rsidRDefault="007F0D97" w:rsidP="007F0D97">
      <w:pPr>
        <w:pStyle w:val="FootnoteText"/>
      </w:pPr>
      <w:r>
        <w:rPr>
          <w:rStyle w:val="FootnoteReference"/>
        </w:rPr>
        <w:footnoteRef/>
      </w:r>
      <w:r>
        <w:t xml:space="preserve"> </w:t>
      </w:r>
      <w:r w:rsidRPr="00186A19">
        <w:rPr>
          <w:i/>
        </w:rPr>
        <w:t>Ettlinger</w:t>
      </w:r>
      <w:r>
        <w:t>, 53 R.R. 2d at 637 n.4.</w:t>
      </w:r>
    </w:p>
  </w:footnote>
  <w:footnote w:id="59">
    <w:p w:rsidR="006609C7" w:rsidRDefault="006609C7">
      <w:pPr>
        <w:pStyle w:val="FootnoteText"/>
      </w:pPr>
      <w:r>
        <w:rPr>
          <w:rStyle w:val="FootnoteReference"/>
        </w:rPr>
        <w:footnoteRef/>
      </w:r>
      <w:r>
        <w:t xml:space="preserve"> 47 C.F.R. § 73.211(b).</w:t>
      </w:r>
    </w:p>
  </w:footnote>
  <w:footnote w:id="60">
    <w:p w:rsidR="007F0D97" w:rsidRDefault="007F0D97" w:rsidP="007F0D97">
      <w:pPr>
        <w:pStyle w:val="FootnoteText"/>
      </w:pPr>
      <w:r>
        <w:rPr>
          <w:rStyle w:val="FootnoteReference"/>
        </w:rPr>
        <w:footnoteRef/>
      </w:r>
      <w:r>
        <w:t xml:space="preserve"> </w:t>
      </w:r>
      <w:r w:rsidRPr="00201E26">
        <w:t xml:space="preserve">KFWR is not one of the </w:t>
      </w:r>
      <w:r>
        <w:t xml:space="preserve">very </w:t>
      </w:r>
      <w:r w:rsidRPr="00201E26">
        <w:t>few grandfathered stations that may continue to operate with an ERP in excess of the station class limit</w:t>
      </w:r>
      <w:r>
        <w:t>, that were authorized before the adoption of the 4</w:t>
      </w:r>
      <w:r w:rsidR="003F17E6">
        <w:t xml:space="preserve">7 C.F.R. § 73.211 ERP maximums.  </w:t>
      </w:r>
      <w:r w:rsidR="003F17E6" w:rsidRPr="003F17E6">
        <w:rPr>
          <w:i/>
        </w:rPr>
        <w:t>See</w:t>
      </w:r>
      <w:r w:rsidR="003F17E6">
        <w:t xml:space="preserve"> 47 C.F.R. § 73.211(c).</w:t>
      </w:r>
    </w:p>
  </w:footnote>
  <w:footnote w:id="61">
    <w:p w:rsidR="007F0D97" w:rsidRPr="00942D62" w:rsidRDefault="007F0D97" w:rsidP="007F0D97">
      <w:pPr>
        <w:pStyle w:val="FootnoteText"/>
      </w:pPr>
      <w:r w:rsidRPr="00942D62">
        <w:rPr>
          <w:rStyle w:val="FootnoteReference"/>
        </w:rPr>
        <w:footnoteRef/>
      </w:r>
      <w:r w:rsidRPr="00942D62">
        <w:t xml:space="preserve"> </w:t>
      </w:r>
      <w:r>
        <w:t xml:space="preserve">LKCM Further Response, Attachment B at 2.   </w:t>
      </w:r>
    </w:p>
  </w:footnote>
  <w:footnote w:id="62">
    <w:p w:rsidR="007F0D97" w:rsidRPr="00942D62" w:rsidRDefault="007F0D97" w:rsidP="007F0D97">
      <w:pPr>
        <w:pStyle w:val="FootnoteText"/>
      </w:pPr>
      <w:r>
        <w:rPr>
          <w:rStyle w:val="FootnoteReference"/>
        </w:rPr>
        <w:footnoteRef/>
      </w:r>
      <w:r>
        <w:t xml:space="preserve"> </w:t>
      </w:r>
      <w:r w:rsidRPr="00942D62">
        <w:t>For antenna patterns, where the pat</w:t>
      </w:r>
      <w:r>
        <w:t xml:space="preserve">tern is defined by X number of </w:t>
      </w:r>
      <w:r w:rsidRPr="00942D62">
        <w:t xml:space="preserve">evenly spaced relative field values covering the entire 360° of the pattern, the RMS </w:t>
      </w:r>
      <w:r>
        <w:t xml:space="preserve">value </w:t>
      </w:r>
      <w:r w:rsidRPr="00942D62">
        <w:t>is defined by the formula</w:t>
      </w:r>
    </w:p>
    <w:p w:rsidR="007F0D97" w:rsidRPr="00942D62" w:rsidRDefault="007F0D97" w:rsidP="00B47288">
      <w:pPr>
        <w:pStyle w:val="FootnoteText"/>
        <w:ind w:firstLine="720"/>
      </w:pPr>
      <w:r w:rsidRPr="00942D62">
        <w:t>[(relative field 1)</w:t>
      </w:r>
      <w:r w:rsidRPr="00942D62">
        <w:rPr>
          <w:vertAlign w:val="superscript"/>
        </w:rPr>
        <w:t xml:space="preserve">2  </w:t>
      </w:r>
      <w:r w:rsidRPr="00942D62">
        <w:t>+ (relative field 2)</w:t>
      </w:r>
      <w:r w:rsidRPr="00942D62">
        <w:rPr>
          <w:vertAlign w:val="superscript"/>
        </w:rPr>
        <w:t xml:space="preserve">2   </w:t>
      </w:r>
      <w:r w:rsidRPr="00942D62">
        <w:t>+ (relative field 3)</w:t>
      </w:r>
      <w:r w:rsidRPr="00942D62">
        <w:rPr>
          <w:vertAlign w:val="superscript"/>
        </w:rPr>
        <w:t xml:space="preserve">2   </w:t>
      </w:r>
      <w:r w:rsidRPr="00942D62">
        <w:t>+</w:t>
      </w:r>
      <w:r w:rsidRPr="00942D62">
        <w:rPr>
          <w:vertAlign w:val="superscript"/>
        </w:rPr>
        <w:t xml:space="preserve">  …   </w:t>
      </w:r>
      <w:r w:rsidRPr="00942D62">
        <w:t>+ (relative field X)</w:t>
      </w:r>
      <w:r w:rsidRPr="00942D62">
        <w:rPr>
          <w:vertAlign w:val="superscript"/>
        </w:rPr>
        <w:t xml:space="preserve">2 </w:t>
      </w:r>
      <w:r w:rsidRPr="00942D62">
        <w:t xml:space="preserve"> ]  </w:t>
      </w:r>
      <w:r w:rsidRPr="00942D62">
        <w:rPr>
          <w:b/>
        </w:rPr>
        <w:t xml:space="preserve">/ </w:t>
      </w:r>
      <w:r w:rsidRPr="00942D62">
        <w:t>X = RMS</w:t>
      </w:r>
    </w:p>
    <w:p w:rsidR="007F0D97" w:rsidRDefault="007F0D97" w:rsidP="007F0D97">
      <w:pPr>
        <w:pStyle w:val="FootnoteText"/>
      </w:pPr>
      <w:r>
        <w:t>Under this equation, a</w:t>
      </w:r>
      <w:r w:rsidRPr="00942D62">
        <w:t xml:space="preserve"> truly circular (</w:t>
      </w:r>
      <w:r>
        <w:t xml:space="preserve">non-directional) pattern, which has </w:t>
      </w:r>
      <w:r w:rsidRPr="00942D62">
        <w:t xml:space="preserve">relative field values of 1.0 at every azimuth, </w:t>
      </w:r>
      <w:r>
        <w:t>will have a resulting</w:t>
      </w:r>
      <w:r w:rsidRPr="00942D62">
        <w:t xml:space="preserve"> RMS value </w:t>
      </w:r>
      <w:r>
        <w:t>of</w:t>
      </w:r>
      <w:r w:rsidRPr="00942D62">
        <w:t xml:space="preserve"> 1.0.</w:t>
      </w:r>
    </w:p>
  </w:footnote>
  <w:footnote w:id="63">
    <w:p w:rsidR="007F0D97" w:rsidRDefault="007F0D97" w:rsidP="007F0D97">
      <w:pPr>
        <w:pStyle w:val="FootnoteText"/>
      </w:pPr>
      <w:r>
        <w:rPr>
          <w:rStyle w:val="FootnoteReference"/>
        </w:rPr>
        <w:footnoteRef/>
      </w:r>
      <w:r>
        <w:t xml:space="preserve"> </w:t>
      </w:r>
      <w:r w:rsidRPr="00942D62">
        <w:t>Compare the 1.657 relative field value to the maximum 1.0 rel</w:t>
      </w:r>
      <w:r>
        <w:t>ati</w:t>
      </w:r>
      <w:r w:rsidRPr="00942D62">
        <w:t>ve</w:t>
      </w:r>
      <w:r>
        <w:t xml:space="preserve"> f</w:t>
      </w:r>
      <w:r w:rsidRPr="00942D62">
        <w:t>ield value for an FCC-licensed directional antenna.</w:t>
      </w:r>
    </w:p>
  </w:footnote>
  <w:footnote w:id="64">
    <w:p w:rsidR="007F0D97" w:rsidRPr="00942D62" w:rsidRDefault="007F0D97" w:rsidP="007F0D97">
      <w:pPr>
        <w:pStyle w:val="FootnoteText"/>
      </w:pPr>
      <w:r>
        <w:rPr>
          <w:rStyle w:val="FootnoteReference"/>
        </w:rPr>
        <w:footnoteRef/>
      </w:r>
      <w:r>
        <w:t xml:space="preserve"> The</w:t>
      </w:r>
      <w:r w:rsidRPr="00942D62">
        <w:t xml:space="preserve"> </w:t>
      </w:r>
      <w:r>
        <w:t xml:space="preserve">ERP </w:t>
      </w:r>
      <w:r w:rsidRPr="00942D62">
        <w:t xml:space="preserve"> in a given direction is related to the corresponding relative field value by</w:t>
      </w:r>
    </w:p>
    <w:p w:rsidR="007F0D97" w:rsidRDefault="007F0D97" w:rsidP="00B47288">
      <w:pPr>
        <w:pStyle w:val="FootnoteText"/>
        <w:ind w:firstLine="720"/>
      </w:pPr>
      <w:r w:rsidRPr="00942D62">
        <w:t>ERP in the given direction  = (relative field</w:t>
      </w:r>
      <w:r>
        <w:t xml:space="preserve"> in that direction</w:t>
      </w:r>
      <w:r w:rsidRPr="00942D62">
        <w:t>)</w:t>
      </w:r>
      <w:r w:rsidRPr="00942D62">
        <w:rPr>
          <w:vertAlign w:val="superscript"/>
        </w:rPr>
        <w:t>2</w:t>
      </w:r>
      <w:r w:rsidRPr="00942D62">
        <w:t xml:space="preserve">  * ERP</w:t>
      </w:r>
    </w:p>
    <w:p w:rsidR="007F0D97" w:rsidRDefault="007F0D97" w:rsidP="007F0D97">
      <w:pPr>
        <w:pStyle w:val="FootnoteText"/>
      </w:pPr>
      <w:r>
        <w:t xml:space="preserve">Thus, the KFWR </w:t>
      </w:r>
      <w:r w:rsidRPr="00942D62">
        <w:t>ERP at 105</w:t>
      </w:r>
      <w:r>
        <w:t xml:space="preserve"> degrees</w:t>
      </w:r>
      <w:r w:rsidRPr="00942D62">
        <w:t xml:space="preserve">  = 1.657</w:t>
      </w:r>
      <w:r w:rsidRPr="00942D62">
        <w:rPr>
          <w:vertAlign w:val="superscript"/>
        </w:rPr>
        <w:t>2</w:t>
      </w:r>
      <w:r w:rsidRPr="00942D62">
        <w:t xml:space="preserve"> * 100 kW =  274.5</w:t>
      </w:r>
      <w:r>
        <w:t>6 kW.</w:t>
      </w:r>
    </w:p>
  </w:footnote>
  <w:footnote w:id="65">
    <w:p w:rsidR="007F0D97" w:rsidRPr="00942D62" w:rsidRDefault="007F0D97" w:rsidP="007F0D97">
      <w:pPr>
        <w:pStyle w:val="FootnoteText"/>
      </w:pPr>
      <w:r>
        <w:rPr>
          <w:rStyle w:val="FootnoteReference"/>
        </w:rPr>
        <w:footnoteRef/>
      </w:r>
      <w:r>
        <w:t xml:space="preserve"> </w:t>
      </w:r>
      <w:r w:rsidRPr="00942D62">
        <w:t xml:space="preserve">Converting </w:t>
      </w:r>
      <w:r>
        <w:t xml:space="preserve">the KFWR ERP along the 105 degree azimuth </w:t>
      </w:r>
      <w:r w:rsidRPr="00942D62">
        <w:t>to decibels (</w:t>
      </w:r>
      <w:r w:rsidR="001B4A64">
        <w:t>“</w:t>
      </w:r>
      <w:r w:rsidRPr="00942D62">
        <w:t>dB</w:t>
      </w:r>
      <w:r w:rsidR="001B4A64">
        <w:t>”</w:t>
      </w:r>
      <w:r w:rsidRPr="00942D62">
        <w:t>):</w:t>
      </w:r>
    </w:p>
    <w:p w:rsidR="007F0D97" w:rsidRPr="00942D62" w:rsidRDefault="007F0D97" w:rsidP="00B47288">
      <w:pPr>
        <w:pStyle w:val="FootnoteText"/>
        <w:ind w:firstLine="720"/>
      </w:pPr>
      <w:r w:rsidRPr="00942D62">
        <w:t>dB = 10 log (</w:t>
      </w:r>
      <w:r>
        <w:t xml:space="preserve">274.56 </w:t>
      </w:r>
      <w:r w:rsidRPr="00942D62">
        <w:t xml:space="preserve">kW) = 24.386  dB  </w:t>
      </w:r>
    </w:p>
    <w:p w:rsidR="007F0D97" w:rsidRPr="00942D62" w:rsidRDefault="007F0D97" w:rsidP="007F0D97">
      <w:pPr>
        <w:pStyle w:val="FootnoteText"/>
      </w:pPr>
      <w:r w:rsidRPr="00942D62">
        <w:t>Since 100 kW = 20 dB, the difference is</w:t>
      </w:r>
    </w:p>
    <w:p w:rsidR="007F0D97" w:rsidRPr="00942D62" w:rsidRDefault="007F0D97" w:rsidP="00B47288">
      <w:pPr>
        <w:pStyle w:val="FootnoteText"/>
        <w:ind w:firstLine="720"/>
      </w:pPr>
      <w:r w:rsidRPr="00942D62">
        <w:t>24.386 dB – 20 dB = 4.386 dB gain over the authorized 100 kW ERP value  (values not rounded)</w:t>
      </w:r>
      <w:r w:rsidR="00000079">
        <w:t>.</w:t>
      </w:r>
    </w:p>
    <w:p w:rsidR="007F0D97" w:rsidRDefault="007F0D97" w:rsidP="007F0D97">
      <w:pPr>
        <w:pStyle w:val="FootnoteText"/>
      </w:pPr>
      <w:r>
        <w:t>Lake’s consultant</w:t>
      </w:r>
      <w:r w:rsidRPr="00942D62">
        <w:t xml:space="preserve"> </w:t>
      </w:r>
      <w:r>
        <w:t xml:space="preserve">computed a gain of 4.38 (to two decimal places) for the vertically polarized component) and 4.19 (to two decimal places) for </w:t>
      </w:r>
      <w:r w:rsidRPr="00942D62">
        <w:t xml:space="preserve">the </w:t>
      </w:r>
      <w:r>
        <w:t>smaller</w:t>
      </w:r>
      <w:r w:rsidRPr="00942D62">
        <w:t xml:space="preserve"> horizontally</w:t>
      </w:r>
      <w:r>
        <w:t xml:space="preserve"> polarized component.  </w:t>
      </w:r>
      <w:r w:rsidRPr="00942D62">
        <w:t xml:space="preserve"> </w:t>
      </w:r>
      <w:r w:rsidRPr="00122079">
        <w:t>Lake Response</w:t>
      </w:r>
      <w:r>
        <w:t xml:space="preserve"> at Attachment 2 (Engineering Statement), page 1; </w:t>
      </w:r>
      <w:r w:rsidRPr="00122079">
        <w:rPr>
          <w:i/>
        </w:rPr>
        <w:t>see also</w:t>
      </w:r>
      <w:r>
        <w:t xml:space="preserve"> </w:t>
      </w:r>
      <w:r w:rsidRPr="00C23EDB">
        <w:t>Lake Response</w:t>
      </w:r>
      <w:r>
        <w:t xml:space="preserve"> at Appendix A, Robert Surette Statement at page 2 (4.189 dB gain for the horizontally polarized component, 4.385 dB for the vertically polarized component).</w:t>
      </w:r>
    </w:p>
  </w:footnote>
  <w:footnote w:id="66">
    <w:p w:rsidR="007F0D97" w:rsidRDefault="007F0D97" w:rsidP="007F0D97">
      <w:pPr>
        <w:pStyle w:val="FootnoteText"/>
      </w:pPr>
      <w:r>
        <w:rPr>
          <w:rStyle w:val="FootnoteReference"/>
        </w:rPr>
        <w:footnoteRef/>
      </w:r>
      <w:r>
        <w:t xml:space="preserve"> </w:t>
      </w:r>
      <w:r w:rsidRPr="006E75F7">
        <w:rPr>
          <w:i/>
        </w:rPr>
        <w:t>Ettlinger</w:t>
      </w:r>
      <w:r>
        <w:t>, 53 R.R.2d at 637 n.4.</w:t>
      </w:r>
      <w:r w:rsidR="006346F2">
        <w:t xml:space="preserve">  </w:t>
      </w:r>
      <w:r w:rsidR="006346F2" w:rsidRPr="006346F2">
        <w:rPr>
          <w:i/>
        </w:rPr>
        <w:t>See also Marr Broadcasting Co.</w:t>
      </w:r>
      <w:r w:rsidR="006346F2">
        <w:t xml:space="preserve">, Initial Decision, 1 FCC Rcd 691, 711 (ALJ 1986), a comparative renewal case in which </w:t>
      </w:r>
      <w:r w:rsidR="006346F2">
        <w:rPr>
          <w:szCs w:val="22"/>
        </w:rPr>
        <w:t>the Administrative Law Judge (“ALJ”) stated in his initial decision that while the applicant was authorized only a non-directional antenna, it ordered a side-mounted directional antenna.  Despite the fact that applicant’s engineer tried to produce the most omnidirectional pattern possible under the circumstances, the antenna produced 168 kW in the direction of Houston, greater than the authorized 100 kW, leading the ALJ to conclude that applicant Marr’s “antenna pattern was intentionally directionalized.”</w:t>
      </w:r>
    </w:p>
  </w:footnote>
  <w:footnote w:id="67">
    <w:p w:rsidR="007F0D97" w:rsidRDefault="007F0D97" w:rsidP="007F0D97">
      <w:pPr>
        <w:pStyle w:val="FootnoteText"/>
      </w:pPr>
      <w:r>
        <w:rPr>
          <w:rStyle w:val="FootnoteReference"/>
        </w:rPr>
        <w:footnoteRef/>
      </w:r>
      <w:r>
        <w:t xml:space="preserve"> </w:t>
      </w:r>
      <w:r w:rsidRPr="006E75F7">
        <w:rPr>
          <w:i/>
        </w:rPr>
        <w:t>FM Antenna Public Notice</w:t>
      </w:r>
      <w:r>
        <w:t xml:space="preserve">.  </w:t>
      </w:r>
      <w:r w:rsidRPr="006E75F7">
        <w:rPr>
          <w:i/>
        </w:rPr>
        <w:t>See also New Life</w:t>
      </w:r>
      <w:r>
        <w:t xml:space="preserve">, </w:t>
      </w:r>
      <w:r w:rsidRPr="006E75F7">
        <w:rPr>
          <w:i/>
        </w:rPr>
        <w:t>supra</w:t>
      </w:r>
      <w:r w:rsidR="006346F2">
        <w:t xml:space="preserve"> note </w:t>
      </w:r>
      <w:r w:rsidR="00E366BE">
        <w:t>43</w:t>
      </w:r>
      <w:r>
        <w:t xml:space="preserve">, 7 FCC Rcd at 845 (citing both </w:t>
      </w:r>
      <w:r w:rsidRPr="006E75F7">
        <w:rPr>
          <w:i/>
        </w:rPr>
        <w:t>Ettlinger</w:t>
      </w:r>
      <w:r>
        <w:t xml:space="preserve"> and the </w:t>
      </w:r>
      <w:r w:rsidRPr="006E75F7">
        <w:rPr>
          <w:i/>
        </w:rPr>
        <w:t>FM Antenna Public Notice</w:t>
      </w:r>
      <w:r>
        <w:t>).</w:t>
      </w:r>
    </w:p>
  </w:footnote>
  <w:footnote w:id="68">
    <w:p w:rsidR="007F0D97" w:rsidRDefault="007F0D97" w:rsidP="007F0D97">
      <w:pPr>
        <w:pStyle w:val="FootnoteText"/>
      </w:pPr>
      <w:r>
        <w:rPr>
          <w:rStyle w:val="FootnoteReference"/>
        </w:rPr>
        <w:footnoteRef/>
      </w:r>
      <w:r>
        <w:t xml:space="preserve"> </w:t>
      </w:r>
      <w:r w:rsidRPr="00BF45D1">
        <w:rPr>
          <w:i/>
        </w:rPr>
        <w:t>Duchossois</w:t>
      </w:r>
      <w:r>
        <w:t xml:space="preserve">, </w:t>
      </w:r>
      <w:r w:rsidRPr="00BF45D1">
        <w:rPr>
          <w:i/>
        </w:rPr>
        <w:t>supra</w:t>
      </w:r>
      <w:r w:rsidR="00000079">
        <w:t xml:space="preserve"> note 4</w:t>
      </w:r>
      <w:r w:rsidR="00E366BE">
        <w:t>4</w:t>
      </w:r>
      <w:r>
        <w:t>, 10 FCC Rcd at 6692.</w:t>
      </w:r>
    </w:p>
  </w:footnote>
  <w:footnote w:id="69">
    <w:p w:rsidR="007F0D97" w:rsidRDefault="007F0D97" w:rsidP="007F0D97">
      <w:pPr>
        <w:pStyle w:val="FootnoteText"/>
      </w:pPr>
      <w:r>
        <w:rPr>
          <w:rStyle w:val="FootnoteReference"/>
        </w:rPr>
        <w:footnoteRef/>
      </w:r>
      <w:r>
        <w:t xml:space="preserve"> </w:t>
      </w:r>
      <w:r w:rsidRPr="00BF45D1">
        <w:rPr>
          <w:i/>
        </w:rPr>
        <w:t>Id</w:t>
      </w:r>
      <w:r>
        <w:t xml:space="preserve">.  Additionally, the antenna in </w:t>
      </w:r>
      <w:r w:rsidRPr="006E75F7">
        <w:rPr>
          <w:i/>
        </w:rPr>
        <w:t>Duchossois</w:t>
      </w:r>
      <w:r>
        <w:t xml:space="preserve"> was pole-mounted, which is generally recognized as introducing less pattern distortion than a side-mounted antenna, such as in the KFWR installation, due to the smaller cross-section of the pole mounting.</w:t>
      </w:r>
    </w:p>
  </w:footnote>
  <w:footnote w:id="70">
    <w:p w:rsidR="007F0D97" w:rsidRDefault="007F0D97" w:rsidP="007F0D97">
      <w:pPr>
        <w:pStyle w:val="FootnoteText"/>
      </w:pPr>
      <w:r>
        <w:rPr>
          <w:rStyle w:val="FootnoteReference"/>
        </w:rPr>
        <w:footnoteRef/>
      </w:r>
      <w:r>
        <w:t xml:space="preserve"> </w:t>
      </w:r>
      <w:r w:rsidR="00BA69D3">
        <w:rPr>
          <w:i/>
        </w:rPr>
        <w:t>R&amp;R</w:t>
      </w:r>
      <w:r w:rsidR="00BA69D3">
        <w:t xml:space="preserve">, </w:t>
      </w:r>
      <w:r w:rsidR="00BA69D3" w:rsidRPr="00BA69D3">
        <w:rPr>
          <w:i/>
        </w:rPr>
        <w:t>supra</w:t>
      </w:r>
      <w:r w:rsidR="00BA69D3">
        <w:t xml:space="preserve"> note 44, 23 FCC Rcd at 16495</w:t>
      </w:r>
      <w:r>
        <w:t>.</w:t>
      </w:r>
    </w:p>
  </w:footnote>
  <w:footnote w:id="71">
    <w:p w:rsidR="00BA69D3" w:rsidRPr="00942D62" w:rsidRDefault="00BA69D3" w:rsidP="00BA69D3">
      <w:pPr>
        <w:pStyle w:val="FootnoteText"/>
      </w:pPr>
      <w:r w:rsidRPr="00942D62">
        <w:rPr>
          <w:rStyle w:val="FootnoteReference"/>
        </w:rPr>
        <w:footnoteRef/>
      </w:r>
      <w:r w:rsidRPr="00942D62">
        <w:t xml:space="preserve"> </w:t>
      </w:r>
      <w:r>
        <w:rPr>
          <w:i/>
        </w:rPr>
        <w:t>Id</w:t>
      </w:r>
      <w:r w:rsidRPr="00942D62">
        <w:t xml:space="preserve">. </w:t>
      </w:r>
    </w:p>
  </w:footnote>
  <w:footnote w:id="72">
    <w:p w:rsidR="007F0D97" w:rsidRDefault="007F0D97" w:rsidP="007F0D97">
      <w:pPr>
        <w:pStyle w:val="FootnoteText"/>
      </w:pPr>
      <w:r>
        <w:rPr>
          <w:rStyle w:val="FootnoteReference"/>
        </w:rPr>
        <w:footnoteRef/>
      </w:r>
      <w:r>
        <w:t xml:space="preserve"> 47 C.F.R. § 73.316.</w:t>
      </w:r>
    </w:p>
  </w:footnote>
  <w:footnote w:id="73">
    <w:p w:rsidR="007F0D97" w:rsidRPr="00942D62" w:rsidRDefault="007F0D97" w:rsidP="007F0D97">
      <w:pPr>
        <w:pStyle w:val="FootnoteText"/>
      </w:pPr>
      <w:r w:rsidRPr="00942D62">
        <w:rPr>
          <w:rStyle w:val="FootnoteReference"/>
        </w:rPr>
        <w:footnoteRef/>
      </w:r>
      <w:r w:rsidRPr="00942D62">
        <w:t xml:space="preserve"> </w:t>
      </w:r>
      <w:r w:rsidRPr="00942D62">
        <w:rPr>
          <w:i/>
        </w:rPr>
        <w:t xml:space="preserve">Rebecca Radio, </w:t>
      </w:r>
      <w:r w:rsidR="006346F2">
        <w:t>supra note 4</w:t>
      </w:r>
      <w:r w:rsidR="00E366BE">
        <w:t>3</w:t>
      </w:r>
      <w:r w:rsidRPr="00942D62">
        <w:t xml:space="preserve">, </w:t>
      </w:r>
      <w:r>
        <w:t xml:space="preserve">2 </w:t>
      </w:r>
      <w:r w:rsidRPr="00942D62">
        <w:t xml:space="preserve">FCC Rcd </w:t>
      </w:r>
      <w:r>
        <w:t>at 4054</w:t>
      </w:r>
      <w:r w:rsidRPr="00942D62">
        <w:t>.</w:t>
      </w:r>
    </w:p>
  </w:footnote>
  <w:footnote w:id="74">
    <w:p w:rsidR="007F0D97" w:rsidRPr="00942D62" w:rsidRDefault="007F0D97" w:rsidP="007F0D97">
      <w:pPr>
        <w:pStyle w:val="FootnoteText"/>
      </w:pPr>
      <w:r w:rsidRPr="00942D62">
        <w:rPr>
          <w:rStyle w:val="FootnoteReference"/>
        </w:rPr>
        <w:footnoteRef/>
      </w:r>
      <w:r w:rsidRPr="00942D62">
        <w:t xml:space="preserve">  Indeed, the essential difference between the unauthorized ERI</w:t>
      </w:r>
      <w:r w:rsidR="00167ED1">
        <w:t xml:space="preserve"> antenna</w:t>
      </w:r>
      <w:r w:rsidRPr="00942D62">
        <w:t xml:space="preserve"> pattern initially provided by </w:t>
      </w:r>
      <w:r>
        <w:t>Lake</w:t>
      </w:r>
      <w:r w:rsidRPr="00942D62">
        <w:t xml:space="preserve">, and the subsequent pattern </w:t>
      </w:r>
      <w:r>
        <w:t xml:space="preserve">submitted </w:t>
      </w:r>
      <w:r w:rsidRPr="00942D62">
        <w:t>by LKCM, is that the orientation o</w:t>
      </w:r>
      <w:r>
        <w:t>f</w:t>
      </w:r>
      <w:r w:rsidRPr="00942D62">
        <w:t xml:space="preserve"> </w:t>
      </w:r>
      <w:r>
        <w:t>the antenna differs by approximately 15 degrees</w:t>
      </w:r>
      <w:r w:rsidRPr="00942D62">
        <w:t>.</w:t>
      </w:r>
    </w:p>
  </w:footnote>
  <w:footnote w:id="75">
    <w:p w:rsidR="007F0D97" w:rsidRPr="00942D62" w:rsidRDefault="007F0D97" w:rsidP="007F0D97">
      <w:pPr>
        <w:pStyle w:val="FootnoteText"/>
      </w:pPr>
      <w:r w:rsidRPr="00942D62">
        <w:rPr>
          <w:rStyle w:val="FootnoteReference"/>
        </w:rPr>
        <w:footnoteRef/>
      </w:r>
      <w:r w:rsidRPr="00942D62">
        <w:t xml:space="preserve">  KFWR’s licensed ERP of 100 kW is equal to 20 dBk.  Using the relative field pattern data provided by </w:t>
      </w:r>
      <w:r>
        <w:t>Lake</w:t>
      </w:r>
      <w:r w:rsidRPr="00942D62">
        <w:t xml:space="preserve"> (and later LKCM), </w:t>
      </w:r>
      <w:r>
        <w:t>Lake</w:t>
      </w:r>
      <w:r w:rsidRPr="00942D62">
        <w:t xml:space="preserve"> has established that the maximum radiation is 262.4 kW ERP (24.1</w:t>
      </w:r>
      <w:r>
        <w:t>89</w:t>
      </w:r>
      <w:r w:rsidRPr="00942D62">
        <w:t xml:space="preserve"> dBk) in the horizontally polarized and 274.5 kW ERP (24.38</w:t>
      </w:r>
      <w:r>
        <w:t>6</w:t>
      </w:r>
      <w:r w:rsidRPr="00942D62">
        <w:t xml:space="preserve"> dBk) vertically polarized.</w:t>
      </w:r>
    </w:p>
  </w:footnote>
  <w:footnote w:id="76">
    <w:p w:rsidR="007F0D97" w:rsidRDefault="007F0D97" w:rsidP="007F0D97">
      <w:pPr>
        <w:pStyle w:val="FootnoteText"/>
      </w:pPr>
      <w:r>
        <w:rPr>
          <w:rStyle w:val="FootnoteReference"/>
        </w:rPr>
        <w:footnoteRef/>
      </w:r>
      <w:r>
        <w:t xml:space="preserve"> 47 C.F.R. § 73.316(b)(1).</w:t>
      </w:r>
    </w:p>
  </w:footnote>
  <w:footnote w:id="77">
    <w:p w:rsidR="007F0D97" w:rsidRPr="00BA13AC" w:rsidRDefault="007F0D97" w:rsidP="007F0D97">
      <w:pPr>
        <w:pStyle w:val="FootnoteText"/>
      </w:pPr>
      <w:r w:rsidRPr="00942D62">
        <w:rPr>
          <w:rStyle w:val="FootnoteReference"/>
        </w:rPr>
        <w:footnoteRef/>
      </w:r>
      <w:r w:rsidRPr="00942D62">
        <w:t xml:space="preserve"> LKCM takes note that KFW</w:t>
      </w:r>
      <w:r>
        <w:t>R</w:t>
      </w:r>
      <w:r w:rsidRPr="00942D62">
        <w:t xml:space="preserve"> is not operating at the maximum antenna height permitted for the station class (Class C0), so that it affords more protection to </w:t>
      </w:r>
      <w:r w:rsidR="001927CA">
        <w:t>KCKL</w:t>
      </w:r>
      <w:r w:rsidRPr="00942D62">
        <w:t xml:space="preserve"> than would a maximum class facility.  </w:t>
      </w:r>
      <w:r w:rsidRPr="00942D62">
        <w:rPr>
          <w:i/>
        </w:rPr>
        <w:t xml:space="preserve">LKCM Further Response </w:t>
      </w:r>
      <w:r w:rsidRPr="00942D62">
        <w:t xml:space="preserve">at Attachment C, page 3. </w:t>
      </w:r>
      <w:r w:rsidR="00991246">
        <w:t xml:space="preserve">  However, this is not relevant, because</w:t>
      </w:r>
      <w:r w:rsidRPr="00942D62">
        <w:t xml:space="preserve"> Section 73.211 prohibits power in excess of </w:t>
      </w:r>
      <w:r w:rsidR="00991246">
        <w:t>the listed value</w:t>
      </w:r>
      <w:r w:rsidRPr="00942D62">
        <w:t xml:space="preserve"> no matter what the antenna height.</w:t>
      </w:r>
    </w:p>
  </w:footnote>
  <w:footnote w:id="78">
    <w:p w:rsidR="007F0D97" w:rsidRDefault="007F0D97" w:rsidP="007F0D97">
      <w:pPr>
        <w:pStyle w:val="FootnoteText"/>
      </w:pPr>
      <w:r>
        <w:rPr>
          <w:rStyle w:val="FootnoteReference"/>
        </w:rPr>
        <w:footnoteRef/>
      </w:r>
      <w:r>
        <w:t xml:space="preserve"> 47 C.F.R. § 73.207.</w:t>
      </w:r>
    </w:p>
  </w:footnote>
  <w:footnote w:id="79">
    <w:p w:rsidR="007F0D97" w:rsidRPr="00942D62" w:rsidRDefault="007F0D97" w:rsidP="007F0D97">
      <w:pPr>
        <w:pStyle w:val="FootnoteText"/>
      </w:pPr>
      <w:r w:rsidRPr="00942D62">
        <w:rPr>
          <w:rStyle w:val="FootnoteReference"/>
        </w:rPr>
        <w:footnoteRef/>
      </w:r>
      <w:r w:rsidRPr="00942D62">
        <w:t xml:space="preserve">  LKCM’s engineering consultant </w:t>
      </w:r>
      <w:r w:rsidR="004C5792">
        <w:t>suggests</w:t>
      </w:r>
      <w:r w:rsidRPr="00942D62">
        <w:t xml:space="preserve"> that the desired-to-undesired (D/U) method would provide a more realistic assessment of interference.   </w:t>
      </w:r>
      <w:r w:rsidRPr="00EE25AF">
        <w:t>LKCM Further Response</w:t>
      </w:r>
      <w:r>
        <w:t xml:space="preserve">, Attachment C at 3.  We agree that </w:t>
      </w:r>
      <w:r w:rsidRPr="00942D62">
        <w:t>it could be instructive to compare the size and location of predicted interference predicted by the U/D method with KFWR</w:t>
      </w:r>
      <w:r>
        <w:t xml:space="preserve"> </w:t>
      </w:r>
      <w:r w:rsidRPr="00942D62">
        <w:t xml:space="preserve">operating at the 100 kW maximum specified in the station license vs. the 274.5 kW maximum </w:t>
      </w:r>
      <w:r>
        <w:t xml:space="preserve">with which </w:t>
      </w:r>
      <w:r w:rsidRPr="00942D62">
        <w:t xml:space="preserve">it is presently operating.  However, LKCM did not provide any such analysis.  </w:t>
      </w:r>
    </w:p>
  </w:footnote>
  <w:footnote w:id="80">
    <w:p w:rsidR="007F0D97" w:rsidRDefault="007F0D97" w:rsidP="007F0D97">
      <w:pPr>
        <w:pStyle w:val="FootnoteText"/>
      </w:pPr>
      <w:r>
        <w:rPr>
          <w:rStyle w:val="FootnoteReference"/>
        </w:rPr>
        <w:footnoteRef/>
      </w:r>
      <w:r>
        <w:t xml:space="preserve"> 47 C.F.R. §§ 73.207, 73.212.</w:t>
      </w:r>
    </w:p>
  </w:footnote>
  <w:footnote w:id="81">
    <w:p w:rsidR="0012091E" w:rsidRPr="00884E2A" w:rsidRDefault="0012091E" w:rsidP="0012091E">
      <w:pPr>
        <w:pStyle w:val="FootnoteText"/>
      </w:pPr>
      <w:r w:rsidRPr="00942D62">
        <w:rPr>
          <w:rStyle w:val="FootnoteReference"/>
        </w:rPr>
        <w:footnoteRef/>
      </w:r>
      <w:r w:rsidRPr="00942D62">
        <w:t xml:space="preserve"> Because the vertically polarized component, at 274.5 kW ERP, is larger than the horizontal, it is the vertically polarized component that is used here to derive the new TPO value.  We </w:t>
      </w:r>
      <w:r w:rsidR="00AE5EF7">
        <w:t>calculate</w:t>
      </w:r>
      <w:r w:rsidRPr="00942D62">
        <w:t xml:space="preserve"> that to achieve 100 kW ERP in the main lobe o</w:t>
      </w:r>
      <w:r w:rsidRPr="00884E2A">
        <w:t xml:space="preserve">f the antenna, the TPO </w:t>
      </w:r>
      <w:r w:rsidR="00DB31C5">
        <w:t>must</w:t>
      </w:r>
      <w:r w:rsidRPr="00884E2A">
        <w:t xml:space="preserve"> be reduced to 9.1 kW.  </w:t>
      </w:r>
    </w:p>
  </w:footnote>
  <w:footnote w:id="82">
    <w:p w:rsidR="00552635" w:rsidRDefault="00552635">
      <w:pPr>
        <w:pStyle w:val="FootnoteText"/>
      </w:pPr>
      <w:r>
        <w:rPr>
          <w:rStyle w:val="FootnoteReference"/>
        </w:rPr>
        <w:footnoteRef/>
      </w:r>
      <w:r>
        <w:t xml:space="preserve"> </w:t>
      </w:r>
      <w:r w:rsidRPr="00552635">
        <w:rPr>
          <w:i/>
        </w:rPr>
        <w:t>See</w:t>
      </w:r>
      <w:r>
        <w:t xml:space="preserve"> 47 C.F.R. §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94" w:rsidRDefault="004E7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42B0E">
      <w:t xml:space="preserve">DA </w:t>
    </w:r>
    <w:r w:rsidR="008B64A0" w:rsidRPr="008B64A0">
      <w:t>15-361</w:t>
    </w:r>
  </w:p>
  <w:p w:rsidR="00D25FB5" w:rsidRDefault="0071444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3DFC630" wp14:editId="1AC31D7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14443"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 xml:space="preserve">DA </w:t>
    </w:r>
    <w:r w:rsidR="008B64A0" w:rsidRPr="008B64A0">
      <w:rPr>
        <w:spacing w:val="-2"/>
      </w:rPr>
      <w:t>15-361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8820B5"/>
    <w:multiLevelType w:val="singleLevel"/>
    <w:tmpl w:val="0409000F"/>
    <w:lvl w:ilvl="0">
      <w:start w:val="1"/>
      <w:numFmt w:val="decimal"/>
      <w:lvlText w:val="%1."/>
      <w:lvlJc w:val="left"/>
      <w:pPr>
        <w:tabs>
          <w:tab w:val="num" w:pos="360"/>
        </w:tabs>
        <w:ind w:left="360" w:hanging="36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7"/>
    <w:lvlOverride w:ilvl="0">
      <w:startOverride w:val="1"/>
    </w:lvlOverride>
  </w:num>
  <w:num w:numId="9">
    <w:abstractNumId w:val="7"/>
  </w:num>
  <w:num w:numId="10">
    <w:abstractNumId w:val="7"/>
  </w:num>
  <w:num w:numId="11">
    <w:abstractNumId w:val="7"/>
    <w:lvlOverride w:ilvl="0">
      <w:startOverride w:val="1"/>
    </w:lvlOverride>
  </w:num>
  <w:num w:numId="12">
    <w:abstractNumId w:val="7"/>
  </w:num>
  <w:num w:numId="13">
    <w:abstractNumId w:val="7"/>
  </w:num>
  <w:num w:numId="14">
    <w:abstractNumId w:val="7"/>
    <w:lvlOverride w:ilvl="0">
      <w:startOverride w:val="1"/>
    </w:lvlOverride>
  </w:num>
  <w:num w:numId="15">
    <w:abstractNumId w:val="7"/>
  </w:num>
  <w:num w:numId="16">
    <w:abstractNumId w:val="7"/>
  </w:num>
  <w:num w:numId="17">
    <w:abstractNumId w:val="4"/>
  </w:num>
  <w:num w:numId="18">
    <w:abstractNumId w:val="7"/>
    <w:lvlOverride w:ilvl="0">
      <w:startOverride w:val="1"/>
    </w:lvlOverride>
  </w:num>
  <w:num w:numId="19">
    <w:abstractNumId w:val="7"/>
  </w:num>
  <w:num w:numId="20">
    <w:abstractNumId w:val="7"/>
    <w:lvlOverride w:ilvl="0">
      <w:startOverride w:val="1"/>
    </w:lvlOverride>
  </w:num>
  <w:num w:numId="21">
    <w:abstractNumId w:val="7"/>
  </w:num>
  <w:num w:numId="22">
    <w:abstractNumId w:val="7"/>
  </w:num>
  <w:num w:numId="23">
    <w:abstractNumId w:val="7"/>
    <w:lvlOverride w:ilvl="0">
      <w:startOverride w:val="1"/>
    </w:lvlOverride>
  </w:num>
  <w:num w:numId="24">
    <w:abstractNumId w:val="7"/>
  </w:num>
  <w:num w:numId="25">
    <w:abstractNumId w:val="7"/>
  </w:num>
  <w:num w:numId="26">
    <w:abstractNumId w:val="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43"/>
    <w:rsid w:val="00000079"/>
    <w:rsid w:val="00003DA2"/>
    <w:rsid w:val="00030127"/>
    <w:rsid w:val="0003053E"/>
    <w:rsid w:val="00036039"/>
    <w:rsid w:val="00037F90"/>
    <w:rsid w:val="00076C51"/>
    <w:rsid w:val="00081019"/>
    <w:rsid w:val="000875BF"/>
    <w:rsid w:val="00091039"/>
    <w:rsid w:val="00096D8C"/>
    <w:rsid w:val="000A32DB"/>
    <w:rsid w:val="000A6686"/>
    <w:rsid w:val="000C0B65"/>
    <w:rsid w:val="000C758C"/>
    <w:rsid w:val="000E05FE"/>
    <w:rsid w:val="000E3563"/>
    <w:rsid w:val="000E3D42"/>
    <w:rsid w:val="00110506"/>
    <w:rsid w:val="0012091E"/>
    <w:rsid w:val="00122079"/>
    <w:rsid w:val="00122BD5"/>
    <w:rsid w:val="00125435"/>
    <w:rsid w:val="00130883"/>
    <w:rsid w:val="00133F79"/>
    <w:rsid w:val="00142C36"/>
    <w:rsid w:val="00162BB3"/>
    <w:rsid w:val="00167ED1"/>
    <w:rsid w:val="001927CA"/>
    <w:rsid w:val="00194A66"/>
    <w:rsid w:val="00197B7E"/>
    <w:rsid w:val="001B4A64"/>
    <w:rsid w:val="001B7547"/>
    <w:rsid w:val="001D6BCF"/>
    <w:rsid w:val="001E01CA"/>
    <w:rsid w:val="001E2ED4"/>
    <w:rsid w:val="00202B24"/>
    <w:rsid w:val="00207859"/>
    <w:rsid w:val="002262A7"/>
    <w:rsid w:val="00242580"/>
    <w:rsid w:val="0025485C"/>
    <w:rsid w:val="00260281"/>
    <w:rsid w:val="00275CF5"/>
    <w:rsid w:val="0028301F"/>
    <w:rsid w:val="00285017"/>
    <w:rsid w:val="002A17F7"/>
    <w:rsid w:val="002A2D2E"/>
    <w:rsid w:val="002C00E8"/>
    <w:rsid w:val="002E4152"/>
    <w:rsid w:val="00302477"/>
    <w:rsid w:val="00313081"/>
    <w:rsid w:val="00343749"/>
    <w:rsid w:val="003576A8"/>
    <w:rsid w:val="003660ED"/>
    <w:rsid w:val="00374485"/>
    <w:rsid w:val="00377869"/>
    <w:rsid w:val="003937D3"/>
    <w:rsid w:val="00394B23"/>
    <w:rsid w:val="003B0550"/>
    <w:rsid w:val="003B33B2"/>
    <w:rsid w:val="003B694F"/>
    <w:rsid w:val="003E1D88"/>
    <w:rsid w:val="003E54E2"/>
    <w:rsid w:val="003F0C4C"/>
    <w:rsid w:val="003F171C"/>
    <w:rsid w:val="003F17E6"/>
    <w:rsid w:val="003F522E"/>
    <w:rsid w:val="00412FC5"/>
    <w:rsid w:val="00415797"/>
    <w:rsid w:val="00422276"/>
    <w:rsid w:val="004242F1"/>
    <w:rsid w:val="00445A00"/>
    <w:rsid w:val="00451B0F"/>
    <w:rsid w:val="004607E0"/>
    <w:rsid w:val="00495812"/>
    <w:rsid w:val="004A1124"/>
    <w:rsid w:val="004C2EE3"/>
    <w:rsid w:val="004C5792"/>
    <w:rsid w:val="004D38C6"/>
    <w:rsid w:val="004E4179"/>
    <w:rsid w:val="004E4A22"/>
    <w:rsid w:val="004E7A94"/>
    <w:rsid w:val="00503C39"/>
    <w:rsid w:val="00511968"/>
    <w:rsid w:val="00516F60"/>
    <w:rsid w:val="00527850"/>
    <w:rsid w:val="00552635"/>
    <w:rsid w:val="005530C8"/>
    <w:rsid w:val="0055614C"/>
    <w:rsid w:val="005858BC"/>
    <w:rsid w:val="0059218B"/>
    <w:rsid w:val="005B3B26"/>
    <w:rsid w:val="005C3364"/>
    <w:rsid w:val="005C63B9"/>
    <w:rsid w:val="005E14C2"/>
    <w:rsid w:val="006041BB"/>
    <w:rsid w:val="00607BA5"/>
    <w:rsid w:val="0061180A"/>
    <w:rsid w:val="00626EB6"/>
    <w:rsid w:val="006346F2"/>
    <w:rsid w:val="00655D03"/>
    <w:rsid w:val="006609C7"/>
    <w:rsid w:val="006669F1"/>
    <w:rsid w:val="00675A20"/>
    <w:rsid w:val="00683388"/>
    <w:rsid w:val="00683F84"/>
    <w:rsid w:val="006A6A81"/>
    <w:rsid w:val="006F4A15"/>
    <w:rsid w:val="006F7393"/>
    <w:rsid w:val="0070224F"/>
    <w:rsid w:val="007069BA"/>
    <w:rsid w:val="007115F7"/>
    <w:rsid w:val="00714443"/>
    <w:rsid w:val="00742B0E"/>
    <w:rsid w:val="00785689"/>
    <w:rsid w:val="0079754B"/>
    <w:rsid w:val="007A1E6D"/>
    <w:rsid w:val="007B0EB2"/>
    <w:rsid w:val="007E49F9"/>
    <w:rsid w:val="007F0D97"/>
    <w:rsid w:val="0080559C"/>
    <w:rsid w:val="00810B6F"/>
    <w:rsid w:val="00822CE0"/>
    <w:rsid w:val="00841AB1"/>
    <w:rsid w:val="00847AFD"/>
    <w:rsid w:val="00853641"/>
    <w:rsid w:val="008B64A0"/>
    <w:rsid w:val="008B655C"/>
    <w:rsid w:val="008B754D"/>
    <w:rsid w:val="008B7F4D"/>
    <w:rsid w:val="008C2B3B"/>
    <w:rsid w:val="008C68F1"/>
    <w:rsid w:val="008D635B"/>
    <w:rsid w:val="0090161A"/>
    <w:rsid w:val="00904725"/>
    <w:rsid w:val="00921803"/>
    <w:rsid w:val="00924646"/>
    <w:rsid w:val="00926503"/>
    <w:rsid w:val="00934682"/>
    <w:rsid w:val="009366E5"/>
    <w:rsid w:val="00950007"/>
    <w:rsid w:val="009726D8"/>
    <w:rsid w:val="00972881"/>
    <w:rsid w:val="00991246"/>
    <w:rsid w:val="009A6328"/>
    <w:rsid w:val="009C22B7"/>
    <w:rsid w:val="009D4C32"/>
    <w:rsid w:val="009E1093"/>
    <w:rsid w:val="009F0321"/>
    <w:rsid w:val="009F666C"/>
    <w:rsid w:val="009F76DB"/>
    <w:rsid w:val="00A0438C"/>
    <w:rsid w:val="00A10980"/>
    <w:rsid w:val="00A15AD7"/>
    <w:rsid w:val="00A22EC8"/>
    <w:rsid w:val="00A250A1"/>
    <w:rsid w:val="00A32C3B"/>
    <w:rsid w:val="00A37FFD"/>
    <w:rsid w:val="00A45F4F"/>
    <w:rsid w:val="00A46E30"/>
    <w:rsid w:val="00A600A9"/>
    <w:rsid w:val="00A742DD"/>
    <w:rsid w:val="00A95AD7"/>
    <w:rsid w:val="00A9797A"/>
    <w:rsid w:val="00AA55B7"/>
    <w:rsid w:val="00AA5B9E"/>
    <w:rsid w:val="00AB2407"/>
    <w:rsid w:val="00AB53DF"/>
    <w:rsid w:val="00AE5EF7"/>
    <w:rsid w:val="00B07E5C"/>
    <w:rsid w:val="00B23E9F"/>
    <w:rsid w:val="00B27E4F"/>
    <w:rsid w:val="00B47288"/>
    <w:rsid w:val="00B7275F"/>
    <w:rsid w:val="00B811F7"/>
    <w:rsid w:val="00B869DD"/>
    <w:rsid w:val="00B87871"/>
    <w:rsid w:val="00BA13AC"/>
    <w:rsid w:val="00BA1914"/>
    <w:rsid w:val="00BA5DC6"/>
    <w:rsid w:val="00BA6196"/>
    <w:rsid w:val="00BA69D3"/>
    <w:rsid w:val="00BC6D8C"/>
    <w:rsid w:val="00BD05D3"/>
    <w:rsid w:val="00BD619B"/>
    <w:rsid w:val="00BE5922"/>
    <w:rsid w:val="00C02DEB"/>
    <w:rsid w:val="00C05309"/>
    <w:rsid w:val="00C115F0"/>
    <w:rsid w:val="00C23EDB"/>
    <w:rsid w:val="00C276D9"/>
    <w:rsid w:val="00C34006"/>
    <w:rsid w:val="00C40AC7"/>
    <w:rsid w:val="00C426B1"/>
    <w:rsid w:val="00C46B06"/>
    <w:rsid w:val="00C66160"/>
    <w:rsid w:val="00C721AC"/>
    <w:rsid w:val="00C84DA4"/>
    <w:rsid w:val="00C90D6A"/>
    <w:rsid w:val="00C92E3A"/>
    <w:rsid w:val="00CA247E"/>
    <w:rsid w:val="00CB0E53"/>
    <w:rsid w:val="00CC72B6"/>
    <w:rsid w:val="00CD1DA9"/>
    <w:rsid w:val="00CE6E69"/>
    <w:rsid w:val="00D0218D"/>
    <w:rsid w:val="00D17BA5"/>
    <w:rsid w:val="00D25FB5"/>
    <w:rsid w:val="00D2638A"/>
    <w:rsid w:val="00D369EF"/>
    <w:rsid w:val="00D4064C"/>
    <w:rsid w:val="00D42DF4"/>
    <w:rsid w:val="00D44223"/>
    <w:rsid w:val="00D56034"/>
    <w:rsid w:val="00D8216A"/>
    <w:rsid w:val="00DA2529"/>
    <w:rsid w:val="00DA2B1D"/>
    <w:rsid w:val="00DA30A3"/>
    <w:rsid w:val="00DB06E0"/>
    <w:rsid w:val="00DB0EE5"/>
    <w:rsid w:val="00DB130A"/>
    <w:rsid w:val="00DB2EBB"/>
    <w:rsid w:val="00DB31C5"/>
    <w:rsid w:val="00DC10A1"/>
    <w:rsid w:val="00DC27E0"/>
    <w:rsid w:val="00DC655F"/>
    <w:rsid w:val="00DD0B59"/>
    <w:rsid w:val="00DD2EED"/>
    <w:rsid w:val="00DD7EBD"/>
    <w:rsid w:val="00DF62B6"/>
    <w:rsid w:val="00E07225"/>
    <w:rsid w:val="00E10F77"/>
    <w:rsid w:val="00E1734C"/>
    <w:rsid w:val="00E366BE"/>
    <w:rsid w:val="00E5409F"/>
    <w:rsid w:val="00E5423D"/>
    <w:rsid w:val="00E910D9"/>
    <w:rsid w:val="00EA1899"/>
    <w:rsid w:val="00EC03C1"/>
    <w:rsid w:val="00EE6488"/>
    <w:rsid w:val="00F021FA"/>
    <w:rsid w:val="00F61194"/>
    <w:rsid w:val="00F62E97"/>
    <w:rsid w:val="00F64209"/>
    <w:rsid w:val="00F82BA3"/>
    <w:rsid w:val="00F93BF5"/>
    <w:rsid w:val="00F95965"/>
    <w:rsid w:val="00FA1D6F"/>
    <w:rsid w:val="00FB2726"/>
    <w:rsid w:val="00FD5C07"/>
    <w:rsid w:val="00FF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EF"/>
    <w:pPr>
      <w:widowControl w:val="0"/>
    </w:pPr>
    <w:rPr>
      <w:snapToGrid w:val="0"/>
      <w:kern w:val="28"/>
      <w:sz w:val="22"/>
    </w:rPr>
  </w:style>
  <w:style w:type="paragraph" w:styleId="Heading1">
    <w:name w:val="heading 1"/>
    <w:basedOn w:val="Normal"/>
    <w:next w:val="ParaNum"/>
    <w:link w:val="Heading1Char"/>
    <w:qFormat/>
    <w:rsid w:val="00D369E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369EF"/>
    <w:pPr>
      <w:keepNext/>
      <w:numPr>
        <w:ilvl w:val="1"/>
        <w:numId w:val="3"/>
      </w:numPr>
      <w:spacing w:after="120"/>
      <w:outlineLvl w:val="1"/>
    </w:pPr>
    <w:rPr>
      <w:b/>
    </w:rPr>
  </w:style>
  <w:style w:type="paragraph" w:styleId="Heading3">
    <w:name w:val="heading 3"/>
    <w:basedOn w:val="Normal"/>
    <w:next w:val="ParaNum"/>
    <w:qFormat/>
    <w:rsid w:val="00D369EF"/>
    <w:pPr>
      <w:keepNext/>
      <w:numPr>
        <w:ilvl w:val="2"/>
        <w:numId w:val="3"/>
      </w:numPr>
      <w:tabs>
        <w:tab w:val="left" w:pos="2160"/>
      </w:tabs>
      <w:spacing w:after="120"/>
      <w:outlineLvl w:val="2"/>
    </w:pPr>
    <w:rPr>
      <w:b/>
    </w:rPr>
  </w:style>
  <w:style w:type="paragraph" w:styleId="Heading4">
    <w:name w:val="heading 4"/>
    <w:basedOn w:val="Normal"/>
    <w:next w:val="ParaNum"/>
    <w:qFormat/>
    <w:rsid w:val="00D369EF"/>
    <w:pPr>
      <w:keepNext/>
      <w:numPr>
        <w:ilvl w:val="3"/>
        <w:numId w:val="3"/>
      </w:numPr>
      <w:tabs>
        <w:tab w:val="left" w:pos="2880"/>
      </w:tabs>
      <w:spacing w:after="120"/>
      <w:outlineLvl w:val="3"/>
    </w:pPr>
    <w:rPr>
      <w:b/>
    </w:rPr>
  </w:style>
  <w:style w:type="paragraph" w:styleId="Heading5">
    <w:name w:val="heading 5"/>
    <w:basedOn w:val="Normal"/>
    <w:next w:val="ParaNum"/>
    <w:qFormat/>
    <w:rsid w:val="00D369E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369EF"/>
    <w:pPr>
      <w:numPr>
        <w:ilvl w:val="5"/>
        <w:numId w:val="3"/>
      </w:numPr>
      <w:tabs>
        <w:tab w:val="left" w:pos="4320"/>
      </w:tabs>
      <w:spacing w:after="120"/>
      <w:outlineLvl w:val="5"/>
    </w:pPr>
    <w:rPr>
      <w:b/>
    </w:rPr>
  </w:style>
  <w:style w:type="paragraph" w:styleId="Heading7">
    <w:name w:val="heading 7"/>
    <w:basedOn w:val="Normal"/>
    <w:next w:val="ParaNum"/>
    <w:qFormat/>
    <w:rsid w:val="00D369E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369E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369E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369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69EF"/>
  </w:style>
  <w:style w:type="paragraph" w:customStyle="1" w:styleId="ParaNum">
    <w:name w:val="ParaNum"/>
    <w:basedOn w:val="Normal"/>
    <w:rsid w:val="00D369EF"/>
    <w:pPr>
      <w:numPr>
        <w:numId w:val="2"/>
      </w:numPr>
      <w:tabs>
        <w:tab w:val="clear" w:pos="1080"/>
        <w:tab w:val="num" w:pos="1440"/>
      </w:tabs>
      <w:spacing w:after="120"/>
    </w:pPr>
  </w:style>
  <w:style w:type="paragraph" w:styleId="EndnoteText">
    <w:name w:val="endnote text"/>
    <w:basedOn w:val="Normal"/>
    <w:semiHidden/>
    <w:rsid w:val="00D369EF"/>
    <w:rPr>
      <w:sz w:val="20"/>
    </w:rPr>
  </w:style>
  <w:style w:type="character" w:styleId="EndnoteReference">
    <w:name w:val="endnote reference"/>
    <w:semiHidden/>
    <w:rsid w:val="00D369EF"/>
    <w:rPr>
      <w:vertAlign w:val="superscript"/>
    </w:rPr>
  </w:style>
  <w:style w:type="paragraph" w:styleId="FootnoteText">
    <w:name w:val="footnote text"/>
    <w:link w:val="FootnoteTextChar"/>
    <w:rsid w:val="00D369EF"/>
    <w:pPr>
      <w:spacing w:after="120"/>
    </w:pPr>
  </w:style>
  <w:style w:type="character" w:styleId="FootnoteReference">
    <w:name w:val="footnote reference"/>
    <w:rsid w:val="00D369EF"/>
    <w:rPr>
      <w:rFonts w:ascii="Times New Roman" w:hAnsi="Times New Roman"/>
      <w:dstrike w:val="0"/>
      <w:color w:val="auto"/>
      <w:sz w:val="20"/>
      <w:vertAlign w:val="superscript"/>
    </w:rPr>
  </w:style>
  <w:style w:type="paragraph" w:styleId="TOC1">
    <w:name w:val="toc 1"/>
    <w:basedOn w:val="Normal"/>
    <w:next w:val="Normal"/>
    <w:semiHidden/>
    <w:rsid w:val="00D369E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69EF"/>
    <w:pPr>
      <w:tabs>
        <w:tab w:val="left" w:pos="720"/>
        <w:tab w:val="right" w:leader="dot" w:pos="9360"/>
      </w:tabs>
      <w:suppressAutoHyphens/>
      <w:ind w:left="720" w:right="720" w:hanging="360"/>
    </w:pPr>
    <w:rPr>
      <w:noProof/>
    </w:rPr>
  </w:style>
  <w:style w:type="paragraph" w:styleId="TOC3">
    <w:name w:val="toc 3"/>
    <w:basedOn w:val="Normal"/>
    <w:next w:val="Normal"/>
    <w:semiHidden/>
    <w:rsid w:val="00D369E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69E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69E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69E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69E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69E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69E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69EF"/>
    <w:pPr>
      <w:tabs>
        <w:tab w:val="right" w:pos="9360"/>
      </w:tabs>
      <w:suppressAutoHyphens/>
    </w:pPr>
  </w:style>
  <w:style w:type="character" w:customStyle="1" w:styleId="EquationCaption">
    <w:name w:val="_Equation Caption"/>
    <w:rsid w:val="00D369EF"/>
  </w:style>
  <w:style w:type="paragraph" w:styleId="Header">
    <w:name w:val="header"/>
    <w:basedOn w:val="Normal"/>
    <w:autoRedefine/>
    <w:rsid w:val="00D369EF"/>
    <w:pPr>
      <w:tabs>
        <w:tab w:val="center" w:pos="4680"/>
        <w:tab w:val="right" w:pos="9360"/>
      </w:tabs>
    </w:pPr>
    <w:rPr>
      <w:b/>
    </w:rPr>
  </w:style>
  <w:style w:type="paragraph" w:styleId="Footer">
    <w:name w:val="footer"/>
    <w:basedOn w:val="Normal"/>
    <w:rsid w:val="00D369EF"/>
    <w:pPr>
      <w:tabs>
        <w:tab w:val="center" w:pos="4320"/>
        <w:tab w:val="right" w:pos="8640"/>
      </w:tabs>
    </w:pPr>
  </w:style>
  <w:style w:type="character" w:styleId="PageNumber">
    <w:name w:val="page number"/>
    <w:basedOn w:val="DefaultParagraphFont"/>
    <w:rsid w:val="00D369EF"/>
  </w:style>
  <w:style w:type="paragraph" w:styleId="BlockText">
    <w:name w:val="Block Text"/>
    <w:basedOn w:val="Normal"/>
    <w:rsid w:val="00D369EF"/>
    <w:pPr>
      <w:spacing w:after="240"/>
      <w:ind w:left="1440" w:right="1440"/>
    </w:pPr>
  </w:style>
  <w:style w:type="paragraph" w:customStyle="1" w:styleId="Paratitle">
    <w:name w:val="Para title"/>
    <w:basedOn w:val="Normal"/>
    <w:rsid w:val="00D369EF"/>
    <w:pPr>
      <w:tabs>
        <w:tab w:val="center" w:pos="9270"/>
      </w:tabs>
      <w:spacing w:after="240"/>
    </w:pPr>
    <w:rPr>
      <w:spacing w:val="-2"/>
    </w:rPr>
  </w:style>
  <w:style w:type="paragraph" w:customStyle="1" w:styleId="Bullet">
    <w:name w:val="Bullet"/>
    <w:basedOn w:val="Normal"/>
    <w:rsid w:val="00D369EF"/>
    <w:pPr>
      <w:tabs>
        <w:tab w:val="left" w:pos="2160"/>
      </w:tabs>
      <w:spacing w:after="220"/>
      <w:ind w:left="2160" w:hanging="720"/>
    </w:pPr>
  </w:style>
  <w:style w:type="paragraph" w:customStyle="1" w:styleId="TableFormat">
    <w:name w:val="TableFormat"/>
    <w:basedOn w:val="Bullet"/>
    <w:rsid w:val="00D369EF"/>
    <w:pPr>
      <w:tabs>
        <w:tab w:val="clear" w:pos="2160"/>
        <w:tab w:val="left" w:pos="5040"/>
      </w:tabs>
      <w:ind w:left="5040" w:hanging="3600"/>
    </w:pPr>
  </w:style>
  <w:style w:type="paragraph" w:customStyle="1" w:styleId="TOCTitle">
    <w:name w:val="TOC Title"/>
    <w:basedOn w:val="Normal"/>
    <w:rsid w:val="00D369E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69EF"/>
    <w:pPr>
      <w:jc w:val="center"/>
    </w:pPr>
    <w:rPr>
      <w:rFonts w:ascii="Times New Roman Bold" w:hAnsi="Times New Roman Bold"/>
      <w:b/>
      <w:bCs/>
      <w:caps/>
      <w:szCs w:val="22"/>
    </w:rPr>
  </w:style>
  <w:style w:type="character" w:styleId="Hyperlink">
    <w:name w:val="Hyperlink"/>
    <w:rsid w:val="00D369EF"/>
    <w:rPr>
      <w:color w:val="0000FF"/>
      <w:u w:val="single"/>
    </w:rPr>
  </w:style>
  <w:style w:type="character" w:customStyle="1" w:styleId="FootnoteTextChar">
    <w:name w:val="Footnote Text Char"/>
    <w:link w:val="FootnoteText"/>
    <w:rsid w:val="00527850"/>
  </w:style>
  <w:style w:type="paragraph" w:styleId="BodyText2">
    <w:name w:val="Body Text 2"/>
    <w:basedOn w:val="Normal"/>
    <w:link w:val="BodyText2Char"/>
    <w:rsid w:val="009A6328"/>
    <w:rPr>
      <w:kern w:val="0"/>
      <w:sz w:val="24"/>
    </w:rPr>
  </w:style>
  <w:style w:type="character" w:customStyle="1" w:styleId="BodyText2Char">
    <w:name w:val="Body Text 2 Char"/>
    <w:basedOn w:val="DefaultParagraphFont"/>
    <w:link w:val="BodyText2"/>
    <w:rsid w:val="009A6328"/>
    <w:rPr>
      <w:snapToGrid w:val="0"/>
      <w:sz w:val="24"/>
    </w:rPr>
  </w:style>
  <w:style w:type="character" w:customStyle="1" w:styleId="Heading1Char">
    <w:name w:val="Heading 1 Char"/>
    <w:basedOn w:val="DefaultParagraphFont"/>
    <w:link w:val="Heading1"/>
    <w:rsid w:val="00CD1DA9"/>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69EF"/>
    <w:pPr>
      <w:widowControl w:val="0"/>
    </w:pPr>
    <w:rPr>
      <w:snapToGrid w:val="0"/>
      <w:kern w:val="28"/>
      <w:sz w:val="22"/>
    </w:rPr>
  </w:style>
  <w:style w:type="paragraph" w:styleId="Heading1">
    <w:name w:val="heading 1"/>
    <w:basedOn w:val="Normal"/>
    <w:next w:val="ParaNum"/>
    <w:link w:val="Heading1Char"/>
    <w:qFormat/>
    <w:rsid w:val="00D369E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369EF"/>
    <w:pPr>
      <w:keepNext/>
      <w:numPr>
        <w:ilvl w:val="1"/>
        <w:numId w:val="3"/>
      </w:numPr>
      <w:spacing w:after="120"/>
      <w:outlineLvl w:val="1"/>
    </w:pPr>
    <w:rPr>
      <w:b/>
    </w:rPr>
  </w:style>
  <w:style w:type="paragraph" w:styleId="Heading3">
    <w:name w:val="heading 3"/>
    <w:basedOn w:val="Normal"/>
    <w:next w:val="ParaNum"/>
    <w:qFormat/>
    <w:rsid w:val="00D369EF"/>
    <w:pPr>
      <w:keepNext/>
      <w:numPr>
        <w:ilvl w:val="2"/>
        <w:numId w:val="3"/>
      </w:numPr>
      <w:tabs>
        <w:tab w:val="left" w:pos="2160"/>
      </w:tabs>
      <w:spacing w:after="120"/>
      <w:outlineLvl w:val="2"/>
    </w:pPr>
    <w:rPr>
      <w:b/>
    </w:rPr>
  </w:style>
  <w:style w:type="paragraph" w:styleId="Heading4">
    <w:name w:val="heading 4"/>
    <w:basedOn w:val="Normal"/>
    <w:next w:val="ParaNum"/>
    <w:qFormat/>
    <w:rsid w:val="00D369EF"/>
    <w:pPr>
      <w:keepNext/>
      <w:numPr>
        <w:ilvl w:val="3"/>
        <w:numId w:val="3"/>
      </w:numPr>
      <w:tabs>
        <w:tab w:val="left" w:pos="2880"/>
      </w:tabs>
      <w:spacing w:after="120"/>
      <w:outlineLvl w:val="3"/>
    </w:pPr>
    <w:rPr>
      <w:b/>
    </w:rPr>
  </w:style>
  <w:style w:type="paragraph" w:styleId="Heading5">
    <w:name w:val="heading 5"/>
    <w:basedOn w:val="Normal"/>
    <w:next w:val="ParaNum"/>
    <w:qFormat/>
    <w:rsid w:val="00D369E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369EF"/>
    <w:pPr>
      <w:numPr>
        <w:ilvl w:val="5"/>
        <w:numId w:val="3"/>
      </w:numPr>
      <w:tabs>
        <w:tab w:val="left" w:pos="4320"/>
      </w:tabs>
      <w:spacing w:after="120"/>
      <w:outlineLvl w:val="5"/>
    </w:pPr>
    <w:rPr>
      <w:b/>
    </w:rPr>
  </w:style>
  <w:style w:type="paragraph" w:styleId="Heading7">
    <w:name w:val="heading 7"/>
    <w:basedOn w:val="Normal"/>
    <w:next w:val="ParaNum"/>
    <w:qFormat/>
    <w:rsid w:val="00D369E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369E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369E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369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69EF"/>
  </w:style>
  <w:style w:type="paragraph" w:customStyle="1" w:styleId="ParaNum">
    <w:name w:val="ParaNum"/>
    <w:basedOn w:val="Normal"/>
    <w:rsid w:val="00D369EF"/>
    <w:pPr>
      <w:numPr>
        <w:numId w:val="2"/>
      </w:numPr>
      <w:tabs>
        <w:tab w:val="clear" w:pos="1080"/>
        <w:tab w:val="num" w:pos="1440"/>
      </w:tabs>
      <w:spacing w:after="120"/>
    </w:pPr>
  </w:style>
  <w:style w:type="paragraph" w:styleId="EndnoteText">
    <w:name w:val="endnote text"/>
    <w:basedOn w:val="Normal"/>
    <w:semiHidden/>
    <w:rsid w:val="00D369EF"/>
    <w:rPr>
      <w:sz w:val="20"/>
    </w:rPr>
  </w:style>
  <w:style w:type="character" w:styleId="EndnoteReference">
    <w:name w:val="endnote reference"/>
    <w:semiHidden/>
    <w:rsid w:val="00D369EF"/>
    <w:rPr>
      <w:vertAlign w:val="superscript"/>
    </w:rPr>
  </w:style>
  <w:style w:type="paragraph" w:styleId="FootnoteText">
    <w:name w:val="footnote text"/>
    <w:link w:val="FootnoteTextChar"/>
    <w:rsid w:val="00D369EF"/>
    <w:pPr>
      <w:spacing w:after="120"/>
    </w:pPr>
  </w:style>
  <w:style w:type="character" w:styleId="FootnoteReference">
    <w:name w:val="footnote reference"/>
    <w:rsid w:val="00D369EF"/>
    <w:rPr>
      <w:rFonts w:ascii="Times New Roman" w:hAnsi="Times New Roman"/>
      <w:dstrike w:val="0"/>
      <w:color w:val="auto"/>
      <w:sz w:val="20"/>
      <w:vertAlign w:val="superscript"/>
    </w:rPr>
  </w:style>
  <w:style w:type="paragraph" w:styleId="TOC1">
    <w:name w:val="toc 1"/>
    <w:basedOn w:val="Normal"/>
    <w:next w:val="Normal"/>
    <w:semiHidden/>
    <w:rsid w:val="00D369E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369EF"/>
    <w:pPr>
      <w:tabs>
        <w:tab w:val="left" w:pos="720"/>
        <w:tab w:val="right" w:leader="dot" w:pos="9360"/>
      </w:tabs>
      <w:suppressAutoHyphens/>
      <w:ind w:left="720" w:right="720" w:hanging="360"/>
    </w:pPr>
    <w:rPr>
      <w:noProof/>
    </w:rPr>
  </w:style>
  <w:style w:type="paragraph" w:styleId="TOC3">
    <w:name w:val="toc 3"/>
    <w:basedOn w:val="Normal"/>
    <w:next w:val="Normal"/>
    <w:semiHidden/>
    <w:rsid w:val="00D369E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369E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369E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369E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369E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369E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369E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369EF"/>
    <w:pPr>
      <w:tabs>
        <w:tab w:val="right" w:pos="9360"/>
      </w:tabs>
      <w:suppressAutoHyphens/>
    </w:pPr>
  </w:style>
  <w:style w:type="character" w:customStyle="1" w:styleId="EquationCaption">
    <w:name w:val="_Equation Caption"/>
    <w:rsid w:val="00D369EF"/>
  </w:style>
  <w:style w:type="paragraph" w:styleId="Header">
    <w:name w:val="header"/>
    <w:basedOn w:val="Normal"/>
    <w:autoRedefine/>
    <w:rsid w:val="00D369EF"/>
    <w:pPr>
      <w:tabs>
        <w:tab w:val="center" w:pos="4680"/>
        <w:tab w:val="right" w:pos="9360"/>
      </w:tabs>
    </w:pPr>
    <w:rPr>
      <w:b/>
    </w:rPr>
  </w:style>
  <w:style w:type="paragraph" w:styleId="Footer">
    <w:name w:val="footer"/>
    <w:basedOn w:val="Normal"/>
    <w:rsid w:val="00D369EF"/>
    <w:pPr>
      <w:tabs>
        <w:tab w:val="center" w:pos="4320"/>
        <w:tab w:val="right" w:pos="8640"/>
      </w:tabs>
    </w:pPr>
  </w:style>
  <w:style w:type="character" w:styleId="PageNumber">
    <w:name w:val="page number"/>
    <w:basedOn w:val="DefaultParagraphFont"/>
    <w:rsid w:val="00D369EF"/>
  </w:style>
  <w:style w:type="paragraph" w:styleId="BlockText">
    <w:name w:val="Block Text"/>
    <w:basedOn w:val="Normal"/>
    <w:rsid w:val="00D369EF"/>
    <w:pPr>
      <w:spacing w:after="240"/>
      <w:ind w:left="1440" w:right="1440"/>
    </w:pPr>
  </w:style>
  <w:style w:type="paragraph" w:customStyle="1" w:styleId="Paratitle">
    <w:name w:val="Para title"/>
    <w:basedOn w:val="Normal"/>
    <w:rsid w:val="00D369EF"/>
    <w:pPr>
      <w:tabs>
        <w:tab w:val="center" w:pos="9270"/>
      </w:tabs>
      <w:spacing w:after="240"/>
    </w:pPr>
    <w:rPr>
      <w:spacing w:val="-2"/>
    </w:rPr>
  </w:style>
  <w:style w:type="paragraph" w:customStyle="1" w:styleId="Bullet">
    <w:name w:val="Bullet"/>
    <w:basedOn w:val="Normal"/>
    <w:rsid w:val="00D369EF"/>
    <w:pPr>
      <w:tabs>
        <w:tab w:val="left" w:pos="2160"/>
      </w:tabs>
      <w:spacing w:after="220"/>
      <w:ind w:left="2160" w:hanging="720"/>
    </w:pPr>
  </w:style>
  <w:style w:type="paragraph" w:customStyle="1" w:styleId="TableFormat">
    <w:name w:val="TableFormat"/>
    <w:basedOn w:val="Bullet"/>
    <w:rsid w:val="00D369EF"/>
    <w:pPr>
      <w:tabs>
        <w:tab w:val="clear" w:pos="2160"/>
        <w:tab w:val="left" w:pos="5040"/>
      </w:tabs>
      <w:ind w:left="5040" w:hanging="3600"/>
    </w:pPr>
  </w:style>
  <w:style w:type="paragraph" w:customStyle="1" w:styleId="TOCTitle">
    <w:name w:val="TOC Title"/>
    <w:basedOn w:val="Normal"/>
    <w:rsid w:val="00D369E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369EF"/>
    <w:pPr>
      <w:jc w:val="center"/>
    </w:pPr>
    <w:rPr>
      <w:rFonts w:ascii="Times New Roman Bold" w:hAnsi="Times New Roman Bold"/>
      <w:b/>
      <w:bCs/>
      <w:caps/>
      <w:szCs w:val="22"/>
    </w:rPr>
  </w:style>
  <w:style w:type="character" w:styleId="Hyperlink">
    <w:name w:val="Hyperlink"/>
    <w:rsid w:val="00D369EF"/>
    <w:rPr>
      <w:color w:val="0000FF"/>
      <w:u w:val="single"/>
    </w:rPr>
  </w:style>
  <w:style w:type="character" w:customStyle="1" w:styleId="FootnoteTextChar">
    <w:name w:val="Footnote Text Char"/>
    <w:link w:val="FootnoteText"/>
    <w:rsid w:val="00527850"/>
  </w:style>
  <w:style w:type="paragraph" w:styleId="BodyText2">
    <w:name w:val="Body Text 2"/>
    <w:basedOn w:val="Normal"/>
    <w:link w:val="BodyText2Char"/>
    <w:rsid w:val="009A6328"/>
    <w:rPr>
      <w:kern w:val="0"/>
      <w:sz w:val="24"/>
    </w:rPr>
  </w:style>
  <w:style w:type="character" w:customStyle="1" w:styleId="BodyText2Char">
    <w:name w:val="Body Text 2 Char"/>
    <w:basedOn w:val="DefaultParagraphFont"/>
    <w:link w:val="BodyText2"/>
    <w:rsid w:val="009A6328"/>
    <w:rPr>
      <w:snapToGrid w:val="0"/>
      <w:sz w:val="24"/>
    </w:rPr>
  </w:style>
  <w:style w:type="character" w:customStyle="1" w:styleId="Heading1Char">
    <w:name w:val="Heading 1 Char"/>
    <w:basedOn w:val="DefaultParagraphFont"/>
    <w:link w:val="Heading1"/>
    <w:rsid w:val="00CD1DA9"/>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3992</Words>
  <Characters>21934</Characters>
  <Application>Microsoft Office Word</Application>
  <DocSecurity>0</DocSecurity>
  <Lines>315</Lines>
  <Paragraphs>57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26025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2015-03-23T12:43:00Z</dcterms:created>
  <dcterms:modified xsi:type="dcterms:W3CDTF">2015-03-23T12:43:00Z</dcterms:modified>
  <cp:category> </cp:category>
  <cp:contentStatus> </cp:contentStatus>
</cp:coreProperties>
</file>