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29" w:rsidRPr="004F5E23" w:rsidRDefault="00602929">
      <w:pPr>
        <w:jc w:val="center"/>
        <w:rPr>
          <w:b/>
          <w:szCs w:val="22"/>
        </w:rPr>
      </w:pPr>
      <w:bookmarkStart w:id="0" w:name="_GoBack"/>
      <w:bookmarkEnd w:id="0"/>
      <w:r w:rsidRPr="004F5E23">
        <w:rPr>
          <w:b/>
          <w:szCs w:val="22"/>
        </w:rPr>
        <w:t>Before the</w:t>
      </w:r>
    </w:p>
    <w:p w:rsidR="00602929" w:rsidRPr="004F5E23" w:rsidRDefault="00602929">
      <w:pPr>
        <w:jc w:val="center"/>
        <w:rPr>
          <w:b/>
          <w:szCs w:val="22"/>
        </w:rPr>
      </w:pPr>
      <w:r w:rsidRPr="004F5E23">
        <w:rPr>
          <w:b/>
          <w:szCs w:val="22"/>
        </w:rPr>
        <w:t>Federal Communications Commission</w:t>
      </w:r>
    </w:p>
    <w:p w:rsidR="00602929" w:rsidRPr="004F5E23" w:rsidRDefault="00602929">
      <w:pPr>
        <w:jc w:val="center"/>
        <w:rPr>
          <w:b/>
          <w:szCs w:val="22"/>
        </w:rPr>
      </w:pPr>
      <w:r w:rsidRPr="004F5E23">
        <w:rPr>
          <w:b/>
          <w:szCs w:val="22"/>
        </w:rPr>
        <w:t>Washington, D.C. 20554</w:t>
      </w:r>
    </w:p>
    <w:p w:rsidR="00602929" w:rsidRPr="004F5E23" w:rsidRDefault="00602929">
      <w:pPr>
        <w:rPr>
          <w:szCs w:val="22"/>
        </w:rPr>
      </w:pPr>
    </w:p>
    <w:tbl>
      <w:tblPr>
        <w:tblW w:w="9648" w:type="dxa"/>
        <w:tblLayout w:type="fixed"/>
        <w:tblLook w:val="0000" w:firstRow="0" w:lastRow="0" w:firstColumn="0" w:lastColumn="0" w:noHBand="0" w:noVBand="0"/>
      </w:tblPr>
      <w:tblGrid>
        <w:gridCol w:w="4698"/>
        <w:gridCol w:w="720"/>
        <w:gridCol w:w="4230"/>
      </w:tblGrid>
      <w:tr w:rsidR="009019AD" w:rsidRPr="004F5E23" w:rsidTr="009019AD">
        <w:tc>
          <w:tcPr>
            <w:tcW w:w="4698" w:type="dxa"/>
          </w:tcPr>
          <w:p w:rsidR="009019AD" w:rsidRPr="004F5E23" w:rsidRDefault="009019AD" w:rsidP="00841A36">
            <w:pPr>
              <w:ind w:right="-18"/>
              <w:rPr>
                <w:szCs w:val="22"/>
              </w:rPr>
            </w:pPr>
            <w:r w:rsidRPr="004F5E23">
              <w:rPr>
                <w:szCs w:val="22"/>
              </w:rPr>
              <w:t>In the Matter of</w:t>
            </w:r>
          </w:p>
          <w:p w:rsidR="009019AD" w:rsidRPr="004F5E23" w:rsidRDefault="009019AD" w:rsidP="00841A36">
            <w:pPr>
              <w:ind w:right="-18"/>
              <w:rPr>
                <w:szCs w:val="22"/>
              </w:rPr>
            </w:pPr>
          </w:p>
          <w:p w:rsidR="009019AD" w:rsidRPr="004F5E23" w:rsidRDefault="00DE0DDC" w:rsidP="00841A36">
            <w:pPr>
              <w:ind w:right="-18"/>
              <w:rPr>
                <w:szCs w:val="22"/>
              </w:rPr>
            </w:pPr>
            <w:r w:rsidRPr="004F5E23">
              <w:rPr>
                <w:szCs w:val="22"/>
              </w:rPr>
              <w:t>WARREN C. HAVENS</w:t>
            </w:r>
            <w:r w:rsidR="00CE1668">
              <w:rPr>
                <w:szCs w:val="22"/>
              </w:rPr>
              <w:t xml:space="preserve">                                         </w:t>
            </w:r>
          </w:p>
          <w:p w:rsidR="00DE0DDC" w:rsidRPr="004F5E23" w:rsidRDefault="00DE0DDC" w:rsidP="00841A36">
            <w:pPr>
              <w:ind w:right="-18"/>
              <w:rPr>
                <w:szCs w:val="22"/>
              </w:rPr>
            </w:pPr>
          </w:p>
          <w:p w:rsidR="00791C02" w:rsidRDefault="00791C02" w:rsidP="00DE0DDC">
            <w:pPr>
              <w:ind w:right="-18"/>
              <w:rPr>
                <w:szCs w:val="22"/>
              </w:rPr>
            </w:pPr>
            <w:r>
              <w:rPr>
                <w:szCs w:val="22"/>
              </w:rPr>
              <w:t>ENVIRONMENTAL LLC</w:t>
            </w:r>
          </w:p>
          <w:p w:rsidR="00791C02" w:rsidRDefault="00791C02" w:rsidP="00DE0DDC">
            <w:pPr>
              <w:ind w:right="-18"/>
              <w:rPr>
                <w:szCs w:val="22"/>
              </w:rPr>
            </w:pPr>
          </w:p>
          <w:p w:rsidR="009019AD" w:rsidRPr="004F5E23" w:rsidRDefault="00DE0DDC" w:rsidP="00DE0DDC">
            <w:pPr>
              <w:ind w:right="-18"/>
              <w:rPr>
                <w:szCs w:val="22"/>
              </w:rPr>
            </w:pPr>
            <w:r w:rsidRPr="004F5E23">
              <w:rPr>
                <w:szCs w:val="22"/>
              </w:rPr>
              <w:t>Petition for Reconsideration</w:t>
            </w:r>
          </w:p>
        </w:tc>
        <w:tc>
          <w:tcPr>
            <w:tcW w:w="720" w:type="dxa"/>
          </w:tcPr>
          <w:p w:rsidR="009019AD" w:rsidRPr="004F5E23" w:rsidRDefault="009019AD" w:rsidP="00841A36">
            <w:pPr>
              <w:rPr>
                <w:b/>
                <w:szCs w:val="22"/>
              </w:rPr>
            </w:pPr>
          </w:p>
          <w:p w:rsidR="009019AD" w:rsidRPr="004F5E23" w:rsidRDefault="009019AD" w:rsidP="00CE1668">
            <w:pPr>
              <w:spacing w:before="240"/>
              <w:rPr>
                <w:b/>
                <w:szCs w:val="22"/>
              </w:rPr>
            </w:pPr>
            <w:r w:rsidRPr="004F5E23">
              <w:rPr>
                <w:b/>
                <w:szCs w:val="22"/>
              </w:rPr>
              <w:t>)</w:t>
            </w:r>
          </w:p>
          <w:p w:rsidR="009019AD" w:rsidRPr="004F5E23" w:rsidRDefault="009019AD" w:rsidP="009019AD">
            <w:pPr>
              <w:rPr>
                <w:b/>
                <w:szCs w:val="22"/>
              </w:rPr>
            </w:pPr>
            <w:r w:rsidRPr="004F5E23">
              <w:rPr>
                <w:b/>
                <w:szCs w:val="22"/>
              </w:rPr>
              <w:t>)</w:t>
            </w:r>
          </w:p>
          <w:p w:rsidR="009019AD" w:rsidRDefault="00791C02" w:rsidP="00841A36">
            <w:pPr>
              <w:rPr>
                <w:b/>
                <w:szCs w:val="22"/>
              </w:rPr>
            </w:pPr>
            <w:r>
              <w:rPr>
                <w:b/>
                <w:szCs w:val="22"/>
              </w:rPr>
              <w:t>)</w:t>
            </w:r>
          </w:p>
          <w:p w:rsidR="00791C02" w:rsidRDefault="00791C02" w:rsidP="00841A36">
            <w:pPr>
              <w:rPr>
                <w:b/>
                <w:szCs w:val="22"/>
              </w:rPr>
            </w:pPr>
            <w:r>
              <w:rPr>
                <w:b/>
                <w:szCs w:val="22"/>
              </w:rPr>
              <w:t>)</w:t>
            </w:r>
          </w:p>
          <w:p w:rsidR="00791C02" w:rsidRPr="004F5E23" w:rsidRDefault="00791C02" w:rsidP="00841A36">
            <w:pPr>
              <w:rPr>
                <w:b/>
                <w:szCs w:val="22"/>
              </w:rPr>
            </w:pPr>
            <w:r>
              <w:rPr>
                <w:b/>
                <w:szCs w:val="22"/>
              </w:rPr>
              <w:t>)</w:t>
            </w:r>
          </w:p>
        </w:tc>
        <w:tc>
          <w:tcPr>
            <w:tcW w:w="4230" w:type="dxa"/>
          </w:tcPr>
          <w:p w:rsidR="009019AD" w:rsidRPr="004F5E23" w:rsidRDefault="009019AD" w:rsidP="00841A36">
            <w:pPr>
              <w:rPr>
                <w:szCs w:val="22"/>
                <w:lang w:val="es-ES"/>
              </w:rPr>
            </w:pPr>
          </w:p>
          <w:p w:rsidR="009019AD" w:rsidRPr="004F5E23" w:rsidRDefault="009019AD" w:rsidP="00841A36">
            <w:pPr>
              <w:rPr>
                <w:szCs w:val="22"/>
                <w:lang w:val="es-ES"/>
              </w:rPr>
            </w:pPr>
          </w:p>
          <w:p w:rsidR="009019AD" w:rsidRPr="004F5E23" w:rsidRDefault="009019AD" w:rsidP="00841A36">
            <w:pPr>
              <w:rPr>
                <w:spacing w:val="-2"/>
                <w:szCs w:val="22"/>
                <w:lang w:val="es-ES"/>
              </w:rPr>
            </w:pPr>
          </w:p>
          <w:p w:rsidR="00CE1668" w:rsidRPr="004F5E23" w:rsidRDefault="00CE1668" w:rsidP="00CE1668">
            <w:pPr>
              <w:rPr>
                <w:szCs w:val="22"/>
                <w:lang w:val="es-ES"/>
              </w:rPr>
            </w:pPr>
            <w:r w:rsidRPr="004F5E23">
              <w:rPr>
                <w:spacing w:val="-2"/>
                <w:szCs w:val="22"/>
                <w:lang w:val="es-ES"/>
              </w:rPr>
              <w:t>File No.0002168979</w:t>
            </w:r>
          </w:p>
          <w:p w:rsidR="00CE1668" w:rsidRPr="004F5E23" w:rsidRDefault="00CE1668" w:rsidP="00CE1668">
            <w:pPr>
              <w:rPr>
                <w:szCs w:val="22"/>
                <w:lang w:val="es-ES"/>
              </w:rPr>
            </w:pPr>
            <w:r w:rsidRPr="004F5E23">
              <w:rPr>
                <w:szCs w:val="22"/>
                <w:lang w:val="es-ES"/>
              </w:rPr>
              <w:t>Call  Sign: WHV287</w:t>
            </w:r>
          </w:p>
          <w:p w:rsidR="009019AD" w:rsidRPr="004F5E23" w:rsidRDefault="009019AD" w:rsidP="002F4450">
            <w:pPr>
              <w:rPr>
                <w:szCs w:val="22"/>
              </w:rPr>
            </w:pPr>
          </w:p>
        </w:tc>
      </w:tr>
    </w:tbl>
    <w:p w:rsidR="00602929" w:rsidRPr="004F5E23" w:rsidRDefault="00AD0F88">
      <w:pPr>
        <w:spacing w:before="120"/>
        <w:jc w:val="center"/>
        <w:rPr>
          <w:b/>
          <w:szCs w:val="22"/>
        </w:rPr>
      </w:pPr>
      <w:r w:rsidRPr="004F5E23">
        <w:rPr>
          <w:b/>
          <w:spacing w:val="-2"/>
          <w:szCs w:val="22"/>
        </w:rPr>
        <w:t>ORDER ON RECONSIDERATION</w:t>
      </w:r>
    </w:p>
    <w:p w:rsidR="00602929" w:rsidRPr="004F5E23" w:rsidRDefault="00602929">
      <w:pPr>
        <w:rPr>
          <w:szCs w:val="22"/>
        </w:rPr>
      </w:pPr>
    </w:p>
    <w:p w:rsidR="00602929" w:rsidRPr="004F5E23" w:rsidRDefault="00602929">
      <w:pPr>
        <w:tabs>
          <w:tab w:val="left" w:pos="5760"/>
        </w:tabs>
        <w:rPr>
          <w:b/>
          <w:szCs w:val="22"/>
        </w:rPr>
      </w:pPr>
      <w:r w:rsidRPr="004F5E23">
        <w:rPr>
          <w:b/>
          <w:szCs w:val="22"/>
        </w:rPr>
        <w:t xml:space="preserve">   Adopted:  </w:t>
      </w:r>
      <w:r w:rsidR="00FD4FC9">
        <w:rPr>
          <w:b/>
          <w:spacing w:val="-2"/>
          <w:szCs w:val="22"/>
        </w:rPr>
        <w:t>March 23, 2015</w:t>
      </w:r>
      <w:r w:rsidRPr="004F5E23">
        <w:rPr>
          <w:b/>
          <w:szCs w:val="22"/>
        </w:rPr>
        <w:tab/>
        <w:t xml:space="preserve">Released:  </w:t>
      </w:r>
      <w:r w:rsidR="00FD4FC9">
        <w:rPr>
          <w:b/>
          <w:spacing w:val="-2"/>
          <w:szCs w:val="22"/>
        </w:rPr>
        <w:t>March 23, 2015</w:t>
      </w:r>
    </w:p>
    <w:p w:rsidR="00602929" w:rsidRPr="004F5E23" w:rsidRDefault="00602929">
      <w:pPr>
        <w:tabs>
          <w:tab w:val="left" w:pos="5760"/>
        </w:tabs>
        <w:rPr>
          <w:b/>
          <w:szCs w:val="22"/>
        </w:rPr>
      </w:pPr>
    </w:p>
    <w:p w:rsidR="00602929" w:rsidRPr="004F5E23" w:rsidRDefault="00602929">
      <w:pPr>
        <w:tabs>
          <w:tab w:val="left" w:pos="5760"/>
        </w:tabs>
        <w:rPr>
          <w:szCs w:val="22"/>
        </w:rPr>
      </w:pPr>
      <w:r w:rsidRPr="004F5E23">
        <w:rPr>
          <w:szCs w:val="22"/>
        </w:rPr>
        <w:t xml:space="preserve">By the </w:t>
      </w:r>
      <w:r w:rsidR="009019AD" w:rsidRPr="004F5E23">
        <w:rPr>
          <w:spacing w:val="-2"/>
          <w:szCs w:val="22"/>
        </w:rPr>
        <w:t xml:space="preserve">Chief, </w:t>
      </w:r>
      <w:r w:rsidR="00DE0DDC" w:rsidRPr="004F5E23">
        <w:rPr>
          <w:spacing w:val="-2"/>
          <w:szCs w:val="22"/>
        </w:rPr>
        <w:t xml:space="preserve">Mobility Division, </w:t>
      </w:r>
      <w:r w:rsidR="009019AD" w:rsidRPr="004F5E23">
        <w:rPr>
          <w:spacing w:val="-2"/>
          <w:szCs w:val="22"/>
        </w:rPr>
        <w:t>Wireless Telecommunications Bureau</w:t>
      </w:r>
      <w:r w:rsidR="00D87837" w:rsidRPr="004F5E23">
        <w:rPr>
          <w:spacing w:val="-2"/>
          <w:szCs w:val="22"/>
        </w:rPr>
        <w:t>:</w:t>
      </w:r>
    </w:p>
    <w:p w:rsidR="00BD5FA9" w:rsidRPr="004F5E23" w:rsidRDefault="00BD5FA9" w:rsidP="00667434">
      <w:pPr>
        <w:rPr>
          <w:szCs w:val="22"/>
        </w:rPr>
      </w:pPr>
      <w:r w:rsidRPr="004F5E23">
        <w:rPr>
          <w:szCs w:val="22"/>
        </w:rPr>
        <w:tab/>
      </w:r>
    </w:p>
    <w:p w:rsidR="00791C02" w:rsidRPr="00872173" w:rsidRDefault="00674260" w:rsidP="00674260">
      <w:pPr>
        <w:pStyle w:val="ParaNum"/>
      </w:pPr>
      <w:r w:rsidRPr="00674260">
        <w:rPr>
          <w:szCs w:val="22"/>
        </w:rPr>
        <w:t xml:space="preserve">By this </w:t>
      </w:r>
      <w:r>
        <w:rPr>
          <w:szCs w:val="22"/>
        </w:rPr>
        <w:t>action,</w:t>
      </w:r>
      <w:r w:rsidRPr="00674260">
        <w:rPr>
          <w:szCs w:val="22"/>
        </w:rPr>
        <w:t xml:space="preserve"> we affirm for the second time our decision to deny a fourth construction extension to </w:t>
      </w:r>
      <w:r w:rsidRPr="00791C02">
        <w:t xml:space="preserve">Warren Havens (Havens) </w:t>
      </w:r>
      <w:r>
        <w:t xml:space="preserve">for an </w:t>
      </w:r>
      <w:r w:rsidRPr="00674260">
        <w:t>Automated Maritime Telecommunications System (AMTS)</w:t>
      </w:r>
      <w:r>
        <w:t xml:space="preserve"> license under call sign WHV287. </w:t>
      </w:r>
      <w:r w:rsidRPr="00674260">
        <w:t xml:space="preserve"> </w:t>
      </w:r>
      <w:r>
        <w:t xml:space="preserve">Specifically, </w:t>
      </w:r>
      <w:r w:rsidR="00BB681C">
        <w:t>we address a p</w:t>
      </w:r>
      <w:r w:rsidR="00BB681C" w:rsidRPr="00791C02">
        <w:t>etition</w:t>
      </w:r>
      <w:r w:rsidR="00BB681C" w:rsidRPr="004F5E23">
        <w:rPr>
          <w:rStyle w:val="FootnoteReference"/>
          <w:sz w:val="22"/>
          <w:szCs w:val="22"/>
        </w:rPr>
        <w:footnoteReference w:id="2"/>
      </w:r>
      <w:r w:rsidR="00BB681C" w:rsidRPr="00791C02">
        <w:t xml:space="preserve"> </w:t>
      </w:r>
      <w:r w:rsidR="00BB681C">
        <w:t xml:space="preserve">filed by </w:t>
      </w:r>
      <w:r>
        <w:t>Havens</w:t>
      </w:r>
      <w:r w:rsidR="00667434" w:rsidRPr="00791C02">
        <w:t xml:space="preserve"> </w:t>
      </w:r>
      <w:r w:rsidR="00007A9F" w:rsidRPr="00791C02">
        <w:t>and Environmental LLC (Environmental)</w:t>
      </w:r>
      <w:r w:rsidR="002F4450" w:rsidRPr="004F5E23">
        <w:rPr>
          <w:rStyle w:val="FootnoteReference"/>
          <w:sz w:val="22"/>
          <w:szCs w:val="22"/>
        </w:rPr>
        <w:footnoteReference w:id="3"/>
      </w:r>
      <w:r w:rsidR="00007A9F" w:rsidRPr="00791C02">
        <w:t xml:space="preserve"> (collectively, Petitioners) seek</w:t>
      </w:r>
      <w:r>
        <w:t>ing</w:t>
      </w:r>
      <w:r w:rsidR="000477BE" w:rsidRPr="00791C02">
        <w:t>,</w:t>
      </w:r>
      <w:r w:rsidR="000477BE" w:rsidRPr="007B67DA">
        <w:rPr>
          <w:i/>
        </w:rPr>
        <w:t xml:space="preserve"> </w:t>
      </w:r>
      <w:r w:rsidR="007B67DA" w:rsidRPr="007B67DA">
        <w:rPr>
          <w:i/>
        </w:rPr>
        <w:t>inter alia</w:t>
      </w:r>
      <w:r w:rsidR="007B67DA">
        <w:t xml:space="preserve">, </w:t>
      </w:r>
      <w:r w:rsidR="00007A9F" w:rsidRPr="00791C02">
        <w:t xml:space="preserve">reconsideration of our </w:t>
      </w:r>
      <w:r w:rsidR="00007A9F" w:rsidRPr="00791C02">
        <w:rPr>
          <w:i/>
        </w:rPr>
        <w:t>2012 Orde</w:t>
      </w:r>
      <w:r w:rsidR="009C7517" w:rsidRPr="00791C02">
        <w:rPr>
          <w:i/>
        </w:rPr>
        <w:t>r.</w:t>
      </w:r>
      <w:r w:rsidR="002F4450" w:rsidRPr="00EA2016">
        <w:rPr>
          <w:rStyle w:val="FootnoteReference"/>
          <w:sz w:val="22"/>
          <w:szCs w:val="22"/>
        </w:rPr>
        <w:footnoteReference w:id="4"/>
      </w:r>
      <w:r w:rsidR="002F4450" w:rsidRPr="0046284C">
        <w:t xml:space="preserve"> </w:t>
      </w:r>
      <w:r w:rsidR="00007A9F" w:rsidRPr="00791C02">
        <w:t xml:space="preserve"> </w:t>
      </w:r>
      <w:r w:rsidR="0051227B" w:rsidRPr="00791C02">
        <w:t>In response to Havens’ 2007 Petition,</w:t>
      </w:r>
      <w:r w:rsidR="0051227B" w:rsidRPr="004F5E23">
        <w:rPr>
          <w:rStyle w:val="FootnoteReference"/>
          <w:sz w:val="22"/>
          <w:szCs w:val="22"/>
        </w:rPr>
        <w:footnoteReference w:id="5"/>
      </w:r>
      <w:r w:rsidR="0051227B" w:rsidRPr="00791C02">
        <w:t xml:space="preserve"> the</w:t>
      </w:r>
      <w:r w:rsidR="009C7517" w:rsidRPr="00791C02">
        <w:t xml:space="preserve"> </w:t>
      </w:r>
      <w:r w:rsidR="002F4450" w:rsidRPr="00791C02">
        <w:rPr>
          <w:i/>
        </w:rPr>
        <w:t xml:space="preserve">2012 </w:t>
      </w:r>
      <w:r w:rsidR="00B872EE" w:rsidRPr="00791C02">
        <w:rPr>
          <w:i/>
        </w:rPr>
        <w:t>Order</w:t>
      </w:r>
      <w:r w:rsidR="00B872EE" w:rsidRPr="00791C02">
        <w:t xml:space="preserve"> affirmed</w:t>
      </w:r>
      <w:r w:rsidR="00A82951" w:rsidRPr="00791C02">
        <w:t xml:space="preserve"> </w:t>
      </w:r>
      <w:r w:rsidR="00250115">
        <w:t xml:space="preserve">our </w:t>
      </w:r>
      <w:r w:rsidR="00634FAC">
        <w:t>2007</w:t>
      </w:r>
      <w:r w:rsidR="00A82951" w:rsidRPr="00791C02">
        <w:t xml:space="preserve"> dismissal of </w:t>
      </w:r>
      <w:r w:rsidR="000477BE" w:rsidRPr="00791C02">
        <w:t xml:space="preserve">his </w:t>
      </w:r>
      <w:r w:rsidR="00A82951" w:rsidRPr="00791C02">
        <w:t>application for renewal</w:t>
      </w:r>
      <w:r w:rsidR="00471B35">
        <w:t xml:space="preserve"> and denial of a fourth extension request</w:t>
      </w:r>
      <w:r w:rsidR="00A82951" w:rsidRPr="00791C02">
        <w:t xml:space="preserve"> </w:t>
      </w:r>
      <w:r w:rsidR="00471B35">
        <w:t>for</w:t>
      </w:r>
      <w:r w:rsidR="00A82951" w:rsidRPr="00791C02">
        <w:t xml:space="preserve"> </w:t>
      </w:r>
      <w:r w:rsidR="00CF1A35" w:rsidRPr="00791C02">
        <w:t xml:space="preserve">the above </w:t>
      </w:r>
      <w:r w:rsidR="00A82951" w:rsidRPr="00791C02">
        <w:t>license in the AMTS service</w:t>
      </w:r>
      <w:r w:rsidR="00791C02" w:rsidRPr="00791C02">
        <w:t xml:space="preserve"> </w:t>
      </w:r>
      <w:r w:rsidR="00A82951" w:rsidRPr="00791C02">
        <w:t xml:space="preserve">and </w:t>
      </w:r>
      <w:r w:rsidR="007B67DA">
        <w:t xml:space="preserve">the </w:t>
      </w:r>
      <w:r w:rsidR="00730B68">
        <w:t xml:space="preserve">related </w:t>
      </w:r>
      <w:r w:rsidR="00A82951" w:rsidRPr="00791C02">
        <w:t xml:space="preserve">termination of </w:t>
      </w:r>
      <w:r w:rsidR="00CF1A35" w:rsidRPr="00791C02">
        <w:t xml:space="preserve">that </w:t>
      </w:r>
      <w:r w:rsidR="00A82951" w:rsidRPr="00791C02">
        <w:t>license.</w:t>
      </w:r>
      <w:r w:rsidR="00A82951" w:rsidRPr="004F5E23">
        <w:rPr>
          <w:rStyle w:val="FootnoteReference"/>
          <w:sz w:val="22"/>
          <w:szCs w:val="22"/>
        </w:rPr>
        <w:footnoteReference w:id="6"/>
      </w:r>
      <w:r w:rsidR="00CF1A35" w:rsidRPr="00791C02">
        <w:t xml:space="preserve"> </w:t>
      </w:r>
      <w:r w:rsidR="00634FAC">
        <w:t xml:space="preserve"> </w:t>
      </w:r>
      <w:r w:rsidR="00791C02" w:rsidRPr="00791C02">
        <w:t xml:space="preserve">The 2012 Petition </w:t>
      </w:r>
      <w:r w:rsidR="00791C02">
        <w:t xml:space="preserve">asks that we </w:t>
      </w:r>
      <w:r w:rsidR="00B872EE">
        <w:t>hold that application</w:t>
      </w:r>
      <w:r w:rsidR="00791C02">
        <w:t xml:space="preserve"> in </w:t>
      </w:r>
      <w:r w:rsidR="00B872EE">
        <w:t>abeyance pending</w:t>
      </w:r>
      <w:r w:rsidR="00791C02">
        <w:t xml:space="preserve"> the outcome </w:t>
      </w:r>
      <w:r w:rsidR="00B872EE">
        <w:t>of certain</w:t>
      </w:r>
      <w:r w:rsidR="00791C02">
        <w:t xml:space="preserve"> proceedings</w:t>
      </w:r>
      <w:r w:rsidR="00791C02">
        <w:rPr>
          <w:rStyle w:val="FootnoteReference"/>
        </w:rPr>
        <w:footnoteReference w:id="7"/>
      </w:r>
      <w:r w:rsidR="00791C02">
        <w:t xml:space="preserve"> and </w:t>
      </w:r>
      <w:r w:rsidR="00250115">
        <w:t xml:space="preserve">the </w:t>
      </w:r>
      <w:r w:rsidR="00791C02">
        <w:t xml:space="preserve">issuance </w:t>
      </w:r>
      <w:r w:rsidR="00250115">
        <w:t xml:space="preserve">of </w:t>
      </w:r>
      <w:r w:rsidR="00791C02">
        <w:t>rulings under Sections 1.2</w:t>
      </w:r>
      <w:r w:rsidR="00872173">
        <w:rPr>
          <w:rStyle w:val="FootnoteReference"/>
        </w:rPr>
        <w:footnoteReference w:id="8"/>
      </w:r>
      <w:r w:rsidR="00791C02">
        <w:t xml:space="preserve"> or 1.4</w:t>
      </w:r>
      <w:r w:rsidR="00250115">
        <w:t>1</w:t>
      </w:r>
      <w:r w:rsidR="00872173">
        <w:rPr>
          <w:rStyle w:val="FootnoteReference"/>
        </w:rPr>
        <w:footnoteReference w:id="9"/>
      </w:r>
      <w:r w:rsidR="00250115">
        <w:t xml:space="preserve"> </w:t>
      </w:r>
      <w:r w:rsidR="00791C02">
        <w:t>of our Rules.</w:t>
      </w:r>
      <w:r w:rsidR="00791C02">
        <w:rPr>
          <w:rStyle w:val="FootnoteReference"/>
        </w:rPr>
        <w:footnoteReference w:id="10"/>
      </w:r>
      <w:r w:rsidR="00791C02">
        <w:t xml:space="preserve"> </w:t>
      </w:r>
      <w:r w:rsidR="00BB681C">
        <w:t xml:space="preserve"> </w:t>
      </w:r>
      <w:r w:rsidR="00791C02">
        <w:lastRenderedPageBreak/>
        <w:t>For the reasons b</w:t>
      </w:r>
      <w:r w:rsidR="00634FAC">
        <w:t xml:space="preserve">elow, we deny </w:t>
      </w:r>
      <w:r w:rsidR="00B067C0">
        <w:t xml:space="preserve">that </w:t>
      </w:r>
      <w:r w:rsidR="00634FAC">
        <w:t>Petition and the other requests for relief</w:t>
      </w:r>
      <w:r w:rsidR="00250115">
        <w:t>.</w:t>
      </w:r>
      <w:r w:rsidR="00634FAC">
        <w:t xml:space="preserve">  </w:t>
      </w:r>
    </w:p>
    <w:p w:rsidR="00182338" w:rsidRPr="00B067C0" w:rsidRDefault="003E7A14" w:rsidP="00B067C0">
      <w:pPr>
        <w:pStyle w:val="ParaNum"/>
        <w:rPr>
          <w:szCs w:val="22"/>
        </w:rPr>
      </w:pPr>
      <w:r w:rsidRPr="00B067C0">
        <w:rPr>
          <w:i/>
          <w:szCs w:val="22"/>
        </w:rPr>
        <w:t>Background</w:t>
      </w:r>
      <w:r w:rsidR="005B1989" w:rsidRPr="00B067C0">
        <w:rPr>
          <w:szCs w:val="22"/>
        </w:rPr>
        <w:t>.</w:t>
      </w:r>
      <w:r w:rsidR="00342A8B">
        <w:rPr>
          <w:szCs w:val="22"/>
        </w:rPr>
        <w:t xml:space="preserve">  </w:t>
      </w:r>
      <w:r w:rsidR="00182338" w:rsidRPr="00B067C0">
        <w:rPr>
          <w:snapToGrid/>
          <w:kern w:val="0"/>
          <w:szCs w:val="22"/>
        </w:rPr>
        <w:t>On July 12, 2000, Havens was granted a license for Station WHV287, which authorized operation on AMTS Channel Block A at four locations in Arizona.  Site-based AMTS stations were required to be constructed and placed into operation within two years of the license grant.</w:t>
      </w:r>
      <w:r w:rsidR="00182338" w:rsidRPr="00A71393">
        <w:rPr>
          <w:snapToGrid/>
          <w:kern w:val="0"/>
          <w:vertAlign w:val="superscript"/>
        </w:rPr>
        <w:footnoteReference w:id="11"/>
      </w:r>
      <w:r w:rsidR="00182338" w:rsidRPr="00B067C0">
        <w:rPr>
          <w:snapToGrid/>
          <w:kern w:val="0"/>
          <w:szCs w:val="22"/>
        </w:rPr>
        <w:t xml:space="preserve">  On April 1, 2002, Havens requested an extension of the construction period on the grounds that superior AMTS equipment was being developed and would soon be available.</w:t>
      </w:r>
      <w:r w:rsidR="00182338" w:rsidRPr="00A71393">
        <w:rPr>
          <w:snapToGrid/>
          <w:kern w:val="0"/>
          <w:vertAlign w:val="superscript"/>
        </w:rPr>
        <w:footnoteReference w:id="12"/>
      </w:r>
      <w:r w:rsidR="00182338" w:rsidRPr="00B067C0">
        <w:rPr>
          <w:snapToGrid/>
          <w:kern w:val="0"/>
          <w:szCs w:val="22"/>
        </w:rPr>
        <w:t xml:space="preserve">  The Bureau’s Public Safety and Private Wireless Division (PSPWD) granted the extension request and extended the construction deadline to July 12, 2003.</w:t>
      </w:r>
      <w:r w:rsidR="00182338" w:rsidRPr="00A71393">
        <w:rPr>
          <w:snapToGrid/>
          <w:kern w:val="0"/>
          <w:vertAlign w:val="superscript"/>
        </w:rPr>
        <w:footnoteReference w:id="13"/>
      </w:r>
      <w:r w:rsidR="00182338" w:rsidRPr="00B067C0">
        <w:rPr>
          <w:snapToGrid/>
          <w:kern w:val="0"/>
          <w:szCs w:val="22"/>
        </w:rPr>
        <w:t xml:space="preserve">  On April 7, 2003, Havens requested another extension on the grounds that development of the anticipated equipment had been delayed, but Havens was pursuing other equipment.</w:t>
      </w:r>
      <w:r w:rsidR="00182338" w:rsidRPr="00A71393">
        <w:rPr>
          <w:snapToGrid/>
          <w:kern w:val="0"/>
          <w:vertAlign w:val="superscript"/>
        </w:rPr>
        <w:footnoteReference w:id="14"/>
      </w:r>
      <w:r w:rsidR="00182338" w:rsidRPr="00B067C0">
        <w:rPr>
          <w:snapToGrid/>
          <w:kern w:val="0"/>
          <w:szCs w:val="22"/>
        </w:rPr>
        <w:t xml:space="preserve">  PSPWD granted the second extension request and extended the construction deadline to July 12, 2005.</w:t>
      </w:r>
      <w:r w:rsidR="00182338" w:rsidRPr="00A71393">
        <w:rPr>
          <w:snapToGrid/>
          <w:kern w:val="0"/>
          <w:vertAlign w:val="superscript"/>
        </w:rPr>
        <w:footnoteReference w:id="15"/>
      </w:r>
    </w:p>
    <w:p w:rsidR="00182338" w:rsidRDefault="00182338" w:rsidP="00182338">
      <w:pPr>
        <w:pStyle w:val="ParaNum"/>
        <w:tabs>
          <w:tab w:val="left" w:pos="1440"/>
        </w:tabs>
        <w:spacing w:after="220"/>
        <w:rPr>
          <w:snapToGrid/>
          <w:kern w:val="0"/>
          <w:szCs w:val="22"/>
        </w:rPr>
      </w:pPr>
      <w:r w:rsidRPr="00A71393">
        <w:rPr>
          <w:snapToGrid/>
          <w:kern w:val="0"/>
          <w:szCs w:val="22"/>
        </w:rPr>
        <w:t xml:space="preserve">In 2002, the Commission adopted a geographic </w:t>
      </w:r>
      <w:r w:rsidR="0020790E">
        <w:rPr>
          <w:snapToGrid/>
          <w:kern w:val="0"/>
          <w:szCs w:val="22"/>
        </w:rPr>
        <w:t xml:space="preserve">area </w:t>
      </w:r>
      <w:r w:rsidRPr="00A71393">
        <w:rPr>
          <w:snapToGrid/>
          <w:kern w:val="0"/>
          <w:szCs w:val="22"/>
        </w:rPr>
        <w:t>licensing approach for AMTS stations, but incumbent site-based stations continued to be authorized under the terms of their existing licenses.</w:t>
      </w:r>
      <w:r w:rsidRPr="00A71393">
        <w:rPr>
          <w:snapToGrid/>
          <w:kern w:val="0"/>
          <w:szCs w:val="22"/>
          <w:vertAlign w:val="superscript"/>
        </w:rPr>
        <w:footnoteReference w:id="16"/>
      </w:r>
      <w:r w:rsidRPr="00A71393">
        <w:rPr>
          <w:snapToGrid/>
          <w:kern w:val="0"/>
          <w:szCs w:val="22"/>
        </w:rPr>
        <w:t xml:space="preserve">  In </w:t>
      </w:r>
      <w:r w:rsidR="0020790E">
        <w:rPr>
          <w:snapToGrid/>
          <w:kern w:val="0"/>
          <w:szCs w:val="22"/>
        </w:rPr>
        <w:t xml:space="preserve">a later </w:t>
      </w:r>
      <w:r w:rsidRPr="00A71393">
        <w:rPr>
          <w:snapToGrid/>
          <w:kern w:val="0"/>
          <w:szCs w:val="22"/>
        </w:rPr>
        <w:t xml:space="preserve">auction, ACL (which Havens controls) obtained the AMTS Block B </w:t>
      </w:r>
      <w:r w:rsidR="00416897" w:rsidRPr="00A71393">
        <w:rPr>
          <w:snapToGrid/>
          <w:kern w:val="0"/>
          <w:szCs w:val="22"/>
        </w:rPr>
        <w:t>license</w:t>
      </w:r>
      <w:r w:rsidRPr="00A71393">
        <w:rPr>
          <w:snapToGrid/>
          <w:kern w:val="0"/>
          <w:szCs w:val="22"/>
        </w:rPr>
        <w:t xml:space="preserve"> for the</w:t>
      </w:r>
      <w:r w:rsidR="00660F14">
        <w:rPr>
          <w:snapToGrid/>
          <w:kern w:val="0"/>
          <w:szCs w:val="22"/>
        </w:rPr>
        <w:t xml:space="preserve"> </w:t>
      </w:r>
      <w:r w:rsidR="00960E68">
        <w:rPr>
          <w:snapToGrid/>
          <w:kern w:val="0"/>
          <w:szCs w:val="22"/>
        </w:rPr>
        <w:t xml:space="preserve">same </w:t>
      </w:r>
      <w:r w:rsidR="00960E68" w:rsidRPr="00A71393">
        <w:rPr>
          <w:snapToGrid/>
          <w:kern w:val="0"/>
          <w:szCs w:val="22"/>
        </w:rPr>
        <w:t>geographic</w:t>
      </w:r>
      <w:r w:rsidR="00960E68">
        <w:rPr>
          <w:snapToGrid/>
          <w:kern w:val="0"/>
          <w:szCs w:val="22"/>
        </w:rPr>
        <w:t xml:space="preserve"> area </w:t>
      </w:r>
      <w:r w:rsidR="0020790E">
        <w:rPr>
          <w:snapToGrid/>
          <w:kern w:val="0"/>
          <w:szCs w:val="22"/>
        </w:rPr>
        <w:t xml:space="preserve">that </w:t>
      </w:r>
      <w:r w:rsidR="00960E68">
        <w:rPr>
          <w:snapToGrid/>
          <w:kern w:val="0"/>
          <w:szCs w:val="22"/>
        </w:rPr>
        <w:t>covered</w:t>
      </w:r>
      <w:r w:rsidR="0020790E">
        <w:rPr>
          <w:snapToGrid/>
          <w:kern w:val="0"/>
          <w:szCs w:val="22"/>
        </w:rPr>
        <w:t xml:space="preserve"> the site-based </w:t>
      </w:r>
      <w:r w:rsidRPr="00A71393">
        <w:rPr>
          <w:snapToGrid/>
          <w:kern w:val="0"/>
          <w:szCs w:val="22"/>
        </w:rPr>
        <w:t xml:space="preserve">Station WHV287 </w:t>
      </w:r>
      <w:r w:rsidR="00660F14">
        <w:rPr>
          <w:snapToGrid/>
          <w:kern w:val="0"/>
          <w:szCs w:val="22"/>
        </w:rPr>
        <w:t xml:space="preserve">but </w:t>
      </w:r>
      <w:r w:rsidRPr="00A71393">
        <w:rPr>
          <w:snapToGrid/>
          <w:kern w:val="0"/>
          <w:szCs w:val="22"/>
        </w:rPr>
        <w:t xml:space="preserve">Thomas K. </w:t>
      </w:r>
      <w:r w:rsidR="00B872EE" w:rsidRPr="00A71393">
        <w:rPr>
          <w:snapToGrid/>
          <w:kern w:val="0"/>
          <w:szCs w:val="22"/>
        </w:rPr>
        <w:t>K</w:t>
      </w:r>
      <w:r w:rsidR="00660F14">
        <w:rPr>
          <w:snapToGrid/>
          <w:kern w:val="0"/>
          <w:szCs w:val="22"/>
        </w:rPr>
        <w:t xml:space="preserve">urian </w:t>
      </w:r>
      <w:r w:rsidRPr="00A71393">
        <w:rPr>
          <w:snapToGrid/>
          <w:kern w:val="0"/>
          <w:szCs w:val="22"/>
        </w:rPr>
        <w:t xml:space="preserve">(Mr. Kurian) obtained the </w:t>
      </w:r>
      <w:r w:rsidR="00960E68">
        <w:rPr>
          <w:snapToGrid/>
          <w:kern w:val="0"/>
          <w:szCs w:val="22"/>
        </w:rPr>
        <w:t xml:space="preserve">co-channel </w:t>
      </w:r>
      <w:r w:rsidRPr="00A71393">
        <w:rPr>
          <w:snapToGrid/>
          <w:kern w:val="0"/>
          <w:szCs w:val="22"/>
        </w:rPr>
        <w:t xml:space="preserve">AMTS Block A geographic license for </w:t>
      </w:r>
      <w:r w:rsidR="0020790E">
        <w:rPr>
          <w:snapToGrid/>
          <w:kern w:val="0"/>
          <w:szCs w:val="22"/>
        </w:rPr>
        <w:t xml:space="preserve">the same </w:t>
      </w:r>
      <w:r w:rsidRPr="00A71393">
        <w:rPr>
          <w:snapToGrid/>
          <w:kern w:val="0"/>
          <w:szCs w:val="22"/>
        </w:rPr>
        <w:t>area</w:t>
      </w:r>
      <w:r w:rsidR="00660F14">
        <w:rPr>
          <w:snapToGrid/>
          <w:kern w:val="0"/>
          <w:szCs w:val="22"/>
        </w:rPr>
        <w:t xml:space="preserve">, which overlaid </w:t>
      </w:r>
      <w:r w:rsidR="0020790E">
        <w:rPr>
          <w:snapToGrid/>
          <w:kern w:val="0"/>
          <w:szCs w:val="22"/>
        </w:rPr>
        <w:t>S</w:t>
      </w:r>
      <w:r w:rsidR="00660F14">
        <w:rPr>
          <w:snapToGrid/>
          <w:kern w:val="0"/>
          <w:szCs w:val="22"/>
        </w:rPr>
        <w:t>tation WHV287</w:t>
      </w:r>
      <w:r w:rsidRPr="00A71393">
        <w:rPr>
          <w:snapToGrid/>
          <w:kern w:val="0"/>
          <w:szCs w:val="22"/>
        </w:rPr>
        <w:t>.</w:t>
      </w:r>
      <w:r w:rsidRPr="00A71393">
        <w:rPr>
          <w:snapToGrid/>
          <w:kern w:val="0"/>
          <w:szCs w:val="22"/>
          <w:vertAlign w:val="superscript"/>
        </w:rPr>
        <w:footnoteReference w:id="17"/>
      </w:r>
    </w:p>
    <w:p w:rsidR="00182338" w:rsidRDefault="00182338" w:rsidP="00182338">
      <w:pPr>
        <w:pStyle w:val="ParaNum"/>
        <w:tabs>
          <w:tab w:val="left" w:pos="1440"/>
        </w:tabs>
        <w:spacing w:after="220"/>
        <w:rPr>
          <w:snapToGrid/>
          <w:kern w:val="0"/>
          <w:szCs w:val="22"/>
        </w:rPr>
      </w:pPr>
      <w:r w:rsidRPr="00A71393">
        <w:rPr>
          <w:snapToGrid/>
          <w:kern w:val="0"/>
          <w:szCs w:val="22"/>
        </w:rPr>
        <w:t>On May 20 and 25, 2005, respectively, Havens filed an application to renew the license for Station WHV287,</w:t>
      </w:r>
      <w:r w:rsidRPr="00A71393">
        <w:rPr>
          <w:snapToGrid/>
          <w:kern w:val="0"/>
          <w:szCs w:val="22"/>
          <w:vertAlign w:val="superscript"/>
        </w:rPr>
        <w:footnoteReference w:id="18"/>
      </w:r>
      <w:r w:rsidRPr="00A71393">
        <w:rPr>
          <w:snapToGrid/>
          <w:kern w:val="0"/>
          <w:szCs w:val="22"/>
        </w:rPr>
        <w:t xml:space="preserve"> and requested another extension of the construction deadline</w:t>
      </w:r>
      <w:r w:rsidR="00B067C0">
        <w:rPr>
          <w:snapToGrid/>
          <w:kern w:val="0"/>
          <w:szCs w:val="22"/>
        </w:rPr>
        <w:t>.</w:t>
      </w:r>
      <w:r w:rsidR="0046284C">
        <w:rPr>
          <w:snapToGrid/>
          <w:kern w:val="0"/>
          <w:szCs w:val="22"/>
        </w:rPr>
        <w:t xml:space="preserve"> </w:t>
      </w:r>
      <w:r w:rsidR="00B067C0">
        <w:rPr>
          <w:snapToGrid/>
          <w:kern w:val="0"/>
          <w:szCs w:val="22"/>
        </w:rPr>
        <w:t xml:space="preserve"> </w:t>
      </w:r>
      <w:r w:rsidRPr="00A71393">
        <w:rPr>
          <w:snapToGrid/>
          <w:kern w:val="0"/>
          <w:szCs w:val="22"/>
        </w:rPr>
        <w:t>The Bureau’s Public Safety and Critical Infrastructure Division (PSCID)</w:t>
      </w:r>
      <w:r w:rsidRPr="00A71393">
        <w:rPr>
          <w:snapToGrid/>
          <w:kern w:val="0"/>
          <w:szCs w:val="22"/>
          <w:vertAlign w:val="superscript"/>
        </w:rPr>
        <w:footnoteReference w:id="19"/>
      </w:r>
      <w:r w:rsidRPr="00A71393">
        <w:rPr>
          <w:snapToGrid/>
          <w:kern w:val="0"/>
          <w:szCs w:val="22"/>
        </w:rPr>
        <w:t xml:space="preserve"> granted the third extension request and extended the construction deadline to July 7, 2006, but stated that it “d[id] not contemplate any further” extensions.</w:t>
      </w:r>
      <w:r w:rsidRPr="00A71393">
        <w:rPr>
          <w:snapToGrid/>
          <w:kern w:val="0"/>
          <w:szCs w:val="22"/>
          <w:vertAlign w:val="superscript"/>
        </w:rPr>
        <w:footnoteReference w:id="20"/>
      </w:r>
      <w:r w:rsidRPr="00A71393">
        <w:rPr>
          <w:snapToGrid/>
          <w:kern w:val="0"/>
          <w:szCs w:val="22"/>
        </w:rPr>
        <w:t xml:space="preserve">  In addition, PSCID indicated that it would hold the renewal application in abeyance until it received notification that the station had been constructed, because it did not yet have any basis for determining whether the standard for license renewal had been met.</w:t>
      </w:r>
      <w:r w:rsidRPr="00A71393">
        <w:rPr>
          <w:snapToGrid/>
          <w:kern w:val="0"/>
          <w:szCs w:val="22"/>
          <w:vertAlign w:val="superscript"/>
        </w:rPr>
        <w:footnoteReference w:id="21"/>
      </w:r>
    </w:p>
    <w:p w:rsidR="00182338" w:rsidRDefault="00182338" w:rsidP="00182338">
      <w:pPr>
        <w:pStyle w:val="ParaNum"/>
        <w:tabs>
          <w:tab w:val="left" w:pos="1440"/>
        </w:tabs>
        <w:spacing w:after="220"/>
        <w:rPr>
          <w:snapToGrid/>
          <w:kern w:val="0"/>
          <w:szCs w:val="22"/>
        </w:rPr>
      </w:pPr>
      <w:r w:rsidRPr="00A71393">
        <w:rPr>
          <w:snapToGrid/>
          <w:kern w:val="0"/>
          <w:szCs w:val="22"/>
        </w:rPr>
        <w:t xml:space="preserve">Also in 2005, Mr. Kurian filed an application to assign </w:t>
      </w:r>
      <w:r w:rsidR="00E4185E">
        <w:rPr>
          <w:snapToGrid/>
          <w:kern w:val="0"/>
          <w:szCs w:val="22"/>
        </w:rPr>
        <w:t xml:space="preserve">to ACL </w:t>
      </w:r>
      <w:r w:rsidRPr="00A71393">
        <w:rPr>
          <w:snapToGrid/>
          <w:kern w:val="0"/>
          <w:szCs w:val="22"/>
        </w:rPr>
        <w:t xml:space="preserve">the AMTS Block A </w:t>
      </w:r>
      <w:r w:rsidRPr="00A71393">
        <w:rPr>
          <w:snapToGrid/>
          <w:kern w:val="0"/>
          <w:szCs w:val="22"/>
        </w:rPr>
        <w:lastRenderedPageBreak/>
        <w:t>geographic license for the area that included the Station WHV287 locations.</w:t>
      </w:r>
      <w:r w:rsidRPr="00A71393">
        <w:rPr>
          <w:snapToGrid/>
          <w:kern w:val="0"/>
          <w:szCs w:val="22"/>
          <w:vertAlign w:val="superscript"/>
        </w:rPr>
        <w:footnoteReference w:id="22"/>
      </w:r>
      <w:r w:rsidRPr="00A71393">
        <w:rPr>
          <w:snapToGrid/>
          <w:kern w:val="0"/>
          <w:szCs w:val="22"/>
        </w:rPr>
        <w:t xml:space="preserve">  Pappammal Kurian (Ms. Kurian) filed an objection, which PSCID denied on April 3, 2006.</w:t>
      </w:r>
      <w:r w:rsidRPr="00A71393">
        <w:rPr>
          <w:snapToGrid/>
          <w:kern w:val="0"/>
          <w:szCs w:val="22"/>
          <w:vertAlign w:val="superscript"/>
        </w:rPr>
        <w:footnoteReference w:id="23"/>
      </w:r>
      <w:r w:rsidRPr="00A71393">
        <w:rPr>
          <w:snapToGrid/>
          <w:kern w:val="0"/>
          <w:szCs w:val="22"/>
        </w:rPr>
        <w:t xml:space="preserve">  Ms. Kurian filed a petition for reconsideration on May 3, 2006.</w:t>
      </w:r>
    </w:p>
    <w:p w:rsidR="00182338" w:rsidRPr="00A71393" w:rsidRDefault="00182338" w:rsidP="00182338">
      <w:pPr>
        <w:pStyle w:val="ParaNum"/>
        <w:tabs>
          <w:tab w:val="left" w:pos="1440"/>
        </w:tabs>
        <w:spacing w:after="220"/>
        <w:rPr>
          <w:snapToGrid/>
          <w:kern w:val="0"/>
          <w:szCs w:val="22"/>
        </w:rPr>
      </w:pPr>
      <w:r>
        <w:rPr>
          <w:snapToGrid/>
          <w:kern w:val="0"/>
          <w:szCs w:val="22"/>
        </w:rPr>
        <w:t>O</w:t>
      </w:r>
      <w:r w:rsidRPr="00A71393">
        <w:rPr>
          <w:snapToGrid/>
          <w:kern w:val="0"/>
          <w:szCs w:val="22"/>
        </w:rPr>
        <w:t xml:space="preserve">n July 7, 2006, Havens requested another extension of the construction deadline, on the grounds that Ms. Kurian’s petition for reconsideration remained pending, and </w:t>
      </w:r>
      <w:r w:rsidR="00EE2084">
        <w:rPr>
          <w:snapToGrid/>
          <w:kern w:val="0"/>
          <w:szCs w:val="22"/>
        </w:rPr>
        <w:t xml:space="preserve">that </w:t>
      </w:r>
      <w:r w:rsidRPr="00A71393">
        <w:rPr>
          <w:snapToGrid/>
          <w:kern w:val="0"/>
          <w:szCs w:val="22"/>
        </w:rPr>
        <w:t>Havens and ACL had agreed that Havens would terminate the license for Station WHV287 upon the finalization of the assignment to ACL</w:t>
      </w:r>
      <w:r w:rsidR="00EE2084">
        <w:rPr>
          <w:snapToGrid/>
          <w:kern w:val="0"/>
          <w:szCs w:val="22"/>
        </w:rPr>
        <w:t xml:space="preserve"> of the </w:t>
      </w:r>
      <w:r w:rsidR="00EE2084" w:rsidRPr="00A71393">
        <w:rPr>
          <w:snapToGrid/>
          <w:kern w:val="0"/>
          <w:szCs w:val="22"/>
        </w:rPr>
        <w:t>Block A geographic license for that area</w:t>
      </w:r>
      <w:r w:rsidRPr="00A71393">
        <w:rPr>
          <w:snapToGrid/>
          <w:kern w:val="0"/>
          <w:szCs w:val="22"/>
        </w:rPr>
        <w:t>, but Havens wished to preserve the option to construct the Station WHV287 locations if Ms. Kurian’s petition for reconsideration were granted.</w:t>
      </w:r>
      <w:r w:rsidRPr="00A71393">
        <w:rPr>
          <w:snapToGrid/>
          <w:kern w:val="0"/>
          <w:szCs w:val="22"/>
          <w:vertAlign w:val="superscript"/>
        </w:rPr>
        <w:footnoteReference w:id="24"/>
      </w:r>
      <w:r w:rsidR="00E4185E">
        <w:rPr>
          <w:snapToGrid/>
          <w:kern w:val="0"/>
          <w:szCs w:val="22"/>
        </w:rPr>
        <w:t xml:space="preserve">  </w:t>
      </w:r>
      <w:r w:rsidRPr="00A71393">
        <w:rPr>
          <w:snapToGrid/>
          <w:kern w:val="0"/>
          <w:szCs w:val="22"/>
        </w:rPr>
        <w:t>The Bureau’s Mobility Division</w:t>
      </w:r>
      <w:r w:rsidRPr="00A71393">
        <w:rPr>
          <w:snapToGrid/>
          <w:kern w:val="0"/>
          <w:szCs w:val="22"/>
          <w:vertAlign w:val="superscript"/>
        </w:rPr>
        <w:footnoteReference w:id="25"/>
      </w:r>
      <w:r w:rsidRPr="00A71393">
        <w:rPr>
          <w:snapToGrid/>
          <w:kern w:val="0"/>
          <w:szCs w:val="22"/>
        </w:rPr>
        <w:t xml:space="preserve"> denied the fourth extension request, stating</w:t>
      </w:r>
    </w:p>
    <w:p w:rsidR="00182338" w:rsidRDefault="00182338" w:rsidP="00182338">
      <w:pPr>
        <w:tabs>
          <w:tab w:val="left" w:pos="1440"/>
        </w:tabs>
        <w:spacing w:after="220"/>
        <w:ind w:left="720" w:right="720"/>
        <w:rPr>
          <w:snapToGrid/>
          <w:kern w:val="0"/>
          <w:szCs w:val="22"/>
        </w:rPr>
      </w:pPr>
      <w:r w:rsidRPr="00A71393">
        <w:rPr>
          <w:snapToGrid/>
          <w:kern w:val="0"/>
          <w:szCs w:val="22"/>
        </w:rPr>
        <w:t>Section 1.946(e) expressly states that “[a]n extension request may be granted if a licensee shows that failure to meet a construction or coverage deadline is due to involuntary loss of site or other causes beyond its control.”  Havens’ Extension Request does not meet this standard.  We find that the failure to construct was the result of the licensee’s business decision, and therefore was not due to circumstances beyond the licensee’s control.</w:t>
      </w:r>
      <w:r w:rsidRPr="00A71393">
        <w:rPr>
          <w:snapToGrid/>
          <w:kern w:val="0"/>
          <w:szCs w:val="22"/>
          <w:vertAlign w:val="superscript"/>
        </w:rPr>
        <w:footnoteReference w:id="26"/>
      </w:r>
    </w:p>
    <w:p w:rsidR="00182338" w:rsidRDefault="00182338" w:rsidP="00182338">
      <w:pPr>
        <w:tabs>
          <w:tab w:val="left" w:pos="1440"/>
        </w:tabs>
        <w:spacing w:after="220"/>
        <w:ind w:right="720"/>
        <w:rPr>
          <w:snapToGrid/>
          <w:kern w:val="0"/>
          <w:szCs w:val="22"/>
        </w:rPr>
      </w:pPr>
      <w:r w:rsidRPr="00A71393">
        <w:rPr>
          <w:snapToGrid/>
          <w:kern w:val="0"/>
          <w:szCs w:val="22"/>
        </w:rPr>
        <w:t xml:space="preserve">Consequently, the Mobility Division dismissed </w:t>
      </w:r>
      <w:r w:rsidR="00EE2084">
        <w:rPr>
          <w:snapToGrid/>
          <w:kern w:val="0"/>
          <w:szCs w:val="22"/>
        </w:rPr>
        <w:t xml:space="preserve">Havens’ </w:t>
      </w:r>
      <w:r w:rsidRPr="00A71393">
        <w:rPr>
          <w:snapToGrid/>
          <w:kern w:val="0"/>
          <w:szCs w:val="22"/>
        </w:rPr>
        <w:t xml:space="preserve">pending renewal application and terminated the </w:t>
      </w:r>
      <w:r w:rsidR="009E2ABF">
        <w:rPr>
          <w:snapToGrid/>
          <w:kern w:val="0"/>
          <w:szCs w:val="22"/>
        </w:rPr>
        <w:t xml:space="preserve">subject </w:t>
      </w:r>
      <w:r w:rsidRPr="00A71393">
        <w:rPr>
          <w:snapToGrid/>
          <w:kern w:val="0"/>
          <w:szCs w:val="22"/>
        </w:rPr>
        <w:t>license.</w:t>
      </w:r>
      <w:r w:rsidRPr="00A71393">
        <w:rPr>
          <w:snapToGrid/>
          <w:kern w:val="0"/>
          <w:szCs w:val="22"/>
          <w:vertAlign w:val="superscript"/>
        </w:rPr>
        <w:footnoteReference w:id="27"/>
      </w:r>
      <w:r w:rsidRPr="00A71393">
        <w:rPr>
          <w:snapToGrid/>
          <w:kern w:val="0"/>
          <w:szCs w:val="22"/>
        </w:rPr>
        <w:t xml:space="preserve">  On March 26, 2007, Havens and ACL filed </w:t>
      </w:r>
      <w:r w:rsidR="009E2ABF">
        <w:rPr>
          <w:snapToGrid/>
          <w:kern w:val="0"/>
          <w:szCs w:val="22"/>
        </w:rPr>
        <w:t xml:space="preserve">the 2007 Petition </w:t>
      </w:r>
      <w:r w:rsidRPr="00A71393">
        <w:rPr>
          <w:snapToGrid/>
          <w:kern w:val="0"/>
          <w:szCs w:val="22"/>
        </w:rPr>
        <w:t xml:space="preserve">for reconsideration of </w:t>
      </w:r>
      <w:r w:rsidR="00EE2084">
        <w:rPr>
          <w:snapToGrid/>
          <w:kern w:val="0"/>
          <w:szCs w:val="22"/>
        </w:rPr>
        <w:t xml:space="preserve">that </w:t>
      </w:r>
      <w:r w:rsidRPr="00A71393">
        <w:rPr>
          <w:snapToGrid/>
          <w:kern w:val="0"/>
          <w:szCs w:val="22"/>
        </w:rPr>
        <w:t>decision.</w:t>
      </w:r>
      <w:r w:rsidRPr="00A71393">
        <w:rPr>
          <w:snapToGrid/>
          <w:kern w:val="0"/>
          <w:szCs w:val="22"/>
          <w:vertAlign w:val="superscript"/>
        </w:rPr>
        <w:footnoteReference w:id="28"/>
      </w:r>
    </w:p>
    <w:p w:rsidR="00182338" w:rsidRPr="007564EE" w:rsidRDefault="00182338" w:rsidP="007564EE">
      <w:pPr>
        <w:pStyle w:val="ParaNum"/>
        <w:tabs>
          <w:tab w:val="left" w:pos="1440"/>
        </w:tabs>
        <w:spacing w:after="220"/>
        <w:rPr>
          <w:szCs w:val="22"/>
        </w:rPr>
      </w:pPr>
      <w:r w:rsidRPr="00182338">
        <w:rPr>
          <w:snapToGrid/>
          <w:kern w:val="0"/>
          <w:szCs w:val="22"/>
        </w:rPr>
        <w:t>On April 7, 2007, the Mobility Division denied Ms. Kurian’s petition for reconsideration of the denial of her objection to the assignment application.</w:t>
      </w:r>
      <w:r w:rsidRPr="00A71393">
        <w:rPr>
          <w:snapToGrid/>
          <w:vertAlign w:val="superscript"/>
        </w:rPr>
        <w:footnoteReference w:id="29"/>
      </w:r>
      <w:r w:rsidRPr="00182338">
        <w:rPr>
          <w:snapToGrid/>
          <w:kern w:val="0"/>
          <w:szCs w:val="22"/>
        </w:rPr>
        <w:t xml:space="preserve">  On October 18, 2007, Mr. Kurian withdrew the application to assign </w:t>
      </w:r>
      <w:r w:rsidR="00EE2084">
        <w:rPr>
          <w:snapToGrid/>
          <w:kern w:val="0"/>
          <w:szCs w:val="22"/>
        </w:rPr>
        <w:t xml:space="preserve">to ACL </w:t>
      </w:r>
      <w:r w:rsidRPr="00182338">
        <w:rPr>
          <w:snapToGrid/>
          <w:kern w:val="0"/>
          <w:szCs w:val="22"/>
        </w:rPr>
        <w:t xml:space="preserve">the AMTS Block A geographic license for the area that </w:t>
      </w:r>
      <w:r w:rsidR="00280C95">
        <w:rPr>
          <w:snapToGrid/>
          <w:kern w:val="0"/>
          <w:szCs w:val="22"/>
        </w:rPr>
        <w:t>overlaid the</w:t>
      </w:r>
      <w:r w:rsidRPr="00182338">
        <w:rPr>
          <w:snapToGrid/>
          <w:kern w:val="0"/>
          <w:szCs w:val="22"/>
        </w:rPr>
        <w:t xml:space="preserve"> Station WHV287 locations.</w:t>
      </w:r>
      <w:r w:rsidRPr="00A71393">
        <w:rPr>
          <w:snapToGrid/>
          <w:vertAlign w:val="superscript"/>
        </w:rPr>
        <w:footnoteReference w:id="30"/>
      </w:r>
    </w:p>
    <w:p w:rsidR="007564EE" w:rsidRPr="00182338" w:rsidRDefault="007564EE" w:rsidP="007564EE">
      <w:pPr>
        <w:pStyle w:val="ParaNum"/>
        <w:tabs>
          <w:tab w:val="left" w:pos="1440"/>
        </w:tabs>
        <w:spacing w:after="220"/>
        <w:rPr>
          <w:szCs w:val="22"/>
        </w:rPr>
      </w:pPr>
      <w:r>
        <w:rPr>
          <w:snapToGrid/>
          <w:kern w:val="0"/>
          <w:szCs w:val="22"/>
        </w:rPr>
        <w:t>On February 17, 2012, the Mobility Division denied the 2007 Petition finding that</w:t>
      </w:r>
      <w:r w:rsidR="00A1123A">
        <w:rPr>
          <w:snapToGrid/>
          <w:kern w:val="0"/>
          <w:szCs w:val="22"/>
        </w:rPr>
        <w:t xml:space="preserve">, </w:t>
      </w:r>
      <w:r>
        <w:rPr>
          <w:snapToGrid/>
          <w:kern w:val="0"/>
          <w:szCs w:val="22"/>
        </w:rPr>
        <w:t xml:space="preserve">while the pendency of Ms. Kurian‘s petition </w:t>
      </w:r>
      <w:r w:rsidR="00A1123A">
        <w:rPr>
          <w:snapToGrid/>
          <w:kern w:val="0"/>
          <w:szCs w:val="22"/>
        </w:rPr>
        <w:t xml:space="preserve">for reconsideration </w:t>
      </w:r>
      <w:r>
        <w:rPr>
          <w:snapToGrid/>
          <w:kern w:val="0"/>
          <w:szCs w:val="22"/>
        </w:rPr>
        <w:t>was beyond Haven’ control it did not prevent him from constructing the facilities authorized under the subject license.</w:t>
      </w:r>
      <w:r>
        <w:rPr>
          <w:rStyle w:val="FootnoteReference"/>
          <w:snapToGrid/>
          <w:kern w:val="0"/>
          <w:szCs w:val="22"/>
        </w:rPr>
        <w:footnoteReference w:id="31"/>
      </w:r>
      <w:r>
        <w:rPr>
          <w:snapToGrid/>
          <w:kern w:val="0"/>
          <w:szCs w:val="22"/>
        </w:rPr>
        <w:t xml:space="preserve">  </w:t>
      </w:r>
      <w:r w:rsidR="00A1123A">
        <w:rPr>
          <w:snapToGrid/>
          <w:kern w:val="0"/>
          <w:szCs w:val="22"/>
        </w:rPr>
        <w:t xml:space="preserve">Accordingly, the </w:t>
      </w:r>
      <w:r>
        <w:rPr>
          <w:snapToGrid/>
          <w:kern w:val="0"/>
          <w:szCs w:val="22"/>
        </w:rPr>
        <w:t xml:space="preserve">Division confirmed the </w:t>
      </w:r>
      <w:r w:rsidR="00A1123A">
        <w:rPr>
          <w:snapToGrid/>
          <w:kern w:val="0"/>
          <w:szCs w:val="22"/>
        </w:rPr>
        <w:t xml:space="preserve">determination in the </w:t>
      </w:r>
      <w:r w:rsidRPr="007564EE">
        <w:rPr>
          <w:i/>
          <w:snapToGrid/>
          <w:kern w:val="0"/>
          <w:szCs w:val="22"/>
        </w:rPr>
        <w:t>2007 Denial Letter</w:t>
      </w:r>
      <w:r w:rsidR="00A1123A">
        <w:rPr>
          <w:snapToGrid/>
          <w:kern w:val="0"/>
          <w:szCs w:val="22"/>
        </w:rPr>
        <w:t xml:space="preserve"> that Havens’ failure to construct under that license was, thus, the result of a business decision, and, therefore, not grounds for further extension.</w:t>
      </w:r>
      <w:r w:rsidR="00A1123A">
        <w:rPr>
          <w:rStyle w:val="FootnoteReference"/>
          <w:snapToGrid/>
          <w:kern w:val="0"/>
          <w:szCs w:val="22"/>
        </w:rPr>
        <w:footnoteReference w:id="32"/>
      </w:r>
      <w:r w:rsidR="00A1123A">
        <w:rPr>
          <w:snapToGrid/>
          <w:kern w:val="0"/>
          <w:szCs w:val="22"/>
        </w:rPr>
        <w:t xml:space="preserve"> </w:t>
      </w:r>
      <w:r w:rsidR="008F3BE1">
        <w:rPr>
          <w:snapToGrid/>
          <w:kern w:val="0"/>
          <w:szCs w:val="22"/>
        </w:rPr>
        <w:t>Regarding</w:t>
      </w:r>
      <w:r w:rsidR="008C657E">
        <w:rPr>
          <w:snapToGrid/>
          <w:kern w:val="0"/>
          <w:szCs w:val="22"/>
          <w:u w:val="single"/>
        </w:rPr>
        <w:t xml:space="preserve"> </w:t>
      </w:r>
      <w:r w:rsidR="008C657E" w:rsidRPr="00483B23">
        <w:rPr>
          <w:snapToGrid/>
          <w:kern w:val="0"/>
          <w:szCs w:val="22"/>
        </w:rPr>
        <w:t>Havens</w:t>
      </w:r>
      <w:r w:rsidR="008F3BE1" w:rsidRPr="00483B23">
        <w:rPr>
          <w:snapToGrid/>
          <w:kern w:val="0"/>
          <w:szCs w:val="22"/>
        </w:rPr>
        <w:t>’</w:t>
      </w:r>
      <w:r w:rsidR="008C657E" w:rsidRPr="00483B23">
        <w:rPr>
          <w:snapToGrid/>
          <w:kern w:val="0"/>
          <w:szCs w:val="22"/>
        </w:rPr>
        <w:t xml:space="preserve"> claim that he had been treated unfairly because he was denied a fourth consecutive construction extension for the subject station, the Division noted that the Commission ha</w:t>
      </w:r>
      <w:r w:rsidR="008F3BE1" w:rsidRPr="00483B23">
        <w:rPr>
          <w:snapToGrid/>
          <w:kern w:val="0"/>
          <w:szCs w:val="22"/>
        </w:rPr>
        <w:t xml:space="preserve">d </w:t>
      </w:r>
      <w:r w:rsidR="008C657E" w:rsidRPr="00483B23">
        <w:rPr>
          <w:snapToGrid/>
          <w:kern w:val="0"/>
          <w:szCs w:val="22"/>
        </w:rPr>
        <w:t>earlier rejected Havens’ claims of Bureau bias against him.</w:t>
      </w:r>
      <w:r w:rsidR="008C657E" w:rsidRPr="00483B23">
        <w:rPr>
          <w:rStyle w:val="FootnoteReference"/>
          <w:snapToGrid/>
          <w:kern w:val="0"/>
          <w:szCs w:val="22"/>
        </w:rPr>
        <w:footnoteReference w:id="33"/>
      </w:r>
      <w:r w:rsidR="00483B23">
        <w:rPr>
          <w:snapToGrid/>
          <w:kern w:val="0"/>
          <w:szCs w:val="22"/>
        </w:rPr>
        <w:t xml:space="preserve">  </w:t>
      </w:r>
      <w:r w:rsidR="00A1123A">
        <w:rPr>
          <w:snapToGrid/>
          <w:kern w:val="0"/>
          <w:szCs w:val="22"/>
        </w:rPr>
        <w:t xml:space="preserve">On March 19, 2012, Petitioners filed the </w:t>
      </w:r>
      <w:r w:rsidR="00A1123A" w:rsidRPr="00D32ECE">
        <w:rPr>
          <w:snapToGrid/>
          <w:kern w:val="0"/>
          <w:szCs w:val="22"/>
        </w:rPr>
        <w:t>2012 Petition</w:t>
      </w:r>
      <w:r w:rsidR="00A1123A">
        <w:rPr>
          <w:snapToGrid/>
          <w:kern w:val="0"/>
          <w:szCs w:val="22"/>
        </w:rPr>
        <w:t>.</w:t>
      </w:r>
    </w:p>
    <w:p w:rsidR="00182338" w:rsidRPr="00182338" w:rsidRDefault="00182338" w:rsidP="007564EE">
      <w:pPr>
        <w:pStyle w:val="ParaNum"/>
        <w:tabs>
          <w:tab w:val="left" w:pos="1440"/>
        </w:tabs>
        <w:spacing w:after="220"/>
        <w:rPr>
          <w:szCs w:val="22"/>
        </w:rPr>
      </w:pPr>
      <w:r w:rsidRPr="00182338">
        <w:rPr>
          <w:i/>
          <w:szCs w:val="22"/>
        </w:rPr>
        <w:t>Discussion</w:t>
      </w:r>
      <w:r w:rsidRPr="00182338">
        <w:rPr>
          <w:szCs w:val="22"/>
        </w:rPr>
        <w:t>.  Section 1.106(c) provides that a petition for reconsideration that relies on facts not previously presented may be granted only if (i) the facts relate to events that occurred or circumstances that changed after the last opportunity to present such matters; (ii) the facts were unknown to petitioner until after the last opportunity to present such matters, and petitioner could not have learned of them sooner through the exercise of ordinary diligence; or (iii) consideration of the facts is required in the public interest.</w:t>
      </w:r>
      <w:r w:rsidRPr="004F5E23">
        <w:rPr>
          <w:rStyle w:val="FootnoteReference"/>
          <w:sz w:val="22"/>
          <w:szCs w:val="22"/>
        </w:rPr>
        <w:footnoteReference w:id="34"/>
      </w:r>
      <w:r w:rsidRPr="00182338">
        <w:rPr>
          <w:szCs w:val="22"/>
        </w:rPr>
        <w:t xml:space="preserve">  Below we review the assertions in the 2012 Petition and we address them in the context of Section 1.106 and other applicable Commission rules and policies.</w:t>
      </w:r>
    </w:p>
    <w:p w:rsidR="00182338" w:rsidRDefault="00182338" w:rsidP="00182338">
      <w:pPr>
        <w:pStyle w:val="ParaNum"/>
      </w:pPr>
      <w:r>
        <w:t xml:space="preserve">Petitioners contend the </w:t>
      </w:r>
      <w:r>
        <w:rPr>
          <w:i/>
        </w:rPr>
        <w:t>2012 Order</w:t>
      </w:r>
      <w:r>
        <w:t xml:space="preserve"> improperly interpreted Havens’ July 2006 Request.</w:t>
      </w:r>
      <w:r>
        <w:rPr>
          <w:rStyle w:val="FootnoteReference"/>
        </w:rPr>
        <w:footnoteReference w:id="35"/>
      </w:r>
      <w:r>
        <w:t xml:space="preserve">    They submit that </w:t>
      </w:r>
      <w:r w:rsidR="008C657E">
        <w:t xml:space="preserve">the </w:t>
      </w:r>
      <w:r w:rsidR="008C657E" w:rsidRPr="00EA2016">
        <w:rPr>
          <w:i/>
        </w:rPr>
        <w:t xml:space="preserve">2012 </w:t>
      </w:r>
      <w:r>
        <w:rPr>
          <w:i/>
        </w:rPr>
        <w:t>Order</w:t>
      </w:r>
      <w:r>
        <w:t xml:space="preserve"> incorrectly concluded, on the basis of that Request, </w:t>
      </w:r>
      <w:r w:rsidR="00B872EE">
        <w:t>that “</w:t>
      </w:r>
      <w:r>
        <w:t xml:space="preserve">he chose not to construct the site-based facilities because he . . . expected ACL to </w:t>
      </w:r>
      <w:r w:rsidR="00B872EE">
        <w:t>acquire the</w:t>
      </w:r>
      <w:r>
        <w:t xml:space="preserve"> co-channel license.”</w:t>
      </w:r>
      <w:r>
        <w:rPr>
          <w:rStyle w:val="FootnoteReference"/>
        </w:rPr>
        <w:footnoteReference w:id="36"/>
      </w:r>
      <w:r>
        <w:t xml:space="preserve"> To the contrary, Petitioners contend the record shows Havens had good cause not to construct and that the </w:t>
      </w:r>
      <w:r w:rsidRPr="00251B51">
        <w:rPr>
          <w:i/>
        </w:rPr>
        <w:t>2012 Order</w:t>
      </w:r>
      <w:r>
        <w:t xml:space="preserve"> erred because it “impermissibly mixes” Havens, the sole party in the </w:t>
      </w:r>
      <w:r w:rsidR="00EE2084">
        <w:t>above renewal a</w:t>
      </w:r>
      <w:r>
        <w:t>pplication, with a separate entity, Environmental LLC.</w:t>
      </w:r>
      <w:r>
        <w:rPr>
          <w:rStyle w:val="FootnoteReference"/>
        </w:rPr>
        <w:footnoteReference w:id="37"/>
      </w:r>
    </w:p>
    <w:p w:rsidR="008C657E" w:rsidRDefault="00182338" w:rsidP="00483B23">
      <w:pPr>
        <w:pStyle w:val="ParaNum"/>
      </w:pPr>
      <w:r>
        <w:t xml:space="preserve">To begin, the </w:t>
      </w:r>
      <w:r w:rsidRPr="00483B23">
        <w:rPr>
          <w:i/>
        </w:rPr>
        <w:t>2012 Order</w:t>
      </w:r>
      <w:r>
        <w:t xml:space="preserve"> did recognize the distinction between Havens and the AMTS Consortium, LLC (A</w:t>
      </w:r>
      <w:r w:rsidR="008C657E">
        <w:t>C</w:t>
      </w:r>
      <w:r>
        <w:t xml:space="preserve">L), now known as Environmental LLC, and made correct references to each or both. Contrary to Petitioners’ assertions, the </w:t>
      </w:r>
      <w:r w:rsidRPr="00483B23">
        <w:rPr>
          <w:i/>
        </w:rPr>
        <w:t>2012 Order</w:t>
      </w:r>
      <w:r>
        <w:t xml:space="preserve"> did not assume Havens had or would assign the subject license to ACL</w:t>
      </w:r>
      <w:r w:rsidR="00B872EE">
        <w:t>; it</w:t>
      </w:r>
      <w:r>
        <w:t xml:space="preserve"> made only passing reference to the fact (noted by Havens himself in his July 2006 Petition) that his business plan was to build out AMTS spectrum under the geographic A-Block license that </w:t>
      </w:r>
      <w:r w:rsidR="00EE2084">
        <w:t xml:space="preserve">Mr. </w:t>
      </w:r>
      <w:r>
        <w:t>Kurian was expected to assign to ACL and that, after the completion of that assignment, Havens planned to request cancellation of the subject license.</w:t>
      </w:r>
      <w:r>
        <w:rPr>
          <w:rStyle w:val="FootnoteReference"/>
        </w:rPr>
        <w:footnoteReference w:id="38"/>
      </w:r>
    </w:p>
    <w:p w:rsidR="00483B23" w:rsidRPr="00483B23" w:rsidRDefault="00EE2084" w:rsidP="00483B23">
      <w:pPr>
        <w:pStyle w:val="ParaNum"/>
        <w:rPr>
          <w:rStyle w:val="FootnoteReference"/>
          <w:sz w:val="22"/>
          <w:vertAlign w:val="baseline"/>
        </w:rPr>
      </w:pPr>
      <w:r>
        <w:t xml:space="preserve">Moreover, </w:t>
      </w:r>
      <w:r w:rsidR="00182338">
        <w:t xml:space="preserve">any alleged “mixing” of these entities does not change the findings in the </w:t>
      </w:r>
      <w:r w:rsidR="00182338" w:rsidRPr="00483B23">
        <w:rPr>
          <w:i/>
        </w:rPr>
        <w:t>2007 Denial Letter</w:t>
      </w:r>
      <w:r w:rsidR="00182338">
        <w:t xml:space="preserve">, confirmed on reconsideration in the </w:t>
      </w:r>
      <w:r w:rsidR="00182338" w:rsidRPr="00483B23">
        <w:rPr>
          <w:i/>
        </w:rPr>
        <w:t>2012 Order</w:t>
      </w:r>
      <w:r w:rsidR="00182338">
        <w:t>, that the licensee’s failure to timely construct under the subject license was not due to any circumstances beyond the licensee’s control, that this failure was the result of a business decision, and, therefore, such a decision was not grounds under our Rules for any further extension of the applicable construction deadline.</w:t>
      </w:r>
      <w:r w:rsidR="00182338">
        <w:rPr>
          <w:rStyle w:val="FootnoteReference"/>
        </w:rPr>
        <w:footnoteReference w:id="39"/>
      </w:r>
      <w:r w:rsidR="00182338">
        <w:t xml:space="preserve">  In addition</w:t>
      </w:r>
      <w:r w:rsidR="00483B23">
        <w:t xml:space="preserve">, </w:t>
      </w:r>
      <w:r w:rsidR="00182338">
        <w:t>Petitioners</w:t>
      </w:r>
      <w:r w:rsidR="00DD579A">
        <w:t xml:space="preserve"> note</w:t>
      </w:r>
      <w:r w:rsidR="00182338">
        <w:t xml:space="preserve"> Havens’ earlier claims that he had “good cause” not to complete construction under the subject license by the applicable deadline.</w:t>
      </w:r>
      <w:r w:rsidR="00483B23">
        <w:t xml:space="preserve">  </w:t>
      </w:r>
      <w:r w:rsidR="00DD579A">
        <w:t xml:space="preserve">For example, while Havens </w:t>
      </w:r>
      <w:r w:rsidR="00DC27AE">
        <w:t xml:space="preserve">had </w:t>
      </w:r>
      <w:r w:rsidR="00DD579A">
        <w:t>claimed an</w:t>
      </w:r>
      <w:r w:rsidR="00E069E3">
        <w:t xml:space="preserve"> </w:t>
      </w:r>
      <w:r w:rsidR="00DD579A">
        <w:t xml:space="preserve">extension of the applicable deadline would </w:t>
      </w:r>
      <w:r w:rsidR="00E069E3">
        <w:t xml:space="preserve">be in the public interest, </w:t>
      </w:r>
      <w:r w:rsidR="00E069E3" w:rsidRPr="00483B23">
        <w:rPr>
          <w:i/>
        </w:rPr>
        <w:t>inter alia</w:t>
      </w:r>
      <w:r w:rsidR="00E069E3">
        <w:t>, by “allowing more cost-effective service to the public,”</w:t>
      </w:r>
      <w:r w:rsidR="00E069E3">
        <w:rPr>
          <w:rStyle w:val="FootnoteReference"/>
        </w:rPr>
        <w:footnoteReference w:id="40"/>
      </w:r>
      <w:r w:rsidR="00E069E3">
        <w:t xml:space="preserve"> </w:t>
      </w:r>
      <w:r w:rsidR="00DD579A">
        <w:t xml:space="preserve"> we see no such public </w:t>
      </w:r>
      <w:r w:rsidR="00B93E94">
        <w:t>interest in</w:t>
      </w:r>
      <w:r w:rsidR="00DD579A">
        <w:t xml:space="preserve"> such an extension.  To the contrary, we find </w:t>
      </w:r>
      <w:r w:rsidR="00E069E3">
        <w:t xml:space="preserve">that </w:t>
      </w:r>
      <w:r w:rsidR="00DD579A">
        <w:t xml:space="preserve">any such </w:t>
      </w:r>
      <w:r w:rsidR="00B93E94">
        <w:t>extension primarily</w:t>
      </w:r>
      <w:r w:rsidR="00DD579A">
        <w:t xml:space="preserve"> would confer a commercial advantage on Havens and</w:t>
      </w:r>
      <w:r w:rsidR="00E069E3">
        <w:t xml:space="preserve"> that </w:t>
      </w:r>
      <w:r w:rsidR="00DD579A">
        <w:t>such a finding</w:t>
      </w:r>
      <w:r w:rsidR="00E069E3">
        <w:t xml:space="preserve"> </w:t>
      </w:r>
      <w:r w:rsidR="00DD579A">
        <w:t xml:space="preserve">supports the determination in the </w:t>
      </w:r>
      <w:r w:rsidR="00DD579A" w:rsidRPr="00483B23">
        <w:rPr>
          <w:i/>
        </w:rPr>
        <w:t>2007 Denial Letter</w:t>
      </w:r>
      <w:r w:rsidR="00DD579A">
        <w:t xml:space="preserve">, confirmed on reconsideration in the </w:t>
      </w:r>
      <w:r w:rsidR="00DD579A" w:rsidRPr="00483B23">
        <w:rPr>
          <w:i/>
        </w:rPr>
        <w:t>2012 Order</w:t>
      </w:r>
      <w:r w:rsidR="00DD579A">
        <w:t>, that his failure to timely construct under the subject license was the result of a business decision on his part.</w:t>
      </w:r>
      <w:r w:rsidR="00DD579A">
        <w:rPr>
          <w:rStyle w:val="FootnoteReference"/>
        </w:rPr>
        <w:footnoteReference w:id="41"/>
      </w:r>
      <w:r w:rsidR="00E069E3">
        <w:t xml:space="preserve"> </w:t>
      </w:r>
      <w:r w:rsidR="00182338">
        <w:t xml:space="preserve">Accordingly, we reject Petitioners’ claim that we should reconsider the </w:t>
      </w:r>
      <w:r w:rsidR="00182338" w:rsidRPr="00483B23">
        <w:rPr>
          <w:i/>
        </w:rPr>
        <w:t>2012 Order</w:t>
      </w:r>
      <w:r w:rsidR="00182338">
        <w:t xml:space="preserve"> because of alleged confusion over the identity of the parties. We also </w:t>
      </w:r>
      <w:r w:rsidR="00B93E94">
        <w:t>reject their</w:t>
      </w:r>
      <w:r w:rsidR="00182338">
        <w:t xml:space="preserve"> claims that Havens had “good cause” not to complete such construction by the applicable deadline.</w:t>
      </w:r>
      <w:r w:rsidR="00E069E3" w:rsidDel="00E069E3">
        <w:rPr>
          <w:rStyle w:val="FootnoteReference"/>
        </w:rPr>
        <w:t xml:space="preserve"> </w:t>
      </w:r>
    </w:p>
    <w:p w:rsidR="00182338" w:rsidRDefault="00182338" w:rsidP="00483B23">
      <w:pPr>
        <w:pStyle w:val="ParaNum"/>
      </w:pPr>
      <w:r>
        <w:t>Petitioners identify two Federal court proceedings</w:t>
      </w:r>
      <w:r>
        <w:rPr>
          <w:rStyle w:val="FootnoteReference"/>
        </w:rPr>
        <w:footnoteReference w:id="42"/>
      </w:r>
      <w:r>
        <w:t xml:space="preserve"> in which Havens, </w:t>
      </w:r>
      <w:r w:rsidRPr="00483B23">
        <w:rPr>
          <w:i/>
        </w:rPr>
        <w:t>et al.</w:t>
      </w:r>
      <w:r>
        <w:t xml:space="preserve">, assert misconduct by others under the anti-trust laws in connection with the contemplated transfer </w:t>
      </w:r>
      <w:r w:rsidR="00E4185E">
        <w:t xml:space="preserve">by Mr. Kurian </w:t>
      </w:r>
      <w:r>
        <w:t>to</w:t>
      </w:r>
      <w:r w:rsidR="00EE2084">
        <w:t xml:space="preserve"> ACL </w:t>
      </w:r>
      <w:r>
        <w:t xml:space="preserve">of </w:t>
      </w:r>
      <w:r w:rsidR="00E4185E">
        <w:t xml:space="preserve">the relevant AMTS Block A </w:t>
      </w:r>
      <w:r>
        <w:t xml:space="preserve">geographic </w:t>
      </w:r>
      <w:r w:rsidR="00280C95">
        <w:t>area license</w:t>
      </w:r>
      <w:r w:rsidR="00D32ECE">
        <w:t>.  A</w:t>
      </w:r>
      <w:r>
        <w:t xml:space="preserve">ssuming </w:t>
      </w:r>
      <w:r w:rsidRPr="00483B23">
        <w:rPr>
          <w:i/>
        </w:rPr>
        <w:t>arguendo</w:t>
      </w:r>
      <w:r>
        <w:t xml:space="preserve"> that the alleged misconduct in connection with the contemplated transfer was a matter beyond Havens’ control</w:t>
      </w:r>
      <w:r w:rsidR="00152F1E">
        <w:t xml:space="preserve"> and that, as a result of this or other litigation, Havens would be able to obtain that </w:t>
      </w:r>
      <w:r w:rsidR="00DC27AE">
        <w:t>transfer</w:t>
      </w:r>
      <w:r>
        <w:t xml:space="preserve">, Petitioners make no claim </w:t>
      </w:r>
      <w:r w:rsidR="00152F1E">
        <w:t xml:space="preserve">that </w:t>
      </w:r>
      <w:r>
        <w:t xml:space="preserve">this misconduct prevented him from timely completing the required construction under the subject license.  Thus, these misconduct allegations and the related legal proceedings provide no basis to revisit the decision in the </w:t>
      </w:r>
      <w:r w:rsidRPr="00483B23">
        <w:rPr>
          <w:i/>
        </w:rPr>
        <w:t>2007 Denial Letter</w:t>
      </w:r>
      <w:r>
        <w:t xml:space="preserve">, reaffirmed in the </w:t>
      </w:r>
      <w:r w:rsidRPr="00483B23">
        <w:rPr>
          <w:i/>
        </w:rPr>
        <w:t>2012 Order</w:t>
      </w:r>
      <w:r w:rsidR="00B872EE">
        <w:t>, that</w:t>
      </w:r>
      <w:r>
        <w:t xml:space="preserve"> Havens’ failure to timely construct under the subject license was a business decision on his part and not caused by circumstances beyond his control.</w:t>
      </w:r>
      <w:r w:rsidR="00152F1E">
        <w:rPr>
          <w:rStyle w:val="FootnoteReference"/>
        </w:rPr>
        <w:footnoteReference w:id="43"/>
      </w:r>
    </w:p>
    <w:p w:rsidR="00D32ECE" w:rsidRDefault="00182338" w:rsidP="00182338">
      <w:pPr>
        <w:pStyle w:val="ParaNum"/>
      </w:pPr>
      <w:r>
        <w:t xml:space="preserve">Petitioners assert  the </w:t>
      </w:r>
      <w:r w:rsidRPr="0000556F">
        <w:rPr>
          <w:i/>
        </w:rPr>
        <w:t>2012 Order</w:t>
      </w:r>
      <w:r>
        <w:t xml:space="preserve"> did not adequately address a claim of Commission bias in Havens’ 2012 Petition because, in response, they contend the </w:t>
      </w:r>
      <w:r w:rsidRPr="0000556F">
        <w:rPr>
          <w:i/>
        </w:rPr>
        <w:t>Order</w:t>
      </w:r>
      <w:r>
        <w:t xml:space="preserve"> only cited a Commission order that was subject to a pending petition for reconsideration.</w:t>
      </w:r>
      <w:r>
        <w:rPr>
          <w:rStyle w:val="FootnoteReference"/>
        </w:rPr>
        <w:footnoteReference w:id="44"/>
      </w:r>
      <w:r w:rsidR="00D32ECE">
        <w:t xml:space="preserve"> </w:t>
      </w:r>
      <w:r w:rsidR="005137A2">
        <w:t xml:space="preserve"> </w:t>
      </w:r>
      <w:r w:rsidR="00D32ECE">
        <w:t>First, u</w:t>
      </w:r>
      <w:r w:rsidR="00D32ECE" w:rsidRPr="007632F0">
        <w:t xml:space="preserve">ntil modified by the Commission or a court of competent jurisdiction, </w:t>
      </w:r>
      <w:r w:rsidR="00D32ECE">
        <w:t xml:space="preserve">a </w:t>
      </w:r>
      <w:r w:rsidR="00D32ECE" w:rsidRPr="007632F0">
        <w:t>Commission order</w:t>
      </w:r>
      <w:r w:rsidR="00D32ECE">
        <w:t xml:space="preserve"> </w:t>
      </w:r>
      <w:r w:rsidR="00D32ECE" w:rsidRPr="007632F0">
        <w:t>remain in full force and effect.  Accordingly, a pending petition for reconsideration of such an order does not render it less valid.</w:t>
      </w:r>
      <w:r w:rsidR="005137A2">
        <w:rPr>
          <w:rStyle w:val="FootnoteReference"/>
        </w:rPr>
        <w:footnoteReference w:id="45"/>
      </w:r>
    </w:p>
    <w:p w:rsidR="00182338" w:rsidRDefault="00D32ECE" w:rsidP="00182338">
      <w:pPr>
        <w:pStyle w:val="ParaNum"/>
      </w:pPr>
      <w:r>
        <w:t xml:space="preserve">Second, in </w:t>
      </w:r>
      <w:r w:rsidR="00182338">
        <w:t xml:space="preserve">response to Havens’ generalized assertion of bias against him in the 2007 denial of his fourth request for extension of the construction deadline applicable to the subject license, the </w:t>
      </w:r>
      <w:r w:rsidR="00182338" w:rsidRPr="0000556F">
        <w:rPr>
          <w:i/>
        </w:rPr>
        <w:t>2012 Order</w:t>
      </w:r>
      <w:r w:rsidR="00182338">
        <w:t xml:space="preserve"> cited the </w:t>
      </w:r>
      <w:r w:rsidR="000068E2">
        <w:t xml:space="preserve">Commission’s </w:t>
      </w:r>
      <w:r w:rsidR="00182338" w:rsidRPr="0000556F">
        <w:rPr>
          <w:i/>
        </w:rPr>
        <w:t>2010 Mobex Order</w:t>
      </w:r>
      <w:r w:rsidR="00182338">
        <w:t xml:space="preserve"> which had rejected similar bias claims by</w:t>
      </w:r>
      <w:r w:rsidR="00B56B75">
        <w:t xml:space="preserve"> </w:t>
      </w:r>
      <w:r w:rsidR="002B41F7">
        <w:t>him</w:t>
      </w:r>
      <w:r w:rsidR="00182338">
        <w:t>.</w:t>
      </w:r>
      <w:r w:rsidR="00EE5AD8">
        <w:rPr>
          <w:rStyle w:val="FootnoteReference"/>
        </w:rPr>
        <w:footnoteReference w:id="46"/>
      </w:r>
      <w:r w:rsidR="00182338">
        <w:t xml:space="preserve"> </w:t>
      </w:r>
      <w:r>
        <w:t xml:space="preserve"> </w:t>
      </w:r>
      <w:r w:rsidR="00280C95">
        <w:t xml:space="preserve">We find </w:t>
      </w:r>
      <w:r w:rsidR="00280C95" w:rsidRPr="00D32ECE">
        <w:rPr>
          <w:i/>
        </w:rPr>
        <w:t>2012 Order</w:t>
      </w:r>
      <w:r w:rsidR="00280C95">
        <w:t xml:space="preserve"> adequately addressed Haven’s generalized bias claims by citing the </w:t>
      </w:r>
      <w:r w:rsidR="00280C95" w:rsidRPr="00D32ECE">
        <w:rPr>
          <w:i/>
        </w:rPr>
        <w:t>2010 Mobex</w:t>
      </w:r>
      <w:r w:rsidR="00280C95">
        <w:rPr>
          <w:i/>
        </w:rPr>
        <w:t xml:space="preserve"> </w:t>
      </w:r>
      <w:r w:rsidR="00280C95" w:rsidRPr="00D32ECE">
        <w:rPr>
          <w:i/>
        </w:rPr>
        <w:t>Order</w:t>
      </w:r>
      <w:r w:rsidR="00280C95">
        <w:t xml:space="preserve"> because the latter included, </w:t>
      </w:r>
      <w:r w:rsidR="00280C95" w:rsidRPr="0000556F">
        <w:rPr>
          <w:i/>
        </w:rPr>
        <w:t>inter alia</w:t>
      </w:r>
      <w:r w:rsidR="00280C95">
        <w:t>, the following from an earlier order:  “Absent specific factual allegations of improper actions or motivations on the part of members of the Commission’s staff ….bald assertion of possible bias is totally inappropriate.”</w:t>
      </w:r>
      <w:r w:rsidR="00280C95">
        <w:rPr>
          <w:rStyle w:val="FootnoteReference"/>
        </w:rPr>
        <w:footnoteReference w:id="47"/>
      </w:r>
      <w:r w:rsidR="00280C95">
        <w:t xml:space="preserve"> </w:t>
      </w:r>
    </w:p>
    <w:p w:rsidR="00182338" w:rsidRDefault="009046C9" w:rsidP="00182338">
      <w:pPr>
        <w:pStyle w:val="ParaNum"/>
      </w:pPr>
      <w:r>
        <w:t>Under Section</w:t>
      </w:r>
      <w:r w:rsidR="00D32ECE">
        <w:t xml:space="preserve"> 1</w:t>
      </w:r>
      <w:r>
        <w:t xml:space="preserve">.2 or Section 1.41 </w:t>
      </w:r>
      <w:r w:rsidR="00280C95">
        <w:t>of the</w:t>
      </w:r>
      <w:r>
        <w:t xml:space="preserve"> Rules,</w:t>
      </w:r>
      <w:r>
        <w:rPr>
          <w:rStyle w:val="FootnoteReference"/>
        </w:rPr>
        <w:footnoteReference w:id="48"/>
      </w:r>
      <w:r>
        <w:t xml:space="preserve"> Petitioners contend we should consider their 2012 Petition because it contains new facts regarding alleged Commission prejudice against Havens that arose after he filed his 2007 Petition. </w:t>
      </w:r>
      <w:r w:rsidR="0054733B">
        <w:t>T</w:t>
      </w:r>
      <w:r>
        <w:t xml:space="preserve">hey </w:t>
      </w:r>
      <w:r w:rsidR="00182338">
        <w:t xml:space="preserve">submit that Commission decisions in certain other proceedings demonstrate prejudice against Havens and that such alleged prejudice supports their claim that the </w:t>
      </w:r>
      <w:r w:rsidR="00182338" w:rsidRPr="009046C9">
        <w:rPr>
          <w:i/>
        </w:rPr>
        <w:t>2012 Order</w:t>
      </w:r>
      <w:r w:rsidR="00182338">
        <w:t>, denying his 2012 Petition, was a product of “further clear prejudice against Havens.”</w:t>
      </w:r>
      <w:r w:rsidR="00182338">
        <w:rPr>
          <w:rStyle w:val="FootnoteReference"/>
        </w:rPr>
        <w:footnoteReference w:id="49"/>
      </w:r>
      <w:r w:rsidR="00182338">
        <w:t xml:space="preserve">  Specifically, Petitioners claim </w:t>
      </w:r>
      <w:r w:rsidR="00B872EE">
        <w:t>that the</w:t>
      </w:r>
      <w:r w:rsidR="00182338">
        <w:t xml:space="preserve"> decisions in two Commission orders</w:t>
      </w:r>
      <w:r w:rsidR="00182338">
        <w:rPr>
          <w:rStyle w:val="FootnoteReference"/>
        </w:rPr>
        <w:footnoteReference w:id="50"/>
      </w:r>
      <w:r w:rsidR="00182338">
        <w:t xml:space="preserve">  and certain decisions by a Commission administrative law judge</w:t>
      </w:r>
      <w:r w:rsidR="00182338">
        <w:rPr>
          <w:rStyle w:val="FootnoteReference"/>
        </w:rPr>
        <w:footnoteReference w:id="51"/>
      </w:r>
      <w:r w:rsidR="00182338">
        <w:t xml:space="preserve"> all demonstrate prejudice against Havens apparently </w:t>
      </w:r>
      <w:r w:rsidR="00416897">
        <w:t xml:space="preserve">because </w:t>
      </w:r>
      <w:r w:rsidR="00182338">
        <w:t xml:space="preserve">those decisions were, to some extent, adverse to him.  First, we decline to address </w:t>
      </w:r>
      <w:r w:rsidR="00416897">
        <w:t>those claims</w:t>
      </w:r>
      <w:r w:rsidR="00182338">
        <w:t xml:space="preserve"> of prejudice in this proceeding because Havens has, or has had, ample opportunity to raise such claims in </w:t>
      </w:r>
      <w:r w:rsidR="00991D4A">
        <w:t xml:space="preserve">those </w:t>
      </w:r>
      <w:r w:rsidR="00182338">
        <w:t xml:space="preserve">other proceedings.  Second, we note </w:t>
      </w:r>
      <w:r w:rsidR="00E4185E">
        <w:t xml:space="preserve">the </w:t>
      </w:r>
      <w:r w:rsidR="00182338">
        <w:t>mere existence of decisions adverse to Havens is not evidence of bias against him.</w:t>
      </w:r>
      <w:r w:rsidR="00182338">
        <w:rPr>
          <w:rStyle w:val="FootnoteReference"/>
        </w:rPr>
        <w:footnoteReference w:id="52"/>
      </w:r>
      <w:r w:rsidR="00182338">
        <w:t xml:space="preserve">  Finally, </w:t>
      </w:r>
      <w:r w:rsidR="00E4185E">
        <w:t xml:space="preserve">the staff’s </w:t>
      </w:r>
      <w:r w:rsidR="00182338">
        <w:t>willingness to grant three extensions of the deadline to complete construction under the subject license suggests prejudice has not been a factor in this proceeding.</w:t>
      </w:r>
    </w:p>
    <w:p w:rsidR="00182338" w:rsidRPr="00182338" w:rsidRDefault="00182338" w:rsidP="00182338">
      <w:pPr>
        <w:pStyle w:val="ParaNum"/>
      </w:pPr>
      <w:r>
        <w:t xml:space="preserve">In </w:t>
      </w:r>
      <w:r w:rsidRPr="00250115">
        <w:rPr>
          <w:szCs w:val="22"/>
        </w:rPr>
        <w:t xml:space="preserve">view of the foregoing, we affirm the decisions in the </w:t>
      </w:r>
      <w:r w:rsidRPr="00250115">
        <w:rPr>
          <w:i/>
          <w:szCs w:val="22"/>
        </w:rPr>
        <w:t>2012 Order</w:t>
      </w:r>
      <w:r w:rsidRPr="00250115">
        <w:rPr>
          <w:szCs w:val="22"/>
        </w:rPr>
        <w:t xml:space="preserve"> rejecting the </w:t>
      </w:r>
      <w:r w:rsidR="0034286D">
        <w:rPr>
          <w:szCs w:val="22"/>
        </w:rPr>
        <w:t xml:space="preserve">2007 </w:t>
      </w:r>
      <w:r w:rsidRPr="00250115">
        <w:rPr>
          <w:szCs w:val="22"/>
        </w:rPr>
        <w:t xml:space="preserve">Petition and affirming the </w:t>
      </w:r>
      <w:r w:rsidR="0034286D" w:rsidRPr="0034286D">
        <w:rPr>
          <w:i/>
          <w:szCs w:val="22"/>
        </w:rPr>
        <w:t>2007 Denial Letter</w:t>
      </w:r>
      <w:r w:rsidR="0034286D">
        <w:rPr>
          <w:szCs w:val="22"/>
        </w:rPr>
        <w:t xml:space="preserve"> </w:t>
      </w:r>
      <w:r w:rsidRPr="00250115">
        <w:rPr>
          <w:szCs w:val="22"/>
        </w:rPr>
        <w:t xml:space="preserve">because Petitioners have not demonstrated any defect in that </w:t>
      </w:r>
      <w:r w:rsidRPr="00250115">
        <w:rPr>
          <w:i/>
          <w:szCs w:val="22"/>
        </w:rPr>
        <w:t>Order</w:t>
      </w:r>
      <w:r w:rsidRPr="00250115">
        <w:rPr>
          <w:szCs w:val="22"/>
        </w:rPr>
        <w:t xml:space="preserve">  under the Commission’s rules and policies.  We note that grant of a petition for reconsideration is appropriate only where the petitioner either shows a material error or omission in the original order or raises additional facts not known or not existing until after the petitioner’s last opportunity to present such matters.</w:t>
      </w:r>
      <w:r>
        <w:rPr>
          <w:rStyle w:val="FootnoteReference"/>
          <w:szCs w:val="22"/>
        </w:rPr>
        <w:footnoteReference w:id="53"/>
      </w:r>
      <w:r w:rsidRPr="00250115">
        <w:rPr>
          <w:szCs w:val="22"/>
        </w:rPr>
        <w:t xml:space="preserve">  In addition, a petition for reconsideration that simply reiterates arguments previously considered and rejected will be denied.</w:t>
      </w:r>
      <w:r>
        <w:rPr>
          <w:rStyle w:val="FootnoteReference"/>
          <w:szCs w:val="22"/>
        </w:rPr>
        <w:footnoteReference w:id="54"/>
      </w:r>
    </w:p>
    <w:p w:rsidR="00182338" w:rsidRPr="00182338" w:rsidRDefault="00182338" w:rsidP="00182338">
      <w:pPr>
        <w:pStyle w:val="ParaNum"/>
      </w:pPr>
      <w:r w:rsidRPr="00182338">
        <w:rPr>
          <w:szCs w:val="22"/>
        </w:rPr>
        <w:t xml:space="preserve">Upon review </w:t>
      </w:r>
      <w:r w:rsidR="00B872EE" w:rsidRPr="00182338">
        <w:rPr>
          <w:szCs w:val="22"/>
        </w:rPr>
        <w:t>of the</w:t>
      </w:r>
      <w:r w:rsidRPr="00182338">
        <w:rPr>
          <w:szCs w:val="22"/>
        </w:rPr>
        <w:t xml:space="preserve"> </w:t>
      </w:r>
      <w:r w:rsidRPr="00770E84">
        <w:rPr>
          <w:szCs w:val="22"/>
        </w:rPr>
        <w:t>2012 Petition</w:t>
      </w:r>
      <w:r w:rsidRPr="00182338">
        <w:rPr>
          <w:szCs w:val="22"/>
        </w:rPr>
        <w:t xml:space="preserve">, we find Petitioners have failed to demonstrate that the </w:t>
      </w:r>
      <w:r w:rsidRPr="00770E84">
        <w:rPr>
          <w:i/>
          <w:szCs w:val="22"/>
        </w:rPr>
        <w:t>2012 Order</w:t>
      </w:r>
      <w:r w:rsidRPr="00182338">
        <w:rPr>
          <w:szCs w:val="22"/>
        </w:rPr>
        <w:t xml:space="preserve"> contains a material error, or did not fully and fairly consider the arguments made in </w:t>
      </w:r>
      <w:r w:rsidR="002814C0">
        <w:rPr>
          <w:szCs w:val="22"/>
        </w:rPr>
        <w:t xml:space="preserve">that </w:t>
      </w:r>
      <w:r w:rsidRPr="00182338">
        <w:rPr>
          <w:szCs w:val="22"/>
        </w:rPr>
        <w:t xml:space="preserve">Petition.  </w:t>
      </w:r>
      <w:r w:rsidR="0034286D">
        <w:rPr>
          <w:szCs w:val="22"/>
        </w:rPr>
        <w:t xml:space="preserve">Accordingly, </w:t>
      </w:r>
      <w:r w:rsidRPr="00182338">
        <w:rPr>
          <w:szCs w:val="22"/>
        </w:rPr>
        <w:t>we find no reason to return the</w:t>
      </w:r>
      <w:r w:rsidR="0034286D">
        <w:rPr>
          <w:szCs w:val="22"/>
        </w:rPr>
        <w:t xml:space="preserve"> 2007 </w:t>
      </w:r>
      <w:r w:rsidRPr="00182338">
        <w:rPr>
          <w:szCs w:val="22"/>
        </w:rPr>
        <w:t>Application to pending status and to hold it in abeyance.</w:t>
      </w:r>
      <w:r w:rsidR="0034286D">
        <w:rPr>
          <w:rStyle w:val="FootnoteReference"/>
          <w:szCs w:val="22"/>
        </w:rPr>
        <w:footnoteReference w:id="55"/>
      </w:r>
      <w:r w:rsidRPr="00182338">
        <w:rPr>
          <w:szCs w:val="22"/>
        </w:rPr>
        <w:t xml:space="preserve">  As there are no</w:t>
      </w:r>
      <w:r w:rsidR="00E4185E">
        <w:rPr>
          <w:szCs w:val="22"/>
        </w:rPr>
        <w:t xml:space="preserve"> </w:t>
      </w:r>
      <w:r w:rsidRPr="00182338">
        <w:rPr>
          <w:szCs w:val="22"/>
        </w:rPr>
        <w:t xml:space="preserve">remaining </w:t>
      </w:r>
      <w:r w:rsidR="00991D4A">
        <w:rPr>
          <w:szCs w:val="22"/>
        </w:rPr>
        <w:t xml:space="preserve">controversies </w:t>
      </w:r>
      <w:r w:rsidRPr="00182338">
        <w:rPr>
          <w:szCs w:val="22"/>
        </w:rPr>
        <w:t>to be addressed</w:t>
      </w:r>
      <w:r w:rsidR="00991D4A">
        <w:rPr>
          <w:szCs w:val="22"/>
        </w:rPr>
        <w:t xml:space="preserve"> or uncertainties to be resolved</w:t>
      </w:r>
      <w:r w:rsidRPr="00182338">
        <w:rPr>
          <w:szCs w:val="22"/>
        </w:rPr>
        <w:t xml:space="preserve">, we find no need for the declaratory ruling requested by </w:t>
      </w:r>
      <w:r w:rsidR="00B872EE" w:rsidRPr="00182338">
        <w:rPr>
          <w:szCs w:val="22"/>
        </w:rPr>
        <w:t>Petitioners</w:t>
      </w:r>
      <w:r w:rsidRPr="00182338">
        <w:rPr>
          <w:szCs w:val="22"/>
        </w:rPr>
        <w:t xml:space="preserve"> under Section 1.2(a) of the Rules</w:t>
      </w:r>
      <w:r>
        <w:rPr>
          <w:rStyle w:val="FootnoteReference"/>
          <w:szCs w:val="22"/>
        </w:rPr>
        <w:footnoteReference w:id="56"/>
      </w:r>
      <w:r w:rsidR="00E4185E">
        <w:rPr>
          <w:szCs w:val="22"/>
        </w:rPr>
        <w:t xml:space="preserve"> </w:t>
      </w:r>
      <w:r w:rsidRPr="00182338">
        <w:rPr>
          <w:szCs w:val="22"/>
        </w:rPr>
        <w:t xml:space="preserve">and no basis for taking </w:t>
      </w:r>
      <w:r w:rsidR="00991D4A">
        <w:rPr>
          <w:szCs w:val="22"/>
        </w:rPr>
        <w:t xml:space="preserve">separate </w:t>
      </w:r>
      <w:r w:rsidRPr="00182338">
        <w:rPr>
          <w:szCs w:val="22"/>
        </w:rPr>
        <w:t>action under Section 1.41 of the Rules.</w:t>
      </w:r>
      <w:r>
        <w:rPr>
          <w:rStyle w:val="FootnoteReference"/>
          <w:szCs w:val="22"/>
        </w:rPr>
        <w:footnoteReference w:id="57"/>
      </w:r>
    </w:p>
    <w:p w:rsidR="00182338" w:rsidRDefault="00182338" w:rsidP="00182338">
      <w:pPr>
        <w:pStyle w:val="ParaNum"/>
        <w:rPr>
          <w:szCs w:val="22"/>
        </w:rPr>
      </w:pPr>
      <w:r w:rsidRPr="004F5E23">
        <w:rPr>
          <w:i/>
          <w:szCs w:val="22"/>
        </w:rPr>
        <w:t>Conclusion</w:t>
      </w:r>
      <w:r w:rsidRPr="004F5E23">
        <w:rPr>
          <w:szCs w:val="22"/>
        </w:rPr>
        <w:t xml:space="preserve">.  We conclude that the </w:t>
      </w:r>
      <w:r w:rsidRPr="004F5E23">
        <w:rPr>
          <w:i/>
          <w:szCs w:val="22"/>
        </w:rPr>
        <w:t>2012 Order</w:t>
      </w:r>
      <w:r w:rsidRPr="004F5E23">
        <w:rPr>
          <w:szCs w:val="22"/>
        </w:rPr>
        <w:t xml:space="preserve"> properly denied the 2007 Petition pursuant to Section 1.106(c).</w:t>
      </w:r>
      <w:r w:rsidR="00991D4A">
        <w:rPr>
          <w:rStyle w:val="FootnoteReference"/>
          <w:szCs w:val="22"/>
        </w:rPr>
        <w:footnoteReference w:id="58"/>
      </w:r>
      <w:r w:rsidR="007632F0">
        <w:rPr>
          <w:szCs w:val="22"/>
        </w:rPr>
        <w:t xml:space="preserve"> </w:t>
      </w:r>
      <w:r w:rsidRPr="004F5E23">
        <w:rPr>
          <w:szCs w:val="22"/>
        </w:rPr>
        <w:t xml:space="preserve"> We therefore deny 2012 Petition and affirm the </w:t>
      </w:r>
      <w:r w:rsidRPr="004F5E23">
        <w:rPr>
          <w:i/>
          <w:szCs w:val="22"/>
        </w:rPr>
        <w:t>2012 Order</w:t>
      </w:r>
      <w:r w:rsidRPr="004F5E23">
        <w:rPr>
          <w:szCs w:val="22"/>
        </w:rPr>
        <w:t>.</w:t>
      </w:r>
    </w:p>
    <w:p w:rsidR="00182338" w:rsidRPr="004F5E23" w:rsidRDefault="00182338" w:rsidP="00182338">
      <w:pPr>
        <w:pStyle w:val="ParaNum"/>
        <w:rPr>
          <w:szCs w:val="22"/>
        </w:rPr>
      </w:pPr>
      <w:r w:rsidRPr="004F5E23">
        <w:rPr>
          <w:szCs w:val="22"/>
        </w:rPr>
        <w:t xml:space="preserve">Accordingly, IT IS ORDERED, pursuant to Sections 4(i), 303(r), and 405(a) of  the Communications Act of 1934, as amended, 47 U.S.C. §§ 154(i), 303(r), 405(a), and Section 1.106 of the Commission’s Rules, 47 C.F.R. § 1.106, that the Protective, Condition Request or Petition for Reconsideration And Related Requests (i) for Holding in Abeyance and (ii) for </w:t>
      </w:r>
      <w:r w:rsidR="00B872EE" w:rsidRPr="004F5E23">
        <w:rPr>
          <w:szCs w:val="22"/>
        </w:rPr>
        <w:t>Ruling</w:t>
      </w:r>
      <w:r w:rsidRPr="004F5E23">
        <w:rPr>
          <w:szCs w:val="22"/>
        </w:rPr>
        <w:t xml:space="preserve"> under §§ 1.2 or 1.41</w:t>
      </w:r>
      <w:r>
        <w:rPr>
          <w:szCs w:val="22"/>
        </w:rPr>
        <w:t xml:space="preserve">, filed </w:t>
      </w:r>
      <w:r w:rsidRPr="004F5E23">
        <w:rPr>
          <w:szCs w:val="22"/>
        </w:rPr>
        <w:t>Mar</w:t>
      </w:r>
      <w:r w:rsidR="00AB5A85">
        <w:rPr>
          <w:szCs w:val="22"/>
        </w:rPr>
        <w:t>ch</w:t>
      </w:r>
      <w:r w:rsidRPr="004F5E23">
        <w:rPr>
          <w:szCs w:val="22"/>
        </w:rPr>
        <w:t xml:space="preserve"> 19, 2012</w:t>
      </w:r>
      <w:r>
        <w:rPr>
          <w:szCs w:val="22"/>
        </w:rPr>
        <w:t xml:space="preserve">, by Warren Havens and Environmental LLC, IS DENIED. </w:t>
      </w:r>
      <w:r w:rsidRPr="004F5E23">
        <w:rPr>
          <w:szCs w:val="22"/>
        </w:rPr>
        <w:t xml:space="preserve"> </w:t>
      </w:r>
    </w:p>
    <w:p w:rsidR="00182338" w:rsidRDefault="00182338" w:rsidP="00182338">
      <w:pPr>
        <w:pStyle w:val="ParaNum"/>
        <w:rPr>
          <w:szCs w:val="22"/>
        </w:rPr>
      </w:pPr>
      <w:r w:rsidRPr="004F5E23">
        <w:rPr>
          <w:szCs w:val="22"/>
        </w:rPr>
        <w:t>This action is taken under delegated authority pursuant to Sections 0.131 and 0.331 of the Commission’s Rules, 47 C.F.R. §§ 0.131, 0.331.</w:t>
      </w:r>
    </w:p>
    <w:p w:rsidR="00483B23" w:rsidRPr="004F5E23" w:rsidRDefault="00483B23" w:rsidP="00483B23">
      <w:pPr>
        <w:pStyle w:val="ParaNum"/>
        <w:numPr>
          <w:ilvl w:val="0"/>
          <w:numId w:val="0"/>
        </w:numPr>
        <w:ind w:left="720"/>
        <w:rPr>
          <w:szCs w:val="22"/>
        </w:rPr>
      </w:pPr>
    </w:p>
    <w:p w:rsidR="00182338" w:rsidRDefault="00182338" w:rsidP="00182338">
      <w:pPr>
        <w:rPr>
          <w:szCs w:val="22"/>
        </w:rPr>
      </w:pPr>
      <w:r w:rsidRPr="004F5E23">
        <w:rPr>
          <w:szCs w:val="22"/>
        </w:rPr>
        <w:tab/>
      </w:r>
      <w:r w:rsidRPr="004F5E23">
        <w:rPr>
          <w:szCs w:val="22"/>
        </w:rPr>
        <w:tab/>
      </w:r>
      <w:r w:rsidRPr="004F5E23">
        <w:rPr>
          <w:szCs w:val="22"/>
        </w:rPr>
        <w:tab/>
      </w:r>
      <w:r w:rsidRPr="004F5E23">
        <w:rPr>
          <w:szCs w:val="22"/>
        </w:rPr>
        <w:tab/>
      </w:r>
      <w:r w:rsidRPr="004F5E23">
        <w:rPr>
          <w:szCs w:val="22"/>
        </w:rPr>
        <w:tab/>
      </w:r>
      <w:r w:rsidRPr="004F5E23">
        <w:rPr>
          <w:szCs w:val="22"/>
        </w:rPr>
        <w:tab/>
        <w:t>FEDERAL COMMUNICATIONS COMMISSION</w:t>
      </w:r>
    </w:p>
    <w:p w:rsidR="00483B23" w:rsidRPr="004F5E23" w:rsidRDefault="00483B23" w:rsidP="00182338">
      <w:pPr>
        <w:rPr>
          <w:szCs w:val="22"/>
        </w:rPr>
      </w:pPr>
    </w:p>
    <w:p w:rsidR="00182338" w:rsidRPr="004F5E23" w:rsidRDefault="00182338" w:rsidP="00182338">
      <w:pPr>
        <w:rPr>
          <w:szCs w:val="22"/>
        </w:rPr>
      </w:pPr>
      <w:r w:rsidRPr="004F5E23">
        <w:rPr>
          <w:szCs w:val="22"/>
        </w:rPr>
        <w:tab/>
      </w:r>
      <w:r w:rsidRPr="004F5E23">
        <w:rPr>
          <w:szCs w:val="22"/>
        </w:rPr>
        <w:tab/>
      </w:r>
      <w:r w:rsidRPr="004F5E23">
        <w:rPr>
          <w:szCs w:val="22"/>
        </w:rPr>
        <w:tab/>
      </w:r>
      <w:r w:rsidRPr="004F5E23">
        <w:rPr>
          <w:szCs w:val="22"/>
        </w:rPr>
        <w:tab/>
      </w:r>
      <w:r w:rsidRPr="004F5E23">
        <w:rPr>
          <w:szCs w:val="22"/>
        </w:rPr>
        <w:tab/>
      </w:r>
    </w:p>
    <w:p w:rsidR="00182338" w:rsidRPr="004F5E23" w:rsidRDefault="00182338" w:rsidP="00182338">
      <w:pPr>
        <w:rPr>
          <w:szCs w:val="22"/>
        </w:rPr>
      </w:pPr>
    </w:p>
    <w:p w:rsidR="00182338" w:rsidRPr="004F5E23" w:rsidRDefault="00182338" w:rsidP="00182338">
      <w:pPr>
        <w:rPr>
          <w:szCs w:val="22"/>
        </w:rPr>
      </w:pPr>
      <w:r w:rsidRPr="004F5E23">
        <w:rPr>
          <w:szCs w:val="22"/>
        </w:rPr>
        <w:tab/>
      </w:r>
      <w:r w:rsidRPr="004F5E23">
        <w:rPr>
          <w:szCs w:val="22"/>
        </w:rPr>
        <w:tab/>
      </w:r>
      <w:r w:rsidRPr="004F5E23">
        <w:rPr>
          <w:szCs w:val="22"/>
        </w:rPr>
        <w:tab/>
      </w:r>
      <w:r w:rsidRPr="004F5E23">
        <w:rPr>
          <w:szCs w:val="22"/>
        </w:rPr>
        <w:tab/>
      </w:r>
      <w:r w:rsidRPr="004F5E23">
        <w:rPr>
          <w:szCs w:val="22"/>
        </w:rPr>
        <w:tab/>
      </w:r>
      <w:r w:rsidRPr="004F5E23">
        <w:rPr>
          <w:szCs w:val="22"/>
        </w:rPr>
        <w:tab/>
      </w:r>
      <w:r w:rsidR="004F4A1F">
        <w:rPr>
          <w:szCs w:val="22"/>
        </w:rPr>
        <w:t xml:space="preserve">Roger </w:t>
      </w:r>
      <w:r w:rsidR="00B93E94">
        <w:rPr>
          <w:szCs w:val="22"/>
        </w:rPr>
        <w:t xml:space="preserve">S. </w:t>
      </w:r>
      <w:r w:rsidR="004F4A1F">
        <w:rPr>
          <w:szCs w:val="22"/>
        </w:rPr>
        <w:t>Noel</w:t>
      </w:r>
    </w:p>
    <w:p w:rsidR="00182338" w:rsidRDefault="00182338" w:rsidP="00182338">
      <w:pPr>
        <w:ind w:left="3600" w:firstLine="720"/>
        <w:rPr>
          <w:szCs w:val="22"/>
        </w:rPr>
      </w:pPr>
      <w:r w:rsidRPr="004F5E23">
        <w:rPr>
          <w:szCs w:val="22"/>
        </w:rPr>
        <w:t xml:space="preserve">Chief, </w:t>
      </w:r>
      <w:r>
        <w:rPr>
          <w:szCs w:val="22"/>
        </w:rPr>
        <w:t>Mobility Division</w:t>
      </w:r>
    </w:p>
    <w:p w:rsidR="00182338" w:rsidRDefault="00182338" w:rsidP="00182338">
      <w:pPr>
        <w:ind w:left="3600" w:firstLine="720"/>
        <w:rPr>
          <w:szCs w:val="22"/>
        </w:rPr>
      </w:pPr>
      <w:r w:rsidRPr="004F5E23">
        <w:rPr>
          <w:szCs w:val="22"/>
        </w:rPr>
        <w:t>Wireless Telecommunications Bureau</w:t>
      </w:r>
    </w:p>
    <w:sectPr w:rsidR="001823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8F1" w:rsidRDefault="008668F1">
      <w:r>
        <w:separator/>
      </w:r>
    </w:p>
  </w:endnote>
  <w:endnote w:type="continuationSeparator" w:id="0">
    <w:p w:rsidR="008668F1" w:rsidRDefault="0086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C4" w:rsidRDefault="00003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22" w:rsidRDefault="000F3322">
    <w:pPr>
      <w:pStyle w:val="Footer"/>
      <w:jc w:val="center"/>
    </w:pPr>
    <w:r>
      <w:rPr>
        <w:rStyle w:val="PageNumber"/>
      </w:rPr>
      <w:fldChar w:fldCharType="begin"/>
    </w:r>
    <w:r>
      <w:rPr>
        <w:rStyle w:val="PageNumber"/>
      </w:rPr>
      <w:instrText xml:space="preserve"> PAGE </w:instrText>
    </w:r>
    <w:r>
      <w:rPr>
        <w:rStyle w:val="PageNumber"/>
      </w:rPr>
      <w:fldChar w:fldCharType="separate"/>
    </w:r>
    <w:r w:rsidR="007C6E3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C4" w:rsidRDefault="00003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8F1" w:rsidRDefault="008668F1">
      <w:pPr>
        <w:rPr>
          <w:sz w:val="20"/>
        </w:rPr>
      </w:pPr>
      <w:r>
        <w:rPr>
          <w:sz w:val="20"/>
        </w:rPr>
        <w:separator/>
      </w:r>
    </w:p>
  </w:footnote>
  <w:footnote w:type="continuationSeparator" w:id="0">
    <w:p w:rsidR="008668F1" w:rsidRDefault="008668F1">
      <w:pPr>
        <w:rPr>
          <w:sz w:val="20"/>
        </w:rPr>
      </w:pPr>
      <w:r>
        <w:rPr>
          <w:sz w:val="20"/>
        </w:rPr>
        <w:separator/>
      </w:r>
    </w:p>
    <w:p w:rsidR="008668F1" w:rsidRDefault="008668F1">
      <w:pPr>
        <w:rPr>
          <w:sz w:val="20"/>
        </w:rPr>
      </w:pPr>
      <w:r>
        <w:rPr>
          <w:sz w:val="20"/>
        </w:rPr>
        <w:t>(...continued from previous page)</w:t>
      </w:r>
    </w:p>
  </w:footnote>
  <w:footnote w:type="continuationNotice" w:id="1">
    <w:p w:rsidR="008668F1" w:rsidRDefault="008668F1">
      <w:pPr>
        <w:jc w:val="right"/>
        <w:rPr>
          <w:sz w:val="20"/>
        </w:rPr>
      </w:pPr>
      <w:r>
        <w:rPr>
          <w:sz w:val="20"/>
        </w:rPr>
        <w:t>(continued....)</w:t>
      </w:r>
    </w:p>
  </w:footnote>
  <w:footnote w:id="2">
    <w:p w:rsidR="00BB681C" w:rsidRPr="007632F0" w:rsidRDefault="00BB681C" w:rsidP="00BB681C">
      <w:pPr>
        <w:pStyle w:val="FootnoteText"/>
      </w:pPr>
      <w:r>
        <w:rPr>
          <w:rStyle w:val="FootnoteReference"/>
        </w:rPr>
        <w:footnoteRef/>
      </w:r>
      <w:r>
        <w:t xml:space="preserve"> </w:t>
      </w:r>
      <w:r w:rsidRPr="007632F0">
        <w:t>Warren Havens</w:t>
      </w:r>
      <w:r>
        <w:t xml:space="preserve"> and Environmental LLC</w:t>
      </w:r>
      <w:r w:rsidRPr="007632F0">
        <w:t xml:space="preserve">, Petition for Reconsideration, File No. 0002168979, Call Sign WHV287, Protective, Condition Request or Petition for Reconsideration And Related Requests (i) for Holding in Abeyance and (ii) for Ruling under §§ 1.2 or 1.41 (filed Mar. 19, 2012) (2012 Petition). </w:t>
      </w:r>
    </w:p>
  </w:footnote>
  <w:footnote w:id="3">
    <w:p w:rsidR="002F4450" w:rsidRPr="007632F0" w:rsidRDefault="002F4450">
      <w:pPr>
        <w:pStyle w:val="FootnoteText"/>
      </w:pPr>
      <w:r w:rsidRPr="007632F0">
        <w:rPr>
          <w:rStyle w:val="FootnoteReference"/>
        </w:rPr>
        <w:footnoteRef/>
      </w:r>
      <w:r w:rsidRPr="007632F0">
        <w:t xml:space="preserve"> Environmental LLC was formerly known as AMTS Consortium LLC (ACL).</w:t>
      </w:r>
      <w:r w:rsidR="00634FAC" w:rsidRPr="007632F0">
        <w:t xml:space="preserve"> </w:t>
      </w:r>
      <w:r w:rsidR="0046284C">
        <w:t xml:space="preserve"> </w:t>
      </w:r>
      <w:r w:rsidR="00634FAC" w:rsidRPr="00660F14">
        <w:rPr>
          <w:i/>
        </w:rPr>
        <w:t xml:space="preserve">See </w:t>
      </w:r>
      <w:r w:rsidR="00634FAC" w:rsidRPr="007632F0">
        <w:t>2012 Petition at 8.</w:t>
      </w:r>
      <w:r w:rsidRPr="007632F0">
        <w:t xml:space="preserve"> </w:t>
      </w:r>
    </w:p>
  </w:footnote>
  <w:footnote w:id="4">
    <w:p w:rsidR="002F4450" w:rsidRPr="007632F0" w:rsidRDefault="002F4450">
      <w:pPr>
        <w:pStyle w:val="FootnoteText"/>
      </w:pPr>
      <w:r w:rsidRPr="007632F0">
        <w:rPr>
          <w:rStyle w:val="FootnoteReference"/>
        </w:rPr>
        <w:footnoteRef/>
      </w:r>
      <w:r w:rsidRPr="007632F0">
        <w:t xml:space="preserve"> Warren </w:t>
      </w:r>
      <w:r w:rsidR="0051227B" w:rsidRPr="007632F0">
        <w:t xml:space="preserve">C. </w:t>
      </w:r>
      <w:r w:rsidRPr="007632F0">
        <w:t xml:space="preserve">Havens, Petition for Reconsideration, File No. 0002168979, </w:t>
      </w:r>
      <w:r w:rsidRPr="007632F0">
        <w:rPr>
          <w:i/>
        </w:rPr>
        <w:t xml:space="preserve">Order </w:t>
      </w:r>
      <w:r w:rsidR="00B872EE" w:rsidRPr="007632F0">
        <w:rPr>
          <w:i/>
        </w:rPr>
        <w:t>on Reconsideration</w:t>
      </w:r>
      <w:r w:rsidRPr="007632F0">
        <w:t>, 27 FCC Rcd 1702 (WTB MB 2012) (</w:t>
      </w:r>
      <w:r w:rsidRPr="007632F0">
        <w:rPr>
          <w:i/>
        </w:rPr>
        <w:t>2012 Order</w:t>
      </w:r>
      <w:r w:rsidRPr="007632F0">
        <w:t>).</w:t>
      </w:r>
      <w:r w:rsidR="00627B9D" w:rsidRPr="007632F0">
        <w:t xml:space="preserve"> </w:t>
      </w:r>
      <w:r w:rsidRPr="007632F0">
        <w:t xml:space="preserve">   </w:t>
      </w:r>
    </w:p>
  </w:footnote>
  <w:footnote w:id="5">
    <w:p w:rsidR="0051227B" w:rsidRPr="007632F0" w:rsidRDefault="0051227B">
      <w:pPr>
        <w:pStyle w:val="FootnoteText"/>
      </w:pPr>
      <w:r w:rsidRPr="007632F0">
        <w:rPr>
          <w:rStyle w:val="FootnoteReference"/>
        </w:rPr>
        <w:footnoteRef/>
      </w:r>
      <w:r w:rsidRPr="007632F0">
        <w:t xml:space="preserve"> In the Matter of Warren C. Havens, File Nos. 0002168979 and 0002168992, Petition for Reconsideration (filed Mar. 26, 2007) (2007 Petition). </w:t>
      </w:r>
      <w:r w:rsidR="00AC3C4A" w:rsidRPr="007632F0">
        <w:t xml:space="preserve"> </w:t>
      </w:r>
      <w:r w:rsidR="00634FAC" w:rsidRPr="007632F0">
        <w:t xml:space="preserve">The 2007 Petition </w:t>
      </w:r>
      <w:r w:rsidR="00627B9D" w:rsidRPr="007632F0">
        <w:t>also sought reconsideration of the denial of a Havens</w:t>
      </w:r>
      <w:r w:rsidR="000477BE" w:rsidRPr="007632F0">
        <w:t>’</w:t>
      </w:r>
      <w:r w:rsidR="00627B9D" w:rsidRPr="007632F0">
        <w:t xml:space="preserve"> request for an extension of time to construct another AMTS Station (Station WHV653, File No. 0002168992).  However,</w:t>
      </w:r>
      <w:r w:rsidR="00634FAC" w:rsidRPr="007632F0">
        <w:t xml:space="preserve"> </w:t>
      </w:r>
      <w:r w:rsidR="00627B9D" w:rsidRPr="007632F0">
        <w:t xml:space="preserve">Havens later withdrew that Petition with respect to that license. </w:t>
      </w:r>
      <w:r w:rsidR="00627B9D" w:rsidRPr="007632F0">
        <w:rPr>
          <w:i/>
        </w:rPr>
        <w:t>See</w:t>
      </w:r>
      <w:r w:rsidR="00627B9D" w:rsidRPr="007632F0">
        <w:t xml:space="preserve"> Partial Withdrawal of Petitions for Reconsideration, Letter</w:t>
      </w:r>
      <w:r w:rsidR="00C33267">
        <w:t xml:space="preserve">, dated Oct. 26, 2007, </w:t>
      </w:r>
      <w:r w:rsidR="00627B9D" w:rsidRPr="007632F0">
        <w:t>from Scot Stone, Deputy Chief, Mobility Div</w:t>
      </w:r>
      <w:r w:rsidR="00634FAC" w:rsidRPr="007632F0">
        <w:t>.</w:t>
      </w:r>
      <w:r w:rsidR="00627B9D" w:rsidRPr="007632F0">
        <w:t>, Wireless Telecommunications Bur</w:t>
      </w:r>
      <w:r w:rsidR="00730B68" w:rsidRPr="007632F0">
        <w:t>.</w:t>
      </w:r>
      <w:r w:rsidR="00627B9D" w:rsidRPr="007632F0">
        <w:t xml:space="preserve">, </w:t>
      </w:r>
      <w:r w:rsidR="00730B68" w:rsidRPr="007632F0">
        <w:t xml:space="preserve">FCC, </w:t>
      </w:r>
      <w:r w:rsidR="00627B9D" w:rsidRPr="007632F0">
        <w:t>to Warren Havens, ACL.</w:t>
      </w:r>
    </w:p>
  </w:footnote>
  <w:footnote w:id="6">
    <w:p w:rsidR="00A82951" w:rsidRPr="007632F0" w:rsidRDefault="00A82951">
      <w:pPr>
        <w:pStyle w:val="FootnoteText"/>
      </w:pPr>
      <w:r w:rsidRPr="007632F0">
        <w:rPr>
          <w:rStyle w:val="FootnoteReference"/>
        </w:rPr>
        <w:footnoteRef/>
      </w:r>
      <w:r w:rsidRPr="007632F0">
        <w:t xml:space="preserve"> </w:t>
      </w:r>
      <w:r w:rsidRPr="007632F0">
        <w:rPr>
          <w:i/>
        </w:rPr>
        <w:t>See</w:t>
      </w:r>
      <w:r w:rsidRPr="007632F0">
        <w:t xml:space="preserve"> Request for Extension of Construction Deadline and License Renewal for Stations WHV287 and WHV653, </w:t>
      </w:r>
      <w:r w:rsidR="00561E1E" w:rsidRPr="007632F0">
        <w:t>Letter</w:t>
      </w:r>
      <w:r w:rsidR="00634FAC" w:rsidRPr="007632F0">
        <w:t xml:space="preserve"> </w:t>
      </w:r>
      <w:r w:rsidR="007632F0" w:rsidRPr="007632F0">
        <w:t xml:space="preserve">dated Feb. 23, 2007, </w:t>
      </w:r>
      <w:r w:rsidRPr="007632F0">
        <w:t>from Thomas Derenge, Deputy Chief, Mobility Div</w:t>
      </w:r>
      <w:r w:rsidR="00634FAC" w:rsidRPr="007632F0">
        <w:t>.</w:t>
      </w:r>
      <w:r w:rsidR="0046284C">
        <w:t>, WTB</w:t>
      </w:r>
      <w:r w:rsidR="00CF1A35" w:rsidRPr="007632F0">
        <w:t xml:space="preserve">, </w:t>
      </w:r>
      <w:r w:rsidR="00730B68" w:rsidRPr="007632F0">
        <w:t xml:space="preserve">FCC, </w:t>
      </w:r>
      <w:r w:rsidRPr="007632F0">
        <w:t>to Warren C. Havens</w:t>
      </w:r>
      <w:r w:rsidR="007632F0" w:rsidRPr="007632F0">
        <w:t xml:space="preserve"> </w:t>
      </w:r>
      <w:r w:rsidRPr="007632F0">
        <w:t>at 2-3 (</w:t>
      </w:r>
      <w:r w:rsidRPr="007632F0">
        <w:rPr>
          <w:i/>
        </w:rPr>
        <w:t>2007 Denial Letter</w:t>
      </w:r>
      <w:r w:rsidRPr="007632F0">
        <w:t>).</w:t>
      </w:r>
      <w:r w:rsidR="00CF1A35" w:rsidRPr="007632F0">
        <w:t xml:space="preserve"> </w:t>
      </w:r>
      <w:r w:rsidR="0046284C">
        <w:t xml:space="preserve"> </w:t>
      </w:r>
      <w:r w:rsidR="00484FEC" w:rsidRPr="007632F0">
        <w:t xml:space="preserve">The </w:t>
      </w:r>
      <w:r w:rsidR="00484FEC" w:rsidRPr="007632F0">
        <w:rPr>
          <w:i/>
        </w:rPr>
        <w:t>2007 Denial Letter</w:t>
      </w:r>
      <w:r w:rsidR="00484FEC" w:rsidRPr="007632F0">
        <w:t xml:space="preserve"> </w:t>
      </w:r>
      <w:r w:rsidRPr="007632F0">
        <w:t xml:space="preserve"> </w:t>
      </w:r>
      <w:r w:rsidR="000477BE" w:rsidRPr="007632F0">
        <w:t>decline</w:t>
      </w:r>
      <w:r w:rsidR="0020790E">
        <w:t>d</w:t>
      </w:r>
      <w:r w:rsidR="000477BE" w:rsidRPr="007632F0">
        <w:t xml:space="preserve"> to grant </w:t>
      </w:r>
      <w:r w:rsidR="00484FEC" w:rsidRPr="007632F0">
        <w:t xml:space="preserve">the </w:t>
      </w:r>
      <w:r w:rsidR="000477BE" w:rsidRPr="007632F0">
        <w:t xml:space="preserve">extension of construction deadline </w:t>
      </w:r>
      <w:r w:rsidR="00484FEC" w:rsidRPr="007632F0">
        <w:t>request</w:t>
      </w:r>
      <w:r w:rsidR="000477BE" w:rsidRPr="007632F0">
        <w:t xml:space="preserve">ed </w:t>
      </w:r>
      <w:r w:rsidR="00484FEC" w:rsidRPr="007632F0">
        <w:t xml:space="preserve">by Havens on July 7, 2006, regarding Stations WHV287 and WHV653 (2006 Extension Request) and dismissed the applications for renewal of these two licenses filed on May 20, 2005. </w:t>
      </w:r>
      <w:r w:rsidR="00561E1E" w:rsidRPr="007632F0">
        <w:t xml:space="preserve">  </w:t>
      </w:r>
      <w:r w:rsidR="00484FEC" w:rsidRPr="007632F0">
        <w:t xml:space="preserve"> </w:t>
      </w:r>
    </w:p>
  </w:footnote>
  <w:footnote w:id="7">
    <w:p w:rsidR="00791C02" w:rsidRPr="007632F0" w:rsidRDefault="00791C02">
      <w:pPr>
        <w:pStyle w:val="FootnoteText"/>
      </w:pPr>
      <w:r w:rsidRPr="007632F0">
        <w:rPr>
          <w:rStyle w:val="FootnoteReference"/>
        </w:rPr>
        <w:footnoteRef/>
      </w:r>
      <w:r w:rsidRPr="007632F0">
        <w:t xml:space="preserve"> Because we </w:t>
      </w:r>
      <w:r w:rsidR="00634FAC" w:rsidRPr="007632F0">
        <w:t xml:space="preserve">dismissed this application </w:t>
      </w:r>
      <w:r w:rsidRPr="007632F0">
        <w:t xml:space="preserve">in </w:t>
      </w:r>
      <w:r w:rsidR="007B67DA" w:rsidRPr="007632F0">
        <w:t>2007</w:t>
      </w:r>
      <w:r w:rsidRPr="007632F0">
        <w:t xml:space="preserve">, we treat Petitioners request to hold </w:t>
      </w:r>
      <w:r w:rsidR="00634FAC" w:rsidRPr="007632F0">
        <w:t xml:space="preserve">it </w:t>
      </w:r>
      <w:r w:rsidRPr="007632F0">
        <w:t>in abeyance as a request</w:t>
      </w:r>
      <w:r w:rsidR="00634FAC" w:rsidRPr="007632F0">
        <w:t xml:space="preserve"> to both </w:t>
      </w:r>
      <w:r w:rsidRPr="007632F0">
        <w:t>return that application to “pending” status</w:t>
      </w:r>
      <w:r w:rsidR="00634FAC" w:rsidRPr="007632F0">
        <w:t xml:space="preserve"> and </w:t>
      </w:r>
      <w:r w:rsidR="00416897" w:rsidRPr="007632F0">
        <w:t>to</w:t>
      </w:r>
      <w:r w:rsidR="00416897">
        <w:t>, then</w:t>
      </w:r>
      <w:r w:rsidR="00B60138">
        <w:t xml:space="preserve">, </w:t>
      </w:r>
      <w:r w:rsidR="00B60138" w:rsidRPr="007632F0">
        <w:t>hold</w:t>
      </w:r>
      <w:r w:rsidR="00634FAC" w:rsidRPr="007632F0">
        <w:t xml:space="preserve"> it in abeyance</w:t>
      </w:r>
      <w:r w:rsidR="007B67DA" w:rsidRPr="007632F0">
        <w:t xml:space="preserve">.  </w:t>
      </w:r>
      <w:r w:rsidR="007B67DA" w:rsidRPr="007632F0">
        <w:rPr>
          <w:i/>
        </w:rPr>
        <w:t>See</w:t>
      </w:r>
      <w:r w:rsidR="007B67DA" w:rsidRPr="007632F0">
        <w:t xml:space="preserve"> </w:t>
      </w:r>
      <w:r w:rsidR="007B67DA" w:rsidRPr="007632F0">
        <w:rPr>
          <w:i/>
        </w:rPr>
        <w:t>2007 Denial Letter</w:t>
      </w:r>
      <w:r w:rsidR="00634FAC" w:rsidRPr="007632F0">
        <w:t xml:space="preserve"> at 2-3.</w:t>
      </w:r>
      <w:r w:rsidR="007B67DA" w:rsidRPr="007632F0">
        <w:t xml:space="preserve">   </w:t>
      </w:r>
      <w:r w:rsidRPr="007632F0">
        <w:t xml:space="preserve"> </w:t>
      </w:r>
    </w:p>
  </w:footnote>
  <w:footnote w:id="8">
    <w:p w:rsidR="00872173" w:rsidRPr="007632F0" w:rsidRDefault="00872173" w:rsidP="00872173">
      <w:pPr>
        <w:pStyle w:val="ParaNum"/>
        <w:numPr>
          <w:ilvl w:val="0"/>
          <w:numId w:val="0"/>
        </w:numPr>
        <w:rPr>
          <w:sz w:val="20"/>
        </w:rPr>
      </w:pPr>
      <w:r w:rsidRPr="007632F0">
        <w:rPr>
          <w:rStyle w:val="FootnoteReference"/>
        </w:rPr>
        <w:footnoteRef/>
      </w:r>
      <w:r w:rsidRPr="007632F0">
        <w:rPr>
          <w:sz w:val="20"/>
        </w:rPr>
        <w:t xml:space="preserve">  Under Section  1.2(a) of its Rules, 47 C.F.R. § 1.2(a), the Commission “may, in accordance with section 5(d) of the Administrative Procedure Act, on motion . . . issue a declaratory ruling terminating a controversy or removing uncertainty.”</w:t>
      </w:r>
    </w:p>
  </w:footnote>
  <w:footnote w:id="9">
    <w:p w:rsidR="00250115" w:rsidRPr="007632F0" w:rsidRDefault="00872173" w:rsidP="00250115">
      <w:pPr>
        <w:pStyle w:val="ParaNum"/>
        <w:numPr>
          <w:ilvl w:val="0"/>
          <w:numId w:val="0"/>
        </w:numPr>
        <w:rPr>
          <w:sz w:val="20"/>
        </w:rPr>
      </w:pPr>
      <w:r w:rsidRPr="007632F0">
        <w:rPr>
          <w:rStyle w:val="FootnoteReference"/>
        </w:rPr>
        <w:footnoteRef/>
      </w:r>
      <w:r w:rsidRPr="007632F0">
        <w:rPr>
          <w:sz w:val="20"/>
        </w:rPr>
        <w:t xml:space="preserve"> </w:t>
      </w:r>
      <w:r w:rsidR="00250115" w:rsidRPr="007632F0">
        <w:rPr>
          <w:sz w:val="20"/>
        </w:rPr>
        <w:t>Under Section 1.41 of those Rules, 47 C.F.R. § 1.41</w:t>
      </w:r>
      <w:r w:rsidR="00B872EE" w:rsidRPr="007632F0">
        <w:rPr>
          <w:sz w:val="20"/>
        </w:rPr>
        <w:t>, “</w:t>
      </w:r>
      <w:r w:rsidR="00250115" w:rsidRPr="007632F0">
        <w:rPr>
          <w:sz w:val="20"/>
        </w:rPr>
        <w:t>[e]xcept where formal procedures are required under the provisions of [Chapter I-Federal Communications Commission], requests for action may be submitted informally.”</w:t>
      </w:r>
    </w:p>
    <w:p w:rsidR="00872173" w:rsidRPr="007632F0" w:rsidRDefault="00872173">
      <w:pPr>
        <w:pStyle w:val="FootnoteText"/>
      </w:pPr>
    </w:p>
  </w:footnote>
  <w:footnote w:id="10">
    <w:p w:rsidR="00791C02" w:rsidRPr="007632F0" w:rsidRDefault="00791C02" w:rsidP="00791C02">
      <w:pPr>
        <w:pStyle w:val="FootnoteText"/>
      </w:pPr>
      <w:r w:rsidRPr="007632F0">
        <w:rPr>
          <w:rStyle w:val="FootnoteReference"/>
        </w:rPr>
        <w:footnoteRef/>
      </w:r>
      <w:r w:rsidRPr="007632F0">
        <w:t xml:space="preserve"> 2012 Petition at 2</w:t>
      </w:r>
      <w:r w:rsidR="00B872EE" w:rsidRPr="007632F0">
        <w:t>, 6</w:t>
      </w:r>
      <w:r w:rsidRPr="007632F0">
        <w:t xml:space="preserve">. </w:t>
      </w:r>
    </w:p>
  </w:footnote>
  <w:footnote w:id="11">
    <w:p w:rsidR="00182338" w:rsidRPr="007632F0" w:rsidRDefault="00182338" w:rsidP="00182338">
      <w:pPr>
        <w:pStyle w:val="FootnoteText"/>
      </w:pPr>
      <w:r w:rsidRPr="007632F0">
        <w:rPr>
          <w:rStyle w:val="FootnoteReference"/>
        </w:rPr>
        <w:footnoteRef/>
      </w:r>
      <w:r w:rsidRPr="007632F0">
        <w:t xml:space="preserve"> </w:t>
      </w:r>
      <w:r w:rsidRPr="007632F0">
        <w:rPr>
          <w:i/>
        </w:rPr>
        <w:t xml:space="preserve">See </w:t>
      </w:r>
      <w:r w:rsidRPr="007632F0">
        <w:t>47 C.F.R. § 80.49(a)(2) (2001).</w:t>
      </w:r>
    </w:p>
  </w:footnote>
  <w:footnote w:id="12">
    <w:p w:rsidR="00182338" w:rsidRPr="007632F0" w:rsidRDefault="00182338" w:rsidP="00182338">
      <w:pPr>
        <w:pStyle w:val="FootnoteText"/>
      </w:pPr>
      <w:r w:rsidRPr="007632F0">
        <w:rPr>
          <w:rStyle w:val="FootnoteReference"/>
        </w:rPr>
        <w:footnoteRef/>
      </w:r>
      <w:r w:rsidRPr="007632F0">
        <w:t xml:space="preserve"> </w:t>
      </w:r>
      <w:r w:rsidRPr="007632F0">
        <w:rPr>
          <w:i/>
        </w:rPr>
        <w:t xml:space="preserve">See </w:t>
      </w:r>
      <w:r w:rsidRPr="007632F0">
        <w:t>Request for Partial Waiver (filed Apr. 1, 2002) (FCC File No. 0000830502).</w:t>
      </w:r>
    </w:p>
  </w:footnote>
  <w:footnote w:id="13">
    <w:p w:rsidR="00182338" w:rsidRPr="007632F0" w:rsidRDefault="00182338" w:rsidP="00182338">
      <w:pPr>
        <w:pStyle w:val="FootnoteText"/>
      </w:pPr>
      <w:r w:rsidRPr="007632F0">
        <w:rPr>
          <w:rStyle w:val="FootnoteReference"/>
        </w:rPr>
        <w:footnoteRef/>
      </w:r>
      <w:r w:rsidRPr="007632F0">
        <w:t xml:space="preserve"> </w:t>
      </w:r>
      <w:r w:rsidRPr="007632F0">
        <w:rPr>
          <w:i/>
        </w:rPr>
        <w:t xml:space="preserve">See </w:t>
      </w:r>
      <w:r w:rsidRPr="007632F0">
        <w:t>Letter</w:t>
      </w:r>
      <w:r w:rsidR="00C33267">
        <w:t>,</w:t>
      </w:r>
      <w:r w:rsidRPr="007632F0">
        <w:t xml:space="preserve"> dated May 3, 2002</w:t>
      </w:r>
      <w:r w:rsidR="00C33267">
        <w:t>,</w:t>
      </w:r>
      <w:r w:rsidRPr="007632F0">
        <w:t xml:space="preserve"> from John J. Schauble, Chief, Policy and Rules Branch, </w:t>
      </w:r>
      <w:r w:rsidR="009E2ABF">
        <w:t xml:space="preserve">PSPWD, </w:t>
      </w:r>
      <w:r w:rsidR="00416897">
        <w:t>WTB,</w:t>
      </w:r>
      <w:r w:rsidR="009E2ABF">
        <w:t xml:space="preserve"> FCC, </w:t>
      </w:r>
      <w:r w:rsidRPr="007632F0">
        <w:t>to Warren C. Havens.</w:t>
      </w:r>
    </w:p>
  </w:footnote>
  <w:footnote w:id="14">
    <w:p w:rsidR="00182338" w:rsidRPr="007632F0" w:rsidRDefault="00182338" w:rsidP="00182338">
      <w:pPr>
        <w:pStyle w:val="FootnoteText"/>
      </w:pPr>
      <w:r w:rsidRPr="007632F0">
        <w:rPr>
          <w:rStyle w:val="FootnoteReference"/>
        </w:rPr>
        <w:footnoteRef/>
      </w:r>
      <w:r w:rsidRPr="007632F0">
        <w:t xml:space="preserve"> </w:t>
      </w:r>
      <w:r w:rsidRPr="007632F0">
        <w:rPr>
          <w:i/>
        </w:rPr>
        <w:t xml:space="preserve">See </w:t>
      </w:r>
      <w:r w:rsidRPr="007632F0">
        <w:t>Request for Partial Waiver, and Extension of Time under § 1.946(e) (filed Apr. 7, 2003) (FCC File No. 0001266344).</w:t>
      </w:r>
    </w:p>
  </w:footnote>
  <w:footnote w:id="15">
    <w:p w:rsidR="00182338" w:rsidRPr="007632F0" w:rsidRDefault="00182338" w:rsidP="00182338">
      <w:pPr>
        <w:pStyle w:val="FootnoteText"/>
      </w:pPr>
      <w:r w:rsidRPr="007632F0">
        <w:rPr>
          <w:rStyle w:val="FootnoteReference"/>
        </w:rPr>
        <w:footnoteRef/>
      </w:r>
      <w:r w:rsidRPr="007632F0">
        <w:t xml:space="preserve"> </w:t>
      </w:r>
      <w:r w:rsidRPr="007632F0">
        <w:rPr>
          <w:i/>
        </w:rPr>
        <w:t xml:space="preserve">See </w:t>
      </w:r>
      <w:r w:rsidRPr="007632F0">
        <w:t>Letter</w:t>
      </w:r>
      <w:r w:rsidR="00C33267">
        <w:t>,</w:t>
      </w:r>
      <w:r w:rsidRPr="007632F0">
        <w:t xml:space="preserve"> dated May 14, 2003</w:t>
      </w:r>
      <w:r w:rsidR="007632F0">
        <w:t>,</w:t>
      </w:r>
      <w:r w:rsidRPr="007632F0">
        <w:t xml:space="preserve"> from Scot Stone, Deputy Chief, </w:t>
      </w:r>
      <w:r w:rsidR="009E2ABF">
        <w:t>PSPWD, WTB</w:t>
      </w:r>
      <w:r w:rsidR="007632F0">
        <w:t>, FCC</w:t>
      </w:r>
      <w:r w:rsidR="00B872EE">
        <w:t xml:space="preserve">, </w:t>
      </w:r>
      <w:r w:rsidR="00B872EE" w:rsidRPr="007632F0">
        <w:t>to</w:t>
      </w:r>
      <w:r w:rsidRPr="007632F0">
        <w:t xml:space="preserve"> Warren C. Havens.</w:t>
      </w:r>
    </w:p>
  </w:footnote>
  <w:footnote w:id="16">
    <w:p w:rsidR="00182338" w:rsidRPr="007632F0" w:rsidRDefault="00182338" w:rsidP="00182338">
      <w:pPr>
        <w:pStyle w:val="FootnoteText"/>
      </w:pPr>
      <w:r w:rsidRPr="007632F0">
        <w:rPr>
          <w:rStyle w:val="FootnoteReference"/>
        </w:rPr>
        <w:footnoteRef/>
      </w:r>
      <w:r w:rsidRPr="007632F0">
        <w:t xml:space="preserve"> </w:t>
      </w:r>
      <w:r w:rsidRPr="007632F0">
        <w:rPr>
          <w:i/>
        </w:rPr>
        <w:t xml:space="preserve">See </w:t>
      </w:r>
      <w:r w:rsidRPr="007632F0">
        <w:t xml:space="preserve">Amendment of the Commission’s Rules Concerning Maritime Communications, </w:t>
      </w:r>
      <w:r w:rsidRPr="007632F0">
        <w:rPr>
          <w:i/>
        </w:rPr>
        <w:t>Fifth Report and Order</w:t>
      </w:r>
      <w:r w:rsidRPr="007632F0">
        <w:t>, 17 FCC Rcd 6685, 6699 ¶ 31 (2002).</w:t>
      </w:r>
    </w:p>
  </w:footnote>
  <w:footnote w:id="17">
    <w:p w:rsidR="00182338" w:rsidRPr="007632F0" w:rsidRDefault="00182338" w:rsidP="00182338">
      <w:pPr>
        <w:pStyle w:val="FootnoteText"/>
      </w:pPr>
      <w:r w:rsidRPr="007632F0">
        <w:rPr>
          <w:rStyle w:val="FootnoteReference"/>
        </w:rPr>
        <w:footnoteRef/>
      </w:r>
      <w:r w:rsidRPr="007632F0">
        <w:t xml:space="preserve"> </w:t>
      </w:r>
      <w:r w:rsidRPr="007632F0">
        <w:rPr>
          <w:i/>
        </w:rPr>
        <w:t xml:space="preserve">See </w:t>
      </w:r>
      <w:r w:rsidRPr="007632F0">
        <w:t xml:space="preserve">Wireless Telecommunications Bureau Announces the Grant of 10 Automated Maritime Telecommunications System Licenses, </w:t>
      </w:r>
      <w:r w:rsidRPr="007632F0">
        <w:rPr>
          <w:i/>
        </w:rPr>
        <w:t>Public Notice</w:t>
      </w:r>
      <w:r w:rsidRPr="007632F0">
        <w:t>, 20 FCC Rcd 8244 (WTB 2005).</w:t>
      </w:r>
    </w:p>
  </w:footnote>
  <w:footnote w:id="18">
    <w:p w:rsidR="00182338" w:rsidRPr="007632F0" w:rsidRDefault="00182338" w:rsidP="00182338">
      <w:pPr>
        <w:pStyle w:val="FootnoteText"/>
      </w:pPr>
      <w:r w:rsidRPr="007632F0">
        <w:rPr>
          <w:rStyle w:val="FootnoteReference"/>
        </w:rPr>
        <w:footnoteRef/>
      </w:r>
      <w:r w:rsidRPr="007632F0">
        <w:t xml:space="preserve"> FCC File No. 0002168979.  The license expiration date for Station WHV287 was July 12, 2005.  </w:t>
      </w:r>
    </w:p>
  </w:footnote>
  <w:footnote w:id="19">
    <w:p w:rsidR="00182338" w:rsidRPr="007632F0" w:rsidRDefault="00182338" w:rsidP="00182338">
      <w:pPr>
        <w:pStyle w:val="FootnoteText"/>
      </w:pPr>
      <w:r w:rsidRPr="007632F0">
        <w:rPr>
          <w:rStyle w:val="FootnoteReference"/>
        </w:rPr>
        <w:footnoteRef/>
      </w:r>
      <w:r w:rsidRPr="007632F0">
        <w:t xml:space="preserve"> The Commission reorganized the Wireless Telecommunications Bureau effective November 13, 2003, and the relevant duties of PSPWD were assumed by PSCID.  </w:t>
      </w:r>
      <w:r w:rsidRPr="007632F0">
        <w:rPr>
          <w:i/>
        </w:rPr>
        <w:t xml:space="preserve">See </w:t>
      </w:r>
      <w:r w:rsidRPr="007632F0">
        <w:t xml:space="preserve">Reorganization of the Wireless Telecommunications Bureau, </w:t>
      </w:r>
      <w:r w:rsidRPr="007632F0">
        <w:rPr>
          <w:i/>
        </w:rPr>
        <w:t>Order</w:t>
      </w:r>
      <w:r w:rsidRPr="007632F0">
        <w:t>, 18 FCC Rcd 25414, 25414 ¶ 2 (2003).</w:t>
      </w:r>
    </w:p>
  </w:footnote>
  <w:footnote w:id="20">
    <w:p w:rsidR="00182338" w:rsidRPr="007632F0" w:rsidRDefault="00182338" w:rsidP="00182338">
      <w:pPr>
        <w:pStyle w:val="FootnoteText"/>
      </w:pPr>
      <w:r w:rsidRPr="007632F0">
        <w:rPr>
          <w:rStyle w:val="FootnoteReference"/>
        </w:rPr>
        <w:footnoteRef/>
      </w:r>
      <w:r w:rsidRPr="007632F0">
        <w:t xml:space="preserve"> </w:t>
      </w:r>
      <w:r w:rsidRPr="007632F0">
        <w:rPr>
          <w:i/>
        </w:rPr>
        <w:t xml:space="preserve">See </w:t>
      </w:r>
      <w:r w:rsidRPr="007632F0">
        <w:t>Letter</w:t>
      </w:r>
      <w:r w:rsidR="00C33267">
        <w:t>,</w:t>
      </w:r>
      <w:r w:rsidRPr="007632F0">
        <w:t xml:space="preserve"> dated July 8, 2005</w:t>
      </w:r>
      <w:r w:rsidR="007632F0">
        <w:t>,</w:t>
      </w:r>
      <w:r w:rsidRPr="007632F0">
        <w:t xml:space="preserve"> from Scot Stone, Deputy Chief, </w:t>
      </w:r>
      <w:r w:rsidR="009E2ABF">
        <w:t>PSCID</w:t>
      </w:r>
      <w:r w:rsidR="007632F0">
        <w:t xml:space="preserve">, </w:t>
      </w:r>
      <w:r w:rsidR="009E2ABF">
        <w:t>WTB</w:t>
      </w:r>
      <w:r w:rsidR="007632F0">
        <w:t>, FCC</w:t>
      </w:r>
      <w:r w:rsidR="00B93E94">
        <w:t xml:space="preserve">, </w:t>
      </w:r>
      <w:r w:rsidR="00B93E94" w:rsidRPr="007632F0">
        <w:t>to</w:t>
      </w:r>
      <w:r w:rsidRPr="007632F0">
        <w:t xml:space="preserve"> Warren C. Havens at 2.  </w:t>
      </w:r>
    </w:p>
  </w:footnote>
  <w:footnote w:id="21">
    <w:p w:rsidR="00182338" w:rsidRPr="007632F0" w:rsidRDefault="00182338" w:rsidP="00182338">
      <w:pPr>
        <w:pStyle w:val="FootnoteText"/>
      </w:pPr>
      <w:r w:rsidRPr="007632F0">
        <w:rPr>
          <w:rStyle w:val="FootnoteReference"/>
        </w:rPr>
        <w:footnoteRef/>
      </w:r>
      <w:r w:rsidRPr="007632F0">
        <w:t xml:space="preserve"> </w:t>
      </w:r>
      <w:r w:rsidR="009E2ABF" w:rsidRPr="00770E84">
        <w:rPr>
          <w:i/>
        </w:rPr>
        <w:t>Id</w:t>
      </w:r>
      <w:r w:rsidR="009E2ABF">
        <w:t xml:space="preserve">. </w:t>
      </w:r>
      <w:r w:rsidRPr="007632F0">
        <w:t>at 2 n.</w:t>
      </w:r>
      <w:r w:rsidR="00960E68">
        <w:t xml:space="preserve"> </w:t>
      </w:r>
      <w:r w:rsidRPr="007632F0">
        <w:t>9.</w:t>
      </w:r>
    </w:p>
  </w:footnote>
  <w:footnote w:id="22">
    <w:p w:rsidR="00182338" w:rsidRPr="007632F0" w:rsidRDefault="00182338" w:rsidP="00182338">
      <w:pPr>
        <w:pStyle w:val="FootnoteText"/>
      </w:pPr>
      <w:r w:rsidRPr="007632F0">
        <w:rPr>
          <w:rStyle w:val="FootnoteReference"/>
        </w:rPr>
        <w:footnoteRef/>
      </w:r>
      <w:r w:rsidRPr="007632F0">
        <w:t xml:space="preserve"> FCC File No. 0002196859.</w:t>
      </w:r>
    </w:p>
  </w:footnote>
  <w:footnote w:id="23">
    <w:p w:rsidR="00182338" w:rsidRPr="007632F0" w:rsidRDefault="00182338" w:rsidP="00182338">
      <w:pPr>
        <w:pStyle w:val="FootnoteText"/>
      </w:pPr>
      <w:r w:rsidRPr="007632F0">
        <w:rPr>
          <w:rStyle w:val="FootnoteReference"/>
        </w:rPr>
        <w:footnoteRef/>
      </w:r>
      <w:r w:rsidRPr="007632F0">
        <w:t xml:space="preserve"> </w:t>
      </w:r>
      <w:r w:rsidRPr="007632F0">
        <w:rPr>
          <w:i/>
        </w:rPr>
        <w:t xml:space="preserve">See </w:t>
      </w:r>
      <w:r w:rsidRPr="007632F0">
        <w:t>Letter</w:t>
      </w:r>
      <w:r w:rsidR="00C33267">
        <w:t>,</w:t>
      </w:r>
      <w:r w:rsidRPr="007632F0">
        <w:t xml:space="preserve"> dated April 3, 2006</w:t>
      </w:r>
      <w:r w:rsidR="007632F0">
        <w:t xml:space="preserve">, </w:t>
      </w:r>
      <w:r w:rsidRPr="007632F0">
        <w:t xml:space="preserve">from Michael J. Wilhelm, Chief, </w:t>
      </w:r>
      <w:r w:rsidR="009E2ABF">
        <w:t>PSCID</w:t>
      </w:r>
      <w:r w:rsidR="007632F0">
        <w:t xml:space="preserve">, </w:t>
      </w:r>
      <w:r w:rsidR="009E2ABF">
        <w:t>WTB</w:t>
      </w:r>
      <w:r w:rsidR="007632F0">
        <w:t xml:space="preserve">, FCC, </w:t>
      </w:r>
      <w:r w:rsidRPr="007632F0">
        <w:t xml:space="preserve"> to Byron L. Mills, Esq.</w:t>
      </w:r>
    </w:p>
  </w:footnote>
  <w:footnote w:id="24">
    <w:p w:rsidR="00182338" w:rsidRPr="007632F0" w:rsidRDefault="00182338" w:rsidP="00182338">
      <w:pPr>
        <w:pStyle w:val="FootnoteText"/>
      </w:pPr>
      <w:r w:rsidRPr="007632F0">
        <w:rPr>
          <w:rStyle w:val="FootnoteReference"/>
        </w:rPr>
        <w:footnoteRef/>
      </w:r>
      <w:r w:rsidRPr="007632F0">
        <w:t xml:space="preserve"> </w:t>
      </w:r>
      <w:r w:rsidRPr="007632F0">
        <w:rPr>
          <w:i/>
        </w:rPr>
        <w:t xml:space="preserve">See </w:t>
      </w:r>
      <w:r w:rsidRPr="007632F0">
        <w:t>Waiver Request for Limited Construction Deadline Extension (filed July 6, 2006) (FCC File No. 0002168979)</w:t>
      </w:r>
      <w:r w:rsidR="00E4185E">
        <w:t xml:space="preserve"> (July 2006 Request)</w:t>
      </w:r>
      <w:r w:rsidRPr="007632F0">
        <w:t>.</w:t>
      </w:r>
    </w:p>
  </w:footnote>
  <w:footnote w:id="25">
    <w:p w:rsidR="00182338" w:rsidRPr="007632F0" w:rsidRDefault="00182338" w:rsidP="00182338">
      <w:pPr>
        <w:pStyle w:val="FootnoteText"/>
      </w:pPr>
      <w:r w:rsidRPr="007632F0">
        <w:rPr>
          <w:rStyle w:val="FootnoteReference"/>
        </w:rPr>
        <w:footnoteRef/>
      </w:r>
      <w:r w:rsidRPr="007632F0">
        <w:t xml:space="preserve"> Pursuant to a Commission reorganization effective September 25, 2006, certain duties of PSCID were assumed by the Mobility Division.  </w:t>
      </w:r>
      <w:r w:rsidRPr="007632F0">
        <w:rPr>
          <w:i/>
        </w:rPr>
        <w:t xml:space="preserve">See </w:t>
      </w:r>
      <w:r w:rsidRPr="007632F0">
        <w:t xml:space="preserve">Establishment of the Public Safety and Homeland Security Bureau, </w:t>
      </w:r>
      <w:r w:rsidRPr="007632F0">
        <w:rPr>
          <w:i/>
        </w:rPr>
        <w:t>Order</w:t>
      </w:r>
      <w:r w:rsidRPr="007632F0">
        <w:t>, 21 FCC Rcd 10867 (2006).</w:t>
      </w:r>
    </w:p>
  </w:footnote>
  <w:footnote w:id="26">
    <w:p w:rsidR="00182338" w:rsidRPr="007632F0" w:rsidRDefault="00182338" w:rsidP="00182338">
      <w:pPr>
        <w:pStyle w:val="FootnoteText"/>
      </w:pPr>
      <w:r w:rsidRPr="007632F0">
        <w:rPr>
          <w:rStyle w:val="FootnoteReference"/>
        </w:rPr>
        <w:footnoteRef/>
      </w:r>
      <w:r w:rsidRPr="007632F0">
        <w:t xml:space="preserve"> </w:t>
      </w:r>
      <w:r w:rsidRPr="007632F0">
        <w:rPr>
          <w:i/>
        </w:rPr>
        <w:t>See</w:t>
      </w:r>
      <w:r w:rsidR="0046284C">
        <w:rPr>
          <w:i/>
        </w:rPr>
        <w:t xml:space="preserve"> </w:t>
      </w:r>
      <w:r w:rsidR="009E2ABF" w:rsidRPr="00770E84">
        <w:rPr>
          <w:i/>
        </w:rPr>
        <w:t>2007 Denial Letter</w:t>
      </w:r>
      <w:r w:rsidRPr="007632F0">
        <w:t xml:space="preserve"> at 2-3 (footnote omitted).</w:t>
      </w:r>
    </w:p>
  </w:footnote>
  <w:footnote w:id="27">
    <w:p w:rsidR="00182338" w:rsidRPr="007632F0" w:rsidRDefault="00182338" w:rsidP="00182338">
      <w:pPr>
        <w:pStyle w:val="FootnoteText"/>
      </w:pPr>
      <w:r w:rsidRPr="007632F0">
        <w:rPr>
          <w:rStyle w:val="FootnoteReference"/>
        </w:rPr>
        <w:footnoteRef/>
      </w:r>
      <w:r w:rsidRPr="007632F0">
        <w:t xml:space="preserve"> </w:t>
      </w:r>
      <w:r w:rsidRPr="007632F0">
        <w:rPr>
          <w:i/>
        </w:rPr>
        <w:t>Id.</w:t>
      </w:r>
      <w:r w:rsidRPr="007632F0">
        <w:t xml:space="preserve"> at 3.</w:t>
      </w:r>
    </w:p>
  </w:footnote>
  <w:footnote w:id="28">
    <w:p w:rsidR="00182338" w:rsidRPr="007632F0" w:rsidRDefault="00182338" w:rsidP="00182338">
      <w:pPr>
        <w:pStyle w:val="FootnoteText"/>
      </w:pPr>
      <w:r w:rsidRPr="007632F0">
        <w:rPr>
          <w:rStyle w:val="FootnoteReference"/>
        </w:rPr>
        <w:footnoteRef/>
      </w:r>
      <w:r w:rsidRPr="007632F0">
        <w:t xml:space="preserve"> </w:t>
      </w:r>
      <w:r w:rsidRPr="007632F0">
        <w:rPr>
          <w:i/>
        </w:rPr>
        <w:t xml:space="preserve">See </w:t>
      </w:r>
      <w:r w:rsidR="00B067C0" w:rsidRPr="007632F0">
        <w:t xml:space="preserve">2012 </w:t>
      </w:r>
      <w:r w:rsidRPr="007632F0">
        <w:t>Petition,</w:t>
      </w:r>
      <w:r w:rsidR="00B067C0" w:rsidRPr="007632F0">
        <w:t xml:space="preserve"> </w:t>
      </w:r>
      <w:r w:rsidRPr="007632F0">
        <w:t>n</w:t>
      </w:r>
      <w:r w:rsidR="00B067C0" w:rsidRPr="007632F0">
        <w:t>.</w:t>
      </w:r>
      <w:r w:rsidR="002757EA">
        <w:t xml:space="preserve"> </w:t>
      </w:r>
      <w:r w:rsidRPr="007632F0">
        <w:t>1.</w:t>
      </w:r>
    </w:p>
  </w:footnote>
  <w:footnote w:id="29">
    <w:p w:rsidR="00182338" w:rsidRPr="007632F0" w:rsidRDefault="00182338" w:rsidP="00182338">
      <w:pPr>
        <w:pStyle w:val="FootnoteText"/>
      </w:pPr>
      <w:r w:rsidRPr="007632F0">
        <w:rPr>
          <w:rStyle w:val="FootnoteReference"/>
        </w:rPr>
        <w:footnoteRef/>
      </w:r>
      <w:r w:rsidRPr="007632F0">
        <w:t xml:space="preserve"> </w:t>
      </w:r>
      <w:r w:rsidRPr="007632F0">
        <w:rPr>
          <w:i/>
        </w:rPr>
        <w:t xml:space="preserve">See </w:t>
      </w:r>
      <w:r w:rsidRPr="007632F0">
        <w:t xml:space="preserve">Thomas K. Kurian, </w:t>
      </w:r>
      <w:r w:rsidRPr="007632F0">
        <w:rPr>
          <w:i/>
        </w:rPr>
        <w:t>Order on Reconsideration</w:t>
      </w:r>
      <w:r w:rsidRPr="007632F0">
        <w:t xml:space="preserve">, 22 FCC Rcd 7318, </w:t>
      </w:r>
      <w:r w:rsidRPr="007632F0">
        <w:rPr>
          <w:i/>
        </w:rPr>
        <w:t>recon. dismissed</w:t>
      </w:r>
      <w:r w:rsidRPr="007632F0">
        <w:t xml:space="preserve">, </w:t>
      </w:r>
      <w:r w:rsidRPr="007632F0">
        <w:rPr>
          <w:i/>
        </w:rPr>
        <w:t>Order on Further Reconsideration</w:t>
      </w:r>
      <w:r w:rsidRPr="007632F0">
        <w:t xml:space="preserve">, 22 FCC Rcd 13223, </w:t>
      </w:r>
      <w:r w:rsidRPr="007632F0">
        <w:rPr>
          <w:i/>
        </w:rPr>
        <w:t>recon dismissed</w:t>
      </w:r>
      <w:r w:rsidRPr="007632F0">
        <w:t xml:space="preserve">, </w:t>
      </w:r>
      <w:r w:rsidRPr="007632F0">
        <w:rPr>
          <w:i/>
        </w:rPr>
        <w:t>Second Order on Further Reconsideration</w:t>
      </w:r>
      <w:r w:rsidRPr="007632F0">
        <w:t>, 22 FCC Rcd 20970 (WTB MD 2007).</w:t>
      </w:r>
    </w:p>
  </w:footnote>
  <w:footnote w:id="30">
    <w:p w:rsidR="00182338" w:rsidRPr="007632F0" w:rsidRDefault="00182338" w:rsidP="00182338">
      <w:pPr>
        <w:pStyle w:val="FootnoteText"/>
      </w:pPr>
      <w:r w:rsidRPr="007632F0">
        <w:rPr>
          <w:rStyle w:val="FootnoteReference"/>
        </w:rPr>
        <w:footnoteRef/>
      </w:r>
      <w:r w:rsidRPr="007632F0">
        <w:t xml:space="preserve"> </w:t>
      </w:r>
      <w:r w:rsidRPr="007632F0">
        <w:rPr>
          <w:i/>
        </w:rPr>
        <w:t>See generally</w:t>
      </w:r>
      <w:r w:rsidRPr="007632F0">
        <w:t xml:space="preserve"> Thomas K. Kurian, </w:t>
      </w:r>
      <w:r w:rsidRPr="007632F0">
        <w:rPr>
          <w:i/>
        </w:rPr>
        <w:t>Memorandum Opinion and Order</w:t>
      </w:r>
      <w:r w:rsidRPr="007632F0">
        <w:t xml:space="preserve">, 25 FCC Rcd 13863 (2010), </w:t>
      </w:r>
      <w:r w:rsidRPr="007632F0">
        <w:rPr>
          <w:i/>
        </w:rPr>
        <w:t xml:space="preserve">aff’d sub. nom </w:t>
      </w:r>
      <w:r w:rsidR="00B872EE" w:rsidRPr="007632F0">
        <w:t>Environmental</w:t>
      </w:r>
      <w:r w:rsidRPr="007632F0">
        <w:t>, LLC v. FCC, 661 F.3d 80 (D.C. Cir. 2011).</w:t>
      </w:r>
    </w:p>
  </w:footnote>
  <w:footnote w:id="31">
    <w:p w:rsidR="007564EE" w:rsidRDefault="007564EE">
      <w:pPr>
        <w:pStyle w:val="FootnoteText"/>
      </w:pPr>
      <w:r>
        <w:rPr>
          <w:rStyle w:val="FootnoteReference"/>
        </w:rPr>
        <w:footnoteRef/>
      </w:r>
      <w:r>
        <w:t xml:space="preserve"> </w:t>
      </w:r>
      <w:r w:rsidRPr="00EA2016">
        <w:rPr>
          <w:i/>
        </w:rPr>
        <w:t>See</w:t>
      </w:r>
      <w:r w:rsidRPr="00A1123A">
        <w:rPr>
          <w:i/>
        </w:rPr>
        <w:t xml:space="preserve"> </w:t>
      </w:r>
      <w:r w:rsidR="004471DA" w:rsidRPr="00A1123A">
        <w:rPr>
          <w:i/>
        </w:rPr>
        <w:t>2012 Order</w:t>
      </w:r>
      <w:r w:rsidR="004471DA">
        <w:t>, 27</w:t>
      </w:r>
      <w:r w:rsidR="00A1123A">
        <w:t xml:space="preserve"> FCC </w:t>
      </w:r>
      <w:r w:rsidR="004471DA">
        <w:t>Rcd at</w:t>
      </w:r>
      <w:r w:rsidR="00A1123A">
        <w:t xml:space="preserve"> 1704</w:t>
      </w:r>
      <w:r w:rsidR="004471DA">
        <w:t>, ¶</w:t>
      </w:r>
      <w:r w:rsidR="0046284C">
        <w:t xml:space="preserve"> </w:t>
      </w:r>
      <w:r w:rsidR="00A1123A" w:rsidRPr="007632F0">
        <w:t>9.</w:t>
      </w:r>
      <w:r w:rsidR="00A1123A" w:rsidRPr="007632F0">
        <w:rPr>
          <w:i/>
        </w:rPr>
        <w:t xml:space="preserve"> </w:t>
      </w:r>
      <w:r w:rsidR="00A1123A" w:rsidRPr="007632F0">
        <w:t xml:space="preserve"> </w:t>
      </w:r>
    </w:p>
  </w:footnote>
  <w:footnote w:id="32">
    <w:p w:rsidR="00A1123A" w:rsidRDefault="00A1123A">
      <w:pPr>
        <w:pStyle w:val="FootnoteText"/>
      </w:pPr>
      <w:r>
        <w:rPr>
          <w:rStyle w:val="FootnoteReference"/>
        </w:rPr>
        <w:footnoteRef/>
      </w:r>
      <w:r>
        <w:t xml:space="preserve"> </w:t>
      </w:r>
      <w:r w:rsidRPr="00A1123A">
        <w:rPr>
          <w:i/>
        </w:rPr>
        <w:t>Id</w:t>
      </w:r>
      <w:r>
        <w:t xml:space="preserve">. </w:t>
      </w:r>
    </w:p>
  </w:footnote>
  <w:footnote w:id="33">
    <w:p w:rsidR="008C657E" w:rsidRDefault="008C657E">
      <w:pPr>
        <w:pStyle w:val="FootnoteText"/>
      </w:pPr>
      <w:r>
        <w:rPr>
          <w:rStyle w:val="FootnoteReference"/>
        </w:rPr>
        <w:footnoteRef/>
      </w:r>
      <w:r>
        <w:t xml:space="preserve"> </w:t>
      </w:r>
      <w:r w:rsidRPr="00EA2016">
        <w:rPr>
          <w:i/>
        </w:rPr>
        <w:t>Id</w:t>
      </w:r>
      <w:r>
        <w:t xml:space="preserve">. </w:t>
      </w:r>
    </w:p>
  </w:footnote>
  <w:footnote w:id="34">
    <w:p w:rsidR="00182338" w:rsidRPr="007632F0" w:rsidRDefault="00182338" w:rsidP="00182338">
      <w:pPr>
        <w:pStyle w:val="FootnoteText"/>
      </w:pPr>
      <w:r w:rsidRPr="007632F0">
        <w:rPr>
          <w:rStyle w:val="FootnoteReference"/>
        </w:rPr>
        <w:footnoteRef/>
      </w:r>
      <w:r w:rsidRPr="007632F0">
        <w:t xml:space="preserve"> 47 C.F.R. §1.106(c)(1), (2).  </w:t>
      </w:r>
    </w:p>
  </w:footnote>
  <w:footnote w:id="35">
    <w:p w:rsidR="00182338" w:rsidRPr="007632F0" w:rsidRDefault="00182338" w:rsidP="00182338">
      <w:pPr>
        <w:pStyle w:val="FootnoteText"/>
      </w:pPr>
      <w:r w:rsidRPr="007632F0">
        <w:rPr>
          <w:rStyle w:val="FootnoteReference"/>
        </w:rPr>
        <w:footnoteRef/>
      </w:r>
      <w:r w:rsidRPr="007632F0">
        <w:t xml:space="preserve"> 2012 Petition at 3. </w:t>
      </w:r>
    </w:p>
  </w:footnote>
  <w:footnote w:id="36">
    <w:p w:rsidR="00182338" w:rsidRPr="007632F0" w:rsidRDefault="00182338" w:rsidP="00182338">
      <w:pPr>
        <w:pStyle w:val="FootnoteText"/>
      </w:pPr>
      <w:r w:rsidRPr="007632F0">
        <w:rPr>
          <w:rStyle w:val="FootnoteReference"/>
        </w:rPr>
        <w:footnoteRef/>
      </w:r>
      <w:r w:rsidRPr="007632F0">
        <w:t xml:space="preserve"> </w:t>
      </w:r>
      <w:r w:rsidR="009E2ABF" w:rsidRPr="00770E84">
        <w:rPr>
          <w:i/>
        </w:rPr>
        <w:t>Id</w:t>
      </w:r>
      <w:r w:rsidR="009E2ABF">
        <w:t xml:space="preserve">. </w:t>
      </w:r>
      <w:r w:rsidRPr="007632F0">
        <w:t>at 3 (</w:t>
      </w:r>
      <w:r w:rsidRPr="007632F0">
        <w:rPr>
          <w:i/>
        </w:rPr>
        <w:t>citing 2012 Order</w:t>
      </w:r>
      <w:r w:rsidRPr="007632F0">
        <w:t>, 27 FCC Rcd at 1704, ¶</w:t>
      </w:r>
      <w:r w:rsidR="00E069E3">
        <w:t xml:space="preserve"> </w:t>
      </w:r>
      <w:r w:rsidRPr="007632F0">
        <w:t>9).</w:t>
      </w:r>
      <w:r w:rsidRPr="007632F0">
        <w:rPr>
          <w:i/>
        </w:rPr>
        <w:t xml:space="preserve"> </w:t>
      </w:r>
      <w:r w:rsidRPr="007632F0">
        <w:t xml:space="preserve"> </w:t>
      </w:r>
    </w:p>
  </w:footnote>
  <w:footnote w:id="37">
    <w:p w:rsidR="00182338" w:rsidRPr="007632F0" w:rsidRDefault="00182338" w:rsidP="00182338">
      <w:pPr>
        <w:pStyle w:val="FootnoteText"/>
      </w:pPr>
      <w:r w:rsidRPr="007632F0">
        <w:rPr>
          <w:rStyle w:val="FootnoteReference"/>
        </w:rPr>
        <w:footnoteRef/>
      </w:r>
      <w:r w:rsidRPr="007632F0">
        <w:t xml:space="preserve"> 2012 Petition at 3.  </w:t>
      </w:r>
    </w:p>
  </w:footnote>
  <w:footnote w:id="38">
    <w:p w:rsidR="00182338" w:rsidRPr="007632F0" w:rsidRDefault="00182338" w:rsidP="00182338">
      <w:pPr>
        <w:pStyle w:val="FootnoteText"/>
      </w:pPr>
      <w:r w:rsidRPr="007632F0">
        <w:rPr>
          <w:rStyle w:val="FootnoteReference"/>
        </w:rPr>
        <w:footnoteRef/>
      </w:r>
      <w:r w:rsidRPr="007632F0">
        <w:t xml:space="preserve"> </w:t>
      </w:r>
      <w:r w:rsidRPr="007632F0">
        <w:rPr>
          <w:i/>
        </w:rPr>
        <w:t>2012 Order</w:t>
      </w:r>
      <w:r w:rsidRPr="007632F0">
        <w:t xml:space="preserve">, </w:t>
      </w:r>
      <w:r w:rsidR="007632F0">
        <w:t xml:space="preserve">27 </w:t>
      </w:r>
      <w:r w:rsidRPr="007632F0">
        <w:t>FCC Rcd at</w:t>
      </w:r>
      <w:r w:rsidR="007632F0">
        <w:t xml:space="preserve"> 1704</w:t>
      </w:r>
      <w:r w:rsidR="00B872EE">
        <w:t>, ¶</w:t>
      </w:r>
      <w:r w:rsidR="001F4ABA" w:rsidRPr="007632F0">
        <w:t>¶</w:t>
      </w:r>
      <w:r w:rsidR="001F4ABA">
        <w:t xml:space="preserve"> 8-9</w:t>
      </w:r>
      <w:r w:rsidRPr="007632F0">
        <w:t>.</w:t>
      </w:r>
    </w:p>
  </w:footnote>
  <w:footnote w:id="39">
    <w:p w:rsidR="00182338" w:rsidRPr="007632F0" w:rsidRDefault="00182338" w:rsidP="00182338">
      <w:pPr>
        <w:pStyle w:val="FootnoteText"/>
      </w:pPr>
      <w:r w:rsidRPr="007632F0">
        <w:rPr>
          <w:rStyle w:val="FootnoteReference"/>
        </w:rPr>
        <w:footnoteRef/>
      </w:r>
      <w:r w:rsidRPr="007632F0">
        <w:t xml:space="preserve"> </w:t>
      </w:r>
      <w:r w:rsidRPr="007632F0">
        <w:rPr>
          <w:i/>
        </w:rPr>
        <w:t>2007 Denial Letter</w:t>
      </w:r>
      <w:r w:rsidRPr="007632F0">
        <w:t xml:space="preserve"> at 2-3, </w:t>
      </w:r>
      <w:r w:rsidRPr="007632F0">
        <w:rPr>
          <w:i/>
        </w:rPr>
        <w:t>2012 Order</w:t>
      </w:r>
      <w:r w:rsidRPr="007632F0">
        <w:t xml:space="preserve"> 27 FCC Rcd at 1704, ¶</w:t>
      </w:r>
      <w:r w:rsidR="00DC27AE">
        <w:t xml:space="preserve"> </w:t>
      </w:r>
      <w:r w:rsidRPr="007632F0">
        <w:t xml:space="preserve">9. </w:t>
      </w:r>
    </w:p>
  </w:footnote>
  <w:footnote w:id="40">
    <w:p w:rsidR="00E069E3" w:rsidRDefault="00E069E3">
      <w:pPr>
        <w:pStyle w:val="FootnoteText"/>
      </w:pPr>
      <w:r>
        <w:rPr>
          <w:rStyle w:val="FootnoteReference"/>
        </w:rPr>
        <w:footnoteRef/>
      </w:r>
      <w:r>
        <w:t xml:space="preserve"> 2007 Havens Petition at 2. </w:t>
      </w:r>
    </w:p>
  </w:footnote>
  <w:footnote w:id="41">
    <w:p w:rsidR="00DD579A" w:rsidRDefault="00DD579A" w:rsidP="00DD579A">
      <w:pPr>
        <w:pStyle w:val="FootnoteText"/>
      </w:pPr>
      <w:r>
        <w:rPr>
          <w:rStyle w:val="FootnoteReference"/>
        </w:rPr>
        <w:footnoteRef/>
      </w:r>
      <w:r>
        <w:t xml:space="preserve"> </w:t>
      </w:r>
      <w:r w:rsidRPr="003A6730">
        <w:rPr>
          <w:i/>
        </w:rPr>
        <w:t>2007 Denial Letter</w:t>
      </w:r>
      <w:r>
        <w:t xml:space="preserve"> at 2-3, </w:t>
      </w:r>
      <w:r w:rsidRPr="003A6730">
        <w:rPr>
          <w:i/>
        </w:rPr>
        <w:t>2012 Order</w:t>
      </w:r>
      <w:r>
        <w:t>, 27 FCC Rcd at 2704, ¶ 9.</w:t>
      </w:r>
    </w:p>
  </w:footnote>
  <w:footnote w:id="42">
    <w:p w:rsidR="00182338" w:rsidRPr="007632F0" w:rsidRDefault="00182338" w:rsidP="00182338">
      <w:pPr>
        <w:pStyle w:val="FootnoteText"/>
      </w:pPr>
      <w:r w:rsidRPr="007632F0">
        <w:rPr>
          <w:rStyle w:val="FootnoteReference"/>
        </w:rPr>
        <w:footnoteRef/>
      </w:r>
      <w:r w:rsidRPr="007632F0">
        <w:t xml:space="preserve"> 2012 Petition at 2 (</w:t>
      </w:r>
      <w:r w:rsidRPr="007632F0">
        <w:rPr>
          <w:i/>
        </w:rPr>
        <w:t>citing</w:t>
      </w:r>
      <w:r w:rsidRPr="007632F0">
        <w:t xml:space="preserve"> Skybridge Spectrum Foundation </w:t>
      </w:r>
      <w:r w:rsidRPr="007632F0">
        <w:rPr>
          <w:i/>
        </w:rPr>
        <w:t>et al</w:t>
      </w:r>
      <w:r w:rsidRPr="007632F0">
        <w:t xml:space="preserve">. v. MOBEX Network Services, LLC, </w:t>
      </w:r>
      <w:r w:rsidRPr="007632F0">
        <w:rPr>
          <w:i/>
        </w:rPr>
        <w:t>et al</w:t>
      </w:r>
      <w:r w:rsidRPr="007632F0">
        <w:t>., D. N.J., No. 2:08-cv-03094-KSH-PS (filed June 20, 2008) and Maritime Communications/Land Mobile, LLC, Debtor, Bankr. N.D., Miss. (Aberdeen), No. 11-13463-NPO (filed Aug. 1, 2011).</w:t>
      </w:r>
    </w:p>
  </w:footnote>
  <w:footnote w:id="43">
    <w:p w:rsidR="00152F1E" w:rsidRPr="00EA2016" w:rsidRDefault="00152F1E">
      <w:pPr>
        <w:pStyle w:val="FootnoteText"/>
      </w:pPr>
      <w:r>
        <w:rPr>
          <w:rStyle w:val="FootnoteReference"/>
        </w:rPr>
        <w:footnoteRef/>
      </w:r>
      <w:r>
        <w:t xml:space="preserve"> It appears Petitioners seek to involve the Commission in a contractual dispute between Havens, </w:t>
      </w:r>
      <w:r w:rsidRPr="00EA2016">
        <w:rPr>
          <w:i/>
        </w:rPr>
        <w:t>et al</w:t>
      </w:r>
      <w:r>
        <w:t xml:space="preserve">., and certain others regarding the </w:t>
      </w:r>
      <w:r w:rsidR="005137A2">
        <w:t xml:space="preserve">possible </w:t>
      </w:r>
      <w:r>
        <w:t xml:space="preserve">transfer to ACL of the </w:t>
      </w:r>
      <w:r w:rsidR="005137A2">
        <w:t xml:space="preserve">disputed </w:t>
      </w:r>
      <w:r>
        <w:t>AMTS Block A geographic license. The parties to such co</w:t>
      </w:r>
      <w:r w:rsidRPr="00EA2016">
        <w:t xml:space="preserve">ntractual disputes must </w:t>
      </w:r>
      <w:r w:rsidR="005137A2" w:rsidRPr="00EA2016">
        <w:t>pursue their remedies in the appropriate court or courts and not before the Commission.</w:t>
      </w:r>
      <w:r w:rsidRPr="00EA2016">
        <w:t xml:space="preserve">  </w:t>
      </w:r>
    </w:p>
  </w:footnote>
  <w:footnote w:id="44">
    <w:p w:rsidR="00182338" w:rsidRPr="00EA2016" w:rsidRDefault="00182338" w:rsidP="00182338">
      <w:pPr>
        <w:pStyle w:val="FootnoteText"/>
      </w:pPr>
      <w:r w:rsidRPr="00EA2016">
        <w:rPr>
          <w:rStyle w:val="FootnoteReference"/>
        </w:rPr>
        <w:footnoteRef/>
      </w:r>
      <w:r w:rsidRPr="00EA2016">
        <w:t xml:space="preserve"> </w:t>
      </w:r>
      <w:r w:rsidR="002B41F7" w:rsidRPr="00EA2016">
        <w:rPr>
          <w:i/>
        </w:rPr>
        <w:t>Id</w:t>
      </w:r>
      <w:r w:rsidR="000068E2">
        <w:t>.</w:t>
      </w:r>
      <w:r w:rsidR="002B41F7" w:rsidRPr="00EA2016">
        <w:t xml:space="preserve"> </w:t>
      </w:r>
      <w:r w:rsidRPr="00EA2016">
        <w:t>at 4 (</w:t>
      </w:r>
      <w:r w:rsidRPr="00EA2016">
        <w:rPr>
          <w:i/>
        </w:rPr>
        <w:t>citing</w:t>
      </w:r>
      <w:r w:rsidRPr="00EA2016">
        <w:t xml:space="preserve"> </w:t>
      </w:r>
      <w:r w:rsidRPr="00EA2016">
        <w:rPr>
          <w:i/>
        </w:rPr>
        <w:t>2012 Order</w:t>
      </w:r>
      <w:r w:rsidRPr="00EA2016">
        <w:t xml:space="preserve">, </w:t>
      </w:r>
      <w:r w:rsidR="00550324" w:rsidRPr="00EA2016">
        <w:t>27</w:t>
      </w:r>
      <w:r w:rsidRPr="00EA2016">
        <w:t xml:space="preserve"> FCC Rcd at </w:t>
      </w:r>
      <w:r w:rsidR="00550324" w:rsidRPr="00EA2016">
        <w:t>1704, ¶ 9</w:t>
      </w:r>
      <w:r w:rsidRPr="00EA2016">
        <w:t xml:space="preserve">). </w:t>
      </w:r>
    </w:p>
  </w:footnote>
  <w:footnote w:id="45">
    <w:p w:rsidR="005137A2" w:rsidRDefault="005137A2" w:rsidP="00483B23">
      <w:pPr>
        <w:rPr>
          <w:rFonts w:eastAsiaTheme="minorHAnsi"/>
          <w:snapToGrid/>
          <w:kern w:val="0"/>
          <w:sz w:val="20"/>
        </w:rPr>
      </w:pPr>
      <w:r w:rsidRPr="00EA2016">
        <w:rPr>
          <w:rStyle w:val="FootnoteReference"/>
        </w:rPr>
        <w:footnoteRef/>
      </w:r>
      <w:r w:rsidR="00EE5AD8" w:rsidRPr="00EA2016">
        <w:rPr>
          <w:rFonts w:eastAsiaTheme="minorHAnsi"/>
          <w:snapToGrid/>
          <w:kern w:val="0"/>
          <w:sz w:val="20"/>
        </w:rPr>
        <w:t xml:space="preserve"> </w:t>
      </w:r>
      <w:r w:rsidR="00EE5AD8" w:rsidRPr="00EA2016">
        <w:rPr>
          <w:rFonts w:eastAsiaTheme="minorHAnsi"/>
          <w:i/>
          <w:snapToGrid/>
          <w:kern w:val="0"/>
          <w:sz w:val="20"/>
        </w:rPr>
        <w:t xml:space="preserve">See </w:t>
      </w:r>
      <w:r w:rsidR="00EE5AD8" w:rsidRPr="00EA2016">
        <w:rPr>
          <w:rFonts w:eastAsiaTheme="minorHAnsi"/>
          <w:snapToGrid/>
          <w:kern w:val="0"/>
          <w:sz w:val="20"/>
        </w:rPr>
        <w:t>47 U.S.C.  § 405(a</w:t>
      </w:r>
      <w:r w:rsidR="00B93E94" w:rsidRPr="00EA2016">
        <w:rPr>
          <w:rFonts w:eastAsiaTheme="minorHAnsi"/>
          <w:snapToGrid/>
          <w:kern w:val="0"/>
          <w:sz w:val="20"/>
        </w:rPr>
        <w:t xml:space="preserve">) </w:t>
      </w:r>
      <w:r w:rsidR="00B93E94">
        <w:rPr>
          <w:rFonts w:eastAsiaTheme="minorHAnsi"/>
          <w:snapToGrid/>
          <w:kern w:val="0"/>
          <w:sz w:val="20"/>
        </w:rPr>
        <w:t>(</w:t>
      </w:r>
      <w:r w:rsidR="00EE5AD8" w:rsidRPr="00EA2016">
        <w:rPr>
          <w:rFonts w:eastAsiaTheme="minorHAnsi"/>
          <w:snapToGrid/>
          <w:kern w:val="0"/>
          <w:sz w:val="20"/>
        </w:rPr>
        <w:t>“No [petition for reconsideration before the Commission] shall excuse any person from complying with or obeying any order, decision, report, or action of the Commission, or operate in any manner to stay or postpone the enforcement thereof, without the special order of the Commission.”)</w:t>
      </w:r>
      <w:r w:rsidR="00483B23">
        <w:rPr>
          <w:rFonts w:eastAsiaTheme="minorHAnsi"/>
          <w:snapToGrid/>
          <w:kern w:val="0"/>
          <w:sz w:val="20"/>
        </w:rPr>
        <w:t>.</w:t>
      </w:r>
      <w:r w:rsidR="00EE5AD8" w:rsidRPr="00EA2016">
        <w:rPr>
          <w:rFonts w:eastAsiaTheme="minorHAnsi"/>
          <w:snapToGrid/>
          <w:kern w:val="0"/>
          <w:sz w:val="20"/>
        </w:rPr>
        <w:t xml:space="preserve"> </w:t>
      </w:r>
      <w:r w:rsidR="00EE5AD8">
        <w:rPr>
          <w:rFonts w:eastAsiaTheme="minorHAnsi"/>
          <w:snapToGrid/>
          <w:kern w:val="0"/>
          <w:sz w:val="20"/>
        </w:rPr>
        <w:t xml:space="preserve"> </w:t>
      </w:r>
      <w:r w:rsidR="00EE5AD8" w:rsidRPr="00EA2016">
        <w:rPr>
          <w:rFonts w:eastAsiaTheme="minorHAnsi"/>
          <w:i/>
          <w:snapToGrid/>
          <w:kern w:val="0"/>
          <w:sz w:val="20"/>
        </w:rPr>
        <w:t>See also,</w:t>
      </w:r>
      <w:r w:rsidR="00EE5AD8" w:rsidRPr="00EA2016">
        <w:rPr>
          <w:rFonts w:eastAsiaTheme="minorHAnsi"/>
          <w:snapToGrid/>
          <w:kern w:val="0"/>
          <w:sz w:val="20"/>
        </w:rPr>
        <w:t xml:space="preserve"> 47 C.F.R. § 1.106(n) (“without special order of the Commission, the filing of a petition for reconsideration will not excuse any person from complying with any decision, order, or requirement of the Commission . . . .”).</w:t>
      </w:r>
    </w:p>
    <w:p w:rsidR="00483B23" w:rsidRPr="00EA2016" w:rsidRDefault="00483B23" w:rsidP="00483B23">
      <w:pPr>
        <w:rPr>
          <w:sz w:val="20"/>
        </w:rPr>
      </w:pPr>
    </w:p>
  </w:footnote>
  <w:footnote w:id="46">
    <w:p w:rsidR="00EE5AD8" w:rsidRDefault="00EE5AD8">
      <w:pPr>
        <w:pStyle w:val="FootnoteText"/>
      </w:pPr>
      <w:r>
        <w:rPr>
          <w:rStyle w:val="FootnoteReference"/>
        </w:rPr>
        <w:footnoteRef/>
      </w:r>
      <w:r>
        <w:t xml:space="preserve"> </w:t>
      </w:r>
      <w:r w:rsidRPr="003A6730">
        <w:t>Mobex Network Services, LLC, et al</w:t>
      </w:r>
      <w:r w:rsidRPr="007632F0">
        <w:rPr>
          <w:i/>
        </w:rPr>
        <w:t>.</w:t>
      </w:r>
      <w:r w:rsidRPr="007632F0">
        <w:t xml:space="preserve">, File Nos. 0001370847, 0001370848, 0001370850, 0001768691, </w:t>
      </w:r>
      <w:r w:rsidRPr="007632F0">
        <w:rPr>
          <w:i/>
        </w:rPr>
        <w:t>et al</w:t>
      </w:r>
      <w:r w:rsidRPr="007632F0">
        <w:t>.</w:t>
      </w:r>
      <w:r w:rsidR="00B93E94" w:rsidRPr="007632F0">
        <w:t>, Memorandum</w:t>
      </w:r>
      <w:r w:rsidRPr="007632F0">
        <w:rPr>
          <w:i/>
        </w:rPr>
        <w:t xml:space="preserve"> Opinion and Order</w:t>
      </w:r>
      <w:r w:rsidRPr="007632F0">
        <w:t>, 25 FCC Rcd 3390 (2010) (</w:t>
      </w:r>
      <w:r w:rsidRPr="007632F0">
        <w:rPr>
          <w:i/>
        </w:rPr>
        <w:t>2010 Mobex Order</w:t>
      </w:r>
      <w:r w:rsidR="00B93E94" w:rsidRPr="007632F0">
        <w:t>)</w:t>
      </w:r>
      <w:r>
        <w:t>.</w:t>
      </w:r>
    </w:p>
  </w:footnote>
  <w:footnote w:id="47">
    <w:p w:rsidR="00280C95" w:rsidRPr="007632F0" w:rsidRDefault="00280C95" w:rsidP="00182338">
      <w:pPr>
        <w:pStyle w:val="FootnoteText"/>
      </w:pPr>
      <w:r w:rsidRPr="007632F0">
        <w:rPr>
          <w:rStyle w:val="FootnoteReference"/>
        </w:rPr>
        <w:footnoteRef/>
      </w:r>
      <w:r w:rsidRPr="007632F0">
        <w:t xml:space="preserve"> </w:t>
      </w:r>
      <w:r w:rsidR="00EE5AD8" w:rsidRPr="00EA2016">
        <w:rPr>
          <w:i/>
        </w:rPr>
        <w:t>See 2010 Mobex Order</w:t>
      </w:r>
      <w:r w:rsidR="00EE5AD8">
        <w:t xml:space="preserve">, 25 FCC Rcd at 3396 n.52 (citing </w:t>
      </w:r>
      <w:r w:rsidR="00B93E94">
        <w:t>Michael</w:t>
      </w:r>
      <w:r w:rsidR="00EE5AD8">
        <w:t xml:space="preserve"> D. Bramble, Memorandum Opinion and Order, 58 F.C.C. 2d 565, 578 n.30 (1976)</w:t>
      </w:r>
      <w:r w:rsidR="00B93E94">
        <w:t>.</w:t>
      </w:r>
      <w:r w:rsidRPr="007632F0">
        <w:t xml:space="preserve">  </w:t>
      </w:r>
    </w:p>
  </w:footnote>
  <w:footnote w:id="48">
    <w:p w:rsidR="009046C9" w:rsidRPr="007632F0" w:rsidRDefault="009046C9" w:rsidP="009046C9">
      <w:pPr>
        <w:pStyle w:val="FootnoteText"/>
      </w:pPr>
      <w:r w:rsidRPr="007632F0">
        <w:rPr>
          <w:rStyle w:val="FootnoteReference"/>
        </w:rPr>
        <w:footnoteRef/>
      </w:r>
      <w:r w:rsidR="002B41F7">
        <w:t xml:space="preserve"> </w:t>
      </w:r>
      <w:r w:rsidRPr="007632F0">
        <w:t>47 C.F.R. §§ 1.2, 1.41.</w:t>
      </w:r>
    </w:p>
  </w:footnote>
  <w:footnote w:id="49">
    <w:p w:rsidR="00182338" w:rsidRPr="007632F0" w:rsidRDefault="00182338" w:rsidP="00182338">
      <w:pPr>
        <w:pStyle w:val="FootnoteText"/>
      </w:pPr>
      <w:r w:rsidRPr="007632F0">
        <w:rPr>
          <w:rStyle w:val="FootnoteReference"/>
        </w:rPr>
        <w:footnoteRef/>
      </w:r>
      <w:r w:rsidRPr="007632F0">
        <w:t xml:space="preserve"> 2012 Petition at 4. </w:t>
      </w:r>
    </w:p>
  </w:footnote>
  <w:footnote w:id="50">
    <w:p w:rsidR="00182338" w:rsidRPr="007632F0" w:rsidRDefault="00182338" w:rsidP="00182338">
      <w:pPr>
        <w:pStyle w:val="FootnoteText"/>
      </w:pPr>
      <w:r w:rsidRPr="007632F0">
        <w:rPr>
          <w:rStyle w:val="FootnoteReference"/>
        </w:rPr>
        <w:footnoteRef/>
      </w:r>
      <w:r w:rsidRPr="007632F0">
        <w:t xml:space="preserve"> Petitioners claim two Commission orders, regarding the imposition on Havens of certain sanctions, demonstrate bias against him</w:t>
      </w:r>
      <w:r w:rsidR="006C260E">
        <w:t xml:space="preserve">. </w:t>
      </w:r>
      <w:r w:rsidR="000068E2">
        <w:t xml:space="preserve"> </w:t>
      </w:r>
      <w:r w:rsidRPr="007632F0">
        <w:t xml:space="preserve">2012 Petition at </w:t>
      </w:r>
      <w:r w:rsidR="00EE2084" w:rsidRPr="007632F0">
        <w:t xml:space="preserve">5-6 </w:t>
      </w:r>
      <w:r w:rsidRPr="007632F0">
        <w:t>(</w:t>
      </w:r>
      <w:r w:rsidRPr="007632F0">
        <w:rPr>
          <w:i/>
        </w:rPr>
        <w:t>citing</w:t>
      </w:r>
      <w:r w:rsidRPr="007632F0">
        <w:t xml:space="preserve"> </w:t>
      </w:r>
      <w:r w:rsidR="006C260E" w:rsidRPr="006C260E">
        <w:rPr>
          <w:i/>
        </w:rPr>
        <w:t>Third Reconsideration Order</w:t>
      </w:r>
      <w:r w:rsidR="000068E2">
        <w:t xml:space="preserve"> )</w:t>
      </w:r>
      <w:r w:rsidR="006C260E">
        <w:t>,</w:t>
      </w:r>
      <w:r w:rsidR="003D2EC7">
        <w:t xml:space="preserve"> </w:t>
      </w:r>
      <w:r w:rsidR="00991D4A">
        <w:t>(</w:t>
      </w:r>
      <w:r w:rsidRPr="007632F0">
        <w:t xml:space="preserve">Commission </w:t>
      </w:r>
      <w:r w:rsidR="00991D4A">
        <w:t xml:space="preserve">proposes </w:t>
      </w:r>
      <w:r w:rsidRPr="007632F0">
        <w:t>to impose sanctions on Havens</w:t>
      </w:r>
      <w:r w:rsidR="00991D4A">
        <w:t>)</w:t>
      </w:r>
      <w:r w:rsidR="006C260E">
        <w:t>, a</w:t>
      </w:r>
      <w:r w:rsidRPr="007632F0">
        <w:t>nd Warren C. Havens</w:t>
      </w:r>
      <w:r w:rsidR="00AB5A85">
        <w:t>,</w:t>
      </w:r>
      <w:r w:rsidRPr="007632F0">
        <w:t xml:space="preserve"> Applications to Provide Automated Maritime Telecommunications System Stations at Various Locations in Texas, and Applications to Provide Automated Maritime Telecommunications Systems at Chaffee, Aspen, Colorado Springs, Copper Mountain, and Leadville, Colorado, File Nos. 852997-853009, 853010-853014, </w:t>
      </w:r>
      <w:r w:rsidRPr="007632F0">
        <w:rPr>
          <w:i/>
        </w:rPr>
        <w:t>Memorandum Opinion and Order</w:t>
      </w:r>
      <w:r w:rsidRPr="007632F0">
        <w:t>, 27 FCC Rcd 2756 (2012) (Commission imposes limited sanctions on Havens)</w:t>
      </w:r>
      <w:r w:rsidR="00492C9D">
        <w:t>)</w:t>
      </w:r>
      <w:r w:rsidRPr="007632F0">
        <w:t xml:space="preserve">.  </w:t>
      </w:r>
    </w:p>
  </w:footnote>
  <w:footnote w:id="51">
    <w:p w:rsidR="00182338" w:rsidRPr="007632F0" w:rsidRDefault="00182338" w:rsidP="00182338">
      <w:pPr>
        <w:pStyle w:val="FootnoteText"/>
      </w:pPr>
      <w:r w:rsidRPr="007632F0">
        <w:rPr>
          <w:rStyle w:val="FootnoteReference"/>
        </w:rPr>
        <w:footnoteRef/>
      </w:r>
      <w:r w:rsidRPr="007632F0">
        <w:t xml:space="preserve"> Petitioners claim</w:t>
      </w:r>
      <w:r w:rsidR="00550324" w:rsidRPr="007632F0">
        <w:t xml:space="preserve"> </w:t>
      </w:r>
      <w:r w:rsidR="00991D4A">
        <w:t xml:space="preserve">several </w:t>
      </w:r>
      <w:r w:rsidRPr="007632F0">
        <w:t>actions by the Administrative Law Judge in a pending proceeding demonstrate prejudice against Havens.  2012 Petition at</w:t>
      </w:r>
      <w:r w:rsidR="00550324" w:rsidRPr="007632F0">
        <w:t xml:space="preserve"> 4-5</w:t>
      </w:r>
      <w:r w:rsidRPr="007632F0">
        <w:t xml:space="preserve">. </w:t>
      </w:r>
      <w:r w:rsidR="000068E2">
        <w:t xml:space="preserve"> </w:t>
      </w:r>
      <w:r w:rsidRPr="007632F0">
        <w:rPr>
          <w:i/>
        </w:rPr>
        <w:t>See</w:t>
      </w:r>
      <w:r w:rsidRPr="007632F0">
        <w:t xml:space="preserve"> Maritime Communications/Land Mobile, LLC, Participant in Auction 61 and Licensee of Various Authorizations in the Wireless Radio Services, Applicant for Modification of Various Authorizations in the Wireless Radio Services, </w:t>
      </w:r>
      <w:r w:rsidRPr="007632F0">
        <w:rPr>
          <w:i/>
        </w:rPr>
        <w:t>et al</w:t>
      </w:r>
      <w:r w:rsidRPr="007632F0">
        <w:t xml:space="preserve">., EB Docket No. 11-71, </w:t>
      </w:r>
      <w:r w:rsidRPr="007632F0">
        <w:rPr>
          <w:i/>
        </w:rPr>
        <w:t>Order to Show Cause, Hearing Designation Order, and Notice of Opportunity for Hearing,</w:t>
      </w:r>
      <w:r w:rsidRPr="007632F0">
        <w:t xml:space="preserve"> 26 FCC Rcd 6520 (2011) and later orders in this docket</w:t>
      </w:r>
      <w:r w:rsidR="000F6EB7">
        <w:t>.</w:t>
      </w:r>
      <w:r w:rsidRPr="007632F0">
        <w:t xml:space="preserve">     </w:t>
      </w:r>
    </w:p>
  </w:footnote>
  <w:footnote w:id="52">
    <w:p w:rsidR="00182338" w:rsidRPr="007632F0" w:rsidRDefault="00182338" w:rsidP="00182338">
      <w:pPr>
        <w:pStyle w:val="FootnoteText"/>
      </w:pPr>
      <w:r w:rsidRPr="007632F0">
        <w:rPr>
          <w:rStyle w:val="FootnoteReference"/>
        </w:rPr>
        <w:footnoteRef/>
      </w:r>
      <w:r w:rsidRPr="007632F0">
        <w:t xml:space="preserve"> </w:t>
      </w:r>
      <w:r w:rsidRPr="007632F0">
        <w:rPr>
          <w:i/>
        </w:rPr>
        <w:t>See, e.g.,</w:t>
      </w:r>
      <w:r w:rsidRPr="007632F0">
        <w:t xml:space="preserve"> Barnes Enterprises, </w:t>
      </w:r>
      <w:r w:rsidRPr="007632F0">
        <w:rPr>
          <w:i/>
        </w:rPr>
        <w:t>Memorandum Opinion and Order</w:t>
      </w:r>
      <w:r w:rsidRPr="007632F0">
        <w:t>, 66 F.C.C. 2d 499, 501-02</w:t>
      </w:r>
      <w:r w:rsidR="00483B23">
        <w:t xml:space="preserve"> </w:t>
      </w:r>
      <w:r w:rsidRPr="007632F0">
        <w:t>¶ 6 (1977).</w:t>
      </w:r>
      <w:r w:rsidR="000068E2">
        <w:t xml:space="preserve"> </w:t>
      </w:r>
      <w:r w:rsidRPr="007632F0">
        <w:t xml:space="preserve"> </w:t>
      </w:r>
      <w:r w:rsidRPr="007632F0">
        <w:rPr>
          <w:i/>
        </w:rPr>
        <w:t>See also</w:t>
      </w:r>
      <w:r w:rsidRPr="007632F0">
        <w:t xml:space="preserve"> Mobex Network Services, LLC, </w:t>
      </w:r>
      <w:r w:rsidRPr="007632F0">
        <w:rPr>
          <w:i/>
        </w:rPr>
        <w:t>Order on Reconsideration</w:t>
      </w:r>
      <w:r w:rsidRPr="007632F0">
        <w:t>, 22 FCC Rcd 665, 669</w:t>
      </w:r>
      <w:r w:rsidR="00996BE8">
        <w:t xml:space="preserve"> </w:t>
      </w:r>
      <w:r w:rsidR="00996BE8" w:rsidRPr="007632F0">
        <w:t>¶</w:t>
      </w:r>
      <w:r w:rsidR="00996BE8">
        <w:t xml:space="preserve"> </w:t>
      </w:r>
      <w:r w:rsidR="00996BE8" w:rsidRPr="007632F0">
        <w:t>1</w:t>
      </w:r>
      <w:r w:rsidR="00996BE8">
        <w:t xml:space="preserve">5 </w:t>
      </w:r>
      <w:r w:rsidR="00996BE8" w:rsidRPr="007632F0">
        <w:t>(</w:t>
      </w:r>
      <w:r w:rsidR="00A449CA">
        <w:t>WTB MD 2007)</w:t>
      </w:r>
      <w:r w:rsidRPr="007632F0">
        <w:t>.</w:t>
      </w:r>
    </w:p>
  </w:footnote>
  <w:footnote w:id="53">
    <w:p w:rsidR="00182338" w:rsidRPr="007632F0" w:rsidRDefault="00182338" w:rsidP="00182338">
      <w:pPr>
        <w:pStyle w:val="FootnoteText"/>
      </w:pPr>
      <w:r w:rsidRPr="007632F0">
        <w:rPr>
          <w:rStyle w:val="FootnoteReference"/>
        </w:rPr>
        <w:footnoteRef/>
      </w:r>
      <w:r w:rsidRPr="007632F0">
        <w:t xml:space="preserve"> </w:t>
      </w:r>
      <w:r w:rsidRPr="007632F0">
        <w:rPr>
          <w:i/>
        </w:rPr>
        <w:t>See</w:t>
      </w:r>
      <w:r w:rsidRPr="007632F0">
        <w:t xml:space="preserve"> </w:t>
      </w:r>
      <w:r w:rsidR="00AB5A85">
        <w:t xml:space="preserve">Application </w:t>
      </w:r>
      <w:r w:rsidR="00416897">
        <w:t>of WWIZ</w:t>
      </w:r>
      <w:r w:rsidRPr="007632F0">
        <w:t xml:space="preserve">, Inc., </w:t>
      </w:r>
      <w:r w:rsidR="00AB5A85" w:rsidRPr="00770E84">
        <w:rPr>
          <w:i/>
        </w:rPr>
        <w:t>Memorandum Opinion and Order</w:t>
      </w:r>
      <w:r w:rsidR="00AB5A85">
        <w:t xml:space="preserve">, </w:t>
      </w:r>
      <w:r w:rsidRPr="007632F0">
        <w:t xml:space="preserve">37 F.C.C. 685, 686 (1964), </w:t>
      </w:r>
      <w:r w:rsidRPr="007632F0">
        <w:rPr>
          <w:i/>
        </w:rPr>
        <w:t>aff’d sub nom</w:t>
      </w:r>
      <w:r w:rsidRPr="007632F0">
        <w:t xml:space="preserve">. </w:t>
      </w:r>
      <w:r w:rsidRPr="00492C9D">
        <w:rPr>
          <w:i/>
        </w:rPr>
        <w:t>Lorain Journal Co. v. FCC</w:t>
      </w:r>
      <w:r w:rsidRPr="007632F0">
        <w:t>, 351 F.2d 824 (D.C. Cir.</w:t>
      </w:r>
      <w:r w:rsidR="00492C9D">
        <w:t xml:space="preserve"> 1</w:t>
      </w:r>
      <w:r w:rsidRPr="007632F0">
        <w:t xml:space="preserve">965), </w:t>
      </w:r>
      <w:r w:rsidRPr="007632F0">
        <w:rPr>
          <w:i/>
        </w:rPr>
        <w:t>cert denied</w:t>
      </w:r>
      <w:r w:rsidRPr="007632F0">
        <w:t xml:space="preserve">, 383 U.S. 967 (1966).  </w:t>
      </w:r>
      <w:r w:rsidRPr="007632F0">
        <w:rPr>
          <w:i/>
        </w:rPr>
        <w:t>See also</w:t>
      </w:r>
      <w:r w:rsidRPr="007632F0">
        <w:t>, 47 C.F.R. § 1.106(c).</w:t>
      </w:r>
    </w:p>
  </w:footnote>
  <w:footnote w:id="54">
    <w:p w:rsidR="00182338" w:rsidRPr="007632F0" w:rsidRDefault="00182338" w:rsidP="00182338">
      <w:pPr>
        <w:pStyle w:val="FootnoteText"/>
      </w:pPr>
      <w:r w:rsidRPr="007632F0">
        <w:rPr>
          <w:rStyle w:val="FootnoteReference"/>
        </w:rPr>
        <w:footnoteRef/>
      </w:r>
      <w:r w:rsidRPr="007632F0">
        <w:t xml:space="preserve"> </w:t>
      </w:r>
      <w:r w:rsidRPr="007632F0">
        <w:rPr>
          <w:i/>
        </w:rPr>
        <w:t>Id</w:t>
      </w:r>
      <w:r w:rsidRPr="007632F0">
        <w:t xml:space="preserve">.; </w:t>
      </w:r>
      <w:r w:rsidRPr="007632F0">
        <w:rPr>
          <w:i/>
        </w:rPr>
        <w:t>see also</w:t>
      </w:r>
      <w:r w:rsidRPr="007632F0">
        <w:t xml:space="preserve"> Gaines, Bennett Gilbert, </w:t>
      </w:r>
      <w:r w:rsidRPr="007632F0">
        <w:rPr>
          <w:i/>
        </w:rPr>
        <w:t>Memorandum Opinion and Order</w:t>
      </w:r>
      <w:r w:rsidRPr="007632F0">
        <w:t>, 8 FCC Rcd 3986 (Rev. Bd. 1993).</w:t>
      </w:r>
    </w:p>
  </w:footnote>
  <w:footnote w:id="55">
    <w:p w:rsidR="0034286D" w:rsidRPr="007632F0" w:rsidRDefault="0034286D">
      <w:pPr>
        <w:pStyle w:val="FootnoteText"/>
      </w:pPr>
      <w:r w:rsidRPr="007632F0">
        <w:rPr>
          <w:rStyle w:val="FootnoteReference"/>
        </w:rPr>
        <w:footnoteRef/>
      </w:r>
      <w:r w:rsidRPr="007632F0">
        <w:t xml:space="preserve"> </w:t>
      </w:r>
      <w:r w:rsidRPr="007632F0">
        <w:rPr>
          <w:i/>
        </w:rPr>
        <w:t>See</w:t>
      </w:r>
      <w:r w:rsidRPr="007632F0">
        <w:t xml:space="preserve"> n.</w:t>
      </w:r>
      <w:r w:rsidR="00C91E63">
        <w:t xml:space="preserve"> </w:t>
      </w:r>
      <w:r w:rsidR="007632F0" w:rsidRPr="007632F0">
        <w:t>6</w:t>
      </w:r>
      <w:r w:rsidR="00B872EE" w:rsidRPr="007632F0">
        <w:t xml:space="preserve">, </w:t>
      </w:r>
      <w:r w:rsidR="00B872EE" w:rsidRPr="00E4185E">
        <w:rPr>
          <w:i/>
        </w:rPr>
        <w:t>supra</w:t>
      </w:r>
      <w:r w:rsidRPr="007632F0">
        <w:t>.</w:t>
      </w:r>
    </w:p>
  </w:footnote>
  <w:footnote w:id="56">
    <w:p w:rsidR="00182338" w:rsidRPr="007632F0" w:rsidRDefault="00182338" w:rsidP="00182338">
      <w:pPr>
        <w:pStyle w:val="FootnoteText"/>
      </w:pPr>
      <w:r w:rsidRPr="007632F0">
        <w:rPr>
          <w:rStyle w:val="FootnoteReference"/>
        </w:rPr>
        <w:footnoteRef/>
      </w:r>
      <w:r w:rsidRPr="007632F0">
        <w:t xml:space="preserve"> 47 C.F.R. § 1.2(a). </w:t>
      </w:r>
    </w:p>
  </w:footnote>
  <w:footnote w:id="57">
    <w:p w:rsidR="00182338" w:rsidRPr="007632F0" w:rsidRDefault="00182338" w:rsidP="00182338">
      <w:pPr>
        <w:pStyle w:val="FootnoteText"/>
      </w:pPr>
      <w:r w:rsidRPr="007632F0">
        <w:rPr>
          <w:rStyle w:val="FootnoteReference"/>
        </w:rPr>
        <w:footnoteRef/>
      </w:r>
      <w:r w:rsidRPr="007632F0">
        <w:t xml:space="preserve"> 47 C.F.R. § 1.41.</w:t>
      </w:r>
    </w:p>
  </w:footnote>
  <w:footnote w:id="58">
    <w:p w:rsidR="00991D4A" w:rsidRDefault="00991D4A">
      <w:pPr>
        <w:pStyle w:val="FootnoteText"/>
      </w:pPr>
      <w:r>
        <w:rPr>
          <w:rStyle w:val="FootnoteReference"/>
        </w:rPr>
        <w:footnoteRef/>
      </w:r>
      <w:r>
        <w:t xml:space="preserve"> 47</w:t>
      </w:r>
      <w:r w:rsidRPr="007632F0">
        <w:t xml:space="preserve"> C.F.R. § 1.</w:t>
      </w:r>
      <w:r>
        <w:t>106(c)</w:t>
      </w:r>
      <w:r w:rsidRPr="007632F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C4" w:rsidRDefault="00003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22" w:rsidRDefault="000F3322">
    <w:pPr>
      <w:pStyle w:val="Header"/>
      <w:rPr>
        <w:b w:val="0"/>
      </w:rPr>
    </w:pPr>
    <w:r>
      <w:rPr>
        <w:b w:val="0"/>
      </w:rPr>
      <w:tab/>
      <w:t>Federal Communications Commission</w:t>
    </w:r>
    <w:r>
      <w:rPr>
        <w:b w:val="0"/>
      </w:rPr>
      <w:tab/>
      <w:t xml:space="preserve">DA </w:t>
    </w:r>
    <w:r w:rsidR="0046284C">
      <w:rPr>
        <w:b w:val="0"/>
      </w:rPr>
      <w:t>15</w:t>
    </w:r>
    <w:r>
      <w:rPr>
        <w:b w:val="0"/>
      </w:rPr>
      <w:t>-</w:t>
    </w:r>
    <w:r w:rsidR="00FD4FC9">
      <w:rPr>
        <w:b w:val="0"/>
      </w:rPr>
      <w:t>362</w:t>
    </w:r>
  </w:p>
  <w:p w:rsidR="000F3322" w:rsidRDefault="00834E02">
    <w:pPr>
      <w:pStyle w:val="Header"/>
    </w:pPr>
    <w:r>
      <w:rPr>
        <w:noProof/>
        <w:snapToGrid/>
      </w:rPr>
      <mc:AlternateContent>
        <mc:Choice Requires="wps">
          <w:drawing>
            <wp:anchor distT="0" distB="0" distL="114300" distR="114300" simplePos="0" relativeHeight="251658240" behindDoc="0" locked="0" layoutInCell="0" allowOverlap="1" wp14:anchorId="19576390" wp14:editId="48935292">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0F3322" w:rsidRDefault="000F33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22" w:rsidRDefault="000F3322">
    <w:pPr>
      <w:pStyle w:val="Header"/>
      <w:rPr>
        <w:b w:val="0"/>
      </w:rPr>
    </w:pPr>
    <w:r>
      <w:rPr>
        <w:b w:val="0"/>
      </w:rPr>
      <w:tab/>
      <w:t>Federal Communications Commission</w:t>
    </w:r>
    <w:r>
      <w:rPr>
        <w:b w:val="0"/>
      </w:rPr>
      <w:tab/>
      <w:t xml:space="preserve">DA </w:t>
    </w:r>
    <w:r w:rsidR="00561E1E">
      <w:rPr>
        <w:b w:val="0"/>
      </w:rPr>
      <w:t>15</w:t>
    </w:r>
    <w:r>
      <w:rPr>
        <w:b w:val="0"/>
      </w:rPr>
      <w:t>-</w:t>
    </w:r>
    <w:r w:rsidR="00FD4FC9">
      <w:rPr>
        <w:b w:val="0"/>
      </w:rPr>
      <w:t>362</w:t>
    </w:r>
    <w:r>
      <w:rPr>
        <w:b w:val="0"/>
      </w:rPr>
      <w:t xml:space="preserve"> </w:t>
    </w:r>
  </w:p>
  <w:p w:rsidR="000F3322" w:rsidRDefault="00834E02">
    <w:pPr>
      <w:pStyle w:val="Header"/>
    </w:pPr>
    <w:r>
      <w:rPr>
        <w:noProof/>
        <w:snapToGrid/>
      </w:rPr>
      <mc:AlternateContent>
        <mc:Choice Requires="wps">
          <w:drawing>
            <wp:anchor distT="0" distB="0" distL="114300" distR="114300" simplePos="0" relativeHeight="251657216" behindDoc="0" locked="0" layoutInCell="0" allowOverlap="1" wp14:anchorId="0D2424C3" wp14:editId="3EA2FF7E">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835602"/>
    <w:multiLevelType w:val="hybridMultilevel"/>
    <w:tmpl w:val="D57A66BA"/>
    <w:lvl w:ilvl="0" w:tplc="E91C8F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lvlText w:val="%1."/>
      <w:lvlJc w:val="left"/>
      <w:pPr>
        <w:tabs>
          <w:tab w:val="num" w:pos="1530"/>
        </w:tabs>
        <w:ind w:left="45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4">
    <w:nsid w:val="5A9311F6"/>
    <w:multiLevelType w:val="hybridMultilevel"/>
    <w:tmpl w:val="36329C8A"/>
    <w:lvl w:ilvl="0" w:tplc="E32E1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7"/>
  </w:num>
  <w:num w:numId="2">
    <w:abstractNumId w:val="28"/>
  </w:num>
  <w:num w:numId="3">
    <w:abstractNumId w:val="4"/>
  </w:num>
  <w:num w:numId="4">
    <w:abstractNumId w:val="21"/>
  </w:num>
  <w:num w:numId="5">
    <w:abstractNumId w:val="8"/>
  </w:num>
  <w:num w:numId="6">
    <w:abstractNumId w:val="25"/>
  </w:num>
  <w:num w:numId="7">
    <w:abstractNumId w:val="17"/>
  </w:num>
  <w:num w:numId="8">
    <w:abstractNumId w:val="9"/>
  </w:num>
  <w:num w:numId="9">
    <w:abstractNumId w:val="23"/>
  </w:num>
  <w:num w:numId="10">
    <w:abstractNumId w:val="15"/>
  </w:num>
  <w:num w:numId="11">
    <w:abstractNumId w:val="14"/>
  </w:num>
  <w:num w:numId="12">
    <w:abstractNumId w:val="10"/>
  </w:num>
  <w:num w:numId="13">
    <w:abstractNumId w:val="16"/>
  </w:num>
  <w:num w:numId="14">
    <w:abstractNumId w:val="22"/>
  </w:num>
  <w:num w:numId="15">
    <w:abstractNumId w:val="2"/>
  </w:num>
  <w:num w:numId="16">
    <w:abstractNumId w:val="3"/>
  </w:num>
  <w:num w:numId="17">
    <w:abstractNumId w:val="12"/>
  </w:num>
  <w:num w:numId="18">
    <w:abstractNumId w:val="1"/>
  </w:num>
  <w:num w:numId="19">
    <w:abstractNumId w:val="13"/>
  </w:num>
  <w:num w:numId="20">
    <w:abstractNumId w:val="18"/>
  </w:num>
  <w:num w:numId="21">
    <w:abstractNumId w:val="20"/>
  </w:num>
  <w:num w:numId="22">
    <w:abstractNumId w:val="5"/>
  </w:num>
  <w:num w:numId="23">
    <w:abstractNumId w:val="26"/>
  </w:num>
  <w:num w:numId="24">
    <w:abstractNumId w:val="7"/>
  </w:num>
  <w:num w:numId="25">
    <w:abstractNumId w:val="19"/>
  </w:num>
  <w:num w:numId="26">
    <w:abstractNumId w:val="6"/>
  </w:num>
  <w:num w:numId="27">
    <w:abstractNumId w:val="0"/>
  </w:num>
  <w:num w:numId="28">
    <w:abstractNumId w:val="11"/>
  </w:num>
  <w:num w:numId="29">
    <w:abstractNumId w:val="24"/>
  </w:num>
  <w:num w:numId="30">
    <w:abstractNumId w:val="26"/>
  </w:num>
  <w:num w:numId="31">
    <w:abstractNumId w:val="26"/>
  </w:num>
  <w:num w:numId="32">
    <w:abstractNumId w:val="26"/>
    <w:lvlOverride w:ilvl="0">
      <w:startOverride w:val="1"/>
    </w:lvlOverride>
  </w:num>
  <w:num w:numId="33">
    <w:abstractNumId w:val="2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s-ES"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A9"/>
    <w:rsid w:val="00000BFC"/>
    <w:rsid w:val="00001336"/>
    <w:rsid w:val="00001532"/>
    <w:rsid w:val="000015AE"/>
    <w:rsid w:val="000015E4"/>
    <w:rsid w:val="000017A4"/>
    <w:rsid w:val="00002390"/>
    <w:rsid w:val="000032C4"/>
    <w:rsid w:val="000068E2"/>
    <w:rsid w:val="000072FA"/>
    <w:rsid w:val="00007A9F"/>
    <w:rsid w:val="00010463"/>
    <w:rsid w:val="00016AF2"/>
    <w:rsid w:val="00017974"/>
    <w:rsid w:val="000179F8"/>
    <w:rsid w:val="000209A7"/>
    <w:rsid w:val="00020DED"/>
    <w:rsid w:val="0002159B"/>
    <w:rsid w:val="00022ECD"/>
    <w:rsid w:val="00024D28"/>
    <w:rsid w:val="000268E7"/>
    <w:rsid w:val="00027C83"/>
    <w:rsid w:val="0003132A"/>
    <w:rsid w:val="000317E6"/>
    <w:rsid w:val="000319A6"/>
    <w:rsid w:val="000319C7"/>
    <w:rsid w:val="000331B9"/>
    <w:rsid w:val="00033261"/>
    <w:rsid w:val="00035087"/>
    <w:rsid w:val="000369BA"/>
    <w:rsid w:val="000372EE"/>
    <w:rsid w:val="00037E9E"/>
    <w:rsid w:val="00040CBD"/>
    <w:rsid w:val="00041F91"/>
    <w:rsid w:val="00044006"/>
    <w:rsid w:val="000445BC"/>
    <w:rsid w:val="00045237"/>
    <w:rsid w:val="000456A7"/>
    <w:rsid w:val="000477BE"/>
    <w:rsid w:val="00050698"/>
    <w:rsid w:val="00051167"/>
    <w:rsid w:val="00051298"/>
    <w:rsid w:val="00052A35"/>
    <w:rsid w:val="00052DEF"/>
    <w:rsid w:val="000540FE"/>
    <w:rsid w:val="0005549B"/>
    <w:rsid w:val="000561C9"/>
    <w:rsid w:val="00056950"/>
    <w:rsid w:val="0005723A"/>
    <w:rsid w:val="000575A9"/>
    <w:rsid w:val="000577BB"/>
    <w:rsid w:val="00061F10"/>
    <w:rsid w:val="0006284E"/>
    <w:rsid w:val="00063C77"/>
    <w:rsid w:val="00064470"/>
    <w:rsid w:val="000654BF"/>
    <w:rsid w:val="000700BB"/>
    <w:rsid w:val="0007030B"/>
    <w:rsid w:val="00071170"/>
    <w:rsid w:val="0007167A"/>
    <w:rsid w:val="0007360F"/>
    <w:rsid w:val="00074337"/>
    <w:rsid w:val="000745BF"/>
    <w:rsid w:val="00075323"/>
    <w:rsid w:val="00076304"/>
    <w:rsid w:val="000833C6"/>
    <w:rsid w:val="00083792"/>
    <w:rsid w:val="00085377"/>
    <w:rsid w:val="00085A4A"/>
    <w:rsid w:val="000868F3"/>
    <w:rsid w:val="00086E2E"/>
    <w:rsid w:val="00090717"/>
    <w:rsid w:val="00093CA9"/>
    <w:rsid w:val="00096646"/>
    <w:rsid w:val="00097736"/>
    <w:rsid w:val="000A00F0"/>
    <w:rsid w:val="000A0F06"/>
    <w:rsid w:val="000A2047"/>
    <w:rsid w:val="000A209B"/>
    <w:rsid w:val="000A4FB0"/>
    <w:rsid w:val="000A5E19"/>
    <w:rsid w:val="000A7255"/>
    <w:rsid w:val="000B0484"/>
    <w:rsid w:val="000B17E2"/>
    <w:rsid w:val="000B1C29"/>
    <w:rsid w:val="000B4200"/>
    <w:rsid w:val="000B5FE7"/>
    <w:rsid w:val="000B7187"/>
    <w:rsid w:val="000B759A"/>
    <w:rsid w:val="000C0D3D"/>
    <w:rsid w:val="000C2215"/>
    <w:rsid w:val="000C224A"/>
    <w:rsid w:val="000C5DAE"/>
    <w:rsid w:val="000C66D0"/>
    <w:rsid w:val="000D05D3"/>
    <w:rsid w:val="000D13D8"/>
    <w:rsid w:val="000D4FE4"/>
    <w:rsid w:val="000D59F2"/>
    <w:rsid w:val="000D5CC7"/>
    <w:rsid w:val="000D6178"/>
    <w:rsid w:val="000E5953"/>
    <w:rsid w:val="000E5B89"/>
    <w:rsid w:val="000F015F"/>
    <w:rsid w:val="000F037C"/>
    <w:rsid w:val="000F3322"/>
    <w:rsid w:val="000F352C"/>
    <w:rsid w:val="000F369C"/>
    <w:rsid w:val="000F402A"/>
    <w:rsid w:val="000F5CB0"/>
    <w:rsid w:val="000F6EB7"/>
    <w:rsid w:val="000F70B9"/>
    <w:rsid w:val="000F7A7E"/>
    <w:rsid w:val="0010449C"/>
    <w:rsid w:val="00104882"/>
    <w:rsid w:val="00105789"/>
    <w:rsid w:val="0010661D"/>
    <w:rsid w:val="001068DB"/>
    <w:rsid w:val="00106F79"/>
    <w:rsid w:val="001072B3"/>
    <w:rsid w:val="00107903"/>
    <w:rsid w:val="00107F30"/>
    <w:rsid w:val="00113992"/>
    <w:rsid w:val="001148C4"/>
    <w:rsid w:val="00117E4C"/>
    <w:rsid w:val="00123967"/>
    <w:rsid w:val="001268D9"/>
    <w:rsid w:val="001306D2"/>
    <w:rsid w:val="0013231D"/>
    <w:rsid w:val="00134E0F"/>
    <w:rsid w:val="00135B2B"/>
    <w:rsid w:val="00137059"/>
    <w:rsid w:val="00137E3D"/>
    <w:rsid w:val="00141431"/>
    <w:rsid w:val="00142EFF"/>
    <w:rsid w:val="00144F91"/>
    <w:rsid w:val="00145F75"/>
    <w:rsid w:val="001464D5"/>
    <w:rsid w:val="00146DFD"/>
    <w:rsid w:val="0014772E"/>
    <w:rsid w:val="00147BFD"/>
    <w:rsid w:val="00150313"/>
    <w:rsid w:val="00150E1A"/>
    <w:rsid w:val="00151E30"/>
    <w:rsid w:val="00152F1E"/>
    <w:rsid w:val="0015440C"/>
    <w:rsid w:val="00155D73"/>
    <w:rsid w:val="00157492"/>
    <w:rsid w:val="00157CCC"/>
    <w:rsid w:val="00161CE2"/>
    <w:rsid w:val="00162423"/>
    <w:rsid w:val="00162914"/>
    <w:rsid w:val="00162B35"/>
    <w:rsid w:val="00164FC7"/>
    <w:rsid w:val="00165A32"/>
    <w:rsid w:val="00167F92"/>
    <w:rsid w:val="0017130D"/>
    <w:rsid w:val="00173DBA"/>
    <w:rsid w:val="00176F82"/>
    <w:rsid w:val="00177580"/>
    <w:rsid w:val="0017764D"/>
    <w:rsid w:val="00177FDE"/>
    <w:rsid w:val="0018173F"/>
    <w:rsid w:val="00182338"/>
    <w:rsid w:val="001841FF"/>
    <w:rsid w:val="001855BF"/>
    <w:rsid w:val="00194B9B"/>
    <w:rsid w:val="00196771"/>
    <w:rsid w:val="001A03D0"/>
    <w:rsid w:val="001A0B06"/>
    <w:rsid w:val="001A0DEE"/>
    <w:rsid w:val="001A1AA9"/>
    <w:rsid w:val="001A2360"/>
    <w:rsid w:val="001A2BB7"/>
    <w:rsid w:val="001A2D75"/>
    <w:rsid w:val="001A3C85"/>
    <w:rsid w:val="001A466D"/>
    <w:rsid w:val="001A5280"/>
    <w:rsid w:val="001A66F8"/>
    <w:rsid w:val="001B1877"/>
    <w:rsid w:val="001B2AFD"/>
    <w:rsid w:val="001B3A88"/>
    <w:rsid w:val="001B5985"/>
    <w:rsid w:val="001B5DDB"/>
    <w:rsid w:val="001B6436"/>
    <w:rsid w:val="001B68D7"/>
    <w:rsid w:val="001B6D12"/>
    <w:rsid w:val="001C0306"/>
    <w:rsid w:val="001C25CB"/>
    <w:rsid w:val="001C33CA"/>
    <w:rsid w:val="001C4390"/>
    <w:rsid w:val="001C6B0E"/>
    <w:rsid w:val="001C700A"/>
    <w:rsid w:val="001C7526"/>
    <w:rsid w:val="001D12D2"/>
    <w:rsid w:val="001D29BA"/>
    <w:rsid w:val="001D499A"/>
    <w:rsid w:val="001D7177"/>
    <w:rsid w:val="001E0B0A"/>
    <w:rsid w:val="001E12E3"/>
    <w:rsid w:val="001E2607"/>
    <w:rsid w:val="001E3706"/>
    <w:rsid w:val="001E490D"/>
    <w:rsid w:val="001E539F"/>
    <w:rsid w:val="001F04BA"/>
    <w:rsid w:val="001F1453"/>
    <w:rsid w:val="001F4ABA"/>
    <w:rsid w:val="001F4FFF"/>
    <w:rsid w:val="001F5164"/>
    <w:rsid w:val="001F5319"/>
    <w:rsid w:val="001F583D"/>
    <w:rsid w:val="001F5932"/>
    <w:rsid w:val="001F593A"/>
    <w:rsid w:val="001F5A49"/>
    <w:rsid w:val="001F7830"/>
    <w:rsid w:val="002008A9"/>
    <w:rsid w:val="002052A8"/>
    <w:rsid w:val="00205818"/>
    <w:rsid w:val="00206157"/>
    <w:rsid w:val="0020790E"/>
    <w:rsid w:val="00210BBB"/>
    <w:rsid w:val="00211488"/>
    <w:rsid w:val="002118A6"/>
    <w:rsid w:val="002128E2"/>
    <w:rsid w:val="00212D94"/>
    <w:rsid w:val="002139FA"/>
    <w:rsid w:val="0021458E"/>
    <w:rsid w:val="00214783"/>
    <w:rsid w:val="00215641"/>
    <w:rsid w:val="0021598B"/>
    <w:rsid w:val="00220454"/>
    <w:rsid w:val="00221754"/>
    <w:rsid w:val="00221850"/>
    <w:rsid w:val="00223815"/>
    <w:rsid w:val="0022389F"/>
    <w:rsid w:val="00223C3B"/>
    <w:rsid w:val="00225C30"/>
    <w:rsid w:val="00226F1B"/>
    <w:rsid w:val="00231E9C"/>
    <w:rsid w:val="0023281F"/>
    <w:rsid w:val="002328BC"/>
    <w:rsid w:val="00235151"/>
    <w:rsid w:val="002351B6"/>
    <w:rsid w:val="00236263"/>
    <w:rsid w:val="00237323"/>
    <w:rsid w:val="00237434"/>
    <w:rsid w:val="00240153"/>
    <w:rsid w:val="00242BFC"/>
    <w:rsid w:val="00244D14"/>
    <w:rsid w:val="0024529E"/>
    <w:rsid w:val="00245C83"/>
    <w:rsid w:val="00246DC1"/>
    <w:rsid w:val="00247320"/>
    <w:rsid w:val="00247C26"/>
    <w:rsid w:val="00247D37"/>
    <w:rsid w:val="00250115"/>
    <w:rsid w:val="00250F19"/>
    <w:rsid w:val="00253E2D"/>
    <w:rsid w:val="00254E2C"/>
    <w:rsid w:val="00256053"/>
    <w:rsid w:val="0025699B"/>
    <w:rsid w:val="00261722"/>
    <w:rsid w:val="00261858"/>
    <w:rsid w:val="00261CA4"/>
    <w:rsid w:val="00262635"/>
    <w:rsid w:val="00266040"/>
    <w:rsid w:val="00271EFE"/>
    <w:rsid w:val="002757EA"/>
    <w:rsid w:val="00276E8C"/>
    <w:rsid w:val="0028044C"/>
    <w:rsid w:val="00280C95"/>
    <w:rsid w:val="002814C0"/>
    <w:rsid w:val="00282DB5"/>
    <w:rsid w:val="00283E7C"/>
    <w:rsid w:val="00286338"/>
    <w:rsid w:val="00286637"/>
    <w:rsid w:val="00286EB3"/>
    <w:rsid w:val="0029145C"/>
    <w:rsid w:val="00292504"/>
    <w:rsid w:val="00292C71"/>
    <w:rsid w:val="002933E4"/>
    <w:rsid w:val="00294EDF"/>
    <w:rsid w:val="00295F1E"/>
    <w:rsid w:val="002A0469"/>
    <w:rsid w:val="002A1967"/>
    <w:rsid w:val="002A3032"/>
    <w:rsid w:val="002A4E5D"/>
    <w:rsid w:val="002A5E8E"/>
    <w:rsid w:val="002B0EA1"/>
    <w:rsid w:val="002B1D00"/>
    <w:rsid w:val="002B20BB"/>
    <w:rsid w:val="002B258A"/>
    <w:rsid w:val="002B41F7"/>
    <w:rsid w:val="002B631A"/>
    <w:rsid w:val="002B646C"/>
    <w:rsid w:val="002B6547"/>
    <w:rsid w:val="002B6891"/>
    <w:rsid w:val="002B71DB"/>
    <w:rsid w:val="002C0972"/>
    <w:rsid w:val="002C1058"/>
    <w:rsid w:val="002C22C8"/>
    <w:rsid w:val="002C2684"/>
    <w:rsid w:val="002C2755"/>
    <w:rsid w:val="002C3B92"/>
    <w:rsid w:val="002C5F21"/>
    <w:rsid w:val="002C5F4B"/>
    <w:rsid w:val="002D330C"/>
    <w:rsid w:val="002D37E3"/>
    <w:rsid w:val="002D3F78"/>
    <w:rsid w:val="002D4442"/>
    <w:rsid w:val="002D45A2"/>
    <w:rsid w:val="002D64F9"/>
    <w:rsid w:val="002E200D"/>
    <w:rsid w:val="002E4F5D"/>
    <w:rsid w:val="002E7C6E"/>
    <w:rsid w:val="002F0318"/>
    <w:rsid w:val="002F3864"/>
    <w:rsid w:val="002F4450"/>
    <w:rsid w:val="002F48C4"/>
    <w:rsid w:val="002F5FA3"/>
    <w:rsid w:val="002F7E46"/>
    <w:rsid w:val="003002E4"/>
    <w:rsid w:val="0030088E"/>
    <w:rsid w:val="003019BF"/>
    <w:rsid w:val="00302BFC"/>
    <w:rsid w:val="003039F0"/>
    <w:rsid w:val="00303FD1"/>
    <w:rsid w:val="00305689"/>
    <w:rsid w:val="0030630B"/>
    <w:rsid w:val="00306633"/>
    <w:rsid w:val="00307603"/>
    <w:rsid w:val="00307762"/>
    <w:rsid w:val="003110F5"/>
    <w:rsid w:val="00311D4F"/>
    <w:rsid w:val="0031464D"/>
    <w:rsid w:val="0031584B"/>
    <w:rsid w:val="003159DD"/>
    <w:rsid w:val="003170ED"/>
    <w:rsid w:val="00323E6A"/>
    <w:rsid w:val="00323E92"/>
    <w:rsid w:val="00324A5C"/>
    <w:rsid w:val="0032620C"/>
    <w:rsid w:val="0032658E"/>
    <w:rsid w:val="0033254E"/>
    <w:rsid w:val="00333CED"/>
    <w:rsid w:val="003345B6"/>
    <w:rsid w:val="00335370"/>
    <w:rsid w:val="00335C3E"/>
    <w:rsid w:val="00337780"/>
    <w:rsid w:val="0034286D"/>
    <w:rsid w:val="00342A8B"/>
    <w:rsid w:val="00344679"/>
    <w:rsid w:val="00344A6E"/>
    <w:rsid w:val="00350B02"/>
    <w:rsid w:val="003528DE"/>
    <w:rsid w:val="00352BB1"/>
    <w:rsid w:val="00352C7D"/>
    <w:rsid w:val="003541DD"/>
    <w:rsid w:val="00356008"/>
    <w:rsid w:val="003573C2"/>
    <w:rsid w:val="00357AA5"/>
    <w:rsid w:val="0036001D"/>
    <w:rsid w:val="00360C74"/>
    <w:rsid w:val="0036268F"/>
    <w:rsid w:val="003640E7"/>
    <w:rsid w:val="003648D3"/>
    <w:rsid w:val="00365593"/>
    <w:rsid w:val="00366BA0"/>
    <w:rsid w:val="00366CAD"/>
    <w:rsid w:val="003674A6"/>
    <w:rsid w:val="00367E47"/>
    <w:rsid w:val="00370E8D"/>
    <w:rsid w:val="003727FD"/>
    <w:rsid w:val="00372EDD"/>
    <w:rsid w:val="00375B88"/>
    <w:rsid w:val="00377068"/>
    <w:rsid w:val="0038034A"/>
    <w:rsid w:val="003839FB"/>
    <w:rsid w:val="00384B46"/>
    <w:rsid w:val="0038511D"/>
    <w:rsid w:val="00385299"/>
    <w:rsid w:val="00386616"/>
    <w:rsid w:val="00387B5C"/>
    <w:rsid w:val="00393134"/>
    <w:rsid w:val="003948CD"/>
    <w:rsid w:val="0039641E"/>
    <w:rsid w:val="003977CD"/>
    <w:rsid w:val="003A0664"/>
    <w:rsid w:val="003A0B6F"/>
    <w:rsid w:val="003A1305"/>
    <w:rsid w:val="003A2173"/>
    <w:rsid w:val="003A48E8"/>
    <w:rsid w:val="003A5F5B"/>
    <w:rsid w:val="003A632C"/>
    <w:rsid w:val="003A7A17"/>
    <w:rsid w:val="003B05B1"/>
    <w:rsid w:val="003B72A7"/>
    <w:rsid w:val="003B7B66"/>
    <w:rsid w:val="003B7DEB"/>
    <w:rsid w:val="003C10DC"/>
    <w:rsid w:val="003C2C45"/>
    <w:rsid w:val="003C54A1"/>
    <w:rsid w:val="003C61DE"/>
    <w:rsid w:val="003C689D"/>
    <w:rsid w:val="003C77A9"/>
    <w:rsid w:val="003C7BAB"/>
    <w:rsid w:val="003D155A"/>
    <w:rsid w:val="003D28D4"/>
    <w:rsid w:val="003D2D95"/>
    <w:rsid w:val="003D2EC7"/>
    <w:rsid w:val="003D47AC"/>
    <w:rsid w:val="003D4BA5"/>
    <w:rsid w:val="003E06E6"/>
    <w:rsid w:val="003E0DC1"/>
    <w:rsid w:val="003E19D4"/>
    <w:rsid w:val="003E3234"/>
    <w:rsid w:val="003E4853"/>
    <w:rsid w:val="003E7A14"/>
    <w:rsid w:val="003E7AF8"/>
    <w:rsid w:val="003F1895"/>
    <w:rsid w:val="003F2050"/>
    <w:rsid w:val="003F2156"/>
    <w:rsid w:val="003F268F"/>
    <w:rsid w:val="003F29DA"/>
    <w:rsid w:val="003F4452"/>
    <w:rsid w:val="003F4B61"/>
    <w:rsid w:val="003F60B7"/>
    <w:rsid w:val="003F7F4E"/>
    <w:rsid w:val="00400CFB"/>
    <w:rsid w:val="004024EA"/>
    <w:rsid w:val="004029E9"/>
    <w:rsid w:val="00402CEC"/>
    <w:rsid w:val="0040322E"/>
    <w:rsid w:val="004035C9"/>
    <w:rsid w:val="00403B36"/>
    <w:rsid w:val="004042CD"/>
    <w:rsid w:val="004046A1"/>
    <w:rsid w:val="00405DC5"/>
    <w:rsid w:val="00405E7E"/>
    <w:rsid w:val="0041192B"/>
    <w:rsid w:val="00411DE4"/>
    <w:rsid w:val="004129C1"/>
    <w:rsid w:val="00412D36"/>
    <w:rsid w:val="00416897"/>
    <w:rsid w:val="0042096F"/>
    <w:rsid w:val="004220B1"/>
    <w:rsid w:val="00424706"/>
    <w:rsid w:val="00425692"/>
    <w:rsid w:val="0042699A"/>
    <w:rsid w:val="00431692"/>
    <w:rsid w:val="004317F3"/>
    <w:rsid w:val="00431A2F"/>
    <w:rsid w:val="00432E2F"/>
    <w:rsid w:val="00433DB3"/>
    <w:rsid w:val="00434DEB"/>
    <w:rsid w:val="004351D4"/>
    <w:rsid w:val="004355E8"/>
    <w:rsid w:val="00436261"/>
    <w:rsid w:val="00440E58"/>
    <w:rsid w:val="0044374F"/>
    <w:rsid w:val="0044475C"/>
    <w:rsid w:val="00444803"/>
    <w:rsid w:val="004458F7"/>
    <w:rsid w:val="00445BCD"/>
    <w:rsid w:val="00445D60"/>
    <w:rsid w:val="004471DA"/>
    <w:rsid w:val="004512E3"/>
    <w:rsid w:val="004512F5"/>
    <w:rsid w:val="0045272C"/>
    <w:rsid w:val="00456087"/>
    <w:rsid w:val="00456CA5"/>
    <w:rsid w:val="00461EC1"/>
    <w:rsid w:val="004623D2"/>
    <w:rsid w:val="0046284C"/>
    <w:rsid w:val="004639CC"/>
    <w:rsid w:val="00465255"/>
    <w:rsid w:val="00467E44"/>
    <w:rsid w:val="00470B2B"/>
    <w:rsid w:val="00470C6C"/>
    <w:rsid w:val="00470F41"/>
    <w:rsid w:val="00471230"/>
    <w:rsid w:val="00471B35"/>
    <w:rsid w:val="00472195"/>
    <w:rsid w:val="004734CA"/>
    <w:rsid w:val="00474EE1"/>
    <w:rsid w:val="00475BF4"/>
    <w:rsid w:val="00475D25"/>
    <w:rsid w:val="00476394"/>
    <w:rsid w:val="004764FC"/>
    <w:rsid w:val="0047661E"/>
    <w:rsid w:val="00477142"/>
    <w:rsid w:val="00477875"/>
    <w:rsid w:val="00480488"/>
    <w:rsid w:val="0048076B"/>
    <w:rsid w:val="00483A78"/>
    <w:rsid w:val="00483B23"/>
    <w:rsid w:val="00484BEB"/>
    <w:rsid w:val="00484FEC"/>
    <w:rsid w:val="0048555B"/>
    <w:rsid w:val="0048583B"/>
    <w:rsid w:val="0048679A"/>
    <w:rsid w:val="0048685E"/>
    <w:rsid w:val="004903CA"/>
    <w:rsid w:val="00491920"/>
    <w:rsid w:val="00492C9D"/>
    <w:rsid w:val="00492FB7"/>
    <w:rsid w:val="00494C91"/>
    <w:rsid w:val="0049619A"/>
    <w:rsid w:val="004A058B"/>
    <w:rsid w:val="004A1B7C"/>
    <w:rsid w:val="004A31AF"/>
    <w:rsid w:val="004A49ED"/>
    <w:rsid w:val="004A4EC3"/>
    <w:rsid w:val="004A628B"/>
    <w:rsid w:val="004B04F8"/>
    <w:rsid w:val="004B182D"/>
    <w:rsid w:val="004B1B20"/>
    <w:rsid w:val="004B1EAA"/>
    <w:rsid w:val="004B26FE"/>
    <w:rsid w:val="004B3F1E"/>
    <w:rsid w:val="004B677A"/>
    <w:rsid w:val="004B6AC0"/>
    <w:rsid w:val="004C0115"/>
    <w:rsid w:val="004C21E4"/>
    <w:rsid w:val="004C24B0"/>
    <w:rsid w:val="004C2555"/>
    <w:rsid w:val="004C27AD"/>
    <w:rsid w:val="004D2616"/>
    <w:rsid w:val="004D274D"/>
    <w:rsid w:val="004D2D20"/>
    <w:rsid w:val="004D3FF6"/>
    <w:rsid w:val="004D490B"/>
    <w:rsid w:val="004D4D78"/>
    <w:rsid w:val="004E0622"/>
    <w:rsid w:val="004E0BE1"/>
    <w:rsid w:val="004E0CC4"/>
    <w:rsid w:val="004E1784"/>
    <w:rsid w:val="004E1A36"/>
    <w:rsid w:val="004E1CD0"/>
    <w:rsid w:val="004E3CC2"/>
    <w:rsid w:val="004E418D"/>
    <w:rsid w:val="004E5E0B"/>
    <w:rsid w:val="004E7988"/>
    <w:rsid w:val="004E7DDD"/>
    <w:rsid w:val="004F1632"/>
    <w:rsid w:val="004F4A1F"/>
    <w:rsid w:val="004F4D14"/>
    <w:rsid w:val="004F4E3C"/>
    <w:rsid w:val="004F5E23"/>
    <w:rsid w:val="004F7789"/>
    <w:rsid w:val="005006BA"/>
    <w:rsid w:val="00501B15"/>
    <w:rsid w:val="00501E05"/>
    <w:rsid w:val="00502F08"/>
    <w:rsid w:val="00506190"/>
    <w:rsid w:val="00506227"/>
    <w:rsid w:val="005068AC"/>
    <w:rsid w:val="00506915"/>
    <w:rsid w:val="00507483"/>
    <w:rsid w:val="00511F99"/>
    <w:rsid w:val="00511FA7"/>
    <w:rsid w:val="0051227B"/>
    <w:rsid w:val="00513123"/>
    <w:rsid w:val="005137A2"/>
    <w:rsid w:val="0051408B"/>
    <w:rsid w:val="00515671"/>
    <w:rsid w:val="0051573A"/>
    <w:rsid w:val="00516216"/>
    <w:rsid w:val="00520176"/>
    <w:rsid w:val="005225A6"/>
    <w:rsid w:val="0052283B"/>
    <w:rsid w:val="00525CC5"/>
    <w:rsid w:val="00530381"/>
    <w:rsid w:val="00531BF7"/>
    <w:rsid w:val="00531E96"/>
    <w:rsid w:val="005324F9"/>
    <w:rsid w:val="00532DBF"/>
    <w:rsid w:val="005333D3"/>
    <w:rsid w:val="00533F3C"/>
    <w:rsid w:val="0053405D"/>
    <w:rsid w:val="0053450E"/>
    <w:rsid w:val="005346D8"/>
    <w:rsid w:val="0053497D"/>
    <w:rsid w:val="0053508C"/>
    <w:rsid w:val="0054041B"/>
    <w:rsid w:val="0054057B"/>
    <w:rsid w:val="0054209F"/>
    <w:rsid w:val="00542BB0"/>
    <w:rsid w:val="0054339A"/>
    <w:rsid w:val="00543A31"/>
    <w:rsid w:val="00543D00"/>
    <w:rsid w:val="00545126"/>
    <w:rsid w:val="005463EA"/>
    <w:rsid w:val="00546F24"/>
    <w:rsid w:val="0054733B"/>
    <w:rsid w:val="0055013C"/>
    <w:rsid w:val="00550324"/>
    <w:rsid w:val="00551A62"/>
    <w:rsid w:val="00551F18"/>
    <w:rsid w:val="00552774"/>
    <w:rsid w:val="00553829"/>
    <w:rsid w:val="00556CFB"/>
    <w:rsid w:val="005606DA"/>
    <w:rsid w:val="00560901"/>
    <w:rsid w:val="0056107C"/>
    <w:rsid w:val="005616AC"/>
    <w:rsid w:val="00561E1E"/>
    <w:rsid w:val="00562304"/>
    <w:rsid w:val="005637DE"/>
    <w:rsid w:val="00565246"/>
    <w:rsid w:val="00567649"/>
    <w:rsid w:val="0057276D"/>
    <w:rsid w:val="00574760"/>
    <w:rsid w:val="00574770"/>
    <w:rsid w:val="00575112"/>
    <w:rsid w:val="00576B77"/>
    <w:rsid w:val="0057790F"/>
    <w:rsid w:val="00577933"/>
    <w:rsid w:val="00581507"/>
    <w:rsid w:val="00581CA9"/>
    <w:rsid w:val="005820C8"/>
    <w:rsid w:val="00590067"/>
    <w:rsid w:val="005905A8"/>
    <w:rsid w:val="00591704"/>
    <w:rsid w:val="00591FF4"/>
    <w:rsid w:val="00593A5B"/>
    <w:rsid w:val="00593F8D"/>
    <w:rsid w:val="005A06D7"/>
    <w:rsid w:val="005A10EE"/>
    <w:rsid w:val="005A115D"/>
    <w:rsid w:val="005A1A0E"/>
    <w:rsid w:val="005A66D5"/>
    <w:rsid w:val="005A786C"/>
    <w:rsid w:val="005B1989"/>
    <w:rsid w:val="005B367D"/>
    <w:rsid w:val="005B4CD7"/>
    <w:rsid w:val="005B51FF"/>
    <w:rsid w:val="005B57C2"/>
    <w:rsid w:val="005B72BE"/>
    <w:rsid w:val="005C0686"/>
    <w:rsid w:val="005C0DCA"/>
    <w:rsid w:val="005C18D3"/>
    <w:rsid w:val="005C1CD1"/>
    <w:rsid w:val="005C2B1A"/>
    <w:rsid w:val="005C31F6"/>
    <w:rsid w:val="005C6A96"/>
    <w:rsid w:val="005D19CB"/>
    <w:rsid w:val="005D1AD6"/>
    <w:rsid w:val="005D4DD2"/>
    <w:rsid w:val="005D5C37"/>
    <w:rsid w:val="005E3592"/>
    <w:rsid w:val="005E61CB"/>
    <w:rsid w:val="005E7492"/>
    <w:rsid w:val="005E7655"/>
    <w:rsid w:val="005F01CC"/>
    <w:rsid w:val="005F185D"/>
    <w:rsid w:val="005F26FE"/>
    <w:rsid w:val="005F39B2"/>
    <w:rsid w:val="005F7306"/>
    <w:rsid w:val="005F7AE8"/>
    <w:rsid w:val="005F7DF2"/>
    <w:rsid w:val="00600669"/>
    <w:rsid w:val="00600C7D"/>
    <w:rsid w:val="00600E8D"/>
    <w:rsid w:val="00600EE4"/>
    <w:rsid w:val="00602929"/>
    <w:rsid w:val="006032EE"/>
    <w:rsid w:val="006048AC"/>
    <w:rsid w:val="00605B82"/>
    <w:rsid w:val="00605F2B"/>
    <w:rsid w:val="00606800"/>
    <w:rsid w:val="00606AFD"/>
    <w:rsid w:val="00607DF3"/>
    <w:rsid w:val="00607F0A"/>
    <w:rsid w:val="0061154D"/>
    <w:rsid w:val="00615636"/>
    <w:rsid w:val="00615743"/>
    <w:rsid w:val="00615FD4"/>
    <w:rsid w:val="00616B5F"/>
    <w:rsid w:val="00616C48"/>
    <w:rsid w:val="00621B3B"/>
    <w:rsid w:val="00622510"/>
    <w:rsid w:val="00627325"/>
    <w:rsid w:val="00627B9D"/>
    <w:rsid w:val="00630DF9"/>
    <w:rsid w:val="00631E3B"/>
    <w:rsid w:val="006329BB"/>
    <w:rsid w:val="00632B79"/>
    <w:rsid w:val="00634BFC"/>
    <w:rsid w:val="00634FAC"/>
    <w:rsid w:val="00636A05"/>
    <w:rsid w:val="006378BE"/>
    <w:rsid w:val="00642748"/>
    <w:rsid w:val="00646932"/>
    <w:rsid w:val="006477D6"/>
    <w:rsid w:val="00647C5A"/>
    <w:rsid w:val="006541A1"/>
    <w:rsid w:val="006566C9"/>
    <w:rsid w:val="00657717"/>
    <w:rsid w:val="00657E15"/>
    <w:rsid w:val="00660F14"/>
    <w:rsid w:val="00661358"/>
    <w:rsid w:val="006621E5"/>
    <w:rsid w:val="00662D90"/>
    <w:rsid w:val="00662E09"/>
    <w:rsid w:val="00667434"/>
    <w:rsid w:val="00670166"/>
    <w:rsid w:val="0067052F"/>
    <w:rsid w:val="00671443"/>
    <w:rsid w:val="00671CA1"/>
    <w:rsid w:val="0067222E"/>
    <w:rsid w:val="0067419F"/>
    <w:rsid w:val="00674260"/>
    <w:rsid w:val="006745B8"/>
    <w:rsid w:val="006755BC"/>
    <w:rsid w:val="00675666"/>
    <w:rsid w:val="00676592"/>
    <w:rsid w:val="006769E1"/>
    <w:rsid w:val="0067726C"/>
    <w:rsid w:val="0068027D"/>
    <w:rsid w:val="00681A53"/>
    <w:rsid w:val="006826F7"/>
    <w:rsid w:val="0068287C"/>
    <w:rsid w:val="00683CC4"/>
    <w:rsid w:val="00684372"/>
    <w:rsid w:val="00684A04"/>
    <w:rsid w:val="00684A85"/>
    <w:rsid w:val="00685200"/>
    <w:rsid w:val="00686115"/>
    <w:rsid w:val="0069017B"/>
    <w:rsid w:val="00690EF6"/>
    <w:rsid w:val="006918D3"/>
    <w:rsid w:val="006919F4"/>
    <w:rsid w:val="00692A9A"/>
    <w:rsid w:val="006951CD"/>
    <w:rsid w:val="00696B56"/>
    <w:rsid w:val="006A0346"/>
    <w:rsid w:val="006A07A0"/>
    <w:rsid w:val="006A08CE"/>
    <w:rsid w:val="006A289E"/>
    <w:rsid w:val="006A39D8"/>
    <w:rsid w:val="006A44EE"/>
    <w:rsid w:val="006A5B45"/>
    <w:rsid w:val="006A65A0"/>
    <w:rsid w:val="006A710E"/>
    <w:rsid w:val="006B0827"/>
    <w:rsid w:val="006B1D06"/>
    <w:rsid w:val="006B1EC7"/>
    <w:rsid w:val="006B1ED9"/>
    <w:rsid w:val="006B223B"/>
    <w:rsid w:val="006B3A29"/>
    <w:rsid w:val="006B3ABB"/>
    <w:rsid w:val="006B5475"/>
    <w:rsid w:val="006B57C4"/>
    <w:rsid w:val="006B5AFA"/>
    <w:rsid w:val="006B7D41"/>
    <w:rsid w:val="006B7E7A"/>
    <w:rsid w:val="006C260E"/>
    <w:rsid w:val="006C5448"/>
    <w:rsid w:val="006C5C50"/>
    <w:rsid w:val="006C606A"/>
    <w:rsid w:val="006C6986"/>
    <w:rsid w:val="006C7B0F"/>
    <w:rsid w:val="006D147B"/>
    <w:rsid w:val="006D1B3B"/>
    <w:rsid w:val="006D492A"/>
    <w:rsid w:val="006D60E8"/>
    <w:rsid w:val="006D6B56"/>
    <w:rsid w:val="006E2EEA"/>
    <w:rsid w:val="006E35C5"/>
    <w:rsid w:val="006E685D"/>
    <w:rsid w:val="006F07E5"/>
    <w:rsid w:val="006F4DA3"/>
    <w:rsid w:val="006F4F31"/>
    <w:rsid w:val="006F671C"/>
    <w:rsid w:val="00702CA4"/>
    <w:rsid w:val="00703C2A"/>
    <w:rsid w:val="007044D2"/>
    <w:rsid w:val="00704597"/>
    <w:rsid w:val="007045F2"/>
    <w:rsid w:val="00707084"/>
    <w:rsid w:val="00707125"/>
    <w:rsid w:val="007117DA"/>
    <w:rsid w:val="0071294E"/>
    <w:rsid w:val="00715C55"/>
    <w:rsid w:val="00716096"/>
    <w:rsid w:val="00720269"/>
    <w:rsid w:val="0072234F"/>
    <w:rsid w:val="00723A3B"/>
    <w:rsid w:val="007268E4"/>
    <w:rsid w:val="00730239"/>
    <w:rsid w:val="00730258"/>
    <w:rsid w:val="00730B68"/>
    <w:rsid w:val="007324FD"/>
    <w:rsid w:val="00733DF1"/>
    <w:rsid w:val="00736C2C"/>
    <w:rsid w:val="00743B46"/>
    <w:rsid w:val="007461FE"/>
    <w:rsid w:val="00747537"/>
    <w:rsid w:val="00747729"/>
    <w:rsid w:val="0075027D"/>
    <w:rsid w:val="007508A9"/>
    <w:rsid w:val="007520D2"/>
    <w:rsid w:val="00752BC7"/>
    <w:rsid w:val="007542B7"/>
    <w:rsid w:val="0075539C"/>
    <w:rsid w:val="007564EE"/>
    <w:rsid w:val="00756ED4"/>
    <w:rsid w:val="00760993"/>
    <w:rsid w:val="0076137D"/>
    <w:rsid w:val="007632F0"/>
    <w:rsid w:val="007634A5"/>
    <w:rsid w:val="0076455D"/>
    <w:rsid w:val="00764F56"/>
    <w:rsid w:val="00765E37"/>
    <w:rsid w:val="00770E84"/>
    <w:rsid w:val="00771872"/>
    <w:rsid w:val="00776E16"/>
    <w:rsid w:val="00776F56"/>
    <w:rsid w:val="00780761"/>
    <w:rsid w:val="007813A3"/>
    <w:rsid w:val="00781DF6"/>
    <w:rsid w:val="00782107"/>
    <w:rsid w:val="0078462E"/>
    <w:rsid w:val="00784E8F"/>
    <w:rsid w:val="00785425"/>
    <w:rsid w:val="00786502"/>
    <w:rsid w:val="00786FF9"/>
    <w:rsid w:val="007872D3"/>
    <w:rsid w:val="0078746E"/>
    <w:rsid w:val="00791205"/>
    <w:rsid w:val="00791446"/>
    <w:rsid w:val="00791C02"/>
    <w:rsid w:val="00792C30"/>
    <w:rsid w:val="00795231"/>
    <w:rsid w:val="00795756"/>
    <w:rsid w:val="007A07B4"/>
    <w:rsid w:val="007A3187"/>
    <w:rsid w:val="007A359A"/>
    <w:rsid w:val="007A361C"/>
    <w:rsid w:val="007A4932"/>
    <w:rsid w:val="007A4E2D"/>
    <w:rsid w:val="007A5997"/>
    <w:rsid w:val="007A6954"/>
    <w:rsid w:val="007A7419"/>
    <w:rsid w:val="007B017D"/>
    <w:rsid w:val="007B2A5F"/>
    <w:rsid w:val="007B2F43"/>
    <w:rsid w:val="007B51CC"/>
    <w:rsid w:val="007B67DA"/>
    <w:rsid w:val="007B69AC"/>
    <w:rsid w:val="007B6C9E"/>
    <w:rsid w:val="007C18FA"/>
    <w:rsid w:val="007C1F2D"/>
    <w:rsid w:val="007C22AA"/>
    <w:rsid w:val="007C27A9"/>
    <w:rsid w:val="007C2C2E"/>
    <w:rsid w:val="007C63BE"/>
    <w:rsid w:val="007C6E33"/>
    <w:rsid w:val="007C7B58"/>
    <w:rsid w:val="007D0343"/>
    <w:rsid w:val="007D46E6"/>
    <w:rsid w:val="007D50D6"/>
    <w:rsid w:val="007D51C1"/>
    <w:rsid w:val="007D5FAD"/>
    <w:rsid w:val="007D62E6"/>
    <w:rsid w:val="007E0CB2"/>
    <w:rsid w:val="007E0D15"/>
    <w:rsid w:val="007E1C60"/>
    <w:rsid w:val="007E1D3D"/>
    <w:rsid w:val="007E22CF"/>
    <w:rsid w:val="007E395A"/>
    <w:rsid w:val="007E595F"/>
    <w:rsid w:val="007E5EC3"/>
    <w:rsid w:val="007E6294"/>
    <w:rsid w:val="007E72E4"/>
    <w:rsid w:val="007E74C8"/>
    <w:rsid w:val="007F1226"/>
    <w:rsid w:val="007F1517"/>
    <w:rsid w:val="007F1E0C"/>
    <w:rsid w:val="007F1EB7"/>
    <w:rsid w:val="007F364B"/>
    <w:rsid w:val="007F4073"/>
    <w:rsid w:val="007F75A2"/>
    <w:rsid w:val="007F7EDA"/>
    <w:rsid w:val="0080214B"/>
    <w:rsid w:val="008036BC"/>
    <w:rsid w:val="008058A6"/>
    <w:rsid w:val="00807405"/>
    <w:rsid w:val="008101D7"/>
    <w:rsid w:val="00812A94"/>
    <w:rsid w:val="00812B3A"/>
    <w:rsid w:val="008137A1"/>
    <w:rsid w:val="00814E86"/>
    <w:rsid w:val="008158DC"/>
    <w:rsid w:val="00816950"/>
    <w:rsid w:val="00816C53"/>
    <w:rsid w:val="00817757"/>
    <w:rsid w:val="0082052A"/>
    <w:rsid w:val="0082274C"/>
    <w:rsid w:val="00823247"/>
    <w:rsid w:val="008240E4"/>
    <w:rsid w:val="00825EFA"/>
    <w:rsid w:val="00826687"/>
    <w:rsid w:val="008271F3"/>
    <w:rsid w:val="00830A09"/>
    <w:rsid w:val="00832C55"/>
    <w:rsid w:val="00833D51"/>
    <w:rsid w:val="00834E02"/>
    <w:rsid w:val="00835A77"/>
    <w:rsid w:val="0084035C"/>
    <w:rsid w:val="00841A36"/>
    <w:rsid w:val="00842E2C"/>
    <w:rsid w:val="00844918"/>
    <w:rsid w:val="008458E9"/>
    <w:rsid w:val="00845AF0"/>
    <w:rsid w:val="00846824"/>
    <w:rsid w:val="00850F7B"/>
    <w:rsid w:val="00851C7E"/>
    <w:rsid w:val="008523E6"/>
    <w:rsid w:val="00852A16"/>
    <w:rsid w:val="00853E56"/>
    <w:rsid w:val="00854150"/>
    <w:rsid w:val="00857B1F"/>
    <w:rsid w:val="00860FC7"/>
    <w:rsid w:val="0086271E"/>
    <w:rsid w:val="0086315B"/>
    <w:rsid w:val="008668F1"/>
    <w:rsid w:val="00866F87"/>
    <w:rsid w:val="008672B4"/>
    <w:rsid w:val="00872028"/>
    <w:rsid w:val="00872173"/>
    <w:rsid w:val="00872C59"/>
    <w:rsid w:val="00873626"/>
    <w:rsid w:val="00875759"/>
    <w:rsid w:val="00876DF8"/>
    <w:rsid w:val="0087715A"/>
    <w:rsid w:val="00880124"/>
    <w:rsid w:val="00882860"/>
    <w:rsid w:val="00882C8B"/>
    <w:rsid w:val="00882F92"/>
    <w:rsid w:val="00884A48"/>
    <w:rsid w:val="00885848"/>
    <w:rsid w:val="008868AC"/>
    <w:rsid w:val="00886EFA"/>
    <w:rsid w:val="008915C9"/>
    <w:rsid w:val="0089466F"/>
    <w:rsid w:val="00894CBC"/>
    <w:rsid w:val="0089698F"/>
    <w:rsid w:val="00896A07"/>
    <w:rsid w:val="00897774"/>
    <w:rsid w:val="008979DE"/>
    <w:rsid w:val="008A0810"/>
    <w:rsid w:val="008A2296"/>
    <w:rsid w:val="008A55E6"/>
    <w:rsid w:val="008A7F9B"/>
    <w:rsid w:val="008B091C"/>
    <w:rsid w:val="008B0A76"/>
    <w:rsid w:val="008B0AD4"/>
    <w:rsid w:val="008B1101"/>
    <w:rsid w:val="008B201F"/>
    <w:rsid w:val="008B3529"/>
    <w:rsid w:val="008B383A"/>
    <w:rsid w:val="008B5E2C"/>
    <w:rsid w:val="008B6C3E"/>
    <w:rsid w:val="008B7F87"/>
    <w:rsid w:val="008C3C36"/>
    <w:rsid w:val="008C3DE9"/>
    <w:rsid w:val="008C3F5D"/>
    <w:rsid w:val="008C47BF"/>
    <w:rsid w:val="008C50ED"/>
    <w:rsid w:val="008C657E"/>
    <w:rsid w:val="008C7BC4"/>
    <w:rsid w:val="008D16E1"/>
    <w:rsid w:val="008D3E5D"/>
    <w:rsid w:val="008D602A"/>
    <w:rsid w:val="008D6207"/>
    <w:rsid w:val="008E0ACC"/>
    <w:rsid w:val="008E17FD"/>
    <w:rsid w:val="008E2C17"/>
    <w:rsid w:val="008E38A7"/>
    <w:rsid w:val="008E3B15"/>
    <w:rsid w:val="008E3C8B"/>
    <w:rsid w:val="008E4218"/>
    <w:rsid w:val="008E73DE"/>
    <w:rsid w:val="008F1605"/>
    <w:rsid w:val="008F1FFF"/>
    <w:rsid w:val="008F3BE1"/>
    <w:rsid w:val="008F3D38"/>
    <w:rsid w:val="008F41B0"/>
    <w:rsid w:val="008F5CB8"/>
    <w:rsid w:val="008F7685"/>
    <w:rsid w:val="008F77CE"/>
    <w:rsid w:val="008F7DC6"/>
    <w:rsid w:val="00900351"/>
    <w:rsid w:val="00900AEB"/>
    <w:rsid w:val="00900B49"/>
    <w:rsid w:val="00900D34"/>
    <w:rsid w:val="009019AD"/>
    <w:rsid w:val="0090297B"/>
    <w:rsid w:val="0090452B"/>
    <w:rsid w:val="009046C9"/>
    <w:rsid w:val="00906563"/>
    <w:rsid w:val="00906CF4"/>
    <w:rsid w:val="00907663"/>
    <w:rsid w:val="0090766E"/>
    <w:rsid w:val="00911B88"/>
    <w:rsid w:val="0091219C"/>
    <w:rsid w:val="00912D42"/>
    <w:rsid w:val="00914883"/>
    <w:rsid w:val="00916872"/>
    <w:rsid w:val="00917C02"/>
    <w:rsid w:val="00917C06"/>
    <w:rsid w:val="00921D30"/>
    <w:rsid w:val="0092263E"/>
    <w:rsid w:val="0092264D"/>
    <w:rsid w:val="009233BA"/>
    <w:rsid w:val="00924252"/>
    <w:rsid w:val="009266AC"/>
    <w:rsid w:val="00926DBD"/>
    <w:rsid w:val="009302AB"/>
    <w:rsid w:val="00931A8B"/>
    <w:rsid w:val="00932016"/>
    <w:rsid w:val="00933273"/>
    <w:rsid w:val="009334F5"/>
    <w:rsid w:val="00933C6C"/>
    <w:rsid w:val="009342DF"/>
    <w:rsid w:val="0093485B"/>
    <w:rsid w:val="0093527B"/>
    <w:rsid w:val="009401A5"/>
    <w:rsid w:val="00940522"/>
    <w:rsid w:val="00942479"/>
    <w:rsid w:val="00942CE4"/>
    <w:rsid w:val="009446B2"/>
    <w:rsid w:val="0094691C"/>
    <w:rsid w:val="00947842"/>
    <w:rsid w:val="0095057E"/>
    <w:rsid w:val="009506F4"/>
    <w:rsid w:val="00956EB6"/>
    <w:rsid w:val="0096021C"/>
    <w:rsid w:val="00960384"/>
    <w:rsid w:val="00960E68"/>
    <w:rsid w:val="0096236B"/>
    <w:rsid w:val="00964253"/>
    <w:rsid w:val="00965AC2"/>
    <w:rsid w:val="00970789"/>
    <w:rsid w:val="00971F48"/>
    <w:rsid w:val="009759F0"/>
    <w:rsid w:val="00975FE3"/>
    <w:rsid w:val="00980263"/>
    <w:rsid w:val="009805C5"/>
    <w:rsid w:val="009828C9"/>
    <w:rsid w:val="009835ED"/>
    <w:rsid w:val="009836CA"/>
    <w:rsid w:val="009852AA"/>
    <w:rsid w:val="009852AD"/>
    <w:rsid w:val="00986624"/>
    <w:rsid w:val="00986DAA"/>
    <w:rsid w:val="009908B5"/>
    <w:rsid w:val="00991D4A"/>
    <w:rsid w:val="00992516"/>
    <w:rsid w:val="00992757"/>
    <w:rsid w:val="00993D56"/>
    <w:rsid w:val="00994700"/>
    <w:rsid w:val="009950E2"/>
    <w:rsid w:val="00996BE8"/>
    <w:rsid w:val="00997628"/>
    <w:rsid w:val="009A042A"/>
    <w:rsid w:val="009A12CC"/>
    <w:rsid w:val="009A6784"/>
    <w:rsid w:val="009B1EAD"/>
    <w:rsid w:val="009B29FB"/>
    <w:rsid w:val="009B2B3A"/>
    <w:rsid w:val="009B3869"/>
    <w:rsid w:val="009B4651"/>
    <w:rsid w:val="009B4B3A"/>
    <w:rsid w:val="009B72E5"/>
    <w:rsid w:val="009C0310"/>
    <w:rsid w:val="009C0A21"/>
    <w:rsid w:val="009C0ADF"/>
    <w:rsid w:val="009C1B71"/>
    <w:rsid w:val="009C1F9B"/>
    <w:rsid w:val="009C26D5"/>
    <w:rsid w:val="009C3228"/>
    <w:rsid w:val="009C36A8"/>
    <w:rsid w:val="009C5D63"/>
    <w:rsid w:val="009C7517"/>
    <w:rsid w:val="009C78D6"/>
    <w:rsid w:val="009D6C4E"/>
    <w:rsid w:val="009E2ABF"/>
    <w:rsid w:val="009E361F"/>
    <w:rsid w:val="009F1D01"/>
    <w:rsid w:val="009F353A"/>
    <w:rsid w:val="009F37A8"/>
    <w:rsid w:val="009F5E6B"/>
    <w:rsid w:val="009F6BBD"/>
    <w:rsid w:val="009F7FC7"/>
    <w:rsid w:val="00A00EF8"/>
    <w:rsid w:val="00A02CCC"/>
    <w:rsid w:val="00A075E6"/>
    <w:rsid w:val="00A106D7"/>
    <w:rsid w:val="00A1085B"/>
    <w:rsid w:val="00A1123A"/>
    <w:rsid w:val="00A11B2C"/>
    <w:rsid w:val="00A17737"/>
    <w:rsid w:val="00A20925"/>
    <w:rsid w:val="00A20CE4"/>
    <w:rsid w:val="00A2237C"/>
    <w:rsid w:val="00A223C1"/>
    <w:rsid w:val="00A2427E"/>
    <w:rsid w:val="00A24839"/>
    <w:rsid w:val="00A26E11"/>
    <w:rsid w:val="00A26FAA"/>
    <w:rsid w:val="00A272B6"/>
    <w:rsid w:val="00A279DC"/>
    <w:rsid w:val="00A300CE"/>
    <w:rsid w:val="00A31366"/>
    <w:rsid w:val="00A31CCE"/>
    <w:rsid w:val="00A3489F"/>
    <w:rsid w:val="00A35769"/>
    <w:rsid w:val="00A36004"/>
    <w:rsid w:val="00A372A3"/>
    <w:rsid w:val="00A37F6F"/>
    <w:rsid w:val="00A414FD"/>
    <w:rsid w:val="00A416F9"/>
    <w:rsid w:val="00A4267A"/>
    <w:rsid w:val="00A449CA"/>
    <w:rsid w:val="00A44B6E"/>
    <w:rsid w:val="00A5018B"/>
    <w:rsid w:val="00A51C1B"/>
    <w:rsid w:val="00A525DC"/>
    <w:rsid w:val="00A5292D"/>
    <w:rsid w:val="00A53556"/>
    <w:rsid w:val="00A53D73"/>
    <w:rsid w:val="00A54A86"/>
    <w:rsid w:val="00A55166"/>
    <w:rsid w:val="00A553CC"/>
    <w:rsid w:val="00A56CF8"/>
    <w:rsid w:val="00A6190B"/>
    <w:rsid w:val="00A61FFB"/>
    <w:rsid w:val="00A6329A"/>
    <w:rsid w:val="00A633EC"/>
    <w:rsid w:val="00A6710C"/>
    <w:rsid w:val="00A706CF"/>
    <w:rsid w:val="00A70A41"/>
    <w:rsid w:val="00A70B12"/>
    <w:rsid w:val="00A741D4"/>
    <w:rsid w:val="00A74EA7"/>
    <w:rsid w:val="00A77172"/>
    <w:rsid w:val="00A80022"/>
    <w:rsid w:val="00A81AE3"/>
    <w:rsid w:val="00A82951"/>
    <w:rsid w:val="00A83427"/>
    <w:rsid w:val="00A84EDC"/>
    <w:rsid w:val="00A86D3E"/>
    <w:rsid w:val="00A9185A"/>
    <w:rsid w:val="00A91DE7"/>
    <w:rsid w:val="00A928BD"/>
    <w:rsid w:val="00A92F6E"/>
    <w:rsid w:val="00A939A3"/>
    <w:rsid w:val="00A950CA"/>
    <w:rsid w:val="00A95B6B"/>
    <w:rsid w:val="00A97ED9"/>
    <w:rsid w:val="00AA00BC"/>
    <w:rsid w:val="00AA039C"/>
    <w:rsid w:val="00AA0856"/>
    <w:rsid w:val="00AA4A4E"/>
    <w:rsid w:val="00AA4B85"/>
    <w:rsid w:val="00AA4F6A"/>
    <w:rsid w:val="00AA680B"/>
    <w:rsid w:val="00AA6A10"/>
    <w:rsid w:val="00AA7173"/>
    <w:rsid w:val="00AA7554"/>
    <w:rsid w:val="00AB19EC"/>
    <w:rsid w:val="00AB26AB"/>
    <w:rsid w:val="00AB520A"/>
    <w:rsid w:val="00AB5A85"/>
    <w:rsid w:val="00AB64AE"/>
    <w:rsid w:val="00AB66CE"/>
    <w:rsid w:val="00AB689F"/>
    <w:rsid w:val="00AC02B2"/>
    <w:rsid w:val="00AC0470"/>
    <w:rsid w:val="00AC1E83"/>
    <w:rsid w:val="00AC2575"/>
    <w:rsid w:val="00AC3161"/>
    <w:rsid w:val="00AC3C4A"/>
    <w:rsid w:val="00AC3F67"/>
    <w:rsid w:val="00AC417C"/>
    <w:rsid w:val="00AC4B80"/>
    <w:rsid w:val="00AC5764"/>
    <w:rsid w:val="00AC5BEA"/>
    <w:rsid w:val="00AC79B3"/>
    <w:rsid w:val="00AD08AD"/>
    <w:rsid w:val="00AD0F88"/>
    <w:rsid w:val="00AD104F"/>
    <w:rsid w:val="00AD39E1"/>
    <w:rsid w:val="00AD3FBC"/>
    <w:rsid w:val="00AD49EC"/>
    <w:rsid w:val="00AE0F50"/>
    <w:rsid w:val="00AE4AF0"/>
    <w:rsid w:val="00AE4E89"/>
    <w:rsid w:val="00AE724D"/>
    <w:rsid w:val="00AF0D9D"/>
    <w:rsid w:val="00AF12B3"/>
    <w:rsid w:val="00AF1DA6"/>
    <w:rsid w:val="00AF28D6"/>
    <w:rsid w:val="00AF49B8"/>
    <w:rsid w:val="00AF4B75"/>
    <w:rsid w:val="00AF5C1B"/>
    <w:rsid w:val="00AF65CF"/>
    <w:rsid w:val="00B00550"/>
    <w:rsid w:val="00B00FB8"/>
    <w:rsid w:val="00B019BD"/>
    <w:rsid w:val="00B028A0"/>
    <w:rsid w:val="00B02CD3"/>
    <w:rsid w:val="00B03F63"/>
    <w:rsid w:val="00B04234"/>
    <w:rsid w:val="00B05806"/>
    <w:rsid w:val="00B059C7"/>
    <w:rsid w:val="00B05B30"/>
    <w:rsid w:val="00B067C0"/>
    <w:rsid w:val="00B06CA7"/>
    <w:rsid w:val="00B207FC"/>
    <w:rsid w:val="00B20CD7"/>
    <w:rsid w:val="00B22F76"/>
    <w:rsid w:val="00B23CD9"/>
    <w:rsid w:val="00B2463A"/>
    <w:rsid w:val="00B256F5"/>
    <w:rsid w:val="00B25D94"/>
    <w:rsid w:val="00B27143"/>
    <w:rsid w:val="00B27B14"/>
    <w:rsid w:val="00B27DD6"/>
    <w:rsid w:val="00B30CE2"/>
    <w:rsid w:val="00B33D9D"/>
    <w:rsid w:val="00B3471B"/>
    <w:rsid w:val="00B35A9E"/>
    <w:rsid w:val="00B36EFF"/>
    <w:rsid w:val="00B37072"/>
    <w:rsid w:val="00B37D70"/>
    <w:rsid w:val="00B40031"/>
    <w:rsid w:val="00B4239D"/>
    <w:rsid w:val="00B43BF0"/>
    <w:rsid w:val="00B45035"/>
    <w:rsid w:val="00B46081"/>
    <w:rsid w:val="00B461EB"/>
    <w:rsid w:val="00B472CA"/>
    <w:rsid w:val="00B4748A"/>
    <w:rsid w:val="00B504AD"/>
    <w:rsid w:val="00B52838"/>
    <w:rsid w:val="00B52DA1"/>
    <w:rsid w:val="00B55501"/>
    <w:rsid w:val="00B56118"/>
    <w:rsid w:val="00B56B75"/>
    <w:rsid w:val="00B57E52"/>
    <w:rsid w:val="00B60138"/>
    <w:rsid w:val="00B61069"/>
    <w:rsid w:val="00B615CE"/>
    <w:rsid w:val="00B65435"/>
    <w:rsid w:val="00B67BD2"/>
    <w:rsid w:val="00B72332"/>
    <w:rsid w:val="00B726A8"/>
    <w:rsid w:val="00B74A53"/>
    <w:rsid w:val="00B74D78"/>
    <w:rsid w:val="00B767A0"/>
    <w:rsid w:val="00B77BC7"/>
    <w:rsid w:val="00B80ABA"/>
    <w:rsid w:val="00B81AA6"/>
    <w:rsid w:val="00B81C7A"/>
    <w:rsid w:val="00B85BD6"/>
    <w:rsid w:val="00B86675"/>
    <w:rsid w:val="00B872EE"/>
    <w:rsid w:val="00B8743E"/>
    <w:rsid w:val="00B907EE"/>
    <w:rsid w:val="00B91BA8"/>
    <w:rsid w:val="00B93583"/>
    <w:rsid w:val="00B93E94"/>
    <w:rsid w:val="00B95B65"/>
    <w:rsid w:val="00B95B8E"/>
    <w:rsid w:val="00B97B7D"/>
    <w:rsid w:val="00BA023A"/>
    <w:rsid w:val="00BA1088"/>
    <w:rsid w:val="00BA13D3"/>
    <w:rsid w:val="00BA1AA5"/>
    <w:rsid w:val="00BA3144"/>
    <w:rsid w:val="00BA3246"/>
    <w:rsid w:val="00BA4F77"/>
    <w:rsid w:val="00BA6008"/>
    <w:rsid w:val="00BA7D00"/>
    <w:rsid w:val="00BB06DB"/>
    <w:rsid w:val="00BB1E9B"/>
    <w:rsid w:val="00BB23F7"/>
    <w:rsid w:val="00BB30F9"/>
    <w:rsid w:val="00BB615D"/>
    <w:rsid w:val="00BB681C"/>
    <w:rsid w:val="00BB682B"/>
    <w:rsid w:val="00BB7A05"/>
    <w:rsid w:val="00BC0F97"/>
    <w:rsid w:val="00BC10AB"/>
    <w:rsid w:val="00BC1704"/>
    <w:rsid w:val="00BC3D92"/>
    <w:rsid w:val="00BC47DF"/>
    <w:rsid w:val="00BC7720"/>
    <w:rsid w:val="00BC7CED"/>
    <w:rsid w:val="00BD348F"/>
    <w:rsid w:val="00BD5FA9"/>
    <w:rsid w:val="00BD7BDA"/>
    <w:rsid w:val="00BE11F9"/>
    <w:rsid w:val="00BE17F6"/>
    <w:rsid w:val="00BE23D8"/>
    <w:rsid w:val="00BE4091"/>
    <w:rsid w:val="00BE46ED"/>
    <w:rsid w:val="00BE64C5"/>
    <w:rsid w:val="00BE6C20"/>
    <w:rsid w:val="00BF19E7"/>
    <w:rsid w:val="00BF1DAF"/>
    <w:rsid w:val="00BF2CE2"/>
    <w:rsid w:val="00BF2DAB"/>
    <w:rsid w:val="00BF3004"/>
    <w:rsid w:val="00BF4DBD"/>
    <w:rsid w:val="00BF67B6"/>
    <w:rsid w:val="00C01FAE"/>
    <w:rsid w:val="00C02C19"/>
    <w:rsid w:val="00C02F1D"/>
    <w:rsid w:val="00C0309A"/>
    <w:rsid w:val="00C0352E"/>
    <w:rsid w:val="00C046BD"/>
    <w:rsid w:val="00C04B84"/>
    <w:rsid w:val="00C04DB0"/>
    <w:rsid w:val="00C04EA3"/>
    <w:rsid w:val="00C05C55"/>
    <w:rsid w:val="00C064D7"/>
    <w:rsid w:val="00C0708E"/>
    <w:rsid w:val="00C07AB7"/>
    <w:rsid w:val="00C07B1A"/>
    <w:rsid w:val="00C07FC7"/>
    <w:rsid w:val="00C07FE2"/>
    <w:rsid w:val="00C110D0"/>
    <w:rsid w:val="00C13B60"/>
    <w:rsid w:val="00C1422B"/>
    <w:rsid w:val="00C176D0"/>
    <w:rsid w:val="00C17DD3"/>
    <w:rsid w:val="00C201F6"/>
    <w:rsid w:val="00C20641"/>
    <w:rsid w:val="00C215FF"/>
    <w:rsid w:val="00C22874"/>
    <w:rsid w:val="00C24D2C"/>
    <w:rsid w:val="00C25713"/>
    <w:rsid w:val="00C26BEE"/>
    <w:rsid w:val="00C312B8"/>
    <w:rsid w:val="00C33267"/>
    <w:rsid w:val="00C342FD"/>
    <w:rsid w:val="00C3442C"/>
    <w:rsid w:val="00C347EA"/>
    <w:rsid w:val="00C358D1"/>
    <w:rsid w:val="00C40170"/>
    <w:rsid w:val="00C41EBC"/>
    <w:rsid w:val="00C42130"/>
    <w:rsid w:val="00C42D7E"/>
    <w:rsid w:val="00C42E71"/>
    <w:rsid w:val="00C4312A"/>
    <w:rsid w:val="00C442DD"/>
    <w:rsid w:val="00C4457F"/>
    <w:rsid w:val="00C448EF"/>
    <w:rsid w:val="00C45211"/>
    <w:rsid w:val="00C455A0"/>
    <w:rsid w:val="00C4626E"/>
    <w:rsid w:val="00C46867"/>
    <w:rsid w:val="00C471CA"/>
    <w:rsid w:val="00C50BE0"/>
    <w:rsid w:val="00C50BEC"/>
    <w:rsid w:val="00C516D9"/>
    <w:rsid w:val="00C51EA5"/>
    <w:rsid w:val="00C562A5"/>
    <w:rsid w:val="00C564C5"/>
    <w:rsid w:val="00C61F8D"/>
    <w:rsid w:val="00C62962"/>
    <w:rsid w:val="00C62B72"/>
    <w:rsid w:val="00C62EBC"/>
    <w:rsid w:val="00C63DFC"/>
    <w:rsid w:val="00C64DA4"/>
    <w:rsid w:val="00C70004"/>
    <w:rsid w:val="00C70543"/>
    <w:rsid w:val="00C714E8"/>
    <w:rsid w:val="00C7231D"/>
    <w:rsid w:val="00C72BDD"/>
    <w:rsid w:val="00C74BE3"/>
    <w:rsid w:val="00C75B6C"/>
    <w:rsid w:val="00C75FE6"/>
    <w:rsid w:val="00C77D6C"/>
    <w:rsid w:val="00C80172"/>
    <w:rsid w:val="00C80334"/>
    <w:rsid w:val="00C804E7"/>
    <w:rsid w:val="00C80A7C"/>
    <w:rsid w:val="00C81564"/>
    <w:rsid w:val="00C82F6B"/>
    <w:rsid w:val="00C82F86"/>
    <w:rsid w:val="00C83CDE"/>
    <w:rsid w:val="00C83E5E"/>
    <w:rsid w:val="00C848C0"/>
    <w:rsid w:val="00C85FE5"/>
    <w:rsid w:val="00C86741"/>
    <w:rsid w:val="00C914D5"/>
    <w:rsid w:val="00C91E63"/>
    <w:rsid w:val="00C92845"/>
    <w:rsid w:val="00C939EA"/>
    <w:rsid w:val="00C95BC6"/>
    <w:rsid w:val="00CA01ED"/>
    <w:rsid w:val="00CA3146"/>
    <w:rsid w:val="00CA64EF"/>
    <w:rsid w:val="00CA688C"/>
    <w:rsid w:val="00CA6CF3"/>
    <w:rsid w:val="00CA6D14"/>
    <w:rsid w:val="00CA741B"/>
    <w:rsid w:val="00CB0085"/>
    <w:rsid w:val="00CB2218"/>
    <w:rsid w:val="00CB2BFC"/>
    <w:rsid w:val="00CB3112"/>
    <w:rsid w:val="00CB335A"/>
    <w:rsid w:val="00CB4DC5"/>
    <w:rsid w:val="00CB50EF"/>
    <w:rsid w:val="00CB5759"/>
    <w:rsid w:val="00CB58AD"/>
    <w:rsid w:val="00CC083E"/>
    <w:rsid w:val="00CC1C77"/>
    <w:rsid w:val="00CC21FB"/>
    <w:rsid w:val="00CC26C9"/>
    <w:rsid w:val="00CC336A"/>
    <w:rsid w:val="00CC670B"/>
    <w:rsid w:val="00CD0D13"/>
    <w:rsid w:val="00CD16DA"/>
    <w:rsid w:val="00CD21D7"/>
    <w:rsid w:val="00CD57BD"/>
    <w:rsid w:val="00CD5E98"/>
    <w:rsid w:val="00CE1492"/>
    <w:rsid w:val="00CE1668"/>
    <w:rsid w:val="00CE33D0"/>
    <w:rsid w:val="00CE38A1"/>
    <w:rsid w:val="00CE3BCA"/>
    <w:rsid w:val="00CE5DA0"/>
    <w:rsid w:val="00CE7C26"/>
    <w:rsid w:val="00CF126A"/>
    <w:rsid w:val="00CF1A35"/>
    <w:rsid w:val="00CF2F7E"/>
    <w:rsid w:val="00CF41D5"/>
    <w:rsid w:val="00CF5ADE"/>
    <w:rsid w:val="00CF60A6"/>
    <w:rsid w:val="00CF650D"/>
    <w:rsid w:val="00D01450"/>
    <w:rsid w:val="00D03634"/>
    <w:rsid w:val="00D067CE"/>
    <w:rsid w:val="00D06C84"/>
    <w:rsid w:val="00D07552"/>
    <w:rsid w:val="00D077B1"/>
    <w:rsid w:val="00D10148"/>
    <w:rsid w:val="00D1473D"/>
    <w:rsid w:val="00D169D5"/>
    <w:rsid w:val="00D217EB"/>
    <w:rsid w:val="00D21B61"/>
    <w:rsid w:val="00D21D02"/>
    <w:rsid w:val="00D23D1F"/>
    <w:rsid w:val="00D24C8B"/>
    <w:rsid w:val="00D300CA"/>
    <w:rsid w:val="00D31469"/>
    <w:rsid w:val="00D32ECE"/>
    <w:rsid w:val="00D33016"/>
    <w:rsid w:val="00D333DB"/>
    <w:rsid w:val="00D36AF4"/>
    <w:rsid w:val="00D36B4D"/>
    <w:rsid w:val="00D37863"/>
    <w:rsid w:val="00D40428"/>
    <w:rsid w:val="00D40C9F"/>
    <w:rsid w:val="00D41BD6"/>
    <w:rsid w:val="00D443FB"/>
    <w:rsid w:val="00D447C5"/>
    <w:rsid w:val="00D447E3"/>
    <w:rsid w:val="00D5200B"/>
    <w:rsid w:val="00D52923"/>
    <w:rsid w:val="00D52BFE"/>
    <w:rsid w:val="00D57ED5"/>
    <w:rsid w:val="00D6002D"/>
    <w:rsid w:val="00D600FD"/>
    <w:rsid w:val="00D6015D"/>
    <w:rsid w:val="00D60F9A"/>
    <w:rsid w:val="00D61B03"/>
    <w:rsid w:val="00D62B97"/>
    <w:rsid w:val="00D67B3D"/>
    <w:rsid w:val="00D71F94"/>
    <w:rsid w:val="00D74B54"/>
    <w:rsid w:val="00D75320"/>
    <w:rsid w:val="00D7645C"/>
    <w:rsid w:val="00D76605"/>
    <w:rsid w:val="00D81862"/>
    <w:rsid w:val="00D83459"/>
    <w:rsid w:val="00D85D9A"/>
    <w:rsid w:val="00D8621D"/>
    <w:rsid w:val="00D87837"/>
    <w:rsid w:val="00D90271"/>
    <w:rsid w:val="00D9102A"/>
    <w:rsid w:val="00D924F4"/>
    <w:rsid w:val="00D92B83"/>
    <w:rsid w:val="00D96582"/>
    <w:rsid w:val="00D96C65"/>
    <w:rsid w:val="00DA1668"/>
    <w:rsid w:val="00DA2AB3"/>
    <w:rsid w:val="00DA38FE"/>
    <w:rsid w:val="00DA46E1"/>
    <w:rsid w:val="00DA592B"/>
    <w:rsid w:val="00DA5FAD"/>
    <w:rsid w:val="00DA60ED"/>
    <w:rsid w:val="00DA6733"/>
    <w:rsid w:val="00DB229F"/>
    <w:rsid w:val="00DB2658"/>
    <w:rsid w:val="00DB2CCD"/>
    <w:rsid w:val="00DB32DC"/>
    <w:rsid w:val="00DB44BB"/>
    <w:rsid w:val="00DB62B8"/>
    <w:rsid w:val="00DB6329"/>
    <w:rsid w:val="00DB72C9"/>
    <w:rsid w:val="00DC0654"/>
    <w:rsid w:val="00DC0A25"/>
    <w:rsid w:val="00DC1613"/>
    <w:rsid w:val="00DC27AE"/>
    <w:rsid w:val="00DD0D07"/>
    <w:rsid w:val="00DD1DE6"/>
    <w:rsid w:val="00DD3AC8"/>
    <w:rsid w:val="00DD4E0E"/>
    <w:rsid w:val="00DD4E8C"/>
    <w:rsid w:val="00DD5708"/>
    <w:rsid w:val="00DD579A"/>
    <w:rsid w:val="00DD6AA1"/>
    <w:rsid w:val="00DD70E6"/>
    <w:rsid w:val="00DD761D"/>
    <w:rsid w:val="00DE0DDC"/>
    <w:rsid w:val="00DE0EDC"/>
    <w:rsid w:val="00DE1604"/>
    <w:rsid w:val="00DE2688"/>
    <w:rsid w:val="00DE40E0"/>
    <w:rsid w:val="00DF199B"/>
    <w:rsid w:val="00DF3DEE"/>
    <w:rsid w:val="00DF40A0"/>
    <w:rsid w:val="00DF5B49"/>
    <w:rsid w:val="00DF638D"/>
    <w:rsid w:val="00DF7010"/>
    <w:rsid w:val="00DF72BA"/>
    <w:rsid w:val="00DF7407"/>
    <w:rsid w:val="00DF7B59"/>
    <w:rsid w:val="00E00A20"/>
    <w:rsid w:val="00E00BFC"/>
    <w:rsid w:val="00E019D4"/>
    <w:rsid w:val="00E01BD2"/>
    <w:rsid w:val="00E01E19"/>
    <w:rsid w:val="00E039C7"/>
    <w:rsid w:val="00E03C98"/>
    <w:rsid w:val="00E069E3"/>
    <w:rsid w:val="00E06E9D"/>
    <w:rsid w:val="00E07263"/>
    <w:rsid w:val="00E07349"/>
    <w:rsid w:val="00E07EDF"/>
    <w:rsid w:val="00E07FBF"/>
    <w:rsid w:val="00E127C9"/>
    <w:rsid w:val="00E151E6"/>
    <w:rsid w:val="00E15A45"/>
    <w:rsid w:val="00E208D9"/>
    <w:rsid w:val="00E20CCB"/>
    <w:rsid w:val="00E20E6A"/>
    <w:rsid w:val="00E2214B"/>
    <w:rsid w:val="00E232A7"/>
    <w:rsid w:val="00E24D69"/>
    <w:rsid w:val="00E267BE"/>
    <w:rsid w:val="00E327DE"/>
    <w:rsid w:val="00E34824"/>
    <w:rsid w:val="00E35031"/>
    <w:rsid w:val="00E35CB5"/>
    <w:rsid w:val="00E369E6"/>
    <w:rsid w:val="00E36E2D"/>
    <w:rsid w:val="00E37A2F"/>
    <w:rsid w:val="00E41100"/>
    <w:rsid w:val="00E414FB"/>
    <w:rsid w:val="00E4185E"/>
    <w:rsid w:val="00E41E6C"/>
    <w:rsid w:val="00E430DF"/>
    <w:rsid w:val="00E46C50"/>
    <w:rsid w:val="00E47EBC"/>
    <w:rsid w:val="00E47F32"/>
    <w:rsid w:val="00E52647"/>
    <w:rsid w:val="00E529C7"/>
    <w:rsid w:val="00E5357A"/>
    <w:rsid w:val="00E53986"/>
    <w:rsid w:val="00E55BAC"/>
    <w:rsid w:val="00E6034E"/>
    <w:rsid w:val="00E63871"/>
    <w:rsid w:val="00E667CB"/>
    <w:rsid w:val="00E6694C"/>
    <w:rsid w:val="00E67C3F"/>
    <w:rsid w:val="00E70C5F"/>
    <w:rsid w:val="00E716F7"/>
    <w:rsid w:val="00E72EA3"/>
    <w:rsid w:val="00E7579C"/>
    <w:rsid w:val="00E75CAF"/>
    <w:rsid w:val="00E77087"/>
    <w:rsid w:val="00E80C9A"/>
    <w:rsid w:val="00E83D16"/>
    <w:rsid w:val="00E84F57"/>
    <w:rsid w:val="00E86A10"/>
    <w:rsid w:val="00E86D73"/>
    <w:rsid w:val="00E874F4"/>
    <w:rsid w:val="00E87691"/>
    <w:rsid w:val="00E91B1A"/>
    <w:rsid w:val="00E91FEA"/>
    <w:rsid w:val="00E9289F"/>
    <w:rsid w:val="00E92D95"/>
    <w:rsid w:val="00E93989"/>
    <w:rsid w:val="00EA0432"/>
    <w:rsid w:val="00EA2016"/>
    <w:rsid w:val="00EA203D"/>
    <w:rsid w:val="00EA2148"/>
    <w:rsid w:val="00EA33FE"/>
    <w:rsid w:val="00EA6591"/>
    <w:rsid w:val="00EB3010"/>
    <w:rsid w:val="00EB5086"/>
    <w:rsid w:val="00EB5298"/>
    <w:rsid w:val="00EB539B"/>
    <w:rsid w:val="00EB6CE3"/>
    <w:rsid w:val="00EC059C"/>
    <w:rsid w:val="00EC08BF"/>
    <w:rsid w:val="00EC1D57"/>
    <w:rsid w:val="00EC2250"/>
    <w:rsid w:val="00EC3332"/>
    <w:rsid w:val="00EC3987"/>
    <w:rsid w:val="00EC3C7B"/>
    <w:rsid w:val="00EC47BB"/>
    <w:rsid w:val="00EC4F77"/>
    <w:rsid w:val="00EC5C3A"/>
    <w:rsid w:val="00EC6671"/>
    <w:rsid w:val="00ED241C"/>
    <w:rsid w:val="00ED2F56"/>
    <w:rsid w:val="00ED3A31"/>
    <w:rsid w:val="00ED66CB"/>
    <w:rsid w:val="00EE1CFE"/>
    <w:rsid w:val="00EE2084"/>
    <w:rsid w:val="00EE441C"/>
    <w:rsid w:val="00EE5AD8"/>
    <w:rsid w:val="00EE5D7E"/>
    <w:rsid w:val="00EE7763"/>
    <w:rsid w:val="00EF03CD"/>
    <w:rsid w:val="00EF2D11"/>
    <w:rsid w:val="00EF3FBF"/>
    <w:rsid w:val="00EF4964"/>
    <w:rsid w:val="00EF60F9"/>
    <w:rsid w:val="00F009AD"/>
    <w:rsid w:val="00F02C0E"/>
    <w:rsid w:val="00F074BF"/>
    <w:rsid w:val="00F11BEB"/>
    <w:rsid w:val="00F13B6A"/>
    <w:rsid w:val="00F13C7F"/>
    <w:rsid w:val="00F15048"/>
    <w:rsid w:val="00F15E15"/>
    <w:rsid w:val="00F202CF"/>
    <w:rsid w:val="00F241B3"/>
    <w:rsid w:val="00F24795"/>
    <w:rsid w:val="00F24F7E"/>
    <w:rsid w:val="00F25D97"/>
    <w:rsid w:val="00F25F61"/>
    <w:rsid w:val="00F26A12"/>
    <w:rsid w:val="00F26A31"/>
    <w:rsid w:val="00F26F07"/>
    <w:rsid w:val="00F27ACD"/>
    <w:rsid w:val="00F31535"/>
    <w:rsid w:val="00F41384"/>
    <w:rsid w:val="00F4270F"/>
    <w:rsid w:val="00F44593"/>
    <w:rsid w:val="00F46981"/>
    <w:rsid w:val="00F475FF"/>
    <w:rsid w:val="00F52D47"/>
    <w:rsid w:val="00F54769"/>
    <w:rsid w:val="00F54A0D"/>
    <w:rsid w:val="00F57154"/>
    <w:rsid w:val="00F57F91"/>
    <w:rsid w:val="00F61AA5"/>
    <w:rsid w:val="00F61AC8"/>
    <w:rsid w:val="00F6562C"/>
    <w:rsid w:val="00F65ED6"/>
    <w:rsid w:val="00F66911"/>
    <w:rsid w:val="00F66933"/>
    <w:rsid w:val="00F670F3"/>
    <w:rsid w:val="00F70910"/>
    <w:rsid w:val="00F72B63"/>
    <w:rsid w:val="00F7306F"/>
    <w:rsid w:val="00F733DA"/>
    <w:rsid w:val="00F75ED0"/>
    <w:rsid w:val="00F7749C"/>
    <w:rsid w:val="00F807B6"/>
    <w:rsid w:val="00F80C29"/>
    <w:rsid w:val="00F82778"/>
    <w:rsid w:val="00F86014"/>
    <w:rsid w:val="00F86DEC"/>
    <w:rsid w:val="00F902A7"/>
    <w:rsid w:val="00F9139B"/>
    <w:rsid w:val="00F930BF"/>
    <w:rsid w:val="00F93A92"/>
    <w:rsid w:val="00F97646"/>
    <w:rsid w:val="00F97EFD"/>
    <w:rsid w:val="00FA6A6B"/>
    <w:rsid w:val="00FB083B"/>
    <w:rsid w:val="00FB7E12"/>
    <w:rsid w:val="00FC029E"/>
    <w:rsid w:val="00FC0AF4"/>
    <w:rsid w:val="00FC189E"/>
    <w:rsid w:val="00FC2C84"/>
    <w:rsid w:val="00FC332C"/>
    <w:rsid w:val="00FC3F4F"/>
    <w:rsid w:val="00FC4037"/>
    <w:rsid w:val="00FC4EFB"/>
    <w:rsid w:val="00FD02B7"/>
    <w:rsid w:val="00FD0455"/>
    <w:rsid w:val="00FD0F72"/>
    <w:rsid w:val="00FD22B5"/>
    <w:rsid w:val="00FD336F"/>
    <w:rsid w:val="00FD4FC9"/>
    <w:rsid w:val="00FD6513"/>
    <w:rsid w:val="00FD677D"/>
    <w:rsid w:val="00FD6BEE"/>
    <w:rsid w:val="00FE0F2B"/>
    <w:rsid w:val="00FE2016"/>
    <w:rsid w:val="00FE4C0D"/>
    <w:rsid w:val="00FE5BD8"/>
    <w:rsid w:val="00FE6399"/>
    <w:rsid w:val="00FE675E"/>
    <w:rsid w:val="00FE696E"/>
    <w:rsid w:val="00FF08BF"/>
    <w:rsid w:val="00FF08FD"/>
    <w:rsid w:val="00FF0CDC"/>
    <w:rsid w:val="00FF0FC1"/>
    <w:rsid w:val="00FF258B"/>
    <w:rsid w:val="00FF345D"/>
    <w:rsid w:val="00FF36BD"/>
    <w:rsid w:val="00FF3A87"/>
    <w:rsid w:val="00FF4478"/>
    <w:rsid w:val="00FF7F42"/>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E33"/>
    <w:pPr>
      <w:widowControl w:val="0"/>
    </w:pPr>
    <w:rPr>
      <w:snapToGrid w:val="0"/>
      <w:kern w:val="28"/>
      <w:sz w:val="22"/>
    </w:rPr>
  </w:style>
  <w:style w:type="paragraph" w:styleId="Heading1">
    <w:name w:val="heading 1"/>
    <w:basedOn w:val="Normal"/>
    <w:next w:val="ParaNum"/>
    <w:qFormat/>
    <w:rsid w:val="007C6E33"/>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C6E33"/>
    <w:pPr>
      <w:keepNext/>
      <w:numPr>
        <w:ilvl w:val="1"/>
        <w:numId w:val="24"/>
      </w:numPr>
      <w:spacing w:after="120"/>
      <w:outlineLvl w:val="1"/>
    </w:pPr>
    <w:rPr>
      <w:b/>
    </w:rPr>
  </w:style>
  <w:style w:type="paragraph" w:styleId="Heading3">
    <w:name w:val="heading 3"/>
    <w:basedOn w:val="Normal"/>
    <w:next w:val="ParaNum"/>
    <w:qFormat/>
    <w:rsid w:val="007C6E33"/>
    <w:pPr>
      <w:keepNext/>
      <w:numPr>
        <w:ilvl w:val="2"/>
        <w:numId w:val="24"/>
      </w:numPr>
      <w:tabs>
        <w:tab w:val="left" w:pos="2160"/>
      </w:tabs>
      <w:spacing w:after="120"/>
      <w:outlineLvl w:val="2"/>
    </w:pPr>
    <w:rPr>
      <w:b/>
    </w:rPr>
  </w:style>
  <w:style w:type="paragraph" w:styleId="Heading4">
    <w:name w:val="heading 4"/>
    <w:basedOn w:val="Normal"/>
    <w:next w:val="ParaNum"/>
    <w:qFormat/>
    <w:rsid w:val="007C6E33"/>
    <w:pPr>
      <w:keepNext/>
      <w:numPr>
        <w:ilvl w:val="3"/>
        <w:numId w:val="24"/>
      </w:numPr>
      <w:tabs>
        <w:tab w:val="left" w:pos="2880"/>
      </w:tabs>
      <w:spacing w:after="120"/>
      <w:outlineLvl w:val="3"/>
    </w:pPr>
    <w:rPr>
      <w:b/>
    </w:rPr>
  </w:style>
  <w:style w:type="paragraph" w:styleId="Heading5">
    <w:name w:val="heading 5"/>
    <w:basedOn w:val="Normal"/>
    <w:next w:val="ParaNum"/>
    <w:qFormat/>
    <w:rsid w:val="007C6E33"/>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7C6E33"/>
    <w:pPr>
      <w:numPr>
        <w:ilvl w:val="5"/>
        <w:numId w:val="24"/>
      </w:numPr>
      <w:tabs>
        <w:tab w:val="left" w:pos="4320"/>
      </w:tabs>
      <w:spacing w:after="120"/>
      <w:outlineLvl w:val="5"/>
    </w:pPr>
    <w:rPr>
      <w:b/>
    </w:rPr>
  </w:style>
  <w:style w:type="paragraph" w:styleId="Heading7">
    <w:name w:val="heading 7"/>
    <w:basedOn w:val="Normal"/>
    <w:next w:val="ParaNum"/>
    <w:qFormat/>
    <w:rsid w:val="007C6E33"/>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7C6E33"/>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7C6E33"/>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C6E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6E33"/>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7C6E33"/>
    <w:pPr>
      <w:numPr>
        <w:numId w:val="23"/>
      </w:numPr>
      <w:tabs>
        <w:tab w:val="clear" w:pos="1080"/>
        <w:tab w:val="num" w:pos="1440"/>
      </w:tabs>
      <w:spacing w:after="120"/>
    </w:pPr>
  </w:style>
  <w:style w:type="paragraph" w:styleId="FootnoteText">
    <w:name w:val="footnote text"/>
    <w:aliases w:val="Footnote Text Char1,Footnote Text Char Char,Footnote Text Char1 Char Char,Footnote Text Char Char Char Char"/>
    <w:rsid w:val="007C6E33"/>
    <w:pPr>
      <w:spacing w:after="120"/>
    </w:pPr>
  </w:style>
  <w:style w:type="paragraph" w:customStyle="1" w:styleId="Bullet">
    <w:name w:val="Bullet"/>
    <w:basedOn w:val="Normal"/>
    <w:rsid w:val="007C6E33"/>
    <w:pPr>
      <w:tabs>
        <w:tab w:val="left" w:pos="2160"/>
      </w:tabs>
      <w:spacing w:after="220"/>
      <w:ind w:left="2160" w:hanging="720"/>
    </w:pPr>
  </w:style>
  <w:style w:type="paragraph" w:styleId="BlockText">
    <w:name w:val="Block Text"/>
    <w:basedOn w:val="Normal"/>
    <w:rsid w:val="007C6E33"/>
    <w:pPr>
      <w:spacing w:after="240"/>
      <w:ind w:left="1440" w:right="1440"/>
    </w:pPr>
  </w:style>
  <w:style w:type="paragraph" w:customStyle="1" w:styleId="TableFormat">
    <w:name w:val="TableFormat"/>
    <w:basedOn w:val="Bullet"/>
    <w:rsid w:val="007C6E33"/>
    <w:pPr>
      <w:tabs>
        <w:tab w:val="clear" w:pos="2160"/>
        <w:tab w:val="left" w:pos="5040"/>
      </w:tabs>
      <w:ind w:left="5040" w:hanging="3600"/>
    </w:pPr>
  </w:style>
  <w:style w:type="character" w:styleId="FootnoteReference">
    <w:name w:val="footnote reference"/>
    <w:rsid w:val="007C6E33"/>
    <w:rPr>
      <w:rFonts w:ascii="Times New Roman" w:hAnsi="Times New Roman"/>
      <w:dstrike w:val="0"/>
      <w:color w:val="auto"/>
      <w:sz w:val="20"/>
      <w:vertAlign w:val="superscript"/>
    </w:rPr>
  </w:style>
  <w:style w:type="paragraph" w:styleId="Header">
    <w:name w:val="header"/>
    <w:basedOn w:val="Normal"/>
    <w:link w:val="HeaderChar"/>
    <w:autoRedefine/>
    <w:rsid w:val="007C6E33"/>
    <w:pPr>
      <w:tabs>
        <w:tab w:val="center" w:pos="4680"/>
        <w:tab w:val="right" w:pos="9360"/>
      </w:tabs>
    </w:pPr>
    <w:rPr>
      <w:b/>
    </w:rPr>
  </w:style>
  <w:style w:type="paragraph" w:styleId="Footer">
    <w:name w:val="footer"/>
    <w:basedOn w:val="Normal"/>
    <w:rsid w:val="007C6E33"/>
    <w:pPr>
      <w:tabs>
        <w:tab w:val="center" w:pos="4320"/>
        <w:tab w:val="right" w:pos="8640"/>
      </w:tabs>
    </w:pPr>
  </w:style>
  <w:style w:type="paragraph" w:styleId="TOC2">
    <w:name w:val="toc 2"/>
    <w:basedOn w:val="Normal"/>
    <w:next w:val="Normal"/>
    <w:semiHidden/>
    <w:rsid w:val="007C6E33"/>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7C6E33"/>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7C6E3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C6E3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C6E3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C6E3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C6E3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C6E3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C6E33"/>
    <w:pPr>
      <w:tabs>
        <w:tab w:val="left" w:pos="3240"/>
        <w:tab w:val="right" w:leader="dot" w:pos="9360"/>
      </w:tabs>
      <w:suppressAutoHyphens/>
      <w:ind w:left="3240" w:hanging="360"/>
    </w:pPr>
    <w:rPr>
      <w:noProof/>
    </w:rPr>
  </w:style>
  <w:style w:type="character" w:styleId="PageNumber">
    <w:name w:val="page number"/>
    <w:basedOn w:val="DefaultParagraphFont"/>
    <w:rsid w:val="007C6E33"/>
  </w:style>
  <w:style w:type="paragraph" w:styleId="Title">
    <w:name w:val="Title"/>
    <w:basedOn w:val="Normal"/>
    <w:qFormat/>
    <w:pPr>
      <w:jc w:val="center"/>
    </w:pPr>
    <w:rPr>
      <w:b/>
    </w:rPr>
  </w:style>
  <w:style w:type="character" w:customStyle="1" w:styleId="ParaNumChar">
    <w:name w:val="ParaNum Char"/>
    <w:basedOn w:val="DefaultParagraphFont"/>
    <w:link w:val="ParaNum"/>
    <w:rsid w:val="004E418D"/>
    <w:rPr>
      <w:snapToGrid w:val="0"/>
      <w:kern w:val="28"/>
      <w:sz w:val="22"/>
    </w:rPr>
  </w:style>
  <w:style w:type="paragraph" w:styleId="EndnoteText">
    <w:name w:val="endnote text"/>
    <w:basedOn w:val="Normal"/>
    <w:semiHidden/>
    <w:rsid w:val="007C6E33"/>
    <w:rPr>
      <w:sz w:val="20"/>
    </w:rPr>
  </w:style>
  <w:style w:type="character" w:styleId="EndnoteReference">
    <w:name w:val="endnote reference"/>
    <w:semiHidden/>
    <w:rsid w:val="007C6E33"/>
    <w:rPr>
      <w:vertAlign w:val="superscript"/>
    </w:rPr>
  </w:style>
  <w:style w:type="paragraph" w:styleId="TOAHeading">
    <w:name w:val="toa heading"/>
    <w:basedOn w:val="Normal"/>
    <w:next w:val="Normal"/>
    <w:semiHidden/>
    <w:rsid w:val="007C6E33"/>
    <w:pPr>
      <w:tabs>
        <w:tab w:val="right" w:pos="9360"/>
      </w:tabs>
      <w:suppressAutoHyphens/>
    </w:pPr>
  </w:style>
  <w:style w:type="character" w:customStyle="1" w:styleId="EquationCaption">
    <w:name w:val="_Equation Caption"/>
    <w:rsid w:val="007C6E33"/>
  </w:style>
  <w:style w:type="paragraph" w:customStyle="1" w:styleId="Paratitle">
    <w:name w:val="Para title"/>
    <w:basedOn w:val="Normal"/>
    <w:rsid w:val="007C6E33"/>
    <w:pPr>
      <w:tabs>
        <w:tab w:val="center" w:pos="9270"/>
      </w:tabs>
      <w:spacing w:after="240"/>
    </w:pPr>
    <w:rPr>
      <w:spacing w:val="-2"/>
    </w:rPr>
  </w:style>
  <w:style w:type="paragraph" w:customStyle="1" w:styleId="TOCTitle">
    <w:name w:val="TOC Title"/>
    <w:basedOn w:val="Normal"/>
    <w:rsid w:val="007C6E3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C6E33"/>
    <w:pPr>
      <w:jc w:val="center"/>
    </w:pPr>
    <w:rPr>
      <w:rFonts w:ascii="Times New Roman Bold" w:hAnsi="Times New Roman Bold"/>
      <w:b/>
      <w:bCs/>
      <w:caps/>
      <w:szCs w:val="22"/>
    </w:rPr>
  </w:style>
  <w:style w:type="character" w:styleId="Hyperlink">
    <w:name w:val="Hyperlink"/>
    <w:rsid w:val="007C6E33"/>
    <w:rPr>
      <w:color w:val="0000FF"/>
      <w:u w:val="single"/>
    </w:rPr>
  </w:style>
  <w:style w:type="character" w:customStyle="1" w:styleId="documentbody1">
    <w:name w:val="documentbody1"/>
    <w:basedOn w:val="DefaultParagraphFont"/>
    <w:rsid w:val="008036BC"/>
    <w:rPr>
      <w:rFonts w:ascii="Verdana" w:hAnsi="Verdana" w:hint="default"/>
      <w:sz w:val="19"/>
      <w:szCs w:val="19"/>
      <w:shd w:val="clear" w:color="auto" w:fill="FFFFFF"/>
    </w:rPr>
  </w:style>
  <w:style w:type="paragraph" w:styleId="BalloonText">
    <w:name w:val="Balloon Text"/>
    <w:basedOn w:val="Normal"/>
    <w:link w:val="BalloonTextChar"/>
    <w:rsid w:val="009E2ABF"/>
    <w:rPr>
      <w:rFonts w:ascii="Tahoma" w:hAnsi="Tahoma" w:cs="Tahoma"/>
      <w:sz w:val="16"/>
      <w:szCs w:val="16"/>
    </w:rPr>
  </w:style>
  <w:style w:type="character" w:customStyle="1" w:styleId="BalloonTextChar">
    <w:name w:val="Balloon Text Char"/>
    <w:basedOn w:val="DefaultParagraphFont"/>
    <w:link w:val="BalloonText"/>
    <w:rsid w:val="009E2ABF"/>
    <w:rPr>
      <w:rFonts w:ascii="Tahoma" w:hAnsi="Tahoma" w:cs="Tahoma"/>
      <w:snapToGrid w:val="0"/>
      <w:kern w:val="28"/>
      <w:sz w:val="16"/>
      <w:szCs w:val="16"/>
    </w:rPr>
  </w:style>
  <w:style w:type="character" w:customStyle="1" w:styleId="HeaderChar">
    <w:name w:val="Header Char"/>
    <w:basedOn w:val="DefaultParagraphFont"/>
    <w:link w:val="Header"/>
    <w:rsid w:val="0046284C"/>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E33"/>
    <w:pPr>
      <w:widowControl w:val="0"/>
    </w:pPr>
    <w:rPr>
      <w:snapToGrid w:val="0"/>
      <w:kern w:val="28"/>
      <w:sz w:val="22"/>
    </w:rPr>
  </w:style>
  <w:style w:type="paragraph" w:styleId="Heading1">
    <w:name w:val="heading 1"/>
    <w:basedOn w:val="Normal"/>
    <w:next w:val="ParaNum"/>
    <w:qFormat/>
    <w:rsid w:val="007C6E33"/>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C6E33"/>
    <w:pPr>
      <w:keepNext/>
      <w:numPr>
        <w:ilvl w:val="1"/>
        <w:numId w:val="24"/>
      </w:numPr>
      <w:spacing w:after="120"/>
      <w:outlineLvl w:val="1"/>
    </w:pPr>
    <w:rPr>
      <w:b/>
    </w:rPr>
  </w:style>
  <w:style w:type="paragraph" w:styleId="Heading3">
    <w:name w:val="heading 3"/>
    <w:basedOn w:val="Normal"/>
    <w:next w:val="ParaNum"/>
    <w:qFormat/>
    <w:rsid w:val="007C6E33"/>
    <w:pPr>
      <w:keepNext/>
      <w:numPr>
        <w:ilvl w:val="2"/>
        <w:numId w:val="24"/>
      </w:numPr>
      <w:tabs>
        <w:tab w:val="left" w:pos="2160"/>
      </w:tabs>
      <w:spacing w:after="120"/>
      <w:outlineLvl w:val="2"/>
    </w:pPr>
    <w:rPr>
      <w:b/>
    </w:rPr>
  </w:style>
  <w:style w:type="paragraph" w:styleId="Heading4">
    <w:name w:val="heading 4"/>
    <w:basedOn w:val="Normal"/>
    <w:next w:val="ParaNum"/>
    <w:qFormat/>
    <w:rsid w:val="007C6E33"/>
    <w:pPr>
      <w:keepNext/>
      <w:numPr>
        <w:ilvl w:val="3"/>
        <w:numId w:val="24"/>
      </w:numPr>
      <w:tabs>
        <w:tab w:val="left" w:pos="2880"/>
      </w:tabs>
      <w:spacing w:after="120"/>
      <w:outlineLvl w:val="3"/>
    </w:pPr>
    <w:rPr>
      <w:b/>
    </w:rPr>
  </w:style>
  <w:style w:type="paragraph" w:styleId="Heading5">
    <w:name w:val="heading 5"/>
    <w:basedOn w:val="Normal"/>
    <w:next w:val="ParaNum"/>
    <w:qFormat/>
    <w:rsid w:val="007C6E33"/>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7C6E33"/>
    <w:pPr>
      <w:numPr>
        <w:ilvl w:val="5"/>
        <w:numId w:val="24"/>
      </w:numPr>
      <w:tabs>
        <w:tab w:val="left" w:pos="4320"/>
      </w:tabs>
      <w:spacing w:after="120"/>
      <w:outlineLvl w:val="5"/>
    </w:pPr>
    <w:rPr>
      <w:b/>
    </w:rPr>
  </w:style>
  <w:style w:type="paragraph" w:styleId="Heading7">
    <w:name w:val="heading 7"/>
    <w:basedOn w:val="Normal"/>
    <w:next w:val="ParaNum"/>
    <w:qFormat/>
    <w:rsid w:val="007C6E33"/>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7C6E33"/>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7C6E33"/>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C6E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6E33"/>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7C6E33"/>
    <w:pPr>
      <w:numPr>
        <w:numId w:val="23"/>
      </w:numPr>
      <w:tabs>
        <w:tab w:val="clear" w:pos="1080"/>
        <w:tab w:val="num" w:pos="1440"/>
      </w:tabs>
      <w:spacing w:after="120"/>
    </w:pPr>
  </w:style>
  <w:style w:type="paragraph" w:styleId="FootnoteText">
    <w:name w:val="footnote text"/>
    <w:aliases w:val="Footnote Text Char1,Footnote Text Char Char,Footnote Text Char1 Char Char,Footnote Text Char Char Char Char"/>
    <w:rsid w:val="007C6E33"/>
    <w:pPr>
      <w:spacing w:after="120"/>
    </w:pPr>
  </w:style>
  <w:style w:type="paragraph" w:customStyle="1" w:styleId="Bullet">
    <w:name w:val="Bullet"/>
    <w:basedOn w:val="Normal"/>
    <w:rsid w:val="007C6E33"/>
    <w:pPr>
      <w:tabs>
        <w:tab w:val="left" w:pos="2160"/>
      </w:tabs>
      <w:spacing w:after="220"/>
      <w:ind w:left="2160" w:hanging="720"/>
    </w:pPr>
  </w:style>
  <w:style w:type="paragraph" w:styleId="BlockText">
    <w:name w:val="Block Text"/>
    <w:basedOn w:val="Normal"/>
    <w:rsid w:val="007C6E33"/>
    <w:pPr>
      <w:spacing w:after="240"/>
      <w:ind w:left="1440" w:right="1440"/>
    </w:pPr>
  </w:style>
  <w:style w:type="paragraph" w:customStyle="1" w:styleId="TableFormat">
    <w:name w:val="TableFormat"/>
    <w:basedOn w:val="Bullet"/>
    <w:rsid w:val="007C6E33"/>
    <w:pPr>
      <w:tabs>
        <w:tab w:val="clear" w:pos="2160"/>
        <w:tab w:val="left" w:pos="5040"/>
      </w:tabs>
      <w:ind w:left="5040" w:hanging="3600"/>
    </w:pPr>
  </w:style>
  <w:style w:type="character" w:styleId="FootnoteReference">
    <w:name w:val="footnote reference"/>
    <w:rsid w:val="007C6E33"/>
    <w:rPr>
      <w:rFonts w:ascii="Times New Roman" w:hAnsi="Times New Roman"/>
      <w:dstrike w:val="0"/>
      <w:color w:val="auto"/>
      <w:sz w:val="20"/>
      <w:vertAlign w:val="superscript"/>
    </w:rPr>
  </w:style>
  <w:style w:type="paragraph" w:styleId="Header">
    <w:name w:val="header"/>
    <w:basedOn w:val="Normal"/>
    <w:link w:val="HeaderChar"/>
    <w:autoRedefine/>
    <w:rsid w:val="007C6E33"/>
    <w:pPr>
      <w:tabs>
        <w:tab w:val="center" w:pos="4680"/>
        <w:tab w:val="right" w:pos="9360"/>
      </w:tabs>
    </w:pPr>
    <w:rPr>
      <w:b/>
    </w:rPr>
  </w:style>
  <w:style w:type="paragraph" w:styleId="Footer">
    <w:name w:val="footer"/>
    <w:basedOn w:val="Normal"/>
    <w:rsid w:val="007C6E33"/>
    <w:pPr>
      <w:tabs>
        <w:tab w:val="center" w:pos="4320"/>
        <w:tab w:val="right" w:pos="8640"/>
      </w:tabs>
    </w:pPr>
  </w:style>
  <w:style w:type="paragraph" w:styleId="TOC2">
    <w:name w:val="toc 2"/>
    <w:basedOn w:val="Normal"/>
    <w:next w:val="Normal"/>
    <w:semiHidden/>
    <w:rsid w:val="007C6E33"/>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7C6E33"/>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7C6E3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C6E3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C6E3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C6E3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C6E3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C6E3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C6E33"/>
    <w:pPr>
      <w:tabs>
        <w:tab w:val="left" w:pos="3240"/>
        <w:tab w:val="right" w:leader="dot" w:pos="9360"/>
      </w:tabs>
      <w:suppressAutoHyphens/>
      <w:ind w:left="3240" w:hanging="360"/>
    </w:pPr>
    <w:rPr>
      <w:noProof/>
    </w:rPr>
  </w:style>
  <w:style w:type="character" w:styleId="PageNumber">
    <w:name w:val="page number"/>
    <w:basedOn w:val="DefaultParagraphFont"/>
    <w:rsid w:val="007C6E33"/>
  </w:style>
  <w:style w:type="paragraph" w:styleId="Title">
    <w:name w:val="Title"/>
    <w:basedOn w:val="Normal"/>
    <w:qFormat/>
    <w:pPr>
      <w:jc w:val="center"/>
    </w:pPr>
    <w:rPr>
      <w:b/>
    </w:rPr>
  </w:style>
  <w:style w:type="character" w:customStyle="1" w:styleId="ParaNumChar">
    <w:name w:val="ParaNum Char"/>
    <w:basedOn w:val="DefaultParagraphFont"/>
    <w:link w:val="ParaNum"/>
    <w:rsid w:val="004E418D"/>
    <w:rPr>
      <w:snapToGrid w:val="0"/>
      <w:kern w:val="28"/>
      <w:sz w:val="22"/>
    </w:rPr>
  </w:style>
  <w:style w:type="paragraph" w:styleId="EndnoteText">
    <w:name w:val="endnote text"/>
    <w:basedOn w:val="Normal"/>
    <w:semiHidden/>
    <w:rsid w:val="007C6E33"/>
    <w:rPr>
      <w:sz w:val="20"/>
    </w:rPr>
  </w:style>
  <w:style w:type="character" w:styleId="EndnoteReference">
    <w:name w:val="endnote reference"/>
    <w:semiHidden/>
    <w:rsid w:val="007C6E33"/>
    <w:rPr>
      <w:vertAlign w:val="superscript"/>
    </w:rPr>
  </w:style>
  <w:style w:type="paragraph" w:styleId="TOAHeading">
    <w:name w:val="toa heading"/>
    <w:basedOn w:val="Normal"/>
    <w:next w:val="Normal"/>
    <w:semiHidden/>
    <w:rsid w:val="007C6E33"/>
    <w:pPr>
      <w:tabs>
        <w:tab w:val="right" w:pos="9360"/>
      </w:tabs>
      <w:suppressAutoHyphens/>
    </w:pPr>
  </w:style>
  <w:style w:type="character" w:customStyle="1" w:styleId="EquationCaption">
    <w:name w:val="_Equation Caption"/>
    <w:rsid w:val="007C6E33"/>
  </w:style>
  <w:style w:type="paragraph" w:customStyle="1" w:styleId="Paratitle">
    <w:name w:val="Para title"/>
    <w:basedOn w:val="Normal"/>
    <w:rsid w:val="007C6E33"/>
    <w:pPr>
      <w:tabs>
        <w:tab w:val="center" w:pos="9270"/>
      </w:tabs>
      <w:spacing w:after="240"/>
    </w:pPr>
    <w:rPr>
      <w:spacing w:val="-2"/>
    </w:rPr>
  </w:style>
  <w:style w:type="paragraph" w:customStyle="1" w:styleId="TOCTitle">
    <w:name w:val="TOC Title"/>
    <w:basedOn w:val="Normal"/>
    <w:rsid w:val="007C6E3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C6E33"/>
    <w:pPr>
      <w:jc w:val="center"/>
    </w:pPr>
    <w:rPr>
      <w:rFonts w:ascii="Times New Roman Bold" w:hAnsi="Times New Roman Bold"/>
      <w:b/>
      <w:bCs/>
      <w:caps/>
      <w:szCs w:val="22"/>
    </w:rPr>
  </w:style>
  <w:style w:type="character" w:styleId="Hyperlink">
    <w:name w:val="Hyperlink"/>
    <w:rsid w:val="007C6E33"/>
    <w:rPr>
      <w:color w:val="0000FF"/>
      <w:u w:val="single"/>
    </w:rPr>
  </w:style>
  <w:style w:type="character" w:customStyle="1" w:styleId="documentbody1">
    <w:name w:val="documentbody1"/>
    <w:basedOn w:val="DefaultParagraphFont"/>
    <w:rsid w:val="008036BC"/>
    <w:rPr>
      <w:rFonts w:ascii="Verdana" w:hAnsi="Verdana" w:hint="default"/>
      <w:sz w:val="19"/>
      <w:szCs w:val="19"/>
      <w:shd w:val="clear" w:color="auto" w:fill="FFFFFF"/>
    </w:rPr>
  </w:style>
  <w:style w:type="paragraph" w:styleId="BalloonText">
    <w:name w:val="Balloon Text"/>
    <w:basedOn w:val="Normal"/>
    <w:link w:val="BalloonTextChar"/>
    <w:rsid w:val="009E2ABF"/>
    <w:rPr>
      <w:rFonts w:ascii="Tahoma" w:hAnsi="Tahoma" w:cs="Tahoma"/>
      <w:sz w:val="16"/>
      <w:szCs w:val="16"/>
    </w:rPr>
  </w:style>
  <w:style w:type="character" w:customStyle="1" w:styleId="BalloonTextChar">
    <w:name w:val="Balloon Text Char"/>
    <w:basedOn w:val="DefaultParagraphFont"/>
    <w:link w:val="BalloonText"/>
    <w:rsid w:val="009E2ABF"/>
    <w:rPr>
      <w:rFonts w:ascii="Tahoma" w:hAnsi="Tahoma" w:cs="Tahoma"/>
      <w:snapToGrid w:val="0"/>
      <w:kern w:val="28"/>
      <w:sz w:val="16"/>
      <w:szCs w:val="16"/>
    </w:rPr>
  </w:style>
  <w:style w:type="character" w:customStyle="1" w:styleId="HeaderChar">
    <w:name w:val="Header Char"/>
    <w:basedOn w:val="DefaultParagraphFont"/>
    <w:link w:val="Header"/>
    <w:rsid w:val="0046284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2308</Words>
  <Characters>12495</Characters>
  <Application>Microsoft Office Word</Application>
  <DocSecurity>0</DocSecurity>
  <Lines>190</Lines>
  <Paragraphs>44</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14881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2015-03-23T14:28:00Z</cp:lastPrinted>
  <dcterms:created xsi:type="dcterms:W3CDTF">2015-03-23T16:40:00Z</dcterms:created>
  <dcterms:modified xsi:type="dcterms:W3CDTF">2015-03-23T16:40:00Z</dcterms:modified>
  <cp:category> </cp:category>
  <cp:contentStatus> </cp:contentStatus>
</cp:coreProperties>
</file>